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3.xml" ContentType="application/vnd.openxmlformats-officedocument.wordprocessingml.header+xml"/>
  <Override PartName="/word/footer1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6.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9.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header10.xml" ContentType="application/vnd.openxmlformats-officedocument.wordprocessingml.head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13.xml" ContentType="application/vnd.openxmlformats-officedocument.wordprocessingml.header+xml"/>
  <Override PartName="/word/footer66.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16.xml" ContentType="application/vnd.openxmlformats-officedocument.wordprocessingml.header+xml"/>
  <Override PartName="/word/footer69.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19.xml" ContentType="application/vnd.openxmlformats-officedocument.wordprocessingml.header+xml"/>
  <Override PartName="/word/footer72.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22.xml" ContentType="application/vnd.openxmlformats-officedocument.wordprocessingml.header+xml"/>
  <Override PartName="/word/footer75.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25.xml" ContentType="application/vnd.openxmlformats-officedocument.wordprocessingml.header+xml"/>
  <Override PartName="/word/footer78.xml" ContentType="application/vnd.openxmlformats-officedocument.wordprocessingml.foot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04328151"/>
    <w:bookmarkStart w:id="1" w:name="_GoBack"/>
    <w:bookmarkEnd w:id="1"/>
    <w:p w14:paraId="3908C0D8" w14:textId="37E0A005" w:rsidR="0064032A" w:rsidRDefault="006B5375" w:rsidP="007608B6">
      <w:pPr>
        <w:rPr>
          <w:color w:val="AA322F"/>
          <w:sz w:val="28"/>
        </w:rPr>
      </w:pPr>
      <w:r w:rsidRPr="006B5375">
        <w:rPr>
          <w:noProof/>
          <w:color w:val="AA322F"/>
          <w:sz w:val="28"/>
          <w:lang w:eastAsia="zh-TW"/>
        </w:rPr>
        <mc:AlternateContent>
          <mc:Choice Requires="wps">
            <w:drawing>
              <wp:anchor distT="45720" distB="45720" distL="114300" distR="114300" simplePos="0" relativeHeight="251670528" behindDoc="0" locked="0" layoutInCell="1" allowOverlap="1" wp14:anchorId="3F67BC21" wp14:editId="4DE9434E">
                <wp:simplePos x="0" y="0"/>
                <wp:positionH relativeFrom="column">
                  <wp:posOffset>8319135</wp:posOffset>
                </wp:positionH>
                <wp:positionV relativeFrom="page">
                  <wp:posOffset>208280</wp:posOffset>
                </wp:positionV>
                <wp:extent cx="900000" cy="43200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0000" cy="432000"/>
                        </a:xfrm>
                        <a:prstGeom prst="rect">
                          <a:avLst/>
                        </a:prstGeom>
                        <a:solidFill>
                          <a:srgbClr val="FFFFFF"/>
                        </a:solidFill>
                        <a:ln w="9525">
                          <a:noFill/>
                          <a:miter lim="800000"/>
                          <a:headEnd/>
                          <a:tailEnd/>
                        </a:ln>
                      </wps:spPr>
                      <wps:txbx>
                        <w:txbxContent>
                          <w:p w14:paraId="17390B52" w14:textId="4E0A4778" w:rsidR="006B5375" w:rsidRPr="006B5375" w:rsidRDefault="006B5375">
                            <w:pPr>
                              <w:rPr>
                                <w:b/>
                                <w:sz w:val="24"/>
                                <w:szCs w:val="24"/>
                              </w:rPr>
                            </w:pPr>
                            <w:r w:rsidRPr="00405ACC">
                              <w:rPr>
                                <w:b/>
                                <w:sz w:val="28"/>
                                <w:szCs w:val="28"/>
                              </w:rPr>
                              <w:t>Annex</w:t>
                            </w:r>
                            <w:r w:rsidR="003B02CF">
                              <w:rPr>
                                <w:b/>
                                <w:sz w:val="28"/>
                                <w:szCs w:val="28"/>
                              </w:rPr>
                              <w:t xml:space="preserv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67BC21" id="_x0000_t202" coordsize="21600,21600" o:spt="202" path="m,l,21600r21600,l21600,xe">
                <v:stroke joinstyle="miter"/>
                <v:path gradientshapeok="t" o:connecttype="rect"/>
              </v:shapetype>
              <v:shape id="Text Box 2" o:spid="_x0000_s1026" type="#_x0000_t202" style="position:absolute;margin-left:655.05pt;margin-top:16.4pt;width:70.85pt;height:34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" stroked="f">
                <v:textbox>
                  <w:txbxContent>
                    <w:p w14:paraId="17390B52" w14:textId="4E0A4778" w:rsidR="006B5375" w:rsidRPr="006B5375" w:rsidRDefault="006B5375">
                      <w:pPr>
                        <w:rPr>
                          <w:b/>
                          <w:sz w:val="24"/>
                          <w:szCs w:val="24"/>
                        </w:rPr>
                      </w:pPr>
                      <w:r w:rsidRPr="00405ACC">
                        <w:rPr>
                          <w:b/>
                          <w:sz w:val="28"/>
                          <w:szCs w:val="28"/>
                        </w:rPr>
                        <w:t>Annex</w:t>
                      </w:r>
                      <w:r w:rsidR="003B02CF">
                        <w:rPr>
                          <w:b/>
                          <w:sz w:val="28"/>
                          <w:szCs w:val="28"/>
                        </w:rPr>
                        <w:t xml:space="preserve"> 1</w:t>
                      </w:r>
                    </w:p>
                  </w:txbxContent>
                </v:textbox>
                <w10:wrap type="square" anchory="page"/>
              </v:shape>
            </w:pict>
          </mc:Fallback>
        </mc:AlternateContent>
      </w:r>
      <w:r w:rsidR="00B83B64">
        <w:rPr>
          <w:color w:val="AA322F"/>
          <w:sz w:val="28"/>
        </w:rPr>
        <w:t>Summary of disclosure templates and tables</w:t>
      </w:r>
      <w:r w:rsidR="000301D4">
        <w:rPr>
          <w:rStyle w:val="FootnoteReference"/>
          <w:color w:val="AA322F"/>
          <w:sz w:val="28"/>
        </w:rPr>
        <w:footnoteReference w:id="1"/>
      </w:r>
    </w:p>
    <w:tbl>
      <w:tblPr>
        <w:tblW w:w="14429"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4"/>
        <w:gridCol w:w="4762"/>
        <w:gridCol w:w="1624"/>
        <w:gridCol w:w="1244"/>
        <w:gridCol w:w="1134"/>
        <w:gridCol w:w="1134"/>
        <w:gridCol w:w="1276"/>
        <w:gridCol w:w="1101"/>
      </w:tblGrid>
      <w:tr w:rsidR="003A6273" w14:paraId="09D264D0" w14:textId="77777777" w:rsidTr="006447B4">
        <w:trPr>
          <w:cantSplit/>
          <w:trHeight w:val="244"/>
          <w:tblHeader/>
        </w:trPr>
        <w:tc>
          <w:tcPr>
            <w:tcW w:w="2154" w:type="dxa"/>
            <w:vMerge w:val="restart"/>
            <w:tcBorders>
              <w:top w:val="single" w:sz="12" w:space="0" w:color="auto"/>
              <w:left w:val="nil"/>
              <w:bottom w:val="single" w:sz="12" w:space="0" w:color="auto"/>
              <w:right w:val="single" w:sz="12" w:space="0" w:color="auto"/>
            </w:tcBorders>
            <w:shd w:val="clear" w:color="auto" w:fill="BFBFBF"/>
            <w:vAlign w:val="center"/>
          </w:tcPr>
          <w:p w14:paraId="1FDAFE9B" w14:textId="77777777" w:rsidR="003A6273" w:rsidRDefault="003A6273">
            <w:pPr>
              <w:tabs>
                <w:tab w:val="left" w:pos="794"/>
              </w:tabs>
              <w:jc w:val="center"/>
              <w:rPr>
                <w:rFonts w:cs="Segoe UI"/>
                <w:b/>
                <w:lang w:eastAsia="en-GB"/>
              </w:rPr>
            </w:pPr>
            <w:r>
              <w:rPr>
                <w:rFonts w:cs="Segoe UI"/>
                <w:b/>
                <w:lang w:eastAsia="en-GB"/>
              </w:rPr>
              <w:t>Disclosure requirement</w:t>
            </w:r>
          </w:p>
        </w:tc>
        <w:tc>
          <w:tcPr>
            <w:tcW w:w="4762" w:type="dxa"/>
            <w:vMerge w:val="restart"/>
            <w:tcBorders>
              <w:top w:val="single" w:sz="12" w:space="0" w:color="auto"/>
              <w:left w:val="single" w:sz="12" w:space="0" w:color="auto"/>
              <w:right w:val="single" w:sz="12" w:space="0" w:color="auto"/>
            </w:tcBorders>
            <w:shd w:val="clear" w:color="auto" w:fill="BFBFBF"/>
            <w:vAlign w:val="center"/>
          </w:tcPr>
          <w:p w14:paraId="2F663582" w14:textId="4C7E283B" w:rsidR="003A6273" w:rsidRDefault="003A6273" w:rsidP="00433A54">
            <w:pPr>
              <w:tabs>
                <w:tab w:val="left" w:pos="794"/>
              </w:tabs>
              <w:jc w:val="center"/>
              <w:rPr>
                <w:rFonts w:cs="Segoe UI"/>
                <w:b/>
                <w:lang w:eastAsia="en-GB"/>
              </w:rPr>
            </w:pPr>
            <w:r>
              <w:rPr>
                <w:rFonts w:cs="Segoe UI"/>
                <w:b/>
                <w:lang w:eastAsia="en-GB"/>
              </w:rPr>
              <w:t>Tables and templates</w:t>
            </w:r>
          </w:p>
        </w:tc>
        <w:tc>
          <w:tcPr>
            <w:tcW w:w="1624" w:type="dxa"/>
            <w:vMerge w:val="restart"/>
            <w:tcBorders>
              <w:top w:val="single" w:sz="12" w:space="0" w:color="auto"/>
              <w:left w:val="single" w:sz="12" w:space="0" w:color="auto"/>
              <w:right w:val="single" w:sz="12" w:space="0" w:color="auto"/>
            </w:tcBorders>
            <w:shd w:val="clear" w:color="auto" w:fill="BFBFBF"/>
            <w:vAlign w:val="center"/>
          </w:tcPr>
          <w:p w14:paraId="79991E2C" w14:textId="77777777" w:rsidR="003A6273" w:rsidRDefault="003A6273" w:rsidP="005001D9">
            <w:pPr>
              <w:jc w:val="center"/>
              <w:rPr>
                <w:rFonts w:cs="Segoe UI"/>
                <w:b/>
                <w:lang w:eastAsia="en-GB"/>
              </w:rPr>
            </w:pPr>
            <w:r>
              <w:rPr>
                <w:rFonts w:cs="Segoe UI"/>
                <w:b/>
                <w:lang w:eastAsia="en-GB"/>
              </w:rPr>
              <w:t>Applicability</w:t>
            </w:r>
            <w:r>
              <w:rPr>
                <w:rStyle w:val="FootnoteReference"/>
                <w:b/>
                <w:lang w:eastAsia="en-GB"/>
              </w:rPr>
              <w:footnoteReference w:id="2"/>
            </w:r>
          </w:p>
        </w:tc>
        <w:tc>
          <w:tcPr>
            <w:tcW w:w="2378" w:type="dxa"/>
            <w:gridSpan w:val="2"/>
            <w:tcBorders>
              <w:top w:val="single" w:sz="12" w:space="0" w:color="auto"/>
              <w:left w:val="single" w:sz="12" w:space="0" w:color="auto"/>
              <w:bottom w:val="single" w:sz="12" w:space="0" w:color="auto"/>
              <w:right w:val="single" w:sz="12" w:space="0" w:color="auto"/>
            </w:tcBorders>
            <w:shd w:val="clear" w:color="auto" w:fill="BFBFBF"/>
            <w:vAlign w:val="center"/>
          </w:tcPr>
          <w:p w14:paraId="02277B32" w14:textId="77777777" w:rsidR="003A6273" w:rsidRDefault="003A6273">
            <w:pPr>
              <w:jc w:val="center"/>
              <w:rPr>
                <w:rFonts w:cs="Segoe UI"/>
                <w:b/>
                <w:lang w:eastAsia="en-GB"/>
              </w:rPr>
            </w:pPr>
            <w:r>
              <w:rPr>
                <w:rFonts w:cs="Segoe UI"/>
                <w:b/>
                <w:lang w:eastAsia="en-GB"/>
              </w:rPr>
              <w:t>Format</w:t>
            </w:r>
          </w:p>
        </w:tc>
        <w:tc>
          <w:tcPr>
            <w:tcW w:w="3511" w:type="dxa"/>
            <w:gridSpan w:val="3"/>
            <w:tcBorders>
              <w:top w:val="single" w:sz="12" w:space="0" w:color="auto"/>
              <w:left w:val="single" w:sz="12" w:space="0" w:color="auto"/>
              <w:bottom w:val="single" w:sz="12" w:space="0" w:color="auto"/>
              <w:right w:val="single" w:sz="12" w:space="0" w:color="auto"/>
            </w:tcBorders>
            <w:shd w:val="clear" w:color="auto" w:fill="BFBFBF"/>
            <w:vAlign w:val="center"/>
          </w:tcPr>
          <w:p w14:paraId="3FADCE5C" w14:textId="77777777" w:rsidR="003A6273" w:rsidRDefault="003A6273">
            <w:pPr>
              <w:jc w:val="center"/>
              <w:rPr>
                <w:rFonts w:cs="Segoe UI"/>
                <w:b/>
                <w:lang w:eastAsia="en-GB"/>
              </w:rPr>
            </w:pPr>
            <w:r>
              <w:rPr>
                <w:rFonts w:cs="Segoe UI"/>
                <w:b/>
                <w:lang w:eastAsia="en-GB"/>
              </w:rPr>
              <w:t>Frequency of disclosure</w:t>
            </w:r>
          </w:p>
        </w:tc>
      </w:tr>
      <w:tr w:rsidR="003A6273" w14:paraId="5F33E861" w14:textId="77777777" w:rsidTr="003A6273">
        <w:trPr>
          <w:cantSplit/>
          <w:trHeight w:val="283"/>
          <w:tblHeader/>
        </w:trPr>
        <w:tc>
          <w:tcPr>
            <w:tcW w:w="2154" w:type="dxa"/>
            <w:vMerge/>
            <w:tcBorders>
              <w:left w:val="nil"/>
              <w:bottom w:val="single" w:sz="12" w:space="0" w:color="auto"/>
              <w:right w:val="single" w:sz="12" w:space="0" w:color="auto"/>
            </w:tcBorders>
            <w:shd w:val="clear" w:color="auto" w:fill="BFBFBF"/>
          </w:tcPr>
          <w:p w14:paraId="67722B52" w14:textId="77777777" w:rsidR="003A6273" w:rsidRDefault="003A6273">
            <w:pPr>
              <w:tabs>
                <w:tab w:val="left" w:pos="794"/>
              </w:tabs>
              <w:jc w:val="center"/>
              <w:rPr>
                <w:rFonts w:cs="Segoe UI"/>
                <w:b/>
                <w:lang w:eastAsia="en-GB"/>
              </w:rPr>
            </w:pPr>
          </w:p>
        </w:tc>
        <w:tc>
          <w:tcPr>
            <w:tcW w:w="4762" w:type="dxa"/>
            <w:vMerge/>
            <w:tcBorders>
              <w:left w:val="single" w:sz="12" w:space="0" w:color="auto"/>
              <w:bottom w:val="single" w:sz="12" w:space="0" w:color="auto"/>
              <w:right w:val="single" w:sz="12" w:space="0" w:color="auto"/>
            </w:tcBorders>
            <w:shd w:val="clear" w:color="auto" w:fill="BFBFBF"/>
            <w:vAlign w:val="center"/>
          </w:tcPr>
          <w:p w14:paraId="21F4C5A1" w14:textId="77777777" w:rsidR="003A6273" w:rsidRDefault="003A6273">
            <w:pPr>
              <w:tabs>
                <w:tab w:val="left" w:pos="794"/>
              </w:tabs>
              <w:jc w:val="center"/>
              <w:rPr>
                <w:rFonts w:cs="Segoe UI"/>
                <w:b/>
                <w:lang w:eastAsia="en-GB"/>
              </w:rPr>
            </w:pPr>
          </w:p>
        </w:tc>
        <w:tc>
          <w:tcPr>
            <w:tcW w:w="1624" w:type="dxa"/>
            <w:vMerge/>
            <w:tcBorders>
              <w:left w:val="single" w:sz="12" w:space="0" w:color="auto"/>
              <w:bottom w:val="single" w:sz="12" w:space="0" w:color="auto"/>
              <w:right w:val="single" w:sz="12" w:space="0" w:color="auto"/>
            </w:tcBorders>
            <w:shd w:val="clear" w:color="auto" w:fill="BFBFBF"/>
            <w:vAlign w:val="center"/>
          </w:tcPr>
          <w:p w14:paraId="48D1C5E9" w14:textId="77777777" w:rsidR="003A6273" w:rsidRDefault="003A6273">
            <w:pPr>
              <w:jc w:val="center"/>
              <w:rPr>
                <w:rFonts w:cs="Segoe UI"/>
                <w:b/>
                <w:lang w:eastAsia="en-GB"/>
              </w:rPr>
            </w:pPr>
          </w:p>
        </w:tc>
        <w:tc>
          <w:tcPr>
            <w:tcW w:w="1244" w:type="dxa"/>
            <w:tcBorders>
              <w:top w:val="single" w:sz="12" w:space="0" w:color="auto"/>
              <w:left w:val="single" w:sz="12" w:space="0" w:color="auto"/>
              <w:bottom w:val="single" w:sz="12" w:space="0" w:color="auto"/>
            </w:tcBorders>
            <w:shd w:val="clear" w:color="auto" w:fill="BFBFBF"/>
            <w:vAlign w:val="center"/>
          </w:tcPr>
          <w:p w14:paraId="32A258DB" w14:textId="77777777" w:rsidR="003A6273" w:rsidRDefault="003A6273">
            <w:pPr>
              <w:jc w:val="center"/>
              <w:rPr>
                <w:rFonts w:cs="Segoe UI"/>
                <w:b/>
                <w:lang w:eastAsia="en-GB"/>
              </w:rPr>
            </w:pPr>
            <w:r>
              <w:rPr>
                <w:rFonts w:cs="Segoe UI"/>
                <w:b/>
                <w:lang w:eastAsia="en-GB"/>
              </w:rPr>
              <w:t>Fixed</w:t>
            </w:r>
          </w:p>
        </w:tc>
        <w:tc>
          <w:tcPr>
            <w:tcW w:w="1134" w:type="dxa"/>
            <w:tcBorders>
              <w:top w:val="single" w:sz="12" w:space="0" w:color="auto"/>
              <w:bottom w:val="single" w:sz="12" w:space="0" w:color="auto"/>
              <w:right w:val="single" w:sz="12" w:space="0" w:color="auto"/>
            </w:tcBorders>
            <w:shd w:val="clear" w:color="auto" w:fill="BFBFBF"/>
            <w:vAlign w:val="center"/>
          </w:tcPr>
          <w:p w14:paraId="1937A1E7" w14:textId="77777777" w:rsidR="003A6273" w:rsidRDefault="003A6273">
            <w:pPr>
              <w:jc w:val="center"/>
              <w:rPr>
                <w:rFonts w:cs="Segoe UI"/>
                <w:b/>
                <w:lang w:eastAsia="en-GB"/>
              </w:rPr>
            </w:pPr>
            <w:r>
              <w:rPr>
                <w:rFonts w:cs="Segoe UI"/>
                <w:b/>
                <w:lang w:eastAsia="en-GB"/>
              </w:rPr>
              <w:t>Flexible</w:t>
            </w:r>
          </w:p>
        </w:tc>
        <w:tc>
          <w:tcPr>
            <w:tcW w:w="1134" w:type="dxa"/>
            <w:tcBorders>
              <w:top w:val="single" w:sz="12" w:space="0" w:color="auto"/>
              <w:left w:val="single" w:sz="12" w:space="0" w:color="auto"/>
              <w:bottom w:val="single" w:sz="12" w:space="0" w:color="auto"/>
            </w:tcBorders>
            <w:shd w:val="clear" w:color="auto" w:fill="BFBFBF"/>
            <w:vAlign w:val="center"/>
          </w:tcPr>
          <w:p w14:paraId="064AD451" w14:textId="77777777" w:rsidR="003A6273" w:rsidRDefault="003A6273">
            <w:pPr>
              <w:jc w:val="center"/>
              <w:rPr>
                <w:rFonts w:cs="Segoe UI"/>
                <w:b/>
                <w:lang w:eastAsia="en-GB"/>
              </w:rPr>
            </w:pPr>
            <w:r>
              <w:rPr>
                <w:rFonts w:cs="Segoe UI"/>
                <w:b/>
                <w:lang w:eastAsia="en-GB"/>
              </w:rPr>
              <w:t>Quarterly</w:t>
            </w:r>
          </w:p>
        </w:tc>
        <w:tc>
          <w:tcPr>
            <w:tcW w:w="1276" w:type="dxa"/>
            <w:tcBorders>
              <w:top w:val="single" w:sz="12" w:space="0" w:color="auto"/>
              <w:bottom w:val="single" w:sz="12" w:space="0" w:color="auto"/>
            </w:tcBorders>
            <w:shd w:val="clear" w:color="auto" w:fill="BFBFBF"/>
            <w:vAlign w:val="center"/>
          </w:tcPr>
          <w:p w14:paraId="7FBFE025" w14:textId="77777777" w:rsidR="003A6273" w:rsidRDefault="003A6273">
            <w:pPr>
              <w:jc w:val="center"/>
              <w:rPr>
                <w:rFonts w:cs="Segoe UI"/>
                <w:b/>
                <w:lang w:eastAsia="en-GB"/>
              </w:rPr>
            </w:pPr>
            <w:r>
              <w:rPr>
                <w:rFonts w:cs="Segoe UI"/>
                <w:b/>
                <w:lang w:eastAsia="en-GB"/>
              </w:rPr>
              <w:t>Semi-</w:t>
            </w:r>
          </w:p>
          <w:p w14:paraId="7F06D889" w14:textId="77777777" w:rsidR="003A6273" w:rsidRDefault="003A6273">
            <w:pPr>
              <w:jc w:val="center"/>
              <w:rPr>
                <w:rFonts w:cs="Segoe UI"/>
                <w:b/>
                <w:lang w:eastAsia="en-GB"/>
              </w:rPr>
            </w:pPr>
            <w:r>
              <w:rPr>
                <w:rFonts w:cs="Segoe UI"/>
                <w:b/>
                <w:lang w:eastAsia="en-GB"/>
              </w:rPr>
              <w:t>annual</w:t>
            </w:r>
          </w:p>
        </w:tc>
        <w:tc>
          <w:tcPr>
            <w:tcW w:w="1101" w:type="dxa"/>
            <w:tcBorders>
              <w:top w:val="single" w:sz="12" w:space="0" w:color="auto"/>
              <w:bottom w:val="single" w:sz="12" w:space="0" w:color="auto"/>
              <w:right w:val="single" w:sz="12" w:space="0" w:color="auto"/>
            </w:tcBorders>
            <w:shd w:val="clear" w:color="auto" w:fill="BFBFBF"/>
            <w:vAlign w:val="center"/>
          </w:tcPr>
          <w:p w14:paraId="44ADEB97" w14:textId="77777777" w:rsidR="003A6273" w:rsidRDefault="003A6273">
            <w:pPr>
              <w:jc w:val="center"/>
              <w:rPr>
                <w:rFonts w:cs="Segoe UI"/>
                <w:b/>
                <w:lang w:eastAsia="en-GB"/>
              </w:rPr>
            </w:pPr>
            <w:r>
              <w:rPr>
                <w:rFonts w:cs="Segoe UI"/>
                <w:b/>
                <w:lang w:eastAsia="en-GB"/>
              </w:rPr>
              <w:t>Annual</w:t>
            </w:r>
          </w:p>
        </w:tc>
      </w:tr>
      <w:tr w:rsidR="003A6273" w14:paraId="42EB9AB0" w14:textId="77777777" w:rsidTr="00433A54">
        <w:trPr>
          <w:cantSplit/>
          <w:trHeight w:val="283"/>
        </w:trPr>
        <w:tc>
          <w:tcPr>
            <w:tcW w:w="2154" w:type="dxa"/>
            <w:vMerge w:val="restart"/>
            <w:tcBorders>
              <w:top w:val="single" w:sz="12" w:space="0" w:color="auto"/>
              <w:left w:val="nil"/>
              <w:right w:val="single" w:sz="12" w:space="0" w:color="auto"/>
            </w:tcBorders>
          </w:tcPr>
          <w:p w14:paraId="6566B9FC" w14:textId="77777777" w:rsidR="003A6273" w:rsidRDefault="003A6273" w:rsidP="001B61CF">
            <w:pPr>
              <w:rPr>
                <w:rFonts w:cs="Segoe UI"/>
                <w:lang w:eastAsia="en-GB"/>
              </w:rPr>
            </w:pPr>
            <w:r>
              <w:rPr>
                <w:rFonts w:cs="Segoe UI"/>
                <w:lang w:eastAsia="en-GB"/>
              </w:rPr>
              <w:t xml:space="preserve">Part I : </w:t>
            </w:r>
            <w:r w:rsidRPr="005D7A74">
              <w:rPr>
                <w:rFonts w:cs="Segoe UI"/>
                <w:lang w:eastAsia="en-GB"/>
              </w:rPr>
              <w:t>Key prudential ratios,</w:t>
            </w:r>
            <w:r>
              <w:rPr>
                <w:rFonts w:cs="Segoe UI"/>
                <w:lang w:eastAsia="en-GB"/>
              </w:rPr>
              <w:t xml:space="preserve"> o</w:t>
            </w:r>
            <w:r w:rsidRPr="00F914B1">
              <w:rPr>
                <w:rFonts w:cs="Segoe UI"/>
                <w:lang w:eastAsia="en-GB"/>
              </w:rPr>
              <w:t>verview of risk management and RWA</w:t>
            </w:r>
            <w:r w:rsidDel="001B61CF">
              <w:rPr>
                <w:rFonts w:cs="Segoe UI"/>
                <w:lang w:eastAsia="en-GB"/>
              </w:rPr>
              <w:t xml:space="preserve"> </w:t>
            </w:r>
          </w:p>
        </w:tc>
        <w:tc>
          <w:tcPr>
            <w:tcW w:w="4762" w:type="dxa"/>
            <w:tcBorders>
              <w:top w:val="single" w:sz="12" w:space="0" w:color="auto"/>
              <w:left w:val="single" w:sz="12" w:space="0" w:color="auto"/>
              <w:bottom w:val="single" w:sz="4" w:space="0" w:color="auto"/>
              <w:right w:val="single" w:sz="12" w:space="0" w:color="auto"/>
            </w:tcBorders>
            <w:shd w:val="clear" w:color="auto" w:fill="auto"/>
          </w:tcPr>
          <w:p w14:paraId="30F9F634" w14:textId="77777777" w:rsidR="003A6273" w:rsidRDefault="003A6273">
            <w:pPr>
              <w:rPr>
                <w:rFonts w:cs="Segoe UI"/>
                <w:lang w:eastAsia="en-GB"/>
              </w:rPr>
            </w:pPr>
            <w:r>
              <w:rPr>
                <w:rFonts w:cs="Segoe UI"/>
                <w:lang w:eastAsia="en-GB"/>
              </w:rPr>
              <w:t>Table OVA: Overview of risk management</w:t>
            </w:r>
          </w:p>
        </w:tc>
        <w:tc>
          <w:tcPr>
            <w:tcW w:w="1624" w:type="dxa"/>
            <w:tcBorders>
              <w:top w:val="single" w:sz="12" w:space="0" w:color="auto"/>
              <w:left w:val="single" w:sz="12" w:space="0" w:color="auto"/>
              <w:bottom w:val="single" w:sz="4" w:space="0" w:color="auto"/>
              <w:right w:val="single" w:sz="12" w:space="0" w:color="auto"/>
            </w:tcBorders>
            <w:shd w:val="clear" w:color="auto" w:fill="auto"/>
            <w:vAlign w:val="center"/>
          </w:tcPr>
          <w:p w14:paraId="08A48B58" w14:textId="77777777" w:rsidR="003A6273" w:rsidRPr="00EE6B38" w:rsidRDefault="003A6273">
            <w:pPr>
              <w:jc w:val="center"/>
              <w:rPr>
                <w:rFonts w:eastAsiaTheme="minorEastAsia" w:cs="Segoe UI"/>
                <w:lang w:eastAsia="zh-TW"/>
              </w:rPr>
            </w:pPr>
            <w:r w:rsidRPr="009A68E3">
              <w:rPr>
                <w:rFonts w:cs="Segoe UI"/>
                <w:noProof/>
                <w:lang w:eastAsia="en-GB"/>
              </w:rPr>
              <w:t>L</w:t>
            </w:r>
          </w:p>
        </w:tc>
        <w:tc>
          <w:tcPr>
            <w:tcW w:w="1244" w:type="dxa"/>
            <w:tcBorders>
              <w:top w:val="single" w:sz="12" w:space="0" w:color="auto"/>
              <w:left w:val="single" w:sz="12" w:space="0" w:color="auto"/>
              <w:bottom w:val="single" w:sz="4" w:space="0" w:color="auto"/>
            </w:tcBorders>
            <w:shd w:val="clear" w:color="auto" w:fill="auto"/>
            <w:vAlign w:val="center"/>
          </w:tcPr>
          <w:p w14:paraId="2B827076" w14:textId="77777777" w:rsidR="003A6273" w:rsidRDefault="003A6273">
            <w:pPr>
              <w:rPr>
                <w:rFonts w:cs="Segoe UI"/>
                <w:lang w:eastAsia="en-GB"/>
              </w:rPr>
            </w:pPr>
          </w:p>
        </w:tc>
        <w:tc>
          <w:tcPr>
            <w:tcW w:w="1134" w:type="dxa"/>
            <w:tcBorders>
              <w:top w:val="single" w:sz="12" w:space="0" w:color="auto"/>
              <w:bottom w:val="single" w:sz="4" w:space="0" w:color="auto"/>
              <w:right w:val="single" w:sz="12" w:space="0" w:color="auto"/>
            </w:tcBorders>
            <w:shd w:val="clear" w:color="auto" w:fill="auto"/>
            <w:vAlign w:val="center"/>
          </w:tcPr>
          <w:p w14:paraId="46211747" w14:textId="77777777" w:rsidR="003A6273" w:rsidRDefault="003A6273">
            <w:pPr>
              <w:jc w:val="center"/>
              <w:rPr>
                <w:rFonts w:cs="Segoe UI"/>
                <w:noProof/>
                <w:lang w:eastAsia="en-GB"/>
              </w:rPr>
            </w:pPr>
            <w:r>
              <w:rPr>
                <w:rFonts w:cs="Segoe UI"/>
                <w:lang w:eastAsia="en-GB"/>
              </w:rPr>
              <w:sym w:font="Wingdings 2" w:char="F050"/>
            </w:r>
          </w:p>
        </w:tc>
        <w:tc>
          <w:tcPr>
            <w:tcW w:w="1134" w:type="dxa"/>
            <w:tcBorders>
              <w:top w:val="single" w:sz="12" w:space="0" w:color="auto"/>
              <w:left w:val="single" w:sz="12" w:space="0" w:color="auto"/>
              <w:bottom w:val="single" w:sz="4" w:space="0" w:color="auto"/>
            </w:tcBorders>
            <w:shd w:val="clear" w:color="auto" w:fill="auto"/>
            <w:vAlign w:val="center"/>
          </w:tcPr>
          <w:p w14:paraId="7E86E721" w14:textId="77777777" w:rsidR="003A6273" w:rsidRDefault="003A6273">
            <w:pPr>
              <w:rPr>
                <w:rFonts w:cs="Segoe UI"/>
                <w:lang w:eastAsia="en-GB"/>
              </w:rPr>
            </w:pPr>
          </w:p>
        </w:tc>
        <w:tc>
          <w:tcPr>
            <w:tcW w:w="1276" w:type="dxa"/>
            <w:tcBorders>
              <w:top w:val="single" w:sz="12" w:space="0" w:color="auto"/>
              <w:bottom w:val="single" w:sz="4" w:space="0" w:color="auto"/>
            </w:tcBorders>
            <w:shd w:val="clear" w:color="auto" w:fill="auto"/>
            <w:vAlign w:val="center"/>
          </w:tcPr>
          <w:p w14:paraId="185DC78A" w14:textId="77777777" w:rsidR="003A6273" w:rsidRDefault="003A6273">
            <w:pPr>
              <w:rPr>
                <w:rFonts w:cs="Segoe UI"/>
                <w:lang w:eastAsia="en-GB"/>
              </w:rPr>
            </w:pPr>
          </w:p>
        </w:tc>
        <w:tc>
          <w:tcPr>
            <w:tcW w:w="1101" w:type="dxa"/>
            <w:tcBorders>
              <w:top w:val="single" w:sz="12" w:space="0" w:color="auto"/>
              <w:bottom w:val="single" w:sz="4" w:space="0" w:color="auto"/>
              <w:right w:val="single" w:sz="12" w:space="0" w:color="auto"/>
            </w:tcBorders>
            <w:shd w:val="clear" w:color="auto" w:fill="auto"/>
            <w:vAlign w:val="center"/>
          </w:tcPr>
          <w:p w14:paraId="60BCB7FF" w14:textId="77777777" w:rsidR="003A6273" w:rsidRDefault="003A6273">
            <w:pPr>
              <w:jc w:val="center"/>
              <w:rPr>
                <w:rFonts w:cs="Segoe UI"/>
                <w:noProof/>
                <w:lang w:eastAsia="en-GB"/>
              </w:rPr>
            </w:pPr>
            <w:r>
              <w:rPr>
                <w:rFonts w:cs="Segoe UI"/>
                <w:lang w:eastAsia="en-GB"/>
              </w:rPr>
              <w:sym w:font="Wingdings 2" w:char="F050"/>
            </w:r>
          </w:p>
        </w:tc>
      </w:tr>
      <w:tr w:rsidR="003A6273" w14:paraId="18310858" w14:textId="77777777" w:rsidTr="003A6273">
        <w:trPr>
          <w:cantSplit/>
          <w:trHeight w:val="283"/>
        </w:trPr>
        <w:tc>
          <w:tcPr>
            <w:tcW w:w="2154" w:type="dxa"/>
            <w:vMerge/>
            <w:tcBorders>
              <w:top w:val="single" w:sz="12" w:space="0" w:color="auto"/>
              <w:left w:val="nil"/>
              <w:right w:val="single" w:sz="12" w:space="0" w:color="auto"/>
            </w:tcBorders>
          </w:tcPr>
          <w:p w14:paraId="639A1EBD" w14:textId="77777777" w:rsidR="003A6273" w:rsidRDefault="003A6273" w:rsidP="001B61CF">
            <w:pPr>
              <w:rPr>
                <w:rFonts w:cs="Segoe UI"/>
                <w:lang w:eastAsia="en-GB"/>
              </w:rPr>
            </w:pPr>
          </w:p>
        </w:tc>
        <w:tc>
          <w:tcPr>
            <w:tcW w:w="4762" w:type="dxa"/>
            <w:tcBorders>
              <w:top w:val="single" w:sz="4" w:space="0" w:color="auto"/>
              <w:left w:val="single" w:sz="12" w:space="0" w:color="auto"/>
              <w:bottom w:val="single" w:sz="4" w:space="0" w:color="auto"/>
              <w:right w:val="single" w:sz="12" w:space="0" w:color="auto"/>
            </w:tcBorders>
            <w:shd w:val="clear" w:color="auto" w:fill="auto"/>
          </w:tcPr>
          <w:p w14:paraId="2A9A1978" w14:textId="77777777" w:rsidR="003A6273" w:rsidRDefault="003A6273">
            <w:pPr>
              <w:rPr>
                <w:rFonts w:cs="Segoe UI"/>
                <w:lang w:eastAsia="en-GB"/>
              </w:rPr>
            </w:pPr>
            <w:r>
              <w:rPr>
                <w:rFonts w:cs="Segoe UI"/>
                <w:lang w:eastAsia="en-GB"/>
              </w:rPr>
              <w:t>Template</w:t>
            </w:r>
            <w:r w:rsidRPr="00F914B1">
              <w:rPr>
                <w:rFonts w:cs="Segoe UI"/>
                <w:lang w:eastAsia="en-GB"/>
              </w:rPr>
              <w:t xml:space="preserve"> </w:t>
            </w:r>
            <w:r w:rsidRPr="003C0ABE">
              <w:rPr>
                <w:rFonts w:cs="Segoe UI"/>
                <w:lang w:eastAsia="en-GB"/>
              </w:rPr>
              <w:t>KM1</w:t>
            </w:r>
            <w:r>
              <w:rPr>
                <w:rFonts w:cs="Segoe UI"/>
                <w:lang w:eastAsia="en-GB"/>
              </w:rPr>
              <w:t xml:space="preserve">: </w:t>
            </w:r>
            <w:r w:rsidRPr="00E630AD">
              <w:rPr>
                <w:rFonts w:cs="Segoe UI"/>
                <w:lang w:eastAsia="en-GB"/>
              </w:rPr>
              <w:t>Key prudential ratios</w:t>
            </w:r>
          </w:p>
        </w:tc>
        <w:tc>
          <w:tcPr>
            <w:tcW w:w="1624" w:type="dxa"/>
            <w:tcBorders>
              <w:top w:val="single" w:sz="4" w:space="0" w:color="auto"/>
              <w:left w:val="single" w:sz="12" w:space="0" w:color="auto"/>
              <w:bottom w:val="single" w:sz="4" w:space="0" w:color="auto"/>
              <w:right w:val="single" w:sz="12" w:space="0" w:color="auto"/>
            </w:tcBorders>
            <w:shd w:val="clear" w:color="auto" w:fill="auto"/>
            <w:vAlign w:val="center"/>
          </w:tcPr>
          <w:p w14:paraId="658A0B34" w14:textId="77777777" w:rsidR="003A6273" w:rsidDel="001B61CF" w:rsidRDefault="003A6273">
            <w:pPr>
              <w:jc w:val="center"/>
              <w:rPr>
                <w:rFonts w:cs="Segoe UI"/>
                <w:noProof/>
                <w:lang w:eastAsia="en-GB"/>
              </w:rPr>
            </w:pPr>
            <w:r w:rsidRPr="003936F9">
              <w:rPr>
                <w:rFonts w:cs="Segoe UI" w:hint="eastAsia"/>
                <w:noProof/>
                <w:lang w:eastAsia="en-GB"/>
              </w:rPr>
              <w:t>L</w:t>
            </w:r>
          </w:p>
        </w:tc>
        <w:tc>
          <w:tcPr>
            <w:tcW w:w="1244" w:type="dxa"/>
            <w:tcBorders>
              <w:top w:val="single" w:sz="4" w:space="0" w:color="auto"/>
              <w:left w:val="single" w:sz="12" w:space="0" w:color="auto"/>
              <w:bottom w:val="single" w:sz="4" w:space="0" w:color="auto"/>
            </w:tcBorders>
            <w:shd w:val="clear" w:color="auto" w:fill="auto"/>
            <w:vAlign w:val="center"/>
          </w:tcPr>
          <w:p w14:paraId="7BDCBB1B" w14:textId="77777777" w:rsidR="003A6273" w:rsidRDefault="003A6273" w:rsidP="009A68E3">
            <w:pPr>
              <w:jc w:val="center"/>
              <w:rPr>
                <w:rFonts w:cs="Segoe UI"/>
                <w:lang w:eastAsia="en-GB"/>
              </w:rPr>
            </w:pPr>
            <w:r>
              <w:rPr>
                <w:rFonts w:cs="Segoe UI"/>
                <w:lang w:eastAsia="en-GB"/>
              </w:rPr>
              <w:sym w:font="Wingdings 2" w:char="F050"/>
            </w:r>
          </w:p>
        </w:tc>
        <w:tc>
          <w:tcPr>
            <w:tcW w:w="1134" w:type="dxa"/>
            <w:tcBorders>
              <w:top w:val="single" w:sz="4" w:space="0" w:color="auto"/>
              <w:bottom w:val="single" w:sz="4" w:space="0" w:color="auto"/>
              <w:right w:val="single" w:sz="12" w:space="0" w:color="auto"/>
            </w:tcBorders>
            <w:shd w:val="clear" w:color="auto" w:fill="auto"/>
            <w:vAlign w:val="center"/>
          </w:tcPr>
          <w:p w14:paraId="5E02E641" w14:textId="77777777" w:rsidR="003A6273" w:rsidRDefault="003A6273">
            <w:pPr>
              <w:jc w:val="center"/>
              <w:rPr>
                <w:rFonts w:cs="Segoe UI"/>
                <w:lang w:eastAsia="en-GB"/>
              </w:rPr>
            </w:pPr>
          </w:p>
        </w:tc>
        <w:tc>
          <w:tcPr>
            <w:tcW w:w="1134" w:type="dxa"/>
            <w:tcBorders>
              <w:top w:val="single" w:sz="4" w:space="0" w:color="auto"/>
              <w:left w:val="single" w:sz="12" w:space="0" w:color="auto"/>
              <w:bottom w:val="single" w:sz="4" w:space="0" w:color="auto"/>
            </w:tcBorders>
            <w:shd w:val="clear" w:color="auto" w:fill="auto"/>
            <w:vAlign w:val="center"/>
          </w:tcPr>
          <w:p w14:paraId="304837BC" w14:textId="77777777" w:rsidR="003A6273" w:rsidRDefault="003A6273" w:rsidP="009A68E3">
            <w:pPr>
              <w:jc w:val="center"/>
              <w:rPr>
                <w:rFonts w:cs="Segoe UI"/>
                <w:lang w:eastAsia="en-GB"/>
              </w:rPr>
            </w:pPr>
            <w:r>
              <w:rPr>
                <w:rFonts w:cs="Segoe UI"/>
                <w:lang w:eastAsia="en-GB"/>
              </w:rPr>
              <w:sym w:font="Wingdings 2" w:char="F050"/>
            </w:r>
          </w:p>
        </w:tc>
        <w:tc>
          <w:tcPr>
            <w:tcW w:w="1276" w:type="dxa"/>
            <w:tcBorders>
              <w:top w:val="single" w:sz="4" w:space="0" w:color="auto"/>
              <w:bottom w:val="single" w:sz="4" w:space="0" w:color="auto"/>
            </w:tcBorders>
            <w:shd w:val="clear" w:color="auto" w:fill="auto"/>
            <w:vAlign w:val="center"/>
          </w:tcPr>
          <w:p w14:paraId="5D8F0541" w14:textId="77777777" w:rsidR="003A6273" w:rsidRDefault="003A6273">
            <w:pPr>
              <w:rPr>
                <w:rFonts w:cs="Segoe UI"/>
                <w:lang w:eastAsia="en-GB"/>
              </w:rPr>
            </w:pPr>
          </w:p>
        </w:tc>
        <w:tc>
          <w:tcPr>
            <w:tcW w:w="1101" w:type="dxa"/>
            <w:tcBorders>
              <w:top w:val="single" w:sz="4" w:space="0" w:color="auto"/>
              <w:bottom w:val="single" w:sz="4" w:space="0" w:color="auto"/>
              <w:right w:val="single" w:sz="12" w:space="0" w:color="auto"/>
            </w:tcBorders>
            <w:shd w:val="clear" w:color="auto" w:fill="auto"/>
            <w:vAlign w:val="center"/>
          </w:tcPr>
          <w:p w14:paraId="52C98646" w14:textId="77777777" w:rsidR="003A6273" w:rsidRDefault="003A6273">
            <w:pPr>
              <w:jc w:val="center"/>
              <w:rPr>
                <w:rFonts w:cs="Segoe UI"/>
                <w:lang w:eastAsia="en-GB"/>
              </w:rPr>
            </w:pPr>
          </w:p>
        </w:tc>
      </w:tr>
      <w:tr w:rsidR="003A6273" w14:paraId="0A5144C0" w14:textId="77777777" w:rsidTr="003A6273">
        <w:trPr>
          <w:cantSplit/>
          <w:trHeight w:val="283"/>
        </w:trPr>
        <w:tc>
          <w:tcPr>
            <w:tcW w:w="2154" w:type="dxa"/>
            <w:vMerge/>
            <w:tcBorders>
              <w:left w:val="nil"/>
              <w:bottom w:val="single" w:sz="12" w:space="0" w:color="auto"/>
              <w:right w:val="single" w:sz="12" w:space="0" w:color="auto"/>
            </w:tcBorders>
          </w:tcPr>
          <w:p w14:paraId="2C19D470" w14:textId="77777777" w:rsidR="003A6273" w:rsidRDefault="003A6273">
            <w:pPr>
              <w:rPr>
                <w:rFonts w:cs="Segoe UI"/>
                <w:lang w:eastAsia="en-GB"/>
              </w:rPr>
            </w:pPr>
          </w:p>
        </w:tc>
        <w:tc>
          <w:tcPr>
            <w:tcW w:w="4762" w:type="dxa"/>
            <w:tcBorders>
              <w:top w:val="single" w:sz="4" w:space="0" w:color="auto"/>
              <w:left w:val="single" w:sz="12" w:space="0" w:color="auto"/>
              <w:bottom w:val="single" w:sz="12" w:space="0" w:color="auto"/>
              <w:right w:val="single" w:sz="12" w:space="0" w:color="auto"/>
            </w:tcBorders>
            <w:shd w:val="clear" w:color="auto" w:fill="auto"/>
          </w:tcPr>
          <w:p w14:paraId="75F79690" w14:textId="77777777" w:rsidR="003A6273" w:rsidRDefault="003A6273" w:rsidP="00BF2ECC">
            <w:pPr>
              <w:rPr>
                <w:rFonts w:cs="Segoe UI"/>
                <w:lang w:eastAsia="en-GB"/>
              </w:rPr>
            </w:pPr>
            <w:r>
              <w:rPr>
                <w:rFonts w:cs="Segoe UI"/>
                <w:lang w:eastAsia="en-GB"/>
              </w:rPr>
              <w:t xml:space="preserve">Template OV1: Overview of RWA </w:t>
            </w:r>
          </w:p>
        </w:tc>
        <w:tc>
          <w:tcPr>
            <w:tcW w:w="1624" w:type="dxa"/>
            <w:tcBorders>
              <w:top w:val="single" w:sz="4" w:space="0" w:color="auto"/>
              <w:left w:val="single" w:sz="12" w:space="0" w:color="auto"/>
              <w:bottom w:val="single" w:sz="12" w:space="0" w:color="auto"/>
              <w:right w:val="single" w:sz="12" w:space="0" w:color="auto"/>
            </w:tcBorders>
            <w:shd w:val="clear" w:color="auto" w:fill="auto"/>
          </w:tcPr>
          <w:p w14:paraId="6C5ADD3B" w14:textId="77777777" w:rsidR="003A6273" w:rsidRDefault="003A6273">
            <w:pPr>
              <w:jc w:val="center"/>
              <w:rPr>
                <w:rFonts w:cs="Segoe UI"/>
                <w:noProof/>
                <w:lang w:eastAsia="en-GB"/>
              </w:rPr>
            </w:pPr>
            <w:r w:rsidRPr="003936F9">
              <w:rPr>
                <w:rFonts w:cs="Segoe UI" w:hint="eastAsia"/>
                <w:noProof/>
                <w:lang w:eastAsia="en-GB"/>
              </w:rPr>
              <w:t>L</w:t>
            </w:r>
          </w:p>
        </w:tc>
        <w:tc>
          <w:tcPr>
            <w:tcW w:w="1244" w:type="dxa"/>
            <w:tcBorders>
              <w:top w:val="single" w:sz="4" w:space="0" w:color="auto"/>
              <w:left w:val="single" w:sz="12" w:space="0" w:color="auto"/>
              <w:bottom w:val="single" w:sz="12" w:space="0" w:color="auto"/>
            </w:tcBorders>
            <w:shd w:val="clear" w:color="auto" w:fill="auto"/>
          </w:tcPr>
          <w:p w14:paraId="74E618EA" w14:textId="77777777" w:rsidR="003A6273" w:rsidRDefault="003A6273">
            <w:pPr>
              <w:jc w:val="center"/>
              <w:rPr>
                <w:rFonts w:cs="Segoe UI"/>
                <w:noProof/>
                <w:lang w:eastAsia="en-GB"/>
              </w:rPr>
            </w:pPr>
            <w:r>
              <w:rPr>
                <w:rFonts w:cs="Segoe UI"/>
                <w:lang w:eastAsia="en-GB"/>
              </w:rPr>
              <w:sym w:font="Wingdings 2" w:char="F050"/>
            </w:r>
          </w:p>
        </w:tc>
        <w:tc>
          <w:tcPr>
            <w:tcW w:w="1134" w:type="dxa"/>
            <w:tcBorders>
              <w:top w:val="single" w:sz="4" w:space="0" w:color="auto"/>
              <w:bottom w:val="single" w:sz="12" w:space="0" w:color="auto"/>
              <w:right w:val="single" w:sz="12" w:space="0" w:color="auto"/>
            </w:tcBorders>
            <w:shd w:val="clear" w:color="auto" w:fill="auto"/>
          </w:tcPr>
          <w:p w14:paraId="3A56CC35" w14:textId="77777777" w:rsidR="003A6273" w:rsidRDefault="003A6273">
            <w:pPr>
              <w:jc w:val="center"/>
              <w:rPr>
                <w:rFonts w:cs="Segoe UI"/>
                <w:lang w:eastAsia="en-GB"/>
              </w:rPr>
            </w:pPr>
          </w:p>
        </w:tc>
        <w:tc>
          <w:tcPr>
            <w:tcW w:w="1134" w:type="dxa"/>
            <w:tcBorders>
              <w:top w:val="single" w:sz="4" w:space="0" w:color="auto"/>
              <w:left w:val="single" w:sz="12" w:space="0" w:color="auto"/>
              <w:bottom w:val="single" w:sz="12" w:space="0" w:color="auto"/>
            </w:tcBorders>
            <w:shd w:val="clear" w:color="auto" w:fill="auto"/>
          </w:tcPr>
          <w:p w14:paraId="2EE4E931" w14:textId="77777777" w:rsidR="003A6273" w:rsidRDefault="003A6273">
            <w:pPr>
              <w:jc w:val="center"/>
              <w:rPr>
                <w:rFonts w:cs="Segoe UI"/>
                <w:noProof/>
                <w:lang w:eastAsia="en-GB"/>
              </w:rPr>
            </w:pPr>
            <w:r>
              <w:rPr>
                <w:rFonts w:cs="Segoe UI"/>
                <w:lang w:eastAsia="en-GB"/>
              </w:rPr>
              <w:sym w:font="Wingdings 2" w:char="F050"/>
            </w:r>
          </w:p>
        </w:tc>
        <w:tc>
          <w:tcPr>
            <w:tcW w:w="1276" w:type="dxa"/>
            <w:tcBorders>
              <w:top w:val="single" w:sz="4" w:space="0" w:color="auto"/>
              <w:bottom w:val="single" w:sz="12" w:space="0" w:color="auto"/>
            </w:tcBorders>
            <w:shd w:val="clear" w:color="auto" w:fill="auto"/>
          </w:tcPr>
          <w:p w14:paraId="1ED2D1C6" w14:textId="77777777" w:rsidR="003A6273" w:rsidRDefault="003A6273">
            <w:pPr>
              <w:jc w:val="center"/>
              <w:rPr>
                <w:rFonts w:cs="Segoe UI"/>
                <w:lang w:eastAsia="en-GB"/>
              </w:rPr>
            </w:pPr>
          </w:p>
        </w:tc>
        <w:tc>
          <w:tcPr>
            <w:tcW w:w="1101" w:type="dxa"/>
            <w:tcBorders>
              <w:top w:val="single" w:sz="4" w:space="0" w:color="auto"/>
              <w:bottom w:val="single" w:sz="12" w:space="0" w:color="auto"/>
              <w:right w:val="single" w:sz="12" w:space="0" w:color="auto"/>
            </w:tcBorders>
            <w:shd w:val="clear" w:color="auto" w:fill="auto"/>
          </w:tcPr>
          <w:p w14:paraId="18C64BA9" w14:textId="77777777" w:rsidR="003A6273" w:rsidRDefault="003A6273">
            <w:pPr>
              <w:jc w:val="center"/>
              <w:rPr>
                <w:rFonts w:cs="Segoe UI"/>
                <w:lang w:eastAsia="en-GB"/>
              </w:rPr>
            </w:pPr>
          </w:p>
        </w:tc>
      </w:tr>
      <w:tr w:rsidR="003A6273" w14:paraId="51B405BA" w14:textId="77777777" w:rsidTr="002B652A">
        <w:trPr>
          <w:cantSplit/>
          <w:trHeight w:val="283"/>
        </w:trPr>
        <w:tc>
          <w:tcPr>
            <w:tcW w:w="2154" w:type="dxa"/>
            <w:vMerge w:val="restart"/>
            <w:tcBorders>
              <w:top w:val="single" w:sz="12" w:space="0" w:color="auto"/>
              <w:left w:val="nil"/>
              <w:right w:val="single" w:sz="12" w:space="0" w:color="auto"/>
            </w:tcBorders>
          </w:tcPr>
          <w:p w14:paraId="6AC72F9F" w14:textId="77777777" w:rsidR="003A6273" w:rsidRDefault="003A6273" w:rsidP="00C639E1">
            <w:pPr>
              <w:pStyle w:val="TableText"/>
              <w:spacing w:before="0" w:after="0"/>
              <w:rPr>
                <w:rFonts w:cs="Segoe UI"/>
                <w:sz w:val="20"/>
                <w:lang w:eastAsia="en-GB"/>
              </w:rPr>
            </w:pPr>
            <w:r>
              <w:rPr>
                <w:rFonts w:cs="Segoe UI"/>
                <w:sz w:val="20"/>
                <w:lang w:eastAsia="en-GB"/>
              </w:rPr>
              <w:t>Part II : Linkages between financial statements and regulatory exposures</w:t>
            </w:r>
          </w:p>
        </w:tc>
        <w:tc>
          <w:tcPr>
            <w:tcW w:w="4762" w:type="dxa"/>
            <w:tcBorders>
              <w:top w:val="single" w:sz="12" w:space="0" w:color="auto"/>
              <w:left w:val="single" w:sz="12" w:space="0" w:color="auto"/>
              <w:right w:val="single" w:sz="12" w:space="0" w:color="auto"/>
            </w:tcBorders>
            <w:shd w:val="clear" w:color="auto" w:fill="auto"/>
          </w:tcPr>
          <w:p w14:paraId="767AD79A" w14:textId="77777777" w:rsidR="003A6273" w:rsidRDefault="003A6273" w:rsidP="00C639E1">
            <w:pPr>
              <w:pStyle w:val="TableText"/>
              <w:spacing w:before="0" w:after="0"/>
              <w:rPr>
                <w:rFonts w:cs="Segoe UI"/>
                <w:sz w:val="20"/>
                <w:lang w:eastAsia="en-GB"/>
              </w:rPr>
            </w:pPr>
            <w:r>
              <w:rPr>
                <w:rFonts w:cs="Segoe UI"/>
                <w:sz w:val="20"/>
                <w:lang w:eastAsia="en-GB"/>
              </w:rPr>
              <w:t>Template LI1: Differences between accounting and regulatory scopes of consolidation and mapping of financial statement categories with regulatory risk categories</w:t>
            </w:r>
          </w:p>
        </w:tc>
        <w:tc>
          <w:tcPr>
            <w:tcW w:w="1624" w:type="dxa"/>
            <w:tcBorders>
              <w:top w:val="single" w:sz="12" w:space="0" w:color="auto"/>
              <w:left w:val="single" w:sz="12" w:space="0" w:color="auto"/>
              <w:bottom w:val="single" w:sz="4" w:space="0" w:color="auto"/>
              <w:right w:val="single" w:sz="12" w:space="0" w:color="auto"/>
            </w:tcBorders>
            <w:shd w:val="clear" w:color="auto" w:fill="auto"/>
          </w:tcPr>
          <w:p w14:paraId="6FC43409" w14:textId="77777777" w:rsidR="003A6273" w:rsidRDefault="003A6273" w:rsidP="00C639E1">
            <w:pPr>
              <w:pStyle w:val="TableText"/>
              <w:spacing w:before="0" w:after="0"/>
              <w:jc w:val="center"/>
              <w:rPr>
                <w:rFonts w:cs="Segoe UI"/>
                <w:sz w:val="20"/>
                <w:lang w:eastAsia="en-GB"/>
              </w:rPr>
            </w:pPr>
            <w:r w:rsidRPr="009A68E3">
              <w:rPr>
                <w:rFonts w:cs="Segoe UI"/>
                <w:noProof/>
                <w:sz w:val="20"/>
                <w:lang w:eastAsia="en-GB"/>
              </w:rPr>
              <w:t>L</w:t>
            </w:r>
          </w:p>
        </w:tc>
        <w:tc>
          <w:tcPr>
            <w:tcW w:w="1244" w:type="dxa"/>
            <w:tcBorders>
              <w:top w:val="single" w:sz="12" w:space="0" w:color="auto"/>
              <w:left w:val="single" w:sz="12" w:space="0" w:color="auto"/>
            </w:tcBorders>
            <w:shd w:val="clear" w:color="auto" w:fill="auto"/>
          </w:tcPr>
          <w:p w14:paraId="550D3082" w14:textId="77777777" w:rsidR="003A6273" w:rsidRDefault="003A6273" w:rsidP="00C639E1">
            <w:pPr>
              <w:pStyle w:val="TableText"/>
              <w:spacing w:before="0" w:after="0"/>
              <w:jc w:val="center"/>
              <w:rPr>
                <w:rFonts w:cs="Segoe UI"/>
                <w:sz w:val="20"/>
                <w:lang w:eastAsia="en-GB"/>
              </w:rPr>
            </w:pPr>
          </w:p>
        </w:tc>
        <w:tc>
          <w:tcPr>
            <w:tcW w:w="1134" w:type="dxa"/>
            <w:tcBorders>
              <w:top w:val="single" w:sz="12" w:space="0" w:color="auto"/>
              <w:right w:val="single" w:sz="12" w:space="0" w:color="auto"/>
            </w:tcBorders>
            <w:shd w:val="clear" w:color="auto" w:fill="auto"/>
          </w:tcPr>
          <w:p w14:paraId="760AD326"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top w:val="single" w:sz="12" w:space="0" w:color="auto"/>
              <w:left w:val="single" w:sz="12" w:space="0" w:color="auto"/>
            </w:tcBorders>
            <w:shd w:val="clear" w:color="auto" w:fill="auto"/>
          </w:tcPr>
          <w:p w14:paraId="1853568A" w14:textId="77777777" w:rsidR="003A6273" w:rsidRDefault="003A6273" w:rsidP="00C639E1">
            <w:pPr>
              <w:pStyle w:val="TableText"/>
              <w:spacing w:before="0" w:after="0"/>
              <w:jc w:val="center"/>
              <w:rPr>
                <w:rFonts w:cs="Segoe UI"/>
                <w:sz w:val="20"/>
                <w:lang w:eastAsia="en-GB"/>
              </w:rPr>
            </w:pPr>
          </w:p>
        </w:tc>
        <w:tc>
          <w:tcPr>
            <w:tcW w:w="1276" w:type="dxa"/>
            <w:tcBorders>
              <w:top w:val="single" w:sz="12" w:space="0" w:color="auto"/>
            </w:tcBorders>
            <w:shd w:val="clear" w:color="auto" w:fill="auto"/>
          </w:tcPr>
          <w:p w14:paraId="502B97D1" w14:textId="77777777" w:rsidR="003A6273" w:rsidRDefault="003A6273" w:rsidP="00C639E1">
            <w:pPr>
              <w:pStyle w:val="TableText"/>
              <w:spacing w:before="0" w:after="0"/>
              <w:jc w:val="center"/>
              <w:rPr>
                <w:rFonts w:cs="Segoe UI"/>
                <w:sz w:val="20"/>
                <w:lang w:eastAsia="en-GB"/>
              </w:rPr>
            </w:pPr>
          </w:p>
        </w:tc>
        <w:tc>
          <w:tcPr>
            <w:tcW w:w="1101" w:type="dxa"/>
            <w:tcBorders>
              <w:top w:val="single" w:sz="12" w:space="0" w:color="auto"/>
              <w:right w:val="single" w:sz="12" w:space="0" w:color="auto"/>
            </w:tcBorders>
            <w:shd w:val="clear" w:color="auto" w:fill="auto"/>
          </w:tcPr>
          <w:p w14:paraId="336C02CB"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r>
      <w:tr w:rsidR="003A6273" w14:paraId="5E77735B" w14:textId="77777777" w:rsidTr="002B652A">
        <w:trPr>
          <w:cantSplit/>
          <w:trHeight w:val="283"/>
        </w:trPr>
        <w:tc>
          <w:tcPr>
            <w:tcW w:w="2154" w:type="dxa"/>
            <w:vMerge/>
            <w:tcBorders>
              <w:left w:val="nil"/>
              <w:right w:val="single" w:sz="12" w:space="0" w:color="auto"/>
            </w:tcBorders>
          </w:tcPr>
          <w:p w14:paraId="024CA490"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right w:val="single" w:sz="12" w:space="0" w:color="auto"/>
            </w:tcBorders>
            <w:shd w:val="clear" w:color="auto" w:fill="auto"/>
          </w:tcPr>
          <w:p w14:paraId="5151E2AE" w14:textId="77777777" w:rsidR="003A6273" w:rsidRDefault="003A6273" w:rsidP="00C639E1">
            <w:pPr>
              <w:pStyle w:val="TableText"/>
              <w:spacing w:before="0" w:after="0"/>
              <w:rPr>
                <w:rFonts w:cs="Segoe UI"/>
                <w:sz w:val="20"/>
                <w:lang w:eastAsia="en-GB"/>
              </w:rPr>
            </w:pPr>
            <w:r>
              <w:rPr>
                <w:rFonts w:cs="Segoe UI"/>
                <w:sz w:val="20"/>
                <w:lang w:eastAsia="en-GB"/>
              </w:rPr>
              <w:t>Template LI2: Main sources of differences between regulatory exposure amounts and carrying values in financial statements</w:t>
            </w:r>
          </w:p>
        </w:tc>
        <w:tc>
          <w:tcPr>
            <w:tcW w:w="1624" w:type="dxa"/>
            <w:tcBorders>
              <w:left w:val="single" w:sz="12" w:space="0" w:color="auto"/>
              <w:bottom w:val="single" w:sz="4" w:space="0" w:color="auto"/>
              <w:right w:val="single" w:sz="12" w:space="0" w:color="auto"/>
            </w:tcBorders>
            <w:shd w:val="clear" w:color="auto" w:fill="auto"/>
          </w:tcPr>
          <w:p w14:paraId="2D62656C" w14:textId="77777777" w:rsidR="003A6273" w:rsidRDefault="003A6273" w:rsidP="00C639E1">
            <w:pPr>
              <w:pStyle w:val="TableText"/>
              <w:spacing w:before="0" w:after="0"/>
              <w:jc w:val="center"/>
              <w:rPr>
                <w:rFonts w:cs="Segoe UI"/>
                <w:sz w:val="20"/>
                <w:lang w:eastAsia="en-GB"/>
              </w:rPr>
            </w:pPr>
            <w:r w:rsidRPr="003936F9">
              <w:rPr>
                <w:rFonts w:cs="Segoe UI" w:hint="eastAsia"/>
                <w:noProof/>
                <w:sz w:val="20"/>
                <w:lang w:eastAsia="en-GB"/>
              </w:rPr>
              <w:t>L</w:t>
            </w:r>
          </w:p>
        </w:tc>
        <w:tc>
          <w:tcPr>
            <w:tcW w:w="1244" w:type="dxa"/>
            <w:tcBorders>
              <w:left w:val="single" w:sz="12" w:space="0" w:color="auto"/>
            </w:tcBorders>
            <w:shd w:val="clear" w:color="auto" w:fill="auto"/>
          </w:tcPr>
          <w:p w14:paraId="32D9A180" w14:textId="77777777" w:rsidR="003A6273" w:rsidRDefault="003A6273" w:rsidP="00C639E1">
            <w:pPr>
              <w:pStyle w:val="TableText"/>
              <w:spacing w:before="0" w:after="0"/>
              <w:jc w:val="center"/>
              <w:rPr>
                <w:rFonts w:cs="Segoe UI"/>
                <w:sz w:val="20"/>
                <w:lang w:eastAsia="en-GB"/>
              </w:rPr>
            </w:pPr>
          </w:p>
        </w:tc>
        <w:tc>
          <w:tcPr>
            <w:tcW w:w="1134" w:type="dxa"/>
            <w:tcBorders>
              <w:right w:val="single" w:sz="12" w:space="0" w:color="auto"/>
            </w:tcBorders>
            <w:shd w:val="clear" w:color="auto" w:fill="auto"/>
          </w:tcPr>
          <w:p w14:paraId="621566FE"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left w:val="single" w:sz="12" w:space="0" w:color="auto"/>
            </w:tcBorders>
            <w:shd w:val="clear" w:color="auto" w:fill="auto"/>
          </w:tcPr>
          <w:p w14:paraId="6A1D00A7" w14:textId="77777777" w:rsidR="003A6273" w:rsidRDefault="003A6273" w:rsidP="00C639E1">
            <w:pPr>
              <w:pStyle w:val="TableText"/>
              <w:spacing w:before="0" w:after="0"/>
              <w:jc w:val="center"/>
              <w:rPr>
                <w:rFonts w:cs="Segoe UI"/>
                <w:sz w:val="20"/>
                <w:lang w:eastAsia="en-GB"/>
              </w:rPr>
            </w:pPr>
          </w:p>
        </w:tc>
        <w:tc>
          <w:tcPr>
            <w:tcW w:w="1276" w:type="dxa"/>
            <w:shd w:val="clear" w:color="auto" w:fill="auto"/>
          </w:tcPr>
          <w:p w14:paraId="75AEF376" w14:textId="77777777" w:rsidR="003A6273" w:rsidRDefault="003A6273" w:rsidP="00C639E1">
            <w:pPr>
              <w:pStyle w:val="TableText"/>
              <w:spacing w:before="0" w:after="0"/>
              <w:jc w:val="center"/>
              <w:rPr>
                <w:rFonts w:cs="Segoe UI"/>
                <w:sz w:val="20"/>
                <w:lang w:eastAsia="en-GB"/>
              </w:rPr>
            </w:pPr>
          </w:p>
        </w:tc>
        <w:tc>
          <w:tcPr>
            <w:tcW w:w="1101" w:type="dxa"/>
            <w:tcBorders>
              <w:right w:val="single" w:sz="12" w:space="0" w:color="auto"/>
            </w:tcBorders>
            <w:shd w:val="clear" w:color="auto" w:fill="auto"/>
          </w:tcPr>
          <w:p w14:paraId="53BEEC2E"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r>
      <w:tr w:rsidR="003A6273" w14:paraId="1EE00184" w14:textId="77777777" w:rsidTr="00433A54">
        <w:trPr>
          <w:cantSplit/>
          <w:trHeight w:val="283"/>
        </w:trPr>
        <w:tc>
          <w:tcPr>
            <w:tcW w:w="2154" w:type="dxa"/>
            <w:vMerge/>
            <w:tcBorders>
              <w:left w:val="nil"/>
              <w:right w:val="single" w:sz="12" w:space="0" w:color="auto"/>
            </w:tcBorders>
          </w:tcPr>
          <w:p w14:paraId="27915150"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right w:val="single" w:sz="12" w:space="0" w:color="auto"/>
            </w:tcBorders>
            <w:shd w:val="clear" w:color="auto" w:fill="auto"/>
          </w:tcPr>
          <w:p w14:paraId="0CE92915" w14:textId="77777777" w:rsidR="003A6273" w:rsidRDefault="003A6273" w:rsidP="00C639E1">
            <w:pPr>
              <w:pStyle w:val="TableText"/>
              <w:spacing w:before="0" w:after="0"/>
              <w:rPr>
                <w:rFonts w:cs="Segoe UI"/>
                <w:noProof/>
                <w:sz w:val="20"/>
                <w:lang w:eastAsia="en-GB"/>
              </w:rPr>
            </w:pPr>
            <w:r>
              <w:rPr>
                <w:rFonts w:cs="Segoe UI"/>
                <w:sz w:val="20"/>
                <w:lang w:eastAsia="en-GB"/>
              </w:rPr>
              <w:t>Table LIA: Explanations of differences between accounting and regulatory exposure amounts</w:t>
            </w:r>
          </w:p>
        </w:tc>
        <w:tc>
          <w:tcPr>
            <w:tcW w:w="1624" w:type="dxa"/>
            <w:tcBorders>
              <w:top w:val="single" w:sz="4" w:space="0" w:color="auto"/>
              <w:left w:val="single" w:sz="12" w:space="0" w:color="auto"/>
              <w:right w:val="single" w:sz="12" w:space="0" w:color="auto"/>
            </w:tcBorders>
            <w:shd w:val="clear" w:color="auto" w:fill="auto"/>
          </w:tcPr>
          <w:p w14:paraId="25FD5364" w14:textId="77777777" w:rsidR="003A6273" w:rsidRDefault="003A6273" w:rsidP="00C639E1">
            <w:pPr>
              <w:pStyle w:val="TableText"/>
              <w:spacing w:before="0" w:after="0"/>
              <w:jc w:val="center"/>
              <w:rPr>
                <w:rFonts w:cs="Segoe UI"/>
                <w:sz w:val="20"/>
                <w:lang w:eastAsia="en-GB"/>
              </w:rPr>
            </w:pPr>
            <w:r w:rsidRPr="003936F9">
              <w:rPr>
                <w:rFonts w:cs="Segoe UI" w:hint="eastAsia"/>
                <w:noProof/>
                <w:sz w:val="20"/>
                <w:lang w:eastAsia="en-GB"/>
              </w:rPr>
              <w:t>L</w:t>
            </w:r>
          </w:p>
        </w:tc>
        <w:tc>
          <w:tcPr>
            <w:tcW w:w="1244" w:type="dxa"/>
            <w:tcBorders>
              <w:left w:val="single" w:sz="12" w:space="0" w:color="auto"/>
            </w:tcBorders>
            <w:shd w:val="clear" w:color="auto" w:fill="auto"/>
          </w:tcPr>
          <w:p w14:paraId="0274DE87" w14:textId="77777777" w:rsidR="003A6273" w:rsidRDefault="003A6273" w:rsidP="00C639E1">
            <w:pPr>
              <w:pStyle w:val="TableText"/>
              <w:spacing w:before="0" w:after="0"/>
              <w:jc w:val="center"/>
              <w:rPr>
                <w:rFonts w:cs="Segoe UI"/>
                <w:sz w:val="20"/>
                <w:lang w:eastAsia="en-GB"/>
              </w:rPr>
            </w:pPr>
          </w:p>
        </w:tc>
        <w:tc>
          <w:tcPr>
            <w:tcW w:w="1134" w:type="dxa"/>
            <w:tcBorders>
              <w:right w:val="single" w:sz="12" w:space="0" w:color="auto"/>
            </w:tcBorders>
            <w:shd w:val="clear" w:color="auto" w:fill="auto"/>
          </w:tcPr>
          <w:p w14:paraId="58898130"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left w:val="single" w:sz="12" w:space="0" w:color="auto"/>
            </w:tcBorders>
            <w:shd w:val="clear" w:color="auto" w:fill="auto"/>
          </w:tcPr>
          <w:p w14:paraId="2E2DE55C" w14:textId="77777777" w:rsidR="003A6273" w:rsidRDefault="003A6273" w:rsidP="00C639E1">
            <w:pPr>
              <w:pStyle w:val="TableText"/>
              <w:spacing w:before="0" w:after="0"/>
              <w:jc w:val="center"/>
              <w:rPr>
                <w:rFonts w:cs="Segoe UI"/>
                <w:sz w:val="20"/>
                <w:lang w:eastAsia="en-GB"/>
              </w:rPr>
            </w:pPr>
          </w:p>
        </w:tc>
        <w:tc>
          <w:tcPr>
            <w:tcW w:w="1276" w:type="dxa"/>
            <w:shd w:val="clear" w:color="auto" w:fill="auto"/>
          </w:tcPr>
          <w:p w14:paraId="31C4B983" w14:textId="77777777" w:rsidR="003A6273" w:rsidRDefault="003A6273" w:rsidP="00C639E1">
            <w:pPr>
              <w:pStyle w:val="TableText"/>
              <w:spacing w:before="0" w:after="0"/>
              <w:jc w:val="center"/>
              <w:rPr>
                <w:rFonts w:cs="Segoe UI"/>
                <w:sz w:val="20"/>
                <w:lang w:eastAsia="en-GB"/>
              </w:rPr>
            </w:pPr>
          </w:p>
        </w:tc>
        <w:tc>
          <w:tcPr>
            <w:tcW w:w="1101" w:type="dxa"/>
            <w:tcBorders>
              <w:right w:val="single" w:sz="12" w:space="0" w:color="auto"/>
            </w:tcBorders>
            <w:shd w:val="clear" w:color="auto" w:fill="auto"/>
          </w:tcPr>
          <w:p w14:paraId="630DAE2E"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r>
      <w:tr w:rsidR="003A6273" w14:paraId="1EAC6D1A" w14:textId="77777777" w:rsidTr="003A6273">
        <w:trPr>
          <w:cantSplit/>
          <w:trHeight w:val="283"/>
        </w:trPr>
        <w:tc>
          <w:tcPr>
            <w:tcW w:w="2154" w:type="dxa"/>
            <w:vMerge/>
            <w:tcBorders>
              <w:left w:val="nil"/>
              <w:bottom w:val="single" w:sz="12" w:space="0" w:color="auto"/>
              <w:right w:val="single" w:sz="12" w:space="0" w:color="auto"/>
            </w:tcBorders>
          </w:tcPr>
          <w:p w14:paraId="12A6E086" w14:textId="77777777" w:rsidR="003A6273" w:rsidRDefault="003A6273" w:rsidP="00BF2ECC">
            <w:pPr>
              <w:pStyle w:val="TableText"/>
              <w:spacing w:before="0" w:after="0"/>
              <w:rPr>
                <w:rFonts w:cs="Segoe UI"/>
                <w:sz w:val="20"/>
                <w:lang w:eastAsia="en-GB"/>
              </w:rPr>
            </w:pPr>
          </w:p>
        </w:tc>
        <w:tc>
          <w:tcPr>
            <w:tcW w:w="4762" w:type="dxa"/>
            <w:tcBorders>
              <w:left w:val="single" w:sz="12" w:space="0" w:color="auto"/>
              <w:bottom w:val="single" w:sz="12" w:space="0" w:color="auto"/>
              <w:right w:val="single" w:sz="12" w:space="0" w:color="auto"/>
            </w:tcBorders>
            <w:shd w:val="clear" w:color="auto" w:fill="auto"/>
          </w:tcPr>
          <w:p w14:paraId="270037AB" w14:textId="77777777" w:rsidR="003A6273" w:rsidRPr="00A2049C" w:rsidRDefault="003A6273" w:rsidP="00BF2ECC">
            <w:pPr>
              <w:pStyle w:val="TableText"/>
              <w:spacing w:before="0" w:after="0"/>
              <w:rPr>
                <w:rFonts w:cs="Segoe UI"/>
                <w:sz w:val="20"/>
                <w:lang w:val="en-US" w:eastAsia="en-GB"/>
              </w:rPr>
            </w:pPr>
            <w:r w:rsidRPr="00F914B1">
              <w:rPr>
                <w:rFonts w:cs="Segoe UI"/>
                <w:sz w:val="20"/>
                <w:lang w:eastAsia="en-GB"/>
              </w:rPr>
              <w:t>Template</w:t>
            </w:r>
            <w:r>
              <w:rPr>
                <w:rFonts w:cs="Segoe UI"/>
                <w:sz w:val="20"/>
                <w:lang w:eastAsia="en-GB"/>
              </w:rPr>
              <w:t xml:space="preserve"> </w:t>
            </w:r>
            <w:r w:rsidRPr="00A2049C">
              <w:rPr>
                <w:rFonts w:cs="Segoe UI"/>
                <w:sz w:val="20"/>
                <w:lang w:eastAsia="en-GB"/>
              </w:rPr>
              <w:t>PV1</w:t>
            </w:r>
            <w:r>
              <w:rPr>
                <w:rFonts w:cs="Segoe UI"/>
                <w:sz w:val="20"/>
                <w:lang w:eastAsia="en-GB"/>
              </w:rPr>
              <w:t>:</w:t>
            </w:r>
            <w:r w:rsidRPr="00A2049C">
              <w:rPr>
                <w:rFonts w:cs="Segoe UI"/>
                <w:sz w:val="20"/>
                <w:lang w:eastAsia="en-GB"/>
              </w:rPr>
              <w:t xml:space="preserve"> Pru</w:t>
            </w:r>
            <w:r>
              <w:rPr>
                <w:rFonts w:cs="Segoe UI"/>
                <w:sz w:val="20"/>
                <w:lang w:eastAsia="en-GB"/>
              </w:rPr>
              <w:t>dent valuation adjustments</w:t>
            </w:r>
          </w:p>
        </w:tc>
        <w:tc>
          <w:tcPr>
            <w:tcW w:w="1624" w:type="dxa"/>
            <w:tcBorders>
              <w:left w:val="single" w:sz="12" w:space="0" w:color="auto"/>
              <w:bottom w:val="single" w:sz="12" w:space="0" w:color="auto"/>
              <w:right w:val="single" w:sz="12" w:space="0" w:color="auto"/>
            </w:tcBorders>
            <w:shd w:val="clear" w:color="auto" w:fill="auto"/>
          </w:tcPr>
          <w:p w14:paraId="7B613BA5" w14:textId="77777777" w:rsidR="003A6273" w:rsidRPr="00F914B1" w:rsidRDefault="003A6273" w:rsidP="00BF2ECC">
            <w:pPr>
              <w:pStyle w:val="TableText"/>
              <w:spacing w:before="0" w:after="0"/>
              <w:jc w:val="center"/>
              <w:rPr>
                <w:rFonts w:cs="Segoe UI"/>
                <w:sz w:val="20"/>
                <w:lang w:eastAsia="en-GB"/>
              </w:rPr>
            </w:pPr>
            <w:r>
              <w:rPr>
                <w:rFonts w:cs="Segoe UI"/>
                <w:sz w:val="20"/>
                <w:lang w:eastAsia="en-GB"/>
              </w:rPr>
              <w:t>L</w:t>
            </w:r>
          </w:p>
        </w:tc>
        <w:tc>
          <w:tcPr>
            <w:tcW w:w="1244" w:type="dxa"/>
            <w:tcBorders>
              <w:left w:val="single" w:sz="12" w:space="0" w:color="auto"/>
              <w:bottom w:val="single" w:sz="12" w:space="0" w:color="auto"/>
            </w:tcBorders>
            <w:shd w:val="clear" w:color="auto" w:fill="auto"/>
          </w:tcPr>
          <w:p w14:paraId="5C3A1E5A" w14:textId="77777777" w:rsidR="003A6273" w:rsidRPr="00F914B1" w:rsidRDefault="003A6273" w:rsidP="00BF2ECC">
            <w:pPr>
              <w:pStyle w:val="TableText"/>
              <w:spacing w:before="0" w:after="0"/>
              <w:jc w:val="center"/>
              <w:rPr>
                <w:rFonts w:cs="Segoe UI"/>
                <w:noProof/>
                <w:sz w:val="20"/>
                <w:lang w:eastAsia="en-GB"/>
              </w:rPr>
            </w:pPr>
            <w:r w:rsidRPr="00F914B1">
              <w:rPr>
                <w:rFonts w:cs="Segoe UI"/>
                <w:sz w:val="20"/>
                <w:lang w:eastAsia="en-GB"/>
              </w:rPr>
              <w:sym w:font="Wingdings 2" w:char="F050"/>
            </w:r>
          </w:p>
        </w:tc>
        <w:tc>
          <w:tcPr>
            <w:tcW w:w="1134" w:type="dxa"/>
            <w:tcBorders>
              <w:bottom w:val="single" w:sz="12" w:space="0" w:color="auto"/>
              <w:right w:val="single" w:sz="12" w:space="0" w:color="auto"/>
            </w:tcBorders>
            <w:shd w:val="clear" w:color="auto" w:fill="auto"/>
          </w:tcPr>
          <w:p w14:paraId="3CAB54D0" w14:textId="77777777" w:rsidR="003A6273" w:rsidRPr="00F914B1" w:rsidRDefault="003A6273" w:rsidP="00BF2ECC">
            <w:pPr>
              <w:pStyle w:val="TableText"/>
              <w:spacing w:before="0" w:after="0"/>
              <w:jc w:val="center"/>
              <w:rPr>
                <w:rFonts w:cs="Segoe UI"/>
                <w:noProof/>
                <w:sz w:val="20"/>
                <w:lang w:eastAsia="en-GB"/>
              </w:rPr>
            </w:pPr>
          </w:p>
        </w:tc>
        <w:tc>
          <w:tcPr>
            <w:tcW w:w="1134" w:type="dxa"/>
            <w:tcBorders>
              <w:left w:val="single" w:sz="12" w:space="0" w:color="auto"/>
              <w:bottom w:val="single" w:sz="12" w:space="0" w:color="auto"/>
            </w:tcBorders>
            <w:shd w:val="clear" w:color="auto" w:fill="auto"/>
          </w:tcPr>
          <w:p w14:paraId="13E17B8B" w14:textId="77777777" w:rsidR="003A6273" w:rsidRPr="00F914B1" w:rsidRDefault="003A6273" w:rsidP="00BF2ECC">
            <w:pPr>
              <w:pStyle w:val="TableText"/>
              <w:spacing w:before="0" w:after="0"/>
              <w:jc w:val="center"/>
              <w:rPr>
                <w:rFonts w:cs="Segoe UI"/>
                <w:sz w:val="20"/>
                <w:lang w:eastAsia="en-GB"/>
              </w:rPr>
            </w:pPr>
          </w:p>
        </w:tc>
        <w:tc>
          <w:tcPr>
            <w:tcW w:w="1276" w:type="dxa"/>
            <w:tcBorders>
              <w:bottom w:val="single" w:sz="12" w:space="0" w:color="auto"/>
            </w:tcBorders>
            <w:shd w:val="clear" w:color="auto" w:fill="auto"/>
          </w:tcPr>
          <w:p w14:paraId="4C4D3E04" w14:textId="77777777" w:rsidR="003A6273" w:rsidRPr="00F914B1" w:rsidRDefault="003A6273" w:rsidP="00BF2ECC">
            <w:pPr>
              <w:pStyle w:val="TableText"/>
              <w:spacing w:before="0" w:after="0"/>
              <w:jc w:val="center"/>
              <w:rPr>
                <w:rFonts w:cs="Segoe UI"/>
                <w:sz w:val="20"/>
                <w:lang w:eastAsia="en-GB"/>
              </w:rPr>
            </w:pPr>
          </w:p>
        </w:tc>
        <w:tc>
          <w:tcPr>
            <w:tcW w:w="1101" w:type="dxa"/>
            <w:tcBorders>
              <w:bottom w:val="single" w:sz="12" w:space="0" w:color="auto"/>
              <w:right w:val="single" w:sz="12" w:space="0" w:color="auto"/>
            </w:tcBorders>
            <w:shd w:val="clear" w:color="auto" w:fill="auto"/>
          </w:tcPr>
          <w:p w14:paraId="4A50F3F9" w14:textId="77777777" w:rsidR="003A6273" w:rsidRPr="00F914B1" w:rsidRDefault="003A6273" w:rsidP="00BF2ECC">
            <w:pPr>
              <w:pStyle w:val="TableText"/>
              <w:spacing w:before="0" w:after="0"/>
              <w:jc w:val="center"/>
              <w:rPr>
                <w:rFonts w:cs="Segoe UI"/>
                <w:noProof/>
                <w:sz w:val="20"/>
                <w:lang w:eastAsia="en-GB"/>
              </w:rPr>
            </w:pPr>
            <w:r w:rsidRPr="00F914B1">
              <w:rPr>
                <w:rFonts w:cs="Segoe UI"/>
                <w:sz w:val="20"/>
                <w:lang w:eastAsia="en-GB"/>
              </w:rPr>
              <w:sym w:font="Wingdings 2" w:char="F050"/>
            </w:r>
          </w:p>
        </w:tc>
      </w:tr>
      <w:tr w:rsidR="003A6273" w14:paraId="26D04E9D" w14:textId="77777777" w:rsidTr="003A6273">
        <w:trPr>
          <w:cantSplit/>
          <w:trHeight w:val="283"/>
        </w:trPr>
        <w:tc>
          <w:tcPr>
            <w:tcW w:w="2154" w:type="dxa"/>
            <w:vMerge w:val="restart"/>
            <w:tcBorders>
              <w:top w:val="single" w:sz="12" w:space="0" w:color="auto"/>
              <w:left w:val="nil"/>
              <w:right w:val="single" w:sz="12" w:space="0" w:color="auto"/>
            </w:tcBorders>
          </w:tcPr>
          <w:p w14:paraId="57E24986" w14:textId="77777777" w:rsidR="003A6273" w:rsidRPr="007B3828" w:rsidRDefault="003A6273" w:rsidP="007136E5">
            <w:pPr>
              <w:pStyle w:val="TableText"/>
              <w:spacing w:before="0" w:after="0"/>
              <w:rPr>
                <w:rFonts w:cs="Segoe UI"/>
                <w:sz w:val="20"/>
                <w:lang w:eastAsia="en-GB"/>
              </w:rPr>
            </w:pPr>
            <w:r w:rsidRPr="007B3828">
              <w:rPr>
                <w:rFonts w:cs="Segoe UI"/>
                <w:sz w:val="20"/>
                <w:lang w:eastAsia="en-GB"/>
              </w:rPr>
              <w:lastRenderedPageBreak/>
              <w:t xml:space="preserve">Part IIA : Composition of </w:t>
            </w:r>
            <w:r>
              <w:rPr>
                <w:rFonts w:cs="Segoe UI"/>
                <w:sz w:val="20"/>
                <w:lang w:eastAsia="en-GB"/>
              </w:rPr>
              <w:t xml:space="preserve">regulatory </w:t>
            </w:r>
            <w:r w:rsidRPr="007B3828">
              <w:rPr>
                <w:rFonts w:cs="Segoe UI"/>
                <w:sz w:val="20"/>
                <w:lang w:eastAsia="en-GB"/>
              </w:rPr>
              <w:t>capital</w:t>
            </w:r>
          </w:p>
        </w:tc>
        <w:tc>
          <w:tcPr>
            <w:tcW w:w="4762" w:type="dxa"/>
            <w:tcBorders>
              <w:top w:val="single" w:sz="12" w:space="0" w:color="auto"/>
              <w:left w:val="single" w:sz="12" w:space="0" w:color="auto"/>
              <w:bottom w:val="single" w:sz="4" w:space="0" w:color="auto"/>
              <w:right w:val="single" w:sz="12" w:space="0" w:color="auto"/>
            </w:tcBorders>
            <w:shd w:val="clear" w:color="auto" w:fill="auto"/>
          </w:tcPr>
          <w:p w14:paraId="1F2B73AC" w14:textId="77777777" w:rsidR="003A6273" w:rsidRPr="00026A25" w:rsidRDefault="003A6273" w:rsidP="007136E5">
            <w:pPr>
              <w:pStyle w:val="TableText"/>
              <w:spacing w:before="0" w:after="0"/>
              <w:rPr>
                <w:rFonts w:cs="Segoe UI"/>
                <w:sz w:val="20"/>
                <w:lang w:val="en-US" w:eastAsia="en-GB"/>
              </w:rPr>
            </w:pPr>
            <w:r>
              <w:rPr>
                <w:rFonts w:cs="Segoe UI"/>
                <w:sz w:val="20"/>
                <w:lang w:val="en-US" w:eastAsia="en-GB"/>
              </w:rPr>
              <w:t xml:space="preserve">Template </w:t>
            </w:r>
            <w:r w:rsidRPr="00026A25">
              <w:rPr>
                <w:rFonts w:cs="Segoe UI"/>
                <w:sz w:val="20"/>
                <w:lang w:val="en-US" w:eastAsia="en-GB"/>
              </w:rPr>
              <w:t>CC1</w:t>
            </w:r>
            <w:r>
              <w:rPr>
                <w:rFonts w:cs="Segoe UI"/>
                <w:sz w:val="20"/>
                <w:lang w:val="en-US" w:eastAsia="en-GB"/>
              </w:rPr>
              <w:t>:</w:t>
            </w:r>
            <w:r w:rsidRPr="00026A25">
              <w:rPr>
                <w:rFonts w:cs="Segoe UI"/>
                <w:sz w:val="20"/>
                <w:lang w:val="en-US" w:eastAsia="en-GB"/>
              </w:rPr>
              <w:t xml:space="preserve"> Composition of regulatory capital</w:t>
            </w:r>
          </w:p>
        </w:tc>
        <w:tc>
          <w:tcPr>
            <w:tcW w:w="1624" w:type="dxa"/>
            <w:tcBorders>
              <w:top w:val="single" w:sz="12" w:space="0" w:color="auto"/>
              <w:left w:val="single" w:sz="12" w:space="0" w:color="auto"/>
              <w:bottom w:val="single" w:sz="4" w:space="0" w:color="auto"/>
              <w:right w:val="single" w:sz="12" w:space="0" w:color="auto"/>
            </w:tcBorders>
            <w:shd w:val="clear" w:color="auto" w:fill="auto"/>
          </w:tcPr>
          <w:p w14:paraId="09034516" w14:textId="77777777" w:rsidR="003A6273" w:rsidRPr="00F914B1" w:rsidRDefault="003A6273" w:rsidP="007136E5">
            <w:pPr>
              <w:pStyle w:val="TableText"/>
              <w:spacing w:before="0" w:after="0"/>
              <w:jc w:val="center"/>
              <w:rPr>
                <w:rFonts w:cs="Segoe UI"/>
                <w:sz w:val="20"/>
                <w:lang w:eastAsia="en-GB"/>
              </w:rPr>
            </w:pPr>
            <w:r>
              <w:rPr>
                <w:rFonts w:cs="Segoe UI"/>
                <w:sz w:val="20"/>
                <w:lang w:eastAsia="en-GB"/>
              </w:rPr>
              <w:t>L</w:t>
            </w:r>
          </w:p>
        </w:tc>
        <w:tc>
          <w:tcPr>
            <w:tcW w:w="1244" w:type="dxa"/>
            <w:tcBorders>
              <w:top w:val="single" w:sz="12" w:space="0" w:color="auto"/>
              <w:left w:val="single" w:sz="12" w:space="0" w:color="auto"/>
              <w:bottom w:val="single" w:sz="4" w:space="0" w:color="auto"/>
            </w:tcBorders>
            <w:shd w:val="clear" w:color="auto" w:fill="auto"/>
          </w:tcPr>
          <w:p w14:paraId="5D7E059A" w14:textId="77777777" w:rsidR="003A6273" w:rsidRPr="00F914B1" w:rsidRDefault="003A6273" w:rsidP="007136E5">
            <w:pPr>
              <w:pStyle w:val="TableText"/>
              <w:spacing w:before="0" w:after="0"/>
              <w:jc w:val="center"/>
              <w:rPr>
                <w:rFonts w:cs="Segoe UI"/>
                <w:noProof/>
                <w:sz w:val="20"/>
                <w:lang w:eastAsia="en-GB"/>
              </w:rPr>
            </w:pPr>
            <w:r w:rsidRPr="00F914B1">
              <w:rPr>
                <w:rFonts w:cs="Segoe UI"/>
                <w:sz w:val="20"/>
                <w:lang w:eastAsia="en-GB"/>
              </w:rPr>
              <w:sym w:font="Wingdings 2" w:char="F050"/>
            </w:r>
          </w:p>
        </w:tc>
        <w:tc>
          <w:tcPr>
            <w:tcW w:w="1134" w:type="dxa"/>
            <w:tcBorders>
              <w:top w:val="single" w:sz="12" w:space="0" w:color="auto"/>
              <w:bottom w:val="single" w:sz="4" w:space="0" w:color="auto"/>
              <w:right w:val="single" w:sz="12" w:space="0" w:color="auto"/>
            </w:tcBorders>
            <w:shd w:val="clear" w:color="auto" w:fill="auto"/>
          </w:tcPr>
          <w:p w14:paraId="46A9D005" w14:textId="77777777" w:rsidR="003A6273" w:rsidRPr="00F914B1" w:rsidRDefault="003A6273" w:rsidP="007136E5">
            <w:pPr>
              <w:pStyle w:val="TableText"/>
              <w:spacing w:before="0" w:after="0"/>
              <w:jc w:val="center"/>
              <w:rPr>
                <w:rFonts w:cs="Segoe UI"/>
                <w:noProof/>
                <w:sz w:val="20"/>
                <w:lang w:eastAsia="en-GB"/>
              </w:rPr>
            </w:pPr>
          </w:p>
        </w:tc>
        <w:tc>
          <w:tcPr>
            <w:tcW w:w="1134" w:type="dxa"/>
            <w:tcBorders>
              <w:top w:val="single" w:sz="12" w:space="0" w:color="auto"/>
              <w:left w:val="single" w:sz="12" w:space="0" w:color="auto"/>
              <w:bottom w:val="single" w:sz="4" w:space="0" w:color="auto"/>
            </w:tcBorders>
            <w:shd w:val="clear" w:color="auto" w:fill="auto"/>
          </w:tcPr>
          <w:p w14:paraId="7B9E18F1" w14:textId="77777777" w:rsidR="003A6273" w:rsidRPr="00F914B1" w:rsidRDefault="003A6273" w:rsidP="007136E5">
            <w:pPr>
              <w:pStyle w:val="TableText"/>
              <w:spacing w:before="0" w:after="0"/>
              <w:jc w:val="center"/>
              <w:rPr>
                <w:rFonts w:cs="Segoe UI"/>
                <w:sz w:val="20"/>
                <w:lang w:eastAsia="en-GB"/>
              </w:rPr>
            </w:pPr>
          </w:p>
        </w:tc>
        <w:tc>
          <w:tcPr>
            <w:tcW w:w="1276" w:type="dxa"/>
            <w:tcBorders>
              <w:top w:val="single" w:sz="12" w:space="0" w:color="auto"/>
              <w:bottom w:val="single" w:sz="4" w:space="0" w:color="auto"/>
            </w:tcBorders>
            <w:shd w:val="clear" w:color="auto" w:fill="auto"/>
          </w:tcPr>
          <w:p w14:paraId="7B2FE08A" w14:textId="77777777" w:rsidR="003A6273" w:rsidRPr="00F914B1" w:rsidRDefault="003A6273" w:rsidP="007136E5">
            <w:pPr>
              <w:pStyle w:val="TableText"/>
              <w:spacing w:before="0" w:after="0"/>
              <w:jc w:val="center"/>
              <w:rPr>
                <w:rFonts w:cs="Segoe UI"/>
                <w:noProof/>
                <w:sz w:val="20"/>
                <w:lang w:eastAsia="en-GB"/>
              </w:rPr>
            </w:pPr>
            <w:r w:rsidRPr="00F914B1">
              <w:rPr>
                <w:rFonts w:cs="Segoe UI"/>
                <w:sz w:val="20"/>
                <w:lang w:eastAsia="en-GB"/>
              </w:rPr>
              <w:sym w:font="Wingdings 2" w:char="F050"/>
            </w:r>
          </w:p>
        </w:tc>
        <w:tc>
          <w:tcPr>
            <w:tcW w:w="1101" w:type="dxa"/>
            <w:tcBorders>
              <w:top w:val="single" w:sz="12" w:space="0" w:color="auto"/>
              <w:bottom w:val="single" w:sz="4" w:space="0" w:color="auto"/>
              <w:right w:val="single" w:sz="12" w:space="0" w:color="auto"/>
            </w:tcBorders>
            <w:shd w:val="clear" w:color="auto" w:fill="auto"/>
          </w:tcPr>
          <w:p w14:paraId="76C60C3C" w14:textId="77777777" w:rsidR="003A6273" w:rsidRPr="00F914B1" w:rsidRDefault="003A6273" w:rsidP="007136E5">
            <w:pPr>
              <w:pStyle w:val="TableText"/>
              <w:spacing w:before="0" w:after="0"/>
              <w:jc w:val="center"/>
              <w:rPr>
                <w:rFonts w:cs="Segoe UI"/>
                <w:sz w:val="20"/>
                <w:lang w:eastAsia="en-GB"/>
              </w:rPr>
            </w:pPr>
          </w:p>
        </w:tc>
      </w:tr>
      <w:tr w:rsidR="003A6273" w14:paraId="6185FFBF" w14:textId="77777777" w:rsidTr="003A6273">
        <w:trPr>
          <w:cantSplit/>
          <w:trHeight w:val="283"/>
        </w:trPr>
        <w:tc>
          <w:tcPr>
            <w:tcW w:w="2154" w:type="dxa"/>
            <w:vMerge/>
            <w:tcBorders>
              <w:left w:val="nil"/>
              <w:right w:val="single" w:sz="12" w:space="0" w:color="auto"/>
            </w:tcBorders>
          </w:tcPr>
          <w:p w14:paraId="20649768" w14:textId="77777777" w:rsidR="003A6273" w:rsidRPr="007B3828" w:rsidRDefault="003A6273" w:rsidP="007136E5">
            <w:pPr>
              <w:pStyle w:val="TableText"/>
              <w:spacing w:before="0" w:after="0"/>
              <w:rPr>
                <w:rFonts w:cs="Segoe UI"/>
                <w:sz w:val="20"/>
                <w:lang w:eastAsia="en-GB"/>
              </w:rPr>
            </w:pPr>
          </w:p>
        </w:tc>
        <w:tc>
          <w:tcPr>
            <w:tcW w:w="4762" w:type="dxa"/>
            <w:tcBorders>
              <w:top w:val="single" w:sz="4" w:space="0" w:color="auto"/>
              <w:left w:val="single" w:sz="12" w:space="0" w:color="auto"/>
              <w:bottom w:val="single" w:sz="4" w:space="0" w:color="auto"/>
              <w:right w:val="single" w:sz="12" w:space="0" w:color="auto"/>
            </w:tcBorders>
            <w:shd w:val="clear" w:color="auto" w:fill="auto"/>
          </w:tcPr>
          <w:p w14:paraId="4E11375D" w14:textId="77777777" w:rsidR="003A6273" w:rsidRPr="00026A25" w:rsidRDefault="003A6273" w:rsidP="007136E5">
            <w:pPr>
              <w:pStyle w:val="TableText"/>
              <w:spacing w:before="0" w:after="0"/>
              <w:rPr>
                <w:rFonts w:cs="Segoe UI"/>
                <w:sz w:val="20"/>
                <w:lang w:val="en-US" w:eastAsia="en-GB"/>
              </w:rPr>
            </w:pPr>
            <w:r>
              <w:rPr>
                <w:rFonts w:cs="Segoe UI"/>
                <w:sz w:val="20"/>
                <w:lang w:eastAsia="en-GB"/>
              </w:rPr>
              <w:t xml:space="preserve">Template CC2: </w:t>
            </w:r>
            <w:r w:rsidRPr="00026A25">
              <w:rPr>
                <w:rFonts w:cs="Segoe UI"/>
                <w:sz w:val="20"/>
                <w:lang w:eastAsia="en-GB"/>
              </w:rPr>
              <w:t>Reconciliation of regulatory capital to balance sheet</w:t>
            </w:r>
          </w:p>
        </w:tc>
        <w:tc>
          <w:tcPr>
            <w:tcW w:w="1624" w:type="dxa"/>
            <w:tcBorders>
              <w:top w:val="single" w:sz="4" w:space="0" w:color="auto"/>
              <w:left w:val="single" w:sz="12" w:space="0" w:color="auto"/>
              <w:bottom w:val="single" w:sz="4" w:space="0" w:color="auto"/>
              <w:right w:val="single" w:sz="12" w:space="0" w:color="auto"/>
            </w:tcBorders>
            <w:shd w:val="clear" w:color="auto" w:fill="auto"/>
          </w:tcPr>
          <w:p w14:paraId="787038CF" w14:textId="77777777" w:rsidR="003A6273" w:rsidRPr="00F914B1" w:rsidRDefault="003A6273" w:rsidP="007136E5">
            <w:pPr>
              <w:pStyle w:val="TableText"/>
              <w:spacing w:before="0" w:after="0"/>
              <w:jc w:val="center"/>
              <w:rPr>
                <w:rFonts w:cs="Segoe UI"/>
                <w:sz w:val="20"/>
                <w:lang w:eastAsia="en-GB"/>
              </w:rPr>
            </w:pPr>
            <w:r>
              <w:rPr>
                <w:rFonts w:cs="Segoe UI"/>
                <w:sz w:val="20"/>
                <w:lang w:eastAsia="en-GB"/>
              </w:rPr>
              <w:t>L</w:t>
            </w:r>
          </w:p>
        </w:tc>
        <w:tc>
          <w:tcPr>
            <w:tcW w:w="1244" w:type="dxa"/>
            <w:tcBorders>
              <w:top w:val="single" w:sz="4" w:space="0" w:color="auto"/>
              <w:left w:val="single" w:sz="12" w:space="0" w:color="auto"/>
              <w:bottom w:val="single" w:sz="4" w:space="0" w:color="auto"/>
            </w:tcBorders>
            <w:shd w:val="clear" w:color="auto" w:fill="auto"/>
          </w:tcPr>
          <w:p w14:paraId="04406499" w14:textId="77777777" w:rsidR="003A6273" w:rsidRPr="00F914B1" w:rsidRDefault="003A6273" w:rsidP="007136E5">
            <w:pPr>
              <w:pStyle w:val="TableText"/>
              <w:spacing w:before="0" w:after="0"/>
              <w:jc w:val="center"/>
              <w:rPr>
                <w:rFonts w:cs="Segoe UI"/>
                <w:sz w:val="20"/>
                <w:lang w:eastAsia="en-GB"/>
              </w:rPr>
            </w:pPr>
          </w:p>
        </w:tc>
        <w:tc>
          <w:tcPr>
            <w:tcW w:w="1134" w:type="dxa"/>
            <w:tcBorders>
              <w:top w:val="single" w:sz="4" w:space="0" w:color="auto"/>
              <w:bottom w:val="single" w:sz="4" w:space="0" w:color="auto"/>
              <w:right w:val="single" w:sz="12" w:space="0" w:color="auto"/>
            </w:tcBorders>
            <w:shd w:val="clear" w:color="auto" w:fill="auto"/>
          </w:tcPr>
          <w:p w14:paraId="355FFDC0" w14:textId="77777777" w:rsidR="003A6273" w:rsidRPr="00F914B1" w:rsidRDefault="003A6273" w:rsidP="007136E5">
            <w:pPr>
              <w:pStyle w:val="TableText"/>
              <w:spacing w:before="0" w:after="0"/>
              <w:jc w:val="center"/>
              <w:rPr>
                <w:rFonts w:cs="Segoe UI"/>
                <w:noProof/>
                <w:sz w:val="20"/>
                <w:lang w:eastAsia="en-GB"/>
              </w:rPr>
            </w:pPr>
            <w:r w:rsidRPr="00F914B1">
              <w:rPr>
                <w:rFonts w:cs="Segoe UI"/>
                <w:sz w:val="20"/>
                <w:lang w:eastAsia="en-GB"/>
              </w:rPr>
              <w:sym w:font="Wingdings 2" w:char="F050"/>
            </w:r>
          </w:p>
        </w:tc>
        <w:tc>
          <w:tcPr>
            <w:tcW w:w="1134" w:type="dxa"/>
            <w:tcBorders>
              <w:top w:val="single" w:sz="4" w:space="0" w:color="auto"/>
              <w:left w:val="single" w:sz="12" w:space="0" w:color="auto"/>
              <w:bottom w:val="single" w:sz="4" w:space="0" w:color="auto"/>
            </w:tcBorders>
            <w:shd w:val="clear" w:color="auto" w:fill="auto"/>
          </w:tcPr>
          <w:p w14:paraId="3E96831F" w14:textId="77777777" w:rsidR="003A6273" w:rsidRPr="00F914B1" w:rsidRDefault="003A6273" w:rsidP="007136E5">
            <w:pPr>
              <w:pStyle w:val="TableText"/>
              <w:spacing w:before="0" w:after="0"/>
              <w:jc w:val="center"/>
              <w:rPr>
                <w:rFonts w:cs="Segoe UI"/>
                <w:sz w:val="20"/>
                <w:lang w:eastAsia="en-GB"/>
              </w:rPr>
            </w:pPr>
          </w:p>
        </w:tc>
        <w:tc>
          <w:tcPr>
            <w:tcW w:w="1276" w:type="dxa"/>
            <w:tcBorders>
              <w:top w:val="single" w:sz="4" w:space="0" w:color="auto"/>
              <w:bottom w:val="single" w:sz="4" w:space="0" w:color="auto"/>
            </w:tcBorders>
            <w:shd w:val="clear" w:color="auto" w:fill="auto"/>
          </w:tcPr>
          <w:p w14:paraId="2F3103F8" w14:textId="77777777" w:rsidR="003A6273" w:rsidRPr="00F914B1" w:rsidRDefault="003A6273" w:rsidP="007136E5">
            <w:pPr>
              <w:pStyle w:val="TableText"/>
              <w:spacing w:before="0" w:after="0"/>
              <w:jc w:val="center"/>
              <w:rPr>
                <w:rFonts w:cs="Segoe UI"/>
                <w:noProof/>
                <w:sz w:val="20"/>
                <w:lang w:eastAsia="en-GB"/>
              </w:rPr>
            </w:pPr>
            <w:r w:rsidRPr="00F914B1">
              <w:rPr>
                <w:rFonts w:cs="Segoe UI"/>
                <w:sz w:val="20"/>
                <w:lang w:eastAsia="en-GB"/>
              </w:rPr>
              <w:sym w:font="Wingdings 2" w:char="F050"/>
            </w:r>
          </w:p>
        </w:tc>
        <w:tc>
          <w:tcPr>
            <w:tcW w:w="1101" w:type="dxa"/>
            <w:tcBorders>
              <w:top w:val="single" w:sz="4" w:space="0" w:color="auto"/>
              <w:bottom w:val="single" w:sz="4" w:space="0" w:color="auto"/>
              <w:right w:val="single" w:sz="12" w:space="0" w:color="auto"/>
            </w:tcBorders>
            <w:shd w:val="clear" w:color="auto" w:fill="auto"/>
          </w:tcPr>
          <w:p w14:paraId="0672146B" w14:textId="77777777" w:rsidR="003A6273" w:rsidRPr="00F914B1" w:rsidRDefault="003A6273" w:rsidP="007136E5">
            <w:pPr>
              <w:pStyle w:val="TableText"/>
              <w:spacing w:before="0" w:after="0"/>
              <w:jc w:val="center"/>
              <w:rPr>
                <w:rFonts w:cs="Segoe UI"/>
                <w:sz w:val="20"/>
                <w:lang w:eastAsia="en-GB"/>
              </w:rPr>
            </w:pPr>
          </w:p>
        </w:tc>
      </w:tr>
      <w:tr w:rsidR="003A6273" w14:paraId="743ACF36" w14:textId="77777777" w:rsidTr="00433A54">
        <w:trPr>
          <w:cantSplit/>
          <w:trHeight w:val="283"/>
        </w:trPr>
        <w:tc>
          <w:tcPr>
            <w:tcW w:w="2154" w:type="dxa"/>
            <w:vMerge/>
            <w:tcBorders>
              <w:left w:val="nil"/>
              <w:right w:val="single" w:sz="12" w:space="0" w:color="auto"/>
            </w:tcBorders>
          </w:tcPr>
          <w:p w14:paraId="6CB12909" w14:textId="77777777" w:rsidR="003A6273" w:rsidRPr="007B3828" w:rsidRDefault="003A6273" w:rsidP="007136E5">
            <w:pPr>
              <w:pStyle w:val="TableText"/>
              <w:spacing w:before="0" w:after="0"/>
              <w:rPr>
                <w:rFonts w:cs="Segoe UI"/>
                <w:sz w:val="20"/>
                <w:lang w:eastAsia="en-GB"/>
              </w:rPr>
            </w:pPr>
          </w:p>
        </w:tc>
        <w:tc>
          <w:tcPr>
            <w:tcW w:w="4762" w:type="dxa"/>
            <w:tcBorders>
              <w:top w:val="single" w:sz="4" w:space="0" w:color="auto"/>
              <w:left w:val="single" w:sz="12" w:space="0" w:color="auto"/>
              <w:bottom w:val="single" w:sz="12" w:space="0" w:color="auto"/>
              <w:right w:val="single" w:sz="12" w:space="0" w:color="auto"/>
            </w:tcBorders>
            <w:shd w:val="clear" w:color="auto" w:fill="auto"/>
          </w:tcPr>
          <w:p w14:paraId="638038A0" w14:textId="77777777" w:rsidR="003A6273" w:rsidRPr="00026A25" w:rsidRDefault="003A6273" w:rsidP="007136E5">
            <w:pPr>
              <w:pStyle w:val="TableText"/>
              <w:spacing w:before="0" w:after="0"/>
              <w:rPr>
                <w:rFonts w:cs="Segoe UI"/>
                <w:sz w:val="20"/>
                <w:lang w:val="en-US" w:eastAsia="en-GB"/>
              </w:rPr>
            </w:pPr>
            <w:r>
              <w:rPr>
                <w:rFonts w:cs="Segoe UI"/>
                <w:sz w:val="20"/>
                <w:lang w:eastAsia="en-GB"/>
              </w:rPr>
              <w:t xml:space="preserve">Table </w:t>
            </w:r>
            <w:r w:rsidRPr="00026A25">
              <w:rPr>
                <w:rFonts w:cs="Segoe UI"/>
                <w:sz w:val="20"/>
                <w:lang w:eastAsia="en-GB"/>
              </w:rPr>
              <w:t>CCA</w:t>
            </w:r>
            <w:r>
              <w:rPr>
                <w:rFonts w:cs="Segoe UI"/>
                <w:sz w:val="20"/>
                <w:lang w:eastAsia="en-GB"/>
              </w:rPr>
              <w:t>:</w:t>
            </w:r>
            <w:r w:rsidRPr="00026A25">
              <w:rPr>
                <w:rFonts w:cs="Segoe UI"/>
                <w:sz w:val="20"/>
                <w:lang w:eastAsia="en-GB"/>
              </w:rPr>
              <w:t xml:space="preserve"> Main features of regulatory capital instruments </w:t>
            </w:r>
          </w:p>
        </w:tc>
        <w:tc>
          <w:tcPr>
            <w:tcW w:w="1624" w:type="dxa"/>
            <w:tcBorders>
              <w:top w:val="single" w:sz="4" w:space="0" w:color="auto"/>
              <w:left w:val="single" w:sz="12" w:space="0" w:color="auto"/>
              <w:bottom w:val="single" w:sz="12" w:space="0" w:color="auto"/>
              <w:right w:val="single" w:sz="12" w:space="0" w:color="auto"/>
            </w:tcBorders>
            <w:shd w:val="clear" w:color="auto" w:fill="auto"/>
          </w:tcPr>
          <w:p w14:paraId="037A8B48" w14:textId="77777777" w:rsidR="003A6273" w:rsidRPr="00F914B1" w:rsidRDefault="003A6273" w:rsidP="007136E5">
            <w:pPr>
              <w:pStyle w:val="TableText"/>
              <w:spacing w:before="0" w:after="0"/>
              <w:jc w:val="center"/>
              <w:rPr>
                <w:rFonts w:cs="Segoe UI"/>
                <w:sz w:val="20"/>
                <w:lang w:eastAsia="en-GB"/>
              </w:rPr>
            </w:pPr>
            <w:r>
              <w:rPr>
                <w:rFonts w:cs="Segoe UI"/>
                <w:sz w:val="20"/>
                <w:lang w:eastAsia="en-GB"/>
              </w:rPr>
              <w:t>L</w:t>
            </w:r>
          </w:p>
        </w:tc>
        <w:tc>
          <w:tcPr>
            <w:tcW w:w="1244" w:type="dxa"/>
            <w:tcBorders>
              <w:top w:val="single" w:sz="4" w:space="0" w:color="auto"/>
              <w:left w:val="single" w:sz="12" w:space="0" w:color="auto"/>
              <w:bottom w:val="single" w:sz="12" w:space="0" w:color="auto"/>
            </w:tcBorders>
            <w:shd w:val="clear" w:color="auto" w:fill="auto"/>
          </w:tcPr>
          <w:p w14:paraId="0F3DF60B" w14:textId="77777777" w:rsidR="003A6273" w:rsidRPr="00F914B1" w:rsidRDefault="003A6273" w:rsidP="007136E5">
            <w:pPr>
              <w:pStyle w:val="TableText"/>
              <w:spacing w:before="0" w:after="0"/>
              <w:jc w:val="center"/>
              <w:rPr>
                <w:rFonts w:cs="Segoe UI"/>
                <w:sz w:val="20"/>
                <w:lang w:eastAsia="en-GB"/>
              </w:rPr>
            </w:pPr>
          </w:p>
        </w:tc>
        <w:tc>
          <w:tcPr>
            <w:tcW w:w="1134" w:type="dxa"/>
            <w:tcBorders>
              <w:top w:val="single" w:sz="4" w:space="0" w:color="auto"/>
              <w:bottom w:val="single" w:sz="12" w:space="0" w:color="auto"/>
              <w:right w:val="single" w:sz="12" w:space="0" w:color="auto"/>
            </w:tcBorders>
            <w:shd w:val="clear" w:color="auto" w:fill="auto"/>
          </w:tcPr>
          <w:p w14:paraId="5714AFE7" w14:textId="77777777" w:rsidR="003A6273" w:rsidRPr="00F914B1" w:rsidRDefault="003A6273" w:rsidP="007136E5">
            <w:pPr>
              <w:pStyle w:val="TableText"/>
              <w:spacing w:before="0" w:after="0"/>
              <w:jc w:val="center"/>
              <w:rPr>
                <w:rFonts w:cs="Segoe UI"/>
                <w:noProof/>
                <w:sz w:val="20"/>
                <w:lang w:eastAsia="en-GB"/>
              </w:rPr>
            </w:pPr>
            <w:r w:rsidRPr="00F914B1">
              <w:rPr>
                <w:rFonts w:cs="Segoe UI"/>
                <w:sz w:val="20"/>
                <w:lang w:eastAsia="en-GB"/>
              </w:rPr>
              <w:sym w:font="Wingdings 2" w:char="F050"/>
            </w:r>
          </w:p>
        </w:tc>
        <w:tc>
          <w:tcPr>
            <w:tcW w:w="1134" w:type="dxa"/>
            <w:tcBorders>
              <w:top w:val="single" w:sz="4" w:space="0" w:color="auto"/>
              <w:left w:val="single" w:sz="12" w:space="0" w:color="auto"/>
              <w:bottom w:val="single" w:sz="12" w:space="0" w:color="auto"/>
            </w:tcBorders>
            <w:shd w:val="clear" w:color="auto" w:fill="auto"/>
          </w:tcPr>
          <w:p w14:paraId="4FAD1BB1" w14:textId="77777777" w:rsidR="003A6273" w:rsidRPr="00F914B1" w:rsidRDefault="003A6273" w:rsidP="007136E5">
            <w:pPr>
              <w:pStyle w:val="TableText"/>
              <w:spacing w:before="0" w:after="0"/>
              <w:jc w:val="center"/>
              <w:rPr>
                <w:rFonts w:cs="Segoe UI"/>
                <w:sz w:val="20"/>
                <w:lang w:eastAsia="en-GB"/>
              </w:rPr>
            </w:pPr>
          </w:p>
        </w:tc>
        <w:tc>
          <w:tcPr>
            <w:tcW w:w="1276" w:type="dxa"/>
            <w:tcBorders>
              <w:top w:val="single" w:sz="4" w:space="0" w:color="auto"/>
              <w:bottom w:val="single" w:sz="12" w:space="0" w:color="auto"/>
            </w:tcBorders>
            <w:shd w:val="clear" w:color="auto" w:fill="auto"/>
          </w:tcPr>
          <w:p w14:paraId="3F0C28EC" w14:textId="77777777" w:rsidR="003A6273" w:rsidRPr="00F914B1" w:rsidRDefault="003A6273" w:rsidP="007136E5">
            <w:pPr>
              <w:pStyle w:val="TableText"/>
              <w:spacing w:before="0" w:after="0"/>
              <w:jc w:val="center"/>
              <w:rPr>
                <w:rFonts w:cs="Segoe UI"/>
                <w:noProof/>
                <w:sz w:val="20"/>
                <w:lang w:eastAsia="en-GB"/>
              </w:rPr>
            </w:pPr>
            <w:r w:rsidRPr="00F914B1">
              <w:rPr>
                <w:rFonts w:cs="Segoe UI"/>
                <w:sz w:val="20"/>
                <w:lang w:eastAsia="en-GB"/>
              </w:rPr>
              <w:sym w:font="Wingdings 2" w:char="F050"/>
            </w:r>
          </w:p>
        </w:tc>
        <w:tc>
          <w:tcPr>
            <w:tcW w:w="1101" w:type="dxa"/>
            <w:tcBorders>
              <w:top w:val="single" w:sz="4" w:space="0" w:color="auto"/>
              <w:bottom w:val="single" w:sz="12" w:space="0" w:color="auto"/>
              <w:right w:val="single" w:sz="12" w:space="0" w:color="auto"/>
            </w:tcBorders>
            <w:shd w:val="clear" w:color="auto" w:fill="auto"/>
          </w:tcPr>
          <w:p w14:paraId="508AB47C" w14:textId="77777777" w:rsidR="003A6273" w:rsidRPr="00F914B1" w:rsidRDefault="003A6273" w:rsidP="007136E5">
            <w:pPr>
              <w:pStyle w:val="TableText"/>
              <w:spacing w:before="0" w:after="0"/>
              <w:jc w:val="center"/>
              <w:rPr>
                <w:rFonts w:cs="Segoe UI"/>
                <w:sz w:val="20"/>
                <w:lang w:eastAsia="en-GB"/>
              </w:rPr>
            </w:pPr>
          </w:p>
        </w:tc>
      </w:tr>
      <w:tr w:rsidR="003A6273" w14:paraId="7F83CE2C" w14:textId="77777777" w:rsidTr="003A6273">
        <w:trPr>
          <w:cantSplit/>
          <w:trHeight w:val="283"/>
        </w:trPr>
        <w:tc>
          <w:tcPr>
            <w:tcW w:w="2154" w:type="dxa"/>
            <w:vMerge w:val="restart"/>
            <w:tcBorders>
              <w:top w:val="single" w:sz="12" w:space="0" w:color="auto"/>
              <w:left w:val="nil"/>
              <w:right w:val="single" w:sz="12" w:space="0" w:color="auto"/>
            </w:tcBorders>
          </w:tcPr>
          <w:p w14:paraId="0F2C467A" w14:textId="77777777" w:rsidR="003A6273" w:rsidRPr="007B3828" w:rsidRDefault="003A6273" w:rsidP="007136E5">
            <w:pPr>
              <w:pStyle w:val="TableText"/>
              <w:spacing w:before="0" w:after="0"/>
              <w:rPr>
                <w:rFonts w:cs="Segoe UI"/>
                <w:sz w:val="20"/>
                <w:lang w:eastAsia="en-GB"/>
              </w:rPr>
            </w:pPr>
            <w:r w:rsidRPr="007B3828">
              <w:rPr>
                <w:rFonts w:cs="Segoe UI"/>
                <w:sz w:val="20"/>
                <w:lang w:eastAsia="en-GB"/>
              </w:rPr>
              <w:t>Part IIB : Macroprudential supervisory measures</w:t>
            </w:r>
          </w:p>
        </w:tc>
        <w:tc>
          <w:tcPr>
            <w:tcW w:w="4762" w:type="dxa"/>
            <w:tcBorders>
              <w:top w:val="single" w:sz="12" w:space="0" w:color="auto"/>
              <w:left w:val="single" w:sz="12" w:space="0" w:color="auto"/>
              <w:bottom w:val="single" w:sz="8" w:space="0" w:color="000000"/>
              <w:right w:val="single" w:sz="12" w:space="0" w:color="auto"/>
            </w:tcBorders>
            <w:shd w:val="clear" w:color="auto" w:fill="auto"/>
          </w:tcPr>
          <w:p w14:paraId="3098738A" w14:textId="77777777" w:rsidR="003A6273" w:rsidRPr="00746660" w:rsidRDefault="003A6273" w:rsidP="007136E5">
            <w:pPr>
              <w:pStyle w:val="TableText"/>
              <w:spacing w:before="0" w:after="0"/>
              <w:rPr>
                <w:rFonts w:cs="Segoe UI"/>
                <w:noProof/>
                <w:sz w:val="20"/>
                <w:lang w:val="en-US" w:eastAsia="en-GB"/>
              </w:rPr>
            </w:pPr>
            <w:r w:rsidRPr="00F914B1">
              <w:rPr>
                <w:rFonts w:cs="Segoe UI"/>
                <w:sz w:val="20"/>
                <w:lang w:eastAsia="en-GB"/>
              </w:rPr>
              <w:t xml:space="preserve">Template </w:t>
            </w:r>
            <w:r w:rsidRPr="00746660">
              <w:rPr>
                <w:rFonts w:cs="Segoe UI"/>
                <w:sz w:val="20"/>
                <w:lang w:eastAsia="en-GB"/>
              </w:rPr>
              <w:t>GSIB1</w:t>
            </w:r>
            <w:r>
              <w:rPr>
                <w:rFonts w:cs="Segoe UI"/>
                <w:sz w:val="20"/>
                <w:lang w:eastAsia="en-GB"/>
              </w:rPr>
              <w:t>:</w:t>
            </w:r>
            <w:r w:rsidRPr="00746660">
              <w:rPr>
                <w:rFonts w:cs="Segoe UI"/>
                <w:sz w:val="20"/>
                <w:lang w:eastAsia="en-GB"/>
              </w:rPr>
              <w:t xml:space="preserve"> G-SIB indicators</w:t>
            </w:r>
          </w:p>
        </w:tc>
        <w:tc>
          <w:tcPr>
            <w:tcW w:w="1624" w:type="dxa"/>
            <w:tcBorders>
              <w:top w:val="single" w:sz="12" w:space="0" w:color="auto"/>
              <w:left w:val="single" w:sz="12" w:space="0" w:color="auto"/>
              <w:bottom w:val="single" w:sz="8" w:space="0" w:color="000000"/>
              <w:right w:val="single" w:sz="12" w:space="0" w:color="auto"/>
            </w:tcBorders>
            <w:shd w:val="clear" w:color="auto" w:fill="auto"/>
          </w:tcPr>
          <w:p w14:paraId="6E90FFD4" w14:textId="77777777" w:rsidR="003A6273" w:rsidRPr="00F914B1" w:rsidRDefault="003A6273" w:rsidP="007136E5">
            <w:pPr>
              <w:pStyle w:val="TableText"/>
              <w:spacing w:before="0" w:after="0"/>
              <w:jc w:val="center"/>
              <w:rPr>
                <w:rFonts w:cs="Segoe UI"/>
                <w:sz w:val="20"/>
                <w:lang w:eastAsia="en-GB"/>
              </w:rPr>
            </w:pPr>
            <w:r>
              <w:rPr>
                <w:rFonts w:cs="Segoe UI"/>
                <w:sz w:val="20"/>
                <w:lang w:eastAsia="en-GB"/>
              </w:rPr>
              <w:t xml:space="preserve">L [G-SIBs, or AIs falling within BDR </w:t>
            </w:r>
            <w:r w:rsidRPr="001B530B">
              <w:rPr>
                <w:rFonts w:cs="Segoe UI"/>
                <w:sz w:val="20"/>
                <w:lang w:eastAsia="en-GB"/>
              </w:rPr>
              <w:t>§16FF(1)</w:t>
            </w:r>
            <w:r>
              <w:rPr>
                <w:rFonts w:cs="Segoe UI"/>
                <w:sz w:val="20"/>
                <w:lang w:eastAsia="en-GB"/>
              </w:rPr>
              <w:t>]</w:t>
            </w:r>
          </w:p>
        </w:tc>
        <w:tc>
          <w:tcPr>
            <w:tcW w:w="1244" w:type="dxa"/>
            <w:tcBorders>
              <w:top w:val="single" w:sz="12" w:space="0" w:color="auto"/>
              <w:left w:val="single" w:sz="12" w:space="0" w:color="auto"/>
              <w:bottom w:val="single" w:sz="8" w:space="0" w:color="000000"/>
            </w:tcBorders>
            <w:shd w:val="clear" w:color="auto" w:fill="auto"/>
          </w:tcPr>
          <w:p w14:paraId="4BB366F2" w14:textId="77777777" w:rsidR="003A6273" w:rsidRPr="00F914B1" w:rsidRDefault="003A6273" w:rsidP="007136E5">
            <w:pPr>
              <w:pStyle w:val="TableText"/>
              <w:spacing w:before="0" w:after="0"/>
              <w:jc w:val="center"/>
              <w:rPr>
                <w:rFonts w:cs="Segoe UI"/>
                <w:sz w:val="20"/>
                <w:lang w:eastAsia="en-GB"/>
              </w:rPr>
            </w:pPr>
          </w:p>
        </w:tc>
        <w:tc>
          <w:tcPr>
            <w:tcW w:w="1134" w:type="dxa"/>
            <w:tcBorders>
              <w:top w:val="single" w:sz="12" w:space="0" w:color="auto"/>
              <w:bottom w:val="single" w:sz="8" w:space="0" w:color="000000"/>
              <w:right w:val="single" w:sz="12" w:space="0" w:color="auto"/>
            </w:tcBorders>
            <w:shd w:val="clear" w:color="auto" w:fill="auto"/>
          </w:tcPr>
          <w:p w14:paraId="3C81205D" w14:textId="77777777" w:rsidR="003A6273" w:rsidRPr="00F914B1" w:rsidRDefault="003A6273" w:rsidP="007136E5">
            <w:pPr>
              <w:pStyle w:val="TableText"/>
              <w:spacing w:before="0" w:after="0"/>
              <w:jc w:val="center"/>
              <w:rPr>
                <w:rFonts w:cs="Segoe UI"/>
                <w:noProof/>
                <w:sz w:val="20"/>
                <w:lang w:eastAsia="en-GB"/>
              </w:rPr>
            </w:pPr>
            <w:r w:rsidRPr="00F914B1">
              <w:rPr>
                <w:rFonts w:cs="Segoe UI"/>
                <w:sz w:val="20"/>
                <w:lang w:eastAsia="en-GB"/>
              </w:rPr>
              <w:sym w:font="Wingdings 2" w:char="F050"/>
            </w:r>
          </w:p>
        </w:tc>
        <w:tc>
          <w:tcPr>
            <w:tcW w:w="1134" w:type="dxa"/>
            <w:tcBorders>
              <w:top w:val="single" w:sz="12" w:space="0" w:color="auto"/>
              <w:left w:val="single" w:sz="12" w:space="0" w:color="auto"/>
              <w:bottom w:val="single" w:sz="8" w:space="0" w:color="000000"/>
            </w:tcBorders>
            <w:shd w:val="clear" w:color="auto" w:fill="auto"/>
          </w:tcPr>
          <w:p w14:paraId="40C37071" w14:textId="77777777" w:rsidR="003A6273" w:rsidRPr="00F914B1" w:rsidRDefault="003A6273" w:rsidP="007136E5">
            <w:pPr>
              <w:pStyle w:val="TableText"/>
              <w:spacing w:before="0" w:after="0"/>
              <w:jc w:val="center"/>
              <w:rPr>
                <w:rFonts w:cs="Segoe UI"/>
                <w:sz w:val="20"/>
                <w:lang w:eastAsia="en-GB"/>
              </w:rPr>
            </w:pPr>
          </w:p>
        </w:tc>
        <w:tc>
          <w:tcPr>
            <w:tcW w:w="1276" w:type="dxa"/>
            <w:tcBorders>
              <w:top w:val="single" w:sz="12" w:space="0" w:color="auto"/>
              <w:bottom w:val="single" w:sz="8" w:space="0" w:color="000000"/>
            </w:tcBorders>
            <w:shd w:val="clear" w:color="auto" w:fill="auto"/>
          </w:tcPr>
          <w:p w14:paraId="24BD8508" w14:textId="77777777" w:rsidR="003A6273" w:rsidRPr="00F914B1" w:rsidRDefault="003A6273" w:rsidP="007136E5">
            <w:pPr>
              <w:pStyle w:val="TableText"/>
              <w:spacing w:before="0" w:after="0"/>
              <w:jc w:val="center"/>
              <w:rPr>
                <w:rFonts w:cs="Segoe UI"/>
                <w:sz w:val="20"/>
                <w:lang w:eastAsia="en-GB"/>
              </w:rPr>
            </w:pPr>
          </w:p>
        </w:tc>
        <w:tc>
          <w:tcPr>
            <w:tcW w:w="1101" w:type="dxa"/>
            <w:tcBorders>
              <w:top w:val="single" w:sz="12" w:space="0" w:color="auto"/>
              <w:bottom w:val="single" w:sz="8" w:space="0" w:color="000000"/>
              <w:right w:val="single" w:sz="12" w:space="0" w:color="auto"/>
            </w:tcBorders>
            <w:shd w:val="clear" w:color="auto" w:fill="auto"/>
          </w:tcPr>
          <w:p w14:paraId="15A53F8D" w14:textId="77777777" w:rsidR="003A6273" w:rsidRPr="00F914B1" w:rsidRDefault="003A6273" w:rsidP="007136E5">
            <w:pPr>
              <w:pStyle w:val="TableText"/>
              <w:spacing w:before="0" w:after="0"/>
              <w:jc w:val="center"/>
              <w:rPr>
                <w:rFonts w:cs="Segoe UI"/>
                <w:noProof/>
                <w:sz w:val="20"/>
                <w:lang w:eastAsia="en-GB"/>
              </w:rPr>
            </w:pPr>
            <w:r w:rsidRPr="00F914B1">
              <w:rPr>
                <w:rFonts w:cs="Segoe UI"/>
                <w:sz w:val="20"/>
                <w:lang w:eastAsia="en-GB"/>
              </w:rPr>
              <w:sym w:font="Wingdings 2" w:char="F050"/>
            </w:r>
          </w:p>
        </w:tc>
      </w:tr>
      <w:tr w:rsidR="003A6273" w14:paraId="09299571" w14:textId="77777777" w:rsidTr="003A6273">
        <w:trPr>
          <w:cantSplit/>
          <w:trHeight w:val="283"/>
        </w:trPr>
        <w:tc>
          <w:tcPr>
            <w:tcW w:w="2154" w:type="dxa"/>
            <w:vMerge/>
            <w:tcBorders>
              <w:left w:val="nil"/>
              <w:right w:val="single" w:sz="12" w:space="0" w:color="auto"/>
            </w:tcBorders>
          </w:tcPr>
          <w:p w14:paraId="7E8978E6" w14:textId="77777777" w:rsidR="003A6273" w:rsidRPr="00F914B1" w:rsidRDefault="003A6273" w:rsidP="007136E5">
            <w:pPr>
              <w:pStyle w:val="TableText"/>
              <w:spacing w:before="0" w:after="0"/>
              <w:rPr>
                <w:rFonts w:cs="Segoe UI"/>
                <w:sz w:val="20"/>
                <w:lang w:eastAsia="en-GB"/>
              </w:rPr>
            </w:pPr>
          </w:p>
        </w:tc>
        <w:tc>
          <w:tcPr>
            <w:tcW w:w="4762" w:type="dxa"/>
            <w:tcBorders>
              <w:top w:val="single" w:sz="8" w:space="0" w:color="000000"/>
              <w:left w:val="single" w:sz="12" w:space="0" w:color="auto"/>
              <w:bottom w:val="single" w:sz="12" w:space="0" w:color="auto"/>
              <w:right w:val="single" w:sz="12" w:space="0" w:color="auto"/>
            </w:tcBorders>
            <w:shd w:val="clear" w:color="auto" w:fill="auto"/>
          </w:tcPr>
          <w:p w14:paraId="7AF006C3" w14:textId="77777777" w:rsidR="003A6273" w:rsidRPr="00F914B1" w:rsidRDefault="003A6273" w:rsidP="007136E5">
            <w:pPr>
              <w:pStyle w:val="TableText"/>
              <w:spacing w:before="0" w:after="0"/>
              <w:rPr>
                <w:rFonts w:cs="Segoe UI"/>
                <w:noProof/>
                <w:sz w:val="20"/>
                <w:lang w:eastAsia="en-GB"/>
              </w:rPr>
            </w:pPr>
            <w:r w:rsidRPr="00F914B1">
              <w:rPr>
                <w:rFonts w:cs="Segoe UI"/>
                <w:sz w:val="20"/>
                <w:lang w:eastAsia="en-GB"/>
              </w:rPr>
              <w:t xml:space="preserve">Template </w:t>
            </w:r>
            <w:r w:rsidRPr="00746660">
              <w:rPr>
                <w:rFonts w:cs="Segoe UI"/>
                <w:sz w:val="20"/>
                <w:lang w:eastAsia="en-GB"/>
              </w:rPr>
              <w:t>CCyB1</w:t>
            </w:r>
            <w:r>
              <w:rPr>
                <w:rFonts w:cs="Segoe UI"/>
                <w:sz w:val="20"/>
                <w:lang w:eastAsia="en-GB"/>
              </w:rPr>
              <w:t>:</w:t>
            </w:r>
            <w:r w:rsidRPr="00746660">
              <w:rPr>
                <w:rFonts w:cs="Segoe UI"/>
                <w:sz w:val="20"/>
                <w:lang w:eastAsia="en-GB"/>
              </w:rPr>
              <w:t xml:space="preserve"> Geographical distribution</w:t>
            </w:r>
            <w:r>
              <w:rPr>
                <w:rFonts w:cs="Segoe UI"/>
                <w:sz w:val="20"/>
                <w:lang w:eastAsia="en-GB"/>
              </w:rPr>
              <w:t xml:space="preserve"> of credit exposures used in</w:t>
            </w:r>
            <w:r w:rsidRPr="00746660">
              <w:rPr>
                <w:rFonts w:cs="Segoe UI"/>
                <w:sz w:val="20"/>
                <w:lang w:eastAsia="en-GB"/>
              </w:rPr>
              <w:t xml:space="preserve"> countercyclical</w:t>
            </w:r>
            <w:r>
              <w:rPr>
                <w:rFonts w:cs="Segoe UI"/>
                <w:sz w:val="20"/>
                <w:lang w:eastAsia="en-GB"/>
              </w:rPr>
              <w:t xml:space="preserve"> capital</w:t>
            </w:r>
            <w:r w:rsidRPr="00746660">
              <w:rPr>
                <w:rFonts w:cs="Segoe UI"/>
                <w:sz w:val="20"/>
                <w:lang w:eastAsia="en-GB"/>
              </w:rPr>
              <w:t xml:space="preserve"> buffer</w:t>
            </w:r>
          </w:p>
        </w:tc>
        <w:tc>
          <w:tcPr>
            <w:tcW w:w="1624" w:type="dxa"/>
            <w:tcBorders>
              <w:top w:val="single" w:sz="8" w:space="0" w:color="000000"/>
              <w:left w:val="single" w:sz="12" w:space="0" w:color="auto"/>
              <w:bottom w:val="single" w:sz="12" w:space="0" w:color="auto"/>
              <w:right w:val="single" w:sz="12" w:space="0" w:color="auto"/>
            </w:tcBorders>
            <w:shd w:val="clear" w:color="auto" w:fill="auto"/>
          </w:tcPr>
          <w:p w14:paraId="72B26342" w14:textId="77777777" w:rsidR="003A6273" w:rsidRPr="00F914B1" w:rsidRDefault="003A6273" w:rsidP="007136E5">
            <w:pPr>
              <w:pStyle w:val="TableText"/>
              <w:spacing w:before="0" w:after="0"/>
              <w:jc w:val="center"/>
              <w:rPr>
                <w:rFonts w:cs="Segoe UI"/>
                <w:noProof/>
                <w:sz w:val="20"/>
                <w:lang w:eastAsia="en-GB"/>
              </w:rPr>
            </w:pPr>
            <w:r>
              <w:rPr>
                <w:rFonts w:cs="Segoe UI"/>
                <w:noProof/>
                <w:sz w:val="20"/>
                <w:lang w:eastAsia="en-GB"/>
              </w:rPr>
              <w:t>L</w:t>
            </w:r>
          </w:p>
        </w:tc>
        <w:tc>
          <w:tcPr>
            <w:tcW w:w="1244" w:type="dxa"/>
            <w:tcBorders>
              <w:top w:val="single" w:sz="8" w:space="0" w:color="000000"/>
              <w:left w:val="single" w:sz="12" w:space="0" w:color="auto"/>
              <w:bottom w:val="single" w:sz="12" w:space="0" w:color="auto"/>
            </w:tcBorders>
            <w:shd w:val="clear" w:color="auto" w:fill="auto"/>
          </w:tcPr>
          <w:p w14:paraId="4096CBD2" w14:textId="77777777" w:rsidR="003A6273" w:rsidRPr="00F914B1" w:rsidRDefault="003A6273" w:rsidP="007136E5">
            <w:pPr>
              <w:pStyle w:val="TableText"/>
              <w:spacing w:before="0" w:after="0"/>
              <w:jc w:val="center"/>
              <w:rPr>
                <w:rFonts w:cs="Segoe UI"/>
                <w:noProof/>
                <w:sz w:val="20"/>
                <w:lang w:eastAsia="en-GB"/>
              </w:rPr>
            </w:pPr>
          </w:p>
        </w:tc>
        <w:tc>
          <w:tcPr>
            <w:tcW w:w="1134" w:type="dxa"/>
            <w:tcBorders>
              <w:top w:val="single" w:sz="8" w:space="0" w:color="000000"/>
              <w:bottom w:val="single" w:sz="12" w:space="0" w:color="auto"/>
              <w:right w:val="single" w:sz="12" w:space="0" w:color="auto"/>
            </w:tcBorders>
            <w:shd w:val="clear" w:color="auto" w:fill="auto"/>
          </w:tcPr>
          <w:p w14:paraId="7416000B" w14:textId="77777777" w:rsidR="003A6273" w:rsidRPr="00F914B1" w:rsidRDefault="003A6273" w:rsidP="007136E5">
            <w:pPr>
              <w:pStyle w:val="TableText"/>
              <w:spacing w:before="0" w:after="0"/>
              <w:jc w:val="center"/>
              <w:rPr>
                <w:rFonts w:cs="Segoe UI"/>
                <w:sz w:val="20"/>
                <w:lang w:eastAsia="en-GB"/>
              </w:rPr>
            </w:pPr>
            <w:r w:rsidRPr="00F914B1">
              <w:rPr>
                <w:rFonts w:cs="Segoe UI"/>
                <w:sz w:val="20"/>
                <w:lang w:eastAsia="en-GB"/>
              </w:rPr>
              <w:sym w:font="Wingdings 2" w:char="F050"/>
            </w:r>
          </w:p>
        </w:tc>
        <w:tc>
          <w:tcPr>
            <w:tcW w:w="1134" w:type="dxa"/>
            <w:tcBorders>
              <w:top w:val="single" w:sz="8" w:space="0" w:color="000000"/>
              <w:left w:val="single" w:sz="12" w:space="0" w:color="auto"/>
              <w:bottom w:val="single" w:sz="12" w:space="0" w:color="auto"/>
            </w:tcBorders>
            <w:shd w:val="clear" w:color="auto" w:fill="auto"/>
          </w:tcPr>
          <w:p w14:paraId="0B0C8E26" w14:textId="77777777" w:rsidR="003A6273" w:rsidRPr="00F914B1" w:rsidRDefault="003A6273" w:rsidP="007136E5">
            <w:pPr>
              <w:pStyle w:val="TableText"/>
              <w:spacing w:before="0" w:after="0"/>
              <w:jc w:val="center"/>
              <w:rPr>
                <w:rFonts w:cs="Segoe UI"/>
                <w:sz w:val="20"/>
                <w:lang w:eastAsia="en-GB"/>
              </w:rPr>
            </w:pPr>
          </w:p>
        </w:tc>
        <w:tc>
          <w:tcPr>
            <w:tcW w:w="1276" w:type="dxa"/>
            <w:tcBorders>
              <w:top w:val="single" w:sz="8" w:space="0" w:color="000000"/>
              <w:bottom w:val="single" w:sz="12" w:space="0" w:color="auto"/>
            </w:tcBorders>
            <w:shd w:val="clear" w:color="auto" w:fill="auto"/>
          </w:tcPr>
          <w:p w14:paraId="7BB60DDC" w14:textId="77777777" w:rsidR="003A6273" w:rsidRPr="00F914B1" w:rsidRDefault="003A6273" w:rsidP="007136E5">
            <w:pPr>
              <w:pStyle w:val="TableText"/>
              <w:spacing w:before="0" w:after="0"/>
              <w:jc w:val="center"/>
              <w:rPr>
                <w:rFonts w:cs="Segoe UI"/>
                <w:noProof/>
                <w:sz w:val="20"/>
                <w:lang w:eastAsia="en-GB"/>
              </w:rPr>
            </w:pPr>
            <w:r w:rsidRPr="00F914B1">
              <w:rPr>
                <w:rFonts w:cs="Segoe UI"/>
                <w:sz w:val="20"/>
                <w:lang w:eastAsia="en-GB"/>
              </w:rPr>
              <w:sym w:font="Wingdings 2" w:char="F050"/>
            </w:r>
          </w:p>
        </w:tc>
        <w:tc>
          <w:tcPr>
            <w:tcW w:w="1101" w:type="dxa"/>
            <w:tcBorders>
              <w:top w:val="single" w:sz="8" w:space="0" w:color="000000"/>
              <w:bottom w:val="single" w:sz="12" w:space="0" w:color="auto"/>
              <w:right w:val="single" w:sz="12" w:space="0" w:color="auto"/>
            </w:tcBorders>
            <w:shd w:val="clear" w:color="auto" w:fill="auto"/>
          </w:tcPr>
          <w:p w14:paraId="123EAAC2" w14:textId="77777777" w:rsidR="003A6273" w:rsidRPr="00F914B1" w:rsidRDefault="003A6273" w:rsidP="007136E5">
            <w:pPr>
              <w:pStyle w:val="TableText"/>
              <w:spacing w:before="0" w:after="0"/>
              <w:jc w:val="center"/>
              <w:rPr>
                <w:rFonts w:cs="Segoe UI"/>
                <w:noProof/>
                <w:sz w:val="20"/>
                <w:lang w:eastAsia="en-GB"/>
              </w:rPr>
            </w:pPr>
          </w:p>
        </w:tc>
      </w:tr>
      <w:tr w:rsidR="003A6273" w14:paraId="3FB33F05" w14:textId="77777777" w:rsidTr="003A6273">
        <w:trPr>
          <w:cantSplit/>
          <w:trHeight w:val="283"/>
        </w:trPr>
        <w:tc>
          <w:tcPr>
            <w:tcW w:w="2154" w:type="dxa"/>
            <w:vMerge w:val="restart"/>
            <w:tcBorders>
              <w:top w:val="single" w:sz="12" w:space="0" w:color="auto"/>
              <w:left w:val="nil"/>
              <w:right w:val="single" w:sz="12" w:space="0" w:color="auto"/>
            </w:tcBorders>
          </w:tcPr>
          <w:p w14:paraId="1B56D609" w14:textId="77777777" w:rsidR="003A6273" w:rsidRPr="007B3828" w:rsidRDefault="003A6273" w:rsidP="007136E5">
            <w:pPr>
              <w:pStyle w:val="TableText"/>
              <w:spacing w:before="0" w:after="0"/>
              <w:rPr>
                <w:rFonts w:cs="Segoe UI"/>
                <w:sz w:val="20"/>
                <w:lang w:eastAsia="en-GB"/>
              </w:rPr>
            </w:pPr>
            <w:r w:rsidRPr="007B3828">
              <w:rPr>
                <w:rFonts w:cs="Segoe UI"/>
                <w:sz w:val="20"/>
                <w:lang w:eastAsia="en-GB"/>
              </w:rPr>
              <w:t>Part IIC : Leverage ratio</w:t>
            </w:r>
          </w:p>
        </w:tc>
        <w:tc>
          <w:tcPr>
            <w:tcW w:w="4762" w:type="dxa"/>
            <w:tcBorders>
              <w:top w:val="single" w:sz="12" w:space="0" w:color="auto"/>
              <w:left w:val="single" w:sz="12" w:space="0" w:color="auto"/>
              <w:bottom w:val="single" w:sz="4" w:space="0" w:color="auto"/>
              <w:right w:val="single" w:sz="12" w:space="0" w:color="auto"/>
            </w:tcBorders>
            <w:shd w:val="clear" w:color="auto" w:fill="auto"/>
          </w:tcPr>
          <w:p w14:paraId="6D5DE3C5" w14:textId="77777777" w:rsidR="003A6273" w:rsidRPr="00F914B1" w:rsidRDefault="003A6273" w:rsidP="007136E5">
            <w:pPr>
              <w:pStyle w:val="TableText"/>
              <w:spacing w:before="0" w:after="0"/>
              <w:rPr>
                <w:rFonts w:cs="Segoe UI"/>
                <w:noProof/>
                <w:sz w:val="20"/>
                <w:lang w:eastAsia="en-GB"/>
              </w:rPr>
            </w:pPr>
            <w:r>
              <w:rPr>
                <w:rFonts w:cs="Segoe UI"/>
                <w:sz w:val="20"/>
                <w:lang w:eastAsia="en-GB"/>
              </w:rPr>
              <w:t xml:space="preserve">Template </w:t>
            </w:r>
            <w:r w:rsidRPr="00811FD5">
              <w:rPr>
                <w:rFonts w:cs="Segoe UI"/>
                <w:sz w:val="20"/>
                <w:lang w:eastAsia="en-GB"/>
              </w:rPr>
              <w:t>LR1</w:t>
            </w:r>
            <w:r>
              <w:rPr>
                <w:rFonts w:cs="Segoe UI"/>
                <w:sz w:val="20"/>
                <w:lang w:eastAsia="en-GB"/>
              </w:rPr>
              <w:t>:</w:t>
            </w:r>
            <w:r w:rsidRPr="00811FD5">
              <w:rPr>
                <w:rFonts w:cs="Segoe UI"/>
                <w:sz w:val="20"/>
                <w:lang w:eastAsia="en-GB"/>
              </w:rPr>
              <w:t xml:space="preserve"> Summary c</w:t>
            </w:r>
            <w:r>
              <w:rPr>
                <w:rFonts w:cs="Segoe UI"/>
                <w:sz w:val="20"/>
                <w:lang w:eastAsia="en-GB"/>
              </w:rPr>
              <w:t>omparison of accounting assets against</w:t>
            </w:r>
            <w:r w:rsidRPr="00811FD5">
              <w:rPr>
                <w:rFonts w:cs="Segoe UI"/>
                <w:sz w:val="20"/>
                <w:lang w:eastAsia="en-GB"/>
              </w:rPr>
              <w:t xml:space="preserve"> leverage ratio exposure measure</w:t>
            </w:r>
            <w:r w:rsidRPr="006E592F">
              <w:rPr>
                <w:rFonts w:cs="Segoe UI"/>
                <w:sz w:val="20"/>
                <w:lang w:eastAsia="en-GB"/>
              </w:rPr>
              <w:t xml:space="preserve"> </w:t>
            </w:r>
          </w:p>
        </w:tc>
        <w:tc>
          <w:tcPr>
            <w:tcW w:w="1624" w:type="dxa"/>
            <w:tcBorders>
              <w:top w:val="single" w:sz="12" w:space="0" w:color="auto"/>
              <w:left w:val="single" w:sz="12" w:space="0" w:color="auto"/>
              <w:bottom w:val="single" w:sz="4" w:space="0" w:color="auto"/>
              <w:right w:val="single" w:sz="12" w:space="0" w:color="auto"/>
            </w:tcBorders>
            <w:shd w:val="clear" w:color="auto" w:fill="auto"/>
          </w:tcPr>
          <w:p w14:paraId="5286E752" w14:textId="77777777" w:rsidR="003A6273" w:rsidRPr="00F914B1" w:rsidRDefault="003A6273" w:rsidP="007136E5">
            <w:pPr>
              <w:pStyle w:val="TableText"/>
              <w:spacing w:before="0" w:after="0"/>
              <w:jc w:val="center"/>
              <w:rPr>
                <w:rFonts w:cs="Segoe UI"/>
                <w:sz w:val="20"/>
                <w:lang w:eastAsia="en-GB"/>
              </w:rPr>
            </w:pPr>
            <w:r>
              <w:rPr>
                <w:rFonts w:cs="Segoe UI"/>
                <w:sz w:val="20"/>
                <w:lang w:eastAsia="en-GB"/>
              </w:rPr>
              <w:t>L</w:t>
            </w:r>
          </w:p>
        </w:tc>
        <w:tc>
          <w:tcPr>
            <w:tcW w:w="1244" w:type="dxa"/>
            <w:tcBorders>
              <w:top w:val="single" w:sz="12" w:space="0" w:color="auto"/>
              <w:left w:val="single" w:sz="12" w:space="0" w:color="auto"/>
              <w:bottom w:val="single" w:sz="4" w:space="0" w:color="auto"/>
            </w:tcBorders>
            <w:shd w:val="clear" w:color="auto" w:fill="auto"/>
          </w:tcPr>
          <w:p w14:paraId="1C650D0F" w14:textId="77777777" w:rsidR="003A6273" w:rsidRPr="00F914B1" w:rsidRDefault="003A6273" w:rsidP="007136E5">
            <w:pPr>
              <w:pStyle w:val="TableText"/>
              <w:spacing w:before="0" w:after="0"/>
              <w:jc w:val="center"/>
              <w:rPr>
                <w:rFonts w:cs="Segoe UI"/>
                <w:sz w:val="20"/>
                <w:lang w:eastAsia="en-GB"/>
              </w:rPr>
            </w:pPr>
            <w:r w:rsidRPr="00F914B1">
              <w:rPr>
                <w:rFonts w:cs="Segoe UI"/>
                <w:sz w:val="20"/>
                <w:lang w:eastAsia="en-GB"/>
              </w:rPr>
              <w:sym w:font="Wingdings 2" w:char="F050"/>
            </w:r>
            <w:r>
              <w:rPr>
                <w:rFonts w:cs="Segoe UI"/>
                <w:sz w:val="20"/>
                <w:lang w:eastAsia="en-GB"/>
              </w:rPr>
              <w:t xml:space="preserve"> </w:t>
            </w:r>
          </w:p>
        </w:tc>
        <w:tc>
          <w:tcPr>
            <w:tcW w:w="1134" w:type="dxa"/>
            <w:tcBorders>
              <w:top w:val="single" w:sz="12" w:space="0" w:color="auto"/>
              <w:bottom w:val="single" w:sz="4" w:space="0" w:color="auto"/>
              <w:right w:val="single" w:sz="12" w:space="0" w:color="auto"/>
            </w:tcBorders>
            <w:shd w:val="clear" w:color="auto" w:fill="auto"/>
          </w:tcPr>
          <w:p w14:paraId="6BB2AAE0" w14:textId="77777777" w:rsidR="003A6273" w:rsidRPr="00F914B1" w:rsidRDefault="003A6273" w:rsidP="007136E5">
            <w:pPr>
              <w:pStyle w:val="TableText"/>
              <w:spacing w:before="0" w:after="0"/>
              <w:jc w:val="center"/>
              <w:rPr>
                <w:rFonts w:cs="Segoe UI"/>
                <w:noProof/>
                <w:sz w:val="20"/>
                <w:lang w:eastAsia="en-GB"/>
              </w:rPr>
            </w:pPr>
          </w:p>
        </w:tc>
        <w:tc>
          <w:tcPr>
            <w:tcW w:w="1134" w:type="dxa"/>
            <w:tcBorders>
              <w:top w:val="single" w:sz="12" w:space="0" w:color="auto"/>
              <w:left w:val="single" w:sz="12" w:space="0" w:color="auto"/>
              <w:bottom w:val="single" w:sz="4" w:space="0" w:color="auto"/>
            </w:tcBorders>
            <w:shd w:val="clear" w:color="auto" w:fill="auto"/>
          </w:tcPr>
          <w:p w14:paraId="40523695" w14:textId="77777777" w:rsidR="003A6273" w:rsidRPr="00F914B1" w:rsidRDefault="003A6273" w:rsidP="007136E5">
            <w:pPr>
              <w:pStyle w:val="TableText"/>
              <w:spacing w:before="0" w:after="0"/>
              <w:jc w:val="center"/>
              <w:rPr>
                <w:rFonts w:cs="Segoe UI"/>
                <w:sz w:val="20"/>
                <w:lang w:eastAsia="en-GB"/>
              </w:rPr>
            </w:pPr>
          </w:p>
        </w:tc>
        <w:tc>
          <w:tcPr>
            <w:tcW w:w="1276" w:type="dxa"/>
            <w:tcBorders>
              <w:top w:val="single" w:sz="12" w:space="0" w:color="auto"/>
              <w:bottom w:val="single" w:sz="4" w:space="0" w:color="auto"/>
            </w:tcBorders>
            <w:shd w:val="clear" w:color="auto" w:fill="auto"/>
          </w:tcPr>
          <w:p w14:paraId="2D04B87D" w14:textId="77777777" w:rsidR="003A6273" w:rsidRPr="00F914B1" w:rsidRDefault="003A6273" w:rsidP="007136E5">
            <w:pPr>
              <w:pStyle w:val="TableText"/>
              <w:spacing w:before="0" w:after="0"/>
              <w:jc w:val="center"/>
              <w:rPr>
                <w:rFonts w:cs="Segoe UI"/>
                <w:sz w:val="20"/>
                <w:lang w:eastAsia="en-GB"/>
              </w:rPr>
            </w:pPr>
            <w:r w:rsidRPr="00F914B1">
              <w:rPr>
                <w:rFonts w:cs="Segoe UI"/>
                <w:sz w:val="20"/>
                <w:lang w:eastAsia="en-GB"/>
              </w:rPr>
              <w:sym w:font="Wingdings 2" w:char="F050"/>
            </w:r>
          </w:p>
        </w:tc>
        <w:tc>
          <w:tcPr>
            <w:tcW w:w="1101" w:type="dxa"/>
            <w:tcBorders>
              <w:top w:val="single" w:sz="12" w:space="0" w:color="auto"/>
              <w:bottom w:val="single" w:sz="4" w:space="0" w:color="auto"/>
              <w:right w:val="single" w:sz="12" w:space="0" w:color="auto"/>
            </w:tcBorders>
            <w:shd w:val="clear" w:color="auto" w:fill="auto"/>
          </w:tcPr>
          <w:p w14:paraId="29265C64" w14:textId="77777777" w:rsidR="003A6273" w:rsidRPr="00F914B1" w:rsidRDefault="003A6273" w:rsidP="007136E5">
            <w:pPr>
              <w:pStyle w:val="TableText"/>
              <w:spacing w:before="0" w:after="0"/>
              <w:jc w:val="center"/>
              <w:rPr>
                <w:rFonts w:cs="Segoe UI"/>
                <w:noProof/>
                <w:sz w:val="20"/>
                <w:lang w:eastAsia="en-GB"/>
              </w:rPr>
            </w:pPr>
          </w:p>
        </w:tc>
      </w:tr>
      <w:tr w:rsidR="003A6273" w14:paraId="2EA65F76" w14:textId="77777777" w:rsidTr="00C3378F">
        <w:trPr>
          <w:cantSplit/>
          <w:trHeight w:val="283"/>
        </w:trPr>
        <w:tc>
          <w:tcPr>
            <w:tcW w:w="2154" w:type="dxa"/>
            <w:vMerge/>
            <w:tcBorders>
              <w:left w:val="nil"/>
              <w:bottom w:val="single" w:sz="12" w:space="0" w:color="auto"/>
              <w:right w:val="single" w:sz="12" w:space="0" w:color="auto"/>
            </w:tcBorders>
          </w:tcPr>
          <w:p w14:paraId="5A8582B9" w14:textId="77777777" w:rsidR="003A6273" w:rsidRPr="007B3828" w:rsidRDefault="003A6273" w:rsidP="007136E5">
            <w:pPr>
              <w:pStyle w:val="TableText"/>
              <w:spacing w:before="0" w:after="0"/>
              <w:rPr>
                <w:rFonts w:cs="Segoe UI"/>
                <w:sz w:val="20"/>
                <w:lang w:eastAsia="en-GB"/>
              </w:rPr>
            </w:pPr>
          </w:p>
        </w:tc>
        <w:tc>
          <w:tcPr>
            <w:tcW w:w="4762" w:type="dxa"/>
            <w:tcBorders>
              <w:top w:val="single" w:sz="4" w:space="0" w:color="auto"/>
              <w:left w:val="single" w:sz="12" w:space="0" w:color="auto"/>
              <w:bottom w:val="single" w:sz="12" w:space="0" w:color="auto"/>
              <w:right w:val="single" w:sz="12" w:space="0" w:color="auto"/>
            </w:tcBorders>
            <w:shd w:val="clear" w:color="auto" w:fill="auto"/>
          </w:tcPr>
          <w:p w14:paraId="4EF4E03A" w14:textId="77777777" w:rsidR="003A6273" w:rsidRPr="00F914B1" w:rsidRDefault="003A6273" w:rsidP="007136E5">
            <w:pPr>
              <w:pStyle w:val="TableText"/>
              <w:spacing w:before="0" w:after="0"/>
              <w:rPr>
                <w:rFonts w:cs="Segoe UI"/>
                <w:noProof/>
                <w:sz w:val="20"/>
                <w:lang w:eastAsia="en-GB"/>
              </w:rPr>
            </w:pPr>
            <w:r w:rsidRPr="00F914B1">
              <w:rPr>
                <w:rFonts w:cs="Segoe UI"/>
                <w:sz w:val="20"/>
                <w:lang w:eastAsia="en-GB"/>
              </w:rPr>
              <w:t xml:space="preserve">Template </w:t>
            </w:r>
            <w:r w:rsidRPr="00811FD5">
              <w:rPr>
                <w:rFonts w:cs="Segoe UI"/>
                <w:sz w:val="20"/>
                <w:lang w:eastAsia="en-GB"/>
              </w:rPr>
              <w:t>LR2</w:t>
            </w:r>
            <w:r>
              <w:rPr>
                <w:rFonts w:cs="Segoe UI"/>
                <w:sz w:val="20"/>
                <w:lang w:eastAsia="en-GB"/>
              </w:rPr>
              <w:t>:</w:t>
            </w:r>
            <w:r w:rsidRPr="00811FD5">
              <w:rPr>
                <w:rFonts w:cs="Segoe UI"/>
                <w:sz w:val="20"/>
                <w:lang w:eastAsia="en-GB"/>
              </w:rPr>
              <w:t xml:space="preserve"> Leverage ratio</w:t>
            </w:r>
            <w:r w:rsidRPr="006E592F">
              <w:rPr>
                <w:rFonts w:cs="Segoe UI"/>
                <w:sz w:val="20"/>
                <w:lang w:eastAsia="en-GB"/>
              </w:rPr>
              <w:t xml:space="preserve"> </w:t>
            </w:r>
          </w:p>
        </w:tc>
        <w:tc>
          <w:tcPr>
            <w:tcW w:w="1624" w:type="dxa"/>
            <w:tcBorders>
              <w:top w:val="single" w:sz="4" w:space="0" w:color="auto"/>
              <w:left w:val="single" w:sz="12" w:space="0" w:color="auto"/>
              <w:bottom w:val="single" w:sz="12" w:space="0" w:color="auto"/>
              <w:right w:val="single" w:sz="12" w:space="0" w:color="auto"/>
            </w:tcBorders>
            <w:shd w:val="clear" w:color="auto" w:fill="auto"/>
          </w:tcPr>
          <w:p w14:paraId="0DC94B4F" w14:textId="77777777" w:rsidR="003A6273" w:rsidRPr="00F914B1" w:rsidRDefault="003A6273" w:rsidP="007136E5">
            <w:pPr>
              <w:pStyle w:val="TableText"/>
              <w:spacing w:before="0" w:after="0"/>
              <w:jc w:val="center"/>
              <w:rPr>
                <w:rFonts w:cs="Segoe UI"/>
                <w:noProof/>
                <w:sz w:val="20"/>
                <w:lang w:eastAsia="en-GB"/>
              </w:rPr>
            </w:pPr>
            <w:r>
              <w:rPr>
                <w:rFonts w:cs="Segoe UI"/>
                <w:noProof/>
                <w:sz w:val="20"/>
                <w:lang w:eastAsia="en-GB"/>
              </w:rPr>
              <w:t>L</w:t>
            </w:r>
          </w:p>
        </w:tc>
        <w:tc>
          <w:tcPr>
            <w:tcW w:w="1244" w:type="dxa"/>
            <w:tcBorders>
              <w:top w:val="single" w:sz="4" w:space="0" w:color="auto"/>
              <w:left w:val="single" w:sz="12" w:space="0" w:color="auto"/>
              <w:bottom w:val="single" w:sz="12" w:space="0" w:color="auto"/>
            </w:tcBorders>
            <w:shd w:val="clear" w:color="auto" w:fill="auto"/>
          </w:tcPr>
          <w:p w14:paraId="7E5AD0BD" w14:textId="77777777" w:rsidR="003A6273" w:rsidRPr="00F914B1" w:rsidRDefault="003A6273" w:rsidP="007136E5">
            <w:pPr>
              <w:pStyle w:val="TableText"/>
              <w:spacing w:before="0" w:after="0"/>
              <w:jc w:val="center"/>
              <w:rPr>
                <w:rFonts w:cs="Segoe UI"/>
                <w:noProof/>
                <w:sz w:val="20"/>
                <w:lang w:eastAsia="en-GB"/>
              </w:rPr>
            </w:pPr>
            <w:r w:rsidRPr="00F914B1">
              <w:rPr>
                <w:rFonts w:cs="Segoe UI"/>
                <w:sz w:val="20"/>
                <w:lang w:eastAsia="en-GB"/>
              </w:rPr>
              <w:sym w:font="Wingdings 2" w:char="F050"/>
            </w:r>
          </w:p>
        </w:tc>
        <w:tc>
          <w:tcPr>
            <w:tcW w:w="1134" w:type="dxa"/>
            <w:tcBorders>
              <w:top w:val="single" w:sz="4" w:space="0" w:color="auto"/>
              <w:bottom w:val="single" w:sz="12" w:space="0" w:color="auto"/>
              <w:right w:val="single" w:sz="12" w:space="0" w:color="auto"/>
            </w:tcBorders>
            <w:shd w:val="clear" w:color="auto" w:fill="auto"/>
          </w:tcPr>
          <w:p w14:paraId="7D06E7F4" w14:textId="77777777" w:rsidR="003A6273" w:rsidRPr="00F914B1" w:rsidRDefault="003A6273" w:rsidP="007136E5">
            <w:pPr>
              <w:pStyle w:val="TableText"/>
              <w:spacing w:before="0" w:after="0"/>
              <w:jc w:val="center"/>
              <w:rPr>
                <w:rFonts w:cs="Segoe UI"/>
                <w:sz w:val="20"/>
                <w:lang w:eastAsia="en-GB"/>
              </w:rPr>
            </w:pPr>
          </w:p>
        </w:tc>
        <w:tc>
          <w:tcPr>
            <w:tcW w:w="1134" w:type="dxa"/>
            <w:tcBorders>
              <w:top w:val="single" w:sz="4" w:space="0" w:color="auto"/>
              <w:left w:val="single" w:sz="12" w:space="0" w:color="auto"/>
              <w:bottom w:val="single" w:sz="12" w:space="0" w:color="auto"/>
            </w:tcBorders>
            <w:shd w:val="clear" w:color="auto" w:fill="auto"/>
          </w:tcPr>
          <w:p w14:paraId="0CFD813E" w14:textId="77777777" w:rsidR="003A6273" w:rsidRPr="00F914B1" w:rsidRDefault="003A6273" w:rsidP="007136E5">
            <w:pPr>
              <w:pStyle w:val="TableText"/>
              <w:spacing w:before="0" w:after="0"/>
              <w:jc w:val="center"/>
              <w:rPr>
                <w:rFonts w:cs="Segoe UI"/>
                <w:noProof/>
                <w:sz w:val="20"/>
                <w:lang w:eastAsia="en-GB"/>
              </w:rPr>
            </w:pPr>
            <w:r w:rsidRPr="00F914B1">
              <w:rPr>
                <w:rFonts w:cs="Segoe UI"/>
                <w:sz w:val="20"/>
                <w:lang w:eastAsia="en-GB"/>
              </w:rPr>
              <w:sym w:font="Wingdings 2" w:char="F050"/>
            </w:r>
          </w:p>
        </w:tc>
        <w:tc>
          <w:tcPr>
            <w:tcW w:w="1276" w:type="dxa"/>
            <w:tcBorders>
              <w:top w:val="single" w:sz="4" w:space="0" w:color="auto"/>
              <w:bottom w:val="single" w:sz="12" w:space="0" w:color="auto"/>
            </w:tcBorders>
            <w:shd w:val="clear" w:color="auto" w:fill="auto"/>
          </w:tcPr>
          <w:p w14:paraId="7453D5E7" w14:textId="77777777" w:rsidR="003A6273" w:rsidRPr="00F914B1" w:rsidRDefault="003A6273" w:rsidP="007136E5">
            <w:pPr>
              <w:pStyle w:val="TableText"/>
              <w:spacing w:before="0" w:after="0"/>
              <w:jc w:val="center"/>
              <w:rPr>
                <w:rFonts w:cs="Segoe UI"/>
                <w:sz w:val="20"/>
                <w:lang w:eastAsia="en-GB"/>
              </w:rPr>
            </w:pPr>
          </w:p>
        </w:tc>
        <w:tc>
          <w:tcPr>
            <w:tcW w:w="1101" w:type="dxa"/>
            <w:tcBorders>
              <w:top w:val="single" w:sz="4" w:space="0" w:color="auto"/>
              <w:bottom w:val="single" w:sz="12" w:space="0" w:color="auto"/>
              <w:right w:val="single" w:sz="12" w:space="0" w:color="auto"/>
            </w:tcBorders>
            <w:shd w:val="clear" w:color="auto" w:fill="auto"/>
          </w:tcPr>
          <w:p w14:paraId="4F41E977" w14:textId="77777777" w:rsidR="003A6273" w:rsidRPr="00F914B1" w:rsidRDefault="003A6273" w:rsidP="007136E5">
            <w:pPr>
              <w:pStyle w:val="TableText"/>
              <w:spacing w:before="0" w:after="0"/>
              <w:jc w:val="center"/>
              <w:rPr>
                <w:rFonts w:cs="Segoe UI"/>
                <w:sz w:val="20"/>
                <w:lang w:eastAsia="en-GB"/>
              </w:rPr>
            </w:pPr>
          </w:p>
        </w:tc>
      </w:tr>
      <w:tr w:rsidR="003A6273" w14:paraId="6FD89519" w14:textId="77777777" w:rsidTr="00433A54">
        <w:trPr>
          <w:cantSplit/>
          <w:trHeight w:val="283"/>
        </w:trPr>
        <w:tc>
          <w:tcPr>
            <w:tcW w:w="2154" w:type="dxa"/>
            <w:vMerge w:val="restart"/>
            <w:tcBorders>
              <w:top w:val="single" w:sz="12" w:space="0" w:color="auto"/>
              <w:left w:val="nil"/>
              <w:bottom w:val="single" w:sz="12" w:space="0" w:color="auto"/>
              <w:right w:val="single" w:sz="12" w:space="0" w:color="auto"/>
            </w:tcBorders>
          </w:tcPr>
          <w:p w14:paraId="3FA8F48E" w14:textId="77777777" w:rsidR="003A6273" w:rsidRPr="007B3828" w:rsidRDefault="003A6273" w:rsidP="007136E5">
            <w:pPr>
              <w:pStyle w:val="TableText"/>
              <w:spacing w:before="0" w:after="0"/>
              <w:rPr>
                <w:rFonts w:cs="Segoe UI"/>
                <w:sz w:val="20"/>
                <w:lang w:eastAsia="en-GB"/>
              </w:rPr>
            </w:pPr>
            <w:r w:rsidRPr="007B3828">
              <w:rPr>
                <w:rFonts w:cs="Segoe UI"/>
                <w:sz w:val="20"/>
                <w:lang w:eastAsia="en-GB"/>
              </w:rPr>
              <w:t>Part IID : Liquidity</w:t>
            </w:r>
          </w:p>
        </w:tc>
        <w:tc>
          <w:tcPr>
            <w:tcW w:w="4762" w:type="dxa"/>
            <w:tcBorders>
              <w:top w:val="single" w:sz="12" w:space="0" w:color="auto"/>
              <w:left w:val="single" w:sz="12" w:space="0" w:color="auto"/>
              <w:bottom w:val="single" w:sz="4" w:space="0" w:color="auto"/>
              <w:right w:val="single" w:sz="12" w:space="0" w:color="auto"/>
            </w:tcBorders>
            <w:shd w:val="clear" w:color="auto" w:fill="auto"/>
          </w:tcPr>
          <w:p w14:paraId="4FBAB863" w14:textId="77777777" w:rsidR="003A6273" w:rsidRPr="00F914B1" w:rsidRDefault="003A6273" w:rsidP="007136E5">
            <w:pPr>
              <w:pStyle w:val="TableText"/>
              <w:spacing w:before="0" w:after="0"/>
              <w:rPr>
                <w:rFonts w:cs="Segoe UI"/>
                <w:sz w:val="20"/>
                <w:lang w:eastAsia="en-GB"/>
              </w:rPr>
            </w:pPr>
            <w:r w:rsidRPr="00F914B1">
              <w:rPr>
                <w:rFonts w:cs="Segoe UI"/>
                <w:sz w:val="20"/>
                <w:lang w:eastAsia="en-GB"/>
              </w:rPr>
              <w:t xml:space="preserve">Table </w:t>
            </w:r>
            <w:r w:rsidRPr="001E177B">
              <w:rPr>
                <w:rFonts w:cs="Segoe UI"/>
                <w:sz w:val="20"/>
                <w:lang w:eastAsia="en-GB"/>
              </w:rPr>
              <w:t>LIQA</w:t>
            </w:r>
            <w:r>
              <w:rPr>
                <w:rFonts w:cs="Segoe UI"/>
                <w:sz w:val="20"/>
                <w:lang w:eastAsia="en-GB"/>
              </w:rPr>
              <w:t>:</w:t>
            </w:r>
            <w:r w:rsidRPr="001E177B">
              <w:rPr>
                <w:rFonts w:cs="Segoe UI"/>
                <w:sz w:val="20"/>
                <w:lang w:eastAsia="en-GB"/>
              </w:rPr>
              <w:t xml:space="preserve"> Liquidity risk management</w:t>
            </w:r>
          </w:p>
        </w:tc>
        <w:tc>
          <w:tcPr>
            <w:tcW w:w="1624" w:type="dxa"/>
            <w:tcBorders>
              <w:top w:val="single" w:sz="12" w:space="0" w:color="auto"/>
              <w:left w:val="single" w:sz="12" w:space="0" w:color="auto"/>
              <w:bottom w:val="single" w:sz="4" w:space="0" w:color="auto"/>
              <w:right w:val="single" w:sz="12" w:space="0" w:color="auto"/>
            </w:tcBorders>
            <w:shd w:val="clear" w:color="auto" w:fill="auto"/>
          </w:tcPr>
          <w:p w14:paraId="4CB20F7B" w14:textId="77777777" w:rsidR="003A6273" w:rsidRPr="00F914B1" w:rsidRDefault="003A6273" w:rsidP="007136E5">
            <w:pPr>
              <w:pStyle w:val="TableText"/>
              <w:spacing w:before="0" w:after="0"/>
              <w:jc w:val="center"/>
              <w:rPr>
                <w:rFonts w:cs="Segoe UI"/>
                <w:sz w:val="20"/>
                <w:lang w:eastAsia="en-GB"/>
              </w:rPr>
            </w:pPr>
            <w:r>
              <w:rPr>
                <w:rFonts w:cs="Segoe UI"/>
                <w:sz w:val="20"/>
                <w:lang w:eastAsia="en-GB"/>
              </w:rPr>
              <w:t>L &amp; O</w:t>
            </w:r>
          </w:p>
        </w:tc>
        <w:tc>
          <w:tcPr>
            <w:tcW w:w="1244" w:type="dxa"/>
            <w:tcBorders>
              <w:top w:val="single" w:sz="12" w:space="0" w:color="auto"/>
              <w:left w:val="single" w:sz="12" w:space="0" w:color="auto"/>
              <w:bottom w:val="single" w:sz="4" w:space="0" w:color="auto"/>
            </w:tcBorders>
            <w:shd w:val="clear" w:color="auto" w:fill="auto"/>
          </w:tcPr>
          <w:p w14:paraId="6608BB72" w14:textId="77777777" w:rsidR="003A6273" w:rsidRPr="00F914B1" w:rsidRDefault="003A6273" w:rsidP="007136E5">
            <w:pPr>
              <w:pStyle w:val="TableText"/>
              <w:spacing w:before="0" w:after="0"/>
              <w:jc w:val="center"/>
              <w:rPr>
                <w:rFonts w:cs="Segoe UI"/>
                <w:sz w:val="20"/>
                <w:lang w:eastAsia="en-GB"/>
              </w:rPr>
            </w:pPr>
          </w:p>
        </w:tc>
        <w:tc>
          <w:tcPr>
            <w:tcW w:w="1134" w:type="dxa"/>
            <w:tcBorders>
              <w:top w:val="single" w:sz="12" w:space="0" w:color="auto"/>
              <w:bottom w:val="single" w:sz="4" w:space="0" w:color="auto"/>
              <w:right w:val="single" w:sz="12" w:space="0" w:color="auto"/>
            </w:tcBorders>
            <w:shd w:val="clear" w:color="auto" w:fill="auto"/>
          </w:tcPr>
          <w:p w14:paraId="780BF57A" w14:textId="77777777" w:rsidR="003A6273" w:rsidRPr="00F914B1" w:rsidRDefault="003A6273" w:rsidP="007136E5">
            <w:pPr>
              <w:pStyle w:val="TableText"/>
              <w:spacing w:before="0" w:after="0"/>
              <w:jc w:val="center"/>
              <w:rPr>
                <w:rFonts w:cs="Segoe UI"/>
                <w:sz w:val="20"/>
                <w:lang w:eastAsia="en-GB"/>
              </w:rPr>
            </w:pPr>
            <w:r w:rsidRPr="00F914B1">
              <w:rPr>
                <w:rFonts w:cs="Segoe UI"/>
                <w:sz w:val="20"/>
                <w:lang w:eastAsia="en-GB"/>
              </w:rPr>
              <w:sym w:font="Wingdings 2" w:char="F050"/>
            </w:r>
          </w:p>
        </w:tc>
        <w:tc>
          <w:tcPr>
            <w:tcW w:w="1134" w:type="dxa"/>
            <w:tcBorders>
              <w:top w:val="single" w:sz="12" w:space="0" w:color="auto"/>
              <w:left w:val="single" w:sz="12" w:space="0" w:color="auto"/>
              <w:bottom w:val="single" w:sz="4" w:space="0" w:color="auto"/>
            </w:tcBorders>
            <w:shd w:val="clear" w:color="auto" w:fill="auto"/>
          </w:tcPr>
          <w:p w14:paraId="7DD54D31" w14:textId="77777777" w:rsidR="003A6273" w:rsidRPr="00F914B1" w:rsidRDefault="003A6273" w:rsidP="007136E5">
            <w:pPr>
              <w:pStyle w:val="TableText"/>
              <w:spacing w:before="0" w:after="0"/>
              <w:jc w:val="center"/>
              <w:rPr>
                <w:rFonts w:cs="Segoe UI"/>
                <w:sz w:val="20"/>
                <w:lang w:eastAsia="en-GB"/>
              </w:rPr>
            </w:pPr>
          </w:p>
        </w:tc>
        <w:tc>
          <w:tcPr>
            <w:tcW w:w="1276" w:type="dxa"/>
            <w:tcBorders>
              <w:top w:val="single" w:sz="12" w:space="0" w:color="auto"/>
              <w:bottom w:val="single" w:sz="4" w:space="0" w:color="auto"/>
            </w:tcBorders>
            <w:shd w:val="clear" w:color="auto" w:fill="auto"/>
          </w:tcPr>
          <w:p w14:paraId="7AFF4503" w14:textId="77777777" w:rsidR="003A6273" w:rsidRPr="00F914B1" w:rsidRDefault="003A6273" w:rsidP="007136E5">
            <w:pPr>
              <w:pStyle w:val="TableText"/>
              <w:spacing w:before="0" w:after="0"/>
              <w:jc w:val="center"/>
              <w:rPr>
                <w:rFonts w:cs="Segoe UI"/>
                <w:sz w:val="20"/>
                <w:lang w:eastAsia="en-GB"/>
              </w:rPr>
            </w:pPr>
          </w:p>
        </w:tc>
        <w:tc>
          <w:tcPr>
            <w:tcW w:w="1101" w:type="dxa"/>
            <w:tcBorders>
              <w:top w:val="single" w:sz="12" w:space="0" w:color="auto"/>
              <w:bottom w:val="single" w:sz="4" w:space="0" w:color="auto"/>
              <w:right w:val="single" w:sz="12" w:space="0" w:color="auto"/>
            </w:tcBorders>
            <w:shd w:val="clear" w:color="auto" w:fill="auto"/>
          </w:tcPr>
          <w:p w14:paraId="2E0779CE" w14:textId="77777777" w:rsidR="003A6273" w:rsidRPr="00F914B1" w:rsidRDefault="003A6273" w:rsidP="007136E5">
            <w:pPr>
              <w:pStyle w:val="TableText"/>
              <w:spacing w:before="0" w:after="0"/>
              <w:jc w:val="center"/>
              <w:rPr>
                <w:rFonts w:cs="Segoe UI"/>
                <w:sz w:val="20"/>
                <w:lang w:eastAsia="en-GB"/>
              </w:rPr>
            </w:pPr>
            <w:r w:rsidRPr="00F914B1">
              <w:rPr>
                <w:rFonts w:cs="Segoe UI"/>
                <w:sz w:val="20"/>
                <w:lang w:eastAsia="en-GB"/>
              </w:rPr>
              <w:sym w:font="Wingdings 2" w:char="F050"/>
            </w:r>
          </w:p>
        </w:tc>
      </w:tr>
      <w:tr w:rsidR="003A6273" w14:paraId="2A057F60" w14:textId="77777777" w:rsidTr="00C3378F">
        <w:trPr>
          <w:cantSplit/>
          <w:trHeight w:val="283"/>
        </w:trPr>
        <w:tc>
          <w:tcPr>
            <w:tcW w:w="2154" w:type="dxa"/>
            <w:vMerge/>
            <w:tcBorders>
              <w:left w:val="nil"/>
              <w:bottom w:val="single" w:sz="12" w:space="0" w:color="auto"/>
              <w:right w:val="single" w:sz="12" w:space="0" w:color="auto"/>
            </w:tcBorders>
          </w:tcPr>
          <w:p w14:paraId="62DCC1F0" w14:textId="77777777" w:rsidR="003A6273" w:rsidRPr="00F914B1" w:rsidRDefault="003A6273" w:rsidP="007136E5">
            <w:pPr>
              <w:pStyle w:val="TableText"/>
              <w:spacing w:before="0" w:after="0"/>
              <w:rPr>
                <w:rFonts w:cs="Segoe UI"/>
                <w:sz w:val="20"/>
                <w:lang w:eastAsia="en-GB"/>
              </w:rPr>
            </w:pPr>
          </w:p>
        </w:tc>
        <w:tc>
          <w:tcPr>
            <w:tcW w:w="4762" w:type="dxa"/>
            <w:tcBorders>
              <w:top w:val="single" w:sz="4" w:space="0" w:color="auto"/>
              <w:left w:val="single" w:sz="12" w:space="0" w:color="auto"/>
              <w:bottom w:val="single" w:sz="12" w:space="0" w:color="auto"/>
              <w:right w:val="single" w:sz="12" w:space="0" w:color="auto"/>
            </w:tcBorders>
            <w:shd w:val="clear" w:color="auto" w:fill="auto"/>
          </w:tcPr>
          <w:p w14:paraId="4A08F6B8" w14:textId="77777777" w:rsidR="003A6273" w:rsidRPr="00F914B1" w:rsidRDefault="003A6273" w:rsidP="007136E5">
            <w:pPr>
              <w:pStyle w:val="TableText"/>
              <w:spacing w:before="0" w:after="0"/>
              <w:rPr>
                <w:rFonts w:cs="Segoe UI"/>
                <w:sz w:val="20"/>
                <w:lang w:eastAsia="en-GB"/>
              </w:rPr>
            </w:pPr>
            <w:r w:rsidRPr="00F914B1">
              <w:rPr>
                <w:rFonts w:cs="Segoe UI"/>
                <w:sz w:val="20"/>
                <w:lang w:eastAsia="en-GB"/>
              </w:rPr>
              <w:t xml:space="preserve">Template </w:t>
            </w:r>
            <w:r w:rsidRPr="001E177B">
              <w:rPr>
                <w:rFonts w:cs="Segoe UI"/>
                <w:sz w:val="20"/>
                <w:lang w:eastAsia="en-GB"/>
              </w:rPr>
              <w:t>LIQ1</w:t>
            </w:r>
            <w:r>
              <w:rPr>
                <w:rFonts w:cs="Segoe UI"/>
                <w:sz w:val="20"/>
                <w:lang w:eastAsia="en-GB"/>
              </w:rPr>
              <w:t xml:space="preserve">: </w:t>
            </w:r>
            <w:r w:rsidRPr="001E5BFF">
              <w:rPr>
                <w:rFonts w:cs="Segoe UI"/>
                <w:sz w:val="20"/>
                <w:lang w:eastAsia="en-GB"/>
              </w:rPr>
              <w:t>Liquidity Coverage Ratio – for category 1 institution</w:t>
            </w:r>
          </w:p>
        </w:tc>
        <w:tc>
          <w:tcPr>
            <w:tcW w:w="1624" w:type="dxa"/>
            <w:tcBorders>
              <w:top w:val="single" w:sz="4" w:space="0" w:color="auto"/>
              <w:left w:val="single" w:sz="12" w:space="0" w:color="auto"/>
              <w:bottom w:val="single" w:sz="12" w:space="0" w:color="auto"/>
              <w:right w:val="single" w:sz="12" w:space="0" w:color="auto"/>
            </w:tcBorders>
            <w:shd w:val="clear" w:color="auto" w:fill="auto"/>
          </w:tcPr>
          <w:p w14:paraId="40B396B0" w14:textId="77777777" w:rsidR="003A6273" w:rsidRPr="00F914B1" w:rsidRDefault="003A6273" w:rsidP="007136E5">
            <w:pPr>
              <w:pStyle w:val="TableText"/>
              <w:spacing w:before="0" w:after="0"/>
              <w:jc w:val="center"/>
              <w:rPr>
                <w:rFonts w:cs="Segoe UI"/>
                <w:sz w:val="20"/>
                <w:lang w:eastAsia="en-GB"/>
              </w:rPr>
            </w:pPr>
            <w:r>
              <w:rPr>
                <w:rFonts w:cs="Segoe UI"/>
                <w:sz w:val="20"/>
                <w:lang w:eastAsia="en-GB"/>
              </w:rPr>
              <w:t>L &amp; O [</w:t>
            </w:r>
            <w:r w:rsidRPr="00074D82">
              <w:rPr>
                <w:rFonts w:cs="Segoe UI"/>
                <w:sz w:val="20"/>
                <w:lang w:eastAsia="en-GB"/>
              </w:rPr>
              <w:t>designated as category 1 institution</w:t>
            </w:r>
            <w:r>
              <w:rPr>
                <w:rFonts w:cs="Segoe UI"/>
                <w:sz w:val="20"/>
                <w:lang w:eastAsia="en-GB"/>
              </w:rPr>
              <w:t>]</w:t>
            </w:r>
          </w:p>
        </w:tc>
        <w:tc>
          <w:tcPr>
            <w:tcW w:w="1244" w:type="dxa"/>
            <w:tcBorders>
              <w:top w:val="single" w:sz="4" w:space="0" w:color="auto"/>
              <w:left w:val="single" w:sz="12" w:space="0" w:color="auto"/>
              <w:bottom w:val="single" w:sz="12" w:space="0" w:color="auto"/>
            </w:tcBorders>
            <w:shd w:val="clear" w:color="auto" w:fill="auto"/>
          </w:tcPr>
          <w:p w14:paraId="44A8B142" w14:textId="77777777" w:rsidR="003A6273" w:rsidRPr="00F914B1" w:rsidRDefault="003A6273" w:rsidP="007136E5">
            <w:pPr>
              <w:pStyle w:val="TableText"/>
              <w:spacing w:before="0" w:after="0"/>
              <w:jc w:val="center"/>
              <w:rPr>
                <w:rFonts w:cs="Segoe UI"/>
                <w:sz w:val="20"/>
                <w:lang w:eastAsia="en-GB"/>
              </w:rPr>
            </w:pPr>
            <w:r w:rsidRPr="00F914B1">
              <w:rPr>
                <w:rFonts w:cs="Segoe UI"/>
                <w:sz w:val="20"/>
                <w:lang w:eastAsia="en-GB"/>
              </w:rPr>
              <w:sym w:font="Wingdings 2" w:char="F050"/>
            </w:r>
          </w:p>
        </w:tc>
        <w:tc>
          <w:tcPr>
            <w:tcW w:w="1134" w:type="dxa"/>
            <w:tcBorders>
              <w:top w:val="single" w:sz="4" w:space="0" w:color="auto"/>
              <w:bottom w:val="single" w:sz="12" w:space="0" w:color="auto"/>
              <w:right w:val="single" w:sz="12" w:space="0" w:color="auto"/>
            </w:tcBorders>
            <w:shd w:val="clear" w:color="auto" w:fill="auto"/>
          </w:tcPr>
          <w:p w14:paraId="16A50A38" w14:textId="77777777" w:rsidR="003A6273" w:rsidRPr="00F914B1" w:rsidRDefault="003A6273" w:rsidP="007136E5">
            <w:pPr>
              <w:pStyle w:val="TableText"/>
              <w:spacing w:before="0" w:after="0"/>
              <w:jc w:val="center"/>
              <w:rPr>
                <w:rFonts w:cs="Segoe UI"/>
                <w:sz w:val="20"/>
                <w:lang w:eastAsia="en-GB"/>
              </w:rPr>
            </w:pPr>
          </w:p>
        </w:tc>
        <w:tc>
          <w:tcPr>
            <w:tcW w:w="1134" w:type="dxa"/>
            <w:tcBorders>
              <w:top w:val="single" w:sz="4" w:space="0" w:color="auto"/>
              <w:left w:val="single" w:sz="12" w:space="0" w:color="auto"/>
              <w:bottom w:val="single" w:sz="12" w:space="0" w:color="auto"/>
            </w:tcBorders>
            <w:shd w:val="clear" w:color="auto" w:fill="auto"/>
          </w:tcPr>
          <w:p w14:paraId="5485C6A2" w14:textId="77777777" w:rsidR="003A6273" w:rsidRPr="00F914B1" w:rsidRDefault="003A6273" w:rsidP="007136E5">
            <w:pPr>
              <w:pStyle w:val="TableText"/>
              <w:spacing w:before="0" w:after="0"/>
              <w:jc w:val="center"/>
              <w:rPr>
                <w:rFonts w:cs="Segoe UI"/>
                <w:sz w:val="20"/>
                <w:lang w:eastAsia="en-GB"/>
              </w:rPr>
            </w:pPr>
            <w:r w:rsidRPr="00F914B1">
              <w:rPr>
                <w:rFonts w:cs="Segoe UI"/>
                <w:sz w:val="20"/>
                <w:lang w:eastAsia="en-GB"/>
              </w:rPr>
              <w:sym w:font="Wingdings 2" w:char="F050"/>
            </w:r>
          </w:p>
        </w:tc>
        <w:tc>
          <w:tcPr>
            <w:tcW w:w="1276" w:type="dxa"/>
            <w:tcBorders>
              <w:top w:val="single" w:sz="4" w:space="0" w:color="auto"/>
              <w:bottom w:val="single" w:sz="12" w:space="0" w:color="auto"/>
            </w:tcBorders>
            <w:shd w:val="clear" w:color="auto" w:fill="auto"/>
          </w:tcPr>
          <w:p w14:paraId="2B2208D9" w14:textId="77777777" w:rsidR="003A6273" w:rsidRPr="00F914B1" w:rsidRDefault="003A6273" w:rsidP="007136E5">
            <w:pPr>
              <w:pStyle w:val="TableText"/>
              <w:rPr>
                <w:rFonts w:cs="Segoe UI"/>
                <w:sz w:val="20"/>
                <w:lang w:eastAsia="en-GB"/>
              </w:rPr>
            </w:pPr>
          </w:p>
        </w:tc>
        <w:tc>
          <w:tcPr>
            <w:tcW w:w="1101" w:type="dxa"/>
            <w:tcBorders>
              <w:top w:val="single" w:sz="4" w:space="0" w:color="auto"/>
              <w:bottom w:val="single" w:sz="12" w:space="0" w:color="auto"/>
              <w:right w:val="single" w:sz="12" w:space="0" w:color="auto"/>
            </w:tcBorders>
            <w:shd w:val="clear" w:color="auto" w:fill="auto"/>
          </w:tcPr>
          <w:p w14:paraId="53BA380F" w14:textId="77777777" w:rsidR="003A6273" w:rsidRPr="00F914B1" w:rsidRDefault="003A6273" w:rsidP="007136E5">
            <w:pPr>
              <w:pStyle w:val="TableText"/>
              <w:spacing w:before="0" w:after="0"/>
              <w:jc w:val="center"/>
              <w:rPr>
                <w:rFonts w:cs="Segoe UI"/>
                <w:sz w:val="20"/>
                <w:lang w:eastAsia="en-GB"/>
              </w:rPr>
            </w:pPr>
          </w:p>
        </w:tc>
      </w:tr>
      <w:tr w:rsidR="003A6273" w14:paraId="370D5D58" w14:textId="77777777" w:rsidTr="00C3378F">
        <w:trPr>
          <w:cantSplit/>
          <w:trHeight w:val="283"/>
        </w:trPr>
        <w:tc>
          <w:tcPr>
            <w:tcW w:w="2154" w:type="dxa"/>
            <w:vMerge/>
            <w:tcBorders>
              <w:left w:val="nil"/>
              <w:bottom w:val="single" w:sz="12" w:space="0" w:color="auto"/>
              <w:right w:val="single" w:sz="12" w:space="0" w:color="auto"/>
            </w:tcBorders>
          </w:tcPr>
          <w:p w14:paraId="2FF45D3E" w14:textId="77777777" w:rsidR="003A6273" w:rsidRPr="00F914B1" w:rsidRDefault="003A6273" w:rsidP="007136E5">
            <w:pPr>
              <w:pStyle w:val="TableText"/>
              <w:spacing w:before="0" w:after="0"/>
              <w:rPr>
                <w:rFonts w:cs="Segoe UI"/>
                <w:sz w:val="20"/>
                <w:lang w:eastAsia="en-GB"/>
              </w:rPr>
            </w:pPr>
          </w:p>
        </w:tc>
        <w:tc>
          <w:tcPr>
            <w:tcW w:w="4762" w:type="dxa"/>
            <w:tcBorders>
              <w:top w:val="single" w:sz="12" w:space="0" w:color="auto"/>
              <w:left w:val="single" w:sz="12" w:space="0" w:color="auto"/>
              <w:bottom w:val="single" w:sz="12" w:space="0" w:color="auto"/>
              <w:right w:val="single" w:sz="12" w:space="0" w:color="auto"/>
            </w:tcBorders>
            <w:shd w:val="clear" w:color="auto" w:fill="auto"/>
          </w:tcPr>
          <w:p w14:paraId="4CA9E56B" w14:textId="77777777" w:rsidR="003A6273" w:rsidRPr="00F914B1" w:rsidRDefault="003A6273" w:rsidP="007136E5">
            <w:pPr>
              <w:pStyle w:val="TableText"/>
              <w:spacing w:before="0" w:after="0"/>
              <w:rPr>
                <w:rFonts w:cs="Segoe UI"/>
                <w:sz w:val="20"/>
                <w:lang w:eastAsia="en-GB"/>
              </w:rPr>
            </w:pPr>
            <w:r w:rsidRPr="00F914B1">
              <w:rPr>
                <w:rFonts w:cs="Segoe UI"/>
                <w:sz w:val="20"/>
                <w:lang w:eastAsia="en-GB"/>
              </w:rPr>
              <w:t xml:space="preserve">Template </w:t>
            </w:r>
            <w:r w:rsidRPr="001E177B">
              <w:rPr>
                <w:rFonts w:cs="Segoe UI"/>
                <w:sz w:val="20"/>
                <w:lang w:eastAsia="en-GB"/>
              </w:rPr>
              <w:t>LIQ2</w:t>
            </w:r>
            <w:r>
              <w:rPr>
                <w:rFonts w:cs="Segoe UI"/>
                <w:sz w:val="20"/>
                <w:lang w:eastAsia="en-GB"/>
              </w:rPr>
              <w:t>: Net Stable Funding Ratio</w:t>
            </w:r>
            <w:r w:rsidRPr="00D17F5E">
              <w:rPr>
                <w:rFonts w:cs="Segoe UI"/>
                <w:sz w:val="20"/>
                <w:lang w:eastAsia="en-GB"/>
              </w:rPr>
              <w:t xml:space="preserve"> – for category 1 institution</w:t>
            </w:r>
            <w:r w:rsidRPr="006E592F">
              <w:rPr>
                <w:rFonts w:cs="Segoe UI"/>
                <w:sz w:val="20"/>
                <w:lang w:eastAsia="en-GB"/>
              </w:rPr>
              <w:t xml:space="preserve"> </w:t>
            </w:r>
          </w:p>
        </w:tc>
        <w:tc>
          <w:tcPr>
            <w:tcW w:w="1624" w:type="dxa"/>
            <w:tcBorders>
              <w:top w:val="single" w:sz="12" w:space="0" w:color="auto"/>
              <w:left w:val="single" w:sz="12" w:space="0" w:color="auto"/>
              <w:right w:val="single" w:sz="12" w:space="0" w:color="auto"/>
            </w:tcBorders>
            <w:shd w:val="clear" w:color="auto" w:fill="auto"/>
          </w:tcPr>
          <w:p w14:paraId="3BB8BB7C" w14:textId="77777777" w:rsidR="003A6273" w:rsidRPr="00F914B1" w:rsidRDefault="003A6273" w:rsidP="007136E5">
            <w:pPr>
              <w:pStyle w:val="TableText"/>
              <w:spacing w:before="0" w:after="0"/>
              <w:jc w:val="center"/>
              <w:rPr>
                <w:rFonts w:cs="Segoe UI"/>
                <w:sz w:val="20"/>
                <w:lang w:eastAsia="en-GB"/>
              </w:rPr>
            </w:pPr>
            <w:r>
              <w:rPr>
                <w:rFonts w:cs="Segoe UI"/>
                <w:sz w:val="20"/>
                <w:lang w:eastAsia="en-GB"/>
              </w:rPr>
              <w:t>L &amp; O</w:t>
            </w:r>
            <w:r w:rsidRPr="00074D82">
              <w:rPr>
                <w:rFonts w:cs="Segoe UI"/>
                <w:sz w:val="20"/>
                <w:lang w:eastAsia="en-GB"/>
              </w:rPr>
              <w:t xml:space="preserve"> </w:t>
            </w:r>
            <w:r>
              <w:rPr>
                <w:rFonts w:cs="Segoe UI"/>
                <w:sz w:val="20"/>
                <w:lang w:eastAsia="en-GB"/>
              </w:rPr>
              <w:t>[</w:t>
            </w:r>
            <w:r w:rsidRPr="00074D82">
              <w:rPr>
                <w:rFonts w:cs="Segoe UI"/>
                <w:sz w:val="20"/>
                <w:lang w:eastAsia="en-GB"/>
              </w:rPr>
              <w:t>designated as category 1 institution</w:t>
            </w:r>
            <w:r>
              <w:rPr>
                <w:rFonts w:cs="Segoe UI"/>
                <w:sz w:val="20"/>
                <w:lang w:eastAsia="en-GB"/>
              </w:rPr>
              <w:t>]</w:t>
            </w:r>
          </w:p>
        </w:tc>
        <w:tc>
          <w:tcPr>
            <w:tcW w:w="1244" w:type="dxa"/>
            <w:tcBorders>
              <w:top w:val="single" w:sz="12" w:space="0" w:color="auto"/>
              <w:left w:val="single" w:sz="12" w:space="0" w:color="auto"/>
            </w:tcBorders>
            <w:shd w:val="clear" w:color="auto" w:fill="auto"/>
          </w:tcPr>
          <w:p w14:paraId="38FD50ED" w14:textId="77777777" w:rsidR="003A6273" w:rsidRPr="00F914B1" w:rsidRDefault="003A6273" w:rsidP="007136E5">
            <w:pPr>
              <w:pStyle w:val="TableText"/>
              <w:spacing w:before="0" w:after="0"/>
              <w:jc w:val="center"/>
              <w:rPr>
                <w:rFonts w:cs="Segoe UI"/>
                <w:sz w:val="20"/>
                <w:lang w:eastAsia="en-GB"/>
              </w:rPr>
            </w:pPr>
            <w:r w:rsidRPr="00F914B1">
              <w:rPr>
                <w:rFonts w:cs="Segoe UI"/>
                <w:sz w:val="20"/>
                <w:lang w:eastAsia="en-GB"/>
              </w:rPr>
              <w:sym w:font="Wingdings 2" w:char="F050"/>
            </w:r>
          </w:p>
        </w:tc>
        <w:tc>
          <w:tcPr>
            <w:tcW w:w="1134" w:type="dxa"/>
            <w:tcBorders>
              <w:top w:val="single" w:sz="12" w:space="0" w:color="auto"/>
              <w:right w:val="single" w:sz="12" w:space="0" w:color="auto"/>
            </w:tcBorders>
            <w:shd w:val="clear" w:color="auto" w:fill="auto"/>
          </w:tcPr>
          <w:p w14:paraId="69165582" w14:textId="77777777" w:rsidR="003A6273" w:rsidRPr="00F914B1" w:rsidRDefault="003A6273" w:rsidP="007136E5">
            <w:pPr>
              <w:pStyle w:val="TableText"/>
              <w:spacing w:before="0" w:after="0"/>
              <w:jc w:val="center"/>
              <w:rPr>
                <w:rFonts w:cs="Segoe UI"/>
                <w:sz w:val="20"/>
                <w:lang w:eastAsia="en-GB"/>
              </w:rPr>
            </w:pPr>
          </w:p>
        </w:tc>
        <w:tc>
          <w:tcPr>
            <w:tcW w:w="1134" w:type="dxa"/>
            <w:tcBorders>
              <w:top w:val="single" w:sz="12" w:space="0" w:color="auto"/>
              <w:left w:val="single" w:sz="12" w:space="0" w:color="auto"/>
            </w:tcBorders>
            <w:shd w:val="clear" w:color="auto" w:fill="auto"/>
          </w:tcPr>
          <w:p w14:paraId="18DB4C06" w14:textId="77777777" w:rsidR="003A6273" w:rsidRPr="00F914B1" w:rsidRDefault="003A6273" w:rsidP="007136E5">
            <w:pPr>
              <w:pStyle w:val="TableText"/>
              <w:spacing w:before="0" w:after="0"/>
              <w:jc w:val="center"/>
              <w:rPr>
                <w:rFonts w:cs="Segoe UI"/>
                <w:sz w:val="20"/>
                <w:lang w:eastAsia="en-GB"/>
              </w:rPr>
            </w:pPr>
          </w:p>
        </w:tc>
        <w:tc>
          <w:tcPr>
            <w:tcW w:w="1276" w:type="dxa"/>
            <w:tcBorders>
              <w:top w:val="single" w:sz="12" w:space="0" w:color="auto"/>
            </w:tcBorders>
            <w:shd w:val="clear" w:color="auto" w:fill="auto"/>
          </w:tcPr>
          <w:p w14:paraId="300035F5" w14:textId="77777777" w:rsidR="003A6273" w:rsidRPr="00F914B1" w:rsidRDefault="003A6273" w:rsidP="007136E5">
            <w:pPr>
              <w:pStyle w:val="TableText"/>
              <w:spacing w:before="0" w:after="0"/>
              <w:jc w:val="center"/>
              <w:rPr>
                <w:rFonts w:cs="Segoe UI"/>
                <w:sz w:val="20"/>
                <w:lang w:eastAsia="en-GB"/>
              </w:rPr>
            </w:pPr>
            <w:r w:rsidRPr="00F914B1">
              <w:rPr>
                <w:rFonts w:cs="Segoe UI"/>
                <w:sz w:val="20"/>
                <w:lang w:eastAsia="en-GB"/>
              </w:rPr>
              <w:sym w:font="Wingdings 2" w:char="F050"/>
            </w:r>
          </w:p>
        </w:tc>
        <w:tc>
          <w:tcPr>
            <w:tcW w:w="1101" w:type="dxa"/>
            <w:tcBorders>
              <w:top w:val="single" w:sz="12" w:space="0" w:color="auto"/>
              <w:right w:val="single" w:sz="12" w:space="0" w:color="auto"/>
            </w:tcBorders>
            <w:shd w:val="clear" w:color="auto" w:fill="auto"/>
          </w:tcPr>
          <w:p w14:paraId="1322BF30" w14:textId="77777777" w:rsidR="003A6273" w:rsidRPr="00F914B1" w:rsidRDefault="003A6273" w:rsidP="007136E5">
            <w:pPr>
              <w:pStyle w:val="TableText"/>
              <w:spacing w:before="0" w:after="0"/>
              <w:jc w:val="center"/>
              <w:rPr>
                <w:rFonts w:cs="Segoe UI"/>
                <w:sz w:val="20"/>
                <w:lang w:eastAsia="en-GB"/>
              </w:rPr>
            </w:pPr>
          </w:p>
        </w:tc>
      </w:tr>
      <w:tr w:rsidR="003A6273" w14:paraId="50A65792" w14:textId="77777777" w:rsidTr="00433A54">
        <w:trPr>
          <w:cantSplit/>
          <w:trHeight w:val="283"/>
        </w:trPr>
        <w:tc>
          <w:tcPr>
            <w:tcW w:w="2154" w:type="dxa"/>
            <w:vMerge w:val="restart"/>
            <w:tcBorders>
              <w:top w:val="single" w:sz="12" w:space="0" w:color="auto"/>
              <w:left w:val="nil"/>
              <w:bottom w:val="single" w:sz="12" w:space="0" w:color="auto"/>
              <w:right w:val="single" w:sz="12" w:space="0" w:color="auto"/>
            </w:tcBorders>
          </w:tcPr>
          <w:p w14:paraId="16C2C8B2" w14:textId="77777777" w:rsidR="003A6273" w:rsidRDefault="003A6273" w:rsidP="00C639E1">
            <w:pPr>
              <w:pStyle w:val="TableText"/>
              <w:spacing w:before="0" w:after="0"/>
              <w:rPr>
                <w:rFonts w:cs="Segoe UI"/>
                <w:sz w:val="20"/>
                <w:lang w:eastAsia="en-GB"/>
              </w:rPr>
            </w:pPr>
            <w:r>
              <w:rPr>
                <w:rFonts w:cs="Segoe UI"/>
                <w:sz w:val="20"/>
                <w:lang w:eastAsia="en-GB"/>
              </w:rPr>
              <w:t>Part III : Credit risk for non-securitization exposures</w:t>
            </w:r>
          </w:p>
        </w:tc>
        <w:tc>
          <w:tcPr>
            <w:tcW w:w="4762" w:type="dxa"/>
            <w:tcBorders>
              <w:top w:val="single" w:sz="12" w:space="0" w:color="auto"/>
              <w:left w:val="single" w:sz="12" w:space="0" w:color="auto"/>
              <w:right w:val="single" w:sz="12" w:space="0" w:color="auto"/>
            </w:tcBorders>
            <w:shd w:val="clear" w:color="auto" w:fill="auto"/>
          </w:tcPr>
          <w:p w14:paraId="499A1254" w14:textId="77777777" w:rsidR="003A6273" w:rsidRDefault="003A6273" w:rsidP="00C639E1">
            <w:pPr>
              <w:pStyle w:val="TableText"/>
              <w:spacing w:before="0" w:after="0"/>
              <w:rPr>
                <w:rFonts w:cs="Segoe UI"/>
                <w:noProof/>
                <w:sz w:val="20"/>
                <w:lang w:eastAsia="en-GB"/>
              </w:rPr>
            </w:pPr>
            <w:r>
              <w:rPr>
                <w:rFonts w:cs="Segoe UI"/>
                <w:sz w:val="20"/>
                <w:lang w:eastAsia="en-GB"/>
              </w:rPr>
              <w:t>Table CRA: General information about credit risk</w:t>
            </w:r>
          </w:p>
        </w:tc>
        <w:tc>
          <w:tcPr>
            <w:tcW w:w="1624" w:type="dxa"/>
            <w:tcBorders>
              <w:top w:val="single" w:sz="12" w:space="0" w:color="auto"/>
              <w:left w:val="single" w:sz="12" w:space="0" w:color="auto"/>
              <w:right w:val="single" w:sz="12" w:space="0" w:color="auto"/>
            </w:tcBorders>
            <w:shd w:val="clear" w:color="auto" w:fill="auto"/>
          </w:tcPr>
          <w:p w14:paraId="340BC645" w14:textId="77777777" w:rsidR="003A6273" w:rsidRDefault="003A6273" w:rsidP="00C639E1">
            <w:pPr>
              <w:pStyle w:val="TableText"/>
              <w:spacing w:before="0" w:after="0"/>
              <w:jc w:val="center"/>
              <w:rPr>
                <w:rFonts w:cs="Segoe UI"/>
                <w:sz w:val="20"/>
                <w:lang w:eastAsia="en-GB"/>
              </w:rPr>
            </w:pPr>
            <w:r w:rsidRPr="003936F9">
              <w:rPr>
                <w:rFonts w:cs="Segoe UI" w:hint="eastAsia"/>
                <w:noProof/>
                <w:sz w:val="20"/>
                <w:lang w:eastAsia="en-GB"/>
              </w:rPr>
              <w:t>L</w:t>
            </w:r>
          </w:p>
        </w:tc>
        <w:tc>
          <w:tcPr>
            <w:tcW w:w="1244" w:type="dxa"/>
            <w:tcBorders>
              <w:top w:val="single" w:sz="12" w:space="0" w:color="auto"/>
              <w:left w:val="single" w:sz="12" w:space="0" w:color="auto"/>
            </w:tcBorders>
            <w:shd w:val="clear" w:color="auto" w:fill="auto"/>
          </w:tcPr>
          <w:p w14:paraId="42C21FE1" w14:textId="77777777" w:rsidR="003A6273" w:rsidRDefault="003A6273" w:rsidP="00C639E1">
            <w:pPr>
              <w:pStyle w:val="TableText"/>
              <w:spacing w:before="0" w:after="0"/>
              <w:jc w:val="center"/>
              <w:rPr>
                <w:rFonts w:cs="Segoe UI"/>
                <w:sz w:val="20"/>
                <w:lang w:eastAsia="en-GB"/>
              </w:rPr>
            </w:pPr>
          </w:p>
        </w:tc>
        <w:tc>
          <w:tcPr>
            <w:tcW w:w="1134" w:type="dxa"/>
            <w:tcBorders>
              <w:top w:val="single" w:sz="12" w:space="0" w:color="auto"/>
              <w:right w:val="single" w:sz="12" w:space="0" w:color="auto"/>
            </w:tcBorders>
            <w:shd w:val="clear" w:color="auto" w:fill="auto"/>
          </w:tcPr>
          <w:p w14:paraId="2C4DDA46"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top w:val="single" w:sz="12" w:space="0" w:color="auto"/>
              <w:left w:val="single" w:sz="12" w:space="0" w:color="auto"/>
            </w:tcBorders>
            <w:shd w:val="clear" w:color="auto" w:fill="auto"/>
          </w:tcPr>
          <w:p w14:paraId="41BB799C" w14:textId="77777777" w:rsidR="003A6273" w:rsidRDefault="003A6273" w:rsidP="00C639E1">
            <w:pPr>
              <w:pStyle w:val="TableText"/>
              <w:spacing w:before="0" w:after="0"/>
              <w:jc w:val="center"/>
              <w:rPr>
                <w:rFonts w:cs="Segoe UI"/>
                <w:sz w:val="20"/>
                <w:lang w:eastAsia="en-GB"/>
              </w:rPr>
            </w:pPr>
          </w:p>
        </w:tc>
        <w:tc>
          <w:tcPr>
            <w:tcW w:w="1276" w:type="dxa"/>
            <w:tcBorders>
              <w:top w:val="single" w:sz="12" w:space="0" w:color="auto"/>
            </w:tcBorders>
            <w:shd w:val="clear" w:color="auto" w:fill="auto"/>
          </w:tcPr>
          <w:p w14:paraId="503528C4" w14:textId="77777777" w:rsidR="003A6273" w:rsidRDefault="003A6273" w:rsidP="00C639E1">
            <w:pPr>
              <w:pStyle w:val="TableText"/>
              <w:spacing w:before="0" w:after="0"/>
              <w:jc w:val="center"/>
              <w:rPr>
                <w:rFonts w:cs="Segoe UI"/>
                <w:sz w:val="20"/>
                <w:lang w:eastAsia="en-GB"/>
              </w:rPr>
            </w:pPr>
          </w:p>
        </w:tc>
        <w:tc>
          <w:tcPr>
            <w:tcW w:w="1101" w:type="dxa"/>
            <w:tcBorders>
              <w:top w:val="single" w:sz="12" w:space="0" w:color="auto"/>
              <w:right w:val="single" w:sz="12" w:space="0" w:color="auto"/>
            </w:tcBorders>
            <w:shd w:val="clear" w:color="auto" w:fill="auto"/>
          </w:tcPr>
          <w:p w14:paraId="2269D1E7"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r>
      <w:tr w:rsidR="003A6273" w14:paraId="70699353" w14:textId="77777777" w:rsidTr="00CC0F5F">
        <w:trPr>
          <w:cantSplit/>
          <w:trHeight w:val="283"/>
        </w:trPr>
        <w:tc>
          <w:tcPr>
            <w:tcW w:w="2154" w:type="dxa"/>
            <w:vMerge/>
            <w:tcBorders>
              <w:left w:val="nil"/>
              <w:bottom w:val="single" w:sz="12" w:space="0" w:color="auto"/>
              <w:right w:val="single" w:sz="12" w:space="0" w:color="auto"/>
            </w:tcBorders>
          </w:tcPr>
          <w:p w14:paraId="187A4EEA"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right w:val="single" w:sz="12" w:space="0" w:color="auto"/>
            </w:tcBorders>
            <w:shd w:val="clear" w:color="auto" w:fill="auto"/>
          </w:tcPr>
          <w:p w14:paraId="27321670" w14:textId="77777777" w:rsidR="003A6273" w:rsidRDefault="003A6273" w:rsidP="00C639E1">
            <w:pPr>
              <w:pStyle w:val="TableText"/>
              <w:spacing w:before="0" w:after="0"/>
              <w:rPr>
                <w:rFonts w:cs="Segoe UI"/>
                <w:noProof/>
                <w:sz w:val="20"/>
                <w:lang w:eastAsia="en-GB"/>
              </w:rPr>
            </w:pPr>
            <w:r>
              <w:rPr>
                <w:rFonts w:cs="Segoe UI"/>
                <w:sz w:val="20"/>
                <w:lang w:eastAsia="en-GB"/>
              </w:rPr>
              <w:t>Template CR1: Credit quality of exposures</w:t>
            </w:r>
          </w:p>
        </w:tc>
        <w:tc>
          <w:tcPr>
            <w:tcW w:w="1624" w:type="dxa"/>
            <w:tcBorders>
              <w:left w:val="single" w:sz="12" w:space="0" w:color="auto"/>
              <w:right w:val="single" w:sz="12" w:space="0" w:color="auto"/>
            </w:tcBorders>
            <w:shd w:val="clear" w:color="auto" w:fill="auto"/>
          </w:tcPr>
          <w:p w14:paraId="05628E24" w14:textId="77777777" w:rsidR="003A6273" w:rsidRDefault="003A6273" w:rsidP="00C639E1">
            <w:pPr>
              <w:pStyle w:val="TableText"/>
              <w:spacing w:before="0" w:after="0"/>
              <w:jc w:val="center"/>
              <w:rPr>
                <w:rFonts w:cs="Segoe UI"/>
                <w:noProof/>
                <w:sz w:val="20"/>
                <w:lang w:eastAsia="en-GB"/>
              </w:rPr>
            </w:pPr>
            <w:r w:rsidRPr="003936F9">
              <w:rPr>
                <w:rFonts w:cs="Segoe UI" w:hint="eastAsia"/>
                <w:noProof/>
                <w:sz w:val="20"/>
                <w:lang w:eastAsia="en-GB"/>
              </w:rPr>
              <w:t>L</w:t>
            </w:r>
          </w:p>
        </w:tc>
        <w:tc>
          <w:tcPr>
            <w:tcW w:w="1244" w:type="dxa"/>
            <w:tcBorders>
              <w:left w:val="single" w:sz="12" w:space="0" w:color="auto"/>
            </w:tcBorders>
            <w:shd w:val="clear" w:color="auto" w:fill="auto"/>
          </w:tcPr>
          <w:p w14:paraId="30F3B513"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right w:val="single" w:sz="12" w:space="0" w:color="auto"/>
            </w:tcBorders>
            <w:shd w:val="clear" w:color="auto" w:fill="auto"/>
          </w:tcPr>
          <w:p w14:paraId="10766402" w14:textId="77777777" w:rsidR="003A6273" w:rsidRDefault="003A6273" w:rsidP="00C639E1">
            <w:pPr>
              <w:pStyle w:val="TableText"/>
              <w:spacing w:before="0" w:after="0"/>
              <w:jc w:val="center"/>
              <w:rPr>
                <w:rFonts w:cs="Segoe UI"/>
                <w:sz w:val="20"/>
                <w:lang w:eastAsia="en-GB"/>
              </w:rPr>
            </w:pPr>
          </w:p>
        </w:tc>
        <w:tc>
          <w:tcPr>
            <w:tcW w:w="1134" w:type="dxa"/>
            <w:tcBorders>
              <w:left w:val="single" w:sz="12" w:space="0" w:color="auto"/>
            </w:tcBorders>
            <w:shd w:val="clear" w:color="auto" w:fill="auto"/>
          </w:tcPr>
          <w:p w14:paraId="28E76CDB" w14:textId="77777777" w:rsidR="003A6273" w:rsidRDefault="003A6273" w:rsidP="00C639E1">
            <w:pPr>
              <w:pStyle w:val="TableText"/>
              <w:spacing w:before="0" w:after="0"/>
              <w:jc w:val="center"/>
              <w:rPr>
                <w:rFonts w:cs="Segoe UI"/>
                <w:sz w:val="20"/>
                <w:lang w:eastAsia="en-GB"/>
              </w:rPr>
            </w:pPr>
          </w:p>
        </w:tc>
        <w:tc>
          <w:tcPr>
            <w:tcW w:w="1276" w:type="dxa"/>
            <w:shd w:val="clear" w:color="auto" w:fill="auto"/>
          </w:tcPr>
          <w:p w14:paraId="5147D603"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01" w:type="dxa"/>
            <w:tcBorders>
              <w:right w:val="single" w:sz="12" w:space="0" w:color="auto"/>
            </w:tcBorders>
            <w:shd w:val="clear" w:color="auto" w:fill="auto"/>
          </w:tcPr>
          <w:p w14:paraId="4BEA23BB" w14:textId="77777777" w:rsidR="003A6273" w:rsidRDefault="003A6273" w:rsidP="00C639E1">
            <w:pPr>
              <w:pStyle w:val="TableText"/>
              <w:spacing w:before="0" w:after="0"/>
              <w:jc w:val="center"/>
              <w:rPr>
                <w:rFonts w:cs="Segoe UI"/>
                <w:noProof/>
                <w:sz w:val="20"/>
                <w:lang w:eastAsia="en-GB"/>
              </w:rPr>
            </w:pPr>
          </w:p>
        </w:tc>
      </w:tr>
      <w:tr w:rsidR="003A6273" w14:paraId="056D300B" w14:textId="77777777" w:rsidTr="00CC0F5F">
        <w:trPr>
          <w:cantSplit/>
          <w:trHeight w:val="283"/>
        </w:trPr>
        <w:tc>
          <w:tcPr>
            <w:tcW w:w="2154" w:type="dxa"/>
            <w:vMerge/>
            <w:tcBorders>
              <w:left w:val="nil"/>
              <w:bottom w:val="single" w:sz="12" w:space="0" w:color="auto"/>
              <w:right w:val="single" w:sz="12" w:space="0" w:color="auto"/>
            </w:tcBorders>
          </w:tcPr>
          <w:p w14:paraId="1D45C18E"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right w:val="single" w:sz="12" w:space="0" w:color="auto"/>
            </w:tcBorders>
            <w:shd w:val="clear" w:color="auto" w:fill="auto"/>
          </w:tcPr>
          <w:p w14:paraId="181F155E" w14:textId="77777777" w:rsidR="003A6273" w:rsidRDefault="003A6273" w:rsidP="00C639E1">
            <w:pPr>
              <w:pStyle w:val="TableText"/>
              <w:spacing w:before="0" w:after="0"/>
              <w:rPr>
                <w:rFonts w:cs="Segoe UI"/>
                <w:noProof/>
                <w:sz w:val="20"/>
                <w:lang w:eastAsia="en-GB"/>
              </w:rPr>
            </w:pPr>
            <w:r>
              <w:rPr>
                <w:rFonts w:cs="Segoe UI"/>
                <w:sz w:val="20"/>
                <w:lang w:eastAsia="en-GB"/>
              </w:rPr>
              <w:t>Template CR2: Changes in defaulted loans and debt securities</w:t>
            </w:r>
          </w:p>
        </w:tc>
        <w:tc>
          <w:tcPr>
            <w:tcW w:w="1624" w:type="dxa"/>
            <w:tcBorders>
              <w:left w:val="single" w:sz="12" w:space="0" w:color="auto"/>
              <w:right w:val="single" w:sz="12" w:space="0" w:color="auto"/>
            </w:tcBorders>
            <w:shd w:val="clear" w:color="auto" w:fill="auto"/>
          </w:tcPr>
          <w:p w14:paraId="7D0B5D5E" w14:textId="77777777" w:rsidR="003A6273" w:rsidRDefault="003A6273" w:rsidP="00C639E1">
            <w:pPr>
              <w:pStyle w:val="TableText"/>
              <w:spacing w:before="0" w:after="0"/>
              <w:jc w:val="center"/>
              <w:rPr>
                <w:rFonts w:cs="Segoe UI"/>
                <w:noProof/>
                <w:sz w:val="20"/>
                <w:lang w:eastAsia="en-GB"/>
              </w:rPr>
            </w:pPr>
            <w:r w:rsidRPr="003936F9">
              <w:rPr>
                <w:rFonts w:cs="Segoe UI" w:hint="eastAsia"/>
                <w:noProof/>
                <w:sz w:val="20"/>
                <w:lang w:eastAsia="en-GB"/>
              </w:rPr>
              <w:t>L</w:t>
            </w:r>
          </w:p>
        </w:tc>
        <w:tc>
          <w:tcPr>
            <w:tcW w:w="1244" w:type="dxa"/>
            <w:tcBorders>
              <w:left w:val="single" w:sz="12" w:space="0" w:color="auto"/>
            </w:tcBorders>
            <w:shd w:val="clear" w:color="auto" w:fill="auto"/>
          </w:tcPr>
          <w:p w14:paraId="3809ECB0"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right w:val="single" w:sz="12" w:space="0" w:color="auto"/>
            </w:tcBorders>
            <w:shd w:val="clear" w:color="auto" w:fill="auto"/>
          </w:tcPr>
          <w:p w14:paraId="6FC9FA6B" w14:textId="77777777" w:rsidR="003A6273" w:rsidRDefault="003A6273" w:rsidP="00C639E1">
            <w:pPr>
              <w:pStyle w:val="TableText"/>
              <w:spacing w:before="0" w:after="0"/>
              <w:jc w:val="center"/>
              <w:rPr>
                <w:rFonts w:cs="Segoe UI"/>
                <w:sz w:val="20"/>
                <w:lang w:eastAsia="en-GB"/>
              </w:rPr>
            </w:pPr>
          </w:p>
        </w:tc>
        <w:tc>
          <w:tcPr>
            <w:tcW w:w="1134" w:type="dxa"/>
            <w:tcBorders>
              <w:left w:val="single" w:sz="12" w:space="0" w:color="auto"/>
            </w:tcBorders>
            <w:shd w:val="clear" w:color="auto" w:fill="auto"/>
          </w:tcPr>
          <w:p w14:paraId="3298DCF3" w14:textId="77777777" w:rsidR="003A6273" w:rsidRDefault="003A6273" w:rsidP="00C639E1">
            <w:pPr>
              <w:pStyle w:val="TableText"/>
              <w:spacing w:before="0" w:after="0"/>
              <w:jc w:val="center"/>
              <w:rPr>
                <w:rFonts w:cs="Segoe UI"/>
                <w:noProof/>
                <w:sz w:val="20"/>
                <w:lang w:eastAsia="en-GB"/>
              </w:rPr>
            </w:pPr>
          </w:p>
        </w:tc>
        <w:tc>
          <w:tcPr>
            <w:tcW w:w="1276" w:type="dxa"/>
            <w:shd w:val="clear" w:color="auto" w:fill="auto"/>
          </w:tcPr>
          <w:p w14:paraId="2D611658"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01" w:type="dxa"/>
            <w:tcBorders>
              <w:right w:val="single" w:sz="12" w:space="0" w:color="auto"/>
            </w:tcBorders>
            <w:shd w:val="clear" w:color="auto" w:fill="auto"/>
          </w:tcPr>
          <w:p w14:paraId="00A2ED10" w14:textId="77777777" w:rsidR="003A6273" w:rsidRDefault="003A6273" w:rsidP="00C639E1">
            <w:pPr>
              <w:pStyle w:val="TableText"/>
              <w:spacing w:before="0" w:after="0"/>
              <w:jc w:val="center"/>
              <w:rPr>
                <w:rFonts w:cs="Segoe UI"/>
                <w:sz w:val="20"/>
                <w:lang w:eastAsia="en-GB"/>
              </w:rPr>
            </w:pPr>
          </w:p>
        </w:tc>
      </w:tr>
      <w:tr w:rsidR="003A6273" w14:paraId="60B79CA5" w14:textId="77777777" w:rsidTr="00433A54">
        <w:trPr>
          <w:cantSplit/>
          <w:trHeight w:val="283"/>
        </w:trPr>
        <w:tc>
          <w:tcPr>
            <w:tcW w:w="2154" w:type="dxa"/>
            <w:vMerge/>
            <w:tcBorders>
              <w:left w:val="nil"/>
              <w:bottom w:val="single" w:sz="12" w:space="0" w:color="auto"/>
              <w:right w:val="single" w:sz="12" w:space="0" w:color="auto"/>
            </w:tcBorders>
          </w:tcPr>
          <w:p w14:paraId="48D8D66F"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bottom w:val="single" w:sz="4" w:space="0" w:color="auto"/>
              <w:right w:val="single" w:sz="12" w:space="0" w:color="auto"/>
            </w:tcBorders>
            <w:shd w:val="clear" w:color="auto" w:fill="auto"/>
          </w:tcPr>
          <w:p w14:paraId="41A74DC1" w14:textId="77777777" w:rsidR="003A6273" w:rsidRDefault="003A6273" w:rsidP="00C639E1">
            <w:pPr>
              <w:pStyle w:val="TableText"/>
              <w:spacing w:before="0" w:after="0"/>
              <w:rPr>
                <w:rFonts w:cs="Segoe UI"/>
                <w:noProof/>
                <w:sz w:val="20"/>
                <w:lang w:eastAsia="en-GB"/>
              </w:rPr>
            </w:pPr>
            <w:r>
              <w:rPr>
                <w:rFonts w:cs="Segoe UI"/>
                <w:sz w:val="20"/>
                <w:lang w:eastAsia="en-GB"/>
              </w:rPr>
              <w:t>Table CRB: Additional disclosure related to credit quality of exposures</w:t>
            </w:r>
          </w:p>
        </w:tc>
        <w:tc>
          <w:tcPr>
            <w:tcW w:w="1624" w:type="dxa"/>
            <w:tcBorders>
              <w:left w:val="single" w:sz="12" w:space="0" w:color="auto"/>
              <w:bottom w:val="single" w:sz="4" w:space="0" w:color="auto"/>
              <w:right w:val="single" w:sz="12" w:space="0" w:color="auto"/>
            </w:tcBorders>
            <w:shd w:val="clear" w:color="auto" w:fill="auto"/>
          </w:tcPr>
          <w:p w14:paraId="2D71E39A" w14:textId="77777777" w:rsidR="003A6273" w:rsidRDefault="003A6273" w:rsidP="00C639E1">
            <w:pPr>
              <w:pStyle w:val="TableText"/>
              <w:spacing w:before="0" w:after="0"/>
              <w:jc w:val="center"/>
              <w:rPr>
                <w:rFonts w:cs="Segoe UI"/>
                <w:sz w:val="20"/>
                <w:lang w:eastAsia="en-GB"/>
              </w:rPr>
            </w:pPr>
            <w:r w:rsidRPr="003936F9">
              <w:rPr>
                <w:rFonts w:cs="Segoe UI" w:hint="eastAsia"/>
                <w:noProof/>
                <w:sz w:val="20"/>
                <w:lang w:eastAsia="en-GB"/>
              </w:rPr>
              <w:t>L</w:t>
            </w:r>
          </w:p>
        </w:tc>
        <w:tc>
          <w:tcPr>
            <w:tcW w:w="1244" w:type="dxa"/>
            <w:tcBorders>
              <w:left w:val="single" w:sz="12" w:space="0" w:color="auto"/>
              <w:bottom w:val="single" w:sz="4" w:space="0" w:color="auto"/>
            </w:tcBorders>
            <w:shd w:val="clear" w:color="auto" w:fill="auto"/>
          </w:tcPr>
          <w:p w14:paraId="05355787" w14:textId="77777777" w:rsidR="003A6273" w:rsidRDefault="003A6273" w:rsidP="00C639E1">
            <w:pPr>
              <w:pStyle w:val="TableText"/>
              <w:spacing w:before="0" w:after="0"/>
              <w:jc w:val="center"/>
              <w:rPr>
                <w:rFonts w:cs="Segoe UI"/>
                <w:sz w:val="20"/>
                <w:lang w:eastAsia="en-GB"/>
              </w:rPr>
            </w:pPr>
          </w:p>
        </w:tc>
        <w:tc>
          <w:tcPr>
            <w:tcW w:w="1134" w:type="dxa"/>
            <w:tcBorders>
              <w:bottom w:val="single" w:sz="4" w:space="0" w:color="auto"/>
              <w:right w:val="single" w:sz="12" w:space="0" w:color="auto"/>
            </w:tcBorders>
            <w:shd w:val="clear" w:color="auto" w:fill="auto"/>
          </w:tcPr>
          <w:p w14:paraId="6A6B7B94"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left w:val="single" w:sz="12" w:space="0" w:color="auto"/>
              <w:bottom w:val="single" w:sz="4" w:space="0" w:color="auto"/>
            </w:tcBorders>
            <w:shd w:val="clear" w:color="auto" w:fill="auto"/>
          </w:tcPr>
          <w:p w14:paraId="3870DD0B" w14:textId="77777777" w:rsidR="003A6273" w:rsidRDefault="003A6273" w:rsidP="00C639E1">
            <w:pPr>
              <w:pStyle w:val="TableText"/>
              <w:spacing w:before="0" w:after="0"/>
              <w:jc w:val="center"/>
              <w:rPr>
                <w:rFonts w:cs="Segoe UI"/>
                <w:sz w:val="20"/>
                <w:lang w:eastAsia="en-GB"/>
              </w:rPr>
            </w:pPr>
          </w:p>
        </w:tc>
        <w:tc>
          <w:tcPr>
            <w:tcW w:w="1276" w:type="dxa"/>
            <w:tcBorders>
              <w:bottom w:val="single" w:sz="4" w:space="0" w:color="auto"/>
            </w:tcBorders>
            <w:shd w:val="clear" w:color="auto" w:fill="auto"/>
          </w:tcPr>
          <w:p w14:paraId="5CDCC7A3" w14:textId="77777777" w:rsidR="003A6273" w:rsidRDefault="003A6273" w:rsidP="00C639E1">
            <w:pPr>
              <w:pStyle w:val="TableText"/>
              <w:spacing w:before="0" w:after="0"/>
              <w:jc w:val="center"/>
              <w:rPr>
                <w:rFonts w:cs="Segoe UI"/>
                <w:sz w:val="20"/>
                <w:lang w:eastAsia="en-GB"/>
              </w:rPr>
            </w:pPr>
          </w:p>
        </w:tc>
        <w:tc>
          <w:tcPr>
            <w:tcW w:w="1101" w:type="dxa"/>
            <w:tcBorders>
              <w:bottom w:val="single" w:sz="4" w:space="0" w:color="auto"/>
              <w:right w:val="single" w:sz="12" w:space="0" w:color="auto"/>
            </w:tcBorders>
            <w:shd w:val="clear" w:color="auto" w:fill="auto"/>
          </w:tcPr>
          <w:p w14:paraId="1CE38D7C"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r>
      <w:tr w:rsidR="003A6273" w14:paraId="1E29E61A" w14:textId="77777777" w:rsidTr="00433A54">
        <w:trPr>
          <w:cantSplit/>
          <w:trHeight w:val="695"/>
        </w:trPr>
        <w:tc>
          <w:tcPr>
            <w:tcW w:w="2154" w:type="dxa"/>
            <w:vMerge/>
            <w:tcBorders>
              <w:left w:val="nil"/>
              <w:bottom w:val="single" w:sz="12" w:space="0" w:color="auto"/>
              <w:right w:val="single" w:sz="12" w:space="0" w:color="auto"/>
            </w:tcBorders>
          </w:tcPr>
          <w:p w14:paraId="7F015488"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right w:val="single" w:sz="12" w:space="0" w:color="auto"/>
            </w:tcBorders>
            <w:shd w:val="clear" w:color="auto" w:fill="auto"/>
          </w:tcPr>
          <w:p w14:paraId="7114E981" w14:textId="77777777" w:rsidR="003A6273" w:rsidRDefault="003A6273" w:rsidP="00C639E1">
            <w:pPr>
              <w:pStyle w:val="TableText"/>
              <w:spacing w:before="0" w:after="0"/>
              <w:rPr>
                <w:rFonts w:cs="Segoe UI"/>
                <w:sz w:val="20"/>
                <w:lang w:eastAsia="en-GB"/>
              </w:rPr>
            </w:pPr>
            <w:r>
              <w:rPr>
                <w:rFonts w:cs="Segoe UI"/>
                <w:sz w:val="20"/>
                <w:lang w:eastAsia="en-GB"/>
              </w:rPr>
              <w:t>Table CRC: Qualitative disclosures related to credit risk mitigation</w:t>
            </w:r>
          </w:p>
        </w:tc>
        <w:tc>
          <w:tcPr>
            <w:tcW w:w="1624" w:type="dxa"/>
            <w:tcBorders>
              <w:left w:val="single" w:sz="12" w:space="0" w:color="auto"/>
              <w:right w:val="single" w:sz="12" w:space="0" w:color="auto"/>
            </w:tcBorders>
            <w:shd w:val="clear" w:color="auto" w:fill="auto"/>
          </w:tcPr>
          <w:p w14:paraId="4E75629E" w14:textId="77777777" w:rsidR="003A6273" w:rsidRDefault="003A6273" w:rsidP="00C639E1">
            <w:pPr>
              <w:pStyle w:val="TableText"/>
              <w:spacing w:before="0" w:after="0"/>
              <w:jc w:val="center"/>
              <w:rPr>
                <w:rFonts w:cs="Segoe UI"/>
                <w:noProof/>
                <w:sz w:val="20"/>
                <w:lang w:eastAsia="en-GB"/>
              </w:rPr>
            </w:pPr>
            <w:r w:rsidRPr="003936F9">
              <w:rPr>
                <w:rFonts w:cs="Segoe UI" w:hint="eastAsia"/>
                <w:noProof/>
                <w:sz w:val="20"/>
                <w:lang w:eastAsia="en-GB"/>
              </w:rPr>
              <w:t>L</w:t>
            </w:r>
          </w:p>
        </w:tc>
        <w:tc>
          <w:tcPr>
            <w:tcW w:w="1244" w:type="dxa"/>
            <w:tcBorders>
              <w:left w:val="single" w:sz="12" w:space="0" w:color="auto"/>
            </w:tcBorders>
            <w:shd w:val="clear" w:color="auto" w:fill="auto"/>
          </w:tcPr>
          <w:p w14:paraId="08552BF5" w14:textId="77777777" w:rsidR="003A6273" w:rsidRDefault="003A6273" w:rsidP="00C639E1">
            <w:pPr>
              <w:pStyle w:val="TableText"/>
              <w:spacing w:before="0" w:after="0"/>
              <w:jc w:val="center"/>
              <w:rPr>
                <w:rFonts w:cs="Segoe UI"/>
                <w:noProof/>
                <w:sz w:val="20"/>
                <w:lang w:eastAsia="en-GB"/>
              </w:rPr>
            </w:pPr>
          </w:p>
        </w:tc>
        <w:tc>
          <w:tcPr>
            <w:tcW w:w="1134" w:type="dxa"/>
            <w:tcBorders>
              <w:right w:val="single" w:sz="12" w:space="0" w:color="auto"/>
            </w:tcBorders>
            <w:shd w:val="clear" w:color="auto" w:fill="auto"/>
          </w:tcPr>
          <w:p w14:paraId="46840057"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134" w:type="dxa"/>
            <w:tcBorders>
              <w:left w:val="single" w:sz="12" w:space="0" w:color="auto"/>
            </w:tcBorders>
            <w:shd w:val="clear" w:color="auto" w:fill="auto"/>
          </w:tcPr>
          <w:p w14:paraId="510DD522" w14:textId="77777777" w:rsidR="003A6273" w:rsidRDefault="003A6273" w:rsidP="00C639E1">
            <w:pPr>
              <w:pStyle w:val="TableText"/>
              <w:spacing w:before="0" w:after="0"/>
              <w:jc w:val="center"/>
              <w:rPr>
                <w:rFonts w:cs="Segoe UI"/>
                <w:sz w:val="20"/>
                <w:lang w:eastAsia="en-GB"/>
              </w:rPr>
            </w:pPr>
          </w:p>
        </w:tc>
        <w:tc>
          <w:tcPr>
            <w:tcW w:w="1276" w:type="dxa"/>
            <w:shd w:val="clear" w:color="auto" w:fill="auto"/>
          </w:tcPr>
          <w:p w14:paraId="1AB656CA" w14:textId="77777777" w:rsidR="003A6273" w:rsidRDefault="003A6273" w:rsidP="00C639E1">
            <w:pPr>
              <w:pStyle w:val="TableText"/>
              <w:spacing w:before="0" w:after="0"/>
              <w:jc w:val="center"/>
              <w:rPr>
                <w:rFonts w:cs="Segoe UI"/>
                <w:sz w:val="20"/>
                <w:lang w:eastAsia="en-GB"/>
              </w:rPr>
            </w:pPr>
          </w:p>
        </w:tc>
        <w:tc>
          <w:tcPr>
            <w:tcW w:w="1101" w:type="dxa"/>
            <w:tcBorders>
              <w:right w:val="single" w:sz="12" w:space="0" w:color="auto"/>
            </w:tcBorders>
            <w:shd w:val="clear" w:color="auto" w:fill="auto"/>
          </w:tcPr>
          <w:p w14:paraId="602C4A43"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r>
      <w:tr w:rsidR="003A6273" w14:paraId="08322E1B" w14:textId="77777777" w:rsidTr="00CC0F5F">
        <w:trPr>
          <w:cantSplit/>
          <w:trHeight w:val="283"/>
        </w:trPr>
        <w:tc>
          <w:tcPr>
            <w:tcW w:w="2154" w:type="dxa"/>
            <w:vMerge/>
            <w:tcBorders>
              <w:left w:val="nil"/>
              <w:bottom w:val="single" w:sz="12" w:space="0" w:color="auto"/>
              <w:right w:val="single" w:sz="12" w:space="0" w:color="auto"/>
            </w:tcBorders>
          </w:tcPr>
          <w:p w14:paraId="486D2D4A"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right w:val="single" w:sz="12" w:space="0" w:color="auto"/>
            </w:tcBorders>
            <w:shd w:val="clear" w:color="auto" w:fill="auto"/>
          </w:tcPr>
          <w:p w14:paraId="1F6F526A" w14:textId="77777777" w:rsidR="003A6273" w:rsidRDefault="003A6273" w:rsidP="00C639E1">
            <w:pPr>
              <w:pStyle w:val="TableText"/>
              <w:spacing w:before="0" w:after="0"/>
              <w:rPr>
                <w:rFonts w:cs="Segoe UI"/>
                <w:noProof/>
                <w:sz w:val="20"/>
                <w:lang w:eastAsia="en-GB"/>
              </w:rPr>
            </w:pPr>
            <w:r>
              <w:rPr>
                <w:rFonts w:cs="Segoe UI"/>
                <w:sz w:val="20"/>
                <w:lang w:eastAsia="en-GB"/>
              </w:rPr>
              <w:t>Template CR3: Overview of recognized credit risk mitigation</w:t>
            </w:r>
          </w:p>
        </w:tc>
        <w:tc>
          <w:tcPr>
            <w:tcW w:w="1624" w:type="dxa"/>
            <w:tcBorders>
              <w:left w:val="single" w:sz="12" w:space="0" w:color="auto"/>
              <w:right w:val="single" w:sz="12" w:space="0" w:color="auto"/>
            </w:tcBorders>
            <w:shd w:val="clear" w:color="auto" w:fill="auto"/>
          </w:tcPr>
          <w:p w14:paraId="4391FF72" w14:textId="77777777" w:rsidR="003A6273" w:rsidRDefault="003A6273" w:rsidP="00C639E1">
            <w:pPr>
              <w:pStyle w:val="TableText"/>
              <w:spacing w:before="0" w:after="0"/>
              <w:jc w:val="center"/>
              <w:rPr>
                <w:rFonts w:cs="Segoe UI"/>
                <w:noProof/>
                <w:sz w:val="20"/>
                <w:lang w:eastAsia="en-GB"/>
              </w:rPr>
            </w:pPr>
            <w:r w:rsidRPr="003936F9">
              <w:rPr>
                <w:rFonts w:cs="Segoe UI" w:hint="eastAsia"/>
                <w:noProof/>
                <w:sz w:val="20"/>
                <w:lang w:eastAsia="en-GB"/>
              </w:rPr>
              <w:t>L</w:t>
            </w:r>
          </w:p>
        </w:tc>
        <w:tc>
          <w:tcPr>
            <w:tcW w:w="1244" w:type="dxa"/>
            <w:tcBorders>
              <w:left w:val="single" w:sz="12" w:space="0" w:color="auto"/>
            </w:tcBorders>
            <w:shd w:val="clear" w:color="auto" w:fill="auto"/>
          </w:tcPr>
          <w:p w14:paraId="53018BBC"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right w:val="single" w:sz="12" w:space="0" w:color="auto"/>
            </w:tcBorders>
            <w:shd w:val="clear" w:color="auto" w:fill="auto"/>
          </w:tcPr>
          <w:p w14:paraId="7D5A8488" w14:textId="77777777" w:rsidR="003A6273" w:rsidRDefault="003A6273" w:rsidP="00C639E1">
            <w:pPr>
              <w:pStyle w:val="TableText"/>
              <w:spacing w:before="0" w:after="0"/>
              <w:jc w:val="center"/>
              <w:rPr>
                <w:rFonts w:cs="Segoe UI"/>
                <w:sz w:val="20"/>
                <w:lang w:eastAsia="en-GB"/>
              </w:rPr>
            </w:pPr>
          </w:p>
        </w:tc>
        <w:tc>
          <w:tcPr>
            <w:tcW w:w="1134" w:type="dxa"/>
            <w:tcBorders>
              <w:left w:val="single" w:sz="12" w:space="0" w:color="auto"/>
            </w:tcBorders>
            <w:shd w:val="clear" w:color="auto" w:fill="auto"/>
          </w:tcPr>
          <w:p w14:paraId="149B626D" w14:textId="77777777" w:rsidR="003A6273" w:rsidRDefault="003A6273" w:rsidP="00C639E1">
            <w:pPr>
              <w:pStyle w:val="TableText"/>
              <w:spacing w:before="0" w:after="0"/>
              <w:jc w:val="center"/>
              <w:rPr>
                <w:rFonts w:cs="Segoe UI"/>
                <w:sz w:val="20"/>
                <w:lang w:eastAsia="en-GB"/>
              </w:rPr>
            </w:pPr>
          </w:p>
        </w:tc>
        <w:tc>
          <w:tcPr>
            <w:tcW w:w="1276" w:type="dxa"/>
            <w:shd w:val="clear" w:color="auto" w:fill="auto"/>
          </w:tcPr>
          <w:p w14:paraId="281B9D61"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01" w:type="dxa"/>
            <w:tcBorders>
              <w:right w:val="single" w:sz="12" w:space="0" w:color="auto"/>
            </w:tcBorders>
            <w:shd w:val="clear" w:color="auto" w:fill="auto"/>
          </w:tcPr>
          <w:p w14:paraId="46716B67" w14:textId="77777777" w:rsidR="003A6273" w:rsidRDefault="003A6273" w:rsidP="00C639E1">
            <w:pPr>
              <w:pStyle w:val="TableText"/>
              <w:spacing w:before="0" w:after="0"/>
              <w:jc w:val="center"/>
              <w:rPr>
                <w:rFonts w:cs="Segoe UI"/>
                <w:sz w:val="20"/>
                <w:lang w:eastAsia="en-GB"/>
              </w:rPr>
            </w:pPr>
          </w:p>
        </w:tc>
      </w:tr>
      <w:tr w:rsidR="003A6273" w14:paraId="24A7E0C2" w14:textId="77777777" w:rsidTr="00433A54">
        <w:trPr>
          <w:cantSplit/>
          <w:trHeight w:val="283"/>
        </w:trPr>
        <w:tc>
          <w:tcPr>
            <w:tcW w:w="2154" w:type="dxa"/>
            <w:vMerge/>
            <w:tcBorders>
              <w:left w:val="nil"/>
              <w:bottom w:val="single" w:sz="12" w:space="0" w:color="auto"/>
              <w:right w:val="single" w:sz="12" w:space="0" w:color="auto"/>
            </w:tcBorders>
          </w:tcPr>
          <w:p w14:paraId="081F7391"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bottom w:val="single" w:sz="4" w:space="0" w:color="auto"/>
              <w:right w:val="single" w:sz="12" w:space="0" w:color="auto"/>
            </w:tcBorders>
            <w:shd w:val="clear" w:color="auto" w:fill="auto"/>
          </w:tcPr>
          <w:p w14:paraId="39A1262B" w14:textId="77777777" w:rsidR="003A6273" w:rsidRDefault="003A6273" w:rsidP="00C639E1">
            <w:pPr>
              <w:pStyle w:val="TableText"/>
              <w:spacing w:before="0" w:after="0"/>
              <w:rPr>
                <w:rFonts w:cs="Segoe UI"/>
                <w:noProof/>
                <w:sz w:val="20"/>
                <w:lang w:eastAsia="en-GB"/>
              </w:rPr>
            </w:pPr>
            <w:r>
              <w:rPr>
                <w:rFonts w:cs="Segoe UI"/>
                <w:sz w:val="20"/>
                <w:lang w:eastAsia="en-GB"/>
              </w:rPr>
              <w:t>Table CRD: Qualitative disclosures on use of ECAI ratings under STC approach</w:t>
            </w:r>
          </w:p>
        </w:tc>
        <w:tc>
          <w:tcPr>
            <w:tcW w:w="1624" w:type="dxa"/>
            <w:tcBorders>
              <w:left w:val="single" w:sz="12" w:space="0" w:color="auto"/>
              <w:bottom w:val="single" w:sz="4" w:space="0" w:color="auto"/>
              <w:right w:val="single" w:sz="12" w:space="0" w:color="auto"/>
            </w:tcBorders>
            <w:shd w:val="clear" w:color="auto" w:fill="auto"/>
          </w:tcPr>
          <w:p w14:paraId="5DBB595C" w14:textId="77777777" w:rsidR="003A6273" w:rsidRDefault="003A6273" w:rsidP="00C639E1">
            <w:pPr>
              <w:pStyle w:val="TableText"/>
              <w:spacing w:before="0" w:after="0"/>
              <w:jc w:val="center"/>
              <w:rPr>
                <w:rFonts w:cs="Segoe UI"/>
                <w:sz w:val="20"/>
                <w:lang w:eastAsia="en-GB"/>
              </w:rPr>
            </w:pPr>
            <w:r w:rsidRPr="003936F9">
              <w:rPr>
                <w:rFonts w:cs="Segoe UI" w:hint="eastAsia"/>
                <w:noProof/>
                <w:sz w:val="20"/>
                <w:lang w:eastAsia="en-GB"/>
              </w:rPr>
              <w:t>L</w:t>
            </w:r>
            <w:r>
              <w:rPr>
                <w:rFonts w:cs="Segoe UI"/>
                <w:noProof/>
                <w:sz w:val="20"/>
                <w:lang w:eastAsia="en-GB"/>
              </w:rPr>
              <w:t xml:space="preserve"> </w:t>
            </w:r>
            <w:r>
              <w:rPr>
                <w:rFonts w:asciiTheme="minorEastAsia" w:eastAsiaTheme="minorEastAsia" w:hAnsiTheme="minorEastAsia" w:cs="Segoe UI" w:hint="eastAsia"/>
                <w:noProof/>
                <w:sz w:val="20"/>
                <w:lang w:eastAsia="zh-TW"/>
              </w:rPr>
              <w:t>[</w:t>
            </w:r>
            <w:r>
              <w:rPr>
                <w:rFonts w:cs="Segoe UI"/>
                <w:sz w:val="20"/>
                <w:lang w:eastAsia="en-GB"/>
              </w:rPr>
              <w:t>STC</w:t>
            </w:r>
            <w:r>
              <w:rPr>
                <w:rFonts w:asciiTheme="minorEastAsia" w:eastAsiaTheme="minorEastAsia" w:hAnsiTheme="minorEastAsia" w:cs="Segoe UI" w:hint="eastAsia"/>
                <w:sz w:val="20"/>
                <w:lang w:eastAsia="zh-TW"/>
              </w:rPr>
              <w:t>]</w:t>
            </w:r>
          </w:p>
        </w:tc>
        <w:tc>
          <w:tcPr>
            <w:tcW w:w="1244" w:type="dxa"/>
            <w:tcBorders>
              <w:left w:val="single" w:sz="12" w:space="0" w:color="auto"/>
              <w:bottom w:val="single" w:sz="4" w:space="0" w:color="auto"/>
            </w:tcBorders>
            <w:shd w:val="clear" w:color="auto" w:fill="auto"/>
          </w:tcPr>
          <w:p w14:paraId="776014E1" w14:textId="77777777" w:rsidR="003A6273" w:rsidRDefault="003A6273" w:rsidP="00C639E1">
            <w:pPr>
              <w:pStyle w:val="TableText"/>
              <w:spacing w:before="0" w:after="0"/>
              <w:jc w:val="center"/>
              <w:rPr>
                <w:rFonts w:cs="Segoe UI"/>
                <w:sz w:val="20"/>
                <w:lang w:eastAsia="en-GB"/>
              </w:rPr>
            </w:pPr>
          </w:p>
        </w:tc>
        <w:tc>
          <w:tcPr>
            <w:tcW w:w="1134" w:type="dxa"/>
            <w:tcBorders>
              <w:bottom w:val="single" w:sz="4" w:space="0" w:color="auto"/>
              <w:right w:val="single" w:sz="12" w:space="0" w:color="auto"/>
            </w:tcBorders>
            <w:shd w:val="clear" w:color="auto" w:fill="auto"/>
          </w:tcPr>
          <w:p w14:paraId="3C0E029C"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left w:val="single" w:sz="12" w:space="0" w:color="auto"/>
              <w:bottom w:val="single" w:sz="4" w:space="0" w:color="auto"/>
            </w:tcBorders>
            <w:shd w:val="clear" w:color="auto" w:fill="auto"/>
          </w:tcPr>
          <w:p w14:paraId="0086F2B8" w14:textId="77777777" w:rsidR="003A6273" w:rsidRDefault="003A6273" w:rsidP="00C639E1">
            <w:pPr>
              <w:pStyle w:val="TableText"/>
              <w:spacing w:before="0" w:after="0"/>
              <w:jc w:val="center"/>
              <w:rPr>
                <w:rFonts w:cs="Segoe UI"/>
                <w:sz w:val="20"/>
                <w:lang w:eastAsia="en-GB"/>
              </w:rPr>
            </w:pPr>
          </w:p>
        </w:tc>
        <w:tc>
          <w:tcPr>
            <w:tcW w:w="1276" w:type="dxa"/>
            <w:tcBorders>
              <w:bottom w:val="single" w:sz="4" w:space="0" w:color="auto"/>
            </w:tcBorders>
            <w:shd w:val="clear" w:color="auto" w:fill="auto"/>
          </w:tcPr>
          <w:p w14:paraId="541A1A5D" w14:textId="77777777" w:rsidR="003A6273" w:rsidRDefault="003A6273" w:rsidP="00C639E1">
            <w:pPr>
              <w:pStyle w:val="TableText"/>
              <w:spacing w:before="0" w:after="0"/>
              <w:jc w:val="center"/>
              <w:rPr>
                <w:rFonts w:cs="Segoe UI"/>
                <w:sz w:val="20"/>
                <w:lang w:eastAsia="en-GB"/>
              </w:rPr>
            </w:pPr>
          </w:p>
        </w:tc>
        <w:tc>
          <w:tcPr>
            <w:tcW w:w="1101" w:type="dxa"/>
            <w:tcBorders>
              <w:bottom w:val="single" w:sz="4" w:space="0" w:color="auto"/>
              <w:right w:val="single" w:sz="12" w:space="0" w:color="auto"/>
            </w:tcBorders>
            <w:shd w:val="clear" w:color="auto" w:fill="auto"/>
          </w:tcPr>
          <w:p w14:paraId="0872515C"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r>
      <w:tr w:rsidR="003A6273" w14:paraId="67EB71A0" w14:textId="77777777" w:rsidTr="00CC0F5F">
        <w:trPr>
          <w:cantSplit/>
          <w:trHeight w:val="283"/>
        </w:trPr>
        <w:tc>
          <w:tcPr>
            <w:tcW w:w="2154" w:type="dxa"/>
            <w:vMerge/>
            <w:tcBorders>
              <w:left w:val="nil"/>
              <w:bottom w:val="single" w:sz="12" w:space="0" w:color="auto"/>
              <w:right w:val="single" w:sz="12" w:space="0" w:color="auto"/>
            </w:tcBorders>
          </w:tcPr>
          <w:p w14:paraId="57663E01"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bottom w:val="single" w:sz="12" w:space="0" w:color="auto"/>
              <w:right w:val="single" w:sz="12" w:space="0" w:color="auto"/>
            </w:tcBorders>
            <w:shd w:val="clear" w:color="auto" w:fill="auto"/>
          </w:tcPr>
          <w:p w14:paraId="086589CD" w14:textId="77777777" w:rsidR="003A6273" w:rsidRDefault="003A6273" w:rsidP="00C639E1">
            <w:pPr>
              <w:pStyle w:val="TableText"/>
              <w:spacing w:before="0" w:after="0"/>
              <w:rPr>
                <w:rFonts w:cs="Segoe UI"/>
                <w:noProof/>
                <w:sz w:val="20"/>
                <w:lang w:eastAsia="en-GB"/>
              </w:rPr>
            </w:pPr>
            <w:r>
              <w:rPr>
                <w:rFonts w:cs="Segoe UI"/>
                <w:sz w:val="20"/>
                <w:lang w:eastAsia="en-GB"/>
              </w:rPr>
              <w:t>Template CR4: Credit risk exposures and effects of recognized credit risk mitigation – for STC approach or BSC approach</w:t>
            </w:r>
          </w:p>
        </w:tc>
        <w:tc>
          <w:tcPr>
            <w:tcW w:w="1624" w:type="dxa"/>
            <w:tcBorders>
              <w:left w:val="single" w:sz="12" w:space="0" w:color="auto"/>
              <w:bottom w:val="single" w:sz="12" w:space="0" w:color="auto"/>
              <w:right w:val="single" w:sz="12" w:space="0" w:color="auto"/>
            </w:tcBorders>
            <w:shd w:val="clear" w:color="auto" w:fill="auto"/>
          </w:tcPr>
          <w:p w14:paraId="339F2A74" w14:textId="77777777" w:rsidR="003A6273" w:rsidRDefault="003A6273" w:rsidP="00C639E1">
            <w:pPr>
              <w:pStyle w:val="TableText"/>
              <w:spacing w:before="0" w:after="0"/>
              <w:jc w:val="center"/>
              <w:rPr>
                <w:rFonts w:cs="Segoe UI"/>
                <w:noProof/>
                <w:sz w:val="20"/>
                <w:lang w:eastAsia="en-GB"/>
              </w:rPr>
            </w:pPr>
            <w:r w:rsidRPr="003936F9">
              <w:rPr>
                <w:rFonts w:cs="Segoe UI" w:hint="eastAsia"/>
                <w:noProof/>
                <w:sz w:val="20"/>
                <w:lang w:eastAsia="en-GB"/>
              </w:rPr>
              <w:t>L</w:t>
            </w:r>
            <w:r>
              <w:rPr>
                <w:rFonts w:cs="Segoe UI"/>
                <w:noProof/>
                <w:sz w:val="20"/>
                <w:lang w:eastAsia="en-GB"/>
              </w:rPr>
              <w:t xml:space="preserve"> </w:t>
            </w:r>
            <w:r>
              <w:rPr>
                <w:rFonts w:asciiTheme="minorEastAsia" w:eastAsiaTheme="minorEastAsia" w:hAnsiTheme="minorEastAsia" w:cs="Segoe UI" w:hint="eastAsia"/>
                <w:noProof/>
                <w:sz w:val="20"/>
                <w:lang w:eastAsia="zh-TW"/>
              </w:rPr>
              <w:t>[</w:t>
            </w:r>
            <w:r>
              <w:rPr>
                <w:rFonts w:cs="Segoe UI"/>
                <w:noProof/>
                <w:sz w:val="20"/>
                <w:lang w:eastAsia="en-GB"/>
              </w:rPr>
              <w:t>STC; BSC</w:t>
            </w:r>
            <w:r>
              <w:rPr>
                <w:rFonts w:asciiTheme="minorEastAsia" w:eastAsiaTheme="minorEastAsia" w:hAnsiTheme="minorEastAsia" w:cs="Segoe UI" w:hint="eastAsia"/>
                <w:noProof/>
                <w:sz w:val="20"/>
                <w:lang w:eastAsia="zh-TW"/>
              </w:rPr>
              <w:t>]</w:t>
            </w:r>
          </w:p>
        </w:tc>
        <w:tc>
          <w:tcPr>
            <w:tcW w:w="1244" w:type="dxa"/>
            <w:tcBorders>
              <w:left w:val="single" w:sz="12" w:space="0" w:color="auto"/>
              <w:bottom w:val="single" w:sz="12" w:space="0" w:color="auto"/>
            </w:tcBorders>
            <w:shd w:val="clear" w:color="auto" w:fill="auto"/>
          </w:tcPr>
          <w:p w14:paraId="7C2C8458"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bottom w:val="single" w:sz="12" w:space="0" w:color="auto"/>
              <w:right w:val="single" w:sz="12" w:space="0" w:color="auto"/>
            </w:tcBorders>
            <w:shd w:val="clear" w:color="auto" w:fill="auto"/>
          </w:tcPr>
          <w:p w14:paraId="52DE2CDD" w14:textId="77777777" w:rsidR="003A6273" w:rsidRDefault="003A6273" w:rsidP="00C639E1">
            <w:pPr>
              <w:pStyle w:val="TableText"/>
              <w:spacing w:before="0" w:after="0"/>
              <w:jc w:val="center"/>
              <w:rPr>
                <w:rFonts w:cs="Segoe UI"/>
                <w:sz w:val="20"/>
                <w:lang w:eastAsia="en-GB"/>
              </w:rPr>
            </w:pPr>
          </w:p>
        </w:tc>
        <w:tc>
          <w:tcPr>
            <w:tcW w:w="1134" w:type="dxa"/>
            <w:tcBorders>
              <w:left w:val="single" w:sz="12" w:space="0" w:color="auto"/>
              <w:bottom w:val="single" w:sz="12" w:space="0" w:color="auto"/>
            </w:tcBorders>
            <w:shd w:val="clear" w:color="auto" w:fill="auto"/>
          </w:tcPr>
          <w:p w14:paraId="306BEEBB" w14:textId="77777777" w:rsidR="003A6273" w:rsidRDefault="003A6273" w:rsidP="00C639E1">
            <w:pPr>
              <w:pStyle w:val="TableText"/>
              <w:spacing w:before="0" w:after="0"/>
              <w:jc w:val="center"/>
              <w:rPr>
                <w:rFonts w:cs="Segoe UI"/>
                <w:noProof/>
                <w:sz w:val="20"/>
                <w:lang w:eastAsia="en-GB"/>
              </w:rPr>
            </w:pPr>
          </w:p>
        </w:tc>
        <w:tc>
          <w:tcPr>
            <w:tcW w:w="1276" w:type="dxa"/>
            <w:tcBorders>
              <w:bottom w:val="single" w:sz="12" w:space="0" w:color="auto"/>
            </w:tcBorders>
            <w:shd w:val="clear" w:color="auto" w:fill="auto"/>
          </w:tcPr>
          <w:p w14:paraId="37B24A9C"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101" w:type="dxa"/>
            <w:tcBorders>
              <w:bottom w:val="single" w:sz="12" w:space="0" w:color="auto"/>
              <w:right w:val="single" w:sz="12" w:space="0" w:color="auto"/>
            </w:tcBorders>
            <w:shd w:val="clear" w:color="auto" w:fill="auto"/>
          </w:tcPr>
          <w:p w14:paraId="4DE511DF" w14:textId="77777777" w:rsidR="003A6273" w:rsidRDefault="003A6273" w:rsidP="00C639E1">
            <w:pPr>
              <w:pStyle w:val="TableText"/>
              <w:spacing w:before="0" w:after="0"/>
              <w:jc w:val="center"/>
              <w:rPr>
                <w:rFonts w:cs="Segoe UI"/>
                <w:sz w:val="20"/>
                <w:lang w:eastAsia="en-GB"/>
              </w:rPr>
            </w:pPr>
          </w:p>
        </w:tc>
      </w:tr>
      <w:tr w:rsidR="003A6273" w14:paraId="731CE03B" w14:textId="77777777" w:rsidTr="00CC0F5F">
        <w:trPr>
          <w:cantSplit/>
          <w:trHeight w:val="283"/>
        </w:trPr>
        <w:tc>
          <w:tcPr>
            <w:tcW w:w="2154" w:type="dxa"/>
            <w:vMerge/>
            <w:tcBorders>
              <w:left w:val="nil"/>
              <w:bottom w:val="single" w:sz="12" w:space="0" w:color="auto"/>
              <w:right w:val="single" w:sz="12" w:space="0" w:color="auto"/>
            </w:tcBorders>
          </w:tcPr>
          <w:p w14:paraId="4E72EA41" w14:textId="77777777" w:rsidR="003A6273" w:rsidRDefault="003A6273" w:rsidP="00C639E1">
            <w:pPr>
              <w:pStyle w:val="TableText"/>
              <w:spacing w:before="0" w:after="0"/>
              <w:rPr>
                <w:rFonts w:cs="Segoe UI"/>
                <w:sz w:val="20"/>
                <w:lang w:eastAsia="en-GB"/>
              </w:rPr>
            </w:pPr>
          </w:p>
        </w:tc>
        <w:tc>
          <w:tcPr>
            <w:tcW w:w="4762" w:type="dxa"/>
            <w:tcBorders>
              <w:top w:val="single" w:sz="12" w:space="0" w:color="auto"/>
              <w:left w:val="single" w:sz="12" w:space="0" w:color="auto"/>
              <w:right w:val="single" w:sz="12" w:space="0" w:color="auto"/>
            </w:tcBorders>
            <w:shd w:val="clear" w:color="auto" w:fill="auto"/>
          </w:tcPr>
          <w:p w14:paraId="2991A55E" w14:textId="2CBF5E59" w:rsidR="003A6273" w:rsidRDefault="003A6273" w:rsidP="00173771">
            <w:pPr>
              <w:pStyle w:val="TableText"/>
              <w:spacing w:before="0" w:after="0"/>
              <w:rPr>
                <w:rFonts w:cs="Segoe UI"/>
                <w:noProof/>
                <w:sz w:val="20"/>
                <w:lang w:eastAsia="en-GB"/>
              </w:rPr>
            </w:pPr>
            <w:r>
              <w:rPr>
                <w:rFonts w:cs="Segoe UI"/>
                <w:sz w:val="20"/>
                <w:lang w:eastAsia="en-GB"/>
              </w:rPr>
              <w:t>Template CR5: Credit risk exposures by exposure classes and by risk weights – for STC approach or BSC approach</w:t>
            </w:r>
          </w:p>
        </w:tc>
        <w:tc>
          <w:tcPr>
            <w:tcW w:w="1624" w:type="dxa"/>
            <w:tcBorders>
              <w:top w:val="single" w:sz="12" w:space="0" w:color="auto"/>
              <w:left w:val="single" w:sz="12" w:space="0" w:color="auto"/>
              <w:right w:val="single" w:sz="12" w:space="0" w:color="auto"/>
            </w:tcBorders>
            <w:shd w:val="clear" w:color="auto" w:fill="auto"/>
          </w:tcPr>
          <w:p w14:paraId="36B87191" w14:textId="77777777" w:rsidR="003A6273" w:rsidRDefault="003A6273" w:rsidP="00C639E1">
            <w:pPr>
              <w:pStyle w:val="TableText"/>
              <w:spacing w:before="0" w:after="0"/>
              <w:jc w:val="center"/>
              <w:rPr>
                <w:rFonts w:cs="Segoe UI"/>
                <w:noProof/>
                <w:sz w:val="20"/>
                <w:lang w:eastAsia="en-GB"/>
              </w:rPr>
            </w:pPr>
            <w:r w:rsidRPr="003936F9">
              <w:rPr>
                <w:rFonts w:cs="Segoe UI" w:hint="eastAsia"/>
                <w:noProof/>
                <w:sz w:val="20"/>
                <w:lang w:eastAsia="en-GB"/>
              </w:rPr>
              <w:t>L</w:t>
            </w:r>
            <w:r>
              <w:rPr>
                <w:rFonts w:cs="Segoe UI"/>
                <w:noProof/>
                <w:sz w:val="20"/>
                <w:lang w:eastAsia="en-GB"/>
              </w:rPr>
              <w:t xml:space="preserve"> </w:t>
            </w:r>
            <w:r>
              <w:rPr>
                <w:rFonts w:asciiTheme="minorEastAsia" w:eastAsiaTheme="minorEastAsia" w:hAnsiTheme="minorEastAsia" w:cs="Segoe UI" w:hint="eastAsia"/>
                <w:noProof/>
                <w:sz w:val="20"/>
                <w:lang w:eastAsia="zh-TW"/>
              </w:rPr>
              <w:t>[</w:t>
            </w:r>
            <w:r>
              <w:rPr>
                <w:rFonts w:cs="Segoe UI"/>
                <w:noProof/>
                <w:sz w:val="20"/>
                <w:lang w:eastAsia="en-GB"/>
              </w:rPr>
              <w:t>STC; BSC</w:t>
            </w:r>
            <w:r>
              <w:rPr>
                <w:rFonts w:asciiTheme="minorEastAsia" w:eastAsiaTheme="minorEastAsia" w:hAnsiTheme="minorEastAsia" w:cs="Segoe UI" w:hint="eastAsia"/>
                <w:noProof/>
                <w:sz w:val="20"/>
                <w:lang w:eastAsia="zh-TW"/>
              </w:rPr>
              <w:t>]</w:t>
            </w:r>
          </w:p>
        </w:tc>
        <w:tc>
          <w:tcPr>
            <w:tcW w:w="1244" w:type="dxa"/>
            <w:tcBorders>
              <w:top w:val="single" w:sz="12" w:space="0" w:color="auto"/>
              <w:left w:val="single" w:sz="12" w:space="0" w:color="auto"/>
            </w:tcBorders>
            <w:shd w:val="clear" w:color="auto" w:fill="auto"/>
          </w:tcPr>
          <w:p w14:paraId="5CE9AB1B"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top w:val="single" w:sz="12" w:space="0" w:color="auto"/>
              <w:right w:val="single" w:sz="12" w:space="0" w:color="auto"/>
            </w:tcBorders>
            <w:shd w:val="clear" w:color="auto" w:fill="auto"/>
          </w:tcPr>
          <w:p w14:paraId="0B560613" w14:textId="77777777" w:rsidR="003A6273" w:rsidRDefault="003A6273" w:rsidP="00C639E1">
            <w:pPr>
              <w:pStyle w:val="TableText"/>
              <w:spacing w:before="0" w:after="0"/>
              <w:jc w:val="center"/>
              <w:rPr>
                <w:rFonts w:cs="Segoe UI"/>
                <w:sz w:val="20"/>
                <w:lang w:eastAsia="en-GB"/>
              </w:rPr>
            </w:pPr>
          </w:p>
        </w:tc>
        <w:tc>
          <w:tcPr>
            <w:tcW w:w="1134" w:type="dxa"/>
            <w:tcBorders>
              <w:top w:val="single" w:sz="12" w:space="0" w:color="auto"/>
              <w:left w:val="single" w:sz="12" w:space="0" w:color="auto"/>
            </w:tcBorders>
            <w:shd w:val="clear" w:color="auto" w:fill="auto"/>
          </w:tcPr>
          <w:p w14:paraId="7E33C384" w14:textId="77777777" w:rsidR="003A6273" w:rsidRDefault="003A6273" w:rsidP="00C639E1">
            <w:pPr>
              <w:pStyle w:val="TableText"/>
              <w:spacing w:before="0" w:after="0"/>
              <w:jc w:val="center"/>
              <w:rPr>
                <w:rFonts w:cs="Segoe UI"/>
                <w:noProof/>
                <w:sz w:val="20"/>
                <w:lang w:eastAsia="en-GB"/>
              </w:rPr>
            </w:pPr>
          </w:p>
        </w:tc>
        <w:tc>
          <w:tcPr>
            <w:tcW w:w="1276" w:type="dxa"/>
            <w:tcBorders>
              <w:top w:val="single" w:sz="12" w:space="0" w:color="auto"/>
            </w:tcBorders>
            <w:shd w:val="clear" w:color="auto" w:fill="auto"/>
          </w:tcPr>
          <w:p w14:paraId="22E09D22"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101" w:type="dxa"/>
            <w:tcBorders>
              <w:top w:val="single" w:sz="12" w:space="0" w:color="auto"/>
              <w:right w:val="single" w:sz="12" w:space="0" w:color="auto"/>
            </w:tcBorders>
            <w:shd w:val="clear" w:color="auto" w:fill="auto"/>
          </w:tcPr>
          <w:p w14:paraId="1DF8F6B3" w14:textId="77777777" w:rsidR="003A6273" w:rsidRDefault="003A6273" w:rsidP="00C639E1">
            <w:pPr>
              <w:pStyle w:val="TableText"/>
              <w:spacing w:before="0" w:after="0"/>
              <w:jc w:val="center"/>
              <w:rPr>
                <w:rFonts w:cs="Segoe UI"/>
                <w:sz w:val="20"/>
                <w:lang w:eastAsia="en-GB"/>
              </w:rPr>
            </w:pPr>
          </w:p>
        </w:tc>
      </w:tr>
      <w:tr w:rsidR="003A6273" w14:paraId="41E98B32" w14:textId="77777777" w:rsidTr="00433A54">
        <w:trPr>
          <w:cantSplit/>
          <w:trHeight w:val="283"/>
        </w:trPr>
        <w:tc>
          <w:tcPr>
            <w:tcW w:w="2154" w:type="dxa"/>
            <w:vMerge/>
            <w:tcBorders>
              <w:left w:val="nil"/>
              <w:bottom w:val="single" w:sz="12" w:space="0" w:color="auto"/>
              <w:right w:val="single" w:sz="12" w:space="0" w:color="auto"/>
            </w:tcBorders>
          </w:tcPr>
          <w:p w14:paraId="35D321E8"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right w:val="single" w:sz="12" w:space="0" w:color="auto"/>
            </w:tcBorders>
            <w:shd w:val="clear" w:color="auto" w:fill="auto"/>
          </w:tcPr>
          <w:p w14:paraId="7FC89F76" w14:textId="77777777" w:rsidR="003A6273" w:rsidRDefault="003A6273" w:rsidP="00C639E1">
            <w:pPr>
              <w:pStyle w:val="TableText"/>
              <w:spacing w:before="0" w:after="0"/>
              <w:rPr>
                <w:rFonts w:cs="Segoe UI"/>
                <w:noProof/>
                <w:sz w:val="20"/>
                <w:lang w:eastAsia="en-GB"/>
              </w:rPr>
            </w:pPr>
            <w:r>
              <w:rPr>
                <w:rFonts w:cs="Segoe UI"/>
                <w:sz w:val="20"/>
                <w:lang w:eastAsia="en-GB"/>
              </w:rPr>
              <w:t>Table CRE: Qualitative disclosures related to internal models for measuring credit risk under IRB approach</w:t>
            </w:r>
          </w:p>
        </w:tc>
        <w:tc>
          <w:tcPr>
            <w:tcW w:w="1624" w:type="dxa"/>
            <w:tcBorders>
              <w:left w:val="single" w:sz="12" w:space="0" w:color="auto"/>
              <w:right w:val="single" w:sz="12" w:space="0" w:color="auto"/>
            </w:tcBorders>
            <w:shd w:val="clear" w:color="auto" w:fill="auto"/>
          </w:tcPr>
          <w:p w14:paraId="17F138E0" w14:textId="77777777" w:rsidR="003A6273" w:rsidRDefault="003A6273" w:rsidP="00C639E1">
            <w:pPr>
              <w:pStyle w:val="TableText"/>
              <w:spacing w:before="0" w:after="0"/>
              <w:jc w:val="center"/>
              <w:rPr>
                <w:rFonts w:cs="Segoe UI"/>
                <w:sz w:val="20"/>
                <w:lang w:eastAsia="en-GB"/>
              </w:rPr>
            </w:pPr>
            <w:r w:rsidRPr="003936F9">
              <w:rPr>
                <w:rFonts w:cs="Segoe UI" w:hint="eastAsia"/>
                <w:noProof/>
                <w:sz w:val="20"/>
                <w:lang w:eastAsia="en-GB"/>
              </w:rPr>
              <w:t>L</w:t>
            </w:r>
            <w:r>
              <w:rPr>
                <w:rFonts w:cs="Segoe UI"/>
                <w:noProof/>
                <w:sz w:val="20"/>
                <w:lang w:eastAsia="en-GB"/>
              </w:rPr>
              <w:t xml:space="preserve"> </w:t>
            </w:r>
            <w:r>
              <w:rPr>
                <w:rFonts w:asciiTheme="minorEastAsia" w:eastAsiaTheme="minorEastAsia" w:hAnsiTheme="minorEastAsia" w:cs="Segoe UI" w:hint="eastAsia"/>
                <w:noProof/>
                <w:sz w:val="20"/>
                <w:lang w:eastAsia="zh-TW"/>
              </w:rPr>
              <w:t>[</w:t>
            </w:r>
            <w:r>
              <w:rPr>
                <w:rFonts w:cs="Segoe UI"/>
                <w:sz w:val="20"/>
                <w:lang w:eastAsia="en-GB"/>
              </w:rPr>
              <w:t>IRB</w:t>
            </w:r>
            <w:r>
              <w:rPr>
                <w:rFonts w:asciiTheme="minorEastAsia" w:eastAsiaTheme="minorEastAsia" w:hAnsiTheme="minorEastAsia" w:cs="Segoe UI" w:hint="eastAsia"/>
                <w:sz w:val="20"/>
                <w:lang w:eastAsia="zh-TW"/>
              </w:rPr>
              <w:t>]</w:t>
            </w:r>
          </w:p>
        </w:tc>
        <w:tc>
          <w:tcPr>
            <w:tcW w:w="1244" w:type="dxa"/>
            <w:tcBorders>
              <w:left w:val="single" w:sz="12" w:space="0" w:color="auto"/>
            </w:tcBorders>
            <w:shd w:val="clear" w:color="auto" w:fill="auto"/>
          </w:tcPr>
          <w:p w14:paraId="1C1FA6F8" w14:textId="77777777" w:rsidR="003A6273" w:rsidRDefault="003A6273" w:rsidP="00C639E1">
            <w:pPr>
              <w:pStyle w:val="TableText"/>
              <w:spacing w:before="0" w:after="0"/>
              <w:jc w:val="center"/>
              <w:rPr>
                <w:rFonts w:cs="Segoe UI"/>
                <w:sz w:val="20"/>
                <w:lang w:eastAsia="en-GB"/>
              </w:rPr>
            </w:pPr>
          </w:p>
        </w:tc>
        <w:tc>
          <w:tcPr>
            <w:tcW w:w="1134" w:type="dxa"/>
            <w:tcBorders>
              <w:right w:val="single" w:sz="12" w:space="0" w:color="auto"/>
            </w:tcBorders>
            <w:shd w:val="clear" w:color="auto" w:fill="auto"/>
          </w:tcPr>
          <w:p w14:paraId="05553769"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left w:val="single" w:sz="12" w:space="0" w:color="auto"/>
            </w:tcBorders>
            <w:shd w:val="clear" w:color="auto" w:fill="auto"/>
          </w:tcPr>
          <w:p w14:paraId="313B7D47" w14:textId="77777777" w:rsidR="003A6273" w:rsidRDefault="003A6273" w:rsidP="00C639E1">
            <w:pPr>
              <w:pStyle w:val="TableText"/>
              <w:spacing w:before="0" w:after="0"/>
              <w:jc w:val="center"/>
              <w:rPr>
                <w:rFonts w:cs="Segoe UI"/>
                <w:sz w:val="20"/>
                <w:lang w:eastAsia="en-GB"/>
              </w:rPr>
            </w:pPr>
          </w:p>
        </w:tc>
        <w:tc>
          <w:tcPr>
            <w:tcW w:w="1276" w:type="dxa"/>
            <w:shd w:val="clear" w:color="auto" w:fill="auto"/>
          </w:tcPr>
          <w:p w14:paraId="5241E73B" w14:textId="77777777" w:rsidR="003A6273" w:rsidRDefault="003A6273" w:rsidP="00C639E1">
            <w:pPr>
              <w:pStyle w:val="TableText"/>
              <w:spacing w:before="0" w:after="0"/>
              <w:jc w:val="center"/>
              <w:rPr>
                <w:rFonts w:cs="Segoe UI"/>
                <w:sz w:val="20"/>
                <w:lang w:eastAsia="en-GB"/>
              </w:rPr>
            </w:pPr>
          </w:p>
        </w:tc>
        <w:tc>
          <w:tcPr>
            <w:tcW w:w="1101" w:type="dxa"/>
            <w:tcBorders>
              <w:right w:val="single" w:sz="12" w:space="0" w:color="auto"/>
            </w:tcBorders>
            <w:shd w:val="clear" w:color="auto" w:fill="auto"/>
          </w:tcPr>
          <w:p w14:paraId="4550A57D"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r>
      <w:tr w:rsidR="003A6273" w14:paraId="1BD74A02" w14:textId="77777777" w:rsidTr="00CC0F5F">
        <w:trPr>
          <w:cantSplit/>
          <w:trHeight w:val="283"/>
        </w:trPr>
        <w:tc>
          <w:tcPr>
            <w:tcW w:w="2154" w:type="dxa"/>
            <w:vMerge/>
            <w:tcBorders>
              <w:left w:val="nil"/>
              <w:bottom w:val="single" w:sz="12" w:space="0" w:color="auto"/>
              <w:right w:val="single" w:sz="12" w:space="0" w:color="auto"/>
            </w:tcBorders>
          </w:tcPr>
          <w:p w14:paraId="378DCE63"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right w:val="single" w:sz="12" w:space="0" w:color="auto"/>
            </w:tcBorders>
            <w:shd w:val="clear" w:color="auto" w:fill="auto"/>
          </w:tcPr>
          <w:p w14:paraId="563381E8" w14:textId="77777777" w:rsidR="003A6273" w:rsidRDefault="003A6273" w:rsidP="00C639E1">
            <w:pPr>
              <w:pStyle w:val="TableText"/>
              <w:spacing w:before="0" w:after="0"/>
              <w:rPr>
                <w:rFonts w:cs="Segoe UI"/>
                <w:noProof/>
                <w:sz w:val="20"/>
                <w:lang w:eastAsia="en-GB"/>
              </w:rPr>
            </w:pPr>
            <w:r>
              <w:rPr>
                <w:rFonts w:cs="Segoe UI"/>
                <w:sz w:val="20"/>
                <w:lang w:eastAsia="en-GB"/>
              </w:rPr>
              <w:t>Template CR6: Credit risk exposures by portfolio and PD ranges – for IRB approach</w:t>
            </w:r>
          </w:p>
        </w:tc>
        <w:tc>
          <w:tcPr>
            <w:tcW w:w="1624" w:type="dxa"/>
            <w:tcBorders>
              <w:left w:val="single" w:sz="12" w:space="0" w:color="auto"/>
              <w:right w:val="single" w:sz="12" w:space="0" w:color="auto"/>
            </w:tcBorders>
            <w:shd w:val="clear" w:color="auto" w:fill="auto"/>
          </w:tcPr>
          <w:p w14:paraId="02762F4E" w14:textId="77777777" w:rsidR="003A6273" w:rsidRDefault="003A6273" w:rsidP="00C639E1">
            <w:pPr>
              <w:pStyle w:val="TableText"/>
              <w:spacing w:before="0" w:after="0"/>
              <w:jc w:val="center"/>
              <w:rPr>
                <w:rFonts w:cs="Segoe UI"/>
                <w:noProof/>
                <w:sz w:val="20"/>
                <w:lang w:eastAsia="en-GB"/>
              </w:rPr>
            </w:pPr>
            <w:r w:rsidRPr="003936F9">
              <w:rPr>
                <w:rFonts w:cs="Segoe UI" w:hint="eastAsia"/>
                <w:noProof/>
                <w:sz w:val="20"/>
                <w:lang w:eastAsia="en-GB"/>
              </w:rPr>
              <w:t>L</w:t>
            </w:r>
            <w:r>
              <w:rPr>
                <w:rFonts w:cs="Segoe UI"/>
                <w:noProof/>
                <w:sz w:val="20"/>
                <w:lang w:eastAsia="en-GB"/>
              </w:rPr>
              <w:t xml:space="preserve"> </w:t>
            </w:r>
            <w:r>
              <w:rPr>
                <w:rFonts w:asciiTheme="minorEastAsia" w:eastAsiaTheme="minorEastAsia" w:hAnsiTheme="minorEastAsia" w:cs="Segoe UI" w:hint="eastAsia"/>
                <w:noProof/>
                <w:sz w:val="20"/>
                <w:lang w:eastAsia="zh-TW"/>
              </w:rPr>
              <w:t>[</w:t>
            </w:r>
            <w:r>
              <w:rPr>
                <w:rFonts w:cs="Segoe UI"/>
                <w:noProof/>
                <w:sz w:val="20"/>
                <w:lang w:eastAsia="en-GB"/>
              </w:rPr>
              <w:t>IRB</w:t>
            </w:r>
            <w:r>
              <w:rPr>
                <w:rFonts w:asciiTheme="minorEastAsia" w:eastAsiaTheme="minorEastAsia" w:hAnsiTheme="minorEastAsia" w:cs="Segoe UI" w:hint="eastAsia"/>
                <w:noProof/>
                <w:sz w:val="20"/>
                <w:lang w:eastAsia="zh-TW"/>
              </w:rPr>
              <w:t>]</w:t>
            </w:r>
          </w:p>
        </w:tc>
        <w:tc>
          <w:tcPr>
            <w:tcW w:w="1244" w:type="dxa"/>
            <w:tcBorders>
              <w:left w:val="single" w:sz="12" w:space="0" w:color="auto"/>
            </w:tcBorders>
            <w:shd w:val="clear" w:color="auto" w:fill="auto"/>
          </w:tcPr>
          <w:p w14:paraId="0B017E15"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right w:val="single" w:sz="12" w:space="0" w:color="auto"/>
            </w:tcBorders>
            <w:shd w:val="clear" w:color="auto" w:fill="auto"/>
          </w:tcPr>
          <w:p w14:paraId="534EAEB1" w14:textId="77777777" w:rsidR="003A6273" w:rsidRDefault="003A6273" w:rsidP="00C639E1">
            <w:pPr>
              <w:pStyle w:val="TableText"/>
              <w:spacing w:before="0" w:after="0"/>
              <w:jc w:val="center"/>
              <w:rPr>
                <w:rFonts w:cs="Segoe UI"/>
                <w:sz w:val="20"/>
                <w:lang w:eastAsia="en-GB"/>
              </w:rPr>
            </w:pPr>
          </w:p>
        </w:tc>
        <w:tc>
          <w:tcPr>
            <w:tcW w:w="1134" w:type="dxa"/>
            <w:tcBorders>
              <w:left w:val="single" w:sz="12" w:space="0" w:color="auto"/>
            </w:tcBorders>
            <w:shd w:val="clear" w:color="auto" w:fill="auto"/>
          </w:tcPr>
          <w:p w14:paraId="0C909C94" w14:textId="77777777" w:rsidR="003A6273" w:rsidRDefault="003A6273" w:rsidP="00C639E1">
            <w:pPr>
              <w:pStyle w:val="TableText"/>
              <w:spacing w:before="0" w:after="0"/>
              <w:jc w:val="center"/>
              <w:rPr>
                <w:rFonts w:cs="Segoe UI"/>
                <w:noProof/>
                <w:sz w:val="20"/>
                <w:lang w:eastAsia="en-GB"/>
              </w:rPr>
            </w:pPr>
          </w:p>
        </w:tc>
        <w:tc>
          <w:tcPr>
            <w:tcW w:w="1276" w:type="dxa"/>
            <w:shd w:val="clear" w:color="auto" w:fill="auto"/>
          </w:tcPr>
          <w:p w14:paraId="22D38D9E"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101" w:type="dxa"/>
            <w:tcBorders>
              <w:right w:val="single" w:sz="12" w:space="0" w:color="auto"/>
            </w:tcBorders>
            <w:shd w:val="clear" w:color="auto" w:fill="auto"/>
          </w:tcPr>
          <w:p w14:paraId="28ECB48D" w14:textId="77777777" w:rsidR="003A6273" w:rsidRDefault="003A6273" w:rsidP="00C639E1">
            <w:pPr>
              <w:pStyle w:val="TableText"/>
              <w:spacing w:before="0" w:after="0"/>
              <w:jc w:val="center"/>
              <w:rPr>
                <w:rFonts w:cs="Segoe UI"/>
                <w:sz w:val="20"/>
                <w:lang w:eastAsia="en-GB"/>
              </w:rPr>
            </w:pPr>
          </w:p>
        </w:tc>
      </w:tr>
      <w:tr w:rsidR="003A6273" w14:paraId="4FC9C21B" w14:textId="77777777" w:rsidTr="00CC0F5F">
        <w:trPr>
          <w:cantSplit/>
          <w:trHeight w:val="283"/>
        </w:trPr>
        <w:tc>
          <w:tcPr>
            <w:tcW w:w="2154" w:type="dxa"/>
            <w:vMerge/>
            <w:tcBorders>
              <w:left w:val="nil"/>
              <w:bottom w:val="single" w:sz="12" w:space="0" w:color="auto"/>
              <w:right w:val="single" w:sz="12" w:space="0" w:color="auto"/>
            </w:tcBorders>
          </w:tcPr>
          <w:p w14:paraId="2D3EFED4"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bottom w:val="single" w:sz="4" w:space="0" w:color="auto"/>
              <w:right w:val="single" w:sz="12" w:space="0" w:color="auto"/>
            </w:tcBorders>
            <w:shd w:val="clear" w:color="auto" w:fill="auto"/>
          </w:tcPr>
          <w:p w14:paraId="64C2C528" w14:textId="77777777" w:rsidR="003A6273" w:rsidRDefault="003A6273" w:rsidP="00C639E1">
            <w:pPr>
              <w:pStyle w:val="TableText"/>
              <w:spacing w:before="0" w:after="0"/>
              <w:rPr>
                <w:rFonts w:cs="Segoe UI"/>
                <w:noProof/>
                <w:sz w:val="20"/>
                <w:lang w:eastAsia="en-GB"/>
              </w:rPr>
            </w:pPr>
            <w:r>
              <w:rPr>
                <w:rFonts w:cs="Segoe UI"/>
                <w:sz w:val="20"/>
                <w:lang w:eastAsia="en-GB"/>
              </w:rPr>
              <w:t>Template CR7: Effects on RWA of recognized credit derivative contracts used as recognized credit risk mitigation – for IRB approach</w:t>
            </w:r>
          </w:p>
        </w:tc>
        <w:tc>
          <w:tcPr>
            <w:tcW w:w="1624" w:type="dxa"/>
            <w:tcBorders>
              <w:left w:val="single" w:sz="12" w:space="0" w:color="auto"/>
              <w:right w:val="single" w:sz="12" w:space="0" w:color="auto"/>
            </w:tcBorders>
            <w:shd w:val="clear" w:color="auto" w:fill="auto"/>
          </w:tcPr>
          <w:p w14:paraId="25DBF413" w14:textId="77777777" w:rsidR="003A6273" w:rsidRDefault="003A6273" w:rsidP="00C639E1">
            <w:pPr>
              <w:pStyle w:val="TableText"/>
              <w:spacing w:before="0" w:after="0"/>
              <w:jc w:val="center"/>
              <w:rPr>
                <w:rFonts w:cs="Segoe UI"/>
                <w:noProof/>
                <w:sz w:val="20"/>
                <w:lang w:eastAsia="en-GB"/>
              </w:rPr>
            </w:pPr>
            <w:r w:rsidRPr="003936F9">
              <w:rPr>
                <w:rFonts w:cs="Segoe UI" w:hint="eastAsia"/>
                <w:noProof/>
                <w:sz w:val="20"/>
                <w:lang w:eastAsia="en-GB"/>
              </w:rPr>
              <w:t>L</w:t>
            </w:r>
            <w:r>
              <w:rPr>
                <w:rFonts w:cs="Segoe UI"/>
                <w:noProof/>
                <w:sz w:val="20"/>
                <w:lang w:eastAsia="en-GB"/>
              </w:rPr>
              <w:t xml:space="preserve"> </w:t>
            </w:r>
            <w:r>
              <w:rPr>
                <w:rFonts w:asciiTheme="minorEastAsia" w:eastAsiaTheme="minorEastAsia" w:hAnsiTheme="minorEastAsia" w:cs="Segoe UI" w:hint="eastAsia"/>
                <w:noProof/>
                <w:sz w:val="20"/>
                <w:lang w:eastAsia="zh-TW"/>
              </w:rPr>
              <w:t>[</w:t>
            </w:r>
            <w:r>
              <w:rPr>
                <w:rFonts w:cs="Segoe UI"/>
                <w:noProof/>
                <w:sz w:val="20"/>
                <w:lang w:eastAsia="en-GB"/>
              </w:rPr>
              <w:t>IRB</w:t>
            </w:r>
            <w:r>
              <w:rPr>
                <w:rFonts w:asciiTheme="minorEastAsia" w:eastAsiaTheme="minorEastAsia" w:hAnsiTheme="minorEastAsia" w:cs="Segoe UI" w:hint="eastAsia"/>
                <w:noProof/>
                <w:sz w:val="20"/>
                <w:lang w:eastAsia="zh-TW"/>
              </w:rPr>
              <w:t>]</w:t>
            </w:r>
          </w:p>
        </w:tc>
        <w:tc>
          <w:tcPr>
            <w:tcW w:w="1244" w:type="dxa"/>
            <w:tcBorders>
              <w:left w:val="single" w:sz="12" w:space="0" w:color="auto"/>
            </w:tcBorders>
            <w:shd w:val="clear" w:color="auto" w:fill="auto"/>
          </w:tcPr>
          <w:p w14:paraId="022F461D"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right w:val="single" w:sz="12" w:space="0" w:color="auto"/>
            </w:tcBorders>
            <w:shd w:val="clear" w:color="auto" w:fill="auto"/>
          </w:tcPr>
          <w:p w14:paraId="6AA16567" w14:textId="77777777" w:rsidR="003A6273" w:rsidRDefault="003A6273" w:rsidP="00C639E1">
            <w:pPr>
              <w:pStyle w:val="TableText"/>
              <w:spacing w:before="0" w:after="0"/>
              <w:jc w:val="center"/>
              <w:rPr>
                <w:rFonts w:cs="Segoe UI"/>
                <w:sz w:val="20"/>
                <w:lang w:eastAsia="en-GB"/>
              </w:rPr>
            </w:pPr>
          </w:p>
        </w:tc>
        <w:tc>
          <w:tcPr>
            <w:tcW w:w="1134" w:type="dxa"/>
            <w:tcBorders>
              <w:left w:val="single" w:sz="12" w:space="0" w:color="auto"/>
            </w:tcBorders>
            <w:shd w:val="clear" w:color="auto" w:fill="auto"/>
          </w:tcPr>
          <w:p w14:paraId="4CBC1A54" w14:textId="77777777" w:rsidR="003A6273" w:rsidRDefault="003A6273" w:rsidP="00C639E1">
            <w:pPr>
              <w:pStyle w:val="TableText"/>
              <w:spacing w:before="0" w:after="0"/>
              <w:jc w:val="center"/>
              <w:rPr>
                <w:rFonts w:cs="Segoe UI"/>
                <w:noProof/>
                <w:sz w:val="20"/>
                <w:lang w:eastAsia="en-GB"/>
              </w:rPr>
            </w:pPr>
          </w:p>
        </w:tc>
        <w:tc>
          <w:tcPr>
            <w:tcW w:w="1276" w:type="dxa"/>
            <w:shd w:val="clear" w:color="auto" w:fill="auto"/>
          </w:tcPr>
          <w:p w14:paraId="674AE74C"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101" w:type="dxa"/>
            <w:tcBorders>
              <w:right w:val="single" w:sz="12" w:space="0" w:color="auto"/>
            </w:tcBorders>
            <w:shd w:val="clear" w:color="auto" w:fill="auto"/>
          </w:tcPr>
          <w:p w14:paraId="3F984632" w14:textId="77777777" w:rsidR="003A6273" w:rsidRDefault="003A6273" w:rsidP="00C639E1">
            <w:pPr>
              <w:pStyle w:val="TableText"/>
              <w:spacing w:before="0" w:after="0"/>
              <w:jc w:val="center"/>
              <w:rPr>
                <w:rFonts w:cs="Segoe UI"/>
                <w:sz w:val="20"/>
                <w:lang w:eastAsia="en-GB"/>
              </w:rPr>
            </w:pPr>
          </w:p>
        </w:tc>
      </w:tr>
      <w:tr w:rsidR="003A6273" w14:paraId="7BC40EA9" w14:textId="77777777" w:rsidTr="00CC0F5F">
        <w:trPr>
          <w:cantSplit/>
          <w:trHeight w:val="283"/>
        </w:trPr>
        <w:tc>
          <w:tcPr>
            <w:tcW w:w="2154" w:type="dxa"/>
            <w:vMerge/>
            <w:tcBorders>
              <w:left w:val="nil"/>
              <w:bottom w:val="single" w:sz="12" w:space="0" w:color="auto"/>
              <w:right w:val="single" w:sz="12" w:space="0" w:color="auto"/>
            </w:tcBorders>
          </w:tcPr>
          <w:p w14:paraId="0A286CC4"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right w:val="single" w:sz="12" w:space="0" w:color="auto"/>
            </w:tcBorders>
            <w:shd w:val="clear" w:color="auto" w:fill="auto"/>
          </w:tcPr>
          <w:p w14:paraId="4BE13E58" w14:textId="77777777" w:rsidR="003A6273" w:rsidRDefault="003A6273" w:rsidP="00C639E1">
            <w:pPr>
              <w:pStyle w:val="TableText"/>
              <w:spacing w:before="0" w:after="0"/>
              <w:rPr>
                <w:rFonts w:cs="Segoe UI"/>
                <w:noProof/>
                <w:sz w:val="20"/>
                <w:lang w:eastAsia="en-GB"/>
              </w:rPr>
            </w:pPr>
            <w:r>
              <w:rPr>
                <w:rFonts w:cs="Segoe UI"/>
                <w:sz w:val="20"/>
                <w:lang w:eastAsia="en-GB"/>
              </w:rPr>
              <w:t>Template CR8: RWA flow statements of credit risk exposures under IRB approach</w:t>
            </w:r>
          </w:p>
        </w:tc>
        <w:tc>
          <w:tcPr>
            <w:tcW w:w="1624" w:type="dxa"/>
            <w:tcBorders>
              <w:left w:val="single" w:sz="12" w:space="0" w:color="auto"/>
              <w:right w:val="single" w:sz="12" w:space="0" w:color="auto"/>
            </w:tcBorders>
          </w:tcPr>
          <w:p w14:paraId="72AD9D53" w14:textId="77777777" w:rsidR="003A6273" w:rsidRDefault="003A6273" w:rsidP="00C639E1">
            <w:pPr>
              <w:pStyle w:val="TableText"/>
              <w:spacing w:before="0" w:after="0"/>
              <w:jc w:val="center"/>
              <w:rPr>
                <w:rFonts w:cs="Segoe UI"/>
                <w:sz w:val="20"/>
                <w:lang w:eastAsia="en-GB"/>
              </w:rPr>
            </w:pPr>
            <w:r w:rsidRPr="003936F9">
              <w:rPr>
                <w:rFonts w:cs="Segoe UI" w:hint="eastAsia"/>
                <w:noProof/>
                <w:sz w:val="20"/>
                <w:lang w:eastAsia="en-GB"/>
              </w:rPr>
              <w:t>L</w:t>
            </w:r>
            <w:r>
              <w:rPr>
                <w:rFonts w:cs="Segoe UI"/>
                <w:noProof/>
                <w:sz w:val="20"/>
                <w:lang w:eastAsia="en-GB"/>
              </w:rPr>
              <w:t xml:space="preserve"> </w:t>
            </w:r>
            <w:r>
              <w:rPr>
                <w:rFonts w:asciiTheme="minorEastAsia" w:eastAsiaTheme="minorEastAsia" w:hAnsiTheme="minorEastAsia" w:cs="Segoe UI" w:hint="eastAsia"/>
                <w:noProof/>
                <w:sz w:val="20"/>
                <w:lang w:eastAsia="zh-TW"/>
              </w:rPr>
              <w:t>[</w:t>
            </w:r>
            <w:r>
              <w:rPr>
                <w:rFonts w:cs="Segoe UI"/>
                <w:noProof/>
                <w:sz w:val="20"/>
                <w:lang w:eastAsia="en-GB"/>
              </w:rPr>
              <w:t>IRB</w:t>
            </w:r>
            <w:r>
              <w:rPr>
                <w:rFonts w:asciiTheme="minorEastAsia" w:eastAsiaTheme="minorEastAsia" w:hAnsiTheme="minorEastAsia" w:cs="Segoe UI" w:hint="eastAsia"/>
                <w:noProof/>
                <w:sz w:val="20"/>
                <w:lang w:eastAsia="zh-TW"/>
              </w:rPr>
              <w:t>]</w:t>
            </w:r>
          </w:p>
        </w:tc>
        <w:tc>
          <w:tcPr>
            <w:tcW w:w="1244" w:type="dxa"/>
            <w:tcBorders>
              <w:left w:val="single" w:sz="12" w:space="0" w:color="auto"/>
            </w:tcBorders>
          </w:tcPr>
          <w:p w14:paraId="097968CD"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134" w:type="dxa"/>
            <w:tcBorders>
              <w:right w:val="single" w:sz="12" w:space="0" w:color="auto"/>
            </w:tcBorders>
          </w:tcPr>
          <w:p w14:paraId="11B62677" w14:textId="77777777" w:rsidR="003A6273" w:rsidRDefault="003A6273" w:rsidP="00C639E1">
            <w:pPr>
              <w:pStyle w:val="TableText"/>
              <w:spacing w:before="0" w:after="0"/>
              <w:jc w:val="center"/>
              <w:rPr>
                <w:rFonts w:cs="Segoe UI"/>
                <w:noProof/>
                <w:sz w:val="20"/>
                <w:lang w:eastAsia="en-GB"/>
              </w:rPr>
            </w:pPr>
          </w:p>
        </w:tc>
        <w:tc>
          <w:tcPr>
            <w:tcW w:w="1134" w:type="dxa"/>
            <w:tcBorders>
              <w:left w:val="single" w:sz="12" w:space="0" w:color="auto"/>
            </w:tcBorders>
          </w:tcPr>
          <w:p w14:paraId="13EE5A3B"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276" w:type="dxa"/>
          </w:tcPr>
          <w:p w14:paraId="3A084959" w14:textId="77777777" w:rsidR="003A6273" w:rsidRDefault="003A6273" w:rsidP="00C639E1">
            <w:pPr>
              <w:pStyle w:val="TableText"/>
              <w:spacing w:before="0" w:after="0"/>
              <w:jc w:val="center"/>
              <w:rPr>
                <w:rFonts w:cs="Segoe UI"/>
                <w:noProof/>
                <w:sz w:val="20"/>
                <w:lang w:eastAsia="en-GB"/>
              </w:rPr>
            </w:pPr>
          </w:p>
        </w:tc>
        <w:tc>
          <w:tcPr>
            <w:tcW w:w="1101" w:type="dxa"/>
            <w:tcBorders>
              <w:right w:val="single" w:sz="12" w:space="0" w:color="auto"/>
            </w:tcBorders>
          </w:tcPr>
          <w:p w14:paraId="6AF2B2D9" w14:textId="77777777" w:rsidR="003A6273" w:rsidRDefault="003A6273" w:rsidP="00C639E1">
            <w:pPr>
              <w:pStyle w:val="TableText"/>
              <w:spacing w:before="0" w:after="0"/>
              <w:jc w:val="center"/>
              <w:rPr>
                <w:rFonts w:cs="Segoe UI"/>
                <w:sz w:val="20"/>
                <w:lang w:eastAsia="en-GB"/>
              </w:rPr>
            </w:pPr>
          </w:p>
        </w:tc>
      </w:tr>
      <w:tr w:rsidR="003A6273" w14:paraId="4AAAA026" w14:textId="77777777" w:rsidTr="00CC0F5F">
        <w:trPr>
          <w:cantSplit/>
          <w:trHeight w:val="283"/>
        </w:trPr>
        <w:tc>
          <w:tcPr>
            <w:tcW w:w="2154" w:type="dxa"/>
            <w:vMerge/>
            <w:tcBorders>
              <w:left w:val="nil"/>
              <w:bottom w:val="single" w:sz="12" w:space="0" w:color="auto"/>
              <w:right w:val="single" w:sz="12" w:space="0" w:color="auto"/>
            </w:tcBorders>
          </w:tcPr>
          <w:p w14:paraId="2B7375E3"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right w:val="single" w:sz="12" w:space="0" w:color="auto"/>
            </w:tcBorders>
          </w:tcPr>
          <w:p w14:paraId="077E4F20" w14:textId="77777777" w:rsidR="003A6273" w:rsidRDefault="003A6273" w:rsidP="00C639E1">
            <w:pPr>
              <w:pStyle w:val="TableText"/>
              <w:spacing w:before="0" w:after="0"/>
              <w:rPr>
                <w:rFonts w:cs="Segoe UI"/>
                <w:noProof/>
                <w:sz w:val="20"/>
                <w:lang w:eastAsia="en-GB"/>
              </w:rPr>
            </w:pPr>
            <w:r>
              <w:rPr>
                <w:rFonts w:cs="Segoe UI"/>
                <w:sz w:val="20"/>
                <w:lang w:eastAsia="en-GB"/>
              </w:rPr>
              <w:t>Template CR9: Back-testing of PD per portfolio – for IRB approach</w:t>
            </w:r>
          </w:p>
        </w:tc>
        <w:tc>
          <w:tcPr>
            <w:tcW w:w="1624" w:type="dxa"/>
            <w:tcBorders>
              <w:left w:val="single" w:sz="12" w:space="0" w:color="auto"/>
              <w:right w:val="single" w:sz="12" w:space="0" w:color="auto"/>
            </w:tcBorders>
          </w:tcPr>
          <w:p w14:paraId="1A329EBC" w14:textId="77777777" w:rsidR="003A6273" w:rsidRDefault="003A6273" w:rsidP="00C639E1">
            <w:pPr>
              <w:pStyle w:val="TableText"/>
              <w:spacing w:before="0" w:after="0"/>
              <w:jc w:val="center"/>
              <w:rPr>
                <w:rFonts w:cs="Segoe UI"/>
                <w:sz w:val="20"/>
                <w:lang w:eastAsia="en-GB"/>
              </w:rPr>
            </w:pPr>
            <w:r w:rsidRPr="003936F9">
              <w:rPr>
                <w:rFonts w:cs="Segoe UI" w:hint="eastAsia"/>
                <w:noProof/>
                <w:sz w:val="20"/>
                <w:lang w:eastAsia="en-GB"/>
              </w:rPr>
              <w:t>L</w:t>
            </w:r>
            <w:r>
              <w:rPr>
                <w:rFonts w:cs="Segoe UI"/>
                <w:noProof/>
                <w:sz w:val="20"/>
                <w:lang w:eastAsia="en-GB"/>
              </w:rPr>
              <w:t xml:space="preserve"> </w:t>
            </w:r>
            <w:r>
              <w:rPr>
                <w:rFonts w:asciiTheme="minorEastAsia" w:eastAsiaTheme="minorEastAsia" w:hAnsiTheme="minorEastAsia" w:cs="Segoe UI" w:hint="eastAsia"/>
                <w:noProof/>
                <w:sz w:val="20"/>
                <w:lang w:eastAsia="zh-TW"/>
              </w:rPr>
              <w:t>[</w:t>
            </w:r>
            <w:r>
              <w:rPr>
                <w:rFonts w:cs="Segoe UI"/>
                <w:noProof/>
                <w:sz w:val="20"/>
                <w:lang w:eastAsia="en-GB"/>
              </w:rPr>
              <w:t>IRB</w:t>
            </w:r>
            <w:r>
              <w:rPr>
                <w:rFonts w:asciiTheme="minorEastAsia" w:eastAsiaTheme="minorEastAsia" w:hAnsiTheme="minorEastAsia" w:cs="Segoe UI" w:hint="eastAsia"/>
                <w:noProof/>
                <w:sz w:val="20"/>
                <w:lang w:eastAsia="zh-TW"/>
              </w:rPr>
              <w:t>]</w:t>
            </w:r>
          </w:p>
        </w:tc>
        <w:tc>
          <w:tcPr>
            <w:tcW w:w="1244" w:type="dxa"/>
            <w:tcBorders>
              <w:left w:val="single" w:sz="12" w:space="0" w:color="auto"/>
            </w:tcBorders>
          </w:tcPr>
          <w:p w14:paraId="23005C54" w14:textId="77777777" w:rsidR="003A6273" w:rsidRDefault="003A6273" w:rsidP="00C639E1">
            <w:pPr>
              <w:pStyle w:val="TableText"/>
              <w:spacing w:before="0" w:after="0"/>
              <w:jc w:val="center"/>
              <w:rPr>
                <w:rFonts w:cs="Segoe UI"/>
                <w:sz w:val="20"/>
                <w:lang w:eastAsia="en-GB"/>
              </w:rPr>
            </w:pPr>
          </w:p>
        </w:tc>
        <w:tc>
          <w:tcPr>
            <w:tcW w:w="1134" w:type="dxa"/>
            <w:tcBorders>
              <w:right w:val="single" w:sz="12" w:space="0" w:color="auto"/>
            </w:tcBorders>
          </w:tcPr>
          <w:p w14:paraId="5FE2C7AC"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left w:val="single" w:sz="12" w:space="0" w:color="auto"/>
            </w:tcBorders>
          </w:tcPr>
          <w:p w14:paraId="1A13046D" w14:textId="77777777" w:rsidR="003A6273" w:rsidRDefault="003A6273" w:rsidP="00C639E1">
            <w:pPr>
              <w:pStyle w:val="TableText"/>
              <w:spacing w:before="0" w:after="0"/>
              <w:jc w:val="center"/>
              <w:rPr>
                <w:rFonts w:cs="Segoe UI"/>
                <w:sz w:val="20"/>
                <w:lang w:eastAsia="en-GB"/>
              </w:rPr>
            </w:pPr>
          </w:p>
        </w:tc>
        <w:tc>
          <w:tcPr>
            <w:tcW w:w="1276" w:type="dxa"/>
          </w:tcPr>
          <w:p w14:paraId="669D957F" w14:textId="77777777" w:rsidR="003A6273" w:rsidRDefault="003A6273" w:rsidP="00C639E1">
            <w:pPr>
              <w:pStyle w:val="TableText"/>
              <w:spacing w:before="0" w:after="0"/>
              <w:jc w:val="center"/>
              <w:rPr>
                <w:rFonts w:cs="Segoe UI"/>
                <w:sz w:val="20"/>
                <w:lang w:eastAsia="en-GB"/>
              </w:rPr>
            </w:pPr>
          </w:p>
        </w:tc>
        <w:tc>
          <w:tcPr>
            <w:tcW w:w="1101" w:type="dxa"/>
            <w:tcBorders>
              <w:right w:val="single" w:sz="12" w:space="0" w:color="auto"/>
            </w:tcBorders>
          </w:tcPr>
          <w:p w14:paraId="467D296A"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r>
      <w:tr w:rsidR="003A6273" w14:paraId="1E4E44A4" w14:textId="77777777" w:rsidTr="00CC0F5F">
        <w:trPr>
          <w:cantSplit/>
          <w:trHeight w:val="283"/>
        </w:trPr>
        <w:tc>
          <w:tcPr>
            <w:tcW w:w="2154" w:type="dxa"/>
            <w:vMerge/>
            <w:tcBorders>
              <w:left w:val="nil"/>
              <w:bottom w:val="single" w:sz="12" w:space="0" w:color="auto"/>
              <w:right w:val="single" w:sz="12" w:space="0" w:color="auto"/>
            </w:tcBorders>
          </w:tcPr>
          <w:p w14:paraId="0ECEA714"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bottom w:val="single" w:sz="12" w:space="0" w:color="auto"/>
              <w:right w:val="single" w:sz="12" w:space="0" w:color="auto"/>
            </w:tcBorders>
          </w:tcPr>
          <w:p w14:paraId="53B3F159" w14:textId="44933FEB" w:rsidR="003A6273" w:rsidRDefault="003A6273" w:rsidP="00173771">
            <w:pPr>
              <w:pStyle w:val="TableText"/>
              <w:spacing w:before="0" w:after="0"/>
              <w:rPr>
                <w:rFonts w:cs="Segoe UI"/>
                <w:sz w:val="20"/>
                <w:lang w:eastAsia="en-GB"/>
              </w:rPr>
            </w:pPr>
            <w:r>
              <w:rPr>
                <w:rFonts w:cs="Segoe UI"/>
                <w:sz w:val="20"/>
                <w:lang w:eastAsia="en-GB"/>
              </w:rPr>
              <w:t>Template CR10: Specialized lending under supervisory slotting criteria approach – for IRB approach</w:t>
            </w:r>
          </w:p>
          <w:p w14:paraId="28EC5281" w14:textId="731DA79C" w:rsidR="003A6273" w:rsidRDefault="003A6273" w:rsidP="00173771">
            <w:pPr>
              <w:pStyle w:val="TableText"/>
              <w:spacing w:before="0" w:after="0"/>
              <w:rPr>
                <w:rFonts w:cs="Segoe UI"/>
                <w:noProof/>
                <w:sz w:val="20"/>
                <w:lang w:eastAsia="en-GB"/>
              </w:rPr>
            </w:pPr>
          </w:p>
        </w:tc>
        <w:tc>
          <w:tcPr>
            <w:tcW w:w="1624" w:type="dxa"/>
            <w:tcBorders>
              <w:left w:val="single" w:sz="12" w:space="0" w:color="auto"/>
              <w:bottom w:val="single" w:sz="12" w:space="0" w:color="auto"/>
              <w:right w:val="single" w:sz="12" w:space="0" w:color="auto"/>
            </w:tcBorders>
          </w:tcPr>
          <w:p w14:paraId="021F6175" w14:textId="77777777" w:rsidR="003A6273" w:rsidRDefault="003A6273" w:rsidP="00C639E1">
            <w:pPr>
              <w:pStyle w:val="TableText"/>
              <w:spacing w:before="0" w:after="0"/>
              <w:jc w:val="center"/>
              <w:rPr>
                <w:rFonts w:cs="Segoe UI"/>
                <w:sz w:val="20"/>
                <w:lang w:eastAsia="en-GB"/>
              </w:rPr>
            </w:pPr>
            <w:r w:rsidRPr="003936F9">
              <w:rPr>
                <w:rFonts w:cs="Segoe UI" w:hint="eastAsia"/>
                <w:noProof/>
                <w:sz w:val="20"/>
                <w:lang w:eastAsia="en-GB"/>
              </w:rPr>
              <w:t>L</w:t>
            </w:r>
            <w:r>
              <w:rPr>
                <w:rFonts w:cs="Segoe UI"/>
                <w:noProof/>
                <w:sz w:val="20"/>
                <w:lang w:eastAsia="en-GB"/>
              </w:rPr>
              <w:t xml:space="preserve"> </w:t>
            </w:r>
            <w:r>
              <w:rPr>
                <w:rFonts w:asciiTheme="minorEastAsia" w:eastAsiaTheme="minorEastAsia" w:hAnsiTheme="minorEastAsia" w:cs="Segoe UI" w:hint="eastAsia"/>
                <w:noProof/>
                <w:sz w:val="20"/>
                <w:lang w:eastAsia="zh-TW"/>
              </w:rPr>
              <w:t>[</w:t>
            </w:r>
            <w:r>
              <w:rPr>
                <w:rFonts w:cs="Segoe UI"/>
                <w:noProof/>
                <w:sz w:val="20"/>
                <w:lang w:eastAsia="en-GB"/>
              </w:rPr>
              <w:t>IRB</w:t>
            </w:r>
            <w:r>
              <w:rPr>
                <w:rFonts w:asciiTheme="minorEastAsia" w:eastAsiaTheme="minorEastAsia" w:hAnsiTheme="minorEastAsia" w:cs="Segoe UI" w:hint="eastAsia"/>
                <w:noProof/>
                <w:sz w:val="20"/>
                <w:lang w:eastAsia="zh-TW"/>
              </w:rPr>
              <w:t>]</w:t>
            </w:r>
          </w:p>
        </w:tc>
        <w:tc>
          <w:tcPr>
            <w:tcW w:w="1244" w:type="dxa"/>
            <w:tcBorders>
              <w:left w:val="single" w:sz="12" w:space="0" w:color="auto"/>
              <w:bottom w:val="single" w:sz="12" w:space="0" w:color="auto"/>
            </w:tcBorders>
          </w:tcPr>
          <w:p w14:paraId="08EA81E6" w14:textId="77777777" w:rsidR="003A6273" w:rsidRDefault="003A6273" w:rsidP="00C639E1">
            <w:pPr>
              <w:pStyle w:val="TableText"/>
              <w:spacing w:before="0" w:after="0"/>
              <w:jc w:val="center"/>
              <w:rPr>
                <w:rFonts w:cs="Segoe UI"/>
                <w:sz w:val="20"/>
                <w:lang w:eastAsia="en-GB"/>
              </w:rPr>
            </w:pPr>
          </w:p>
        </w:tc>
        <w:tc>
          <w:tcPr>
            <w:tcW w:w="1134" w:type="dxa"/>
            <w:tcBorders>
              <w:bottom w:val="single" w:sz="12" w:space="0" w:color="auto"/>
              <w:right w:val="single" w:sz="12" w:space="0" w:color="auto"/>
            </w:tcBorders>
          </w:tcPr>
          <w:p w14:paraId="27861778"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left w:val="single" w:sz="12" w:space="0" w:color="auto"/>
              <w:bottom w:val="single" w:sz="12" w:space="0" w:color="auto"/>
            </w:tcBorders>
          </w:tcPr>
          <w:p w14:paraId="5E3F28EE" w14:textId="77777777" w:rsidR="003A6273" w:rsidRDefault="003A6273" w:rsidP="00C639E1">
            <w:pPr>
              <w:pStyle w:val="TableText"/>
              <w:spacing w:before="0" w:after="0"/>
              <w:jc w:val="center"/>
              <w:rPr>
                <w:rFonts w:cs="Segoe UI"/>
                <w:noProof/>
                <w:sz w:val="20"/>
                <w:lang w:eastAsia="en-GB"/>
              </w:rPr>
            </w:pPr>
          </w:p>
        </w:tc>
        <w:tc>
          <w:tcPr>
            <w:tcW w:w="1276" w:type="dxa"/>
            <w:tcBorders>
              <w:bottom w:val="single" w:sz="12" w:space="0" w:color="auto"/>
            </w:tcBorders>
          </w:tcPr>
          <w:p w14:paraId="381214F4"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101" w:type="dxa"/>
            <w:tcBorders>
              <w:bottom w:val="single" w:sz="12" w:space="0" w:color="auto"/>
              <w:right w:val="single" w:sz="12" w:space="0" w:color="auto"/>
            </w:tcBorders>
          </w:tcPr>
          <w:p w14:paraId="28BAB8BF" w14:textId="77777777" w:rsidR="003A6273" w:rsidRDefault="003A6273" w:rsidP="00C639E1">
            <w:pPr>
              <w:pStyle w:val="TableText"/>
              <w:spacing w:before="0" w:after="0"/>
              <w:jc w:val="center"/>
              <w:rPr>
                <w:rFonts w:cs="Segoe UI"/>
                <w:sz w:val="20"/>
                <w:lang w:eastAsia="en-GB"/>
              </w:rPr>
            </w:pPr>
          </w:p>
        </w:tc>
      </w:tr>
      <w:tr w:rsidR="003A6273" w14:paraId="189A4099" w14:textId="77777777" w:rsidTr="00433A54">
        <w:trPr>
          <w:cantSplit/>
          <w:trHeight w:val="283"/>
        </w:trPr>
        <w:tc>
          <w:tcPr>
            <w:tcW w:w="2154" w:type="dxa"/>
            <w:vMerge w:val="restart"/>
            <w:tcBorders>
              <w:top w:val="single" w:sz="12" w:space="0" w:color="auto"/>
              <w:left w:val="nil"/>
              <w:right w:val="single" w:sz="12" w:space="0" w:color="auto"/>
            </w:tcBorders>
          </w:tcPr>
          <w:p w14:paraId="3BAC0578" w14:textId="6007EE10" w:rsidR="003A6273" w:rsidRDefault="003A6273" w:rsidP="00926F7E">
            <w:pPr>
              <w:pStyle w:val="TableText"/>
              <w:spacing w:before="0" w:after="0"/>
              <w:rPr>
                <w:rFonts w:cs="Segoe UI"/>
                <w:sz w:val="20"/>
                <w:lang w:eastAsia="en-GB"/>
              </w:rPr>
            </w:pPr>
            <w:r>
              <w:rPr>
                <w:rFonts w:cs="Segoe UI"/>
                <w:sz w:val="20"/>
                <w:lang w:eastAsia="en-GB"/>
              </w:rPr>
              <w:lastRenderedPageBreak/>
              <w:t xml:space="preserve">Part IV : Counterparty </w:t>
            </w:r>
            <w:r w:rsidR="00926F7E">
              <w:rPr>
                <w:rFonts w:cs="Segoe UI"/>
                <w:sz w:val="20"/>
                <w:lang w:eastAsia="en-GB"/>
              </w:rPr>
              <w:t>c</w:t>
            </w:r>
            <w:r>
              <w:rPr>
                <w:rFonts w:cs="Segoe UI"/>
                <w:sz w:val="20"/>
                <w:lang w:eastAsia="en-GB"/>
              </w:rPr>
              <w:t>redit risk</w:t>
            </w:r>
          </w:p>
        </w:tc>
        <w:tc>
          <w:tcPr>
            <w:tcW w:w="4762" w:type="dxa"/>
            <w:tcBorders>
              <w:top w:val="single" w:sz="12" w:space="0" w:color="auto"/>
              <w:left w:val="single" w:sz="12" w:space="0" w:color="auto"/>
              <w:bottom w:val="single" w:sz="4" w:space="0" w:color="auto"/>
              <w:right w:val="single" w:sz="12" w:space="0" w:color="auto"/>
            </w:tcBorders>
            <w:shd w:val="clear" w:color="auto" w:fill="auto"/>
          </w:tcPr>
          <w:p w14:paraId="515AA7C8" w14:textId="77777777" w:rsidR="003A6273" w:rsidRDefault="003A6273" w:rsidP="00C639E1">
            <w:pPr>
              <w:pStyle w:val="TableText"/>
              <w:spacing w:before="0" w:after="0"/>
              <w:rPr>
                <w:rFonts w:cs="Segoe UI"/>
                <w:noProof/>
                <w:sz w:val="20"/>
                <w:lang w:eastAsia="en-GB"/>
              </w:rPr>
            </w:pPr>
            <w:r>
              <w:rPr>
                <w:rFonts w:cs="Segoe UI"/>
                <w:sz w:val="20"/>
                <w:lang w:eastAsia="en-GB"/>
              </w:rPr>
              <w:t>Table CCRA: Qualitative disclosures related to counterparty credit risk (including those arising from clearing through CCPs)</w:t>
            </w:r>
          </w:p>
        </w:tc>
        <w:tc>
          <w:tcPr>
            <w:tcW w:w="1624" w:type="dxa"/>
            <w:tcBorders>
              <w:top w:val="single" w:sz="12" w:space="0" w:color="auto"/>
              <w:left w:val="single" w:sz="12" w:space="0" w:color="auto"/>
              <w:right w:val="single" w:sz="12" w:space="0" w:color="auto"/>
            </w:tcBorders>
            <w:shd w:val="clear" w:color="auto" w:fill="auto"/>
          </w:tcPr>
          <w:p w14:paraId="3BA59F0F" w14:textId="77777777" w:rsidR="003A6273" w:rsidRDefault="003A6273" w:rsidP="00C639E1">
            <w:pPr>
              <w:pStyle w:val="TableText"/>
              <w:spacing w:before="0" w:after="0"/>
              <w:jc w:val="center"/>
              <w:rPr>
                <w:rFonts w:cs="Segoe UI"/>
                <w:sz w:val="20"/>
                <w:lang w:eastAsia="en-GB"/>
              </w:rPr>
            </w:pPr>
            <w:r w:rsidRPr="003936F9">
              <w:rPr>
                <w:rFonts w:cs="Segoe UI" w:hint="eastAsia"/>
                <w:noProof/>
                <w:sz w:val="20"/>
                <w:lang w:eastAsia="en-GB"/>
              </w:rPr>
              <w:t>L</w:t>
            </w:r>
          </w:p>
        </w:tc>
        <w:tc>
          <w:tcPr>
            <w:tcW w:w="1244" w:type="dxa"/>
            <w:tcBorders>
              <w:top w:val="single" w:sz="12" w:space="0" w:color="auto"/>
              <w:left w:val="single" w:sz="12" w:space="0" w:color="auto"/>
            </w:tcBorders>
            <w:shd w:val="clear" w:color="auto" w:fill="auto"/>
          </w:tcPr>
          <w:p w14:paraId="5BD3D76B" w14:textId="77777777" w:rsidR="003A6273" w:rsidRDefault="003A6273" w:rsidP="00C639E1">
            <w:pPr>
              <w:pStyle w:val="TableText"/>
              <w:spacing w:before="0" w:after="0"/>
              <w:jc w:val="center"/>
              <w:rPr>
                <w:rFonts w:cs="Segoe UI"/>
                <w:sz w:val="20"/>
                <w:lang w:eastAsia="en-GB"/>
              </w:rPr>
            </w:pPr>
          </w:p>
        </w:tc>
        <w:tc>
          <w:tcPr>
            <w:tcW w:w="1134" w:type="dxa"/>
            <w:tcBorders>
              <w:top w:val="single" w:sz="12" w:space="0" w:color="auto"/>
              <w:right w:val="single" w:sz="12" w:space="0" w:color="auto"/>
            </w:tcBorders>
            <w:shd w:val="clear" w:color="auto" w:fill="auto"/>
          </w:tcPr>
          <w:p w14:paraId="68FBFCF5"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top w:val="single" w:sz="12" w:space="0" w:color="auto"/>
              <w:left w:val="single" w:sz="12" w:space="0" w:color="auto"/>
            </w:tcBorders>
            <w:shd w:val="clear" w:color="auto" w:fill="auto"/>
          </w:tcPr>
          <w:p w14:paraId="26244216" w14:textId="77777777" w:rsidR="003A6273" w:rsidRDefault="003A6273" w:rsidP="00C639E1">
            <w:pPr>
              <w:pStyle w:val="TableText"/>
              <w:spacing w:before="0" w:after="0"/>
              <w:jc w:val="center"/>
              <w:rPr>
                <w:rFonts w:cs="Segoe UI"/>
                <w:sz w:val="20"/>
                <w:lang w:eastAsia="en-GB"/>
              </w:rPr>
            </w:pPr>
          </w:p>
        </w:tc>
        <w:tc>
          <w:tcPr>
            <w:tcW w:w="1276" w:type="dxa"/>
            <w:tcBorders>
              <w:top w:val="single" w:sz="12" w:space="0" w:color="auto"/>
            </w:tcBorders>
            <w:shd w:val="clear" w:color="auto" w:fill="auto"/>
          </w:tcPr>
          <w:p w14:paraId="5807FBDD" w14:textId="77777777" w:rsidR="003A6273" w:rsidRDefault="003A6273" w:rsidP="00C639E1">
            <w:pPr>
              <w:pStyle w:val="TableText"/>
              <w:spacing w:before="0" w:after="0"/>
              <w:jc w:val="center"/>
              <w:rPr>
                <w:rFonts w:cs="Segoe UI"/>
                <w:sz w:val="20"/>
                <w:lang w:eastAsia="en-GB"/>
              </w:rPr>
            </w:pPr>
          </w:p>
        </w:tc>
        <w:tc>
          <w:tcPr>
            <w:tcW w:w="1101" w:type="dxa"/>
            <w:tcBorders>
              <w:top w:val="single" w:sz="12" w:space="0" w:color="auto"/>
              <w:right w:val="single" w:sz="12" w:space="0" w:color="auto"/>
            </w:tcBorders>
            <w:shd w:val="clear" w:color="auto" w:fill="auto"/>
          </w:tcPr>
          <w:p w14:paraId="45563E21"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r>
      <w:tr w:rsidR="003A6273" w14:paraId="246E8C0B" w14:textId="77777777" w:rsidTr="003A6273">
        <w:trPr>
          <w:cantSplit/>
          <w:trHeight w:val="283"/>
        </w:trPr>
        <w:tc>
          <w:tcPr>
            <w:tcW w:w="2154" w:type="dxa"/>
            <w:vMerge/>
            <w:tcBorders>
              <w:left w:val="nil"/>
              <w:bottom w:val="nil"/>
              <w:right w:val="single" w:sz="12" w:space="0" w:color="auto"/>
            </w:tcBorders>
          </w:tcPr>
          <w:p w14:paraId="70ACE16E"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right w:val="single" w:sz="12" w:space="0" w:color="auto"/>
            </w:tcBorders>
            <w:shd w:val="clear" w:color="auto" w:fill="auto"/>
          </w:tcPr>
          <w:p w14:paraId="33512D7A" w14:textId="2B44D7E5" w:rsidR="003A6273" w:rsidRDefault="003A6273" w:rsidP="00173771">
            <w:pPr>
              <w:pStyle w:val="TableText"/>
              <w:spacing w:before="0" w:after="0"/>
              <w:rPr>
                <w:rFonts w:cs="Segoe UI"/>
                <w:noProof/>
                <w:sz w:val="20"/>
                <w:lang w:eastAsia="en-GB"/>
              </w:rPr>
            </w:pPr>
            <w:r>
              <w:rPr>
                <w:rFonts w:cs="Segoe UI"/>
                <w:sz w:val="20"/>
                <w:lang w:eastAsia="en-GB"/>
              </w:rPr>
              <w:t>Template CCR1: Analysis of counterparty credit risk exposures (other than those to CCPs) by approaches</w:t>
            </w:r>
          </w:p>
        </w:tc>
        <w:tc>
          <w:tcPr>
            <w:tcW w:w="1624" w:type="dxa"/>
            <w:tcBorders>
              <w:left w:val="single" w:sz="12" w:space="0" w:color="auto"/>
              <w:right w:val="single" w:sz="12" w:space="0" w:color="auto"/>
            </w:tcBorders>
            <w:shd w:val="clear" w:color="auto" w:fill="auto"/>
          </w:tcPr>
          <w:p w14:paraId="5D3EC9C7" w14:textId="77777777" w:rsidR="003A6273" w:rsidRDefault="003A6273" w:rsidP="00C639E1">
            <w:pPr>
              <w:pStyle w:val="TableText"/>
              <w:spacing w:before="0" w:after="0"/>
              <w:jc w:val="center"/>
              <w:rPr>
                <w:rFonts w:cs="Segoe UI"/>
                <w:noProof/>
                <w:sz w:val="20"/>
                <w:lang w:eastAsia="en-GB"/>
              </w:rPr>
            </w:pPr>
            <w:r w:rsidRPr="003936F9">
              <w:rPr>
                <w:rFonts w:cs="Segoe UI" w:hint="eastAsia"/>
                <w:noProof/>
                <w:sz w:val="20"/>
                <w:lang w:eastAsia="en-GB"/>
              </w:rPr>
              <w:t>L</w:t>
            </w:r>
          </w:p>
        </w:tc>
        <w:tc>
          <w:tcPr>
            <w:tcW w:w="1244" w:type="dxa"/>
            <w:tcBorders>
              <w:left w:val="single" w:sz="12" w:space="0" w:color="auto"/>
            </w:tcBorders>
            <w:shd w:val="clear" w:color="auto" w:fill="auto"/>
          </w:tcPr>
          <w:p w14:paraId="4CCFB3AE"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right w:val="single" w:sz="12" w:space="0" w:color="auto"/>
            </w:tcBorders>
            <w:shd w:val="clear" w:color="auto" w:fill="auto"/>
          </w:tcPr>
          <w:p w14:paraId="572CF2A0" w14:textId="77777777" w:rsidR="003A6273" w:rsidRDefault="003A6273" w:rsidP="00C639E1">
            <w:pPr>
              <w:pStyle w:val="TableText"/>
              <w:spacing w:before="0" w:after="0"/>
              <w:jc w:val="center"/>
              <w:rPr>
                <w:rFonts w:cs="Segoe UI"/>
                <w:sz w:val="20"/>
                <w:lang w:eastAsia="en-GB"/>
              </w:rPr>
            </w:pPr>
          </w:p>
        </w:tc>
        <w:tc>
          <w:tcPr>
            <w:tcW w:w="1134" w:type="dxa"/>
            <w:tcBorders>
              <w:left w:val="single" w:sz="12" w:space="0" w:color="auto"/>
            </w:tcBorders>
            <w:shd w:val="clear" w:color="auto" w:fill="auto"/>
          </w:tcPr>
          <w:p w14:paraId="7264CAD9" w14:textId="77777777" w:rsidR="003A6273" w:rsidRDefault="003A6273" w:rsidP="00C639E1">
            <w:pPr>
              <w:pStyle w:val="TableText"/>
              <w:spacing w:before="0" w:after="0"/>
              <w:jc w:val="center"/>
              <w:rPr>
                <w:rFonts w:cs="Segoe UI"/>
                <w:noProof/>
                <w:sz w:val="20"/>
                <w:lang w:eastAsia="en-GB"/>
              </w:rPr>
            </w:pPr>
          </w:p>
        </w:tc>
        <w:tc>
          <w:tcPr>
            <w:tcW w:w="1276" w:type="dxa"/>
            <w:shd w:val="clear" w:color="auto" w:fill="auto"/>
          </w:tcPr>
          <w:p w14:paraId="1FC6E829"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101" w:type="dxa"/>
            <w:tcBorders>
              <w:right w:val="single" w:sz="12" w:space="0" w:color="auto"/>
            </w:tcBorders>
            <w:shd w:val="clear" w:color="auto" w:fill="auto"/>
          </w:tcPr>
          <w:p w14:paraId="2CC53427" w14:textId="77777777" w:rsidR="003A6273" w:rsidRDefault="003A6273" w:rsidP="00C639E1">
            <w:pPr>
              <w:pStyle w:val="TableText"/>
              <w:spacing w:before="0" w:after="0"/>
              <w:jc w:val="center"/>
              <w:rPr>
                <w:rFonts w:cs="Segoe UI"/>
                <w:sz w:val="20"/>
                <w:lang w:eastAsia="en-GB"/>
              </w:rPr>
            </w:pPr>
          </w:p>
        </w:tc>
      </w:tr>
      <w:tr w:rsidR="003A6273" w14:paraId="723D232D" w14:textId="77777777" w:rsidTr="003A6273">
        <w:trPr>
          <w:cantSplit/>
          <w:trHeight w:val="283"/>
        </w:trPr>
        <w:tc>
          <w:tcPr>
            <w:tcW w:w="2154" w:type="dxa"/>
            <w:vMerge w:val="restart"/>
            <w:tcBorders>
              <w:top w:val="nil"/>
              <w:left w:val="nil"/>
              <w:right w:val="single" w:sz="12" w:space="0" w:color="auto"/>
            </w:tcBorders>
          </w:tcPr>
          <w:p w14:paraId="5FA988E6"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right w:val="single" w:sz="12" w:space="0" w:color="auto"/>
            </w:tcBorders>
            <w:shd w:val="clear" w:color="auto" w:fill="auto"/>
          </w:tcPr>
          <w:p w14:paraId="05F5DAAA" w14:textId="2F2F8008" w:rsidR="003A6273" w:rsidRDefault="003A6273" w:rsidP="00C639E1">
            <w:pPr>
              <w:pStyle w:val="TableText"/>
              <w:spacing w:before="0" w:after="0"/>
              <w:rPr>
                <w:rFonts w:cs="Segoe UI"/>
                <w:noProof/>
                <w:sz w:val="20"/>
                <w:lang w:eastAsia="en-GB"/>
              </w:rPr>
            </w:pPr>
            <w:r>
              <w:rPr>
                <w:rFonts w:cs="Segoe UI"/>
                <w:sz w:val="20"/>
                <w:lang w:eastAsia="en-GB"/>
              </w:rPr>
              <w:t>Template CCR3: Counterparty credit risk exposures (other than those to CCPs) by exposure classes and by risk weights – for STC approach or BSC approach</w:t>
            </w:r>
          </w:p>
        </w:tc>
        <w:tc>
          <w:tcPr>
            <w:tcW w:w="1624" w:type="dxa"/>
            <w:tcBorders>
              <w:left w:val="single" w:sz="12" w:space="0" w:color="auto"/>
              <w:right w:val="single" w:sz="12" w:space="0" w:color="auto"/>
            </w:tcBorders>
            <w:shd w:val="clear" w:color="auto" w:fill="auto"/>
          </w:tcPr>
          <w:p w14:paraId="7B1D55A0" w14:textId="77777777" w:rsidR="003A6273" w:rsidRDefault="003A6273" w:rsidP="00C639E1">
            <w:pPr>
              <w:pStyle w:val="TableText"/>
              <w:spacing w:before="0" w:after="0"/>
              <w:jc w:val="center"/>
              <w:rPr>
                <w:rFonts w:cs="Segoe UI"/>
                <w:noProof/>
                <w:sz w:val="20"/>
                <w:lang w:eastAsia="en-GB"/>
              </w:rPr>
            </w:pPr>
            <w:r w:rsidRPr="003936F9">
              <w:rPr>
                <w:rFonts w:cs="Segoe UI" w:hint="eastAsia"/>
                <w:noProof/>
                <w:sz w:val="20"/>
                <w:lang w:eastAsia="en-GB"/>
              </w:rPr>
              <w:t>L</w:t>
            </w:r>
            <w:r>
              <w:rPr>
                <w:rFonts w:cs="Segoe UI"/>
                <w:noProof/>
                <w:sz w:val="20"/>
                <w:lang w:eastAsia="en-GB"/>
              </w:rPr>
              <w:t xml:space="preserve"> </w:t>
            </w:r>
            <w:r>
              <w:rPr>
                <w:rFonts w:asciiTheme="minorEastAsia" w:eastAsiaTheme="minorEastAsia" w:hAnsiTheme="minorEastAsia" w:cs="Segoe UI" w:hint="eastAsia"/>
                <w:noProof/>
                <w:sz w:val="20"/>
                <w:lang w:eastAsia="zh-TW"/>
              </w:rPr>
              <w:t>[</w:t>
            </w:r>
            <w:r>
              <w:rPr>
                <w:rFonts w:cs="Segoe UI"/>
                <w:noProof/>
                <w:sz w:val="20"/>
                <w:lang w:eastAsia="en-GB"/>
              </w:rPr>
              <w:t>STC; BSC</w:t>
            </w:r>
            <w:r>
              <w:rPr>
                <w:rFonts w:asciiTheme="minorEastAsia" w:eastAsiaTheme="minorEastAsia" w:hAnsiTheme="minorEastAsia" w:cs="Segoe UI" w:hint="eastAsia"/>
                <w:noProof/>
                <w:sz w:val="20"/>
                <w:lang w:eastAsia="zh-TW"/>
              </w:rPr>
              <w:t>]</w:t>
            </w:r>
          </w:p>
        </w:tc>
        <w:tc>
          <w:tcPr>
            <w:tcW w:w="1244" w:type="dxa"/>
            <w:tcBorders>
              <w:left w:val="single" w:sz="12" w:space="0" w:color="auto"/>
            </w:tcBorders>
            <w:shd w:val="clear" w:color="auto" w:fill="auto"/>
          </w:tcPr>
          <w:p w14:paraId="2F6ADC9A"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right w:val="single" w:sz="12" w:space="0" w:color="auto"/>
            </w:tcBorders>
            <w:shd w:val="clear" w:color="auto" w:fill="auto"/>
          </w:tcPr>
          <w:p w14:paraId="319DD4FD" w14:textId="77777777" w:rsidR="003A6273" w:rsidRDefault="003A6273" w:rsidP="00C639E1">
            <w:pPr>
              <w:pStyle w:val="TableText"/>
              <w:spacing w:before="0" w:after="0"/>
              <w:jc w:val="center"/>
              <w:rPr>
                <w:rFonts w:cs="Segoe UI"/>
                <w:sz w:val="20"/>
                <w:lang w:eastAsia="en-GB"/>
              </w:rPr>
            </w:pPr>
          </w:p>
        </w:tc>
        <w:tc>
          <w:tcPr>
            <w:tcW w:w="1134" w:type="dxa"/>
            <w:tcBorders>
              <w:left w:val="single" w:sz="12" w:space="0" w:color="auto"/>
            </w:tcBorders>
            <w:shd w:val="clear" w:color="auto" w:fill="auto"/>
          </w:tcPr>
          <w:p w14:paraId="0F00CDF9" w14:textId="77777777" w:rsidR="003A6273" w:rsidRDefault="003A6273" w:rsidP="00C639E1">
            <w:pPr>
              <w:pStyle w:val="TableText"/>
              <w:spacing w:before="0" w:after="0"/>
              <w:jc w:val="center"/>
              <w:rPr>
                <w:rFonts w:cs="Segoe UI"/>
                <w:noProof/>
                <w:sz w:val="20"/>
                <w:lang w:eastAsia="en-GB"/>
              </w:rPr>
            </w:pPr>
          </w:p>
        </w:tc>
        <w:tc>
          <w:tcPr>
            <w:tcW w:w="1276" w:type="dxa"/>
            <w:shd w:val="clear" w:color="auto" w:fill="auto"/>
          </w:tcPr>
          <w:p w14:paraId="2CEA77B0"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101" w:type="dxa"/>
            <w:tcBorders>
              <w:right w:val="single" w:sz="12" w:space="0" w:color="auto"/>
            </w:tcBorders>
            <w:shd w:val="clear" w:color="auto" w:fill="auto"/>
          </w:tcPr>
          <w:p w14:paraId="39FE778D" w14:textId="77777777" w:rsidR="003A6273" w:rsidRDefault="003A6273" w:rsidP="00C639E1">
            <w:pPr>
              <w:pStyle w:val="TableText"/>
              <w:spacing w:before="0" w:after="0"/>
              <w:jc w:val="center"/>
              <w:rPr>
                <w:rFonts w:cs="Segoe UI"/>
                <w:sz w:val="20"/>
                <w:lang w:eastAsia="en-GB"/>
              </w:rPr>
            </w:pPr>
          </w:p>
        </w:tc>
      </w:tr>
      <w:tr w:rsidR="003A6273" w14:paraId="3E24185B" w14:textId="77777777" w:rsidTr="003A6273">
        <w:trPr>
          <w:cantSplit/>
          <w:trHeight w:val="283"/>
        </w:trPr>
        <w:tc>
          <w:tcPr>
            <w:tcW w:w="2154" w:type="dxa"/>
            <w:vMerge/>
            <w:tcBorders>
              <w:left w:val="nil"/>
              <w:right w:val="single" w:sz="12" w:space="0" w:color="auto"/>
            </w:tcBorders>
          </w:tcPr>
          <w:p w14:paraId="2E7B7613"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bottom w:val="single" w:sz="4" w:space="0" w:color="auto"/>
              <w:right w:val="single" w:sz="12" w:space="0" w:color="auto"/>
            </w:tcBorders>
            <w:shd w:val="clear" w:color="auto" w:fill="auto"/>
          </w:tcPr>
          <w:p w14:paraId="516D9323" w14:textId="4C4F6C87" w:rsidR="003A6273" w:rsidRDefault="003A6273" w:rsidP="00C639E1">
            <w:pPr>
              <w:pStyle w:val="TableText"/>
              <w:spacing w:before="0" w:after="0"/>
              <w:rPr>
                <w:rFonts w:cs="Segoe UI"/>
                <w:noProof/>
                <w:sz w:val="20"/>
                <w:lang w:eastAsia="en-GB"/>
              </w:rPr>
            </w:pPr>
            <w:r>
              <w:rPr>
                <w:rFonts w:cs="Segoe UI"/>
                <w:sz w:val="20"/>
                <w:lang w:eastAsia="en-GB"/>
              </w:rPr>
              <w:t>Template CCR4: Counterparty credit risk exposures (other than those to CCPs) by portfolio and PD range – for IRB approach</w:t>
            </w:r>
          </w:p>
        </w:tc>
        <w:tc>
          <w:tcPr>
            <w:tcW w:w="1624" w:type="dxa"/>
            <w:tcBorders>
              <w:left w:val="single" w:sz="12" w:space="0" w:color="auto"/>
              <w:right w:val="single" w:sz="12" w:space="0" w:color="auto"/>
            </w:tcBorders>
            <w:shd w:val="clear" w:color="auto" w:fill="auto"/>
          </w:tcPr>
          <w:p w14:paraId="2546B48F" w14:textId="77777777" w:rsidR="003A6273" w:rsidRDefault="003A6273" w:rsidP="00C639E1">
            <w:pPr>
              <w:pStyle w:val="TableText"/>
              <w:spacing w:before="0" w:after="0"/>
              <w:jc w:val="center"/>
              <w:rPr>
                <w:rFonts w:cs="Segoe UI"/>
                <w:noProof/>
                <w:sz w:val="20"/>
                <w:lang w:eastAsia="en-GB"/>
              </w:rPr>
            </w:pPr>
            <w:r w:rsidRPr="003936F9">
              <w:rPr>
                <w:rFonts w:cs="Segoe UI" w:hint="eastAsia"/>
                <w:noProof/>
                <w:sz w:val="20"/>
                <w:lang w:eastAsia="en-GB"/>
              </w:rPr>
              <w:t>L</w:t>
            </w:r>
            <w:r>
              <w:rPr>
                <w:rFonts w:cs="Segoe UI"/>
                <w:noProof/>
                <w:sz w:val="20"/>
                <w:lang w:eastAsia="en-GB"/>
              </w:rPr>
              <w:t xml:space="preserve"> </w:t>
            </w:r>
            <w:r>
              <w:rPr>
                <w:rFonts w:asciiTheme="minorEastAsia" w:eastAsiaTheme="minorEastAsia" w:hAnsiTheme="minorEastAsia" w:cs="Segoe UI" w:hint="eastAsia"/>
                <w:noProof/>
                <w:sz w:val="20"/>
                <w:lang w:eastAsia="zh-TW"/>
              </w:rPr>
              <w:t>[</w:t>
            </w:r>
            <w:r>
              <w:rPr>
                <w:rFonts w:cs="Segoe UI"/>
                <w:noProof/>
                <w:sz w:val="20"/>
                <w:lang w:eastAsia="en-GB"/>
              </w:rPr>
              <w:t>IRB</w:t>
            </w:r>
            <w:r>
              <w:rPr>
                <w:rFonts w:asciiTheme="minorEastAsia" w:eastAsiaTheme="minorEastAsia" w:hAnsiTheme="minorEastAsia" w:cs="Segoe UI" w:hint="eastAsia"/>
                <w:noProof/>
                <w:sz w:val="20"/>
                <w:lang w:eastAsia="zh-TW"/>
              </w:rPr>
              <w:t>]</w:t>
            </w:r>
          </w:p>
        </w:tc>
        <w:tc>
          <w:tcPr>
            <w:tcW w:w="1244" w:type="dxa"/>
            <w:tcBorders>
              <w:left w:val="single" w:sz="12" w:space="0" w:color="auto"/>
            </w:tcBorders>
            <w:shd w:val="clear" w:color="auto" w:fill="auto"/>
          </w:tcPr>
          <w:p w14:paraId="248985E0"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right w:val="single" w:sz="12" w:space="0" w:color="auto"/>
            </w:tcBorders>
            <w:shd w:val="clear" w:color="auto" w:fill="auto"/>
          </w:tcPr>
          <w:p w14:paraId="4AE1B77E" w14:textId="77777777" w:rsidR="003A6273" w:rsidRDefault="003A6273" w:rsidP="00C639E1">
            <w:pPr>
              <w:pStyle w:val="TableText"/>
              <w:spacing w:before="0" w:after="0"/>
              <w:jc w:val="center"/>
              <w:rPr>
                <w:rFonts w:cs="Segoe UI"/>
                <w:sz w:val="20"/>
                <w:lang w:eastAsia="en-GB"/>
              </w:rPr>
            </w:pPr>
          </w:p>
        </w:tc>
        <w:tc>
          <w:tcPr>
            <w:tcW w:w="1134" w:type="dxa"/>
            <w:tcBorders>
              <w:left w:val="single" w:sz="12" w:space="0" w:color="auto"/>
            </w:tcBorders>
            <w:shd w:val="clear" w:color="auto" w:fill="auto"/>
          </w:tcPr>
          <w:p w14:paraId="504943CD" w14:textId="77777777" w:rsidR="003A6273" w:rsidRDefault="003A6273" w:rsidP="00C639E1">
            <w:pPr>
              <w:pStyle w:val="TableText"/>
              <w:spacing w:before="0" w:after="0"/>
              <w:jc w:val="center"/>
              <w:rPr>
                <w:rFonts w:cs="Segoe UI"/>
                <w:noProof/>
                <w:sz w:val="20"/>
                <w:lang w:eastAsia="en-GB"/>
              </w:rPr>
            </w:pPr>
          </w:p>
        </w:tc>
        <w:tc>
          <w:tcPr>
            <w:tcW w:w="1276" w:type="dxa"/>
            <w:shd w:val="clear" w:color="auto" w:fill="auto"/>
          </w:tcPr>
          <w:p w14:paraId="25BADFF3"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101" w:type="dxa"/>
            <w:tcBorders>
              <w:right w:val="single" w:sz="12" w:space="0" w:color="auto"/>
            </w:tcBorders>
            <w:shd w:val="clear" w:color="auto" w:fill="auto"/>
          </w:tcPr>
          <w:p w14:paraId="0D2E23E7" w14:textId="77777777" w:rsidR="003A6273" w:rsidRDefault="003A6273" w:rsidP="00C639E1">
            <w:pPr>
              <w:pStyle w:val="TableText"/>
              <w:spacing w:before="0" w:after="0"/>
              <w:jc w:val="center"/>
              <w:rPr>
                <w:rFonts w:cs="Segoe UI"/>
                <w:sz w:val="20"/>
                <w:lang w:eastAsia="en-GB"/>
              </w:rPr>
            </w:pPr>
          </w:p>
        </w:tc>
      </w:tr>
      <w:tr w:rsidR="003A6273" w14:paraId="60AC49F9" w14:textId="77777777" w:rsidTr="003A6273">
        <w:trPr>
          <w:cantSplit/>
          <w:trHeight w:val="283"/>
        </w:trPr>
        <w:tc>
          <w:tcPr>
            <w:tcW w:w="2154" w:type="dxa"/>
            <w:vMerge/>
            <w:tcBorders>
              <w:left w:val="nil"/>
              <w:right w:val="single" w:sz="12" w:space="0" w:color="auto"/>
            </w:tcBorders>
          </w:tcPr>
          <w:p w14:paraId="09C720D2"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right w:val="single" w:sz="12" w:space="0" w:color="auto"/>
            </w:tcBorders>
            <w:shd w:val="clear" w:color="auto" w:fill="auto"/>
          </w:tcPr>
          <w:p w14:paraId="3742CFE3" w14:textId="1E0344AC" w:rsidR="003A6273" w:rsidRDefault="003A6273" w:rsidP="00C639E1">
            <w:pPr>
              <w:pStyle w:val="TableText"/>
              <w:spacing w:before="0" w:after="0"/>
              <w:rPr>
                <w:rFonts w:cs="Segoe UI"/>
                <w:noProof/>
                <w:sz w:val="20"/>
                <w:lang w:eastAsia="en-GB"/>
              </w:rPr>
            </w:pPr>
            <w:r>
              <w:rPr>
                <w:rFonts w:cs="Segoe UI"/>
                <w:sz w:val="20"/>
                <w:lang w:eastAsia="en-GB"/>
              </w:rPr>
              <w:t>Template CCR5: Composition of collateral for counterparty credit risk exposures (including those for contracts or transactions cleared through CCPs)</w:t>
            </w:r>
          </w:p>
        </w:tc>
        <w:tc>
          <w:tcPr>
            <w:tcW w:w="1624" w:type="dxa"/>
            <w:tcBorders>
              <w:left w:val="single" w:sz="12" w:space="0" w:color="auto"/>
              <w:right w:val="single" w:sz="12" w:space="0" w:color="auto"/>
            </w:tcBorders>
          </w:tcPr>
          <w:p w14:paraId="1612FDC1" w14:textId="77777777" w:rsidR="003A6273" w:rsidRDefault="003A6273" w:rsidP="00C639E1">
            <w:pPr>
              <w:pStyle w:val="TableText"/>
              <w:spacing w:before="0" w:after="0"/>
              <w:jc w:val="center"/>
              <w:rPr>
                <w:rFonts w:cs="Segoe UI"/>
                <w:sz w:val="20"/>
                <w:lang w:eastAsia="en-GB"/>
              </w:rPr>
            </w:pPr>
            <w:r w:rsidRPr="003936F9">
              <w:rPr>
                <w:rFonts w:cs="Segoe UI" w:hint="eastAsia"/>
                <w:noProof/>
                <w:sz w:val="20"/>
                <w:lang w:eastAsia="en-GB"/>
              </w:rPr>
              <w:t>L</w:t>
            </w:r>
          </w:p>
        </w:tc>
        <w:tc>
          <w:tcPr>
            <w:tcW w:w="1244" w:type="dxa"/>
            <w:tcBorders>
              <w:left w:val="single" w:sz="12" w:space="0" w:color="auto"/>
            </w:tcBorders>
          </w:tcPr>
          <w:p w14:paraId="719D9194" w14:textId="77777777" w:rsidR="003A6273" w:rsidRDefault="003A6273" w:rsidP="00C639E1">
            <w:pPr>
              <w:pStyle w:val="TableText"/>
              <w:spacing w:before="0" w:after="0"/>
              <w:jc w:val="center"/>
              <w:rPr>
                <w:rFonts w:cs="Segoe UI"/>
                <w:sz w:val="20"/>
                <w:lang w:eastAsia="en-GB"/>
              </w:rPr>
            </w:pPr>
          </w:p>
        </w:tc>
        <w:tc>
          <w:tcPr>
            <w:tcW w:w="1134" w:type="dxa"/>
            <w:tcBorders>
              <w:right w:val="single" w:sz="12" w:space="0" w:color="auto"/>
            </w:tcBorders>
          </w:tcPr>
          <w:p w14:paraId="44E6CB02"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r>
              <w:rPr>
                <w:rFonts w:cs="Segoe UI"/>
                <w:sz w:val="20"/>
                <w:lang w:eastAsia="en-GB"/>
              </w:rPr>
              <w:t xml:space="preserve"> (fixed columns, flexible rows)</w:t>
            </w:r>
          </w:p>
        </w:tc>
        <w:tc>
          <w:tcPr>
            <w:tcW w:w="1134" w:type="dxa"/>
            <w:tcBorders>
              <w:left w:val="single" w:sz="12" w:space="0" w:color="auto"/>
            </w:tcBorders>
          </w:tcPr>
          <w:p w14:paraId="6506E976" w14:textId="77777777" w:rsidR="003A6273" w:rsidRDefault="003A6273" w:rsidP="00C639E1">
            <w:pPr>
              <w:pStyle w:val="TableText"/>
              <w:spacing w:before="0" w:after="0"/>
              <w:jc w:val="center"/>
              <w:rPr>
                <w:rFonts w:cs="Segoe UI"/>
                <w:sz w:val="20"/>
                <w:lang w:eastAsia="en-GB"/>
              </w:rPr>
            </w:pPr>
          </w:p>
        </w:tc>
        <w:tc>
          <w:tcPr>
            <w:tcW w:w="1276" w:type="dxa"/>
          </w:tcPr>
          <w:p w14:paraId="5537369F"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01" w:type="dxa"/>
            <w:tcBorders>
              <w:right w:val="single" w:sz="12" w:space="0" w:color="auto"/>
            </w:tcBorders>
          </w:tcPr>
          <w:p w14:paraId="42375B09" w14:textId="77777777" w:rsidR="003A6273" w:rsidRDefault="003A6273" w:rsidP="00C639E1">
            <w:pPr>
              <w:pStyle w:val="TableText"/>
              <w:spacing w:before="0" w:after="0"/>
              <w:jc w:val="center"/>
              <w:rPr>
                <w:rFonts w:cs="Segoe UI"/>
                <w:sz w:val="20"/>
                <w:lang w:eastAsia="en-GB"/>
              </w:rPr>
            </w:pPr>
          </w:p>
        </w:tc>
      </w:tr>
      <w:tr w:rsidR="003A6273" w14:paraId="5EBA7E0A" w14:textId="77777777" w:rsidTr="003A6273">
        <w:trPr>
          <w:cantSplit/>
          <w:trHeight w:val="283"/>
        </w:trPr>
        <w:tc>
          <w:tcPr>
            <w:tcW w:w="2154" w:type="dxa"/>
            <w:vMerge/>
            <w:tcBorders>
              <w:left w:val="nil"/>
              <w:right w:val="single" w:sz="12" w:space="0" w:color="auto"/>
            </w:tcBorders>
          </w:tcPr>
          <w:p w14:paraId="4C9ED044"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bottom w:val="single" w:sz="4" w:space="0" w:color="auto"/>
              <w:right w:val="single" w:sz="12" w:space="0" w:color="auto"/>
            </w:tcBorders>
            <w:shd w:val="clear" w:color="auto" w:fill="auto"/>
          </w:tcPr>
          <w:p w14:paraId="03A88F62" w14:textId="77777777" w:rsidR="003A6273" w:rsidRDefault="003A6273" w:rsidP="00C639E1">
            <w:pPr>
              <w:pStyle w:val="TableText"/>
              <w:spacing w:before="0" w:after="0"/>
              <w:rPr>
                <w:rFonts w:cs="Segoe UI"/>
                <w:noProof/>
                <w:sz w:val="20"/>
                <w:lang w:eastAsia="en-GB"/>
              </w:rPr>
            </w:pPr>
            <w:r>
              <w:rPr>
                <w:rFonts w:cs="Segoe UI"/>
                <w:sz w:val="20"/>
                <w:lang w:eastAsia="en-GB"/>
              </w:rPr>
              <w:t>Template CCR6: Credit-related derivatives contracts</w:t>
            </w:r>
          </w:p>
        </w:tc>
        <w:tc>
          <w:tcPr>
            <w:tcW w:w="1624" w:type="dxa"/>
            <w:tcBorders>
              <w:left w:val="single" w:sz="12" w:space="0" w:color="auto"/>
              <w:right w:val="single" w:sz="12" w:space="0" w:color="auto"/>
            </w:tcBorders>
          </w:tcPr>
          <w:p w14:paraId="0507E14E" w14:textId="77777777" w:rsidR="003A6273" w:rsidRDefault="003A6273" w:rsidP="00C639E1">
            <w:pPr>
              <w:pStyle w:val="TableText"/>
              <w:spacing w:before="0" w:after="0"/>
              <w:jc w:val="center"/>
              <w:rPr>
                <w:rFonts w:cs="Segoe UI"/>
                <w:noProof/>
                <w:sz w:val="20"/>
                <w:lang w:eastAsia="en-GB"/>
              </w:rPr>
            </w:pPr>
            <w:r w:rsidRPr="003936F9">
              <w:rPr>
                <w:rFonts w:cs="Segoe UI" w:hint="eastAsia"/>
                <w:noProof/>
                <w:sz w:val="20"/>
                <w:lang w:eastAsia="en-GB"/>
              </w:rPr>
              <w:t>L</w:t>
            </w:r>
          </w:p>
        </w:tc>
        <w:tc>
          <w:tcPr>
            <w:tcW w:w="1244" w:type="dxa"/>
            <w:tcBorders>
              <w:left w:val="single" w:sz="12" w:space="0" w:color="auto"/>
            </w:tcBorders>
          </w:tcPr>
          <w:p w14:paraId="1A5B2A1B" w14:textId="77777777" w:rsidR="003A6273" w:rsidRDefault="003A6273" w:rsidP="00C639E1">
            <w:pPr>
              <w:pStyle w:val="TableText"/>
              <w:spacing w:before="0" w:after="0"/>
              <w:jc w:val="center"/>
              <w:rPr>
                <w:rFonts w:cs="Segoe UI"/>
                <w:noProof/>
                <w:sz w:val="20"/>
                <w:lang w:eastAsia="en-GB"/>
              </w:rPr>
            </w:pPr>
          </w:p>
        </w:tc>
        <w:tc>
          <w:tcPr>
            <w:tcW w:w="1134" w:type="dxa"/>
            <w:tcBorders>
              <w:right w:val="single" w:sz="12" w:space="0" w:color="auto"/>
            </w:tcBorders>
          </w:tcPr>
          <w:p w14:paraId="366B0D33"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left w:val="single" w:sz="12" w:space="0" w:color="auto"/>
            </w:tcBorders>
          </w:tcPr>
          <w:p w14:paraId="43E62AA1" w14:textId="77777777" w:rsidR="003A6273" w:rsidRDefault="003A6273" w:rsidP="00C639E1">
            <w:pPr>
              <w:pStyle w:val="TableText"/>
              <w:spacing w:before="0" w:after="0"/>
              <w:jc w:val="center"/>
              <w:rPr>
                <w:rFonts w:cs="Segoe UI"/>
                <w:sz w:val="20"/>
                <w:lang w:eastAsia="en-GB"/>
              </w:rPr>
            </w:pPr>
          </w:p>
        </w:tc>
        <w:tc>
          <w:tcPr>
            <w:tcW w:w="1276" w:type="dxa"/>
          </w:tcPr>
          <w:p w14:paraId="6FFE38CE"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01" w:type="dxa"/>
            <w:tcBorders>
              <w:right w:val="single" w:sz="12" w:space="0" w:color="auto"/>
            </w:tcBorders>
          </w:tcPr>
          <w:p w14:paraId="06D61A45" w14:textId="77777777" w:rsidR="003A6273" w:rsidRDefault="003A6273" w:rsidP="00C639E1">
            <w:pPr>
              <w:pStyle w:val="TableText"/>
              <w:spacing w:before="0" w:after="0"/>
              <w:jc w:val="center"/>
              <w:rPr>
                <w:rFonts w:cs="Segoe UI"/>
                <w:sz w:val="20"/>
                <w:lang w:eastAsia="en-GB"/>
              </w:rPr>
            </w:pPr>
          </w:p>
        </w:tc>
      </w:tr>
      <w:tr w:rsidR="003A6273" w14:paraId="1AE344F9" w14:textId="77777777" w:rsidTr="003A6273">
        <w:trPr>
          <w:cantSplit/>
          <w:trHeight w:val="283"/>
        </w:trPr>
        <w:tc>
          <w:tcPr>
            <w:tcW w:w="2154" w:type="dxa"/>
            <w:vMerge/>
            <w:tcBorders>
              <w:left w:val="nil"/>
              <w:right w:val="single" w:sz="12" w:space="0" w:color="auto"/>
            </w:tcBorders>
          </w:tcPr>
          <w:p w14:paraId="33822F95"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right w:val="single" w:sz="12" w:space="0" w:color="auto"/>
            </w:tcBorders>
            <w:shd w:val="clear" w:color="auto" w:fill="auto"/>
          </w:tcPr>
          <w:p w14:paraId="24683AD3" w14:textId="77777777" w:rsidR="003A6273" w:rsidRDefault="003A6273" w:rsidP="00C639E1">
            <w:pPr>
              <w:pStyle w:val="TableText"/>
              <w:spacing w:before="0" w:after="0"/>
              <w:rPr>
                <w:rFonts w:cs="Segoe UI"/>
                <w:noProof/>
                <w:sz w:val="20"/>
                <w:lang w:eastAsia="en-GB"/>
              </w:rPr>
            </w:pPr>
            <w:r>
              <w:rPr>
                <w:rFonts w:cs="Segoe UI"/>
                <w:sz w:val="20"/>
                <w:lang w:eastAsia="en-GB"/>
              </w:rPr>
              <w:t>Template CCR7: RWA flow statements of default risk exposures under IMM(CCR) approach</w:t>
            </w:r>
          </w:p>
        </w:tc>
        <w:tc>
          <w:tcPr>
            <w:tcW w:w="1624" w:type="dxa"/>
            <w:tcBorders>
              <w:left w:val="single" w:sz="12" w:space="0" w:color="auto"/>
              <w:right w:val="single" w:sz="12" w:space="0" w:color="auto"/>
            </w:tcBorders>
          </w:tcPr>
          <w:p w14:paraId="6220BC8E" w14:textId="77777777" w:rsidR="003A6273" w:rsidRDefault="003A6273" w:rsidP="00C639E1">
            <w:pPr>
              <w:pStyle w:val="TableText"/>
              <w:spacing w:before="0" w:after="0"/>
              <w:jc w:val="center"/>
              <w:rPr>
                <w:rFonts w:cs="Segoe UI"/>
                <w:noProof/>
                <w:sz w:val="20"/>
                <w:lang w:eastAsia="en-GB"/>
              </w:rPr>
            </w:pPr>
            <w:r w:rsidRPr="003936F9">
              <w:rPr>
                <w:rFonts w:cs="Segoe UI" w:hint="eastAsia"/>
                <w:noProof/>
                <w:sz w:val="20"/>
                <w:lang w:eastAsia="en-GB"/>
              </w:rPr>
              <w:t>L</w:t>
            </w:r>
            <w:r>
              <w:rPr>
                <w:rFonts w:cs="Segoe UI"/>
                <w:noProof/>
                <w:sz w:val="20"/>
                <w:lang w:eastAsia="en-GB"/>
              </w:rPr>
              <w:t xml:space="preserve"> </w:t>
            </w:r>
            <w:r>
              <w:rPr>
                <w:rFonts w:asciiTheme="minorEastAsia" w:eastAsiaTheme="minorEastAsia" w:hAnsiTheme="minorEastAsia" w:cs="Segoe UI" w:hint="eastAsia"/>
                <w:noProof/>
                <w:sz w:val="20"/>
                <w:lang w:eastAsia="zh-TW"/>
              </w:rPr>
              <w:t>[</w:t>
            </w:r>
            <w:r>
              <w:rPr>
                <w:rFonts w:cs="Segoe UI"/>
                <w:noProof/>
                <w:sz w:val="20"/>
                <w:lang w:eastAsia="en-GB"/>
              </w:rPr>
              <w:t>IMM(CCR)</w:t>
            </w:r>
            <w:r>
              <w:rPr>
                <w:rFonts w:asciiTheme="minorEastAsia" w:eastAsiaTheme="minorEastAsia" w:hAnsiTheme="minorEastAsia" w:cs="Segoe UI" w:hint="eastAsia"/>
                <w:noProof/>
                <w:sz w:val="20"/>
                <w:lang w:eastAsia="zh-TW"/>
              </w:rPr>
              <w:t>]</w:t>
            </w:r>
          </w:p>
        </w:tc>
        <w:tc>
          <w:tcPr>
            <w:tcW w:w="1244" w:type="dxa"/>
            <w:tcBorders>
              <w:left w:val="single" w:sz="12" w:space="0" w:color="auto"/>
            </w:tcBorders>
          </w:tcPr>
          <w:p w14:paraId="1CEE8FD2"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right w:val="single" w:sz="12" w:space="0" w:color="auto"/>
            </w:tcBorders>
          </w:tcPr>
          <w:p w14:paraId="071024EA" w14:textId="77777777" w:rsidR="003A6273" w:rsidRDefault="003A6273" w:rsidP="00C639E1">
            <w:pPr>
              <w:pStyle w:val="TableText"/>
              <w:spacing w:before="0" w:after="0"/>
              <w:jc w:val="center"/>
              <w:rPr>
                <w:rFonts w:cs="Segoe UI"/>
                <w:sz w:val="20"/>
                <w:lang w:eastAsia="en-GB"/>
              </w:rPr>
            </w:pPr>
          </w:p>
        </w:tc>
        <w:tc>
          <w:tcPr>
            <w:tcW w:w="1134" w:type="dxa"/>
            <w:tcBorders>
              <w:left w:val="single" w:sz="12" w:space="0" w:color="auto"/>
            </w:tcBorders>
          </w:tcPr>
          <w:p w14:paraId="1164CC46"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276" w:type="dxa"/>
          </w:tcPr>
          <w:p w14:paraId="62FD53CC" w14:textId="77777777" w:rsidR="003A6273" w:rsidRDefault="003A6273" w:rsidP="00C639E1">
            <w:pPr>
              <w:pStyle w:val="TableText"/>
              <w:spacing w:before="0" w:after="0"/>
              <w:jc w:val="center"/>
              <w:rPr>
                <w:rFonts w:cs="Segoe UI"/>
                <w:sz w:val="20"/>
                <w:lang w:eastAsia="en-GB"/>
              </w:rPr>
            </w:pPr>
          </w:p>
        </w:tc>
        <w:tc>
          <w:tcPr>
            <w:tcW w:w="1101" w:type="dxa"/>
            <w:tcBorders>
              <w:right w:val="single" w:sz="12" w:space="0" w:color="auto"/>
            </w:tcBorders>
          </w:tcPr>
          <w:p w14:paraId="2B84A60F" w14:textId="77777777" w:rsidR="003A6273" w:rsidRDefault="003A6273" w:rsidP="00C639E1">
            <w:pPr>
              <w:pStyle w:val="TableText"/>
              <w:spacing w:before="0" w:after="0"/>
              <w:jc w:val="center"/>
              <w:rPr>
                <w:rFonts w:cs="Segoe UI"/>
                <w:sz w:val="20"/>
                <w:lang w:eastAsia="en-GB"/>
              </w:rPr>
            </w:pPr>
          </w:p>
        </w:tc>
      </w:tr>
      <w:tr w:rsidR="003A6273" w14:paraId="2A7E8DE8" w14:textId="77777777" w:rsidTr="003A6273">
        <w:trPr>
          <w:cantSplit/>
          <w:trHeight w:val="283"/>
        </w:trPr>
        <w:tc>
          <w:tcPr>
            <w:tcW w:w="2154" w:type="dxa"/>
            <w:vMerge/>
            <w:tcBorders>
              <w:left w:val="nil"/>
              <w:bottom w:val="single" w:sz="12" w:space="0" w:color="auto"/>
              <w:right w:val="single" w:sz="12" w:space="0" w:color="auto"/>
            </w:tcBorders>
          </w:tcPr>
          <w:p w14:paraId="1BD9CECA"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bottom w:val="single" w:sz="12" w:space="0" w:color="auto"/>
              <w:right w:val="single" w:sz="12" w:space="0" w:color="auto"/>
            </w:tcBorders>
            <w:shd w:val="clear" w:color="auto" w:fill="auto"/>
          </w:tcPr>
          <w:p w14:paraId="38C6932E" w14:textId="5FEF5F5D" w:rsidR="003A6273" w:rsidRDefault="003A6273" w:rsidP="003A6273">
            <w:pPr>
              <w:pStyle w:val="TableText"/>
              <w:spacing w:before="0" w:after="0"/>
              <w:rPr>
                <w:rFonts w:cs="Segoe UI"/>
                <w:sz w:val="20"/>
                <w:lang w:eastAsia="en-GB"/>
              </w:rPr>
            </w:pPr>
            <w:r>
              <w:rPr>
                <w:rFonts w:cs="Segoe UI"/>
                <w:sz w:val="20"/>
                <w:lang w:eastAsia="en-GB"/>
              </w:rPr>
              <w:t>Template CCR8: Exposures to CCPs</w:t>
            </w:r>
          </w:p>
        </w:tc>
        <w:tc>
          <w:tcPr>
            <w:tcW w:w="1624" w:type="dxa"/>
            <w:tcBorders>
              <w:left w:val="single" w:sz="12" w:space="0" w:color="auto"/>
              <w:bottom w:val="single" w:sz="12" w:space="0" w:color="auto"/>
              <w:right w:val="single" w:sz="12" w:space="0" w:color="auto"/>
            </w:tcBorders>
          </w:tcPr>
          <w:p w14:paraId="3915395D" w14:textId="77777777" w:rsidR="003A6273" w:rsidRDefault="003A6273" w:rsidP="00C639E1">
            <w:pPr>
              <w:pStyle w:val="TableText"/>
              <w:spacing w:before="0" w:after="0"/>
              <w:jc w:val="center"/>
              <w:rPr>
                <w:rFonts w:cs="Segoe UI"/>
                <w:noProof/>
                <w:sz w:val="20"/>
                <w:lang w:eastAsia="en-GB"/>
              </w:rPr>
            </w:pPr>
            <w:r w:rsidRPr="003936F9">
              <w:rPr>
                <w:rFonts w:cs="Segoe UI" w:hint="eastAsia"/>
                <w:noProof/>
                <w:sz w:val="20"/>
                <w:lang w:eastAsia="en-GB"/>
              </w:rPr>
              <w:t>L</w:t>
            </w:r>
          </w:p>
        </w:tc>
        <w:tc>
          <w:tcPr>
            <w:tcW w:w="1244" w:type="dxa"/>
            <w:tcBorders>
              <w:left w:val="single" w:sz="12" w:space="0" w:color="auto"/>
              <w:bottom w:val="single" w:sz="12" w:space="0" w:color="auto"/>
            </w:tcBorders>
          </w:tcPr>
          <w:p w14:paraId="7E4677BA"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bottom w:val="single" w:sz="12" w:space="0" w:color="auto"/>
              <w:right w:val="single" w:sz="12" w:space="0" w:color="auto"/>
            </w:tcBorders>
          </w:tcPr>
          <w:p w14:paraId="706C1DB1" w14:textId="77777777" w:rsidR="003A6273" w:rsidRDefault="003A6273" w:rsidP="00C639E1">
            <w:pPr>
              <w:pStyle w:val="TableText"/>
              <w:spacing w:before="0" w:after="0"/>
              <w:rPr>
                <w:rFonts w:cs="Segoe UI"/>
                <w:sz w:val="20"/>
                <w:lang w:eastAsia="en-GB"/>
              </w:rPr>
            </w:pPr>
          </w:p>
        </w:tc>
        <w:tc>
          <w:tcPr>
            <w:tcW w:w="1134" w:type="dxa"/>
            <w:tcBorders>
              <w:left w:val="single" w:sz="12" w:space="0" w:color="auto"/>
              <w:bottom w:val="single" w:sz="12" w:space="0" w:color="auto"/>
            </w:tcBorders>
          </w:tcPr>
          <w:p w14:paraId="7EBC0AB4" w14:textId="77777777" w:rsidR="003A6273" w:rsidRDefault="003A6273" w:rsidP="00C639E1">
            <w:pPr>
              <w:pStyle w:val="TableText"/>
              <w:spacing w:before="0" w:after="0"/>
              <w:jc w:val="center"/>
              <w:rPr>
                <w:rFonts w:cs="Segoe UI"/>
                <w:noProof/>
                <w:sz w:val="20"/>
                <w:lang w:eastAsia="en-GB"/>
              </w:rPr>
            </w:pPr>
          </w:p>
        </w:tc>
        <w:tc>
          <w:tcPr>
            <w:tcW w:w="1276" w:type="dxa"/>
            <w:tcBorders>
              <w:bottom w:val="single" w:sz="12" w:space="0" w:color="auto"/>
            </w:tcBorders>
          </w:tcPr>
          <w:p w14:paraId="0EF3A1E4"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101" w:type="dxa"/>
            <w:tcBorders>
              <w:bottom w:val="single" w:sz="12" w:space="0" w:color="auto"/>
              <w:right w:val="single" w:sz="12" w:space="0" w:color="auto"/>
            </w:tcBorders>
          </w:tcPr>
          <w:p w14:paraId="33965D1A" w14:textId="77777777" w:rsidR="003A6273" w:rsidRDefault="003A6273" w:rsidP="00C639E1">
            <w:pPr>
              <w:pStyle w:val="TableText"/>
              <w:spacing w:before="0" w:after="0"/>
              <w:rPr>
                <w:rFonts w:cs="Segoe UI"/>
                <w:sz w:val="20"/>
                <w:lang w:eastAsia="en-GB"/>
              </w:rPr>
            </w:pPr>
          </w:p>
        </w:tc>
      </w:tr>
      <w:tr w:rsidR="003A6273" w14:paraId="18BC0872" w14:textId="77777777" w:rsidTr="00846F9E">
        <w:trPr>
          <w:cantSplit/>
          <w:trHeight w:val="283"/>
        </w:trPr>
        <w:tc>
          <w:tcPr>
            <w:tcW w:w="2154" w:type="dxa"/>
            <w:vMerge w:val="restart"/>
            <w:tcBorders>
              <w:top w:val="single" w:sz="12" w:space="0" w:color="auto"/>
              <w:left w:val="nil"/>
              <w:right w:val="single" w:sz="12" w:space="0" w:color="auto"/>
            </w:tcBorders>
            <w:shd w:val="clear" w:color="auto" w:fill="auto"/>
          </w:tcPr>
          <w:p w14:paraId="4FB3874C" w14:textId="5490EC13" w:rsidR="003A6273" w:rsidRDefault="003A6273" w:rsidP="00A46CBB">
            <w:pPr>
              <w:pStyle w:val="TableText"/>
              <w:spacing w:before="0" w:after="0"/>
              <w:rPr>
                <w:rFonts w:cs="Segoe UI"/>
                <w:sz w:val="20"/>
                <w:lang w:eastAsia="en-GB"/>
              </w:rPr>
            </w:pPr>
            <w:r w:rsidRPr="00A364EC">
              <w:rPr>
                <w:rFonts w:cs="Segoe UI"/>
                <w:sz w:val="20"/>
                <w:lang w:eastAsia="en-GB"/>
              </w:rPr>
              <w:lastRenderedPageBreak/>
              <w:t xml:space="preserve">Part </w:t>
            </w:r>
            <w:r w:rsidRPr="005B5690">
              <w:rPr>
                <w:rFonts w:cs="Segoe UI"/>
                <w:sz w:val="20"/>
                <w:lang w:eastAsia="en-GB"/>
              </w:rPr>
              <w:t>IVA</w:t>
            </w:r>
            <w:r w:rsidRPr="00A364EC">
              <w:rPr>
                <w:rFonts w:cs="Segoe UI"/>
                <w:sz w:val="20"/>
                <w:lang w:eastAsia="en-GB"/>
              </w:rPr>
              <w:t xml:space="preserve"> :</w:t>
            </w:r>
            <w:r w:rsidRPr="000D3F3F">
              <w:rPr>
                <w:rFonts w:cs="Segoe UI"/>
                <w:sz w:val="20"/>
                <w:lang w:eastAsia="en-GB"/>
              </w:rPr>
              <w:t xml:space="preserve"> Credit valuation adjustment</w:t>
            </w:r>
            <w:r>
              <w:rPr>
                <w:rFonts w:cs="Segoe UI"/>
                <w:sz w:val="20"/>
                <w:lang w:eastAsia="en-GB"/>
              </w:rPr>
              <w:t xml:space="preserve"> risk</w:t>
            </w:r>
          </w:p>
        </w:tc>
        <w:tc>
          <w:tcPr>
            <w:tcW w:w="4762" w:type="dxa"/>
            <w:tcBorders>
              <w:top w:val="single" w:sz="12" w:space="0" w:color="auto"/>
              <w:left w:val="single" w:sz="12" w:space="0" w:color="auto"/>
              <w:bottom w:val="single" w:sz="6" w:space="0" w:color="auto"/>
              <w:right w:val="single" w:sz="12" w:space="0" w:color="auto"/>
            </w:tcBorders>
            <w:shd w:val="clear" w:color="auto" w:fill="auto"/>
          </w:tcPr>
          <w:p w14:paraId="355A52F0" w14:textId="6A3C743A" w:rsidR="003A6273" w:rsidRPr="00A46CBB" w:rsidRDefault="003A6273" w:rsidP="00A46CBB">
            <w:pPr>
              <w:pStyle w:val="TableText"/>
              <w:spacing w:before="0" w:after="0"/>
              <w:rPr>
                <w:rFonts w:cs="Segoe UI"/>
                <w:sz w:val="20"/>
                <w:lang w:eastAsia="en-GB"/>
              </w:rPr>
            </w:pPr>
            <w:r w:rsidRPr="00377E2C">
              <w:rPr>
                <w:rFonts w:cs="Segoe UI"/>
                <w:color w:val="000000"/>
                <w:sz w:val="20"/>
              </w:rPr>
              <w:t>Table CVAA : Qualitative disclosure</w:t>
            </w:r>
            <w:r>
              <w:rPr>
                <w:rFonts w:cs="Segoe UI"/>
                <w:color w:val="000000"/>
                <w:sz w:val="20"/>
              </w:rPr>
              <w:t>s</w:t>
            </w:r>
            <w:r w:rsidRPr="00377E2C">
              <w:rPr>
                <w:rFonts w:cs="Segoe UI"/>
                <w:color w:val="000000"/>
                <w:sz w:val="20"/>
              </w:rPr>
              <w:t xml:space="preserve"> related to CVA risk</w:t>
            </w:r>
          </w:p>
        </w:tc>
        <w:tc>
          <w:tcPr>
            <w:tcW w:w="1624" w:type="dxa"/>
            <w:tcBorders>
              <w:top w:val="single" w:sz="12" w:space="0" w:color="auto"/>
              <w:left w:val="single" w:sz="12" w:space="0" w:color="auto"/>
              <w:bottom w:val="single" w:sz="6" w:space="0" w:color="auto"/>
              <w:right w:val="single" w:sz="12" w:space="0" w:color="auto"/>
            </w:tcBorders>
            <w:shd w:val="clear" w:color="auto" w:fill="auto"/>
          </w:tcPr>
          <w:p w14:paraId="7C833EDB" w14:textId="6CB10115" w:rsidR="003A6273" w:rsidRPr="005C1F1D" w:rsidRDefault="003A6273" w:rsidP="00A46CBB">
            <w:pPr>
              <w:pStyle w:val="TableText"/>
              <w:spacing w:before="0" w:after="0"/>
              <w:jc w:val="center"/>
              <w:rPr>
                <w:rFonts w:cs="Segoe UI"/>
                <w:noProof/>
                <w:sz w:val="20"/>
                <w:lang w:eastAsia="en-GB"/>
              </w:rPr>
            </w:pPr>
            <w:r w:rsidRPr="005B5690">
              <w:rPr>
                <w:rFonts w:cs="Segoe UI"/>
                <w:color w:val="000000"/>
                <w:sz w:val="20"/>
              </w:rPr>
              <w:t>L</w:t>
            </w:r>
          </w:p>
        </w:tc>
        <w:tc>
          <w:tcPr>
            <w:tcW w:w="1244" w:type="dxa"/>
            <w:tcBorders>
              <w:top w:val="single" w:sz="12" w:space="0" w:color="auto"/>
              <w:left w:val="single" w:sz="12" w:space="0" w:color="auto"/>
              <w:bottom w:val="single" w:sz="6" w:space="0" w:color="auto"/>
            </w:tcBorders>
            <w:shd w:val="clear" w:color="auto" w:fill="auto"/>
          </w:tcPr>
          <w:p w14:paraId="520F5A3C" w14:textId="77777777" w:rsidR="003A6273" w:rsidRDefault="003A6273" w:rsidP="00A46CBB">
            <w:pPr>
              <w:pStyle w:val="TableText"/>
              <w:spacing w:before="0" w:after="0"/>
              <w:jc w:val="center"/>
              <w:rPr>
                <w:rFonts w:cs="Segoe UI"/>
                <w:sz w:val="20"/>
                <w:lang w:eastAsia="en-GB"/>
              </w:rPr>
            </w:pPr>
          </w:p>
        </w:tc>
        <w:tc>
          <w:tcPr>
            <w:tcW w:w="1134" w:type="dxa"/>
            <w:tcBorders>
              <w:top w:val="single" w:sz="12" w:space="0" w:color="auto"/>
              <w:bottom w:val="single" w:sz="6" w:space="0" w:color="auto"/>
              <w:right w:val="single" w:sz="12" w:space="0" w:color="auto"/>
            </w:tcBorders>
            <w:shd w:val="clear" w:color="auto" w:fill="auto"/>
          </w:tcPr>
          <w:p w14:paraId="3205813F" w14:textId="5D836F33" w:rsidR="003A6273" w:rsidRDefault="003A6273" w:rsidP="00A46CBB">
            <w:pPr>
              <w:pStyle w:val="TableText"/>
              <w:spacing w:before="0" w:after="0"/>
              <w:jc w:val="center"/>
              <w:rPr>
                <w:rFonts w:cs="Segoe UI"/>
                <w:sz w:val="20"/>
                <w:lang w:eastAsia="en-GB"/>
              </w:rPr>
            </w:pPr>
            <w:r>
              <w:rPr>
                <w:rFonts w:ascii="Wingdings 2" w:hAnsi="Wingdings 2" w:cs="Calibri"/>
                <w:color w:val="000000"/>
              </w:rPr>
              <w:t></w:t>
            </w:r>
          </w:p>
        </w:tc>
        <w:tc>
          <w:tcPr>
            <w:tcW w:w="1134" w:type="dxa"/>
            <w:tcBorders>
              <w:top w:val="single" w:sz="12" w:space="0" w:color="auto"/>
              <w:left w:val="single" w:sz="12" w:space="0" w:color="auto"/>
              <w:bottom w:val="single" w:sz="6" w:space="0" w:color="auto"/>
            </w:tcBorders>
            <w:shd w:val="clear" w:color="auto" w:fill="auto"/>
          </w:tcPr>
          <w:p w14:paraId="183C1260" w14:textId="77777777" w:rsidR="003A6273" w:rsidRDefault="003A6273" w:rsidP="00A46CBB">
            <w:pPr>
              <w:pStyle w:val="TableText"/>
              <w:spacing w:before="0" w:after="0"/>
              <w:jc w:val="center"/>
              <w:rPr>
                <w:rFonts w:cs="Segoe UI"/>
                <w:sz w:val="20"/>
                <w:lang w:eastAsia="en-GB"/>
              </w:rPr>
            </w:pPr>
          </w:p>
        </w:tc>
        <w:tc>
          <w:tcPr>
            <w:tcW w:w="1276" w:type="dxa"/>
            <w:tcBorders>
              <w:top w:val="single" w:sz="12" w:space="0" w:color="auto"/>
              <w:bottom w:val="single" w:sz="6" w:space="0" w:color="auto"/>
            </w:tcBorders>
            <w:shd w:val="clear" w:color="auto" w:fill="auto"/>
          </w:tcPr>
          <w:p w14:paraId="5399A119" w14:textId="77777777" w:rsidR="003A6273" w:rsidRDefault="003A6273" w:rsidP="00A46CBB">
            <w:pPr>
              <w:pStyle w:val="TableText"/>
              <w:spacing w:before="0" w:after="0"/>
              <w:jc w:val="center"/>
              <w:rPr>
                <w:rFonts w:cs="Segoe UI"/>
                <w:sz w:val="20"/>
                <w:lang w:eastAsia="en-GB"/>
              </w:rPr>
            </w:pPr>
          </w:p>
        </w:tc>
        <w:tc>
          <w:tcPr>
            <w:tcW w:w="1101" w:type="dxa"/>
            <w:tcBorders>
              <w:top w:val="single" w:sz="12" w:space="0" w:color="auto"/>
              <w:bottom w:val="single" w:sz="6" w:space="0" w:color="auto"/>
              <w:right w:val="single" w:sz="12" w:space="0" w:color="auto"/>
            </w:tcBorders>
            <w:shd w:val="clear" w:color="auto" w:fill="auto"/>
          </w:tcPr>
          <w:p w14:paraId="47C62D13" w14:textId="164DD903" w:rsidR="003A6273" w:rsidRDefault="003A6273" w:rsidP="00A46CBB">
            <w:pPr>
              <w:pStyle w:val="TableText"/>
              <w:spacing w:before="0" w:after="0"/>
              <w:jc w:val="center"/>
              <w:rPr>
                <w:rFonts w:cs="Segoe UI"/>
                <w:sz w:val="20"/>
                <w:lang w:eastAsia="en-GB"/>
              </w:rPr>
            </w:pPr>
            <w:r>
              <w:rPr>
                <w:rFonts w:ascii="Wingdings 2" w:hAnsi="Wingdings 2" w:cs="Calibri"/>
                <w:color w:val="000000"/>
              </w:rPr>
              <w:t></w:t>
            </w:r>
          </w:p>
        </w:tc>
      </w:tr>
      <w:tr w:rsidR="003A6273" w14:paraId="42303983" w14:textId="77777777" w:rsidTr="00846F9E">
        <w:trPr>
          <w:cantSplit/>
          <w:trHeight w:val="283"/>
        </w:trPr>
        <w:tc>
          <w:tcPr>
            <w:tcW w:w="2154" w:type="dxa"/>
            <w:vMerge/>
            <w:tcBorders>
              <w:left w:val="nil"/>
              <w:right w:val="single" w:sz="12" w:space="0" w:color="auto"/>
            </w:tcBorders>
            <w:shd w:val="clear" w:color="auto" w:fill="auto"/>
          </w:tcPr>
          <w:p w14:paraId="487EF63D" w14:textId="77777777" w:rsidR="003A6273" w:rsidRDefault="003A6273" w:rsidP="00A46CBB">
            <w:pPr>
              <w:pStyle w:val="TableText"/>
              <w:spacing w:before="0" w:after="0"/>
              <w:rPr>
                <w:rFonts w:cs="Segoe UI"/>
                <w:sz w:val="20"/>
                <w:lang w:eastAsia="en-GB"/>
              </w:rPr>
            </w:pPr>
          </w:p>
        </w:tc>
        <w:tc>
          <w:tcPr>
            <w:tcW w:w="4762" w:type="dxa"/>
            <w:tcBorders>
              <w:top w:val="single" w:sz="6" w:space="0" w:color="auto"/>
              <w:left w:val="single" w:sz="12" w:space="0" w:color="auto"/>
              <w:bottom w:val="single" w:sz="6" w:space="0" w:color="auto"/>
              <w:right w:val="single" w:sz="12" w:space="0" w:color="auto"/>
            </w:tcBorders>
            <w:shd w:val="clear" w:color="auto" w:fill="auto"/>
          </w:tcPr>
          <w:p w14:paraId="49B96A3C" w14:textId="37EA0BD5" w:rsidR="003A6273" w:rsidRPr="00A46CBB" w:rsidRDefault="003A6273" w:rsidP="00A46CBB">
            <w:pPr>
              <w:pStyle w:val="TableText"/>
              <w:spacing w:before="0" w:after="0"/>
              <w:rPr>
                <w:rFonts w:cs="Segoe UI"/>
                <w:sz w:val="20"/>
                <w:lang w:eastAsia="en-GB"/>
              </w:rPr>
            </w:pPr>
            <w:r w:rsidRPr="00377E2C">
              <w:rPr>
                <w:rFonts w:cs="Segoe UI"/>
                <w:color w:val="000000"/>
                <w:sz w:val="20"/>
              </w:rPr>
              <w:t>Template CVA1 : CVA risk under reduced basic CVA approach</w:t>
            </w:r>
          </w:p>
        </w:tc>
        <w:tc>
          <w:tcPr>
            <w:tcW w:w="1624" w:type="dxa"/>
            <w:tcBorders>
              <w:top w:val="single" w:sz="6" w:space="0" w:color="auto"/>
              <w:left w:val="single" w:sz="12" w:space="0" w:color="auto"/>
              <w:bottom w:val="single" w:sz="6" w:space="0" w:color="auto"/>
              <w:right w:val="single" w:sz="12" w:space="0" w:color="auto"/>
            </w:tcBorders>
            <w:shd w:val="clear" w:color="auto" w:fill="auto"/>
          </w:tcPr>
          <w:p w14:paraId="0D8C601A" w14:textId="4CB6B475" w:rsidR="003A6273" w:rsidRPr="005C1F1D" w:rsidRDefault="003A6273" w:rsidP="000B0B3C">
            <w:pPr>
              <w:pStyle w:val="TableText"/>
              <w:spacing w:before="0" w:after="0"/>
              <w:jc w:val="center"/>
              <w:rPr>
                <w:rFonts w:cs="Segoe UI"/>
                <w:noProof/>
                <w:sz w:val="20"/>
                <w:lang w:eastAsia="en-GB"/>
              </w:rPr>
            </w:pPr>
            <w:r w:rsidRPr="005B5690">
              <w:rPr>
                <w:rFonts w:cs="Segoe UI"/>
                <w:color w:val="000000"/>
                <w:sz w:val="20"/>
              </w:rPr>
              <w:t>L</w:t>
            </w:r>
            <w:r>
              <w:rPr>
                <w:rFonts w:cs="Segoe UI"/>
                <w:color w:val="000000"/>
                <w:sz w:val="20"/>
              </w:rPr>
              <w:t xml:space="preserve"> </w:t>
            </w:r>
            <w:r w:rsidRPr="0029427F">
              <w:rPr>
                <w:rFonts w:cs="Segoe UI"/>
                <w:color w:val="000000"/>
                <w:sz w:val="20"/>
              </w:rPr>
              <w:t>[reduced basic CVA</w:t>
            </w:r>
            <w:r w:rsidRPr="005B5690">
              <w:rPr>
                <w:rFonts w:cs="Segoe UI"/>
                <w:color w:val="000000"/>
                <w:sz w:val="20"/>
              </w:rPr>
              <w:t>]</w:t>
            </w:r>
          </w:p>
        </w:tc>
        <w:tc>
          <w:tcPr>
            <w:tcW w:w="1244" w:type="dxa"/>
            <w:tcBorders>
              <w:top w:val="single" w:sz="6" w:space="0" w:color="auto"/>
              <w:left w:val="single" w:sz="12" w:space="0" w:color="auto"/>
              <w:bottom w:val="single" w:sz="6" w:space="0" w:color="auto"/>
            </w:tcBorders>
            <w:shd w:val="clear" w:color="auto" w:fill="auto"/>
          </w:tcPr>
          <w:p w14:paraId="5D4F8E20" w14:textId="47B08687" w:rsidR="003A6273" w:rsidRDefault="003A6273" w:rsidP="00A46CBB">
            <w:pPr>
              <w:pStyle w:val="TableText"/>
              <w:spacing w:before="0" w:after="0"/>
              <w:jc w:val="center"/>
              <w:rPr>
                <w:rFonts w:cs="Segoe UI"/>
                <w:sz w:val="20"/>
                <w:lang w:eastAsia="en-GB"/>
              </w:rPr>
            </w:pPr>
            <w:r>
              <w:rPr>
                <w:rFonts w:ascii="Wingdings 2" w:hAnsi="Wingdings 2" w:cs="Calibri"/>
                <w:color w:val="000000"/>
              </w:rPr>
              <w:t></w:t>
            </w:r>
          </w:p>
        </w:tc>
        <w:tc>
          <w:tcPr>
            <w:tcW w:w="1134" w:type="dxa"/>
            <w:tcBorders>
              <w:top w:val="single" w:sz="6" w:space="0" w:color="auto"/>
              <w:bottom w:val="single" w:sz="6" w:space="0" w:color="auto"/>
              <w:right w:val="single" w:sz="12" w:space="0" w:color="auto"/>
            </w:tcBorders>
            <w:shd w:val="clear" w:color="auto" w:fill="auto"/>
          </w:tcPr>
          <w:p w14:paraId="500C42CE" w14:textId="77777777" w:rsidR="003A6273" w:rsidRDefault="003A6273" w:rsidP="00A46CBB">
            <w:pPr>
              <w:pStyle w:val="TableText"/>
              <w:spacing w:before="0" w:after="0"/>
              <w:jc w:val="center"/>
              <w:rPr>
                <w:rFonts w:cs="Segoe UI"/>
                <w:sz w:val="20"/>
                <w:lang w:eastAsia="en-GB"/>
              </w:rPr>
            </w:pPr>
          </w:p>
        </w:tc>
        <w:tc>
          <w:tcPr>
            <w:tcW w:w="1134" w:type="dxa"/>
            <w:tcBorders>
              <w:top w:val="single" w:sz="6" w:space="0" w:color="auto"/>
              <w:left w:val="single" w:sz="12" w:space="0" w:color="auto"/>
              <w:bottom w:val="single" w:sz="6" w:space="0" w:color="auto"/>
            </w:tcBorders>
            <w:shd w:val="clear" w:color="auto" w:fill="auto"/>
          </w:tcPr>
          <w:p w14:paraId="016BC93C" w14:textId="77777777" w:rsidR="003A6273" w:rsidRDefault="003A6273" w:rsidP="00A46CBB">
            <w:pPr>
              <w:pStyle w:val="TableText"/>
              <w:spacing w:before="0" w:after="0"/>
              <w:jc w:val="center"/>
              <w:rPr>
                <w:rFonts w:cs="Segoe UI"/>
                <w:sz w:val="20"/>
                <w:lang w:eastAsia="en-GB"/>
              </w:rPr>
            </w:pPr>
          </w:p>
        </w:tc>
        <w:tc>
          <w:tcPr>
            <w:tcW w:w="1276" w:type="dxa"/>
            <w:tcBorders>
              <w:top w:val="single" w:sz="6" w:space="0" w:color="auto"/>
              <w:bottom w:val="single" w:sz="6" w:space="0" w:color="auto"/>
            </w:tcBorders>
            <w:shd w:val="clear" w:color="auto" w:fill="auto"/>
          </w:tcPr>
          <w:p w14:paraId="1F13A198" w14:textId="5A25B71E" w:rsidR="003A6273" w:rsidRDefault="003A6273" w:rsidP="00A46CBB">
            <w:pPr>
              <w:pStyle w:val="TableText"/>
              <w:spacing w:before="0" w:after="0"/>
              <w:jc w:val="center"/>
              <w:rPr>
                <w:rFonts w:cs="Segoe UI"/>
                <w:sz w:val="20"/>
                <w:lang w:eastAsia="en-GB"/>
              </w:rPr>
            </w:pPr>
            <w:r>
              <w:rPr>
                <w:rFonts w:ascii="Wingdings 2" w:hAnsi="Wingdings 2" w:cs="Calibri"/>
                <w:color w:val="000000"/>
              </w:rPr>
              <w:t></w:t>
            </w:r>
          </w:p>
        </w:tc>
        <w:tc>
          <w:tcPr>
            <w:tcW w:w="1101" w:type="dxa"/>
            <w:tcBorders>
              <w:top w:val="single" w:sz="6" w:space="0" w:color="auto"/>
              <w:bottom w:val="single" w:sz="6" w:space="0" w:color="auto"/>
              <w:right w:val="single" w:sz="12" w:space="0" w:color="auto"/>
            </w:tcBorders>
            <w:shd w:val="clear" w:color="auto" w:fill="auto"/>
          </w:tcPr>
          <w:p w14:paraId="4F2B10CC" w14:textId="77777777" w:rsidR="003A6273" w:rsidRDefault="003A6273" w:rsidP="00A46CBB">
            <w:pPr>
              <w:pStyle w:val="TableText"/>
              <w:spacing w:before="0" w:after="0"/>
              <w:jc w:val="center"/>
              <w:rPr>
                <w:rFonts w:cs="Segoe UI"/>
                <w:sz w:val="20"/>
                <w:lang w:eastAsia="en-GB"/>
              </w:rPr>
            </w:pPr>
          </w:p>
        </w:tc>
      </w:tr>
      <w:tr w:rsidR="003A6273" w14:paraId="15C9B834" w14:textId="77777777" w:rsidTr="00846F9E">
        <w:trPr>
          <w:cantSplit/>
          <w:trHeight w:val="283"/>
        </w:trPr>
        <w:tc>
          <w:tcPr>
            <w:tcW w:w="2154" w:type="dxa"/>
            <w:vMerge/>
            <w:tcBorders>
              <w:left w:val="nil"/>
              <w:right w:val="single" w:sz="12" w:space="0" w:color="auto"/>
            </w:tcBorders>
            <w:shd w:val="clear" w:color="auto" w:fill="auto"/>
          </w:tcPr>
          <w:p w14:paraId="3520C862" w14:textId="77777777" w:rsidR="003A6273" w:rsidRDefault="003A6273" w:rsidP="00A46CBB">
            <w:pPr>
              <w:pStyle w:val="TableText"/>
              <w:spacing w:before="0" w:after="0"/>
              <w:rPr>
                <w:rFonts w:cs="Segoe UI"/>
                <w:sz w:val="20"/>
                <w:lang w:eastAsia="en-GB"/>
              </w:rPr>
            </w:pPr>
          </w:p>
        </w:tc>
        <w:tc>
          <w:tcPr>
            <w:tcW w:w="4762" w:type="dxa"/>
            <w:tcBorders>
              <w:top w:val="single" w:sz="6" w:space="0" w:color="auto"/>
              <w:left w:val="single" w:sz="12" w:space="0" w:color="auto"/>
              <w:bottom w:val="single" w:sz="4" w:space="0" w:color="auto"/>
              <w:right w:val="single" w:sz="12" w:space="0" w:color="auto"/>
            </w:tcBorders>
            <w:shd w:val="clear" w:color="auto" w:fill="auto"/>
          </w:tcPr>
          <w:p w14:paraId="45B41950" w14:textId="0E4D58B5" w:rsidR="003A6273" w:rsidRPr="00A46CBB" w:rsidRDefault="003A6273" w:rsidP="00A46CBB">
            <w:pPr>
              <w:pStyle w:val="TableText"/>
              <w:spacing w:before="0" w:after="0"/>
              <w:rPr>
                <w:rFonts w:cs="Segoe UI"/>
                <w:sz w:val="20"/>
                <w:lang w:eastAsia="en-GB"/>
              </w:rPr>
            </w:pPr>
            <w:r w:rsidRPr="00377E2C">
              <w:rPr>
                <w:rFonts w:cs="Segoe UI"/>
                <w:color w:val="000000"/>
                <w:sz w:val="20"/>
              </w:rPr>
              <w:t xml:space="preserve">Template CVA2 : CVA risk under full basic CVA approach </w:t>
            </w:r>
          </w:p>
        </w:tc>
        <w:tc>
          <w:tcPr>
            <w:tcW w:w="1624" w:type="dxa"/>
            <w:tcBorders>
              <w:top w:val="single" w:sz="6" w:space="0" w:color="auto"/>
              <w:left w:val="single" w:sz="12" w:space="0" w:color="auto"/>
              <w:bottom w:val="single" w:sz="4" w:space="0" w:color="auto"/>
              <w:right w:val="single" w:sz="12" w:space="0" w:color="auto"/>
            </w:tcBorders>
            <w:shd w:val="clear" w:color="auto" w:fill="auto"/>
          </w:tcPr>
          <w:p w14:paraId="7C8D9ACD" w14:textId="10676272" w:rsidR="003A6273" w:rsidRPr="003936F9" w:rsidRDefault="003A6273" w:rsidP="000B0B3C">
            <w:pPr>
              <w:pStyle w:val="TableText"/>
              <w:spacing w:before="0" w:after="0"/>
              <w:jc w:val="center"/>
              <w:rPr>
                <w:rFonts w:cs="Segoe UI"/>
                <w:noProof/>
                <w:sz w:val="20"/>
                <w:lang w:eastAsia="en-GB"/>
              </w:rPr>
            </w:pPr>
            <w:r w:rsidRPr="005B5690">
              <w:rPr>
                <w:rFonts w:cs="Segoe UI"/>
                <w:color w:val="000000"/>
                <w:sz w:val="20"/>
              </w:rPr>
              <w:t>L</w:t>
            </w:r>
            <w:r>
              <w:rPr>
                <w:rFonts w:cs="Segoe UI"/>
                <w:color w:val="000000"/>
                <w:sz w:val="20"/>
              </w:rPr>
              <w:t xml:space="preserve"> </w:t>
            </w:r>
            <w:r>
              <w:rPr>
                <w:rFonts w:cs="Segoe UI"/>
                <w:color w:val="000000"/>
              </w:rPr>
              <w:t>[</w:t>
            </w:r>
            <w:r>
              <w:rPr>
                <w:rFonts w:cs="Segoe UI"/>
                <w:color w:val="000000"/>
                <w:sz w:val="20"/>
              </w:rPr>
              <w:t>full basic CVA]</w:t>
            </w:r>
          </w:p>
        </w:tc>
        <w:tc>
          <w:tcPr>
            <w:tcW w:w="1244" w:type="dxa"/>
            <w:tcBorders>
              <w:top w:val="single" w:sz="6" w:space="0" w:color="auto"/>
              <w:left w:val="single" w:sz="12" w:space="0" w:color="auto"/>
              <w:bottom w:val="single" w:sz="4" w:space="0" w:color="auto"/>
            </w:tcBorders>
            <w:shd w:val="clear" w:color="auto" w:fill="auto"/>
          </w:tcPr>
          <w:p w14:paraId="5F789984" w14:textId="2DCA797D" w:rsidR="003A6273" w:rsidRDefault="003A6273" w:rsidP="00A46CBB">
            <w:pPr>
              <w:pStyle w:val="TableText"/>
              <w:spacing w:before="0" w:after="0"/>
              <w:jc w:val="center"/>
              <w:rPr>
                <w:rFonts w:cs="Segoe UI"/>
                <w:sz w:val="20"/>
                <w:lang w:eastAsia="en-GB"/>
              </w:rPr>
            </w:pPr>
            <w:r>
              <w:rPr>
                <w:rFonts w:ascii="Wingdings 2" w:hAnsi="Wingdings 2" w:cs="Calibri"/>
                <w:color w:val="000000"/>
              </w:rPr>
              <w:t></w:t>
            </w:r>
          </w:p>
        </w:tc>
        <w:tc>
          <w:tcPr>
            <w:tcW w:w="1134" w:type="dxa"/>
            <w:tcBorders>
              <w:top w:val="single" w:sz="6" w:space="0" w:color="auto"/>
              <w:bottom w:val="single" w:sz="4" w:space="0" w:color="auto"/>
              <w:right w:val="single" w:sz="12" w:space="0" w:color="auto"/>
            </w:tcBorders>
            <w:shd w:val="clear" w:color="auto" w:fill="auto"/>
          </w:tcPr>
          <w:p w14:paraId="30A63E49" w14:textId="77777777" w:rsidR="003A6273" w:rsidRDefault="003A6273" w:rsidP="00A46CBB">
            <w:pPr>
              <w:pStyle w:val="TableText"/>
              <w:spacing w:before="0" w:after="0"/>
              <w:jc w:val="center"/>
              <w:rPr>
                <w:rFonts w:cs="Segoe UI"/>
                <w:sz w:val="20"/>
                <w:lang w:eastAsia="en-GB"/>
              </w:rPr>
            </w:pPr>
          </w:p>
        </w:tc>
        <w:tc>
          <w:tcPr>
            <w:tcW w:w="1134" w:type="dxa"/>
            <w:tcBorders>
              <w:top w:val="single" w:sz="6" w:space="0" w:color="auto"/>
              <w:left w:val="single" w:sz="12" w:space="0" w:color="auto"/>
              <w:bottom w:val="single" w:sz="4" w:space="0" w:color="auto"/>
            </w:tcBorders>
            <w:shd w:val="clear" w:color="auto" w:fill="auto"/>
          </w:tcPr>
          <w:p w14:paraId="74B04E7C" w14:textId="77777777" w:rsidR="003A6273" w:rsidRDefault="003A6273" w:rsidP="00A46CBB">
            <w:pPr>
              <w:pStyle w:val="TableText"/>
              <w:spacing w:before="0" w:after="0"/>
              <w:jc w:val="center"/>
              <w:rPr>
                <w:rFonts w:cs="Segoe UI"/>
                <w:sz w:val="20"/>
                <w:lang w:eastAsia="en-GB"/>
              </w:rPr>
            </w:pPr>
          </w:p>
        </w:tc>
        <w:tc>
          <w:tcPr>
            <w:tcW w:w="1276" w:type="dxa"/>
            <w:tcBorders>
              <w:top w:val="single" w:sz="6" w:space="0" w:color="auto"/>
              <w:bottom w:val="single" w:sz="4" w:space="0" w:color="auto"/>
            </w:tcBorders>
            <w:shd w:val="clear" w:color="auto" w:fill="auto"/>
          </w:tcPr>
          <w:p w14:paraId="2ABFCE54" w14:textId="4BA36A2E" w:rsidR="003A6273" w:rsidRDefault="003A6273" w:rsidP="00A46CBB">
            <w:pPr>
              <w:pStyle w:val="TableText"/>
              <w:spacing w:before="0" w:after="0"/>
              <w:jc w:val="center"/>
              <w:rPr>
                <w:rFonts w:cs="Segoe UI"/>
                <w:sz w:val="20"/>
                <w:lang w:eastAsia="en-GB"/>
              </w:rPr>
            </w:pPr>
            <w:r>
              <w:rPr>
                <w:rFonts w:ascii="Wingdings 2" w:hAnsi="Wingdings 2" w:cs="Calibri"/>
                <w:color w:val="000000"/>
              </w:rPr>
              <w:t></w:t>
            </w:r>
          </w:p>
        </w:tc>
        <w:tc>
          <w:tcPr>
            <w:tcW w:w="1101" w:type="dxa"/>
            <w:tcBorders>
              <w:top w:val="single" w:sz="6" w:space="0" w:color="auto"/>
              <w:bottom w:val="single" w:sz="4" w:space="0" w:color="auto"/>
              <w:right w:val="single" w:sz="12" w:space="0" w:color="auto"/>
            </w:tcBorders>
            <w:shd w:val="clear" w:color="auto" w:fill="auto"/>
          </w:tcPr>
          <w:p w14:paraId="1B5B39EB" w14:textId="77777777" w:rsidR="003A6273" w:rsidRDefault="003A6273" w:rsidP="00A46CBB">
            <w:pPr>
              <w:pStyle w:val="TableText"/>
              <w:spacing w:before="0" w:after="0"/>
              <w:jc w:val="center"/>
              <w:rPr>
                <w:rFonts w:cs="Segoe UI"/>
                <w:sz w:val="20"/>
                <w:lang w:eastAsia="en-GB"/>
              </w:rPr>
            </w:pPr>
          </w:p>
        </w:tc>
      </w:tr>
      <w:tr w:rsidR="003A6273" w14:paraId="7A5FC3D9" w14:textId="77777777" w:rsidTr="00846F9E">
        <w:trPr>
          <w:cantSplit/>
          <w:trHeight w:val="283"/>
        </w:trPr>
        <w:tc>
          <w:tcPr>
            <w:tcW w:w="2154" w:type="dxa"/>
            <w:vMerge/>
            <w:tcBorders>
              <w:left w:val="nil"/>
              <w:right w:val="single" w:sz="12" w:space="0" w:color="auto"/>
            </w:tcBorders>
            <w:shd w:val="clear" w:color="auto" w:fill="auto"/>
          </w:tcPr>
          <w:p w14:paraId="0834F484" w14:textId="77777777" w:rsidR="003A6273" w:rsidRDefault="003A6273" w:rsidP="00A46CBB">
            <w:pPr>
              <w:pStyle w:val="TableText"/>
              <w:spacing w:before="0" w:after="0"/>
              <w:rPr>
                <w:rFonts w:cs="Segoe UI"/>
                <w:sz w:val="20"/>
                <w:lang w:eastAsia="en-GB"/>
              </w:rPr>
            </w:pPr>
          </w:p>
        </w:tc>
        <w:tc>
          <w:tcPr>
            <w:tcW w:w="4762" w:type="dxa"/>
            <w:tcBorders>
              <w:top w:val="single" w:sz="4" w:space="0" w:color="auto"/>
              <w:left w:val="single" w:sz="12" w:space="0" w:color="auto"/>
              <w:right w:val="single" w:sz="12" w:space="0" w:color="auto"/>
            </w:tcBorders>
            <w:shd w:val="clear" w:color="auto" w:fill="auto"/>
          </w:tcPr>
          <w:p w14:paraId="72952B91" w14:textId="7E6E34DA" w:rsidR="003A6273" w:rsidRPr="00A46CBB" w:rsidRDefault="003A6273" w:rsidP="00A46CBB">
            <w:pPr>
              <w:pStyle w:val="TableText"/>
              <w:spacing w:before="0" w:after="0"/>
              <w:rPr>
                <w:rFonts w:cs="Segoe UI"/>
                <w:sz w:val="20"/>
                <w:lang w:eastAsia="en-GB"/>
              </w:rPr>
            </w:pPr>
            <w:r w:rsidRPr="00377E2C">
              <w:rPr>
                <w:rFonts w:cs="Segoe UI"/>
                <w:color w:val="000000"/>
                <w:sz w:val="20"/>
              </w:rPr>
              <w:t>Table CVAB : Additional qualitative disclosures for AI using standardized CVA approach</w:t>
            </w:r>
          </w:p>
        </w:tc>
        <w:tc>
          <w:tcPr>
            <w:tcW w:w="1624" w:type="dxa"/>
            <w:tcBorders>
              <w:top w:val="single" w:sz="4" w:space="0" w:color="auto"/>
              <w:left w:val="single" w:sz="12" w:space="0" w:color="auto"/>
              <w:right w:val="single" w:sz="12" w:space="0" w:color="auto"/>
            </w:tcBorders>
            <w:shd w:val="clear" w:color="auto" w:fill="auto"/>
          </w:tcPr>
          <w:p w14:paraId="46BF7287" w14:textId="4663744C" w:rsidR="003A6273" w:rsidRPr="000B0B3C" w:rsidRDefault="003A6273" w:rsidP="0029427F">
            <w:pPr>
              <w:pStyle w:val="TableText"/>
              <w:spacing w:before="0" w:after="0"/>
              <w:jc w:val="center"/>
              <w:rPr>
                <w:rFonts w:cs="Segoe UI"/>
                <w:noProof/>
                <w:sz w:val="20"/>
                <w:lang w:eastAsia="en-GB"/>
              </w:rPr>
            </w:pPr>
            <w:r w:rsidRPr="005B5690">
              <w:rPr>
                <w:rFonts w:cs="Segoe UI"/>
                <w:color w:val="000000"/>
                <w:sz w:val="20"/>
              </w:rPr>
              <w:t>L</w:t>
            </w:r>
            <w:r>
              <w:rPr>
                <w:rFonts w:cs="Segoe UI"/>
                <w:color w:val="000000"/>
                <w:sz w:val="20"/>
              </w:rPr>
              <w:t xml:space="preserve"> </w:t>
            </w:r>
            <w:r w:rsidRPr="005C1F1D">
              <w:rPr>
                <w:rFonts w:cs="Segoe UI"/>
                <w:noProof/>
                <w:sz w:val="20"/>
                <w:lang w:eastAsia="en-GB"/>
              </w:rPr>
              <w:t>[</w:t>
            </w:r>
            <w:r w:rsidRPr="005C1F1D">
              <w:rPr>
                <w:rFonts w:cs="Segoe UI"/>
                <w:color w:val="000000"/>
                <w:sz w:val="20"/>
              </w:rPr>
              <w:t>standardized CVA</w:t>
            </w:r>
            <w:r w:rsidRPr="000B0B3C">
              <w:rPr>
                <w:rFonts w:cs="Segoe UI"/>
                <w:color w:val="000000"/>
                <w:sz w:val="20"/>
              </w:rPr>
              <w:t>]</w:t>
            </w:r>
          </w:p>
        </w:tc>
        <w:tc>
          <w:tcPr>
            <w:tcW w:w="1244" w:type="dxa"/>
            <w:tcBorders>
              <w:top w:val="single" w:sz="4" w:space="0" w:color="auto"/>
              <w:left w:val="single" w:sz="12" w:space="0" w:color="auto"/>
            </w:tcBorders>
            <w:shd w:val="clear" w:color="auto" w:fill="auto"/>
          </w:tcPr>
          <w:p w14:paraId="39998999" w14:textId="77777777" w:rsidR="003A6273" w:rsidRDefault="003A6273" w:rsidP="00A46CBB">
            <w:pPr>
              <w:pStyle w:val="TableText"/>
              <w:spacing w:before="0" w:after="0"/>
              <w:jc w:val="center"/>
              <w:rPr>
                <w:rFonts w:cs="Segoe UI"/>
                <w:sz w:val="20"/>
                <w:lang w:eastAsia="en-GB"/>
              </w:rPr>
            </w:pPr>
          </w:p>
        </w:tc>
        <w:tc>
          <w:tcPr>
            <w:tcW w:w="1134" w:type="dxa"/>
            <w:tcBorders>
              <w:top w:val="single" w:sz="4" w:space="0" w:color="auto"/>
              <w:right w:val="single" w:sz="12" w:space="0" w:color="auto"/>
            </w:tcBorders>
            <w:shd w:val="clear" w:color="auto" w:fill="auto"/>
          </w:tcPr>
          <w:p w14:paraId="52408347" w14:textId="7E544FEB" w:rsidR="003A6273" w:rsidRDefault="003A6273" w:rsidP="00A46CBB">
            <w:pPr>
              <w:pStyle w:val="TableText"/>
              <w:spacing w:before="0" w:after="0"/>
              <w:jc w:val="center"/>
              <w:rPr>
                <w:rFonts w:cs="Segoe UI"/>
                <w:sz w:val="20"/>
                <w:lang w:eastAsia="en-GB"/>
              </w:rPr>
            </w:pPr>
            <w:r>
              <w:rPr>
                <w:rFonts w:ascii="Wingdings 2" w:hAnsi="Wingdings 2" w:cs="Calibri"/>
                <w:color w:val="000000"/>
              </w:rPr>
              <w:t></w:t>
            </w:r>
          </w:p>
        </w:tc>
        <w:tc>
          <w:tcPr>
            <w:tcW w:w="1134" w:type="dxa"/>
            <w:tcBorders>
              <w:top w:val="single" w:sz="4" w:space="0" w:color="auto"/>
              <w:left w:val="single" w:sz="12" w:space="0" w:color="auto"/>
            </w:tcBorders>
            <w:shd w:val="clear" w:color="auto" w:fill="auto"/>
          </w:tcPr>
          <w:p w14:paraId="0FF92CB0" w14:textId="77777777" w:rsidR="003A6273" w:rsidRDefault="003A6273" w:rsidP="00A46CBB">
            <w:pPr>
              <w:pStyle w:val="TableText"/>
              <w:spacing w:before="0" w:after="0"/>
              <w:jc w:val="center"/>
              <w:rPr>
                <w:rFonts w:cs="Segoe UI"/>
                <w:sz w:val="20"/>
                <w:lang w:eastAsia="en-GB"/>
              </w:rPr>
            </w:pPr>
          </w:p>
        </w:tc>
        <w:tc>
          <w:tcPr>
            <w:tcW w:w="1276" w:type="dxa"/>
            <w:tcBorders>
              <w:top w:val="single" w:sz="4" w:space="0" w:color="auto"/>
            </w:tcBorders>
            <w:shd w:val="clear" w:color="auto" w:fill="auto"/>
          </w:tcPr>
          <w:p w14:paraId="65341302" w14:textId="77777777" w:rsidR="003A6273" w:rsidRDefault="003A6273" w:rsidP="00A46CBB">
            <w:pPr>
              <w:pStyle w:val="TableText"/>
              <w:spacing w:before="0" w:after="0"/>
              <w:jc w:val="center"/>
              <w:rPr>
                <w:rFonts w:cs="Segoe UI"/>
                <w:sz w:val="20"/>
                <w:lang w:eastAsia="en-GB"/>
              </w:rPr>
            </w:pPr>
          </w:p>
        </w:tc>
        <w:tc>
          <w:tcPr>
            <w:tcW w:w="1101" w:type="dxa"/>
            <w:tcBorders>
              <w:top w:val="single" w:sz="4" w:space="0" w:color="auto"/>
              <w:right w:val="single" w:sz="12" w:space="0" w:color="auto"/>
            </w:tcBorders>
            <w:shd w:val="clear" w:color="auto" w:fill="auto"/>
          </w:tcPr>
          <w:p w14:paraId="19CA20FA" w14:textId="038AD812" w:rsidR="003A6273" w:rsidRDefault="003A6273" w:rsidP="00A46CBB">
            <w:pPr>
              <w:pStyle w:val="TableText"/>
              <w:spacing w:before="0" w:after="0"/>
              <w:jc w:val="center"/>
              <w:rPr>
                <w:rFonts w:cs="Segoe UI"/>
                <w:sz w:val="20"/>
                <w:lang w:eastAsia="en-GB"/>
              </w:rPr>
            </w:pPr>
            <w:r>
              <w:rPr>
                <w:rFonts w:ascii="Wingdings 2" w:hAnsi="Wingdings 2" w:cs="Calibri"/>
                <w:color w:val="000000"/>
              </w:rPr>
              <w:t></w:t>
            </w:r>
          </w:p>
        </w:tc>
      </w:tr>
      <w:tr w:rsidR="003A6273" w14:paraId="5323D77E" w14:textId="77777777" w:rsidTr="00846F9E">
        <w:trPr>
          <w:cantSplit/>
          <w:trHeight w:val="283"/>
        </w:trPr>
        <w:tc>
          <w:tcPr>
            <w:tcW w:w="2154" w:type="dxa"/>
            <w:vMerge/>
            <w:tcBorders>
              <w:left w:val="nil"/>
              <w:right w:val="single" w:sz="12" w:space="0" w:color="auto"/>
            </w:tcBorders>
            <w:shd w:val="clear" w:color="auto" w:fill="auto"/>
          </w:tcPr>
          <w:p w14:paraId="0C2B3F94" w14:textId="77777777" w:rsidR="003A6273" w:rsidRDefault="003A6273" w:rsidP="00A46CBB">
            <w:pPr>
              <w:pStyle w:val="TableText"/>
              <w:spacing w:before="0" w:after="0"/>
              <w:rPr>
                <w:rFonts w:cs="Segoe UI"/>
                <w:sz w:val="20"/>
                <w:lang w:eastAsia="en-GB"/>
              </w:rPr>
            </w:pPr>
          </w:p>
        </w:tc>
        <w:tc>
          <w:tcPr>
            <w:tcW w:w="4762" w:type="dxa"/>
            <w:tcBorders>
              <w:top w:val="single" w:sz="4" w:space="0" w:color="auto"/>
              <w:left w:val="single" w:sz="12" w:space="0" w:color="auto"/>
              <w:bottom w:val="single" w:sz="4" w:space="0" w:color="auto"/>
              <w:right w:val="single" w:sz="12" w:space="0" w:color="auto"/>
            </w:tcBorders>
            <w:shd w:val="clear" w:color="auto" w:fill="auto"/>
          </w:tcPr>
          <w:p w14:paraId="7232D339" w14:textId="2F93D3E8" w:rsidR="003A6273" w:rsidRPr="00A46CBB" w:rsidRDefault="003A6273" w:rsidP="00A46CBB">
            <w:pPr>
              <w:pStyle w:val="TableText"/>
              <w:spacing w:before="0" w:after="0"/>
              <w:rPr>
                <w:rFonts w:cs="Segoe UI"/>
                <w:sz w:val="20"/>
                <w:lang w:eastAsia="en-GB"/>
              </w:rPr>
            </w:pPr>
            <w:r w:rsidRPr="00377E2C">
              <w:rPr>
                <w:rFonts w:cs="Segoe UI"/>
                <w:color w:val="000000"/>
                <w:sz w:val="20"/>
              </w:rPr>
              <w:t xml:space="preserve">Template CVA3 : CVA risk under standardized CVA approach </w:t>
            </w:r>
          </w:p>
        </w:tc>
        <w:tc>
          <w:tcPr>
            <w:tcW w:w="1624" w:type="dxa"/>
            <w:tcBorders>
              <w:top w:val="single" w:sz="4" w:space="0" w:color="auto"/>
              <w:left w:val="single" w:sz="12" w:space="0" w:color="auto"/>
              <w:bottom w:val="single" w:sz="4" w:space="0" w:color="auto"/>
              <w:right w:val="single" w:sz="12" w:space="0" w:color="auto"/>
            </w:tcBorders>
            <w:shd w:val="clear" w:color="auto" w:fill="auto"/>
          </w:tcPr>
          <w:p w14:paraId="41D721D6" w14:textId="7419AA28" w:rsidR="003A6273" w:rsidRPr="005C1F1D" w:rsidRDefault="003A6273" w:rsidP="0029427F">
            <w:pPr>
              <w:pStyle w:val="TableText"/>
              <w:spacing w:before="0" w:after="0"/>
              <w:jc w:val="center"/>
              <w:rPr>
                <w:rFonts w:cs="Segoe UI"/>
                <w:noProof/>
                <w:sz w:val="20"/>
                <w:lang w:eastAsia="en-GB"/>
              </w:rPr>
            </w:pPr>
            <w:r w:rsidRPr="005B5690">
              <w:rPr>
                <w:rFonts w:cs="Segoe UI"/>
                <w:color w:val="000000"/>
                <w:sz w:val="20"/>
              </w:rPr>
              <w:t>L</w:t>
            </w:r>
            <w:r>
              <w:rPr>
                <w:rFonts w:cs="Segoe UI"/>
                <w:color w:val="000000"/>
                <w:sz w:val="20"/>
              </w:rPr>
              <w:t xml:space="preserve"> </w:t>
            </w:r>
            <w:r w:rsidRPr="005C1F1D">
              <w:rPr>
                <w:rFonts w:cs="Segoe UI"/>
                <w:noProof/>
                <w:sz w:val="20"/>
                <w:lang w:eastAsia="en-GB"/>
              </w:rPr>
              <w:t>[</w:t>
            </w:r>
            <w:r w:rsidRPr="005C1F1D">
              <w:rPr>
                <w:rFonts w:cs="Segoe UI"/>
                <w:color w:val="000000"/>
                <w:sz w:val="20"/>
              </w:rPr>
              <w:t>standardized CVA</w:t>
            </w:r>
            <w:r w:rsidRPr="00333A3D">
              <w:rPr>
                <w:rFonts w:cs="Segoe UI"/>
                <w:color w:val="000000"/>
                <w:sz w:val="20"/>
              </w:rPr>
              <w:t>]</w:t>
            </w:r>
          </w:p>
        </w:tc>
        <w:tc>
          <w:tcPr>
            <w:tcW w:w="1244" w:type="dxa"/>
            <w:tcBorders>
              <w:top w:val="single" w:sz="4" w:space="0" w:color="auto"/>
              <w:left w:val="single" w:sz="12" w:space="0" w:color="auto"/>
              <w:bottom w:val="single" w:sz="4" w:space="0" w:color="auto"/>
            </w:tcBorders>
            <w:shd w:val="clear" w:color="auto" w:fill="auto"/>
          </w:tcPr>
          <w:p w14:paraId="7539E91A" w14:textId="29D2164D" w:rsidR="003A6273" w:rsidRDefault="003A6273" w:rsidP="00A46CBB">
            <w:pPr>
              <w:pStyle w:val="TableText"/>
              <w:spacing w:before="0" w:after="0"/>
              <w:jc w:val="center"/>
              <w:rPr>
                <w:rFonts w:cs="Segoe UI"/>
                <w:sz w:val="20"/>
                <w:lang w:eastAsia="en-GB"/>
              </w:rPr>
            </w:pPr>
            <w:r>
              <w:rPr>
                <w:rFonts w:ascii="Wingdings 2" w:hAnsi="Wingdings 2" w:cs="Calibri"/>
                <w:color w:val="000000"/>
              </w:rPr>
              <w:t></w:t>
            </w:r>
          </w:p>
        </w:tc>
        <w:tc>
          <w:tcPr>
            <w:tcW w:w="1134" w:type="dxa"/>
            <w:tcBorders>
              <w:top w:val="single" w:sz="4" w:space="0" w:color="auto"/>
              <w:bottom w:val="single" w:sz="4" w:space="0" w:color="auto"/>
              <w:right w:val="single" w:sz="12" w:space="0" w:color="auto"/>
            </w:tcBorders>
            <w:shd w:val="clear" w:color="auto" w:fill="auto"/>
          </w:tcPr>
          <w:p w14:paraId="49B08CE5" w14:textId="77777777" w:rsidR="003A6273" w:rsidRDefault="003A6273" w:rsidP="00A46CBB">
            <w:pPr>
              <w:pStyle w:val="TableText"/>
              <w:spacing w:before="0" w:after="0"/>
              <w:jc w:val="center"/>
              <w:rPr>
                <w:rFonts w:cs="Segoe UI"/>
                <w:sz w:val="20"/>
                <w:lang w:eastAsia="en-GB"/>
              </w:rPr>
            </w:pPr>
          </w:p>
        </w:tc>
        <w:tc>
          <w:tcPr>
            <w:tcW w:w="1134" w:type="dxa"/>
            <w:tcBorders>
              <w:top w:val="single" w:sz="4" w:space="0" w:color="auto"/>
              <w:left w:val="single" w:sz="12" w:space="0" w:color="auto"/>
              <w:bottom w:val="single" w:sz="4" w:space="0" w:color="auto"/>
            </w:tcBorders>
            <w:shd w:val="clear" w:color="auto" w:fill="auto"/>
          </w:tcPr>
          <w:p w14:paraId="151A102D" w14:textId="77777777" w:rsidR="003A6273" w:rsidRDefault="003A6273" w:rsidP="00A46CBB">
            <w:pPr>
              <w:pStyle w:val="TableText"/>
              <w:spacing w:before="0" w:after="0"/>
              <w:jc w:val="center"/>
              <w:rPr>
                <w:rFonts w:cs="Segoe UI"/>
                <w:sz w:val="20"/>
                <w:lang w:eastAsia="en-GB"/>
              </w:rPr>
            </w:pPr>
          </w:p>
        </w:tc>
        <w:tc>
          <w:tcPr>
            <w:tcW w:w="1276" w:type="dxa"/>
            <w:tcBorders>
              <w:top w:val="single" w:sz="4" w:space="0" w:color="auto"/>
              <w:bottom w:val="single" w:sz="4" w:space="0" w:color="auto"/>
            </w:tcBorders>
            <w:shd w:val="clear" w:color="auto" w:fill="auto"/>
          </w:tcPr>
          <w:p w14:paraId="23EB3FCD" w14:textId="7BAE4663" w:rsidR="003A6273" w:rsidRDefault="003A6273" w:rsidP="00A46CBB">
            <w:pPr>
              <w:pStyle w:val="TableText"/>
              <w:spacing w:before="0" w:after="0"/>
              <w:jc w:val="center"/>
              <w:rPr>
                <w:rFonts w:cs="Segoe UI"/>
                <w:sz w:val="20"/>
                <w:lang w:eastAsia="en-GB"/>
              </w:rPr>
            </w:pPr>
            <w:r>
              <w:rPr>
                <w:rFonts w:ascii="Wingdings 2" w:hAnsi="Wingdings 2" w:cs="Calibri"/>
                <w:color w:val="000000"/>
              </w:rPr>
              <w:t></w:t>
            </w:r>
          </w:p>
        </w:tc>
        <w:tc>
          <w:tcPr>
            <w:tcW w:w="1101" w:type="dxa"/>
            <w:tcBorders>
              <w:top w:val="single" w:sz="4" w:space="0" w:color="auto"/>
              <w:bottom w:val="single" w:sz="4" w:space="0" w:color="auto"/>
              <w:right w:val="single" w:sz="12" w:space="0" w:color="auto"/>
            </w:tcBorders>
            <w:shd w:val="clear" w:color="auto" w:fill="auto"/>
          </w:tcPr>
          <w:p w14:paraId="12FB70D2" w14:textId="77777777" w:rsidR="003A6273" w:rsidRDefault="003A6273" w:rsidP="00A46CBB">
            <w:pPr>
              <w:pStyle w:val="TableText"/>
              <w:spacing w:before="0" w:after="0"/>
              <w:jc w:val="center"/>
              <w:rPr>
                <w:rFonts w:cs="Segoe UI"/>
                <w:sz w:val="20"/>
                <w:lang w:eastAsia="en-GB"/>
              </w:rPr>
            </w:pPr>
          </w:p>
        </w:tc>
      </w:tr>
      <w:tr w:rsidR="003A6273" w14:paraId="57868C6E" w14:textId="77777777" w:rsidTr="00846F9E">
        <w:trPr>
          <w:cantSplit/>
          <w:trHeight w:val="283"/>
        </w:trPr>
        <w:tc>
          <w:tcPr>
            <w:tcW w:w="2154" w:type="dxa"/>
            <w:vMerge/>
            <w:tcBorders>
              <w:left w:val="nil"/>
              <w:bottom w:val="single" w:sz="12" w:space="0" w:color="auto"/>
              <w:right w:val="single" w:sz="12" w:space="0" w:color="auto"/>
            </w:tcBorders>
            <w:shd w:val="clear" w:color="auto" w:fill="auto"/>
          </w:tcPr>
          <w:p w14:paraId="3CED72A2" w14:textId="77777777" w:rsidR="003A6273" w:rsidRDefault="003A6273" w:rsidP="00A46CBB">
            <w:pPr>
              <w:pStyle w:val="TableText"/>
              <w:spacing w:before="0" w:after="0"/>
              <w:rPr>
                <w:rFonts w:cs="Segoe UI"/>
                <w:sz w:val="20"/>
                <w:lang w:eastAsia="en-GB"/>
              </w:rPr>
            </w:pPr>
          </w:p>
        </w:tc>
        <w:tc>
          <w:tcPr>
            <w:tcW w:w="4762" w:type="dxa"/>
            <w:tcBorders>
              <w:top w:val="single" w:sz="4" w:space="0" w:color="auto"/>
              <w:left w:val="single" w:sz="12" w:space="0" w:color="auto"/>
              <w:right w:val="single" w:sz="12" w:space="0" w:color="auto"/>
            </w:tcBorders>
            <w:shd w:val="clear" w:color="auto" w:fill="auto"/>
          </w:tcPr>
          <w:p w14:paraId="7C537C9A" w14:textId="19421237" w:rsidR="003A6273" w:rsidRPr="00A46CBB" w:rsidRDefault="003A6273" w:rsidP="00A46CBB">
            <w:pPr>
              <w:pStyle w:val="TableText"/>
              <w:spacing w:before="0" w:after="0"/>
              <w:rPr>
                <w:rFonts w:cs="Segoe UI"/>
                <w:sz w:val="20"/>
                <w:lang w:eastAsia="en-GB"/>
              </w:rPr>
            </w:pPr>
            <w:r w:rsidRPr="00377E2C">
              <w:rPr>
                <w:rFonts w:cs="Segoe UI"/>
                <w:color w:val="000000"/>
                <w:sz w:val="20"/>
              </w:rPr>
              <w:t>Template CVA4 : RWA flow statements of CVA risk exposures under standardized CVA approach</w:t>
            </w:r>
          </w:p>
        </w:tc>
        <w:tc>
          <w:tcPr>
            <w:tcW w:w="1624" w:type="dxa"/>
            <w:tcBorders>
              <w:top w:val="single" w:sz="4" w:space="0" w:color="auto"/>
              <w:left w:val="single" w:sz="12" w:space="0" w:color="auto"/>
              <w:right w:val="single" w:sz="12" w:space="0" w:color="auto"/>
            </w:tcBorders>
            <w:shd w:val="clear" w:color="auto" w:fill="auto"/>
          </w:tcPr>
          <w:p w14:paraId="142A5B8E" w14:textId="067CA78B" w:rsidR="003A6273" w:rsidRPr="005C1F1D" w:rsidRDefault="003A6273" w:rsidP="0029427F">
            <w:pPr>
              <w:pStyle w:val="TableText"/>
              <w:spacing w:before="0" w:after="0"/>
              <w:jc w:val="center"/>
              <w:rPr>
                <w:rFonts w:cs="Segoe UI"/>
                <w:noProof/>
                <w:sz w:val="20"/>
                <w:lang w:eastAsia="en-GB"/>
              </w:rPr>
            </w:pPr>
            <w:r w:rsidRPr="005B5690">
              <w:rPr>
                <w:rFonts w:cs="Segoe UI"/>
                <w:color w:val="000000"/>
                <w:sz w:val="20"/>
              </w:rPr>
              <w:t>L</w:t>
            </w:r>
            <w:r>
              <w:rPr>
                <w:rFonts w:cs="Segoe UI"/>
                <w:color w:val="000000"/>
                <w:sz w:val="20"/>
              </w:rPr>
              <w:t xml:space="preserve"> </w:t>
            </w:r>
            <w:r w:rsidRPr="005C1F1D">
              <w:rPr>
                <w:rFonts w:cs="Segoe UI"/>
                <w:noProof/>
                <w:sz w:val="20"/>
                <w:lang w:eastAsia="en-GB"/>
              </w:rPr>
              <w:t>[</w:t>
            </w:r>
            <w:r w:rsidRPr="005C1F1D">
              <w:rPr>
                <w:rFonts w:cs="Segoe UI"/>
                <w:color w:val="000000"/>
                <w:sz w:val="20"/>
              </w:rPr>
              <w:t>standardized CVA</w:t>
            </w:r>
            <w:r w:rsidRPr="00333A3D">
              <w:rPr>
                <w:rFonts w:cs="Segoe UI"/>
                <w:color w:val="000000"/>
                <w:sz w:val="20"/>
              </w:rPr>
              <w:t>]</w:t>
            </w:r>
          </w:p>
        </w:tc>
        <w:tc>
          <w:tcPr>
            <w:tcW w:w="1244" w:type="dxa"/>
            <w:tcBorders>
              <w:top w:val="single" w:sz="4" w:space="0" w:color="auto"/>
              <w:left w:val="single" w:sz="12" w:space="0" w:color="auto"/>
            </w:tcBorders>
            <w:shd w:val="clear" w:color="auto" w:fill="auto"/>
          </w:tcPr>
          <w:p w14:paraId="380712AE" w14:textId="1333C165" w:rsidR="003A6273" w:rsidRDefault="003A6273" w:rsidP="00A46CBB">
            <w:pPr>
              <w:pStyle w:val="TableText"/>
              <w:spacing w:before="0" w:after="0"/>
              <w:jc w:val="center"/>
              <w:rPr>
                <w:rFonts w:cs="Segoe UI"/>
                <w:sz w:val="20"/>
                <w:lang w:eastAsia="en-GB"/>
              </w:rPr>
            </w:pPr>
            <w:r>
              <w:rPr>
                <w:rFonts w:ascii="Wingdings 2" w:hAnsi="Wingdings 2" w:cs="Calibri"/>
                <w:color w:val="000000"/>
              </w:rPr>
              <w:t></w:t>
            </w:r>
          </w:p>
        </w:tc>
        <w:tc>
          <w:tcPr>
            <w:tcW w:w="1134" w:type="dxa"/>
            <w:tcBorders>
              <w:top w:val="single" w:sz="4" w:space="0" w:color="auto"/>
              <w:right w:val="single" w:sz="12" w:space="0" w:color="auto"/>
            </w:tcBorders>
            <w:shd w:val="clear" w:color="auto" w:fill="auto"/>
          </w:tcPr>
          <w:p w14:paraId="02646A9E" w14:textId="77777777" w:rsidR="003A6273" w:rsidRDefault="003A6273" w:rsidP="00A46CBB">
            <w:pPr>
              <w:pStyle w:val="TableText"/>
              <w:spacing w:before="0" w:after="0"/>
              <w:jc w:val="center"/>
              <w:rPr>
                <w:rFonts w:cs="Segoe UI"/>
                <w:sz w:val="20"/>
                <w:lang w:eastAsia="en-GB"/>
              </w:rPr>
            </w:pPr>
          </w:p>
        </w:tc>
        <w:tc>
          <w:tcPr>
            <w:tcW w:w="1134" w:type="dxa"/>
            <w:tcBorders>
              <w:top w:val="single" w:sz="4" w:space="0" w:color="auto"/>
              <w:left w:val="single" w:sz="12" w:space="0" w:color="auto"/>
            </w:tcBorders>
            <w:shd w:val="clear" w:color="auto" w:fill="auto"/>
          </w:tcPr>
          <w:p w14:paraId="615AD4DC" w14:textId="438EE89A" w:rsidR="003A6273" w:rsidRDefault="003A6273" w:rsidP="00A46CBB">
            <w:pPr>
              <w:pStyle w:val="TableText"/>
              <w:spacing w:before="0" w:after="0"/>
              <w:jc w:val="center"/>
              <w:rPr>
                <w:rFonts w:cs="Segoe UI"/>
                <w:sz w:val="20"/>
                <w:lang w:eastAsia="en-GB"/>
              </w:rPr>
            </w:pPr>
            <w:r>
              <w:rPr>
                <w:rFonts w:ascii="Wingdings 2" w:hAnsi="Wingdings 2" w:cs="Calibri"/>
                <w:color w:val="000000"/>
              </w:rPr>
              <w:t></w:t>
            </w:r>
          </w:p>
        </w:tc>
        <w:tc>
          <w:tcPr>
            <w:tcW w:w="1276" w:type="dxa"/>
            <w:tcBorders>
              <w:top w:val="single" w:sz="4" w:space="0" w:color="auto"/>
            </w:tcBorders>
            <w:shd w:val="clear" w:color="auto" w:fill="auto"/>
          </w:tcPr>
          <w:p w14:paraId="74A4F53B" w14:textId="77777777" w:rsidR="003A6273" w:rsidRDefault="003A6273" w:rsidP="00A46CBB">
            <w:pPr>
              <w:pStyle w:val="TableText"/>
              <w:spacing w:before="0" w:after="0"/>
              <w:jc w:val="center"/>
              <w:rPr>
                <w:rFonts w:cs="Segoe UI"/>
                <w:sz w:val="20"/>
                <w:lang w:eastAsia="en-GB"/>
              </w:rPr>
            </w:pPr>
          </w:p>
        </w:tc>
        <w:tc>
          <w:tcPr>
            <w:tcW w:w="1101" w:type="dxa"/>
            <w:tcBorders>
              <w:top w:val="single" w:sz="4" w:space="0" w:color="auto"/>
              <w:right w:val="single" w:sz="12" w:space="0" w:color="auto"/>
            </w:tcBorders>
            <w:shd w:val="clear" w:color="auto" w:fill="auto"/>
          </w:tcPr>
          <w:p w14:paraId="7760CC32" w14:textId="77777777" w:rsidR="003A6273" w:rsidRDefault="003A6273" w:rsidP="00A46CBB">
            <w:pPr>
              <w:pStyle w:val="TableText"/>
              <w:spacing w:before="0" w:after="0"/>
              <w:jc w:val="center"/>
              <w:rPr>
                <w:rFonts w:cs="Segoe UI"/>
                <w:sz w:val="20"/>
                <w:lang w:eastAsia="en-GB"/>
              </w:rPr>
            </w:pPr>
          </w:p>
        </w:tc>
      </w:tr>
      <w:tr w:rsidR="003A6273" w14:paraId="1B809D86" w14:textId="77777777" w:rsidTr="00433A54">
        <w:trPr>
          <w:cantSplit/>
          <w:trHeight w:val="283"/>
        </w:trPr>
        <w:tc>
          <w:tcPr>
            <w:tcW w:w="2154" w:type="dxa"/>
            <w:vMerge w:val="restart"/>
            <w:tcBorders>
              <w:top w:val="single" w:sz="12" w:space="0" w:color="auto"/>
              <w:left w:val="nil"/>
              <w:bottom w:val="single" w:sz="12" w:space="0" w:color="auto"/>
              <w:right w:val="single" w:sz="12" w:space="0" w:color="auto"/>
            </w:tcBorders>
            <w:shd w:val="clear" w:color="auto" w:fill="auto"/>
          </w:tcPr>
          <w:p w14:paraId="5416C07E" w14:textId="77777777" w:rsidR="003A6273" w:rsidRDefault="003A6273" w:rsidP="00C639E1">
            <w:pPr>
              <w:pStyle w:val="TableText"/>
              <w:spacing w:before="0" w:after="0"/>
              <w:rPr>
                <w:rFonts w:cs="Segoe UI"/>
                <w:sz w:val="20"/>
                <w:lang w:eastAsia="en-GB"/>
              </w:rPr>
            </w:pPr>
            <w:r>
              <w:rPr>
                <w:rFonts w:cs="Segoe UI"/>
                <w:sz w:val="20"/>
                <w:lang w:eastAsia="en-GB"/>
              </w:rPr>
              <w:t>Part V : Securitization exposures</w:t>
            </w:r>
          </w:p>
        </w:tc>
        <w:tc>
          <w:tcPr>
            <w:tcW w:w="4762" w:type="dxa"/>
            <w:tcBorders>
              <w:top w:val="single" w:sz="12" w:space="0" w:color="auto"/>
              <w:left w:val="single" w:sz="12" w:space="0" w:color="auto"/>
              <w:right w:val="single" w:sz="12" w:space="0" w:color="auto"/>
            </w:tcBorders>
            <w:shd w:val="clear" w:color="auto" w:fill="auto"/>
          </w:tcPr>
          <w:p w14:paraId="07E378FE" w14:textId="77777777" w:rsidR="003A6273" w:rsidRDefault="003A6273" w:rsidP="00C639E1">
            <w:pPr>
              <w:pStyle w:val="TableText"/>
              <w:spacing w:before="0" w:after="0"/>
              <w:rPr>
                <w:rFonts w:cs="Segoe UI"/>
                <w:sz w:val="20"/>
                <w:lang w:eastAsia="en-GB"/>
              </w:rPr>
            </w:pPr>
            <w:r>
              <w:rPr>
                <w:rFonts w:cs="Segoe UI"/>
                <w:sz w:val="20"/>
                <w:lang w:eastAsia="en-GB"/>
              </w:rPr>
              <w:t>Table SECA: Qualitative disclosures related to securitization exposures</w:t>
            </w:r>
          </w:p>
        </w:tc>
        <w:tc>
          <w:tcPr>
            <w:tcW w:w="1624" w:type="dxa"/>
            <w:tcBorders>
              <w:top w:val="single" w:sz="12" w:space="0" w:color="auto"/>
              <w:left w:val="single" w:sz="12" w:space="0" w:color="auto"/>
              <w:right w:val="single" w:sz="12" w:space="0" w:color="auto"/>
            </w:tcBorders>
            <w:shd w:val="clear" w:color="auto" w:fill="auto"/>
          </w:tcPr>
          <w:p w14:paraId="313609F9" w14:textId="77777777" w:rsidR="003A6273" w:rsidRDefault="003A6273" w:rsidP="00C639E1">
            <w:pPr>
              <w:pStyle w:val="TableText"/>
              <w:spacing w:before="0" w:after="0"/>
              <w:jc w:val="center"/>
              <w:rPr>
                <w:rFonts w:cs="Segoe UI"/>
                <w:sz w:val="20"/>
                <w:lang w:eastAsia="en-GB"/>
              </w:rPr>
            </w:pPr>
            <w:r w:rsidRPr="003936F9">
              <w:rPr>
                <w:rFonts w:cs="Segoe UI" w:hint="eastAsia"/>
                <w:noProof/>
                <w:sz w:val="20"/>
                <w:lang w:eastAsia="en-GB"/>
              </w:rPr>
              <w:t>L</w:t>
            </w:r>
          </w:p>
        </w:tc>
        <w:tc>
          <w:tcPr>
            <w:tcW w:w="1244" w:type="dxa"/>
            <w:tcBorders>
              <w:top w:val="single" w:sz="12" w:space="0" w:color="auto"/>
              <w:left w:val="single" w:sz="12" w:space="0" w:color="auto"/>
            </w:tcBorders>
            <w:shd w:val="clear" w:color="auto" w:fill="auto"/>
          </w:tcPr>
          <w:p w14:paraId="01295693" w14:textId="77777777" w:rsidR="003A6273" w:rsidRDefault="003A6273" w:rsidP="00C639E1">
            <w:pPr>
              <w:pStyle w:val="TableText"/>
              <w:spacing w:before="0" w:after="0"/>
              <w:jc w:val="center"/>
              <w:rPr>
                <w:rFonts w:cs="Segoe UI"/>
                <w:sz w:val="20"/>
                <w:lang w:eastAsia="en-GB"/>
              </w:rPr>
            </w:pPr>
          </w:p>
        </w:tc>
        <w:tc>
          <w:tcPr>
            <w:tcW w:w="1134" w:type="dxa"/>
            <w:tcBorders>
              <w:top w:val="single" w:sz="12" w:space="0" w:color="auto"/>
              <w:right w:val="single" w:sz="12" w:space="0" w:color="auto"/>
            </w:tcBorders>
            <w:shd w:val="clear" w:color="auto" w:fill="auto"/>
          </w:tcPr>
          <w:p w14:paraId="29EAF2F6"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134" w:type="dxa"/>
            <w:tcBorders>
              <w:top w:val="single" w:sz="12" w:space="0" w:color="auto"/>
              <w:left w:val="single" w:sz="12" w:space="0" w:color="auto"/>
            </w:tcBorders>
            <w:shd w:val="clear" w:color="auto" w:fill="auto"/>
          </w:tcPr>
          <w:p w14:paraId="35778BA1" w14:textId="77777777" w:rsidR="003A6273" w:rsidRDefault="003A6273" w:rsidP="00C639E1">
            <w:pPr>
              <w:pStyle w:val="TableText"/>
              <w:spacing w:before="0" w:after="0"/>
              <w:jc w:val="center"/>
              <w:rPr>
                <w:rFonts w:cs="Segoe UI"/>
                <w:sz w:val="20"/>
                <w:lang w:eastAsia="en-GB"/>
              </w:rPr>
            </w:pPr>
          </w:p>
        </w:tc>
        <w:tc>
          <w:tcPr>
            <w:tcW w:w="1276" w:type="dxa"/>
            <w:tcBorders>
              <w:top w:val="single" w:sz="12" w:space="0" w:color="auto"/>
            </w:tcBorders>
            <w:shd w:val="clear" w:color="auto" w:fill="auto"/>
          </w:tcPr>
          <w:p w14:paraId="463470AC" w14:textId="77777777" w:rsidR="003A6273" w:rsidRDefault="003A6273" w:rsidP="00C639E1">
            <w:pPr>
              <w:pStyle w:val="TableText"/>
              <w:spacing w:before="0" w:after="0"/>
              <w:jc w:val="center"/>
              <w:rPr>
                <w:rFonts w:cs="Segoe UI"/>
                <w:sz w:val="20"/>
                <w:lang w:eastAsia="en-GB"/>
              </w:rPr>
            </w:pPr>
          </w:p>
        </w:tc>
        <w:tc>
          <w:tcPr>
            <w:tcW w:w="1101" w:type="dxa"/>
            <w:tcBorders>
              <w:top w:val="single" w:sz="12" w:space="0" w:color="auto"/>
              <w:right w:val="single" w:sz="12" w:space="0" w:color="auto"/>
            </w:tcBorders>
            <w:shd w:val="clear" w:color="auto" w:fill="auto"/>
          </w:tcPr>
          <w:p w14:paraId="64D35C16"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r>
      <w:tr w:rsidR="003A6273" w14:paraId="5F0D0E3D" w14:textId="77777777" w:rsidTr="00C3378F">
        <w:trPr>
          <w:cantSplit/>
          <w:trHeight w:val="283"/>
        </w:trPr>
        <w:tc>
          <w:tcPr>
            <w:tcW w:w="2154" w:type="dxa"/>
            <w:vMerge/>
            <w:tcBorders>
              <w:left w:val="nil"/>
              <w:bottom w:val="single" w:sz="12" w:space="0" w:color="auto"/>
              <w:right w:val="single" w:sz="12" w:space="0" w:color="auto"/>
            </w:tcBorders>
            <w:shd w:val="clear" w:color="auto" w:fill="auto"/>
          </w:tcPr>
          <w:p w14:paraId="3027D5E1"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right w:val="single" w:sz="12" w:space="0" w:color="auto"/>
            </w:tcBorders>
            <w:shd w:val="clear" w:color="auto" w:fill="auto"/>
          </w:tcPr>
          <w:p w14:paraId="0344D50F" w14:textId="77777777" w:rsidR="003A6273" w:rsidRDefault="003A6273" w:rsidP="00C639E1">
            <w:pPr>
              <w:pStyle w:val="TableText"/>
              <w:spacing w:before="0" w:after="0"/>
              <w:rPr>
                <w:rFonts w:cs="Segoe UI"/>
                <w:sz w:val="20"/>
                <w:lang w:eastAsia="en-GB"/>
              </w:rPr>
            </w:pPr>
            <w:r>
              <w:rPr>
                <w:rFonts w:cs="Segoe UI"/>
                <w:sz w:val="20"/>
                <w:lang w:eastAsia="en-GB"/>
              </w:rPr>
              <w:t>Template SEC1: Securitization exposures in banking book</w:t>
            </w:r>
          </w:p>
        </w:tc>
        <w:tc>
          <w:tcPr>
            <w:tcW w:w="1624" w:type="dxa"/>
            <w:tcBorders>
              <w:left w:val="single" w:sz="12" w:space="0" w:color="auto"/>
              <w:right w:val="single" w:sz="12" w:space="0" w:color="auto"/>
            </w:tcBorders>
            <w:shd w:val="clear" w:color="auto" w:fill="auto"/>
          </w:tcPr>
          <w:p w14:paraId="761B4E28" w14:textId="77777777" w:rsidR="003A6273" w:rsidRDefault="003A6273" w:rsidP="00C639E1">
            <w:pPr>
              <w:pStyle w:val="TableText"/>
              <w:spacing w:before="0" w:after="0"/>
              <w:jc w:val="center"/>
              <w:rPr>
                <w:rFonts w:cs="Segoe UI"/>
                <w:sz w:val="20"/>
                <w:lang w:eastAsia="en-GB"/>
              </w:rPr>
            </w:pPr>
            <w:r w:rsidRPr="003936F9">
              <w:rPr>
                <w:rFonts w:cs="Segoe UI" w:hint="eastAsia"/>
                <w:noProof/>
                <w:sz w:val="20"/>
                <w:lang w:eastAsia="en-GB"/>
              </w:rPr>
              <w:t>L</w:t>
            </w:r>
          </w:p>
        </w:tc>
        <w:tc>
          <w:tcPr>
            <w:tcW w:w="1244" w:type="dxa"/>
            <w:tcBorders>
              <w:left w:val="single" w:sz="12" w:space="0" w:color="auto"/>
            </w:tcBorders>
            <w:shd w:val="clear" w:color="auto" w:fill="auto"/>
          </w:tcPr>
          <w:p w14:paraId="10923F9A" w14:textId="77777777" w:rsidR="003A6273" w:rsidRDefault="003A6273" w:rsidP="00C639E1">
            <w:pPr>
              <w:pStyle w:val="TableText"/>
              <w:spacing w:before="0" w:after="0"/>
              <w:jc w:val="center"/>
              <w:rPr>
                <w:rFonts w:cs="Segoe UI"/>
                <w:sz w:val="20"/>
                <w:lang w:eastAsia="en-GB"/>
              </w:rPr>
            </w:pPr>
          </w:p>
        </w:tc>
        <w:tc>
          <w:tcPr>
            <w:tcW w:w="1134" w:type="dxa"/>
            <w:tcBorders>
              <w:right w:val="single" w:sz="12" w:space="0" w:color="auto"/>
            </w:tcBorders>
            <w:shd w:val="clear" w:color="auto" w:fill="auto"/>
          </w:tcPr>
          <w:p w14:paraId="559EB882"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134" w:type="dxa"/>
            <w:tcBorders>
              <w:left w:val="single" w:sz="12" w:space="0" w:color="auto"/>
            </w:tcBorders>
            <w:shd w:val="clear" w:color="auto" w:fill="auto"/>
          </w:tcPr>
          <w:p w14:paraId="45192A98" w14:textId="77777777" w:rsidR="003A6273" w:rsidRDefault="003A6273" w:rsidP="00C639E1">
            <w:pPr>
              <w:pStyle w:val="TableText"/>
              <w:spacing w:before="0" w:after="0"/>
              <w:jc w:val="center"/>
              <w:rPr>
                <w:rFonts w:cs="Segoe UI"/>
                <w:sz w:val="20"/>
                <w:lang w:eastAsia="en-GB"/>
              </w:rPr>
            </w:pPr>
          </w:p>
        </w:tc>
        <w:tc>
          <w:tcPr>
            <w:tcW w:w="1276" w:type="dxa"/>
            <w:shd w:val="clear" w:color="auto" w:fill="auto"/>
          </w:tcPr>
          <w:p w14:paraId="7183DB1D"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101" w:type="dxa"/>
            <w:tcBorders>
              <w:right w:val="single" w:sz="12" w:space="0" w:color="auto"/>
            </w:tcBorders>
            <w:shd w:val="clear" w:color="auto" w:fill="auto"/>
          </w:tcPr>
          <w:p w14:paraId="6A79D5D4" w14:textId="77777777" w:rsidR="003A6273" w:rsidRDefault="003A6273" w:rsidP="00C639E1">
            <w:pPr>
              <w:pStyle w:val="TableText"/>
              <w:spacing w:before="0" w:after="0"/>
              <w:jc w:val="center"/>
              <w:rPr>
                <w:rFonts w:cs="Segoe UI"/>
                <w:sz w:val="20"/>
                <w:lang w:eastAsia="en-GB"/>
              </w:rPr>
            </w:pPr>
          </w:p>
        </w:tc>
      </w:tr>
      <w:tr w:rsidR="003A6273" w14:paraId="55C620D2" w14:textId="77777777" w:rsidTr="00C3378F">
        <w:trPr>
          <w:cantSplit/>
          <w:trHeight w:val="283"/>
        </w:trPr>
        <w:tc>
          <w:tcPr>
            <w:tcW w:w="2154" w:type="dxa"/>
            <w:vMerge/>
            <w:tcBorders>
              <w:left w:val="nil"/>
              <w:bottom w:val="single" w:sz="12" w:space="0" w:color="auto"/>
              <w:right w:val="single" w:sz="12" w:space="0" w:color="auto"/>
            </w:tcBorders>
            <w:shd w:val="clear" w:color="auto" w:fill="auto"/>
          </w:tcPr>
          <w:p w14:paraId="12E82D67"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bottom w:val="single" w:sz="4" w:space="0" w:color="auto"/>
              <w:right w:val="single" w:sz="12" w:space="0" w:color="auto"/>
            </w:tcBorders>
            <w:shd w:val="clear" w:color="auto" w:fill="auto"/>
          </w:tcPr>
          <w:p w14:paraId="702289D4" w14:textId="77777777" w:rsidR="003A6273" w:rsidRDefault="003A6273" w:rsidP="00C639E1">
            <w:pPr>
              <w:pStyle w:val="TableText"/>
              <w:spacing w:before="0" w:after="0"/>
              <w:rPr>
                <w:rFonts w:cs="Segoe UI"/>
                <w:sz w:val="20"/>
                <w:lang w:eastAsia="en-GB"/>
              </w:rPr>
            </w:pPr>
            <w:r>
              <w:rPr>
                <w:rFonts w:cs="Segoe UI"/>
                <w:sz w:val="20"/>
                <w:lang w:eastAsia="en-GB"/>
              </w:rPr>
              <w:t>Template SEC2: Securitization exposures in trading book</w:t>
            </w:r>
          </w:p>
        </w:tc>
        <w:tc>
          <w:tcPr>
            <w:tcW w:w="1624" w:type="dxa"/>
            <w:tcBorders>
              <w:left w:val="single" w:sz="12" w:space="0" w:color="auto"/>
              <w:bottom w:val="single" w:sz="4" w:space="0" w:color="auto"/>
              <w:right w:val="single" w:sz="12" w:space="0" w:color="auto"/>
            </w:tcBorders>
            <w:shd w:val="clear" w:color="auto" w:fill="auto"/>
          </w:tcPr>
          <w:p w14:paraId="5E63D456" w14:textId="77777777" w:rsidR="003A6273" w:rsidRDefault="003A6273" w:rsidP="00C639E1">
            <w:pPr>
              <w:pStyle w:val="TableText"/>
              <w:spacing w:before="0" w:after="0"/>
              <w:jc w:val="center"/>
              <w:rPr>
                <w:rFonts w:cs="Segoe UI"/>
                <w:sz w:val="20"/>
                <w:lang w:eastAsia="en-GB"/>
              </w:rPr>
            </w:pPr>
            <w:r w:rsidRPr="003936F9">
              <w:rPr>
                <w:rFonts w:cs="Segoe UI" w:hint="eastAsia"/>
                <w:noProof/>
                <w:sz w:val="20"/>
                <w:lang w:eastAsia="en-GB"/>
              </w:rPr>
              <w:t>L</w:t>
            </w:r>
          </w:p>
        </w:tc>
        <w:tc>
          <w:tcPr>
            <w:tcW w:w="1244" w:type="dxa"/>
            <w:tcBorders>
              <w:left w:val="single" w:sz="12" w:space="0" w:color="auto"/>
              <w:bottom w:val="single" w:sz="4" w:space="0" w:color="auto"/>
            </w:tcBorders>
            <w:shd w:val="clear" w:color="auto" w:fill="auto"/>
          </w:tcPr>
          <w:p w14:paraId="36D5D4DD" w14:textId="77777777" w:rsidR="003A6273" w:rsidRDefault="003A6273" w:rsidP="00C639E1">
            <w:pPr>
              <w:pStyle w:val="TableText"/>
              <w:spacing w:before="0" w:after="0"/>
              <w:jc w:val="center"/>
              <w:rPr>
                <w:rFonts w:cs="Segoe UI"/>
                <w:sz w:val="20"/>
                <w:lang w:eastAsia="en-GB"/>
              </w:rPr>
            </w:pPr>
          </w:p>
        </w:tc>
        <w:tc>
          <w:tcPr>
            <w:tcW w:w="1134" w:type="dxa"/>
            <w:tcBorders>
              <w:bottom w:val="single" w:sz="4" w:space="0" w:color="auto"/>
              <w:right w:val="single" w:sz="12" w:space="0" w:color="auto"/>
            </w:tcBorders>
            <w:shd w:val="clear" w:color="auto" w:fill="auto"/>
          </w:tcPr>
          <w:p w14:paraId="4453F229"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134" w:type="dxa"/>
            <w:tcBorders>
              <w:left w:val="single" w:sz="12" w:space="0" w:color="auto"/>
              <w:bottom w:val="single" w:sz="4" w:space="0" w:color="auto"/>
            </w:tcBorders>
            <w:shd w:val="clear" w:color="auto" w:fill="auto"/>
          </w:tcPr>
          <w:p w14:paraId="637DDA7F" w14:textId="77777777" w:rsidR="003A6273" w:rsidRDefault="003A6273" w:rsidP="00C639E1">
            <w:pPr>
              <w:pStyle w:val="TableText"/>
              <w:spacing w:before="0" w:after="0"/>
              <w:jc w:val="center"/>
              <w:rPr>
                <w:rFonts w:cs="Segoe UI"/>
                <w:sz w:val="20"/>
                <w:lang w:eastAsia="en-GB"/>
              </w:rPr>
            </w:pPr>
          </w:p>
        </w:tc>
        <w:tc>
          <w:tcPr>
            <w:tcW w:w="1276" w:type="dxa"/>
            <w:tcBorders>
              <w:bottom w:val="single" w:sz="4" w:space="0" w:color="auto"/>
            </w:tcBorders>
            <w:shd w:val="clear" w:color="auto" w:fill="auto"/>
          </w:tcPr>
          <w:p w14:paraId="6E341E8A"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101" w:type="dxa"/>
            <w:tcBorders>
              <w:bottom w:val="single" w:sz="4" w:space="0" w:color="auto"/>
              <w:right w:val="single" w:sz="12" w:space="0" w:color="auto"/>
            </w:tcBorders>
            <w:shd w:val="clear" w:color="auto" w:fill="auto"/>
          </w:tcPr>
          <w:p w14:paraId="60847D41" w14:textId="77777777" w:rsidR="003A6273" w:rsidRDefault="003A6273" w:rsidP="00C639E1">
            <w:pPr>
              <w:pStyle w:val="TableText"/>
              <w:spacing w:before="0" w:after="0"/>
              <w:jc w:val="center"/>
              <w:rPr>
                <w:rFonts w:cs="Segoe UI"/>
                <w:sz w:val="20"/>
                <w:lang w:eastAsia="en-GB"/>
              </w:rPr>
            </w:pPr>
          </w:p>
        </w:tc>
      </w:tr>
      <w:tr w:rsidR="003A6273" w14:paraId="54D0A8F0" w14:textId="77777777" w:rsidTr="00C3378F">
        <w:trPr>
          <w:cantSplit/>
          <w:trHeight w:val="283"/>
        </w:trPr>
        <w:tc>
          <w:tcPr>
            <w:tcW w:w="2154" w:type="dxa"/>
            <w:vMerge/>
            <w:tcBorders>
              <w:left w:val="nil"/>
              <w:bottom w:val="single" w:sz="12" w:space="0" w:color="auto"/>
              <w:right w:val="single" w:sz="12" w:space="0" w:color="auto"/>
            </w:tcBorders>
            <w:shd w:val="clear" w:color="auto" w:fill="auto"/>
          </w:tcPr>
          <w:p w14:paraId="2CE5FBF2" w14:textId="77777777" w:rsidR="003A6273" w:rsidRDefault="003A6273" w:rsidP="00C639E1">
            <w:pPr>
              <w:pStyle w:val="TableText"/>
              <w:spacing w:before="0" w:after="0"/>
              <w:rPr>
                <w:rFonts w:cs="Segoe UI"/>
                <w:sz w:val="20"/>
                <w:lang w:eastAsia="en-GB"/>
              </w:rPr>
            </w:pPr>
          </w:p>
        </w:tc>
        <w:tc>
          <w:tcPr>
            <w:tcW w:w="4762" w:type="dxa"/>
            <w:tcBorders>
              <w:left w:val="single" w:sz="12" w:space="0" w:color="auto"/>
              <w:bottom w:val="single" w:sz="12" w:space="0" w:color="auto"/>
              <w:right w:val="single" w:sz="12" w:space="0" w:color="auto"/>
            </w:tcBorders>
            <w:shd w:val="clear" w:color="auto" w:fill="auto"/>
          </w:tcPr>
          <w:p w14:paraId="0DFF3CB9" w14:textId="77777777" w:rsidR="003A6273" w:rsidRDefault="003A6273" w:rsidP="00C639E1">
            <w:pPr>
              <w:pStyle w:val="TableText"/>
              <w:spacing w:before="0" w:after="0"/>
              <w:rPr>
                <w:rFonts w:cs="Segoe UI"/>
                <w:sz w:val="20"/>
                <w:lang w:eastAsia="en-GB"/>
              </w:rPr>
            </w:pPr>
            <w:r>
              <w:rPr>
                <w:rFonts w:cs="Segoe UI"/>
                <w:sz w:val="20"/>
                <w:lang w:eastAsia="en-GB"/>
              </w:rPr>
              <w:t>Template SEC3: Securitization exposures in banking book and associated capital requirements – where AI acts as originator</w:t>
            </w:r>
          </w:p>
        </w:tc>
        <w:tc>
          <w:tcPr>
            <w:tcW w:w="1624" w:type="dxa"/>
            <w:tcBorders>
              <w:left w:val="single" w:sz="12" w:space="0" w:color="auto"/>
              <w:bottom w:val="single" w:sz="12" w:space="0" w:color="auto"/>
              <w:right w:val="single" w:sz="12" w:space="0" w:color="auto"/>
            </w:tcBorders>
            <w:shd w:val="clear" w:color="auto" w:fill="auto"/>
          </w:tcPr>
          <w:p w14:paraId="2914C8CF" w14:textId="77777777" w:rsidR="003A6273" w:rsidRDefault="003A6273" w:rsidP="00C639E1">
            <w:pPr>
              <w:pStyle w:val="TableText"/>
              <w:spacing w:before="0" w:after="0"/>
              <w:jc w:val="center"/>
              <w:rPr>
                <w:rFonts w:cs="Segoe UI"/>
                <w:sz w:val="20"/>
                <w:lang w:eastAsia="en-GB"/>
              </w:rPr>
            </w:pPr>
            <w:r w:rsidRPr="003936F9">
              <w:rPr>
                <w:rFonts w:cs="Segoe UI" w:hint="eastAsia"/>
                <w:noProof/>
                <w:sz w:val="20"/>
                <w:lang w:eastAsia="en-GB"/>
              </w:rPr>
              <w:t>L</w:t>
            </w:r>
          </w:p>
        </w:tc>
        <w:tc>
          <w:tcPr>
            <w:tcW w:w="1244" w:type="dxa"/>
            <w:tcBorders>
              <w:left w:val="single" w:sz="12" w:space="0" w:color="auto"/>
              <w:bottom w:val="single" w:sz="12" w:space="0" w:color="auto"/>
            </w:tcBorders>
            <w:shd w:val="clear" w:color="auto" w:fill="auto"/>
          </w:tcPr>
          <w:p w14:paraId="1D6877FB"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134" w:type="dxa"/>
            <w:tcBorders>
              <w:bottom w:val="single" w:sz="12" w:space="0" w:color="auto"/>
              <w:right w:val="single" w:sz="12" w:space="0" w:color="auto"/>
            </w:tcBorders>
            <w:shd w:val="clear" w:color="auto" w:fill="auto"/>
          </w:tcPr>
          <w:p w14:paraId="4BCF964C" w14:textId="77777777" w:rsidR="003A6273" w:rsidRDefault="003A6273" w:rsidP="00C639E1">
            <w:pPr>
              <w:pStyle w:val="TableText"/>
              <w:spacing w:before="0" w:after="0"/>
              <w:jc w:val="center"/>
              <w:rPr>
                <w:rFonts w:cs="Segoe UI"/>
                <w:sz w:val="20"/>
                <w:lang w:eastAsia="en-GB"/>
              </w:rPr>
            </w:pPr>
          </w:p>
        </w:tc>
        <w:tc>
          <w:tcPr>
            <w:tcW w:w="1134" w:type="dxa"/>
            <w:tcBorders>
              <w:left w:val="single" w:sz="12" w:space="0" w:color="auto"/>
              <w:bottom w:val="single" w:sz="12" w:space="0" w:color="auto"/>
            </w:tcBorders>
            <w:shd w:val="clear" w:color="auto" w:fill="auto"/>
          </w:tcPr>
          <w:p w14:paraId="75C5D1B3" w14:textId="77777777" w:rsidR="003A6273" w:rsidRDefault="003A6273" w:rsidP="00C639E1">
            <w:pPr>
              <w:pStyle w:val="TableText"/>
              <w:spacing w:before="0" w:after="0"/>
              <w:jc w:val="center"/>
              <w:rPr>
                <w:rFonts w:cs="Segoe UI"/>
                <w:sz w:val="20"/>
                <w:lang w:eastAsia="en-GB"/>
              </w:rPr>
            </w:pPr>
          </w:p>
        </w:tc>
        <w:tc>
          <w:tcPr>
            <w:tcW w:w="1276" w:type="dxa"/>
            <w:tcBorders>
              <w:bottom w:val="single" w:sz="12" w:space="0" w:color="auto"/>
            </w:tcBorders>
            <w:shd w:val="clear" w:color="auto" w:fill="auto"/>
          </w:tcPr>
          <w:p w14:paraId="410AB60A"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101" w:type="dxa"/>
            <w:tcBorders>
              <w:bottom w:val="single" w:sz="12" w:space="0" w:color="auto"/>
              <w:right w:val="single" w:sz="12" w:space="0" w:color="auto"/>
            </w:tcBorders>
            <w:shd w:val="clear" w:color="auto" w:fill="auto"/>
          </w:tcPr>
          <w:p w14:paraId="52F67AC5" w14:textId="77777777" w:rsidR="003A6273" w:rsidRDefault="003A6273" w:rsidP="00C639E1">
            <w:pPr>
              <w:pStyle w:val="TableText"/>
              <w:spacing w:before="0" w:after="0"/>
              <w:jc w:val="center"/>
              <w:rPr>
                <w:rFonts w:cs="Segoe UI"/>
                <w:sz w:val="20"/>
                <w:lang w:eastAsia="en-GB"/>
              </w:rPr>
            </w:pPr>
          </w:p>
        </w:tc>
      </w:tr>
      <w:tr w:rsidR="003A6273" w14:paraId="1EBD3C8B" w14:textId="77777777" w:rsidTr="00C3378F">
        <w:trPr>
          <w:cantSplit/>
          <w:trHeight w:val="283"/>
        </w:trPr>
        <w:tc>
          <w:tcPr>
            <w:tcW w:w="2154" w:type="dxa"/>
            <w:vMerge/>
            <w:tcBorders>
              <w:left w:val="nil"/>
              <w:bottom w:val="single" w:sz="12" w:space="0" w:color="auto"/>
              <w:right w:val="single" w:sz="12" w:space="0" w:color="auto"/>
            </w:tcBorders>
            <w:shd w:val="clear" w:color="auto" w:fill="auto"/>
          </w:tcPr>
          <w:p w14:paraId="63EDE311" w14:textId="77777777" w:rsidR="003A6273" w:rsidRDefault="003A6273" w:rsidP="00C639E1">
            <w:pPr>
              <w:pStyle w:val="TableText"/>
              <w:spacing w:before="0" w:after="0"/>
              <w:rPr>
                <w:rFonts w:cs="Segoe UI"/>
                <w:sz w:val="20"/>
                <w:lang w:eastAsia="en-GB"/>
              </w:rPr>
            </w:pPr>
          </w:p>
        </w:tc>
        <w:tc>
          <w:tcPr>
            <w:tcW w:w="4762" w:type="dxa"/>
            <w:tcBorders>
              <w:top w:val="single" w:sz="12" w:space="0" w:color="auto"/>
              <w:left w:val="single" w:sz="12" w:space="0" w:color="auto"/>
              <w:bottom w:val="single" w:sz="12" w:space="0" w:color="auto"/>
              <w:right w:val="single" w:sz="12" w:space="0" w:color="auto"/>
            </w:tcBorders>
            <w:shd w:val="clear" w:color="auto" w:fill="auto"/>
          </w:tcPr>
          <w:p w14:paraId="382CE1E3" w14:textId="77777777" w:rsidR="003A6273" w:rsidRDefault="003A6273" w:rsidP="00C639E1">
            <w:pPr>
              <w:pStyle w:val="TableText"/>
              <w:spacing w:before="0" w:after="0"/>
              <w:rPr>
                <w:rFonts w:cs="Segoe UI"/>
                <w:sz w:val="20"/>
                <w:lang w:eastAsia="en-GB"/>
              </w:rPr>
            </w:pPr>
            <w:r>
              <w:rPr>
                <w:rFonts w:cs="Segoe UI"/>
                <w:sz w:val="20"/>
                <w:lang w:eastAsia="en-GB"/>
              </w:rPr>
              <w:t>Template SEC4: Securitization exposures in banking book and associated capital requirements – where AI acts as investor</w:t>
            </w:r>
          </w:p>
        </w:tc>
        <w:tc>
          <w:tcPr>
            <w:tcW w:w="1624" w:type="dxa"/>
            <w:tcBorders>
              <w:top w:val="single" w:sz="12" w:space="0" w:color="auto"/>
              <w:left w:val="single" w:sz="12" w:space="0" w:color="auto"/>
              <w:bottom w:val="single" w:sz="12" w:space="0" w:color="auto"/>
              <w:right w:val="single" w:sz="12" w:space="0" w:color="auto"/>
            </w:tcBorders>
            <w:shd w:val="clear" w:color="auto" w:fill="auto"/>
          </w:tcPr>
          <w:p w14:paraId="0A16EBE9" w14:textId="77777777" w:rsidR="003A6273" w:rsidRDefault="003A6273" w:rsidP="00C639E1">
            <w:pPr>
              <w:pStyle w:val="TableText"/>
              <w:spacing w:before="0" w:after="0"/>
              <w:jc w:val="center"/>
              <w:rPr>
                <w:rFonts w:cs="Segoe UI"/>
                <w:sz w:val="20"/>
                <w:lang w:eastAsia="en-GB"/>
              </w:rPr>
            </w:pPr>
            <w:r w:rsidRPr="003936F9">
              <w:rPr>
                <w:rFonts w:cs="Segoe UI" w:hint="eastAsia"/>
                <w:noProof/>
                <w:sz w:val="20"/>
                <w:lang w:eastAsia="en-GB"/>
              </w:rPr>
              <w:t>L</w:t>
            </w:r>
          </w:p>
        </w:tc>
        <w:tc>
          <w:tcPr>
            <w:tcW w:w="1244" w:type="dxa"/>
            <w:tcBorders>
              <w:top w:val="single" w:sz="12" w:space="0" w:color="auto"/>
              <w:left w:val="single" w:sz="12" w:space="0" w:color="auto"/>
              <w:bottom w:val="single" w:sz="12" w:space="0" w:color="auto"/>
            </w:tcBorders>
            <w:shd w:val="clear" w:color="auto" w:fill="auto"/>
          </w:tcPr>
          <w:p w14:paraId="2C6509DC"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134" w:type="dxa"/>
            <w:tcBorders>
              <w:top w:val="single" w:sz="12" w:space="0" w:color="auto"/>
              <w:bottom w:val="single" w:sz="12" w:space="0" w:color="auto"/>
              <w:right w:val="single" w:sz="12" w:space="0" w:color="auto"/>
            </w:tcBorders>
            <w:shd w:val="clear" w:color="auto" w:fill="auto"/>
          </w:tcPr>
          <w:p w14:paraId="3B3809F3" w14:textId="77777777" w:rsidR="003A6273" w:rsidRDefault="003A6273" w:rsidP="00C639E1">
            <w:pPr>
              <w:pStyle w:val="TableText"/>
              <w:spacing w:before="0" w:after="0"/>
              <w:jc w:val="center"/>
              <w:rPr>
                <w:rFonts w:cs="Segoe UI"/>
                <w:sz w:val="20"/>
                <w:lang w:eastAsia="en-GB"/>
              </w:rPr>
            </w:pPr>
          </w:p>
        </w:tc>
        <w:tc>
          <w:tcPr>
            <w:tcW w:w="1134" w:type="dxa"/>
            <w:tcBorders>
              <w:top w:val="single" w:sz="12" w:space="0" w:color="auto"/>
              <w:left w:val="single" w:sz="12" w:space="0" w:color="auto"/>
              <w:bottom w:val="single" w:sz="12" w:space="0" w:color="auto"/>
            </w:tcBorders>
            <w:shd w:val="clear" w:color="auto" w:fill="auto"/>
          </w:tcPr>
          <w:p w14:paraId="6FE27EA0" w14:textId="77777777" w:rsidR="003A6273" w:rsidRDefault="003A6273" w:rsidP="00C639E1">
            <w:pPr>
              <w:pStyle w:val="TableText"/>
              <w:spacing w:before="0" w:after="0"/>
              <w:jc w:val="center"/>
              <w:rPr>
                <w:rFonts w:cs="Segoe UI"/>
                <w:sz w:val="20"/>
                <w:lang w:eastAsia="en-GB"/>
              </w:rPr>
            </w:pPr>
          </w:p>
        </w:tc>
        <w:tc>
          <w:tcPr>
            <w:tcW w:w="1276" w:type="dxa"/>
            <w:tcBorders>
              <w:top w:val="single" w:sz="12" w:space="0" w:color="auto"/>
              <w:bottom w:val="single" w:sz="12" w:space="0" w:color="auto"/>
            </w:tcBorders>
            <w:shd w:val="clear" w:color="auto" w:fill="auto"/>
          </w:tcPr>
          <w:p w14:paraId="5F20A7AD" w14:textId="77777777" w:rsidR="003A6273" w:rsidRDefault="003A6273" w:rsidP="00C639E1">
            <w:pPr>
              <w:pStyle w:val="TableText"/>
              <w:spacing w:before="0" w:after="0"/>
              <w:jc w:val="center"/>
              <w:rPr>
                <w:rFonts w:cs="Segoe UI"/>
                <w:sz w:val="20"/>
                <w:lang w:eastAsia="en-GB"/>
              </w:rPr>
            </w:pPr>
            <w:r>
              <w:rPr>
                <w:rFonts w:cs="Segoe UI"/>
                <w:sz w:val="20"/>
                <w:lang w:eastAsia="en-GB"/>
              </w:rPr>
              <w:sym w:font="Wingdings 2" w:char="F050"/>
            </w:r>
          </w:p>
        </w:tc>
        <w:tc>
          <w:tcPr>
            <w:tcW w:w="1101" w:type="dxa"/>
            <w:tcBorders>
              <w:top w:val="single" w:sz="12" w:space="0" w:color="auto"/>
              <w:bottom w:val="single" w:sz="12" w:space="0" w:color="auto"/>
              <w:right w:val="single" w:sz="12" w:space="0" w:color="auto"/>
            </w:tcBorders>
            <w:shd w:val="clear" w:color="auto" w:fill="auto"/>
          </w:tcPr>
          <w:p w14:paraId="02CD72E4" w14:textId="77777777" w:rsidR="003A6273" w:rsidRDefault="003A6273" w:rsidP="00C639E1">
            <w:pPr>
              <w:pStyle w:val="TableText"/>
              <w:spacing w:before="0" w:after="0"/>
              <w:jc w:val="center"/>
              <w:rPr>
                <w:rFonts w:cs="Segoe UI"/>
                <w:sz w:val="20"/>
                <w:lang w:eastAsia="en-GB"/>
              </w:rPr>
            </w:pPr>
          </w:p>
        </w:tc>
      </w:tr>
      <w:tr w:rsidR="003A6273" w14:paraId="0121FACD" w14:textId="77777777" w:rsidTr="00433A54">
        <w:trPr>
          <w:cantSplit/>
          <w:trHeight w:val="283"/>
        </w:trPr>
        <w:tc>
          <w:tcPr>
            <w:tcW w:w="2154" w:type="dxa"/>
            <w:vMerge w:val="restart"/>
            <w:tcBorders>
              <w:top w:val="single" w:sz="12" w:space="0" w:color="auto"/>
              <w:left w:val="nil"/>
              <w:right w:val="single" w:sz="12" w:space="0" w:color="auto"/>
            </w:tcBorders>
          </w:tcPr>
          <w:p w14:paraId="5CC85E50" w14:textId="77777777" w:rsidR="003A6273" w:rsidRDefault="003A6273" w:rsidP="00C639E1">
            <w:pPr>
              <w:pStyle w:val="TableText"/>
              <w:spacing w:before="0" w:after="0"/>
              <w:rPr>
                <w:rFonts w:cs="Segoe UI"/>
                <w:sz w:val="20"/>
                <w:lang w:eastAsia="en-GB"/>
              </w:rPr>
            </w:pPr>
            <w:r>
              <w:rPr>
                <w:rFonts w:cs="Segoe UI"/>
                <w:sz w:val="20"/>
                <w:lang w:eastAsia="en-GB"/>
              </w:rPr>
              <w:t>Part VI : Market risk</w:t>
            </w:r>
          </w:p>
        </w:tc>
        <w:tc>
          <w:tcPr>
            <w:tcW w:w="4762" w:type="dxa"/>
            <w:tcBorders>
              <w:top w:val="single" w:sz="12" w:space="0" w:color="auto"/>
              <w:left w:val="single" w:sz="12" w:space="0" w:color="auto"/>
              <w:right w:val="single" w:sz="12" w:space="0" w:color="auto"/>
            </w:tcBorders>
            <w:shd w:val="clear" w:color="auto" w:fill="auto"/>
          </w:tcPr>
          <w:p w14:paraId="0DD70E4A" w14:textId="77777777" w:rsidR="003A6273" w:rsidRDefault="003A6273" w:rsidP="00C639E1">
            <w:pPr>
              <w:pStyle w:val="TableText"/>
              <w:spacing w:before="0" w:after="0"/>
              <w:rPr>
                <w:rFonts w:cs="Segoe UI"/>
                <w:noProof/>
                <w:sz w:val="20"/>
                <w:lang w:eastAsia="en-GB"/>
              </w:rPr>
            </w:pPr>
            <w:r>
              <w:rPr>
                <w:rFonts w:cs="Segoe UI"/>
                <w:sz w:val="20"/>
                <w:lang w:eastAsia="en-GB"/>
              </w:rPr>
              <w:t>Table MRA: Qualitative disclosures related to market risk</w:t>
            </w:r>
          </w:p>
        </w:tc>
        <w:tc>
          <w:tcPr>
            <w:tcW w:w="1624" w:type="dxa"/>
            <w:tcBorders>
              <w:top w:val="single" w:sz="12" w:space="0" w:color="auto"/>
              <w:left w:val="single" w:sz="12" w:space="0" w:color="auto"/>
              <w:right w:val="single" w:sz="12" w:space="0" w:color="auto"/>
            </w:tcBorders>
            <w:shd w:val="clear" w:color="auto" w:fill="auto"/>
          </w:tcPr>
          <w:p w14:paraId="0F809FE2" w14:textId="1CAA8E4D" w:rsidR="003A6273" w:rsidRDefault="003A6273" w:rsidP="00C639E1">
            <w:pPr>
              <w:pStyle w:val="TableText"/>
              <w:spacing w:before="0" w:after="0"/>
              <w:jc w:val="center"/>
              <w:rPr>
                <w:rFonts w:cs="Segoe UI"/>
                <w:sz w:val="20"/>
                <w:lang w:eastAsia="en-GB"/>
              </w:rPr>
            </w:pPr>
            <w:r w:rsidRPr="003936F9">
              <w:rPr>
                <w:rFonts w:cs="Segoe UI" w:hint="eastAsia"/>
                <w:noProof/>
                <w:sz w:val="20"/>
                <w:lang w:eastAsia="en-GB"/>
              </w:rPr>
              <w:t>L</w:t>
            </w:r>
            <w:r w:rsidR="0065102D">
              <w:rPr>
                <w:rFonts w:cs="Segoe UI"/>
                <w:noProof/>
                <w:sz w:val="20"/>
                <w:lang w:eastAsia="en-GB"/>
              </w:rPr>
              <w:t xml:space="preserve"> [</w:t>
            </w:r>
            <w:r w:rsidR="0065102D" w:rsidRPr="0065102D">
              <w:rPr>
                <w:rFonts w:cs="Segoe UI"/>
                <w:noProof/>
                <w:sz w:val="20"/>
                <w:lang w:eastAsia="en-GB"/>
              </w:rPr>
              <w:t>other than AIs exempted from the market risk framework</w:t>
            </w:r>
            <w:r w:rsidR="00EF4BC1">
              <w:rPr>
                <w:rFonts w:cs="Segoe UI"/>
                <w:noProof/>
                <w:sz w:val="20"/>
                <w:lang w:eastAsia="en-GB"/>
              </w:rPr>
              <w:t>]</w:t>
            </w:r>
          </w:p>
        </w:tc>
        <w:tc>
          <w:tcPr>
            <w:tcW w:w="1244" w:type="dxa"/>
            <w:tcBorders>
              <w:top w:val="single" w:sz="12" w:space="0" w:color="auto"/>
              <w:left w:val="single" w:sz="12" w:space="0" w:color="auto"/>
            </w:tcBorders>
            <w:shd w:val="clear" w:color="auto" w:fill="auto"/>
          </w:tcPr>
          <w:p w14:paraId="54825327" w14:textId="77777777" w:rsidR="003A6273" w:rsidRDefault="003A6273" w:rsidP="00C639E1">
            <w:pPr>
              <w:pStyle w:val="TableText"/>
              <w:spacing w:before="0" w:after="0"/>
              <w:jc w:val="center"/>
              <w:rPr>
                <w:rFonts w:cs="Segoe UI"/>
                <w:sz w:val="20"/>
                <w:lang w:eastAsia="en-GB"/>
              </w:rPr>
            </w:pPr>
          </w:p>
        </w:tc>
        <w:tc>
          <w:tcPr>
            <w:tcW w:w="1134" w:type="dxa"/>
            <w:tcBorders>
              <w:top w:val="single" w:sz="12" w:space="0" w:color="auto"/>
              <w:right w:val="single" w:sz="12" w:space="0" w:color="auto"/>
            </w:tcBorders>
            <w:shd w:val="clear" w:color="auto" w:fill="auto"/>
          </w:tcPr>
          <w:p w14:paraId="26BCE5E6"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c>
          <w:tcPr>
            <w:tcW w:w="1134" w:type="dxa"/>
            <w:tcBorders>
              <w:top w:val="single" w:sz="12" w:space="0" w:color="auto"/>
              <w:left w:val="single" w:sz="12" w:space="0" w:color="auto"/>
            </w:tcBorders>
            <w:shd w:val="clear" w:color="auto" w:fill="auto"/>
          </w:tcPr>
          <w:p w14:paraId="37CC5D28" w14:textId="77777777" w:rsidR="003A6273" w:rsidRDefault="003A6273" w:rsidP="00C639E1">
            <w:pPr>
              <w:pStyle w:val="TableText"/>
              <w:spacing w:before="0" w:after="0"/>
              <w:jc w:val="center"/>
              <w:rPr>
                <w:rFonts w:cs="Segoe UI"/>
                <w:sz w:val="20"/>
                <w:lang w:eastAsia="en-GB"/>
              </w:rPr>
            </w:pPr>
          </w:p>
        </w:tc>
        <w:tc>
          <w:tcPr>
            <w:tcW w:w="1276" w:type="dxa"/>
            <w:tcBorders>
              <w:top w:val="single" w:sz="12" w:space="0" w:color="auto"/>
            </w:tcBorders>
            <w:shd w:val="clear" w:color="auto" w:fill="auto"/>
          </w:tcPr>
          <w:p w14:paraId="361E8EA4" w14:textId="77777777" w:rsidR="003A6273" w:rsidRDefault="003A6273" w:rsidP="00C639E1">
            <w:pPr>
              <w:pStyle w:val="TableText"/>
              <w:spacing w:before="0" w:after="0"/>
              <w:jc w:val="center"/>
              <w:rPr>
                <w:rFonts w:cs="Segoe UI"/>
                <w:sz w:val="20"/>
                <w:lang w:eastAsia="en-GB"/>
              </w:rPr>
            </w:pPr>
          </w:p>
        </w:tc>
        <w:tc>
          <w:tcPr>
            <w:tcW w:w="1101" w:type="dxa"/>
            <w:tcBorders>
              <w:top w:val="single" w:sz="12" w:space="0" w:color="auto"/>
              <w:right w:val="single" w:sz="12" w:space="0" w:color="auto"/>
            </w:tcBorders>
            <w:shd w:val="clear" w:color="auto" w:fill="auto"/>
          </w:tcPr>
          <w:p w14:paraId="4D52EB84" w14:textId="77777777" w:rsidR="003A6273" w:rsidRDefault="003A6273" w:rsidP="00C639E1">
            <w:pPr>
              <w:pStyle w:val="TableText"/>
              <w:spacing w:before="0" w:after="0"/>
              <w:jc w:val="center"/>
              <w:rPr>
                <w:rFonts w:cs="Segoe UI"/>
                <w:noProof/>
                <w:sz w:val="20"/>
                <w:lang w:eastAsia="en-GB"/>
              </w:rPr>
            </w:pPr>
            <w:r>
              <w:rPr>
                <w:rFonts w:cs="Segoe UI"/>
                <w:sz w:val="20"/>
                <w:lang w:eastAsia="en-GB"/>
              </w:rPr>
              <w:sym w:font="Wingdings 2" w:char="F050"/>
            </w:r>
          </w:p>
        </w:tc>
      </w:tr>
      <w:tr w:rsidR="003A6273" w14:paraId="54B8D4BE" w14:textId="77777777" w:rsidTr="003A6273">
        <w:trPr>
          <w:cantSplit/>
          <w:trHeight w:val="283"/>
        </w:trPr>
        <w:tc>
          <w:tcPr>
            <w:tcW w:w="2154" w:type="dxa"/>
            <w:vMerge/>
            <w:tcBorders>
              <w:left w:val="nil"/>
              <w:right w:val="single" w:sz="12" w:space="0" w:color="auto"/>
            </w:tcBorders>
          </w:tcPr>
          <w:p w14:paraId="0FBB37D3" w14:textId="77777777" w:rsidR="003A6273" w:rsidRDefault="003A6273" w:rsidP="00E80A7F">
            <w:pPr>
              <w:pStyle w:val="TableText"/>
              <w:spacing w:before="0" w:after="0"/>
              <w:rPr>
                <w:rFonts w:cs="Segoe UI"/>
                <w:sz w:val="20"/>
                <w:lang w:eastAsia="en-GB"/>
              </w:rPr>
            </w:pPr>
          </w:p>
        </w:tc>
        <w:tc>
          <w:tcPr>
            <w:tcW w:w="4762" w:type="dxa"/>
            <w:tcBorders>
              <w:left w:val="single" w:sz="12" w:space="0" w:color="auto"/>
              <w:right w:val="single" w:sz="12" w:space="0" w:color="auto"/>
            </w:tcBorders>
            <w:shd w:val="clear" w:color="auto" w:fill="auto"/>
          </w:tcPr>
          <w:p w14:paraId="1C594590" w14:textId="03420A61" w:rsidR="003A6273" w:rsidRPr="00E80A7F" w:rsidDel="00E81E47" w:rsidRDefault="003A6273" w:rsidP="00E80A7F">
            <w:pPr>
              <w:pStyle w:val="TableText"/>
              <w:spacing w:before="0" w:after="0"/>
              <w:rPr>
                <w:rFonts w:cs="Segoe UI"/>
                <w:strike/>
                <w:sz w:val="20"/>
                <w:lang w:eastAsia="en-GB"/>
              </w:rPr>
            </w:pPr>
            <w:r w:rsidRPr="00E80A7F">
              <w:rPr>
                <w:rFonts w:cs="Segoe UI"/>
                <w:color w:val="000000"/>
                <w:sz w:val="20"/>
              </w:rPr>
              <w:t>Template MR1: Market risk under STM approach</w:t>
            </w:r>
          </w:p>
        </w:tc>
        <w:tc>
          <w:tcPr>
            <w:tcW w:w="1624" w:type="dxa"/>
            <w:tcBorders>
              <w:left w:val="single" w:sz="12" w:space="0" w:color="auto"/>
              <w:right w:val="single" w:sz="12" w:space="0" w:color="auto"/>
            </w:tcBorders>
            <w:shd w:val="clear" w:color="auto" w:fill="auto"/>
          </w:tcPr>
          <w:p w14:paraId="34BAB1D4" w14:textId="6D9707E2" w:rsidR="003A6273" w:rsidRPr="00E80A7F" w:rsidDel="00E81E47" w:rsidRDefault="003A6273" w:rsidP="00E80A7F">
            <w:pPr>
              <w:pStyle w:val="TableText"/>
              <w:spacing w:before="0" w:after="0"/>
              <w:jc w:val="center"/>
              <w:rPr>
                <w:rFonts w:cs="Segoe UI"/>
                <w:strike/>
                <w:noProof/>
                <w:sz w:val="20"/>
                <w:lang w:eastAsia="en-GB"/>
              </w:rPr>
            </w:pPr>
            <w:r w:rsidRPr="00E80A7F">
              <w:rPr>
                <w:rFonts w:cs="Segoe UI"/>
                <w:color w:val="000000"/>
                <w:sz w:val="20"/>
              </w:rPr>
              <w:t>L</w:t>
            </w:r>
            <w:r>
              <w:rPr>
                <w:rFonts w:cs="Segoe UI"/>
                <w:color w:val="000000"/>
                <w:sz w:val="20"/>
              </w:rPr>
              <w:t xml:space="preserve"> [STM]</w:t>
            </w:r>
          </w:p>
        </w:tc>
        <w:tc>
          <w:tcPr>
            <w:tcW w:w="1244" w:type="dxa"/>
            <w:tcBorders>
              <w:left w:val="single" w:sz="12" w:space="0" w:color="auto"/>
            </w:tcBorders>
            <w:shd w:val="clear" w:color="auto" w:fill="auto"/>
          </w:tcPr>
          <w:p w14:paraId="7944E0C3" w14:textId="284B77BD" w:rsidR="003A6273" w:rsidRPr="00E80A7F" w:rsidRDefault="003A6273" w:rsidP="00E80A7F">
            <w:pPr>
              <w:pStyle w:val="TableText"/>
              <w:spacing w:before="0" w:after="0"/>
              <w:jc w:val="center"/>
              <w:rPr>
                <w:rFonts w:cs="Segoe UI"/>
                <w:strike/>
                <w:sz w:val="20"/>
                <w:lang w:eastAsia="en-GB"/>
              </w:rPr>
            </w:pPr>
            <w:r w:rsidRPr="00E80A7F">
              <w:rPr>
                <w:rFonts w:ascii="Wingdings 2" w:hAnsi="Wingdings 2" w:cs="Calibri"/>
                <w:color w:val="000000"/>
                <w:sz w:val="20"/>
              </w:rPr>
              <w:t></w:t>
            </w:r>
          </w:p>
        </w:tc>
        <w:tc>
          <w:tcPr>
            <w:tcW w:w="1134" w:type="dxa"/>
            <w:tcBorders>
              <w:right w:val="single" w:sz="12" w:space="0" w:color="auto"/>
            </w:tcBorders>
            <w:shd w:val="clear" w:color="auto" w:fill="auto"/>
          </w:tcPr>
          <w:p w14:paraId="626F955E" w14:textId="77777777" w:rsidR="003A6273" w:rsidRPr="006A354E" w:rsidDel="00E81E47" w:rsidRDefault="003A6273" w:rsidP="00E80A7F">
            <w:pPr>
              <w:pStyle w:val="TableText"/>
              <w:spacing w:before="0" w:after="0"/>
              <w:jc w:val="center"/>
              <w:rPr>
                <w:rFonts w:cs="Segoe UI"/>
                <w:strike/>
                <w:sz w:val="20"/>
                <w:lang w:eastAsia="en-GB"/>
              </w:rPr>
            </w:pPr>
          </w:p>
        </w:tc>
        <w:tc>
          <w:tcPr>
            <w:tcW w:w="1134" w:type="dxa"/>
            <w:tcBorders>
              <w:left w:val="single" w:sz="12" w:space="0" w:color="auto"/>
            </w:tcBorders>
            <w:shd w:val="clear" w:color="auto" w:fill="auto"/>
          </w:tcPr>
          <w:p w14:paraId="6DC23327" w14:textId="77777777" w:rsidR="003A6273" w:rsidRPr="006A354E" w:rsidRDefault="003A6273" w:rsidP="00E80A7F">
            <w:pPr>
              <w:pStyle w:val="TableText"/>
              <w:spacing w:before="0" w:after="0"/>
              <w:jc w:val="center"/>
              <w:rPr>
                <w:rFonts w:cs="Segoe UI"/>
                <w:strike/>
                <w:sz w:val="20"/>
                <w:lang w:eastAsia="en-GB"/>
              </w:rPr>
            </w:pPr>
          </w:p>
        </w:tc>
        <w:tc>
          <w:tcPr>
            <w:tcW w:w="1276" w:type="dxa"/>
            <w:shd w:val="clear" w:color="auto" w:fill="auto"/>
          </w:tcPr>
          <w:p w14:paraId="4E31509C" w14:textId="723D622D" w:rsidR="003A6273" w:rsidRPr="00E80A7F" w:rsidRDefault="003A6273" w:rsidP="00E80A7F">
            <w:pPr>
              <w:pStyle w:val="TableText"/>
              <w:spacing w:before="0" w:after="0"/>
              <w:jc w:val="center"/>
              <w:rPr>
                <w:rFonts w:cs="Segoe UI"/>
                <w:strike/>
                <w:sz w:val="20"/>
                <w:lang w:eastAsia="en-GB"/>
              </w:rPr>
            </w:pPr>
            <w:r w:rsidRPr="00E80A7F">
              <w:rPr>
                <w:rFonts w:ascii="Wingdings 2" w:hAnsi="Wingdings 2" w:cs="Calibri"/>
                <w:color w:val="000000"/>
                <w:sz w:val="20"/>
              </w:rPr>
              <w:t></w:t>
            </w:r>
          </w:p>
        </w:tc>
        <w:tc>
          <w:tcPr>
            <w:tcW w:w="1101" w:type="dxa"/>
            <w:tcBorders>
              <w:right w:val="single" w:sz="12" w:space="0" w:color="auto"/>
            </w:tcBorders>
            <w:shd w:val="clear" w:color="auto" w:fill="auto"/>
          </w:tcPr>
          <w:p w14:paraId="54EE4ACF" w14:textId="77777777" w:rsidR="003A6273" w:rsidRPr="00E80A7F" w:rsidDel="00E81E47" w:rsidRDefault="003A6273" w:rsidP="00E80A7F">
            <w:pPr>
              <w:pStyle w:val="TableText"/>
              <w:spacing w:before="0" w:after="0"/>
              <w:jc w:val="center"/>
              <w:rPr>
                <w:rFonts w:cs="Segoe UI"/>
                <w:strike/>
                <w:sz w:val="20"/>
                <w:lang w:eastAsia="en-GB"/>
              </w:rPr>
            </w:pPr>
          </w:p>
        </w:tc>
      </w:tr>
      <w:tr w:rsidR="003A6273" w14:paraId="7CE1002F" w14:textId="77777777" w:rsidTr="00433A54">
        <w:trPr>
          <w:cantSplit/>
          <w:trHeight w:val="283"/>
        </w:trPr>
        <w:tc>
          <w:tcPr>
            <w:tcW w:w="2154" w:type="dxa"/>
            <w:vMerge/>
            <w:tcBorders>
              <w:left w:val="nil"/>
              <w:right w:val="single" w:sz="12" w:space="0" w:color="auto"/>
            </w:tcBorders>
          </w:tcPr>
          <w:p w14:paraId="40F51801" w14:textId="77777777" w:rsidR="003A6273" w:rsidRDefault="003A6273" w:rsidP="00E80A7F">
            <w:pPr>
              <w:pStyle w:val="TableText"/>
              <w:spacing w:before="0" w:after="0"/>
              <w:rPr>
                <w:rFonts w:cs="Segoe UI"/>
                <w:sz w:val="20"/>
                <w:lang w:eastAsia="en-GB"/>
              </w:rPr>
            </w:pPr>
          </w:p>
        </w:tc>
        <w:tc>
          <w:tcPr>
            <w:tcW w:w="4762" w:type="dxa"/>
            <w:tcBorders>
              <w:left w:val="single" w:sz="12" w:space="0" w:color="auto"/>
              <w:right w:val="single" w:sz="12" w:space="0" w:color="auto"/>
            </w:tcBorders>
            <w:shd w:val="clear" w:color="auto" w:fill="auto"/>
          </w:tcPr>
          <w:p w14:paraId="15A6B582" w14:textId="64EE7C24" w:rsidR="003A6273" w:rsidRPr="00E80A7F" w:rsidDel="00E81E47" w:rsidRDefault="003A6273" w:rsidP="00E80A7F">
            <w:pPr>
              <w:pStyle w:val="TableText"/>
              <w:spacing w:before="0" w:after="0"/>
              <w:rPr>
                <w:rFonts w:cs="Segoe UI"/>
                <w:strike/>
                <w:sz w:val="20"/>
                <w:lang w:eastAsia="en-GB"/>
              </w:rPr>
            </w:pPr>
            <w:r w:rsidRPr="00E80A7F">
              <w:rPr>
                <w:rFonts w:cs="Segoe UI"/>
                <w:color w:val="000000"/>
                <w:sz w:val="20"/>
              </w:rPr>
              <w:t>Table MRB: Additional qualitative disclosures for AI using IMA</w:t>
            </w:r>
          </w:p>
        </w:tc>
        <w:tc>
          <w:tcPr>
            <w:tcW w:w="1624" w:type="dxa"/>
            <w:tcBorders>
              <w:left w:val="single" w:sz="12" w:space="0" w:color="auto"/>
              <w:right w:val="single" w:sz="12" w:space="0" w:color="auto"/>
            </w:tcBorders>
            <w:shd w:val="clear" w:color="auto" w:fill="auto"/>
          </w:tcPr>
          <w:p w14:paraId="5C9EADA3" w14:textId="0E1A70EB" w:rsidR="003A6273" w:rsidRPr="00E80A7F" w:rsidDel="00E81E47" w:rsidRDefault="003A6273" w:rsidP="00E80A7F">
            <w:pPr>
              <w:pStyle w:val="TableText"/>
              <w:spacing w:before="0" w:after="0"/>
              <w:jc w:val="center"/>
              <w:rPr>
                <w:rFonts w:cs="Segoe UI"/>
                <w:strike/>
                <w:noProof/>
                <w:sz w:val="20"/>
                <w:lang w:eastAsia="en-GB"/>
              </w:rPr>
            </w:pPr>
            <w:r w:rsidRPr="00E80A7F">
              <w:rPr>
                <w:rFonts w:cs="Segoe UI"/>
                <w:color w:val="000000"/>
                <w:sz w:val="20"/>
              </w:rPr>
              <w:t>L</w:t>
            </w:r>
            <w:r>
              <w:rPr>
                <w:rFonts w:cs="Segoe UI"/>
                <w:color w:val="000000"/>
                <w:sz w:val="20"/>
              </w:rPr>
              <w:t xml:space="preserve"> [IMA]</w:t>
            </w:r>
          </w:p>
        </w:tc>
        <w:tc>
          <w:tcPr>
            <w:tcW w:w="1244" w:type="dxa"/>
            <w:tcBorders>
              <w:left w:val="single" w:sz="12" w:space="0" w:color="auto"/>
            </w:tcBorders>
            <w:shd w:val="clear" w:color="auto" w:fill="auto"/>
          </w:tcPr>
          <w:p w14:paraId="4E782D51" w14:textId="77777777" w:rsidR="003A6273" w:rsidRPr="00E80A7F" w:rsidRDefault="003A6273" w:rsidP="00E80A7F">
            <w:pPr>
              <w:pStyle w:val="TableText"/>
              <w:spacing w:before="0" w:after="0"/>
              <w:jc w:val="center"/>
              <w:rPr>
                <w:rFonts w:cs="Segoe UI"/>
                <w:strike/>
                <w:sz w:val="20"/>
                <w:lang w:eastAsia="en-GB"/>
              </w:rPr>
            </w:pPr>
          </w:p>
        </w:tc>
        <w:tc>
          <w:tcPr>
            <w:tcW w:w="1134" w:type="dxa"/>
            <w:tcBorders>
              <w:right w:val="single" w:sz="12" w:space="0" w:color="auto"/>
            </w:tcBorders>
            <w:shd w:val="clear" w:color="auto" w:fill="auto"/>
          </w:tcPr>
          <w:p w14:paraId="736F53DD" w14:textId="006CF237" w:rsidR="003A6273" w:rsidRPr="00E80A7F" w:rsidDel="00E81E47" w:rsidRDefault="003A6273" w:rsidP="00E80A7F">
            <w:pPr>
              <w:pStyle w:val="TableText"/>
              <w:spacing w:before="0" w:after="0"/>
              <w:jc w:val="center"/>
              <w:rPr>
                <w:rFonts w:cs="Segoe UI"/>
                <w:strike/>
                <w:sz w:val="20"/>
                <w:lang w:eastAsia="en-GB"/>
              </w:rPr>
            </w:pPr>
            <w:r w:rsidRPr="00E80A7F">
              <w:rPr>
                <w:rFonts w:ascii="Wingdings 2" w:hAnsi="Wingdings 2" w:cs="Calibri"/>
                <w:color w:val="000000"/>
                <w:sz w:val="20"/>
              </w:rPr>
              <w:t></w:t>
            </w:r>
          </w:p>
        </w:tc>
        <w:tc>
          <w:tcPr>
            <w:tcW w:w="1134" w:type="dxa"/>
            <w:tcBorders>
              <w:left w:val="single" w:sz="12" w:space="0" w:color="auto"/>
            </w:tcBorders>
            <w:shd w:val="clear" w:color="auto" w:fill="auto"/>
          </w:tcPr>
          <w:p w14:paraId="10F14484" w14:textId="77777777" w:rsidR="003A6273" w:rsidRPr="006A354E" w:rsidRDefault="003A6273" w:rsidP="00E80A7F">
            <w:pPr>
              <w:pStyle w:val="TableText"/>
              <w:spacing w:before="0" w:after="0"/>
              <w:jc w:val="center"/>
              <w:rPr>
                <w:rFonts w:cs="Segoe UI"/>
                <w:strike/>
                <w:sz w:val="20"/>
                <w:lang w:eastAsia="en-GB"/>
              </w:rPr>
            </w:pPr>
          </w:p>
        </w:tc>
        <w:tc>
          <w:tcPr>
            <w:tcW w:w="1276" w:type="dxa"/>
            <w:shd w:val="clear" w:color="auto" w:fill="auto"/>
          </w:tcPr>
          <w:p w14:paraId="12DE3FEB" w14:textId="77777777" w:rsidR="003A6273" w:rsidRPr="006A354E" w:rsidRDefault="003A6273" w:rsidP="00E80A7F">
            <w:pPr>
              <w:pStyle w:val="TableText"/>
              <w:spacing w:before="0" w:after="0"/>
              <w:jc w:val="center"/>
              <w:rPr>
                <w:rFonts w:cs="Segoe UI"/>
                <w:strike/>
                <w:sz w:val="20"/>
                <w:lang w:eastAsia="en-GB"/>
              </w:rPr>
            </w:pPr>
          </w:p>
        </w:tc>
        <w:tc>
          <w:tcPr>
            <w:tcW w:w="1101" w:type="dxa"/>
            <w:tcBorders>
              <w:right w:val="single" w:sz="12" w:space="0" w:color="auto"/>
            </w:tcBorders>
            <w:shd w:val="clear" w:color="auto" w:fill="auto"/>
          </w:tcPr>
          <w:p w14:paraId="7346C42E" w14:textId="6E94E292" w:rsidR="003A6273" w:rsidRPr="00E80A7F" w:rsidDel="00E81E47" w:rsidRDefault="003A6273" w:rsidP="00E80A7F">
            <w:pPr>
              <w:pStyle w:val="TableText"/>
              <w:spacing w:before="0" w:after="0"/>
              <w:jc w:val="center"/>
              <w:rPr>
                <w:rFonts w:cs="Segoe UI"/>
                <w:strike/>
                <w:sz w:val="20"/>
                <w:lang w:eastAsia="en-GB"/>
              </w:rPr>
            </w:pPr>
            <w:r w:rsidRPr="00E80A7F">
              <w:rPr>
                <w:rFonts w:ascii="Wingdings 2" w:hAnsi="Wingdings 2" w:cs="Calibri"/>
                <w:color w:val="000000"/>
                <w:sz w:val="20"/>
              </w:rPr>
              <w:t></w:t>
            </w:r>
          </w:p>
        </w:tc>
      </w:tr>
      <w:tr w:rsidR="003A6273" w14:paraId="14C74E51" w14:textId="77777777" w:rsidTr="003A6273">
        <w:trPr>
          <w:cantSplit/>
          <w:trHeight w:val="283"/>
        </w:trPr>
        <w:tc>
          <w:tcPr>
            <w:tcW w:w="2154" w:type="dxa"/>
            <w:vMerge/>
            <w:tcBorders>
              <w:left w:val="nil"/>
              <w:right w:val="single" w:sz="12" w:space="0" w:color="auto"/>
            </w:tcBorders>
          </w:tcPr>
          <w:p w14:paraId="053C5E79" w14:textId="77777777" w:rsidR="003A6273" w:rsidRDefault="003A6273" w:rsidP="00E80A7F">
            <w:pPr>
              <w:pStyle w:val="TableText"/>
              <w:spacing w:before="0" w:after="0"/>
              <w:rPr>
                <w:rFonts w:cs="Segoe UI"/>
                <w:sz w:val="20"/>
                <w:lang w:eastAsia="en-GB"/>
              </w:rPr>
            </w:pPr>
          </w:p>
        </w:tc>
        <w:tc>
          <w:tcPr>
            <w:tcW w:w="4762" w:type="dxa"/>
            <w:tcBorders>
              <w:left w:val="single" w:sz="12" w:space="0" w:color="auto"/>
              <w:right w:val="single" w:sz="12" w:space="0" w:color="auto"/>
            </w:tcBorders>
            <w:shd w:val="clear" w:color="auto" w:fill="auto"/>
          </w:tcPr>
          <w:p w14:paraId="7800EE04" w14:textId="7B7408BE" w:rsidR="003A6273" w:rsidRPr="00E80A7F" w:rsidDel="00E81E47" w:rsidRDefault="003A6273" w:rsidP="00E80A7F">
            <w:pPr>
              <w:pStyle w:val="TableText"/>
              <w:spacing w:before="0" w:after="0"/>
              <w:rPr>
                <w:rFonts w:cs="Segoe UI"/>
                <w:strike/>
                <w:sz w:val="20"/>
                <w:lang w:eastAsia="en-GB"/>
              </w:rPr>
            </w:pPr>
            <w:r w:rsidRPr="00E80A7F">
              <w:rPr>
                <w:rFonts w:cs="Segoe UI"/>
                <w:color w:val="000000"/>
                <w:sz w:val="20"/>
              </w:rPr>
              <w:t>Template MR2: Market risk under IMA</w:t>
            </w:r>
          </w:p>
        </w:tc>
        <w:tc>
          <w:tcPr>
            <w:tcW w:w="1624" w:type="dxa"/>
            <w:tcBorders>
              <w:left w:val="single" w:sz="12" w:space="0" w:color="auto"/>
              <w:right w:val="single" w:sz="12" w:space="0" w:color="auto"/>
            </w:tcBorders>
            <w:shd w:val="clear" w:color="auto" w:fill="auto"/>
          </w:tcPr>
          <w:p w14:paraId="6FCFDFAB" w14:textId="71DDBE76" w:rsidR="003A6273" w:rsidRPr="00E80A7F" w:rsidDel="00E81E47" w:rsidRDefault="003A6273" w:rsidP="00E80A7F">
            <w:pPr>
              <w:pStyle w:val="TableText"/>
              <w:spacing w:before="0" w:after="0"/>
              <w:jc w:val="center"/>
              <w:rPr>
                <w:rFonts w:cs="Segoe UI"/>
                <w:strike/>
                <w:noProof/>
                <w:sz w:val="20"/>
                <w:lang w:eastAsia="en-GB"/>
              </w:rPr>
            </w:pPr>
            <w:r w:rsidRPr="00E80A7F">
              <w:rPr>
                <w:rFonts w:cs="Segoe UI"/>
                <w:color w:val="000000"/>
                <w:sz w:val="20"/>
              </w:rPr>
              <w:t>L</w:t>
            </w:r>
            <w:r>
              <w:rPr>
                <w:rFonts w:cs="Segoe UI"/>
                <w:color w:val="000000"/>
                <w:sz w:val="20"/>
              </w:rPr>
              <w:t xml:space="preserve"> [IMA]</w:t>
            </w:r>
          </w:p>
        </w:tc>
        <w:tc>
          <w:tcPr>
            <w:tcW w:w="1244" w:type="dxa"/>
            <w:tcBorders>
              <w:left w:val="single" w:sz="12" w:space="0" w:color="auto"/>
            </w:tcBorders>
            <w:shd w:val="clear" w:color="auto" w:fill="auto"/>
          </w:tcPr>
          <w:p w14:paraId="14C4A859" w14:textId="002693F8" w:rsidR="003A6273" w:rsidRPr="00E80A7F" w:rsidRDefault="003A6273" w:rsidP="00E80A7F">
            <w:pPr>
              <w:pStyle w:val="TableText"/>
              <w:spacing w:before="0" w:after="0"/>
              <w:jc w:val="center"/>
              <w:rPr>
                <w:rFonts w:cs="Segoe UI"/>
                <w:strike/>
                <w:sz w:val="20"/>
                <w:lang w:eastAsia="en-GB"/>
              </w:rPr>
            </w:pPr>
            <w:r w:rsidRPr="00E80A7F">
              <w:rPr>
                <w:rFonts w:ascii="Wingdings 2" w:hAnsi="Wingdings 2" w:cs="Calibri"/>
                <w:color w:val="000000"/>
                <w:sz w:val="20"/>
              </w:rPr>
              <w:t></w:t>
            </w:r>
          </w:p>
        </w:tc>
        <w:tc>
          <w:tcPr>
            <w:tcW w:w="1134" w:type="dxa"/>
            <w:tcBorders>
              <w:right w:val="single" w:sz="12" w:space="0" w:color="auto"/>
            </w:tcBorders>
            <w:shd w:val="clear" w:color="auto" w:fill="auto"/>
          </w:tcPr>
          <w:p w14:paraId="577B104F" w14:textId="77777777" w:rsidR="003A6273" w:rsidRPr="00E80A7F" w:rsidDel="00E81E47" w:rsidRDefault="003A6273" w:rsidP="00E80A7F">
            <w:pPr>
              <w:pStyle w:val="TableText"/>
              <w:spacing w:before="0" w:after="0"/>
              <w:jc w:val="center"/>
              <w:rPr>
                <w:rFonts w:cs="Segoe UI"/>
                <w:strike/>
                <w:sz w:val="20"/>
                <w:lang w:eastAsia="en-GB"/>
              </w:rPr>
            </w:pPr>
          </w:p>
        </w:tc>
        <w:tc>
          <w:tcPr>
            <w:tcW w:w="1134" w:type="dxa"/>
            <w:tcBorders>
              <w:left w:val="single" w:sz="12" w:space="0" w:color="auto"/>
            </w:tcBorders>
            <w:shd w:val="clear" w:color="auto" w:fill="auto"/>
          </w:tcPr>
          <w:p w14:paraId="272D8676" w14:textId="63073C1A" w:rsidR="003A6273" w:rsidRPr="00E80A7F" w:rsidRDefault="003A6273" w:rsidP="00E80A7F">
            <w:pPr>
              <w:pStyle w:val="TableText"/>
              <w:spacing w:before="0" w:after="0"/>
              <w:jc w:val="center"/>
              <w:rPr>
                <w:rFonts w:cs="Segoe UI"/>
                <w:strike/>
                <w:sz w:val="20"/>
                <w:lang w:eastAsia="en-GB"/>
              </w:rPr>
            </w:pPr>
            <w:r w:rsidRPr="00E80A7F">
              <w:rPr>
                <w:rFonts w:ascii="Wingdings 2" w:hAnsi="Wingdings 2" w:cs="Calibri"/>
                <w:color w:val="000000"/>
                <w:sz w:val="20"/>
              </w:rPr>
              <w:t></w:t>
            </w:r>
          </w:p>
        </w:tc>
        <w:tc>
          <w:tcPr>
            <w:tcW w:w="1276" w:type="dxa"/>
            <w:shd w:val="clear" w:color="auto" w:fill="auto"/>
          </w:tcPr>
          <w:p w14:paraId="188C1597" w14:textId="77777777" w:rsidR="003A6273" w:rsidRPr="006A354E" w:rsidRDefault="003A6273" w:rsidP="00E80A7F">
            <w:pPr>
              <w:pStyle w:val="TableText"/>
              <w:spacing w:before="0" w:after="0"/>
              <w:jc w:val="center"/>
              <w:rPr>
                <w:rFonts w:cs="Segoe UI"/>
                <w:strike/>
                <w:sz w:val="20"/>
                <w:lang w:eastAsia="en-GB"/>
              </w:rPr>
            </w:pPr>
          </w:p>
        </w:tc>
        <w:tc>
          <w:tcPr>
            <w:tcW w:w="1101" w:type="dxa"/>
            <w:tcBorders>
              <w:right w:val="single" w:sz="12" w:space="0" w:color="auto"/>
            </w:tcBorders>
            <w:shd w:val="clear" w:color="auto" w:fill="auto"/>
          </w:tcPr>
          <w:p w14:paraId="51250896" w14:textId="77777777" w:rsidR="003A6273" w:rsidRPr="006A354E" w:rsidDel="00E81E47" w:rsidRDefault="003A6273" w:rsidP="00E80A7F">
            <w:pPr>
              <w:pStyle w:val="TableText"/>
              <w:spacing w:before="0" w:after="0"/>
              <w:jc w:val="center"/>
              <w:rPr>
                <w:rFonts w:cs="Segoe UI"/>
                <w:strike/>
                <w:sz w:val="20"/>
                <w:lang w:eastAsia="en-GB"/>
              </w:rPr>
            </w:pPr>
          </w:p>
        </w:tc>
      </w:tr>
      <w:tr w:rsidR="003A6273" w14:paraId="337BF915" w14:textId="77777777" w:rsidTr="002B652A">
        <w:trPr>
          <w:cantSplit/>
          <w:trHeight w:val="283"/>
        </w:trPr>
        <w:tc>
          <w:tcPr>
            <w:tcW w:w="2154" w:type="dxa"/>
            <w:vMerge/>
            <w:tcBorders>
              <w:left w:val="nil"/>
              <w:bottom w:val="single" w:sz="4" w:space="0" w:color="auto"/>
              <w:right w:val="single" w:sz="12" w:space="0" w:color="auto"/>
            </w:tcBorders>
          </w:tcPr>
          <w:p w14:paraId="036CEA26" w14:textId="77777777" w:rsidR="003A6273" w:rsidRDefault="003A6273" w:rsidP="00E80A7F">
            <w:pPr>
              <w:pStyle w:val="TableText"/>
              <w:spacing w:before="0" w:after="0"/>
              <w:rPr>
                <w:rFonts w:cs="Segoe UI"/>
                <w:sz w:val="20"/>
                <w:lang w:eastAsia="en-GB"/>
              </w:rPr>
            </w:pPr>
          </w:p>
        </w:tc>
        <w:tc>
          <w:tcPr>
            <w:tcW w:w="4762" w:type="dxa"/>
            <w:tcBorders>
              <w:left w:val="single" w:sz="12" w:space="0" w:color="auto"/>
              <w:bottom w:val="single" w:sz="12" w:space="0" w:color="auto"/>
              <w:right w:val="single" w:sz="12" w:space="0" w:color="auto"/>
            </w:tcBorders>
            <w:shd w:val="clear" w:color="auto" w:fill="auto"/>
          </w:tcPr>
          <w:p w14:paraId="045F614A" w14:textId="5F346D63" w:rsidR="003A6273" w:rsidRPr="00E80A7F" w:rsidDel="00E81E47" w:rsidRDefault="003A6273" w:rsidP="00E80A7F">
            <w:pPr>
              <w:pStyle w:val="TableText"/>
              <w:spacing w:before="0" w:after="0"/>
              <w:rPr>
                <w:rFonts w:cs="Segoe UI"/>
                <w:strike/>
                <w:sz w:val="20"/>
                <w:lang w:eastAsia="en-GB"/>
              </w:rPr>
            </w:pPr>
            <w:r w:rsidRPr="00E80A7F">
              <w:rPr>
                <w:rFonts w:cs="Segoe UI"/>
                <w:color w:val="000000"/>
                <w:sz w:val="20"/>
              </w:rPr>
              <w:t>Template MR3: Market risk under SSTM approach</w:t>
            </w:r>
          </w:p>
        </w:tc>
        <w:tc>
          <w:tcPr>
            <w:tcW w:w="1624" w:type="dxa"/>
            <w:tcBorders>
              <w:left w:val="single" w:sz="12" w:space="0" w:color="auto"/>
              <w:bottom w:val="single" w:sz="12" w:space="0" w:color="auto"/>
              <w:right w:val="single" w:sz="12" w:space="0" w:color="auto"/>
            </w:tcBorders>
            <w:shd w:val="clear" w:color="auto" w:fill="auto"/>
          </w:tcPr>
          <w:p w14:paraId="34B3B527" w14:textId="79D4AFD5" w:rsidR="003A6273" w:rsidRPr="00E80A7F" w:rsidDel="00E81E47" w:rsidRDefault="003A6273" w:rsidP="00E80A7F">
            <w:pPr>
              <w:pStyle w:val="TableText"/>
              <w:spacing w:before="0" w:after="0"/>
              <w:jc w:val="center"/>
              <w:rPr>
                <w:rFonts w:cs="Segoe UI"/>
                <w:strike/>
                <w:noProof/>
                <w:sz w:val="20"/>
                <w:lang w:eastAsia="en-GB"/>
              </w:rPr>
            </w:pPr>
            <w:r w:rsidRPr="00E80A7F">
              <w:rPr>
                <w:rFonts w:cs="Segoe UI"/>
                <w:color w:val="000000"/>
                <w:sz w:val="20"/>
              </w:rPr>
              <w:t>L</w:t>
            </w:r>
            <w:r>
              <w:rPr>
                <w:rFonts w:cs="Segoe UI"/>
                <w:color w:val="000000"/>
                <w:sz w:val="20"/>
              </w:rPr>
              <w:t xml:space="preserve"> [SSTM]</w:t>
            </w:r>
          </w:p>
        </w:tc>
        <w:tc>
          <w:tcPr>
            <w:tcW w:w="1244" w:type="dxa"/>
            <w:tcBorders>
              <w:left w:val="single" w:sz="12" w:space="0" w:color="auto"/>
              <w:bottom w:val="single" w:sz="12" w:space="0" w:color="auto"/>
            </w:tcBorders>
            <w:shd w:val="clear" w:color="auto" w:fill="auto"/>
          </w:tcPr>
          <w:p w14:paraId="6D396FC8" w14:textId="4A027E3F" w:rsidR="003A6273" w:rsidRPr="00E80A7F" w:rsidRDefault="003A6273" w:rsidP="00E80A7F">
            <w:pPr>
              <w:pStyle w:val="TableText"/>
              <w:spacing w:before="0" w:after="0"/>
              <w:jc w:val="center"/>
              <w:rPr>
                <w:rFonts w:cs="Segoe UI"/>
                <w:strike/>
                <w:sz w:val="20"/>
                <w:lang w:eastAsia="en-GB"/>
              </w:rPr>
            </w:pPr>
            <w:r w:rsidRPr="00E80A7F">
              <w:rPr>
                <w:rFonts w:ascii="Wingdings 2" w:hAnsi="Wingdings 2" w:cs="Calibri"/>
                <w:color w:val="000000"/>
                <w:sz w:val="20"/>
              </w:rPr>
              <w:t></w:t>
            </w:r>
          </w:p>
        </w:tc>
        <w:tc>
          <w:tcPr>
            <w:tcW w:w="1134" w:type="dxa"/>
            <w:tcBorders>
              <w:bottom w:val="single" w:sz="12" w:space="0" w:color="auto"/>
              <w:right w:val="single" w:sz="12" w:space="0" w:color="auto"/>
            </w:tcBorders>
            <w:shd w:val="clear" w:color="auto" w:fill="auto"/>
          </w:tcPr>
          <w:p w14:paraId="4F824AF5" w14:textId="77777777" w:rsidR="003A6273" w:rsidRPr="006A354E" w:rsidDel="00E81E47" w:rsidRDefault="003A6273" w:rsidP="00E80A7F">
            <w:pPr>
              <w:pStyle w:val="TableText"/>
              <w:spacing w:before="0" w:after="0"/>
              <w:jc w:val="center"/>
              <w:rPr>
                <w:rFonts w:cs="Segoe UI"/>
                <w:strike/>
                <w:sz w:val="20"/>
                <w:lang w:eastAsia="en-GB"/>
              </w:rPr>
            </w:pPr>
          </w:p>
        </w:tc>
        <w:tc>
          <w:tcPr>
            <w:tcW w:w="1134" w:type="dxa"/>
            <w:tcBorders>
              <w:left w:val="single" w:sz="12" w:space="0" w:color="auto"/>
              <w:bottom w:val="single" w:sz="12" w:space="0" w:color="auto"/>
            </w:tcBorders>
            <w:shd w:val="clear" w:color="auto" w:fill="auto"/>
          </w:tcPr>
          <w:p w14:paraId="54828A38" w14:textId="77777777" w:rsidR="003A6273" w:rsidRPr="006A354E" w:rsidRDefault="003A6273" w:rsidP="00E80A7F">
            <w:pPr>
              <w:pStyle w:val="TableText"/>
              <w:spacing w:before="0" w:after="0"/>
              <w:jc w:val="center"/>
              <w:rPr>
                <w:rFonts w:cs="Segoe UI"/>
                <w:strike/>
                <w:sz w:val="20"/>
                <w:lang w:eastAsia="en-GB"/>
              </w:rPr>
            </w:pPr>
          </w:p>
        </w:tc>
        <w:tc>
          <w:tcPr>
            <w:tcW w:w="1276" w:type="dxa"/>
            <w:tcBorders>
              <w:bottom w:val="single" w:sz="12" w:space="0" w:color="auto"/>
            </w:tcBorders>
            <w:shd w:val="clear" w:color="auto" w:fill="auto"/>
          </w:tcPr>
          <w:p w14:paraId="2EFD71CB" w14:textId="5CB222B5" w:rsidR="003A6273" w:rsidRPr="00E80A7F" w:rsidRDefault="003A6273" w:rsidP="00E80A7F">
            <w:pPr>
              <w:pStyle w:val="TableText"/>
              <w:spacing w:before="0" w:after="0"/>
              <w:jc w:val="center"/>
              <w:rPr>
                <w:rFonts w:cs="Segoe UI"/>
                <w:strike/>
                <w:sz w:val="20"/>
                <w:lang w:eastAsia="en-GB"/>
              </w:rPr>
            </w:pPr>
            <w:r w:rsidRPr="00E80A7F">
              <w:rPr>
                <w:rFonts w:ascii="Wingdings 2" w:hAnsi="Wingdings 2" w:cs="Calibri"/>
                <w:color w:val="000000"/>
                <w:sz w:val="20"/>
              </w:rPr>
              <w:t></w:t>
            </w:r>
          </w:p>
        </w:tc>
        <w:tc>
          <w:tcPr>
            <w:tcW w:w="1101" w:type="dxa"/>
            <w:tcBorders>
              <w:bottom w:val="single" w:sz="12" w:space="0" w:color="auto"/>
              <w:right w:val="single" w:sz="12" w:space="0" w:color="auto"/>
            </w:tcBorders>
            <w:shd w:val="clear" w:color="auto" w:fill="auto"/>
          </w:tcPr>
          <w:p w14:paraId="4C033E5B" w14:textId="77777777" w:rsidR="003A6273" w:rsidRPr="006A354E" w:rsidDel="00E81E47" w:rsidRDefault="003A6273" w:rsidP="00E80A7F">
            <w:pPr>
              <w:pStyle w:val="TableText"/>
              <w:spacing w:before="0" w:after="0"/>
              <w:jc w:val="center"/>
              <w:rPr>
                <w:rFonts w:cs="Segoe UI"/>
                <w:strike/>
                <w:sz w:val="20"/>
                <w:lang w:eastAsia="en-GB"/>
              </w:rPr>
            </w:pPr>
          </w:p>
        </w:tc>
      </w:tr>
      <w:tr w:rsidR="003A6273" w14:paraId="32C617D2" w14:textId="77777777" w:rsidTr="00433A54">
        <w:trPr>
          <w:cantSplit/>
          <w:trHeight w:val="283"/>
        </w:trPr>
        <w:tc>
          <w:tcPr>
            <w:tcW w:w="2154" w:type="dxa"/>
            <w:vMerge w:val="restart"/>
            <w:tcBorders>
              <w:top w:val="single" w:sz="12" w:space="0" w:color="auto"/>
              <w:left w:val="nil"/>
              <w:right w:val="single" w:sz="12" w:space="0" w:color="auto"/>
            </w:tcBorders>
          </w:tcPr>
          <w:p w14:paraId="089AA660" w14:textId="66906E83" w:rsidR="003A6273" w:rsidRPr="007B3828" w:rsidRDefault="003A6273" w:rsidP="00CE1D6C">
            <w:pPr>
              <w:pStyle w:val="TableText"/>
              <w:spacing w:before="0" w:after="0"/>
              <w:rPr>
                <w:rFonts w:cs="Segoe UI"/>
                <w:sz w:val="20"/>
                <w:lang w:eastAsia="en-GB"/>
              </w:rPr>
            </w:pPr>
            <w:r w:rsidRPr="007B3828">
              <w:rPr>
                <w:rFonts w:cs="Segoe UI"/>
                <w:sz w:val="20"/>
                <w:lang w:eastAsia="en-GB"/>
              </w:rPr>
              <w:t>Part VII : Interest rate risk in banking book</w:t>
            </w:r>
          </w:p>
        </w:tc>
        <w:tc>
          <w:tcPr>
            <w:tcW w:w="4762" w:type="dxa"/>
            <w:tcBorders>
              <w:top w:val="single" w:sz="12" w:space="0" w:color="auto"/>
              <w:left w:val="single" w:sz="12" w:space="0" w:color="auto"/>
              <w:right w:val="single" w:sz="12" w:space="0" w:color="auto"/>
            </w:tcBorders>
            <w:shd w:val="clear" w:color="auto" w:fill="auto"/>
          </w:tcPr>
          <w:p w14:paraId="2FED6B78" w14:textId="77777777" w:rsidR="003A6273" w:rsidRPr="00F914B1" w:rsidRDefault="003A6273" w:rsidP="007136E5">
            <w:pPr>
              <w:pStyle w:val="TableText"/>
              <w:spacing w:before="0" w:after="0"/>
              <w:rPr>
                <w:rFonts w:cs="Segoe UI"/>
                <w:noProof/>
                <w:sz w:val="20"/>
                <w:lang w:eastAsia="en-GB"/>
              </w:rPr>
            </w:pPr>
            <w:r w:rsidRPr="00F914B1">
              <w:rPr>
                <w:rFonts w:cs="Segoe UI"/>
                <w:sz w:val="20"/>
                <w:lang w:eastAsia="en-GB"/>
              </w:rPr>
              <w:t>Table</w:t>
            </w:r>
            <w:r>
              <w:rPr>
                <w:rFonts w:cs="Segoe UI"/>
                <w:sz w:val="20"/>
                <w:lang w:eastAsia="en-GB"/>
              </w:rPr>
              <w:t xml:space="preserve"> </w:t>
            </w:r>
            <w:r w:rsidRPr="001E177B">
              <w:rPr>
                <w:rFonts w:cs="Segoe UI"/>
                <w:sz w:val="20"/>
                <w:lang w:eastAsia="en-GB"/>
              </w:rPr>
              <w:t>IRRBBA</w:t>
            </w:r>
            <w:r>
              <w:rPr>
                <w:rFonts w:cs="Segoe UI"/>
                <w:sz w:val="20"/>
                <w:lang w:eastAsia="en-GB"/>
              </w:rPr>
              <w:t xml:space="preserve">: Interest rate risk in </w:t>
            </w:r>
            <w:r w:rsidRPr="00F9056F">
              <w:rPr>
                <w:rFonts w:cs="Segoe UI"/>
                <w:sz w:val="20"/>
                <w:lang w:eastAsia="en-GB"/>
              </w:rPr>
              <w:t>banking book – risk management objectives and policies</w:t>
            </w:r>
          </w:p>
        </w:tc>
        <w:tc>
          <w:tcPr>
            <w:tcW w:w="1624" w:type="dxa"/>
            <w:tcBorders>
              <w:top w:val="single" w:sz="12" w:space="0" w:color="auto"/>
              <w:left w:val="single" w:sz="12" w:space="0" w:color="auto"/>
              <w:right w:val="single" w:sz="12" w:space="0" w:color="auto"/>
            </w:tcBorders>
            <w:shd w:val="clear" w:color="auto" w:fill="auto"/>
          </w:tcPr>
          <w:p w14:paraId="47961527" w14:textId="77777777" w:rsidR="003A6273" w:rsidRPr="00F914B1" w:rsidRDefault="003A6273" w:rsidP="007136E5">
            <w:pPr>
              <w:pStyle w:val="TableText"/>
              <w:spacing w:before="0" w:after="0"/>
              <w:jc w:val="center"/>
              <w:rPr>
                <w:rFonts w:cs="Segoe UI"/>
                <w:sz w:val="20"/>
                <w:lang w:eastAsia="en-GB"/>
              </w:rPr>
            </w:pPr>
            <w:r>
              <w:rPr>
                <w:rFonts w:cs="Segoe UI"/>
                <w:sz w:val="20"/>
                <w:lang w:eastAsia="en-GB"/>
              </w:rPr>
              <w:t>L</w:t>
            </w:r>
          </w:p>
        </w:tc>
        <w:tc>
          <w:tcPr>
            <w:tcW w:w="1244" w:type="dxa"/>
            <w:tcBorders>
              <w:top w:val="single" w:sz="12" w:space="0" w:color="auto"/>
              <w:left w:val="single" w:sz="12" w:space="0" w:color="auto"/>
            </w:tcBorders>
            <w:shd w:val="clear" w:color="auto" w:fill="auto"/>
          </w:tcPr>
          <w:p w14:paraId="63B6449E" w14:textId="77777777" w:rsidR="003A6273" w:rsidRPr="00F914B1" w:rsidRDefault="003A6273" w:rsidP="007136E5">
            <w:pPr>
              <w:pStyle w:val="TableText"/>
              <w:spacing w:before="0" w:after="0"/>
              <w:jc w:val="center"/>
              <w:rPr>
                <w:rFonts w:cs="Segoe UI"/>
                <w:sz w:val="20"/>
                <w:lang w:eastAsia="en-GB"/>
              </w:rPr>
            </w:pPr>
          </w:p>
        </w:tc>
        <w:tc>
          <w:tcPr>
            <w:tcW w:w="1134" w:type="dxa"/>
            <w:tcBorders>
              <w:top w:val="single" w:sz="12" w:space="0" w:color="auto"/>
              <w:right w:val="single" w:sz="12" w:space="0" w:color="auto"/>
            </w:tcBorders>
            <w:shd w:val="clear" w:color="auto" w:fill="auto"/>
          </w:tcPr>
          <w:p w14:paraId="62735E3A" w14:textId="77777777" w:rsidR="003A6273" w:rsidRPr="00F914B1" w:rsidRDefault="003A6273" w:rsidP="007136E5">
            <w:pPr>
              <w:pStyle w:val="TableText"/>
              <w:spacing w:before="0" w:after="0"/>
              <w:jc w:val="center"/>
              <w:rPr>
                <w:rFonts w:cs="Segoe UI"/>
                <w:noProof/>
                <w:sz w:val="20"/>
                <w:lang w:eastAsia="en-GB"/>
              </w:rPr>
            </w:pPr>
            <w:r w:rsidRPr="00F914B1">
              <w:rPr>
                <w:rFonts w:cs="Segoe UI"/>
                <w:sz w:val="20"/>
                <w:lang w:eastAsia="en-GB"/>
              </w:rPr>
              <w:sym w:font="Wingdings 2" w:char="F050"/>
            </w:r>
          </w:p>
        </w:tc>
        <w:tc>
          <w:tcPr>
            <w:tcW w:w="1134" w:type="dxa"/>
            <w:tcBorders>
              <w:top w:val="single" w:sz="12" w:space="0" w:color="auto"/>
              <w:left w:val="single" w:sz="12" w:space="0" w:color="auto"/>
            </w:tcBorders>
            <w:shd w:val="clear" w:color="auto" w:fill="auto"/>
          </w:tcPr>
          <w:p w14:paraId="7EF2C86F" w14:textId="77777777" w:rsidR="003A6273" w:rsidRPr="00377E2C" w:rsidRDefault="003A6273" w:rsidP="007136E5">
            <w:pPr>
              <w:pStyle w:val="TableText"/>
              <w:spacing w:before="0" w:after="0"/>
              <w:jc w:val="center"/>
              <w:rPr>
                <w:rFonts w:eastAsiaTheme="minorEastAsia" w:cs="Segoe UI"/>
                <w:sz w:val="20"/>
                <w:lang w:eastAsia="zh-TW"/>
              </w:rPr>
            </w:pPr>
          </w:p>
        </w:tc>
        <w:tc>
          <w:tcPr>
            <w:tcW w:w="1276" w:type="dxa"/>
            <w:tcBorders>
              <w:top w:val="single" w:sz="12" w:space="0" w:color="auto"/>
            </w:tcBorders>
            <w:shd w:val="clear" w:color="auto" w:fill="auto"/>
          </w:tcPr>
          <w:p w14:paraId="430043B5" w14:textId="77777777" w:rsidR="003A6273" w:rsidRPr="00F914B1" w:rsidRDefault="003A6273" w:rsidP="007136E5">
            <w:pPr>
              <w:pStyle w:val="TableText"/>
              <w:spacing w:before="0" w:after="0"/>
              <w:jc w:val="center"/>
              <w:rPr>
                <w:rFonts w:cs="Segoe UI"/>
                <w:sz w:val="20"/>
                <w:lang w:eastAsia="en-GB"/>
              </w:rPr>
            </w:pPr>
          </w:p>
        </w:tc>
        <w:tc>
          <w:tcPr>
            <w:tcW w:w="1101" w:type="dxa"/>
            <w:tcBorders>
              <w:top w:val="single" w:sz="12" w:space="0" w:color="auto"/>
              <w:right w:val="single" w:sz="12" w:space="0" w:color="auto"/>
            </w:tcBorders>
            <w:shd w:val="clear" w:color="auto" w:fill="auto"/>
          </w:tcPr>
          <w:p w14:paraId="7C325A7B" w14:textId="77777777" w:rsidR="003A6273" w:rsidRPr="00F914B1" w:rsidRDefault="003A6273" w:rsidP="007136E5">
            <w:pPr>
              <w:pStyle w:val="TableText"/>
              <w:spacing w:before="0" w:after="0"/>
              <w:jc w:val="center"/>
              <w:rPr>
                <w:rFonts w:cs="Segoe UI"/>
                <w:noProof/>
                <w:sz w:val="20"/>
                <w:lang w:eastAsia="en-GB"/>
              </w:rPr>
            </w:pPr>
            <w:r w:rsidRPr="00F914B1">
              <w:rPr>
                <w:rFonts w:cs="Segoe UI"/>
                <w:sz w:val="20"/>
                <w:lang w:eastAsia="en-GB"/>
              </w:rPr>
              <w:sym w:font="Wingdings 2" w:char="F050"/>
            </w:r>
          </w:p>
        </w:tc>
      </w:tr>
      <w:tr w:rsidR="003A6273" w14:paraId="478C7663" w14:textId="77777777" w:rsidTr="00846F9E">
        <w:trPr>
          <w:cantSplit/>
          <w:trHeight w:val="283"/>
        </w:trPr>
        <w:tc>
          <w:tcPr>
            <w:tcW w:w="2154" w:type="dxa"/>
            <w:vMerge/>
            <w:tcBorders>
              <w:left w:val="nil"/>
              <w:bottom w:val="single" w:sz="12" w:space="0" w:color="auto"/>
              <w:right w:val="single" w:sz="12" w:space="0" w:color="auto"/>
            </w:tcBorders>
          </w:tcPr>
          <w:p w14:paraId="748CA5EF" w14:textId="77777777" w:rsidR="003A6273" w:rsidRPr="007B3828" w:rsidRDefault="003A6273" w:rsidP="007136E5">
            <w:pPr>
              <w:pStyle w:val="TableText"/>
              <w:spacing w:before="0" w:after="0"/>
              <w:rPr>
                <w:rFonts w:cs="Segoe UI"/>
                <w:sz w:val="20"/>
                <w:lang w:eastAsia="en-GB"/>
              </w:rPr>
            </w:pPr>
          </w:p>
        </w:tc>
        <w:tc>
          <w:tcPr>
            <w:tcW w:w="4762" w:type="dxa"/>
            <w:tcBorders>
              <w:left w:val="single" w:sz="12" w:space="0" w:color="auto"/>
              <w:bottom w:val="single" w:sz="12" w:space="0" w:color="auto"/>
              <w:right w:val="single" w:sz="12" w:space="0" w:color="auto"/>
            </w:tcBorders>
            <w:shd w:val="clear" w:color="auto" w:fill="auto"/>
          </w:tcPr>
          <w:p w14:paraId="52C6A913" w14:textId="77777777" w:rsidR="003A6273" w:rsidRPr="00F914B1" w:rsidRDefault="003A6273" w:rsidP="007136E5">
            <w:pPr>
              <w:pStyle w:val="TableText"/>
              <w:spacing w:before="0" w:after="0"/>
              <w:rPr>
                <w:rFonts w:cs="Segoe UI"/>
                <w:noProof/>
                <w:sz w:val="20"/>
                <w:lang w:eastAsia="en-GB"/>
              </w:rPr>
            </w:pPr>
            <w:r w:rsidRPr="00F914B1">
              <w:rPr>
                <w:rFonts w:cs="Segoe UI"/>
                <w:sz w:val="20"/>
                <w:lang w:eastAsia="en-GB"/>
              </w:rPr>
              <w:t xml:space="preserve">Template </w:t>
            </w:r>
            <w:r w:rsidRPr="001E177B">
              <w:rPr>
                <w:rFonts w:cs="Segoe UI"/>
                <w:sz w:val="20"/>
                <w:lang w:eastAsia="en-GB"/>
              </w:rPr>
              <w:t>IRRBB1</w:t>
            </w:r>
            <w:r>
              <w:rPr>
                <w:rFonts w:cs="Segoe UI"/>
                <w:sz w:val="20"/>
                <w:lang w:eastAsia="en-GB"/>
              </w:rPr>
              <w:t>:</w:t>
            </w:r>
            <w:r w:rsidRPr="001E177B">
              <w:rPr>
                <w:rFonts w:cs="Segoe UI"/>
                <w:sz w:val="20"/>
                <w:lang w:eastAsia="en-GB"/>
              </w:rPr>
              <w:t xml:space="preserve"> Quantitative in</w:t>
            </w:r>
            <w:r>
              <w:rPr>
                <w:rFonts w:cs="Segoe UI"/>
                <w:sz w:val="20"/>
                <w:lang w:eastAsia="en-GB"/>
              </w:rPr>
              <w:t xml:space="preserve">formation on interest rate risk in </w:t>
            </w:r>
            <w:r w:rsidRPr="00F9056F">
              <w:rPr>
                <w:rFonts w:cs="Segoe UI"/>
                <w:sz w:val="20"/>
                <w:lang w:eastAsia="en-GB"/>
              </w:rPr>
              <w:t>banking book</w:t>
            </w:r>
          </w:p>
        </w:tc>
        <w:tc>
          <w:tcPr>
            <w:tcW w:w="1624" w:type="dxa"/>
            <w:tcBorders>
              <w:left w:val="single" w:sz="12" w:space="0" w:color="auto"/>
              <w:bottom w:val="single" w:sz="12" w:space="0" w:color="auto"/>
              <w:right w:val="single" w:sz="12" w:space="0" w:color="auto"/>
            </w:tcBorders>
            <w:shd w:val="clear" w:color="auto" w:fill="auto"/>
          </w:tcPr>
          <w:p w14:paraId="05C91186" w14:textId="77777777" w:rsidR="003A6273" w:rsidRPr="00F914B1" w:rsidRDefault="003A6273" w:rsidP="007136E5">
            <w:pPr>
              <w:pStyle w:val="TableText"/>
              <w:spacing w:before="0" w:after="0"/>
              <w:jc w:val="center"/>
              <w:rPr>
                <w:rFonts w:cs="Segoe UI"/>
                <w:sz w:val="20"/>
                <w:lang w:eastAsia="en-GB"/>
              </w:rPr>
            </w:pPr>
            <w:r>
              <w:rPr>
                <w:rFonts w:cs="Segoe UI"/>
                <w:sz w:val="20"/>
                <w:lang w:eastAsia="en-GB"/>
              </w:rPr>
              <w:t>L</w:t>
            </w:r>
          </w:p>
        </w:tc>
        <w:tc>
          <w:tcPr>
            <w:tcW w:w="1244" w:type="dxa"/>
            <w:tcBorders>
              <w:left w:val="single" w:sz="12" w:space="0" w:color="auto"/>
              <w:bottom w:val="single" w:sz="12" w:space="0" w:color="auto"/>
            </w:tcBorders>
            <w:shd w:val="clear" w:color="auto" w:fill="auto"/>
          </w:tcPr>
          <w:p w14:paraId="0DB1FE00" w14:textId="77777777" w:rsidR="003A6273" w:rsidRPr="00F914B1" w:rsidRDefault="003A6273" w:rsidP="007136E5">
            <w:pPr>
              <w:pStyle w:val="TableText"/>
              <w:spacing w:before="0" w:after="0"/>
              <w:jc w:val="center"/>
              <w:rPr>
                <w:rFonts w:cs="Segoe UI"/>
                <w:sz w:val="20"/>
                <w:lang w:eastAsia="en-GB"/>
              </w:rPr>
            </w:pPr>
            <w:r w:rsidRPr="00F914B1">
              <w:rPr>
                <w:rFonts w:cs="Segoe UI"/>
                <w:sz w:val="20"/>
                <w:lang w:eastAsia="en-GB"/>
              </w:rPr>
              <w:sym w:font="Wingdings 2" w:char="F050"/>
            </w:r>
          </w:p>
        </w:tc>
        <w:tc>
          <w:tcPr>
            <w:tcW w:w="1134" w:type="dxa"/>
            <w:tcBorders>
              <w:bottom w:val="single" w:sz="12" w:space="0" w:color="auto"/>
              <w:right w:val="single" w:sz="12" w:space="0" w:color="auto"/>
            </w:tcBorders>
            <w:shd w:val="clear" w:color="auto" w:fill="auto"/>
          </w:tcPr>
          <w:p w14:paraId="006A01F2" w14:textId="77777777" w:rsidR="003A6273" w:rsidRPr="00F914B1" w:rsidRDefault="003A6273" w:rsidP="007136E5">
            <w:pPr>
              <w:pStyle w:val="TableText"/>
              <w:spacing w:before="0" w:after="0"/>
              <w:jc w:val="center"/>
              <w:rPr>
                <w:rFonts w:cs="Segoe UI"/>
                <w:noProof/>
                <w:sz w:val="20"/>
                <w:lang w:eastAsia="en-GB"/>
              </w:rPr>
            </w:pPr>
          </w:p>
        </w:tc>
        <w:tc>
          <w:tcPr>
            <w:tcW w:w="1134" w:type="dxa"/>
            <w:tcBorders>
              <w:left w:val="single" w:sz="12" w:space="0" w:color="auto"/>
              <w:bottom w:val="single" w:sz="12" w:space="0" w:color="auto"/>
            </w:tcBorders>
            <w:shd w:val="clear" w:color="auto" w:fill="auto"/>
          </w:tcPr>
          <w:p w14:paraId="7DD96060" w14:textId="77777777" w:rsidR="003A6273" w:rsidRPr="00F914B1" w:rsidRDefault="003A6273" w:rsidP="007136E5">
            <w:pPr>
              <w:pStyle w:val="TableText"/>
              <w:spacing w:before="0" w:after="0"/>
              <w:jc w:val="center"/>
              <w:rPr>
                <w:rFonts w:cs="Segoe UI"/>
                <w:sz w:val="20"/>
                <w:lang w:eastAsia="en-GB"/>
              </w:rPr>
            </w:pPr>
          </w:p>
        </w:tc>
        <w:tc>
          <w:tcPr>
            <w:tcW w:w="1276" w:type="dxa"/>
            <w:tcBorders>
              <w:bottom w:val="single" w:sz="12" w:space="0" w:color="auto"/>
            </w:tcBorders>
            <w:shd w:val="clear" w:color="auto" w:fill="auto"/>
          </w:tcPr>
          <w:p w14:paraId="17533D50" w14:textId="77777777" w:rsidR="003A6273" w:rsidRPr="00F914B1" w:rsidRDefault="003A6273" w:rsidP="007136E5">
            <w:pPr>
              <w:pStyle w:val="TableText"/>
              <w:spacing w:before="0" w:after="0"/>
              <w:jc w:val="center"/>
              <w:rPr>
                <w:rFonts w:cs="Segoe UI"/>
                <w:sz w:val="20"/>
                <w:lang w:eastAsia="en-GB"/>
              </w:rPr>
            </w:pPr>
          </w:p>
        </w:tc>
        <w:tc>
          <w:tcPr>
            <w:tcW w:w="1101" w:type="dxa"/>
            <w:tcBorders>
              <w:bottom w:val="single" w:sz="12" w:space="0" w:color="auto"/>
              <w:right w:val="single" w:sz="12" w:space="0" w:color="auto"/>
            </w:tcBorders>
            <w:shd w:val="clear" w:color="auto" w:fill="auto"/>
          </w:tcPr>
          <w:p w14:paraId="6F63E047" w14:textId="77777777" w:rsidR="003A6273" w:rsidRDefault="003A6273" w:rsidP="007136E5">
            <w:pPr>
              <w:pStyle w:val="TableText"/>
              <w:spacing w:before="0" w:after="0"/>
              <w:jc w:val="center"/>
              <w:rPr>
                <w:rFonts w:cs="Segoe UI"/>
                <w:sz w:val="20"/>
                <w:lang w:eastAsia="en-GB"/>
              </w:rPr>
            </w:pPr>
            <w:r w:rsidRPr="00F914B1">
              <w:rPr>
                <w:rFonts w:cs="Segoe UI"/>
                <w:sz w:val="20"/>
                <w:lang w:eastAsia="en-GB"/>
              </w:rPr>
              <w:sym w:font="Wingdings 2" w:char="F050"/>
            </w:r>
          </w:p>
          <w:p w14:paraId="65A0092A" w14:textId="77777777" w:rsidR="003A6273" w:rsidRPr="00F914B1" w:rsidRDefault="003A6273" w:rsidP="007136E5">
            <w:pPr>
              <w:pStyle w:val="TableText"/>
              <w:spacing w:before="0" w:after="0"/>
              <w:jc w:val="center"/>
              <w:rPr>
                <w:rFonts w:cs="Segoe UI"/>
                <w:noProof/>
                <w:sz w:val="20"/>
                <w:lang w:eastAsia="en-GB"/>
              </w:rPr>
            </w:pPr>
          </w:p>
        </w:tc>
      </w:tr>
      <w:tr w:rsidR="003A6273" w14:paraId="421E4C61" w14:textId="77777777" w:rsidTr="00433A54">
        <w:trPr>
          <w:cantSplit/>
          <w:trHeight w:val="283"/>
        </w:trPr>
        <w:tc>
          <w:tcPr>
            <w:tcW w:w="2154" w:type="dxa"/>
            <w:vMerge w:val="restart"/>
            <w:tcBorders>
              <w:top w:val="single" w:sz="12" w:space="0" w:color="auto"/>
              <w:left w:val="nil"/>
              <w:right w:val="single" w:sz="12" w:space="0" w:color="auto"/>
            </w:tcBorders>
          </w:tcPr>
          <w:p w14:paraId="72A67D8B" w14:textId="77777777" w:rsidR="003A6273" w:rsidRPr="007B3828" w:rsidRDefault="003A6273" w:rsidP="007136E5">
            <w:pPr>
              <w:pStyle w:val="TableText"/>
              <w:spacing w:before="0" w:after="0"/>
              <w:rPr>
                <w:rFonts w:cs="Segoe UI"/>
                <w:sz w:val="20"/>
                <w:lang w:eastAsia="en-GB"/>
              </w:rPr>
            </w:pPr>
            <w:r w:rsidRPr="007B3828">
              <w:rPr>
                <w:rFonts w:cs="Segoe UI"/>
                <w:sz w:val="20"/>
                <w:lang w:eastAsia="en-GB"/>
              </w:rPr>
              <w:t>Part VIII : Remuneration</w:t>
            </w:r>
          </w:p>
        </w:tc>
        <w:tc>
          <w:tcPr>
            <w:tcW w:w="4762" w:type="dxa"/>
            <w:tcBorders>
              <w:top w:val="single" w:sz="12" w:space="0" w:color="auto"/>
              <w:left w:val="single" w:sz="12" w:space="0" w:color="auto"/>
              <w:right w:val="single" w:sz="12" w:space="0" w:color="auto"/>
            </w:tcBorders>
            <w:shd w:val="clear" w:color="auto" w:fill="auto"/>
          </w:tcPr>
          <w:p w14:paraId="782B2592" w14:textId="77777777" w:rsidR="003A6273" w:rsidRPr="00F914B1" w:rsidRDefault="003A6273" w:rsidP="007136E5">
            <w:pPr>
              <w:pStyle w:val="TableText"/>
              <w:spacing w:before="0" w:after="0"/>
              <w:rPr>
                <w:rFonts w:cs="Segoe UI"/>
                <w:sz w:val="20"/>
                <w:lang w:eastAsia="en-GB"/>
              </w:rPr>
            </w:pPr>
            <w:r>
              <w:rPr>
                <w:rFonts w:cs="Segoe UI"/>
                <w:sz w:val="20"/>
                <w:lang w:eastAsia="en-GB"/>
              </w:rPr>
              <w:t xml:space="preserve">Table </w:t>
            </w:r>
            <w:r w:rsidRPr="00CE45F8">
              <w:rPr>
                <w:rFonts w:cs="Segoe UI"/>
                <w:sz w:val="20"/>
                <w:lang w:eastAsia="en-GB"/>
              </w:rPr>
              <w:t>REMA</w:t>
            </w:r>
            <w:r>
              <w:rPr>
                <w:rFonts w:cs="Segoe UI"/>
                <w:sz w:val="20"/>
                <w:lang w:eastAsia="en-GB"/>
              </w:rPr>
              <w:t>:</w:t>
            </w:r>
            <w:r w:rsidRPr="00CE45F8">
              <w:rPr>
                <w:rFonts w:cs="Segoe UI"/>
                <w:sz w:val="20"/>
                <w:lang w:eastAsia="en-GB"/>
              </w:rPr>
              <w:t xml:space="preserve"> Remuneration policy</w:t>
            </w:r>
          </w:p>
        </w:tc>
        <w:tc>
          <w:tcPr>
            <w:tcW w:w="1624" w:type="dxa"/>
            <w:tcBorders>
              <w:top w:val="single" w:sz="12" w:space="0" w:color="auto"/>
              <w:left w:val="single" w:sz="12" w:space="0" w:color="auto"/>
              <w:right w:val="single" w:sz="12" w:space="0" w:color="auto"/>
            </w:tcBorders>
            <w:shd w:val="clear" w:color="auto" w:fill="auto"/>
          </w:tcPr>
          <w:p w14:paraId="6F53D491" w14:textId="77777777" w:rsidR="003A6273" w:rsidRPr="00F914B1" w:rsidRDefault="003A6273" w:rsidP="007136E5">
            <w:pPr>
              <w:pStyle w:val="TableText"/>
              <w:spacing w:before="0" w:after="0"/>
              <w:jc w:val="center"/>
              <w:rPr>
                <w:rFonts w:cs="Segoe UI"/>
                <w:sz w:val="20"/>
                <w:lang w:eastAsia="en-GB"/>
              </w:rPr>
            </w:pPr>
            <w:r>
              <w:rPr>
                <w:rFonts w:cs="Segoe UI"/>
                <w:sz w:val="20"/>
                <w:lang w:eastAsia="en-GB"/>
              </w:rPr>
              <w:t>L</w:t>
            </w:r>
          </w:p>
        </w:tc>
        <w:tc>
          <w:tcPr>
            <w:tcW w:w="1244" w:type="dxa"/>
            <w:tcBorders>
              <w:top w:val="single" w:sz="12" w:space="0" w:color="auto"/>
              <w:left w:val="single" w:sz="12" w:space="0" w:color="auto"/>
            </w:tcBorders>
            <w:shd w:val="clear" w:color="auto" w:fill="auto"/>
          </w:tcPr>
          <w:p w14:paraId="7E0EB090" w14:textId="77777777" w:rsidR="003A6273" w:rsidRPr="00F914B1" w:rsidRDefault="003A6273" w:rsidP="007136E5">
            <w:pPr>
              <w:pStyle w:val="TableText"/>
              <w:spacing w:before="0" w:after="0"/>
              <w:jc w:val="center"/>
              <w:rPr>
                <w:rFonts w:cs="Segoe UI"/>
                <w:sz w:val="20"/>
                <w:lang w:eastAsia="en-GB"/>
              </w:rPr>
            </w:pPr>
          </w:p>
        </w:tc>
        <w:tc>
          <w:tcPr>
            <w:tcW w:w="1134" w:type="dxa"/>
            <w:tcBorders>
              <w:top w:val="single" w:sz="12" w:space="0" w:color="auto"/>
              <w:right w:val="single" w:sz="12" w:space="0" w:color="auto"/>
            </w:tcBorders>
            <w:shd w:val="clear" w:color="auto" w:fill="auto"/>
          </w:tcPr>
          <w:p w14:paraId="1498881D" w14:textId="77777777" w:rsidR="003A6273" w:rsidRPr="00F914B1" w:rsidRDefault="003A6273" w:rsidP="007136E5">
            <w:pPr>
              <w:pStyle w:val="TableText"/>
              <w:spacing w:before="0" w:after="0"/>
              <w:jc w:val="center"/>
              <w:rPr>
                <w:rFonts w:cs="Segoe UI"/>
                <w:sz w:val="20"/>
                <w:lang w:eastAsia="en-GB"/>
              </w:rPr>
            </w:pPr>
            <w:r w:rsidRPr="00F914B1">
              <w:rPr>
                <w:rFonts w:cs="Segoe UI"/>
                <w:sz w:val="20"/>
                <w:lang w:eastAsia="en-GB"/>
              </w:rPr>
              <w:sym w:font="Wingdings 2" w:char="F050"/>
            </w:r>
          </w:p>
        </w:tc>
        <w:tc>
          <w:tcPr>
            <w:tcW w:w="1134" w:type="dxa"/>
            <w:tcBorders>
              <w:top w:val="single" w:sz="12" w:space="0" w:color="auto"/>
              <w:left w:val="single" w:sz="12" w:space="0" w:color="auto"/>
            </w:tcBorders>
            <w:shd w:val="clear" w:color="auto" w:fill="auto"/>
          </w:tcPr>
          <w:p w14:paraId="3AAA877E" w14:textId="77777777" w:rsidR="003A6273" w:rsidRPr="00F914B1" w:rsidRDefault="003A6273" w:rsidP="007136E5">
            <w:pPr>
              <w:pStyle w:val="TableText"/>
              <w:spacing w:before="0" w:after="0"/>
              <w:jc w:val="center"/>
              <w:rPr>
                <w:rFonts w:cs="Segoe UI"/>
                <w:sz w:val="20"/>
                <w:lang w:eastAsia="en-GB"/>
              </w:rPr>
            </w:pPr>
          </w:p>
        </w:tc>
        <w:tc>
          <w:tcPr>
            <w:tcW w:w="1276" w:type="dxa"/>
            <w:tcBorders>
              <w:top w:val="single" w:sz="12" w:space="0" w:color="auto"/>
            </w:tcBorders>
            <w:shd w:val="clear" w:color="auto" w:fill="auto"/>
          </w:tcPr>
          <w:p w14:paraId="3B1CC723" w14:textId="77777777" w:rsidR="003A6273" w:rsidRPr="00F914B1" w:rsidRDefault="003A6273" w:rsidP="007136E5">
            <w:pPr>
              <w:pStyle w:val="TableText"/>
              <w:spacing w:before="0" w:after="0"/>
              <w:jc w:val="center"/>
              <w:rPr>
                <w:rFonts w:cs="Segoe UI"/>
                <w:sz w:val="20"/>
                <w:lang w:eastAsia="en-GB"/>
              </w:rPr>
            </w:pPr>
          </w:p>
        </w:tc>
        <w:tc>
          <w:tcPr>
            <w:tcW w:w="1101" w:type="dxa"/>
            <w:tcBorders>
              <w:top w:val="single" w:sz="12" w:space="0" w:color="auto"/>
              <w:right w:val="single" w:sz="12" w:space="0" w:color="auto"/>
            </w:tcBorders>
            <w:shd w:val="clear" w:color="auto" w:fill="auto"/>
          </w:tcPr>
          <w:p w14:paraId="5A1065CD" w14:textId="77777777" w:rsidR="003A6273" w:rsidRPr="00F914B1" w:rsidRDefault="003A6273" w:rsidP="007136E5">
            <w:pPr>
              <w:pStyle w:val="TableText"/>
              <w:spacing w:before="0" w:after="0"/>
              <w:jc w:val="center"/>
              <w:rPr>
                <w:rFonts w:cs="Segoe UI"/>
                <w:sz w:val="20"/>
                <w:lang w:eastAsia="en-GB"/>
              </w:rPr>
            </w:pPr>
            <w:r w:rsidRPr="00F914B1">
              <w:rPr>
                <w:rFonts w:cs="Segoe UI"/>
                <w:sz w:val="20"/>
                <w:lang w:eastAsia="en-GB"/>
              </w:rPr>
              <w:sym w:font="Wingdings 2" w:char="F050"/>
            </w:r>
          </w:p>
        </w:tc>
      </w:tr>
      <w:tr w:rsidR="003A6273" w14:paraId="5ECBA88C" w14:textId="77777777" w:rsidTr="003A6273">
        <w:trPr>
          <w:cantSplit/>
          <w:trHeight w:val="283"/>
        </w:trPr>
        <w:tc>
          <w:tcPr>
            <w:tcW w:w="2154" w:type="dxa"/>
            <w:vMerge/>
            <w:tcBorders>
              <w:left w:val="nil"/>
              <w:right w:val="single" w:sz="12" w:space="0" w:color="auto"/>
            </w:tcBorders>
          </w:tcPr>
          <w:p w14:paraId="1F64F617" w14:textId="77777777" w:rsidR="003A6273" w:rsidRPr="00F914B1" w:rsidRDefault="003A6273" w:rsidP="007136E5">
            <w:pPr>
              <w:pStyle w:val="TableText"/>
              <w:spacing w:before="0" w:after="0"/>
              <w:rPr>
                <w:rFonts w:cs="Segoe UI"/>
                <w:sz w:val="20"/>
                <w:lang w:eastAsia="en-GB"/>
              </w:rPr>
            </w:pPr>
          </w:p>
        </w:tc>
        <w:tc>
          <w:tcPr>
            <w:tcW w:w="4762" w:type="dxa"/>
            <w:tcBorders>
              <w:left w:val="single" w:sz="12" w:space="0" w:color="auto"/>
              <w:right w:val="single" w:sz="12" w:space="0" w:color="auto"/>
            </w:tcBorders>
            <w:shd w:val="clear" w:color="auto" w:fill="auto"/>
          </w:tcPr>
          <w:p w14:paraId="7F418374" w14:textId="77777777" w:rsidR="003A6273" w:rsidRPr="00F914B1" w:rsidRDefault="003A6273" w:rsidP="007136E5">
            <w:pPr>
              <w:pStyle w:val="TableText"/>
              <w:spacing w:before="0" w:after="0"/>
              <w:rPr>
                <w:rFonts w:cs="Segoe UI"/>
                <w:sz w:val="20"/>
                <w:lang w:eastAsia="en-GB"/>
              </w:rPr>
            </w:pPr>
            <w:r>
              <w:rPr>
                <w:rFonts w:cs="Segoe UI"/>
                <w:sz w:val="20"/>
                <w:lang w:eastAsia="en-GB"/>
              </w:rPr>
              <w:t xml:space="preserve">Template </w:t>
            </w:r>
            <w:r w:rsidRPr="00CE45F8">
              <w:rPr>
                <w:rFonts w:cs="Segoe UI"/>
                <w:sz w:val="20"/>
                <w:lang w:eastAsia="en-GB"/>
              </w:rPr>
              <w:t>REM1</w:t>
            </w:r>
            <w:r>
              <w:rPr>
                <w:rFonts w:cs="Segoe UI"/>
                <w:sz w:val="20"/>
                <w:lang w:eastAsia="en-GB"/>
              </w:rPr>
              <w:t>:</w:t>
            </w:r>
            <w:r w:rsidRPr="00CE45F8">
              <w:rPr>
                <w:rFonts w:cs="Segoe UI"/>
                <w:sz w:val="20"/>
                <w:lang w:eastAsia="en-GB"/>
              </w:rPr>
              <w:t xml:space="preserve"> </w:t>
            </w:r>
            <w:r>
              <w:rPr>
                <w:rFonts w:cs="Segoe UI"/>
                <w:sz w:val="20"/>
                <w:lang w:eastAsia="en-GB"/>
              </w:rPr>
              <w:t xml:space="preserve">Remuneration awarded during </w:t>
            </w:r>
            <w:r w:rsidRPr="00CE45F8">
              <w:rPr>
                <w:rFonts w:cs="Segoe UI"/>
                <w:sz w:val="20"/>
                <w:lang w:eastAsia="en-GB"/>
              </w:rPr>
              <w:t>financial year</w:t>
            </w:r>
          </w:p>
        </w:tc>
        <w:tc>
          <w:tcPr>
            <w:tcW w:w="1624" w:type="dxa"/>
            <w:tcBorders>
              <w:left w:val="single" w:sz="12" w:space="0" w:color="auto"/>
              <w:right w:val="single" w:sz="12" w:space="0" w:color="auto"/>
            </w:tcBorders>
            <w:shd w:val="clear" w:color="auto" w:fill="auto"/>
          </w:tcPr>
          <w:p w14:paraId="7C243EBB" w14:textId="77777777" w:rsidR="003A6273" w:rsidRPr="00F914B1" w:rsidRDefault="003A6273" w:rsidP="007136E5">
            <w:pPr>
              <w:pStyle w:val="TableText"/>
              <w:spacing w:before="0" w:after="0"/>
              <w:jc w:val="center"/>
              <w:rPr>
                <w:rFonts w:cs="Segoe UI"/>
                <w:sz w:val="20"/>
                <w:lang w:eastAsia="en-GB"/>
              </w:rPr>
            </w:pPr>
            <w:r>
              <w:rPr>
                <w:rFonts w:cs="Segoe UI"/>
                <w:sz w:val="20"/>
                <w:lang w:eastAsia="en-GB"/>
              </w:rPr>
              <w:t>L</w:t>
            </w:r>
          </w:p>
        </w:tc>
        <w:tc>
          <w:tcPr>
            <w:tcW w:w="1244" w:type="dxa"/>
            <w:tcBorders>
              <w:left w:val="single" w:sz="12" w:space="0" w:color="auto"/>
            </w:tcBorders>
            <w:shd w:val="clear" w:color="auto" w:fill="auto"/>
          </w:tcPr>
          <w:p w14:paraId="1587859F" w14:textId="77777777" w:rsidR="003A6273" w:rsidRPr="00F914B1" w:rsidRDefault="003A6273" w:rsidP="007136E5">
            <w:pPr>
              <w:pStyle w:val="TableText"/>
              <w:spacing w:before="0" w:after="0"/>
              <w:jc w:val="center"/>
              <w:rPr>
                <w:rFonts w:cs="Segoe UI"/>
                <w:sz w:val="20"/>
                <w:lang w:eastAsia="en-GB"/>
              </w:rPr>
            </w:pPr>
          </w:p>
        </w:tc>
        <w:tc>
          <w:tcPr>
            <w:tcW w:w="1134" w:type="dxa"/>
            <w:tcBorders>
              <w:right w:val="single" w:sz="12" w:space="0" w:color="auto"/>
            </w:tcBorders>
            <w:shd w:val="clear" w:color="auto" w:fill="auto"/>
          </w:tcPr>
          <w:p w14:paraId="0B1DD7A4" w14:textId="77777777" w:rsidR="003A6273" w:rsidRPr="00F914B1" w:rsidRDefault="003A6273" w:rsidP="007136E5">
            <w:pPr>
              <w:pStyle w:val="TableText"/>
              <w:spacing w:before="0" w:after="0"/>
              <w:jc w:val="center"/>
              <w:rPr>
                <w:rFonts w:cs="Segoe UI"/>
                <w:sz w:val="20"/>
                <w:lang w:eastAsia="en-GB"/>
              </w:rPr>
            </w:pPr>
            <w:r w:rsidRPr="00F914B1">
              <w:rPr>
                <w:rFonts w:cs="Segoe UI"/>
                <w:sz w:val="20"/>
                <w:lang w:eastAsia="en-GB"/>
              </w:rPr>
              <w:sym w:font="Wingdings 2" w:char="F050"/>
            </w:r>
          </w:p>
        </w:tc>
        <w:tc>
          <w:tcPr>
            <w:tcW w:w="1134" w:type="dxa"/>
            <w:tcBorders>
              <w:left w:val="single" w:sz="12" w:space="0" w:color="auto"/>
            </w:tcBorders>
            <w:shd w:val="clear" w:color="auto" w:fill="auto"/>
          </w:tcPr>
          <w:p w14:paraId="12E66EDF" w14:textId="77777777" w:rsidR="003A6273" w:rsidRPr="00F914B1" w:rsidRDefault="003A6273" w:rsidP="007136E5">
            <w:pPr>
              <w:pStyle w:val="TableText"/>
              <w:spacing w:before="0" w:after="0"/>
              <w:jc w:val="center"/>
              <w:rPr>
                <w:rFonts w:cs="Segoe UI"/>
                <w:sz w:val="20"/>
                <w:lang w:eastAsia="en-GB"/>
              </w:rPr>
            </w:pPr>
          </w:p>
        </w:tc>
        <w:tc>
          <w:tcPr>
            <w:tcW w:w="1276" w:type="dxa"/>
            <w:shd w:val="clear" w:color="auto" w:fill="auto"/>
          </w:tcPr>
          <w:p w14:paraId="2D380EA5" w14:textId="77777777" w:rsidR="003A6273" w:rsidRPr="00F914B1" w:rsidRDefault="003A6273" w:rsidP="007136E5">
            <w:pPr>
              <w:pStyle w:val="TableText"/>
              <w:spacing w:before="0" w:after="0"/>
              <w:jc w:val="center"/>
              <w:rPr>
                <w:rFonts w:cs="Segoe UI"/>
                <w:sz w:val="20"/>
                <w:lang w:eastAsia="en-GB"/>
              </w:rPr>
            </w:pPr>
          </w:p>
        </w:tc>
        <w:tc>
          <w:tcPr>
            <w:tcW w:w="1101" w:type="dxa"/>
            <w:tcBorders>
              <w:right w:val="single" w:sz="12" w:space="0" w:color="auto"/>
            </w:tcBorders>
            <w:shd w:val="clear" w:color="auto" w:fill="auto"/>
          </w:tcPr>
          <w:p w14:paraId="5A969B2B" w14:textId="77777777" w:rsidR="003A6273" w:rsidRPr="00F914B1" w:rsidRDefault="003A6273" w:rsidP="007136E5">
            <w:pPr>
              <w:pStyle w:val="TableText"/>
              <w:spacing w:before="0" w:after="0"/>
              <w:jc w:val="center"/>
              <w:rPr>
                <w:rFonts w:cs="Segoe UI"/>
                <w:sz w:val="20"/>
                <w:lang w:eastAsia="en-GB"/>
              </w:rPr>
            </w:pPr>
            <w:r w:rsidRPr="00F914B1">
              <w:rPr>
                <w:rFonts w:cs="Segoe UI"/>
                <w:sz w:val="20"/>
                <w:lang w:eastAsia="en-GB"/>
              </w:rPr>
              <w:sym w:font="Wingdings 2" w:char="F050"/>
            </w:r>
          </w:p>
        </w:tc>
      </w:tr>
      <w:tr w:rsidR="003A6273" w14:paraId="5B890463" w14:textId="77777777" w:rsidTr="00846F9E">
        <w:trPr>
          <w:cantSplit/>
          <w:trHeight w:val="283"/>
        </w:trPr>
        <w:tc>
          <w:tcPr>
            <w:tcW w:w="2154" w:type="dxa"/>
            <w:vMerge/>
            <w:tcBorders>
              <w:left w:val="nil"/>
              <w:bottom w:val="single" w:sz="12" w:space="0" w:color="auto"/>
              <w:right w:val="single" w:sz="12" w:space="0" w:color="auto"/>
            </w:tcBorders>
          </w:tcPr>
          <w:p w14:paraId="460DDA3A" w14:textId="77777777" w:rsidR="003A6273" w:rsidRPr="00F914B1" w:rsidRDefault="003A6273" w:rsidP="007136E5">
            <w:pPr>
              <w:pStyle w:val="TableText"/>
              <w:spacing w:before="0" w:after="0"/>
              <w:rPr>
                <w:rFonts w:cs="Segoe UI"/>
                <w:sz w:val="20"/>
                <w:lang w:eastAsia="en-GB"/>
              </w:rPr>
            </w:pPr>
          </w:p>
        </w:tc>
        <w:tc>
          <w:tcPr>
            <w:tcW w:w="4762" w:type="dxa"/>
            <w:tcBorders>
              <w:left w:val="single" w:sz="12" w:space="0" w:color="auto"/>
              <w:bottom w:val="single" w:sz="12" w:space="0" w:color="auto"/>
              <w:right w:val="single" w:sz="12" w:space="0" w:color="auto"/>
            </w:tcBorders>
            <w:shd w:val="clear" w:color="auto" w:fill="auto"/>
          </w:tcPr>
          <w:p w14:paraId="1C79B4F8" w14:textId="77777777" w:rsidR="003A6273" w:rsidRPr="00F914B1" w:rsidRDefault="003A6273" w:rsidP="007136E5">
            <w:pPr>
              <w:pStyle w:val="TableText"/>
              <w:spacing w:before="0" w:after="0"/>
              <w:rPr>
                <w:rFonts w:cs="Segoe UI"/>
                <w:sz w:val="20"/>
                <w:lang w:eastAsia="en-GB"/>
              </w:rPr>
            </w:pPr>
            <w:r>
              <w:rPr>
                <w:rFonts w:cs="Segoe UI"/>
                <w:sz w:val="20"/>
                <w:lang w:eastAsia="en-GB"/>
              </w:rPr>
              <w:t xml:space="preserve">Template </w:t>
            </w:r>
            <w:r w:rsidRPr="00CE45F8">
              <w:rPr>
                <w:rFonts w:cs="Segoe UI"/>
                <w:sz w:val="20"/>
                <w:lang w:eastAsia="en-GB"/>
              </w:rPr>
              <w:t>REM2</w:t>
            </w:r>
            <w:r>
              <w:rPr>
                <w:rFonts w:cs="Segoe UI"/>
                <w:sz w:val="20"/>
                <w:lang w:eastAsia="en-GB"/>
              </w:rPr>
              <w:t>:</w:t>
            </w:r>
            <w:r w:rsidRPr="00CE45F8">
              <w:rPr>
                <w:rFonts w:cs="Segoe UI"/>
                <w:sz w:val="20"/>
                <w:lang w:eastAsia="en-GB"/>
              </w:rPr>
              <w:t xml:space="preserve"> Special payments</w:t>
            </w:r>
          </w:p>
        </w:tc>
        <w:tc>
          <w:tcPr>
            <w:tcW w:w="1624" w:type="dxa"/>
            <w:tcBorders>
              <w:left w:val="single" w:sz="12" w:space="0" w:color="auto"/>
              <w:bottom w:val="single" w:sz="12" w:space="0" w:color="auto"/>
              <w:right w:val="single" w:sz="12" w:space="0" w:color="auto"/>
            </w:tcBorders>
            <w:shd w:val="clear" w:color="auto" w:fill="auto"/>
          </w:tcPr>
          <w:p w14:paraId="67910C67" w14:textId="77777777" w:rsidR="003A6273" w:rsidRPr="00F914B1" w:rsidRDefault="003A6273" w:rsidP="007136E5">
            <w:pPr>
              <w:pStyle w:val="TableText"/>
              <w:spacing w:before="0" w:after="0"/>
              <w:jc w:val="center"/>
              <w:rPr>
                <w:rFonts w:cs="Segoe UI"/>
                <w:sz w:val="20"/>
                <w:lang w:eastAsia="en-GB"/>
              </w:rPr>
            </w:pPr>
            <w:r>
              <w:rPr>
                <w:rFonts w:cs="Segoe UI"/>
                <w:sz w:val="20"/>
                <w:lang w:eastAsia="en-GB"/>
              </w:rPr>
              <w:t>L</w:t>
            </w:r>
          </w:p>
        </w:tc>
        <w:tc>
          <w:tcPr>
            <w:tcW w:w="1244" w:type="dxa"/>
            <w:tcBorders>
              <w:left w:val="single" w:sz="12" w:space="0" w:color="auto"/>
              <w:bottom w:val="single" w:sz="12" w:space="0" w:color="auto"/>
            </w:tcBorders>
            <w:shd w:val="clear" w:color="auto" w:fill="auto"/>
          </w:tcPr>
          <w:p w14:paraId="4295BEA8" w14:textId="77777777" w:rsidR="003A6273" w:rsidRPr="00F914B1" w:rsidRDefault="003A6273" w:rsidP="007136E5">
            <w:pPr>
              <w:pStyle w:val="TableText"/>
              <w:spacing w:before="0" w:after="0"/>
              <w:jc w:val="center"/>
              <w:rPr>
                <w:rFonts w:cs="Segoe UI"/>
                <w:sz w:val="20"/>
                <w:lang w:eastAsia="en-GB"/>
              </w:rPr>
            </w:pPr>
          </w:p>
        </w:tc>
        <w:tc>
          <w:tcPr>
            <w:tcW w:w="1134" w:type="dxa"/>
            <w:tcBorders>
              <w:bottom w:val="single" w:sz="12" w:space="0" w:color="auto"/>
              <w:right w:val="single" w:sz="12" w:space="0" w:color="auto"/>
            </w:tcBorders>
            <w:shd w:val="clear" w:color="auto" w:fill="auto"/>
          </w:tcPr>
          <w:p w14:paraId="05C01AD0" w14:textId="77777777" w:rsidR="003A6273" w:rsidRPr="00F914B1" w:rsidRDefault="003A6273" w:rsidP="007136E5">
            <w:pPr>
              <w:pStyle w:val="TableText"/>
              <w:spacing w:before="0" w:after="0"/>
              <w:jc w:val="center"/>
              <w:rPr>
                <w:rFonts w:cs="Segoe UI"/>
                <w:sz w:val="20"/>
                <w:lang w:eastAsia="en-GB"/>
              </w:rPr>
            </w:pPr>
            <w:r w:rsidRPr="00F914B1">
              <w:rPr>
                <w:rFonts w:cs="Segoe UI"/>
                <w:sz w:val="20"/>
                <w:lang w:eastAsia="en-GB"/>
              </w:rPr>
              <w:sym w:font="Wingdings 2" w:char="F050"/>
            </w:r>
          </w:p>
        </w:tc>
        <w:tc>
          <w:tcPr>
            <w:tcW w:w="1134" w:type="dxa"/>
            <w:tcBorders>
              <w:left w:val="single" w:sz="12" w:space="0" w:color="auto"/>
              <w:bottom w:val="single" w:sz="12" w:space="0" w:color="auto"/>
            </w:tcBorders>
            <w:shd w:val="clear" w:color="auto" w:fill="auto"/>
          </w:tcPr>
          <w:p w14:paraId="35D140A1" w14:textId="77777777" w:rsidR="003A6273" w:rsidRPr="00F914B1" w:rsidRDefault="003A6273" w:rsidP="007136E5">
            <w:pPr>
              <w:pStyle w:val="TableText"/>
              <w:spacing w:before="0" w:after="0"/>
              <w:jc w:val="center"/>
              <w:rPr>
                <w:rFonts w:cs="Segoe UI"/>
                <w:sz w:val="20"/>
                <w:lang w:eastAsia="en-GB"/>
              </w:rPr>
            </w:pPr>
          </w:p>
        </w:tc>
        <w:tc>
          <w:tcPr>
            <w:tcW w:w="1276" w:type="dxa"/>
            <w:tcBorders>
              <w:bottom w:val="single" w:sz="12" w:space="0" w:color="auto"/>
            </w:tcBorders>
            <w:shd w:val="clear" w:color="auto" w:fill="auto"/>
          </w:tcPr>
          <w:p w14:paraId="37A93AA1" w14:textId="77777777" w:rsidR="003A6273" w:rsidRPr="00F914B1" w:rsidRDefault="003A6273" w:rsidP="007136E5">
            <w:pPr>
              <w:pStyle w:val="TableText"/>
              <w:spacing w:before="0" w:after="0"/>
              <w:jc w:val="center"/>
              <w:rPr>
                <w:rFonts w:cs="Segoe UI"/>
                <w:sz w:val="20"/>
                <w:lang w:eastAsia="en-GB"/>
              </w:rPr>
            </w:pPr>
          </w:p>
        </w:tc>
        <w:tc>
          <w:tcPr>
            <w:tcW w:w="1101" w:type="dxa"/>
            <w:tcBorders>
              <w:bottom w:val="single" w:sz="12" w:space="0" w:color="auto"/>
              <w:right w:val="single" w:sz="12" w:space="0" w:color="auto"/>
            </w:tcBorders>
            <w:shd w:val="clear" w:color="auto" w:fill="auto"/>
          </w:tcPr>
          <w:p w14:paraId="723AF9AB" w14:textId="77777777" w:rsidR="003A6273" w:rsidRPr="00F914B1" w:rsidRDefault="003A6273" w:rsidP="007136E5">
            <w:pPr>
              <w:pStyle w:val="TableText"/>
              <w:spacing w:before="0" w:after="0"/>
              <w:jc w:val="center"/>
              <w:rPr>
                <w:rFonts w:cs="Segoe UI"/>
                <w:sz w:val="20"/>
                <w:lang w:eastAsia="en-GB"/>
              </w:rPr>
            </w:pPr>
            <w:r w:rsidRPr="00F914B1">
              <w:rPr>
                <w:rFonts w:cs="Segoe UI"/>
                <w:sz w:val="20"/>
                <w:lang w:eastAsia="en-GB"/>
              </w:rPr>
              <w:sym w:font="Wingdings 2" w:char="F050"/>
            </w:r>
          </w:p>
        </w:tc>
      </w:tr>
      <w:tr w:rsidR="003A6273" w14:paraId="0DEA0BF8" w14:textId="77777777" w:rsidTr="00846F9E">
        <w:trPr>
          <w:cantSplit/>
          <w:trHeight w:val="283"/>
        </w:trPr>
        <w:tc>
          <w:tcPr>
            <w:tcW w:w="2154" w:type="dxa"/>
            <w:vMerge/>
            <w:tcBorders>
              <w:top w:val="single" w:sz="12" w:space="0" w:color="auto"/>
              <w:left w:val="nil"/>
              <w:bottom w:val="single" w:sz="12" w:space="0" w:color="auto"/>
              <w:right w:val="single" w:sz="12" w:space="0" w:color="auto"/>
            </w:tcBorders>
          </w:tcPr>
          <w:p w14:paraId="327A4021" w14:textId="77777777" w:rsidR="003A6273" w:rsidRPr="00F914B1" w:rsidRDefault="003A6273" w:rsidP="007136E5">
            <w:pPr>
              <w:pStyle w:val="TableText"/>
              <w:spacing w:before="0" w:after="0"/>
              <w:rPr>
                <w:rFonts w:cs="Segoe UI"/>
                <w:sz w:val="20"/>
                <w:lang w:eastAsia="en-GB"/>
              </w:rPr>
            </w:pPr>
          </w:p>
        </w:tc>
        <w:tc>
          <w:tcPr>
            <w:tcW w:w="4762" w:type="dxa"/>
            <w:tcBorders>
              <w:top w:val="single" w:sz="12" w:space="0" w:color="auto"/>
              <w:left w:val="single" w:sz="12" w:space="0" w:color="auto"/>
              <w:bottom w:val="single" w:sz="12" w:space="0" w:color="auto"/>
              <w:right w:val="single" w:sz="12" w:space="0" w:color="auto"/>
            </w:tcBorders>
            <w:shd w:val="clear" w:color="auto" w:fill="auto"/>
          </w:tcPr>
          <w:p w14:paraId="57643F7C" w14:textId="77777777" w:rsidR="003A6273" w:rsidRDefault="003A6273" w:rsidP="007136E5">
            <w:pPr>
              <w:pStyle w:val="TableText"/>
              <w:spacing w:before="0" w:after="0"/>
              <w:rPr>
                <w:rFonts w:cs="Segoe UI"/>
                <w:sz w:val="20"/>
                <w:lang w:eastAsia="en-GB"/>
              </w:rPr>
            </w:pPr>
            <w:r>
              <w:rPr>
                <w:rFonts w:cs="Segoe UI"/>
                <w:sz w:val="20"/>
                <w:lang w:eastAsia="en-GB"/>
              </w:rPr>
              <w:t xml:space="preserve">Template REM3: </w:t>
            </w:r>
            <w:r w:rsidRPr="004421BD">
              <w:rPr>
                <w:rFonts w:cs="Segoe UI"/>
                <w:sz w:val="20"/>
                <w:lang w:eastAsia="en-GB"/>
              </w:rPr>
              <w:t>Deferred remuneration</w:t>
            </w:r>
          </w:p>
          <w:p w14:paraId="16FAF6A0" w14:textId="7669E432" w:rsidR="006037FB" w:rsidRDefault="006037FB" w:rsidP="007136E5">
            <w:pPr>
              <w:pStyle w:val="TableText"/>
              <w:spacing w:before="0" w:after="0"/>
              <w:rPr>
                <w:rFonts w:cs="Segoe UI"/>
                <w:sz w:val="20"/>
                <w:lang w:eastAsia="en-GB"/>
              </w:rPr>
            </w:pPr>
          </w:p>
        </w:tc>
        <w:tc>
          <w:tcPr>
            <w:tcW w:w="1624" w:type="dxa"/>
            <w:tcBorders>
              <w:top w:val="single" w:sz="12" w:space="0" w:color="auto"/>
              <w:left w:val="single" w:sz="12" w:space="0" w:color="auto"/>
              <w:bottom w:val="single" w:sz="12" w:space="0" w:color="auto"/>
              <w:right w:val="single" w:sz="12" w:space="0" w:color="auto"/>
            </w:tcBorders>
            <w:shd w:val="clear" w:color="auto" w:fill="auto"/>
          </w:tcPr>
          <w:p w14:paraId="48014B45" w14:textId="77777777" w:rsidR="003A6273" w:rsidRPr="00F914B1" w:rsidRDefault="003A6273" w:rsidP="007136E5">
            <w:pPr>
              <w:pStyle w:val="TableText"/>
              <w:spacing w:before="0" w:after="0"/>
              <w:jc w:val="center"/>
              <w:rPr>
                <w:rFonts w:cs="Segoe UI"/>
                <w:sz w:val="20"/>
                <w:lang w:eastAsia="en-GB"/>
              </w:rPr>
            </w:pPr>
            <w:r>
              <w:rPr>
                <w:rFonts w:cs="Segoe UI"/>
                <w:sz w:val="20"/>
                <w:lang w:eastAsia="en-GB"/>
              </w:rPr>
              <w:t>L</w:t>
            </w:r>
          </w:p>
        </w:tc>
        <w:tc>
          <w:tcPr>
            <w:tcW w:w="1244" w:type="dxa"/>
            <w:tcBorders>
              <w:top w:val="single" w:sz="12" w:space="0" w:color="auto"/>
              <w:left w:val="single" w:sz="12" w:space="0" w:color="auto"/>
              <w:bottom w:val="single" w:sz="12" w:space="0" w:color="auto"/>
            </w:tcBorders>
            <w:shd w:val="clear" w:color="auto" w:fill="auto"/>
          </w:tcPr>
          <w:p w14:paraId="74B16D5B" w14:textId="77777777" w:rsidR="003A6273" w:rsidRPr="00F914B1" w:rsidRDefault="003A6273" w:rsidP="007136E5">
            <w:pPr>
              <w:pStyle w:val="TableText"/>
              <w:spacing w:before="0" w:after="0"/>
              <w:jc w:val="center"/>
              <w:rPr>
                <w:rFonts w:cs="Segoe UI"/>
                <w:sz w:val="20"/>
                <w:lang w:eastAsia="en-GB"/>
              </w:rPr>
            </w:pPr>
          </w:p>
        </w:tc>
        <w:tc>
          <w:tcPr>
            <w:tcW w:w="1134" w:type="dxa"/>
            <w:tcBorders>
              <w:top w:val="single" w:sz="12" w:space="0" w:color="auto"/>
              <w:bottom w:val="single" w:sz="12" w:space="0" w:color="auto"/>
              <w:right w:val="single" w:sz="12" w:space="0" w:color="auto"/>
            </w:tcBorders>
            <w:shd w:val="clear" w:color="auto" w:fill="auto"/>
          </w:tcPr>
          <w:p w14:paraId="55BD2D59" w14:textId="77777777" w:rsidR="003A6273" w:rsidRPr="00F914B1" w:rsidRDefault="003A6273" w:rsidP="007136E5">
            <w:pPr>
              <w:pStyle w:val="TableText"/>
              <w:spacing w:before="0" w:after="0"/>
              <w:jc w:val="center"/>
              <w:rPr>
                <w:rFonts w:cs="Segoe UI"/>
                <w:sz w:val="20"/>
                <w:lang w:eastAsia="en-GB"/>
              </w:rPr>
            </w:pPr>
            <w:r w:rsidRPr="00F914B1">
              <w:rPr>
                <w:rFonts w:cs="Segoe UI"/>
                <w:sz w:val="20"/>
                <w:lang w:eastAsia="en-GB"/>
              </w:rPr>
              <w:sym w:font="Wingdings 2" w:char="F050"/>
            </w:r>
          </w:p>
        </w:tc>
        <w:tc>
          <w:tcPr>
            <w:tcW w:w="1134" w:type="dxa"/>
            <w:tcBorders>
              <w:top w:val="single" w:sz="12" w:space="0" w:color="auto"/>
              <w:left w:val="single" w:sz="12" w:space="0" w:color="auto"/>
              <w:bottom w:val="single" w:sz="12" w:space="0" w:color="auto"/>
            </w:tcBorders>
            <w:shd w:val="clear" w:color="auto" w:fill="auto"/>
          </w:tcPr>
          <w:p w14:paraId="5581A1BF" w14:textId="77777777" w:rsidR="003A6273" w:rsidRPr="00F914B1" w:rsidRDefault="003A6273" w:rsidP="007136E5">
            <w:pPr>
              <w:pStyle w:val="TableText"/>
              <w:spacing w:before="0" w:after="0"/>
              <w:jc w:val="center"/>
              <w:rPr>
                <w:rFonts w:cs="Segoe UI"/>
                <w:sz w:val="20"/>
                <w:lang w:eastAsia="en-GB"/>
              </w:rPr>
            </w:pPr>
          </w:p>
        </w:tc>
        <w:tc>
          <w:tcPr>
            <w:tcW w:w="1276" w:type="dxa"/>
            <w:tcBorders>
              <w:top w:val="single" w:sz="12" w:space="0" w:color="auto"/>
              <w:bottom w:val="single" w:sz="12" w:space="0" w:color="auto"/>
            </w:tcBorders>
            <w:shd w:val="clear" w:color="auto" w:fill="auto"/>
          </w:tcPr>
          <w:p w14:paraId="6927043C" w14:textId="77777777" w:rsidR="003A6273" w:rsidRPr="00F914B1" w:rsidRDefault="003A6273" w:rsidP="007136E5">
            <w:pPr>
              <w:pStyle w:val="TableText"/>
              <w:spacing w:before="0" w:after="0"/>
              <w:jc w:val="center"/>
              <w:rPr>
                <w:rFonts w:cs="Segoe UI"/>
                <w:sz w:val="20"/>
                <w:lang w:eastAsia="en-GB"/>
              </w:rPr>
            </w:pPr>
          </w:p>
        </w:tc>
        <w:tc>
          <w:tcPr>
            <w:tcW w:w="1101" w:type="dxa"/>
            <w:tcBorders>
              <w:top w:val="single" w:sz="12" w:space="0" w:color="auto"/>
              <w:bottom w:val="single" w:sz="12" w:space="0" w:color="auto"/>
              <w:right w:val="single" w:sz="12" w:space="0" w:color="auto"/>
            </w:tcBorders>
            <w:shd w:val="clear" w:color="auto" w:fill="auto"/>
          </w:tcPr>
          <w:p w14:paraId="18DA6890" w14:textId="77777777" w:rsidR="003A6273" w:rsidRPr="00F914B1" w:rsidRDefault="003A6273" w:rsidP="007136E5">
            <w:pPr>
              <w:pStyle w:val="TableText"/>
              <w:spacing w:before="0" w:after="0"/>
              <w:jc w:val="center"/>
              <w:rPr>
                <w:rFonts w:cs="Segoe UI"/>
                <w:sz w:val="20"/>
                <w:lang w:eastAsia="en-GB"/>
              </w:rPr>
            </w:pPr>
            <w:r w:rsidRPr="00F914B1">
              <w:rPr>
                <w:rFonts w:cs="Segoe UI"/>
                <w:sz w:val="20"/>
                <w:lang w:eastAsia="en-GB"/>
              </w:rPr>
              <w:sym w:font="Wingdings 2" w:char="F050"/>
            </w:r>
          </w:p>
        </w:tc>
      </w:tr>
      <w:tr w:rsidR="003A6273" w14:paraId="25D4D194" w14:textId="77777777" w:rsidTr="00433A54">
        <w:trPr>
          <w:cantSplit/>
          <w:trHeight w:val="283"/>
        </w:trPr>
        <w:tc>
          <w:tcPr>
            <w:tcW w:w="2154" w:type="dxa"/>
            <w:vMerge w:val="restart"/>
            <w:tcBorders>
              <w:top w:val="single" w:sz="12" w:space="0" w:color="auto"/>
              <w:left w:val="nil"/>
              <w:bottom w:val="single" w:sz="12" w:space="0" w:color="auto"/>
              <w:right w:val="single" w:sz="12" w:space="0" w:color="auto"/>
            </w:tcBorders>
          </w:tcPr>
          <w:p w14:paraId="37C4C26F" w14:textId="4EEB39E5" w:rsidR="003A6273" w:rsidRPr="00F914B1" w:rsidRDefault="003A6273" w:rsidP="00D20107">
            <w:pPr>
              <w:pStyle w:val="TableText"/>
              <w:spacing w:before="0" w:after="0"/>
              <w:rPr>
                <w:rFonts w:cs="Segoe UI"/>
                <w:sz w:val="20"/>
                <w:lang w:eastAsia="en-GB"/>
              </w:rPr>
            </w:pPr>
            <w:r w:rsidRPr="00212DE1">
              <w:rPr>
                <w:rFonts w:cs="Segoe UI"/>
                <w:sz w:val="20"/>
                <w:lang w:eastAsia="en-GB"/>
              </w:rPr>
              <w:t>Part IX : Operational risk</w:t>
            </w:r>
          </w:p>
        </w:tc>
        <w:tc>
          <w:tcPr>
            <w:tcW w:w="4762" w:type="dxa"/>
            <w:tcBorders>
              <w:top w:val="single" w:sz="12" w:space="0" w:color="auto"/>
              <w:left w:val="single" w:sz="12" w:space="0" w:color="auto"/>
              <w:bottom w:val="single" w:sz="2" w:space="0" w:color="auto"/>
              <w:right w:val="single" w:sz="12" w:space="0" w:color="auto"/>
            </w:tcBorders>
            <w:shd w:val="clear" w:color="auto" w:fill="auto"/>
          </w:tcPr>
          <w:p w14:paraId="1263DCB1" w14:textId="111753BF" w:rsidR="003A6273" w:rsidRPr="006A354E" w:rsidRDefault="003A6273" w:rsidP="00D20107">
            <w:pPr>
              <w:pStyle w:val="TableText"/>
              <w:spacing w:before="0" w:after="0"/>
              <w:rPr>
                <w:rFonts w:cs="Segoe UI"/>
                <w:sz w:val="20"/>
                <w:lang w:eastAsia="en-GB"/>
              </w:rPr>
            </w:pPr>
            <w:r w:rsidRPr="006A354E">
              <w:rPr>
                <w:rFonts w:cs="Segoe UI"/>
                <w:color w:val="000000"/>
                <w:sz w:val="20"/>
              </w:rPr>
              <w:t>Table ORA : General information on operational risk framework</w:t>
            </w:r>
          </w:p>
        </w:tc>
        <w:tc>
          <w:tcPr>
            <w:tcW w:w="1624" w:type="dxa"/>
            <w:tcBorders>
              <w:top w:val="single" w:sz="12" w:space="0" w:color="auto"/>
              <w:left w:val="single" w:sz="12" w:space="0" w:color="auto"/>
              <w:bottom w:val="single" w:sz="2" w:space="0" w:color="auto"/>
              <w:right w:val="single" w:sz="12" w:space="0" w:color="auto"/>
            </w:tcBorders>
            <w:shd w:val="clear" w:color="auto" w:fill="auto"/>
          </w:tcPr>
          <w:p w14:paraId="18DF3307" w14:textId="5F2478F1" w:rsidR="003A6273" w:rsidRPr="006A354E" w:rsidRDefault="003A6273" w:rsidP="00D20107">
            <w:pPr>
              <w:pStyle w:val="TableText"/>
              <w:spacing w:before="0" w:after="0"/>
              <w:jc w:val="center"/>
              <w:rPr>
                <w:rFonts w:cs="Segoe UI"/>
                <w:sz w:val="20"/>
                <w:lang w:eastAsia="en-GB"/>
              </w:rPr>
            </w:pPr>
            <w:r w:rsidRPr="006A354E">
              <w:rPr>
                <w:rFonts w:cs="Segoe UI"/>
                <w:color w:val="000000"/>
                <w:sz w:val="20"/>
              </w:rPr>
              <w:t>L</w:t>
            </w:r>
          </w:p>
        </w:tc>
        <w:tc>
          <w:tcPr>
            <w:tcW w:w="1244" w:type="dxa"/>
            <w:tcBorders>
              <w:top w:val="single" w:sz="12" w:space="0" w:color="auto"/>
              <w:left w:val="single" w:sz="12" w:space="0" w:color="auto"/>
              <w:bottom w:val="single" w:sz="2" w:space="0" w:color="auto"/>
            </w:tcBorders>
            <w:shd w:val="clear" w:color="auto" w:fill="auto"/>
          </w:tcPr>
          <w:p w14:paraId="45B5557B" w14:textId="77777777" w:rsidR="003A6273" w:rsidRPr="006A354E" w:rsidRDefault="003A6273" w:rsidP="00D20107">
            <w:pPr>
              <w:pStyle w:val="TableText"/>
              <w:spacing w:before="0" w:after="0"/>
              <w:jc w:val="center"/>
              <w:rPr>
                <w:rFonts w:cs="Segoe UI"/>
                <w:sz w:val="20"/>
                <w:lang w:eastAsia="en-GB"/>
              </w:rPr>
            </w:pPr>
          </w:p>
        </w:tc>
        <w:tc>
          <w:tcPr>
            <w:tcW w:w="1134" w:type="dxa"/>
            <w:tcBorders>
              <w:top w:val="single" w:sz="12" w:space="0" w:color="auto"/>
              <w:bottom w:val="single" w:sz="2" w:space="0" w:color="auto"/>
              <w:right w:val="single" w:sz="12" w:space="0" w:color="auto"/>
            </w:tcBorders>
            <w:shd w:val="clear" w:color="auto" w:fill="auto"/>
          </w:tcPr>
          <w:p w14:paraId="589D2387" w14:textId="1540A772" w:rsidR="003A6273" w:rsidRPr="006A354E" w:rsidRDefault="003A6273" w:rsidP="00D20107">
            <w:pPr>
              <w:pStyle w:val="TableText"/>
              <w:spacing w:before="0" w:after="0"/>
              <w:jc w:val="center"/>
              <w:rPr>
                <w:rFonts w:cs="Segoe UI"/>
                <w:sz w:val="20"/>
                <w:lang w:eastAsia="en-GB"/>
              </w:rPr>
            </w:pPr>
            <w:r w:rsidRPr="006A354E">
              <w:rPr>
                <w:rFonts w:ascii="Wingdings 2" w:hAnsi="Wingdings 2" w:cs="Calibri"/>
                <w:color w:val="000000"/>
                <w:sz w:val="20"/>
              </w:rPr>
              <w:t></w:t>
            </w:r>
          </w:p>
        </w:tc>
        <w:tc>
          <w:tcPr>
            <w:tcW w:w="1134" w:type="dxa"/>
            <w:tcBorders>
              <w:top w:val="single" w:sz="12" w:space="0" w:color="auto"/>
              <w:left w:val="single" w:sz="12" w:space="0" w:color="auto"/>
              <w:bottom w:val="single" w:sz="2" w:space="0" w:color="auto"/>
            </w:tcBorders>
            <w:shd w:val="clear" w:color="auto" w:fill="auto"/>
          </w:tcPr>
          <w:p w14:paraId="1F68D5B3" w14:textId="77777777" w:rsidR="003A6273" w:rsidRPr="006A354E" w:rsidRDefault="003A6273" w:rsidP="00D20107">
            <w:pPr>
              <w:pStyle w:val="TableText"/>
              <w:spacing w:before="0" w:after="0"/>
              <w:jc w:val="center"/>
              <w:rPr>
                <w:rFonts w:cs="Segoe UI"/>
                <w:sz w:val="20"/>
                <w:lang w:eastAsia="en-GB"/>
              </w:rPr>
            </w:pPr>
          </w:p>
        </w:tc>
        <w:tc>
          <w:tcPr>
            <w:tcW w:w="1276" w:type="dxa"/>
            <w:tcBorders>
              <w:top w:val="single" w:sz="12" w:space="0" w:color="auto"/>
              <w:bottom w:val="single" w:sz="2" w:space="0" w:color="auto"/>
            </w:tcBorders>
            <w:shd w:val="clear" w:color="auto" w:fill="auto"/>
          </w:tcPr>
          <w:p w14:paraId="13DAFDD6" w14:textId="77777777" w:rsidR="003A6273" w:rsidRPr="006A354E" w:rsidRDefault="003A6273" w:rsidP="00D20107">
            <w:pPr>
              <w:pStyle w:val="TableText"/>
              <w:spacing w:before="0" w:after="0"/>
              <w:jc w:val="center"/>
              <w:rPr>
                <w:rFonts w:cs="Segoe UI"/>
                <w:sz w:val="20"/>
                <w:lang w:eastAsia="en-GB"/>
              </w:rPr>
            </w:pPr>
          </w:p>
        </w:tc>
        <w:tc>
          <w:tcPr>
            <w:tcW w:w="1101" w:type="dxa"/>
            <w:tcBorders>
              <w:top w:val="single" w:sz="12" w:space="0" w:color="auto"/>
              <w:bottom w:val="single" w:sz="2" w:space="0" w:color="auto"/>
              <w:right w:val="single" w:sz="12" w:space="0" w:color="auto"/>
            </w:tcBorders>
            <w:shd w:val="clear" w:color="auto" w:fill="auto"/>
          </w:tcPr>
          <w:p w14:paraId="5348AAFF" w14:textId="6C64777C" w:rsidR="003A6273" w:rsidRPr="006A354E" w:rsidRDefault="003A6273" w:rsidP="00D20107">
            <w:pPr>
              <w:pStyle w:val="TableText"/>
              <w:spacing w:before="0" w:after="0"/>
              <w:jc w:val="center"/>
              <w:rPr>
                <w:rFonts w:cs="Segoe UI"/>
                <w:sz w:val="20"/>
                <w:lang w:eastAsia="en-GB"/>
              </w:rPr>
            </w:pPr>
            <w:r w:rsidRPr="006A354E">
              <w:rPr>
                <w:rFonts w:ascii="Wingdings 2" w:hAnsi="Wingdings 2" w:cs="Calibri"/>
                <w:color w:val="000000"/>
                <w:sz w:val="20"/>
              </w:rPr>
              <w:t></w:t>
            </w:r>
          </w:p>
        </w:tc>
      </w:tr>
      <w:tr w:rsidR="003A6273" w14:paraId="00F8E7F2" w14:textId="77777777" w:rsidTr="003A6273">
        <w:trPr>
          <w:cantSplit/>
          <w:trHeight w:val="283"/>
        </w:trPr>
        <w:tc>
          <w:tcPr>
            <w:tcW w:w="2154" w:type="dxa"/>
            <w:vMerge/>
            <w:tcBorders>
              <w:left w:val="nil"/>
              <w:bottom w:val="single" w:sz="12" w:space="0" w:color="auto"/>
              <w:right w:val="single" w:sz="12" w:space="0" w:color="auto"/>
            </w:tcBorders>
          </w:tcPr>
          <w:p w14:paraId="26A62629" w14:textId="77777777" w:rsidR="003A6273" w:rsidRPr="00F914B1" w:rsidRDefault="003A6273" w:rsidP="00D20107">
            <w:pPr>
              <w:pStyle w:val="TableText"/>
              <w:spacing w:before="0" w:after="0"/>
              <w:rPr>
                <w:rFonts w:cs="Segoe UI"/>
                <w:sz w:val="20"/>
                <w:lang w:eastAsia="en-GB"/>
              </w:rPr>
            </w:pPr>
          </w:p>
        </w:tc>
        <w:tc>
          <w:tcPr>
            <w:tcW w:w="4762" w:type="dxa"/>
            <w:tcBorders>
              <w:top w:val="single" w:sz="2" w:space="0" w:color="auto"/>
              <w:left w:val="single" w:sz="12" w:space="0" w:color="auto"/>
              <w:bottom w:val="single" w:sz="2" w:space="0" w:color="auto"/>
              <w:right w:val="single" w:sz="12" w:space="0" w:color="auto"/>
            </w:tcBorders>
            <w:shd w:val="clear" w:color="auto" w:fill="auto"/>
          </w:tcPr>
          <w:p w14:paraId="4F12BCA0" w14:textId="5F03A252" w:rsidR="003A6273" w:rsidRPr="006A354E" w:rsidRDefault="003A6273" w:rsidP="00D20107">
            <w:pPr>
              <w:pStyle w:val="TableText"/>
              <w:spacing w:before="0" w:after="0"/>
              <w:rPr>
                <w:rFonts w:cs="Segoe UI"/>
                <w:sz w:val="20"/>
                <w:lang w:eastAsia="en-GB"/>
              </w:rPr>
            </w:pPr>
            <w:r w:rsidRPr="006A354E">
              <w:rPr>
                <w:rFonts w:cs="Segoe UI"/>
                <w:color w:val="000000"/>
                <w:sz w:val="20"/>
              </w:rPr>
              <w:t>Template OR1: Historical losses</w:t>
            </w:r>
          </w:p>
        </w:tc>
        <w:tc>
          <w:tcPr>
            <w:tcW w:w="1624" w:type="dxa"/>
            <w:tcBorders>
              <w:top w:val="single" w:sz="2" w:space="0" w:color="auto"/>
              <w:left w:val="single" w:sz="12" w:space="0" w:color="auto"/>
              <w:bottom w:val="single" w:sz="2" w:space="0" w:color="auto"/>
              <w:right w:val="single" w:sz="12" w:space="0" w:color="auto"/>
            </w:tcBorders>
            <w:shd w:val="clear" w:color="auto" w:fill="auto"/>
          </w:tcPr>
          <w:p w14:paraId="1BDF29FE" w14:textId="6548BD4A" w:rsidR="003A6273" w:rsidRPr="006A354E" w:rsidRDefault="003A6273" w:rsidP="00D20107">
            <w:pPr>
              <w:pStyle w:val="TableText"/>
              <w:spacing w:before="0" w:after="0"/>
              <w:jc w:val="center"/>
              <w:rPr>
                <w:rFonts w:cs="Segoe UI"/>
                <w:sz w:val="20"/>
                <w:lang w:eastAsia="en-GB"/>
              </w:rPr>
            </w:pPr>
            <w:r w:rsidRPr="006A354E">
              <w:rPr>
                <w:rFonts w:cs="Segoe UI"/>
                <w:color w:val="000000"/>
                <w:sz w:val="20"/>
              </w:rPr>
              <w:t>L</w:t>
            </w:r>
          </w:p>
        </w:tc>
        <w:tc>
          <w:tcPr>
            <w:tcW w:w="1244" w:type="dxa"/>
            <w:tcBorders>
              <w:top w:val="single" w:sz="2" w:space="0" w:color="auto"/>
              <w:left w:val="single" w:sz="12" w:space="0" w:color="auto"/>
              <w:bottom w:val="single" w:sz="2" w:space="0" w:color="auto"/>
            </w:tcBorders>
            <w:shd w:val="clear" w:color="auto" w:fill="auto"/>
          </w:tcPr>
          <w:p w14:paraId="5B5ABFAD" w14:textId="3292B9CB" w:rsidR="003A6273" w:rsidRPr="006A354E" w:rsidRDefault="003A6273" w:rsidP="00D20107">
            <w:pPr>
              <w:pStyle w:val="TableText"/>
              <w:spacing w:before="0" w:after="0"/>
              <w:jc w:val="center"/>
              <w:rPr>
                <w:rFonts w:cs="Segoe UI"/>
                <w:sz w:val="20"/>
                <w:lang w:eastAsia="en-GB"/>
              </w:rPr>
            </w:pPr>
            <w:r w:rsidRPr="006A354E">
              <w:rPr>
                <w:rFonts w:ascii="Wingdings 2" w:hAnsi="Wingdings 2" w:cs="Calibri"/>
                <w:color w:val="000000"/>
                <w:sz w:val="20"/>
              </w:rPr>
              <w:t></w:t>
            </w:r>
          </w:p>
        </w:tc>
        <w:tc>
          <w:tcPr>
            <w:tcW w:w="1134" w:type="dxa"/>
            <w:tcBorders>
              <w:top w:val="single" w:sz="2" w:space="0" w:color="auto"/>
              <w:bottom w:val="single" w:sz="2" w:space="0" w:color="auto"/>
              <w:right w:val="single" w:sz="12" w:space="0" w:color="auto"/>
            </w:tcBorders>
            <w:shd w:val="clear" w:color="auto" w:fill="auto"/>
          </w:tcPr>
          <w:p w14:paraId="437837D9" w14:textId="77777777" w:rsidR="003A6273" w:rsidRPr="006A354E" w:rsidRDefault="003A6273" w:rsidP="00D20107">
            <w:pPr>
              <w:pStyle w:val="TableText"/>
              <w:spacing w:before="0" w:after="0"/>
              <w:jc w:val="center"/>
              <w:rPr>
                <w:rFonts w:cs="Segoe UI"/>
                <w:sz w:val="20"/>
                <w:lang w:eastAsia="en-GB"/>
              </w:rPr>
            </w:pPr>
          </w:p>
        </w:tc>
        <w:tc>
          <w:tcPr>
            <w:tcW w:w="1134" w:type="dxa"/>
            <w:tcBorders>
              <w:top w:val="single" w:sz="2" w:space="0" w:color="auto"/>
              <w:left w:val="single" w:sz="12" w:space="0" w:color="auto"/>
              <w:bottom w:val="single" w:sz="2" w:space="0" w:color="auto"/>
            </w:tcBorders>
            <w:shd w:val="clear" w:color="auto" w:fill="auto"/>
          </w:tcPr>
          <w:p w14:paraId="76035E2A" w14:textId="77777777" w:rsidR="003A6273" w:rsidRPr="006A354E" w:rsidRDefault="003A6273" w:rsidP="00D20107">
            <w:pPr>
              <w:pStyle w:val="TableText"/>
              <w:spacing w:before="0" w:after="0"/>
              <w:jc w:val="center"/>
              <w:rPr>
                <w:rFonts w:cs="Segoe UI"/>
                <w:sz w:val="20"/>
                <w:lang w:eastAsia="en-GB"/>
              </w:rPr>
            </w:pPr>
          </w:p>
        </w:tc>
        <w:tc>
          <w:tcPr>
            <w:tcW w:w="1276" w:type="dxa"/>
            <w:tcBorders>
              <w:top w:val="single" w:sz="2" w:space="0" w:color="auto"/>
              <w:bottom w:val="single" w:sz="2" w:space="0" w:color="auto"/>
            </w:tcBorders>
            <w:shd w:val="clear" w:color="auto" w:fill="auto"/>
          </w:tcPr>
          <w:p w14:paraId="7A406565" w14:textId="77777777" w:rsidR="003A6273" w:rsidRPr="006A354E" w:rsidRDefault="003A6273" w:rsidP="00D20107">
            <w:pPr>
              <w:pStyle w:val="TableText"/>
              <w:spacing w:before="0" w:after="0"/>
              <w:jc w:val="center"/>
              <w:rPr>
                <w:rFonts w:cs="Segoe UI"/>
                <w:sz w:val="20"/>
                <w:lang w:eastAsia="en-GB"/>
              </w:rPr>
            </w:pPr>
          </w:p>
        </w:tc>
        <w:tc>
          <w:tcPr>
            <w:tcW w:w="1101" w:type="dxa"/>
            <w:tcBorders>
              <w:top w:val="single" w:sz="2" w:space="0" w:color="auto"/>
              <w:bottom w:val="single" w:sz="2" w:space="0" w:color="auto"/>
              <w:right w:val="single" w:sz="12" w:space="0" w:color="auto"/>
            </w:tcBorders>
            <w:shd w:val="clear" w:color="auto" w:fill="auto"/>
          </w:tcPr>
          <w:p w14:paraId="137EC283" w14:textId="41EE6887" w:rsidR="003A6273" w:rsidRPr="006A354E" w:rsidRDefault="003A6273" w:rsidP="00D20107">
            <w:pPr>
              <w:pStyle w:val="TableText"/>
              <w:spacing w:before="0" w:after="0"/>
              <w:jc w:val="center"/>
              <w:rPr>
                <w:rFonts w:cs="Segoe UI"/>
                <w:sz w:val="20"/>
                <w:lang w:eastAsia="en-GB"/>
              </w:rPr>
            </w:pPr>
            <w:r w:rsidRPr="006A354E">
              <w:rPr>
                <w:rFonts w:ascii="Wingdings 2" w:hAnsi="Wingdings 2" w:cs="Calibri"/>
                <w:color w:val="000000"/>
                <w:sz w:val="20"/>
              </w:rPr>
              <w:t></w:t>
            </w:r>
          </w:p>
        </w:tc>
      </w:tr>
      <w:tr w:rsidR="003A6273" w14:paraId="23368F4A" w14:textId="77777777" w:rsidTr="003A6273">
        <w:trPr>
          <w:cantSplit/>
          <w:trHeight w:val="283"/>
        </w:trPr>
        <w:tc>
          <w:tcPr>
            <w:tcW w:w="2154" w:type="dxa"/>
            <w:vMerge/>
            <w:tcBorders>
              <w:left w:val="nil"/>
              <w:bottom w:val="single" w:sz="12" w:space="0" w:color="auto"/>
              <w:right w:val="single" w:sz="12" w:space="0" w:color="auto"/>
            </w:tcBorders>
          </w:tcPr>
          <w:p w14:paraId="7E50F4D9" w14:textId="77777777" w:rsidR="003A6273" w:rsidRPr="00F914B1" w:rsidRDefault="003A6273" w:rsidP="00D20107">
            <w:pPr>
              <w:pStyle w:val="TableText"/>
              <w:spacing w:before="0" w:after="0"/>
              <w:rPr>
                <w:rFonts w:cs="Segoe UI"/>
                <w:sz w:val="20"/>
                <w:lang w:eastAsia="en-GB"/>
              </w:rPr>
            </w:pPr>
          </w:p>
        </w:tc>
        <w:tc>
          <w:tcPr>
            <w:tcW w:w="4762" w:type="dxa"/>
            <w:tcBorders>
              <w:top w:val="single" w:sz="2" w:space="0" w:color="auto"/>
              <w:left w:val="single" w:sz="12" w:space="0" w:color="auto"/>
              <w:bottom w:val="single" w:sz="2" w:space="0" w:color="auto"/>
              <w:right w:val="single" w:sz="12" w:space="0" w:color="auto"/>
            </w:tcBorders>
            <w:shd w:val="clear" w:color="auto" w:fill="auto"/>
          </w:tcPr>
          <w:p w14:paraId="02CE36D3" w14:textId="31157C66" w:rsidR="003A6273" w:rsidRPr="006A354E" w:rsidRDefault="003A6273" w:rsidP="00D20107">
            <w:pPr>
              <w:pStyle w:val="TableText"/>
              <w:spacing w:before="0" w:after="0"/>
              <w:rPr>
                <w:rFonts w:cs="Segoe UI"/>
                <w:sz w:val="20"/>
                <w:lang w:eastAsia="en-GB"/>
              </w:rPr>
            </w:pPr>
            <w:r w:rsidRPr="006A354E">
              <w:rPr>
                <w:rFonts w:cs="Segoe UI"/>
                <w:color w:val="000000"/>
                <w:sz w:val="20"/>
              </w:rPr>
              <w:t>Template OR2 : Business indicator and business indicator components breakdown</w:t>
            </w:r>
          </w:p>
        </w:tc>
        <w:tc>
          <w:tcPr>
            <w:tcW w:w="1624" w:type="dxa"/>
            <w:tcBorders>
              <w:top w:val="single" w:sz="2" w:space="0" w:color="auto"/>
              <w:left w:val="single" w:sz="12" w:space="0" w:color="auto"/>
              <w:bottom w:val="single" w:sz="2" w:space="0" w:color="auto"/>
              <w:right w:val="single" w:sz="12" w:space="0" w:color="auto"/>
            </w:tcBorders>
            <w:shd w:val="clear" w:color="auto" w:fill="auto"/>
          </w:tcPr>
          <w:p w14:paraId="4B5465B2" w14:textId="722CDD54" w:rsidR="003A6273" w:rsidRPr="006A354E" w:rsidRDefault="003A6273" w:rsidP="00D20107">
            <w:pPr>
              <w:pStyle w:val="TableText"/>
              <w:spacing w:before="0" w:after="0"/>
              <w:jc w:val="center"/>
              <w:rPr>
                <w:rFonts w:cs="Segoe UI"/>
                <w:sz w:val="20"/>
                <w:lang w:eastAsia="en-GB"/>
              </w:rPr>
            </w:pPr>
            <w:r w:rsidRPr="006A354E">
              <w:rPr>
                <w:rFonts w:cs="Segoe UI"/>
                <w:color w:val="000000"/>
                <w:sz w:val="20"/>
              </w:rPr>
              <w:t>L</w:t>
            </w:r>
          </w:p>
        </w:tc>
        <w:tc>
          <w:tcPr>
            <w:tcW w:w="1244" w:type="dxa"/>
            <w:tcBorders>
              <w:top w:val="single" w:sz="2" w:space="0" w:color="auto"/>
              <w:left w:val="single" w:sz="12" w:space="0" w:color="auto"/>
              <w:bottom w:val="single" w:sz="2" w:space="0" w:color="auto"/>
            </w:tcBorders>
            <w:shd w:val="clear" w:color="auto" w:fill="auto"/>
          </w:tcPr>
          <w:p w14:paraId="7FCE36FA" w14:textId="3E33DAFF" w:rsidR="003A6273" w:rsidRPr="006A354E" w:rsidRDefault="003A6273" w:rsidP="00D20107">
            <w:pPr>
              <w:pStyle w:val="TableText"/>
              <w:spacing w:before="0" w:after="0"/>
              <w:jc w:val="center"/>
              <w:rPr>
                <w:rFonts w:cs="Segoe UI"/>
                <w:sz w:val="20"/>
                <w:lang w:eastAsia="en-GB"/>
              </w:rPr>
            </w:pPr>
            <w:r w:rsidRPr="006A354E">
              <w:rPr>
                <w:rFonts w:ascii="Wingdings 2" w:hAnsi="Wingdings 2" w:cs="Calibri"/>
                <w:color w:val="000000"/>
                <w:sz w:val="20"/>
              </w:rPr>
              <w:t></w:t>
            </w:r>
          </w:p>
        </w:tc>
        <w:tc>
          <w:tcPr>
            <w:tcW w:w="1134" w:type="dxa"/>
            <w:tcBorders>
              <w:top w:val="single" w:sz="2" w:space="0" w:color="auto"/>
              <w:bottom w:val="single" w:sz="2" w:space="0" w:color="auto"/>
              <w:right w:val="single" w:sz="12" w:space="0" w:color="auto"/>
            </w:tcBorders>
            <w:shd w:val="clear" w:color="auto" w:fill="auto"/>
          </w:tcPr>
          <w:p w14:paraId="25200271" w14:textId="77777777" w:rsidR="003A6273" w:rsidRPr="006A354E" w:rsidRDefault="003A6273" w:rsidP="00D20107">
            <w:pPr>
              <w:pStyle w:val="TableText"/>
              <w:spacing w:before="0" w:after="0"/>
              <w:jc w:val="center"/>
              <w:rPr>
                <w:rFonts w:cs="Segoe UI"/>
                <w:sz w:val="20"/>
                <w:lang w:eastAsia="en-GB"/>
              </w:rPr>
            </w:pPr>
          </w:p>
        </w:tc>
        <w:tc>
          <w:tcPr>
            <w:tcW w:w="1134" w:type="dxa"/>
            <w:tcBorders>
              <w:top w:val="single" w:sz="2" w:space="0" w:color="auto"/>
              <w:left w:val="single" w:sz="12" w:space="0" w:color="auto"/>
              <w:bottom w:val="single" w:sz="2" w:space="0" w:color="auto"/>
            </w:tcBorders>
            <w:shd w:val="clear" w:color="auto" w:fill="auto"/>
          </w:tcPr>
          <w:p w14:paraId="580A7900" w14:textId="77777777" w:rsidR="003A6273" w:rsidRPr="006A354E" w:rsidRDefault="003A6273" w:rsidP="00D20107">
            <w:pPr>
              <w:pStyle w:val="TableText"/>
              <w:spacing w:before="0" w:after="0"/>
              <w:jc w:val="center"/>
              <w:rPr>
                <w:rFonts w:cs="Segoe UI"/>
                <w:sz w:val="20"/>
                <w:lang w:eastAsia="en-GB"/>
              </w:rPr>
            </w:pPr>
          </w:p>
        </w:tc>
        <w:tc>
          <w:tcPr>
            <w:tcW w:w="1276" w:type="dxa"/>
            <w:tcBorders>
              <w:top w:val="single" w:sz="2" w:space="0" w:color="auto"/>
              <w:bottom w:val="single" w:sz="2" w:space="0" w:color="auto"/>
            </w:tcBorders>
            <w:shd w:val="clear" w:color="auto" w:fill="auto"/>
          </w:tcPr>
          <w:p w14:paraId="24D0C793" w14:textId="77777777" w:rsidR="003A6273" w:rsidRPr="006A354E" w:rsidRDefault="003A6273" w:rsidP="00D20107">
            <w:pPr>
              <w:pStyle w:val="TableText"/>
              <w:spacing w:before="0" w:after="0"/>
              <w:jc w:val="center"/>
              <w:rPr>
                <w:rFonts w:cs="Segoe UI"/>
                <w:sz w:val="20"/>
                <w:lang w:eastAsia="en-GB"/>
              </w:rPr>
            </w:pPr>
          </w:p>
        </w:tc>
        <w:tc>
          <w:tcPr>
            <w:tcW w:w="1101" w:type="dxa"/>
            <w:tcBorders>
              <w:top w:val="single" w:sz="2" w:space="0" w:color="auto"/>
              <w:bottom w:val="single" w:sz="2" w:space="0" w:color="auto"/>
              <w:right w:val="single" w:sz="12" w:space="0" w:color="auto"/>
            </w:tcBorders>
            <w:shd w:val="clear" w:color="auto" w:fill="auto"/>
          </w:tcPr>
          <w:p w14:paraId="78850C52" w14:textId="66654FA9" w:rsidR="003A6273" w:rsidRPr="006A354E" w:rsidRDefault="003A6273" w:rsidP="00D20107">
            <w:pPr>
              <w:pStyle w:val="TableText"/>
              <w:spacing w:before="0" w:after="0"/>
              <w:jc w:val="center"/>
              <w:rPr>
                <w:rFonts w:cs="Segoe UI"/>
                <w:sz w:val="20"/>
                <w:lang w:eastAsia="en-GB"/>
              </w:rPr>
            </w:pPr>
            <w:r w:rsidRPr="006A354E">
              <w:rPr>
                <w:rFonts w:ascii="Wingdings 2" w:hAnsi="Wingdings 2" w:cs="Calibri"/>
                <w:color w:val="000000"/>
                <w:sz w:val="20"/>
              </w:rPr>
              <w:t></w:t>
            </w:r>
          </w:p>
        </w:tc>
      </w:tr>
      <w:tr w:rsidR="003A6273" w14:paraId="5BC7193C" w14:textId="77777777" w:rsidTr="003A6273">
        <w:trPr>
          <w:cantSplit/>
          <w:trHeight w:val="283"/>
        </w:trPr>
        <w:tc>
          <w:tcPr>
            <w:tcW w:w="2154" w:type="dxa"/>
            <w:vMerge/>
            <w:tcBorders>
              <w:left w:val="nil"/>
              <w:bottom w:val="single" w:sz="12" w:space="0" w:color="auto"/>
              <w:right w:val="single" w:sz="12" w:space="0" w:color="auto"/>
            </w:tcBorders>
          </w:tcPr>
          <w:p w14:paraId="743A88CB" w14:textId="77777777" w:rsidR="003A6273" w:rsidRPr="00F914B1" w:rsidRDefault="003A6273" w:rsidP="00D20107">
            <w:pPr>
              <w:pStyle w:val="TableText"/>
              <w:spacing w:before="0" w:after="0"/>
              <w:rPr>
                <w:rFonts w:cs="Segoe UI"/>
                <w:sz w:val="20"/>
                <w:lang w:eastAsia="en-GB"/>
              </w:rPr>
            </w:pPr>
          </w:p>
        </w:tc>
        <w:tc>
          <w:tcPr>
            <w:tcW w:w="4762" w:type="dxa"/>
            <w:tcBorders>
              <w:top w:val="single" w:sz="2" w:space="0" w:color="auto"/>
              <w:left w:val="single" w:sz="12" w:space="0" w:color="auto"/>
              <w:bottom w:val="single" w:sz="12" w:space="0" w:color="auto"/>
              <w:right w:val="single" w:sz="12" w:space="0" w:color="auto"/>
            </w:tcBorders>
            <w:shd w:val="clear" w:color="auto" w:fill="auto"/>
          </w:tcPr>
          <w:p w14:paraId="049ECF15" w14:textId="3FEE80CB" w:rsidR="003A6273" w:rsidRPr="006A354E" w:rsidRDefault="003A6273" w:rsidP="00D20107">
            <w:pPr>
              <w:pStyle w:val="TableText"/>
              <w:spacing w:before="0" w:after="0"/>
              <w:rPr>
                <w:rFonts w:cs="Segoe UI"/>
                <w:sz w:val="20"/>
                <w:lang w:eastAsia="en-GB"/>
              </w:rPr>
            </w:pPr>
            <w:r w:rsidRPr="006A354E">
              <w:rPr>
                <w:rFonts w:cs="Segoe UI"/>
                <w:color w:val="000000"/>
                <w:sz w:val="20"/>
              </w:rPr>
              <w:t>Template OR3 : Minimum operational risk capital requirement</w:t>
            </w:r>
          </w:p>
        </w:tc>
        <w:tc>
          <w:tcPr>
            <w:tcW w:w="1624" w:type="dxa"/>
            <w:tcBorders>
              <w:top w:val="single" w:sz="2" w:space="0" w:color="auto"/>
              <w:left w:val="single" w:sz="12" w:space="0" w:color="auto"/>
              <w:bottom w:val="single" w:sz="12" w:space="0" w:color="auto"/>
              <w:right w:val="single" w:sz="12" w:space="0" w:color="auto"/>
            </w:tcBorders>
            <w:shd w:val="clear" w:color="auto" w:fill="auto"/>
          </w:tcPr>
          <w:p w14:paraId="1A753A85" w14:textId="57ADFD3B" w:rsidR="003A6273" w:rsidRPr="006A354E" w:rsidRDefault="003A6273" w:rsidP="00D20107">
            <w:pPr>
              <w:pStyle w:val="TableText"/>
              <w:spacing w:before="0" w:after="0"/>
              <w:jc w:val="center"/>
              <w:rPr>
                <w:rFonts w:cs="Segoe UI"/>
                <w:sz w:val="20"/>
                <w:lang w:eastAsia="en-GB"/>
              </w:rPr>
            </w:pPr>
            <w:r w:rsidRPr="006A354E">
              <w:rPr>
                <w:rFonts w:cs="Segoe UI"/>
                <w:color w:val="000000"/>
                <w:sz w:val="20"/>
              </w:rPr>
              <w:t>L</w:t>
            </w:r>
          </w:p>
        </w:tc>
        <w:tc>
          <w:tcPr>
            <w:tcW w:w="1244" w:type="dxa"/>
            <w:tcBorders>
              <w:top w:val="single" w:sz="2" w:space="0" w:color="auto"/>
              <w:left w:val="single" w:sz="12" w:space="0" w:color="auto"/>
              <w:bottom w:val="single" w:sz="12" w:space="0" w:color="auto"/>
            </w:tcBorders>
            <w:shd w:val="clear" w:color="auto" w:fill="auto"/>
          </w:tcPr>
          <w:p w14:paraId="1E52ADF3" w14:textId="48D89D6B" w:rsidR="003A6273" w:rsidRPr="006A354E" w:rsidRDefault="003A6273" w:rsidP="00D20107">
            <w:pPr>
              <w:pStyle w:val="TableText"/>
              <w:spacing w:before="0" w:after="0"/>
              <w:jc w:val="center"/>
              <w:rPr>
                <w:rFonts w:cs="Segoe UI"/>
                <w:sz w:val="20"/>
                <w:lang w:eastAsia="en-GB"/>
              </w:rPr>
            </w:pPr>
            <w:r w:rsidRPr="006A354E">
              <w:rPr>
                <w:rFonts w:ascii="Wingdings 2" w:hAnsi="Wingdings 2" w:cs="Calibri"/>
                <w:color w:val="000000"/>
                <w:sz w:val="20"/>
              </w:rPr>
              <w:t></w:t>
            </w:r>
          </w:p>
        </w:tc>
        <w:tc>
          <w:tcPr>
            <w:tcW w:w="1134" w:type="dxa"/>
            <w:tcBorders>
              <w:top w:val="single" w:sz="2" w:space="0" w:color="auto"/>
              <w:bottom w:val="single" w:sz="12" w:space="0" w:color="auto"/>
              <w:right w:val="single" w:sz="12" w:space="0" w:color="auto"/>
            </w:tcBorders>
            <w:shd w:val="clear" w:color="auto" w:fill="auto"/>
          </w:tcPr>
          <w:p w14:paraId="64E80E81" w14:textId="77777777" w:rsidR="003A6273" w:rsidRPr="006A354E" w:rsidRDefault="003A6273" w:rsidP="00D20107">
            <w:pPr>
              <w:pStyle w:val="TableText"/>
              <w:spacing w:before="0" w:after="0"/>
              <w:jc w:val="center"/>
              <w:rPr>
                <w:rFonts w:cs="Segoe UI"/>
                <w:sz w:val="20"/>
                <w:lang w:eastAsia="en-GB"/>
              </w:rPr>
            </w:pPr>
          </w:p>
        </w:tc>
        <w:tc>
          <w:tcPr>
            <w:tcW w:w="1134" w:type="dxa"/>
            <w:tcBorders>
              <w:top w:val="single" w:sz="2" w:space="0" w:color="auto"/>
              <w:left w:val="single" w:sz="12" w:space="0" w:color="auto"/>
              <w:bottom w:val="single" w:sz="12" w:space="0" w:color="auto"/>
            </w:tcBorders>
            <w:shd w:val="clear" w:color="auto" w:fill="auto"/>
          </w:tcPr>
          <w:p w14:paraId="358152CA" w14:textId="77777777" w:rsidR="003A6273" w:rsidRPr="006A354E" w:rsidRDefault="003A6273" w:rsidP="00D20107">
            <w:pPr>
              <w:pStyle w:val="TableText"/>
              <w:spacing w:before="0" w:after="0"/>
              <w:jc w:val="center"/>
              <w:rPr>
                <w:rFonts w:cs="Segoe UI"/>
                <w:sz w:val="20"/>
                <w:lang w:eastAsia="en-GB"/>
              </w:rPr>
            </w:pPr>
          </w:p>
        </w:tc>
        <w:tc>
          <w:tcPr>
            <w:tcW w:w="1276" w:type="dxa"/>
            <w:tcBorders>
              <w:top w:val="single" w:sz="2" w:space="0" w:color="auto"/>
              <w:bottom w:val="single" w:sz="12" w:space="0" w:color="auto"/>
            </w:tcBorders>
            <w:shd w:val="clear" w:color="auto" w:fill="auto"/>
          </w:tcPr>
          <w:p w14:paraId="3D51E6C0" w14:textId="77777777" w:rsidR="003A6273" w:rsidRPr="006A354E" w:rsidRDefault="003A6273" w:rsidP="00D20107">
            <w:pPr>
              <w:pStyle w:val="TableText"/>
              <w:spacing w:before="0" w:after="0"/>
              <w:jc w:val="center"/>
              <w:rPr>
                <w:rFonts w:cs="Segoe UI"/>
                <w:sz w:val="20"/>
                <w:lang w:eastAsia="en-GB"/>
              </w:rPr>
            </w:pPr>
          </w:p>
        </w:tc>
        <w:tc>
          <w:tcPr>
            <w:tcW w:w="1101" w:type="dxa"/>
            <w:tcBorders>
              <w:top w:val="single" w:sz="2" w:space="0" w:color="auto"/>
              <w:bottom w:val="single" w:sz="12" w:space="0" w:color="auto"/>
              <w:right w:val="single" w:sz="12" w:space="0" w:color="auto"/>
            </w:tcBorders>
            <w:shd w:val="clear" w:color="auto" w:fill="auto"/>
          </w:tcPr>
          <w:p w14:paraId="0A0E25A6" w14:textId="391BFBAC" w:rsidR="003A6273" w:rsidRPr="006A354E" w:rsidRDefault="003A6273" w:rsidP="00D20107">
            <w:pPr>
              <w:pStyle w:val="TableText"/>
              <w:spacing w:before="0" w:after="0"/>
              <w:jc w:val="center"/>
              <w:rPr>
                <w:rFonts w:cs="Segoe UI"/>
                <w:sz w:val="20"/>
                <w:lang w:eastAsia="en-GB"/>
              </w:rPr>
            </w:pPr>
            <w:r w:rsidRPr="006A354E">
              <w:rPr>
                <w:rFonts w:ascii="Wingdings 2" w:hAnsi="Wingdings 2" w:cs="Calibri"/>
                <w:color w:val="000000"/>
                <w:sz w:val="20"/>
              </w:rPr>
              <w:t></w:t>
            </w:r>
          </w:p>
        </w:tc>
      </w:tr>
      <w:tr w:rsidR="003A6273" w14:paraId="204B03C2" w14:textId="77777777" w:rsidTr="003A6273">
        <w:trPr>
          <w:cantSplit/>
          <w:trHeight w:val="283"/>
        </w:trPr>
        <w:tc>
          <w:tcPr>
            <w:tcW w:w="2154" w:type="dxa"/>
            <w:vMerge w:val="restart"/>
            <w:tcBorders>
              <w:top w:val="single" w:sz="12" w:space="0" w:color="auto"/>
              <w:left w:val="nil"/>
              <w:right w:val="single" w:sz="12" w:space="0" w:color="auto"/>
            </w:tcBorders>
          </w:tcPr>
          <w:p w14:paraId="1984C258" w14:textId="1E4E962A" w:rsidR="003A6273" w:rsidRPr="00F914B1" w:rsidRDefault="003A6273" w:rsidP="00D20107">
            <w:pPr>
              <w:pStyle w:val="TableText"/>
              <w:spacing w:before="0" w:after="0"/>
              <w:rPr>
                <w:rFonts w:cs="Segoe UI"/>
                <w:sz w:val="20"/>
                <w:lang w:eastAsia="en-GB"/>
              </w:rPr>
            </w:pPr>
            <w:r w:rsidRPr="00212DE1">
              <w:rPr>
                <w:rFonts w:cs="Segoe UI"/>
                <w:sz w:val="20"/>
                <w:lang w:eastAsia="en-GB"/>
              </w:rPr>
              <w:t>Part X : Comparison of modelled and standardized RWA</w:t>
            </w:r>
            <w:r>
              <w:rPr>
                <w:rFonts w:cs="Segoe UI"/>
                <w:sz w:val="20"/>
                <w:lang w:eastAsia="en-GB"/>
              </w:rPr>
              <w:t>s</w:t>
            </w:r>
          </w:p>
        </w:tc>
        <w:tc>
          <w:tcPr>
            <w:tcW w:w="4762" w:type="dxa"/>
            <w:tcBorders>
              <w:top w:val="single" w:sz="12" w:space="0" w:color="auto"/>
              <w:left w:val="single" w:sz="12" w:space="0" w:color="auto"/>
              <w:bottom w:val="single" w:sz="2" w:space="0" w:color="auto"/>
              <w:right w:val="single" w:sz="12" w:space="0" w:color="auto"/>
            </w:tcBorders>
            <w:shd w:val="clear" w:color="auto" w:fill="auto"/>
          </w:tcPr>
          <w:p w14:paraId="1520780C" w14:textId="5C6104DD" w:rsidR="003A6273" w:rsidRPr="006A354E" w:rsidRDefault="003A6273" w:rsidP="001C4EF3">
            <w:pPr>
              <w:pStyle w:val="TableText"/>
              <w:spacing w:before="0" w:after="0"/>
              <w:rPr>
                <w:rFonts w:cs="Segoe UI"/>
                <w:sz w:val="20"/>
                <w:lang w:eastAsia="en-GB"/>
              </w:rPr>
            </w:pPr>
            <w:r w:rsidRPr="006A354E">
              <w:rPr>
                <w:rFonts w:cs="Segoe UI"/>
                <w:color w:val="000000"/>
                <w:sz w:val="20"/>
              </w:rPr>
              <w:t>Template CMS1 : Comparison of modelled and standardized RWA</w:t>
            </w:r>
            <w:r>
              <w:rPr>
                <w:rFonts w:cs="Segoe UI"/>
                <w:color w:val="000000"/>
                <w:sz w:val="20"/>
              </w:rPr>
              <w:t>s</w:t>
            </w:r>
            <w:r w:rsidRPr="006A354E">
              <w:rPr>
                <w:rFonts w:cs="Segoe UI"/>
                <w:color w:val="000000"/>
                <w:sz w:val="20"/>
              </w:rPr>
              <w:t xml:space="preserve"> at risk level</w:t>
            </w:r>
          </w:p>
        </w:tc>
        <w:tc>
          <w:tcPr>
            <w:tcW w:w="1624" w:type="dxa"/>
            <w:tcBorders>
              <w:top w:val="single" w:sz="12" w:space="0" w:color="auto"/>
              <w:left w:val="single" w:sz="12" w:space="0" w:color="auto"/>
              <w:bottom w:val="single" w:sz="2" w:space="0" w:color="auto"/>
              <w:right w:val="single" w:sz="12" w:space="0" w:color="auto"/>
            </w:tcBorders>
            <w:shd w:val="clear" w:color="auto" w:fill="auto"/>
          </w:tcPr>
          <w:p w14:paraId="2EEDEC92" w14:textId="35354C26" w:rsidR="003A6273" w:rsidRPr="006A354E" w:rsidRDefault="003A6273" w:rsidP="003A66B7">
            <w:pPr>
              <w:pStyle w:val="TableText"/>
              <w:spacing w:before="0" w:after="0"/>
              <w:jc w:val="center"/>
              <w:rPr>
                <w:rFonts w:cs="Segoe UI"/>
                <w:sz w:val="20"/>
                <w:lang w:eastAsia="en-GB"/>
              </w:rPr>
            </w:pPr>
            <w:r w:rsidRPr="006A354E">
              <w:rPr>
                <w:rFonts w:cs="Segoe UI"/>
                <w:color w:val="000000"/>
                <w:sz w:val="20"/>
              </w:rPr>
              <w:t>L</w:t>
            </w:r>
            <w:r>
              <w:rPr>
                <w:rFonts w:cs="Segoe UI"/>
                <w:color w:val="000000"/>
                <w:sz w:val="20"/>
              </w:rPr>
              <w:t xml:space="preserve"> [</w:t>
            </w:r>
            <w:r w:rsidRPr="00A359CB">
              <w:rPr>
                <w:rFonts w:cs="Segoe UI"/>
                <w:color w:val="000000"/>
                <w:sz w:val="20"/>
              </w:rPr>
              <w:t>using model-bas</w:t>
            </w:r>
            <w:r>
              <w:rPr>
                <w:rFonts w:cs="Segoe UI"/>
                <w:color w:val="000000"/>
                <w:sz w:val="20"/>
              </w:rPr>
              <w:t xml:space="preserve">ed approaches to calculate </w:t>
            </w:r>
            <w:r w:rsidRPr="00A359CB">
              <w:rPr>
                <w:rFonts w:cs="Segoe UI"/>
                <w:color w:val="000000"/>
                <w:sz w:val="20"/>
              </w:rPr>
              <w:t>credit risk or market risk</w:t>
            </w:r>
            <w:r>
              <w:rPr>
                <w:rFonts w:cs="Segoe UI"/>
                <w:color w:val="000000"/>
                <w:sz w:val="20"/>
              </w:rPr>
              <w:t>]</w:t>
            </w:r>
          </w:p>
        </w:tc>
        <w:tc>
          <w:tcPr>
            <w:tcW w:w="1244" w:type="dxa"/>
            <w:tcBorders>
              <w:top w:val="single" w:sz="12" w:space="0" w:color="auto"/>
              <w:left w:val="single" w:sz="12" w:space="0" w:color="auto"/>
              <w:bottom w:val="single" w:sz="2" w:space="0" w:color="auto"/>
            </w:tcBorders>
            <w:shd w:val="clear" w:color="auto" w:fill="auto"/>
          </w:tcPr>
          <w:p w14:paraId="789956CE" w14:textId="4E8244AB" w:rsidR="003A6273" w:rsidRPr="006A354E" w:rsidRDefault="003A6273" w:rsidP="00D20107">
            <w:pPr>
              <w:pStyle w:val="TableText"/>
              <w:spacing w:before="0" w:after="0"/>
              <w:jc w:val="center"/>
              <w:rPr>
                <w:rFonts w:cs="Segoe UI"/>
                <w:sz w:val="20"/>
                <w:lang w:eastAsia="en-GB"/>
              </w:rPr>
            </w:pPr>
            <w:r w:rsidRPr="006A354E">
              <w:rPr>
                <w:rFonts w:ascii="Wingdings 2" w:hAnsi="Wingdings 2" w:cs="Calibri"/>
                <w:color w:val="000000"/>
                <w:sz w:val="20"/>
              </w:rPr>
              <w:t></w:t>
            </w:r>
          </w:p>
        </w:tc>
        <w:tc>
          <w:tcPr>
            <w:tcW w:w="1134" w:type="dxa"/>
            <w:tcBorders>
              <w:top w:val="single" w:sz="12" w:space="0" w:color="auto"/>
              <w:bottom w:val="single" w:sz="2" w:space="0" w:color="auto"/>
              <w:right w:val="single" w:sz="12" w:space="0" w:color="auto"/>
            </w:tcBorders>
            <w:shd w:val="clear" w:color="auto" w:fill="auto"/>
          </w:tcPr>
          <w:p w14:paraId="2DA41EC3" w14:textId="77777777" w:rsidR="003A6273" w:rsidRPr="006A354E" w:rsidRDefault="003A6273" w:rsidP="00D20107">
            <w:pPr>
              <w:pStyle w:val="TableText"/>
              <w:spacing w:before="0" w:after="0"/>
              <w:jc w:val="center"/>
              <w:rPr>
                <w:rFonts w:cs="Segoe UI"/>
                <w:sz w:val="20"/>
                <w:lang w:eastAsia="en-GB"/>
              </w:rPr>
            </w:pPr>
          </w:p>
        </w:tc>
        <w:tc>
          <w:tcPr>
            <w:tcW w:w="1134" w:type="dxa"/>
            <w:tcBorders>
              <w:top w:val="single" w:sz="12" w:space="0" w:color="auto"/>
              <w:left w:val="single" w:sz="12" w:space="0" w:color="auto"/>
              <w:bottom w:val="single" w:sz="2" w:space="0" w:color="auto"/>
            </w:tcBorders>
            <w:shd w:val="clear" w:color="auto" w:fill="auto"/>
          </w:tcPr>
          <w:p w14:paraId="0C3CF77C" w14:textId="7691335A" w:rsidR="003A6273" w:rsidRPr="006A354E" w:rsidRDefault="003A6273" w:rsidP="00D20107">
            <w:pPr>
              <w:pStyle w:val="TableText"/>
              <w:spacing w:before="0" w:after="0"/>
              <w:jc w:val="center"/>
              <w:rPr>
                <w:rFonts w:cs="Segoe UI"/>
                <w:sz w:val="20"/>
                <w:lang w:eastAsia="en-GB"/>
              </w:rPr>
            </w:pPr>
            <w:r w:rsidRPr="006A354E">
              <w:rPr>
                <w:rFonts w:ascii="Wingdings 2" w:hAnsi="Wingdings 2" w:cs="Calibri"/>
                <w:color w:val="000000"/>
                <w:sz w:val="20"/>
              </w:rPr>
              <w:t></w:t>
            </w:r>
          </w:p>
        </w:tc>
        <w:tc>
          <w:tcPr>
            <w:tcW w:w="1276" w:type="dxa"/>
            <w:tcBorders>
              <w:top w:val="single" w:sz="12" w:space="0" w:color="auto"/>
              <w:bottom w:val="single" w:sz="2" w:space="0" w:color="auto"/>
            </w:tcBorders>
            <w:shd w:val="clear" w:color="auto" w:fill="auto"/>
          </w:tcPr>
          <w:p w14:paraId="19EEFEF4" w14:textId="77777777" w:rsidR="003A6273" w:rsidRPr="006A354E" w:rsidRDefault="003A6273" w:rsidP="00D20107">
            <w:pPr>
              <w:pStyle w:val="TableText"/>
              <w:spacing w:before="0" w:after="0"/>
              <w:jc w:val="center"/>
              <w:rPr>
                <w:rFonts w:cs="Segoe UI"/>
                <w:sz w:val="20"/>
                <w:lang w:eastAsia="en-GB"/>
              </w:rPr>
            </w:pPr>
          </w:p>
        </w:tc>
        <w:tc>
          <w:tcPr>
            <w:tcW w:w="1101" w:type="dxa"/>
            <w:tcBorders>
              <w:top w:val="single" w:sz="12" w:space="0" w:color="auto"/>
              <w:bottom w:val="single" w:sz="2" w:space="0" w:color="auto"/>
              <w:right w:val="single" w:sz="12" w:space="0" w:color="auto"/>
            </w:tcBorders>
            <w:shd w:val="clear" w:color="auto" w:fill="auto"/>
          </w:tcPr>
          <w:p w14:paraId="00B7A53F" w14:textId="77777777" w:rsidR="003A6273" w:rsidRPr="006A354E" w:rsidRDefault="003A6273" w:rsidP="00D20107">
            <w:pPr>
              <w:pStyle w:val="TableText"/>
              <w:spacing w:before="0" w:after="0"/>
              <w:jc w:val="center"/>
              <w:rPr>
                <w:rFonts w:cs="Segoe UI"/>
                <w:sz w:val="20"/>
                <w:lang w:eastAsia="en-GB"/>
              </w:rPr>
            </w:pPr>
          </w:p>
        </w:tc>
      </w:tr>
      <w:tr w:rsidR="003A6273" w14:paraId="5BAE330F" w14:textId="77777777" w:rsidTr="003A6273">
        <w:trPr>
          <w:cantSplit/>
          <w:trHeight w:val="283"/>
        </w:trPr>
        <w:tc>
          <w:tcPr>
            <w:tcW w:w="2154" w:type="dxa"/>
            <w:vMerge/>
            <w:tcBorders>
              <w:left w:val="nil"/>
              <w:bottom w:val="single" w:sz="12" w:space="0" w:color="auto"/>
              <w:right w:val="single" w:sz="12" w:space="0" w:color="auto"/>
            </w:tcBorders>
          </w:tcPr>
          <w:p w14:paraId="752FA994" w14:textId="77777777" w:rsidR="003A6273" w:rsidRPr="00F914B1" w:rsidRDefault="003A6273" w:rsidP="00D20107">
            <w:pPr>
              <w:pStyle w:val="TableText"/>
              <w:spacing w:before="0" w:after="0"/>
              <w:rPr>
                <w:rFonts w:cs="Segoe UI"/>
                <w:sz w:val="20"/>
                <w:lang w:eastAsia="en-GB"/>
              </w:rPr>
            </w:pPr>
          </w:p>
        </w:tc>
        <w:tc>
          <w:tcPr>
            <w:tcW w:w="4762" w:type="dxa"/>
            <w:tcBorders>
              <w:top w:val="single" w:sz="2" w:space="0" w:color="auto"/>
              <w:left w:val="single" w:sz="12" w:space="0" w:color="auto"/>
              <w:bottom w:val="single" w:sz="12" w:space="0" w:color="auto"/>
              <w:right w:val="single" w:sz="12" w:space="0" w:color="auto"/>
            </w:tcBorders>
            <w:shd w:val="clear" w:color="auto" w:fill="auto"/>
          </w:tcPr>
          <w:p w14:paraId="40897C91" w14:textId="7921121E" w:rsidR="003A6273" w:rsidRPr="006A354E" w:rsidRDefault="003A6273" w:rsidP="00C738A5">
            <w:pPr>
              <w:pStyle w:val="TableText"/>
              <w:spacing w:before="0" w:after="0"/>
              <w:rPr>
                <w:rFonts w:cs="Segoe UI"/>
                <w:sz w:val="20"/>
                <w:lang w:eastAsia="en-GB"/>
              </w:rPr>
            </w:pPr>
            <w:r w:rsidRPr="006A354E">
              <w:rPr>
                <w:rFonts w:cs="Segoe UI"/>
                <w:color w:val="000000"/>
                <w:sz w:val="20"/>
              </w:rPr>
              <w:t>Template CMS2 : Comparison of modelled and standardized RWA</w:t>
            </w:r>
            <w:r>
              <w:rPr>
                <w:rFonts w:cs="Segoe UI"/>
                <w:color w:val="000000"/>
                <w:sz w:val="20"/>
              </w:rPr>
              <w:t>s</w:t>
            </w:r>
            <w:r w:rsidRPr="006A354E">
              <w:rPr>
                <w:rFonts w:cs="Segoe UI"/>
                <w:color w:val="000000"/>
                <w:sz w:val="20"/>
              </w:rPr>
              <w:t xml:space="preserve"> for credit risk at </w:t>
            </w:r>
            <w:r>
              <w:rPr>
                <w:rFonts w:cs="Segoe UI"/>
                <w:color w:val="000000"/>
                <w:sz w:val="20"/>
              </w:rPr>
              <w:t>exposure</w:t>
            </w:r>
            <w:r w:rsidRPr="006A354E">
              <w:rPr>
                <w:rFonts w:cs="Segoe UI"/>
                <w:color w:val="000000"/>
                <w:sz w:val="20"/>
              </w:rPr>
              <w:t xml:space="preserve"> class level</w:t>
            </w:r>
          </w:p>
        </w:tc>
        <w:tc>
          <w:tcPr>
            <w:tcW w:w="1624" w:type="dxa"/>
            <w:tcBorders>
              <w:top w:val="single" w:sz="2" w:space="0" w:color="auto"/>
              <w:left w:val="single" w:sz="12" w:space="0" w:color="auto"/>
              <w:bottom w:val="single" w:sz="12" w:space="0" w:color="auto"/>
              <w:right w:val="single" w:sz="12" w:space="0" w:color="auto"/>
            </w:tcBorders>
            <w:shd w:val="clear" w:color="auto" w:fill="auto"/>
          </w:tcPr>
          <w:p w14:paraId="46245C49" w14:textId="2A451246" w:rsidR="003A6273" w:rsidRPr="006A354E" w:rsidRDefault="003A6273" w:rsidP="00D20107">
            <w:pPr>
              <w:pStyle w:val="TableText"/>
              <w:spacing w:before="0" w:after="0"/>
              <w:jc w:val="center"/>
              <w:rPr>
                <w:rFonts w:cs="Segoe UI"/>
                <w:sz w:val="20"/>
                <w:lang w:eastAsia="en-GB"/>
              </w:rPr>
            </w:pPr>
            <w:r w:rsidRPr="006A354E">
              <w:rPr>
                <w:rFonts w:cs="Segoe UI"/>
                <w:color w:val="000000"/>
                <w:sz w:val="20"/>
              </w:rPr>
              <w:t>L</w:t>
            </w:r>
            <w:r>
              <w:rPr>
                <w:rFonts w:cs="Segoe UI"/>
                <w:color w:val="000000"/>
                <w:sz w:val="20"/>
              </w:rPr>
              <w:t xml:space="preserve"> [IRB]</w:t>
            </w:r>
          </w:p>
        </w:tc>
        <w:tc>
          <w:tcPr>
            <w:tcW w:w="1244" w:type="dxa"/>
            <w:tcBorders>
              <w:top w:val="single" w:sz="2" w:space="0" w:color="auto"/>
              <w:left w:val="single" w:sz="12" w:space="0" w:color="auto"/>
              <w:bottom w:val="single" w:sz="12" w:space="0" w:color="auto"/>
            </w:tcBorders>
            <w:shd w:val="clear" w:color="auto" w:fill="auto"/>
          </w:tcPr>
          <w:p w14:paraId="7BF52DF7" w14:textId="3918094D" w:rsidR="003A6273" w:rsidRPr="006A354E" w:rsidRDefault="003A6273" w:rsidP="00D20107">
            <w:pPr>
              <w:pStyle w:val="TableText"/>
              <w:spacing w:before="0" w:after="0"/>
              <w:jc w:val="center"/>
              <w:rPr>
                <w:rFonts w:cs="Segoe UI"/>
                <w:sz w:val="20"/>
                <w:lang w:eastAsia="en-GB"/>
              </w:rPr>
            </w:pPr>
            <w:r w:rsidRPr="006A354E">
              <w:rPr>
                <w:rFonts w:ascii="Wingdings 2" w:hAnsi="Wingdings 2" w:cs="Calibri"/>
                <w:color w:val="000000"/>
                <w:sz w:val="20"/>
              </w:rPr>
              <w:t></w:t>
            </w:r>
          </w:p>
        </w:tc>
        <w:tc>
          <w:tcPr>
            <w:tcW w:w="1134" w:type="dxa"/>
            <w:tcBorders>
              <w:top w:val="single" w:sz="2" w:space="0" w:color="auto"/>
              <w:bottom w:val="single" w:sz="12" w:space="0" w:color="auto"/>
              <w:right w:val="single" w:sz="12" w:space="0" w:color="auto"/>
            </w:tcBorders>
            <w:shd w:val="clear" w:color="auto" w:fill="auto"/>
          </w:tcPr>
          <w:p w14:paraId="07F14795" w14:textId="77777777" w:rsidR="003A6273" w:rsidRPr="006A354E" w:rsidRDefault="003A6273" w:rsidP="00D20107">
            <w:pPr>
              <w:pStyle w:val="TableText"/>
              <w:spacing w:before="0" w:after="0"/>
              <w:jc w:val="center"/>
              <w:rPr>
                <w:rFonts w:cs="Segoe UI"/>
                <w:sz w:val="20"/>
                <w:lang w:eastAsia="en-GB"/>
              </w:rPr>
            </w:pPr>
          </w:p>
        </w:tc>
        <w:tc>
          <w:tcPr>
            <w:tcW w:w="1134" w:type="dxa"/>
            <w:tcBorders>
              <w:top w:val="single" w:sz="2" w:space="0" w:color="auto"/>
              <w:left w:val="single" w:sz="12" w:space="0" w:color="auto"/>
              <w:bottom w:val="single" w:sz="12" w:space="0" w:color="auto"/>
            </w:tcBorders>
            <w:shd w:val="clear" w:color="auto" w:fill="auto"/>
          </w:tcPr>
          <w:p w14:paraId="4E53D381" w14:textId="77777777" w:rsidR="003A6273" w:rsidRPr="006A354E" w:rsidRDefault="003A6273" w:rsidP="00D20107">
            <w:pPr>
              <w:pStyle w:val="TableText"/>
              <w:spacing w:before="0" w:after="0"/>
              <w:jc w:val="center"/>
              <w:rPr>
                <w:rFonts w:cs="Segoe UI"/>
                <w:sz w:val="20"/>
                <w:lang w:eastAsia="en-GB"/>
              </w:rPr>
            </w:pPr>
          </w:p>
        </w:tc>
        <w:tc>
          <w:tcPr>
            <w:tcW w:w="1276" w:type="dxa"/>
            <w:tcBorders>
              <w:top w:val="single" w:sz="2" w:space="0" w:color="auto"/>
              <w:bottom w:val="single" w:sz="12" w:space="0" w:color="auto"/>
            </w:tcBorders>
            <w:shd w:val="clear" w:color="auto" w:fill="auto"/>
          </w:tcPr>
          <w:p w14:paraId="00E5D46F" w14:textId="6A299FBE" w:rsidR="003A6273" w:rsidRPr="006A354E" w:rsidRDefault="003A6273" w:rsidP="00D20107">
            <w:pPr>
              <w:pStyle w:val="TableText"/>
              <w:spacing w:before="0" w:after="0"/>
              <w:jc w:val="center"/>
              <w:rPr>
                <w:rFonts w:cs="Segoe UI"/>
                <w:sz w:val="20"/>
                <w:lang w:eastAsia="en-GB"/>
              </w:rPr>
            </w:pPr>
            <w:r w:rsidRPr="006A354E">
              <w:rPr>
                <w:rFonts w:ascii="Wingdings 2" w:hAnsi="Wingdings 2" w:cs="Calibri"/>
                <w:color w:val="000000"/>
                <w:sz w:val="20"/>
              </w:rPr>
              <w:t></w:t>
            </w:r>
          </w:p>
        </w:tc>
        <w:tc>
          <w:tcPr>
            <w:tcW w:w="1101" w:type="dxa"/>
            <w:tcBorders>
              <w:top w:val="single" w:sz="2" w:space="0" w:color="auto"/>
              <w:bottom w:val="single" w:sz="12" w:space="0" w:color="auto"/>
              <w:right w:val="single" w:sz="12" w:space="0" w:color="auto"/>
            </w:tcBorders>
            <w:shd w:val="clear" w:color="auto" w:fill="auto"/>
          </w:tcPr>
          <w:p w14:paraId="0C134E44" w14:textId="77777777" w:rsidR="003A6273" w:rsidRPr="006A354E" w:rsidRDefault="003A6273" w:rsidP="00D20107">
            <w:pPr>
              <w:pStyle w:val="TableText"/>
              <w:spacing w:before="0" w:after="0"/>
              <w:jc w:val="center"/>
              <w:rPr>
                <w:rFonts w:cs="Segoe UI"/>
                <w:sz w:val="20"/>
                <w:lang w:eastAsia="en-GB"/>
              </w:rPr>
            </w:pPr>
          </w:p>
        </w:tc>
      </w:tr>
      <w:tr w:rsidR="003A6273" w14:paraId="3D8CD13F" w14:textId="77777777" w:rsidTr="003A6273">
        <w:trPr>
          <w:cantSplit/>
          <w:trHeight w:val="283"/>
        </w:trPr>
        <w:tc>
          <w:tcPr>
            <w:tcW w:w="2154" w:type="dxa"/>
            <w:tcBorders>
              <w:top w:val="single" w:sz="12" w:space="0" w:color="auto"/>
              <w:left w:val="nil"/>
              <w:bottom w:val="single" w:sz="12" w:space="0" w:color="auto"/>
              <w:right w:val="single" w:sz="12" w:space="0" w:color="auto"/>
            </w:tcBorders>
          </w:tcPr>
          <w:p w14:paraId="7E135836" w14:textId="34BD5A1E" w:rsidR="003A6273" w:rsidRPr="00F914B1" w:rsidRDefault="003A6273" w:rsidP="00D20107">
            <w:pPr>
              <w:pStyle w:val="TableText"/>
              <w:spacing w:before="0" w:after="0"/>
              <w:rPr>
                <w:rFonts w:cs="Segoe UI"/>
                <w:sz w:val="20"/>
                <w:lang w:eastAsia="en-GB"/>
              </w:rPr>
            </w:pPr>
            <w:r>
              <w:rPr>
                <w:rFonts w:cs="Segoe UI"/>
                <w:sz w:val="20"/>
                <w:lang w:eastAsia="en-GB"/>
              </w:rPr>
              <w:t>Part XI : Asset en</w:t>
            </w:r>
            <w:r w:rsidRPr="00212DE1">
              <w:rPr>
                <w:rFonts w:cs="Segoe UI"/>
                <w:sz w:val="20"/>
                <w:lang w:eastAsia="en-GB"/>
              </w:rPr>
              <w:t>cumbrance</w:t>
            </w:r>
          </w:p>
        </w:tc>
        <w:tc>
          <w:tcPr>
            <w:tcW w:w="4762" w:type="dxa"/>
            <w:tcBorders>
              <w:top w:val="single" w:sz="12" w:space="0" w:color="auto"/>
              <w:left w:val="single" w:sz="12" w:space="0" w:color="auto"/>
              <w:bottom w:val="single" w:sz="12" w:space="0" w:color="auto"/>
              <w:right w:val="single" w:sz="12" w:space="0" w:color="auto"/>
            </w:tcBorders>
            <w:shd w:val="clear" w:color="auto" w:fill="auto"/>
          </w:tcPr>
          <w:p w14:paraId="472C1DC2" w14:textId="2E802D1B" w:rsidR="003A6273" w:rsidRPr="006A354E" w:rsidRDefault="003A6273" w:rsidP="00D20107">
            <w:pPr>
              <w:pStyle w:val="TableText"/>
              <w:spacing w:before="0" w:after="0"/>
              <w:rPr>
                <w:rFonts w:cs="Segoe UI"/>
                <w:sz w:val="20"/>
                <w:lang w:eastAsia="en-GB"/>
              </w:rPr>
            </w:pPr>
            <w:r w:rsidRPr="006A354E">
              <w:rPr>
                <w:rFonts w:cs="Segoe UI"/>
                <w:color w:val="000000"/>
                <w:sz w:val="20"/>
              </w:rPr>
              <w:t>Template ENC : Asset encumbrance</w:t>
            </w:r>
          </w:p>
        </w:tc>
        <w:tc>
          <w:tcPr>
            <w:tcW w:w="1624" w:type="dxa"/>
            <w:tcBorders>
              <w:top w:val="single" w:sz="12" w:space="0" w:color="auto"/>
              <w:left w:val="single" w:sz="12" w:space="0" w:color="auto"/>
              <w:bottom w:val="single" w:sz="12" w:space="0" w:color="auto"/>
              <w:right w:val="single" w:sz="12" w:space="0" w:color="auto"/>
            </w:tcBorders>
            <w:shd w:val="clear" w:color="auto" w:fill="auto"/>
          </w:tcPr>
          <w:p w14:paraId="45F4D24A" w14:textId="6EC62A81" w:rsidR="003A6273" w:rsidRPr="006A354E" w:rsidRDefault="003A6273" w:rsidP="00D20107">
            <w:pPr>
              <w:pStyle w:val="TableText"/>
              <w:spacing w:before="0" w:after="0"/>
              <w:jc w:val="center"/>
              <w:rPr>
                <w:rFonts w:cs="Segoe UI"/>
                <w:sz w:val="20"/>
                <w:lang w:eastAsia="en-GB"/>
              </w:rPr>
            </w:pPr>
            <w:r w:rsidRPr="006A354E">
              <w:rPr>
                <w:rFonts w:ascii="Calibri" w:hAnsi="Calibri" w:cs="Calibri"/>
                <w:color w:val="000000"/>
                <w:sz w:val="20"/>
              </w:rPr>
              <w:t>L</w:t>
            </w:r>
          </w:p>
        </w:tc>
        <w:tc>
          <w:tcPr>
            <w:tcW w:w="1244" w:type="dxa"/>
            <w:tcBorders>
              <w:top w:val="single" w:sz="12" w:space="0" w:color="auto"/>
              <w:left w:val="single" w:sz="12" w:space="0" w:color="auto"/>
              <w:bottom w:val="single" w:sz="12" w:space="0" w:color="auto"/>
            </w:tcBorders>
            <w:shd w:val="clear" w:color="auto" w:fill="auto"/>
          </w:tcPr>
          <w:p w14:paraId="5C344A4F" w14:textId="43597739" w:rsidR="003A6273" w:rsidRPr="006A354E" w:rsidRDefault="003A6273" w:rsidP="00D20107">
            <w:pPr>
              <w:pStyle w:val="TableText"/>
              <w:spacing w:before="0" w:after="0"/>
              <w:jc w:val="center"/>
              <w:rPr>
                <w:rFonts w:cs="Segoe UI"/>
                <w:sz w:val="20"/>
                <w:lang w:eastAsia="en-GB"/>
              </w:rPr>
            </w:pPr>
            <w:r w:rsidRPr="006A354E">
              <w:rPr>
                <w:rFonts w:ascii="Wingdings 2" w:hAnsi="Wingdings 2" w:cs="Calibri"/>
                <w:color w:val="000000"/>
                <w:sz w:val="20"/>
              </w:rPr>
              <w:t></w:t>
            </w:r>
          </w:p>
        </w:tc>
        <w:tc>
          <w:tcPr>
            <w:tcW w:w="1134" w:type="dxa"/>
            <w:tcBorders>
              <w:top w:val="single" w:sz="12" w:space="0" w:color="auto"/>
              <w:bottom w:val="single" w:sz="12" w:space="0" w:color="auto"/>
              <w:right w:val="single" w:sz="12" w:space="0" w:color="auto"/>
            </w:tcBorders>
            <w:shd w:val="clear" w:color="auto" w:fill="auto"/>
          </w:tcPr>
          <w:p w14:paraId="5D1398FB" w14:textId="77777777" w:rsidR="003A6273" w:rsidRPr="006A354E" w:rsidRDefault="003A6273" w:rsidP="00D20107">
            <w:pPr>
              <w:pStyle w:val="TableText"/>
              <w:spacing w:before="0" w:after="0"/>
              <w:jc w:val="center"/>
              <w:rPr>
                <w:rFonts w:cs="Segoe UI"/>
                <w:sz w:val="20"/>
                <w:lang w:eastAsia="en-GB"/>
              </w:rPr>
            </w:pPr>
          </w:p>
        </w:tc>
        <w:tc>
          <w:tcPr>
            <w:tcW w:w="1134" w:type="dxa"/>
            <w:tcBorders>
              <w:top w:val="single" w:sz="12" w:space="0" w:color="auto"/>
              <w:left w:val="single" w:sz="12" w:space="0" w:color="auto"/>
              <w:bottom w:val="single" w:sz="12" w:space="0" w:color="auto"/>
            </w:tcBorders>
            <w:shd w:val="clear" w:color="auto" w:fill="auto"/>
          </w:tcPr>
          <w:p w14:paraId="53E0BEAF" w14:textId="77777777" w:rsidR="003A6273" w:rsidRPr="006A354E" w:rsidRDefault="003A6273" w:rsidP="00D20107">
            <w:pPr>
              <w:pStyle w:val="TableText"/>
              <w:spacing w:before="0" w:after="0"/>
              <w:jc w:val="center"/>
              <w:rPr>
                <w:rFonts w:cs="Segoe UI"/>
                <w:sz w:val="20"/>
                <w:lang w:eastAsia="en-GB"/>
              </w:rPr>
            </w:pPr>
          </w:p>
        </w:tc>
        <w:tc>
          <w:tcPr>
            <w:tcW w:w="1276" w:type="dxa"/>
            <w:tcBorders>
              <w:top w:val="single" w:sz="12" w:space="0" w:color="auto"/>
              <w:bottom w:val="single" w:sz="12" w:space="0" w:color="auto"/>
            </w:tcBorders>
            <w:shd w:val="clear" w:color="auto" w:fill="auto"/>
          </w:tcPr>
          <w:p w14:paraId="70000FD2" w14:textId="5A3F8FF6" w:rsidR="003A6273" w:rsidRPr="006A354E" w:rsidRDefault="003A6273" w:rsidP="00D20107">
            <w:pPr>
              <w:pStyle w:val="TableText"/>
              <w:spacing w:before="0" w:after="0"/>
              <w:jc w:val="center"/>
              <w:rPr>
                <w:rFonts w:cs="Segoe UI"/>
                <w:sz w:val="20"/>
                <w:lang w:eastAsia="en-GB"/>
              </w:rPr>
            </w:pPr>
            <w:r w:rsidRPr="006A354E">
              <w:rPr>
                <w:rFonts w:ascii="Wingdings 2" w:hAnsi="Wingdings 2" w:cs="Calibri"/>
                <w:color w:val="000000"/>
                <w:sz w:val="20"/>
              </w:rPr>
              <w:t></w:t>
            </w:r>
          </w:p>
        </w:tc>
        <w:tc>
          <w:tcPr>
            <w:tcW w:w="1101" w:type="dxa"/>
            <w:tcBorders>
              <w:top w:val="single" w:sz="12" w:space="0" w:color="auto"/>
              <w:bottom w:val="single" w:sz="12" w:space="0" w:color="auto"/>
              <w:right w:val="single" w:sz="12" w:space="0" w:color="auto"/>
            </w:tcBorders>
            <w:shd w:val="clear" w:color="auto" w:fill="auto"/>
          </w:tcPr>
          <w:p w14:paraId="4D6BD9BC" w14:textId="77777777" w:rsidR="003A6273" w:rsidRPr="006A354E" w:rsidRDefault="003A6273" w:rsidP="00D20107">
            <w:pPr>
              <w:pStyle w:val="TableText"/>
              <w:spacing w:before="0" w:after="0"/>
              <w:jc w:val="center"/>
              <w:rPr>
                <w:rFonts w:cs="Segoe UI"/>
                <w:sz w:val="20"/>
                <w:lang w:eastAsia="en-GB"/>
              </w:rPr>
            </w:pPr>
          </w:p>
        </w:tc>
      </w:tr>
      <w:bookmarkEnd w:id="0"/>
    </w:tbl>
    <w:p w14:paraId="4B5F6034" w14:textId="331D8F58" w:rsidR="0039707A" w:rsidRDefault="0039707A">
      <w:pPr>
        <w:spacing w:before="120" w:after="120"/>
        <w:rPr>
          <w:sz w:val="22"/>
        </w:rPr>
        <w:sectPr w:rsidR="0039707A" w:rsidSect="005A561D">
          <w:footerReference w:type="default" r:id="rId8"/>
          <w:pgSz w:w="16838" w:h="11906" w:orient="landscape" w:code="9"/>
          <w:pgMar w:top="993" w:right="1440" w:bottom="1797" w:left="1440" w:header="851" w:footer="737" w:gutter="0"/>
          <w:cols w:space="425"/>
          <w:docGrid w:type="lines" w:linePitch="360"/>
        </w:sectPr>
      </w:pPr>
    </w:p>
    <w:p w14:paraId="5F4F95B2" w14:textId="46B4138A" w:rsidR="00417592" w:rsidRPr="00E214B0" w:rsidRDefault="00417592" w:rsidP="000E66CF">
      <w:pPr>
        <w:pStyle w:val="Heading1"/>
        <w:ind w:left="-567"/>
      </w:pPr>
      <w:r w:rsidRPr="00623042">
        <w:lastRenderedPageBreak/>
        <w:t>Part I: Key prudential ratios, overview of risk management and RWA</w:t>
      </w:r>
    </w:p>
    <w:p w14:paraId="418CCC6D" w14:textId="77777777" w:rsidR="00DD5F7B" w:rsidRPr="0028634D" w:rsidRDefault="00DD5F7B" w:rsidP="00A8004B">
      <w:pPr>
        <w:pStyle w:val="Heading2"/>
        <w:spacing w:after="0"/>
      </w:pPr>
      <w:r w:rsidRPr="0028634D">
        <w:t>Table OVA: Overview of risk management</w:t>
      </w:r>
    </w:p>
    <w:tbl>
      <w:tblPr>
        <w:tblpPr w:leftFromText="180" w:rightFromText="180" w:vertAnchor="text" w:tblpX="-567" w:tblpY="1"/>
        <w:tblOverlap w:val="never"/>
        <w:tblW w:w="9350"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116"/>
        <w:gridCol w:w="7234"/>
      </w:tblGrid>
      <w:tr w:rsidR="00DD5F7B" w14:paraId="77F05F55" w14:textId="77777777" w:rsidTr="009C3BE6">
        <w:tc>
          <w:tcPr>
            <w:tcW w:w="2116" w:type="dxa"/>
          </w:tcPr>
          <w:p w14:paraId="518B5819" w14:textId="77777777" w:rsidR="00DD5F7B" w:rsidRDefault="00DD5F7B" w:rsidP="009C3BE6">
            <w:pPr>
              <w:spacing w:before="40" w:after="40"/>
              <w:rPr>
                <w:noProof/>
                <w:sz w:val="17"/>
                <w:lang w:eastAsia="en-GB"/>
              </w:rPr>
            </w:pPr>
            <w:r>
              <w:rPr>
                <w:b/>
                <w:sz w:val="17"/>
                <w:lang w:eastAsia="en-GB"/>
              </w:rPr>
              <w:t>Purpose:</w:t>
            </w:r>
          </w:p>
        </w:tc>
        <w:tc>
          <w:tcPr>
            <w:tcW w:w="7234" w:type="dxa"/>
          </w:tcPr>
          <w:p w14:paraId="69BFA380" w14:textId="1D86664E" w:rsidR="00DD5F7B" w:rsidRDefault="00DD5F7B" w:rsidP="009C3BE6">
            <w:pPr>
              <w:spacing w:before="40" w:after="40"/>
              <w:jc w:val="both"/>
              <w:rPr>
                <w:noProof/>
                <w:sz w:val="17"/>
                <w:lang w:eastAsia="en-GB"/>
              </w:rPr>
            </w:pPr>
            <w:r>
              <w:rPr>
                <w:sz w:val="17"/>
                <w:lang w:eastAsia="en-GB"/>
              </w:rPr>
              <w:t xml:space="preserve">To provide a description of risk management objectives and policies and how the </w:t>
            </w:r>
            <w:r w:rsidR="008D4944">
              <w:rPr>
                <w:sz w:val="17"/>
                <w:lang w:eastAsia="en-GB"/>
              </w:rPr>
              <w:t>b</w:t>
            </w:r>
            <w:r>
              <w:rPr>
                <w:sz w:val="17"/>
                <w:lang w:eastAsia="en-GB"/>
              </w:rPr>
              <w:t xml:space="preserve">oard of </w:t>
            </w:r>
            <w:r w:rsidR="008D4944">
              <w:rPr>
                <w:sz w:val="17"/>
                <w:lang w:eastAsia="en-GB"/>
              </w:rPr>
              <w:t>d</w:t>
            </w:r>
            <w:r>
              <w:rPr>
                <w:sz w:val="17"/>
                <w:lang w:eastAsia="en-GB"/>
              </w:rPr>
              <w:t>irectors and senior management assess and manage risks, enabling users to gain a clear understanding of the risk tolerance and appetite in relation to the main activities and all significant risks.</w:t>
            </w:r>
          </w:p>
        </w:tc>
      </w:tr>
      <w:tr w:rsidR="00DD5F7B" w14:paraId="285C16C1" w14:textId="77777777" w:rsidTr="009C3BE6">
        <w:tc>
          <w:tcPr>
            <w:tcW w:w="2116" w:type="dxa"/>
          </w:tcPr>
          <w:p w14:paraId="5B86270E" w14:textId="77777777" w:rsidR="00DD5F7B" w:rsidRDefault="00DD5F7B" w:rsidP="009C3BE6">
            <w:pPr>
              <w:spacing w:before="40" w:after="40"/>
              <w:rPr>
                <w:b/>
                <w:sz w:val="17"/>
                <w:lang w:eastAsia="en-GB"/>
              </w:rPr>
            </w:pPr>
            <w:r>
              <w:rPr>
                <w:b/>
                <w:sz w:val="17"/>
                <w:lang w:eastAsia="en-GB"/>
              </w:rPr>
              <w:t>Scope of application:</w:t>
            </w:r>
          </w:p>
        </w:tc>
        <w:tc>
          <w:tcPr>
            <w:tcW w:w="7234" w:type="dxa"/>
          </w:tcPr>
          <w:p w14:paraId="44952292" w14:textId="77777777" w:rsidR="00DD5F7B" w:rsidRDefault="00DD5F7B" w:rsidP="009C3BE6">
            <w:pPr>
              <w:spacing w:before="40" w:after="40"/>
              <w:jc w:val="both"/>
              <w:rPr>
                <w:b/>
                <w:sz w:val="17"/>
                <w:lang w:eastAsia="en-GB"/>
              </w:rPr>
            </w:pPr>
            <w:r>
              <w:rPr>
                <w:rFonts w:eastAsia="新細明體"/>
                <w:sz w:val="17"/>
                <w:lang w:eastAsia="en-GB"/>
              </w:rPr>
              <w:t>The table is mandatory for all AIs</w:t>
            </w:r>
            <w:r>
              <w:t xml:space="preserve"> </w:t>
            </w:r>
            <w:r>
              <w:rPr>
                <w:rFonts w:eastAsia="新細明體"/>
                <w:sz w:val="17"/>
                <w:lang w:eastAsia="en-GB"/>
              </w:rPr>
              <w:t>incorporated in Hong Kong.</w:t>
            </w:r>
          </w:p>
        </w:tc>
      </w:tr>
      <w:tr w:rsidR="00DD5F7B" w14:paraId="24304137" w14:textId="77777777" w:rsidTr="009C3BE6">
        <w:tc>
          <w:tcPr>
            <w:tcW w:w="2116" w:type="dxa"/>
          </w:tcPr>
          <w:p w14:paraId="6FE1AA2D" w14:textId="77777777" w:rsidR="00DD5F7B" w:rsidRDefault="00DD5F7B" w:rsidP="009C3BE6">
            <w:pPr>
              <w:spacing w:before="40" w:after="40"/>
              <w:rPr>
                <w:b/>
                <w:sz w:val="17"/>
                <w:lang w:eastAsia="en-GB"/>
              </w:rPr>
            </w:pPr>
            <w:r>
              <w:rPr>
                <w:b/>
                <w:sz w:val="17"/>
                <w:lang w:eastAsia="en-GB"/>
              </w:rPr>
              <w:t>Content:</w:t>
            </w:r>
          </w:p>
        </w:tc>
        <w:tc>
          <w:tcPr>
            <w:tcW w:w="7234" w:type="dxa"/>
          </w:tcPr>
          <w:p w14:paraId="3F4A65CD" w14:textId="77777777" w:rsidR="00DD5F7B" w:rsidRDefault="00DD5F7B" w:rsidP="009C3BE6">
            <w:pPr>
              <w:spacing w:before="40" w:after="40"/>
              <w:jc w:val="both"/>
              <w:rPr>
                <w:b/>
                <w:sz w:val="17"/>
                <w:lang w:eastAsia="en-GB"/>
              </w:rPr>
            </w:pPr>
            <w:r>
              <w:rPr>
                <w:sz w:val="17"/>
                <w:lang w:eastAsia="en-GB"/>
              </w:rPr>
              <w:t>Qualitative information.</w:t>
            </w:r>
          </w:p>
        </w:tc>
      </w:tr>
      <w:tr w:rsidR="00DD5F7B" w14:paraId="1E4C467D" w14:textId="77777777" w:rsidTr="009C3BE6">
        <w:tc>
          <w:tcPr>
            <w:tcW w:w="2116" w:type="dxa"/>
          </w:tcPr>
          <w:p w14:paraId="6A42A95A" w14:textId="77777777" w:rsidR="00DD5F7B" w:rsidRDefault="00DD5F7B" w:rsidP="009C3BE6">
            <w:pPr>
              <w:spacing w:before="40" w:after="40"/>
              <w:rPr>
                <w:sz w:val="17"/>
                <w:lang w:eastAsia="en-GB"/>
              </w:rPr>
            </w:pPr>
            <w:r>
              <w:rPr>
                <w:b/>
                <w:sz w:val="17"/>
                <w:lang w:eastAsia="en-GB"/>
              </w:rPr>
              <w:t>Frequency:</w:t>
            </w:r>
          </w:p>
        </w:tc>
        <w:tc>
          <w:tcPr>
            <w:tcW w:w="7234" w:type="dxa"/>
          </w:tcPr>
          <w:p w14:paraId="1A67E1C0" w14:textId="77777777" w:rsidR="00DD5F7B" w:rsidRDefault="00DD5F7B" w:rsidP="009C3BE6">
            <w:pPr>
              <w:spacing w:before="40" w:after="40"/>
              <w:jc w:val="both"/>
              <w:rPr>
                <w:sz w:val="17"/>
                <w:lang w:eastAsia="en-GB"/>
              </w:rPr>
            </w:pPr>
            <w:r>
              <w:rPr>
                <w:sz w:val="17"/>
                <w:lang w:eastAsia="en-GB"/>
              </w:rPr>
              <w:t>Annual.</w:t>
            </w:r>
          </w:p>
        </w:tc>
      </w:tr>
      <w:tr w:rsidR="00DD5F7B" w14:paraId="2D8596E2" w14:textId="77777777" w:rsidTr="009C3BE6">
        <w:tc>
          <w:tcPr>
            <w:tcW w:w="2116" w:type="dxa"/>
          </w:tcPr>
          <w:p w14:paraId="6F38E4AD" w14:textId="77777777" w:rsidR="00DD5F7B" w:rsidRDefault="00DD5F7B" w:rsidP="009C3BE6">
            <w:pPr>
              <w:spacing w:before="40" w:after="40"/>
              <w:rPr>
                <w:sz w:val="17"/>
                <w:lang w:eastAsia="en-GB"/>
              </w:rPr>
            </w:pPr>
            <w:r>
              <w:rPr>
                <w:b/>
                <w:sz w:val="17"/>
                <w:lang w:eastAsia="en-GB"/>
              </w:rPr>
              <w:t>Format:</w:t>
            </w:r>
          </w:p>
        </w:tc>
        <w:tc>
          <w:tcPr>
            <w:tcW w:w="7234" w:type="dxa"/>
          </w:tcPr>
          <w:p w14:paraId="74A9B4AF" w14:textId="77777777" w:rsidR="00DD5F7B" w:rsidRDefault="00DD5F7B" w:rsidP="009C3BE6">
            <w:pPr>
              <w:spacing w:before="40" w:after="40"/>
              <w:jc w:val="both"/>
              <w:rPr>
                <w:sz w:val="17"/>
                <w:lang w:eastAsia="en-GB"/>
              </w:rPr>
            </w:pPr>
            <w:r>
              <w:rPr>
                <w:sz w:val="17"/>
                <w:lang w:eastAsia="en-GB"/>
              </w:rPr>
              <w:t>Flexible.</w:t>
            </w:r>
          </w:p>
        </w:tc>
      </w:tr>
      <w:tr w:rsidR="00DD5F7B" w14:paraId="3AEB5FE0" w14:textId="77777777" w:rsidTr="009C3BE6">
        <w:tc>
          <w:tcPr>
            <w:tcW w:w="2116" w:type="dxa"/>
          </w:tcPr>
          <w:p w14:paraId="78FA38EF" w14:textId="77777777" w:rsidR="00DD5F7B" w:rsidRDefault="00DD5F7B" w:rsidP="009C3BE6">
            <w:pPr>
              <w:spacing w:before="40" w:after="40"/>
              <w:rPr>
                <w:b/>
                <w:sz w:val="17"/>
                <w:lang w:eastAsia="en-GB"/>
              </w:rPr>
            </w:pPr>
            <w:r>
              <w:rPr>
                <w:b/>
                <w:sz w:val="17"/>
                <w:lang w:eastAsia="en-GB"/>
              </w:rPr>
              <w:t>Corresponding BDR section:</w:t>
            </w:r>
          </w:p>
        </w:tc>
        <w:tc>
          <w:tcPr>
            <w:tcW w:w="7234" w:type="dxa"/>
          </w:tcPr>
          <w:p w14:paraId="32672B0D" w14:textId="77777777" w:rsidR="00DD5F7B" w:rsidRDefault="00DD5F7B" w:rsidP="009C3BE6">
            <w:pPr>
              <w:spacing w:before="40" w:after="40"/>
              <w:jc w:val="both"/>
              <w:rPr>
                <w:sz w:val="17"/>
                <w:lang w:eastAsia="en-GB"/>
              </w:rPr>
            </w:pPr>
            <w:r>
              <w:rPr>
                <w:sz w:val="17"/>
                <w:lang w:eastAsia="en-GB"/>
              </w:rPr>
              <w:t>16B</w:t>
            </w:r>
          </w:p>
        </w:tc>
      </w:tr>
    </w:tbl>
    <w:p w14:paraId="72C9D928" w14:textId="77777777" w:rsidR="00DD5F7B" w:rsidRDefault="00DD5F7B" w:rsidP="00A8004B">
      <w:pPr>
        <w:rPr>
          <w:sz w:val="22"/>
        </w:rPr>
      </w:pPr>
    </w:p>
    <w:tbl>
      <w:tblPr>
        <w:tblW w:w="9242" w:type="dxa"/>
        <w:jc w:val="center"/>
        <w:tblCellMar>
          <w:left w:w="70" w:type="dxa"/>
          <w:right w:w="70" w:type="dxa"/>
        </w:tblCellMar>
        <w:tblLook w:val="00A0" w:firstRow="1" w:lastRow="0" w:firstColumn="1" w:lastColumn="0" w:noHBand="0" w:noVBand="0"/>
      </w:tblPr>
      <w:tblGrid>
        <w:gridCol w:w="370"/>
        <w:gridCol w:w="8872"/>
      </w:tblGrid>
      <w:tr w:rsidR="00DD5F7B" w14:paraId="4DFDF5DB" w14:textId="77777777" w:rsidTr="009C3BE6">
        <w:trPr>
          <w:trHeight w:val="448"/>
          <w:jc w:val="center"/>
        </w:trPr>
        <w:tc>
          <w:tcPr>
            <w:tcW w:w="9242" w:type="dxa"/>
            <w:gridSpan w:val="2"/>
            <w:tcBorders>
              <w:top w:val="single" w:sz="4" w:space="0" w:color="auto"/>
              <w:bottom w:val="single" w:sz="4" w:space="0" w:color="auto"/>
            </w:tcBorders>
            <w:vAlign w:val="center"/>
          </w:tcPr>
          <w:p w14:paraId="449CC9FE" w14:textId="77777777" w:rsidR="00DD5F7B" w:rsidRDefault="00DD5F7B" w:rsidP="009C3BE6">
            <w:pPr>
              <w:widowControl w:val="0"/>
              <w:spacing w:before="40" w:after="40"/>
              <w:jc w:val="both"/>
              <w:rPr>
                <w:sz w:val="17"/>
                <w:szCs w:val="17"/>
              </w:rPr>
            </w:pPr>
            <w:r>
              <w:rPr>
                <w:sz w:val="17"/>
                <w:szCs w:val="17"/>
              </w:rPr>
              <w:t>An AI should describe its risk management objectives and policies, in particular:</w:t>
            </w:r>
          </w:p>
        </w:tc>
      </w:tr>
      <w:tr w:rsidR="00DD5F7B" w14:paraId="7684E795" w14:textId="77777777" w:rsidTr="009C3BE6">
        <w:trPr>
          <w:trHeight w:val="318"/>
          <w:jc w:val="center"/>
        </w:trPr>
        <w:tc>
          <w:tcPr>
            <w:tcW w:w="370" w:type="dxa"/>
            <w:tcBorders>
              <w:top w:val="single" w:sz="4" w:space="0" w:color="auto"/>
              <w:bottom w:val="single" w:sz="4" w:space="0" w:color="auto"/>
            </w:tcBorders>
            <w:noWrap/>
          </w:tcPr>
          <w:p w14:paraId="22CDB192" w14:textId="77777777" w:rsidR="00DD5F7B" w:rsidRDefault="00DD5F7B" w:rsidP="009C3BE6">
            <w:pPr>
              <w:widowControl w:val="0"/>
              <w:spacing w:before="40" w:after="40"/>
              <w:jc w:val="both"/>
              <w:rPr>
                <w:sz w:val="17"/>
                <w:szCs w:val="17"/>
              </w:rPr>
            </w:pPr>
            <w:r>
              <w:rPr>
                <w:sz w:val="17"/>
                <w:szCs w:val="17"/>
              </w:rPr>
              <w:t>(a)</w:t>
            </w:r>
          </w:p>
        </w:tc>
        <w:tc>
          <w:tcPr>
            <w:tcW w:w="8872" w:type="dxa"/>
            <w:tcBorders>
              <w:top w:val="single" w:sz="4" w:space="0" w:color="auto"/>
              <w:bottom w:val="single" w:sz="4" w:space="0" w:color="auto"/>
            </w:tcBorders>
            <w:noWrap/>
          </w:tcPr>
          <w:p w14:paraId="4821EDCE" w14:textId="77777777" w:rsidR="00DD5F7B" w:rsidRDefault="00DD5F7B" w:rsidP="009C3BE6">
            <w:pPr>
              <w:pStyle w:val="ListParagraph"/>
              <w:widowControl w:val="0"/>
              <w:numPr>
                <w:ilvl w:val="0"/>
                <w:numId w:val="1"/>
              </w:numPr>
              <w:tabs>
                <w:tab w:val="left" w:pos="454"/>
              </w:tabs>
              <w:spacing w:before="40" w:after="40"/>
              <w:ind w:leftChars="0" w:left="454"/>
              <w:jc w:val="both"/>
              <w:rPr>
                <w:sz w:val="17"/>
                <w:szCs w:val="17"/>
              </w:rPr>
            </w:pPr>
            <w:r>
              <w:rPr>
                <w:sz w:val="17"/>
                <w:szCs w:val="17"/>
              </w:rPr>
              <w:t>how the business model determines and interacts with the overall risk profile (e.g. the key risks related to the business model and how each of these risks is reflected and described in the risk disclosures); and</w:t>
            </w:r>
          </w:p>
          <w:p w14:paraId="58ACC16A" w14:textId="480F8F55" w:rsidR="00DD5F7B" w:rsidRDefault="00DD5F7B" w:rsidP="009C3BE6">
            <w:pPr>
              <w:pStyle w:val="ListParagraph"/>
              <w:widowControl w:val="0"/>
              <w:numPr>
                <w:ilvl w:val="0"/>
                <w:numId w:val="1"/>
              </w:numPr>
              <w:tabs>
                <w:tab w:val="left" w:pos="454"/>
              </w:tabs>
              <w:spacing w:before="40" w:after="40"/>
              <w:ind w:leftChars="0" w:left="454"/>
              <w:jc w:val="both"/>
              <w:rPr>
                <w:sz w:val="17"/>
                <w:szCs w:val="17"/>
              </w:rPr>
            </w:pPr>
            <w:r>
              <w:rPr>
                <w:sz w:val="17"/>
                <w:szCs w:val="17"/>
              </w:rPr>
              <w:t xml:space="preserve">how the risk profile of the AI interacts with the risk tolerance approved by the </w:t>
            </w:r>
            <w:r w:rsidR="003F7EF5">
              <w:rPr>
                <w:sz w:val="17"/>
                <w:szCs w:val="17"/>
              </w:rPr>
              <w:t>b</w:t>
            </w:r>
            <w:r>
              <w:rPr>
                <w:sz w:val="17"/>
                <w:szCs w:val="17"/>
              </w:rPr>
              <w:t>oard.</w:t>
            </w:r>
          </w:p>
        </w:tc>
      </w:tr>
      <w:tr w:rsidR="00DD5F7B" w14:paraId="355A30A0" w14:textId="77777777" w:rsidTr="009C3BE6">
        <w:trPr>
          <w:trHeight w:val="318"/>
          <w:jc w:val="center"/>
        </w:trPr>
        <w:tc>
          <w:tcPr>
            <w:tcW w:w="370" w:type="dxa"/>
            <w:tcBorders>
              <w:top w:val="single" w:sz="4" w:space="0" w:color="auto"/>
              <w:bottom w:val="single" w:sz="4" w:space="0" w:color="auto"/>
            </w:tcBorders>
            <w:noWrap/>
          </w:tcPr>
          <w:p w14:paraId="63B5246E" w14:textId="77777777" w:rsidR="00DD5F7B" w:rsidRDefault="00DD5F7B" w:rsidP="009C3BE6">
            <w:pPr>
              <w:widowControl w:val="0"/>
              <w:spacing w:before="40" w:after="40"/>
              <w:jc w:val="both"/>
              <w:rPr>
                <w:sz w:val="17"/>
                <w:szCs w:val="17"/>
              </w:rPr>
            </w:pPr>
            <w:r>
              <w:rPr>
                <w:sz w:val="17"/>
                <w:szCs w:val="17"/>
              </w:rPr>
              <w:t>(b)</w:t>
            </w:r>
          </w:p>
        </w:tc>
        <w:tc>
          <w:tcPr>
            <w:tcW w:w="8872" w:type="dxa"/>
            <w:tcBorders>
              <w:top w:val="single" w:sz="4" w:space="0" w:color="auto"/>
              <w:bottom w:val="single" w:sz="4" w:space="0" w:color="auto"/>
            </w:tcBorders>
            <w:noWrap/>
          </w:tcPr>
          <w:p w14:paraId="37437FFB" w14:textId="77777777" w:rsidR="00DD5F7B" w:rsidRDefault="00DD5F7B" w:rsidP="009C3BE6">
            <w:pPr>
              <w:widowControl w:val="0"/>
              <w:spacing w:before="40" w:after="40"/>
              <w:jc w:val="both"/>
              <w:rPr>
                <w:sz w:val="17"/>
                <w:szCs w:val="17"/>
              </w:rPr>
            </w:pPr>
            <w:r>
              <w:rPr>
                <w:sz w:val="17"/>
                <w:szCs w:val="17"/>
              </w:rPr>
              <w:t>the risk governance structure:</w:t>
            </w:r>
          </w:p>
          <w:p w14:paraId="339188DD" w14:textId="77777777" w:rsidR="00DD5F7B" w:rsidRDefault="00DD5F7B" w:rsidP="007679A1">
            <w:pPr>
              <w:pStyle w:val="ListParagraph"/>
              <w:widowControl w:val="0"/>
              <w:numPr>
                <w:ilvl w:val="0"/>
                <w:numId w:val="2"/>
              </w:numPr>
              <w:spacing w:before="40" w:after="40"/>
              <w:ind w:leftChars="0" w:left="454" w:hanging="454"/>
              <w:jc w:val="both"/>
              <w:rPr>
                <w:sz w:val="17"/>
                <w:szCs w:val="17"/>
              </w:rPr>
            </w:pPr>
            <w:r>
              <w:rPr>
                <w:sz w:val="17"/>
                <w:szCs w:val="17"/>
              </w:rPr>
              <w:t>the responsibilities attributed throughout the AI (e.g. oversight and delegation of authority; breakdown of responsibilities by type of risk, business unit, etc.); and</w:t>
            </w:r>
          </w:p>
          <w:p w14:paraId="713C6777" w14:textId="038A721D" w:rsidR="00DD5F7B" w:rsidRDefault="00DD5F7B" w:rsidP="007679A1">
            <w:pPr>
              <w:pStyle w:val="ListParagraph"/>
              <w:widowControl w:val="0"/>
              <w:numPr>
                <w:ilvl w:val="0"/>
                <w:numId w:val="2"/>
              </w:numPr>
              <w:spacing w:before="40" w:after="40"/>
              <w:ind w:leftChars="0" w:left="454" w:hanging="454"/>
              <w:jc w:val="both"/>
              <w:rPr>
                <w:sz w:val="17"/>
                <w:szCs w:val="17"/>
              </w:rPr>
            </w:pPr>
            <w:r>
              <w:rPr>
                <w:sz w:val="17"/>
                <w:szCs w:val="17"/>
              </w:rPr>
              <w:t xml:space="preserve">the relationships between the structures involved in risk management processes (e.g. </w:t>
            </w:r>
            <w:r w:rsidR="008D4944">
              <w:rPr>
                <w:sz w:val="17"/>
                <w:szCs w:val="17"/>
              </w:rPr>
              <w:t>b</w:t>
            </w:r>
            <w:r>
              <w:rPr>
                <w:sz w:val="17"/>
                <w:szCs w:val="17"/>
              </w:rPr>
              <w:t xml:space="preserve">oard of </w:t>
            </w:r>
            <w:r w:rsidR="008D4944">
              <w:rPr>
                <w:sz w:val="17"/>
                <w:szCs w:val="17"/>
              </w:rPr>
              <w:t>d</w:t>
            </w:r>
            <w:r>
              <w:rPr>
                <w:sz w:val="17"/>
                <w:szCs w:val="17"/>
              </w:rPr>
              <w:t>irectors, senior management, separate risk committees, risk management function, compliance function, internal audit function).</w:t>
            </w:r>
          </w:p>
        </w:tc>
      </w:tr>
      <w:tr w:rsidR="00DD5F7B" w14:paraId="7ADE1AFB" w14:textId="77777777" w:rsidTr="009C3BE6">
        <w:trPr>
          <w:trHeight w:val="318"/>
          <w:jc w:val="center"/>
        </w:trPr>
        <w:tc>
          <w:tcPr>
            <w:tcW w:w="370" w:type="dxa"/>
            <w:tcBorders>
              <w:top w:val="single" w:sz="4" w:space="0" w:color="auto"/>
              <w:bottom w:val="single" w:sz="4" w:space="0" w:color="auto"/>
            </w:tcBorders>
            <w:noWrap/>
          </w:tcPr>
          <w:p w14:paraId="60082F48" w14:textId="77777777" w:rsidR="00DD5F7B" w:rsidRDefault="00DD5F7B" w:rsidP="009C3BE6">
            <w:pPr>
              <w:widowControl w:val="0"/>
              <w:spacing w:before="40" w:after="40"/>
              <w:jc w:val="both"/>
              <w:rPr>
                <w:sz w:val="17"/>
                <w:szCs w:val="17"/>
              </w:rPr>
            </w:pPr>
            <w:r>
              <w:rPr>
                <w:sz w:val="17"/>
                <w:szCs w:val="17"/>
              </w:rPr>
              <w:t>(c)</w:t>
            </w:r>
          </w:p>
        </w:tc>
        <w:tc>
          <w:tcPr>
            <w:tcW w:w="8872" w:type="dxa"/>
            <w:tcBorders>
              <w:top w:val="single" w:sz="4" w:space="0" w:color="auto"/>
              <w:bottom w:val="single" w:sz="4" w:space="0" w:color="auto"/>
            </w:tcBorders>
            <w:noWrap/>
          </w:tcPr>
          <w:p w14:paraId="350AD019" w14:textId="77777777" w:rsidR="00DD5F7B" w:rsidRDefault="00DD5F7B" w:rsidP="009C3BE6">
            <w:pPr>
              <w:widowControl w:val="0"/>
              <w:spacing w:before="40" w:after="40"/>
              <w:jc w:val="both"/>
              <w:rPr>
                <w:sz w:val="17"/>
                <w:szCs w:val="17"/>
              </w:rPr>
            </w:pPr>
            <w:r>
              <w:rPr>
                <w:sz w:val="17"/>
                <w:szCs w:val="17"/>
              </w:rPr>
              <w:t>the channels to communicate, decline and enforce the risk culture within the AI (e.g. code of conduct; manuals containing operating limits or procedures to treat violations or breaches of risk limits; procedures to raise and share risk issues between business lines and risk functions).</w:t>
            </w:r>
          </w:p>
        </w:tc>
      </w:tr>
      <w:tr w:rsidR="00DD5F7B" w14:paraId="318E227F" w14:textId="77777777" w:rsidTr="009C3BE6">
        <w:trPr>
          <w:trHeight w:val="318"/>
          <w:jc w:val="center"/>
        </w:trPr>
        <w:tc>
          <w:tcPr>
            <w:tcW w:w="370" w:type="dxa"/>
            <w:tcBorders>
              <w:top w:val="single" w:sz="4" w:space="0" w:color="auto"/>
              <w:bottom w:val="single" w:sz="4" w:space="0" w:color="auto"/>
            </w:tcBorders>
            <w:noWrap/>
          </w:tcPr>
          <w:p w14:paraId="35BE0F76" w14:textId="77777777" w:rsidR="00DD5F7B" w:rsidRDefault="00DD5F7B" w:rsidP="009C3BE6">
            <w:pPr>
              <w:widowControl w:val="0"/>
              <w:spacing w:before="40" w:after="40"/>
              <w:jc w:val="both"/>
              <w:rPr>
                <w:sz w:val="17"/>
                <w:szCs w:val="17"/>
              </w:rPr>
            </w:pPr>
            <w:r>
              <w:rPr>
                <w:sz w:val="17"/>
                <w:szCs w:val="17"/>
              </w:rPr>
              <w:t>(d)</w:t>
            </w:r>
          </w:p>
        </w:tc>
        <w:tc>
          <w:tcPr>
            <w:tcW w:w="8872" w:type="dxa"/>
            <w:tcBorders>
              <w:top w:val="single" w:sz="4" w:space="0" w:color="auto"/>
              <w:bottom w:val="single" w:sz="4" w:space="0" w:color="auto"/>
            </w:tcBorders>
            <w:noWrap/>
          </w:tcPr>
          <w:p w14:paraId="5763FA82" w14:textId="77777777" w:rsidR="00DD5F7B" w:rsidRDefault="00DD5F7B" w:rsidP="009C3BE6">
            <w:pPr>
              <w:widowControl w:val="0"/>
              <w:spacing w:before="40" w:after="40"/>
              <w:jc w:val="both"/>
              <w:rPr>
                <w:sz w:val="17"/>
                <w:szCs w:val="17"/>
              </w:rPr>
            </w:pPr>
            <w:r>
              <w:rPr>
                <w:sz w:val="17"/>
                <w:szCs w:val="17"/>
              </w:rPr>
              <w:t>the scope and main features of risk measurement systems.</w:t>
            </w:r>
          </w:p>
        </w:tc>
      </w:tr>
      <w:tr w:rsidR="00DD5F7B" w14:paraId="124D2A91" w14:textId="77777777" w:rsidTr="009C3BE6">
        <w:trPr>
          <w:trHeight w:val="318"/>
          <w:jc w:val="center"/>
        </w:trPr>
        <w:tc>
          <w:tcPr>
            <w:tcW w:w="370" w:type="dxa"/>
            <w:tcBorders>
              <w:top w:val="single" w:sz="4" w:space="0" w:color="auto"/>
              <w:bottom w:val="single" w:sz="4" w:space="0" w:color="auto"/>
            </w:tcBorders>
            <w:noWrap/>
          </w:tcPr>
          <w:p w14:paraId="34CE30BD" w14:textId="77777777" w:rsidR="00DD5F7B" w:rsidRDefault="00DD5F7B" w:rsidP="009C3BE6">
            <w:pPr>
              <w:widowControl w:val="0"/>
              <w:spacing w:before="40" w:after="40"/>
              <w:jc w:val="both"/>
              <w:rPr>
                <w:sz w:val="17"/>
                <w:szCs w:val="17"/>
              </w:rPr>
            </w:pPr>
            <w:r>
              <w:rPr>
                <w:sz w:val="17"/>
                <w:szCs w:val="17"/>
              </w:rPr>
              <w:t>(e)</w:t>
            </w:r>
          </w:p>
        </w:tc>
        <w:tc>
          <w:tcPr>
            <w:tcW w:w="8872" w:type="dxa"/>
            <w:tcBorders>
              <w:top w:val="single" w:sz="4" w:space="0" w:color="auto"/>
              <w:bottom w:val="single" w:sz="4" w:space="0" w:color="auto"/>
            </w:tcBorders>
            <w:noWrap/>
          </w:tcPr>
          <w:p w14:paraId="65308AE4" w14:textId="7148648D" w:rsidR="00DD5F7B" w:rsidRDefault="00DD5F7B" w:rsidP="009C3BE6">
            <w:pPr>
              <w:widowControl w:val="0"/>
              <w:spacing w:before="40" w:after="40"/>
              <w:jc w:val="both"/>
              <w:rPr>
                <w:sz w:val="17"/>
                <w:szCs w:val="17"/>
              </w:rPr>
            </w:pPr>
            <w:r>
              <w:rPr>
                <w:sz w:val="17"/>
                <w:szCs w:val="17"/>
              </w:rPr>
              <w:t xml:space="preserve">a description of the process of risk information reporting provided to the </w:t>
            </w:r>
            <w:r w:rsidR="005E3D17">
              <w:rPr>
                <w:sz w:val="17"/>
                <w:szCs w:val="17"/>
              </w:rPr>
              <w:t>b</w:t>
            </w:r>
            <w:r>
              <w:rPr>
                <w:sz w:val="17"/>
                <w:szCs w:val="17"/>
              </w:rPr>
              <w:t>oard and senior management, in particular the scope and main content of reporting on risk exposure.</w:t>
            </w:r>
          </w:p>
        </w:tc>
      </w:tr>
      <w:tr w:rsidR="00DD5F7B" w14:paraId="0655DF7D" w14:textId="77777777" w:rsidTr="009C3BE6">
        <w:trPr>
          <w:trHeight w:val="318"/>
          <w:jc w:val="center"/>
        </w:trPr>
        <w:tc>
          <w:tcPr>
            <w:tcW w:w="370" w:type="dxa"/>
            <w:tcBorders>
              <w:top w:val="single" w:sz="4" w:space="0" w:color="auto"/>
              <w:bottom w:val="single" w:sz="4" w:space="0" w:color="auto"/>
            </w:tcBorders>
            <w:noWrap/>
          </w:tcPr>
          <w:p w14:paraId="3566B912" w14:textId="77777777" w:rsidR="00DD5F7B" w:rsidRDefault="00DD5F7B" w:rsidP="009C3BE6">
            <w:pPr>
              <w:widowControl w:val="0"/>
              <w:spacing w:before="40" w:after="40"/>
              <w:jc w:val="both"/>
              <w:rPr>
                <w:sz w:val="17"/>
                <w:szCs w:val="17"/>
              </w:rPr>
            </w:pPr>
            <w:r>
              <w:rPr>
                <w:sz w:val="17"/>
                <w:szCs w:val="17"/>
              </w:rPr>
              <w:t>(f)</w:t>
            </w:r>
          </w:p>
        </w:tc>
        <w:tc>
          <w:tcPr>
            <w:tcW w:w="8872" w:type="dxa"/>
            <w:tcBorders>
              <w:top w:val="single" w:sz="4" w:space="0" w:color="auto"/>
              <w:bottom w:val="single" w:sz="4" w:space="0" w:color="auto"/>
            </w:tcBorders>
            <w:noWrap/>
          </w:tcPr>
          <w:p w14:paraId="40D6AA73" w14:textId="77777777" w:rsidR="00DD5F7B" w:rsidRDefault="00DD5F7B" w:rsidP="009C3BE6">
            <w:pPr>
              <w:widowControl w:val="0"/>
              <w:spacing w:before="40" w:after="40"/>
              <w:jc w:val="both"/>
              <w:rPr>
                <w:sz w:val="17"/>
                <w:szCs w:val="17"/>
              </w:rPr>
            </w:pPr>
            <w:r>
              <w:rPr>
                <w:sz w:val="17"/>
                <w:szCs w:val="17"/>
              </w:rPr>
              <w:t>qualitative information on stress testing (e.g. portfolios subject to stress testing, scenarios adopted and methodologies used, and use of stress testing in risk management).</w:t>
            </w:r>
          </w:p>
        </w:tc>
      </w:tr>
      <w:tr w:rsidR="00DD5F7B" w14:paraId="20E23E70" w14:textId="77777777" w:rsidTr="009C3BE6">
        <w:trPr>
          <w:trHeight w:val="318"/>
          <w:jc w:val="center"/>
        </w:trPr>
        <w:tc>
          <w:tcPr>
            <w:tcW w:w="370" w:type="dxa"/>
            <w:tcBorders>
              <w:top w:val="single" w:sz="4" w:space="0" w:color="auto"/>
              <w:bottom w:val="single" w:sz="4" w:space="0" w:color="auto"/>
            </w:tcBorders>
            <w:noWrap/>
          </w:tcPr>
          <w:p w14:paraId="276B6C7E" w14:textId="77777777" w:rsidR="00DD5F7B" w:rsidRDefault="00DD5F7B" w:rsidP="009C3BE6">
            <w:pPr>
              <w:widowControl w:val="0"/>
              <w:spacing w:before="40" w:after="40"/>
              <w:jc w:val="both"/>
              <w:rPr>
                <w:sz w:val="17"/>
                <w:szCs w:val="17"/>
              </w:rPr>
            </w:pPr>
            <w:r>
              <w:rPr>
                <w:sz w:val="17"/>
                <w:szCs w:val="17"/>
              </w:rPr>
              <w:t>(g)</w:t>
            </w:r>
          </w:p>
        </w:tc>
        <w:tc>
          <w:tcPr>
            <w:tcW w:w="8872" w:type="dxa"/>
            <w:tcBorders>
              <w:top w:val="single" w:sz="4" w:space="0" w:color="auto"/>
              <w:bottom w:val="single" w:sz="4" w:space="0" w:color="auto"/>
            </w:tcBorders>
            <w:noWrap/>
          </w:tcPr>
          <w:p w14:paraId="5F2DEC72" w14:textId="77777777" w:rsidR="00DD5F7B" w:rsidRDefault="00DD5F7B" w:rsidP="007679A1">
            <w:pPr>
              <w:pStyle w:val="ListParagraph"/>
              <w:widowControl w:val="0"/>
              <w:numPr>
                <w:ilvl w:val="0"/>
                <w:numId w:val="3"/>
              </w:numPr>
              <w:tabs>
                <w:tab w:val="left" w:pos="454"/>
              </w:tabs>
              <w:spacing w:before="40" w:after="40"/>
              <w:ind w:leftChars="0" w:left="454" w:hanging="454"/>
              <w:jc w:val="both"/>
              <w:rPr>
                <w:sz w:val="17"/>
                <w:szCs w:val="17"/>
              </w:rPr>
            </w:pPr>
            <w:r>
              <w:rPr>
                <w:sz w:val="17"/>
                <w:szCs w:val="17"/>
              </w:rPr>
              <w:t>the strategies and processes to manage, hedge and mitigate risks that arise from the AI’s business model; and</w:t>
            </w:r>
          </w:p>
          <w:p w14:paraId="7FD4C6F9" w14:textId="77777777" w:rsidR="00DD5F7B" w:rsidRDefault="00DD5F7B" w:rsidP="007679A1">
            <w:pPr>
              <w:pStyle w:val="ListParagraph"/>
              <w:widowControl w:val="0"/>
              <w:numPr>
                <w:ilvl w:val="0"/>
                <w:numId w:val="3"/>
              </w:numPr>
              <w:tabs>
                <w:tab w:val="left" w:pos="454"/>
              </w:tabs>
              <w:spacing w:before="40" w:after="40"/>
              <w:ind w:leftChars="0" w:left="454" w:hanging="454"/>
              <w:jc w:val="both"/>
              <w:rPr>
                <w:sz w:val="17"/>
                <w:szCs w:val="17"/>
              </w:rPr>
            </w:pPr>
            <w:r>
              <w:rPr>
                <w:sz w:val="17"/>
                <w:szCs w:val="17"/>
              </w:rPr>
              <w:t>the processes for monitoring the continuing effectiveness of hedges and mitigants for those risks.</w:t>
            </w:r>
          </w:p>
        </w:tc>
      </w:tr>
    </w:tbl>
    <w:p w14:paraId="22820B75" w14:textId="77777777" w:rsidR="00DD5F7B" w:rsidRPr="00A8004B" w:rsidRDefault="00DD5F7B" w:rsidP="00DD5F7B">
      <w:pPr>
        <w:rPr>
          <w:sz w:val="6"/>
          <w:szCs w:val="17"/>
        </w:rPr>
      </w:pPr>
    </w:p>
    <w:p w14:paraId="71FE46E4" w14:textId="77777777" w:rsidR="00DD5F7B" w:rsidRDefault="00DD5F7B" w:rsidP="00DD5F7B">
      <w:pPr>
        <w:sectPr w:rsidR="00DD5F7B" w:rsidSect="00A67178">
          <w:footerReference w:type="default" r:id="rId9"/>
          <w:pgSz w:w="11906" w:h="16838"/>
          <w:pgMar w:top="1440" w:right="1797" w:bottom="1440" w:left="1797" w:header="851" w:footer="992" w:gutter="0"/>
          <w:cols w:space="425"/>
          <w:docGrid w:type="lines" w:linePitch="360"/>
        </w:sectPr>
      </w:pPr>
    </w:p>
    <w:p w14:paraId="747FEF68" w14:textId="77777777" w:rsidR="00DC2A69" w:rsidRDefault="00DC2A69" w:rsidP="00DC2A69">
      <w:pPr>
        <w:pStyle w:val="Heading2"/>
        <w:ind w:right="-454"/>
      </w:pPr>
      <w:r w:rsidRPr="00892D0C">
        <w:lastRenderedPageBreak/>
        <w:t xml:space="preserve">Template KM1: Key </w:t>
      </w:r>
      <w:r>
        <w:t>prudential ratios</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DC2A69" w:rsidRPr="00B54EA4" w14:paraId="0E16043A" w14:textId="77777777" w:rsidTr="00717E00">
        <w:tc>
          <w:tcPr>
            <w:tcW w:w="2008" w:type="dxa"/>
          </w:tcPr>
          <w:p w14:paraId="6B106935" w14:textId="77777777" w:rsidR="00DC2A69" w:rsidRPr="0023654F" w:rsidRDefault="00DC2A69" w:rsidP="00717E00">
            <w:pPr>
              <w:spacing w:before="40" w:after="40"/>
              <w:rPr>
                <w:noProof/>
                <w:sz w:val="17"/>
                <w:lang w:eastAsia="en-GB"/>
              </w:rPr>
            </w:pPr>
            <w:r w:rsidRPr="0023654F">
              <w:rPr>
                <w:b/>
                <w:sz w:val="17"/>
                <w:lang w:eastAsia="en-GB"/>
              </w:rPr>
              <w:t>Purpose:</w:t>
            </w:r>
          </w:p>
        </w:tc>
        <w:tc>
          <w:tcPr>
            <w:tcW w:w="7234" w:type="dxa"/>
          </w:tcPr>
          <w:p w14:paraId="6FA0FCFA" w14:textId="77777777" w:rsidR="00DC2A69" w:rsidRPr="00892D0C" w:rsidRDefault="00DC2A69" w:rsidP="00717E00">
            <w:pPr>
              <w:spacing w:before="40" w:after="40"/>
              <w:jc w:val="both"/>
              <w:rPr>
                <w:rFonts w:eastAsia="新細明體"/>
                <w:noProof/>
                <w:sz w:val="17"/>
                <w:lang w:eastAsia="en-GB"/>
              </w:rPr>
            </w:pPr>
            <w:r w:rsidRPr="00892D0C">
              <w:rPr>
                <w:rFonts w:eastAsia="新細明體"/>
                <w:noProof/>
                <w:sz w:val="17"/>
                <w:lang w:eastAsia="en-GB"/>
              </w:rPr>
              <w:t xml:space="preserve">To provide an overview of an AI’s </w:t>
            </w:r>
            <w:r>
              <w:rPr>
                <w:rFonts w:eastAsia="新細明體"/>
                <w:noProof/>
                <w:sz w:val="17"/>
                <w:lang w:eastAsia="en-GB"/>
              </w:rPr>
              <w:t xml:space="preserve">key </w:t>
            </w:r>
            <w:r w:rsidRPr="00892D0C">
              <w:rPr>
                <w:rFonts w:eastAsia="新細明體"/>
                <w:noProof/>
                <w:sz w:val="17"/>
                <w:lang w:eastAsia="en-GB"/>
              </w:rPr>
              <w:t xml:space="preserve">prudential </w:t>
            </w:r>
            <w:r>
              <w:rPr>
                <w:rFonts w:eastAsia="新細明體"/>
                <w:noProof/>
                <w:sz w:val="17"/>
                <w:lang w:eastAsia="en-GB"/>
              </w:rPr>
              <w:t>ratio</w:t>
            </w:r>
            <w:r w:rsidRPr="00892D0C">
              <w:rPr>
                <w:rFonts w:eastAsia="新細明體"/>
                <w:noProof/>
                <w:sz w:val="17"/>
                <w:lang w:eastAsia="en-GB"/>
              </w:rPr>
              <w:t>s.</w:t>
            </w:r>
          </w:p>
        </w:tc>
      </w:tr>
      <w:tr w:rsidR="00DC2A69" w:rsidRPr="0023654F" w14:paraId="37F56801" w14:textId="77777777" w:rsidTr="00717E00">
        <w:tc>
          <w:tcPr>
            <w:tcW w:w="2008" w:type="dxa"/>
          </w:tcPr>
          <w:p w14:paraId="7DACCCDB" w14:textId="77777777" w:rsidR="00DC2A69" w:rsidRPr="0023654F" w:rsidRDefault="00DC2A69" w:rsidP="00717E00">
            <w:pPr>
              <w:spacing w:before="40" w:after="40"/>
              <w:rPr>
                <w:b/>
                <w:sz w:val="17"/>
                <w:lang w:eastAsia="en-GB"/>
              </w:rPr>
            </w:pPr>
            <w:r>
              <w:rPr>
                <w:b/>
                <w:sz w:val="17"/>
                <w:lang w:eastAsia="en-GB"/>
              </w:rPr>
              <w:t>Scope of application:</w:t>
            </w:r>
          </w:p>
        </w:tc>
        <w:tc>
          <w:tcPr>
            <w:tcW w:w="7234" w:type="dxa"/>
          </w:tcPr>
          <w:p w14:paraId="693BD8B4" w14:textId="77777777" w:rsidR="00DC2A69" w:rsidRPr="00892D0C" w:rsidRDefault="00DC2A69" w:rsidP="00717E00">
            <w:pPr>
              <w:spacing w:before="40" w:after="40"/>
              <w:jc w:val="both"/>
              <w:rPr>
                <w:rFonts w:eastAsia="新細明體"/>
                <w:sz w:val="17"/>
                <w:lang w:eastAsia="en-GB"/>
              </w:rPr>
            </w:pPr>
            <w:r w:rsidRPr="00892D0C">
              <w:rPr>
                <w:rFonts w:eastAsia="新細明體"/>
                <w:sz w:val="17"/>
                <w:lang w:eastAsia="en-GB"/>
              </w:rPr>
              <w:t>The template is mandatory for all AIs incorporated in Hong Kong.</w:t>
            </w:r>
          </w:p>
        </w:tc>
      </w:tr>
      <w:tr w:rsidR="00DC2A69" w:rsidRPr="0023654F" w14:paraId="48D7199D" w14:textId="77777777" w:rsidTr="00717E00">
        <w:tc>
          <w:tcPr>
            <w:tcW w:w="2008" w:type="dxa"/>
          </w:tcPr>
          <w:p w14:paraId="5CA3B671" w14:textId="77777777" w:rsidR="00DC2A69" w:rsidRPr="0023654F" w:rsidRDefault="00DC2A69" w:rsidP="00717E00">
            <w:pPr>
              <w:spacing w:before="40" w:after="40"/>
              <w:rPr>
                <w:b/>
                <w:sz w:val="17"/>
                <w:lang w:eastAsia="en-GB"/>
              </w:rPr>
            </w:pPr>
            <w:r>
              <w:rPr>
                <w:b/>
                <w:sz w:val="17"/>
                <w:lang w:eastAsia="en-GB"/>
              </w:rPr>
              <w:t>Content:</w:t>
            </w:r>
          </w:p>
        </w:tc>
        <w:tc>
          <w:tcPr>
            <w:tcW w:w="7234" w:type="dxa"/>
          </w:tcPr>
          <w:p w14:paraId="0F9B0337" w14:textId="4F8F92BD" w:rsidR="00DC2A69" w:rsidRPr="00892D0C" w:rsidRDefault="00DC2A69" w:rsidP="00717E00">
            <w:pPr>
              <w:spacing w:before="40" w:after="40"/>
              <w:ind w:left="1"/>
              <w:jc w:val="both"/>
              <w:rPr>
                <w:rFonts w:eastAsia="新細明體"/>
                <w:sz w:val="17"/>
                <w:lang w:eastAsia="en-GB"/>
              </w:rPr>
            </w:pPr>
            <w:r w:rsidRPr="00892D0C">
              <w:rPr>
                <w:rFonts w:eastAsia="新細明體"/>
                <w:sz w:val="17"/>
                <w:lang w:eastAsia="en-GB"/>
              </w:rPr>
              <w:t xml:space="preserve">Key prudential </w:t>
            </w:r>
            <w:r>
              <w:rPr>
                <w:rFonts w:eastAsia="新細明體"/>
                <w:sz w:val="17"/>
                <w:lang w:eastAsia="en-GB"/>
              </w:rPr>
              <w:t>ratio</w:t>
            </w:r>
            <w:r w:rsidRPr="00892D0C">
              <w:rPr>
                <w:rFonts w:eastAsia="新細明體"/>
                <w:sz w:val="17"/>
                <w:lang w:eastAsia="en-GB"/>
              </w:rPr>
              <w:t>s related to regulatory capital</w:t>
            </w:r>
            <w:r>
              <w:rPr>
                <w:rFonts w:eastAsia="新細明體"/>
                <w:sz w:val="17"/>
                <w:lang w:eastAsia="en-GB"/>
              </w:rPr>
              <w:t xml:space="preserve"> and buffers</w:t>
            </w:r>
            <w:r w:rsidRPr="00892D0C">
              <w:rPr>
                <w:rFonts w:eastAsia="新細明體"/>
                <w:sz w:val="17"/>
                <w:lang w:eastAsia="en-GB"/>
              </w:rPr>
              <w:t>, leverage ratio and liquidity standards.</w:t>
            </w:r>
            <w:r>
              <w:rPr>
                <w:rFonts w:eastAsia="新細明體"/>
                <w:sz w:val="17"/>
                <w:lang w:eastAsia="en-GB"/>
              </w:rPr>
              <w:t xml:space="preserve">  An </w:t>
            </w:r>
            <w:r w:rsidRPr="00892D0C">
              <w:rPr>
                <w:rFonts w:eastAsia="新細明體"/>
                <w:sz w:val="17"/>
                <w:lang w:eastAsia="en-GB"/>
              </w:rPr>
              <w:t xml:space="preserve">AI </w:t>
            </w:r>
            <w:r>
              <w:rPr>
                <w:rFonts w:eastAsia="新細明體"/>
                <w:sz w:val="17"/>
                <w:lang w:eastAsia="en-GB"/>
              </w:rPr>
              <w:t>should</w:t>
            </w:r>
            <w:r w:rsidRPr="00892D0C">
              <w:rPr>
                <w:rFonts w:eastAsia="新細明體"/>
                <w:sz w:val="17"/>
                <w:lang w:eastAsia="en-GB"/>
              </w:rPr>
              <w:t xml:space="preserve"> disclose each </w:t>
            </w:r>
            <w:r>
              <w:rPr>
                <w:rFonts w:eastAsia="新細明體"/>
                <w:sz w:val="17"/>
                <w:lang w:eastAsia="en-GB"/>
              </w:rPr>
              <w:t>ratio</w:t>
            </w:r>
            <w:r w:rsidRPr="00892D0C">
              <w:rPr>
                <w:rFonts w:eastAsia="新細明體"/>
                <w:sz w:val="17"/>
                <w:lang w:eastAsia="en-GB"/>
              </w:rPr>
              <w:t xml:space="preserve">’s value using the corresponding specifications pursuant to </w:t>
            </w:r>
            <w:r w:rsidRPr="00F32B53">
              <w:rPr>
                <w:rFonts w:eastAsia="新細明體"/>
                <w:sz w:val="17"/>
                <w:lang w:eastAsia="en-GB"/>
              </w:rPr>
              <w:t>the BCR and BLR, for the</w:t>
            </w:r>
            <w:r w:rsidRPr="00892D0C">
              <w:rPr>
                <w:rFonts w:eastAsia="新細明體"/>
                <w:sz w:val="17"/>
                <w:lang w:eastAsia="en-GB"/>
              </w:rPr>
              <w:t xml:space="preserve"> </w:t>
            </w:r>
            <w:r>
              <w:rPr>
                <w:rFonts w:eastAsia="新細明體"/>
                <w:sz w:val="17"/>
                <w:lang w:eastAsia="en-GB"/>
              </w:rPr>
              <w:t xml:space="preserve">current </w:t>
            </w:r>
            <w:r w:rsidRPr="00892D0C">
              <w:rPr>
                <w:rFonts w:eastAsia="新細明體"/>
                <w:sz w:val="17"/>
                <w:lang w:eastAsia="en-GB"/>
              </w:rPr>
              <w:t xml:space="preserve">reporting period (designated </w:t>
            </w:r>
            <w:r>
              <w:rPr>
                <w:rFonts w:eastAsia="新細明體"/>
                <w:sz w:val="17"/>
                <w:lang w:eastAsia="en-GB"/>
              </w:rPr>
              <w:t>as</w:t>
            </w:r>
            <w:r w:rsidRPr="00892D0C">
              <w:rPr>
                <w:rFonts w:eastAsia="新細明體"/>
                <w:sz w:val="17"/>
                <w:lang w:eastAsia="en-GB"/>
              </w:rPr>
              <w:t xml:space="preserve"> T in the template below) as well as the four previous quarter</w:t>
            </w:r>
            <w:r>
              <w:rPr>
                <w:rFonts w:eastAsia="新細明體"/>
                <w:sz w:val="17"/>
                <w:lang w:eastAsia="en-GB"/>
              </w:rPr>
              <w:t>ly reporting periods</w:t>
            </w:r>
            <w:r w:rsidRPr="00892D0C">
              <w:rPr>
                <w:rFonts w:eastAsia="新細明體"/>
                <w:sz w:val="17"/>
                <w:lang w:eastAsia="en-GB"/>
              </w:rPr>
              <w:t xml:space="preserve"> (designated </w:t>
            </w:r>
            <w:r>
              <w:rPr>
                <w:rFonts w:eastAsia="新細明體"/>
                <w:sz w:val="17"/>
                <w:lang w:eastAsia="en-GB"/>
              </w:rPr>
              <w:t>as</w:t>
            </w:r>
            <w:r w:rsidRPr="00892D0C">
              <w:rPr>
                <w:rFonts w:eastAsia="新細明體"/>
                <w:sz w:val="17"/>
                <w:lang w:eastAsia="en-GB"/>
              </w:rPr>
              <w:t xml:space="preserve"> T-1 to T-4</w:t>
            </w:r>
            <w:r>
              <w:rPr>
                <w:rFonts w:eastAsia="新細明體"/>
                <w:sz w:val="17"/>
                <w:lang w:eastAsia="en-GB"/>
              </w:rPr>
              <w:t xml:space="preserve"> respectively</w:t>
            </w:r>
            <w:r w:rsidRPr="00892D0C">
              <w:rPr>
                <w:rFonts w:eastAsia="新細明體"/>
                <w:sz w:val="17"/>
                <w:lang w:eastAsia="en-GB"/>
              </w:rPr>
              <w:t>).</w:t>
            </w:r>
            <w:r>
              <w:rPr>
                <w:rFonts w:eastAsia="新細明體"/>
                <w:sz w:val="17"/>
                <w:lang w:eastAsia="en-GB"/>
              </w:rPr>
              <w:t xml:space="preserve">  As Hong Kong does not provide any transitional arrangements for implementation of expected credit loss provisioning under HKFRS 9, information in this template is disclosed on the basis of “fully-loaded” provisioning.  </w:t>
            </w:r>
            <w:r>
              <w:rPr>
                <w:sz w:val="17"/>
                <w:lang w:eastAsia="en-GB"/>
              </w:rPr>
              <w:t>M</w:t>
            </w:r>
            <w:r w:rsidRPr="00887A58">
              <w:rPr>
                <w:sz w:val="17"/>
                <w:lang w:eastAsia="en-GB"/>
              </w:rPr>
              <w:t xml:space="preserve">etrics designated as “pre-floor” </w:t>
            </w:r>
            <w:r>
              <w:rPr>
                <w:sz w:val="17"/>
                <w:lang w:eastAsia="en-GB"/>
              </w:rPr>
              <w:t xml:space="preserve">are before the adjustment of output floor (if applicable) and hence </w:t>
            </w:r>
            <w:r w:rsidRPr="00887A58">
              <w:rPr>
                <w:sz w:val="17"/>
                <w:lang w:eastAsia="en-GB"/>
              </w:rPr>
              <w:t>may not reflect actual values</w:t>
            </w:r>
            <w:r>
              <w:rPr>
                <w:sz w:val="17"/>
                <w:lang w:eastAsia="en-GB"/>
              </w:rPr>
              <w:t xml:space="preserve"> used for capital requirement computation</w:t>
            </w:r>
            <w:r w:rsidRPr="00887A58">
              <w:rPr>
                <w:sz w:val="17"/>
                <w:lang w:eastAsia="en-GB"/>
              </w:rPr>
              <w:t>.</w:t>
            </w:r>
          </w:p>
        </w:tc>
      </w:tr>
      <w:tr w:rsidR="00DC2A69" w:rsidRPr="00E60D4A" w14:paraId="28AE8C78" w14:textId="77777777" w:rsidTr="00717E00">
        <w:tc>
          <w:tcPr>
            <w:tcW w:w="2008" w:type="dxa"/>
          </w:tcPr>
          <w:p w14:paraId="7EFE848E" w14:textId="77777777" w:rsidR="00DC2A69" w:rsidRPr="0023654F" w:rsidRDefault="00DC2A69" w:rsidP="00717E00">
            <w:pPr>
              <w:spacing w:before="40" w:after="40"/>
              <w:rPr>
                <w:sz w:val="17"/>
                <w:lang w:eastAsia="en-GB"/>
              </w:rPr>
            </w:pPr>
            <w:r w:rsidRPr="0023654F">
              <w:rPr>
                <w:b/>
                <w:sz w:val="17"/>
                <w:lang w:eastAsia="en-GB"/>
              </w:rPr>
              <w:t>Frequency:</w:t>
            </w:r>
          </w:p>
        </w:tc>
        <w:tc>
          <w:tcPr>
            <w:tcW w:w="7234" w:type="dxa"/>
          </w:tcPr>
          <w:p w14:paraId="05304AB4" w14:textId="77777777" w:rsidR="00DC2A69" w:rsidRPr="00892D0C" w:rsidRDefault="00DC2A69" w:rsidP="00717E00">
            <w:pPr>
              <w:spacing w:before="40" w:after="40"/>
              <w:jc w:val="both"/>
              <w:rPr>
                <w:rFonts w:eastAsia="新細明體"/>
                <w:sz w:val="17"/>
                <w:lang w:eastAsia="en-GB"/>
              </w:rPr>
            </w:pPr>
            <w:r w:rsidRPr="00892D0C">
              <w:rPr>
                <w:rFonts w:eastAsia="新細明體"/>
                <w:sz w:val="17"/>
                <w:lang w:eastAsia="en-GB"/>
              </w:rPr>
              <w:t>Quarterly.</w:t>
            </w:r>
          </w:p>
        </w:tc>
      </w:tr>
      <w:tr w:rsidR="00DC2A69" w:rsidRPr="00E60D4A" w14:paraId="40A36F73" w14:textId="77777777" w:rsidTr="00717E00">
        <w:tc>
          <w:tcPr>
            <w:tcW w:w="2008" w:type="dxa"/>
          </w:tcPr>
          <w:p w14:paraId="4B4FB075" w14:textId="77777777" w:rsidR="00DC2A69" w:rsidRPr="0023654F" w:rsidRDefault="00DC2A69" w:rsidP="00717E00">
            <w:pPr>
              <w:spacing w:before="40" w:after="40"/>
              <w:rPr>
                <w:sz w:val="17"/>
                <w:lang w:eastAsia="en-GB"/>
              </w:rPr>
            </w:pPr>
            <w:r w:rsidRPr="0023654F">
              <w:rPr>
                <w:b/>
                <w:sz w:val="17"/>
                <w:lang w:eastAsia="en-GB"/>
              </w:rPr>
              <w:t>Format:</w:t>
            </w:r>
          </w:p>
        </w:tc>
        <w:tc>
          <w:tcPr>
            <w:tcW w:w="7234" w:type="dxa"/>
          </w:tcPr>
          <w:p w14:paraId="4B3162AD" w14:textId="7837F427" w:rsidR="00DC2A69" w:rsidRPr="00892D0C" w:rsidRDefault="00DC2A69" w:rsidP="00717E00">
            <w:pPr>
              <w:spacing w:before="40" w:after="40"/>
              <w:jc w:val="both"/>
              <w:rPr>
                <w:rFonts w:eastAsia="新細明體"/>
                <w:noProof/>
                <w:sz w:val="17"/>
                <w:lang w:eastAsia="en-GB"/>
              </w:rPr>
            </w:pPr>
            <w:r w:rsidRPr="00892D0C">
              <w:rPr>
                <w:rFonts w:eastAsia="新細明體"/>
                <w:noProof/>
                <w:sz w:val="17"/>
                <w:lang w:eastAsia="en-GB"/>
              </w:rPr>
              <w:t>Fixed.</w:t>
            </w:r>
            <w:r>
              <w:rPr>
                <w:rFonts w:eastAsia="新細明體"/>
                <w:noProof/>
                <w:sz w:val="17"/>
                <w:lang w:eastAsia="en-GB"/>
              </w:rPr>
              <w:t xml:space="preserve">  </w:t>
            </w:r>
            <w:r w:rsidRPr="00082B5E">
              <w:rPr>
                <w:rFonts w:eastAsia="新細明體"/>
                <w:noProof/>
                <w:sz w:val="17"/>
                <w:lang w:eastAsia="en-GB"/>
              </w:rPr>
              <w:t xml:space="preserve">If </w:t>
            </w:r>
            <w:r>
              <w:rPr>
                <w:rFonts w:eastAsia="新細明體"/>
                <w:noProof/>
                <w:sz w:val="17"/>
                <w:lang w:eastAsia="en-GB"/>
              </w:rPr>
              <w:t>an AI</w:t>
            </w:r>
            <w:r w:rsidRPr="00082B5E">
              <w:rPr>
                <w:rFonts w:eastAsia="新細明體"/>
                <w:noProof/>
                <w:sz w:val="17"/>
                <w:lang w:eastAsia="en-GB"/>
              </w:rPr>
              <w:t xml:space="preserve"> wish</w:t>
            </w:r>
            <w:r>
              <w:rPr>
                <w:rFonts w:eastAsia="新細明體"/>
                <w:noProof/>
                <w:sz w:val="17"/>
                <w:lang w:eastAsia="en-GB"/>
              </w:rPr>
              <w:t>es</w:t>
            </w:r>
            <w:r w:rsidRPr="00082B5E">
              <w:rPr>
                <w:rFonts w:eastAsia="新細明體"/>
                <w:noProof/>
                <w:sz w:val="17"/>
                <w:lang w:eastAsia="en-GB"/>
              </w:rPr>
              <w:t xml:space="preserve"> to add rows to provide additional regulatory or financial </w:t>
            </w:r>
            <w:r>
              <w:rPr>
                <w:rFonts w:eastAsia="新細明體"/>
                <w:noProof/>
                <w:sz w:val="17"/>
                <w:lang w:eastAsia="en-GB"/>
              </w:rPr>
              <w:t>ratio</w:t>
            </w:r>
            <w:r w:rsidRPr="00082B5E">
              <w:rPr>
                <w:rFonts w:eastAsia="新細明體"/>
                <w:noProof/>
                <w:sz w:val="17"/>
                <w:lang w:eastAsia="en-GB"/>
              </w:rPr>
              <w:t xml:space="preserve">s, </w:t>
            </w:r>
            <w:r>
              <w:rPr>
                <w:rFonts w:eastAsia="新細明體"/>
                <w:noProof/>
                <w:sz w:val="17"/>
                <w:lang w:eastAsia="en-GB"/>
              </w:rPr>
              <w:t>it</w:t>
            </w:r>
            <w:r w:rsidRPr="00082B5E">
              <w:rPr>
                <w:rFonts w:eastAsia="新細明體"/>
                <w:noProof/>
                <w:sz w:val="17"/>
                <w:lang w:eastAsia="en-GB"/>
              </w:rPr>
              <w:t xml:space="preserve"> </w:t>
            </w:r>
            <w:r>
              <w:rPr>
                <w:rFonts w:eastAsia="新細明體"/>
                <w:noProof/>
                <w:sz w:val="17"/>
                <w:lang w:eastAsia="en-GB"/>
              </w:rPr>
              <w:t>should</w:t>
            </w:r>
            <w:r w:rsidRPr="00082B5E">
              <w:rPr>
                <w:rFonts w:eastAsia="新細明體"/>
                <w:noProof/>
                <w:sz w:val="17"/>
                <w:lang w:eastAsia="en-GB"/>
              </w:rPr>
              <w:t xml:space="preserve"> provide definitions for these </w:t>
            </w:r>
            <w:r>
              <w:rPr>
                <w:rFonts w:eastAsia="新細明體"/>
                <w:noProof/>
                <w:sz w:val="17"/>
                <w:lang w:eastAsia="en-GB"/>
              </w:rPr>
              <w:t>ratio</w:t>
            </w:r>
            <w:r w:rsidRPr="00082B5E">
              <w:rPr>
                <w:rFonts w:eastAsia="新細明體"/>
                <w:noProof/>
                <w:sz w:val="17"/>
                <w:lang w:eastAsia="en-GB"/>
              </w:rPr>
              <w:t xml:space="preserve">s and a full explanation of how the </w:t>
            </w:r>
            <w:r>
              <w:rPr>
                <w:rFonts w:eastAsia="新細明體"/>
                <w:noProof/>
                <w:sz w:val="17"/>
                <w:lang w:eastAsia="en-GB"/>
              </w:rPr>
              <w:t>ratio</w:t>
            </w:r>
            <w:r w:rsidRPr="00082B5E">
              <w:rPr>
                <w:rFonts w:eastAsia="新細明體"/>
                <w:noProof/>
                <w:sz w:val="17"/>
                <w:lang w:eastAsia="en-GB"/>
              </w:rPr>
              <w:t xml:space="preserve">s are calculated (including the scope of consolidation and the regulatory capital used if relevant). </w:t>
            </w:r>
            <w:r>
              <w:rPr>
                <w:rFonts w:eastAsia="新細明體"/>
                <w:noProof/>
                <w:sz w:val="17"/>
                <w:lang w:eastAsia="en-GB"/>
              </w:rPr>
              <w:t xml:space="preserve"> </w:t>
            </w:r>
            <w:r w:rsidRPr="00082B5E">
              <w:rPr>
                <w:rFonts w:eastAsia="新細明體"/>
                <w:noProof/>
                <w:sz w:val="17"/>
                <w:lang w:eastAsia="en-GB"/>
              </w:rPr>
              <w:t xml:space="preserve">The additional </w:t>
            </w:r>
            <w:r>
              <w:rPr>
                <w:rFonts w:eastAsia="新細明體"/>
                <w:noProof/>
                <w:sz w:val="17"/>
                <w:lang w:eastAsia="en-GB"/>
              </w:rPr>
              <w:t>ratio</w:t>
            </w:r>
            <w:r w:rsidRPr="00082B5E">
              <w:rPr>
                <w:rFonts w:eastAsia="新細明體"/>
                <w:noProof/>
                <w:sz w:val="17"/>
                <w:lang w:eastAsia="en-GB"/>
              </w:rPr>
              <w:t xml:space="preserve">s </w:t>
            </w:r>
            <w:r>
              <w:rPr>
                <w:rFonts w:eastAsia="新細明體"/>
                <w:noProof/>
                <w:sz w:val="17"/>
                <w:lang w:eastAsia="en-GB"/>
              </w:rPr>
              <w:t>should</w:t>
            </w:r>
            <w:r w:rsidRPr="00082B5E">
              <w:rPr>
                <w:rFonts w:eastAsia="新細明體"/>
                <w:noProof/>
                <w:sz w:val="17"/>
                <w:lang w:eastAsia="en-GB"/>
              </w:rPr>
              <w:t xml:space="preserve"> not replace the</w:t>
            </w:r>
            <w:r w:rsidRPr="00892D0C">
              <w:rPr>
                <w:rFonts w:eastAsia="新細明體"/>
                <w:noProof/>
                <w:sz w:val="17"/>
                <w:lang w:eastAsia="en-GB"/>
              </w:rPr>
              <w:t xml:space="preserve"> prudential </w:t>
            </w:r>
            <w:r>
              <w:rPr>
                <w:rFonts w:eastAsia="新細明體"/>
                <w:noProof/>
                <w:sz w:val="17"/>
                <w:lang w:eastAsia="en-GB"/>
              </w:rPr>
              <w:t>ratio</w:t>
            </w:r>
            <w:r w:rsidRPr="00082B5E">
              <w:rPr>
                <w:rFonts w:eastAsia="新細明體"/>
                <w:noProof/>
                <w:sz w:val="17"/>
                <w:lang w:eastAsia="en-GB"/>
              </w:rPr>
              <w:t xml:space="preserve">s </w:t>
            </w:r>
            <w:r>
              <w:rPr>
                <w:rFonts w:eastAsia="新細明體"/>
                <w:noProof/>
                <w:sz w:val="17"/>
                <w:lang w:eastAsia="en-GB"/>
              </w:rPr>
              <w:t xml:space="preserve">in </w:t>
            </w:r>
            <w:r w:rsidRPr="00082B5E">
              <w:rPr>
                <w:rFonts w:eastAsia="新細明體"/>
                <w:noProof/>
                <w:sz w:val="17"/>
                <w:lang w:eastAsia="en-GB"/>
              </w:rPr>
              <w:t xml:space="preserve">this </w:t>
            </w:r>
            <w:r>
              <w:rPr>
                <w:rFonts w:eastAsia="新細明體"/>
                <w:noProof/>
                <w:sz w:val="17"/>
                <w:lang w:eastAsia="en-GB"/>
              </w:rPr>
              <w:t>template</w:t>
            </w:r>
            <w:r w:rsidRPr="00082B5E">
              <w:rPr>
                <w:rFonts w:eastAsia="新細明體"/>
                <w:noProof/>
                <w:sz w:val="17"/>
                <w:lang w:eastAsia="en-GB"/>
              </w:rPr>
              <w:t>.</w:t>
            </w:r>
          </w:p>
        </w:tc>
      </w:tr>
      <w:tr w:rsidR="00DC2A69" w:rsidRPr="0023654F" w14:paraId="37B156FC" w14:textId="77777777" w:rsidTr="00717E00">
        <w:tc>
          <w:tcPr>
            <w:tcW w:w="2008" w:type="dxa"/>
          </w:tcPr>
          <w:p w14:paraId="58F75822" w14:textId="77777777" w:rsidR="00DC2A69" w:rsidRPr="0023654F" w:rsidRDefault="00DC2A69" w:rsidP="00717E00">
            <w:pPr>
              <w:spacing w:before="40" w:after="40"/>
              <w:rPr>
                <w:sz w:val="17"/>
                <w:lang w:eastAsia="en-GB"/>
              </w:rPr>
            </w:pPr>
            <w:r w:rsidRPr="00892D0C">
              <w:rPr>
                <w:rFonts w:eastAsia="新細明體"/>
                <w:b/>
                <w:sz w:val="17"/>
                <w:szCs w:val="17"/>
                <w:lang w:eastAsia="en-GB"/>
              </w:rPr>
              <w:t>Accompanying narrative</w:t>
            </w:r>
            <w:r w:rsidRPr="00892D0C">
              <w:rPr>
                <w:rFonts w:eastAsia="新細明體"/>
                <w:sz w:val="17"/>
                <w:szCs w:val="17"/>
                <w:lang w:eastAsia="en-GB"/>
              </w:rPr>
              <w:t>:</w:t>
            </w:r>
          </w:p>
        </w:tc>
        <w:tc>
          <w:tcPr>
            <w:tcW w:w="7234" w:type="dxa"/>
          </w:tcPr>
          <w:p w14:paraId="23FCE386" w14:textId="77777777" w:rsidR="00DC2A69" w:rsidRPr="0023654F" w:rsidRDefault="00DC2A69" w:rsidP="00717E00">
            <w:pPr>
              <w:pStyle w:val="TableText"/>
              <w:ind w:left="16"/>
              <w:jc w:val="both"/>
              <w:rPr>
                <w:lang w:eastAsia="en-GB"/>
              </w:rPr>
            </w:pPr>
            <w:r w:rsidRPr="00892D0C">
              <w:rPr>
                <w:rFonts w:eastAsia="新細明體"/>
                <w:noProof/>
                <w:lang w:eastAsia="en-GB"/>
              </w:rPr>
              <w:t>An AI should explain the key drivers (e.g. whether the changes are due to changes in the regulatory framework, group structure or business model) behind</w:t>
            </w:r>
            <w:r>
              <w:rPr>
                <w:rFonts w:eastAsia="新細明體"/>
                <w:noProof/>
                <w:lang w:eastAsia="en-GB"/>
              </w:rPr>
              <w:t xml:space="preserve"> any material</w:t>
            </w:r>
            <w:r w:rsidRPr="00892D0C">
              <w:rPr>
                <w:rFonts w:eastAsia="新細明體"/>
                <w:noProof/>
                <w:lang w:eastAsia="en-GB"/>
              </w:rPr>
              <w:t xml:space="preserve"> </w:t>
            </w:r>
            <w:r>
              <w:rPr>
                <w:rFonts w:eastAsia="新細明體"/>
                <w:noProof/>
                <w:lang w:eastAsia="en-GB"/>
              </w:rPr>
              <w:t>change</w:t>
            </w:r>
            <w:r w:rsidRPr="00892D0C">
              <w:rPr>
                <w:rFonts w:eastAsia="新細明體"/>
                <w:noProof/>
                <w:lang w:eastAsia="en-GB"/>
              </w:rPr>
              <w:t xml:space="preserve">s </w:t>
            </w:r>
            <w:r>
              <w:rPr>
                <w:rFonts w:eastAsia="新細明體"/>
                <w:noProof/>
                <w:lang w:eastAsia="en-GB"/>
              </w:rPr>
              <w:t xml:space="preserve">across </w:t>
            </w:r>
            <w:r w:rsidRPr="00892D0C">
              <w:rPr>
                <w:rFonts w:eastAsia="新細明體"/>
                <w:noProof/>
                <w:lang w:eastAsia="en-GB"/>
              </w:rPr>
              <w:t xml:space="preserve">reporting periods for each </w:t>
            </w:r>
            <w:r>
              <w:rPr>
                <w:rFonts w:eastAsia="新細明體"/>
                <w:noProof/>
                <w:lang w:eastAsia="en-GB"/>
              </w:rPr>
              <w:t>ratio</w:t>
            </w:r>
            <w:r w:rsidRPr="00892D0C">
              <w:rPr>
                <w:rFonts w:eastAsia="新細明體"/>
                <w:noProof/>
                <w:lang w:eastAsia="en-GB"/>
              </w:rPr>
              <w:t xml:space="preserve">’s value </w:t>
            </w:r>
            <w:r>
              <w:rPr>
                <w:rFonts w:eastAsia="新細明體"/>
                <w:noProof/>
                <w:lang w:eastAsia="en-GB"/>
              </w:rPr>
              <w:t>in</w:t>
            </w:r>
            <w:r w:rsidRPr="00892D0C">
              <w:rPr>
                <w:rFonts w:eastAsia="新細明體"/>
                <w:noProof/>
                <w:lang w:eastAsia="en-GB"/>
              </w:rPr>
              <w:t xml:space="preserve"> a narrative commentary.</w:t>
            </w:r>
          </w:p>
        </w:tc>
      </w:tr>
      <w:tr w:rsidR="00DC2A69" w:rsidRPr="0023654F" w14:paraId="6CBE57DC" w14:textId="77777777" w:rsidTr="00717E00">
        <w:tc>
          <w:tcPr>
            <w:tcW w:w="2008" w:type="dxa"/>
          </w:tcPr>
          <w:p w14:paraId="2962CA14" w14:textId="77777777" w:rsidR="00DC2A69" w:rsidRPr="0023654F" w:rsidRDefault="00DC2A69" w:rsidP="00717E00">
            <w:pPr>
              <w:spacing w:before="40" w:after="40"/>
              <w:rPr>
                <w:b/>
                <w:sz w:val="17"/>
                <w:lang w:eastAsia="en-GB"/>
              </w:rPr>
            </w:pPr>
            <w:r>
              <w:rPr>
                <w:b/>
                <w:sz w:val="17"/>
                <w:lang w:eastAsia="en-GB"/>
              </w:rPr>
              <w:t>Corresponding BDR section:</w:t>
            </w:r>
          </w:p>
        </w:tc>
        <w:tc>
          <w:tcPr>
            <w:tcW w:w="7234" w:type="dxa"/>
          </w:tcPr>
          <w:p w14:paraId="4DEF3483" w14:textId="77777777" w:rsidR="00DC2A69" w:rsidRPr="0023654F" w:rsidRDefault="00DC2A69" w:rsidP="00717E00">
            <w:pPr>
              <w:spacing w:before="40" w:after="40"/>
              <w:jc w:val="both"/>
              <w:rPr>
                <w:lang w:eastAsia="en-GB"/>
              </w:rPr>
            </w:pPr>
            <w:r w:rsidRPr="00C734DB">
              <w:rPr>
                <w:rFonts w:eastAsia="新細明體"/>
                <w:sz w:val="17"/>
              </w:rPr>
              <w:t>16AB</w:t>
            </w:r>
          </w:p>
        </w:tc>
      </w:tr>
    </w:tbl>
    <w:p w14:paraId="5D3D7DB1" w14:textId="77777777" w:rsidR="00DC2A69" w:rsidRPr="00C734DB" w:rsidRDefault="00DC2A69" w:rsidP="00DC2A69">
      <w:pPr>
        <w:ind w:leftChars="-177" w:left="-354"/>
        <w:rPr>
          <w:sz w:val="26"/>
        </w:rPr>
      </w:pPr>
    </w:p>
    <w:tbl>
      <w:tblPr>
        <w:tblW w:w="932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218"/>
        <w:gridCol w:w="851"/>
        <w:gridCol w:w="850"/>
        <w:gridCol w:w="851"/>
        <w:gridCol w:w="850"/>
        <w:gridCol w:w="851"/>
      </w:tblGrid>
      <w:tr w:rsidR="00DC2A69" w:rsidRPr="00892D0C" w14:paraId="1F4E3E4C" w14:textId="77777777" w:rsidTr="00717E00">
        <w:trPr>
          <w:tblHeader/>
        </w:trPr>
        <w:tc>
          <w:tcPr>
            <w:tcW w:w="851" w:type="dxa"/>
            <w:tcBorders>
              <w:top w:val="nil"/>
              <w:left w:val="nil"/>
              <w:bottom w:val="nil"/>
              <w:right w:val="nil"/>
            </w:tcBorders>
            <w:shd w:val="clear" w:color="auto" w:fill="auto"/>
          </w:tcPr>
          <w:p w14:paraId="1B0BE95D" w14:textId="77777777" w:rsidR="00DC2A69" w:rsidRPr="00C734DB" w:rsidRDefault="00DC2A69" w:rsidP="00717E00">
            <w:pPr>
              <w:rPr>
                <w:kern w:val="2"/>
                <w:sz w:val="17"/>
                <w:lang w:val="en-US"/>
              </w:rPr>
            </w:pPr>
          </w:p>
        </w:tc>
        <w:tc>
          <w:tcPr>
            <w:tcW w:w="4218" w:type="dxa"/>
            <w:tcBorders>
              <w:top w:val="nil"/>
              <w:left w:val="nil"/>
              <w:bottom w:val="nil"/>
            </w:tcBorders>
            <w:shd w:val="clear" w:color="auto" w:fill="auto"/>
          </w:tcPr>
          <w:p w14:paraId="33044424" w14:textId="77777777" w:rsidR="00DC2A69" w:rsidRPr="00C734DB" w:rsidRDefault="00DC2A69" w:rsidP="00717E00">
            <w:pPr>
              <w:rPr>
                <w:kern w:val="2"/>
                <w:sz w:val="17"/>
                <w:lang w:val="en-US"/>
              </w:rPr>
            </w:pPr>
          </w:p>
        </w:tc>
        <w:tc>
          <w:tcPr>
            <w:tcW w:w="851" w:type="dxa"/>
            <w:shd w:val="clear" w:color="auto" w:fill="auto"/>
          </w:tcPr>
          <w:p w14:paraId="45B6EB20" w14:textId="77777777" w:rsidR="00DC2A69" w:rsidRPr="00C734DB" w:rsidRDefault="00DC2A69" w:rsidP="00717E00">
            <w:pPr>
              <w:jc w:val="center"/>
              <w:rPr>
                <w:kern w:val="2"/>
                <w:sz w:val="17"/>
                <w:lang w:val="en-US"/>
              </w:rPr>
            </w:pPr>
            <w:r w:rsidRPr="00C734DB">
              <w:rPr>
                <w:kern w:val="2"/>
                <w:sz w:val="17"/>
                <w:lang w:val="en-US"/>
              </w:rPr>
              <w:t>(a)</w:t>
            </w:r>
          </w:p>
        </w:tc>
        <w:tc>
          <w:tcPr>
            <w:tcW w:w="850" w:type="dxa"/>
            <w:shd w:val="clear" w:color="auto" w:fill="auto"/>
          </w:tcPr>
          <w:p w14:paraId="1567007F" w14:textId="77777777" w:rsidR="00DC2A69" w:rsidRPr="00C734DB" w:rsidRDefault="00DC2A69" w:rsidP="00717E00">
            <w:pPr>
              <w:jc w:val="center"/>
              <w:rPr>
                <w:kern w:val="2"/>
                <w:sz w:val="17"/>
                <w:lang w:val="en-US"/>
              </w:rPr>
            </w:pPr>
            <w:r w:rsidRPr="00C734DB">
              <w:rPr>
                <w:kern w:val="2"/>
                <w:sz w:val="17"/>
                <w:lang w:val="en-US"/>
              </w:rPr>
              <w:t>(b)</w:t>
            </w:r>
          </w:p>
        </w:tc>
        <w:tc>
          <w:tcPr>
            <w:tcW w:w="851" w:type="dxa"/>
            <w:shd w:val="clear" w:color="auto" w:fill="auto"/>
          </w:tcPr>
          <w:p w14:paraId="2B8AC1C2" w14:textId="77777777" w:rsidR="00DC2A69" w:rsidRPr="00C734DB" w:rsidRDefault="00DC2A69" w:rsidP="00717E00">
            <w:pPr>
              <w:jc w:val="center"/>
              <w:rPr>
                <w:kern w:val="2"/>
                <w:sz w:val="17"/>
                <w:lang w:val="en-US"/>
              </w:rPr>
            </w:pPr>
            <w:r w:rsidRPr="00C734DB">
              <w:rPr>
                <w:kern w:val="2"/>
                <w:sz w:val="17"/>
                <w:lang w:val="en-US"/>
              </w:rPr>
              <w:t>(c)</w:t>
            </w:r>
          </w:p>
        </w:tc>
        <w:tc>
          <w:tcPr>
            <w:tcW w:w="850" w:type="dxa"/>
            <w:shd w:val="clear" w:color="auto" w:fill="auto"/>
          </w:tcPr>
          <w:p w14:paraId="0537FD1B" w14:textId="77777777" w:rsidR="00DC2A69" w:rsidRPr="00C734DB" w:rsidRDefault="00DC2A69" w:rsidP="00717E00">
            <w:pPr>
              <w:jc w:val="center"/>
              <w:rPr>
                <w:kern w:val="2"/>
                <w:sz w:val="17"/>
                <w:lang w:val="en-US"/>
              </w:rPr>
            </w:pPr>
            <w:r w:rsidRPr="00C734DB">
              <w:rPr>
                <w:kern w:val="2"/>
                <w:sz w:val="17"/>
                <w:lang w:val="en-US"/>
              </w:rPr>
              <w:t>(d)</w:t>
            </w:r>
          </w:p>
        </w:tc>
        <w:tc>
          <w:tcPr>
            <w:tcW w:w="851" w:type="dxa"/>
            <w:tcBorders>
              <w:right w:val="single" w:sz="4" w:space="0" w:color="auto"/>
            </w:tcBorders>
            <w:shd w:val="clear" w:color="auto" w:fill="auto"/>
          </w:tcPr>
          <w:p w14:paraId="4FF5AF2D" w14:textId="77777777" w:rsidR="00DC2A69" w:rsidRPr="00C734DB" w:rsidRDefault="00DC2A69" w:rsidP="00717E00">
            <w:pPr>
              <w:jc w:val="center"/>
              <w:rPr>
                <w:kern w:val="2"/>
                <w:sz w:val="17"/>
                <w:lang w:val="en-US"/>
              </w:rPr>
            </w:pPr>
            <w:r w:rsidRPr="00C734DB">
              <w:rPr>
                <w:kern w:val="2"/>
                <w:sz w:val="17"/>
                <w:lang w:val="en-US"/>
              </w:rPr>
              <w:t>(e)</w:t>
            </w:r>
          </w:p>
        </w:tc>
      </w:tr>
      <w:tr w:rsidR="00DC2A69" w:rsidRPr="00892D0C" w14:paraId="2ADD540F" w14:textId="77777777" w:rsidTr="00717E00">
        <w:trPr>
          <w:tblHeader/>
        </w:trPr>
        <w:tc>
          <w:tcPr>
            <w:tcW w:w="851" w:type="dxa"/>
            <w:tcBorders>
              <w:top w:val="nil"/>
              <w:left w:val="nil"/>
              <w:right w:val="nil"/>
            </w:tcBorders>
            <w:shd w:val="clear" w:color="auto" w:fill="auto"/>
          </w:tcPr>
          <w:p w14:paraId="17B8A122" w14:textId="77777777" w:rsidR="00DC2A69" w:rsidRPr="00C734DB" w:rsidRDefault="00DC2A69" w:rsidP="00717E00">
            <w:pPr>
              <w:rPr>
                <w:kern w:val="2"/>
                <w:sz w:val="17"/>
                <w:lang w:val="en-US"/>
              </w:rPr>
            </w:pPr>
          </w:p>
        </w:tc>
        <w:tc>
          <w:tcPr>
            <w:tcW w:w="4218" w:type="dxa"/>
            <w:tcBorders>
              <w:top w:val="nil"/>
              <w:left w:val="nil"/>
            </w:tcBorders>
            <w:shd w:val="clear" w:color="auto" w:fill="auto"/>
          </w:tcPr>
          <w:p w14:paraId="210A5FAF" w14:textId="77777777" w:rsidR="00DC2A69" w:rsidRPr="00C734DB" w:rsidRDefault="00DC2A69" w:rsidP="00717E00">
            <w:pPr>
              <w:rPr>
                <w:kern w:val="2"/>
                <w:sz w:val="17"/>
                <w:lang w:val="en-US"/>
              </w:rPr>
            </w:pPr>
          </w:p>
        </w:tc>
        <w:tc>
          <w:tcPr>
            <w:tcW w:w="851" w:type="dxa"/>
            <w:shd w:val="clear" w:color="auto" w:fill="auto"/>
          </w:tcPr>
          <w:p w14:paraId="2605773F" w14:textId="77777777" w:rsidR="00DC2A69" w:rsidRPr="00C734DB" w:rsidRDefault="00DC2A69" w:rsidP="00717E00">
            <w:pPr>
              <w:jc w:val="center"/>
              <w:rPr>
                <w:kern w:val="2"/>
                <w:sz w:val="17"/>
                <w:lang w:val="en-US"/>
              </w:rPr>
            </w:pPr>
            <w:r w:rsidRPr="00C734DB">
              <w:rPr>
                <w:kern w:val="2"/>
                <w:sz w:val="17"/>
                <w:lang w:val="en-US"/>
              </w:rPr>
              <w:t>T</w:t>
            </w:r>
          </w:p>
        </w:tc>
        <w:tc>
          <w:tcPr>
            <w:tcW w:w="850" w:type="dxa"/>
            <w:shd w:val="clear" w:color="auto" w:fill="auto"/>
          </w:tcPr>
          <w:p w14:paraId="3ABC67FB" w14:textId="77777777" w:rsidR="00DC2A69" w:rsidRPr="00C734DB" w:rsidRDefault="00DC2A69" w:rsidP="00717E00">
            <w:pPr>
              <w:jc w:val="center"/>
              <w:rPr>
                <w:kern w:val="2"/>
                <w:sz w:val="17"/>
                <w:lang w:val="en-US"/>
              </w:rPr>
            </w:pPr>
            <w:r w:rsidRPr="00C734DB">
              <w:rPr>
                <w:kern w:val="2"/>
                <w:sz w:val="17"/>
                <w:lang w:val="en-US"/>
              </w:rPr>
              <w:t>T-1</w:t>
            </w:r>
          </w:p>
        </w:tc>
        <w:tc>
          <w:tcPr>
            <w:tcW w:w="851" w:type="dxa"/>
            <w:shd w:val="clear" w:color="auto" w:fill="auto"/>
          </w:tcPr>
          <w:p w14:paraId="68EDD595" w14:textId="77777777" w:rsidR="00DC2A69" w:rsidRPr="00C734DB" w:rsidRDefault="00DC2A69" w:rsidP="00717E00">
            <w:pPr>
              <w:jc w:val="center"/>
              <w:rPr>
                <w:kern w:val="2"/>
                <w:sz w:val="17"/>
                <w:lang w:val="en-US"/>
              </w:rPr>
            </w:pPr>
            <w:r w:rsidRPr="00C734DB">
              <w:rPr>
                <w:kern w:val="2"/>
                <w:sz w:val="17"/>
                <w:lang w:val="en-US"/>
              </w:rPr>
              <w:t>T-2</w:t>
            </w:r>
          </w:p>
        </w:tc>
        <w:tc>
          <w:tcPr>
            <w:tcW w:w="850" w:type="dxa"/>
            <w:shd w:val="clear" w:color="auto" w:fill="auto"/>
          </w:tcPr>
          <w:p w14:paraId="0727A753" w14:textId="77777777" w:rsidR="00DC2A69" w:rsidRPr="00C734DB" w:rsidRDefault="00DC2A69" w:rsidP="00717E00">
            <w:pPr>
              <w:jc w:val="center"/>
              <w:rPr>
                <w:kern w:val="2"/>
                <w:sz w:val="17"/>
                <w:lang w:val="en-US"/>
              </w:rPr>
            </w:pPr>
            <w:r w:rsidRPr="00C734DB">
              <w:rPr>
                <w:kern w:val="2"/>
                <w:sz w:val="17"/>
                <w:lang w:val="en-US"/>
              </w:rPr>
              <w:t>T-3</w:t>
            </w:r>
          </w:p>
        </w:tc>
        <w:tc>
          <w:tcPr>
            <w:tcW w:w="851" w:type="dxa"/>
            <w:tcBorders>
              <w:right w:val="single" w:sz="4" w:space="0" w:color="auto"/>
            </w:tcBorders>
            <w:shd w:val="clear" w:color="auto" w:fill="auto"/>
          </w:tcPr>
          <w:p w14:paraId="174AC7BD" w14:textId="77777777" w:rsidR="00DC2A69" w:rsidRPr="00C734DB" w:rsidRDefault="00DC2A69" w:rsidP="00717E00">
            <w:pPr>
              <w:jc w:val="center"/>
              <w:rPr>
                <w:kern w:val="2"/>
                <w:sz w:val="17"/>
                <w:lang w:val="en-US"/>
              </w:rPr>
            </w:pPr>
            <w:r w:rsidRPr="00C734DB">
              <w:rPr>
                <w:kern w:val="2"/>
                <w:sz w:val="17"/>
                <w:lang w:val="en-US"/>
              </w:rPr>
              <w:t>T-4</w:t>
            </w:r>
          </w:p>
        </w:tc>
      </w:tr>
      <w:tr w:rsidR="00DC2A69" w:rsidRPr="00892D0C" w14:paraId="185C6132" w14:textId="77777777" w:rsidTr="00717E00">
        <w:tc>
          <w:tcPr>
            <w:tcW w:w="851" w:type="dxa"/>
            <w:tcBorders>
              <w:left w:val="nil"/>
            </w:tcBorders>
            <w:shd w:val="clear" w:color="auto" w:fill="BFBFBF"/>
          </w:tcPr>
          <w:p w14:paraId="07EE9859" w14:textId="77777777" w:rsidR="00DC2A69" w:rsidRPr="00C734DB" w:rsidRDefault="00DC2A69" w:rsidP="00717E00">
            <w:pPr>
              <w:pStyle w:val="TableText"/>
              <w:snapToGrid w:val="0"/>
              <w:ind w:left="400" w:rightChars="71" w:right="142"/>
              <w:rPr>
                <w:kern w:val="2"/>
                <w:lang w:val="en-US"/>
              </w:rPr>
            </w:pPr>
          </w:p>
        </w:tc>
        <w:tc>
          <w:tcPr>
            <w:tcW w:w="8471" w:type="dxa"/>
            <w:gridSpan w:val="6"/>
            <w:tcBorders>
              <w:right w:val="single" w:sz="4" w:space="0" w:color="auto"/>
            </w:tcBorders>
            <w:shd w:val="clear" w:color="auto" w:fill="BFBFBF"/>
          </w:tcPr>
          <w:p w14:paraId="67573A17" w14:textId="77777777" w:rsidR="00DC2A69" w:rsidRPr="00C734DB" w:rsidRDefault="00DC2A69" w:rsidP="00717E00">
            <w:pPr>
              <w:pStyle w:val="TableText"/>
              <w:snapToGrid w:val="0"/>
              <w:ind w:left="39" w:rightChars="71" w:right="142"/>
              <w:rPr>
                <w:kern w:val="2"/>
                <w:lang w:val="en-US"/>
              </w:rPr>
            </w:pPr>
            <w:r w:rsidRPr="00C734DB">
              <w:rPr>
                <w:b/>
                <w:kern w:val="2"/>
                <w:lang w:val="en-US"/>
              </w:rPr>
              <w:t>Regulatory capital (amount)</w:t>
            </w:r>
          </w:p>
        </w:tc>
      </w:tr>
      <w:tr w:rsidR="00DC2A69" w:rsidRPr="00892D0C" w14:paraId="4ECE69FC" w14:textId="77777777" w:rsidTr="00717E00">
        <w:trPr>
          <w:trHeight w:val="121"/>
        </w:trPr>
        <w:tc>
          <w:tcPr>
            <w:tcW w:w="851" w:type="dxa"/>
            <w:tcBorders>
              <w:left w:val="nil"/>
            </w:tcBorders>
            <w:shd w:val="clear" w:color="auto" w:fill="auto"/>
          </w:tcPr>
          <w:p w14:paraId="2B0970AA" w14:textId="77777777" w:rsidR="00DC2A69" w:rsidRPr="00135149" w:rsidRDefault="00DC2A69" w:rsidP="00717E00">
            <w:pPr>
              <w:pStyle w:val="TableText"/>
              <w:snapToGrid w:val="0"/>
              <w:rPr>
                <w:kern w:val="2"/>
                <w:szCs w:val="17"/>
                <w:lang w:val="en-US"/>
              </w:rPr>
            </w:pPr>
            <w:r w:rsidRPr="00135149">
              <w:rPr>
                <w:kern w:val="2"/>
                <w:szCs w:val="17"/>
                <w:lang w:val="en-US"/>
              </w:rPr>
              <w:t>1</w:t>
            </w:r>
            <w:r w:rsidRPr="00135149">
              <w:rPr>
                <w:rFonts w:cs="Segoe UI"/>
                <w:kern w:val="2"/>
                <w:szCs w:val="17"/>
                <w:lang w:val="en-US"/>
              </w:rPr>
              <w:t xml:space="preserve"> &amp; 1a</w:t>
            </w:r>
          </w:p>
        </w:tc>
        <w:tc>
          <w:tcPr>
            <w:tcW w:w="4218" w:type="dxa"/>
            <w:shd w:val="clear" w:color="auto" w:fill="auto"/>
          </w:tcPr>
          <w:p w14:paraId="2433F7C3"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Common Equity Tier 1 (CET1)</w:t>
            </w:r>
          </w:p>
        </w:tc>
        <w:tc>
          <w:tcPr>
            <w:tcW w:w="851" w:type="dxa"/>
            <w:shd w:val="clear" w:color="auto" w:fill="auto"/>
          </w:tcPr>
          <w:p w14:paraId="78B4AAAF"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4604FA47"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480255A0"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1C9BC12E"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1E4EC453" w14:textId="77777777" w:rsidR="00DC2A69" w:rsidRPr="00877DFD" w:rsidRDefault="00DC2A69" w:rsidP="00717E00">
            <w:pPr>
              <w:pStyle w:val="TableText"/>
              <w:snapToGrid w:val="0"/>
              <w:ind w:left="39"/>
              <w:rPr>
                <w:kern w:val="2"/>
                <w:szCs w:val="17"/>
                <w:lang w:val="en-US"/>
              </w:rPr>
            </w:pPr>
          </w:p>
        </w:tc>
      </w:tr>
      <w:tr w:rsidR="00DC2A69" w:rsidRPr="00892D0C" w14:paraId="1D11A195" w14:textId="77777777" w:rsidTr="00717E00">
        <w:tc>
          <w:tcPr>
            <w:tcW w:w="851" w:type="dxa"/>
            <w:tcBorders>
              <w:left w:val="nil"/>
            </w:tcBorders>
            <w:shd w:val="clear" w:color="auto" w:fill="auto"/>
          </w:tcPr>
          <w:p w14:paraId="5FC4CD79" w14:textId="77777777" w:rsidR="00DC2A69" w:rsidRPr="00135149" w:rsidRDefault="00DC2A69" w:rsidP="00717E00">
            <w:pPr>
              <w:pStyle w:val="TableText"/>
              <w:snapToGrid w:val="0"/>
              <w:rPr>
                <w:kern w:val="2"/>
                <w:szCs w:val="17"/>
                <w:lang w:val="en-US"/>
              </w:rPr>
            </w:pPr>
            <w:r w:rsidRPr="00135149">
              <w:rPr>
                <w:kern w:val="2"/>
                <w:szCs w:val="17"/>
                <w:lang w:val="en-US"/>
              </w:rPr>
              <w:t>2</w:t>
            </w:r>
            <w:r w:rsidRPr="00135149">
              <w:rPr>
                <w:rFonts w:cs="Segoe UI"/>
                <w:kern w:val="2"/>
                <w:szCs w:val="17"/>
                <w:lang w:val="en-US"/>
              </w:rPr>
              <w:t xml:space="preserve"> &amp; 2a</w:t>
            </w:r>
          </w:p>
        </w:tc>
        <w:tc>
          <w:tcPr>
            <w:tcW w:w="4218" w:type="dxa"/>
            <w:shd w:val="clear" w:color="auto" w:fill="auto"/>
          </w:tcPr>
          <w:p w14:paraId="1C0B8E80"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Tier 1</w:t>
            </w:r>
          </w:p>
        </w:tc>
        <w:tc>
          <w:tcPr>
            <w:tcW w:w="851" w:type="dxa"/>
            <w:shd w:val="clear" w:color="auto" w:fill="auto"/>
          </w:tcPr>
          <w:p w14:paraId="02667B6D"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3099BD8B"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15095924"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22AD63D1"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70DB0311" w14:textId="77777777" w:rsidR="00DC2A69" w:rsidRPr="00877DFD" w:rsidRDefault="00DC2A69" w:rsidP="00717E00">
            <w:pPr>
              <w:pStyle w:val="TableText"/>
              <w:snapToGrid w:val="0"/>
              <w:ind w:left="39"/>
              <w:rPr>
                <w:kern w:val="2"/>
                <w:szCs w:val="17"/>
                <w:lang w:val="en-US"/>
              </w:rPr>
            </w:pPr>
          </w:p>
        </w:tc>
      </w:tr>
      <w:tr w:rsidR="00DC2A69" w:rsidRPr="00892D0C" w14:paraId="56B8096C" w14:textId="77777777" w:rsidTr="00717E00">
        <w:tc>
          <w:tcPr>
            <w:tcW w:w="851" w:type="dxa"/>
            <w:tcBorders>
              <w:left w:val="nil"/>
            </w:tcBorders>
            <w:shd w:val="clear" w:color="auto" w:fill="auto"/>
          </w:tcPr>
          <w:p w14:paraId="48709517" w14:textId="77777777" w:rsidR="00DC2A69" w:rsidRPr="00135149" w:rsidRDefault="00DC2A69" w:rsidP="00717E00">
            <w:pPr>
              <w:pStyle w:val="TableText"/>
              <w:snapToGrid w:val="0"/>
              <w:rPr>
                <w:kern w:val="2"/>
                <w:szCs w:val="17"/>
                <w:lang w:val="en-US"/>
              </w:rPr>
            </w:pPr>
            <w:r w:rsidRPr="00135149">
              <w:rPr>
                <w:kern w:val="2"/>
                <w:szCs w:val="17"/>
                <w:lang w:val="en-US"/>
              </w:rPr>
              <w:t>3</w:t>
            </w:r>
            <w:r w:rsidRPr="00135149">
              <w:rPr>
                <w:rFonts w:cs="Segoe UI"/>
                <w:kern w:val="2"/>
                <w:szCs w:val="17"/>
                <w:lang w:val="en-US"/>
              </w:rPr>
              <w:t xml:space="preserve"> &amp; 3a</w:t>
            </w:r>
          </w:p>
        </w:tc>
        <w:tc>
          <w:tcPr>
            <w:tcW w:w="4218" w:type="dxa"/>
            <w:shd w:val="clear" w:color="auto" w:fill="auto"/>
          </w:tcPr>
          <w:p w14:paraId="22146388"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Total capital</w:t>
            </w:r>
          </w:p>
        </w:tc>
        <w:tc>
          <w:tcPr>
            <w:tcW w:w="851" w:type="dxa"/>
            <w:shd w:val="clear" w:color="auto" w:fill="auto"/>
          </w:tcPr>
          <w:p w14:paraId="033B1986"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0D4ED73D"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24A4036D"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432422E9"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5C5C29AF" w14:textId="77777777" w:rsidR="00DC2A69" w:rsidRPr="00877DFD" w:rsidRDefault="00DC2A69" w:rsidP="00717E00">
            <w:pPr>
              <w:pStyle w:val="TableText"/>
              <w:snapToGrid w:val="0"/>
              <w:ind w:left="39"/>
              <w:rPr>
                <w:kern w:val="2"/>
                <w:szCs w:val="17"/>
                <w:lang w:val="en-US"/>
              </w:rPr>
            </w:pPr>
          </w:p>
        </w:tc>
      </w:tr>
      <w:tr w:rsidR="00DC2A69" w:rsidRPr="00892D0C" w14:paraId="65E103B2" w14:textId="77777777" w:rsidTr="00717E00">
        <w:tc>
          <w:tcPr>
            <w:tcW w:w="851" w:type="dxa"/>
            <w:tcBorders>
              <w:left w:val="nil"/>
            </w:tcBorders>
            <w:shd w:val="clear" w:color="auto" w:fill="BFBFBF"/>
          </w:tcPr>
          <w:p w14:paraId="6D4E4ED2" w14:textId="77777777" w:rsidR="00DC2A69" w:rsidRPr="00135149" w:rsidRDefault="00DC2A69" w:rsidP="00717E00">
            <w:pPr>
              <w:pStyle w:val="TableText"/>
              <w:snapToGrid w:val="0"/>
              <w:ind w:rightChars="71" w:right="142"/>
              <w:rPr>
                <w:kern w:val="2"/>
                <w:szCs w:val="17"/>
                <w:lang w:val="en-US"/>
              </w:rPr>
            </w:pPr>
          </w:p>
        </w:tc>
        <w:tc>
          <w:tcPr>
            <w:tcW w:w="8471" w:type="dxa"/>
            <w:gridSpan w:val="6"/>
            <w:tcBorders>
              <w:right w:val="single" w:sz="4" w:space="0" w:color="auto"/>
            </w:tcBorders>
            <w:shd w:val="clear" w:color="auto" w:fill="BFBFBF"/>
          </w:tcPr>
          <w:p w14:paraId="7032BF47" w14:textId="77777777" w:rsidR="00DC2A69" w:rsidRPr="00135149" w:rsidRDefault="00DC2A69" w:rsidP="00717E00">
            <w:pPr>
              <w:pStyle w:val="TableText"/>
              <w:snapToGrid w:val="0"/>
              <w:ind w:left="39" w:rightChars="71" w:right="142"/>
              <w:rPr>
                <w:kern w:val="2"/>
                <w:szCs w:val="17"/>
                <w:lang w:val="en-US"/>
              </w:rPr>
            </w:pPr>
            <w:r w:rsidRPr="00135149">
              <w:rPr>
                <w:b/>
                <w:kern w:val="2"/>
                <w:szCs w:val="17"/>
                <w:lang w:val="en-US"/>
              </w:rPr>
              <w:t>RWA (amount)</w:t>
            </w:r>
          </w:p>
        </w:tc>
      </w:tr>
      <w:tr w:rsidR="00DC2A69" w:rsidRPr="00892D0C" w14:paraId="377CEAA8" w14:textId="77777777" w:rsidTr="00717E00">
        <w:tc>
          <w:tcPr>
            <w:tcW w:w="851" w:type="dxa"/>
            <w:tcBorders>
              <w:left w:val="nil"/>
            </w:tcBorders>
            <w:shd w:val="clear" w:color="auto" w:fill="auto"/>
          </w:tcPr>
          <w:p w14:paraId="0457BC14" w14:textId="77777777" w:rsidR="00DC2A69" w:rsidRPr="00135149" w:rsidRDefault="00DC2A69" w:rsidP="00717E00">
            <w:pPr>
              <w:pStyle w:val="TableText"/>
              <w:snapToGrid w:val="0"/>
              <w:rPr>
                <w:kern w:val="2"/>
                <w:szCs w:val="17"/>
                <w:lang w:val="en-US"/>
              </w:rPr>
            </w:pPr>
            <w:r w:rsidRPr="00135149">
              <w:rPr>
                <w:kern w:val="2"/>
                <w:szCs w:val="17"/>
                <w:lang w:val="en-US"/>
              </w:rPr>
              <w:t>4</w:t>
            </w:r>
          </w:p>
        </w:tc>
        <w:tc>
          <w:tcPr>
            <w:tcW w:w="4218" w:type="dxa"/>
            <w:shd w:val="clear" w:color="auto" w:fill="auto"/>
          </w:tcPr>
          <w:p w14:paraId="34D6FAC5"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Total RWA</w:t>
            </w:r>
          </w:p>
        </w:tc>
        <w:tc>
          <w:tcPr>
            <w:tcW w:w="851" w:type="dxa"/>
            <w:shd w:val="clear" w:color="auto" w:fill="auto"/>
          </w:tcPr>
          <w:p w14:paraId="365F378D"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7DE2E9D8"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05320A92"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6BCC2355"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117458BC" w14:textId="77777777" w:rsidR="00DC2A69" w:rsidRPr="00877DFD" w:rsidRDefault="00DC2A69" w:rsidP="00717E00">
            <w:pPr>
              <w:pStyle w:val="TableText"/>
              <w:snapToGrid w:val="0"/>
              <w:ind w:left="39"/>
              <w:rPr>
                <w:kern w:val="2"/>
                <w:szCs w:val="17"/>
                <w:lang w:val="en-US"/>
              </w:rPr>
            </w:pPr>
          </w:p>
        </w:tc>
      </w:tr>
      <w:tr w:rsidR="00DC2A69" w:rsidRPr="00892D0C" w14:paraId="22E5BD01" w14:textId="77777777" w:rsidTr="00717E00">
        <w:tc>
          <w:tcPr>
            <w:tcW w:w="851" w:type="dxa"/>
            <w:tcBorders>
              <w:left w:val="nil"/>
            </w:tcBorders>
            <w:shd w:val="clear" w:color="auto" w:fill="auto"/>
          </w:tcPr>
          <w:p w14:paraId="4E42F803" w14:textId="77777777" w:rsidR="00DC2A69" w:rsidRPr="00135149" w:rsidRDefault="00DC2A69" w:rsidP="00717E00">
            <w:pPr>
              <w:pStyle w:val="TableText"/>
              <w:snapToGrid w:val="0"/>
              <w:rPr>
                <w:kern w:val="2"/>
                <w:szCs w:val="17"/>
                <w:lang w:val="en-US"/>
              </w:rPr>
            </w:pPr>
            <w:r w:rsidRPr="00135149">
              <w:rPr>
                <w:rFonts w:cs="Segoe UI"/>
                <w:kern w:val="2"/>
                <w:szCs w:val="17"/>
                <w:lang w:val="en-US"/>
              </w:rPr>
              <w:t>4a</w:t>
            </w:r>
          </w:p>
        </w:tc>
        <w:tc>
          <w:tcPr>
            <w:tcW w:w="4218" w:type="dxa"/>
            <w:shd w:val="clear" w:color="auto" w:fill="auto"/>
          </w:tcPr>
          <w:p w14:paraId="7A3161C7" w14:textId="77777777" w:rsidR="00DC2A69" w:rsidRPr="00135149" w:rsidRDefault="00DC2A69" w:rsidP="00717E00">
            <w:pPr>
              <w:pStyle w:val="TableText"/>
              <w:snapToGrid w:val="0"/>
              <w:ind w:left="39" w:rightChars="71" w:right="142"/>
              <w:rPr>
                <w:kern w:val="2"/>
                <w:szCs w:val="17"/>
                <w:lang w:val="en-US"/>
              </w:rPr>
            </w:pPr>
            <w:r w:rsidRPr="00135149">
              <w:rPr>
                <w:rFonts w:cs="Segoe UI"/>
                <w:kern w:val="2"/>
                <w:szCs w:val="17"/>
                <w:lang w:val="en-US" w:eastAsia="en-GB"/>
              </w:rPr>
              <w:t>Total RWA (pre-floor)</w:t>
            </w:r>
          </w:p>
        </w:tc>
        <w:tc>
          <w:tcPr>
            <w:tcW w:w="851" w:type="dxa"/>
            <w:shd w:val="clear" w:color="auto" w:fill="auto"/>
          </w:tcPr>
          <w:p w14:paraId="53811590"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1A252256" w14:textId="77777777" w:rsidR="00DC2A69" w:rsidRPr="00135149" w:rsidRDefault="00DC2A69" w:rsidP="00717E00">
            <w:pPr>
              <w:pStyle w:val="TableText"/>
              <w:snapToGrid w:val="0"/>
              <w:ind w:left="39"/>
              <w:rPr>
                <w:kern w:val="2"/>
                <w:szCs w:val="17"/>
                <w:lang w:val="en-US"/>
              </w:rPr>
            </w:pPr>
          </w:p>
        </w:tc>
        <w:tc>
          <w:tcPr>
            <w:tcW w:w="851" w:type="dxa"/>
            <w:shd w:val="clear" w:color="auto" w:fill="auto"/>
          </w:tcPr>
          <w:p w14:paraId="1DA2FBBC" w14:textId="77777777" w:rsidR="00DC2A69" w:rsidRPr="004A17EB" w:rsidRDefault="00DC2A69" w:rsidP="00717E00">
            <w:pPr>
              <w:pStyle w:val="TableText"/>
              <w:snapToGrid w:val="0"/>
              <w:ind w:left="39"/>
              <w:rPr>
                <w:kern w:val="2"/>
                <w:szCs w:val="17"/>
                <w:lang w:val="en-US"/>
              </w:rPr>
            </w:pPr>
          </w:p>
        </w:tc>
        <w:tc>
          <w:tcPr>
            <w:tcW w:w="850" w:type="dxa"/>
            <w:shd w:val="clear" w:color="auto" w:fill="auto"/>
          </w:tcPr>
          <w:p w14:paraId="10A02182" w14:textId="77777777" w:rsidR="00DC2A69" w:rsidRPr="00D5274A"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6A323345" w14:textId="77777777" w:rsidR="00DC2A69" w:rsidRPr="00BE5B07" w:rsidRDefault="00DC2A69" w:rsidP="00717E00">
            <w:pPr>
              <w:pStyle w:val="TableText"/>
              <w:snapToGrid w:val="0"/>
              <w:ind w:left="39"/>
              <w:rPr>
                <w:kern w:val="2"/>
                <w:szCs w:val="17"/>
                <w:lang w:val="en-US"/>
              </w:rPr>
            </w:pPr>
          </w:p>
        </w:tc>
      </w:tr>
      <w:tr w:rsidR="00DC2A69" w:rsidRPr="00892D0C" w14:paraId="50D460EB" w14:textId="77777777" w:rsidTr="00717E00">
        <w:tc>
          <w:tcPr>
            <w:tcW w:w="851" w:type="dxa"/>
            <w:tcBorders>
              <w:left w:val="nil"/>
            </w:tcBorders>
            <w:shd w:val="clear" w:color="auto" w:fill="BFBFBF"/>
          </w:tcPr>
          <w:p w14:paraId="62908828" w14:textId="77777777" w:rsidR="00DC2A69" w:rsidRPr="00135149" w:rsidRDefault="00DC2A69" w:rsidP="00717E00">
            <w:pPr>
              <w:pStyle w:val="TableText"/>
              <w:snapToGrid w:val="0"/>
              <w:ind w:rightChars="71" w:right="142"/>
              <w:rPr>
                <w:kern w:val="2"/>
                <w:szCs w:val="17"/>
                <w:lang w:val="en-US"/>
              </w:rPr>
            </w:pPr>
          </w:p>
        </w:tc>
        <w:tc>
          <w:tcPr>
            <w:tcW w:w="8471" w:type="dxa"/>
            <w:gridSpan w:val="6"/>
            <w:tcBorders>
              <w:right w:val="single" w:sz="4" w:space="0" w:color="auto"/>
            </w:tcBorders>
            <w:shd w:val="clear" w:color="auto" w:fill="BFBFBF"/>
          </w:tcPr>
          <w:p w14:paraId="5DC45A98" w14:textId="77777777" w:rsidR="00DC2A69" w:rsidRPr="00D650D7" w:rsidRDefault="00DC2A69" w:rsidP="00717E00">
            <w:pPr>
              <w:pStyle w:val="TableText"/>
              <w:snapToGrid w:val="0"/>
              <w:ind w:left="39" w:rightChars="71" w:right="142"/>
              <w:rPr>
                <w:rFonts w:eastAsia="新細明體"/>
                <w:kern w:val="2"/>
                <w:szCs w:val="17"/>
                <w:lang w:eastAsia="zh-TW"/>
              </w:rPr>
            </w:pPr>
            <w:r w:rsidRPr="00135149">
              <w:rPr>
                <w:b/>
                <w:kern w:val="2"/>
                <w:szCs w:val="17"/>
                <w:lang w:val="en-US"/>
              </w:rPr>
              <w:t>Risk-based regulatory capital ratios (as a percentage of RWA)</w:t>
            </w:r>
          </w:p>
        </w:tc>
      </w:tr>
      <w:tr w:rsidR="00DC2A69" w:rsidRPr="00892D0C" w14:paraId="3B516D85" w14:textId="77777777" w:rsidTr="00717E00">
        <w:tc>
          <w:tcPr>
            <w:tcW w:w="851" w:type="dxa"/>
            <w:tcBorders>
              <w:left w:val="nil"/>
            </w:tcBorders>
            <w:shd w:val="clear" w:color="auto" w:fill="auto"/>
          </w:tcPr>
          <w:p w14:paraId="7E970031" w14:textId="77777777" w:rsidR="00DC2A69" w:rsidRPr="00135149" w:rsidRDefault="00DC2A69" w:rsidP="00717E00">
            <w:pPr>
              <w:pStyle w:val="TableText"/>
              <w:snapToGrid w:val="0"/>
              <w:rPr>
                <w:kern w:val="2"/>
                <w:szCs w:val="17"/>
                <w:lang w:val="en-US"/>
              </w:rPr>
            </w:pPr>
            <w:r w:rsidRPr="00135149">
              <w:rPr>
                <w:rFonts w:cs="Segoe UI"/>
                <w:szCs w:val="17"/>
              </w:rPr>
              <w:t>5 &amp; 5a</w:t>
            </w:r>
          </w:p>
        </w:tc>
        <w:tc>
          <w:tcPr>
            <w:tcW w:w="4218" w:type="dxa"/>
            <w:shd w:val="clear" w:color="auto" w:fill="auto"/>
          </w:tcPr>
          <w:p w14:paraId="01EF5C6E"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CET1 ratio (%)</w:t>
            </w:r>
          </w:p>
        </w:tc>
        <w:tc>
          <w:tcPr>
            <w:tcW w:w="851" w:type="dxa"/>
            <w:shd w:val="clear" w:color="auto" w:fill="auto"/>
          </w:tcPr>
          <w:p w14:paraId="56B9888E"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26B889F4"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1091225F"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2AE049FD"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79834094" w14:textId="77777777" w:rsidR="00DC2A69" w:rsidRPr="00877DFD" w:rsidRDefault="00DC2A69" w:rsidP="00717E00">
            <w:pPr>
              <w:pStyle w:val="TableText"/>
              <w:snapToGrid w:val="0"/>
              <w:ind w:left="39"/>
              <w:rPr>
                <w:kern w:val="2"/>
                <w:szCs w:val="17"/>
                <w:lang w:val="en-US"/>
              </w:rPr>
            </w:pPr>
          </w:p>
        </w:tc>
      </w:tr>
      <w:tr w:rsidR="00DC2A69" w:rsidRPr="00892D0C" w14:paraId="6D247787" w14:textId="77777777" w:rsidTr="00717E00">
        <w:tc>
          <w:tcPr>
            <w:tcW w:w="851" w:type="dxa"/>
            <w:tcBorders>
              <w:left w:val="nil"/>
            </w:tcBorders>
            <w:shd w:val="clear" w:color="auto" w:fill="auto"/>
          </w:tcPr>
          <w:p w14:paraId="3DE3559E" w14:textId="77777777" w:rsidR="00DC2A69" w:rsidRPr="00135149" w:rsidRDefault="00DC2A69" w:rsidP="00717E00">
            <w:pPr>
              <w:pStyle w:val="TableText"/>
              <w:snapToGrid w:val="0"/>
              <w:rPr>
                <w:rFonts w:cs="Segoe UI"/>
                <w:szCs w:val="17"/>
              </w:rPr>
            </w:pPr>
            <w:r w:rsidRPr="00135149">
              <w:rPr>
                <w:rFonts w:cs="Segoe UI"/>
                <w:szCs w:val="17"/>
              </w:rPr>
              <w:t>5b</w:t>
            </w:r>
          </w:p>
        </w:tc>
        <w:tc>
          <w:tcPr>
            <w:tcW w:w="4218" w:type="dxa"/>
            <w:shd w:val="clear" w:color="auto" w:fill="auto"/>
          </w:tcPr>
          <w:p w14:paraId="5558611E"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CET1 ratio (%)</w:t>
            </w:r>
            <w:r w:rsidRPr="00135149">
              <w:rPr>
                <w:rFonts w:cs="Segoe UI"/>
                <w:kern w:val="2"/>
                <w:szCs w:val="17"/>
                <w:lang w:val="en-US" w:eastAsia="en-GB"/>
              </w:rPr>
              <w:t xml:space="preserve"> (pre-floor ratio)</w:t>
            </w:r>
          </w:p>
        </w:tc>
        <w:tc>
          <w:tcPr>
            <w:tcW w:w="851" w:type="dxa"/>
            <w:shd w:val="clear" w:color="auto" w:fill="auto"/>
          </w:tcPr>
          <w:p w14:paraId="3A92AA1E"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27952228"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1F4C2988"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47E20772"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45446D5E" w14:textId="77777777" w:rsidR="00DC2A69" w:rsidRPr="00877DFD" w:rsidRDefault="00DC2A69" w:rsidP="00717E00">
            <w:pPr>
              <w:pStyle w:val="TableText"/>
              <w:snapToGrid w:val="0"/>
              <w:ind w:left="39"/>
              <w:rPr>
                <w:kern w:val="2"/>
                <w:szCs w:val="17"/>
                <w:lang w:val="en-US"/>
              </w:rPr>
            </w:pPr>
          </w:p>
        </w:tc>
      </w:tr>
      <w:tr w:rsidR="00DC2A69" w:rsidRPr="00892D0C" w14:paraId="7716FCCB" w14:textId="77777777" w:rsidTr="00717E00">
        <w:tc>
          <w:tcPr>
            <w:tcW w:w="851" w:type="dxa"/>
            <w:tcBorders>
              <w:left w:val="nil"/>
            </w:tcBorders>
            <w:shd w:val="clear" w:color="auto" w:fill="auto"/>
          </w:tcPr>
          <w:p w14:paraId="2B0A61B7" w14:textId="77777777" w:rsidR="00DC2A69" w:rsidRPr="00135149" w:rsidRDefault="00DC2A69" w:rsidP="00717E00">
            <w:pPr>
              <w:pStyle w:val="TableText"/>
              <w:snapToGrid w:val="0"/>
              <w:rPr>
                <w:kern w:val="2"/>
                <w:szCs w:val="17"/>
                <w:lang w:val="en-US"/>
              </w:rPr>
            </w:pPr>
            <w:r w:rsidRPr="00135149">
              <w:rPr>
                <w:rFonts w:cs="Segoe UI"/>
                <w:szCs w:val="17"/>
              </w:rPr>
              <w:t>6 &amp; 6a</w:t>
            </w:r>
          </w:p>
        </w:tc>
        <w:tc>
          <w:tcPr>
            <w:tcW w:w="4218" w:type="dxa"/>
            <w:shd w:val="clear" w:color="auto" w:fill="auto"/>
          </w:tcPr>
          <w:p w14:paraId="48538412"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Tier 1 ratio (%)</w:t>
            </w:r>
          </w:p>
        </w:tc>
        <w:tc>
          <w:tcPr>
            <w:tcW w:w="851" w:type="dxa"/>
            <w:shd w:val="clear" w:color="auto" w:fill="auto"/>
          </w:tcPr>
          <w:p w14:paraId="46FE712B"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2A48552A"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33F7FE3B"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4BE0EC55"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0ED75CFD" w14:textId="77777777" w:rsidR="00DC2A69" w:rsidRPr="00877DFD" w:rsidRDefault="00DC2A69" w:rsidP="00717E00">
            <w:pPr>
              <w:pStyle w:val="TableText"/>
              <w:snapToGrid w:val="0"/>
              <w:ind w:left="39"/>
              <w:rPr>
                <w:kern w:val="2"/>
                <w:szCs w:val="17"/>
                <w:lang w:val="en-US"/>
              </w:rPr>
            </w:pPr>
          </w:p>
        </w:tc>
      </w:tr>
      <w:tr w:rsidR="00DC2A69" w:rsidRPr="00892D0C" w14:paraId="7D10E5F5" w14:textId="77777777" w:rsidTr="00717E00">
        <w:tc>
          <w:tcPr>
            <w:tcW w:w="851" w:type="dxa"/>
            <w:tcBorders>
              <w:left w:val="nil"/>
            </w:tcBorders>
            <w:shd w:val="clear" w:color="auto" w:fill="auto"/>
          </w:tcPr>
          <w:p w14:paraId="47ED025D" w14:textId="77777777" w:rsidR="00DC2A69" w:rsidRPr="00135149" w:rsidRDefault="00DC2A69" w:rsidP="00717E00">
            <w:pPr>
              <w:pStyle w:val="TableText"/>
              <w:snapToGrid w:val="0"/>
              <w:rPr>
                <w:rFonts w:cs="Segoe UI"/>
                <w:szCs w:val="17"/>
              </w:rPr>
            </w:pPr>
            <w:r w:rsidRPr="00135149">
              <w:rPr>
                <w:rFonts w:cs="Segoe UI"/>
                <w:kern w:val="2"/>
                <w:szCs w:val="17"/>
                <w:lang w:val="en-US"/>
              </w:rPr>
              <w:t>6b</w:t>
            </w:r>
          </w:p>
        </w:tc>
        <w:tc>
          <w:tcPr>
            <w:tcW w:w="4218" w:type="dxa"/>
            <w:shd w:val="clear" w:color="auto" w:fill="auto"/>
          </w:tcPr>
          <w:p w14:paraId="6A80851F"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Tier 1 ratio (%)</w:t>
            </w:r>
            <w:r w:rsidRPr="00135149">
              <w:rPr>
                <w:rFonts w:cs="Segoe UI"/>
                <w:kern w:val="2"/>
                <w:szCs w:val="17"/>
                <w:lang w:val="en-US" w:eastAsia="en-GB"/>
              </w:rPr>
              <w:t xml:space="preserve"> (pre-floor ratio)</w:t>
            </w:r>
          </w:p>
        </w:tc>
        <w:tc>
          <w:tcPr>
            <w:tcW w:w="851" w:type="dxa"/>
            <w:shd w:val="clear" w:color="auto" w:fill="auto"/>
          </w:tcPr>
          <w:p w14:paraId="5F7FE035"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47C94B50"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105B11C9"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10C5F7B5"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15BC8A43" w14:textId="77777777" w:rsidR="00DC2A69" w:rsidRPr="00877DFD" w:rsidRDefault="00DC2A69" w:rsidP="00717E00">
            <w:pPr>
              <w:pStyle w:val="TableText"/>
              <w:snapToGrid w:val="0"/>
              <w:ind w:left="39"/>
              <w:rPr>
                <w:kern w:val="2"/>
                <w:szCs w:val="17"/>
                <w:lang w:val="en-US"/>
              </w:rPr>
            </w:pPr>
          </w:p>
        </w:tc>
      </w:tr>
      <w:tr w:rsidR="00DC2A69" w:rsidRPr="00892D0C" w14:paraId="3EED5A29" w14:textId="77777777" w:rsidTr="00717E00">
        <w:tc>
          <w:tcPr>
            <w:tcW w:w="851" w:type="dxa"/>
            <w:tcBorders>
              <w:left w:val="nil"/>
            </w:tcBorders>
            <w:shd w:val="clear" w:color="auto" w:fill="auto"/>
          </w:tcPr>
          <w:p w14:paraId="0C52DBFF" w14:textId="77777777" w:rsidR="00DC2A69" w:rsidRPr="00135149" w:rsidRDefault="00DC2A69" w:rsidP="00717E00">
            <w:pPr>
              <w:pStyle w:val="TableText"/>
              <w:snapToGrid w:val="0"/>
              <w:rPr>
                <w:kern w:val="2"/>
                <w:szCs w:val="17"/>
                <w:lang w:val="en-US"/>
              </w:rPr>
            </w:pPr>
            <w:r w:rsidRPr="00135149">
              <w:rPr>
                <w:rFonts w:cs="Segoe UI"/>
                <w:szCs w:val="17"/>
              </w:rPr>
              <w:t>7 &amp; 7a</w:t>
            </w:r>
          </w:p>
        </w:tc>
        <w:tc>
          <w:tcPr>
            <w:tcW w:w="4218" w:type="dxa"/>
            <w:shd w:val="clear" w:color="auto" w:fill="auto"/>
          </w:tcPr>
          <w:p w14:paraId="61CE8001"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Total capital ratio (%)</w:t>
            </w:r>
          </w:p>
        </w:tc>
        <w:tc>
          <w:tcPr>
            <w:tcW w:w="851" w:type="dxa"/>
            <w:shd w:val="clear" w:color="auto" w:fill="auto"/>
          </w:tcPr>
          <w:p w14:paraId="4A11934F"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1F4D1B96"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6C2813D2"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588D4052"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3DE96C52" w14:textId="77777777" w:rsidR="00DC2A69" w:rsidRPr="00877DFD" w:rsidRDefault="00DC2A69" w:rsidP="00717E00">
            <w:pPr>
              <w:pStyle w:val="TableText"/>
              <w:snapToGrid w:val="0"/>
              <w:ind w:left="39"/>
              <w:rPr>
                <w:kern w:val="2"/>
                <w:szCs w:val="17"/>
                <w:lang w:val="en-US"/>
              </w:rPr>
            </w:pPr>
          </w:p>
        </w:tc>
      </w:tr>
      <w:tr w:rsidR="00DC2A69" w:rsidRPr="00892D0C" w14:paraId="0A5E43BD" w14:textId="77777777" w:rsidTr="00717E00">
        <w:tc>
          <w:tcPr>
            <w:tcW w:w="851" w:type="dxa"/>
            <w:tcBorders>
              <w:left w:val="nil"/>
            </w:tcBorders>
            <w:shd w:val="clear" w:color="auto" w:fill="auto"/>
          </w:tcPr>
          <w:p w14:paraId="32A89E9A" w14:textId="77777777" w:rsidR="00DC2A69" w:rsidRPr="00135149" w:rsidRDefault="00DC2A69" w:rsidP="00717E00">
            <w:pPr>
              <w:pStyle w:val="TableText"/>
              <w:snapToGrid w:val="0"/>
              <w:rPr>
                <w:rFonts w:cs="Segoe UI"/>
                <w:szCs w:val="17"/>
              </w:rPr>
            </w:pPr>
            <w:r w:rsidRPr="00135149">
              <w:rPr>
                <w:rFonts w:cs="Segoe UI"/>
                <w:kern w:val="2"/>
                <w:szCs w:val="17"/>
                <w:lang w:val="en-US"/>
              </w:rPr>
              <w:lastRenderedPageBreak/>
              <w:t>7b</w:t>
            </w:r>
          </w:p>
        </w:tc>
        <w:tc>
          <w:tcPr>
            <w:tcW w:w="4218" w:type="dxa"/>
            <w:shd w:val="clear" w:color="auto" w:fill="auto"/>
          </w:tcPr>
          <w:p w14:paraId="09D94D45"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Total capital ratio (%)</w:t>
            </w:r>
            <w:r w:rsidRPr="00135149">
              <w:rPr>
                <w:rFonts w:cs="Segoe UI"/>
                <w:kern w:val="2"/>
                <w:szCs w:val="17"/>
                <w:lang w:val="en-US" w:eastAsia="en-GB"/>
              </w:rPr>
              <w:t xml:space="preserve"> (pre-floor ratio)</w:t>
            </w:r>
          </w:p>
        </w:tc>
        <w:tc>
          <w:tcPr>
            <w:tcW w:w="851" w:type="dxa"/>
            <w:shd w:val="clear" w:color="auto" w:fill="auto"/>
          </w:tcPr>
          <w:p w14:paraId="707602F1"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7A5BBE33"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2C9CA509"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10742383"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528318E1" w14:textId="77777777" w:rsidR="00DC2A69" w:rsidRPr="00877DFD" w:rsidRDefault="00DC2A69" w:rsidP="00717E00">
            <w:pPr>
              <w:pStyle w:val="TableText"/>
              <w:snapToGrid w:val="0"/>
              <w:ind w:left="39"/>
              <w:rPr>
                <w:kern w:val="2"/>
                <w:szCs w:val="17"/>
                <w:lang w:val="en-US"/>
              </w:rPr>
            </w:pPr>
          </w:p>
        </w:tc>
      </w:tr>
      <w:tr w:rsidR="00DC2A69" w:rsidRPr="00892D0C" w14:paraId="473BDBAD" w14:textId="77777777" w:rsidTr="00717E00">
        <w:tc>
          <w:tcPr>
            <w:tcW w:w="851" w:type="dxa"/>
            <w:tcBorders>
              <w:left w:val="nil"/>
            </w:tcBorders>
            <w:shd w:val="clear" w:color="auto" w:fill="BFBFBF"/>
          </w:tcPr>
          <w:p w14:paraId="5D594E86" w14:textId="77777777" w:rsidR="00DC2A69" w:rsidRPr="00135149" w:rsidRDefault="00DC2A69" w:rsidP="00717E00">
            <w:pPr>
              <w:pStyle w:val="TableText"/>
              <w:snapToGrid w:val="0"/>
              <w:ind w:rightChars="71" w:right="142"/>
              <w:rPr>
                <w:kern w:val="2"/>
                <w:szCs w:val="17"/>
                <w:lang w:val="en-US"/>
              </w:rPr>
            </w:pPr>
          </w:p>
        </w:tc>
        <w:tc>
          <w:tcPr>
            <w:tcW w:w="8471" w:type="dxa"/>
            <w:gridSpan w:val="6"/>
            <w:tcBorders>
              <w:right w:val="single" w:sz="4" w:space="0" w:color="auto"/>
            </w:tcBorders>
            <w:shd w:val="clear" w:color="auto" w:fill="BFBFBF"/>
          </w:tcPr>
          <w:p w14:paraId="4626529B" w14:textId="77777777" w:rsidR="00DC2A69" w:rsidRPr="00135149" w:rsidRDefault="00DC2A69" w:rsidP="00717E00">
            <w:pPr>
              <w:pStyle w:val="TableText"/>
              <w:snapToGrid w:val="0"/>
              <w:ind w:left="39" w:rightChars="71" w:right="142"/>
              <w:rPr>
                <w:kern w:val="2"/>
                <w:szCs w:val="17"/>
                <w:lang w:val="en-US"/>
              </w:rPr>
            </w:pPr>
            <w:r w:rsidRPr="00135149">
              <w:rPr>
                <w:b/>
                <w:kern w:val="2"/>
                <w:szCs w:val="17"/>
                <w:lang w:val="en-US"/>
              </w:rPr>
              <w:t>Additional CET1 buffer requirements (as a percentage of RWA)</w:t>
            </w:r>
          </w:p>
        </w:tc>
      </w:tr>
      <w:tr w:rsidR="00DC2A69" w:rsidRPr="00892D0C" w14:paraId="643CF54A" w14:textId="77777777" w:rsidTr="00717E00">
        <w:tc>
          <w:tcPr>
            <w:tcW w:w="851" w:type="dxa"/>
            <w:tcBorders>
              <w:left w:val="nil"/>
            </w:tcBorders>
            <w:shd w:val="clear" w:color="auto" w:fill="auto"/>
          </w:tcPr>
          <w:p w14:paraId="5E674DBE" w14:textId="77777777" w:rsidR="00DC2A69" w:rsidRPr="00135149" w:rsidRDefault="00DC2A69" w:rsidP="00717E00">
            <w:pPr>
              <w:pStyle w:val="TableText"/>
              <w:snapToGrid w:val="0"/>
              <w:rPr>
                <w:kern w:val="2"/>
                <w:szCs w:val="17"/>
                <w:lang w:val="en-US"/>
              </w:rPr>
            </w:pPr>
            <w:r w:rsidRPr="00135149">
              <w:rPr>
                <w:kern w:val="2"/>
                <w:szCs w:val="17"/>
                <w:lang w:val="en-US"/>
              </w:rPr>
              <w:t>8</w:t>
            </w:r>
          </w:p>
        </w:tc>
        <w:tc>
          <w:tcPr>
            <w:tcW w:w="4218" w:type="dxa"/>
            <w:shd w:val="clear" w:color="auto" w:fill="auto"/>
          </w:tcPr>
          <w:p w14:paraId="3C1E6052"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Capital conservation buffer requirement (%)</w:t>
            </w:r>
          </w:p>
        </w:tc>
        <w:tc>
          <w:tcPr>
            <w:tcW w:w="851" w:type="dxa"/>
            <w:shd w:val="clear" w:color="auto" w:fill="auto"/>
          </w:tcPr>
          <w:p w14:paraId="7461EBA6"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6B9A328B"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1591E66D"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194194AE"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03F189B7" w14:textId="77777777" w:rsidR="00DC2A69" w:rsidRPr="00877DFD" w:rsidRDefault="00DC2A69" w:rsidP="00717E00">
            <w:pPr>
              <w:pStyle w:val="TableText"/>
              <w:snapToGrid w:val="0"/>
              <w:ind w:left="39"/>
              <w:rPr>
                <w:kern w:val="2"/>
                <w:szCs w:val="17"/>
                <w:lang w:val="en-US"/>
              </w:rPr>
            </w:pPr>
          </w:p>
        </w:tc>
      </w:tr>
      <w:tr w:rsidR="00DC2A69" w:rsidRPr="00892D0C" w14:paraId="515258C2" w14:textId="77777777" w:rsidTr="00717E00">
        <w:tc>
          <w:tcPr>
            <w:tcW w:w="851" w:type="dxa"/>
            <w:tcBorders>
              <w:left w:val="nil"/>
            </w:tcBorders>
            <w:shd w:val="clear" w:color="auto" w:fill="auto"/>
          </w:tcPr>
          <w:p w14:paraId="119B007C" w14:textId="77777777" w:rsidR="00DC2A69" w:rsidRPr="00135149" w:rsidRDefault="00DC2A69" w:rsidP="00717E00">
            <w:pPr>
              <w:pStyle w:val="TableText"/>
              <w:snapToGrid w:val="0"/>
              <w:rPr>
                <w:kern w:val="2"/>
                <w:szCs w:val="17"/>
                <w:lang w:val="en-US"/>
              </w:rPr>
            </w:pPr>
            <w:r w:rsidRPr="00135149">
              <w:rPr>
                <w:kern w:val="2"/>
                <w:szCs w:val="17"/>
                <w:lang w:val="en-US"/>
              </w:rPr>
              <w:t>9</w:t>
            </w:r>
          </w:p>
        </w:tc>
        <w:tc>
          <w:tcPr>
            <w:tcW w:w="4218" w:type="dxa"/>
            <w:shd w:val="clear" w:color="auto" w:fill="auto"/>
          </w:tcPr>
          <w:p w14:paraId="026E5E68"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Countercyclical capital buffer requirement (%)</w:t>
            </w:r>
          </w:p>
        </w:tc>
        <w:tc>
          <w:tcPr>
            <w:tcW w:w="851" w:type="dxa"/>
            <w:shd w:val="clear" w:color="auto" w:fill="auto"/>
          </w:tcPr>
          <w:p w14:paraId="5F286896"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2C41342A"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5C7AE86D"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72338E23"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3EE0CE2D" w14:textId="77777777" w:rsidR="00DC2A69" w:rsidRPr="00877DFD" w:rsidRDefault="00DC2A69" w:rsidP="00717E00">
            <w:pPr>
              <w:pStyle w:val="TableText"/>
              <w:snapToGrid w:val="0"/>
              <w:ind w:left="39"/>
              <w:rPr>
                <w:kern w:val="2"/>
                <w:szCs w:val="17"/>
                <w:lang w:val="en-US"/>
              </w:rPr>
            </w:pPr>
          </w:p>
        </w:tc>
      </w:tr>
      <w:tr w:rsidR="00DC2A69" w:rsidRPr="00892D0C" w14:paraId="1403852C" w14:textId="77777777" w:rsidTr="00717E00">
        <w:tc>
          <w:tcPr>
            <w:tcW w:w="851" w:type="dxa"/>
            <w:tcBorders>
              <w:left w:val="nil"/>
            </w:tcBorders>
            <w:shd w:val="clear" w:color="auto" w:fill="auto"/>
          </w:tcPr>
          <w:p w14:paraId="5F23DE18" w14:textId="77777777" w:rsidR="00DC2A69" w:rsidRPr="00135149" w:rsidRDefault="00DC2A69" w:rsidP="00717E00">
            <w:pPr>
              <w:pStyle w:val="TableText"/>
              <w:snapToGrid w:val="0"/>
              <w:rPr>
                <w:kern w:val="2"/>
                <w:szCs w:val="17"/>
                <w:lang w:val="en-US"/>
              </w:rPr>
            </w:pPr>
            <w:r w:rsidRPr="00135149">
              <w:rPr>
                <w:kern w:val="2"/>
                <w:szCs w:val="17"/>
                <w:lang w:val="en-US"/>
              </w:rPr>
              <w:t>10</w:t>
            </w:r>
          </w:p>
        </w:tc>
        <w:tc>
          <w:tcPr>
            <w:tcW w:w="4218" w:type="dxa"/>
            <w:shd w:val="clear" w:color="auto" w:fill="auto"/>
          </w:tcPr>
          <w:p w14:paraId="7E0C33D4"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Higher loss absorbency requirements (%) (applicable only to G-SIBs or D-SIBs)</w:t>
            </w:r>
          </w:p>
        </w:tc>
        <w:tc>
          <w:tcPr>
            <w:tcW w:w="851" w:type="dxa"/>
            <w:shd w:val="clear" w:color="auto" w:fill="auto"/>
          </w:tcPr>
          <w:p w14:paraId="352D488C"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2544F881"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61FE37F1"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70B4F289"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68C977BD" w14:textId="77777777" w:rsidR="00DC2A69" w:rsidRPr="00877DFD" w:rsidRDefault="00DC2A69" w:rsidP="00717E00">
            <w:pPr>
              <w:pStyle w:val="TableText"/>
              <w:snapToGrid w:val="0"/>
              <w:ind w:left="39"/>
              <w:rPr>
                <w:kern w:val="2"/>
                <w:szCs w:val="17"/>
                <w:lang w:val="en-US"/>
              </w:rPr>
            </w:pPr>
          </w:p>
        </w:tc>
      </w:tr>
      <w:tr w:rsidR="00DC2A69" w:rsidRPr="00892D0C" w14:paraId="0EB653DE" w14:textId="77777777" w:rsidTr="00717E00">
        <w:tc>
          <w:tcPr>
            <w:tcW w:w="851" w:type="dxa"/>
            <w:tcBorders>
              <w:left w:val="nil"/>
            </w:tcBorders>
            <w:shd w:val="clear" w:color="auto" w:fill="auto"/>
          </w:tcPr>
          <w:p w14:paraId="6618B7F5" w14:textId="77777777" w:rsidR="00DC2A69" w:rsidRPr="00135149" w:rsidRDefault="00DC2A69" w:rsidP="00717E00">
            <w:pPr>
              <w:pStyle w:val="TableText"/>
              <w:snapToGrid w:val="0"/>
              <w:rPr>
                <w:kern w:val="2"/>
                <w:szCs w:val="17"/>
                <w:lang w:val="en-US"/>
              </w:rPr>
            </w:pPr>
            <w:r w:rsidRPr="00135149">
              <w:rPr>
                <w:kern w:val="2"/>
                <w:szCs w:val="17"/>
                <w:lang w:val="en-US"/>
              </w:rPr>
              <w:t>11</w:t>
            </w:r>
          </w:p>
        </w:tc>
        <w:tc>
          <w:tcPr>
            <w:tcW w:w="4218" w:type="dxa"/>
            <w:shd w:val="clear" w:color="auto" w:fill="auto"/>
          </w:tcPr>
          <w:p w14:paraId="5D561D13"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Total AI-specific CET1 buffer requirements (%)</w:t>
            </w:r>
          </w:p>
        </w:tc>
        <w:tc>
          <w:tcPr>
            <w:tcW w:w="851" w:type="dxa"/>
            <w:shd w:val="clear" w:color="auto" w:fill="auto"/>
          </w:tcPr>
          <w:p w14:paraId="4BA65165"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468D7452"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3BB44575"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0DD960EA"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6767A874" w14:textId="77777777" w:rsidR="00DC2A69" w:rsidRPr="00877DFD" w:rsidRDefault="00DC2A69" w:rsidP="00717E00">
            <w:pPr>
              <w:pStyle w:val="TableText"/>
              <w:snapToGrid w:val="0"/>
              <w:ind w:left="39"/>
              <w:rPr>
                <w:kern w:val="2"/>
                <w:szCs w:val="17"/>
                <w:lang w:val="en-US"/>
              </w:rPr>
            </w:pPr>
          </w:p>
        </w:tc>
      </w:tr>
      <w:tr w:rsidR="00DC2A69" w:rsidRPr="00892D0C" w14:paraId="08C56E5B" w14:textId="77777777" w:rsidTr="00717E00">
        <w:tc>
          <w:tcPr>
            <w:tcW w:w="851" w:type="dxa"/>
            <w:tcBorders>
              <w:left w:val="nil"/>
            </w:tcBorders>
            <w:shd w:val="clear" w:color="auto" w:fill="auto"/>
          </w:tcPr>
          <w:p w14:paraId="03BC2A71" w14:textId="77777777" w:rsidR="00DC2A69" w:rsidRPr="00135149" w:rsidRDefault="00DC2A69" w:rsidP="00717E00">
            <w:pPr>
              <w:pStyle w:val="TableText"/>
              <w:snapToGrid w:val="0"/>
              <w:rPr>
                <w:kern w:val="2"/>
                <w:szCs w:val="17"/>
                <w:lang w:val="en-US"/>
              </w:rPr>
            </w:pPr>
            <w:r w:rsidRPr="00135149">
              <w:rPr>
                <w:kern w:val="2"/>
                <w:szCs w:val="17"/>
                <w:lang w:val="en-US"/>
              </w:rPr>
              <w:t>12</w:t>
            </w:r>
          </w:p>
        </w:tc>
        <w:tc>
          <w:tcPr>
            <w:tcW w:w="4218" w:type="dxa"/>
            <w:shd w:val="clear" w:color="auto" w:fill="auto"/>
          </w:tcPr>
          <w:p w14:paraId="64B4ECC4"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CET1 available after meeting the AI’s minimum capital requirements (%)</w:t>
            </w:r>
          </w:p>
        </w:tc>
        <w:tc>
          <w:tcPr>
            <w:tcW w:w="851" w:type="dxa"/>
            <w:shd w:val="clear" w:color="auto" w:fill="auto"/>
          </w:tcPr>
          <w:p w14:paraId="0BEC127E"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7A8E25D7"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3A4EA08B"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7571BCA6"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275F2970" w14:textId="77777777" w:rsidR="00DC2A69" w:rsidRPr="00877DFD" w:rsidRDefault="00DC2A69" w:rsidP="00717E00">
            <w:pPr>
              <w:pStyle w:val="TableText"/>
              <w:snapToGrid w:val="0"/>
              <w:ind w:left="39"/>
              <w:rPr>
                <w:kern w:val="2"/>
                <w:szCs w:val="17"/>
                <w:lang w:val="en-US"/>
              </w:rPr>
            </w:pPr>
          </w:p>
        </w:tc>
      </w:tr>
      <w:tr w:rsidR="00DC2A69" w:rsidRPr="00892D0C" w14:paraId="0806151C" w14:textId="77777777" w:rsidTr="00717E00">
        <w:tc>
          <w:tcPr>
            <w:tcW w:w="851" w:type="dxa"/>
            <w:tcBorders>
              <w:left w:val="nil"/>
            </w:tcBorders>
            <w:shd w:val="clear" w:color="auto" w:fill="BFBFBF"/>
          </w:tcPr>
          <w:p w14:paraId="1927432C" w14:textId="77777777" w:rsidR="00DC2A69" w:rsidRPr="00135149" w:rsidRDefault="00DC2A69" w:rsidP="00717E00">
            <w:pPr>
              <w:pStyle w:val="TableText"/>
              <w:snapToGrid w:val="0"/>
              <w:ind w:rightChars="71" w:right="142"/>
              <w:rPr>
                <w:kern w:val="2"/>
                <w:szCs w:val="17"/>
                <w:lang w:val="en-US"/>
              </w:rPr>
            </w:pPr>
          </w:p>
        </w:tc>
        <w:tc>
          <w:tcPr>
            <w:tcW w:w="8471" w:type="dxa"/>
            <w:gridSpan w:val="6"/>
            <w:tcBorders>
              <w:right w:val="single" w:sz="4" w:space="0" w:color="auto"/>
            </w:tcBorders>
            <w:shd w:val="clear" w:color="auto" w:fill="BFBFBF"/>
          </w:tcPr>
          <w:p w14:paraId="1248A59C" w14:textId="77777777" w:rsidR="00DC2A69" w:rsidRPr="00135149" w:rsidRDefault="00DC2A69" w:rsidP="00717E00">
            <w:pPr>
              <w:pStyle w:val="TableText"/>
              <w:snapToGrid w:val="0"/>
              <w:ind w:left="39" w:rightChars="71" w:right="142"/>
              <w:rPr>
                <w:kern w:val="2"/>
                <w:szCs w:val="17"/>
                <w:lang w:val="en-US"/>
              </w:rPr>
            </w:pPr>
            <w:r w:rsidRPr="00135149">
              <w:rPr>
                <w:b/>
                <w:kern w:val="2"/>
                <w:szCs w:val="17"/>
                <w:lang w:val="en-US"/>
              </w:rPr>
              <w:t>Basel III leverage ratio</w:t>
            </w:r>
          </w:p>
        </w:tc>
      </w:tr>
      <w:tr w:rsidR="00DC2A69" w:rsidRPr="00892D0C" w14:paraId="4F182A38" w14:textId="77777777" w:rsidTr="00717E00">
        <w:tc>
          <w:tcPr>
            <w:tcW w:w="851" w:type="dxa"/>
            <w:tcBorders>
              <w:left w:val="nil"/>
            </w:tcBorders>
            <w:shd w:val="clear" w:color="auto" w:fill="auto"/>
          </w:tcPr>
          <w:p w14:paraId="6C6498ED" w14:textId="77777777" w:rsidR="00DC2A69" w:rsidRPr="00135149" w:rsidRDefault="00DC2A69" w:rsidP="00717E00">
            <w:pPr>
              <w:pStyle w:val="TableText"/>
              <w:snapToGrid w:val="0"/>
              <w:rPr>
                <w:kern w:val="2"/>
                <w:szCs w:val="17"/>
                <w:lang w:val="en-US"/>
              </w:rPr>
            </w:pPr>
            <w:r w:rsidRPr="00135149">
              <w:rPr>
                <w:kern w:val="2"/>
                <w:szCs w:val="17"/>
                <w:lang w:val="en-US"/>
              </w:rPr>
              <w:t>13</w:t>
            </w:r>
          </w:p>
        </w:tc>
        <w:tc>
          <w:tcPr>
            <w:tcW w:w="4218" w:type="dxa"/>
            <w:shd w:val="clear" w:color="auto" w:fill="auto"/>
          </w:tcPr>
          <w:p w14:paraId="6A4BC06B"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Total leverage ratio (LR) exposure measure</w:t>
            </w:r>
          </w:p>
        </w:tc>
        <w:tc>
          <w:tcPr>
            <w:tcW w:w="851" w:type="dxa"/>
            <w:shd w:val="clear" w:color="auto" w:fill="auto"/>
          </w:tcPr>
          <w:p w14:paraId="7721C0AE"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64E9BE0F"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762D202F"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3C38AA01"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64DEB6D0" w14:textId="77777777" w:rsidR="00DC2A69" w:rsidRPr="00877DFD" w:rsidRDefault="00DC2A69" w:rsidP="00717E00">
            <w:pPr>
              <w:pStyle w:val="TableText"/>
              <w:snapToGrid w:val="0"/>
              <w:ind w:left="39"/>
              <w:rPr>
                <w:kern w:val="2"/>
                <w:szCs w:val="17"/>
                <w:lang w:val="en-US"/>
              </w:rPr>
            </w:pPr>
          </w:p>
        </w:tc>
      </w:tr>
      <w:tr w:rsidR="00DC2A69" w:rsidRPr="00892D0C" w14:paraId="01854037" w14:textId="77777777" w:rsidTr="00717E00">
        <w:tc>
          <w:tcPr>
            <w:tcW w:w="851" w:type="dxa"/>
            <w:tcBorders>
              <w:left w:val="nil"/>
            </w:tcBorders>
            <w:shd w:val="clear" w:color="auto" w:fill="auto"/>
          </w:tcPr>
          <w:p w14:paraId="6D188C52" w14:textId="77777777" w:rsidR="00DC2A69" w:rsidRPr="00135149" w:rsidRDefault="00DC2A69" w:rsidP="00717E00">
            <w:pPr>
              <w:pStyle w:val="TableText"/>
              <w:snapToGrid w:val="0"/>
              <w:rPr>
                <w:kern w:val="2"/>
                <w:szCs w:val="17"/>
                <w:lang w:val="en-US"/>
              </w:rPr>
            </w:pPr>
            <w:r w:rsidRPr="00135149">
              <w:rPr>
                <w:rFonts w:cs="Segoe UI"/>
                <w:kern w:val="2"/>
                <w:szCs w:val="17"/>
                <w:lang w:val="en-US"/>
              </w:rPr>
              <w:t>13a</w:t>
            </w:r>
          </w:p>
        </w:tc>
        <w:tc>
          <w:tcPr>
            <w:tcW w:w="4218" w:type="dxa"/>
            <w:shd w:val="clear" w:color="auto" w:fill="auto"/>
          </w:tcPr>
          <w:p w14:paraId="61CC07CB" w14:textId="1E2B6574" w:rsidR="00DC2A69" w:rsidRPr="00F32B53" w:rsidRDefault="00DC2A69" w:rsidP="00717E00">
            <w:pPr>
              <w:pStyle w:val="TableText"/>
              <w:snapToGrid w:val="0"/>
              <w:ind w:left="39" w:rightChars="71" w:right="142"/>
              <w:rPr>
                <w:kern w:val="2"/>
                <w:szCs w:val="17"/>
                <w:lang w:val="en-US"/>
              </w:rPr>
            </w:pPr>
            <w:r w:rsidRPr="00F32B53">
              <w:rPr>
                <w:rFonts w:cs="Segoe UI"/>
                <w:kern w:val="2"/>
                <w:szCs w:val="17"/>
                <w:lang w:val="en-US"/>
              </w:rPr>
              <w:t xml:space="preserve">LR exposure measure </w:t>
            </w:r>
            <w:r w:rsidRPr="00F32B53">
              <w:rPr>
                <w:kern w:val="2"/>
                <w:szCs w:val="17"/>
                <w:lang w:val="en-US"/>
              </w:rPr>
              <w:t xml:space="preserve">based on mean values </w:t>
            </w:r>
            <w:r w:rsidRPr="00F32B53">
              <w:rPr>
                <w:rFonts w:cs="Segoe UI"/>
                <w:iCs/>
                <w:color w:val="000000"/>
                <w:kern w:val="2"/>
                <w:szCs w:val="17"/>
                <w:lang w:val="en-US"/>
              </w:rPr>
              <w:t>of gross assets of SFTs</w:t>
            </w:r>
          </w:p>
        </w:tc>
        <w:tc>
          <w:tcPr>
            <w:tcW w:w="851" w:type="dxa"/>
            <w:shd w:val="clear" w:color="auto" w:fill="auto"/>
          </w:tcPr>
          <w:p w14:paraId="6B53E710"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0CD4355F" w14:textId="77777777" w:rsidR="00DC2A69" w:rsidRPr="00135149" w:rsidRDefault="00DC2A69" w:rsidP="00717E00">
            <w:pPr>
              <w:pStyle w:val="TableText"/>
              <w:snapToGrid w:val="0"/>
              <w:ind w:left="39"/>
              <w:rPr>
                <w:kern w:val="2"/>
                <w:szCs w:val="17"/>
                <w:lang w:val="en-US"/>
              </w:rPr>
            </w:pPr>
          </w:p>
        </w:tc>
        <w:tc>
          <w:tcPr>
            <w:tcW w:w="851" w:type="dxa"/>
            <w:shd w:val="clear" w:color="auto" w:fill="auto"/>
          </w:tcPr>
          <w:p w14:paraId="441027FF" w14:textId="77777777" w:rsidR="00DC2A69" w:rsidRPr="004A17EB" w:rsidRDefault="00DC2A69" w:rsidP="00717E00">
            <w:pPr>
              <w:pStyle w:val="TableText"/>
              <w:snapToGrid w:val="0"/>
              <w:ind w:left="39"/>
              <w:rPr>
                <w:kern w:val="2"/>
                <w:szCs w:val="17"/>
                <w:lang w:val="en-US"/>
              </w:rPr>
            </w:pPr>
          </w:p>
        </w:tc>
        <w:tc>
          <w:tcPr>
            <w:tcW w:w="850" w:type="dxa"/>
            <w:shd w:val="clear" w:color="auto" w:fill="auto"/>
          </w:tcPr>
          <w:p w14:paraId="3ADB3B1A" w14:textId="77777777" w:rsidR="00DC2A69" w:rsidRPr="00D5274A"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077729A4" w14:textId="77777777" w:rsidR="00DC2A69" w:rsidRPr="00BE5B07" w:rsidRDefault="00DC2A69" w:rsidP="00717E00">
            <w:pPr>
              <w:pStyle w:val="TableText"/>
              <w:snapToGrid w:val="0"/>
              <w:ind w:left="39"/>
              <w:rPr>
                <w:kern w:val="2"/>
                <w:szCs w:val="17"/>
                <w:lang w:val="en-US"/>
              </w:rPr>
            </w:pPr>
          </w:p>
        </w:tc>
      </w:tr>
      <w:tr w:rsidR="00DC2A69" w:rsidRPr="00892D0C" w14:paraId="69F7006F" w14:textId="77777777" w:rsidTr="00717E00">
        <w:tc>
          <w:tcPr>
            <w:tcW w:w="851" w:type="dxa"/>
            <w:tcBorders>
              <w:left w:val="nil"/>
            </w:tcBorders>
            <w:shd w:val="clear" w:color="auto" w:fill="auto"/>
          </w:tcPr>
          <w:p w14:paraId="6FFD23F7" w14:textId="77777777" w:rsidR="00DC2A69" w:rsidRPr="00135149" w:rsidRDefault="00DC2A69" w:rsidP="00717E00">
            <w:pPr>
              <w:pStyle w:val="TableText"/>
              <w:snapToGrid w:val="0"/>
              <w:rPr>
                <w:kern w:val="2"/>
                <w:szCs w:val="17"/>
                <w:lang w:val="en-US"/>
              </w:rPr>
            </w:pPr>
            <w:r w:rsidRPr="00135149">
              <w:rPr>
                <w:kern w:val="2"/>
                <w:szCs w:val="17"/>
                <w:lang w:val="en-US"/>
              </w:rPr>
              <w:t>14, 14a &amp; 14b</w:t>
            </w:r>
          </w:p>
        </w:tc>
        <w:tc>
          <w:tcPr>
            <w:tcW w:w="4218" w:type="dxa"/>
            <w:shd w:val="clear" w:color="auto" w:fill="auto"/>
          </w:tcPr>
          <w:p w14:paraId="5D59BE74"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LR (%)</w:t>
            </w:r>
          </w:p>
        </w:tc>
        <w:tc>
          <w:tcPr>
            <w:tcW w:w="851" w:type="dxa"/>
            <w:shd w:val="clear" w:color="auto" w:fill="auto"/>
          </w:tcPr>
          <w:p w14:paraId="56EC59F5" w14:textId="77777777" w:rsidR="00DC2A69" w:rsidRPr="004A17EB" w:rsidRDefault="00DC2A69" w:rsidP="00717E00">
            <w:pPr>
              <w:pStyle w:val="TableText"/>
              <w:snapToGrid w:val="0"/>
              <w:ind w:left="39"/>
              <w:rPr>
                <w:kern w:val="2"/>
                <w:szCs w:val="17"/>
                <w:lang w:val="en-US"/>
              </w:rPr>
            </w:pPr>
          </w:p>
        </w:tc>
        <w:tc>
          <w:tcPr>
            <w:tcW w:w="850" w:type="dxa"/>
            <w:shd w:val="clear" w:color="auto" w:fill="auto"/>
          </w:tcPr>
          <w:p w14:paraId="4443E279" w14:textId="77777777" w:rsidR="00DC2A69" w:rsidRPr="00D5274A" w:rsidRDefault="00DC2A69" w:rsidP="00717E00">
            <w:pPr>
              <w:pStyle w:val="TableText"/>
              <w:snapToGrid w:val="0"/>
              <w:ind w:left="39"/>
              <w:rPr>
                <w:kern w:val="2"/>
                <w:szCs w:val="17"/>
                <w:lang w:val="en-US"/>
              </w:rPr>
            </w:pPr>
          </w:p>
        </w:tc>
        <w:tc>
          <w:tcPr>
            <w:tcW w:w="851" w:type="dxa"/>
            <w:shd w:val="clear" w:color="auto" w:fill="auto"/>
          </w:tcPr>
          <w:p w14:paraId="7B5406F5" w14:textId="77777777" w:rsidR="00DC2A69" w:rsidRPr="00BE5B07" w:rsidRDefault="00DC2A69" w:rsidP="00717E00">
            <w:pPr>
              <w:pStyle w:val="TableText"/>
              <w:snapToGrid w:val="0"/>
              <w:ind w:left="39"/>
              <w:rPr>
                <w:kern w:val="2"/>
                <w:szCs w:val="17"/>
                <w:lang w:val="en-US"/>
              </w:rPr>
            </w:pPr>
          </w:p>
        </w:tc>
        <w:tc>
          <w:tcPr>
            <w:tcW w:w="850" w:type="dxa"/>
            <w:shd w:val="clear" w:color="auto" w:fill="auto"/>
          </w:tcPr>
          <w:p w14:paraId="619BDE63" w14:textId="77777777" w:rsidR="00DC2A69" w:rsidRPr="00877DFD"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33AF5FB2" w14:textId="77777777" w:rsidR="00DC2A69" w:rsidRPr="0032142E" w:rsidRDefault="00DC2A69" w:rsidP="00717E00">
            <w:pPr>
              <w:pStyle w:val="TableText"/>
              <w:snapToGrid w:val="0"/>
              <w:ind w:left="39"/>
              <w:rPr>
                <w:kern w:val="2"/>
                <w:szCs w:val="17"/>
                <w:lang w:val="en-US"/>
              </w:rPr>
            </w:pPr>
          </w:p>
        </w:tc>
      </w:tr>
      <w:tr w:rsidR="00DC2A69" w:rsidRPr="00892D0C" w14:paraId="59A362E8" w14:textId="77777777" w:rsidTr="00717E00">
        <w:tc>
          <w:tcPr>
            <w:tcW w:w="851" w:type="dxa"/>
            <w:tcBorders>
              <w:left w:val="nil"/>
            </w:tcBorders>
            <w:shd w:val="clear" w:color="auto" w:fill="auto"/>
          </w:tcPr>
          <w:p w14:paraId="43D89B2F" w14:textId="77777777" w:rsidR="00DC2A69" w:rsidRPr="00135149" w:rsidRDefault="00DC2A69" w:rsidP="00717E00">
            <w:pPr>
              <w:pStyle w:val="TableText"/>
              <w:snapToGrid w:val="0"/>
              <w:rPr>
                <w:kern w:val="2"/>
                <w:szCs w:val="17"/>
                <w:lang w:val="en-US"/>
              </w:rPr>
            </w:pPr>
            <w:r w:rsidRPr="00135149">
              <w:rPr>
                <w:rFonts w:cs="Segoe UI"/>
                <w:kern w:val="2"/>
                <w:szCs w:val="17"/>
                <w:lang w:val="en-US"/>
              </w:rPr>
              <w:t>14c &amp; 14d</w:t>
            </w:r>
          </w:p>
        </w:tc>
        <w:tc>
          <w:tcPr>
            <w:tcW w:w="4218" w:type="dxa"/>
            <w:shd w:val="clear" w:color="auto" w:fill="auto"/>
          </w:tcPr>
          <w:p w14:paraId="67C63363" w14:textId="024BFC22" w:rsidR="00DC2A69" w:rsidRPr="00F32B53" w:rsidRDefault="00DC2A69" w:rsidP="00717E00">
            <w:pPr>
              <w:pStyle w:val="TableText"/>
              <w:snapToGrid w:val="0"/>
              <w:ind w:left="39" w:rightChars="71" w:right="142"/>
              <w:rPr>
                <w:kern w:val="2"/>
                <w:szCs w:val="17"/>
                <w:lang w:val="en-US"/>
              </w:rPr>
            </w:pPr>
            <w:r w:rsidRPr="00F32B53">
              <w:rPr>
                <w:kern w:val="2"/>
                <w:szCs w:val="17"/>
                <w:lang w:val="en-US"/>
              </w:rPr>
              <w:t xml:space="preserve">LR (%) based on mean values </w:t>
            </w:r>
            <w:r w:rsidRPr="00F32B53">
              <w:rPr>
                <w:rFonts w:cs="Segoe UI"/>
                <w:iCs/>
                <w:color w:val="000000"/>
                <w:kern w:val="2"/>
                <w:szCs w:val="17"/>
                <w:lang w:val="en-US"/>
              </w:rPr>
              <w:t>of gross assets of SFTs</w:t>
            </w:r>
          </w:p>
        </w:tc>
        <w:tc>
          <w:tcPr>
            <w:tcW w:w="851" w:type="dxa"/>
            <w:shd w:val="clear" w:color="auto" w:fill="auto"/>
          </w:tcPr>
          <w:p w14:paraId="39AE4A96"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6E702C5D" w14:textId="77777777" w:rsidR="00DC2A69" w:rsidRPr="00135149" w:rsidRDefault="00DC2A69" w:rsidP="00717E00">
            <w:pPr>
              <w:pStyle w:val="TableText"/>
              <w:snapToGrid w:val="0"/>
              <w:ind w:left="39"/>
              <w:rPr>
                <w:kern w:val="2"/>
                <w:szCs w:val="17"/>
                <w:lang w:val="en-US"/>
              </w:rPr>
            </w:pPr>
          </w:p>
        </w:tc>
        <w:tc>
          <w:tcPr>
            <w:tcW w:w="851" w:type="dxa"/>
            <w:shd w:val="clear" w:color="auto" w:fill="auto"/>
          </w:tcPr>
          <w:p w14:paraId="6062DDC0" w14:textId="77777777" w:rsidR="00DC2A69" w:rsidRPr="004A17EB" w:rsidRDefault="00DC2A69" w:rsidP="00717E00">
            <w:pPr>
              <w:pStyle w:val="TableText"/>
              <w:snapToGrid w:val="0"/>
              <w:ind w:left="39"/>
              <w:rPr>
                <w:kern w:val="2"/>
                <w:szCs w:val="17"/>
                <w:lang w:val="en-US"/>
              </w:rPr>
            </w:pPr>
          </w:p>
        </w:tc>
        <w:tc>
          <w:tcPr>
            <w:tcW w:w="850" w:type="dxa"/>
            <w:shd w:val="clear" w:color="auto" w:fill="auto"/>
          </w:tcPr>
          <w:p w14:paraId="4BE1F33A" w14:textId="77777777" w:rsidR="00DC2A69" w:rsidRPr="00D5274A"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363CE82A" w14:textId="77777777" w:rsidR="00DC2A69" w:rsidRPr="00BE5B07" w:rsidRDefault="00DC2A69" w:rsidP="00717E00">
            <w:pPr>
              <w:pStyle w:val="TableText"/>
              <w:snapToGrid w:val="0"/>
              <w:ind w:left="39"/>
              <w:rPr>
                <w:kern w:val="2"/>
                <w:szCs w:val="17"/>
                <w:lang w:val="en-US"/>
              </w:rPr>
            </w:pPr>
          </w:p>
        </w:tc>
      </w:tr>
      <w:tr w:rsidR="00DC2A69" w:rsidRPr="00892D0C" w14:paraId="1AAA4997" w14:textId="77777777" w:rsidTr="00717E00">
        <w:tc>
          <w:tcPr>
            <w:tcW w:w="851" w:type="dxa"/>
            <w:tcBorders>
              <w:left w:val="nil"/>
            </w:tcBorders>
            <w:shd w:val="clear" w:color="auto" w:fill="BFBFBF"/>
          </w:tcPr>
          <w:p w14:paraId="6C163B57" w14:textId="77777777" w:rsidR="00DC2A69" w:rsidRPr="00135149" w:rsidRDefault="00DC2A69" w:rsidP="00717E00">
            <w:pPr>
              <w:pStyle w:val="TableText"/>
              <w:snapToGrid w:val="0"/>
              <w:ind w:rightChars="71" w:right="142"/>
              <w:rPr>
                <w:kern w:val="2"/>
                <w:szCs w:val="17"/>
                <w:lang w:val="en-US"/>
              </w:rPr>
            </w:pPr>
          </w:p>
        </w:tc>
        <w:tc>
          <w:tcPr>
            <w:tcW w:w="8471" w:type="dxa"/>
            <w:gridSpan w:val="6"/>
            <w:tcBorders>
              <w:right w:val="single" w:sz="4" w:space="0" w:color="auto"/>
            </w:tcBorders>
            <w:shd w:val="clear" w:color="auto" w:fill="BFBFBF"/>
          </w:tcPr>
          <w:p w14:paraId="2BEF6960" w14:textId="77777777" w:rsidR="00DC2A69" w:rsidRPr="00135149" w:rsidRDefault="00DC2A69" w:rsidP="00717E00">
            <w:pPr>
              <w:pStyle w:val="TableText"/>
              <w:snapToGrid w:val="0"/>
              <w:ind w:left="39" w:rightChars="71" w:right="142"/>
              <w:rPr>
                <w:b/>
                <w:kern w:val="2"/>
                <w:szCs w:val="17"/>
                <w:lang w:val="en-US"/>
              </w:rPr>
            </w:pPr>
            <w:r w:rsidRPr="00135149">
              <w:rPr>
                <w:b/>
                <w:kern w:val="2"/>
                <w:szCs w:val="17"/>
                <w:lang w:val="en-US"/>
              </w:rPr>
              <w:t>Liquidity Coverage Ratio (LCR) / Liquidity Maintenance Ratio (LMR)</w:t>
            </w:r>
          </w:p>
        </w:tc>
      </w:tr>
      <w:tr w:rsidR="00DC2A69" w:rsidRPr="00892D0C" w14:paraId="75B6E5E3" w14:textId="77777777" w:rsidTr="00717E00">
        <w:tc>
          <w:tcPr>
            <w:tcW w:w="851" w:type="dxa"/>
            <w:tcBorders>
              <w:left w:val="nil"/>
            </w:tcBorders>
            <w:shd w:val="clear" w:color="auto" w:fill="F2F2F2"/>
          </w:tcPr>
          <w:p w14:paraId="11D5E4CC" w14:textId="77777777" w:rsidR="00DC2A69" w:rsidRPr="00135149" w:rsidRDefault="00DC2A69" w:rsidP="00717E00">
            <w:pPr>
              <w:pStyle w:val="TableText"/>
              <w:snapToGrid w:val="0"/>
              <w:rPr>
                <w:kern w:val="2"/>
                <w:szCs w:val="17"/>
                <w:lang w:val="en-US"/>
              </w:rPr>
            </w:pPr>
          </w:p>
        </w:tc>
        <w:tc>
          <w:tcPr>
            <w:tcW w:w="4218" w:type="dxa"/>
            <w:shd w:val="clear" w:color="auto" w:fill="F2F2F2"/>
          </w:tcPr>
          <w:p w14:paraId="55B72FC3"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Applicable to category 1 institution</w:t>
            </w:r>
            <w:r>
              <w:rPr>
                <w:kern w:val="2"/>
                <w:szCs w:val="17"/>
                <w:lang w:val="en-US"/>
              </w:rPr>
              <w:t>s</w:t>
            </w:r>
            <w:r w:rsidRPr="00135149">
              <w:rPr>
                <w:kern w:val="2"/>
                <w:szCs w:val="17"/>
                <w:lang w:val="en-US"/>
              </w:rPr>
              <w:t xml:space="preserve"> only:</w:t>
            </w:r>
            <w:r w:rsidRPr="00135149" w:rsidDel="00D65757">
              <w:rPr>
                <w:kern w:val="2"/>
                <w:szCs w:val="17"/>
                <w:lang w:val="en-US"/>
              </w:rPr>
              <w:t xml:space="preserve"> </w:t>
            </w:r>
          </w:p>
        </w:tc>
        <w:tc>
          <w:tcPr>
            <w:tcW w:w="851" w:type="dxa"/>
            <w:shd w:val="clear" w:color="auto" w:fill="F2F2F2"/>
          </w:tcPr>
          <w:p w14:paraId="6FB03AE2" w14:textId="77777777" w:rsidR="00DC2A69" w:rsidRPr="00135149" w:rsidRDefault="00DC2A69" w:rsidP="00717E00">
            <w:pPr>
              <w:pStyle w:val="TableText"/>
              <w:snapToGrid w:val="0"/>
              <w:ind w:left="39"/>
              <w:rPr>
                <w:kern w:val="2"/>
                <w:szCs w:val="17"/>
                <w:lang w:val="en-US"/>
              </w:rPr>
            </w:pPr>
          </w:p>
        </w:tc>
        <w:tc>
          <w:tcPr>
            <w:tcW w:w="850" w:type="dxa"/>
            <w:shd w:val="clear" w:color="auto" w:fill="F2F2F2"/>
          </w:tcPr>
          <w:p w14:paraId="56CFD148" w14:textId="77777777" w:rsidR="00DC2A69" w:rsidRPr="004A17EB" w:rsidRDefault="00DC2A69" w:rsidP="00717E00">
            <w:pPr>
              <w:pStyle w:val="TableText"/>
              <w:snapToGrid w:val="0"/>
              <w:ind w:left="39"/>
              <w:rPr>
                <w:kern w:val="2"/>
                <w:szCs w:val="17"/>
                <w:lang w:val="en-US"/>
              </w:rPr>
            </w:pPr>
          </w:p>
        </w:tc>
        <w:tc>
          <w:tcPr>
            <w:tcW w:w="851" w:type="dxa"/>
            <w:shd w:val="clear" w:color="auto" w:fill="F2F2F2"/>
          </w:tcPr>
          <w:p w14:paraId="7D9CA79F" w14:textId="77777777" w:rsidR="00DC2A69" w:rsidRPr="00D5274A" w:rsidRDefault="00DC2A69" w:rsidP="00717E00">
            <w:pPr>
              <w:pStyle w:val="TableText"/>
              <w:snapToGrid w:val="0"/>
              <w:ind w:left="39"/>
              <w:rPr>
                <w:kern w:val="2"/>
                <w:szCs w:val="17"/>
                <w:lang w:val="en-US"/>
              </w:rPr>
            </w:pPr>
          </w:p>
        </w:tc>
        <w:tc>
          <w:tcPr>
            <w:tcW w:w="850" w:type="dxa"/>
            <w:shd w:val="clear" w:color="auto" w:fill="F2F2F2"/>
          </w:tcPr>
          <w:p w14:paraId="7DD77140"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F2F2F2"/>
          </w:tcPr>
          <w:p w14:paraId="4D209312" w14:textId="77777777" w:rsidR="00DC2A69" w:rsidRPr="00877DFD" w:rsidRDefault="00DC2A69" w:rsidP="00717E00">
            <w:pPr>
              <w:pStyle w:val="TableText"/>
              <w:snapToGrid w:val="0"/>
              <w:ind w:left="39"/>
              <w:rPr>
                <w:kern w:val="2"/>
                <w:szCs w:val="17"/>
                <w:lang w:val="en-US"/>
              </w:rPr>
            </w:pPr>
          </w:p>
        </w:tc>
      </w:tr>
      <w:tr w:rsidR="00DC2A69" w:rsidRPr="00892D0C" w14:paraId="04049922" w14:textId="77777777" w:rsidTr="00717E00">
        <w:tc>
          <w:tcPr>
            <w:tcW w:w="851" w:type="dxa"/>
            <w:tcBorders>
              <w:left w:val="nil"/>
            </w:tcBorders>
            <w:shd w:val="clear" w:color="auto" w:fill="auto"/>
          </w:tcPr>
          <w:p w14:paraId="049E3931" w14:textId="77777777" w:rsidR="00DC2A69" w:rsidRPr="00135149" w:rsidRDefault="00DC2A69" w:rsidP="00717E00">
            <w:pPr>
              <w:pStyle w:val="TableText"/>
              <w:snapToGrid w:val="0"/>
              <w:rPr>
                <w:kern w:val="2"/>
                <w:szCs w:val="17"/>
                <w:lang w:val="en-US"/>
              </w:rPr>
            </w:pPr>
            <w:r w:rsidRPr="00135149">
              <w:rPr>
                <w:kern w:val="2"/>
                <w:szCs w:val="17"/>
                <w:lang w:val="en-US"/>
              </w:rPr>
              <w:t>15</w:t>
            </w:r>
          </w:p>
        </w:tc>
        <w:tc>
          <w:tcPr>
            <w:tcW w:w="4218" w:type="dxa"/>
            <w:shd w:val="clear" w:color="auto" w:fill="auto"/>
          </w:tcPr>
          <w:p w14:paraId="4504CCDD"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Total high quality liquid assets (HQLA)</w:t>
            </w:r>
          </w:p>
        </w:tc>
        <w:tc>
          <w:tcPr>
            <w:tcW w:w="851" w:type="dxa"/>
            <w:shd w:val="clear" w:color="auto" w:fill="auto"/>
          </w:tcPr>
          <w:p w14:paraId="64341FBC"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3EB26D40"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5E16170D"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107F2FA8"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7A540304" w14:textId="77777777" w:rsidR="00DC2A69" w:rsidRPr="00877DFD" w:rsidRDefault="00DC2A69" w:rsidP="00717E00">
            <w:pPr>
              <w:pStyle w:val="TableText"/>
              <w:snapToGrid w:val="0"/>
              <w:ind w:left="39"/>
              <w:rPr>
                <w:kern w:val="2"/>
                <w:szCs w:val="17"/>
                <w:lang w:val="en-US"/>
              </w:rPr>
            </w:pPr>
          </w:p>
        </w:tc>
      </w:tr>
      <w:tr w:rsidR="00DC2A69" w:rsidRPr="00892D0C" w14:paraId="1C2FCEA3" w14:textId="77777777" w:rsidTr="00717E00">
        <w:tc>
          <w:tcPr>
            <w:tcW w:w="851" w:type="dxa"/>
            <w:tcBorders>
              <w:left w:val="nil"/>
            </w:tcBorders>
            <w:shd w:val="clear" w:color="auto" w:fill="auto"/>
          </w:tcPr>
          <w:p w14:paraId="3F735763" w14:textId="77777777" w:rsidR="00DC2A69" w:rsidRPr="00135149" w:rsidRDefault="00DC2A69" w:rsidP="00717E00">
            <w:pPr>
              <w:pStyle w:val="TableText"/>
              <w:snapToGrid w:val="0"/>
              <w:rPr>
                <w:kern w:val="2"/>
                <w:szCs w:val="17"/>
                <w:lang w:val="en-US"/>
              </w:rPr>
            </w:pPr>
            <w:r w:rsidRPr="00135149">
              <w:rPr>
                <w:kern w:val="2"/>
                <w:szCs w:val="17"/>
                <w:lang w:val="en-US"/>
              </w:rPr>
              <w:t>16</w:t>
            </w:r>
          </w:p>
        </w:tc>
        <w:tc>
          <w:tcPr>
            <w:tcW w:w="4218" w:type="dxa"/>
            <w:shd w:val="clear" w:color="auto" w:fill="auto"/>
          </w:tcPr>
          <w:p w14:paraId="46EC46FC"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Total net cash outflows</w:t>
            </w:r>
          </w:p>
        </w:tc>
        <w:tc>
          <w:tcPr>
            <w:tcW w:w="851" w:type="dxa"/>
            <w:shd w:val="clear" w:color="auto" w:fill="auto"/>
          </w:tcPr>
          <w:p w14:paraId="716BF91A"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56404631"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7AD1A76E"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58111ACD"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233DFD6C" w14:textId="77777777" w:rsidR="00DC2A69" w:rsidRPr="00877DFD" w:rsidRDefault="00DC2A69" w:rsidP="00717E00">
            <w:pPr>
              <w:pStyle w:val="TableText"/>
              <w:snapToGrid w:val="0"/>
              <w:ind w:left="39"/>
              <w:rPr>
                <w:kern w:val="2"/>
                <w:szCs w:val="17"/>
                <w:lang w:val="en-US"/>
              </w:rPr>
            </w:pPr>
          </w:p>
        </w:tc>
      </w:tr>
      <w:tr w:rsidR="00DC2A69" w:rsidRPr="00892D0C" w14:paraId="0E687401" w14:textId="77777777" w:rsidTr="00717E00">
        <w:tc>
          <w:tcPr>
            <w:tcW w:w="851" w:type="dxa"/>
            <w:tcBorders>
              <w:left w:val="nil"/>
            </w:tcBorders>
            <w:shd w:val="clear" w:color="auto" w:fill="auto"/>
          </w:tcPr>
          <w:p w14:paraId="7116F1BE" w14:textId="77777777" w:rsidR="00DC2A69" w:rsidRPr="00135149" w:rsidRDefault="00DC2A69" w:rsidP="00717E00">
            <w:pPr>
              <w:pStyle w:val="TableText"/>
              <w:snapToGrid w:val="0"/>
              <w:rPr>
                <w:kern w:val="2"/>
                <w:szCs w:val="17"/>
                <w:lang w:val="en-US"/>
              </w:rPr>
            </w:pPr>
            <w:r w:rsidRPr="00135149">
              <w:rPr>
                <w:kern w:val="2"/>
                <w:szCs w:val="17"/>
                <w:lang w:val="en-US"/>
              </w:rPr>
              <w:t>17</w:t>
            </w:r>
          </w:p>
        </w:tc>
        <w:tc>
          <w:tcPr>
            <w:tcW w:w="4218" w:type="dxa"/>
            <w:shd w:val="clear" w:color="auto" w:fill="auto"/>
          </w:tcPr>
          <w:p w14:paraId="1844FE83"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LCR (%)</w:t>
            </w:r>
          </w:p>
        </w:tc>
        <w:tc>
          <w:tcPr>
            <w:tcW w:w="851" w:type="dxa"/>
            <w:shd w:val="clear" w:color="auto" w:fill="auto"/>
          </w:tcPr>
          <w:p w14:paraId="29E49E10"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4290A7AD"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427D65D9"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5FB9130B"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5A1C6556" w14:textId="77777777" w:rsidR="00DC2A69" w:rsidRPr="00877DFD" w:rsidRDefault="00DC2A69" w:rsidP="00717E00">
            <w:pPr>
              <w:pStyle w:val="TableText"/>
              <w:snapToGrid w:val="0"/>
              <w:ind w:left="39"/>
              <w:rPr>
                <w:kern w:val="2"/>
                <w:szCs w:val="17"/>
                <w:lang w:val="en-US"/>
              </w:rPr>
            </w:pPr>
          </w:p>
        </w:tc>
      </w:tr>
      <w:tr w:rsidR="00DC2A69" w:rsidRPr="00892D0C" w14:paraId="762A4210" w14:textId="77777777" w:rsidTr="00717E00">
        <w:tc>
          <w:tcPr>
            <w:tcW w:w="851" w:type="dxa"/>
            <w:tcBorders>
              <w:left w:val="nil"/>
            </w:tcBorders>
            <w:shd w:val="clear" w:color="auto" w:fill="F2F2F2"/>
          </w:tcPr>
          <w:p w14:paraId="58370315" w14:textId="77777777" w:rsidR="00DC2A69" w:rsidRPr="00135149" w:rsidRDefault="00DC2A69" w:rsidP="00717E00">
            <w:pPr>
              <w:pStyle w:val="TableText"/>
              <w:snapToGrid w:val="0"/>
              <w:rPr>
                <w:kern w:val="2"/>
                <w:szCs w:val="17"/>
                <w:lang w:val="en-US"/>
              </w:rPr>
            </w:pPr>
          </w:p>
        </w:tc>
        <w:tc>
          <w:tcPr>
            <w:tcW w:w="4218" w:type="dxa"/>
            <w:shd w:val="clear" w:color="auto" w:fill="F2F2F2"/>
          </w:tcPr>
          <w:p w14:paraId="517E29B9"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Applicable to category 2 institution</w:t>
            </w:r>
            <w:r>
              <w:rPr>
                <w:kern w:val="2"/>
                <w:szCs w:val="17"/>
                <w:lang w:val="en-US"/>
              </w:rPr>
              <w:t>s</w:t>
            </w:r>
            <w:r w:rsidRPr="00135149">
              <w:rPr>
                <w:kern w:val="2"/>
                <w:szCs w:val="17"/>
                <w:lang w:val="en-US"/>
              </w:rPr>
              <w:t xml:space="preserve"> only:</w:t>
            </w:r>
          </w:p>
        </w:tc>
        <w:tc>
          <w:tcPr>
            <w:tcW w:w="851" w:type="dxa"/>
            <w:shd w:val="clear" w:color="auto" w:fill="F2F2F2"/>
          </w:tcPr>
          <w:p w14:paraId="70138A07" w14:textId="77777777" w:rsidR="00DC2A69" w:rsidRPr="00135149" w:rsidRDefault="00DC2A69" w:rsidP="00717E00">
            <w:pPr>
              <w:pStyle w:val="TableText"/>
              <w:snapToGrid w:val="0"/>
              <w:ind w:left="39"/>
              <w:rPr>
                <w:kern w:val="2"/>
                <w:szCs w:val="17"/>
                <w:lang w:val="en-US"/>
              </w:rPr>
            </w:pPr>
          </w:p>
        </w:tc>
        <w:tc>
          <w:tcPr>
            <w:tcW w:w="850" w:type="dxa"/>
            <w:shd w:val="clear" w:color="auto" w:fill="F2F2F2"/>
          </w:tcPr>
          <w:p w14:paraId="38A316FE" w14:textId="77777777" w:rsidR="00DC2A69" w:rsidRPr="004A17EB" w:rsidRDefault="00DC2A69" w:rsidP="00717E00">
            <w:pPr>
              <w:pStyle w:val="TableText"/>
              <w:snapToGrid w:val="0"/>
              <w:ind w:left="39"/>
              <w:rPr>
                <w:kern w:val="2"/>
                <w:szCs w:val="17"/>
                <w:lang w:val="en-US"/>
              </w:rPr>
            </w:pPr>
          </w:p>
        </w:tc>
        <w:tc>
          <w:tcPr>
            <w:tcW w:w="851" w:type="dxa"/>
            <w:shd w:val="clear" w:color="auto" w:fill="F2F2F2"/>
          </w:tcPr>
          <w:p w14:paraId="63B5F034" w14:textId="77777777" w:rsidR="00DC2A69" w:rsidRPr="00D5274A" w:rsidRDefault="00DC2A69" w:rsidP="00717E00">
            <w:pPr>
              <w:pStyle w:val="TableText"/>
              <w:snapToGrid w:val="0"/>
              <w:ind w:left="39"/>
              <w:rPr>
                <w:kern w:val="2"/>
                <w:szCs w:val="17"/>
                <w:lang w:val="en-US"/>
              </w:rPr>
            </w:pPr>
          </w:p>
        </w:tc>
        <w:tc>
          <w:tcPr>
            <w:tcW w:w="850" w:type="dxa"/>
            <w:shd w:val="clear" w:color="auto" w:fill="F2F2F2"/>
          </w:tcPr>
          <w:p w14:paraId="55CCE43D"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F2F2F2"/>
          </w:tcPr>
          <w:p w14:paraId="305CE0D6" w14:textId="77777777" w:rsidR="00DC2A69" w:rsidRPr="00877DFD" w:rsidRDefault="00DC2A69" w:rsidP="00717E00">
            <w:pPr>
              <w:pStyle w:val="TableText"/>
              <w:snapToGrid w:val="0"/>
              <w:ind w:left="39"/>
              <w:rPr>
                <w:kern w:val="2"/>
                <w:szCs w:val="17"/>
                <w:lang w:val="en-US"/>
              </w:rPr>
            </w:pPr>
          </w:p>
        </w:tc>
      </w:tr>
      <w:tr w:rsidR="00DC2A69" w:rsidRPr="00892D0C" w14:paraId="0F04477C" w14:textId="77777777" w:rsidTr="00717E00">
        <w:tc>
          <w:tcPr>
            <w:tcW w:w="851" w:type="dxa"/>
            <w:tcBorders>
              <w:left w:val="nil"/>
            </w:tcBorders>
            <w:shd w:val="clear" w:color="auto" w:fill="auto"/>
          </w:tcPr>
          <w:p w14:paraId="4E355539" w14:textId="77777777" w:rsidR="00DC2A69" w:rsidRPr="00135149" w:rsidRDefault="00DC2A69" w:rsidP="00717E00">
            <w:pPr>
              <w:pStyle w:val="TableText"/>
              <w:snapToGrid w:val="0"/>
              <w:rPr>
                <w:kern w:val="2"/>
                <w:szCs w:val="17"/>
                <w:lang w:val="en-US"/>
              </w:rPr>
            </w:pPr>
            <w:r w:rsidRPr="00135149">
              <w:rPr>
                <w:kern w:val="2"/>
                <w:szCs w:val="17"/>
                <w:lang w:val="en-US"/>
              </w:rPr>
              <w:t>17a</w:t>
            </w:r>
          </w:p>
        </w:tc>
        <w:tc>
          <w:tcPr>
            <w:tcW w:w="4218" w:type="dxa"/>
            <w:shd w:val="clear" w:color="auto" w:fill="auto"/>
          </w:tcPr>
          <w:p w14:paraId="6F135DD2"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LMR (%)</w:t>
            </w:r>
          </w:p>
        </w:tc>
        <w:tc>
          <w:tcPr>
            <w:tcW w:w="851" w:type="dxa"/>
            <w:shd w:val="clear" w:color="auto" w:fill="auto"/>
          </w:tcPr>
          <w:p w14:paraId="550333A1"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76E08884"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1EE238C6"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67A8D17A"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52793572" w14:textId="77777777" w:rsidR="00DC2A69" w:rsidRPr="00877DFD" w:rsidRDefault="00DC2A69" w:rsidP="00717E00">
            <w:pPr>
              <w:pStyle w:val="TableText"/>
              <w:snapToGrid w:val="0"/>
              <w:ind w:left="39"/>
              <w:rPr>
                <w:kern w:val="2"/>
                <w:szCs w:val="17"/>
                <w:lang w:val="en-US"/>
              </w:rPr>
            </w:pPr>
          </w:p>
        </w:tc>
      </w:tr>
      <w:tr w:rsidR="00DC2A69" w:rsidRPr="00892D0C" w14:paraId="36F113BA" w14:textId="77777777" w:rsidTr="00717E00">
        <w:tc>
          <w:tcPr>
            <w:tcW w:w="851" w:type="dxa"/>
            <w:tcBorders>
              <w:left w:val="nil"/>
            </w:tcBorders>
            <w:shd w:val="clear" w:color="auto" w:fill="BFBFBF"/>
          </w:tcPr>
          <w:p w14:paraId="32371732" w14:textId="77777777" w:rsidR="00DC2A69" w:rsidRPr="00135149" w:rsidRDefault="00DC2A69" w:rsidP="00717E00">
            <w:pPr>
              <w:pStyle w:val="TableText"/>
              <w:snapToGrid w:val="0"/>
              <w:ind w:rightChars="71" w:right="142"/>
              <w:rPr>
                <w:kern w:val="2"/>
                <w:szCs w:val="17"/>
                <w:lang w:val="en-US"/>
              </w:rPr>
            </w:pPr>
          </w:p>
        </w:tc>
        <w:tc>
          <w:tcPr>
            <w:tcW w:w="8471" w:type="dxa"/>
            <w:gridSpan w:val="6"/>
            <w:tcBorders>
              <w:right w:val="single" w:sz="4" w:space="0" w:color="auto"/>
            </w:tcBorders>
            <w:shd w:val="clear" w:color="auto" w:fill="BFBFBF"/>
          </w:tcPr>
          <w:p w14:paraId="0681A705" w14:textId="77777777" w:rsidR="00DC2A69" w:rsidRPr="00135149" w:rsidRDefault="00DC2A69" w:rsidP="00717E00">
            <w:pPr>
              <w:pStyle w:val="TableText"/>
              <w:snapToGrid w:val="0"/>
              <w:ind w:left="39" w:rightChars="71" w:right="142"/>
              <w:rPr>
                <w:b/>
                <w:kern w:val="2"/>
                <w:szCs w:val="17"/>
                <w:lang w:val="en-US"/>
              </w:rPr>
            </w:pPr>
            <w:r w:rsidRPr="00135149">
              <w:rPr>
                <w:b/>
                <w:kern w:val="2"/>
                <w:szCs w:val="17"/>
                <w:lang w:val="en-US"/>
              </w:rPr>
              <w:t>Net Stable Funding Ratio (NSFR) / Core Funding Ratio (CFR)</w:t>
            </w:r>
          </w:p>
        </w:tc>
      </w:tr>
      <w:tr w:rsidR="00DC2A69" w:rsidRPr="00892D0C" w14:paraId="25BF2882" w14:textId="77777777" w:rsidTr="00717E00">
        <w:tc>
          <w:tcPr>
            <w:tcW w:w="851" w:type="dxa"/>
            <w:tcBorders>
              <w:left w:val="nil"/>
            </w:tcBorders>
            <w:shd w:val="clear" w:color="auto" w:fill="F2F2F2"/>
          </w:tcPr>
          <w:p w14:paraId="598EA727" w14:textId="77777777" w:rsidR="00DC2A69" w:rsidRPr="00135149" w:rsidRDefault="00DC2A69" w:rsidP="00717E00">
            <w:pPr>
              <w:pStyle w:val="TableText"/>
              <w:snapToGrid w:val="0"/>
              <w:rPr>
                <w:kern w:val="2"/>
                <w:szCs w:val="17"/>
                <w:lang w:val="en-US"/>
              </w:rPr>
            </w:pPr>
          </w:p>
        </w:tc>
        <w:tc>
          <w:tcPr>
            <w:tcW w:w="4218" w:type="dxa"/>
            <w:shd w:val="clear" w:color="auto" w:fill="F2F2F2"/>
          </w:tcPr>
          <w:p w14:paraId="50AF622D"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Applicable to category 1 institution</w:t>
            </w:r>
            <w:r>
              <w:rPr>
                <w:kern w:val="2"/>
                <w:szCs w:val="17"/>
                <w:lang w:val="en-US"/>
              </w:rPr>
              <w:t>s</w:t>
            </w:r>
            <w:r w:rsidRPr="00135149">
              <w:rPr>
                <w:kern w:val="2"/>
                <w:szCs w:val="17"/>
                <w:lang w:val="en-US"/>
              </w:rPr>
              <w:t xml:space="preserve"> only: </w:t>
            </w:r>
          </w:p>
        </w:tc>
        <w:tc>
          <w:tcPr>
            <w:tcW w:w="851" w:type="dxa"/>
            <w:shd w:val="clear" w:color="auto" w:fill="F2F2F2"/>
          </w:tcPr>
          <w:p w14:paraId="73563E79" w14:textId="77777777" w:rsidR="00DC2A69" w:rsidRPr="00135149" w:rsidRDefault="00DC2A69" w:rsidP="00717E00">
            <w:pPr>
              <w:pStyle w:val="TableText"/>
              <w:snapToGrid w:val="0"/>
              <w:ind w:left="39"/>
              <w:rPr>
                <w:kern w:val="2"/>
                <w:szCs w:val="17"/>
                <w:lang w:val="en-US"/>
              </w:rPr>
            </w:pPr>
          </w:p>
        </w:tc>
        <w:tc>
          <w:tcPr>
            <w:tcW w:w="850" w:type="dxa"/>
            <w:shd w:val="clear" w:color="auto" w:fill="F2F2F2"/>
          </w:tcPr>
          <w:p w14:paraId="4EA797E6" w14:textId="77777777" w:rsidR="00DC2A69" w:rsidRPr="004A17EB" w:rsidRDefault="00DC2A69" w:rsidP="00717E00">
            <w:pPr>
              <w:pStyle w:val="TableText"/>
              <w:snapToGrid w:val="0"/>
              <w:ind w:left="39"/>
              <w:rPr>
                <w:kern w:val="2"/>
                <w:szCs w:val="17"/>
                <w:lang w:val="en-US"/>
              </w:rPr>
            </w:pPr>
          </w:p>
        </w:tc>
        <w:tc>
          <w:tcPr>
            <w:tcW w:w="851" w:type="dxa"/>
            <w:shd w:val="clear" w:color="auto" w:fill="F2F2F2"/>
          </w:tcPr>
          <w:p w14:paraId="0E7B3AC9" w14:textId="77777777" w:rsidR="00DC2A69" w:rsidRPr="00D5274A" w:rsidRDefault="00DC2A69" w:rsidP="00717E00">
            <w:pPr>
              <w:pStyle w:val="TableText"/>
              <w:snapToGrid w:val="0"/>
              <w:ind w:left="39"/>
              <w:rPr>
                <w:kern w:val="2"/>
                <w:szCs w:val="17"/>
                <w:lang w:val="en-US"/>
              </w:rPr>
            </w:pPr>
          </w:p>
        </w:tc>
        <w:tc>
          <w:tcPr>
            <w:tcW w:w="850" w:type="dxa"/>
            <w:shd w:val="clear" w:color="auto" w:fill="F2F2F2"/>
          </w:tcPr>
          <w:p w14:paraId="288AD789"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F2F2F2"/>
          </w:tcPr>
          <w:p w14:paraId="717B642E" w14:textId="77777777" w:rsidR="00DC2A69" w:rsidRPr="00877DFD" w:rsidRDefault="00DC2A69" w:rsidP="00717E00">
            <w:pPr>
              <w:pStyle w:val="TableText"/>
              <w:snapToGrid w:val="0"/>
              <w:ind w:left="39"/>
              <w:rPr>
                <w:kern w:val="2"/>
                <w:szCs w:val="17"/>
                <w:lang w:val="en-US"/>
              </w:rPr>
            </w:pPr>
          </w:p>
        </w:tc>
      </w:tr>
      <w:tr w:rsidR="00DC2A69" w:rsidRPr="00892D0C" w14:paraId="4B3469F0" w14:textId="77777777" w:rsidTr="00717E00">
        <w:tc>
          <w:tcPr>
            <w:tcW w:w="851" w:type="dxa"/>
            <w:tcBorders>
              <w:left w:val="nil"/>
            </w:tcBorders>
            <w:shd w:val="clear" w:color="auto" w:fill="auto"/>
          </w:tcPr>
          <w:p w14:paraId="3181B701" w14:textId="77777777" w:rsidR="00DC2A69" w:rsidRPr="00135149" w:rsidRDefault="00DC2A69" w:rsidP="00717E00">
            <w:pPr>
              <w:pStyle w:val="TableText"/>
              <w:snapToGrid w:val="0"/>
              <w:rPr>
                <w:kern w:val="2"/>
                <w:szCs w:val="17"/>
                <w:lang w:val="en-US"/>
              </w:rPr>
            </w:pPr>
            <w:r w:rsidRPr="00135149">
              <w:rPr>
                <w:kern w:val="2"/>
                <w:szCs w:val="17"/>
                <w:lang w:val="en-US"/>
              </w:rPr>
              <w:t>18</w:t>
            </w:r>
          </w:p>
        </w:tc>
        <w:tc>
          <w:tcPr>
            <w:tcW w:w="4218" w:type="dxa"/>
            <w:shd w:val="clear" w:color="auto" w:fill="auto"/>
          </w:tcPr>
          <w:p w14:paraId="5856688B"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Total available stable funding</w:t>
            </w:r>
          </w:p>
        </w:tc>
        <w:tc>
          <w:tcPr>
            <w:tcW w:w="851" w:type="dxa"/>
            <w:shd w:val="clear" w:color="auto" w:fill="auto"/>
          </w:tcPr>
          <w:p w14:paraId="05F58BC5"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37FFADED"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66C04120"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788F5545"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2DC72071" w14:textId="77777777" w:rsidR="00DC2A69" w:rsidRPr="00877DFD" w:rsidRDefault="00DC2A69" w:rsidP="00717E00">
            <w:pPr>
              <w:pStyle w:val="TableText"/>
              <w:snapToGrid w:val="0"/>
              <w:ind w:left="39"/>
              <w:rPr>
                <w:kern w:val="2"/>
                <w:szCs w:val="17"/>
                <w:lang w:val="en-US"/>
              </w:rPr>
            </w:pPr>
          </w:p>
        </w:tc>
      </w:tr>
      <w:tr w:rsidR="00DC2A69" w:rsidRPr="00892D0C" w14:paraId="5AD9ACFC" w14:textId="77777777" w:rsidTr="00717E00">
        <w:tc>
          <w:tcPr>
            <w:tcW w:w="851" w:type="dxa"/>
            <w:tcBorders>
              <w:left w:val="nil"/>
            </w:tcBorders>
            <w:shd w:val="clear" w:color="auto" w:fill="auto"/>
          </w:tcPr>
          <w:p w14:paraId="34D102B1" w14:textId="77777777" w:rsidR="00DC2A69" w:rsidRPr="00135149" w:rsidRDefault="00DC2A69" w:rsidP="00717E00">
            <w:pPr>
              <w:pStyle w:val="TableText"/>
              <w:snapToGrid w:val="0"/>
              <w:rPr>
                <w:kern w:val="2"/>
                <w:szCs w:val="17"/>
                <w:lang w:val="en-US"/>
              </w:rPr>
            </w:pPr>
            <w:r w:rsidRPr="00135149">
              <w:rPr>
                <w:kern w:val="2"/>
                <w:szCs w:val="17"/>
                <w:lang w:val="en-US"/>
              </w:rPr>
              <w:t>19</w:t>
            </w:r>
          </w:p>
        </w:tc>
        <w:tc>
          <w:tcPr>
            <w:tcW w:w="4218" w:type="dxa"/>
            <w:shd w:val="clear" w:color="auto" w:fill="auto"/>
          </w:tcPr>
          <w:p w14:paraId="5161065C"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Total required stable funding</w:t>
            </w:r>
          </w:p>
        </w:tc>
        <w:tc>
          <w:tcPr>
            <w:tcW w:w="851" w:type="dxa"/>
            <w:shd w:val="clear" w:color="auto" w:fill="auto"/>
          </w:tcPr>
          <w:p w14:paraId="123DCAE5"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679D7401"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1E7828C6"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02C108AD"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42769908" w14:textId="77777777" w:rsidR="00DC2A69" w:rsidRPr="00877DFD" w:rsidRDefault="00DC2A69" w:rsidP="00717E00">
            <w:pPr>
              <w:pStyle w:val="TableText"/>
              <w:snapToGrid w:val="0"/>
              <w:ind w:left="39"/>
              <w:rPr>
                <w:kern w:val="2"/>
                <w:szCs w:val="17"/>
                <w:lang w:val="en-US"/>
              </w:rPr>
            </w:pPr>
          </w:p>
        </w:tc>
      </w:tr>
      <w:tr w:rsidR="00DC2A69" w:rsidRPr="00892D0C" w14:paraId="68D1306C" w14:textId="77777777" w:rsidTr="00717E00">
        <w:tc>
          <w:tcPr>
            <w:tcW w:w="851" w:type="dxa"/>
            <w:tcBorders>
              <w:left w:val="nil"/>
            </w:tcBorders>
            <w:shd w:val="clear" w:color="auto" w:fill="auto"/>
          </w:tcPr>
          <w:p w14:paraId="6BCE31A9" w14:textId="77777777" w:rsidR="00DC2A69" w:rsidRPr="00135149" w:rsidRDefault="00DC2A69" w:rsidP="00717E00">
            <w:pPr>
              <w:pStyle w:val="TableText"/>
              <w:snapToGrid w:val="0"/>
              <w:rPr>
                <w:kern w:val="2"/>
                <w:szCs w:val="17"/>
                <w:lang w:val="en-US"/>
              </w:rPr>
            </w:pPr>
            <w:r w:rsidRPr="00135149">
              <w:rPr>
                <w:kern w:val="2"/>
                <w:szCs w:val="17"/>
                <w:lang w:val="en-US"/>
              </w:rPr>
              <w:t>20</w:t>
            </w:r>
          </w:p>
        </w:tc>
        <w:tc>
          <w:tcPr>
            <w:tcW w:w="4218" w:type="dxa"/>
            <w:shd w:val="clear" w:color="auto" w:fill="auto"/>
          </w:tcPr>
          <w:p w14:paraId="605412BC"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NSFR (%)</w:t>
            </w:r>
          </w:p>
        </w:tc>
        <w:tc>
          <w:tcPr>
            <w:tcW w:w="851" w:type="dxa"/>
            <w:shd w:val="clear" w:color="auto" w:fill="auto"/>
          </w:tcPr>
          <w:p w14:paraId="145F9755"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323D53F9"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75CB44DB"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121D77C1"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0F87D3B3" w14:textId="77777777" w:rsidR="00DC2A69" w:rsidRPr="00877DFD" w:rsidRDefault="00DC2A69" w:rsidP="00717E00">
            <w:pPr>
              <w:pStyle w:val="TableText"/>
              <w:snapToGrid w:val="0"/>
              <w:ind w:left="39"/>
              <w:rPr>
                <w:kern w:val="2"/>
                <w:szCs w:val="17"/>
                <w:lang w:val="en-US"/>
              </w:rPr>
            </w:pPr>
          </w:p>
        </w:tc>
      </w:tr>
      <w:tr w:rsidR="00DC2A69" w:rsidRPr="00892D0C" w14:paraId="7EFD3CAA" w14:textId="77777777" w:rsidTr="00717E00">
        <w:tc>
          <w:tcPr>
            <w:tcW w:w="851" w:type="dxa"/>
            <w:tcBorders>
              <w:left w:val="nil"/>
            </w:tcBorders>
            <w:shd w:val="clear" w:color="auto" w:fill="F2F2F2"/>
          </w:tcPr>
          <w:p w14:paraId="3C3B9A7E" w14:textId="77777777" w:rsidR="00DC2A69" w:rsidRPr="00135149" w:rsidRDefault="00DC2A69" w:rsidP="00717E00">
            <w:pPr>
              <w:pStyle w:val="TableText"/>
              <w:snapToGrid w:val="0"/>
              <w:rPr>
                <w:kern w:val="2"/>
                <w:szCs w:val="17"/>
                <w:lang w:val="en-US"/>
              </w:rPr>
            </w:pPr>
          </w:p>
        </w:tc>
        <w:tc>
          <w:tcPr>
            <w:tcW w:w="4218" w:type="dxa"/>
            <w:shd w:val="clear" w:color="auto" w:fill="F2F2F2"/>
          </w:tcPr>
          <w:p w14:paraId="55A2A5E5"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Applicable to category 2A institution</w:t>
            </w:r>
            <w:r>
              <w:rPr>
                <w:kern w:val="2"/>
                <w:szCs w:val="17"/>
                <w:lang w:val="en-US"/>
              </w:rPr>
              <w:t>s</w:t>
            </w:r>
            <w:r w:rsidRPr="00135149">
              <w:rPr>
                <w:kern w:val="2"/>
                <w:szCs w:val="17"/>
                <w:lang w:val="en-US"/>
              </w:rPr>
              <w:t xml:space="preserve"> only:</w:t>
            </w:r>
          </w:p>
        </w:tc>
        <w:tc>
          <w:tcPr>
            <w:tcW w:w="851" w:type="dxa"/>
            <w:shd w:val="clear" w:color="auto" w:fill="F2F2F2"/>
          </w:tcPr>
          <w:p w14:paraId="5BC31F07" w14:textId="77777777" w:rsidR="00DC2A69" w:rsidRPr="00135149" w:rsidRDefault="00DC2A69" w:rsidP="00717E00">
            <w:pPr>
              <w:pStyle w:val="TableText"/>
              <w:snapToGrid w:val="0"/>
              <w:ind w:left="39"/>
              <w:rPr>
                <w:kern w:val="2"/>
                <w:szCs w:val="17"/>
                <w:lang w:val="en-US"/>
              </w:rPr>
            </w:pPr>
          </w:p>
        </w:tc>
        <w:tc>
          <w:tcPr>
            <w:tcW w:w="850" w:type="dxa"/>
            <w:shd w:val="clear" w:color="auto" w:fill="F2F2F2"/>
          </w:tcPr>
          <w:p w14:paraId="678A2B67" w14:textId="77777777" w:rsidR="00DC2A69" w:rsidRPr="004A17EB" w:rsidRDefault="00DC2A69" w:rsidP="00717E00">
            <w:pPr>
              <w:pStyle w:val="TableText"/>
              <w:snapToGrid w:val="0"/>
              <w:ind w:left="39"/>
              <w:rPr>
                <w:kern w:val="2"/>
                <w:szCs w:val="17"/>
                <w:lang w:val="en-US"/>
              </w:rPr>
            </w:pPr>
          </w:p>
        </w:tc>
        <w:tc>
          <w:tcPr>
            <w:tcW w:w="851" w:type="dxa"/>
            <w:shd w:val="clear" w:color="auto" w:fill="F2F2F2"/>
          </w:tcPr>
          <w:p w14:paraId="3AB002C8" w14:textId="77777777" w:rsidR="00DC2A69" w:rsidRPr="00D5274A" w:rsidRDefault="00DC2A69" w:rsidP="00717E00">
            <w:pPr>
              <w:pStyle w:val="TableText"/>
              <w:snapToGrid w:val="0"/>
              <w:ind w:left="39"/>
              <w:rPr>
                <w:kern w:val="2"/>
                <w:szCs w:val="17"/>
                <w:lang w:val="en-US"/>
              </w:rPr>
            </w:pPr>
          </w:p>
        </w:tc>
        <w:tc>
          <w:tcPr>
            <w:tcW w:w="850" w:type="dxa"/>
            <w:shd w:val="clear" w:color="auto" w:fill="F2F2F2"/>
          </w:tcPr>
          <w:p w14:paraId="0D678FDF"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F2F2F2"/>
          </w:tcPr>
          <w:p w14:paraId="59070FFD" w14:textId="77777777" w:rsidR="00DC2A69" w:rsidRPr="00877DFD" w:rsidRDefault="00DC2A69" w:rsidP="00717E00">
            <w:pPr>
              <w:pStyle w:val="TableText"/>
              <w:snapToGrid w:val="0"/>
              <w:ind w:left="39"/>
              <w:rPr>
                <w:kern w:val="2"/>
                <w:szCs w:val="17"/>
                <w:lang w:val="en-US"/>
              </w:rPr>
            </w:pPr>
          </w:p>
        </w:tc>
      </w:tr>
      <w:tr w:rsidR="00DC2A69" w:rsidRPr="00892D0C" w14:paraId="39FBDD5C" w14:textId="77777777" w:rsidTr="00717E00">
        <w:tc>
          <w:tcPr>
            <w:tcW w:w="851" w:type="dxa"/>
            <w:tcBorders>
              <w:left w:val="nil"/>
            </w:tcBorders>
            <w:shd w:val="clear" w:color="auto" w:fill="auto"/>
          </w:tcPr>
          <w:p w14:paraId="540D4B34" w14:textId="77777777" w:rsidR="00DC2A69" w:rsidRPr="00135149" w:rsidRDefault="00DC2A69" w:rsidP="00717E00">
            <w:pPr>
              <w:pStyle w:val="TableText"/>
              <w:snapToGrid w:val="0"/>
              <w:rPr>
                <w:kern w:val="2"/>
                <w:szCs w:val="17"/>
                <w:lang w:val="en-US"/>
              </w:rPr>
            </w:pPr>
            <w:r w:rsidRPr="00135149">
              <w:rPr>
                <w:kern w:val="2"/>
                <w:szCs w:val="17"/>
                <w:lang w:val="en-US"/>
              </w:rPr>
              <w:t>20a</w:t>
            </w:r>
          </w:p>
        </w:tc>
        <w:tc>
          <w:tcPr>
            <w:tcW w:w="4218" w:type="dxa"/>
            <w:shd w:val="clear" w:color="auto" w:fill="auto"/>
          </w:tcPr>
          <w:p w14:paraId="1D0AF710" w14:textId="77777777" w:rsidR="00DC2A69" w:rsidRPr="00135149" w:rsidRDefault="00DC2A69" w:rsidP="00717E00">
            <w:pPr>
              <w:pStyle w:val="TableText"/>
              <w:snapToGrid w:val="0"/>
              <w:ind w:left="39" w:rightChars="71" w:right="142"/>
              <w:rPr>
                <w:kern w:val="2"/>
                <w:szCs w:val="17"/>
                <w:lang w:val="en-US"/>
              </w:rPr>
            </w:pPr>
            <w:r w:rsidRPr="00135149">
              <w:rPr>
                <w:kern w:val="2"/>
                <w:szCs w:val="17"/>
                <w:lang w:val="en-US"/>
              </w:rPr>
              <w:t>CFR (%)</w:t>
            </w:r>
          </w:p>
        </w:tc>
        <w:tc>
          <w:tcPr>
            <w:tcW w:w="851" w:type="dxa"/>
            <w:shd w:val="clear" w:color="auto" w:fill="auto"/>
          </w:tcPr>
          <w:p w14:paraId="48B4ED3D" w14:textId="77777777" w:rsidR="00DC2A69" w:rsidRPr="00135149" w:rsidRDefault="00DC2A69" w:rsidP="00717E00">
            <w:pPr>
              <w:pStyle w:val="TableText"/>
              <w:snapToGrid w:val="0"/>
              <w:ind w:left="39"/>
              <w:rPr>
                <w:kern w:val="2"/>
                <w:szCs w:val="17"/>
                <w:lang w:val="en-US"/>
              </w:rPr>
            </w:pPr>
          </w:p>
        </w:tc>
        <w:tc>
          <w:tcPr>
            <w:tcW w:w="850" w:type="dxa"/>
            <w:shd w:val="clear" w:color="auto" w:fill="auto"/>
          </w:tcPr>
          <w:p w14:paraId="5FFE217D" w14:textId="77777777" w:rsidR="00DC2A69" w:rsidRPr="004A17EB" w:rsidRDefault="00DC2A69" w:rsidP="00717E00">
            <w:pPr>
              <w:pStyle w:val="TableText"/>
              <w:snapToGrid w:val="0"/>
              <w:ind w:left="39"/>
              <w:rPr>
                <w:kern w:val="2"/>
                <w:szCs w:val="17"/>
                <w:lang w:val="en-US"/>
              </w:rPr>
            </w:pPr>
          </w:p>
        </w:tc>
        <w:tc>
          <w:tcPr>
            <w:tcW w:w="851" w:type="dxa"/>
            <w:shd w:val="clear" w:color="auto" w:fill="auto"/>
          </w:tcPr>
          <w:p w14:paraId="33579A91" w14:textId="77777777" w:rsidR="00DC2A69" w:rsidRPr="00D5274A" w:rsidRDefault="00DC2A69" w:rsidP="00717E00">
            <w:pPr>
              <w:pStyle w:val="TableText"/>
              <w:snapToGrid w:val="0"/>
              <w:ind w:left="39"/>
              <w:rPr>
                <w:kern w:val="2"/>
                <w:szCs w:val="17"/>
                <w:lang w:val="en-US"/>
              </w:rPr>
            </w:pPr>
          </w:p>
        </w:tc>
        <w:tc>
          <w:tcPr>
            <w:tcW w:w="850" w:type="dxa"/>
            <w:shd w:val="clear" w:color="auto" w:fill="auto"/>
          </w:tcPr>
          <w:p w14:paraId="42D18491" w14:textId="77777777" w:rsidR="00DC2A69" w:rsidRPr="00BE5B07" w:rsidRDefault="00DC2A69" w:rsidP="00717E00">
            <w:pPr>
              <w:pStyle w:val="TableText"/>
              <w:snapToGrid w:val="0"/>
              <w:ind w:left="39"/>
              <w:rPr>
                <w:kern w:val="2"/>
                <w:szCs w:val="17"/>
                <w:lang w:val="en-US"/>
              </w:rPr>
            </w:pPr>
          </w:p>
        </w:tc>
        <w:tc>
          <w:tcPr>
            <w:tcW w:w="851" w:type="dxa"/>
            <w:tcBorders>
              <w:right w:val="single" w:sz="4" w:space="0" w:color="auto"/>
            </w:tcBorders>
            <w:shd w:val="clear" w:color="auto" w:fill="auto"/>
          </w:tcPr>
          <w:p w14:paraId="7AD78AFC" w14:textId="77777777" w:rsidR="00DC2A69" w:rsidRPr="00877DFD" w:rsidRDefault="00DC2A69" w:rsidP="00717E00">
            <w:pPr>
              <w:pStyle w:val="TableText"/>
              <w:snapToGrid w:val="0"/>
              <w:ind w:left="39"/>
              <w:rPr>
                <w:kern w:val="2"/>
                <w:szCs w:val="17"/>
                <w:lang w:val="en-US"/>
              </w:rPr>
            </w:pPr>
          </w:p>
        </w:tc>
      </w:tr>
    </w:tbl>
    <w:p w14:paraId="0E67D6FC" w14:textId="77777777" w:rsidR="00DC2A69" w:rsidRDefault="00DC2A69" w:rsidP="00DC2A69"/>
    <w:tbl>
      <w:tblPr>
        <w:tblW w:w="935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8770"/>
      </w:tblGrid>
      <w:tr w:rsidR="00DC2A69" w:rsidRPr="00892D0C" w14:paraId="1DBA0B89" w14:textId="77777777" w:rsidTr="00717E00">
        <w:trPr>
          <w:tblHeader/>
        </w:trPr>
        <w:tc>
          <w:tcPr>
            <w:tcW w:w="9356" w:type="dxa"/>
            <w:gridSpan w:val="2"/>
            <w:shd w:val="clear" w:color="auto" w:fill="A6A6A6"/>
          </w:tcPr>
          <w:p w14:paraId="40AF3CBE" w14:textId="77777777" w:rsidR="00DC2A69" w:rsidRPr="00C734DB" w:rsidRDefault="00DC2A69" w:rsidP="00717E00">
            <w:pPr>
              <w:rPr>
                <w:b/>
                <w:kern w:val="2"/>
                <w:sz w:val="17"/>
                <w:lang w:val="en-US"/>
              </w:rPr>
            </w:pPr>
            <w:r w:rsidRPr="00C734DB">
              <w:rPr>
                <w:b/>
                <w:kern w:val="2"/>
                <w:sz w:val="17"/>
                <w:lang w:val="en-US"/>
              </w:rPr>
              <w:t>Explanatory Note</w:t>
            </w:r>
          </w:p>
        </w:tc>
      </w:tr>
      <w:tr w:rsidR="00DC2A69" w:rsidRPr="00892D0C" w14:paraId="4AAC399A" w14:textId="77777777" w:rsidTr="00717E00">
        <w:tc>
          <w:tcPr>
            <w:tcW w:w="9356" w:type="dxa"/>
            <w:gridSpan w:val="2"/>
            <w:shd w:val="clear" w:color="auto" w:fill="BFBFBF"/>
          </w:tcPr>
          <w:p w14:paraId="05593754" w14:textId="77777777" w:rsidR="00DC2A69" w:rsidRPr="00C734DB" w:rsidRDefault="00DC2A69" w:rsidP="00717E00">
            <w:pPr>
              <w:rPr>
                <w:b/>
                <w:kern w:val="2"/>
                <w:sz w:val="17"/>
                <w:lang w:val="en-US"/>
              </w:rPr>
            </w:pPr>
            <w:r w:rsidRPr="00C734DB">
              <w:rPr>
                <w:b/>
                <w:kern w:val="2"/>
                <w:sz w:val="17"/>
                <w:lang w:val="en-US"/>
              </w:rPr>
              <w:t>Rows</w:t>
            </w:r>
          </w:p>
        </w:tc>
      </w:tr>
      <w:tr w:rsidR="00DC2A69" w:rsidRPr="00892D0C" w14:paraId="317B65BE" w14:textId="77777777" w:rsidTr="00717E00">
        <w:tc>
          <w:tcPr>
            <w:tcW w:w="586" w:type="dxa"/>
            <w:shd w:val="clear" w:color="auto" w:fill="auto"/>
          </w:tcPr>
          <w:p w14:paraId="4C2AA99A" w14:textId="77777777" w:rsidR="00DC2A69" w:rsidRPr="00C734DB" w:rsidRDefault="00DC2A69" w:rsidP="00717E00">
            <w:pPr>
              <w:rPr>
                <w:kern w:val="2"/>
                <w:sz w:val="17"/>
                <w:lang w:val="en-US"/>
              </w:rPr>
            </w:pPr>
            <w:r w:rsidRPr="00C734DB">
              <w:rPr>
                <w:kern w:val="2"/>
                <w:sz w:val="17"/>
                <w:lang w:val="en-US"/>
              </w:rPr>
              <w:t>1</w:t>
            </w:r>
            <w:r w:rsidRPr="008224B2">
              <w:rPr>
                <w:rFonts w:cs="Segoe UI"/>
                <w:kern w:val="2"/>
                <w:sz w:val="17"/>
                <w:szCs w:val="17"/>
                <w:lang w:val="en-US"/>
              </w:rPr>
              <w:t xml:space="preserve"> </w:t>
            </w:r>
            <w:r>
              <w:rPr>
                <w:rFonts w:cs="Segoe UI"/>
                <w:kern w:val="2"/>
                <w:sz w:val="17"/>
                <w:szCs w:val="17"/>
                <w:lang w:val="en-US"/>
              </w:rPr>
              <w:t>&amp; 1a</w:t>
            </w:r>
          </w:p>
        </w:tc>
        <w:tc>
          <w:tcPr>
            <w:tcW w:w="8770" w:type="dxa"/>
            <w:shd w:val="clear" w:color="auto" w:fill="auto"/>
          </w:tcPr>
          <w:p w14:paraId="1BB95EED" w14:textId="77777777" w:rsidR="00DC2A69" w:rsidRPr="00C734DB" w:rsidRDefault="00DC2A69" w:rsidP="00717E00">
            <w:pPr>
              <w:autoSpaceDE w:val="0"/>
              <w:autoSpaceDN w:val="0"/>
              <w:adjustRightInd w:val="0"/>
              <w:jc w:val="both"/>
              <w:rPr>
                <w:color w:val="000000"/>
                <w:kern w:val="2"/>
                <w:sz w:val="17"/>
                <w:lang w:val="en-US"/>
              </w:rPr>
            </w:pPr>
            <w:r w:rsidRPr="00C734DB">
              <w:rPr>
                <w:i/>
                <w:color w:val="000000"/>
                <w:kern w:val="2"/>
                <w:sz w:val="17"/>
                <w:lang w:val="en-US"/>
              </w:rPr>
              <w:t>Common Equity Tier 1 (CET1)</w:t>
            </w:r>
            <w:r w:rsidRPr="00C734DB">
              <w:rPr>
                <w:color w:val="000000"/>
                <w:kern w:val="2"/>
                <w:sz w:val="17"/>
                <w:lang w:val="en-US"/>
              </w:rPr>
              <w:t>:</w:t>
            </w:r>
            <w:r w:rsidRPr="00C734DB">
              <w:rPr>
                <w:i/>
                <w:color w:val="000000"/>
                <w:kern w:val="2"/>
                <w:sz w:val="17"/>
                <w:lang w:val="en-US"/>
              </w:rPr>
              <w:t xml:space="preserve"> </w:t>
            </w:r>
            <w:r w:rsidRPr="00C734DB">
              <w:rPr>
                <w:color w:val="000000"/>
                <w:kern w:val="2"/>
                <w:sz w:val="17"/>
                <w:lang w:val="en-US"/>
              </w:rPr>
              <w:t>for an interim or annual reporting period, the value in [KM1:1</w:t>
            </w:r>
            <w:r>
              <w:rPr>
                <w:color w:val="000000"/>
                <w:kern w:val="2"/>
                <w:sz w:val="17"/>
                <w:lang w:val="en-US"/>
              </w:rPr>
              <w:t xml:space="preserve"> &amp; 1a</w:t>
            </w:r>
            <w:r w:rsidRPr="00C734DB">
              <w:rPr>
                <w:color w:val="000000"/>
                <w:kern w:val="2"/>
                <w:sz w:val="17"/>
                <w:lang w:val="en-US"/>
              </w:rPr>
              <w:t>/a] should be equal to the value in [CC1:29/a].</w:t>
            </w:r>
          </w:p>
        </w:tc>
      </w:tr>
      <w:tr w:rsidR="00DC2A69" w:rsidRPr="00892D0C" w14:paraId="1A580D93" w14:textId="77777777" w:rsidTr="00717E00">
        <w:tc>
          <w:tcPr>
            <w:tcW w:w="586" w:type="dxa"/>
            <w:shd w:val="clear" w:color="auto" w:fill="auto"/>
          </w:tcPr>
          <w:p w14:paraId="65FAF3FA" w14:textId="77777777" w:rsidR="00DC2A69" w:rsidRPr="00C734DB" w:rsidRDefault="00DC2A69" w:rsidP="00717E00">
            <w:pPr>
              <w:rPr>
                <w:kern w:val="2"/>
                <w:sz w:val="17"/>
                <w:lang w:val="en-US"/>
              </w:rPr>
            </w:pPr>
            <w:r w:rsidRPr="00C734DB">
              <w:rPr>
                <w:kern w:val="2"/>
                <w:sz w:val="17"/>
                <w:lang w:val="en-US"/>
              </w:rPr>
              <w:t>2</w:t>
            </w:r>
            <w:r w:rsidRPr="008224B2">
              <w:rPr>
                <w:rFonts w:cs="Segoe UI"/>
                <w:kern w:val="2"/>
                <w:sz w:val="17"/>
                <w:szCs w:val="17"/>
                <w:lang w:val="en-US"/>
              </w:rPr>
              <w:t xml:space="preserve"> </w:t>
            </w:r>
            <w:r>
              <w:rPr>
                <w:rFonts w:cs="Segoe UI"/>
                <w:kern w:val="2"/>
                <w:sz w:val="17"/>
                <w:szCs w:val="17"/>
                <w:lang w:val="en-US"/>
              </w:rPr>
              <w:t>&amp; 2a</w:t>
            </w:r>
          </w:p>
        </w:tc>
        <w:tc>
          <w:tcPr>
            <w:tcW w:w="8770" w:type="dxa"/>
            <w:shd w:val="clear" w:color="auto" w:fill="auto"/>
          </w:tcPr>
          <w:p w14:paraId="676EA25F" w14:textId="77777777" w:rsidR="00DC2A69" w:rsidRPr="00C734DB" w:rsidRDefault="00DC2A69" w:rsidP="00717E00">
            <w:pPr>
              <w:autoSpaceDE w:val="0"/>
              <w:autoSpaceDN w:val="0"/>
              <w:adjustRightInd w:val="0"/>
              <w:jc w:val="both"/>
              <w:rPr>
                <w:color w:val="000000"/>
                <w:kern w:val="2"/>
                <w:sz w:val="17"/>
                <w:lang w:val="en-US"/>
              </w:rPr>
            </w:pPr>
            <w:r w:rsidRPr="00C734DB">
              <w:rPr>
                <w:i/>
                <w:color w:val="000000"/>
                <w:kern w:val="2"/>
                <w:sz w:val="17"/>
                <w:lang w:val="en-US"/>
              </w:rPr>
              <w:t>Tier 1</w:t>
            </w:r>
            <w:r w:rsidRPr="00C734DB">
              <w:rPr>
                <w:color w:val="000000"/>
                <w:kern w:val="2"/>
                <w:sz w:val="17"/>
                <w:lang w:val="en-US"/>
              </w:rPr>
              <w:t>: for an interim or annual reporting period, the value in [KM1:2</w:t>
            </w:r>
            <w:r>
              <w:rPr>
                <w:color w:val="000000"/>
                <w:kern w:val="2"/>
                <w:sz w:val="17"/>
                <w:lang w:val="en-US"/>
              </w:rPr>
              <w:t xml:space="preserve"> &amp; 2a</w:t>
            </w:r>
            <w:r w:rsidRPr="00C734DB">
              <w:rPr>
                <w:color w:val="000000"/>
                <w:kern w:val="2"/>
                <w:sz w:val="17"/>
                <w:lang w:val="en-US"/>
              </w:rPr>
              <w:t>/a] should be equal to the value in [CC1:45/a].</w:t>
            </w:r>
          </w:p>
        </w:tc>
      </w:tr>
      <w:tr w:rsidR="00DC2A69" w:rsidRPr="00892D0C" w14:paraId="661B6C6F" w14:textId="77777777" w:rsidTr="00717E00">
        <w:tc>
          <w:tcPr>
            <w:tcW w:w="586" w:type="dxa"/>
            <w:shd w:val="clear" w:color="auto" w:fill="auto"/>
          </w:tcPr>
          <w:p w14:paraId="3F0D8BEE" w14:textId="77777777" w:rsidR="00DC2A69" w:rsidRPr="00C734DB" w:rsidRDefault="00DC2A69" w:rsidP="00717E00">
            <w:pPr>
              <w:rPr>
                <w:kern w:val="2"/>
                <w:sz w:val="17"/>
                <w:lang w:val="en-US"/>
              </w:rPr>
            </w:pPr>
            <w:r w:rsidRPr="00C734DB">
              <w:rPr>
                <w:kern w:val="2"/>
                <w:sz w:val="17"/>
                <w:lang w:val="en-US"/>
              </w:rPr>
              <w:t>3</w:t>
            </w:r>
            <w:r>
              <w:rPr>
                <w:kern w:val="2"/>
                <w:sz w:val="17"/>
                <w:lang w:val="en-US"/>
              </w:rPr>
              <w:t xml:space="preserve"> &amp; 3a</w:t>
            </w:r>
          </w:p>
        </w:tc>
        <w:tc>
          <w:tcPr>
            <w:tcW w:w="8770" w:type="dxa"/>
            <w:shd w:val="clear" w:color="auto" w:fill="auto"/>
          </w:tcPr>
          <w:p w14:paraId="05BE06E7" w14:textId="77777777" w:rsidR="00DC2A69" w:rsidRPr="00C734DB" w:rsidRDefault="00DC2A69" w:rsidP="00717E00">
            <w:pPr>
              <w:autoSpaceDE w:val="0"/>
              <w:autoSpaceDN w:val="0"/>
              <w:adjustRightInd w:val="0"/>
              <w:jc w:val="both"/>
              <w:rPr>
                <w:color w:val="000000"/>
                <w:kern w:val="2"/>
                <w:sz w:val="17"/>
                <w:lang w:val="en-US"/>
              </w:rPr>
            </w:pPr>
            <w:r w:rsidRPr="00C734DB">
              <w:rPr>
                <w:i/>
                <w:color w:val="000000"/>
                <w:kern w:val="2"/>
                <w:sz w:val="17"/>
                <w:lang w:val="en-US"/>
              </w:rPr>
              <w:t>Total capital</w:t>
            </w:r>
            <w:r w:rsidRPr="00C734DB">
              <w:rPr>
                <w:color w:val="000000"/>
                <w:kern w:val="2"/>
                <w:sz w:val="17"/>
                <w:lang w:val="en-US"/>
              </w:rPr>
              <w:t>: for an interim or annual reporting period, the value in [KM1:3</w:t>
            </w:r>
            <w:r w:rsidRPr="008224B2">
              <w:rPr>
                <w:rFonts w:cs="Segoe UI"/>
                <w:iCs/>
                <w:color w:val="000000"/>
                <w:kern w:val="2"/>
                <w:sz w:val="17"/>
                <w:szCs w:val="17"/>
                <w:lang w:val="en-US"/>
              </w:rPr>
              <w:t xml:space="preserve"> </w:t>
            </w:r>
            <w:r>
              <w:rPr>
                <w:rFonts w:cs="Segoe UI"/>
                <w:iCs/>
                <w:color w:val="000000"/>
                <w:kern w:val="2"/>
                <w:sz w:val="17"/>
                <w:szCs w:val="17"/>
                <w:lang w:val="en-US"/>
              </w:rPr>
              <w:t>&amp; 3a</w:t>
            </w:r>
            <w:r w:rsidRPr="00C734DB">
              <w:rPr>
                <w:color w:val="000000"/>
                <w:kern w:val="2"/>
                <w:sz w:val="17"/>
                <w:lang w:val="en-US"/>
              </w:rPr>
              <w:t>/a] should be equal to the value in [CC1:59/a].</w:t>
            </w:r>
          </w:p>
        </w:tc>
      </w:tr>
      <w:tr w:rsidR="00DC2A69" w:rsidRPr="00892D0C" w14:paraId="4A115D46" w14:textId="77777777" w:rsidTr="00717E00">
        <w:tc>
          <w:tcPr>
            <w:tcW w:w="586" w:type="dxa"/>
            <w:shd w:val="clear" w:color="auto" w:fill="auto"/>
          </w:tcPr>
          <w:p w14:paraId="451BD815" w14:textId="77777777" w:rsidR="00DC2A69" w:rsidRPr="00C734DB" w:rsidRDefault="00DC2A69" w:rsidP="00717E00">
            <w:pPr>
              <w:rPr>
                <w:kern w:val="2"/>
                <w:sz w:val="17"/>
                <w:lang w:val="en-US"/>
              </w:rPr>
            </w:pPr>
            <w:r w:rsidRPr="00C734DB">
              <w:rPr>
                <w:kern w:val="2"/>
                <w:sz w:val="17"/>
                <w:lang w:val="en-US"/>
              </w:rPr>
              <w:lastRenderedPageBreak/>
              <w:t>4</w:t>
            </w:r>
          </w:p>
        </w:tc>
        <w:tc>
          <w:tcPr>
            <w:tcW w:w="8770" w:type="dxa"/>
            <w:shd w:val="clear" w:color="auto" w:fill="auto"/>
          </w:tcPr>
          <w:p w14:paraId="583D7DD6" w14:textId="7EFEAE3E" w:rsidR="00DC2A69" w:rsidRPr="00C734DB" w:rsidRDefault="00DC2A69" w:rsidP="00717E00">
            <w:pPr>
              <w:autoSpaceDE w:val="0"/>
              <w:autoSpaceDN w:val="0"/>
              <w:adjustRightInd w:val="0"/>
              <w:jc w:val="both"/>
              <w:rPr>
                <w:color w:val="000000"/>
                <w:kern w:val="2"/>
                <w:sz w:val="17"/>
                <w:lang w:val="en-US"/>
              </w:rPr>
            </w:pPr>
            <w:r w:rsidRPr="00C734DB">
              <w:rPr>
                <w:i/>
                <w:color w:val="000000"/>
                <w:kern w:val="2"/>
                <w:sz w:val="17"/>
                <w:lang w:val="en-US"/>
              </w:rPr>
              <w:t>Total RWA</w:t>
            </w:r>
            <w:r w:rsidRPr="00C734DB">
              <w:rPr>
                <w:color w:val="000000"/>
                <w:kern w:val="2"/>
                <w:sz w:val="17"/>
                <w:lang w:val="en-US"/>
              </w:rPr>
              <w:t xml:space="preserve">: </w:t>
            </w:r>
            <w:r w:rsidRPr="008224B2">
              <w:rPr>
                <w:rFonts w:cs="Segoe UI"/>
                <w:iCs/>
                <w:color w:val="000000"/>
                <w:kern w:val="2"/>
                <w:sz w:val="17"/>
                <w:szCs w:val="17"/>
                <w:lang w:val="en-US"/>
              </w:rPr>
              <w:t>the value in [KM1:4/a</w:t>
            </w:r>
            <w:r w:rsidRPr="0068770C">
              <w:rPr>
                <w:rFonts w:cs="Segoe UI"/>
                <w:iCs/>
                <w:color w:val="000000"/>
                <w:kern w:val="2"/>
                <w:sz w:val="17"/>
                <w:szCs w:val="17"/>
                <w:lang w:val="en-US"/>
              </w:rPr>
              <w:t>] should be equal to the value in [OV1:29/a].  For</w:t>
            </w:r>
            <w:r w:rsidRPr="0068770C">
              <w:rPr>
                <w:color w:val="000000"/>
                <w:kern w:val="2"/>
                <w:sz w:val="17"/>
                <w:lang w:val="en-US"/>
              </w:rPr>
              <w:t xml:space="preserve"> an interim or annual reporting period, the value in [KM1:4/a] should also be equal to the value in [CC1:60/a].</w:t>
            </w:r>
          </w:p>
        </w:tc>
      </w:tr>
      <w:tr w:rsidR="00DC2A69" w:rsidRPr="00892D0C" w14:paraId="03FBA209" w14:textId="77777777" w:rsidTr="00717E00">
        <w:tc>
          <w:tcPr>
            <w:tcW w:w="586" w:type="dxa"/>
            <w:shd w:val="clear" w:color="auto" w:fill="auto"/>
          </w:tcPr>
          <w:p w14:paraId="17341ACD" w14:textId="77777777" w:rsidR="00DC2A69" w:rsidRPr="00C734DB" w:rsidRDefault="00DC2A69" w:rsidP="00717E00">
            <w:pPr>
              <w:rPr>
                <w:kern w:val="2"/>
                <w:sz w:val="17"/>
                <w:lang w:val="en-US"/>
              </w:rPr>
            </w:pPr>
            <w:r w:rsidRPr="008224B2">
              <w:rPr>
                <w:rFonts w:cs="Segoe UI"/>
                <w:kern w:val="2"/>
                <w:sz w:val="17"/>
                <w:szCs w:val="17"/>
                <w:lang w:val="en-US"/>
              </w:rPr>
              <w:t>4a</w:t>
            </w:r>
          </w:p>
        </w:tc>
        <w:tc>
          <w:tcPr>
            <w:tcW w:w="8770" w:type="dxa"/>
            <w:shd w:val="clear" w:color="auto" w:fill="auto"/>
          </w:tcPr>
          <w:p w14:paraId="44F4F22E" w14:textId="50A725F0" w:rsidR="00DC2A69" w:rsidRPr="00C734DB" w:rsidRDefault="00DC2A69" w:rsidP="00ED5DE9">
            <w:pPr>
              <w:autoSpaceDE w:val="0"/>
              <w:autoSpaceDN w:val="0"/>
              <w:adjustRightInd w:val="0"/>
              <w:jc w:val="both"/>
              <w:rPr>
                <w:i/>
                <w:color w:val="000000"/>
                <w:kern w:val="2"/>
                <w:sz w:val="17"/>
                <w:lang w:val="en-US"/>
              </w:rPr>
            </w:pPr>
            <w:r w:rsidRPr="008224B2">
              <w:rPr>
                <w:rFonts w:cs="Segoe UI"/>
                <w:i/>
                <w:iCs/>
                <w:color w:val="000000"/>
                <w:kern w:val="2"/>
                <w:sz w:val="17"/>
                <w:szCs w:val="17"/>
                <w:lang w:val="en-US"/>
              </w:rPr>
              <w:t xml:space="preserve">Total RWA (pre-floor): </w:t>
            </w:r>
            <w:r w:rsidRPr="008224B2">
              <w:rPr>
                <w:rFonts w:cs="Segoe UI"/>
                <w:color w:val="000000"/>
                <w:kern w:val="2"/>
                <w:sz w:val="17"/>
                <w:szCs w:val="17"/>
                <w:lang w:val="en-US"/>
              </w:rPr>
              <w:t>the disclosed amount should exclude any adjustment made to total RWA from the appl</w:t>
            </w:r>
            <w:r>
              <w:rPr>
                <w:rFonts w:cs="Segoe UI"/>
                <w:color w:val="000000"/>
                <w:kern w:val="2"/>
                <w:sz w:val="17"/>
                <w:szCs w:val="17"/>
                <w:lang w:val="en-US"/>
              </w:rPr>
              <w:t xml:space="preserve">ication of the output </w:t>
            </w:r>
            <w:r w:rsidRPr="0068770C">
              <w:rPr>
                <w:rFonts w:cs="Segoe UI"/>
                <w:color w:val="000000"/>
                <w:kern w:val="2"/>
                <w:sz w:val="17"/>
                <w:szCs w:val="17"/>
                <w:lang w:val="en-US"/>
              </w:rPr>
              <w:t>floor.  The value</w:t>
            </w:r>
            <w:r w:rsidR="00ED5DE9" w:rsidRPr="0068770C">
              <w:rPr>
                <w:rFonts w:cs="Segoe UI"/>
                <w:kern w:val="2"/>
                <w:sz w:val="17"/>
                <w:szCs w:val="17"/>
                <w:lang w:val="en-US"/>
              </w:rPr>
              <w:t xml:space="preserve"> </w:t>
            </w:r>
            <w:r w:rsidRPr="0068770C">
              <w:rPr>
                <w:rFonts w:cs="Segoe UI"/>
                <w:kern w:val="2"/>
                <w:sz w:val="17"/>
                <w:szCs w:val="17"/>
                <w:lang w:val="en-US"/>
              </w:rPr>
              <w:t>in [KM1:4a/a] should be equal to ([OV1:29/a] – [OV1:27/a]).  An AI that is not required to apply the output floor requirement may disclose the same value under row 4 and this row.</w:t>
            </w:r>
            <w:r>
              <w:rPr>
                <w:rFonts w:cs="Segoe UI"/>
                <w:kern w:val="2"/>
                <w:sz w:val="17"/>
                <w:szCs w:val="17"/>
                <w:lang w:val="en-US"/>
              </w:rPr>
              <w:t xml:space="preserve"> </w:t>
            </w:r>
          </w:p>
        </w:tc>
      </w:tr>
      <w:tr w:rsidR="00DC2A69" w:rsidRPr="00892D0C" w14:paraId="6F0D6CB6" w14:textId="77777777" w:rsidTr="00717E00">
        <w:tc>
          <w:tcPr>
            <w:tcW w:w="586" w:type="dxa"/>
            <w:shd w:val="clear" w:color="auto" w:fill="auto"/>
          </w:tcPr>
          <w:p w14:paraId="6783E625" w14:textId="77777777" w:rsidR="00DC2A69" w:rsidRPr="00C734DB" w:rsidRDefault="00DC2A69" w:rsidP="00717E00">
            <w:pPr>
              <w:rPr>
                <w:kern w:val="2"/>
                <w:sz w:val="17"/>
                <w:lang w:val="en-US"/>
              </w:rPr>
            </w:pPr>
            <w:r w:rsidRPr="00C734DB">
              <w:rPr>
                <w:kern w:val="2"/>
                <w:sz w:val="17"/>
                <w:lang w:val="en-US"/>
              </w:rPr>
              <w:t>5</w:t>
            </w:r>
            <w:r w:rsidRPr="008224B2">
              <w:rPr>
                <w:rFonts w:cs="Segoe UI"/>
                <w:kern w:val="2"/>
                <w:sz w:val="17"/>
                <w:szCs w:val="17"/>
                <w:lang w:val="en-US"/>
              </w:rPr>
              <w:t xml:space="preserve"> </w:t>
            </w:r>
            <w:r>
              <w:rPr>
                <w:rFonts w:cs="Segoe UI"/>
                <w:kern w:val="2"/>
                <w:sz w:val="17"/>
                <w:szCs w:val="17"/>
                <w:lang w:val="en-US"/>
              </w:rPr>
              <w:t>&amp; 5a</w:t>
            </w:r>
          </w:p>
        </w:tc>
        <w:tc>
          <w:tcPr>
            <w:tcW w:w="8770" w:type="dxa"/>
            <w:shd w:val="clear" w:color="auto" w:fill="auto"/>
          </w:tcPr>
          <w:p w14:paraId="4A210018" w14:textId="77777777" w:rsidR="00DC2A69" w:rsidRPr="00C734DB" w:rsidRDefault="00DC2A69" w:rsidP="00717E00">
            <w:pPr>
              <w:autoSpaceDE w:val="0"/>
              <w:autoSpaceDN w:val="0"/>
              <w:adjustRightInd w:val="0"/>
              <w:jc w:val="both"/>
              <w:rPr>
                <w:color w:val="000000"/>
                <w:kern w:val="2"/>
                <w:sz w:val="17"/>
                <w:lang w:val="en-US"/>
              </w:rPr>
            </w:pPr>
            <w:r w:rsidRPr="00C734DB">
              <w:rPr>
                <w:i/>
                <w:color w:val="000000"/>
                <w:kern w:val="2"/>
                <w:sz w:val="17"/>
                <w:lang w:val="en-US"/>
              </w:rPr>
              <w:t>CET1 ratio (%)</w:t>
            </w:r>
            <w:r w:rsidRPr="00C734DB">
              <w:rPr>
                <w:color w:val="000000"/>
                <w:kern w:val="2"/>
                <w:sz w:val="17"/>
                <w:lang w:val="en-US"/>
              </w:rPr>
              <w:t>: for an interim or annual reporting period, the value in [KM1:5</w:t>
            </w:r>
            <w:r>
              <w:rPr>
                <w:color w:val="000000"/>
                <w:kern w:val="2"/>
                <w:sz w:val="17"/>
                <w:lang w:val="en-US"/>
              </w:rPr>
              <w:t xml:space="preserve"> &amp; 5a</w:t>
            </w:r>
            <w:r w:rsidRPr="00C734DB">
              <w:rPr>
                <w:color w:val="000000"/>
                <w:kern w:val="2"/>
                <w:sz w:val="17"/>
                <w:lang w:val="en-US"/>
              </w:rPr>
              <w:t>/a] should be equal to the value in [CC1:61/a].</w:t>
            </w:r>
          </w:p>
        </w:tc>
      </w:tr>
      <w:tr w:rsidR="00DC2A69" w:rsidRPr="00892D0C" w14:paraId="218CC0A8" w14:textId="77777777" w:rsidTr="00717E00">
        <w:tc>
          <w:tcPr>
            <w:tcW w:w="586" w:type="dxa"/>
            <w:shd w:val="clear" w:color="auto" w:fill="auto"/>
          </w:tcPr>
          <w:p w14:paraId="711073B5" w14:textId="77777777" w:rsidR="00DC2A69" w:rsidRPr="00C734DB" w:rsidRDefault="00DC2A69" w:rsidP="00717E00">
            <w:pPr>
              <w:rPr>
                <w:kern w:val="2"/>
                <w:sz w:val="17"/>
                <w:lang w:val="en-US"/>
              </w:rPr>
            </w:pPr>
            <w:r>
              <w:rPr>
                <w:kern w:val="2"/>
                <w:sz w:val="17"/>
                <w:lang w:val="en-US"/>
              </w:rPr>
              <w:t>5b</w:t>
            </w:r>
          </w:p>
        </w:tc>
        <w:tc>
          <w:tcPr>
            <w:tcW w:w="8770" w:type="dxa"/>
            <w:shd w:val="clear" w:color="auto" w:fill="auto"/>
          </w:tcPr>
          <w:p w14:paraId="1F33CEAF" w14:textId="3767372A" w:rsidR="00DC2A69" w:rsidRPr="00C734DB" w:rsidRDefault="00DC2A69" w:rsidP="00717E00">
            <w:pPr>
              <w:autoSpaceDE w:val="0"/>
              <w:autoSpaceDN w:val="0"/>
              <w:adjustRightInd w:val="0"/>
              <w:jc w:val="both"/>
              <w:rPr>
                <w:i/>
                <w:color w:val="000000"/>
                <w:kern w:val="2"/>
                <w:sz w:val="17"/>
                <w:lang w:val="en-US"/>
              </w:rPr>
            </w:pPr>
            <w:r w:rsidRPr="008224B2">
              <w:rPr>
                <w:rFonts w:cs="Segoe UI"/>
                <w:i/>
                <w:iCs/>
                <w:color w:val="000000"/>
                <w:kern w:val="2"/>
                <w:sz w:val="17"/>
                <w:szCs w:val="17"/>
                <w:lang w:val="en-US"/>
              </w:rPr>
              <w:t>CET1 ratio</w:t>
            </w:r>
            <w:r w:rsidRPr="008224B2">
              <w:rPr>
                <w:rFonts w:cs="Segoe UI"/>
                <w:iCs/>
                <w:color w:val="000000"/>
                <w:kern w:val="2"/>
                <w:sz w:val="17"/>
                <w:szCs w:val="17"/>
                <w:lang w:val="en-US"/>
              </w:rPr>
              <w:t xml:space="preserve"> (%)</w:t>
            </w:r>
            <w:r w:rsidRPr="008224B2">
              <w:rPr>
                <w:rFonts w:cs="Segoe UI"/>
                <w:i/>
                <w:iCs/>
                <w:color w:val="000000"/>
                <w:kern w:val="2"/>
                <w:sz w:val="17"/>
                <w:szCs w:val="17"/>
                <w:lang w:val="en-US"/>
              </w:rPr>
              <w:t xml:space="preserve"> (pre-floor ratio): </w:t>
            </w:r>
            <w:r w:rsidRPr="008224B2">
              <w:rPr>
                <w:rFonts w:cs="Segoe UI"/>
                <w:color w:val="000000"/>
                <w:kern w:val="2"/>
                <w:sz w:val="17"/>
                <w:szCs w:val="17"/>
                <w:lang w:val="en-US"/>
              </w:rPr>
              <w:t>the disclosed ratio should exclude the impact of the output floor in the calculation of RWA.</w:t>
            </w:r>
            <w:r>
              <w:rPr>
                <w:rFonts w:cs="Segoe UI"/>
                <w:color w:val="000000"/>
                <w:kern w:val="2"/>
                <w:sz w:val="17"/>
                <w:szCs w:val="17"/>
                <w:lang w:val="en-US"/>
              </w:rPr>
              <w:t xml:space="preserve">  </w:t>
            </w:r>
            <w:r w:rsidRPr="0068770C">
              <w:rPr>
                <w:rFonts w:cs="Segoe UI"/>
                <w:kern w:val="2"/>
                <w:sz w:val="17"/>
                <w:szCs w:val="17"/>
                <w:lang w:val="en-US"/>
              </w:rPr>
              <w:t>An AI that is not required to apply the output floor requirement may disclose the same value under row 5 &amp; 5a and this row.</w:t>
            </w:r>
          </w:p>
        </w:tc>
      </w:tr>
      <w:tr w:rsidR="00DC2A69" w:rsidRPr="00892D0C" w14:paraId="6C7C2C5D" w14:textId="77777777" w:rsidTr="00717E00">
        <w:tc>
          <w:tcPr>
            <w:tcW w:w="586" w:type="dxa"/>
            <w:shd w:val="clear" w:color="auto" w:fill="auto"/>
          </w:tcPr>
          <w:p w14:paraId="2FC79F89" w14:textId="77777777" w:rsidR="00DC2A69" w:rsidRPr="00C734DB" w:rsidRDefault="00DC2A69" w:rsidP="00717E00">
            <w:pPr>
              <w:rPr>
                <w:kern w:val="2"/>
                <w:sz w:val="17"/>
                <w:lang w:val="en-US"/>
              </w:rPr>
            </w:pPr>
            <w:r w:rsidRPr="00C734DB">
              <w:rPr>
                <w:kern w:val="2"/>
                <w:sz w:val="17"/>
                <w:lang w:val="en-US"/>
              </w:rPr>
              <w:t>6</w:t>
            </w:r>
            <w:r>
              <w:rPr>
                <w:kern w:val="2"/>
                <w:sz w:val="17"/>
                <w:lang w:val="en-US"/>
              </w:rPr>
              <w:t xml:space="preserve"> &amp; 6a</w:t>
            </w:r>
          </w:p>
        </w:tc>
        <w:tc>
          <w:tcPr>
            <w:tcW w:w="8770" w:type="dxa"/>
            <w:shd w:val="clear" w:color="auto" w:fill="auto"/>
          </w:tcPr>
          <w:p w14:paraId="18400E95" w14:textId="77777777" w:rsidR="00DC2A69" w:rsidRPr="00C734DB" w:rsidRDefault="00DC2A69" w:rsidP="00717E00">
            <w:pPr>
              <w:autoSpaceDE w:val="0"/>
              <w:autoSpaceDN w:val="0"/>
              <w:adjustRightInd w:val="0"/>
              <w:jc w:val="both"/>
              <w:rPr>
                <w:color w:val="000000"/>
                <w:kern w:val="2"/>
                <w:sz w:val="17"/>
                <w:lang w:val="en-US"/>
              </w:rPr>
            </w:pPr>
            <w:r w:rsidRPr="00C734DB">
              <w:rPr>
                <w:i/>
                <w:color w:val="000000"/>
                <w:kern w:val="2"/>
                <w:sz w:val="17"/>
                <w:lang w:val="en-US"/>
              </w:rPr>
              <w:t>Tier 1 ratio (%)</w:t>
            </w:r>
            <w:r w:rsidRPr="00C734DB">
              <w:rPr>
                <w:color w:val="000000"/>
                <w:kern w:val="2"/>
                <w:sz w:val="17"/>
                <w:lang w:val="en-US"/>
              </w:rPr>
              <w:t>: for an interim or annual reporting period, the value in [KM1:6</w:t>
            </w:r>
            <w:r>
              <w:rPr>
                <w:color w:val="000000"/>
                <w:kern w:val="2"/>
                <w:sz w:val="17"/>
                <w:lang w:val="en-US"/>
              </w:rPr>
              <w:t xml:space="preserve"> &amp; 6a</w:t>
            </w:r>
            <w:r w:rsidRPr="00C734DB">
              <w:rPr>
                <w:color w:val="000000"/>
                <w:kern w:val="2"/>
                <w:sz w:val="17"/>
                <w:lang w:val="en-US"/>
              </w:rPr>
              <w:t>/a] should be equal to the value in [CC1:62/a].</w:t>
            </w:r>
          </w:p>
        </w:tc>
      </w:tr>
      <w:tr w:rsidR="00DC2A69" w:rsidRPr="00892D0C" w14:paraId="20387F85" w14:textId="77777777" w:rsidTr="00717E00">
        <w:tc>
          <w:tcPr>
            <w:tcW w:w="586" w:type="dxa"/>
            <w:shd w:val="clear" w:color="auto" w:fill="auto"/>
          </w:tcPr>
          <w:p w14:paraId="72BEDB80" w14:textId="77777777" w:rsidR="00DC2A69" w:rsidRPr="00C734DB" w:rsidRDefault="00DC2A69" w:rsidP="00717E00">
            <w:pPr>
              <w:rPr>
                <w:kern w:val="2"/>
                <w:sz w:val="17"/>
                <w:lang w:val="en-US"/>
              </w:rPr>
            </w:pPr>
            <w:r>
              <w:rPr>
                <w:kern w:val="2"/>
                <w:sz w:val="17"/>
                <w:lang w:val="en-US"/>
              </w:rPr>
              <w:t>6b</w:t>
            </w:r>
          </w:p>
        </w:tc>
        <w:tc>
          <w:tcPr>
            <w:tcW w:w="8770" w:type="dxa"/>
            <w:shd w:val="clear" w:color="auto" w:fill="auto"/>
          </w:tcPr>
          <w:p w14:paraId="1EF7B71C" w14:textId="0DBC0AF8" w:rsidR="00DC2A69" w:rsidRPr="00E15ECA" w:rsidRDefault="00DC2A69" w:rsidP="00717E00">
            <w:pPr>
              <w:autoSpaceDE w:val="0"/>
              <w:autoSpaceDN w:val="0"/>
              <w:adjustRightInd w:val="0"/>
              <w:jc w:val="both"/>
              <w:rPr>
                <w:i/>
                <w:color w:val="000000"/>
                <w:kern w:val="2"/>
                <w:sz w:val="17"/>
              </w:rPr>
            </w:pPr>
            <w:r w:rsidRPr="008224B2">
              <w:rPr>
                <w:rFonts w:cs="Segoe UI"/>
                <w:i/>
                <w:iCs/>
                <w:color w:val="000000"/>
                <w:kern w:val="2"/>
                <w:sz w:val="17"/>
                <w:szCs w:val="17"/>
                <w:lang w:val="en-US"/>
              </w:rPr>
              <w:t>Tier 1 ratio (%) (pre-floor ratio)</w:t>
            </w:r>
            <w:r w:rsidRPr="008224B2">
              <w:rPr>
                <w:rFonts w:cs="Segoe UI"/>
                <w:iCs/>
                <w:color w:val="000000"/>
                <w:kern w:val="2"/>
                <w:sz w:val="17"/>
                <w:szCs w:val="17"/>
                <w:lang w:val="en-US"/>
              </w:rPr>
              <w:t xml:space="preserve">: </w:t>
            </w:r>
            <w:r w:rsidRPr="008224B2">
              <w:rPr>
                <w:rFonts w:cs="Segoe UI"/>
                <w:color w:val="000000"/>
                <w:kern w:val="2"/>
                <w:sz w:val="17"/>
                <w:szCs w:val="17"/>
                <w:lang w:val="en-US"/>
              </w:rPr>
              <w:t>the disclosed ratio should exclude the impact of the output floor in the calculation of RWA.</w:t>
            </w:r>
            <w:r>
              <w:rPr>
                <w:rFonts w:cs="Segoe UI"/>
                <w:color w:val="000000"/>
                <w:kern w:val="2"/>
                <w:sz w:val="17"/>
                <w:szCs w:val="17"/>
                <w:lang w:val="en-US"/>
              </w:rPr>
              <w:t xml:space="preserve">  </w:t>
            </w:r>
            <w:r w:rsidRPr="0068770C">
              <w:rPr>
                <w:rFonts w:cs="Segoe UI"/>
                <w:kern w:val="2"/>
                <w:sz w:val="17"/>
                <w:szCs w:val="17"/>
                <w:lang w:val="en-US"/>
              </w:rPr>
              <w:t>An AI that is not required to apply the output floor requirement may disclose the same value under row 6 &amp; 6a and this row.</w:t>
            </w:r>
          </w:p>
        </w:tc>
      </w:tr>
      <w:tr w:rsidR="00DC2A69" w:rsidRPr="00DD37B8" w14:paraId="426BE262" w14:textId="77777777" w:rsidTr="00717E00">
        <w:tc>
          <w:tcPr>
            <w:tcW w:w="586" w:type="dxa"/>
            <w:shd w:val="clear" w:color="auto" w:fill="auto"/>
          </w:tcPr>
          <w:p w14:paraId="3280DCB2" w14:textId="77777777" w:rsidR="00DC2A69" w:rsidRPr="00C734DB" w:rsidRDefault="00DC2A69" w:rsidP="00717E00">
            <w:pPr>
              <w:rPr>
                <w:kern w:val="2"/>
                <w:sz w:val="17"/>
                <w:lang w:val="en-US"/>
              </w:rPr>
            </w:pPr>
            <w:r w:rsidRPr="00C734DB">
              <w:rPr>
                <w:kern w:val="2"/>
                <w:sz w:val="17"/>
                <w:lang w:val="en-US"/>
              </w:rPr>
              <w:t>7</w:t>
            </w:r>
            <w:r>
              <w:rPr>
                <w:kern w:val="2"/>
                <w:sz w:val="17"/>
                <w:lang w:val="en-US"/>
              </w:rPr>
              <w:t xml:space="preserve"> &amp; 7a</w:t>
            </w:r>
          </w:p>
        </w:tc>
        <w:tc>
          <w:tcPr>
            <w:tcW w:w="8770" w:type="dxa"/>
            <w:shd w:val="clear" w:color="auto" w:fill="auto"/>
          </w:tcPr>
          <w:p w14:paraId="149F682A" w14:textId="77777777" w:rsidR="00DC2A69" w:rsidRPr="00C734DB" w:rsidRDefault="00DC2A69" w:rsidP="00717E00">
            <w:pPr>
              <w:autoSpaceDE w:val="0"/>
              <w:autoSpaceDN w:val="0"/>
              <w:adjustRightInd w:val="0"/>
              <w:jc w:val="both"/>
              <w:rPr>
                <w:color w:val="000000"/>
                <w:kern w:val="2"/>
                <w:sz w:val="17"/>
                <w:lang w:val="en-US"/>
              </w:rPr>
            </w:pPr>
            <w:r w:rsidRPr="00C734DB">
              <w:rPr>
                <w:i/>
                <w:color w:val="000000"/>
                <w:kern w:val="2"/>
                <w:sz w:val="17"/>
                <w:lang w:val="en-US"/>
              </w:rPr>
              <w:t>Total capital ratio (%)</w:t>
            </w:r>
            <w:r w:rsidRPr="00C734DB">
              <w:rPr>
                <w:color w:val="000000"/>
                <w:kern w:val="2"/>
                <w:sz w:val="17"/>
                <w:lang w:val="en-US"/>
              </w:rPr>
              <w:t>: for an interim or annual reporting period, the value in [KM1:7</w:t>
            </w:r>
            <w:r>
              <w:rPr>
                <w:color w:val="000000"/>
                <w:kern w:val="2"/>
                <w:sz w:val="17"/>
                <w:lang w:val="en-US"/>
              </w:rPr>
              <w:t xml:space="preserve"> &amp; 7a</w:t>
            </w:r>
            <w:r w:rsidRPr="00C734DB">
              <w:rPr>
                <w:color w:val="000000"/>
                <w:kern w:val="2"/>
                <w:sz w:val="17"/>
                <w:lang w:val="en-US"/>
              </w:rPr>
              <w:t>/a] should be equal to the value in [CC1:63/a].</w:t>
            </w:r>
          </w:p>
        </w:tc>
      </w:tr>
      <w:tr w:rsidR="00DC2A69" w:rsidRPr="00DD37B8" w14:paraId="337E9818" w14:textId="77777777" w:rsidTr="00717E00">
        <w:tc>
          <w:tcPr>
            <w:tcW w:w="586" w:type="dxa"/>
            <w:shd w:val="clear" w:color="auto" w:fill="auto"/>
          </w:tcPr>
          <w:p w14:paraId="3FD89C3F" w14:textId="77777777" w:rsidR="00DC2A69" w:rsidRPr="00C734DB" w:rsidRDefault="00DC2A69" w:rsidP="00717E00">
            <w:pPr>
              <w:rPr>
                <w:kern w:val="2"/>
                <w:sz w:val="17"/>
                <w:lang w:val="en-US"/>
              </w:rPr>
            </w:pPr>
            <w:r w:rsidRPr="008224B2">
              <w:rPr>
                <w:rFonts w:cs="Segoe UI"/>
                <w:kern w:val="2"/>
                <w:sz w:val="17"/>
                <w:szCs w:val="17"/>
                <w:lang w:val="en-US"/>
              </w:rPr>
              <w:t>7b</w:t>
            </w:r>
          </w:p>
        </w:tc>
        <w:tc>
          <w:tcPr>
            <w:tcW w:w="8770" w:type="dxa"/>
            <w:shd w:val="clear" w:color="auto" w:fill="auto"/>
          </w:tcPr>
          <w:p w14:paraId="73EF0423" w14:textId="01FD953A" w:rsidR="00DC2A69" w:rsidRPr="00C42E5C" w:rsidRDefault="00DC2A69" w:rsidP="00717E00">
            <w:pPr>
              <w:autoSpaceDE w:val="0"/>
              <w:autoSpaceDN w:val="0"/>
              <w:adjustRightInd w:val="0"/>
              <w:jc w:val="both"/>
              <w:rPr>
                <w:i/>
                <w:color w:val="000000"/>
                <w:kern w:val="2"/>
                <w:sz w:val="17"/>
              </w:rPr>
            </w:pPr>
            <w:r w:rsidRPr="008224B2">
              <w:rPr>
                <w:rFonts w:cs="Segoe UI"/>
                <w:i/>
                <w:iCs/>
                <w:color w:val="000000"/>
                <w:kern w:val="2"/>
                <w:sz w:val="17"/>
                <w:szCs w:val="17"/>
                <w:lang w:val="en-US"/>
              </w:rPr>
              <w:t>Total capital ratio (%) (pre-floor ratio)</w:t>
            </w:r>
            <w:r w:rsidRPr="008224B2">
              <w:rPr>
                <w:rFonts w:cs="Segoe UI"/>
                <w:iCs/>
                <w:color w:val="000000"/>
                <w:kern w:val="2"/>
                <w:sz w:val="17"/>
                <w:szCs w:val="17"/>
                <w:lang w:val="en-US"/>
              </w:rPr>
              <w:t xml:space="preserve">: </w:t>
            </w:r>
            <w:r w:rsidRPr="008224B2">
              <w:rPr>
                <w:rFonts w:cs="Segoe UI"/>
                <w:color w:val="000000"/>
                <w:kern w:val="2"/>
                <w:sz w:val="17"/>
                <w:szCs w:val="17"/>
                <w:lang w:val="en-US"/>
              </w:rPr>
              <w:t xml:space="preserve">the disclosed ratio should exclude the impact of the output floor in the calculation of </w:t>
            </w:r>
            <w:r w:rsidRPr="0068770C">
              <w:rPr>
                <w:rFonts w:cs="Segoe UI"/>
                <w:color w:val="000000"/>
                <w:kern w:val="2"/>
                <w:sz w:val="17"/>
                <w:szCs w:val="17"/>
                <w:lang w:val="en-US"/>
              </w:rPr>
              <w:t xml:space="preserve">RWA.  </w:t>
            </w:r>
            <w:r w:rsidRPr="0068770C">
              <w:rPr>
                <w:rFonts w:cs="Segoe UI"/>
                <w:kern w:val="2"/>
                <w:sz w:val="17"/>
                <w:szCs w:val="17"/>
                <w:lang w:val="en-US"/>
              </w:rPr>
              <w:t>An AI that is not required to apply the output floor requirement may disclose the same value under row 7 &amp; 7a and this row.</w:t>
            </w:r>
          </w:p>
        </w:tc>
      </w:tr>
      <w:tr w:rsidR="00DC2A69" w:rsidRPr="00892D0C" w14:paraId="20AD937E" w14:textId="77777777" w:rsidTr="00717E00">
        <w:tc>
          <w:tcPr>
            <w:tcW w:w="586" w:type="dxa"/>
            <w:shd w:val="clear" w:color="auto" w:fill="auto"/>
          </w:tcPr>
          <w:p w14:paraId="1A9DA16B" w14:textId="77777777" w:rsidR="00DC2A69" w:rsidRPr="00C734DB" w:rsidRDefault="00DC2A69" w:rsidP="00717E00">
            <w:pPr>
              <w:rPr>
                <w:kern w:val="2"/>
                <w:sz w:val="17"/>
                <w:lang w:val="en-US"/>
              </w:rPr>
            </w:pPr>
            <w:r w:rsidRPr="00C734DB">
              <w:rPr>
                <w:kern w:val="2"/>
                <w:sz w:val="17"/>
                <w:lang w:val="en-US"/>
              </w:rPr>
              <w:t>8</w:t>
            </w:r>
          </w:p>
        </w:tc>
        <w:tc>
          <w:tcPr>
            <w:tcW w:w="8770" w:type="dxa"/>
            <w:shd w:val="clear" w:color="auto" w:fill="auto"/>
          </w:tcPr>
          <w:p w14:paraId="2C465166" w14:textId="77777777" w:rsidR="00DC2A69" w:rsidRPr="00C734DB" w:rsidRDefault="00DC2A69" w:rsidP="00717E00">
            <w:pPr>
              <w:autoSpaceDE w:val="0"/>
              <w:autoSpaceDN w:val="0"/>
              <w:adjustRightInd w:val="0"/>
              <w:jc w:val="both"/>
              <w:rPr>
                <w:color w:val="000000"/>
                <w:kern w:val="2"/>
                <w:sz w:val="17"/>
                <w:lang w:val="en-US"/>
              </w:rPr>
            </w:pPr>
            <w:r w:rsidRPr="00C734DB">
              <w:rPr>
                <w:i/>
                <w:color w:val="000000"/>
                <w:kern w:val="2"/>
                <w:sz w:val="17"/>
                <w:lang w:val="en-US"/>
              </w:rPr>
              <w:t>Capital conservation buffer requirement (%)</w:t>
            </w:r>
            <w:r w:rsidRPr="00C734DB">
              <w:rPr>
                <w:color w:val="000000"/>
                <w:kern w:val="2"/>
                <w:sz w:val="17"/>
                <w:lang w:val="en-US"/>
              </w:rPr>
              <w:t>: for an interim or annual reporting period, the value in [KM1:8/a] should be equal to the value in [CC1:65/a].</w:t>
            </w:r>
          </w:p>
        </w:tc>
      </w:tr>
      <w:tr w:rsidR="00DC2A69" w:rsidRPr="00892D0C" w14:paraId="0609FCCF" w14:textId="77777777" w:rsidTr="00717E00">
        <w:tc>
          <w:tcPr>
            <w:tcW w:w="586" w:type="dxa"/>
            <w:shd w:val="clear" w:color="auto" w:fill="auto"/>
          </w:tcPr>
          <w:p w14:paraId="3E000FA8" w14:textId="77777777" w:rsidR="00DC2A69" w:rsidRPr="00C734DB" w:rsidRDefault="00DC2A69" w:rsidP="00717E00">
            <w:pPr>
              <w:rPr>
                <w:kern w:val="2"/>
                <w:sz w:val="17"/>
                <w:lang w:val="en-US"/>
              </w:rPr>
            </w:pPr>
            <w:r w:rsidRPr="00C734DB">
              <w:rPr>
                <w:kern w:val="2"/>
                <w:sz w:val="17"/>
                <w:lang w:val="en-US"/>
              </w:rPr>
              <w:t>9</w:t>
            </w:r>
          </w:p>
        </w:tc>
        <w:tc>
          <w:tcPr>
            <w:tcW w:w="8770" w:type="dxa"/>
            <w:shd w:val="clear" w:color="auto" w:fill="auto"/>
          </w:tcPr>
          <w:p w14:paraId="2365736E" w14:textId="77777777" w:rsidR="00DC2A69" w:rsidRPr="00C734DB" w:rsidRDefault="00DC2A69" w:rsidP="00717E00">
            <w:pPr>
              <w:autoSpaceDE w:val="0"/>
              <w:autoSpaceDN w:val="0"/>
              <w:adjustRightInd w:val="0"/>
              <w:jc w:val="both"/>
              <w:rPr>
                <w:color w:val="000000"/>
                <w:kern w:val="2"/>
                <w:sz w:val="17"/>
                <w:lang w:val="en-US"/>
              </w:rPr>
            </w:pPr>
            <w:r w:rsidRPr="00C734DB">
              <w:rPr>
                <w:i/>
                <w:color w:val="000000"/>
                <w:kern w:val="2"/>
                <w:sz w:val="17"/>
                <w:lang w:val="en-US"/>
              </w:rPr>
              <w:t>Countercyclical capital buffer requirement (%)</w:t>
            </w:r>
            <w:r w:rsidRPr="00C734DB">
              <w:rPr>
                <w:color w:val="000000"/>
                <w:kern w:val="2"/>
                <w:sz w:val="17"/>
                <w:lang w:val="en-US"/>
              </w:rPr>
              <w:t>: for an interim or annual reporting period, the value in [KM1:9/a] should be equal to the value in [CC1:66/a].</w:t>
            </w:r>
          </w:p>
        </w:tc>
      </w:tr>
      <w:tr w:rsidR="00DC2A69" w:rsidRPr="00892D0C" w14:paraId="338D2D06" w14:textId="77777777" w:rsidTr="00717E00">
        <w:tc>
          <w:tcPr>
            <w:tcW w:w="586" w:type="dxa"/>
            <w:shd w:val="clear" w:color="auto" w:fill="auto"/>
          </w:tcPr>
          <w:p w14:paraId="48344D5E" w14:textId="77777777" w:rsidR="00DC2A69" w:rsidRPr="00C734DB" w:rsidRDefault="00DC2A69" w:rsidP="00717E00">
            <w:pPr>
              <w:rPr>
                <w:kern w:val="2"/>
                <w:sz w:val="17"/>
                <w:lang w:val="en-US"/>
              </w:rPr>
            </w:pPr>
            <w:r w:rsidRPr="00C734DB">
              <w:rPr>
                <w:kern w:val="2"/>
                <w:sz w:val="17"/>
                <w:lang w:val="en-US"/>
              </w:rPr>
              <w:t>10</w:t>
            </w:r>
          </w:p>
        </w:tc>
        <w:tc>
          <w:tcPr>
            <w:tcW w:w="8770" w:type="dxa"/>
            <w:shd w:val="clear" w:color="auto" w:fill="auto"/>
          </w:tcPr>
          <w:p w14:paraId="1988E385" w14:textId="77777777" w:rsidR="00DC2A69" w:rsidRPr="00C734DB" w:rsidRDefault="00DC2A69" w:rsidP="00717E00">
            <w:pPr>
              <w:autoSpaceDE w:val="0"/>
              <w:autoSpaceDN w:val="0"/>
              <w:adjustRightInd w:val="0"/>
              <w:jc w:val="both"/>
              <w:rPr>
                <w:color w:val="000000"/>
                <w:kern w:val="2"/>
                <w:sz w:val="17"/>
                <w:lang w:val="en-US"/>
              </w:rPr>
            </w:pPr>
            <w:r w:rsidRPr="00C734DB">
              <w:rPr>
                <w:i/>
                <w:color w:val="000000"/>
                <w:kern w:val="2"/>
                <w:sz w:val="17"/>
                <w:lang w:val="en-US"/>
              </w:rPr>
              <w:t>Higher loss absorbency requirements (%) (applicable only to G-SIBs or D-SIBs)</w:t>
            </w:r>
            <w:r w:rsidRPr="00C734DB">
              <w:rPr>
                <w:color w:val="000000"/>
                <w:kern w:val="2"/>
                <w:sz w:val="17"/>
                <w:lang w:val="en-US"/>
              </w:rPr>
              <w:t>: for an interim or annual reporting period, the value in [KM1:10/a] should be equal to the value in [CC1:67/a].</w:t>
            </w:r>
          </w:p>
        </w:tc>
      </w:tr>
      <w:tr w:rsidR="00DC2A69" w:rsidRPr="00892D0C" w14:paraId="011AE651" w14:textId="77777777" w:rsidTr="00717E00">
        <w:tc>
          <w:tcPr>
            <w:tcW w:w="586" w:type="dxa"/>
            <w:shd w:val="clear" w:color="auto" w:fill="auto"/>
          </w:tcPr>
          <w:p w14:paraId="4A051280" w14:textId="77777777" w:rsidR="00DC2A69" w:rsidRPr="00C734DB" w:rsidRDefault="00DC2A69" w:rsidP="00717E00">
            <w:pPr>
              <w:rPr>
                <w:kern w:val="2"/>
                <w:sz w:val="17"/>
                <w:lang w:val="en-US"/>
              </w:rPr>
            </w:pPr>
            <w:r w:rsidRPr="00C734DB">
              <w:rPr>
                <w:kern w:val="2"/>
                <w:sz w:val="17"/>
                <w:lang w:val="en-US"/>
              </w:rPr>
              <w:t>11</w:t>
            </w:r>
          </w:p>
        </w:tc>
        <w:tc>
          <w:tcPr>
            <w:tcW w:w="8770" w:type="dxa"/>
            <w:shd w:val="clear" w:color="auto" w:fill="auto"/>
          </w:tcPr>
          <w:p w14:paraId="3FA391BD" w14:textId="77777777" w:rsidR="00DC2A69" w:rsidRPr="00C734DB" w:rsidRDefault="00DC2A69" w:rsidP="00717E00">
            <w:pPr>
              <w:autoSpaceDE w:val="0"/>
              <w:autoSpaceDN w:val="0"/>
              <w:adjustRightInd w:val="0"/>
              <w:jc w:val="both"/>
              <w:rPr>
                <w:color w:val="000000"/>
                <w:kern w:val="2"/>
                <w:sz w:val="17"/>
                <w:lang w:val="en-US"/>
              </w:rPr>
            </w:pPr>
            <w:r w:rsidRPr="00C734DB">
              <w:rPr>
                <w:i/>
                <w:color w:val="000000"/>
                <w:kern w:val="2"/>
                <w:sz w:val="17"/>
                <w:lang w:val="en-US"/>
              </w:rPr>
              <w:t>Total AI-</w:t>
            </w:r>
            <w:r w:rsidRPr="0068770C">
              <w:rPr>
                <w:i/>
                <w:color w:val="000000"/>
                <w:kern w:val="2"/>
                <w:sz w:val="17"/>
                <w:lang w:val="en-US"/>
              </w:rPr>
              <w:t>specific CET1 buffer</w:t>
            </w:r>
            <w:r w:rsidRPr="00C734DB">
              <w:rPr>
                <w:i/>
                <w:color w:val="000000"/>
                <w:kern w:val="2"/>
                <w:sz w:val="17"/>
                <w:lang w:val="en-US"/>
              </w:rPr>
              <w:t xml:space="preserve"> requirements (%):</w:t>
            </w:r>
            <w:r w:rsidRPr="00C734DB">
              <w:rPr>
                <w:color w:val="000000"/>
                <w:kern w:val="2"/>
                <w:sz w:val="17"/>
                <w:lang w:val="en-US"/>
              </w:rPr>
              <w:t xml:space="preserve"> this is equal to the sum of values in rows 8, 9 and 10.</w:t>
            </w:r>
          </w:p>
        </w:tc>
      </w:tr>
      <w:tr w:rsidR="00DC2A69" w:rsidRPr="00892D0C" w14:paraId="4E191946" w14:textId="77777777" w:rsidTr="00717E00">
        <w:tc>
          <w:tcPr>
            <w:tcW w:w="586" w:type="dxa"/>
            <w:shd w:val="clear" w:color="auto" w:fill="auto"/>
          </w:tcPr>
          <w:p w14:paraId="00025F10" w14:textId="77777777" w:rsidR="00DC2A69" w:rsidRPr="00C734DB" w:rsidRDefault="00DC2A69" w:rsidP="00717E00">
            <w:pPr>
              <w:rPr>
                <w:kern w:val="2"/>
                <w:sz w:val="17"/>
                <w:lang w:val="en-US"/>
              </w:rPr>
            </w:pPr>
            <w:r w:rsidRPr="00C734DB">
              <w:rPr>
                <w:kern w:val="2"/>
                <w:sz w:val="17"/>
                <w:lang w:val="en-US"/>
              </w:rPr>
              <w:t>12</w:t>
            </w:r>
          </w:p>
        </w:tc>
        <w:tc>
          <w:tcPr>
            <w:tcW w:w="8770" w:type="dxa"/>
            <w:shd w:val="clear" w:color="auto" w:fill="auto"/>
          </w:tcPr>
          <w:p w14:paraId="76058DAD" w14:textId="77777777" w:rsidR="00DC2A69" w:rsidRPr="00C734DB" w:rsidRDefault="00DC2A69" w:rsidP="00717E00">
            <w:pPr>
              <w:autoSpaceDE w:val="0"/>
              <w:autoSpaceDN w:val="0"/>
              <w:adjustRightInd w:val="0"/>
              <w:jc w:val="both"/>
              <w:rPr>
                <w:color w:val="000000"/>
                <w:kern w:val="2"/>
                <w:sz w:val="17"/>
                <w:lang w:val="en-US"/>
              </w:rPr>
            </w:pPr>
            <w:r w:rsidRPr="00C734DB">
              <w:rPr>
                <w:i/>
                <w:color w:val="000000"/>
                <w:kern w:val="2"/>
                <w:sz w:val="17"/>
                <w:lang w:val="en-US"/>
              </w:rPr>
              <w:t>CET1 available after meeting the AI’s minimum capital requirements (%)</w:t>
            </w:r>
            <w:r w:rsidRPr="00C734DB">
              <w:rPr>
                <w:color w:val="000000"/>
                <w:kern w:val="2"/>
                <w:sz w:val="17"/>
                <w:lang w:val="en-US"/>
              </w:rPr>
              <w:t xml:space="preserve">: it may not necessarily refer to the difference between </w:t>
            </w:r>
            <w:r w:rsidRPr="00C734DB">
              <w:rPr>
                <w:kern w:val="2"/>
                <w:sz w:val="17"/>
                <w:lang w:val="en-US"/>
              </w:rPr>
              <w:t>CET1 ratio</w:t>
            </w:r>
            <w:r w:rsidRPr="00C734DB">
              <w:rPr>
                <w:color w:val="000000"/>
                <w:kern w:val="2"/>
                <w:sz w:val="17"/>
                <w:lang w:val="en-US"/>
              </w:rPr>
              <w:t xml:space="preserve"> (row 5</w:t>
            </w:r>
            <w:r>
              <w:rPr>
                <w:color w:val="000000"/>
                <w:kern w:val="2"/>
                <w:sz w:val="17"/>
                <w:lang w:val="en-US"/>
              </w:rPr>
              <w:t xml:space="preserve"> &amp; 5a</w:t>
            </w:r>
            <w:r w:rsidRPr="00C734DB">
              <w:rPr>
                <w:color w:val="000000"/>
                <w:kern w:val="2"/>
                <w:sz w:val="17"/>
                <w:lang w:val="en-US"/>
              </w:rPr>
              <w:t>) and the 4.5% minimum CET1 requirement under BCR §3B as an AI may have used CET1 capital to meet its minimum Tier 1 and/or total capital requirements.  For an interim or annual reporting period, the value in [KM1:12/a] should be equal to the value in [CC1:68/a].</w:t>
            </w:r>
          </w:p>
        </w:tc>
      </w:tr>
      <w:tr w:rsidR="00DC2A69" w:rsidRPr="00892D0C" w14:paraId="4A482C4C" w14:textId="77777777" w:rsidTr="00717E00">
        <w:tc>
          <w:tcPr>
            <w:tcW w:w="586" w:type="dxa"/>
            <w:shd w:val="clear" w:color="auto" w:fill="auto"/>
          </w:tcPr>
          <w:p w14:paraId="33EB63E1" w14:textId="77777777" w:rsidR="00DC2A69" w:rsidRPr="00C734DB" w:rsidRDefault="00DC2A69" w:rsidP="00717E00">
            <w:pPr>
              <w:rPr>
                <w:kern w:val="2"/>
                <w:sz w:val="17"/>
                <w:lang w:val="en-US"/>
              </w:rPr>
            </w:pPr>
            <w:r w:rsidRPr="00C734DB">
              <w:rPr>
                <w:kern w:val="2"/>
                <w:sz w:val="17"/>
                <w:lang w:val="en-US"/>
              </w:rPr>
              <w:t>13</w:t>
            </w:r>
          </w:p>
        </w:tc>
        <w:tc>
          <w:tcPr>
            <w:tcW w:w="8770" w:type="dxa"/>
            <w:shd w:val="clear" w:color="auto" w:fill="auto"/>
          </w:tcPr>
          <w:p w14:paraId="68637338" w14:textId="12780AEA" w:rsidR="00DC2A69" w:rsidRPr="00C734DB" w:rsidRDefault="00DC2A69" w:rsidP="00717E00">
            <w:pPr>
              <w:autoSpaceDE w:val="0"/>
              <w:autoSpaceDN w:val="0"/>
              <w:adjustRightInd w:val="0"/>
              <w:jc w:val="both"/>
              <w:rPr>
                <w:color w:val="000000"/>
                <w:kern w:val="2"/>
                <w:sz w:val="17"/>
                <w:lang w:val="en-US"/>
              </w:rPr>
            </w:pPr>
            <w:r w:rsidRPr="00C734DB">
              <w:rPr>
                <w:i/>
                <w:color w:val="000000"/>
                <w:kern w:val="2"/>
                <w:sz w:val="17"/>
                <w:lang w:val="en-US"/>
              </w:rPr>
              <w:t>Total leverage ratio (LR) exposure measure</w:t>
            </w:r>
            <w:r w:rsidRPr="00C734DB">
              <w:rPr>
                <w:color w:val="000000"/>
                <w:kern w:val="2"/>
                <w:sz w:val="17"/>
                <w:lang w:val="en-US"/>
              </w:rPr>
              <w:t xml:space="preserve">: </w:t>
            </w:r>
            <w:r>
              <w:rPr>
                <w:color w:val="000000"/>
                <w:kern w:val="2"/>
                <w:sz w:val="17"/>
                <w:lang w:val="en-US"/>
              </w:rPr>
              <w:t xml:space="preserve">it should accord with </w:t>
            </w:r>
            <w:r w:rsidRPr="00C734DB">
              <w:rPr>
                <w:color w:val="000000"/>
                <w:kern w:val="2"/>
                <w:sz w:val="17"/>
                <w:lang w:val="en-US"/>
              </w:rPr>
              <w:t xml:space="preserve">the specifications set out in Templates LR1 and LR2. </w:t>
            </w:r>
            <w:r w:rsidRPr="00C734DB">
              <w:rPr>
                <w:rFonts w:hint="eastAsia"/>
                <w:color w:val="000000"/>
                <w:kern w:val="2"/>
                <w:sz w:val="17"/>
                <w:lang w:val="en-US"/>
              </w:rPr>
              <w:t xml:space="preserve"> </w:t>
            </w:r>
            <w:r w:rsidRPr="00C734DB">
              <w:rPr>
                <w:color w:val="000000"/>
                <w:kern w:val="2"/>
                <w:sz w:val="17"/>
                <w:lang w:val="en-US"/>
              </w:rPr>
              <w:t>The value in [KM1:13/a] should be equal to the value in [LR2:</w:t>
            </w:r>
            <w:r>
              <w:rPr>
                <w:rFonts w:cs="Segoe UI"/>
                <w:color w:val="000000"/>
                <w:kern w:val="2"/>
                <w:sz w:val="17"/>
                <w:szCs w:val="17"/>
                <w:lang w:val="en-US"/>
              </w:rPr>
              <w:t>24</w:t>
            </w:r>
            <w:r w:rsidRPr="00C734DB">
              <w:rPr>
                <w:color w:val="000000"/>
                <w:kern w:val="2"/>
                <w:sz w:val="17"/>
                <w:lang w:val="en-US"/>
              </w:rPr>
              <w:t>/a].</w:t>
            </w:r>
          </w:p>
        </w:tc>
      </w:tr>
      <w:tr w:rsidR="00DC2A69" w:rsidRPr="00892D0C" w14:paraId="40FA975D" w14:textId="77777777" w:rsidTr="00717E00">
        <w:tc>
          <w:tcPr>
            <w:tcW w:w="586" w:type="dxa"/>
            <w:shd w:val="clear" w:color="auto" w:fill="auto"/>
          </w:tcPr>
          <w:p w14:paraId="4DD82A3D" w14:textId="77777777" w:rsidR="00DC2A69" w:rsidRPr="00C734DB" w:rsidRDefault="00DC2A69" w:rsidP="00717E00">
            <w:pPr>
              <w:rPr>
                <w:kern w:val="2"/>
                <w:sz w:val="17"/>
                <w:lang w:val="en-US"/>
              </w:rPr>
            </w:pPr>
            <w:r w:rsidRPr="008224B2">
              <w:rPr>
                <w:rFonts w:cs="Segoe UI"/>
                <w:kern w:val="2"/>
                <w:sz w:val="17"/>
                <w:szCs w:val="17"/>
                <w:lang w:val="en-US"/>
              </w:rPr>
              <w:t>13a</w:t>
            </w:r>
          </w:p>
        </w:tc>
        <w:tc>
          <w:tcPr>
            <w:tcW w:w="8770" w:type="dxa"/>
            <w:shd w:val="clear" w:color="auto" w:fill="auto"/>
          </w:tcPr>
          <w:p w14:paraId="78D93CB3" w14:textId="22476B22" w:rsidR="00DC2A69" w:rsidRPr="00C734DB" w:rsidRDefault="00DC2A69" w:rsidP="00717E00">
            <w:pPr>
              <w:autoSpaceDE w:val="0"/>
              <w:autoSpaceDN w:val="0"/>
              <w:adjustRightInd w:val="0"/>
              <w:jc w:val="both"/>
              <w:rPr>
                <w:i/>
                <w:color w:val="000000"/>
                <w:kern w:val="2"/>
                <w:sz w:val="17"/>
                <w:lang w:val="en-US"/>
              </w:rPr>
            </w:pPr>
            <w:r w:rsidRPr="008224B2">
              <w:rPr>
                <w:rFonts w:cs="Segoe UI"/>
                <w:i/>
                <w:iCs/>
                <w:color w:val="000000"/>
                <w:kern w:val="2"/>
                <w:sz w:val="17"/>
                <w:szCs w:val="17"/>
                <w:lang w:val="en-US"/>
              </w:rPr>
              <w:t xml:space="preserve">LR exposure measure </w:t>
            </w:r>
            <w:r>
              <w:rPr>
                <w:rFonts w:cs="Segoe UI"/>
                <w:i/>
                <w:iCs/>
                <w:color w:val="000000"/>
                <w:kern w:val="2"/>
                <w:sz w:val="17"/>
                <w:szCs w:val="17"/>
                <w:lang w:val="en-US"/>
              </w:rPr>
              <w:t xml:space="preserve">based on </w:t>
            </w:r>
            <w:r w:rsidRPr="008224B2">
              <w:rPr>
                <w:rFonts w:cs="Segoe UI"/>
                <w:i/>
                <w:iCs/>
                <w:color w:val="000000"/>
                <w:kern w:val="2"/>
                <w:sz w:val="17"/>
                <w:szCs w:val="17"/>
                <w:lang w:val="en-US"/>
              </w:rPr>
              <w:t xml:space="preserve">mean </w:t>
            </w:r>
            <w:r w:rsidRPr="0068770C">
              <w:rPr>
                <w:rFonts w:cs="Segoe UI"/>
                <w:i/>
                <w:iCs/>
                <w:color w:val="000000"/>
                <w:kern w:val="2"/>
                <w:sz w:val="17"/>
                <w:szCs w:val="17"/>
                <w:lang w:val="en-US"/>
              </w:rPr>
              <w:t>values of gross assets of SFTs</w:t>
            </w:r>
            <w:r w:rsidRPr="0068770C">
              <w:rPr>
                <w:rFonts w:cs="Segoe UI"/>
                <w:iCs/>
                <w:color w:val="000000"/>
                <w:kern w:val="2"/>
                <w:sz w:val="17"/>
                <w:szCs w:val="17"/>
                <w:lang w:val="en-US"/>
              </w:rPr>
              <w:t xml:space="preserve">: </w:t>
            </w:r>
            <w:r w:rsidRPr="0068770C">
              <w:rPr>
                <w:color w:val="000000"/>
                <w:kern w:val="2"/>
                <w:sz w:val="17"/>
                <w:lang w:val="en-US"/>
              </w:rPr>
              <w:t>it</w:t>
            </w:r>
            <w:r>
              <w:rPr>
                <w:color w:val="000000"/>
                <w:kern w:val="2"/>
                <w:sz w:val="17"/>
                <w:lang w:val="en-US"/>
              </w:rPr>
              <w:t xml:space="preserve"> should accord with </w:t>
            </w:r>
            <w:r w:rsidRPr="008224B2">
              <w:rPr>
                <w:rFonts w:cs="Segoe UI"/>
                <w:iCs/>
                <w:color w:val="000000"/>
                <w:kern w:val="2"/>
                <w:sz w:val="17"/>
                <w:szCs w:val="17"/>
                <w:lang w:val="en-US"/>
              </w:rPr>
              <w:t xml:space="preserve">the specifications set out in Template LR2.  </w:t>
            </w:r>
            <w:r w:rsidRPr="008224B2">
              <w:rPr>
                <w:rFonts w:cs="Segoe UI"/>
                <w:color w:val="000000"/>
                <w:kern w:val="2"/>
                <w:sz w:val="17"/>
                <w:szCs w:val="17"/>
                <w:lang w:val="en-US"/>
              </w:rPr>
              <w:t>The value in [KM1:13a/a] should be equal to the value in [LR2:30 &amp; 30a/a].</w:t>
            </w:r>
          </w:p>
        </w:tc>
      </w:tr>
      <w:tr w:rsidR="00DC2A69" w:rsidRPr="00040AB7" w14:paraId="6B595E3E" w14:textId="77777777" w:rsidTr="00717E00">
        <w:tc>
          <w:tcPr>
            <w:tcW w:w="586" w:type="dxa"/>
            <w:shd w:val="clear" w:color="auto" w:fill="auto"/>
          </w:tcPr>
          <w:p w14:paraId="688D99D5" w14:textId="77777777" w:rsidR="00DC2A69" w:rsidRPr="00C734DB" w:rsidRDefault="00DC2A69" w:rsidP="00717E00">
            <w:pPr>
              <w:rPr>
                <w:kern w:val="2"/>
                <w:sz w:val="17"/>
                <w:lang w:val="en-US"/>
              </w:rPr>
            </w:pPr>
            <w:r w:rsidRPr="00C734DB">
              <w:rPr>
                <w:kern w:val="2"/>
                <w:sz w:val="17"/>
                <w:lang w:val="en-US"/>
              </w:rPr>
              <w:t>14</w:t>
            </w:r>
            <w:r>
              <w:rPr>
                <w:kern w:val="2"/>
                <w:sz w:val="17"/>
                <w:lang w:val="en-US"/>
              </w:rPr>
              <w:t xml:space="preserve">, 14a </w:t>
            </w:r>
            <w:r>
              <w:rPr>
                <w:kern w:val="2"/>
                <w:sz w:val="17"/>
                <w:lang w:val="en-US"/>
              </w:rPr>
              <w:lastRenderedPageBreak/>
              <w:t>&amp; 14b</w:t>
            </w:r>
          </w:p>
        </w:tc>
        <w:tc>
          <w:tcPr>
            <w:tcW w:w="8770" w:type="dxa"/>
            <w:shd w:val="clear" w:color="auto" w:fill="auto"/>
          </w:tcPr>
          <w:p w14:paraId="1B53726C" w14:textId="0E1F3575" w:rsidR="00DC2A69" w:rsidRPr="00C734DB" w:rsidRDefault="00DC2A69" w:rsidP="00717E00">
            <w:pPr>
              <w:autoSpaceDE w:val="0"/>
              <w:autoSpaceDN w:val="0"/>
              <w:adjustRightInd w:val="0"/>
              <w:jc w:val="both"/>
              <w:rPr>
                <w:color w:val="000000"/>
                <w:kern w:val="2"/>
                <w:sz w:val="17"/>
                <w:lang w:val="en-US"/>
              </w:rPr>
            </w:pPr>
            <w:r w:rsidRPr="00C734DB">
              <w:rPr>
                <w:i/>
                <w:color w:val="000000"/>
                <w:kern w:val="2"/>
                <w:sz w:val="17"/>
                <w:lang w:val="en-US"/>
              </w:rPr>
              <w:lastRenderedPageBreak/>
              <w:t>LR (%)</w:t>
            </w:r>
            <w:r w:rsidRPr="00C734DB">
              <w:rPr>
                <w:color w:val="000000"/>
                <w:kern w:val="2"/>
                <w:sz w:val="17"/>
                <w:lang w:val="en-US"/>
              </w:rPr>
              <w:t xml:space="preserve">: </w:t>
            </w:r>
            <w:r>
              <w:rPr>
                <w:rFonts w:cs="Segoe UI"/>
                <w:iCs/>
                <w:color w:val="000000"/>
                <w:kern w:val="2"/>
                <w:sz w:val="17"/>
                <w:szCs w:val="17"/>
                <w:lang w:val="en-US"/>
              </w:rPr>
              <w:t xml:space="preserve">Hong Kong does not </w:t>
            </w:r>
            <w:r>
              <w:rPr>
                <w:rFonts w:cs="Segoe UI"/>
                <w:kern w:val="2"/>
                <w:sz w:val="17"/>
                <w:szCs w:val="17"/>
              </w:rPr>
              <w:t>exercise the discretion to allow</w:t>
            </w:r>
            <w:r w:rsidRPr="008224B2">
              <w:rPr>
                <w:rFonts w:cs="Segoe UI"/>
                <w:iCs/>
                <w:color w:val="000000"/>
                <w:kern w:val="2"/>
                <w:sz w:val="17"/>
                <w:szCs w:val="17"/>
                <w:lang w:val="en-US"/>
              </w:rPr>
              <w:t xml:space="preserve"> </w:t>
            </w:r>
            <w:r>
              <w:rPr>
                <w:rFonts w:cs="Segoe UI"/>
                <w:iCs/>
                <w:color w:val="000000"/>
                <w:kern w:val="2"/>
                <w:sz w:val="17"/>
                <w:szCs w:val="17"/>
                <w:lang w:val="en-US"/>
              </w:rPr>
              <w:t xml:space="preserve">for </w:t>
            </w:r>
            <w:r w:rsidRPr="008224B2">
              <w:rPr>
                <w:rFonts w:cs="Segoe UI"/>
                <w:iCs/>
                <w:color w:val="000000"/>
                <w:kern w:val="2"/>
                <w:sz w:val="17"/>
                <w:szCs w:val="17"/>
                <w:lang w:val="en-US"/>
              </w:rPr>
              <w:t xml:space="preserve">the </w:t>
            </w:r>
            <w:r>
              <w:rPr>
                <w:rFonts w:cs="Segoe UI"/>
                <w:iCs/>
                <w:color w:val="000000"/>
                <w:kern w:val="2"/>
                <w:sz w:val="17"/>
                <w:szCs w:val="17"/>
                <w:lang w:val="en-US"/>
              </w:rPr>
              <w:t xml:space="preserve">temporary </w:t>
            </w:r>
            <w:r w:rsidRPr="008224B2">
              <w:rPr>
                <w:rFonts w:cs="Segoe UI"/>
                <w:iCs/>
                <w:color w:val="000000"/>
                <w:kern w:val="2"/>
                <w:sz w:val="17"/>
                <w:szCs w:val="17"/>
                <w:lang w:val="en-US"/>
              </w:rPr>
              <w:t xml:space="preserve">exemption of central bank reserves from the LR exposure measure. </w:t>
            </w:r>
            <w:r>
              <w:rPr>
                <w:rFonts w:cs="Segoe UI"/>
                <w:iCs/>
                <w:color w:val="000000"/>
                <w:kern w:val="2"/>
                <w:sz w:val="17"/>
                <w:szCs w:val="17"/>
                <w:lang w:val="en-US"/>
              </w:rPr>
              <w:t xml:space="preserve"> </w:t>
            </w:r>
            <w:r w:rsidRPr="008224B2">
              <w:rPr>
                <w:rFonts w:cs="Segoe UI"/>
                <w:iCs/>
                <w:color w:val="000000"/>
                <w:kern w:val="2"/>
                <w:sz w:val="17"/>
                <w:szCs w:val="17"/>
                <w:lang w:val="en-US"/>
              </w:rPr>
              <w:t>The disclosed amount</w:t>
            </w:r>
            <w:r w:rsidRPr="00C734DB">
              <w:rPr>
                <w:color w:val="000000"/>
                <w:kern w:val="2"/>
                <w:sz w:val="17"/>
                <w:lang w:val="en-US"/>
              </w:rPr>
              <w:t xml:space="preserve"> is derived from the value reported in row 2 </w:t>
            </w:r>
            <w:r>
              <w:rPr>
                <w:color w:val="000000"/>
                <w:kern w:val="2"/>
                <w:sz w:val="17"/>
                <w:lang w:val="en-US"/>
              </w:rPr>
              <w:t xml:space="preserve">&amp; 2a </w:t>
            </w:r>
            <w:r w:rsidRPr="00C734DB">
              <w:rPr>
                <w:color w:val="000000"/>
                <w:kern w:val="2"/>
                <w:sz w:val="17"/>
                <w:lang w:val="en-US"/>
              </w:rPr>
              <w:t xml:space="preserve">divided by </w:t>
            </w:r>
            <w:r w:rsidRPr="00C734DB">
              <w:rPr>
                <w:color w:val="000000"/>
                <w:kern w:val="2"/>
                <w:sz w:val="17"/>
                <w:lang w:val="en-US"/>
              </w:rPr>
              <w:lastRenderedPageBreak/>
              <w:t>the value reported in row 13, expressed as a percentage.  The value in [KM1:14</w:t>
            </w:r>
            <w:r>
              <w:rPr>
                <w:color w:val="000000"/>
                <w:kern w:val="2"/>
                <w:sz w:val="17"/>
                <w:lang w:val="en-US"/>
              </w:rPr>
              <w:t>, 14a &amp; 14b</w:t>
            </w:r>
            <w:r w:rsidRPr="00C734DB">
              <w:rPr>
                <w:color w:val="000000"/>
                <w:kern w:val="2"/>
                <w:sz w:val="17"/>
                <w:lang w:val="en-US"/>
              </w:rPr>
              <w:t>/a] should be equal to the value in [LR2:</w:t>
            </w:r>
            <w:r w:rsidRPr="00892D0C" w:rsidDel="00997933">
              <w:rPr>
                <w:rFonts w:cs="Segoe UI"/>
                <w:iCs/>
                <w:color w:val="000000"/>
                <w:sz w:val="17"/>
                <w:szCs w:val="17"/>
              </w:rPr>
              <w:t xml:space="preserve"> </w:t>
            </w:r>
            <w:r>
              <w:rPr>
                <w:rFonts w:cs="Segoe UI"/>
                <w:iCs/>
                <w:color w:val="000000"/>
                <w:sz w:val="17"/>
                <w:szCs w:val="17"/>
              </w:rPr>
              <w:t>25 &amp; 25a</w:t>
            </w:r>
            <w:r w:rsidRPr="00C734DB">
              <w:rPr>
                <w:color w:val="000000"/>
                <w:kern w:val="2"/>
                <w:sz w:val="17"/>
                <w:lang w:val="en-US"/>
              </w:rPr>
              <w:t>/a].</w:t>
            </w:r>
          </w:p>
        </w:tc>
      </w:tr>
      <w:tr w:rsidR="00DC2A69" w:rsidRPr="00040AB7" w14:paraId="789D3A99" w14:textId="77777777" w:rsidTr="00717E00">
        <w:tc>
          <w:tcPr>
            <w:tcW w:w="586" w:type="dxa"/>
            <w:shd w:val="clear" w:color="auto" w:fill="auto"/>
          </w:tcPr>
          <w:p w14:paraId="5E815586" w14:textId="77777777" w:rsidR="00DC2A69" w:rsidRPr="00C734DB" w:rsidRDefault="00DC2A69" w:rsidP="00717E00">
            <w:pPr>
              <w:rPr>
                <w:kern w:val="2"/>
                <w:sz w:val="17"/>
                <w:lang w:val="en-US"/>
              </w:rPr>
            </w:pPr>
            <w:r w:rsidRPr="008224B2">
              <w:rPr>
                <w:rFonts w:cs="Segoe UI"/>
                <w:kern w:val="2"/>
                <w:sz w:val="17"/>
                <w:szCs w:val="17"/>
                <w:lang w:val="en-US"/>
              </w:rPr>
              <w:lastRenderedPageBreak/>
              <w:t>14c &amp; 14d</w:t>
            </w:r>
          </w:p>
        </w:tc>
        <w:tc>
          <w:tcPr>
            <w:tcW w:w="8770" w:type="dxa"/>
            <w:shd w:val="clear" w:color="auto" w:fill="auto"/>
          </w:tcPr>
          <w:p w14:paraId="22BAF031" w14:textId="1F4F06D0" w:rsidR="00DC2A69" w:rsidRPr="00C734DB" w:rsidRDefault="00DC2A69" w:rsidP="00717E00">
            <w:pPr>
              <w:autoSpaceDE w:val="0"/>
              <w:autoSpaceDN w:val="0"/>
              <w:adjustRightInd w:val="0"/>
              <w:jc w:val="both"/>
              <w:rPr>
                <w:i/>
                <w:color w:val="000000"/>
                <w:kern w:val="2"/>
                <w:sz w:val="17"/>
                <w:lang w:val="en-US"/>
              </w:rPr>
            </w:pPr>
            <w:r w:rsidRPr="008224B2">
              <w:rPr>
                <w:i/>
                <w:kern w:val="2"/>
                <w:sz w:val="17"/>
                <w:szCs w:val="17"/>
                <w:lang w:val="en-US"/>
              </w:rPr>
              <w:t xml:space="preserve">LR (%) </w:t>
            </w:r>
            <w:r>
              <w:rPr>
                <w:i/>
                <w:kern w:val="2"/>
                <w:sz w:val="17"/>
                <w:szCs w:val="17"/>
                <w:lang w:val="en-US"/>
              </w:rPr>
              <w:t xml:space="preserve">based on </w:t>
            </w:r>
            <w:r w:rsidRPr="008224B2">
              <w:rPr>
                <w:i/>
                <w:kern w:val="2"/>
                <w:sz w:val="17"/>
                <w:szCs w:val="17"/>
                <w:lang w:val="en-US"/>
              </w:rPr>
              <w:t xml:space="preserve">mean </w:t>
            </w:r>
            <w:r w:rsidRPr="0068770C">
              <w:rPr>
                <w:i/>
                <w:kern w:val="2"/>
                <w:sz w:val="17"/>
                <w:szCs w:val="17"/>
                <w:lang w:val="en-US"/>
              </w:rPr>
              <w:t xml:space="preserve">values </w:t>
            </w:r>
            <w:r w:rsidRPr="0068770C">
              <w:rPr>
                <w:rFonts w:cs="Segoe UI"/>
                <w:i/>
                <w:iCs/>
                <w:color w:val="000000"/>
                <w:kern w:val="2"/>
                <w:sz w:val="17"/>
                <w:szCs w:val="17"/>
                <w:lang w:val="en-US"/>
              </w:rPr>
              <w:t>of gross assets of SFTs</w:t>
            </w:r>
            <w:r w:rsidRPr="0068770C">
              <w:rPr>
                <w:i/>
                <w:kern w:val="2"/>
                <w:sz w:val="17"/>
                <w:szCs w:val="17"/>
                <w:lang w:val="en-US"/>
              </w:rPr>
              <w:t>:</w:t>
            </w:r>
            <w:r w:rsidRPr="008224B2">
              <w:rPr>
                <w:kern w:val="2"/>
                <w:sz w:val="17"/>
                <w:szCs w:val="17"/>
                <w:lang w:val="en-US"/>
              </w:rPr>
              <w:t xml:space="preserve"> </w:t>
            </w:r>
            <w:r w:rsidRPr="008224B2">
              <w:rPr>
                <w:iCs/>
                <w:kern w:val="2"/>
                <w:sz w:val="17"/>
                <w:szCs w:val="17"/>
                <w:lang w:val="en-US"/>
              </w:rPr>
              <w:t>Ho</w:t>
            </w:r>
            <w:r>
              <w:rPr>
                <w:iCs/>
                <w:kern w:val="2"/>
                <w:sz w:val="17"/>
                <w:szCs w:val="17"/>
                <w:lang w:val="en-US"/>
              </w:rPr>
              <w:t>ng Kong does not</w:t>
            </w:r>
            <w:r w:rsidRPr="000C1DC0">
              <w:rPr>
                <w:rFonts w:cs="Segoe UI"/>
                <w:kern w:val="2"/>
                <w:sz w:val="17"/>
                <w:szCs w:val="17"/>
              </w:rPr>
              <w:t xml:space="preserve"> </w:t>
            </w:r>
            <w:r>
              <w:rPr>
                <w:rFonts w:cs="Segoe UI"/>
                <w:kern w:val="2"/>
                <w:sz w:val="17"/>
                <w:szCs w:val="17"/>
              </w:rPr>
              <w:t>exercise the discretion to allow</w:t>
            </w:r>
            <w:r w:rsidRPr="008224B2">
              <w:rPr>
                <w:iCs/>
                <w:kern w:val="2"/>
                <w:sz w:val="17"/>
                <w:szCs w:val="17"/>
                <w:lang w:val="en-US"/>
              </w:rPr>
              <w:t xml:space="preserve"> </w:t>
            </w:r>
            <w:r>
              <w:rPr>
                <w:iCs/>
                <w:kern w:val="2"/>
                <w:sz w:val="17"/>
                <w:szCs w:val="17"/>
                <w:lang w:val="en-US"/>
              </w:rPr>
              <w:t xml:space="preserve">for </w:t>
            </w:r>
            <w:r w:rsidRPr="008224B2">
              <w:rPr>
                <w:iCs/>
                <w:kern w:val="2"/>
                <w:sz w:val="17"/>
                <w:szCs w:val="17"/>
                <w:lang w:val="en-US"/>
              </w:rPr>
              <w:t xml:space="preserve">the </w:t>
            </w:r>
            <w:r>
              <w:rPr>
                <w:iCs/>
                <w:kern w:val="2"/>
                <w:sz w:val="17"/>
                <w:szCs w:val="17"/>
                <w:lang w:val="en-US"/>
              </w:rPr>
              <w:t xml:space="preserve">temporary </w:t>
            </w:r>
            <w:r w:rsidRPr="008224B2">
              <w:rPr>
                <w:iCs/>
                <w:kern w:val="2"/>
                <w:sz w:val="17"/>
                <w:szCs w:val="17"/>
                <w:lang w:val="en-US"/>
              </w:rPr>
              <w:t xml:space="preserve">exemption of central bank reserves from the LR exposure measure.  </w:t>
            </w:r>
            <w:r w:rsidRPr="008224B2">
              <w:rPr>
                <w:kern w:val="2"/>
                <w:sz w:val="17"/>
                <w:szCs w:val="17"/>
                <w:lang w:val="en-US"/>
              </w:rPr>
              <w:t>The value in [KM1:14c &amp; 14d/a] should be equal t</w:t>
            </w:r>
            <w:r>
              <w:rPr>
                <w:kern w:val="2"/>
                <w:sz w:val="17"/>
                <w:szCs w:val="17"/>
                <w:lang w:val="en-US"/>
              </w:rPr>
              <w:t>o the value in [LR2:31 &amp; 31a/a].</w:t>
            </w:r>
          </w:p>
        </w:tc>
      </w:tr>
      <w:tr w:rsidR="00DC2A69" w:rsidRPr="00892D0C" w14:paraId="1967EA09" w14:textId="77777777" w:rsidTr="00717E00">
        <w:tc>
          <w:tcPr>
            <w:tcW w:w="586" w:type="dxa"/>
            <w:shd w:val="clear" w:color="auto" w:fill="auto"/>
          </w:tcPr>
          <w:p w14:paraId="42DE05A1" w14:textId="77777777" w:rsidR="00DC2A69" w:rsidRPr="00C734DB" w:rsidRDefault="00DC2A69" w:rsidP="00717E00">
            <w:pPr>
              <w:jc w:val="both"/>
              <w:rPr>
                <w:kern w:val="2"/>
                <w:sz w:val="17"/>
                <w:lang w:val="en-US"/>
              </w:rPr>
            </w:pPr>
            <w:r w:rsidRPr="00C734DB">
              <w:rPr>
                <w:kern w:val="2"/>
                <w:sz w:val="17"/>
                <w:lang w:val="en-US"/>
              </w:rPr>
              <w:t>15</w:t>
            </w:r>
          </w:p>
        </w:tc>
        <w:tc>
          <w:tcPr>
            <w:tcW w:w="8770" w:type="dxa"/>
            <w:shd w:val="clear" w:color="auto" w:fill="auto"/>
          </w:tcPr>
          <w:p w14:paraId="5A8AC9AD" w14:textId="77777777" w:rsidR="00DC2A69" w:rsidRPr="00C734DB" w:rsidRDefault="00DC2A69" w:rsidP="00717E00">
            <w:pPr>
              <w:autoSpaceDE w:val="0"/>
              <w:autoSpaceDN w:val="0"/>
              <w:adjustRightInd w:val="0"/>
              <w:ind w:left="1"/>
              <w:jc w:val="both"/>
              <w:rPr>
                <w:color w:val="000000"/>
                <w:kern w:val="2"/>
                <w:sz w:val="17"/>
                <w:lang w:val="en-US"/>
              </w:rPr>
            </w:pPr>
            <w:r w:rsidRPr="00C734DB">
              <w:rPr>
                <w:i/>
                <w:color w:val="000000"/>
                <w:kern w:val="2"/>
                <w:sz w:val="17"/>
                <w:lang w:val="en-US"/>
              </w:rPr>
              <w:t xml:space="preserve">Total HQLA: </w:t>
            </w:r>
            <w:r w:rsidRPr="00C734DB">
              <w:rPr>
                <w:color w:val="000000"/>
                <w:kern w:val="2"/>
                <w:sz w:val="17"/>
                <w:lang w:val="en-US"/>
              </w:rPr>
              <w:t>an AI designated as a category 1 institution should disclose the total adjusted value according to the specifications set out in Template LIQ1.  Data should be presented as simple averages of daily observations over all working days of the quarter.  The value in [KM1:15/a] should be equal to the value in [LIQ1:21/b].</w:t>
            </w:r>
          </w:p>
        </w:tc>
      </w:tr>
      <w:tr w:rsidR="00DC2A69" w:rsidRPr="00040AB7" w14:paraId="46209828" w14:textId="77777777" w:rsidTr="00717E00">
        <w:tc>
          <w:tcPr>
            <w:tcW w:w="586" w:type="dxa"/>
            <w:shd w:val="clear" w:color="auto" w:fill="auto"/>
          </w:tcPr>
          <w:p w14:paraId="428A1C3C" w14:textId="77777777" w:rsidR="00DC2A69" w:rsidRPr="00C734DB" w:rsidRDefault="00DC2A69" w:rsidP="00717E00">
            <w:pPr>
              <w:rPr>
                <w:kern w:val="2"/>
                <w:sz w:val="17"/>
                <w:lang w:val="en-US"/>
              </w:rPr>
            </w:pPr>
            <w:r w:rsidRPr="00C734DB">
              <w:rPr>
                <w:kern w:val="2"/>
                <w:sz w:val="17"/>
                <w:lang w:val="en-US"/>
              </w:rPr>
              <w:t>16</w:t>
            </w:r>
          </w:p>
        </w:tc>
        <w:tc>
          <w:tcPr>
            <w:tcW w:w="8770" w:type="dxa"/>
            <w:shd w:val="clear" w:color="auto" w:fill="auto"/>
          </w:tcPr>
          <w:p w14:paraId="4769EFC8" w14:textId="77777777" w:rsidR="00DC2A69" w:rsidRPr="00C734DB" w:rsidRDefault="00DC2A69" w:rsidP="00717E00">
            <w:pPr>
              <w:autoSpaceDE w:val="0"/>
              <w:autoSpaceDN w:val="0"/>
              <w:adjustRightInd w:val="0"/>
              <w:jc w:val="both"/>
              <w:rPr>
                <w:color w:val="000000"/>
                <w:kern w:val="2"/>
                <w:sz w:val="17"/>
                <w:lang w:val="en-US"/>
              </w:rPr>
            </w:pPr>
            <w:r w:rsidRPr="00C734DB">
              <w:rPr>
                <w:i/>
                <w:color w:val="000000"/>
                <w:kern w:val="2"/>
                <w:sz w:val="17"/>
                <w:lang w:val="en-US"/>
              </w:rPr>
              <w:t xml:space="preserve">Total net cash outflows: </w:t>
            </w:r>
            <w:r w:rsidRPr="00C734DB">
              <w:rPr>
                <w:color w:val="000000"/>
                <w:kern w:val="2"/>
                <w:sz w:val="17"/>
                <w:lang w:val="en-US"/>
              </w:rPr>
              <w:t>an AI designated as a category 1 institution should disclose the total adjusted value according to the specifications set out in Template LIQ1.  Data should be presented as simple averages of daily observations over all working days of the quarter.  The value in [KM1:16/a] should be equal to the value in [LIQ1:22/b].</w:t>
            </w:r>
          </w:p>
        </w:tc>
      </w:tr>
      <w:tr w:rsidR="00DC2A69" w:rsidRPr="00892D0C" w14:paraId="46B8EB10" w14:textId="77777777" w:rsidTr="00717E00">
        <w:tc>
          <w:tcPr>
            <w:tcW w:w="586" w:type="dxa"/>
            <w:shd w:val="clear" w:color="auto" w:fill="auto"/>
          </w:tcPr>
          <w:p w14:paraId="6B7A21D4" w14:textId="77777777" w:rsidR="00DC2A69" w:rsidRPr="00C734DB" w:rsidRDefault="00DC2A69" w:rsidP="00717E00">
            <w:pPr>
              <w:rPr>
                <w:kern w:val="2"/>
                <w:sz w:val="17"/>
                <w:lang w:val="en-US"/>
              </w:rPr>
            </w:pPr>
            <w:r w:rsidRPr="00C734DB">
              <w:rPr>
                <w:kern w:val="2"/>
                <w:sz w:val="17"/>
                <w:lang w:val="en-US"/>
              </w:rPr>
              <w:t>17</w:t>
            </w:r>
          </w:p>
        </w:tc>
        <w:tc>
          <w:tcPr>
            <w:tcW w:w="8770" w:type="dxa"/>
            <w:shd w:val="clear" w:color="auto" w:fill="auto"/>
          </w:tcPr>
          <w:p w14:paraId="4770A00D" w14:textId="77777777" w:rsidR="00DC2A69" w:rsidRPr="00C734DB" w:rsidRDefault="00DC2A69" w:rsidP="00717E00">
            <w:pPr>
              <w:autoSpaceDE w:val="0"/>
              <w:autoSpaceDN w:val="0"/>
              <w:adjustRightInd w:val="0"/>
              <w:jc w:val="both"/>
              <w:rPr>
                <w:color w:val="000000"/>
                <w:kern w:val="2"/>
                <w:sz w:val="17"/>
                <w:lang w:val="en-US"/>
              </w:rPr>
            </w:pPr>
            <w:r w:rsidRPr="00C734DB">
              <w:rPr>
                <w:i/>
                <w:color w:val="000000"/>
                <w:kern w:val="2"/>
                <w:sz w:val="17"/>
                <w:lang w:val="en-US"/>
              </w:rPr>
              <w:t>LCR (%)</w:t>
            </w:r>
            <w:r w:rsidRPr="00C734DB">
              <w:rPr>
                <w:color w:val="000000"/>
                <w:kern w:val="2"/>
                <w:sz w:val="17"/>
                <w:lang w:val="en-US"/>
              </w:rPr>
              <w:t>: the value in [KM1:17/a] should be equal to the value in [LIQ1:23/b].</w:t>
            </w:r>
          </w:p>
        </w:tc>
      </w:tr>
      <w:tr w:rsidR="00DC2A69" w:rsidRPr="00892D0C" w14:paraId="2954165C" w14:textId="77777777" w:rsidTr="00717E00">
        <w:tc>
          <w:tcPr>
            <w:tcW w:w="586" w:type="dxa"/>
            <w:shd w:val="clear" w:color="auto" w:fill="auto"/>
          </w:tcPr>
          <w:p w14:paraId="3F1EA492" w14:textId="77777777" w:rsidR="00DC2A69" w:rsidRPr="00C734DB" w:rsidRDefault="00DC2A69" w:rsidP="00717E00">
            <w:pPr>
              <w:rPr>
                <w:kern w:val="2"/>
                <w:sz w:val="17"/>
                <w:lang w:val="en-US"/>
              </w:rPr>
            </w:pPr>
            <w:r w:rsidRPr="00C734DB">
              <w:rPr>
                <w:kern w:val="2"/>
                <w:sz w:val="17"/>
                <w:lang w:val="en-US"/>
              </w:rPr>
              <w:t>17a</w:t>
            </w:r>
          </w:p>
        </w:tc>
        <w:tc>
          <w:tcPr>
            <w:tcW w:w="8770" w:type="dxa"/>
            <w:shd w:val="clear" w:color="auto" w:fill="auto"/>
          </w:tcPr>
          <w:p w14:paraId="159C5420" w14:textId="77777777" w:rsidR="00DC2A69" w:rsidRPr="00C734DB" w:rsidRDefault="00DC2A69" w:rsidP="00717E00">
            <w:pPr>
              <w:autoSpaceDE w:val="0"/>
              <w:autoSpaceDN w:val="0"/>
              <w:adjustRightInd w:val="0"/>
              <w:jc w:val="both"/>
              <w:rPr>
                <w:color w:val="000000"/>
                <w:kern w:val="2"/>
                <w:sz w:val="17"/>
                <w:lang w:val="en-US"/>
              </w:rPr>
            </w:pPr>
            <w:r w:rsidRPr="00C734DB">
              <w:rPr>
                <w:i/>
                <w:kern w:val="2"/>
                <w:sz w:val="17"/>
                <w:lang w:val="en-US"/>
              </w:rPr>
              <w:t>LMR (%)</w:t>
            </w:r>
            <w:r w:rsidRPr="00C734DB">
              <w:rPr>
                <w:kern w:val="2"/>
                <w:sz w:val="17"/>
                <w:lang w:val="en-US"/>
              </w:rPr>
              <w:t xml:space="preserve">: </w:t>
            </w:r>
            <w:r w:rsidRPr="00C734DB">
              <w:rPr>
                <w:color w:val="000000"/>
                <w:kern w:val="2"/>
                <w:sz w:val="17"/>
                <w:lang w:val="en-US"/>
              </w:rPr>
              <w:t>an AI that is a category 2 institution should disclose in this row the arithmetic mean of the average LMRs of the 3 calendar months within the quarter.  The average LMR of each calendar month should be the figure reported in its Return of Liquidity Position (MA(BS)1E) submitted for the reporting month.</w:t>
            </w:r>
          </w:p>
        </w:tc>
      </w:tr>
      <w:tr w:rsidR="00DC2A69" w:rsidRPr="00892D0C" w14:paraId="5D481F38" w14:textId="77777777" w:rsidTr="00717E00">
        <w:tc>
          <w:tcPr>
            <w:tcW w:w="586" w:type="dxa"/>
            <w:shd w:val="clear" w:color="auto" w:fill="auto"/>
          </w:tcPr>
          <w:p w14:paraId="19EA8CE2" w14:textId="77777777" w:rsidR="00DC2A69" w:rsidRPr="00C734DB" w:rsidRDefault="00DC2A69" w:rsidP="00717E00">
            <w:pPr>
              <w:jc w:val="both"/>
              <w:rPr>
                <w:kern w:val="2"/>
                <w:sz w:val="17"/>
                <w:lang w:val="en-US"/>
              </w:rPr>
            </w:pPr>
            <w:r w:rsidRPr="00C734DB">
              <w:rPr>
                <w:kern w:val="2"/>
                <w:sz w:val="17"/>
                <w:lang w:val="en-US"/>
              </w:rPr>
              <w:t>18</w:t>
            </w:r>
          </w:p>
        </w:tc>
        <w:tc>
          <w:tcPr>
            <w:tcW w:w="8770" w:type="dxa"/>
            <w:shd w:val="clear" w:color="auto" w:fill="auto"/>
          </w:tcPr>
          <w:p w14:paraId="562B7C30" w14:textId="77777777" w:rsidR="00DC2A69" w:rsidRPr="00C734DB" w:rsidRDefault="00DC2A69" w:rsidP="00717E00">
            <w:pPr>
              <w:autoSpaceDE w:val="0"/>
              <w:autoSpaceDN w:val="0"/>
              <w:adjustRightInd w:val="0"/>
              <w:jc w:val="both"/>
              <w:rPr>
                <w:color w:val="000000"/>
                <w:kern w:val="2"/>
                <w:sz w:val="17"/>
                <w:lang w:val="en-US"/>
              </w:rPr>
            </w:pPr>
            <w:r w:rsidRPr="00C734DB">
              <w:rPr>
                <w:i/>
                <w:color w:val="000000"/>
                <w:kern w:val="2"/>
                <w:sz w:val="17"/>
                <w:lang w:val="en-US"/>
              </w:rPr>
              <w:t>Total available stable funding</w:t>
            </w:r>
            <w:r w:rsidRPr="00C734DB">
              <w:rPr>
                <w:color w:val="000000"/>
                <w:kern w:val="2"/>
                <w:sz w:val="17"/>
                <w:lang w:val="en-US"/>
              </w:rPr>
              <w:t>: the value in [KM1:18/a] should be equal to the value in [LIQ2:14/e].</w:t>
            </w:r>
          </w:p>
        </w:tc>
      </w:tr>
      <w:tr w:rsidR="00DC2A69" w:rsidRPr="00892D0C" w14:paraId="5BE35D7B" w14:textId="77777777" w:rsidTr="00717E00">
        <w:tc>
          <w:tcPr>
            <w:tcW w:w="586" w:type="dxa"/>
            <w:shd w:val="clear" w:color="auto" w:fill="auto"/>
          </w:tcPr>
          <w:p w14:paraId="32E282C2" w14:textId="77777777" w:rsidR="00DC2A69" w:rsidRPr="00C734DB" w:rsidRDefault="00DC2A69" w:rsidP="00717E00">
            <w:pPr>
              <w:rPr>
                <w:kern w:val="2"/>
                <w:sz w:val="17"/>
                <w:lang w:val="en-US"/>
              </w:rPr>
            </w:pPr>
            <w:r w:rsidRPr="00C734DB">
              <w:rPr>
                <w:kern w:val="2"/>
                <w:sz w:val="17"/>
                <w:lang w:val="en-US"/>
              </w:rPr>
              <w:t>19</w:t>
            </w:r>
          </w:p>
        </w:tc>
        <w:tc>
          <w:tcPr>
            <w:tcW w:w="8770" w:type="dxa"/>
            <w:shd w:val="clear" w:color="auto" w:fill="auto"/>
          </w:tcPr>
          <w:p w14:paraId="36BF1708" w14:textId="77777777" w:rsidR="00DC2A69" w:rsidRPr="00C734DB" w:rsidRDefault="00DC2A69" w:rsidP="00717E00">
            <w:pPr>
              <w:autoSpaceDE w:val="0"/>
              <w:autoSpaceDN w:val="0"/>
              <w:adjustRightInd w:val="0"/>
              <w:jc w:val="both"/>
              <w:rPr>
                <w:color w:val="000000"/>
                <w:kern w:val="2"/>
                <w:sz w:val="17"/>
                <w:lang w:val="en-US"/>
              </w:rPr>
            </w:pPr>
            <w:r w:rsidRPr="00C734DB">
              <w:rPr>
                <w:i/>
                <w:color w:val="000000"/>
                <w:kern w:val="2"/>
                <w:sz w:val="17"/>
                <w:lang w:val="en-US"/>
              </w:rPr>
              <w:t>Total required stable funding</w:t>
            </w:r>
            <w:r w:rsidRPr="00C734DB">
              <w:rPr>
                <w:color w:val="000000"/>
                <w:kern w:val="2"/>
                <w:sz w:val="17"/>
                <w:lang w:val="en-US"/>
              </w:rPr>
              <w:t>: the value in [KM1:19/a] should be equal to the value in [LIQ2:33/e].</w:t>
            </w:r>
          </w:p>
        </w:tc>
      </w:tr>
      <w:tr w:rsidR="00DC2A69" w:rsidRPr="00892D0C" w14:paraId="7D418E8C" w14:textId="77777777" w:rsidTr="00717E00">
        <w:tc>
          <w:tcPr>
            <w:tcW w:w="586" w:type="dxa"/>
            <w:shd w:val="clear" w:color="auto" w:fill="auto"/>
          </w:tcPr>
          <w:p w14:paraId="3C860DC7" w14:textId="77777777" w:rsidR="00DC2A69" w:rsidRPr="00C734DB" w:rsidRDefault="00DC2A69" w:rsidP="00717E00">
            <w:pPr>
              <w:rPr>
                <w:kern w:val="2"/>
                <w:sz w:val="17"/>
                <w:lang w:val="en-US"/>
              </w:rPr>
            </w:pPr>
            <w:r w:rsidRPr="00C734DB">
              <w:rPr>
                <w:kern w:val="2"/>
                <w:sz w:val="17"/>
                <w:lang w:val="en-US"/>
              </w:rPr>
              <w:t>20</w:t>
            </w:r>
          </w:p>
        </w:tc>
        <w:tc>
          <w:tcPr>
            <w:tcW w:w="8770" w:type="dxa"/>
            <w:shd w:val="clear" w:color="auto" w:fill="auto"/>
          </w:tcPr>
          <w:p w14:paraId="7DCB59D0" w14:textId="77777777" w:rsidR="00DC2A69" w:rsidRPr="00C734DB" w:rsidRDefault="00DC2A69" w:rsidP="00717E00">
            <w:pPr>
              <w:autoSpaceDE w:val="0"/>
              <w:autoSpaceDN w:val="0"/>
              <w:adjustRightInd w:val="0"/>
              <w:jc w:val="both"/>
              <w:rPr>
                <w:color w:val="000000"/>
                <w:kern w:val="2"/>
                <w:sz w:val="17"/>
                <w:lang w:val="en-US"/>
              </w:rPr>
            </w:pPr>
            <w:r w:rsidRPr="00C734DB">
              <w:rPr>
                <w:rFonts w:hint="eastAsia"/>
                <w:i/>
                <w:color w:val="000000"/>
                <w:kern w:val="2"/>
                <w:sz w:val="17"/>
                <w:lang w:val="en-US"/>
              </w:rPr>
              <w:t>NSFR</w:t>
            </w:r>
            <w:r w:rsidRPr="00C734DB">
              <w:rPr>
                <w:i/>
                <w:color w:val="000000"/>
                <w:kern w:val="2"/>
                <w:sz w:val="17"/>
                <w:lang w:val="en-US"/>
              </w:rPr>
              <w:t xml:space="preserve"> (%)</w:t>
            </w:r>
            <w:r w:rsidRPr="00C734DB">
              <w:rPr>
                <w:rFonts w:hint="eastAsia"/>
                <w:i/>
                <w:color w:val="000000"/>
                <w:kern w:val="2"/>
                <w:sz w:val="17"/>
                <w:lang w:val="en-US"/>
              </w:rPr>
              <w:t>:</w:t>
            </w:r>
            <w:r w:rsidRPr="00C734DB">
              <w:rPr>
                <w:rFonts w:hint="eastAsia"/>
                <w:color w:val="000000"/>
                <w:kern w:val="2"/>
                <w:sz w:val="17"/>
                <w:lang w:val="en-US"/>
              </w:rPr>
              <w:t xml:space="preserve"> </w:t>
            </w:r>
            <w:r w:rsidRPr="00C734DB">
              <w:rPr>
                <w:color w:val="000000"/>
                <w:kern w:val="2"/>
                <w:sz w:val="17"/>
                <w:lang w:val="en-US"/>
              </w:rPr>
              <w:t>the value in [KM1:20/a] should be equal to the value in [LIQ2:34/e].</w:t>
            </w:r>
          </w:p>
        </w:tc>
      </w:tr>
      <w:tr w:rsidR="00DC2A69" w:rsidRPr="00892D0C" w14:paraId="13BCCE80" w14:textId="77777777" w:rsidTr="00717E00">
        <w:tc>
          <w:tcPr>
            <w:tcW w:w="586" w:type="dxa"/>
            <w:shd w:val="clear" w:color="auto" w:fill="auto"/>
          </w:tcPr>
          <w:p w14:paraId="57069927" w14:textId="77777777" w:rsidR="00DC2A69" w:rsidRPr="00C734DB" w:rsidRDefault="00DC2A69" w:rsidP="00717E00">
            <w:pPr>
              <w:rPr>
                <w:kern w:val="2"/>
                <w:sz w:val="17"/>
                <w:lang w:val="en-US"/>
              </w:rPr>
            </w:pPr>
            <w:r w:rsidRPr="00C734DB">
              <w:rPr>
                <w:kern w:val="2"/>
                <w:sz w:val="17"/>
                <w:lang w:val="en-US"/>
              </w:rPr>
              <w:t>20a</w:t>
            </w:r>
          </w:p>
        </w:tc>
        <w:tc>
          <w:tcPr>
            <w:tcW w:w="8770" w:type="dxa"/>
            <w:shd w:val="clear" w:color="auto" w:fill="auto"/>
          </w:tcPr>
          <w:p w14:paraId="332E5698" w14:textId="77777777" w:rsidR="00DC2A69" w:rsidRPr="00C734DB" w:rsidRDefault="00DC2A69" w:rsidP="00717E00">
            <w:pPr>
              <w:autoSpaceDE w:val="0"/>
              <w:autoSpaceDN w:val="0"/>
              <w:adjustRightInd w:val="0"/>
              <w:jc w:val="both"/>
              <w:rPr>
                <w:kern w:val="2"/>
                <w:sz w:val="17"/>
                <w:highlight w:val="yellow"/>
                <w:lang w:val="en-US"/>
              </w:rPr>
            </w:pPr>
            <w:r w:rsidRPr="00C734DB">
              <w:rPr>
                <w:i/>
                <w:color w:val="000000"/>
                <w:kern w:val="2"/>
                <w:sz w:val="17"/>
                <w:lang w:val="en-US"/>
              </w:rPr>
              <w:t>CFR</w:t>
            </w:r>
            <w:r w:rsidRPr="00C734DB">
              <w:rPr>
                <w:rFonts w:hint="eastAsia"/>
                <w:i/>
                <w:color w:val="000000"/>
                <w:kern w:val="2"/>
                <w:sz w:val="17"/>
                <w:lang w:val="en-US"/>
              </w:rPr>
              <w:t xml:space="preserve"> </w:t>
            </w:r>
            <w:r w:rsidRPr="00C734DB">
              <w:rPr>
                <w:i/>
                <w:color w:val="000000"/>
                <w:kern w:val="2"/>
                <w:sz w:val="17"/>
                <w:lang w:val="en-US"/>
              </w:rPr>
              <w:t>(%)</w:t>
            </w:r>
            <w:r w:rsidRPr="00C734DB">
              <w:rPr>
                <w:color w:val="000000"/>
                <w:kern w:val="2"/>
                <w:sz w:val="17"/>
                <w:lang w:val="en-US"/>
              </w:rPr>
              <w:t>: an AI designated as a category 2A institution should disclose in this row the arithmetic mean of the average CFRs of the 3 calendar months within the quarter.  The average CFR of each calendar month should be the figure reported in its Return of Stable Funding Position (MA(BS)26) submitted for the reporting month.</w:t>
            </w:r>
          </w:p>
        </w:tc>
      </w:tr>
    </w:tbl>
    <w:p w14:paraId="4D4AD0B4" w14:textId="77777777" w:rsidR="00DC2A69" w:rsidRDefault="00DC2A69" w:rsidP="00DC2A69"/>
    <w:p w14:paraId="4A3558D0" w14:textId="77777777" w:rsidR="00DC2A69" w:rsidRDefault="00DC2A69" w:rsidP="00DC2A69"/>
    <w:p w14:paraId="7B9D1214" w14:textId="77777777" w:rsidR="00DC2A69" w:rsidRPr="00553445" w:rsidRDefault="00DC2A69" w:rsidP="00DC2A69"/>
    <w:p w14:paraId="57E7565F" w14:textId="77777777" w:rsidR="0031071D" w:rsidRDefault="0031071D" w:rsidP="00DC2A69">
      <w:pPr>
        <w:sectPr w:rsidR="0031071D" w:rsidSect="00AC746D">
          <w:footerReference w:type="default" r:id="rId10"/>
          <w:pgSz w:w="11906" w:h="16838" w:code="9"/>
          <w:pgMar w:top="1440" w:right="1418" w:bottom="1440" w:left="1797" w:header="851" w:footer="737" w:gutter="0"/>
          <w:cols w:space="425"/>
          <w:docGrid w:type="linesAndChars" w:linePitch="360"/>
        </w:sectPr>
      </w:pPr>
    </w:p>
    <w:p w14:paraId="447FC525" w14:textId="77777777" w:rsidR="000369C7" w:rsidRDefault="000369C7" w:rsidP="000369C7">
      <w:pPr>
        <w:pStyle w:val="Heading2"/>
        <w:ind w:left="-426"/>
      </w:pPr>
      <w:r w:rsidRPr="004E457E">
        <w:lastRenderedPageBreak/>
        <w:t>Template OV1</w:t>
      </w:r>
      <w:r>
        <w:t>: Overview of RWA</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127"/>
        <w:gridCol w:w="7115"/>
      </w:tblGrid>
      <w:tr w:rsidR="000369C7" w:rsidRPr="004E457E" w14:paraId="5EF47D51" w14:textId="77777777" w:rsidTr="00C23506">
        <w:tc>
          <w:tcPr>
            <w:tcW w:w="2127" w:type="dxa"/>
          </w:tcPr>
          <w:p w14:paraId="74BB06D6" w14:textId="77777777" w:rsidR="000369C7" w:rsidRPr="004E457E" w:rsidRDefault="000369C7" w:rsidP="00C23506">
            <w:pPr>
              <w:spacing w:before="40" w:after="40"/>
              <w:rPr>
                <w:noProof/>
                <w:sz w:val="17"/>
                <w:lang w:eastAsia="en-GB"/>
              </w:rPr>
            </w:pPr>
            <w:r w:rsidRPr="004E457E">
              <w:rPr>
                <w:b/>
                <w:sz w:val="17"/>
                <w:lang w:eastAsia="en-GB"/>
              </w:rPr>
              <w:t>Purpose:</w:t>
            </w:r>
            <w:r w:rsidRPr="004E457E">
              <w:rPr>
                <w:sz w:val="17"/>
                <w:lang w:eastAsia="en-GB"/>
              </w:rPr>
              <w:t xml:space="preserve"> </w:t>
            </w:r>
          </w:p>
        </w:tc>
        <w:tc>
          <w:tcPr>
            <w:tcW w:w="7115" w:type="dxa"/>
          </w:tcPr>
          <w:p w14:paraId="46023D3F" w14:textId="77777777" w:rsidR="000369C7" w:rsidRPr="004E457E" w:rsidRDefault="000369C7" w:rsidP="00C23506">
            <w:pPr>
              <w:spacing w:before="40" w:after="40"/>
              <w:jc w:val="both"/>
              <w:rPr>
                <w:rFonts w:eastAsia="新細明體"/>
                <w:noProof/>
                <w:sz w:val="17"/>
                <w:lang w:eastAsia="en-GB"/>
              </w:rPr>
            </w:pPr>
            <w:r w:rsidRPr="004E457E">
              <w:rPr>
                <w:rFonts w:eastAsia="新細明體"/>
                <w:sz w:val="17"/>
                <w:lang w:eastAsia="en-GB"/>
              </w:rPr>
              <w:t>To provide an overview of capital requirements in terms of a detailed breakdowns of RWAs for various risks.</w:t>
            </w:r>
          </w:p>
        </w:tc>
      </w:tr>
      <w:tr w:rsidR="000369C7" w:rsidRPr="004E457E" w14:paraId="6BD2E82F" w14:textId="77777777" w:rsidTr="00C23506">
        <w:tc>
          <w:tcPr>
            <w:tcW w:w="2127" w:type="dxa"/>
          </w:tcPr>
          <w:p w14:paraId="647867B0" w14:textId="77777777" w:rsidR="000369C7" w:rsidRPr="004E457E" w:rsidRDefault="000369C7" w:rsidP="00C23506">
            <w:pPr>
              <w:spacing w:before="40" w:after="40"/>
              <w:rPr>
                <w:b/>
                <w:sz w:val="17"/>
                <w:lang w:eastAsia="en-GB"/>
              </w:rPr>
            </w:pPr>
            <w:r w:rsidRPr="004E457E">
              <w:rPr>
                <w:b/>
                <w:sz w:val="17"/>
                <w:lang w:eastAsia="en-GB"/>
              </w:rPr>
              <w:t xml:space="preserve">Scope of application: </w:t>
            </w:r>
          </w:p>
        </w:tc>
        <w:tc>
          <w:tcPr>
            <w:tcW w:w="7115" w:type="dxa"/>
          </w:tcPr>
          <w:p w14:paraId="7A2EADEA" w14:textId="77777777" w:rsidR="000369C7" w:rsidRPr="004E457E" w:rsidRDefault="000369C7" w:rsidP="00C23506">
            <w:pPr>
              <w:spacing w:before="40" w:after="40"/>
              <w:jc w:val="both"/>
              <w:rPr>
                <w:rFonts w:eastAsia="新細明體"/>
                <w:b/>
                <w:sz w:val="17"/>
                <w:lang w:eastAsia="en-GB"/>
              </w:rPr>
            </w:pPr>
            <w:r w:rsidRPr="004E457E">
              <w:rPr>
                <w:rFonts w:eastAsia="新細明體"/>
                <w:sz w:val="17"/>
                <w:lang w:eastAsia="en-GB"/>
              </w:rPr>
              <w:t>The template is mandatory for all AIs</w:t>
            </w:r>
            <w:r w:rsidRPr="004E457E">
              <w:t xml:space="preserve"> </w:t>
            </w:r>
            <w:r w:rsidRPr="004E457E">
              <w:rPr>
                <w:rFonts w:eastAsia="新細明體"/>
                <w:sz w:val="17"/>
                <w:lang w:eastAsia="en-GB"/>
              </w:rPr>
              <w:t>incorporated in Hong Kong.</w:t>
            </w:r>
          </w:p>
        </w:tc>
      </w:tr>
      <w:tr w:rsidR="000369C7" w:rsidRPr="004E457E" w14:paraId="71BE690C" w14:textId="77777777" w:rsidTr="00C23506">
        <w:tc>
          <w:tcPr>
            <w:tcW w:w="2127" w:type="dxa"/>
          </w:tcPr>
          <w:p w14:paraId="15224EC9" w14:textId="77777777" w:rsidR="000369C7" w:rsidRPr="004E457E" w:rsidRDefault="000369C7" w:rsidP="00C23506">
            <w:pPr>
              <w:spacing w:before="40" w:after="40"/>
              <w:rPr>
                <w:b/>
                <w:sz w:val="17"/>
                <w:lang w:eastAsia="en-GB"/>
              </w:rPr>
            </w:pPr>
            <w:r w:rsidRPr="004E457E">
              <w:rPr>
                <w:b/>
                <w:sz w:val="17"/>
                <w:lang w:eastAsia="en-GB"/>
              </w:rPr>
              <w:t xml:space="preserve">Content: </w:t>
            </w:r>
          </w:p>
        </w:tc>
        <w:tc>
          <w:tcPr>
            <w:tcW w:w="7115" w:type="dxa"/>
          </w:tcPr>
          <w:p w14:paraId="6035244C" w14:textId="77777777" w:rsidR="000369C7" w:rsidRPr="004E457E" w:rsidRDefault="000369C7" w:rsidP="00C23506">
            <w:pPr>
              <w:spacing w:before="40" w:after="40"/>
              <w:jc w:val="both"/>
              <w:rPr>
                <w:rFonts w:eastAsia="新細明體"/>
                <w:b/>
                <w:sz w:val="17"/>
                <w:lang w:eastAsia="en-GB"/>
              </w:rPr>
            </w:pPr>
            <w:r w:rsidRPr="004E457E">
              <w:rPr>
                <w:rFonts w:eastAsia="新細明體"/>
                <w:sz w:val="17"/>
                <w:lang w:eastAsia="en-GB"/>
              </w:rPr>
              <w:t>RWA and capital requirements under the Pillar 1 framework.</w:t>
            </w:r>
          </w:p>
        </w:tc>
      </w:tr>
      <w:tr w:rsidR="000369C7" w:rsidRPr="004E457E" w14:paraId="53393A96" w14:textId="77777777" w:rsidTr="00C23506">
        <w:tc>
          <w:tcPr>
            <w:tcW w:w="2127" w:type="dxa"/>
          </w:tcPr>
          <w:p w14:paraId="30D0F1B6" w14:textId="77777777" w:rsidR="000369C7" w:rsidRPr="004E457E" w:rsidRDefault="000369C7" w:rsidP="00C23506">
            <w:pPr>
              <w:spacing w:before="40" w:after="40"/>
              <w:rPr>
                <w:sz w:val="17"/>
                <w:lang w:eastAsia="en-GB"/>
              </w:rPr>
            </w:pPr>
            <w:r w:rsidRPr="004E457E">
              <w:rPr>
                <w:b/>
                <w:sz w:val="17"/>
                <w:lang w:eastAsia="en-GB"/>
              </w:rPr>
              <w:t>Frequency:</w:t>
            </w:r>
            <w:r w:rsidRPr="004E457E">
              <w:rPr>
                <w:sz w:val="17"/>
                <w:lang w:eastAsia="en-GB"/>
              </w:rPr>
              <w:t xml:space="preserve"> </w:t>
            </w:r>
          </w:p>
        </w:tc>
        <w:tc>
          <w:tcPr>
            <w:tcW w:w="7115" w:type="dxa"/>
          </w:tcPr>
          <w:p w14:paraId="5AD5B2CD" w14:textId="77777777" w:rsidR="000369C7" w:rsidRPr="004E457E" w:rsidRDefault="000369C7" w:rsidP="00C23506">
            <w:pPr>
              <w:spacing w:before="40" w:after="40"/>
              <w:jc w:val="both"/>
              <w:rPr>
                <w:rFonts w:eastAsia="新細明體"/>
                <w:sz w:val="17"/>
                <w:lang w:eastAsia="en-GB"/>
              </w:rPr>
            </w:pPr>
            <w:r w:rsidRPr="004E457E">
              <w:rPr>
                <w:rFonts w:eastAsia="新細明體"/>
                <w:sz w:val="17"/>
                <w:lang w:eastAsia="en-GB"/>
              </w:rPr>
              <w:t>Quarterly.</w:t>
            </w:r>
          </w:p>
        </w:tc>
      </w:tr>
      <w:tr w:rsidR="000369C7" w:rsidRPr="004E457E" w14:paraId="577EB47F" w14:textId="77777777" w:rsidTr="00C23506">
        <w:tc>
          <w:tcPr>
            <w:tcW w:w="2127" w:type="dxa"/>
          </w:tcPr>
          <w:p w14:paraId="55897DB5" w14:textId="77777777" w:rsidR="000369C7" w:rsidRPr="004E457E" w:rsidRDefault="000369C7" w:rsidP="00C23506">
            <w:pPr>
              <w:spacing w:before="40" w:after="40"/>
              <w:rPr>
                <w:sz w:val="17"/>
                <w:lang w:eastAsia="en-GB"/>
              </w:rPr>
            </w:pPr>
            <w:r w:rsidRPr="004E457E">
              <w:rPr>
                <w:b/>
                <w:sz w:val="17"/>
                <w:lang w:eastAsia="en-GB"/>
              </w:rPr>
              <w:t>Format:</w:t>
            </w:r>
            <w:r w:rsidRPr="004E457E">
              <w:rPr>
                <w:sz w:val="17"/>
                <w:lang w:eastAsia="en-GB"/>
              </w:rPr>
              <w:t xml:space="preserve"> </w:t>
            </w:r>
          </w:p>
        </w:tc>
        <w:tc>
          <w:tcPr>
            <w:tcW w:w="7115" w:type="dxa"/>
          </w:tcPr>
          <w:p w14:paraId="16A87434" w14:textId="77777777" w:rsidR="000369C7" w:rsidRPr="004E457E" w:rsidRDefault="000369C7" w:rsidP="00C23506">
            <w:pPr>
              <w:spacing w:before="40" w:after="40"/>
              <w:jc w:val="both"/>
              <w:rPr>
                <w:rFonts w:eastAsia="新細明體"/>
                <w:noProof/>
                <w:sz w:val="17"/>
                <w:lang w:eastAsia="en-GB"/>
              </w:rPr>
            </w:pPr>
            <w:r w:rsidRPr="004E457E">
              <w:rPr>
                <w:rFonts w:eastAsia="新細明體"/>
                <w:sz w:val="17"/>
                <w:lang w:eastAsia="en-GB"/>
              </w:rPr>
              <w:t>Fixed.</w:t>
            </w:r>
          </w:p>
        </w:tc>
      </w:tr>
      <w:tr w:rsidR="000369C7" w:rsidRPr="004E457E" w14:paraId="541DA881" w14:textId="77777777" w:rsidTr="00C23506">
        <w:tc>
          <w:tcPr>
            <w:tcW w:w="2127" w:type="dxa"/>
          </w:tcPr>
          <w:p w14:paraId="32DF6286" w14:textId="77777777" w:rsidR="000369C7" w:rsidRPr="004E457E" w:rsidRDefault="000369C7" w:rsidP="00C23506">
            <w:pPr>
              <w:spacing w:before="40" w:after="40"/>
              <w:rPr>
                <w:b/>
                <w:sz w:val="17"/>
                <w:lang w:eastAsia="en-GB"/>
              </w:rPr>
            </w:pPr>
            <w:r w:rsidRPr="004E457E">
              <w:rPr>
                <w:rFonts w:eastAsia="新細明體"/>
                <w:b/>
                <w:sz w:val="17"/>
                <w:szCs w:val="17"/>
                <w:lang w:eastAsia="en-GB"/>
              </w:rPr>
              <w:t>Accompanying narrative</w:t>
            </w:r>
            <w:r w:rsidRPr="004E457E">
              <w:rPr>
                <w:rFonts w:eastAsia="新細明體"/>
                <w:sz w:val="17"/>
                <w:szCs w:val="17"/>
                <w:lang w:eastAsia="en-GB"/>
              </w:rPr>
              <w:t>:</w:t>
            </w:r>
          </w:p>
        </w:tc>
        <w:tc>
          <w:tcPr>
            <w:tcW w:w="7115" w:type="dxa"/>
          </w:tcPr>
          <w:p w14:paraId="3ED38838" w14:textId="658353EE" w:rsidR="000369C7" w:rsidRPr="004E457E" w:rsidRDefault="000369C7" w:rsidP="00C23506">
            <w:pPr>
              <w:spacing w:before="40" w:after="40"/>
              <w:jc w:val="both"/>
              <w:rPr>
                <w:rFonts w:eastAsia="新細明體"/>
                <w:noProof/>
                <w:sz w:val="17"/>
                <w:lang w:eastAsia="en-GB"/>
              </w:rPr>
            </w:pPr>
            <w:r w:rsidRPr="004E457E">
              <w:rPr>
                <w:rFonts w:eastAsia="新細明體"/>
                <w:sz w:val="17"/>
                <w:szCs w:val="17"/>
                <w:lang w:eastAsia="en-GB"/>
              </w:rPr>
              <w:t xml:space="preserve">An AI should </w:t>
            </w:r>
            <w:r w:rsidRPr="004E457E">
              <w:rPr>
                <w:rFonts w:eastAsia="新細明體"/>
                <w:sz w:val="17"/>
                <w:lang w:eastAsia="en-GB"/>
              </w:rPr>
              <w:t xml:space="preserve">explain the drivers behind differences in reporting periods T and T-1 where these differences are material.  The AI should also explain the adjustments made if capital requirements in column (c) do not correspond to 8% of RWA in column (a).  </w:t>
            </w:r>
          </w:p>
        </w:tc>
      </w:tr>
      <w:tr w:rsidR="000369C7" w:rsidRPr="004E457E" w14:paraId="3790E8CE" w14:textId="77777777" w:rsidTr="00C23506">
        <w:tc>
          <w:tcPr>
            <w:tcW w:w="2127" w:type="dxa"/>
          </w:tcPr>
          <w:p w14:paraId="10D646BD" w14:textId="77777777" w:rsidR="000369C7" w:rsidRPr="004E457E" w:rsidRDefault="000369C7" w:rsidP="00C23506">
            <w:pPr>
              <w:spacing w:before="40" w:after="40"/>
              <w:rPr>
                <w:rFonts w:eastAsia="新細明體"/>
                <w:b/>
                <w:sz w:val="17"/>
                <w:szCs w:val="17"/>
                <w:lang w:eastAsia="en-GB"/>
              </w:rPr>
            </w:pPr>
            <w:r w:rsidRPr="004E457E">
              <w:rPr>
                <w:rFonts w:eastAsia="新細明體"/>
                <w:b/>
                <w:sz w:val="17"/>
                <w:szCs w:val="17"/>
                <w:lang w:eastAsia="en-GB"/>
              </w:rPr>
              <w:t>Corresponding BDR section:</w:t>
            </w:r>
          </w:p>
        </w:tc>
        <w:tc>
          <w:tcPr>
            <w:tcW w:w="7115" w:type="dxa"/>
          </w:tcPr>
          <w:p w14:paraId="07648D64" w14:textId="77777777" w:rsidR="000369C7" w:rsidRPr="004E457E" w:rsidRDefault="000369C7" w:rsidP="00C23506">
            <w:pPr>
              <w:spacing w:before="40" w:after="40"/>
              <w:jc w:val="both"/>
              <w:rPr>
                <w:rFonts w:eastAsia="新細明體"/>
                <w:sz w:val="17"/>
                <w:szCs w:val="17"/>
                <w:lang w:eastAsia="en-GB"/>
              </w:rPr>
            </w:pPr>
            <w:r w:rsidRPr="001B530B">
              <w:rPr>
                <w:rFonts w:eastAsia="新細明體"/>
                <w:sz w:val="17"/>
                <w:szCs w:val="17"/>
                <w:lang w:eastAsia="en-GB"/>
              </w:rPr>
              <w:t>16C</w:t>
            </w:r>
          </w:p>
        </w:tc>
      </w:tr>
    </w:tbl>
    <w:p w14:paraId="4D3FF882" w14:textId="77777777" w:rsidR="000369C7" w:rsidRPr="004E457E" w:rsidRDefault="000369C7" w:rsidP="000369C7">
      <w:pPr>
        <w:spacing w:before="120" w:after="120"/>
        <w:rPr>
          <w:sz w:val="22"/>
        </w:rPr>
      </w:pPr>
    </w:p>
    <w:tbl>
      <w:tblPr>
        <w:tblW w:w="9214" w:type="dxa"/>
        <w:tblInd w:w="-459"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ayout w:type="fixed"/>
        <w:tblLook w:val="0600" w:firstRow="0" w:lastRow="0" w:firstColumn="0" w:lastColumn="0" w:noHBand="1" w:noVBand="1"/>
      </w:tblPr>
      <w:tblGrid>
        <w:gridCol w:w="567"/>
        <w:gridCol w:w="5245"/>
        <w:gridCol w:w="921"/>
        <w:gridCol w:w="922"/>
        <w:gridCol w:w="1559"/>
      </w:tblGrid>
      <w:tr w:rsidR="000369C7" w:rsidRPr="004E457E" w14:paraId="05AAD84F" w14:textId="77777777" w:rsidTr="00C23506">
        <w:trPr>
          <w:trHeight w:val="299"/>
          <w:tblHeader/>
        </w:trPr>
        <w:tc>
          <w:tcPr>
            <w:tcW w:w="567" w:type="dxa"/>
            <w:tcBorders>
              <w:top w:val="nil"/>
              <w:left w:val="nil"/>
              <w:bottom w:val="nil"/>
              <w:right w:val="nil"/>
            </w:tcBorders>
          </w:tcPr>
          <w:p w14:paraId="2A2D6C9E" w14:textId="77777777" w:rsidR="000369C7" w:rsidRPr="004E457E" w:rsidRDefault="000369C7" w:rsidP="00C23506">
            <w:pPr>
              <w:keepLines/>
              <w:snapToGrid w:val="0"/>
              <w:rPr>
                <w:rFonts w:cs="Segoe UI"/>
                <w:i/>
                <w:sz w:val="17"/>
                <w:szCs w:val="17"/>
                <w:lang w:eastAsia="en-GB"/>
              </w:rPr>
            </w:pPr>
          </w:p>
        </w:tc>
        <w:tc>
          <w:tcPr>
            <w:tcW w:w="5245" w:type="dxa"/>
            <w:tcBorders>
              <w:top w:val="nil"/>
              <w:left w:val="nil"/>
              <w:bottom w:val="nil"/>
              <w:right w:val="single" w:sz="4" w:space="0" w:color="auto"/>
            </w:tcBorders>
          </w:tcPr>
          <w:p w14:paraId="2BACB7A0" w14:textId="77777777" w:rsidR="000369C7" w:rsidRPr="004E457E" w:rsidRDefault="000369C7" w:rsidP="00C23506">
            <w:pPr>
              <w:keepLines/>
              <w:snapToGrid w:val="0"/>
              <w:rPr>
                <w:rFonts w:cs="Segoe UI"/>
                <w:i/>
                <w:sz w:val="17"/>
                <w:szCs w:val="17"/>
                <w:lang w:eastAsia="en-GB"/>
              </w:rPr>
            </w:pPr>
          </w:p>
        </w:tc>
        <w:tc>
          <w:tcPr>
            <w:tcW w:w="921" w:type="dxa"/>
            <w:tcBorders>
              <w:top w:val="single" w:sz="4" w:space="0" w:color="auto"/>
              <w:left w:val="single" w:sz="4" w:space="0" w:color="auto"/>
              <w:bottom w:val="single" w:sz="4" w:space="0" w:color="auto"/>
              <w:right w:val="single" w:sz="4" w:space="0" w:color="auto"/>
            </w:tcBorders>
            <w:shd w:val="clear" w:color="auto" w:fill="FFFFFF"/>
          </w:tcPr>
          <w:p w14:paraId="1C0D40E1" w14:textId="77777777" w:rsidR="000369C7" w:rsidRPr="004E457E" w:rsidRDefault="000369C7" w:rsidP="00C23506">
            <w:pPr>
              <w:keepLines/>
              <w:snapToGrid w:val="0"/>
              <w:spacing w:before="40" w:after="40"/>
              <w:jc w:val="center"/>
              <w:rPr>
                <w:rFonts w:cs="Segoe UI"/>
                <w:sz w:val="17"/>
                <w:szCs w:val="17"/>
                <w:lang w:eastAsia="en-GB"/>
              </w:rPr>
            </w:pPr>
            <w:r w:rsidRPr="004E457E">
              <w:rPr>
                <w:rFonts w:cs="Segoe UI"/>
                <w:sz w:val="17"/>
                <w:szCs w:val="17"/>
                <w:lang w:eastAsia="en-GB"/>
              </w:rPr>
              <w:t>(a)</w:t>
            </w:r>
          </w:p>
        </w:tc>
        <w:tc>
          <w:tcPr>
            <w:tcW w:w="922" w:type="dxa"/>
            <w:tcBorders>
              <w:top w:val="single" w:sz="4" w:space="0" w:color="auto"/>
              <w:left w:val="single" w:sz="4" w:space="0" w:color="auto"/>
              <w:bottom w:val="single" w:sz="4" w:space="0" w:color="auto"/>
              <w:right w:val="single" w:sz="4" w:space="0" w:color="auto"/>
            </w:tcBorders>
            <w:shd w:val="clear" w:color="auto" w:fill="FFFFFF"/>
          </w:tcPr>
          <w:p w14:paraId="437EC3B7" w14:textId="77777777" w:rsidR="000369C7" w:rsidRPr="004E457E" w:rsidRDefault="000369C7" w:rsidP="00C23506">
            <w:pPr>
              <w:keepLines/>
              <w:snapToGrid w:val="0"/>
              <w:spacing w:before="40" w:after="40"/>
              <w:jc w:val="center"/>
              <w:rPr>
                <w:rFonts w:cs="Segoe UI"/>
                <w:sz w:val="17"/>
                <w:szCs w:val="17"/>
                <w:lang w:eastAsia="en-GB"/>
              </w:rPr>
            </w:pPr>
            <w:r w:rsidRPr="004E457E">
              <w:rPr>
                <w:rFonts w:cs="Segoe UI"/>
                <w:sz w:val="17"/>
                <w:szCs w:val="17"/>
                <w:lang w:eastAsia="en-GB"/>
              </w:rPr>
              <w:t>(b)</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7127245C" w14:textId="77777777" w:rsidR="000369C7" w:rsidRPr="004E457E" w:rsidRDefault="000369C7" w:rsidP="00C23506">
            <w:pPr>
              <w:keepLines/>
              <w:snapToGrid w:val="0"/>
              <w:spacing w:before="40" w:after="40"/>
              <w:jc w:val="center"/>
              <w:rPr>
                <w:rFonts w:cs="Segoe UI"/>
                <w:sz w:val="17"/>
                <w:szCs w:val="17"/>
                <w:lang w:eastAsia="en-GB"/>
              </w:rPr>
            </w:pPr>
            <w:r w:rsidRPr="004E457E">
              <w:rPr>
                <w:rFonts w:cs="Segoe UI"/>
                <w:sz w:val="17"/>
                <w:szCs w:val="17"/>
                <w:lang w:eastAsia="en-GB"/>
              </w:rPr>
              <w:t>(c)</w:t>
            </w:r>
          </w:p>
        </w:tc>
      </w:tr>
      <w:tr w:rsidR="000369C7" w:rsidRPr="004E457E" w14:paraId="45B013C6" w14:textId="77777777" w:rsidTr="00C23506">
        <w:trPr>
          <w:trHeight w:val="275"/>
          <w:tblHeader/>
        </w:trPr>
        <w:tc>
          <w:tcPr>
            <w:tcW w:w="567" w:type="dxa"/>
            <w:tcBorders>
              <w:top w:val="nil"/>
              <w:left w:val="nil"/>
              <w:bottom w:val="nil"/>
              <w:right w:val="nil"/>
            </w:tcBorders>
          </w:tcPr>
          <w:p w14:paraId="0638FDFC" w14:textId="77777777" w:rsidR="000369C7" w:rsidRPr="004E457E" w:rsidRDefault="000369C7" w:rsidP="00C23506">
            <w:pPr>
              <w:keepLines/>
              <w:snapToGrid w:val="0"/>
              <w:rPr>
                <w:rFonts w:cs="Segoe UI"/>
                <w:i/>
                <w:sz w:val="17"/>
                <w:szCs w:val="17"/>
                <w:lang w:eastAsia="en-GB"/>
              </w:rPr>
            </w:pPr>
          </w:p>
        </w:tc>
        <w:tc>
          <w:tcPr>
            <w:tcW w:w="5245" w:type="dxa"/>
            <w:vMerge w:val="restart"/>
            <w:tcBorders>
              <w:top w:val="nil"/>
              <w:left w:val="nil"/>
              <w:bottom w:val="single" w:sz="4" w:space="0" w:color="auto"/>
              <w:right w:val="single" w:sz="4" w:space="0" w:color="auto"/>
            </w:tcBorders>
          </w:tcPr>
          <w:p w14:paraId="53745143" w14:textId="77777777" w:rsidR="000369C7" w:rsidRPr="004E457E" w:rsidRDefault="000369C7" w:rsidP="00C23506">
            <w:pPr>
              <w:keepLines/>
              <w:snapToGrid w:val="0"/>
              <w:rPr>
                <w:rFonts w:cs="Segoe UI"/>
                <w:i/>
                <w:noProof/>
                <w:sz w:val="17"/>
                <w:szCs w:val="17"/>
                <w:lang w:eastAsia="en-GB"/>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05E5154" w14:textId="77777777" w:rsidR="000369C7" w:rsidRPr="004E457E" w:rsidRDefault="000369C7" w:rsidP="00C23506">
            <w:pPr>
              <w:keepLines/>
              <w:snapToGrid w:val="0"/>
              <w:spacing w:before="40" w:after="40"/>
              <w:jc w:val="center"/>
              <w:rPr>
                <w:rFonts w:cs="Segoe UI"/>
                <w:noProof/>
                <w:sz w:val="17"/>
                <w:szCs w:val="17"/>
                <w:lang w:eastAsia="en-GB"/>
              </w:rPr>
            </w:pPr>
            <w:r w:rsidRPr="004E457E">
              <w:rPr>
                <w:rFonts w:cs="Segoe UI"/>
                <w:sz w:val="17"/>
                <w:szCs w:val="17"/>
                <w:lang w:eastAsia="en-GB"/>
              </w:rPr>
              <w:t>RWA</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2D62E320" w14:textId="77777777" w:rsidR="000369C7" w:rsidRPr="004E457E" w:rsidRDefault="000369C7" w:rsidP="00C23506">
            <w:pPr>
              <w:keepLines/>
              <w:snapToGrid w:val="0"/>
              <w:spacing w:before="40" w:after="40"/>
              <w:jc w:val="center"/>
              <w:rPr>
                <w:rFonts w:cs="Segoe UI"/>
                <w:noProof/>
                <w:spacing w:val="-20"/>
                <w:sz w:val="17"/>
                <w:szCs w:val="17"/>
                <w:lang w:eastAsia="en-GB"/>
              </w:rPr>
            </w:pPr>
            <w:r w:rsidRPr="004E457E">
              <w:rPr>
                <w:rFonts w:cs="Segoe UI"/>
                <w:sz w:val="17"/>
                <w:szCs w:val="17"/>
                <w:lang w:eastAsia="en-GB"/>
              </w:rPr>
              <w:t>Minimum capital requirements</w:t>
            </w:r>
          </w:p>
        </w:tc>
      </w:tr>
      <w:tr w:rsidR="000369C7" w:rsidRPr="004E457E" w14:paraId="69926DF3" w14:textId="77777777" w:rsidTr="00C23506">
        <w:trPr>
          <w:trHeight w:val="245"/>
          <w:tblHeader/>
        </w:trPr>
        <w:tc>
          <w:tcPr>
            <w:tcW w:w="567" w:type="dxa"/>
            <w:tcBorders>
              <w:top w:val="nil"/>
              <w:left w:val="nil"/>
              <w:bottom w:val="single" w:sz="4" w:space="0" w:color="auto"/>
              <w:right w:val="nil"/>
            </w:tcBorders>
          </w:tcPr>
          <w:p w14:paraId="0EF361E8" w14:textId="77777777" w:rsidR="000369C7" w:rsidRPr="004E457E" w:rsidRDefault="000369C7" w:rsidP="00C23506">
            <w:pPr>
              <w:keepLines/>
              <w:snapToGrid w:val="0"/>
              <w:rPr>
                <w:rFonts w:cs="Segoe UI"/>
                <w:i/>
                <w:sz w:val="17"/>
                <w:szCs w:val="17"/>
                <w:lang w:eastAsia="en-GB"/>
              </w:rPr>
            </w:pPr>
          </w:p>
        </w:tc>
        <w:tc>
          <w:tcPr>
            <w:tcW w:w="5245" w:type="dxa"/>
            <w:vMerge/>
            <w:tcBorders>
              <w:top w:val="single" w:sz="4" w:space="0" w:color="auto"/>
              <w:left w:val="nil"/>
              <w:bottom w:val="single" w:sz="4" w:space="0" w:color="auto"/>
              <w:right w:val="single" w:sz="4" w:space="0" w:color="auto"/>
            </w:tcBorders>
          </w:tcPr>
          <w:p w14:paraId="29FFC5FE" w14:textId="77777777" w:rsidR="000369C7" w:rsidRPr="004E457E" w:rsidRDefault="000369C7" w:rsidP="00C23506">
            <w:pPr>
              <w:keepLines/>
              <w:snapToGrid w:val="0"/>
              <w:rPr>
                <w:rFonts w:cs="Segoe UI"/>
                <w:i/>
                <w:sz w:val="17"/>
                <w:szCs w:val="17"/>
                <w:lang w:eastAsia="en-GB"/>
              </w:rPr>
            </w:pPr>
          </w:p>
        </w:tc>
        <w:tc>
          <w:tcPr>
            <w:tcW w:w="921" w:type="dxa"/>
            <w:tcBorders>
              <w:top w:val="single" w:sz="4" w:space="0" w:color="auto"/>
              <w:left w:val="single" w:sz="4" w:space="0" w:color="auto"/>
              <w:bottom w:val="single" w:sz="4" w:space="0" w:color="auto"/>
              <w:right w:val="single" w:sz="4" w:space="0" w:color="auto"/>
            </w:tcBorders>
            <w:shd w:val="clear" w:color="auto" w:fill="FFFFFF"/>
          </w:tcPr>
          <w:p w14:paraId="545B6A67" w14:textId="77777777" w:rsidR="000369C7" w:rsidRPr="004E457E" w:rsidRDefault="000369C7" w:rsidP="00C23506">
            <w:pPr>
              <w:keepLines/>
              <w:snapToGrid w:val="0"/>
              <w:spacing w:before="40" w:after="40"/>
              <w:jc w:val="center"/>
              <w:rPr>
                <w:rFonts w:cs="Segoe UI"/>
                <w:sz w:val="17"/>
                <w:szCs w:val="17"/>
                <w:lang w:eastAsia="en-GB"/>
              </w:rPr>
            </w:pPr>
            <w:r w:rsidRPr="004E457E">
              <w:rPr>
                <w:rFonts w:cs="Segoe UI"/>
                <w:sz w:val="17"/>
                <w:szCs w:val="17"/>
                <w:lang w:eastAsia="en-GB"/>
              </w:rPr>
              <w:t>T</w:t>
            </w:r>
          </w:p>
        </w:tc>
        <w:tc>
          <w:tcPr>
            <w:tcW w:w="922" w:type="dxa"/>
            <w:tcBorders>
              <w:top w:val="single" w:sz="4" w:space="0" w:color="auto"/>
              <w:left w:val="single" w:sz="4" w:space="0" w:color="auto"/>
              <w:bottom w:val="single" w:sz="4" w:space="0" w:color="auto"/>
              <w:right w:val="single" w:sz="4" w:space="0" w:color="auto"/>
            </w:tcBorders>
            <w:shd w:val="clear" w:color="auto" w:fill="FFFFFF"/>
          </w:tcPr>
          <w:p w14:paraId="520DD60C" w14:textId="77777777" w:rsidR="000369C7" w:rsidRPr="004E457E" w:rsidRDefault="000369C7" w:rsidP="00C23506">
            <w:pPr>
              <w:keepLines/>
              <w:snapToGrid w:val="0"/>
              <w:spacing w:before="40" w:after="40"/>
              <w:jc w:val="center"/>
              <w:rPr>
                <w:rFonts w:cs="Segoe UI"/>
                <w:noProof/>
                <w:sz w:val="17"/>
                <w:szCs w:val="17"/>
                <w:lang w:eastAsia="en-GB"/>
              </w:rPr>
            </w:pPr>
            <w:r w:rsidRPr="004E457E">
              <w:rPr>
                <w:rFonts w:cs="Segoe UI"/>
                <w:sz w:val="17"/>
                <w:szCs w:val="17"/>
                <w:lang w:eastAsia="en-GB"/>
              </w:rPr>
              <w:t>T-1</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77D96206" w14:textId="77777777" w:rsidR="000369C7" w:rsidRPr="004E457E" w:rsidRDefault="000369C7" w:rsidP="00C23506">
            <w:pPr>
              <w:keepLines/>
              <w:snapToGrid w:val="0"/>
              <w:spacing w:before="40" w:after="40"/>
              <w:jc w:val="center"/>
              <w:rPr>
                <w:rFonts w:cs="Segoe UI"/>
                <w:noProof/>
                <w:sz w:val="17"/>
                <w:szCs w:val="17"/>
                <w:lang w:eastAsia="en-GB"/>
              </w:rPr>
            </w:pPr>
            <w:r w:rsidRPr="004E457E">
              <w:rPr>
                <w:rFonts w:cs="Segoe UI"/>
                <w:noProof/>
                <w:sz w:val="17"/>
                <w:szCs w:val="17"/>
                <w:lang w:eastAsia="en-GB"/>
              </w:rPr>
              <w:t>T</w:t>
            </w:r>
          </w:p>
        </w:tc>
      </w:tr>
      <w:tr w:rsidR="000369C7" w:rsidRPr="004E457E" w14:paraId="50D0CEBA" w14:textId="77777777" w:rsidTr="00C23506">
        <w:tc>
          <w:tcPr>
            <w:tcW w:w="567" w:type="dxa"/>
            <w:tcBorders>
              <w:top w:val="single" w:sz="4" w:space="0" w:color="auto"/>
              <w:left w:val="nil"/>
              <w:right w:val="single" w:sz="4" w:space="0" w:color="auto"/>
            </w:tcBorders>
          </w:tcPr>
          <w:p w14:paraId="3190E12A" w14:textId="77777777" w:rsidR="000369C7" w:rsidRPr="00CB685C" w:rsidRDefault="000369C7" w:rsidP="00C23506">
            <w:pPr>
              <w:keepLines/>
              <w:tabs>
                <w:tab w:val="left" w:pos="150"/>
                <w:tab w:val="left" w:pos="397"/>
                <w:tab w:val="left" w:pos="794"/>
                <w:tab w:val="left" w:pos="1191"/>
              </w:tabs>
              <w:snapToGrid w:val="0"/>
              <w:spacing w:before="20" w:after="20"/>
              <w:rPr>
                <w:rFonts w:cs="Segoe UI"/>
                <w:sz w:val="17"/>
                <w:szCs w:val="17"/>
                <w:lang w:eastAsia="en-GB"/>
              </w:rPr>
            </w:pPr>
            <w:r w:rsidRPr="00CB685C">
              <w:rPr>
                <w:rFonts w:cs="Segoe UI"/>
                <w:sz w:val="17"/>
                <w:szCs w:val="17"/>
                <w:lang w:eastAsia="en-GB"/>
              </w:rPr>
              <w:t>1</w:t>
            </w:r>
          </w:p>
        </w:tc>
        <w:tc>
          <w:tcPr>
            <w:tcW w:w="5245" w:type="dxa"/>
            <w:tcBorders>
              <w:top w:val="single" w:sz="4" w:space="0" w:color="auto"/>
              <w:left w:val="single" w:sz="4" w:space="0" w:color="auto"/>
              <w:right w:val="single" w:sz="4" w:space="0" w:color="auto"/>
            </w:tcBorders>
          </w:tcPr>
          <w:p w14:paraId="1E1AD297" w14:textId="77777777" w:rsidR="000369C7" w:rsidRPr="004E457E" w:rsidRDefault="000369C7" w:rsidP="00C23506">
            <w:pPr>
              <w:keepLines/>
              <w:tabs>
                <w:tab w:val="left" w:pos="397"/>
                <w:tab w:val="left" w:pos="794"/>
                <w:tab w:val="left" w:pos="1191"/>
              </w:tabs>
              <w:snapToGrid w:val="0"/>
              <w:spacing w:before="20" w:after="20"/>
              <w:rPr>
                <w:rFonts w:cs="Segoe UI"/>
                <w:noProof/>
                <w:sz w:val="17"/>
                <w:szCs w:val="17"/>
                <w:lang w:eastAsia="en-GB"/>
              </w:rPr>
            </w:pPr>
            <w:r w:rsidRPr="004E457E">
              <w:rPr>
                <w:rFonts w:cs="Segoe UI"/>
                <w:sz w:val="17"/>
                <w:szCs w:val="17"/>
                <w:lang w:eastAsia="en-GB"/>
              </w:rPr>
              <w:t>Credit risk for non-securitization exposures</w:t>
            </w:r>
          </w:p>
        </w:tc>
        <w:tc>
          <w:tcPr>
            <w:tcW w:w="921" w:type="dxa"/>
            <w:tcBorders>
              <w:top w:val="single" w:sz="4" w:space="0" w:color="auto"/>
              <w:left w:val="single" w:sz="4" w:space="0" w:color="auto"/>
              <w:bottom w:val="single" w:sz="4" w:space="0" w:color="BFBFBF"/>
              <w:right w:val="single" w:sz="4" w:space="0" w:color="auto"/>
            </w:tcBorders>
            <w:shd w:val="clear" w:color="auto" w:fill="FFFFFF"/>
          </w:tcPr>
          <w:p w14:paraId="060DA587"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auto"/>
              <w:left w:val="single" w:sz="4" w:space="0" w:color="auto"/>
              <w:bottom w:val="single" w:sz="4" w:space="0" w:color="BFBFBF"/>
              <w:right w:val="single" w:sz="4" w:space="0" w:color="auto"/>
            </w:tcBorders>
            <w:shd w:val="clear" w:color="auto" w:fill="FFFFFF"/>
          </w:tcPr>
          <w:p w14:paraId="5493E822"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auto"/>
              <w:left w:val="single" w:sz="4" w:space="0" w:color="auto"/>
              <w:bottom w:val="single" w:sz="4" w:space="0" w:color="BFBFBF"/>
              <w:right w:val="single" w:sz="4" w:space="0" w:color="auto"/>
            </w:tcBorders>
            <w:shd w:val="clear" w:color="auto" w:fill="FFFFFF"/>
          </w:tcPr>
          <w:p w14:paraId="493D541E"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2C392A0B" w14:textId="77777777" w:rsidTr="00C23506">
        <w:tc>
          <w:tcPr>
            <w:tcW w:w="567" w:type="dxa"/>
            <w:tcBorders>
              <w:left w:val="nil"/>
              <w:right w:val="single" w:sz="4" w:space="0" w:color="auto"/>
            </w:tcBorders>
          </w:tcPr>
          <w:p w14:paraId="75978883" w14:textId="77777777" w:rsidR="000369C7" w:rsidRPr="00CB685C" w:rsidRDefault="000369C7" w:rsidP="00C23506">
            <w:pPr>
              <w:keepLines/>
              <w:tabs>
                <w:tab w:val="left" w:pos="397"/>
                <w:tab w:val="left" w:pos="794"/>
                <w:tab w:val="left" w:pos="1191"/>
              </w:tabs>
              <w:snapToGrid w:val="0"/>
              <w:spacing w:before="20" w:after="20"/>
              <w:rPr>
                <w:rFonts w:cs="Segoe UI"/>
                <w:sz w:val="17"/>
                <w:szCs w:val="17"/>
                <w:lang w:eastAsia="en-GB"/>
              </w:rPr>
            </w:pPr>
            <w:r w:rsidRPr="00CB685C">
              <w:rPr>
                <w:rFonts w:cs="Segoe UI"/>
                <w:sz w:val="17"/>
                <w:szCs w:val="17"/>
                <w:lang w:eastAsia="en-GB"/>
              </w:rPr>
              <w:t>2</w:t>
            </w:r>
          </w:p>
        </w:tc>
        <w:tc>
          <w:tcPr>
            <w:tcW w:w="5245" w:type="dxa"/>
            <w:tcBorders>
              <w:left w:val="single" w:sz="4" w:space="0" w:color="auto"/>
              <w:right w:val="single" w:sz="4" w:space="0" w:color="auto"/>
            </w:tcBorders>
          </w:tcPr>
          <w:p w14:paraId="515D0CB7" w14:textId="77777777" w:rsidR="000369C7" w:rsidRPr="004E457E" w:rsidRDefault="000369C7" w:rsidP="00C23506">
            <w:pPr>
              <w:keepLines/>
              <w:tabs>
                <w:tab w:val="left" w:pos="397"/>
                <w:tab w:val="left" w:pos="794"/>
                <w:tab w:val="left" w:pos="1191"/>
              </w:tabs>
              <w:snapToGrid w:val="0"/>
              <w:spacing w:before="20" w:after="20"/>
              <w:ind w:firstLine="323"/>
              <w:rPr>
                <w:rFonts w:cs="Segoe UI"/>
                <w:sz w:val="17"/>
                <w:szCs w:val="17"/>
                <w:lang w:eastAsia="en-GB"/>
              </w:rPr>
            </w:pPr>
            <w:r w:rsidRPr="004E457E">
              <w:rPr>
                <w:rFonts w:cs="Segoe UI"/>
                <w:sz w:val="17"/>
                <w:szCs w:val="17"/>
                <w:lang w:eastAsia="en-GB"/>
              </w:rPr>
              <w:t>Of which STC approach</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79BD9D85"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7A50FDBC"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10231068"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4B5E4270" w14:textId="77777777" w:rsidTr="00C23506">
        <w:tc>
          <w:tcPr>
            <w:tcW w:w="567" w:type="dxa"/>
            <w:tcBorders>
              <w:left w:val="nil"/>
              <w:right w:val="single" w:sz="4" w:space="0" w:color="auto"/>
            </w:tcBorders>
          </w:tcPr>
          <w:p w14:paraId="280EADAE" w14:textId="77777777" w:rsidR="000369C7" w:rsidRPr="00CB685C" w:rsidRDefault="000369C7" w:rsidP="00C23506">
            <w:pPr>
              <w:keepLines/>
              <w:tabs>
                <w:tab w:val="left" w:pos="397"/>
                <w:tab w:val="left" w:pos="794"/>
                <w:tab w:val="left" w:pos="1191"/>
              </w:tabs>
              <w:snapToGrid w:val="0"/>
              <w:spacing w:before="20" w:after="20"/>
              <w:rPr>
                <w:rFonts w:cs="Segoe UI"/>
                <w:sz w:val="17"/>
                <w:szCs w:val="17"/>
                <w:lang w:eastAsia="en-GB"/>
              </w:rPr>
            </w:pPr>
            <w:r w:rsidRPr="00CB685C">
              <w:rPr>
                <w:rFonts w:cs="Segoe UI"/>
                <w:sz w:val="17"/>
                <w:szCs w:val="17"/>
                <w:lang w:eastAsia="en-GB"/>
              </w:rPr>
              <w:t>2a</w:t>
            </w:r>
          </w:p>
        </w:tc>
        <w:tc>
          <w:tcPr>
            <w:tcW w:w="5245" w:type="dxa"/>
            <w:tcBorders>
              <w:left w:val="single" w:sz="4" w:space="0" w:color="auto"/>
              <w:right w:val="single" w:sz="4" w:space="0" w:color="auto"/>
            </w:tcBorders>
          </w:tcPr>
          <w:p w14:paraId="5629C334" w14:textId="77777777" w:rsidR="000369C7" w:rsidRPr="004E457E" w:rsidRDefault="000369C7" w:rsidP="00C23506">
            <w:pPr>
              <w:keepLines/>
              <w:tabs>
                <w:tab w:val="left" w:pos="397"/>
                <w:tab w:val="left" w:pos="794"/>
                <w:tab w:val="left" w:pos="1191"/>
              </w:tabs>
              <w:snapToGrid w:val="0"/>
              <w:spacing w:before="20" w:after="20"/>
              <w:ind w:firstLine="323"/>
              <w:rPr>
                <w:rFonts w:cs="Segoe UI"/>
                <w:sz w:val="17"/>
                <w:szCs w:val="17"/>
                <w:lang w:eastAsia="en-GB"/>
              </w:rPr>
            </w:pPr>
            <w:r w:rsidRPr="004E457E">
              <w:rPr>
                <w:rFonts w:cs="Segoe UI"/>
                <w:sz w:val="17"/>
                <w:szCs w:val="17"/>
                <w:lang w:eastAsia="en-GB"/>
              </w:rPr>
              <w:t>Of which BSC approach</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1B327750"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7A17EE3C"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031B5A27"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54E86D9A" w14:textId="77777777" w:rsidTr="00C23506">
        <w:tc>
          <w:tcPr>
            <w:tcW w:w="567" w:type="dxa"/>
            <w:tcBorders>
              <w:left w:val="nil"/>
              <w:right w:val="single" w:sz="4" w:space="0" w:color="auto"/>
            </w:tcBorders>
          </w:tcPr>
          <w:p w14:paraId="7A27AC56" w14:textId="77777777" w:rsidR="000369C7" w:rsidRPr="00CB685C" w:rsidRDefault="000369C7" w:rsidP="00C23506">
            <w:pPr>
              <w:keepLines/>
              <w:tabs>
                <w:tab w:val="left" w:pos="397"/>
                <w:tab w:val="left" w:pos="794"/>
                <w:tab w:val="left" w:pos="1191"/>
              </w:tabs>
              <w:snapToGrid w:val="0"/>
              <w:spacing w:before="20" w:after="20"/>
              <w:rPr>
                <w:rFonts w:cs="Segoe UI"/>
                <w:sz w:val="17"/>
                <w:szCs w:val="17"/>
                <w:lang w:eastAsia="en-GB"/>
              </w:rPr>
            </w:pPr>
            <w:r w:rsidRPr="00CB685C">
              <w:rPr>
                <w:rFonts w:cs="Segoe UI"/>
                <w:sz w:val="17"/>
                <w:szCs w:val="17"/>
                <w:lang w:eastAsia="en-GB"/>
              </w:rPr>
              <w:t>3</w:t>
            </w:r>
          </w:p>
        </w:tc>
        <w:tc>
          <w:tcPr>
            <w:tcW w:w="5245" w:type="dxa"/>
            <w:tcBorders>
              <w:left w:val="single" w:sz="4" w:space="0" w:color="auto"/>
              <w:right w:val="single" w:sz="4" w:space="0" w:color="auto"/>
            </w:tcBorders>
          </w:tcPr>
          <w:p w14:paraId="5F0B546E" w14:textId="77777777" w:rsidR="000369C7" w:rsidRPr="004E457E" w:rsidRDefault="000369C7" w:rsidP="00C23506">
            <w:pPr>
              <w:keepLines/>
              <w:tabs>
                <w:tab w:val="left" w:pos="397"/>
                <w:tab w:val="left" w:pos="794"/>
                <w:tab w:val="left" w:pos="1191"/>
              </w:tabs>
              <w:snapToGrid w:val="0"/>
              <w:spacing w:before="20" w:after="20"/>
              <w:ind w:firstLine="323"/>
              <w:rPr>
                <w:rFonts w:cs="Segoe UI"/>
                <w:sz w:val="17"/>
                <w:szCs w:val="17"/>
                <w:lang w:eastAsia="en-GB"/>
              </w:rPr>
            </w:pPr>
            <w:r w:rsidRPr="004E457E">
              <w:rPr>
                <w:rFonts w:cs="Segoe UI"/>
                <w:sz w:val="17"/>
                <w:szCs w:val="17"/>
                <w:lang w:eastAsia="en-GB"/>
              </w:rPr>
              <w:t xml:space="preserve">Of which </w:t>
            </w:r>
            <w:r w:rsidRPr="00C3109C">
              <w:rPr>
                <w:rFonts w:cs="Segoe UI"/>
                <w:sz w:val="17"/>
                <w:szCs w:val="17"/>
                <w:lang w:eastAsia="en-GB"/>
              </w:rPr>
              <w:t>foundation IRB approach</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50B2DD19"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78D8D973"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321B1B05"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497B9B0C" w14:textId="77777777" w:rsidTr="00C23506">
        <w:tc>
          <w:tcPr>
            <w:tcW w:w="567" w:type="dxa"/>
            <w:tcBorders>
              <w:left w:val="nil"/>
              <w:right w:val="single" w:sz="4" w:space="0" w:color="auto"/>
            </w:tcBorders>
          </w:tcPr>
          <w:p w14:paraId="73C17E2A" w14:textId="77777777" w:rsidR="000369C7" w:rsidRPr="00CB685C" w:rsidRDefault="000369C7" w:rsidP="00C23506">
            <w:pPr>
              <w:keepLines/>
              <w:tabs>
                <w:tab w:val="left" w:pos="397"/>
                <w:tab w:val="left" w:pos="794"/>
                <w:tab w:val="left" w:pos="1191"/>
              </w:tabs>
              <w:snapToGrid w:val="0"/>
              <w:spacing w:before="20" w:after="20"/>
              <w:rPr>
                <w:rFonts w:cs="Segoe UI"/>
                <w:sz w:val="17"/>
                <w:szCs w:val="17"/>
              </w:rPr>
            </w:pPr>
            <w:r w:rsidRPr="00CB685C">
              <w:rPr>
                <w:rFonts w:cs="Segoe UI" w:hint="eastAsia"/>
                <w:sz w:val="17"/>
                <w:szCs w:val="17"/>
              </w:rPr>
              <w:t>4</w:t>
            </w:r>
          </w:p>
        </w:tc>
        <w:tc>
          <w:tcPr>
            <w:tcW w:w="5245" w:type="dxa"/>
            <w:tcBorders>
              <w:left w:val="single" w:sz="4" w:space="0" w:color="auto"/>
              <w:right w:val="single" w:sz="4" w:space="0" w:color="auto"/>
            </w:tcBorders>
          </w:tcPr>
          <w:p w14:paraId="61120D90" w14:textId="77777777" w:rsidR="000369C7" w:rsidRPr="004E457E" w:rsidRDefault="000369C7" w:rsidP="00C23506">
            <w:pPr>
              <w:keepLines/>
              <w:tabs>
                <w:tab w:val="left" w:pos="397"/>
                <w:tab w:val="left" w:pos="794"/>
                <w:tab w:val="left" w:pos="1191"/>
              </w:tabs>
              <w:snapToGrid w:val="0"/>
              <w:spacing w:before="20" w:after="20"/>
              <w:ind w:firstLine="323"/>
              <w:rPr>
                <w:rFonts w:cs="Segoe UI"/>
                <w:sz w:val="17"/>
                <w:szCs w:val="17"/>
                <w:lang w:eastAsia="en-GB"/>
              </w:rPr>
            </w:pPr>
            <w:r w:rsidRPr="004E457E">
              <w:rPr>
                <w:rFonts w:cs="Segoe UI"/>
                <w:sz w:val="17"/>
                <w:szCs w:val="17"/>
                <w:lang w:eastAsia="en-GB"/>
              </w:rPr>
              <w:t xml:space="preserve">Of which </w:t>
            </w:r>
            <w:r w:rsidRPr="00C3109C">
              <w:rPr>
                <w:rFonts w:cs="Segoe UI"/>
                <w:sz w:val="17"/>
                <w:szCs w:val="17"/>
                <w:lang w:eastAsia="en-GB"/>
              </w:rPr>
              <w:t>supervisory slotting criteria approach</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0C9F3458"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52A7BE14"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0833E241"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391D2E77" w14:textId="77777777" w:rsidTr="00C23506">
        <w:tc>
          <w:tcPr>
            <w:tcW w:w="567" w:type="dxa"/>
            <w:tcBorders>
              <w:left w:val="nil"/>
              <w:right w:val="single" w:sz="4" w:space="0" w:color="auto"/>
            </w:tcBorders>
          </w:tcPr>
          <w:p w14:paraId="25F8077C" w14:textId="77777777" w:rsidR="000369C7" w:rsidRPr="00CB685C" w:rsidRDefault="000369C7" w:rsidP="00C23506">
            <w:pPr>
              <w:keepLines/>
              <w:tabs>
                <w:tab w:val="left" w:pos="397"/>
                <w:tab w:val="left" w:pos="794"/>
                <w:tab w:val="left" w:pos="1191"/>
              </w:tabs>
              <w:snapToGrid w:val="0"/>
              <w:spacing w:before="20" w:after="20"/>
              <w:rPr>
                <w:rFonts w:cs="Segoe UI"/>
                <w:sz w:val="17"/>
                <w:szCs w:val="17"/>
              </w:rPr>
            </w:pPr>
            <w:r w:rsidRPr="00CB685C">
              <w:rPr>
                <w:rFonts w:cs="Segoe UI" w:hint="eastAsia"/>
                <w:sz w:val="17"/>
                <w:szCs w:val="17"/>
              </w:rPr>
              <w:t>5</w:t>
            </w:r>
          </w:p>
        </w:tc>
        <w:tc>
          <w:tcPr>
            <w:tcW w:w="5245" w:type="dxa"/>
            <w:tcBorders>
              <w:left w:val="single" w:sz="4" w:space="0" w:color="auto"/>
              <w:right w:val="single" w:sz="4" w:space="0" w:color="auto"/>
            </w:tcBorders>
          </w:tcPr>
          <w:p w14:paraId="3743D7A5" w14:textId="77777777" w:rsidR="000369C7" w:rsidRPr="009A7FDD" w:rsidRDefault="000369C7" w:rsidP="00C23506">
            <w:pPr>
              <w:keepLines/>
              <w:tabs>
                <w:tab w:val="left" w:pos="397"/>
                <w:tab w:val="left" w:pos="794"/>
                <w:tab w:val="left" w:pos="1191"/>
              </w:tabs>
              <w:snapToGrid w:val="0"/>
              <w:spacing w:before="20" w:after="20"/>
              <w:ind w:firstLine="323"/>
              <w:rPr>
                <w:rFonts w:cs="Segoe UI"/>
                <w:sz w:val="17"/>
                <w:szCs w:val="17"/>
                <w:lang w:eastAsia="en-GB"/>
              </w:rPr>
            </w:pPr>
            <w:r w:rsidRPr="009A7FDD">
              <w:rPr>
                <w:rFonts w:cs="Segoe UI"/>
                <w:sz w:val="17"/>
                <w:szCs w:val="17"/>
                <w:lang w:eastAsia="en-GB"/>
              </w:rPr>
              <w:t>Of which advanced IRB approach</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40B4A63D"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6D5A4F12"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3C98485F"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31EA1E71" w14:textId="77777777" w:rsidTr="00C23506">
        <w:tc>
          <w:tcPr>
            <w:tcW w:w="567" w:type="dxa"/>
            <w:tcBorders>
              <w:left w:val="nil"/>
              <w:right w:val="single" w:sz="4" w:space="0" w:color="auto"/>
            </w:tcBorders>
          </w:tcPr>
          <w:p w14:paraId="2F8C6FC9" w14:textId="77777777" w:rsidR="000369C7" w:rsidRPr="00CB685C" w:rsidRDefault="000369C7" w:rsidP="00C23506">
            <w:pPr>
              <w:keepLines/>
              <w:tabs>
                <w:tab w:val="left" w:pos="397"/>
                <w:tab w:val="left" w:pos="794"/>
                <w:tab w:val="left" w:pos="1191"/>
              </w:tabs>
              <w:snapToGrid w:val="0"/>
              <w:spacing w:before="20" w:after="20"/>
              <w:rPr>
                <w:rFonts w:cs="Segoe UI"/>
                <w:sz w:val="17"/>
                <w:szCs w:val="17"/>
              </w:rPr>
            </w:pPr>
            <w:r>
              <w:rPr>
                <w:rFonts w:cs="Segoe UI"/>
                <w:sz w:val="17"/>
                <w:szCs w:val="17"/>
              </w:rPr>
              <w:t>5a</w:t>
            </w:r>
          </w:p>
        </w:tc>
        <w:tc>
          <w:tcPr>
            <w:tcW w:w="5245" w:type="dxa"/>
            <w:tcBorders>
              <w:left w:val="single" w:sz="4" w:space="0" w:color="auto"/>
              <w:right w:val="single" w:sz="4" w:space="0" w:color="auto"/>
            </w:tcBorders>
          </w:tcPr>
          <w:p w14:paraId="39A942B8" w14:textId="77777777" w:rsidR="000369C7" w:rsidRPr="009A7FDD" w:rsidRDefault="000369C7" w:rsidP="00C23506">
            <w:pPr>
              <w:keepLines/>
              <w:tabs>
                <w:tab w:val="left" w:pos="397"/>
                <w:tab w:val="left" w:pos="794"/>
                <w:tab w:val="left" w:pos="1191"/>
              </w:tabs>
              <w:snapToGrid w:val="0"/>
              <w:spacing w:before="20" w:after="20"/>
              <w:ind w:firstLine="323"/>
              <w:rPr>
                <w:rFonts w:cs="Segoe UI"/>
                <w:sz w:val="17"/>
                <w:szCs w:val="17"/>
                <w:lang w:eastAsia="en-GB"/>
              </w:rPr>
            </w:pPr>
            <w:r w:rsidRPr="009A7FDD">
              <w:rPr>
                <w:rFonts w:cs="Segoe UI"/>
                <w:sz w:val="17"/>
                <w:szCs w:val="17"/>
                <w:lang w:eastAsia="en-GB"/>
              </w:rPr>
              <w:t>Of which retail IRB approach</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2D71585F"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705811F2"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7DB55E28"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1B6534F2" w14:textId="77777777" w:rsidTr="00C23506">
        <w:tc>
          <w:tcPr>
            <w:tcW w:w="567" w:type="dxa"/>
            <w:tcBorders>
              <w:left w:val="nil"/>
              <w:right w:val="single" w:sz="4" w:space="0" w:color="auto"/>
            </w:tcBorders>
          </w:tcPr>
          <w:p w14:paraId="7D9E9CE7" w14:textId="77777777" w:rsidR="000369C7" w:rsidRDefault="000369C7" w:rsidP="00C23506">
            <w:pPr>
              <w:keepLines/>
              <w:tabs>
                <w:tab w:val="left" w:pos="397"/>
                <w:tab w:val="left" w:pos="794"/>
                <w:tab w:val="left" w:pos="1191"/>
              </w:tabs>
              <w:snapToGrid w:val="0"/>
              <w:spacing w:before="20" w:after="20"/>
              <w:rPr>
                <w:rFonts w:cs="Segoe UI"/>
                <w:sz w:val="17"/>
                <w:szCs w:val="17"/>
              </w:rPr>
            </w:pPr>
            <w:r>
              <w:rPr>
                <w:rFonts w:cs="Segoe UI"/>
                <w:sz w:val="17"/>
                <w:szCs w:val="17"/>
              </w:rPr>
              <w:t>5b</w:t>
            </w:r>
          </w:p>
        </w:tc>
        <w:tc>
          <w:tcPr>
            <w:tcW w:w="5245" w:type="dxa"/>
            <w:tcBorders>
              <w:left w:val="single" w:sz="4" w:space="0" w:color="auto"/>
              <w:right w:val="single" w:sz="4" w:space="0" w:color="auto"/>
            </w:tcBorders>
          </w:tcPr>
          <w:p w14:paraId="48F6518A" w14:textId="77777777" w:rsidR="000369C7" w:rsidRPr="009A7FDD" w:rsidRDefault="000369C7" w:rsidP="00C23506">
            <w:pPr>
              <w:keepLines/>
              <w:tabs>
                <w:tab w:val="left" w:pos="397"/>
                <w:tab w:val="left" w:pos="794"/>
                <w:tab w:val="left" w:pos="1191"/>
              </w:tabs>
              <w:snapToGrid w:val="0"/>
              <w:spacing w:before="20" w:after="20"/>
              <w:ind w:firstLine="323"/>
              <w:rPr>
                <w:rFonts w:cs="Segoe UI"/>
                <w:sz w:val="17"/>
                <w:szCs w:val="17"/>
                <w:lang w:eastAsia="en-GB"/>
              </w:rPr>
            </w:pPr>
            <w:r w:rsidRPr="009A7FDD">
              <w:rPr>
                <w:rFonts w:cs="Segoe UI"/>
                <w:sz w:val="17"/>
                <w:szCs w:val="17"/>
                <w:lang w:eastAsia="en-GB"/>
              </w:rPr>
              <w:t>Of which specific risk-weight approach</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2CA2EC48"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014F5523"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5B81BE0F"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731C1FCB" w14:textId="77777777" w:rsidTr="00C23506">
        <w:tc>
          <w:tcPr>
            <w:tcW w:w="567" w:type="dxa"/>
            <w:tcBorders>
              <w:left w:val="nil"/>
              <w:right w:val="single" w:sz="4" w:space="0" w:color="auto"/>
            </w:tcBorders>
          </w:tcPr>
          <w:p w14:paraId="14ACF1A5" w14:textId="77777777" w:rsidR="000369C7" w:rsidRPr="00CB685C" w:rsidRDefault="000369C7" w:rsidP="00C23506">
            <w:pPr>
              <w:keepLines/>
              <w:tabs>
                <w:tab w:val="left" w:pos="397"/>
                <w:tab w:val="left" w:pos="794"/>
                <w:tab w:val="left" w:pos="1191"/>
              </w:tabs>
              <w:snapToGrid w:val="0"/>
              <w:spacing w:before="20" w:after="20"/>
              <w:rPr>
                <w:rFonts w:cs="Segoe UI"/>
                <w:sz w:val="17"/>
                <w:szCs w:val="17"/>
              </w:rPr>
            </w:pPr>
            <w:r w:rsidRPr="00CB685C">
              <w:rPr>
                <w:rFonts w:cs="Segoe UI" w:hint="eastAsia"/>
                <w:sz w:val="17"/>
                <w:szCs w:val="17"/>
              </w:rPr>
              <w:t>6</w:t>
            </w:r>
          </w:p>
        </w:tc>
        <w:tc>
          <w:tcPr>
            <w:tcW w:w="5245" w:type="dxa"/>
            <w:tcBorders>
              <w:left w:val="single" w:sz="4" w:space="0" w:color="auto"/>
              <w:right w:val="single" w:sz="4" w:space="0" w:color="auto"/>
            </w:tcBorders>
          </w:tcPr>
          <w:p w14:paraId="49BF1697" w14:textId="47067FE0" w:rsidR="000369C7" w:rsidRPr="004E457E" w:rsidRDefault="000369C7" w:rsidP="00C23506">
            <w:pPr>
              <w:keepLines/>
              <w:tabs>
                <w:tab w:val="left" w:pos="397"/>
                <w:tab w:val="left" w:pos="794"/>
                <w:tab w:val="left" w:pos="1191"/>
              </w:tabs>
              <w:snapToGrid w:val="0"/>
              <w:spacing w:before="20" w:after="20"/>
              <w:rPr>
                <w:rFonts w:cs="Segoe UI"/>
                <w:noProof/>
                <w:sz w:val="17"/>
                <w:szCs w:val="17"/>
                <w:lang w:eastAsia="en-GB"/>
              </w:rPr>
            </w:pPr>
            <w:r w:rsidRPr="005B5690">
              <w:rPr>
                <w:sz w:val="17"/>
              </w:rPr>
              <w:t>Counterparty credit risk</w:t>
            </w:r>
            <w:r w:rsidRPr="00476105">
              <w:rPr>
                <w:rFonts w:cs="Segoe UI"/>
                <w:sz w:val="17"/>
                <w:szCs w:val="17"/>
                <w:lang w:eastAsia="en-GB"/>
              </w:rPr>
              <w:t xml:space="preserve"> and</w:t>
            </w:r>
            <w:r>
              <w:rPr>
                <w:rFonts w:cs="Segoe UI"/>
                <w:sz w:val="17"/>
                <w:szCs w:val="17"/>
                <w:lang w:eastAsia="en-GB"/>
              </w:rPr>
              <w:t xml:space="preserve"> default fund contributions</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42D27BEB"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1FE8B0C7"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3CD283EE"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30E2DAA4" w14:textId="77777777" w:rsidTr="00C23506">
        <w:tc>
          <w:tcPr>
            <w:tcW w:w="567" w:type="dxa"/>
            <w:tcBorders>
              <w:left w:val="nil"/>
              <w:right w:val="single" w:sz="4" w:space="0" w:color="auto"/>
            </w:tcBorders>
          </w:tcPr>
          <w:p w14:paraId="18FCA2E3" w14:textId="77777777" w:rsidR="000369C7" w:rsidRPr="00CB685C" w:rsidRDefault="000369C7" w:rsidP="00C23506">
            <w:pPr>
              <w:keepLines/>
              <w:tabs>
                <w:tab w:val="left" w:pos="397"/>
                <w:tab w:val="left" w:pos="794"/>
                <w:tab w:val="left" w:pos="1191"/>
              </w:tabs>
              <w:snapToGrid w:val="0"/>
              <w:spacing w:before="20" w:after="20"/>
              <w:rPr>
                <w:rFonts w:cs="Segoe UI"/>
                <w:sz w:val="17"/>
                <w:szCs w:val="17"/>
              </w:rPr>
            </w:pPr>
            <w:r w:rsidRPr="00CB685C">
              <w:rPr>
                <w:rFonts w:cs="Segoe UI" w:hint="eastAsia"/>
                <w:sz w:val="17"/>
                <w:szCs w:val="17"/>
              </w:rPr>
              <w:t>7</w:t>
            </w:r>
          </w:p>
        </w:tc>
        <w:tc>
          <w:tcPr>
            <w:tcW w:w="5245" w:type="dxa"/>
            <w:tcBorders>
              <w:left w:val="single" w:sz="4" w:space="0" w:color="auto"/>
              <w:right w:val="single" w:sz="4" w:space="0" w:color="auto"/>
            </w:tcBorders>
          </w:tcPr>
          <w:p w14:paraId="2F01A6EC" w14:textId="77777777" w:rsidR="000369C7" w:rsidRPr="004E457E" w:rsidRDefault="000369C7" w:rsidP="00C23506">
            <w:pPr>
              <w:keepLines/>
              <w:tabs>
                <w:tab w:val="left" w:pos="397"/>
                <w:tab w:val="left" w:pos="794"/>
                <w:tab w:val="left" w:pos="1191"/>
              </w:tabs>
              <w:snapToGrid w:val="0"/>
              <w:spacing w:before="20" w:after="20"/>
              <w:ind w:firstLine="323"/>
              <w:rPr>
                <w:rFonts w:cs="Segoe UI"/>
                <w:sz w:val="17"/>
                <w:szCs w:val="17"/>
                <w:lang w:eastAsia="en-GB"/>
              </w:rPr>
            </w:pPr>
            <w:r w:rsidRPr="004E457E">
              <w:rPr>
                <w:rFonts w:cs="Segoe UI"/>
                <w:sz w:val="17"/>
                <w:szCs w:val="17"/>
                <w:lang w:eastAsia="en-GB"/>
              </w:rPr>
              <w:t>Of which SA-CCR</w:t>
            </w:r>
            <w:r>
              <w:rPr>
                <w:rFonts w:cs="Segoe UI"/>
                <w:sz w:val="17"/>
                <w:szCs w:val="17"/>
                <w:lang w:eastAsia="en-GB"/>
              </w:rPr>
              <w:t xml:space="preserve"> approach</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6D6D7802"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1BA1E17C"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2C541629"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3B20F054" w14:textId="77777777" w:rsidTr="00C23506">
        <w:tc>
          <w:tcPr>
            <w:tcW w:w="567" w:type="dxa"/>
            <w:tcBorders>
              <w:left w:val="nil"/>
              <w:right w:val="single" w:sz="4" w:space="0" w:color="auto"/>
            </w:tcBorders>
          </w:tcPr>
          <w:p w14:paraId="09EAA4D1" w14:textId="77777777" w:rsidR="000369C7" w:rsidRPr="00CB685C" w:rsidRDefault="000369C7" w:rsidP="00C23506">
            <w:pPr>
              <w:keepLines/>
              <w:tabs>
                <w:tab w:val="left" w:pos="397"/>
                <w:tab w:val="left" w:pos="794"/>
                <w:tab w:val="left" w:pos="1191"/>
              </w:tabs>
              <w:snapToGrid w:val="0"/>
              <w:spacing w:before="20" w:after="20"/>
              <w:rPr>
                <w:rFonts w:cs="Segoe UI"/>
                <w:sz w:val="17"/>
                <w:szCs w:val="17"/>
                <w:lang w:eastAsia="en-GB"/>
              </w:rPr>
            </w:pPr>
            <w:r w:rsidRPr="00CB685C">
              <w:rPr>
                <w:rFonts w:cs="Segoe UI" w:hint="eastAsia"/>
                <w:sz w:val="17"/>
                <w:szCs w:val="17"/>
              </w:rPr>
              <w:t>7</w:t>
            </w:r>
            <w:r w:rsidRPr="00CB685C">
              <w:rPr>
                <w:rFonts w:cs="Segoe UI"/>
                <w:sz w:val="17"/>
                <w:szCs w:val="17"/>
                <w:lang w:eastAsia="en-GB"/>
              </w:rPr>
              <w:t>a</w:t>
            </w:r>
          </w:p>
        </w:tc>
        <w:tc>
          <w:tcPr>
            <w:tcW w:w="5245" w:type="dxa"/>
            <w:tcBorders>
              <w:left w:val="single" w:sz="4" w:space="0" w:color="auto"/>
              <w:right w:val="single" w:sz="4" w:space="0" w:color="auto"/>
            </w:tcBorders>
          </w:tcPr>
          <w:p w14:paraId="09C1943C" w14:textId="77777777" w:rsidR="000369C7" w:rsidRPr="004E457E" w:rsidRDefault="000369C7" w:rsidP="00C23506">
            <w:pPr>
              <w:keepLines/>
              <w:tabs>
                <w:tab w:val="left" w:pos="397"/>
                <w:tab w:val="left" w:pos="794"/>
                <w:tab w:val="left" w:pos="1191"/>
              </w:tabs>
              <w:snapToGrid w:val="0"/>
              <w:spacing w:before="20" w:after="20"/>
              <w:ind w:firstLine="323"/>
              <w:rPr>
                <w:rFonts w:cs="Segoe UI"/>
                <w:sz w:val="17"/>
                <w:szCs w:val="17"/>
                <w:lang w:eastAsia="en-GB"/>
              </w:rPr>
            </w:pPr>
            <w:r w:rsidRPr="004E457E">
              <w:rPr>
                <w:rFonts w:cs="Segoe UI"/>
                <w:sz w:val="17"/>
                <w:szCs w:val="17"/>
                <w:lang w:eastAsia="en-GB"/>
              </w:rPr>
              <w:t>Of which CEM</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62607F03"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2AF57F4A"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2721149F"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46F8FDA9" w14:textId="77777777" w:rsidTr="00C23506">
        <w:tc>
          <w:tcPr>
            <w:tcW w:w="567" w:type="dxa"/>
            <w:tcBorders>
              <w:left w:val="nil"/>
              <w:right w:val="single" w:sz="4" w:space="0" w:color="auto"/>
            </w:tcBorders>
          </w:tcPr>
          <w:p w14:paraId="79B094D0" w14:textId="77777777" w:rsidR="000369C7" w:rsidRPr="00CB685C" w:rsidRDefault="000369C7" w:rsidP="00C23506">
            <w:pPr>
              <w:keepLines/>
              <w:tabs>
                <w:tab w:val="left" w:pos="397"/>
                <w:tab w:val="left" w:pos="794"/>
                <w:tab w:val="left" w:pos="1191"/>
              </w:tabs>
              <w:snapToGrid w:val="0"/>
              <w:spacing w:before="20" w:after="20"/>
              <w:rPr>
                <w:rFonts w:cs="Segoe UI"/>
                <w:sz w:val="17"/>
                <w:szCs w:val="17"/>
              </w:rPr>
            </w:pPr>
            <w:r w:rsidRPr="00CB685C">
              <w:rPr>
                <w:rFonts w:cs="Segoe UI" w:hint="eastAsia"/>
                <w:sz w:val="17"/>
                <w:szCs w:val="17"/>
              </w:rPr>
              <w:t>8</w:t>
            </w:r>
          </w:p>
        </w:tc>
        <w:tc>
          <w:tcPr>
            <w:tcW w:w="5245" w:type="dxa"/>
            <w:tcBorders>
              <w:left w:val="single" w:sz="4" w:space="0" w:color="auto"/>
              <w:right w:val="single" w:sz="4" w:space="0" w:color="auto"/>
            </w:tcBorders>
          </w:tcPr>
          <w:p w14:paraId="0649E8A7" w14:textId="77777777" w:rsidR="000369C7" w:rsidRPr="004E457E" w:rsidRDefault="000369C7" w:rsidP="00C23506">
            <w:pPr>
              <w:keepLines/>
              <w:tabs>
                <w:tab w:val="left" w:pos="397"/>
                <w:tab w:val="left" w:pos="794"/>
                <w:tab w:val="left" w:pos="1191"/>
              </w:tabs>
              <w:snapToGrid w:val="0"/>
              <w:spacing w:before="20" w:after="20"/>
              <w:ind w:firstLine="323"/>
              <w:rPr>
                <w:rFonts w:cs="Segoe UI"/>
                <w:sz w:val="17"/>
                <w:szCs w:val="17"/>
                <w:lang w:eastAsia="en-GB"/>
              </w:rPr>
            </w:pPr>
            <w:r>
              <w:rPr>
                <w:rFonts w:cs="Segoe UI"/>
                <w:sz w:val="17"/>
                <w:szCs w:val="17"/>
                <w:lang w:eastAsia="en-GB"/>
              </w:rPr>
              <w:t xml:space="preserve">Of which </w:t>
            </w:r>
            <w:r w:rsidRPr="00FC4133">
              <w:rPr>
                <w:rFonts w:cs="Segoe UI"/>
                <w:sz w:val="17"/>
                <w:szCs w:val="17"/>
                <w:lang w:eastAsia="en-GB"/>
              </w:rPr>
              <w:t xml:space="preserve">IMM(CCR) </w:t>
            </w:r>
            <w:r>
              <w:rPr>
                <w:rFonts w:cs="Segoe UI"/>
                <w:sz w:val="17"/>
                <w:szCs w:val="17"/>
                <w:lang w:eastAsia="en-GB"/>
              </w:rPr>
              <w:t>a</w:t>
            </w:r>
            <w:r w:rsidRPr="00FC4133">
              <w:rPr>
                <w:rFonts w:cs="Segoe UI"/>
                <w:sz w:val="17"/>
                <w:szCs w:val="17"/>
                <w:lang w:eastAsia="en-GB"/>
              </w:rPr>
              <w:t>pproach</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5C6EF029"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27003627"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4E2A472A"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7A261088" w14:textId="77777777" w:rsidTr="00C23506">
        <w:tc>
          <w:tcPr>
            <w:tcW w:w="567" w:type="dxa"/>
            <w:tcBorders>
              <w:left w:val="nil"/>
              <w:right w:val="single" w:sz="4" w:space="0" w:color="auto"/>
            </w:tcBorders>
          </w:tcPr>
          <w:p w14:paraId="59280958" w14:textId="77777777" w:rsidR="000369C7" w:rsidRPr="00CB685C" w:rsidRDefault="000369C7" w:rsidP="00C23506">
            <w:pPr>
              <w:keepLines/>
              <w:tabs>
                <w:tab w:val="left" w:pos="397"/>
                <w:tab w:val="left" w:pos="794"/>
                <w:tab w:val="left" w:pos="1191"/>
              </w:tabs>
              <w:snapToGrid w:val="0"/>
              <w:spacing w:before="20" w:after="20"/>
              <w:rPr>
                <w:rFonts w:cs="Segoe UI"/>
                <w:sz w:val="17"/>
                <w:szCs w:val="17"/>
              </w:rPr>
            </w:pPr>
            <w:r w:rsidRPr="00CB685C">
              <w:rPr>
                <w:rFonts w:cs="Segoe UI" w:hint="eastAsia"/>
                <w:sz w:val="17"/>
                <w:szCs w:val="17"/>
              </w:rPr>
              <w:t>9</w:t>
            </w:r>
          </w:p>
        </w:tc>
        <w:tc>
          <w:tcPr>
            <w:tcW w:w="5245" w:type="dxa"/>
            <w:tcBorders>
              <w:left w:val="single" w:sz="4" w:space="0" w:color="auto"/>
              <w:right w:val="single" w:sz="4" w:space="0" w:color="auto"/>
            </w:tcBorders>
          </w:tcPr>
          <w:p w14:paraId="6FFB63B6" w14:textId="77777777" w:rsidR="000369C7" w:rsidRPr="004E457E" w:rsidRDefault="000369C7" w:rsidP="00C23506">
            <w:pPr>
              <w:keepLines/>
              <w:tabs>
                <w:tab w:val="left" w:pos="397"/>
                <w:tab w:val="left" w:pos="794"/>
                <w:tab w:val="left" w:pos="1191"/>
              </w:tabs>
              <w:snapToGrid w:val="0"/>
              <w:spacing w:before="20" w:after="20"/>
              <w:ind w:firstLine="323"/>
              <w:rPr>
                <w:rFonts w:cs="Segoe UI"/>
                <w:sz w:val="17"/>
                <w:szCs w:val="17"/>
                <w:lang w:eastAsia="en-GB"/>
              </w:rPr>
            </w:pPr>
            <w:r>
              <w:rPr>
                <w:rFonts w:cs="Segoe UI"/>
                <w:sz w:val="17"/>
                <w:szCs w:val="17"/>
                <w:lang w:eastAsia="en-GB"/>
              </w:rPr>
              <w:t xml:space="preserve">Of which </w:t>
            </w:r>
            <w:r w:rsidRPr="0045027E">
              <w:rPr>
                <w:rFonts w:cs="Segoe UI"/>
                <w:sz w:val="17"/>
                <w:szCs w:val="17"/>
                <w:lang w:eastAsia="en-GB"/>
              </w:rPr>
              <w:t>other</w:t>
            </w:r>
            <w:r>
              <w:rPr>
                <w:rFonts w:cs="Segoe UI"/>
                <w:sz w:val="17"/>
                <w:szCs w:val="17"/>
                <w:lang w:eastAsia="en-GB"/>
              </w:rPr>
              <w:t>s</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1A2D28CB"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5182A7F8"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1C72C617"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7901AFFC" w14:textId="77777777" w:rsidTr="00C23506">
        <w:trPr>
          <w:trHeight w:val="227"/>
        </w:trPr>
        <w:tc>
          <w:tcPr>
            <w:tcW w:w="567" w:type="dxa"/>
            <w:tcBorders>
              <w:left w:val="nil"/>
              <w:right w:val="single" w:sz="4" w:space="0" w:color="auto"/>
            </w:tcBorders>
          </w:tcPr>
          <w:p w14:paraId="215529BE" w14:textId="77777777" w:rsidR="000369C7" w:rsidRPr="00CB685C" w:rsidRDefault="000369C7" w:rsidP="00C23506">
            <w:pPr>
              <w:keepLines/>
              <w:tabs>
                <w:tab w:val="left" w:pos="397"/>
                <w:tab w:val="left" w:pos="794"/>
                <w:tab w:val="left" w:pos="1191"/>
              </w:tabs>
              <w:snapToGrid w:val="0"/>
              <w:spacing w:before="20" w:after="20"/>
              <w:rPr>
                <w:rFonts w:cs="Segoe UI"/>
                <w:sz w:val="17"/>
                <w:szCs w:val="17"/>
              </w:rPr>
            </w:pPr>
            <w:r w:rsidRPr="00CB685C">
              <w:rPr>
                <w:rFonts w:cs="Segoe UI" w:hint="eastAsia"/>
                <w:sz w:val="17"/>
                <w:szCs w:val="17"/>
              </w:rPr>
              <w:t>10</w:t>
            </w:r>
          </w:p>
        </w:tc>
        <w:tc>
          <w:tcPr>
            <w:tcW w:w="5245" w:type="dxa"/>
            <w:tcBorders>
              <w:left w:val="single" w:sz="4" w:space="0" w:color="auto"/>
              <w:right w:val="single" w:sz="4" w:space="0" w:color="auto"/>
            </w:tcBorders>
          </w:tcPr>
          <w:p w14:paraId="5B2F2D12" w14:textId="77777777" w:rsidR="000369C7" w:rsidRPr="00E44B1B" w:rsidRDefault="000369C7" w:rsidP="00C23506">
            <w:pPr>
              <w:keepLines/>
              <w:tabs>
                <w:tab w:val="left" w:pos="397"/>
                <w:tab w:val="left" w:pos="794"/>
                <w:tab w:val="left" w:pos="1191"/>
              </w:tabs>
              <w:snapToGrid w:val="0"/>
              <w:spacing w:before="20" w:after="20"/>
              <w:rPr>
                <w:rFonts w:cs="Segoe UI"/>
              </w:rPr>
            </w:pPr>
            <w:r>
              <w:rPr>
                <w:rFonts w:cs="Segoe UI"/>
                <w:sz w:val="17"/>
                <w:szCs w:val="17"/>
                <w:lang w:eastAsia="en-GB"/>
              </w:rPr>
              <w:t>CVA risk</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3BE0FD95"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416D0223"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0DF7DDB9"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3B9FB06A" w14:textId="77777777" w:rsidTr="00C23506">
        <w:tc>
          <w:tcPr>
            <w:tcW w:w="567" w:type="dxa"/>
            <w:tcBorders>
              <w:left w:val="nil"/>
              <w:right w:val="single" w:sz="4" w:space="0" w:color="auto"/>
            </w:tcBorders>
          </w:tcPr>
          <w:p w14:paraId="50C95613" w14:textId="77777777" w:rsidR="000369C7" w:rsidRPr="00CB685C" w:rsidRDefault="000369C7" w:rsidP="00C23506">
            <w:pPr>
              <w:keepLines/>
              <w:tabs>
                <w:tab w:val="left" w:pos="397"/>
                <w:tab w:val="left" w:pos="794"/>
                <w:tab w:val="left" w:pos="1191"/>
              </w:tabs>
              <w:snapToGrid w:val="0"/>
              <w:spacing w:before="20" w:after="20"/>
              <w:rPr>
                <w:rFonts w:cs="Segoe UI"/>
                <w:sz w:val="17"/>
                <w:szCs w:val="17"/>
              </w:rPr>
            </w:pPr>
            <w:r w:rsidRPr="00CB685C">
              <w:rPr>
                <w:rFonts w:cs="Segoe UI" w:hint="eastAsia"/>
                <w:sz w:val="17"/>
                <w:szCs w:val="17"/>
              </w:rPr>
              <w:t>11</w:t>
            </w:r>
          </w:p>
        </w:tc>
        <w:tc>
          <w:tcPr>
            <w:tcW w:w="5245" w:type="dxa"/>
            <w:tcBorders>
              <w:left w:val="single" w:sz="4" w:space="0" w:color="auto"/>
              <w:right w:val="single" w:sz="4" w:space="0" w:color="auto"/>
            </w:tcBorders>
          </w:tcPr>
          <w:p w14:paraId="56F7F6BC" w14:textId="77777777" w:rsidR="000369C7" w:rsidRPr="00686916" w:rsidRDefault="000369C7" w:rsidP="00C23506">
            <w:pPr>
              <w:keepLines/>
              <w:tabs>
                <w:tab w:val="left" w:pos="397"/>
                <w:tab w:val="left" w:pos="794"/>
                <w:tab w:val="left" w:pos="1191"/>
              </w:tabs>
              <w:snapToGrid w:val="0"/>
              <w:spacing w:before="20" w:after="20"/>
              <w:rPr>
                <w:rFonts w:cs="Segoe UI"/>
                <w:sz w:val="17"/>
                <w:szCs w:val="17"/>
                <w:lang w:eastAsia="en-GB"/>
              </w:rPr>
            </w:pPr>
            <w:r>
              <w:rPr>
                <w:rFonts w:cs="Segoe UI"/>
                <w:sz w:val="17"/>
                <w:szCs w:val="17"/>
                <w:lang w:eastAsia="en-GB"/>
              </w:rPr>
              <w:t xml:space="preserve">Equity positions </w:t>
            </w:r>
            <w:r>
              <w:rPr>
                <w:rFonts w:cs="Segoe UI"/>
                <w:noProof/>
                <w:sz w:val="17"/>
                <w:szCs w:val="17"/>
                <w:lang w:eastAsia="en-GB"/>
              </w:rPr>
              <w:t xml:space="preserve">in banking book </w:t>
            </w:r>
            <w:r w:rsidRPr="00686916">
              <w:rPr>
                <w:rFonts w:cs="Segoe UI"/>
                <w:noProof/>
                <w:sz w:val="17"/>
                <w:szCs w:val="17"/>
                <w:lang w:eastAsia="en-GB"/>
              </w:rPr>
              <w:t xml:space="preserve">under the </w:t>
            </w:r>
            <w:r>
              <w:rPr>
                <w:rFonts w:cs="Segoe UI" w:hint="eastAsia"/>
                <w:noProof/>
                <w:sz w:val="17"/>
                <w:szCs w:val="17"/>
              </w:rPr>
              <w:t>s</w:t>
            </w:r>
            <w:r w:rsidRPr="00146759">
              <w:rPr>
                <w:rFonts w:cs="Segoe UI"/>
                <w:noProof/>
                <w:sz w:val="17"/>
                <w:szCs w:val="17"/>
                <w:lang w:eastAsia="en-GB"/>
              </w:rPr>
              <w:t>imple risk-weight method</w:t>
            </w:r>
            <w:r>
              <w:rPr>
                <w:rFonts w:cs="Segoe UI"/>
                <w:noProof/>
                <w:sz w:val="17"/>
                <w:szCs w:val="17"/>
                <w:lang w:eastAsia="en-GB"/>
              </w:rPr>
              <w:t xml:space="preserve"> and internal models method</w:t>
            </w:r>
          </w:p>
        </w:tc>
        <w:tc>
          <w:tcPr>
            <w:tcW w:w="921" w:type="dxa"/>
            <w:tcBorders>
              <w:top w:val="single" w:sz="4" w:space="0" w:color="BFBFBF"/>
              <w:left w:val="single" w:sz="4" w:space="0" w:color="auto"/>
              <w:bottom w:val="single" w:sz="4" w:space="0" w:color="BFBFBF"/>
              <w:right w:val="single" w:sz="4" w:space="0" w:color="auto"/>
            </w:tcBorders>
            <w:shd w:val="clear" w:color="auto" w:fill="D9D9D9"/>
          </w:tcPr>
          <w:p w14:paraId="01C1705A" w14:textId="77777777" w:rsidR="000369C7" w:rsidRPr="004E457E" w:rsidRDefault="000369C7" w:rsidP="00C23506">
            <w:pPr>
              <w:keepLines/>
              <w:tabs>
                <w:tab w:val="left" w:pos="397"/>
                <w:tab w:val="left" w:pos="794"/>
                <w:tab w:val="left" w:pos="1191"/>
              </w:tabs>
              <w:snapToGrid w:val="0"/>
              <w:spacing w:before="20" w:after="20"/>
              <w:jc w:val="center"/>
              <w:rPr>
                <w:rFonts w:cs="Segoe UI"/>
                <w:sz w:val="17"/>
                <w:szCs w:val="17"/>
                <w:lang w:eastAsia="en-GB"/>
              </w:rPr>
            </w:pPr>
            <w:r>
              <w:rPr>
                <w:rFonts w:cs="Segoe UI"/>
                <w:sz w:val="17"/>
                <w:szCs w:val="17"/>
                <w:lang w:eastAsia="en-GB"/>
              </w:rPr>
              <w:t>N/A</w:t>
            </w:r>
          </w:p>
        </w:tc>
        <w:tc>
          <w:tcPr>
            <w:tcW w:w="922" w:type="dxa"/>
            <w:tcBorders>
              <w:top w:val="single" w:sz="4" w:space="0" w:color="BFBFBF"/>
              <w:left w:val="single" w:sz="4" w:space="0" w:color="auto"/>
              <w:bottom w:val="single" w:sz="4" w:space="0" w:color="BFBFBF"/>
              <w:right w:val="single" w:sz="4" w:space="0" w:color="auto"/>
            </w:tcBorders>
            <w:shd w:val="clear" w:color="auto" w:fill="D9D9D9"/>
          </w:tcPr>
          <w:p w14:paraId="74FFEF4E" w14:textId="77777777" w:rsidR="000369C7" w:rsidRPr="004E457E" w:rsidRDefault="000369C7" w:rsidP="00C23506">
            <w:pPr>
              <w:keepLines/>
              <w:tabs>
                <w:tab w:val="left" w:pos="397"/>
                <w:tab w:val="left" w:pos="794"/>
                <w:tab w:val="left" w:pos="1191"/>
              </w:tabs>
              <w:snapToGrid w:val="0"/>
              <w:spacing w:before="20" w:after="20"/>
              <w:jc w:val="center"/>
              <w:rPr>
                <w:rFonts w:cs="Segoe UI"/>
                <w:sz w:val="17"/>
                <w:szCs w:val="17"/>
                <w:lang w:eastAsia="en-GB"/>
              </w:rPr>
            </w:pPr>
            <w:r>
              <w:rPr>
                <w:rFonts w:cs="Segoe UI"/>
                <w:sz w:val="17"/>
                <w:szCs w:val="17"/>
                <w:lang w:eastAsia="en-GB"/>
              </w:rPr>
              <w:t>N/A</w:t>
            </w:r>
          </w:p>
        </w:tc>
        <w:tc>
          <w:tcPr>
            <w:tcW w:w="1559" w:type="dxa"/>
            <w:tcBorders>
              <w:top w:val="single" w:sz="4" w:space="0" w:color="BFBFBF"/>
              <w:left w:val="single" w:sz="4" w:space="0" w:color="auto"/>
              <w:bottom w:val="single" w:sz="4" w:space="0" w:color="BFBFBF"/>
              <w:right w:val="single" w:sz="4" w:space="0" w:color="auto"/>
            </w:tcBorders>
            <w:shd w:val="clear" w:color="auto" w:fill="D9D9D9"/>
          </w:tcPr>
          <w:p w14:paraId="198C6F8A" w14:textId="77777777" w:rsidR="000369C7" w:rsidRPr="004E457E" w:rsidRDefault="000369C7" w:rsidP="00C23506">
            <w:pPr>
              <w:keepLines/>
              <w:tabs>
                <w:tab w:val="left" w:pos="397"/>
                <w:tab w:val="left" w:pos="794"/>
                <w:tab w:val="left" w:pos="1191"/>
              </w:tabs>
              <w:snapToGrid w:val="0"/>
              <w:spacing w:before="20" w:after="20"/>
              <w:jc w:val="center"/>
              <w:rPr>
                <w:rFonts w:cs="Segoe UI"/>
                <w:sz w:val="17"/>
                <w:szCs w:val="17"/>
                <w:lang w:eastAsia="en-GB"/>
              </w:rPr>
            </w:pPr>
            <w:r>
              <w:rPr>
                <w:rFonts w:cs="Segoe UI"/>
                <w:sz w:val="17"/>
                <w:szCs w:val="17"/>
                <w:lang w:eastAsia="en-GB"/>
              </w:rPr>
              <w:t>N/A</w:t>
            </w:r>
          </w:p>
        </w:tc>
      </w:tr>
      <w:tr w:rsidR="000369C7" w:rsidRPr="004E457E" w14:paraId="7CF8B308" w14:textId="77777777" w:rsidTr="00C23506">
        <w:tc>
          <w:tcPr>
            <w:tcW w:w="567" w:type="dxa"/>
            <w:tcBorders>
              <w:top w:val="single" w:sz="4" w:space="0" w:color="BCBDBC"/>
              <w:left w:val="nil"/>
              <w:bottom w:val="single" w:sz="4" w:space="0" w:color="BCBDBC"/>
              <w:right w:val="single" w:sz="4" w:space="0" w:color="auto"/>
            </w:tcBorders>
          </w:tcPr>
          <w:p w14:paraId="783F9D95" w14:textId="77777777" w:rsidR="000369C7" w:rsidRPr="00CB685C" w:rsidRDefault="000369C7" w:rsidP="00C23506">
            <w:pPr>
              <w:keepLines/>
              <w:tabs>
                <w:tab w:val="left" w:pos="397"/>
                <w:tab w:val="left" w:pos="794"/>
                <w:tab w:val="left" w:pos="1191"/>
              </w:tabs>
              <w:snapToGrid w:val="0"/>
              <w:spacing w:before="20" w:after="20"/>
              <w:rPr>
                <w:rFonts w:cs="Segoe UI"/>
                <w:sz w:val="17"/>
                <w:szCs w:val="17"/>
              </w:rPr>
            </w:pPr>
            <w:r w:rsidRPr="003B041B">
              <w:rPr>
                <w:rFonts w:cs="Segoe UI"/>
                <w:sz w:val="17"/>
                <w:szCs w:val="17"/>
              </w:rPr>
              <w:t>12</w:t>
            </w:r>
          </w:p>
        </w:tc>
        <w:tc>
          <w:tcPr>
            <w:tcW w:w="5245" w:type="dxa"/>
            <w:tcBorders>
              <w:top w:val="single" w:sz="4" w:space="0" w:color="BCBDBC"/>
              <w:left w:val="single" w:sz="4" w:space="0" w:color="auto"/>
              <w:bottom w:val="single" w:sz="4" w:space="0" w:color="BCBDBC"/>
              <w:right w:val="single" w:sz="4" w:space="0" w:color="auto"/>
            </w:tcBorders>
          </w:tcPr>
          <w:p w14:paraId="3B8D5D7B" w14:textId="2E4675F3" w:rsidR="000369C7" w:rsidRPr="00180754" w:rsidRDefault="000369C7" w:rsidP="00C23506">
            <w:pPr>
              <w:keepLines/>
              <w:tabs>
                <w:tab w:val="left" w:pos="397"/>
                <w:tab w:val="left" w:pos="794"/>
                <w:tab w:val="left" w:pos="1191"/>
              </w:tabs>
              <w:snapToGrid w:val="0"/>
              <w:spacing w:before="20" w:after="20"/>
              <w:rPr>
                <w:rFonts w:cs="Segoe UI"/>
                <w:sz w:val="17"/>
                <w:szCs w:val="17"/>
                <w:lang w:eastAsia="en-GB"/>
              </w:rPr>
            </w:pPr>
            <w:r>
              <w:rPr>
                <w:rFonts w:cs="Segoe UI"/>
                <w:sz w:val="17"/>
                <w:szCs w:val="17"/>
                <w:lang w:eastAsia="en-GB"/>
              </w:rPr>
              <w:t>Collective investment scheme (“</w:t>
            </w:r>
            <w:r w:rsidRPr="004E457E">
              <w:rPr>
                <w:rFonts w:cs="Segoe UI"/>
                <w:sz w:val="17"/>
                <w:szCs w:val="17"/>
                <w:lang w:eastAsia="en-GB"/>
              </w:rPr>
              <w:t>CIS</w:t>
            </w:r>
            <w:r>
              <w:rPr>
                <w:rFonts w:cs="Segoe UI"/>
                <w:sz w:val="17"/>
                <w:szCs w:val="17"/>
                <w:lang w:eastAsia="en-GB"/>
              </w:rPr>
              <w:t>”)</w:t>
            </w:r>
            <w:r w:rsidRPr="004E457E">
              <w:rPr>
                <w:rFonts w:cs="Segoe UI"/>
                <w:sz w:val="17"/>
                <w:szCs w:val="17"/>
                <w:lang w:eastAsia="en-GB"/>
              </w:rPr>
              <w:t xml:space="preserve"> exposures – </w:t>
            </w:r>
            <w:r>
              <w:rPr>
                <w:rFonts w:cs="Segoe UI"/>
                <w:sz w:val="17"/>
                <w:szCs w:val="17"/>
                <w:lang w:eastAsia="en-GB"/>
              </w:rPr>
              <w:t xml:space="preserve">look-through approach </w:t>
            </w:r>
            <w:r w:rsidRPr="006136C3">
              <w:rPr>
                <w:rFonts w:cs="Segoe UI"/>
                <w:sz w:val="17"/>
                <w:szCs w:val="17"/>
                <w:lang w:eastAsia="en-GB"/>
              </w:rPr>
              <w:t>/</w:t>
            </w:r>
            <w:r>
              <w:rPr>
                <w:rFonts w:cs="Segoe UI"/>
                <w:sz w:val="17"/>
                <w:szCs w:val="17"/>
                <w:lang w:eastAsia="en-GB"/>
              </w:rPr>
              <w:t xml:space="preserve"> third-party approach</w:t>
            </w:r>
          </w:p>
        </w:tc>
        <w:tc>
          <w:tcPr>
            <w:tcW w:w="921" w:type="dxa"/>
            <w:tcBorders>
              <w:top w:val="single" w:sz="4" w:space="0" w:color="BFBFBF"/>
              <w:left w:val="single" w:sz="4" w:space="0" w:color="auto"/>
              <w:bottom w:val="single" w:sz="4" w:space="0" w:color="BFBFBF"/>
              <w:right w:val="single" w:sz="4" w:space="0" w:color="auto"/>
            </w:tcBorders>
            <w:shd w:val="clear" w:color="auto" w:fill="auto"/>
          </w:tcPr>
          <w:p w14:paraId="3948175E"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1DB54944"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4EC8808E"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22DDE7C3" w14:textId="77777777" w:rsidTr="00C23506">
        <w:tc>
          <w:tcPr>
            <w:tcW w:w="567" w:type="dxa"/>
            <w:tcBorders>
              <w:top w:val="single" w:sz="4" w:space="0" w:color="BCBDBC"/>
              <w:left w:val="nil"/>
              <w:bottom w:val="single" w:sz="4" w:space="0" w:color="BCBDBC"/>
              <w:right w:val="single" w:sz="4" w:space="0" w:color="auto"/>
            </w:tcBorders>
          </w:tcPr>
          <w:p w14:paraId="6BF925E0" w14:textId="77777777" w:rsidR="000369C7" w:rsidRPr="00CB685C" w:rsidRDefault="000369C7" w:rsidP="00C23506">
            <w:pPr>
              <w:keepLines/>
              <w:tabs>
                <w:tab w:val="left" w:pos="397"/>
                <w:tab w:val="left" w:pos="794"/>
                <w:tab w:val="left" w:pos="1191"/>
              </w:tabs>
              <w:snapToGrid w:val="0"/>
              <w:spacing w:before="20" w:after="20"/>
              <w:rPr>
                <w:rFonts w:cs="Segoe UI"/>
                <w:sz w:val="17"/>
                <w:szCs w:val="17"/>
              </w:rPr>
            </w:pPr>
            <w:r w:rsidRPr="00CB685C">
              <w:rPr>
                <w:rFonts w:cs="Segoe UI" w:hint="eastAsia"/>
                <w:sz w:val="17"/>
                <w:szCs w:val="17"/>
              </w:rPr>
              <w:t>13</w:t>
            </w:r>
          </w:p>
        </w:tc>
        <w:tc>
          <w:tcPr>
            <w:tcW w:w="5245" w:type="dxa"/>
            <w:tcBorders>
              <w:top w:val="single" w:sz="4" w:space="0" w:color="BCBDBC"/>
              <w:left w:val="single" w:sz="4" w:space="0" w:color="auto"/>
              <w:bottom w:val="single" w:sz="4" w:space="0" w:color="BCBDBC"/>
              <w:right w:val="single" w:sz="4" w:space="0" w:color="auto"/>
            </w:tcBorders>
          </w:tcPr>
          <w:p w14:paraId="502EF8D6" w14:textId="6E048120" w:rsidR="000369C7" w:rsidRPr="007D38F3" w:rsidRDefault="000369C7" w:rsidP="00C23506">
            <w:pPr>
              <w:keepLines/>
              <w:tabs>
                <w:tab w:val="left" w:pos="397"/>
                <w:tab w:val="left" w:pos="794"/>
                <w:tab w:val="left" w:pos="1191"/>
              </w:tabs>
              <w:snapToGrid w:val="0"/>
              <w:spacing w:before="20" w:after="20"/>
              <w:rPr>
                <w:rFonts w:cs="Segoe UI"/>
                <w:sz w:val="17"/>
                <w:szCs w:val="17"/>
                <w:lang w:eastAsia="en-GB"/>
              </w:rPr>
            </w:pPr>
            <w:r w:rsidRPr="007D38F3">
              <w:rPr>
                <w:rFonts w:cs="Segoe UI"/>
                <w:sz w:val="17"/>
                <w:szCs w:val="17"/>
                <w:lang w:eastAsia="en-GB"/>
              </w:rPr>
              <w:t xml:space="preserve">CIS exposures – </w:t>
            </w:r>
            <w:r>
              <w:rPr>
                <w:rFonts w:cs="Segoe UI"/>
                <w:sz w:val="17"/>
                <w:szCs w:val="17"/>
                <w:lang w:eastAsia="en-GB"/>
              </w:rPr>
              <w:t>mandate-based approach</w:t>
            </w:r>
          </w:p>
        </w:tc>
        <w:tc>
          <w:tcPr>
            <w:tcW w:w="921" w:type="dxa"/>
            <w:tcBorders>
              <w:top w:val="single" w:sz="4" w:space="0" w:color="BFBFBF"/>
              <w:left w:val="single" w:sz="4" w:space="0" w:color="auto"/>
              <w:bottom w:val="single" w:sz="4" w:space="0" w:color="BFBFBF"/>
              <w:right w:val="single" w:sz="4" w:space="0" w:color="auto"/>
            </w:tcBorders>
            <w:shd w:val="clear" w:color="auto" w:fill="auto"/>
          </w:tcPr>
          <w:p w14:paraId="350D0A53"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5051F129"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729D9805"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7FD2F507" w14:textId="77777777" w:rsidTr="00C23506">
        <w:tc>
          <w:tcPr>
            <w:tcW w:w="567" w:type="dxa"/>
            <w:tcBorders>
              <w:top w:val="single" w:sz="4" w:space="0" w:color="BCBDBC"/>
              <w:left w:val="nil"/>
              <w:bottom w:val="single" w:sz="4" w:space="0" w:color="BCBDBC"/>
              <w:right w:val="single" w:sz="4" w:space="0" w:color="auto"/>
            </w:tcBorders>
          </w:tcPr>
          <w:p w14:paraId="3610E5B4" w14:textId="77777777" w:rsidR="000369C7" w:rsidRPr="00CB685C" w:rsidRDefault="000369C7" w:rsidP="00C23506">
            <w:pPr>
              <w:keepLines/>
              <w:tabs>
                <w:tab w:val="left" w:pos="397"/>
                <w:tab w:val="left" w:pos="794"/>
                <w:tab w:val="left" w:pos="1191"/>
              </w:tabs>
              <w:snapToGrid w:val="0"/>
              <w:spacing w:before="20" w:after="20"/>
              <w:rPr>
                <w:rFonts w:cs="Segoe UI"/>
                <w:sz w:val="17"/>
                <w:szCs w:val="17"/>
              </w:rPr>
            </w:pPr>
            <w:r w:rsidRPr="00CB685C">
              <w:rPr>
                <w:rFonts w:cs="Segoe UI"/>
                <w:sz w:val="17"/>
                <w:szCs w:val="17"/>
                <w:lang w:eastAsia="en-GB"/>
              </w:rPr>
              <w:t>14</w:t>
            </w:r>
          </w:p>
        </w:tc>
        <w:tc>
          <w:tcPr>
            <w:tcW w:w="5245" w:type="dxa"/>
            <w:tcBorders>
              <w:top w:val="single" w:sz="4" w:space="0" w:color="BCBDBC"/>
              <w:left w:val="single" w:sz="4" w:space="0" w:color="auto"/>
              <w:bottom w:val="single" w:sz="4" w:space="0" w:color="BCBDBC"/>
              <w:right w:val="single" w:sz="4" w:space="0" w:color="auto"/>
            </w:tcBorders>
          </w:tcPr>
          <w:p w14:paraId="4148F744" w14:textId="03F113CA" w:rsidR="000369C7" w:rsidRPr="007D38F3" w:rsidRDefault="000369C7" w:rsidP="00C23506">
            <w:pPr>
              <w:keepLines/>
              <w:tabs>
                <w:tab w:val="left" w:pos="397"/>
                <w:tab w:val="left" w:pos="794"/>
                <w:tab w:val="left" w:pos="1191"/>
              </w:tabs>
              <w:snapToGrid w:val="0"/>
              <w:spacing w:before="20" w:after="20"/>
              <w:rPr>
                <w:rFonts w:cs="Segoe UI"/>
                <w:sz w:val="17"/>
                <w:szCs w:val="17"/>
                <w:lang w:eastAsia="en-GB"/>
              </w:rPr>
            </w:pPr>
            <w:r w:rsidRPr="007D38F3">
              <w:rPr>
                <w:rFonts w:cs="Segoe UI"/>
                <w:sz w:val="17"/>
                <w:szCs w:val="17"/>
                <w:lang w:eastAsia="en-GB"/>
              </w:rPr>
              <w:t xml:space="preserve">CIS exposures – </w:t>
            </w:r>
            <w:r>
              <w:rPr>
                <w:rFonts w:cs="Segoe UI"/>
                <w:sz w:val="17"/>
                <w:szCs w:val="17"/>
                <w:lang w:eastAsia="en-GB"/>
              </w:rPr>
              <w:t>fall-back approach</w:t>
            </w:r>
          </w:p>
        </w:tc>
        <w:tc>
          <w:tcPr>
            <w:tcW w:w="921" w:type="dxa"/>
            <w:tcBorders>
              <w:top w:val="single" w:sz="4" w:space="0" w:color="BFBFBF"/>
              <w:left w:val="single" w:sz="4" w:space="0" w:color="auto"/>
              <w:bottom w:val="single" w:sz="4" w:space="0" w:color="BFBFBF"/>
              <w:right w:val="single" w:sz="4" w:space="0" w:color="auto"/>
            </w:tcBorders>
            <w:shd w:val="clear" w:color="auto" w:fill="auto"/>
          </w:tcPr>
          <w:p w14:paraId="2742D37B"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49B7DF1D"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2DF735AD"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2B8FB958" w14:textId="77777777" w:rsidTr="00C23506">
        <w:tc>
          <w:tcPr>
            <w:tcW w:w="567" w:type="dxa"/>
            <w:tcBorders>
              <w:top w:val="single" w:sz="4" w:space="0" w:color="BCBDBC"/>
              <w:left w:val="nil"/>
              <w:bottom w:val="single" w:sz="4" w:space="0" w:color="BCBDBC"/>
              <w:right w:val="single" w:sz="4" w:space="0" w:color="auto"/>
            </w:tcBorders>
          </w:tcPr>
          <w:p w14:paraId="5B0EFCCF" w14:textId="77777777" w:rsidR="000369C7" w:rsidRPr="00CB685C" w:rsidRDefault="000369C7" w:rsidP="00C23506">
            <w:pPr>
              <w:keepLines/>
              <w:tabs>
                <w:tab w:val="left" w:pos="397"/>
                <w:tab w:val="left" w:pos="794"/>
                <w:tab w:val="left" w:pos="1191"/>
              </w:tabs>
              <w:snapToGrid w:val="0"/>
              <w:spacing w:before="20" w:after="20"/>
              <w:rPr>
                <w:rFonts w:cs="Segoe UI"/>
                <w:sz w:val="17"/>
                <w:szCs w:val="17"/>
                <w:lang w:eastAsia="en-GB"/>
              </w:rPr>
            </w:pPr>
            <w:r>
              <w:rPr>
                <w:rFonts w:cs="Segoe UI"/>
                <w:sz w:val="17"/>
                <w:szCs w:val="17"/>
                <w:lang w:eastAsia="en-GB"/>
              </w:rPr>
              <w:t>14a</w:t>
            </w:r>
          </w:p>
        </w:tc>
        <w:tc>
          <w:tcPr>
            <w:tcW w:w="5245" w:type="dxa"/>
            <w:tcBorders>
              <w:top w:val="single" w:sz="4" w:space="0" w:color="BCBDBC"/>
              <w:left w:val="single" w:sz="4" w:space="0" w:color="auto"/>
              <w:bottom w:val="single" w:sz="4" w:space="0" w:color="BCBDBC"/>
              <w:right w:val="single" w:sz="4" w:space="0" w:color="auto"/>
            </w:tcBorders>
          </w:tcPr>
          <w:p w14:paraId="6905875C" w14:textId="5290E806"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r>
              <w:rPr>
                <w:rFonts w:cs="Segoe UI"/>
                <w:sz w:val="17"/>
                <w:szCs w:val="17"/>
                <w:lang w:eastAsia="en-GB"/>
              </w:rPr>
              <w:t>CIS exposures – combination of approaches</w:t>
            </w:r>
          </w:p>
        </w:tc>
        <w:tc>
          <w:tcPr>
            <w:tcW w:w="921" w:type="dxa"/>
            <w:tcBorders>
              <w:top w:val="single" w:sz="4" w:space="0" w:color="BFBFBF"/>
              <w:left w:val="single" w:sz="4" w:space="0" w:color="auto"/>
              <w:bottom w:val="single" w:sz="4" w:space="0" w:color="BFBFBF"/>
              <w:right w:val="single" w:sz="4" w:space="0" w:color="auto"/>
            </w:tcBorders>
            <w:shd w:val="clear" w:color="auto" w:fill="auto"/>
          </w:tcPr>
          <w:p w14:paraId="1426BF6C"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2D8A5466"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2ED48F71"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2A381C43" w14:textId="77777777" w:rsidTr="00C23506">
        <w:tc>
          <w:tcPr>
            <w:tcW w:w="567" w:type="dxa"/>
            <w:tcBorders>
              <w:top w:val="single" w:sz="4" w:space="0" w:color="BCBDBC"/>
              <w:left w:val="nil"/>
              <w:bottom w:val="single" w:sz="4" w:space="0" w:color="BCBDBC"/>
              <w:right w:val="single" w:sz="4" w:space="0" w:color="auto"/>
            </w:tcBorders>
          </w:tcPr>
          <w:p w14:paraId="43C62FE6" w14:textId="77777777" w:rsidR="000369C7" w:rsidRPr="00CB685C" w:rsidRDefault="000369C7" w:rsidP="00C23506">
            <w:pPr>
              <w:keepLines/>
              <w:tabs>
                <w:tab w:val="left" w:pos="397"/>
                <w:tab w:val="left" w:pos="794"/>
                <w:tab w:val="left" w:pos="1191"/>
              </w:tabs>
              <w:snapToGrid w:val="0"/>
              <w:spacing w:before="20" w:after="20"/>
              <w:rPr>
                <w:rFonts w:cs="Segoe UI"/>
                <w:sz w:val="17"/>
                <w:szCs w:val="17"/>
              </w:rPr>
            </w:pPr>
            <w:r w:rsidRPr="00CB685C">
              <w:rPr>
                <w:rFonts w:cs="Segoe UI"/>
                <w:sz w:val="17"/>
                <w:szCs w:val="17"/>
                <w:lang w:eastAsia="en-GB"/>
              </w:rPr>
              <w:t>1</w:t>
            </w:r>
            <w:r w:rsidRPr="00CB685C">
              <w:rPr>
                <w:rFonts w:cs="Segoe UI" w:hint="eastAsia"/>
                <w:sz w:val="17"/>
                <w:szCs w:val="17"/>
              </w:rPr>
              <w:t>5</w:t>
            </w:r>
          </w:p>
        </w:tc>
        <w:tc>
          <w:tcPr>
            <w:tcW w:w="5245" w:type="dxa"/>
            <w:tcBorders>
              <w:top w:val="single" w:sz="4" w:space="0" w:color="BCBDBC"/>
              <w:left w:val="single" w:sz="4" w:space="0" w:color="auto"/>
              <w:bottom w:val="single" w:sz="4" w:space="0" w:color="BCBDBC"/>
              <w:right w:val="single" w:sz="4" w:space="0" w:color="auto"/>
            </w:tcBorders>
          </w:tcPr>
          <w:p w14:paraId="2528569C" w14:textId="77777777" w:rsidR="000369C7" w:rsidRPr="004E457E" w:rsidRDefault="000369C7" w:rsidP="00C23506">
            <w:pPr>
              <w:keepLines/>
              <w:tabs>
                <w:tab w:val="left" w:pos="397"/>
                <w:tab w:val="left" w:pos="794"/>
                <w:tab w:val="left" w:pos="1191"/>
              </w:tabs>
              <w:snapToGrid w:val="0"/>
              <w:spacing w:before="20" w:after="20"/>
              <w:rPr>
                <w:rFonts w:cs="Segoe UI"/>
                <w:noProof/>
                <w:sz w:val="17"/>
                <w:szCs w:val="17"/>
                <w:lang w:eastAsia="en-GB"/>
              </w:rPr>
            </w:pPr>
            <w:r w:rsidRPr="004E457E">
              <w:rPr>
                <w:rFonts w:cs="Segoe UI"/>
                <w:sz w:val="17"/>
                <w:szCs w:val="17"/>
                <w:lang w:eastAsia="en-GB"/>
              </w:rPr>
              <w:t>Settlement risk</w:t>
            </w:r>
          </w:p>
        </w:tc>
        <w:tc>
          <w:tcPr>
            <w:tcW w:w="921" w:type="dxa"/>
            <w:tcBorders>
              <w:top w:val="single" w:sz="4" w:space="0" w:color="BFBFBF"/>
              <w:left w:val="single" w:sz="4" w:space="0" w:color="auto"/>
              <w:bottom w:val="single" w:sz="4" w:space="0" w:color="BFBFBF"/>
              <w:right w:val="single" w:sz="4" w:space="0" w:color="auto"/>
            </w:tcBorders>
            <w:shd w:val="clear" w:color="auto" w:fill="auto"/>
          </w:tcPr>
          <w:p w14:paraId="178F6029"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7268D54A"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3ACB7444"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13905E23" w14:textId="77777777" w:rsidTr="00C23506">
        <w:tc>
          <w:tcPr>
            <w:tcW w:w="567" w:type="dxa"/>
            <w:tcBorders>
              <w:left w:val="nil"/>
              <w:right w:val="single" w:sz="4" w:space="0" w:color="auto"/>
            </w:tcBorders>
          </w:tcPr>
          <w:p w14:paraId="45A0FBB9" w14:textId="77777777" w:rsidR="000369C7" w:rsidRPr="00CB685C" w:rsidRDefault="000369C7" w:rsidP="00C23506">
            <w:pPr>
              <w:keepLines/>
              <w:tabs>
                <w:tab w:val="left" w:pos="397"/>
                <w:tab w:val="left" w:pos="794"/>
                <w:tab w:val="left" w:pos="1191"/>
              </w:tabs>
              <w:snapToGrid w:val="0"/>
              <w:spacing w:before="20" w:after="20"/>
              <w:rPr>
                <w:rFonts w:cs="Segoe UI"/>
                <w:sz w:val="17"/>
                <w:szCs w:val="17"/>
              </w:rPr>
            </w:pPr>
            <w:r w:rsidRPr="00CB685C">
              <w:rPr>
                <w:rFonts w:cs="Segoe UI"/>
                <w:sz w:val="17"/>
                <w:szCs w:val="17"/>
                <w:lang w:eastAsia="en-GB"/>
              </w:rPr>
              <w:t>1</w:t>
            </w:r>
            <w:r w:rsidRPr="00CB685C">
              <w:rPr>
                <w:rFonts w:cs="Segoe UI" w:hint="eastAsia"/>
                <w:sz w:val="17"/>
                <w:szCs w:val="17"/>
              </w:rPr>
              <w:t>6</w:t>
            </w:r>
          </w:p>
        </w:tc>
        <w:tc>
          <w:tcPr>
            <w:tcW w:w="5245" w:type="dxa"/>
            <w:tcBorders>
              <w:left w:val="single" w:sz="4" w:space="0" w:color="auto"/>
              <w:right w:val="single" w:sz="4" w:space="0" w:color="auto"/>
            </w:tcBorders>
          </w:tcPr>
          <w:p w14:paraId="4BE5C9B0" w14:textId="77777777" w:rsidR="000369C7" w:rsidRPr="004E457E" w:rsidRDefault="000369C7" w:rsidP="00C23506">
            <w:pPr>
              <w:keepLines/>
              <w:tabs>
                <w:tab w:val="left" w:pos="397"/>
                <w:tab w:val="left" w:pos="794"/>
                <w:tab w:val="left" w:pos="1191"/>
              </w:tabs>
              <w:snapToGrid w:val="0"/>
              <w:spacing w:before="20" w:after="20"/>
              <w:rPr>
                <w:rFonts w:cs="Segoe UI"/>
                <w:noProof/>
                <w:sz w:val="17"/>
                <w:szCs w:val="17"/>
                <w:lang w:eastAsia="en-GB"/>
              </w:rPr>
            </w:pPr>
            <w:r w:rsidRPr="004E457E">
              <w:rPr>
                <w:rFonts w:cs="Segoe UI"/>
                <w:sz w:val="17"/>
                <w:szCs w:val="17"/>
                <w:lang w:eastAsia="en-GB"/>
              </w:rPr>
              <w:t>Securiti</w:t>
            </w:r>
            <w:r>
              <w:rPr>
                <w:rFonts w:cs="Segoe UI"/>
                <w:sz w:val="17"/>
                <w:szCs w:val="17"/>
                <w:lang w:eastAsia="en-GB"/>
              </w:rPr>
              <w:t>zation exposures in banking book</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49774AD7"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007EF526"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218F5A85"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67FC2A54" w14:textId="77777777" w:rsidTr="00C23506">
        <w:tc>
          <w:tcPr>
            <w:tcW w:w="567" w:type="dxa"/>
            <w:tcBorders>
              <w:left w:val="nil"/>
              <w:right w:val="single" w:sz="4" w:space="0" w:color="auto"/>
            </w:tcBorders>
          </w:tcPr>
          <w:p w14:paraId="24781E13" w14:textId="77777777" w:rsidR="000369C7" w:rsidRPr="00331B2F" w:rsidRDefault="000369C7" w:rsidP="00C23506">
            <w:pPr>
              <w:keepLines/>
              <w:tabs>
                <w:tab w:val="left" w:pos="397"/>
                <w:tab w:val="left" w:pos="794"/>
                <w:tab w:val="left" w:pos="1191"/>
              </w:tabs>
              <w:snapToGrid w:val="0"/>
              <w:spacing w:before="20" w:after="20"/>
              <w:rPr>
                <w:rFonts w:cs="Segoe UI"/>
                <w:sz w:val="17"/>
                <w:szCs w:val="17"/>
              </w:rPr>
            </w:pPr>
            <w:r w:rsidRPr="00331B2F">
              <w:rPr>
                <w:rFonts w:cs="Segoe UI"/>
                <w:sz w:val="17"/>
                <w:szCs w:val="17"/>
                <w:lang w:eastAsia="en-GB"/>
              </w:rPr>
              <w:t>1</w:t>
            </w:r>
            <w:r w:rsidRPr="00331B2F">
              <w:rPr>
                <w:rFonts w:cs="Segoe UI" w:hint="eastAsia"/>
                <w:sz w:val="17"/>
                <w:szCs w:val="17"/>
              </w:rPr>
              <w:t>7</w:t>
            </w:r>
          </w:p>
        </w:tc>
        <w:tc>
          <w:tcPr>
            <w:tcW w:w="5245" w:type="dxa"/>
            <w:tcBorders>
              <w:left w:val="single" w:sz="4" w:space="0" w:color="auto"/>
              <w:right w:val="single" w:sz="4" w:space="0" w:color="auto"/>
            </w:tcBorders>
          </w:tcPr>
          <w:p w14:paraId="2F268752" w14:textId="77777777" w:rsidR="000369C7" w:rsidRPr="004E457E" w:rsidRDefault="000369C7" w:rsidP="00C23506">
            <w:pPr>
              <w:keepLines/>
              <w:tabs>
                <w:tab w:val="left" w:pos="397"/>
                <w:tab w:val="left" w:pos="794"/>
                <w:tab w:val="left" w:pos="1191"/>
              </w:tabs>
              <w:snapToGrid w:val="0"/>
              <w:spacing w:before="20" w:after="20"/>
              <w:ind w:firstLine="323"/>
              <w:rPr>
                <w:rFonts w:cs="Segoe UI"/>
                <w:sz w:val="17"/>
                <w:szCs w:val="17"/>
                <w:lang w:eastAsia="en-GB"/>
              </w:rPr>
            </w:pPr>
            <w:r w:rsidRPr="004E457E">
              <w:rPr>
                <w:rFonts w:cs="Segoe UI"/>
                <w:sz w:val="17"/>
                <w:szCs w:val="17"/>
                <w:lang w:eastAsia="en-GB"/>
              </w:rPr>
              <w:t xml:space="preserve">Of which </w:t>
            </w:r>
            <w:r w:rsidRPr="005F2537">
              <w:rPr>
                <w:rFonts w:cs="Segoe UI"/>
                <w:sz w:val="17"/>
                <w:szCs w:val="17"/>
                <w:lang w:eastAsia="en-GB"/>
              </w:rPr>
              <w:t>SEC-IRBA</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742230C3"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5EB59479"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770DD047"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0085FE0A" w14:textId="77777777" w:rsidTr="00C23506">
        <w:tc>
          <w:tcPr>
            <w:tcW w:w="567" w:type="dxa"/>
            <w:tcBorders>
              <w:left w:val="nil"/>
              <w:right w:val="single" w:sz="4" w:space="0" w:color="auto"/>
            </w:tcBorders>
          </w:tcPr>
          <w:p w14:paraId="4FF0C024" w14:textId="77777777" w:rsidR="000369C7" w:rsidRPr="00331B2F" w:rsidRDefault="000369C7" w:rsidP="00C23506">
            <w:pPr>
              <w:keepLines/>
              <w:tabs>
                <w:tab w:val="left" w:pos="397"/>
                <w:tab w:val="left" w:pos="794"/>
                <w:tab w:val="left" w:pos="1191"/>
              </w:tabs>
              <w:snapToGrid w:val="0"/>
              <w:spacing w:before="20" w:after="20"/>
              <w:rPr>
                <w:rFonts w:cs="Segoe UI"/>
                <w:sz w:val="17"/>
                <w:szCs w:val="17"/>
              </w:rPr>
            </w:pPr>
            <w:r w:rsidRPr="00331B2F">
              <w:rPr>
                <w:rFonts w:cs="Segoe UI"/>
                <w:sz w:val="17"/>
                <w:szCs w:val="17"/>
                <w:lang w:eastAsia="en-GB"/>
              </w:rPr>
              <w:t>1</w:t>
            </w:r>
            <w:r w:rsidRPr="00331B2F">
              <w:rPr>
                <w:rFonts w:cs="Segoe UI" w:hint="eastAsia"/>
                <w:sz w:val="17"/>
                <w:szCs w:val="17"/>
              </w:rPr>
              <w:t>8</w:t>
            </w:r>
          </w:p>
        </w:tc>
        <w:tc>
          <w:tcPr>
            <w:tcW w:w="5245" w:type="dxa"/>
            <w:tcBorders>
              <w:left w:val="single" w:sz="4" w:space="0" w:color="auto"/>
              <w:right w:val="single" w:sz="4" w:space="0" w:color="auto"/>
            </w:tcBorders>
          </w:tcPr>
          <w:p w14:paraId="620806EF" w14:textId="77777777" w:rsidR="000369C7" w:rsidRPr="004E457E" w:rsidRDefault="000369C7" w:rsidP="00C23506">
            <w:pPr>
              <w:keepLines/>
              <w:tabs>
                <w:tab w:val="left" w:pos="397"/>
                <w:tab w:val="left" w:pos="794"/>
                <w:tab w:val="left" w:pos="1191"/>
              </w:tabs>
              <w:snapToGrid w:val="0"/>
              <w:spacing w:before="20" w:after="20"/>
              <w:ind w:firstLine="323"/>
              <w:rPr>
                <w:rFonts w:cs="Segoe UI"/>
                <w:sz w:val="17"/>
                <w:szCs w:val="17"/>
                <w:lang w:eastAsia="en-GB"/>
              </w:rPr>
            </w:pPr>
            <w:r>
              <w:rPr>
                <w:rFonts w:cs="Segoe UI"/>
                <w:sz w:val="17"/>
                <w:szCs w:val="17"/>
                <w:lang w:eastAsia="en-GB"/>
              </w:rPr>
              <w:t xml:space="preserve">Of which </w:t>
            </w:r>
            <w:r w:rsidRPr="005F2537">
              <w:rPr>
                <w:rFonts w:cs="Segoe UI"/>
                <w:sz w:val="17"/>
                <w:szCs w:val="17"/>
                <w:lang w:eastAsia="en-GB"/>
              </w:rPr>
              <w:t>SEC-ERBA</w:t>
            </w:r>
            <w:r>
              <w:rPr>
                <w:rFonts w:cs="Segoe UI"/>
                <w:sz w:val="17"/>
                <w:szCs w:val="17"/>
                <w:lang w:eastAsia="en-GB"/>
              </w:rPr>
              <w:t xml:space="preserve"> (including IAA)</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68FEE134"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151274B0"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001353E4"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479F305F" w14:textId="77777777" w:rsidTr="00C23506">
        <w:tc>
          <w:tcPr>
            <w:tcW w:w="567" w:type="dxa"/>
            <w:tcBorders>
              <w:left w:val="nil"/>
              <w:right w:val="single" w:sz="4" w:space="0" w:color="auto"/>
            </w:tcBorders>
          </w:tcPr>
          <w:p w14:paraId="2F6F7F8E" w14:textId="77777777" w:rsidR="000369C7" w:rsidRPr="00331B2F" w:rsidRDefault="000369C7" w:rsidP="00C23506">
            <w:pPr>
              <w:keepLines/>
              <w:tabs>
                <w:tab w:val="left" w:pos="397"/>
                <w:tab w:val="left" w:pos="794"/>
                <w:tab w:val="left" w:pos="1191"/>
              </w:tabs>
              <w:snapToGrid w:val="0"/>
              <w:spacing w:before="20" w:after="20"/>
              <w:rPr>
                <w:rFonts w:cs="Segoe UI"/>
                <w:sz w:val="17"/>
                <w:szCs w:val="17"/>
              </w:rPr>
            </w:pPr>
            <w:r w:rsidRPr="00331B2F">
              <w:rPr>
                <w:rFonts w:cs="Segoe UI"/>
                <w:sz w:val="17"/>
                <w:szCs w:val="17"/>
                <w:lang w:eastAsia="en-GB"/>
              </w:rPr>
              <w:t>1</w:t>
            </w:r>
            <w:r w:rsidRPr="00331B2F">
              <w:rPr>
                <w:rFonts w:cs="Segoe UI" w:hint="eastAsia"/>
                <w:sz w:val="17"/>
                <w:szCs w:val="17"/>
              </w:rPr>
              <w:t>9</w:t>
            </w:r>
          </w:p>
        </w:tc>
        <w:tc>
          <w:tcPr>
            <w:tcW w:w="5245" w:type="dxa"/>
            <w:tcBorders>
              <w:left w:val="single" w:sz="4" w:space="0" w:color="auto"/>
              <w:right w:val="single" w:sz="4" w:space="0" w:color="auto"/>
            </w:tcBorders>
          </w:tcPr>
          <w:p w14:paraId="637D3B60" w14:textId="77777777" w:rsidR="000369C7" w:rsidRPr="004E457E" w:rsidRDefault="000369C7" w:rsidP="00C23506">
            <w:pPr>
              <w:keepLines/>
              <w:tabs>
                <w:tab w:val="left" w:pos="397"/>
                <w:tab w:val="left" w:pos="794"/>
                <w:tab w:val="left" w:pos="1191"/>
              </w:tabs>
              <w:snapToGrid w:val="0"/>
              <w:spacing w:before="20" w:after="20"/>
              <w:ind w:firstLine="323"/>
              <w:rPr>
                <w:rFonts w:cs="Segoe UI"/>
                <w:sz w:val="17"/>
                <w:szCs w:val="17"/>
                <w:lang w:eastAsia="en-GB"/>
              </w:rPr>
            </w:pPr>
            <w:r w:rsidRPr="004E457E">
              <w:rPr>
                <w:rFonts w:cs="Segoe UI"/>
                <w:sz w:val="17"/>
                <w:szCs w:val="17"/>
                <w:lang w:eastAsia="en-GB"/>
              </w:rPr>
              <w:t xml:space="preserve">Of which </w:t>
            </w:r>
            <w:r w:rsidRPr="005F2537">
              <w:rPr>
                <w:rFonts w:cs="Segoe UI"/>
                <w:sz w:val="17"/>
                <w:szCs w:val="17"/>
                <w:lang w:eastAsia="en-GB"/>
              </w:rPr>
              <w:t>SEC-SA</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565BBD22"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1873AF0D"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290F3634"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74E396AA" w14:textId="77777777" w:rsidTr="00C23506">
        <w:tc>
          <w:tcPr>
            <w:tcW w:w="567" w:type="dxa"/>
            <w:tcBorders>
              <w:left w:val="nil"/>
              <w:right w:val="single" w:sz="4" w:space="0" w:color="auto"/>
            </w:tcBorders>
          </w:tcPr>
          <w:p w14:paraId="410F914A" w14:textId="77777777" w:rsidR="000369C7" w:rsidRPr="00331B2F" w:rsidRDefault="000369C7" w:rsidP="00C23506">
            <w:pPr>
              <w:keepLines/>
              <w:tabs>
                <w:tab w:val="left" w:pos="397"/>
                <w:tab w:val="left" w:pos="794"/>
                <w:tab w:val="left" w:pos="1191"/>
              </w:tabs>
              <w:snapToGrid w:val="0"/>
              <w:spacing w:before="20" w:after="20"/>
              <w:rPr>
                <w:rFonts w:cs="Segoe UI"/>
                <w:sz w:val="17"/>
                <w:szCs w:val="17"/>
              </w:rPr>
            </w:pPr>
            <w:r w:rsidRPr="00331B2F">
              <w:rPr>
                <w:rFonts w:cs="Segoe UI"/>
                <w:sz w:val="17"/>
                <w:szCs w:val="17"/>
              </w:rPr>
              <w:lastRenderedPageBreak/>
              <w:t>19a</w:t>
            </w:r>
          </w:p>
        </w:tc>
        <w:tc>
          <w:tcPr>
            <w:tcW w:w="5245" w:type="dxa"/>
            <w:tcBorders>
              <w:left w:val="single" w:sz="4" w:space="0" w:color="auto"/>
              <w:right w:val="single" w:sz="4" w:space="0" w:color="auto"/>
            </w:tcBorders>
          </w:tcPr>
          <w:p w14:paraId="0D45A97D" w14:textId="77777777" w:rsidR="000369C7" w:rsidRPr="004E457E" w:rsidRDefault="000369C7" w:rsidP="00C23506">
            <w:pPr>
              <w:keepLines/>
              <w:tabs>
                <w:tab w:val="left" w:pos="397"/>
                <w:tab w:val="left" w:pos="794"/>
                <w:tab w:val="left" w:pos="1191"/>
              </w:tabs>
              <w:snapToGrid w:val="0"/>
              <w:spacing w:before="20" w:after="20"/>
              <w:ind w:firstLine="323"/>
              <w:rPr>
                <w:rFonts w:cs="Segoe UI"/>
                <w:sz w:val="17"/>
                <w:szCs w:val="17"/>
                <w:lang w:eastAsia="en-GB"/>
              </w:rPr>
            </w:pPr>
            <w:r>
              <w:rPr>
                <w:rFonts w:cs="Segoe UI"/>
                <w:sz w:val="17"/>
                <w:szCs w:val="17"/>
                <w:lang w:eastAsia="en-GB"/>
              </w:rPr>
              <w:t xml:space="preserve">Of which </w:t>
            </w:r>
            <w:r w:rsidRPr="00331B2F">
              <w:rPr>
                <w:rFonts w:cs="Segoe UI"/>
                <w:sz w:val="17"/>
                <w:szCs w:val="17"/>
                <w:lang w:eastAsia="en-GB"/>
              </w:rPr>
              <w:t>SEC-FBA</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4483DF93"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1224E8F7"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2D0A080D"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58E0E3EB" w14:textId="77777777" w:rsidTr="00C23506">
        <w:tc>
          <w:tcPr>
            <w:tcW w:w="567" w:type="dxa"/>
            <w:tcBorders>
              <w:left w:val="nil"/>
              <w:right w:val="single" w:sz="4" w:space="0" w:color="auto"/>
            </w:tcBorders>
          </w:tcPr>
          <w:p w14:paraId="5A17DD96" w14:textId="77777777" w:rsidR="000369C7" w:rsidRPr="00F414FC" w:rsidRDefault="000369C7" w:rsidP="00C23506">
            <w:pPr>
              <w:keepLines/>
              <w:tabs>
                <w:tab w:val="left" w:pos="397"/>
                <w:tab w:val="left" w:pos="794"/>
                <w:tab w:val="left" w:pos="1191"/>
              </w:tabs>
              <w:snapToGrid w:val="0"/>
              <w:spacing w:before="20" w:after="20"/>
              <w:rPr>
                <w:rFonts w:cs="Segoe UI"/>
                <w:sz w:val="17"/>
                <w:szCs w:val="17"/>
              </w:rPr>
            </w:pPr>
            <w:r w:rsidRPr="00F414FC">
              <w:rPr>
                <w:rFonts w:cs="Segoe UI" w:hint="eastAsia"/>
                <w:sz w:val="17"/>
                <w:szCs w:val="17"/>
              </w:rPr>
              <w:t>20</w:t>
            </w:r>
          </w:p>
        </w:tc>
        <w:tc>
          <w:tcPr>
            <w:tcW w:w="5245" w:type="dxa"/>
            <w:tcBorders>
              <w:left w:val="single" w:sz="4" w:space="0" w:color="auto"/>
              <w:right w:val="single" w:sz="4" w:space="0" w:color="auto"/>
            </w:tcBorders>
          </w:tcPr>
          <w:p w14:paraId="609C97A3" w14:textId="77777777" w:rsidR="000369C7" w:rsidRPr="004E457E" w:rsidRDefault="000369C7" w:rsidP="00C23506">
            <w:pPr>
              <w:keepLines/>
              <w:tabs>
                <w:tab w:val="left" w:pos="397"/>
                <w:tab w:val="left" w:pos="794"/>
                <w:tab w:val="left" w:pos="1191"/>
              </w:tabs>
              <w:snapToGrid w:val="0"/>
              <w:spacing w:before="20" w:after="20"/>
              <w:rPr>
                <w:rFonts w:cs="Segoe UI"/>
                <w:noProof/>
                <w:sz w:val="17"/>
                <w:szCs w:val="17"/>
                <w:lang w:eastAsia="en-GB"/>
              </w:rPr>
            </w:pPr>
            <w:r w:rsidRPr="004E457E">
              <w:rPr>
                <w:rFonts w:cs="Segoe UI"/>
                <w:sz w:val="17"/>
                <w:szCs w:val="17"/>
                <w:lang w:eastAsia="en-GB"/>
              </w:rPr>
              <w:t>Market risk</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72722160"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1F7765ED"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428DE6ED"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7B80C227" w14:textId="77777777" w:rsidTr="00C23506">
        <w:tc>
          <w:tcPr>
            <w:tcW w:w="567" w:type="dxa"/>
            <w:tcBorders>
              <w:left w:val="nil"/>
              <w:right w:val="single" w:sz="4" w:space="0" w:color="auto"/>
            </w:tcBorders>
          </w:tcPr>
          <w:p w14:paraId="469495B2" w14:textId="77777777" w:rsidR="000369C7" w:rsidRPr="00F414FC" w:rsidRDefault="000369C7" w:rsidP="00C23506">
            <w:pPr>
              <w:keepLines/>
              <w:tabs>
                <w:tab w:val="left" w:pos="397"/>
                <w:tab w:val="left" w:pos="794"/>
                <w:tab w:val="left" w:pos="1191"/>
              </w:tabs>
              <w:snapToGrid w:val="0"/>
              <w:spacing w:before="20" w:after="20"/>
              <w:rPr>
                <w:rFonts w:cs="Segoe UI"/>
                <w:sz w:val="17"/>
                <w:szCs w:val="17"/>
              </w:rPr>
            </w:pPr>
            <w:r w:rsidRPr="00F414FC">
              <w:rPr>
                <w:rFonts w:cs="Segoe UI" w:hint="eastAsia"/>
                <w:sz w:val="17"/>
                <w:szCs w:val="17"/>
              </w:rPr>
              <w:t>21</w:t>
            </w:r>
          </w:p>
        </w:tc>
        <w:tc>
          <w:tcPr>
            <w:tcW w:w="5245" w:type="dxa"/>
            <w:tcBorders>
              <w:left w:val="single" w:sz="4" w:space="0" w:color="auto"/>
              <w:right w:val="single" w:sz="4" w:space="0" w:color="auto"/>
            </w:tcBorders>
          </w:tcPr>
          <w:p w14:paraId="4D3FBA03" w14:textId="77777777" w:rsidR="000369C7" w:rsidRPr="004E457E" w:rsidRDefault="000369C7" w:rsidP="00C23506">
            <w:pPr>
              <w:keepLines/>
              <w:tabs>
                <w:tab w:val="left" w:pos="397"/>
                <w:tab w:val="left" w:pos="794"/>
                <w:tab w:val="left" w:pos="1191"/>
              </w:tabs>
              <w:snapToGrid w:val="0"/>
              <w:spacing w:before="20" w:after="20"/>
              <w:ind w:firstLine="323"/>
              <w:rPr>
                <w:rFonts w:cs="Segoe UI"/>
                <w:sz w:val="17"/>
                <w:szCs w:val="17"/>
                <w:lang w:eastAsia="en-GB"/>
              </w:rPr>
            </w:pPr>
            <w:r w:rsidRPr="004E457E">
              <w:rPr>
                <w:rFonts w:cs="Segoe UI"/>
                <w:sz w:val="17"/>
                <w:szCs w:val="17"/>
                <w:lang w:eastAsia="en-GB"/>
              </w:rPr>
              <w:t>Of which STM approach</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20CFD198"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5FA87927"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5D3CAB34"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7FF4A1EE" w14:textId="77777777" w:rsidTr="00C23506">
        <w:tc>
          <w:tcPr>
            <w:tcW w:w="567" w:type="dxa"/>
            <w:tcBorders>
              <w:left w:val="nil"/>
              <w:right w:val="single" w:sz="4" w:space="0" w:color="auto"/>
            </w:tcBorders>
          </w:tcPr>
          <w:p w14:paraId="15A55153" w14:textId="77777777" w:rsidR="000369C7" w:rsidRPr="009A7FDD" w:rsidRDefault="000369C7" w:rsidP="00C23506">
            <w:pPr>
              <w:keepLines/>
              <w:tabs>
                <w:tab w:val="left" w:pos="397"/>
                <w:tab w:val="left" w:pos="794"/>
                <w:tab w:val="left" w:pos="1191"/>
              </w:tabs>
              <w:snapToGrid w:val="0"/>
              <w:spacing w:before="20" w:after="20"/>
              <w:rPr>
                <w:rFonts w:cs="Segoe UI"/>
                <w:sz w:val="17"/>
                <w:szCs w:val="17"/>
              </w:rPr>
            </w:pPr>
            <w:r w:rsidRPr="009A7FDD">
              <w:rPr>
                <w:rFonts w:cs="Segoe UI" w:hint="eastAsia"/>
                <w:sz w:val="17"/>
                <w:szCs w:val="17"/>
              </w:rPr>
              <w:t>22</w:t>
            </w:r>
          </w:p>
        </w:tc>
        <w:tc>
          <w:tcPr>
            <w:tcW w:w="5245" w:type="dxa"/>
            <w:tcBorders>
              <w:left w:val="single" w:sz="4" w:space="0" w:color="auto"/>
              <w:right w:val="single" w:sz="4" w:space="0" w:color="auto"/>
            </w:tcBorders>
          </w:tcPr>
          <w:p w14:paraId="022D9A13" w14:textId="63F8D2B0" w:rsidR="000369C7" w:rsidRPr="009A7FDD" w:rsidRDefault="000369C7" w:rsidP="00C23506">
            <w:pPr>
              <w:keepLines/>
              <w:tabs>
                <w:tab w:val="left" w:pos="397"/>
                <w:tab w:val="left" w:pos="794"/>
                <w:tab w:val="left" w:pos="1191"/>
              </w:tabs>
              <w:snapToGrid w:val="0"/>
              <w:spacing w:before="20" w:after="20"/>
              <w:ind w:firstLine="323"/>
              <w:rPr>
                <w:rFonts w:cs="Segoe UI"/>
                <w:sz w:val="17"/>
                <w:szCs w:val="17"/>
                <w:lang w:eastAsia="en-GB"/>
              </w:rPr>
            </w:pPr>
            <w:r w:rsidRPr="009A7FDD">
              <w:rPr>
                <w:rFonts w:cs="Segoe UI"/>
                <w:sz w:val="17"/>
                <w:szCs w:val="17"/>
                <w:lang w:eastAsia="en-GB"/>
              </w:rPr>
              <w:t xml:space="preserve">Of which </w:t>
            </w:r>
            <w:r w:rsidRPr="002566F3">
              <w:rPr>
                <w:sz w:val="17"/>
              </w:rPr>
              <w:t>IMA</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2A7C71DE"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03291684"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5A51674C"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272A890E" w14:textId="77777777" w:rsidTr="00C23506">
        <w:tc>
          <w:tcPr>
            <w:tcW w:w="567" w:type="dxa"/>
            <w:tcBorders>
              <w:left w:val="nil"/>
              <w:right w:val="single" w:sz="4" w:space="0" w:color="auto"/>
            </w:tcBorders>
          </w:tcPr>
          <w:p w14:paraId="66F517B4" w14:textId="77777777" w:rsidR="000369C7" w:rsidRPr="009A7FDD" w:rsidRDefault="000369C7" w:rsidP="00C23506">
            <w:pPr>
              <w:keepLines/>
              <w:tabs>
                <w:tab w:val="left" w:pos="397"/>
                <w:tab w:val="left" w:pos="794"/>
                <w:tab w:val="left" w:pos="1191"/>
              </w:tabs>
              <w:snapToGrid w:val="0"/>
              <w:spacing w:before="20" w:after="20"/>
              <w:rPr>
                <w:rFonts w:cs="Segoe UI"/>
                <w:sz w:val="17"/>
                <w:szCs w:val="17"/>
              </w:rPr>
            </w:pPr>
            <w:r w:rsidRPr="009A7FDD">
              <w:rPr>
                <w:rFonts w:cs="Segoe UI"/>
                <w:sz w:val="17"/>
                <w:szCs w:val="17"/>
              </w:rPr>
              <w:t>22a</w:t>
            </w:r>
          </w:p>
        </w:tc>
        <w:tc>
          <w:tcPr>
            <w:tcW w:w="5245" w:type="dxa"/>
            <w:tcBorders>
              <w:left w:val="single" w:sz="4" w:space="0" w:color="auto"/>
              <w:right w:val="single" w:sz="4" w:space="0" w:color="auto"/>
            </w:tcBorders>
          </w:tcPr>
          <w:p w14:paraId="639B3220" w14:textId="77777777" w:rsidR="000369C7" w:rsidRPr="009A7FDD" w:rsidRDefault="000369C7" w:rsidP="00C23506">
            <w:pPr>
              <w:keepLines/>
              <w:tabs>
                <w:tab w:val="left" w:pos="397"/>
                <w:tab w:val="left" w:pos="794"/>
                <w:tab w:val="left" w:pos="1191"/>
              </w:tabs>
              <w:snapToGrid w:val="0"/>
              <w:spacing w:before="20" w:after="20"/>
              <w:ind w:firstLine="323"/>
              <w:rPr>
                <w:rFonts w:cs="Segoe UI"/>
                <w:sz w:val="17"/>
                <w:szCs w:val="17"/>
                <w:lang w:eastAsia="en-GB"/>
              </w:rPr>
            </w:pPr>
            <w:r w:rsidRPr="009A7FDD">
              <w:rPr>
                <w:rFonts w:cs="Segoe UI"/>
                <w:sz w:val="17"/>
                <w:szCs w:val="17"/>
                <w:lang w:eastAsia="en-GB"/>
              </w:rPr>
              <w:t>Of which SSTM approach</w:t>
            </w:r>
          </w:p>
        </w:tc>
        <w:tc>
          <w:tcPr>
            <w:tcW w:w="921" w:type="dxa"/>
            <w:tcBorders>
              <w:top w:val="single" w:sz="4" w:space="0" w:color="BFBFBF"/>
              <w:left w:val="single" w:sz="4" w:space="0" w:color="auto"/>
              <w:bottom w:val="single" w:sz="4" w:space="0" w:color="BFBFBF"/>
              <w:right w:val="single" w:sz="4" w:space="0" w:color="auto"/>
            </w:tcBorders>
            <w:shd w:val="clear" w:color="auto" w:fill="FFFFFF"/>
          </w:tcPr>
          <w:p w14:paraId="53DED861" w14:textId="77777777" w:rsidR="000369C7" w:rsidRPr="00F46E3F" w:rsidRDefault="000369C7" w:rsidP="00C23506">
            <w:pPr>
              <w:keepLines/>
              <w:tabs>
                <w:tab w:val="left" w:pos="397"/>
                <w:tab w:val="left" w:pos="794"/>
                <w:tab w:val="left" w:pos="1191"/>
              </w:tabs>
              <w:snapToGrid w:val="0"/>
              <w:spacing w:before="20" w:after="20"/>
              <w:rPr>
                <w:rFonts w:cs="Segoe UI"/>
                <w:sz w:val="17"/>
                <w:szCs w:val="17"/>
                <w:highlight w:val="cyan"/>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271FEA84" w14:textId="77777777" w:rsidR="000369C7" w:rsidRPr="00F46E3F" w:rsidRDefault="000369C7" w:rsidP="00C23506">
            <w:pPr>
              <w:keepLines/>
              <w:tabs>
                <w:tab w:val="left" w:pos="397"/>
                <w:tab w:val="left" w:pos="794"/>
                <w:tab w:val="left" w:pos="1191"/>
              </w:tabs>
              <w:snapToGrid w:val="0"/>
              <w:spacing w:before="20" w:after="20"/>
              <w:rPr>
                <w:rFonts w:cs="Segoe UI"/>
                <w:sz w:val="17"/>
                <w:szCs w:val="17"/>
                <w:highlight w:val="cyan"/>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0E74854D" w14:textId="77777777" w:rsidR="000369C7" w:rsidRPr="00F46E3F" w:rsidRDefault="000369C7" w:rsidP="00C23506">
            <w:pPr>
              <w:keepLines/>
              <w:tabs>
                <w:tab w:val="left" w:pos="397"/>
                <w:tab w:val="left" w:pos="794"/>
                <w:tab w:val="left" w:pos="1191"/>
              </w:tabs>
              <w:snapToGrid w:val="0"/>
              <w:spacing w:before="20" w:after="20"/>
              <w:rPr>
                <w:rFonts w:cs="Segoe UI"/>
                <w:sz w:val="17"/>
                <w:szCs w:val="17"/>
                <w:highlight w:val="cyan"/>
                <w:lang w:eastAsia="en-GB"/>
              </w:rPr>
            </w:pPr>
          </w:p>
        </w:tc>
      </w:tr>
      <w:tr w:rsidR="000369C7" w:rsidRPr="004E457E" w14:paraId="1AA1565C" w14:textId="77777777" w:rsidTr="00C23506">
        <w:tc>
          <w:tcPr>
            <w:tcW w:w="567" w:type="dxa"/>
            <w:tcBorders>
              <w:left w:val="nil"/>
              <w:right w:val="single" w:sz="4" w:space="0" w:color="auto"/>
            </w:tcBorders>
          </w:tcPr>
          <w:p w14:paraId="25D8ACC3" w14:textId="77777777" w:rsidR="000369C7" w:rsidRPr="009A7FDD" w:rsidRDefault="000369C7" w:rsidP="00C23506">
            <w:pPr>
              <w:keepLines/>
              <w:tabs>
                <w:tab w:val="left" w:pos="397"/>
                <w:tab w:val="left" w:pos="794"/>
                <w:tab w:val="left" w:pos="1191"/>
              </w:tabs>
              <w:snapToGrid w:val="0"/>
              <w:spacing w:before="20" w:after="20"/>
              <w:rPr>
                <w:rFonts w:cs="Segoe UI"/>
                <w:sz w:val="17"/>
                <w:szCs w:val="17"/>
              </w:rPr>
            </w:pPr>
            <w:r w:rsidRPr="009A7FDD">
              <w:rPr>
                <w:rFonts w:cs="Segoe UI" w:hint="eastAsia"/>
                <w:sz w:val="17"/>
                <w:szCs w:val="17"/>
              </w:rPr>
              <w:t>23</w:t>
            </w:r>
          </w:p>
        </w:tc>
        <w:tc>
          <w:tcPr>
            <w:tcW w:w="5245" w:type="dxa"/>
            <w:tcBorders>
              <w:left w:val="single" w:sz="4" w:space="0" w:color="auto"/>
              <w:right w:val="single" w:sz="4" w:space="0" w:color="auto"/>
            </w:tcBorders>
          </w:tcPr>
          <w:p w14:paraId="0468840B" w14:textId="6F1305D2" w:rsidR="000369C7" w:rsidRPr="009A7FDD" w:rsidRDefault="000369C7" w:rsidP="00C23506">
            <w:pPr>
              <w:keepLines/>
              <w:tabs>
                <w:tab w:val="left" w:pos="397"/>
                <w:tab w:val="left" w:pos="794"/>
                <w:tab w:val="left" w:pos="1191"/>
              </w:tabs>
              <w:snapToGrid w:val="0"/>
              <w:spacing w:before="20" w:after="20"/>
              <w:rPr>
                <w:rFonts w:cs="Segoe UI"/>
                <w:sz w:val="17"/>
                <w:szCs w:val="17"/>
              </w:rPr>
            </w:pPr>
            <w:r w:rsidRPr="009A7FDD">
              <w:rPr>
                <w:rFonts w:cs="Segoe UI"/>
                <w:sz w:val="17"/>
                <w:szCs w:val="17"/>
                <w:lang w:eastAsia="en-GB"/>
              </w:rPr>
              <w:t xml:space="preserve">Capital charge for </w:t>
            </w:r>
            <w:r>
              <w:rPr>
                <w:rFonts w:cs="Segoe UI"/>
                <w:sz w:val="17"/>
                <w:szCs w:val="17"/>
                <w:lang w:eastAsia="en-GB"/>
              </w:rPr>
              <w:t>moving</w:t>
            </w:r>
            <w:r w:rsidRPr="009A7FDD">
              <w:rPr>
                <w:rFonts w:cs="Segoe UI"/>
                <w:sz w:val="17"/>
                <w:szCs w:val="17"/>
                <w:lang w:eastAsia="en-GB"/>
              </w:rPr>
              <w:t xml:space="preserve"> exposures between trading book and banking book </w:t>
            </w:r>
          </w:p>
        </w:tc>
        <w:tc>
          <w:tcPr>
            <w:tcW w:w="921" w:type="dxa"/>
            <w:tcBorders>
              <w:top w:val="single" w:sz="4" w:space="0" w:color="BFBFBF"/>
              <w:left w:val="single" w:sz="4" w:space="0" w:color="auto"/>
              <w:bottom w:val="single" w:sz="4" w:space="0" w:color="BFBFBF"/>
              <w:right w:val="single" w:sz="4" w:space="0" w:color="auto"/>
            </w:tcBorders>
            <w:shd w:val="clear" w:color="auto" w:fill="auto"/>
          </w:tcPr>
          <w:p w14:paraId="389E4D3F" w14:textId="77777777" w:rsidR="000369C7" w:rsidRPr="002705AD"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2C064D05" w14:textId="77777777" w:rsidR="000369C7" w:rsidRPr="00FE4698"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08C57836" w14:textId="77777777" w:rsidR="000369C7" w:rsidRPr="00FE4698"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45C99B55" w14:textId="77777777" w:rsidTr="00C23506">
        <w:tc>
          <w:tcPr>
            <w:tcW w:w="567" w:type="dxa"/>
            <w:tcBorders>
              <w:left w:val="nil"/>
              <w:right w:val="single" w:sz="4" w:space="0" w:color="auto"/>
            </w:tcBorders>
          </w:tcPr>
          <w:p w14:paraId="3A7AB760" w14:textId="77777777" w:rsidR="000369C7" w:rsidRPr="00775EFE" w:rsidRDefault="000369C7" w:rsidP="00C23506">
            <w:pPr>
              <w:keepLines/>
              <w:tabs>
                <w:tab w:val="left" w:pos="397"/>
                <w:tab w:val="left" w:pos="794"/>
                <w:tab w:val="left" w:pos="1191"/>
              </w:tabs>
              <w:snapToGrid w:val="0"/>
              <w:spacing w:before="20" w:after="20"/>
              <w:rPr>
                <w:rFonts w:cs="Segoe UI"/>
                <w:sz w:val="17"/>
                <w:szCs w:val="17"/>
              </w:rPr>
            </w:pPr>
            <w:r w:rsidRPr="00775EFE">
              <w:rPr>
                <w:rFonts w:cs="Segoe UI" w:hint="eastAsia"/>
                <w:sz w:val="17"/>
                <w:szCs w:val="17"/>
              </w:rPr>
              <w:t>24</w:t>
            </w:r>
          </w:p>
        </w:tc>
        <w:tc>
          <w:tcPr>
            <w:tcW w:w="5245" w:type="dxa"/>
            <w:tcBorders>
              <w:left w:val="single" w:sz="4" w:space="0" w:color="auto"/>
              <w:right w:val="single" w:sz="4" w:space="0" w:color="auto"/>
            </w:tcBorders>
          </w:tcPr>
          <w:p w14:paraId="10D9C14F" w14:textId="77777777" w:rsidR="000369C7" w:rsidRPr="009A7FDD" w:rsidRDefault="000369C7" w:rsidP="00C23506">
            <w:pPr>
              <w:keepLines/>
              <w:tabs>
                <w:tab w:val="left" w:pos="397"/>
                <w:tab w:val="left" w:pos="794"/>
                <w:tab w:val="left" w:pos="1191"/>
              </w:tabs>
              <w:snapToGrid w:val="0"/>
              <w:spacing w:before="20" w:after="20"/>
              <w:rPr>
                <w:rFonts w:cs="Segoe UI"/>
                <w:noProof/>
                <w:sz w:val="17"/>
                <w:szCs w:val="17"/>
                <w:lang w:eastAsia="en-GB"/>
              </w:rPr>
            </w:pPr>
            <w:r w:rsidRPr="009A7FDD">
              <w:rPr>
                <w:rFonts w:cs="Segoe UI"/>
                <w:sz w:val="17"/>
                <w:szCs w:val="17"/>
                <w:lang w:eastAsia="en-GB"/>
              </w:rPr>
              <w:t>Operational risk</w:t>
            </w:r>
          </w:p>
        </w:tc>
        <w:tc>
          <w:tcPr>
            <w:tcW w:w="921" w:type="dxa"/>
            <w:tcBorders>
              <w:top w:val="single" w:sz="4" w:space="0" w:color="BFBFBF"/>
              <w:left w:val="single" w:sz="4" w:space="0" w:color="auto"/>
              <w:bottom w:val="single" w:sz="4" w:space="0" w:color="BFBFBF"/>
              <w:right w:val="single" w:sz="4" w:space="0" w:color="auto"/>
            </w:tcBorders>
            <w:shd w:val="clear" w:color="auto" w:fill="auto"/>
          </w:tcPr>
          <w:p w14:paraId="0CD9A89A"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1525D891"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67F1E420"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6EA6DAD4" w14:textId="77777777" w:rsidTr="00C23506">
        <w:tc>
          <w:tcPr>
            <w:tcW w:w="567" w:type="dxa"/>
            <w:tcBorders>
              <w:left w:val="nil"/>
              <w:right w:val="single" w:sz="4" w:space="0" w:color="auto"/>
            </w:tcBorders>
          </w:tcPr>
          <w:p w14:paraId="6258E172" w14:textId="77777777" w:rsidR="000369C7" w:rsidRPr="00775EFE" w:rsidRDefault="000369C7" w:rsidP="00C23506">
            <w:pPr>
              <w:keepLines/>
              <w:tabs>
                <w:tab w:val="left" w:pos="397"/>
                <w:tab w:val="left" w:pos="794"/>
                <w:tab w:val="left" w:pos="1191"/>
              </w:tabs>
              <w:snapToGrid w:val="0"/>
              <w:spacing w:before="20" w:after="20"/>
              <w:rPr>
                <w:rFonts w:cs="Segoe UI"/>
                <w:sz w:val="17"/>
                <w:szCs w:val="17"/>
              </w:rPr>
            </w:pPr>
            <w:r>
              <w:rPr>
                <w:rFonts w:cs="Segoe UI"/>
                <w:sz w:val="17"/>
                <w:szCs w:val="17"/>
              </w:rPr>
              <w:t>24a</w:t>
            </w:r>
          </w:p>
        </w:tc>
        <w:tc>
          <w:tcPr>
            <w:tcW w:w="5245" w:type="dxa"/>
            <w:tcBorders>
              <w:left w:val="single" w:sz="4" w:space="0" w:color="auto"/>
              <w:right w:val="single" w:sz="4" w:space="0" w:color="auto"/>
            </w:tcBorders>
          </w:tcPr>
          <w:p w14:paraId="06CDBCE4" w14:textId="77777777" w:rsidR="000369C7" w:rsidRPr="009A7FDD" w:rsidRDefault="000369C7" w:rsidP="00C23506">
            <w:pPr>
              <w:keepLines/>
              <w:tabs>
                <w:tab w:val="left" w:pos="397"/>
                <w:tab w:val="left" w:pos="794"/>
                <w:tab w:val="left" w:pos="1191"/>
              </w:tabs>
              <w:snapToGrid w:val="0"/>
              <w:spacing w:before="20" w:after="20"/>
              <w:rPr>
                <w:rFonts w:cs="Segoe UI"/>
                <w:sz w:val="17"/>
                <w:szCs w:val="17"/>
                <w:lang w:eastAsia="en-GB"/>
              </w:rPr>
            </w:pPr>
            <w:r w:rsidRPr="009A7FDD">
              <w:rPr>
                <w:rFonts w:cs="Segoe UI"/>
                <w:sz w:val="17"/>
                <w:szCs w:val="17"/>
                <w:lang w:eastAsia="en-GB"/>
              </w:rPr>
              <w:t>Sovereign concentration risk</w:t>
            </w:r>
          </w:p>
        </w:tc>
        <w:tc>
          <w:tcPr>
            <w:tcW w:w="921" w:type="dxa"/>
            <w:tcBorders>
              <w:top w:val="single" w:sz="4" w:space="0" w:color="BFBFBF"/>
              <w:left w:val="single" w:sz="4" w:space="0" w:color="auto"/>
              <w:bottom w:val="single" w:sz="4" w:space="0" w:color="BFBFBF"/>
              <w:right w:val="single" w:sz="4" w:space="0" w:color="auto"/>
            </w:tcBorders>
            <w:shd w:val="clear" w:color="auto" w:fill="auto"/>
          </w:tcPr>
          <w:p w14:paraId="1DD42E94"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BFBFBF"/>
              <w:right w:val="single" w:sz="4" w:space="0" w:color="auto"/>
            </w:tcBorders>
            <w:shd w:val="clear" w:color="auto" w:fill="FFFFFF"/>
          </w:tcPr>
          <w:p w14:paraId="700B9CA2"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0884EDE3"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210B02E9" w14:textId="77777777" w:rsidTr="00C23506">
        <w:tc>
          <w:tcPr>
            <w:tcW w:w="567" w:type="dxa"/>
            <w:tcBorders>
              <w:left w:val="nil"/>
              <w:right w:val="single" w:sz="4" w:space="0" w:color="auto"/>
            </w:tcBorders>
          </w:tcPr>
          <w:p w14:paraId="1225EE28" w14:textId="77777777" w:rsidR="000369C7" w:rsidRPr="00775EFE" w:rsidRDefault="000369C7" w:rsidP="00C23506">
            <w:pPr>
              <w:keepLines/>
              <w:tabs>
                <w:tab w:val="left" w:pos="397"/>
                <w:tab w:val="left" w:pos="794"/>
                <w:tab w:val="left" w:pos="1191"/>
              </w:tabs>
              <w:snapToGrid w:val="0"/>
              <w:spacing w:before="20" w:after="20"/>
              <w:rPr>
                <w:rFonts w:cs="Segoe UI"/>
                <w:sz w:val="17"/>
                <w:szCs w:val="17"/>
              </w:rPr>
            </w:pPr>
            <w:r w:rsidRPr="00775EFE">
              <w:rPr>
                <w:rFonts w:cs="Segoe UI" w:hint="eastAsia"/>
                <w:sz w:val="17"/>
                <w:szCs w:val="17"/>
              </w:rPr>
              <w:t>25</w:t>
            </w:r>
          </w:p>
        </w:tc>
        <w:tc>
          <w:tcPr>
            <w:tcW w:w="5245" w:type="dxa"/>
            <w:tcBorders>
              <w:left w:val="single" w:sz="4" w:space="0" w:color="auto"/>
              <w:bottom w:val="single" w:sz="4" w:space="0" w:color="BCBDBC"/>
              <w:right w:val="single" w:sz="4" w:space="0" w:color="auto"/>
            </w:tcBorders>
          </w:tcPr>
          <w:p w14:paraId="542E20D0" w14:textId="77777777" w:rsidR="000369C7" w:rsidRPr="009A7FDD" w:rsidRDefault="000369C7" w:rsidP="00C23506">
            <w:pPr>
              <w:keepLines/>
              <w:tabs>
                <w:tab w:val="left" w:pos="397"/>
                <w:tab w:val="left" w:pos="794"/>
                <w:tab w:val="left" w:pos="1191"/>
              </w:tabs>
              <w:snapToGrid w:val="0"/>
              <w:spacing w:before="20" w:after="20"/>
              <w:rPr>
                <w:rFonts w:cs="Segoe UI"/>
                <w:sz w:val="17"/>
                <w:szCs w:val="17"/>
                <w:lang w:eastAsia="en-GB"/>
              </w:rPr>
            </w:pPr>
            <w:r w:rsidRPr="009A7FDD">
              <w:rPr>
                <w:rFonts w:cs="Segoe UI"/>
                <w:sz w:val="17"/>
                <w:szCs w:val="17"/>
                <w:lang w:eastAsia="en-GB"/>
              </w:rPr>
              <w:t>Amounts below the thresholds for deduction (subject to 250% RW)</w:t>
            </w:r>
          </w:p>
        </w:tc>
        <w:tc>
          <w:tcPr>
            <w:tcW w:w="921" w:type="dxa"/>
            <w:tcBorders>
              <w:left w:val="single" w:sz="4" w:space="0" w:color="auto"/>
              <w:bottom w:val="single" w:sz="4" w:space="0" w:color="BFBFBF"/>
              <w:right w:val="single" w:sz="4" w:space="0" w:color="auto"/>
            </w:tcBorders>
            <w:shd w:val="clear" w:color="auto" w:fill="auto"/>
          </w:tcPr>
          <w:p w14:paraId="08ADB2D1"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left w:val="single" w:sz="4" w:space="0" w:color="auto"/>
              <w:bottom w:val="single" w:sz="4" w:space="0" w:color="BFBFBF"/>
              <w:right w:val="single" w:sz="4" w:space="0" w:color="auto"/>
            </w:tcBorders>
            <w:shd w:val="clear" w:color="auto" w:fill="FFFFFF"/>
          </w:tcPr>
          <w:p w14:paraId="0AB1BAF2"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5F5D802C"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2F7A3912" w14:textId="77777777" w:rsidTr="00C23506">
        <w:tc>
          <w:tcPr>
            <w:tcW w:w="567" w:type="dxa"/>
            <w:tcBorders>
              <w:left w:val="nil"/>
              <w:right w:val="single" w:sz="4" w:space="0" w:color="auto"/>
            </w:tcBorders>
          </w:tcPr>
          <w:p w14:paraId="3E7B5FD7" w14:textId="77777777" w:rsidR="000369C7" w:rsidRPr="00D36A76" w:rsidRDefault="000369C7" w:rsidP="00C23506">
            <w:pPr>
              <w:keepLines/>
              <w:tabs>
                <w:tab w:val="left" w:pos="397"/>
                <w:tab w:val="left" w:pos="794"/>
                <w:tab w:val="left" w:pos="1191"/>
              </w:tabs>
              <w:snapToGrid w:val="0"/>
              <w:spacing w:before="20" w:after="20"/>
              <w:rPr>
                <w:rFonts w:cs="Segoe UI"/>
                <w:sz w:val="17"/>
                <w:szCs w:val="17"/>
              </w:rPr>
            </w:pPr>
            <w:r w:rsidRPr="00D36A76">
              <w:rPr>
                <w:rFonts w:cs="Segoe UI"/>
                <w:sz w:val="17"/>
                <w:szCs w:val="17"/>
              </w:rPr>
              <w:t>26</w:t>
            </w:r>
          </w:p>
        </w:tc>
        <w:tc>
          <w:tcPr>
            <w:tcW w:w="5245" w:type="dxa"/>
            <w:tcBorders>
              <w:left w:val="single" w:sz="4" w:space="0" w:color="auto"/>
              <w:bottom w:val="single" w:sz="4" w:space="0" w:color="BCBDBC"/>
              <w:right w:val="single" w:sz="4" w:space="0" w:color="auto"/>
            </w:tcBorders>
          </w:tcPr>
          <w:p w14:paraId="1E18819E" w14:textId="77777777" w:rsidR="000369C7" w:rsidRPr="009A7FDD" w:rsidRDefault="000369C7" w:rsidP="00C23506">
            <w:pPr>
              <w:keepLines/>
              <w:tabs>
                <w:tab w:val="left" w:pos="397"/>
                <w:tab w:val="left" w:pos="794"/>
                <w:tab w:val="left" w:pos="1191"/>
              </w:tabs>
              <w:snapToGrid w:val="0"/>
              <w:spacing w:before="20" w:after="20"/>
              <w:rPr>
                <w:rFonts w:cs="Segoe UI"/>
                <w:noProof/>
                <w:sz w:val="17"/>
                <w:szCs w:val="17"/>
                <w:lang w:eastAsia="en-GB"/>
              </w:rPr>
            </w:pPr>
            <w:r w:rsidRPr="009A7FDD">
              <w:rPr>
                <w:rFonts w:cs="Segoe UI"/>
                <w:sz w:val="17"/>
                <w:szCs w:val="17"/>
                <w:lang w:eastAsia="en-GB"/>
              </w:rPr>
              <w:t>Output floor level applied</w:t>
            </w:r>
          </w:p>
        </w:tc>
        <w:tc>
          <w:tcPr>
            <w:tcW w:w="921" w:type="dxa"/>
            <w:tcBorders>
              <w:left w:val="single" w:sz="4" w:space="0" w:color="auto"/>
              <w:bottom w:val="single" w:sz="4" w:space="0" w:color="BFBFBF"/>
              <w:right w:val="single" w:sz="4" w:space="0" w:color="auto"/>
            </w:tcBorders>
          </w:tcPr>
          <w:p w14:paraId="2D313AF4"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left w:val="single" w:sz="4" w:space="0" w:color="auto"/>
              <w:bottom w:val="single" w:sz="4" w:space="0" w:color="BFBFBF"/>
              <w:right w:val="single" w:sz="4" w:space="0" w:color="auto"/>
            </w:tcBorders>
          </w:tcPr>
          <w:p w14:paraId="54AF7117"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D9D9D9"/>
          </w:tcPr>
          <w:p w14:paraId="69926003"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795C7473" w14:textId="77777777" w:rsidTr="00C23506">
        <w:tc>
          <w:tcPr>
            <w:tcW w:w="567" w:type="dxa"/>
            <w:tcBorders>
              <w:left w:val="nil"/>
              <w:right w:val="single" w:sz="4" w:space="0" w:color="auto"/>
            </w:tcBorders>
          </w:tcPr>
          <w:p w14:paraId="7EEC232E" w14:textId="47D332DD" w:rsidR="000369C7" w:rsidRPr="009A7FDD" w:rsidRDefault="000369C7" w:rsidP="00C23506">
            <w:pPr>
              <w:keepLines/>
              <w:tabs>
                <w:tab w:val="left" w:pos="397"/>
                <w:tab w:val="left" w:pos="794"/>
                <w:tab w:val="left" w:pos="1191"/>
              </w:tabs>
              <w:snapToGrid w:val="0"/>
              <w:spacing w:before="20" w:after="20"/>
              <w:rPr>
                <w:rFonts w:cs="Segoe UI"/>
                <w:sz w:val="17"/>
                <w:szCs w:val="17"/>
              </w:rPr>
            </w:pPr>
            <w:r w:rsidRPr="009A7FDD">
              <w:rPr>
                <w:rFonts w:cs="Segoe UI"/>
                <w:sz w:val="17"/>
                <w:szCs w:val="17"/>
              </w:rPr>
              <w:t>27</w:t>
            </w:r>
          </w:p>
        </w:tc>
        <w:tc>
          <w:tcPr>
            <w:tcW w:w="5245" w:type="dxa"/>
            <w:tcBorders>
              <w:left w:val="single" w:sz="4" w:space="0" w:color="auto"/>
              <w:bottom w:val="single" w:sz="4" w:space="0" w:color="BCBDBC"/>
              <w:right w:val="single" w:sz="4" w:space="0" w:color="auto"/>
            </w:tcBorders>
          </w:tcPr>
          <w:p w14:paraId="440E8C07" w14:textId="0C531F95" w:rsidR="000369C7" w:rsidRPr="009A7FDD" w:rsidRDefault="000369C7" w:rsidP="00C23506">
            <w:pPr>
              <w:keepLines/>
              <w:tabs>
                <w:tab w:val="left" w:pos="397"/>
                <w:tab w:val="left" w:pos="794"/>
                <w:tab w:val="left" w:pos="1191"/>
              </w:tabs>
              <w:snapToGrid w:val="0"/>
              <w:spacing w:before="20" w:after="20"/>
              <w:rPr>
                <w:rFonts w:cs="Segoe UI"/>
                <w:sz w:val="17"/>
                <w:szCs w:val="17"/>
                <w:lang w:eastAsia="en-GB"/>
              </w:rPr>
            </w:pPr>
            <w:r w:rsidRPr="009A7FDD">
              <w:rPr>
                <w:rFonts w:cs="Segoe UI"/>
                <w:sz w:val="17"/>
                <w:szCs w:val="17"/>
                <w:lang w:eastAsia="en-GB"/>
              </w:rPr>
              <w:t>Floor adjustment (before application of transitional cap)</w:t>
            </w:r>
          </w:p>
        </w:tc>
        <w:tc>
          <w:tcPr>
            <w:tcW w:w="921" w:type="dxa"/>
            <w:tcBorders>
              <w:left w:val="single" w:sz="4" w:space="0" w:color="auto"/>
              <w:bottom w:val="single" w:sz="4" w:space="0" w:color="BFBFBF"/>
              <w:right w:val="single" w:sz="4" w:space="0" w:color="auto"/>
            </w:tcBorders>
            <w:shd w:val="clear" w:color="auto" w:fill="auto"/>
          </w:tcPr>
          <w:p w14:paraId="7D1ECD2B"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left w:val="single" w:sz="4" w:space="0" w:color="auto"/>
              <w:bottom w:val="single" w:sz="4" w:space="0" w:color="BFBFBF"/>
              <w:right w:val="single" w:sz="4" w:space="0" w:color="auto"/>
            </w:tcBorders>
            <w:shd w:val="clear" w:color="auto" w:fill="FFFFFF"/>
          </w:tcPr>
          <w:p w14:paraId="21B1E8A7"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D9D9D9"/>
          </w:tcPr>
          <w:p w14:paraId="4137163A"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4AF2F467" w14:textId="77777777" w:rsidTr="00C23506">
        <w:tc>
          <w:tcPr>
            <w:tcW w:w="567" w:type="dxa"/>
            <w:tcBorders>
              <w:left w:val="nil"/>
              <w:right w:val="single" w:sz="4" w:space="0" w:color="auto"/>
            </w:tcBorders>
          </w:tcPr>
          <w:p w14:paraId="6AEC679F" w14:textId="77777777" w:rsidR="000369C7" w:rsidRPr="009A7FDD" w:rsidRDefault="000369C7" w:rsidP="00C23506">
            <w:pPr>
              <w:keepLines/>
              <w:tabs>
                <w:tab w:val="left" w:pos="397"/>
                <w:tab w:val="left" w:pos="794"/>
                <w:tab w:val="left" w:pos="1191"/>
              </w:tabs>
              <w:snapToGrid w:val="0"/>
              <w:spacing w:before="20" w:after="20"/>
              <w:rPr>
                <w:rFonts w:cs="Segoe UI"/>
                <w:sz w:val="17"/>
                <w:szCs w:val="17"/>
              </w:rPr>
            </w:pPr>
            <w:r w:rsidRPr="009A7FDD">
              <w:rPr>
                <w:rFonts w:cs="Segoe UI"/>
                <w:sz w:val="17"/>
                <w:szCs w:val="17"/>
              </w:rPr>
              <w:t>28</w:t>
            </w:r>
          </w:p>
        </w:tc>
        <w:tc>
          <w:tcPr>
            <w:tcW w:w="5245" w:type="dxa"/>
            <w:tcBorders>
              <w:left w:val="single" w:sz="4" w:space="0" w:color="auto"/>
              <w:bottom w:val="single" w:sz="4" w:space="0" w:color="BCBDBC"/>
              <w:right w:val="single" w:sz="4" w:space="0" w:color="auto"/>
            </w:tcBorders>
          </w:tcPr>
          <w:p w14:paraId="0A5024BE" w14:textId="77777777" w:rsidR="000369C7" w:rsidRPr="009A7FDD" w:rsidRDefault="000369C7" w:rsidP="00C23506">
            <w:pPr>
              <w:keepLines/>
              <w:tabs>
                <w:tab w:val="left" w:pos="397"/>
                <w:tab w:val="left" w:pos="794"/>
                <w:tab w:val="left" w:pos="1191"/>
              </w:tabs>
              <w:snapToGrid w:val="0"/>
              <w:spacing w:before="20" w:after="20"/>
              <w:rPr>
                <w:rFonts w:cs="Segoe UI"/>
                <w:sz w:val="17"/>
                <w:szCs w:val="17"/>
                <w:lang w:eastAsia="en-GB"/>
              </w:rPr>
            </w:pPr>
            <w:r w:rsidRPr="009A7FDD">
              <w:rPr>
                <w:rFonts w:cs="Segoe UI"/>
                <w:sz w:val="17"/>
                <w:szCs w:val="17"/>
                <w:lang w:eastAsia="en-GB"/>
              </w:rPr>
              <w:t>Floor adjustment (after application of transitional cap)</w:t>
            </w:r>
          </w:p>
        </w:tc>
        <w:tc>
          <w:tcPr>
            <w:tcW w:w="921" w:type="dxa"/>
            <w:tcBorders>
              <w:left w:val="single" w:sz="4" w:space="0" w:color="auto"/>
              <w:bottom w:val="single" w:sz="4" w:space="0" w:color="BFBFBF"/>
              <w:right w:val="single" w:sz="4" w:space="0" w:color="auto"/>
            </w:tcBorders>
            <w:shd w:val="clear" w:color="auto" w:fill="D9D9D9"/>
          </w:tcPr>
          <w:p w14:paraId="3F9E48BE" w14:textId="77777777" w:rsidR="000369C7" w:rsidRPr="004E457E" w:rsidRDefault="000369C7" w:rsidP="00C23506">
            <w:pPr>
              <w:keepLines/>
              <w:tabs>
                <w:tab w:val="left" w:pos="397"/>
                <w:tab w:val="left" w:pos="794"/>
                <w:tab w:val="left" w:pos="1191"/>
              </w:tabs>
              <w:snapToGrid w:val="0"/>
              <w:spacing w:before="20" w:after="20"/>
              <w:jc w:val="center"/>
              <w:rPr>
                <w:rFonts w:cs="Segoe UI"/>
                <w:sz w:val="17"/>
                <w:szCs w:val="17"/>
                <w:lang w:eastAsia="en-GB"/>
              </w:rPr>
            </w:pPr>
            <w:r>
              <w:rPr>
                <w:rFonts w:cs="Segoe UI"/>
                <w:sz w:val="17"/>
                <w:szCs w:val="17"/>
                <w:lang w:eastAsia="en-GB"/>
              </w:rPr>
              <w:t>N/A</w:t>
            </w:r>
          </w:p>
        </w:tc>
        <w:tc>
          <w:tcPr>
            <w:tcW w:w="922" w:type="dxa"/>
            <w:tcBorders>
              <w:left w:val="single" w:sz="4" w:space="0" w:color="auto"/>
              <w:bottom w:val="single" w:sz="4" w:space="0" w:color="BFBFBF"/>
              <w:right w:val="single" w:sz="4" w:space="0" w:color="auto"/>
            </w:tcBorders>
            <w:shd w:val="clear" w:color="auto" w:fill="D9D9D9"/>
          </w:tcPr>
          <w:p w14:paraId="365971F2" w14:textId="77777777" w:rsidR="000369C7" w:rsidRPr="004E457E" w:rsidRDefault="000369C7" w:rsidP="00C23506">
            <w:pPr>
              <w:keepLines/>
              <w:tabs>
                <w:tab w:val="left" w:pos="397"/>
                <w:tab w:val="left" w:pos="794"/>
                <w:tab w:val="left" w:pos="1191"/>
              </w:tabs>
              <w:snapToGrid w:val="0"/>
              <w:spacing w:before="20" w:after="20"/>
              <w:jc w:val="center"/>
              <w:rPr>
                <w:rFonts w:cs="Segoe UI"/>
                <w:sz w:val="17"/>
                <w:szCs w:val="17"/>
                <w:lang w:eastAsia="en-GB"/>
              </w:rPr>
            </w:pPr>
            <w:r>
              <w:rPr>
                <w:rFonts w:cs="Segoe UI"/>
                <w:sz w:val="17"/>
                <w:szCs w:val="17"/>
                <w:lang w:eastAsia="en-GB"/>
              </w:rPr>
              <w:t>N/A</w:t>
            </w:r>
          </w:p>
        </w:tc>
        <w:tc>
          <w:tcPr>
            <w:tcW w:w="1559" w:type="dxa"/>
            <w:tcBorders>
              <w:top w:val="single" w:sz="4" w:space="0" w:color="BFBFBF"/>
              <w:left w:val="single" w:sz="4" w:space="0" w:color="auto"/>
              <w:bottom w:val="single" w:sz="4" w:space="0" w:color="BFBFBF"/>
              <w:right w:val="single" w:sz="4" w:space="0" w:color="auto"/>
            </w:tcBorders>
            <w:shd w:val="clear" w:color="auto" w:fill="D9D9D9"/>
          </w:tcPr>
          <w:p w14:paraId="20753159" w14:textId="77777777" w:rsidR="000369C7" w:rsidRPr="004E457E" w:rsidRDefault="000369C7" w:rsidP="00C23506">
            <w:pPr>
              <w:keepLines/>
              <w:tabs>
                <w:tab w:val="left" w:pos="397"/>
                <w:tab w:val="left" w:pos="794"/>
                <w:tab w:val="left" w:pos="1191"/>
              </w:tabs>
              <w:snapToGrid w:val="0"/>
              <w:spacing w:before="20" w:after="20"/>
              <w:jc w:val="center"/>
              <w:rPr>
                <w:rFonts w:cs="Segoe UI"/>
                <w:sz w:val="17"/>
                <w:szCs w:val="17"/>
                <w:lang w:eastAsia="en-GB"/>
              </w:rPr>
            </w:pPr>
            <w:r>
              <w:rPr>
                <w:rFonts w:cs="Segoe UI"/>
                <w:sz w:val="17"/>
                <w:szCs w:val="17"/>
                <w:lang w:eastAsia="en-GB"/>
              </w:rPr>
              <w:t>N/A</w:t>
            </w:r>
          </w:p>
        </w:tc>
      </w:tr>
      <w:tr w:rsidR="000369C7" w:rsidRPr="004E457E" w14:paraId="30E8195D" w14:textId="77777777" w:rsidTr="00C23506">
        <w:tc>
          <w:tcPr>
            <w:tcW w:w="567" w:type="dxa"/>
            <w:tcBorders>
              <w:left w:val="nil"/>
              <w:right w:val="single" w:sz="4" w:space="0" w:color="auto"/>
            </w:tcBorders>
          </w:tcPr>
          <w:p w14:paraId="659701C9" w14:textId="6BEF3BB1" w:rsidR="000369C7" w:rsidRPr="009A7FDD" w:rsidRDefault="000369C7" w:rsidP="00C23506">
            <w:pPr>
              <w:keepLines/>
              <w:tabs>
                <w:tab w:val="left" w:pos="397"/>
                <w:tab w:val="left" w:pos="794"/>
                <w:tab w:val="left" w:pos="1191"/>
              </w:tabs>
              <w:snapToGrid w:val="0"/>
              <w:spacing w:before="20" w:after="20"/>
              <w:rPr>
                <w:rFonts w:cs="Segoe UI"/>
                <w:sz w:val="17"/>
                <w:szCs w:val="17"/>
              </w:rPr>
            </w:pPr>
            <w:r w:rsidRPr="009A7FDD">
              <w:rPr>
                <w:rFonts w:cs="Segoe UI"/>
                <w:sz w:val="17"/>
                <w:szCs w:val="17"/>
              </w:rPr>
              <w:t>28a</w:t>
            </w:r>
          </w:p>
        </w:tc>
        <w:tc>
          <w:tcPr>
            <w:tcW w:w="5245" w:type="dxa"/>
            <w:tcBorders>
              <w:left w:val="single" w:sz="4" w:space="0" w:color="auto"/>
              <w:bottom w:val="single" w:sz="4" w:space="0" w:color="BCBDBC"/>
              <w:right w:val="single" w:sz="4" w:space="0" w:color="auto"/>
            </w:tcBorders>
          </w:tcPr>
          <w:p w14:paraId="6D2C6B36" w14:textId="77777777" w:rsidR="000369C7" w:rsidRPr="009A7FDD" w:rsidRDefault="000369C7" w:rsidP="00C23506">
            <w:pPr>
              <w:keepLines/>
              <w:tabs>
                <w:tab w:val="left" w:pos="397"/>
                <w:tab w:val="left" w:pos="794"/>
                <w:tab w:val="left" w:pos="1191"/>
              </w:tabs>
              <w:snapToGrid w:val="0"/>
              <w:spacing w:before="20" w:after="20"/>
              <w:rPr>
                <w:rFonts w:cs="Segoe UI"/>
                <w:sz w:val="17"/>
                <w:szCs w:val="17"/>
                <w:lang w:eastAsia="en-GB"/>
              </w:rPr>
            </w:pPr>
            <w:r w:rsidRPr="009A7FDD">
              <w:rPr>
                <w:rFonts w:cs="Segoe UI"/>
                <w:sz w:val="17"/>
                <w:szCs w:val="17"/>
                <w:lang w:eastAsia="en-GB"/>
              </w:rPr>
              <w:t>Deduction to RWA</w:t>
            </w:r>
          </w:p>
        </w:tc>
        <w:tc>
          <w:tcPr>
            <w:tcW w:w="921" w:type="dxa"/>
            <w:tcBorders>
              <w:left w:val="single" w:sz="4" w:space="0" w:color="auto"/>
              <w:bottom w:val="single" w:sz="4" w:space="0" w:color="BFBFBF"/>
              <w:right w:val="single" w:sz="4" w:space="0" w:color="auto"/>
            </w:tcBorders>
            <w:shd w:val="clear" w:color="auto" w:fill="auto"/>
          </w:tcPr>
          <w:p w14:paraId="5C19E5BC"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left w:val="single" w:sz="4" w:space="0" w:color="auto"/>
              <w:bottom w:val="single" w:sz="4" w:space="0" w:color="BFBFBF"/>
              <w:right w:val="single" w:sz="4" w:space="0" w:color="auto"/>
            </w:tcBorders>
            <w:shd w:val="clear" w:color="auto" w:fill="FFFFFF"/>
          </w:tcPr>
          <w:p w14:paraId="688F4585"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5B6AF28E"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347C327E" w14:textId="77777777" w:rsidTr="00C23506">
        <w:tc>
          <w:tcPr>
            <w:tcW w:w="567" w:type="dxa"/>
            <w:tcBorders>
              <w:left w:val="nil"/>
              <w:right w:val="single" w:sz="4" w:space="0" w:color="auto"/>
            </w:tcBorders>
          </w:tcPr>
          <w:p w14:paraId="5321CE37" w14:textId="53D1E7B7" w:rsidR="000369C7" w:rsidRPr="009A7FDD" w:rsidRDefault="000369C7" w:rsidP="00C23506">
            <w:pPr>
              <w:keepLines/>
              <w:tabs>
                <w:tab w:val="left" w:pos="397"/>
                <w:tab w:val="left" w:pos="794"/>
                <w:tab w:val="left" w:pos="1191"/>
              </w:tabs>
              <w:snapToGrid w:val="0"/>
              <w:spacing w:before="20" w:after="20"/>
              <w:rPr>
                <w:rFonts w:cs="Segoe UI"/>
                <w:sz w:val="17"/>
                <w:szCs w:val="17"/>
              </w:rPr>
            </w:pPr>
            <w:r w:rsidRPr="009A7FDD">
              <w:rPr>
                <w:rFonts w:cs="Segoe UI"/>
                <w:sz w:val="17"/>
                <w:szCs w:val="17"/>
              </w:rPr>
              <w:t>28b</w:t>
            </w:r>
          </w:p>
        </w:tc>
        <w:tc>
          <w:tcPr>
            <w:tcW w:w="5245" w:type="dxa"/>
            <w:tcBorders>
              <w:left w:val="single" w:sz="4" w:space="0" w:color="auto"/>
              <w:bottom w:val="single" w:sz="4" w:space="0" w:color="BCBDBC"/>
              <w:right w:val="single" w:sz="4" w:space="0" w:color="auto"/>
            </w:tcBorders>
          </w:tcPr>
          <w:p w14:paraId="52F0EE1E" w14:textId="77777777" w:rsidR="000369C7" w:rsidRPr="009A7FDD" w:rsidRDefault="000369C7" w:rsidP="00C23506">
            <w:pPr>
              <w:keepLines/>
              <w:tabs>
                <w:tab w:val="left" w:pos="397"/>
                <w:tab w:val="left" w:pos="794"/>
                <w:tab w:val="left" w:pos="1191"/>
              </w:tabs>
              <w:snapToGrid w:val="0"/>
              <w:spacing w:before="20" w:after="20"/>
              <w:ind w:leftChars="159" w:left="318"/>
              <w:rPr>
                <w:rFonts w:cs="Segoe UI"/>
                <w:sz w:val="17"/>
                <w:szCs w:val="17"/>
                <w:lang w:eastAsia="en-GB"/>
              </w:rPr>
            </w:pPr>
            <w:r w:rsidRPr="009A7FDD">
              <w:rPr>
                <w:rFonts w:cs="Segoe UI"/>
                <w:sz w:val="17"/>
                <w:szCs w:val="17"/>
                <w:lang w:eastAsia="en-GB"/>
              </w:rPr>
              <w:t>Of which portion of regulatory reserve for general banking risks and collective provisions which is not included in Tier 2 Capital</w:t>
            </w:r>
          </w:p>
        </w:tc>
        <w:tc>
          <w:tcPr>
            <w:tcW w:w="921" w:type="dxa"/>
            <w:tcBorders>
              <w:left w:val="single" w:sz="4" w:space="0" w:color="auto"/>
              <w:bottom w:val="single" w:sz="4" w:space="0" w:color="BFBFBF"/>
              <w:right w:val="single" w:sz="4" w:space="0" w:color="auto"/>
            </w:tcBorders>
            <w:shd w:val="clear" w:color="auto" w:fill="auto"/>
          </w:tcPr>
          <w:p w14:paraId="7FEBE271"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left w:val="single" w:sz="4" w:space="0" w:color="auto"/>
              <w:bottom w:val="single" w:sz="4" w:space="0" w:color="BFBFBF"/>
              <w:right w:val="single" w:sz="4" w:space="0" w:color="auto"/>
            </w:tcBorders>
            <w:shd w:val="clear" w:color="auto" w:fill="FFFFFF"/>
          </w:tcPr>
          <w:p w14:paraId="175AF852"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17F53197"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4DC03CEB" w14:textId="77777777" w:rsidTr="00C23506">
        <w:tc>
          <w:tcPr>
            <w:tcW w:w="567" w:type="dxa"/>
            <w:tcBorders>
              <w:left w:val="nil"/>
              <w:right w:val="single" w:sz="4" w:space="0" w:color="auto"/>
            </w:tcBorders>
          </w:tcPr>
          <w:p w14:paraId="1BA9CDF0" w14:textId="36B33F68" w:rsidR="000369C7" w:rsidRPr="00D36A76" w:rsidRDefault="000369C7" w:rsidP="00C23506">
            <w:pPr>
              <w:keepLines/>
              <w:tabs>
                <w:tab w:val="left" w:pos="397"/>
                <w:tab w:val="left" w:pos="794"/>
                <w:tab w:val="left" w:pos="1191"/>
              </w:tabs>
              <w:snapToGrid w:val="0"/>
              <w:spacing w:before="20" w:after="20"/>
              <w:rPr>
                <w:rFonts w:cs="Segoe UI"/>
                <w:sz w:val="17"/>
                <w:szCs w:val="17"/>
              </w:rPr>
            </w:pPr>
            <w:r w:rsidRPr="00D36A76">
              <w:rPr>
                <w:rFonts w:cs="Segoe UI"/>
                <w:sz w:val="17"/>
                <w:szCs w:val="17"/>
              </w:rPr>
              <w:t>2</w:t>
            </w:r>
            <w:r>
              <w:rPr>
                <w:rFonts w:cs="Segoe UI"/>
                <w:sz w:val="17"/>
                <w:szCs w:val="17"/>
              </w:rPr>
              <w:t>8</w:t>
            </w:r>
            <w:r w:rsidRPr="00D36A76">
              <w:rPr>
                <w:rFonts w:cs="Segoe UI"/>
                <w:sz w:val="17"/>
                <w:szCs w:val="17"/>
              </w:rPr>
              <w:t>c</w:t>
            </w:r>
          </w:p>
        </w:tc>
        <w:tc>
          <w:tcPr>
            <w:tcW w:w="5245" w:type="dxa"/>
            <w:tcBorders>
              <w:left w:val="single" w:sz="4" w:space="0" w:color="auto"/>
              <w:bottom w:val="single" w:sz="4" w:space="0" w:color="BCBDBC"/>
              <w:right w:val="single" w:sz="4" w:space="0" w:color="auto"/>
            </w:tcBorders>
          </w:tcPr>
          <w:p w14:paraId="5C4E3293" w14:textId="77777777" w:rsidR="000369C7" w:rsidRPr="00D36A76" w:rsidRDefault="000369C7" w:rsidP="00C23506">
            <w:pPr>
              <w:keepLines/>
              <w:tabs>
                <w:tab w:val="left" w:pos="397"/>
                <w:tab w:val="left" w:pos="794"/>
                <w:tab w:val="left" w:pos="1191"/>
              </w:tabs>
              <w:snapToGrid w:val="0"/>
              <w:spacing w:before="20" w:after="20"/>
              <w:ind w:leftChars="159" w:left="318"/>
              <w:rPr>
                <w:rFonts w:cs="Segoe UI"/>
                <w:sz w:val="17"/>
                <w:szCs w:val="17"/>
                <w:lang w:eastAsia="en-GB"/>
              </w:rPr>
            </w:pPr>
            <w:r w:rsidRPr="00D36A76">
              <w:rPr>
                <w:rFonts w:cs="Segoe UI"/>
                <w:sz w:val="17"/>
                <w:szCs w:val="17"/>
                <w:lang w:eastAsia="en-GB"/>
              </w:rPr>
              <w:t>Of which portion of cumulative fair value gains arising from the revaluation of land and buildings which is not included in Tier 2 Capital</w:t>
            </w:r>
          </w:p>
        </w:tc>
        <w:tc>
          <w:tcPr>
            <w:tcW w:w="921" w:type="dxa"/>
            <w:tcBorders>
              <w:left w:val="single" w:sz="4" w:space="0" w:color="auto"/>
              <w:bottom w:val="single" w:sz="4" w:space="0" w:color="BFBFBF"/>
              <w:right w:val="single" w:sz="4" w:space="0" w:color="auto"/>
            </w:tcBorders>
            <w:shd w:val="clear" w:color="auto" w:fill="auto"/>
          </w:tcPr>
          <w:p w14:paraId="3EF708B2"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left w:val="single" w:sz="4" w:space="0" w:color="auto"/>
              <w:bottom w:val="single" w:sz="4" w:space="0" w:color="BFBFBF"/>
              <w:right w:val="single" w:sz="4" w:space="0" w:color="auto"/>
            </w:tcBorders>
            <w:shd w:val="clear" w:color="auto" w:fill="FFFFFF"/>
          </w:tcPr>
          <w:p w14:paraId="26155F98"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1D011646"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106A3988" w14:textId="77777777" w:rsidTr="00C23506">
        <w:trPr>
          <w:trHeight w:val="281"/>
        </w:trPr>
        <w:tc>
          <w:tcPr>
            <w:tcW w:w="567" w:type="dxa"/>
            <w:tcBorders>
              <w:left w:val="nil"/>
              <w:bottom w:val="single" w:sz="4" w:space="0" w:color="auto"/>
              <w:right w:val="single" w:sz="4" w:space="0" w:color="auto"/>
            </w:tcBorders>
          </w:tcPr>
          <w:p w14:paraId="62EDD3C4" w14:textId="15945027" w:rsidR="000369C7" w:rsidRPr="00D36A76" w:rsidRDefault="000369C7" w:rsidP="00C23506">
            <w:pPr>
              <w:keepLines/>
              <w:tabs>
                <w:tab w:val="left" w:pos="397"/>
                <w:tab w:val="left" w:pos="794"/>
                <w:tab w:val="left" w:pos="1191"/>
              </w:tabs>
              <w:snapToGrid w:val="0"/>
              <w:spacing w:before="20" w:after="20"/>
              <w:rPr>
                <w:rFonts w:cs="Segoe UI"/>
                <w:sz w:val="17"/>
                <w:szCs w:val="17"/>
              </w:rPr>
            </w:pPr>
            <w:r w:rsidRPr="00D36A76">
              <w:rPr>
                <w:rFonts w:cs="Segoe UI"/>
                <w:sz w:val="17"/>
                <w:szCs w:val="17"/>
              </w:rPr>
              <w:t>2</w:t>
            </w:r>
            <w:r>
              <w:rPr>
                <w:rFonts w:cs="Segoe UI"/>
                <w:sz w:val="17"/>
                <w:szCs w:val="17"/>
              </w:rPr>
              <w:t>9</w:t>
            </w:r>
          </w:p>
        </w:tc>
        <w:tc>
          <w:tcPr>
            <w:tcW w:w="5245" w:type="dxa"/>
            <w:tcBorders>
              <w:left w:val="single" w:sz="4" w:space="0" w:color="auto"/>
              <w:bottom w:val="single" w:sz="4" w:space="0" w:color="auto"/>
              <w:right w:val="single" w:sz="4" w:space="0" w:color="auto"/>
            </w:tcBorders>
            <w:vAlign w:val="center"/>
          </w:tcPr>
          <w:p w14:paraId="58E20295" w14:textId="77777777" w:rsidR="000369C7" w:rsidRPr="00D36A76" w:rsidRDefault="000369C7" w:rsidP="00C23506">
            <w:pPr>
              <w:keepLines/>
              <w:tabs>
                <w:tab w:val="left" w:pos="397"/>
                <w:tab w:val="left" w:pos="794"/>
                <w:tab w:val="left" w:pos="1191"/>
              </w:tabs>
              <w:snapToGrid w:val="0"/>
              <w:spacing w:before="20" w:after="20"/>
              <w:rPr>
                <w:rFonts w:cs="Segoe UI"/>
                <w:noProof/>
                <w:sz w:val="17"/>
                <w:szCs w:val="17"/>
                <w:lang w:eastAsia="en-GB"/>
              </w:rPr>
            </w:pPr>
            <w:r w:rsidRPr="00D36A76">
              <w:rPr>
                <w:rFonts w:cs="Segoe UI"/>
                <w:sz w:val="17"/>
                <w:szCs w:val="17"/>
                <w:lang w:eastAsia="en-GB"/>
              </w:rPr>
              <w:t>Total</w:t>
            </w:r>
          </w:p>
        </w:tc>
        <w:tc>
          <w:tcPr>
            <w:tcW w:w="921" w:type="dxa"/>
            <w:tcBorders>
              <w:top w:val="single" w:sz="4" w:space="0" w:color="BFBFBF"/>
              <w:left w:val="single" w:sz="4" w:space="0" w:color="auto"/>
              <w:bottom w:val="single" w:sz="4" w:space="0" w:color="auto"/>
              <w:right w:val="single" w:sz="4" w:space="0" w:color="auto"/>
            </w:tcBorders>
            <w:shd w:val="clear" w:color="auto" w:fill="auto"/>
          </w:tcPr>
          <w:p w14:paraId="7189FC0C"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922" w:type="dxa"/>
            <w:tcBorders>
              <w:top w:val="single" w:sz="4" w:space="0" w:color="BFBFBF"/>
              <w:left w:val="single" w:sz="4" w:space="0" w:color="auto"/>
              <w:bottom w:val="single" w:sz="4" w:space="0" w:color="auto"/>
              <w:right w:val="single" w:sz="4" w:space="0" w:color="auto"/>
            </w:tcBorders>
            <w:shd w:val="clear" w:color="auto" w:fill="FFFFFF"/>
          </w:tcPr>
          <w:p w14:paraId="5597441B"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auto"/>
              <w:right w:val="single" w:sz="4" w:space="0" w:color="auto"/>
            </w:tcBorders>
            <w:shd w:val="clear" w:color="auto" w:fill="FFFFFF"/>
          </w:tcPr>
          <w:p w14:paraId="271CA171" w14:textId="77777777" w:rsidR="000369C7" w:rsidRPr="004E457E" w:rsidRDefault="000369C7" w:rsidP="00C23506">
            <w:pPr>
              <w:keepLines/>
              <w:tabs>
                <w:tab w:val="left" w:pos="397"/>
                <w:tab w:val="left" w:pos="794"/>
                <w:tab w:val="left" w:pos="1191"/>
              </w:tabs>
              <w:snapToGrid w:val="0"/>
              <w:spacing w:before="20" w:after="20"/>
              <w:rPr>
                <w:rFonts w:cs="Segoe UI"/>
                <w:sz w:val="17"/>
                <w:szCs w:val="17"/>
                <w:lang w:eastAsia="en-GB"/>
              </w:rPr>
            </w:pPr>
          </w:p>
        </w:tc>
      </w:tr>
      <w:tr w:rsidR="000369C7" w:rsidRPr="004E457E" w14:paraId="59970798" w14:textId="77777777" w:rsidTr="00C23506">
        <w:trPr>
          <w:trHeight w:val="281"/>
        </w:trPr>
        <w:tc>
          <w:tcPr>
            <w:tcW w:w="9214" w:type="dxa"/>
            <w:gridSpan w:val="5"/>
            <w:tcBorders>
              <w:top w:val="single" w:sz="4" w:space="0" w:color="auto"/>
              <w:left w:val="nil"/>
              <w:bottom w:val="single" w:sz="4" w:space="0" w:color="auto"/>
              <w:right w:val="single" w:sz="4" w:space="0" w:color="auto"/>
            </w:tcBorders>
          </w:tcPr>
          <w:p w14:paraId="349880EE" w14:textId="0D5E84AE" w:rsidR="000369C7" w:rsidRPr="002705AD" w:rsidRDefault="000369C7" w:rsidP="00C23506">
            <w:pPr>
              <w:rPr>
                <w:rFonts w:cs="Segoe UI"/>
                <w:sz w:val="17"/>
                <w:szCs w:val="17"/>
                <w:lang w:eastAsia="en-GB"/>
              </w:rPr>
            </w:pPr>
            <w:r w:rsidRPr="00131E32">
              <w:rPr>
                <w:rFonts w:cs="Segoe UI"/>
                <w:i/>
                <w:sz w:val="16"/>
                <w:szCs w:val="16"/>
                <w:lang w:eastAsia="en-GB"/>
              </w:rPr>
              <w:t>N/A: Not applicable in the case of Hong Kong</w:t>
            </w:r>
          </w:p>
        </w:tc>
      </w:tr>
    </w:tbl>
    <w:p w14:paraId="120B49F5" w14:textId="77777777" w:rsidR="000369C7" w:rsidRPr="004E457E" w:rsidRDefault="000369C7" w:rsidP="000369C7">
      <w:pPr>
        <w:spacing w:before="120" w:after="120"/>
        <w:ind w:leftChars="-283" w:left="-566"/>
        <w:rPr>
          <w:sz w:val="22"/>
        </w:rPr>
      </w:pPr>
    </w:p>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47"/>
      </w:tblGrid>
      <w:tr w:rsidR="000369C7" w:rsidRPr="004E457E" w14:paraId="4A114207" w14:textId="77777777" w:rsidTr="00C23506">
        <w:trPr>
          <w:tblHeader/>
        </w:trPr>
        <w:tc>
          <w:tcPr>
            <w:tcW w:w="9214" w:type="dxa"/>
            <w:gridSpan w:val="2"/>
            <w:shd w:val="clear" w:color="auto" w:fill="BFBFBF"/>
          </w:tcPr>
          <w:p w14:paraId="5620F985" w14:textId="77777777" w:rsidR="000369C7" w:rsidRPr="004E457E" w:rsidRDefault="000369C7" w:rsidP="00C23506">
            <w:pPr>
              <w:keepLines/>
              <w:tabs>
                <w:tab w:val="left" w:pos="150"/>
                <w:tab w:val="left" w:pos="397"/>
                <w:tab w:val="left" w:pos="794"/>
                <w:tab w:val="left" w:pos="1191"/>
              </w:tabs>
              <w:spacing w:before="40" w:after="40"/>
              <w:rPr>
                <w:rFonts w:eastAsia="新細明體"/>
                <w:b/>
                <w:sz w:val="17"/>
                <w:lang w:eastAsia="en-GB"/>
              </w:rPr>
            </w:pPr>
            <w:r w:rsidRPr="004E457E">
              <w:rPr>
                <w:rFonts w:eastAsia="新細明體"/>
                <w:b/>
                <w:sz w:val="17"/>
                <w:lang w:eastAsia="en-GB"/>
              </w:rPr>
              <w:t>Explanatory Note</w:t>
            </w:r>
          </w:p>
        </w:tc>
      </w:tr>
      <w:tr w:rsidR="000369C7" w:rsidRPr="004E457E" w14:paraId="203CFC2D" w14:textId="77777777" w:rsidTr="00C23506">
        <w:trPr>
          <w:trHeight w:val="153"/>
        </w:trPr>
        <w:tc>
          <w:tcPr>
            <w:tcW w:w="9214" w:type="dxa"/>
            <w:gridSpan w:val="2"/>
            <w:shd w:val="clear" w:color="auto" w:fill="F2F2F2"/>
          </w:tcPr>
          <w:p w14:paraId="131ED0CD" w14:textId="77777777" w:rsidR="000369C7" w:rsidRPr="004E457E" w:rsidRDefault="000369C7" w:rsidP="00C23506">
            <w:pPr>
              <w:keepLines/>
              <w:tabs>
                <w:tab w:val="left" w:pos="150"/>
                <w:tab w:val="left" w:pos="397"/>
                <w:tab w:val="left" w:pos="794"/>
                <w:tab w:val="left" w:pos="1191"/>
              </w:tabs>
              <w:spacing w:before="40" w:after="40"/>
              <w:rPr>
                <w:rFonts w:eastAsia="新細明體"/>
                <w:b/>
                <w:sz w:val="17"/>
                <w:lang w:eastAsia="en-GB"/>
              </w:rPr>
            </w:pPr>
            <w:r w:rsidRPr="004E457E">
              <w:rPr>
                <w:rFonts w:eastAsia="新細明體"/>
                <w:b/>
                <w:sz w:val="17"/>
                <w:lang w:eastAsia="en-GB"/>
              </w:rPr>
              <w:t>Columns</w:t>
            </w:r>
          </w:p>
        </w:tc>
      </w:tr>
      <w:tr w:rsidR="000369C7" w:rsidRPr="004E457E" w14:paraId="3361EFF5" w14:textId="77777777" w:rsidTr="00C23506">
        <w:tc>
          <w:tcPr>
            <w:tcW w:w="567" w:type="dxa"/>
            <w:shd w:val="clear" w:color="auto" w:fill="auto"/>
          </w:tcPr>
          <w:p w14:paraId="5EA30A8F" w14:textId="77777777" w:rsidR="000369C7" w:rsidRPr="004E457E" w:rsidRDefault="000369C7" w:rsidP="00C23506">
            <w:pPr>
              <w:keepLines/>
              <w:tabs>
                <w:tab w:val="left" w:pos="150"/>
                <w:tab w:val="left" w:pos="397"/>
                <w:tab w:val="left" w:pos="794"/>
                <w:tab w:val="left" w:pos="1191"/>
              </w:tabs>
              <w:spacing w:before="40" w:after="40"/>
              <w:rPr>
                <w:rFonts w:cs="Segoe UI"/>
                <w:sz w:val="17"/>
                <w:szCs w:val="17"/>
                <w:lang w:eastAsia="en-GB"/>
              </w:rPr>
            </w:pPr>
            <w:r w:rsidRPr="004E457E">
              <w:rPr>
                <w:rFonts w:cs="Segoe UI"/>
                <w:sz w:val="17"/>
                <w:szCs w:val="17"/>
                <w:lang w:eastAsia="en-GB"/>
              </w:rPr>
              <w:t>(a)</w:t>
            </w:r>
          </w:p>
        </w:tc>
        <w:tc>
          <w:tcPr>
            <w:tcW w:w="8647" w:type="dxa"/>
            <w:shd w:val="clear" w:color="auto" w:fill="auto"/>
          </w:tcPr>
          <w:p w14:paraId="2FD90357" w14:textId="77777777" w:rsidR="000369C7" w:rsidRPr="004E457E" w:rsidRDefault="000369C7" w:rsidP="00C23506">
            <w:pPr>
              <w:keepLines/>
              <w:tabs>
                <w:tab w:val="left" w:pos="150"/>
                <w:tab w:val="left" w:pos="397"/>
                <w:tab w:val="left" w:pos="794"/>
                <w:tab w:val="left" w:pos="1191"/>
              </w:tabs>
              <w:spacing w:before="40" w:after="40"/>
              <w:jc w:val="both"/>
              <w:rPr>
                <w:rFonts w:cs="Segoe UI"/>
                <w:sz w:val="17"/>
                <w:szCs w:val="17"/>
                <w:lang w:eastAsia="en-GB"/>
              </w:rPr>
            </w:pPr>
            <w:r w:rsidRPr="004E457E">
              <w:rPr>
                <w:rFonts w:cs="Segoe UI"/>
                <w:i/>
                <w:sz w:val="17"/>
                <w:szCs w:val="17"/>
              </w:rPr>
              <w:t>RWA (T)</w:t>
            </w:r>
            <w:r w:rsidRPr="004E457E">
              <w:rPr>
                <w:rFonts w:cs="Segoe UI"/>
                <w:sz w:val="17"/>
                <w:szCs w:val="17"/>
              </w:rPr>
              <w:t>:</w:t>
            </w:r>
            <w:r w:rsidRPr="004E457E">
              <w:rPr>
                <w:rFonts w:cs="Segoe UI"/>
                <w:i/>
                <w:sz w:val="17"/>
                <w:szCs w:val="17"/>
              </w:rPr>
              <w:t xml:space="preserve"> </w:t>
            </w:r>
            <w:r w:rsidRPr="004E457E">
              <w:rPr>
                <w:rFonts w:cs="Segoe UI"/>
                <w:sz w:val="17"/>
                <w:szCs w:val="17"/>
              </w:rPr>
              <w:t>RWA referred to in the BCR</w:t>
            </w:r>
            <w:r>
              <w:rPr>
                <w:rFonts w:cs="Segoe UI"/>
                <w:sz w:val="17"/>
                <w:szCs w:val="17"/>
              </w:rPr>
              <w:t xml:space="preserve"> </w:t>
            </w:r>
            <w:r w:rsidRPr="004E457E">
              <w:rPr>
                <w:rFonts w:cs="Segoe UI"/>
                <w:sz w:val="17"/>
                <w:szCs w:val="17"/>
              </w:rPr>
              <w:t xml:space="preserve">and as reported in accordance with the subsequent parts of this document.  Where the output of a calculation approach is a capital charge instead of a RWA (e.g. the approaches for market risk and operational risk), an AI should calculate the RWA by multiplying capital charge by </w:t>
            </w:r>
            <w:r w:rsidRPr="00303B03">
              <w:rPr>
                <w:rFonts w:cs="Segoe UI"/>
                <w:sz w:val="17"/>
                <w:szCs w:val="17"/>
              </w:rPr>
              <w:t>12.5.</w:t>
            </w:r>
          </w:p>
        </w:tc>
      </w:tr>
      <w:tr w:rsidR="000369C7" w:rsidRPr="004E457E" w14:paraId="58FA5370" w14:textId="77777777" w:rsidTr="00C23506">
        <w:trPr>
          <w:trHeight w:val="373"/>
        </w:trPr>
        <w:tc>
          <w:tcPr>
            <w:tcW w:w="567" w:type="dxa"/>
            <w:shd w:val="clear" w:color="auto" w:fill="auto"/>
          </w:tcPr>
          <w:p w14:paraId="4F3F4B31" w14:textId="77777777" w:rsidR="000369C7" w:rsidRPr="004E457E" w:rsidRDefault="000369C7" w:rsidP="00C23506">
            <w:pPr>
              <w:keepLines/>
              <w:tabs>
                <w:tab w:val="left" w:pos="150"/>
                <w:tab w:val="left" w:pos="397"/>
                <w:tab w:val="left" w:pos="794"/>
                <w:tab w:val="left" w:pos="1191"/>
              </w:tabs>
              <w:spacing w:before="40" w:after="40"/>
              <w:rPr>
                <w:rFonts w:cs="Segoe UI"/>
                <w:sz w:val="17"/>
                <w:szCs w:val="17"/>
                <w:lang w:eastAsia="en-GB"/>
              </w:rPr>
            </w:pPr>
            <w:r w:rsidRPr="004E457E">
              <w:rPr>
                <w:rFonts w:cs="Segoe UI"/>
                <w:sz w:val="17"/>
                <w:szCs w:val="17"/>
                <w:lang w:eastAsia="en-GB"/>
              </w:rPr>
              <w:t>(b)</w:t>
            </w:r>
          </w:p>
        </w:tc>
        <w:tc>
          <w:tcPr>
            <w:tcW w:w="8647" w:type="dxa"/>
            <w:shd w:val="clear" w:color="auto" w:fill="auto"/>
          </w:tcPr>
          <w:p w14:paraId="4A3471B0" w14:textId="77777777" w:rsidR="000369C7" w:rsidRPr="004E457E" w:rsidRDefault="000369C7" w:rsidP="00C23506">
            <w:pPr>
              <w:keepLines/>
              <w:tabs>
                <w:tab w:val="left" w:pos="150"/>
                <w:tab w:val="left" w:pos="397"/>
                <w:tab w:val="left" w:pos="794"/>
                <w:tab w:val="left" w:pos="1191"/>
              </w:tabs>
              <w:spacing w:before="40" w:after="40"/>
              <w:jc w:val="both"/>
              <w:rPr>
                <w:rFonts w:cs="Segoe UI"/>
                <w:sz w:val="17"/>
                <w:szCs w:val="17"/>
                <w:lang w:eastAsia="en-GB"/>
              </w:rPr>
            </w:pPr>
            <w:r w:rsidRPr="004E457E">
              <w:rPr>
                <w:rFonts w:cs="Segoe UI"/>
                <w:i/>
                <w:sz w:val="17"/>
                <w:szCs w:val="17"/>
              </w:rPr>
              <w:t>RWA (T-1)</w:t>
            </w:r>
            <w:r w:rsidRPr="004E457E">
              <w:rPr>
                <w:rFonts w:cs="Segoe UI"/>
                <w:sz w:val="17"/>
                <w:szCs w:val="17"/>
              </w:rPr>
              <w:t>:</w:t>
            </w:r>
            <w:r w:rsidRPr="004E457E">
              <w:rPr>
                <w:rFonts w:cs="Segoe UI"/>
                <w:i/>
                <w:sz w:val="17"/>
                <w:szCs w:val="17"/>
              </w:rPr>
              <w:t xml:space="preserve"> </w:t>
            </w:r>
            <w:r w:rsidRPr="004E457E">
              <w:rPr>
                <w:rFonts w:cs="Segoe UI"/>
                <w:sz w:val="17"/>
                <w:szCs w:val="17"/>
              </w:rPr>
              <w:t>RWA as reported in the previous reporting period (i.e. at the end of the previous quarter) of this template.</w:t>
            </w:r>
          </w:p>
        </w:tc>
      </w:tr>
      <w:tr w:rsidR="000369C7" w:rsidRPr="004E457E" w14:paraId="71C207C0" w14:textId="77777777" w:rsidTr="00C23506">
        <w:tc>
          <w:tcPr>
            <w:tcW w:w="567" w:type="dxa"/>
            <w:shd w:val="clear" w:color="auto" w:fill="auto"/>
          </w:tcPr>
          <w:p w14:paraId="165FDC1D" w14:textId="77777777" w:rsidR="000369C7" w:rsidRPr="004E457E" w:rsidRDefault="000369C7" w:rsidP="00C23506">
            <w:pPr>
              <w:keepLines/>
              <w:tabs>
                <w:tab w:val="left" w:pos="150"/>
                <w:tab w:val="left" w:pos="397"/>
                <w:tab w:val="left" w:pos="794"/>
                <w:tab w:val="left" w:pos="1191"/>
              </w:tabs>
              <w:spacing w:before="40" w:after="40"/>
              <w:rPr>
                <w:rFonts w:cs="Segoe UI"/>
                <w:sz w:val="17"/>
                <w:szCs w:val="17"/>
                <w:lang w:eastAsia="en-GB"/>
              </w:rPr>
            </w:pPr>
            <w:r w:rsidRPr="004E457E">
              <w:rPr>
                <w:rFonts w:cs="Segoe UI"/>
                <w:sz w:val="17"/>
                <w:szCs w:val="17"/>
                <w:lang w:eastAsia="en-GB"/>
              </w:rPr>
              <w:t>(c)</w:t>
            </w:r>
          </w:p>
        </w:tc>
        <w:tc>
          <w:tcPr>
            <w:tcW w:w="8647" w:type="dxa"/>
            <w:shd w:val="clear" w:color="auto" w:fill="auto"/>
          </w:tcPr>
          <w:p w14:paraId="768BF1A4" w14:textId="62EBDEB7" w:rsidR="000369C7" w:rsidRPr="004E457E" w:rsidRDefault="000369C7" w:rsidP="00C23506">
            <w:pPr>
              <w:keepLines/>
              <w:tabs>
                <w:tab w:val="left" w:pos="150"/>
                <w:tab w:val="left" w:pos="397"/>
                <w:tab w:val="left" w:pos="794"/>
                <w:tab w:val="left" w:pos="1191"/>
              </w:tabs>
              <w:spacing w:before="40" w:after="40"/>
              <w:jc w:val="both"/>
              <w:rPr>
                <w:rFonts w:cs="Segoe UI"/>
                <w:sz w:val="17"/>
                <w:szCs w:val="17"/>
                <w:lang w:eastAsia="en-GB"/>
              </w:rPr>
            </w:pPr>
            <w:r w:rsidRPr="004E457E">
              <w:rPr>
                <w:rFonts w:cs="Segoe UI"/>
                <w:i/>
                <w:sz w:val="17"/>
                <w:szCs w:val="17"/>
              </w:rPr>
              <w:t>Minimum capital requirement</w:t>
            </w:r>
            <w:r>
              <w:rPr>
                <w:rFonts w:cs="Segoe UI"/>
                <w:i/>
                <w:sz w:val="17"/>
                <w:szCs w:val="17"/>
              </w:rPr>
              <w:t>s</w:t>
            </w:r>
            <w:r w:rsidRPr="004E457E">
              <w:rPr>
                <w:rFonts w:cs="Segoe UI"/>
                <w:i/>
                <w:sz w:val="17"/>
                <w:szCs w:val="17"/>
              </w:rPr>
              <w:t xml:space="preserve"> (T): </w:t>
            </w:r>
            <w:r w:rsidRPr="004E457E">
              <w:rPr>
                <w:rFonts w:cs="Segoe UI"/>
                <w:sz w:val="17"/>
                <w:szCs w:val="17"/>
              </w:rPr>
              <w:t>Pillar 1 capital requirements, which in general are calculated as 8% of the RWA</w:t>
            </w:r>
            <w:r w:rsidRPr="00F4169B">
              <w:rPr>
                <w:rFonts w:cs="Segoe UI"/>
                <w:sz w:val="17"/>
                <w:szCs w:val="17"/>
              </w:rPr>
              <w:t xml:space="preserve">.  </w:t>
            </w:r>
          </w:p>
        </w:tc>
      </w:tr>
      <w:tr w:rsidR="000369C7" w:rsidRPr="004E457E" w14:paraId="76D0AA5E" w14:textId="77777777" w:rsidTr="00C23506">
        <w:tc>
          <w:tcPr>
            <w:tcW w:w="9214" w:type="dxa"/>
            <w:gridSpan w:val="2"/>
            <w:shd w:val="clear" w:color="auto" w:fill="F2F2F2"/>
          </w:tcPr>
          <w:p w14:paraId="3BB05599" w14:textId="77777777" w:rsidR="000369C7" w:rsidRPr="004E457E" w:rsidRDefault="000369C7" w:rsidP="00C23506">
            <w:pPr>
              <w:keepNext/>
              <w:keepLines/>
              <w:tabs>
                <w:tab w:val="left" w:pos="150"/>
                <w:tab w:val="left" w:pos="397"/>
                <w:tab w:val="left" w:pos="794"/>
                <w:tab w:val="left" w:pos="1191"/>
              </w:tabs>
              <w:spacing w:before="40" w:after="40"/>
              <w:rPr>
                <w:rFonts w:eastAsia="新細明體"/>
                <w:b/>
                <w:sz w:val="17"/>
                <w:lang w:eastAsia="en-GB"/>
              </w:rPr>
            </w:pPr>
            <w:r w:rsidRPr="004E457E">
              <w:rPr>
                <w:rFonts w:eastAsia="新細明體"/>
                <w:b/>
                <w:sz w:val="17"/>
                <w:lang w:eastAsia="en-GB"/>
              </w:rPr>
              <w:t>Rows</w:t>
            </w:r>
          </w:p>
        </w:tc>
      </w:tr>
      <w:tr w:rsidR="000369C7" w:rsidRPr="004E457E" w14:paraId="62990AFB" w14:textId="77777777" w:rsidTr="00C23506">
        <w:tc>
          <w:tcPr>
            <w:tcW w:w="567" w:type="dxa"/>
            <w:shd w:val="clear" w:color="auto" w:fill="auto"/>
          </w:tcPr>
          <w:p w14:paraId="3E24C58B" w14:textId="77777777" w:rsidR="000369C7" w:rsidRPr="00622192" w:rsidRDefault="000369C7" w:rsidP="00C23506">
            <w:pPr>
              <w:keepLines/>
              <w:tabs>
                <w:tab w:val="left" w:pos="150"/>
                <w:tab w:val="left" w:pos="397"/>
                <w:tab w:val="left" w:pos="794"/>
                <w:tab w:val="left" w:pos="1191"/>
              </w:tabs>
              <w:spacing w:before="40" w:after="40"/>
              <w:rPr>
                <w:rFonts w:cs="Segoe UI"/>
                <w:sz w:val="17"/>
                <w:szCs w:val="17"/>
                <w:highlight w:val="yellow"/>
              </w:rPr>
            </w:pPr>
            <w:r w:rsidRPr="00496EF9">
              <w:rPr>
                <w:rFonts w:cs="Segoe UI"/>
                <w:sz w:val="17"/>
                <w:szCs w:val="17"/>
              </w:rPr>
              <w:t>1</w:t>
            </w:r>
          </w:p>
        </w:tc>
        <w:tc>
          <w:tcPr>
            <w:tcW w:w="8647" w:type="dxa"/>
            <w:shd w:val="clear" w:color="auto" w:fill="auto"/>
          </w:tcPr>
          <w:p w14:paraId="23BB46D4" w14:textId="5B7E0088" w:rsidR="000369C7" w:rsidRPr="00FE4698" w:rsidRDefault="000369C7" w:rsidP="00C23506">
            <w:pPr>
              <w:keepLines/>
              <w:tabs>
                <w:tab w:val="left" w:pos="150"/>
                <w:tab w:val="left" w:pos="397"/>
                <w:tab w:val="left" w:pos="794"/>
                <w:tab w:val="left" w:pos="1191"/>
              </w:tabs>
              <w:spacing w:before="40" w:after="40"/>
              <w:jc w:val="both"/>
              <w:rPr>
                <w:rFonts w:cs="Segoe UI"/>
                <w:sz w:val="17"/>
                <w:szCs w:val="17"/>
              </w:rPr>
            </w:pPr>
            <w:r w:rsidRPr="00FE4698">
              <w:rPr>
                <w:rFonts w:cs="Segoe UI"/>
                <w:i/>
                <w:sz w:val="17"/>
                <w:szCs w:val="17"/>
              </w:rPr>
              <w:t>Credit risk for non-securitization exposures</w:t>
            </w:r>
            <w:r w:rsidRPr="00FE4698">
              <w:rPr>
                <w:rFonts w:cs="Segoe UI"/>
                <w:sz w:val="17"/>
                <w:szCs w:val="17"/>
              </w:rPr>
              <w:t xml:space="preserve">: RWA and capital requirements according to the credit risk framework reported in Part III of this document.  The amounts exclude </w:t>
            </w:r>
            <w:r w:rsidRPr="00430E72">
              <w:rPr>
                <w:rFonts w:cs="Segoe UI"/>
                <w:sz w:val="17"/>
                <w:szCs w:val="17"/>
              </w:rPr>
              <w:t xml:space="preserve">RWA and </w:t>
            </w:r>
            <w:r>
              <w:rPr>
                <w:rFonts w:cs="Segoe UI"/>
                <w:sz w:val="17"/>
                <w:szCs w:val="17"/>
              </w:rPr>
              <w:t xml:space="preserve">capital </w:t>
            </w:r>
            <w:r w:rsidRPr="00430E72">
              <w:rPr>
                <w:rFonts w:cs="Segoe UI"/>
                <w:sz w:val="17"/>
                <w:szCs w:val="17"/>
              </w:rPr>
              <w:t xml:space="preserve">requirement arising from </w:t>
            </w:r>
            <w:r w:rsidRPr="005B5690">
              <w:rPr>
                <w:rFonts w:cs="Segoe UI"/>
                <w:sz w:val="17"/>
                <w:szCs w:val="17"/>
              </w:rPr>
              <w:t>c</w:t>
            </w:r>
            <w:r w:rsidRPr="005B5690">
              <w:rPr>
                <w:sz w:val="17"/>
              </w:rPr>
              <w:t>ounterparty credit risk</w:t>
            </w:r>
            <w:r>
              <w:rPr>
                <w:rFonts w:cs="Segoe UI"/>
                <w:sz w:val="17"/>
                <w:szCs w:val="17"/>
              </w:rPr>
              <w:t xml:space="preserve"> and default fund contributions</w:t>
            </w:r>
            <w:r w:rsidRPr="00FE4698">
              <w:rPr>
                <w:rFonts w:cs="Segoe UI"/>
                <w:sz w:val="17"/>
                <w:szCs w:val="17"/>
              </w:rPr>
              <w:t xml:space="preserve">, </w:t>
            </w:r>
            <w:r w:rsidRPr="00094BD8">
              <w:rPr>
                <w:rFonts w:cs="Segoe UI"/>
                <w:sz w:val="17"/>
                <w:szCs w:val="17"/>
              </w:rPr>
              <w:t>CVA risk,</w:t>
            </w:r>
            <w:r w:rsidRPr="00FE4698">
              <w:rPr>
                <w:rFonts w:cs="Segoe UI"/>
                <w:sz w:val="17"/>
                <w:szCs w:val="17"/>
              </w:rPr>
              <w:t xml:space="preserve"> CIS exposures, settlement risk, securitization framework (e.g. securitization exposures in the banking book), and amount</w:t>
            </w:r>
            <w:r>
              <w:rPr>
                <w:rFonts w:cs="Segoe UI"/>
                <w:sz w:val="17"/>
                <w:szCs w:val="17"/>
              </w:rPr>
              <w:t>s</w:t>
            </w:r>
            <w:r w:rsidRPr="00FE4698">
              <w:rPr>
                <w:rFonts w:cs="Segoe UI"/>
                <w:sz w:val="17"/>
                <w:szCs w:val="17"/>
              </w:rPr>
              <w:t xml:space="preserve"> below the deduction threshold</w:t>
            </w:r>
            <w:r>
              <w:rPr>
                <w:rFonts w:cs="Segoe UI"/>
                <w:sz w:val="17"/>
                <w:szCs w:val="17"/>
              </w:rPr>
              <w:t>s</w:t>
            </w:r>
            <w:r w:rsidRPr="00FE4698">
              <w:rPr>
                <w:rFonts w:cs="Segoe UI"/>
                <w:sz w:val="17"/>
                <w:szCs w:val="17"/>
              </w:rPr>
              <w:t xml:space="preserve"> </w:t>
            </w:r>
            <w:r>
              <w:rPr>
                <w:rFonts w:cs="Segoe UI"/>
                <w:sz w:val="17"/>
                <w:szCs w:val="17"/>
              </w:rPr>
              <w:t xml:space="preserve">and subject to a </w:t>
            </w:r>
            <w:r w:rsidRPr="00FE4698">
              <w:rPr>
                <w:rFonts w:cs="Segoe UI"/>
                <w:sz w:val="17"/>
                <w:szCs w:val="17"/>
              </w:rPr>
              <w:t>250%</w:t>
            </w:r>
            <w:r>
              <w:rPr>
                <w:rFonts w:cs="Segoe UI"/>
                <w:sz w:val="17"/>
                <w:szCs w:val="17"/>
              </w:rPr>
              <w:t xml:space="preserve"> risk-weight.</w:t>
            </w:r>
            <w:r w:rsidRPr="00FE4698">
              <w:rPr>
                <w:rFonts w:cs="Segoe UI"/>
                <w:sz w:val="17"/>
                <w:szCs w:val="17"/>
              </w:rPr>
              <w:t xml:space="preserve"> </w:t>
            </w:r>
          </w:p>
        </w:tc>
      </w:tr>
      <w:tr w:rsidR="000369C7" w:rsidRPr="009A11FA" w14:paraId="5F42BECF" w14:textId="77777777" w:rsidTr="00C23506">
        <w:tc>
          <w:tcPr>
            <w:tcW w:w="567" w:type="dxa"/>
            <w:shd w:val="clear" w:color="auto" w:fill="auto"/>
          </w:tcPr>
          <w:p w14:paraId="24472277" w14:textId="77777777" w:rsidR="000369C7" w:rsidRPr="007557FA" w:rsidRDefault="000369C7" w:rsidP="00C23506">
            <w:pPr>
              <w:keepLines/>
              <w:tabs>
                <w:tab w:val="left" w:pos="150"/>
                <w:tab w:val="left" w:pos="397"/>
                <w:tab w:val="left" w:pos="794"/>
                <w:tab w:val="left" w:pos="1191"/>
              </w:tabs>
              <w:spacing w:before="40" w:after="40"/>
              <w:rPr>
                <w:rFonts w:cs="Segoe UI"/>
                <w:sz w:val="17"/>
                <w:szCs w:val="17"/>
              </w:rPr>
            </w:pPr>
            <w:r w:rsidRPr="007557FA">
              <w:rPr>
                <w:rFonts w:cs="Segoe UI"/>
                <w:sz w:val="17"/>
                <w:szCs w:val="17"/>
              </w:rPr>
              <w:lastRenderedPageBreak/>
              <w:t>2</w:t>
            </w:r>
          </w:p>
        </w:tc>
        <w:tc>
          <w:tcPr>
            <w:tcW w:w="8647" w:type="dxa"/>
            <w:shd w:val="clear" w:color="auto" w:fill="auto"/>
          </w:tcPr>
          <w:p w14:paraId="5801FC8E" w14:textId="0BE75A92" w:rsidR="000369C7" w:rsidRPr="009A11FA" w:rsidRDefault="000369C7" w:rsidP="00C23506">
            <w:pPr>
              <w:keepLines/>
              <w:tabs>
                <w:tab w:val="left" w:pos="150"/>
                <w:tab w:val="left" w:pos="397"/>
                <w:tab w:val="left" w:pos="794"/>
                <w:tab w:val="left" w:pos="1191"/>
              </w:tabs>
              <w:spacing w:before="40" w:after="40"/>
              <w:jc w:val="both"/>
              <w:rPr>
                <w:rFonts w:cs="Segoe UI"/>
                <w:sz w:val="17"/>
                <w:szCs w:val="17"/>
              </w:rPr>
            </w:pPr>
            <w:r w:rsidRPr="009A11FA">
              <w:rPr>
                <w:rFonts w:cs="Segoe UI"/>
                <w:i/>
                <w:sz w:val="17"/>
                <w:szCs w:val="17"/>
              </w:rPr>
              <w:t xml:space="preserve">Of which </w:t>
            </w:r>
            <w:r w:rsidRPr="009A11FA">
              <w:rPr>
                <w:rFonts w:cs="Segoe UI"/>
                <w:i/>
                <w:sz w:val="17"/>
                <w:szCs w:val="17"/>
                <w:lang w:eastAsia="en-GB"/>
              </w:rPr>
              <w:t>STC approach</w:t>
            </w:r>
            <w:r w:rsidRPr="009A11FA">
              <w:rPr>
                <w:rFonts w:cs="Segoe UI"/>
                <w:sz w:val="17"/>
                <w:szCs w:val="17"/>
              </w:rPr>
              <w:t xml:space="preserve">: RWA and capital requirements calculated using the STC approach under the BCR.  For an interim or annual reporting period, </w:t>
            </w:r>
            <w:r w:rsidRPr="002F12BA">
              <w:rPr>
                <w:rFonts w:cs="Segoe UI"/>
                <w:sz w:val="17"/>
                <w:szCs w:val="17"/>
              </w:rPr>
              <w:t>the value in [OV1: 2/a] should be equal to the value in [CR4 (STC): 12/e].</w:t>
            </w:r>
            <w:r w:rsidRPr="009A11FA">
              <w:rPr>
                <w:rFonts w:cs="Segoe UI"/>
                <w:sz w:val="17"/>
                <w:szCs w:val="17"/>
              </w:rPr>
              <w:t xml:space="preserve"> </w:t>
            </w:r>
          </w:p>
        </w:tc>
      </w:tr>
      <w:tr w:rsidR="000369C7" w:rsidRPr="009A11FA" w14:paraId="53F775C5" w14:textId="77777777" w:rsidTr="00C23506">
        <w:tc>
          <w:tcPr>
            <w:tcW w:w="567" w:type="dxa"/>
            <w:shd w:val="clear" w:color="auto" w:fill="auto"/>
          </w:tcPr>
          <w:p w14:paraId="1E9EE245" w14:textId="77777777" w:rsidR="000369C7" w:rsidRPr="007557FA" w:rsidRDefault="000369C7" w:rsidP="00C23506">
            <w:pPr>
              <w:keepLines/>
              <w:tabs>
                <w:tab w:val="left" w:pos="150"/>
                <w:tab w:val="left" w:pos="397"/>
                <w:tab w:val="left" w:pos="794"/>
                <w:tab w:val="left" w:pos="1191"/>
              </w:tabs>
              <w:spacing w:before="40" w:after="40"/>
              <w:rPr>
                <w:rFonts w:cs="Segoe UI"/>
                <w:sz w:val="17"/>
                <w:szCs w:val="17"/>
              </w:rPr>
            </w:pPr>
            <w:r w:rsidRPr="007557FA">
              <w:rPr>
                <w:rFonts w:cs="Segoe UI"/>
                <w:sz w:val="17"/>
                <w:szCs w:val="17"/>
              </w:rPr>
              <w:t>2a</w:t>
            </w:r>
          </w:p>
        </w:tc>
        <w:tc>
          <w:tcPr>
            <w:tcW w:w="8647" w:type="dxa"/>
            <w:shd w:val="clear" w:color="auto" w:fill="auto"/>
          </w:tcPr>
          <w:p w14:paraId="505B2717" w14:textId="458A3B80" w:rsidR="000369C7" w:rsidRPr="009A11FA" w:rsidRDefault="000369C7" w:rsidP="00C23506">
            <w:pPr>
              <w:keepLines/>
              <w:tabs>
                <w:tab w:val="left" w:pos="150"/>
                <w:tab w:val="left" w:pos="397"/>
                <w:tab w:val="left" w:pos="794"/>
                <w:tab w:val="left" w:pos="1191"/>
              </w:tabs>
              <w:spacing w:before="40" w:after="40"/>
              <w:jc w:val="both"/>
              <w:rPr>
                <w:rFonts w:cs="Segoe UI"/>
                <w:i/>
                <w:sz w:val="17"/>
                <w:szCs w:val="17"/>
              </w:rPr>
            </w:pPr>
            <w:r w:rsidRPr="009A11FA">
              <w:rPr>
                <w:rFonts w:cs="Segoe UI"/>
                <w:i/>
                <w:sz w:val="17"/>
                <w:szCs w:val="17"/>
              </w:rPr>
              <w:t xml:space="preserve">Of which </w:t>
            </w:r>
            <w:r w:rsidRPr="009A11FA">
              <w:rPr>
                <w:rFonts w:cs="Segoe UI"/>
                <w:i/>
                <w:sz w:val="17"/>
                <w:szCs w:val="17"/>
                <w:lang w:eastAsia="en-GB"/>
              </w:rPr>
              <w:t>BSC approach</w:t>
            </w:r>
            <w:r w:rsidRPr="009A11FA">
              <w:rPr>
                <w:rFonts w:cs="Segoe UI"/>
                <w:sz w:val="17"/>
                <w:szCs w:val="17"/>
              </w:rPr>
              <w:t xml:space="preserve">: RWA and capital requirements calculated using the BSC approach under the BCR.  For an interim or annual reporting period, </w:t>
            </w:r>
            <w:r w:rsidRPr="002F12BA">
              <w:rPr>
                <w:rFonts w:cs="Segoe UI"/>
                <w:sz w:val="17"/>
                <w:szCs w:val="17"/>
              </w:rPr>
              <w:t xml:space="preserve">the value in [OV1: 2a/a] should be equal to the value in [CR4 (BSC): </w:t>
            </w:r>
            <w:r w:rsidRPr="003371AC">
              <w:rPr>
                <w:rFonts w:cs="Segoe UI"/>
                <w:sz w:val="17"/>
                <w:szCs w:val="17"/>
              </w:rPr>
              <w:t>16/e].</w:t>
            </w:r>
            <w:r w:rsidRPr="009A11FA">
              <w:rPr>
                <w:rFonts w:cs="Segoe UI"/>
                <w:sz w:val="17"/>
                <w:szCs w:val="17"/>
              </w:rPr>
              <w:t xml:space="preserve"> </w:t>
            </w:r>
          </w:p>
        </w:tc>
      </w:tr>
      <w:tr w:rsidR="000369C7" w:rsidRPr="004E457E" w14:paraId="26ADABBA" w14:textId="77777777" w:rsidTr="00C23506">
        <w:tc>
          <w:tcPr>
            <w:tcW w:w="567" w:type="dxa"/>
            <w:shd w:val="clear" w:color="auto" w:fill="auto"/>
          </w:tcPr>
          <w:p w14:paraId="576DED4B" w14:textId="77777777" w:rsidR="000369C7" w:rsidRDefault="000369C7" w:rsidP="00C23506">
            <w:pPr>
              <w:keepLines/>
              <w:tabs>
                <w:tab w:val="left" w:pos="150"/>
                <w:tab w:val="left" w:pos="397"/>
                <w:tab w:val="left" w:pos="794"/>
                <w:tab w:val="left" w:pos="1191"/>
              </w:tabs>
              <w:spacing w:before="40" w:after="40"/>
              <w:rPr>
                <w:rFonts w:cs="Segoe UI"/>
                <w:sz w:val="17"/>
                <w:szCs w:val="17"/>
              </w:rPr>
            </w:pPr>
            <w:r>
              <w:rPr>
                <w:rFonts w:cs="Segoe UI"/>
                <w:sz w:val="17"/>
                <w:szCs w:val="17"/>
              </w:rPr>
              <w:t>3</w:t>
            </w:r>
          </w:p>
        </w:tc>
        <w:tc>
          <w:tcPr>
            <w:tcW w:w="8647" w:type="dxa"/>
            <w:shd w:val="clear" w:color="auto" w:fill="auto"/>
          </w:tcPr>
          <w:p w14:paraId="2F353136" w14:textId="3B230D55" w:rsidR="000369C7" w:rsidRPr="009A7FDD" w:rsidRDefault="000369C7" w:rsidP="00C23506">
            <w:pPr>
              <w:keepLines/>
              <w:tabs>
                <w:tab w:val="left" w:pos="150"/>
                <w:tab w:val="left" w:pos="397"/>
                <w:tab w:val="left" w:pos="794"/>
                <w:tab w:val="left" w:pos="1191"/>
              </w:tabs>
              <w:spacing w:before="40" w:after="40"/>
              <w:jc w:val="both"/>
              <w:rPr>
                <w:rFonts w:cs="Segoe UI"/>
                <w:sz w:val="17"/>
                <w:szCs w:val="17"/>
              </w:rPr>
            </w:pPr>
            <w:r w:rsidRPr="009A7FDD">
              <w:rPr>
                <w:rFonts w:cs="Segoe UI"/>
                <w:i/>
                <w:sz w:val="17"/>
                <w:szCs w:val="17"/>
              </w:rPr>
              <w:t>Of which foundation IRB approach</w:t>
            </w:r>
            <w:r w:rsidRPr="009A7FDD">
              <w:rPr>
                <w:rFonts w:cs="Segoe UI"/>
                <w:sz w:val="17"/>
                <w:szCs w:val="17"/>
              </w:rPr>
              <w:t>: RWA and capital requirements for AIs using the foundation IRB approach</w:t>
            </w:r>
            <w:r w:rsidRPr="009A7FDD">
              <w:rPr>
                <w:rFonts w:cs="Segoe UI" w:hint="eastAsia"/>
                <w:sz w:val="17"/>
                <w:szCs w:val="17"/>
              </w:rPr>
              <w:t xml:space="preserve"> </w:t>
            </w:r>
            <w:r w:rsidRPr="009A7FDD">
              <w:rPr>
                <w:rFonts w:cs="Segoe UI"/>
                <w:sz w:val="17"/>
                <w:szCs w:val="17"/>
                <w:lang w:eastAsia="en-GB"/>
              </w:rPr>
              <w:t xml:space="preserve">(“FIRB approach”) </w:t>
            </w:r>
            <w:r w:rsidRPr="009A7FDD">
              <w:rPr>
                <w:rFonts w:cs="Segoe UI"/>
                <w:sz w:val="17"/>
                <w:szCs w:val="17"/>
              </w:rPr>
              <w:t>to calculate their credit risk under the BCR,</w:t>
            </w:r>
            <w:r w:rsidRPr="009A7FDD">
              <w:rPr>
                <w:rFonts w:cs="Segoe UI" w:hint="eastAsia"/>
                <w:sz w:val="17"/>
                <w:szCs w:val="17"/>
              </w:rPr>
              <w:t xml:space="preserve"> </w:t>
            </w:r>
            <w:r w:rsidRPr="009A7FDD">
              <w:rPr>
                <w:rFonts w:cs="Segoe UI"/>
                <w:sz w:val="17"/>
                <w:szCs w:val="17"/>
              </w:rPr>
              <w:t>excluding</w:t>
            </w:r>
            <w:r w:rsidRPr="009A7FDD">
              <w:rPr>
                <w:rFonts w:cs="Segoe UI" w:hint="eastAsia"/>
                <w:sz w:val="17"/>
                <w:szCs w:val="17"/>
              </w:rPr>
              <w:t xml:space="preserve"> </w:t>
            </w:r>
            <w:r w:rsidRPr="009A7FDD">
              <w:rPr>
                <w:rFonts w:cs="Segoe UI"/>
                <w:sz w:val="17"/>
                <w:szCs w:val="17"/>
              </w:rPr>
              <w:t>specialized lending calculated using the supervisory slotting criteria approach (reported in row 4)</w:t>
            </w:r>
            <w:r>
              <w:rPr>
                <w:rFonts w:cs="Segoe UI"/>
                <w:sz w:val="17"/>
                <w:szCs w:val="17"/>
              </w:rPr>
              <w:t xml:space="preserve">, </w:t>
            </w:r>
            <w:r w:rsidRPr="009A7FDD">
              <w:rPr>
                <w:rFonts w:cs="Segoe UI"/>
                <w:sz w:val="17"/>
                <w:szCs w:val="17"/>
              </w:rPr>
              <w:t>retail exposures under the retail IRB approach (reported in row 5a) and other exposures under the specific risk-weight approach (reported in row 5b).</w:t>
            </w:r>
          </w:p>
        </w:tc>
      </w:tr>
      <w:tr w:rsidR="000369C7" w:rsidRPr="004E457E" w14:paraId="12460946" w14:textId="77777777" w:rsidTr="00C23506">
        <w:tc>
          <w:tcPr>
            <w:tcW w:w="567" w:type="dxa"/>
            <w:shd w:val="clear" w:color="auto" w:fill="auto"/>
          </w:tcPr>
          <w:p w14:paraId="6FA1C081" w14:textId="77777777" w:rsidR="000369C7" w:rsidRPr="00384CE5" w:rsidRDefault="000369C7" w:rsidP="00C23506">
            <w:pPr>
              <w:keepLines/>
              <w:tabs>
                <w:tab w:val="left" w:pos="150"/>
                <w:tab w:val="left" w:pos="397"/>
                <w:tab w:val="left" w:pos="794"/>
                <w:tab w:val="left" w:pos="1191"/>
              </w:tabs>
              <w:spacing w:before="40" w:after="40"/>
              <w:rPr>
                <w:rFonts w:cs="Segoe UI"/>
                <w:sz w:val="17"/>
                <w:szCs w:val="17"/>
                <w:highlight w:val="yellow"/>
              </w:rPr>
            </w:pPr>
            <w:r>
              <w:rPr>
                <w:rFonts w:cs="Segoe UI" w:hint="eastAsia"/>
                <w:sz w:val="17"/>
                <w:szCs w:val="17"/>
              </w:rPr>
              <w:t>4</w:t>
            </w:r>
          </w:p>
        </w:tc>
        <w:tc>
          <w:tcPr>
            <w:tcW w:w="8647" w:type="dxa"/>
            <w:shd w:val="clear" w:color="auto" w:fill="auto"/>
          </w:tcPr>
          <w:p w14:paraId="2B630F13" w14:textId="77777777" w:rsidR="000369C7" w:rsidRPr="009A7FDD" w:rsidRDefault="000369C7" w:rsidP="00C23506">
            <w:pPr>
              <w:keepLines/>
              <w:tabs>
                <w:tab w:val="left" w:pos="150"/>
                <w:tab w:val="left" w:pos="397"/>
                <w:tab w:val="left" w:pos="794"/>
                <w:tab w:val="left" w:pos="1191"/>
              </w:tabs>
              <w:spacing w:before="40" w:after="40"/>
              <w:jc w:val="both"/>
              <w:rPr>
                <w:rFonts w:cs="Segoe UI"/>
                <w:sz w:val="17"/>
                <w:szCs w:val="17"/>
              </w:rPr>
            </w:pPr>
            <w:r w:rsidRPr="009A7FDD">
              <w:rPr>
                <w:rFonts w:cs="Segoe UI"/>
                <w:i/>
                <w:sz w:val="17"/>
                <w:szCs w:val="17"/>
              </w:rPr>
              <w:t>Of which supervisory slotting criteria approach</w:t>
            </w:r>
            <w:r w:rsidRPr="009A7FDD">
              <w:rPr>
                <w:rFonts w:cs="Segoe UI" w:hint="eastAsia"/>
                <w:sz w:val="17"/>
                <w:szCs w:val="17"/>
              </w:rPr>
              <w:t xml:space="preserve">: </w:t>
            </w:r>
            <w:r w:rsidRPr="009A7FDD">
              <w:rPr>
                <w:rFonts w:cs="Segoe UI"/>
                <w:sz w:val="17"/>
                <w:szCs w:val="17"/>
              </w:rPr>
              <w:t>RWA and capital requirements of specialized lending calculated using the supervisory slotting criteria approach under the BCR.</w:t>
            </w:r>
          </w:p>
        </w:tc>
      </w:tr>
      <w:tr w:rsidR="000369C7" w:rsidRPr="004E457E" w14:paraId="1D5B5B43" w14:textId="77777777" w:rsidTr="00C23506">
        <w:tc>
          <w:tcPr>
            <w:tcW w:w="567" w:type="dxa"/>
            <w:shd w:val="clear" w:color="auto" w:fill="auto"/>
          </w:tcPr>
          <w:p w14:paraId="23DE6CD7" w14:textId="77777777" w:rsidR="000369C7" w:rsidRPr="00D44754" w:rsidRDefault="000369C7" w:rsidP="00C23506">
            <w:pPr>
              <w:keepLines/>
              <w:tabs>
                <w:tab w:val="left" w:pos="150"/>
                <w:tab w:val="left" w:pos="397"/>
                <w:tab w:val="left" w:pos="794"/>
                <w:tab w:val="left" w:pos="1191"/>
              </w:tabs>
              <w:spacing w:before="40" w:after="40"/>
              <w:rPr>
                <w:rFonts w:cs="Segoe UI"/>
                <w:sz w:val="17"/>
                <w:szCs w:val="17"/>
              </w:rPr>
            </w:pPr>
            <w:r>
              <w:rPr>
                <w:rFonts w:cs="Segoe UI" w:hint="eastAsia"/>
                <w:sz w:val="17"/>
                <w:szCs w:val="17"/>
              </w:rPr>
              <w:t>5</w:t>
            </w:r>
          </w:p>
        </w:tc>
        <w:tc>
          <w:tcPr>
            <w:tcW w:w="8647" w:type="dxa"/>
            <w:shd w:val="clear" w:color="auto" w:fill="auto"/>
          </w:tcPr>
          <w:p w14:paraId="2702469A" w14:textId="22BFB594" w:rsidR="000369C7" w:rsidRPr="009A7FDD" w:rsidRDefault="000369C7" w:rsidP="00C23506">
            <w:pPr>
              <w:keepLines/>
              <w:tabs>
                <w:tab w:val="left" w:pos="150"/>
                <w:tab w:val="left" w:pos="397"/>
                <w:tab w:val="left" w:pos="794"/>
                <w:tab w:val="left" w:pos="1191"/>
              </w:tabs>
              <w:spacing w:before="40" w:after="40"/>
              <w:jc w:val="both"/>
              <w:rPr>
                <w:rFonts w:cs="Segoe UI"/>
                <w:sz w:val="17"/>
                <w:szCs w:val="17"/>
              </w:rPr>
            </w:pPr>
            <w:r w:rsidRPr="009A7FDD">
              <w:rPr>
                <w:rFonts w:cs="Segoe UI"/>
                <w:i/>
                <w:sz w:val="17"/>
                <w:szCs w:val="17"/>
                <w:lang w:eastAsia="en-GB"/>
              </w:rPr>
              <w:t>Of which advanced IRB approach</w:t>
            </w:r>
            <w:r w:rsidRPr="009A7FDD">
              <w:rPr>
                <w:rFonts w:cs="Segoe UI" w:hint="eastAsia"/>
                <w:sz w:val="17"/>
                <w:szCs w:val="17"/>
              </w:rPr>
              <w:t xml:space="preserve">: </w:t>
            </w:r>
            <w:r w:rsidRPr="009A7FDD">
              <w:rPr>
                <w:rFonts w:cs="Segoe UI"/>
                <w:sz w:val="17"/>
                <w:szCs w:val="17"/>
              </w:rPr>
              <w:t>RWA and capital requirements for AIs using the advanced IRB approach</w:t>
            </w:r>
            <w:r w:rsidRPr="009A7FDD">
              <w:rPr>
                <w:rFonts w:cs="Segoe UI" w:hint="eastAsia"/>
                <w:sz w:val="17"/>
                <w:szCs w:val="17"/>
              </w:rPr>
              <w:t xml:space="preserve"> </w:t>
            </w:r>
            <w:r w:rsidRPr="009A7FDD">
              <w:rPr>
                <w:rFonts w:cs="Segoe UI"/>
                <w:sz w:val="17"/>
                <w:szCs w:val="17"/>
              </w:rPr>
              <w:t>(“AIRB approach”) to calculate their credit risk under the BCR,</w:t>
            </w:r>
            <w:r w:rsidRPr="009A7FDD">
              <w:rPr>
                <w:rFonts w:cs="Segoe UI" w:hint="eastAsia"/>
                <w:sz w:val="17"/>
                <w:szCs w:val="17"/>
              </w:rPr>
              <w:t xml:space="preserve"> </w:t>
            </w:r>
            <w:r w:rsidRPr="009A7FDD">
              <w:rPr>
                <w:rFonts w:cs="Segoe UI"/>
                <w:sz w:val="17"/>
                <w:szCs w:val="17"/>
              </w:rPr>
              <w:t>excluding</w:t>
            </w:r>
            <w:r w:rsidRPr="009A7FDD">
              <w:rPr>
                <w:rFonts w:cs="Segoe UI" w:hint="eastAsia"/>
                <w:sz w:val="17"/>
                <w:szCs w:val="17"/>
              </w:rPr>
              <w:t xml:space="preserve"> </w:t>
            </w:r>
            <w:r w:rsidRPr="009A7FDD">
              <w:rPr>
                <w:rFonts w:cs="Segoe UI"/>
                <w:sz w:val="17"/>
                <w:szCs w:val="17"/>
              </w:rPr>
              <w:t>specialized lending calculated using the supervisory slotting criteria approach (reported in row 4)</w:t>
            </w:r>
            <w:r>
              <w:rPr>
                <w:rFonts w:cs="Segoe UI"/>
                <w:sz w:val="17"/>
                <w:szCs w:val="17"/>
              </w:rPr>
              <w:t xml:space="preserve">, </w:t>
            </w:r>
            <w:r w:rsidRPr="009A7FDD">
              <w:rPr>
                <w:rFonts w:cs="Segoe UI"/>
                <w:sz w:val="17"/>
                <w:szCs w:val="17"/>
              </w:rPr>
              <w:t>retail exposures under the retail IRB approach (reported in row 5a) and other exposures under the specific risk-weight approach (reported in row 5b).</w:t>
            </w:r>
          </w:p>
        </w:tc>
      </w:tr>
      <w:tr w:rsidR="000369C7" w:rsidRPr="004E457E" w14:paraId="443FDD1B" w14:textId="77777777" w:rsidTr="00C23506">
        <w:tc>
          <w:tcPr>
            <w:tcW w:w="567" w:type="dxa"/>
            <w:shd w:val="clear" w:color="auto" w:fill="auto"/>
          </w:tcPr>
          <w:p w14:paraId="54C8E099" w14:textId="77777777" w:rsidR="000369C7" w:rsidRPr="009A7FDD" w:rsidRDefault="000369C7" w:rsidP="00C23506">
            <w:pPr>
              <w:keepLines/>
              <w:tabs>
                <w:tab w:val="left" w:pos="150"/>
                <w:tab w:val="left" w:pos="397"/>
                <w:tab w:val="left" w:pos="794"/>
                <w:tab w:val="left" w:pos="1191"/>
              </w:tabs>
              <w:spacing w:before="40" w:after="40"/>
              <w:rPr>
                <w:rFonts w:cs="Segoe UI"/>
                <w:sz w:val="17"/>
                <w:szCs w:val="17"/>
              </w:rPr>
            </w:pPr>
            <w:r w:rsidRPr="009A7FDD">
              <w:rPr>
                <w:rFonts w:cs="Segoe UI"/>
                <w:sz w:val="17"/>
                <w:szCs w:val="17"/>
              </w:rPr>
              <w:t>5a</w:t>
            </w:r>
          </w:p>
        </w:tc>
        <w:tc>
          <w:tcPr>
            <w:tcW w:w="8647" w:type="dxa"/>
            <w:shd w:val="clear" w:color="auto" w:fill="auto"/>
          </w:tcPr>
          <w:p w14:paraId="395D1D75" w14:textId="77777777" w:rsidR="000369C7" w:rsidRPr="009A7FDD" w:rsidRDefault="000369C7" w:rsidP="00C23506">
            <w:pPr>
              <w:keepLines/>
              <w:tabs>
                <w:tab w:val="left" w:pos="150"/>
                <w:tab w:val="left" w:pos="397"/>
                <w:tab w:val="left" w:pos="794"/>
                <w:tab w:val="left" w:pos="1191"/>
              </w:tabs>
              <w:spacing w:before="40" w:after="40"/>
              <w:jc w:val="both"/>
              <w:rPr>
                <w:rFonts w:cs="Segoe UI"/>
                <w:i/>
                <w:sz w:val="17"/>
                <w:szCs w:val="17"/>
              </w:rPr>
            </w:pPr>
            <w:r w:rsidRPr="009A7FDD">
              <w:rPr>
                <w:rFonts w:cs="Segoe UI"/>
                <w:i/>
                <w:sz w:val="17"/>
                <w:szCs w:val="17"/>
                <w:lang w:eastAsia="en-GB"/>
              </w:rPr>
              <w:t>Of which retail IRB approach</w:t>
            </w:r>
            <w:r w:rsidRPr="009A7FDD">
              <w:rPr>
                <w:rFonts w:cs="Segoe UI"/>
                <w:sz w:val="17"/>
                <w:szCs w:val="17"/>
                <w:lang w:eastAsia="en-GB"/>
              </w:rPr>
              <w:t xml:space="preserve">: </w:t>
            </w:r>
            <w:r w:rsidRPr="009A7FDD">
              <w:rPr>
                <w:rFonts w:cs="Segoe UI"/>
                <w:sz w:val="17"/>
                <w:szCs w:val="17"/>
              </w:rPr>
              <w:t>RWA and capital requirements for AIs using the retail IRB approach to calculate their credit risk under the BCR.</w:t>
            </w:r>
          </w:p>
        </w:tc>
      </w:tr>
      <w:tr w:rsidR="000369C7" w:rsidRPr="004E457E" w14:paraId="422E0DCB" w14:textId="77777777" w:rsidTr="00C23506">
        <w:tc>
          <w:tcPr>
            <w:tcW w:w="567" w:type="dxa"/>
            <w:shd w:val="clear" w:color="auto" w:fill="auto"/>
          </w:tcPr>
          <w:p w14:paraId="61123936" w14:textId="77777777" w:rsidR="000369C7" w:rsidRPr="009A7FDD" w:rsidRDefault="000369C7" w:rsidP="00C23506">
            <w:pPr>
              <w:keepLines/>
              <w:tabs>
                <w:tab w:val="left" w:pos="150"/>
                <w:tab w:val="left" w:pos="397"/>
                <w:tab w:val="left" w:pos="794"/>
                <w:tab w:val="left" w:pos="1191"/>
              </w:tabs>
              <w:spacing w:before="40" w:after="40"/>
              <w:rPr>
                <w:rFonts w:cs="Segoe UI"/>
                <w:sz w:val="17"/>
                <w:szCs w:val="17"/>
              </w:rPr>
            </w:pPr>
            <w:r w:rsidRPr="009A7FDD">
              <w:rPr>
                <w:rFonts w:cs="Segoe UI"/>
                <w:sz w:val="17"/>
                <w:szCs w:val="17"/>
              </w:rPr>
              <w:t>5b</w:t>
            </w:r>
          </w:p>
        </w:tc>
        <w:tc>
          <w:tcPr>
            <w:tcW w:w="8647" w:type="dxa"/>
            <w:shd w:val="clear" w:color="auto" w:fill="auto"/>
          </w:tcPr>
          <w:p w14:paraId="1329B5BF" w14:textId="77777777" w:rsidR="000369C7" w:rsidRPr="009A7FDD" w:rsidRDefault="000369C7" w:rsidP="00C23506">
            <w:pPr>
              <w:keepLines/>
              <w:tabs>
                <w:tab w:val="left" w:pos="150"/>
                <w:tab w:val="left" w:pos="397"/>
                <w:tab w:val="left" w:pos="794"/>
                <w:tab w:val="left" w:pos="1191"/>
              </w:tabs>
              <w:spacing w:before="40" w:after="40"/>
              <w:jc w:val="both"/>
              <w:rPr>
                <w:rFonts w:cs="Segoe UI"/>
                <w:i/>
                <w:sz w:val="17"/>
                <w:szCs w:val="17"/>
              </w:rPr>
            </w:pPr>
            <w:r w:rsidRPr="009A7FDD">
              <w:rPr>
                <w:rFonts w:cs="Segoe UI"/>
                <w:i/>
                <w:sz w:val="17"/>
                <w:szCs w:val="17"/>
                <w:lang w:eastAsia="en-GB"/>
              </w:rPr>
              <w:t>Of which specific risk-weight approach</w:t>
            </w:r>
            <w:r w:rsidRPr="009A7FDD">
              <w:rPr>
                <w:rFonts w:cs="Segoe UI"/>
                <w:sz w:val="17"/>
                <w:szCs w:val="17"/>
                <w:lang w:eastAsia="en-GB"/>
              </w:rPr>
              <w:t xml:space="preserve">: </w:t>
            </w:r>
            <w:r w:rsidRPr="009A7FDD">
              <w:rPr>
                <w:rFonts w:cs="Segoe UI"/>
                <w:sz w:val="17"/>
                <w:szCs w:val="17"/>
              </w:rPr>
              <w:t>RWA and capital requirements for AIs using the specific risk-weight approach to calculate their credit risk under the BCR.</w:t>
            </w:r>
          </w:p>
        </w:tc>
      </w:tr>
      <w:tr w:rsidR="000369C7" w:rsidRPr="004E457E" w14:paraId="5099E67E" w14:textId="77777777" w:rsidTr="00C23506">
        <w:tc>
          <w:tcPr>
            <w:tcW w:w="567" w:type="dxa"/>
            <w:shd w:val="clear" w:color="auto" w:fill="auto"/>
          </w:tcPr>
          <w:p w14:paraId="7BD4016E" w14:textId="77777777" w:rsidR="000369C7" w:rsidRPr="00983D3E" w:rsidRDefault="000369C7" w:rsidP="00C23506">
            <w:pPr>
              <w:keepLines/>
              <w:tabs>
                <w:tab w:val="left" w:pos="150"/>
                <w:tab w:val="left" w:pos="397"/>
                <w:tab w:val="left" w:pos="794"/>
                <w:tab w:val="left" w:pos="1191"/>
              </w:tabs>
              <w:spacing w:before="40" w:after="40"/>
              <w:rPr>
                <w:rFonts w:cs="Segoe UI"/>
                <w:sz w:val="17"/>
                <w:szCs w:val="17"/>
                <w:highlight w:val="yellow"/>
              </w:rPr>
            </w:pPr>
            <w:r w:rsidRPr="00D44754">
              <w:rPr>
                <w:rFonts w:cs="Segoe UI" w:hint="eastAsia"/>
                <w:sz w:val="17"/>
                <w:szCs w:val="17"/>
              </w:rPr>
              <w:t>6</w:t>
            </w:r>
          </w:p>
        </w:tc>
        <w:tc>
          <w:tcPr>
            <w:tcW w:w="8647" w:type="dxa"/>
            <w:shd w:val="clear" w:color="auto" w:fill="auto"/>
          </w:tcPr>
          <w:p w14:paraId="0F47CD41" w14:textId="6D1CACE8" w:rsidR="000369C7" w:rsidRPr="00421E07" w:rsidRDefault="000369C7" w:rsidP="00C23506">
            <w:pPr>
              <w:keepLines/>
              <w:tabs>
                <w:tab w:val="left" w:pos="150"/>
                <w:tab w:val="left" w:pos="397"/>
                <w:tab w:val="left" w:pos="794"/>
                <w:tab w:val="left" w:pos="1191"/>
              </w:tabs>
              <w:spacing w:before="40" w:after="40"/>
              <w:jc w:val="both"/>
              <w:rPr>
                <w:rFonts w:cs="Segoe UI"/>
                <w:sz w:val="17"/>
                <w:szCs w:val="17"/>
              </w:rPr>
            </w:pPr>
            <w:r w:rsidRPr="005B5690">
              <w:rPr>
                <w:i/>
                <w:sz w:val="17"/>
              </w:rPr>
              <w:t>Counterparty credit risk</w:t>
            </w:r>
            <w:r>
              <w:rPr>
                <w:rFonts w:cs="Segoe UI"/>
                <w:i/>
                <w:sz w:val="17"/>
                <w:szCs w:val="17"/>
              </w:rPr>
              <w:t xml:space="preserve"> and default fund contributions</w:t>
            </w:r>
            <w:r w:rsidRPr="004E457E">
              <w:rPr>
                <w:rFonts w:cs="Segoe UI"/>
                <w:sz w:val="17"/>
                <w:szCs w:val="17"/>
              </w:rPr>
              <w:t xml:space="preserve">: RWA and capital requirements for </w:t>
            </w:r>
            <w:r w:rsidRPr="005B5690">
              <w:rPr>
                <w:sz w:val="17"/>
              </w:rPr>
              <w:t>counterparty credit risk</w:t>
            </w:r>
            <w:r w:rsidRPr="004E457E">
              <w:rPr>
                <w:rFonts w:cs="Segoe UI"/>
                <w:sz w:val="17"/>
                <w:szCs w:val="17"/>
              </w:rPr>
              <w:t xml:space="preserve"> (including</w:t>
            </w:r>
            <w:r>
              <w:rPr>
                <w:rFonts w:cs="Segoe UI"/>
                <w:sz w:val="17"/>
                <w:szCs w:val="17"/>
              </w:rPr>
              <w:t xml:space="preserve"> such a risk </w:t>
            </w:r>
            <w:r w:rsidRPr="004E457E">
              <w:rPr>
                <w:rFonts w:cs="Segoe UI"/>
                <w:sz w:val="17"/>
                <w:szCs w:val="17"/>
              </w:rPr>
              <w:t xml:space="preserve">to CCPs) </w:t>
            </w:r>
            <w:r>
              <w:rPr>
                <w:rFonts w:cs="Segoe UI"/>
                <w:sz w:val="17"/>
                <w:szCs w:val="17"/>
              </w:rPr>
              <w:t xml:space="preserve">and default fund contributions, </w:t>
            </w:r>
            <w:r w:rsidRPr="004E457E">
              <w:rPr>
                <w:rFonts w:cs="Segoe UI"/>
                <w:sz w:val="17"/>
                <w:szCs w:val="17"/>
              </w:rPr>
              <w:t>calcul</w:t>
            </w:r>
            <w:r>
              <w:rPr>
                <w:rFonts w:cs="Segoe UI"/>
                <w:sz w:val="17"/>
                <w:szCs w:val="17"/>
              </w:rPr>
              <w:t xml:space="preserve">ated in accordance with the BCR </w:t>
            </w:r>
            <w:r w:rsidRPr="00383487">
              <w:rPr>
                <w:rFonts w:cs="Segoe UI"/>
                <w:sz w:val="17"/>
                <w:szCs w:val="17"/>
              </w:rPr>
              <w:t xml:space="preserve">as reported </w:t>
            </w:r>
            <w:r w:rsidRPr="00CA7E7C">
              <w:rPr>
                <w:rFonts w:cs="Segoe UI"/>
                <w:sz w:val="17"/>
                <w:szCs w:val="17"/>
              </w:rPr>
              <w:t>in Part IV</w:t>
            </w:r>
            <w:r w:rsidRPr="00B74492">
              <w:rPr>
                <w:rFonts w:cs="Segoe UI"/>
                <w:sz w:val="17"/>
                <w:szCs w:val="17"/>
              </w:rPr>
              <w:t xml:space="preserve"> of</w:t>
            </w:r>
            <w:r w:rsidRPr="00383487">
              <w:rPr>
                <w:rFonts w:cs="Segoe UI"/>
                <w:sz w:val="17"/>
                <w:szCs w:val="17"/>
              </w:rPr>
              <w:t xml:space="preserve"> this document.</w:t>
            </w:r>
            <w:r w:rsidRPr="00FE4698">
              <w:rPr>
                <w:rFonts w:cs="Segoe UI" w:hint="eastAsia"/>
                <w:sz w:val="17"/>
                <w:szCs w:val="17"/>
              </w:rPr>
              <w:t xml:space="preserve">  </w:t>
            </w:r>
            <w:r w:rsidRPr="00FE4698">
              <w:rPr>
                <w:rFonts w:cs="Segoe UI"/>
                <w:sz w:val="17"/>
                <w:szCs w:val="17"/>
              </w:rPr>
              <w:t>The value in [OV1:6/a] is equal to the sum of values in [CCR1:6/f], [CCR8:1/b] and [CCR8:11/b].</w:t>
            </w:r>
          </w:p>
        </w:tc>
      </w:tr>
      <w:tr w:rsidR="000369C7" w:rsidRPr="004E457E" w14:paraId="0EB6BC52" w14:textId="77777777" w:rsidTr="00C23506">
        <w:tc>
          <w:tcPr>
            <w:tcW w:w="567" w:type="dxa"/>
            <w:shd w:val="clear" w:color="auto" w:fill="auto"/>
          </w:tcPr>
          <w:p w14:paraId="3B2C4C3C" w14:textId="77777777" w:rsidR="000369C7" w:rsidRPr="00CA570C" w:rsidRDefault="000369C7" w:rsidP="00C23506">
            <w:pPr>
              <w:keepLines/>
              <w:tabs>
                <w:tab w:val="left" w:pos="150"/>
                <w:tab w:val="left" w:pos="397"/>
                <w:tab w:val="left" w:pos="794"/>
                <w:tab w:val="left" w:pos="1191"/>
              </w:tabs>
              <w:spacing w:before="40" w:after="40"/>
              <w:rPr>
                <w:rFonts w:cs="Segoe UI"/>
                <w:sz w:val="17"/>
                <w:szCs w:val="17"/>
                <w:highlight w:val="yellow"/>
              </w:rPr>
            </w:pPr>
            <w:r>
              <w:rPr>
                <w:rFonts w:cs="Segoe UI" w:hint="eastAsia"/>
                <w:sz w:val="17"/>
                <w:szCs w:val="17"/>
              </w:rPr>
              <w:t>7</w:t>
            </w:r>
          </w:p>
        </w:tc>
        <w:tc>
          <w:tcPr>
            <w:tcW w:w="8647" w:type="dxa"/>
            <w:shd w:val="clear" w:color="auto" w:fill="auto"/>
          </w:tcPr>
          <w:p w14:paraId="2D75792F" w14:textId="77777777" w:rsidR="000369C7" w:rsidRPr="00D27159" w:rsidRDefault="000369C7" w:rsidP="00C23506">
            <w:pPr>
              <w:keepLines/>
              <w:tabs>
                <w:tab w:val="left" w:pos="397"/>
                <w:tab w:val="left" w:pos="794"/>
                <w:tab w:val="left" w:pos="1191"/>
              </w:tabs>
              <w:spacing w:before="40" w:after="40"/>
              <w:jc w:val="both"/>
              <w:rPr>
                <w:rFonts w:cs="Segoe UI"/>
                <w:sz w:val="17"/>
                <w:szCs w:val="17"/>
                <w:lang w:eastAsia="en-GB"/>
              </w:rPr>
            </w:pPr>
            <w:r w:rsidRPr="00D27159">
              <w:rPr>
                <w:rFonts w:cs="Segoe UI"/>
                <w:i/>
                <w:sz w:val="17"/>
                <w:szCs w:val="17"/>
                <w:lang w:eastAsia="en-GB"/>
              </w:rPr>
              <w:t>Of which SA-CCR approach</w:t>
            </w:r>
            <w:r w:rsidRPr="00D27159">
              <w:rPr>
                <w:rFonts w:cs="Segoe UI"/>
                <w:sz w:val="17"/>
                <w:szCs w:val="17"/>
                <w:lang w:eastAsia="en-GB"/>
              </w:rPr>
              <w:t xml:space="preserve">: </w:t>
            </w:r>
            <w:r w:rsidRPr="00D27159">
              <w:rPr>
                <w:rFonts w:cs="Segoe UI"/>
                <w:sz w:val="17"/>
                <w:szCs w:val="17"/>
              </w:rPr>
              <w:t xml:space="preserve">RWA calculated based on the amount of default risk exposures calculated under the SA-CCR approach. </w:t>
            </w:r>
            <w:r w:rsidRPr="00D27159">
              <w:rPr>
                <w:rFonts w:cs="Segoe UI"/>
                <w:sz w:val="17"/>
                <w:szCs w:val="17"/>
                <w:lang w:eastAsia="en-GB"/>
              </w:rPr>
              <w:t xml:space="preserve"> The value in [OV1:7/a] should be equal to</w:t>
            </w:r>
            <w:r w:rsidRPr="00D27159">
              <w:rPr>
                <w:sz w:val="17"/>
              </w:rPr>
              <w:t xml:space="preserve"> the </w:t>
            </w:r>
            <w:r w:rsidRPr="00D27159">
              <w:rPr>
                <w:rFonts w:cs="Segoe UI"/>
                <w:sz w:val="17"/>
                <w:szCs w:val="17"/>
                <w:lang w:eastAsia="en-GB"/>
              </w:rPr>
              <w:t>value in [CCR1: 1/f].</w:t>
            </w:r>
          </w:p>
        </w:tc>
      </w:tr>
      <w:tr w:rsidR="000369C7" w:rsidRPr="004E457E" w14:paraId="771C8D13" w14:textId="77777777" w:rsidTr="00C23506">
        <w:tc>
          <w:tcPr>
            <w:tcW w:w="567" w:type="dxa"/>
            <w:shd w:val="clear" w:color="auto" w:fill="auto"/>
          </w:tcPr>
          <w:p w14:paraId="13634AC4" w14:textId="77777777" w:rsidR="000369C7" w:rsidRPr="00CA570C" w:rsidRDefault="000369C7" w:rsidP="00C23506">
            <w:pPr>
              <w:keepLines/>
              <w:tabs>
                <w:tab w:val="left" w:pos="150"/>
                <w:tab w:val="left" w:pos="397"/>
                <w:tab w:val="left" w:pos="794"/>
                <w:tab w:val="left" w:pos="1191"/>
              </w:tabs>
              <w:spacing w:before="40" w:after="40"/>
              <w:rPr>
                <w:rFonts w:cs="Segoe UI"/>
                <w:sz w:val="17"/>
                <w:szCs w:val="17"/>
                <w:highlight w:val="yellow"/>
              </w:rPr>
            </w:pPr>
            <w:r w:rsidRPr="00CA570C">
              <w:rPr>
                <w:rFonts w:cs="Segoe UI"/>
                <w:sz w:val="17"/>
                <w:szCs w:val="17"/>
              </w:rPr>
              <w:t>7</w:t>
            </w:r>
            <w:r>
              <w:rPr>
                <w:rFonts w:cs="Segoe UI" w:hint="eastAsia"/>
                <w:sz w:val="17"/>
                <w:szCs w:val="17"/>
              </w:rPr>
              <w:t>a</w:t>
            </w:r>
          </w:p>
        </w:tc>
        <w:tc>
          <w:tcPr>
            <w:tcW w:w="8647" w:type="dxa"/>
            <w:shd w:val="clear" w:color="auto" w:fill="auto"/>
          </w:tcPr>
          <w:p w14:paraId="633804C9" w14:textId="77777777" w:rsidR="000369C7" w:rsidRPr="00D27159" w:rsidRDefault="000369C7" w:rsidP="00C23506">
            <w:pPr>
              <w:keepLines/>
              <w:tabs>
                <w:tab w:val="left" w:pos="397"/>
                <w:tab w:val="left" w:pos="794"/>
                <w:tab w:val="left" w:pos="1191"/>
              </w:tabs>
              <w:spacing w:before="40" w:after="40"/>
              <w:jc w:val="both"/>
              <w:rPr>
                <w:rFonts w:cs="Segoe UI"/>
                <w:i/>
                <w:sz w:val="17"/>
                <w:szCs w:val="17"/>
                <w:lang w:eastAsia="en-GB"/>
              </w:rPr>
            </w:pPr>
            <w:r w:rsidRPr="00D27159">
              <w:rPr>
                <w:rFonts w:cs="Segoe UI"/>
                <w:i/>
                <w:sz w:val="17"/>
                <w:szCs w:val="17"/>
                <w:lang w:eastAsia="en-GB"/>
              </w:rPr>
              <w:t>Of which CEM</w:t>
            </w:r>
            <w:r w:rsidRPr="00D27159">
              <w:rPr>
                <w:rFonts w:cs="Segoe UI"/>
                <w:sz w:val="17"/>
                <w:szCs w:val="17"/>
                <w:lang w:eastAsia="en-GB"/>
              </w:rPr>
              <w:t xml:space="preserve">: </w:t>
            </w:r>
            <w:r w:rsidRPr="00D27159">
              <w:rPr>
                <w:rFonts w:cs="Segoe UI"/>
                <w:sz w:val="17"/>
                <w:szCs w:val="17"/>
              </w:rPr>
              <w:t>RWA calculated based on the amount of default risk exposures calculated under the CEM, and the capital requirement calculated based on the RWA</w:t>
            </w:r>
            <w:r w:rsidRPr="00D27159">
              <w:rPr>
                <w:rFonts w:cs="Segoe UI" w:hint="eastAsia"/>
                <w:sz w:val="17"/>
                <w:szCs w:val="17"/>
              </w:rPr>
              <w:t>.</w:t>
            </w:r>
            <w:r w:rsidRPr="00D27159">
              <w:rPr>
                <w:rFonts w:cs="Segoe UI"/>
                <w:sz w:val="17"/>
                <w:szCs w:val="17"/>
              </w:rPr>
              <w:t xml:space="preserve">  The value in [OV1:7a/a] is equal to the value in [CCR1:1a/f].</w:t>
            </w:r>
          </w:p>
        </w:tc>
      </w:tr>
      <w:tr w:rsidR="000369C7" w:rsidRPr="004E457E" w14:paraId="7249F315" w14:textId="77777777" w:rsidTr="00C23506">
        <w:tc>
          <w:tcPr>
            <w:tcW w:w="567" w:type="dxa"/>
            <w:shd w:val="clear" w:color="auto" w:fill="auto"/>
          </w:tcPr>
          <w:p w14:paraId="1D5D0DFC" w14:textId="77777777" w:rsidR="000369C7" w:rsidRPr="00622192" w:rsidRDefault="000369C7" w:rsidP="00C23506">
            <w:pPr>
              <w:keepLines/>
              <w:tabs>
                <w:tab w:val="left" w:pos="150"/>
                <w:tab w:val="left" w:pos="397"/>
                <w:tab w:val="left" w:pos="794"/>
                <w:tab w:val="left" w:pos="1191"/>
              </w:tabs>
              <w:spacing w:before="40" w:after="40"/>
              <w:rPr>
                <w:rFonts w:cs="Segoe UI"/>
                <w:sz w:val="17"/>
                <w:szCs w:val="17"/>
                <w:highlight w:val="yellow"/>
              </w:rPr>
            </w:pPr>
            <w:r w:rsidRPr="00F00CD5">
              <w:rPr>
                <w:rFonts w:cs="Segoe UI"/>
                <w:sz w:val="17"/>
                <w:szCs w:val="17"/>
              </w:rPr>
              <w:t>8</w:t>
            </w:r>
          </w:p>
        </w:tc>
        <w:tc>
          <w:tcPr>
            <w:tcW w:w="8647" w:type="dxa"/>
            <w:shd w:val="clear" w:color="auto" w:fill="auto"/>
          </w:tcPr>
          <w:p w14:paraId="15EE4E99" w14:textId="77777777" w:rsidR="000369C7" w:rsidRPr="004E457E" w:rsidRDefault="000369C7" w:rsidP="00C23506">
            <w:pPr>
              <w:keepLines/>
              <w:tabs>
                <w:tab w:val="left" w:pos="397"/>
                <w:tab w:val="left" w:pos="794"/>
                <w:tab w:val="left" w:pos="1191"/>
              </w:tabs>
              <w:spacing w:before="40" w:after="40"/>
              <w:jc w:val="both"/>
              <w:rPr>
                <w:rFonts w:cs="Segoe UI"/>
                <w:sz w:val="17"/>
                <w:szCs w:val="17"/>
                <w:lang w:eastAsia="en-GB"/>
              </w:rPr>
            </w:pPr>
            <w:r w:rsidRPr="00156333">
              <w:rPr>
                <w:rFonts w:cs="Segoe UI"/>
                <w:i/>
                <w:sz w:val="17"/>
                <w:szCs w:val="17"/>
                <w:lang w:eastAsia="en-GB"/>
              </w:rPr>
              <w:t>Of which IMM(CCR) approach</w:t>
            </w:r>
            <w:r w:rsidRPr="004E457E">
              <w:rPr>
                <w:rFonts w:cs="Segoe UI"/>
                <w:sz w:val="17"/>
                <w:szCs w:val="17"/>
                <w:lang w:eastAsia="en-GB"/>
              </w:rPr>
              <w:t xml:space="preserve">: </w:t>
            </w:r>
            <w:r w:rsidRPr="004E457E">
              <w:rPr>
                <w:rFonts w:cs="Segoe UI"/>
                <w:sz w:val="17"/>
                <w:szCs w:val="17"/>
              </w:rPr>
              <w:t>RWA calculated based on the amount of default risk exposures calculated under the IMM(CCR) approach, and the capital requirem</w:t>
            </w:r>
            <w:r>
              <w:rPr>
                <w:rFonts w:cs="Segoe UI"/>
                <w:sz w:val="17"/>
                <w:szCs w:val="17"/>
              </w:rPr>
              <w:t>ent calculated based on the RWA</w:t>
            </w:r>
            <w:r>
              <w:rPr>
                <w:rFonts w:cs="Segoe UI" w:hint="eastAsia"/>
                <w:sz w:val="17"/>
                <w:szCs w:val="17"/>
              </w:rPr>
              <w:t xml:space="preserve">.  </w:t>
            </w:r>
            <w:r w:rsidRPr="004E457E">
              <w:rPr>
                <w:rFonts w:cs="Segoe UI"/>
                <w:sz w:val="17"/>
                <w:szCs w:val="17"/>
              </w:rPr>
              <w:t xml:space="preserve">The value in </w:t>
            </w:r>
            <w:r w:rsidRPr="00421E07">
              <w:rPr>
                <w:rFonts w:cs="Segoe UI"/>
                <w:sz w:val="17"/>
                <w:szCs w:val="17"/>
              </w:rPr>
              <w:t xml:space="preserve">[OV1:8/a] is equal to </w:t>
            </w:r>
            <w:r>
              <w:rPr>
                <w:rFonts w:cs="Segoe UI"/>
                <w:sz w:val="17"/>
                <w:szCs w:val="17"/>
              </w:rPr>
              <w:t xml:space="preserve">the value </w:t>
            </w:r>
            <w:r w:rsidRPr="00D27159">
              <w:rPr>
                <w:rFonts w:cs="Segoe UI"/>
                <w:sz w:val="17"/>
                <w:szCs w:val="17"/>
              </w:rPr>
              <w:t>in [CCR1:2/f] and the value in [CCR7:9/a].</w:t>
            </w:r>
          </w:p>
        </w:tc>
      </w:tr>
      <w:tr w:rsidR="000369C7" w:rsidRPr="004147BF" w14:paraId="3E97280E" w14:textId="77777777" w:rsidTr="00C23506">
        <w:tc>
          <w:tcPr>
            <w:tcW w:w="567" w:type="dxa"/>
            <w:shd w:val="clear" w:color="auto" w:fill="auto"/>
          </w:tcPr>
          <w:p w14:paraId="19FF72FA" w14:textId="77777777" w:rsidR="000369C7" w:rsidRPr="00012673" w:rsidRDefault="000369C7" w:rsidP="00C23506">
            <w:pPr>
              <w:keepLines/>
              <w:tabs>
                <w:tab w:val="left" w:pos="150"/>
                <w:tab w:val="left" w:pos="397"/>
                <w:tab w:val="left" w:pos="794"/>
                <w:tab w:val="left" w:pos="1191"/>
              </w:tabs>
              <w:spacing w:before="40" w:after="40"/>
              <w:rPr>
                <w:rFonts w:cs="Segoe UI"/>
                <w:sz w:val="17"/>
                <w:szCs w:val="17"/>
              </w:rPr>
            </w:pPr>
            <w:r>
              <w:rPr>
                <w:rFonts w:cs="Segoe UI"/>
                <w:sz w:val="17"/>
                <w:szCs w:val="17"/>
              </w:rPr>
              <w:t>9</w:t>
            </w:r>
          </w:p>
        </w:tc>
        <w:tc>
          <w:tcPr>
            <w:tcW w:w="8647" w:type="dxa"/>
            <w:shd w:val="clear" w:color="auto" w:fill="auto"/>
          </w:tcPr>
          <w:p w14:paraId="1177DE48" w14:textId="3FAC9C28" w:rsidR="000369C7" w:rsidRPr="001E63E7" w:rsidRDefault="000369C7" w:rsidP="00C23506">
            <w:pPr>
              <w:keepLines/>
              <w:tabs>
                <w:tab w:val="left" w:pos="397"/>
                <w:tab w:val="left" w:pos="794"/>
                <w:tab w:val="left" w:pos="1191"/>
              </w:tabs>
              <w:spacing w:before="40" w:after="40"/>
              <w:jc w:val="both"/>
            </w:pPr>
            <w:r w:rsidRPr="00FE4698">
              <w:rPr>
                <w:rFonts w:cs="Segoe UI"/>
                <w:i/>
                <w:sz w:val="17"/>
                <w:szCs w:val="17"/>
                <w:lang w:eastAsia="en-GB"/>
              </w:rPr>
              <w:t>Of which others</w:t>
            </w:r>
            <w:r w:rsidRPr="00FE4698">
              <w:rPr>
                <w:rFonts w:cs="Segoe UI"/>
                <w:sz w:val="17"/>
                <w:szCs w:val="17"/>
                <w:lang w:eastAsia="en-GB"/>
              </w:rPr>
              <w:t xml:space="preserve">: </w:t>
            </w:r>
            <w:r w:rsidRPr="00FE4698">
              <w:rPr>
                <w:rFonts w:cs="Segoe UI"/>
                <w:sz w:val="17"/>
                <w:szCs w:val="17"/>
              </w:rPr>
              <w:t xml:space="preserve">RWA and capital requirements for the items calculated in accordance with the BCR by using methods other than those falling under rows 7 </w:t>
            </w:r>
            <w:r>
              <w:rPr>
                <w:rFonts w:cs="Segoe UI"/>
                <w:sz w:val="17"/>
                <w:szCs w:val="17"/>
              </w:rPr>
              <w:t>to</w:t>
            </w:r>
            <w:r w:rsidRPr="00FE4698">
              <w:rPr>
                <w:rFonts w:cs="Segoe UI"/>
                <w:sz w:val="17"/>
                <w:szCs w:val="17"/>
              </w:rPr>
              <w:t xml:space="preserve"> 8 above as reported in Part IV of this document</w:t>
            </w:r>
            <w:r>
              <w:rPr>
                <w:rFonts w:cs="Segoe UI"/>
                <w:sz w:val="17"/>
                <w:szCs w:val="17"/>
              </w:rPr>
              <w:t>.</w:t>
            </w:r>
          </w:p>
        </w:tc>
      </w:tr>
      <w:tr w:rsidR="000369C7" w:rsidRPr="004E457E" w14:paraId="7B4DE7E0" w14:textId="77777777" w:rsidTr="00C23506">
        <w:tc>
          <w:tcPr>
            <w:tcW w:w="567" w:type="dxa"/>
            <w:shd w:val="clear" w:color="auto" w:fill="auto"/>
          </w:tcPr>
          <w:p w14:paraId="47E87365" w14:textId="77777777" w:rsidR="000369C7" w:rsidRPr="00012673" w:rsidRDefault="000369C7" w:rsidP="00C23506">
            <w:pPr>
              <w:keepLines/>
              <w:tabs>
                <w:tab w:val="left" w:pos="150"/>
                <w:tab w:val="left" w:pos="397"/>
                <w:tab w:val="left" w:pos="794"/>
                <w:tab w:val="left" w:pos="1191"/>
              </w:tabs>
              <w:spacing w:before="40" w:after="40"/>
              <w:rPr>
                <w:rFonts w:cs="Segoe UI"/>
                <w:sz w:val="17"/>
                <w:szCs w:val="17"/>
              </w:rPr>
            </w:pPr>
            <w:r w:rsidRPr="00012673">
              <w:rPr>
                <w:rFonts w:cs="Segoe UI"/>
                <w:sz w:val="17"/>
                <w:szCs w:val="17"/>
              </w:rPr>
              <w:t>10</w:t>
            </w:r>
          </w:p>
        </w:tc>
        <w:tc>
          <w:tcPr>
            <w:tcW w:w="8647" w:type="dxa"/>
            <w:shd w:val="clear" w:color="auto" w:fill="auto"/>
          </w:tcPr>
          <w:p w14:paraId="3B9FC4CE" w14:textId="08E624B9" w:rsidR="000369C7" w:rsidRPr="00FE4698" w:rsidRDefault="000369C7" w:rsidP="00326FDF">
            <w:pPr>
              <w:keepLines/>
              <w:tabs>
                <w:tab w:val="left" w:pos="397"/>
                <w:tab w:val="left" w:pos="794"/>
                <w:tab w:val="left" w:pos="1191"/>
              </w:tabs>
              <w:spacing w:before="40" w:after="40"/>
              <w:jc w:val="both"/>
              <w:rPr>
                <w:rFonts w:cs="Segoe UI"/>
                <w:sz w:val="17"/>
                <w:szCs w:val="17"/>
                <w:lang w:eastAsia="en-GB"/>
              </w:rPr>
            </w:pPr>
            <w:r w:rsidRPr="00FE4698">
              <w:rPr>
                <w:rFonts w:cs="Segoe UI"/>
                <w:i/>
                <w:sz w:val="17"/>
                <w:szCs w:val="17"/>
                <w:lang w:eastAsia="en-GB"/>
              </w:rPr>
              <w:t>CVA risk</w:t>
            </w:r>
            <w:r w:rsidRPr="00FE4698">
              <w:rPr>
                <w:rFonts w:cs="Segoe UI"/>
                <w:sz w:val="17"/>
                <w:szCs w:val="17"/>
                <w:lang w:eastAsia="en-GB"/>
              </w:rPr>
              <w:t xml:space="preserve">: </w:t>
            </w:r>
            <w:r w:rsidR="003A5485">
              <w:rPr>
                <w:rFonts w:cs="Segoe UI"/>
                <w:sz w:val="17"/>
                <w:szCs w:val="17"/>
                <w:lang w:eastAsia="en-GB"/>
              </w:rPr>
              <w:t>C</w:t>
            </w:r>
            <w:r w:rsidRPr="00FE4698">
              <w:rPr>
                <w:rFonts w:cs="Segoe UI"/>
                <w:sz w:val="17"/>
                <w:szCs w:val="17"/>
                <w:lang w:eastAsia="en-GB"/>
              </w:rPr>
              <w:t xml:space="preserve">apital requirements for CVA calculated in accordance with the BCR and the corresponding RWA for CVA, as reported in Part </w:t>
            </w:r>
            <w:r w:rsidR="00326FDF">
              <w:rPr>
                <w:rFonts w:cs="Segoe UI"/>
                <w:sz w:val="17"/>
                <w:szCs w:val="17"/>
                <w:lang w:eastAsia="en-GB"/>
              </w:rPr>
              <w:t>IVA</w:t>
            </w:r>
            <w:r w:rsidRPr="00FE4698">
              <w:rPr>
                <w:rFonts w:cs="Segoe UI"/>
                <w:sz w:val="17"/>
                <w:szCs w:val="17"/>
                <w:lang w:eastAsia="en-GB"/>
              </w:rPr>
              <w:t xml:space="preserve"> of this document.</w:t>
            </w:r>
            <w:r w:rsidRPr="00FE4698">
              <w:rPr>
                <w:rFonts w:cs="Segoe UI"/>
                <w:sz w:val="17"/>
                <w:szCs w:val="17"/>
              </w:rPr>
              <w:t xml:space="preserve">  </w:t>
            </w:r>
          </w:p>
        </w:tc>
      </w:tr>
      <w:tr w:rsidR="000369C7" w:rsidRPr="004E457E" w14:paraId="7DA5FEF8" w14:textId="77777777" w:rsidTr="00C23506">
        <w:tc>
          <w:tcPr>
            <w:tcW w:w="567" w:type="dxa"/>
            <w:shd w:val="clear" w:color="auto" w:fill="auto"/>
          </w:tcPr>
          <w:p w14:paraId="76C582CB" w14:textId="77777777" w:rsidR="000369C7" w:rsidRPr="00622192" w:rsidRDefault="000369C7" w:rsidP="00C23506">
            <w:pPr>
              <w:keepLines/>
              <w:tabs>
                <w:tab w:val="left" w:pos="150"/>
                <w:tab w:val="left" w:pos="397"/>
                <w:tab w:val="left" w:pos="794"/>
                <w:tab w:val="left" w:pos="1191"/>
              </w:tabs>
              <w:spacing w:before="40" w:after="40"/>
              <w:rPr>
                <w:rFonts w:cs="Segoe UI"/>
                <w:sz w:val="17"/>
                <w:szCs w:val="17"/>
                <w:highlight w:val="yellow"/>
              </w:rPr>
            </w:pPr>
            <w:r w:rsidRPr="005F7B0C">
              <w:rPr>
                <w:rFonts w:cs="Segoe UI"/>
                <w:sz w:val="17"/>
                <w:szCs w:val="17"/>
              </w:rPr>
              <w:lastRenderedPageBreak/>
              <w:t>11</w:t>
            </w:r>
          </w:p>
        </w:tc>
        <w:tc>
          <w:tcPr>
            <w:tcW w:w="8647" w:type="dxa"/>
            <w:shd w:val="clear" w:color="auto" w:fill="auto"/>
          </w:tcPr>
          <w:p w14:paraId="7B22B5D1" w14:textId="2F0A2A47" w:rsidR="000369C7" w:rsidRPr="004E457E" w:rsidRDefault="000369C7" w:rsidP="002E5421">
            <w:pPr>
              <w:keepLines/>
              <w:tabs>
                <w:tab w:val="left" w:pos="397"/>
                <w:tab w:val="left" w:pos="794"/>
                <w:tab w:val="left" w:pos="1191"/>
              </w:tabs>
              <w:spacing w:before="40" w:after="40"/>
              <w:jc w:val="both"/>
              <w:rPr>
                <w:rFonts w:cs="Segoe UI"/>
                <w:noProof/>
                <w:sz w:val="17"/>
                <w:szCs w:val="17"/>
                <w:lang w:eastAsia="en-GB"/>
              </w:rPr>
            </w:pPr>
            <w:r w:rsidRPr="00E516AC">
              <w:rPr>
                <w:rFonts w:cs="Segoe UI"/>
                <w:sz w:val="17"/>
                <w:szCs w:val="17"/>
              </w:rPr>
              <w:t xml:space="preserve">This row is not applicable in the case of Hong Kong </w:t>
            </w:r>
            <w:r>
              <w:rPr>
                <w:rFonts w:cs="Segoe UI"/>
                <w:sz w:val="17"/>
                <w:szCs w:val="17"/>
              </w:rPr>
              <w:t>because the BCR do not provide for any phase-in arrangement for the use of the IRB approach for equity exposures</w:t>
            </w:r>
            <w:r w:rsidRPr="00E516AC">
              <w:rPr>
                <w:rFonts w:cs="Segoe UI"/>
                <w:sz w:val="17"/>
                <w:szCs w:val="17"/>
              </w:rPr>
              <w:t xml:space="preserve">.  </w:t>
            </w:r>
            <w:r>
              <w:rPr>
                <w:rFonts w:cs="Segoe UI"/>
                <w:sz w:val="17"/>
                <w:szCs w:val="17"/>
              </w:rPr>
              <w:t xml:space="preserve">An </w:t>
            </w:r>
            <w:r>
              <w:rPr>
                <w:rFonts w:cs="Segoe UI"/>
                <w:kern w:val="2"/>
                <w:sz w:val="17"/>
                <w:szCs w:val="17"/>
                <w:lang w:val="en-US"/>
              </w:rPr>
              <w:t xml:space="preserve">AI </w:t>
            </w:r>
            <w:r w:rsidRPr="00F24134">
              <w:rPr>
                <w:rFonts w:cs="Segoe UI"/>
                <w:kern w:val="2"/>
                <w:sz w:val="17"/>
                <w:szCs w:val="17"/>
                <w:lang w:val="en-US"/>
              </w:rPr>
              <w:t xml:space="preserve">may </w:t>
            </w:r>
            <w:r w:rsidRPr="00E516AC">
              <w:rPr>
                <w:rFonts w:cs="Segoe UI"/>
                <w:sz w:val="17"/>
                <w:szCs w:val="17"/>
              </w:rPr>
              <w:t xml:space="preserve">report </w:t>
            </w:r>
            <w:r>
              <w:rPr>
                <w:rFonts w:cs="Segoe UI"/>
                <w:sz w:val="17"/>
                <w:szCs w:val="17"/>
              </w:rPr>
              <w:t xml:space="preserve">“Not applicable” or </w:t>
            </w:r>
            <w:r w:rsidRPr="00E516AC">
              <w:rPr>
                <w:rFonts w:cs="Segoe UI"/>
                <w:sz w:val="17"/>
                <w:szCs w:val="17"/>
              </w:rPr>
              <w:t>“N/A” in this row.</w:t>
            </w:r>
            <w:r w:rsidRPr="000066A2">
              <w:rPr>
                <w:rFonts w:cs="Segoe UI"/>
                <w:i/>
                <w:sz w:val="17"/>
                <w:szCs w:val="17"/>
              </w:rPr>
              <w:t xml:space="preserve"> </w:t>
            </w:r>
          </w:p>
        </w:tc>
      </w:tr>
      <w:tr w:rsidR="000369C7" w:rsidRPr="004E457E" w14:paraId="3EEFD05A" w14:textId="77777777" w:rsidTr="00C23506">
        <w:tc>
          <w:tcPr>
            <w:tcW w:w="567" w:type="dxa"/>
            <w:shd w:val="clear" w:color="auto" w:fill="auto"/>
          </w:tcPr>
          <w:p w14:paraId="64336D99" w14:textId="77777777" w:rsidR="000369C7" w:rsidRPr="003F32BB" w:rsidRDefault="000369C7" w:rsidP="00C23506">
            <w:pPr>
              <w:keepLines/>
              <w:tabs>
                <w:tab w:val="left" w:pos="150"/>
                <w:tab w:val="left" w:pos="397"/>
                <w:tab w:val="left" w:pos="794"/>
                <w:tab w:val="left" w:pos="1191"/>
              </w:tabs>
              <w:spacing w:before="40" w:after="40"/>
              <w:rPr>
                <w:rFonts w:cs="Segoe UI"/>
                <w:sz w:val="17"/>
                <w:szCs w:val="17"/>
              </w:rPr>
            </w:pPr>
            <w:r w:rsidRPr="003F32BB">
              <w:rPr>
                <w:rFonts w:cs="Segoe UI"/>
                <w:sz w:val="17"/>
                <w:szCs w:val="17"/>
              </w:rPr>
              <w:t>12</w:t>
            </w:r>
          </w:p>
        </w:tc>
        <w:tc>
          <w:tcPr>
            <w:tcW w:w="8647" w:type="dxa"/>
            <w:shd w:val="clear" w:color="auto" w:fill="auto"/>
          </w:tcPr>
          <w:p w14:paraId="24006A04" w14:textId="45249809" w:rsidR="000369C7" w:rsidRPr="009A7FDD" w:rsidRDefault="000369C7" w:rsidP="00C23506">
            <w:pPr>
              <w:keepLines/>
              <w:tabs>
                <w:tab w:val="left" w:pos="397"/>
                <w:tab w:val="left" w:pos="794"/>
                <w:tab w:val="left" w:pos="1191"/>
              </w:tabs>
              <w:spacing w:before="40" w:after="40"/>
              <w:jc w:val="both"/>
              <w:rPr>
                <w:rFonts w:cs="Segoe UI"/>
                <w:sz w:val="17"/>
                <w:szCs w:val="17"/>
                <w:lang w:eastAsia="en-GB"/>
              </w:rPr>
            </w:pPr>
            <w:r w:rsidRPr="009A7FDD">
              <w:rPr>
                <w:rFonts w:cs="Segoe UI"/>
                <w:i/>
                <w:sz w:val="17"/>
                <w:szCs w:val="17"/>
                <w:lang w:eastAsia="en-GB"/>
              </w:rPr>
              <w:t>Collective investment scheme (“CIS”) exposures</w:t>
            </w:r>
            <w:r w:rsidRPr="009A7FDD">
              <w:rPr>
                <w:rFonts w:cs="Segoe UI"/>
                <w:i/>
                <w:sz w:val="17"/>
                <w:szCs w:val="17"/>
              </w:rPr>
              <w:t xml:space="preserve"> – look-through approach / third-party approach</w:t>
            </w:r>
            <w:r w:rsidRPr="00FE4698">
              <w:rPr>
                <w:rFonts w:cs="Segoe UI"/>
                <w:sz w:val="17"/>
                <w:szCs w:val="17"/>
              </w:rPr>
              <w:t>:</w:t>
            </w:r>
            <w:r>
              <w:rPr>
                <w:rFonts w:cs="Segoe UI"/>
                <w:sz w:val="17"/>
                <w:szCs w:val="17"/>
                <w:lang w:eastAsia="en-GB"/>
              </w:rPr>
              <w:t xml:space="preserve"> </w:t>
            </w:r>
            <w:r w:rsidRPr="00E9257E">
              <w:rPr>
                <w:rFonts w:cs="Segoe UI"/>
                <w:sz w:val="17"/>
                <w:szCs w:val="17"/>
                <w:lang w:eastAsia="en-GB"/>
              </w:rPr>
              <w:t xml:space="preserve">RWA and capital requirement </w:t>
            </w:r>
            <w:r>
              <w:rPr>
                <w:rFonts w:cs="Segoe UI"/>
                <w:sz w:val="17"/>
                <w:szCs w:val="17"/>
                <w:lang w:eastAsia="en-GB"/>
              </w:rPr>
              <w:t xml:space="preserve">of a CIS </w:t>
            </w:r>
            <w:r w:rsidRPr="00E9257E">
              <w:rPr>
                <w:rFonts w:cs="Segoe UI"/>
                <w:sz w:val="17"/>
                <w:szCs w:val="17"/>
                <w:lang w:eastAsia="en-GB"/>
              </w:rPr>
              <w:t xml:space="preserve">calculated under </w:t>
            </w:r>
            <w:r>
              <w:rPr>
                <w:rFonts w:cs="Segoe UI"/>
                <w:sz w:val="17"/>
                <w:szCs w:val="17"/>
                <w:lang w:eastAsia="en-GB"/>
              </w:rPr>
              <w:t xml:space="preserve">the </w:t>
            </w:r>
            <w:r w:rsidRPr="009A7FDD">
              <w:rPr>
                <w:rFonts w:cs="Segoe UI"/>
                <w:sz w:val="17"/>
                <w:szCs w:val="17"/>
                <w:lang w:eastAsia="en-GB"/>
              </w:rPr>
              <w:t>look-through approach and/or third-party approach in accordance with Part 6B of the BCR.</w:t>
            </w:r>
          </w:p>
        </w:tc>
      </w:tr>
      <w:tr w:rsidR="000369C7" w:rsidRPr="004E457E" w14:paraId="5F5A2A19" w14:textId="77777777" w:rsidTr="00C23506">
        <w:tc>
          <w:tcPr>
            <w:tcW w:w="567" w:type="dxa"/>
            <w:shd w:val="clear" w:color="auto" w:fill="auto"/>
          </w:tcPr>
          <w:p w14:paraId="1118EFAE" w14:textId="77777777" w:rsidR="000369C7" w:rsidRPr="003F32BB" w:rsidRDefault="000369C7" w:rsidP="00C23506">
            <w:pPr>
              <w:keepLines/>
              <w:tabs>
                <w:tab w:val="left" w:pos="150"/>
                <w:tab w:val="left" w:pos="397"/>
                <w:tab w:val="left" w:pos="794"/>
                <w:tab w:val="left" w:pos="1191"/>
              </w:tabs>
              <w:spacing w:before="40" w:after="40"/>
              <w:rPr>
                <w:rFonts w:cs="Segoe UI"/>
                <w:sz w:val="17"/>
                <w:szCs w:val="17"/>
              </w:rPr>
            </w:pPr>
            <w:r w:rsidRPr="003F32BB">
              <w:rPr>
                <w:rFonts w:cs="Segoe UI"/>
                <w:sz w:val="17"/>
                <w:szCs w:val="17"/>
              </w:rPr>
              <w:t>13</w:t>
            </w:r>
          </w:p>
        </w:tc>
        <w:tc>
          <w:tcPr>
            <w:tcW w:w="8647" w:type="dxa"/>
            <w:shd w:val="clear" w:color="auto" w:fill="auto"/>
          </w:tcPr>
          <w:p w14:paraId="04AF97AB" w14:textId="2D40800C" w:rsidR="000369C7" w:rsidRPr="009A7FDD" w:rsidRDefault="000369C7" w:rsidP="00C23506">
            <w:pPr>
              <w:keepLines/>
              <w:tabs>
                <w:tab w:val="left" w:pos="397"/>
                <w:tab w:val="left" w:pos="794"/>
                <w:tab w:val="left" w:pos="1191"/>
              </w:tabs>
              <w:spacing w:before="40" w:after="40"/>
              <w:jc w:val="both"/>
              <w:rPr>
                <w:rFonts w:cs="Segoe UI"/>
                <w:sz w:val="17"/>
                <w:szCs w:val="17"/>
                <w:lang w:eastAsia="en-GB"/>
              </w:rPr>
            </w:pPr>
            <w:r w:rsidRPr="009A7FDD">
              <w:rPr>
                <w:rFonts w:cs="Segoe UI"/>
                <w:i/>
                <w:sz w:val="17"/>
                <w:szCs w:val="17"/>
                <w:lang w:eastAsia="en-GB"/>
              </w:rPr>
              <w:t>CIS exposures – mandate-based approach</w:t>
            </w:r>
            <w:r w:rsidRPr="00FE4698">
              <w:rPr>
                <w:rFonts w:cs="Segoe UI"/>
                <w:sz w:val="17"/>
                <w:szCs w:val="17"/>
              </w:rPr>
              <w:t>:</w:t>
            </w:r>
            <w:r>
              <w:rPr>
                <w:rFonts w:cs="Segoe UI"/>
                <w:sz w:val="17"/>
                <w:szCs w:val="17"/>
                <w:lang w:eastAsia="en-GB"/>
              </w:rPr>
              <w:t xml:space="preserve"> </w:t>
            </w:r>
            <w:r w:rsidRPr="009A7FDD">
              <w:rPr>
                <w:rFonts w:cs="Segoe UI"/>
                <w:sz w:val="17"/>
                <w:szCs w:val="17"/>
                <w:lang w:eastAsia="en-GB"/>
              </w:rPr>
              <w:t xml:space="preserve">RWA and capital requirement </w:t>
            </w:r>
            <w:r>
              <w:rPr>
                <w:rFonts w:cs="Segoe UI"/>
                <w:sz w:val="17"/>
                <w:szCs w:val="17"/>
                <w:lang w:eastAsia="en-GB"/>
              </w:rPr>
              <w:t xml:space="preserve">of a CIS </w:t>
            </w:r>
            <w:r w:rsidRPr="009A7FDD">
              <w:rPr>
                <w:rFonts w:cs="Segoe UI"/>
                <w:sz w:val="17"/>
                <w:szCs w:val="17"/>
                <w:lang w:eastAsia="en-GB"/>
              </w:rPr>
              <w:t>calculated under the mandated-based approach in accordance with Part 6B of the BCR.</w:t>
            </w:r>
          </w:p>
        </w:tc>
      </w:tr>
      <w:tr w:rsidR="000369C7" w:rsidRPr="004E457E" w14:paraId="758FE06B" w14:textId="77777777" w:rsidTr="00C23506">
        <w:tc>
          <w:tcPr>
            <w:tcW w:w="567" w:type="dxa"/>
            <w:shd w:val="clear" w:color="auto" w:fill="auto"/>
          </w:tcPr>
          <w:p w14:paraId="210DFD04" w14:textId="77777777" w:rsidR="000369C7" w:rsidRPr="003F32BB" w:rsidRDefault="000369C7" w:rsidP="00C23506">
            <w:pPr>
              <w:keepLines/>
              <w:tabs>
                <w:tab w:val="left" w:pos="150"/>
                <w:tab w:val="left" w:pos="397"/>
                <w:tab w:val="left" w:pos="794"/>
                <w:tab w:val="left" w:pos="1191"/>
              </w:tabs>
              <w:spacing w:before="40" w:after="40"/>
              <w:rPr>
                <w:rFonts w:cs="Segoe UI"/>
                <w:sz w:val="17"/>
                <w:szCs w:val="17"/>
              </w:rPr>
            </w:pPr>
            <w:r w:rsidRPr="003F32BB">
              <w:rPr>
                <w:rFonts w:cs="Segoe UI"/>
                <w:sz w:val="17"/>
                <w:szCs w:val="17"/>
              </w:rPr>
              <w:t>14</w:t>
            </w:r>
          </w:p>
        </w:tc>
        <w:tc>
          <w:tcPr>
            <w:tcW w:w="8647" w:type="dxa"/>
            <w:shd w:val="clear" w:color="auto" w:fill="auto"/>
          </w:tcPr>
          <w:p w14:paraId="30B04690" w14:textId="18307B6F" w:rsidR="000369C7" w:rsidRPr="003F32BB" w:rsidRDefault="000369C7" w:rsidP="00C23506">
            <w:pPr>
              <w:keepLines/>
              <w:tabs>
                <w:tab w:val="left" w:pos="397"/>
                <w:tab w:val="left" w:pos="794"/>
                <w:tab w:val="left" w:pos="1191"/>
              </w:tabs>
              <w:spacing w:before="40" w:after="40"/>
              <w:jc w:val="both"/>
              <w:rPr>
                <w:rFonts w:cs="Segoe UI"/>
                <w:sz w:val="17"/>
                <w:szCs w:val="17"/>
                <w:lang w:eastAsia="en-GB"/>
              </w:rPr>
            </w:pPr>
            <w:r w:rsidRPr="003F32BB">
              <w:rPr>
                <w:rFonts w:cs="Segoe UI"/>
                <w:i/>
                <w:sz w:val="17"/>
                <w:szCs w:val="17"/>
                <w:lang w:eastAsia="en-GB"/>
              </w:rPr>
              <w:t xml:space="preserve">CIS exposures – </w:t>
            </w:r>
            <w:r>
              <w:rPr>
                <w:rFonts w:cs="Segoe UI"/>
                <w:i/>
                <w:sz w:val="17"/>
                <w:szCs w:val="17"/>
                <w:lang w:eastAsia="en-GB"/>
              </w:rPr>
              <w:t>fall-back approach</w:t>
            </w:r>
            <w:r w:rsidRPr="00FE4698">
              <w:rPr>
                <w:rFonts w:cs="Segoe UI"/>
                <w:sz w:val="17"/>
                <w:szCs w:val="17"/>
              </w:rPr>
              <w:t>:</w:t>
            </w:r>
            <w:r w:rsidRPr="003F32BB">
              <w:rPr>
                <w:rFonts w:cs="Segoe UI"/>
                <w:sz w:val="17"/>
                <w:szCs w:val="17"/>
              </w:rPr>
              <w:t xml:space="preserve"> </w:t>
            </w:r>
            <w:r w:rsidRPr="003F32BB">
              <w:rPr>
                <w:rFonts w:cs="Segoe UI"/>
                <w:sz w:val="17"/>
                <w:szCs w:val="17"/>
                <w:lang w:eastAsia="en-GB"/>
              </w:rPr>
              <w:t xml:space="preserve">RWA and capital requirement </w:t>
            </w:r>
            <w:r>
              <w:rPr>
                <w:rFonts w:cs="Segoe UI"/>
                <w:sz w:val="17"/>
                <w:szCs w:val="17"/>
                <w:lang w:eastAsia="en-GB"/>
              </w:rPr>
              <w:t xml:space="preserve">of a CIS </w:t>
            </w:r>
            <w:r w:rsidRPr="003F32BB">
              <w:rPr>
                <w:rFonts w:cs="Segoe UI"/>
                <w:sz w:val="17"/>
                <w:szCs w:val="17"/>
                <w:lang w:eastAsia="en-GB"/>
              </w:rPr>
              <w:t xml:space="preserve">calculated </w:t>
            </w:r>
            <w:r>
              <w:rPr>
                <w:rFonts w:cs="Segoe UI"/>
                <w:sz w:val="17"/>
                <w:szCs w:val="17"/>
                <w:lang w:eastAsia="en-GB"/>
              </w:rPr>
              <w:t xml:space="preserve">under the fall-back approach </w:t>
            </w:r>
            <w:r w:rsidRPr="003F32BB">
              <w:rPr>
                <w:rFonts w:cs="Segoe UI"/>
                <w:sz w:val="17"/>
                <w:szCs w:val="17"/>
                <w:lang w:eastAsia="en-GB"/>
              </w:rPr>
              <w:t>in accordance with Part 6B of the BCR.</w:t>
            </w:r>
          </w:p>
        </w:tc>
      </w:tr>
      <w:tr w:rsidR="000369C7" w:rsidRPr="004E457E" w14:paraId="0A20BBCB" w14:textId="77777777" w:rsidTr="00C23506">
        <w:tc>
          <w:tcPr>
            <w:tcW w:w="567" w:type="dxa"/>
            <w:shd w:val="clear" w:color="auto" w:fill="auto"/>
          </w:tcPr>
          <w:p w14:paraId="2BA16E78" w14:textId="77777777" w:rsidR="000369C7" w:rsidRPr="003F32BB" w:rsidRDefault="000369C7" w:rsidP="00C23506">
            <w:pPr>
              <w:keepLines/>
              <w:tabs>
                <w:tab w:val="left" w:pos="150"/>
                <w:tab w:val="left" w:pos="397"/>
                <w:tab w:val="left" w:pos="794"/>
                <w:tab w:val="left" w:pos="1191"/>
              </w:tabs>
              <w:spacing w:before="40" w:after="40"/>
              <w:rPr>
                <w:rFonts w:cs="Segoe UI"/>
                <w:sz w:val="17"/>
                <w:szCs w:val="17"/>
              </w:rPr>
            </w:pPr>
            <w:r w:rsidRPr="003F32BB">
              <w:rPr>
                <w:rFonts w:cs="Segoe UI"/>
                <w:sz w:val="17"/>
                <w:szCs w:val="17"/>
              </w:rPr>
              <w:t>14a</w:t>
            </w:r>
          </w:p>
        </w:tc>
        <w:tc>
          <w:tcPr>
            <w:tcW w:w="8647" w:type="dxa"/>
            <w:shd w:val="clear" w:color="auto" w:fill="auto"/>
          </w:tcPr>
          <w:p w14:paraId="6B17C656" w14:textId="3711A44D" w:rsidR="000369C7" w:rsidRPr="003F32BB" w:rsidRDefault="000369C7" w:rsidP="00C23506">
            <w:pPr>
              <w:keepLines/>
              <w:tabs>
                <w:tab w:val="left" w:pos="397"/>
                <w:tab w:val="left" w:pos="794"/>
                <w:tab w:val="left" w:pos="1191"/>
              </w:tabs>
              <w:spacing w:before="40" w:after="40"/>
              <w:jc w:val="both"/>
              <w:rPr>
                <w:rFonts w:cs="Segoe UI"/>
                <w:i/>
                <w:sz w:val="17"/>
                <w:szCs w:val="17"/>
                <w:lang w:eastAsia="en-GB"/>
              </w:rPr>
            </w:pPr>
            <w:r w:rsidRPr="003F32BB">
              <w:rPr>
                <w:rFonts w:cs="Segoe UI"/>
                <w:i/>
                <w:sz w:val="17"/>
                <w:szCs w:val="17"/>
                <w:lang w:eastAsia="en-GB"/>
              </w:rPr>
              <w:t>CIS exposures – combination of approaches</w:t>
            </w:r>
            <w:r w:rsidRPr="00FE4698">
              <w:rPr>
                <w:rFonts w:cs="Segoe UI"/>
                <w:sz w:val="17"/>
                <w:szCs w:val="17"/>
              </w:rPr>
              <w:t>:</w:t>
            </w:r>
            <w:r w:rsidRPr="003F32BB">
              <w:rPr>
                <w:rFonts w:cs="Segoe UI"/>
                <w:sz w:val="17"/>
                <w:szCs w:val="17"/>
              </w:rPr>
              <w:t xml:space="preserve"> </w:t>
            </w:r>
            <w:r w:rsidRPr="003F32BB">
              <w:rPr>
                <w:rFonts w:cs="Segoe UI"/>
                <w:sz w:val="17"/>
                <w:szCs w:val="17"/>
                <w:lang w:eastAsia="en-GB"/>
              </w:rPr>
              <w:t xml:space="preserve">RWA and capital requirement </w:t>
            </w:r>
            <w:r>
              <w:rPr>
                <w:rFonts w:cs="Segoe UI"/>
                <w:sz w:val="17"/>
                <w:szCs w:val="17"/>
                <w:lang w:eastAsia="en-GB"/>
              </w:rPr>
              <w:t xml:space="preserve">of a CIS </w:t>
            </w:r>
            <w:r w:rsidRPr="003F32BB">
              <w:rPr>
                <w:rFonts w:cs="Segoe UI"/>
                <w:sz w:val="17"/>
                <w:szCs w:val="17"/>
                <w:lang w:eastAsia="en-GB"/>
              </w:rPr>
              <w:t xml:space="preserve">calculated </w:t>
            </w:r>
            <w:r>
              <w:rPr>
                <w:rFonts w:cs="Segoe UI"/>
                <w:sz w:val="17"/>
                <w:szCs w:val="17"/>
                <w:lang w:eastAsia="en-GB"/>
              </w:rPr>
              <w:t xml:space="preserve">by using more than one approach under </w:t>
            </w:r>
            <w:r w:rsidRPr="003F32BB">
              <w:rPr>
                <w:rFonts w:cs="Segoe UI"/>
                <w:sz w:val="17"/>
                <w:szCs w:val="17"/>
                <w:lang w:eastAsia="en-GB"/>
              </w:rPr>
              <w:t xml:space="preserve">Part 6B of </w:t>
            </w:r>
            <w:r>
              <w:rPr>
                <w:rFonts w:cs="Segoe UI"/>
                <w:sz w:val="17"/>
                <w:szCs w:val="17"/>
                <w:lang w:eastAsia="en-GB"/>
              </w:rPr>
              <w:t xml:space="preserve">the </w:t>
            </w:r>
            <w:r w:rsidRPr="003F32BB">
              <w:rPr>
                <w:rFonts w:cs="Segoe UI"/>
                <w:sz w:val="17"/>
                <w:szCs w:val="17"/>
                <w:lang w:eastAsia="en-GB"/>
              </w:rPr>
              <w:t>BCR.</w:t>
            </w:r>
            <w:r>
              <w:rPr>
                <w:rFonts w:cs="Segoe UI"/>
                <w:sz w:val="17"/>
                <w:szCs w:val="17"/>
                <w:lang w:eastAsia="en-GB"/>
              </w:rPr>
              <w:t xml:space="preserve">  For clarity, RWA and capital requirement of a CIS calculated only under the look-through approach and third-party approach are reported under row 12.</w:t>
            </w:r>
          </w:p>
        </w:tc>
      </w:tr>
      <w:tr w:rsidR="000369C7" w:rsidRPr="004E457E" w14:paraId="76D9BA51" w14:textId="77777777" w:rsidTr="00C23506">
        <w:tc>
          <w:tcPr>
            <w:tcW w:w="567" w:type="dxa"/>
            <w:shd w:val="clear" w:color="auto" w:fill="auto"/>
          </w:tcPr>
          <w:p w14:paraId="24D1199D" w14:textId="77777777" w:rsidR="000369C7" w:rsidRPr="00622192" w:rsidRDefault="000369C7" w:rsidP="00C23506">
            <w:pPr>
              <w:keepLines/>
              <w:tabs>
                <w:tab w:val="left" w:pos="150"/>
                <w:tab w:val="left" w:pos="397"/>
                <w:tab w:val="left" w:pos="794"/>
                <w:tab w:val="left" w:pos="1191"/>
              </w:tabs>
              <w:spacing w:before="40" w:after="40"/>
              <w:rPr>
                <w:rFonts w:cs="Segoe UI"/>
                <w:sz w:val="17"/>
                <w:szCs w:val="17"/>
                <w:highlight w:val="yellow"/>
              </w:rPr>
            </w:pPr>
            <w:r w:rsidRPr="00C15837">
              <w:rPr>
                <w:rFonts w:cs="Segoe UI"/>
                <w:sz w:val="17"/>
                <w:szCs w:val="17"/>
              </w:rPr>
              <w:t>15</w:t>
            </w:r>
          </w:p>
        </w:tc>
        <w:tc>
          <w:tcPr>
            <w:tcW w:w="8647" w:type="dxa"/>
            <w:shd w:val="clear" w:color="auto" w:fill="auto"/>
          </w:tcPr>
          <w:p w14:paraId="04D05EBA" w14:textId="77777777" w:rsidR="000369C7" w:rsidRPr="00FE4698" w:rsidRDefault="000369C7" w:rsidP="00C23506">
            <w:pPr>
              <w:keepLines/>
              <w:tabs>
                <w:tab w:val="left" w:pos="150"/>
                <w:tab w:val="left" w:pos="397"/>
                <w:tab w:val="left" w:pos="794"/>
                <w:tab w:val="left" w:pos="1191"/>
              </w:tabs>
              <w:spacing w:before="40" w:after="40"/>
              <w:jc w:val="both"/>
              <w:rPr>
                <w:rFonts w:cs="Segoe UI"/>
                <w:sz w:val="17"/>
                <w:szCs w:val="17"/>
              </w:rPr>
            </w:pPr>
            <w:r w:rsidRPr="00FE4698">
              <w:rPr>
                <w:rFonts w:cs="Segoe UI"/>
                <w:i/>
                <w:sz w:val="17"/>
                <w:szCs w:val="17"/>
              </w:rPr>
              <w:t>Settlement risk</w:t>
            </w:r>
            <w:r w:rsidRPr="00FE4698">
              <w:rPr>
                <w:rFonts w:cs="Segoe UI"/>
                <w:sz w:val="17"/>
                <w:szCs w:val="17"/>
              </w:rPr>
              <w:t>: RWA and capital requirements for the exposures arising from the following items:</w:t>
            </w:r>
          </w:p>
          <w:p w14:paraId="48CEAC02" w14:textId="3AD8DDE3" w:rsidR="000369C7" w:rsidRPr="009A7FDD" w:rsidRDefault="000369C7" w:rsidP="00C23506">
            <w:pPr>
              <w:keepLines/>
              <w:numPr>
                <w:ilvl w:val="0"/>
                <w:numId w:val="4"/>
              </w:numPr>
              <w:spacing w:before="40" w:after="40"/>
              <w:jc w:val="both"/>
              <w:rPr>
                <w:rFonts w:cs="Segoe UI"/>
                <w:sz w:val="17"/>
                <w:szCs w:val="17"/>
              </w:rPr>
            </w:pPr>
            <w:r w:rsidRPr="00FE4698">
              <w:rPr>
                <w:rFonts w:cs="Segoe UI"/>
                <w:sz w:val="17"/>
                <w:szCs w:val="17"/>
              </w:rPr>
              <w:t xml:space="preserve">Transactions in </w:t>
            </w:r>
            <w:r w:rsidRPr="009A7FDD">
              <w:rPr>
                <w:rFonts w:cs="Segoe UI"/>
                <w:sz w:val="17"/>
                <w:szCs w:val="17"/>
              </w:rPr>
              <w:t>securities, foreign exchange, and commodities that are entered into on a delivery-versus-payment basis and remain outstanding for 5 or more business days after the settlement date, calculated in accordance with the risk-weight allocated to the exposures as specified in the BCR; and</w:t>
            </w:r>
          </w:p>
          <w:p w14:paraId="3BA9A989" w14:textId="2CC524FC" w:rsidR="000369C7" w:rsidRPr="00FE4698" w:rsidRDefault="000369C7" w:rsidP="00C23506">
            <w:pPr>
              <w:keepLines/>
              <w:numPr>
                <w:ilvl w:val="0"/>
                <w:numId w:val="4"/>
              </w:numPr>
              <w:spacing w:before="40" w:after="40"/>
              <w:jc w:val="both"/>
              <w:rPr>
                <w:rFonts w:cs="Segoe UI"/>
                <w:sz w:val="17"/>
                <w:szCs w:val="17"/>
              </w:rPr>
            </w:pPr>
            <w:r w:rsidRPr="009A7FDD">
              <w:rPr>
                <w:rFonts w:cs="Segoe UI"/>
                <w:sz w:val="17"/>
                <w:szCs w:val="17"/>
              </w:rPr>
              <w:t>Transactions in securities, foreign exchange, and commodities that are entered into on a non-delivery-versus-payment basis</w:t>
            </w:r>
            <w:r w:rsidRPr="00FE4698">
              <w:rPr>
                <w:rFonts w:cs="Segoe UI"/>
                <w:sz w:val="17"/>
                <w:szCs w:val="17"/>
              </w:rPr>
              <w:t xml:space="preserve"> and remain unsettled after the settlement date, calculated in accordance with the risk-weight allocated to the exposures as specified in the BCR.</w:t>
            </w:r>
          </w:p>
        </w:tc>
      </w:tr>
      <w:tr w:rsidR="000369C7" w:rsidRPr="004E457E" w14:paraId="314E5B23" w14:textId="77777777" w:rsidTr="00C23506">
        <w:tc>
          <w:tcPr>
            <w:tcW w:w="567" w:type="dxa"/>
            <w:shd w:val="clear" w:color="auto" w:fill="auto"/>
          </w:tcPr>
          <w:p w14:paraId="19CDB58E" w14:textId="77777777" w:rsidR="000369C7" w:rsidRPr="00622192" w:rsidRDefault="000369C7" w:rsidP="00C23506">
            <w:pPr>
              <w:keepLines/>
              <w:tabs>
                <w:tab w:val="left" w:pos="150"/>
                <w:tab w:val="left" w:pos="397"/>
                <w:tab w:val="left" w:pos="794"/>
                <w:tab w:val="left" w:pos="1191"/>
              </w:tabs>
              <w:spacing w:before="40" w:after="40"/>
              <w:rPr>
                <w:rFonts w:cs="Segoe UI"/>
                <w:sz w:val="17"/>
                <w:szCs w:val="17"/>
                <w:highlight w:val="yellow"/>
              </w:rPr>
            </w:pPr>
            <w:r w:rsidRPr="0002175E">
              <w:rPr>
                <w:rFonts w:cs="Segoe UI"/>
                <w:sz w:val="17"/>
                <w:szCs w:val="17"/>
              </w:rPr>
              <w:t>16</w:t>
            </w:r>
          </w:p>
        </w:tc>
        <w:tc>
          <w:tcPr>
            <w:tcW w:w="8647" w:type="dxa"/>
            <w:shd w:val="clear" w:color="auto" w:fill="auto"/>
          </w:tcPr>
          <w:p w14:paraId="03BAD371" w14:textId="77777777" w:rsidR="000369C7" w:rsidRPr="00FE4698" w:rsidRDefault="000369C7" w:rsidP="00C23506">
            <w:pPr>
              <w:keepNext/>
              <w:spacing w:before="40" w:after="40"/>
              <w:jc w:val="both"/>
              <w:rPr>
                <w:rFonts w:cs="Segoe UI"/>
                <w:sz w:val="17"/>
                <w:szCs w:val="17"/>
              </w:rPr>
            </w:pPr>
            <w:r w:rsidRPr="00FE4698">
              <w:rPr>
                <w:rFonts w:cs="Segoe UI"/>
                <w:i/>
                <w:sz w:val="17"/>
                <w:szCs w:val="17"/>
              </w:rPr>
              <w:t xml:space="preserve">Securitization exposures in banking book: </w:t>
            </w:r>
            <w:r w:rsidRPr="00FE4698">
              <w:rPr>
                <w:rFonts w:cs="Segoe UI"/>
                <w:sz w:val="17"/>
                <w:szCs w:val="17"/>
              </w:rPr>
              <w:t>The amounts correspond to capital requirements applicable to the securitization exposures in the banking book (Part V of this document).  The RWA should be derived from the capital requirements</w:t>
            </w:r>
            <w:r w:rsidRPr="00FE4698">
              <w:rPr>
                <w:rFonts w:cs="Segoe UI" w:hint="eastAsia"/>
                <w:sz w:val="17"/>
                <w:szCs w:val="17"/>
              </w:rPr>
              <w:t xml:space="preserve"> (</w:t>
            </w:r>
            <w:r w:rsidRPr="00FE4698">
              <w:rPr>
                <w:rFonts w:cs="Segoe UI"/>
                <w:sz w:val="17"/>
                <w:szCs w:val="17"/>
              </w:rPr>
              <w:t xml:space="preserve">including the </w:t>
            </w:r>
            <w:r w:rsidRPr="00FE4698">
              <w:rPr>
                <w:rFonts w:cs="Segoe UI" w:hint="eastAsia"/>
                <w:sz w:val="17"/>
                <w:szCs w:val="17"/>
              </w:rPr>
              <w:t>impact of the cap</w:t>
            </w:r>
            <w:r w:rsidRPr="00FE4698">
              <w:rPr>
                <w:rFonts w:cs="Segoe UI"/>
                <w:sz w:val="17"/>
                <w:szCs w:val="17"/>
              </w:rPr>
              <w:t xml:space="preserve"> specified in the BCR</w:t>
            </w:r>
            <w:r w:rsidRPr="00FE4698">
              <w:rPr>
                <w:rFonts w:cs="Segoe UI" w:hint="eastAsia"/>
                <w:sz w:val="17"/>
                <w:szCs w:val="17"/>
              </w:rPr>
              <w:t>)</w:t>
            </w:r>
            <w:r w:rsidRPr="00FE4698">
              <w:rPr>
                <w:rFonts w:cs="Segoe UI"/>
                <w:sz w:val="17"/>
                <w:szCs w:val="17"/>
              </w:rPr>
              <w:t>, meaning that they do not necessarily systematically correspond to the RWA reported in Templates SEC3 and SEC4, which are before the application of the cap.</w:t>
            </w:r>
          </w:p>
        </w:tc>
      </w:tr>
      <w:tr w:rsidR="000369C7" w:rsidRPr="00EB57BC" w14:paraId="6B78C2E2" w14:textId="77777777" w:rsidTr="00C23506">
        <w:tc>
          <w:tcPr>
            <w:tcW w:w="567" w:type="dxa"/>
            <w:shd w:val="clear" w:color="auto" w:fill="auto"/>
          </w:tcPr>
          <w:p w14:paraId="260B1353" w14:textId="77777777" w:rsidR="000369C7" w:rsidRPr="00F84BA0" w:rsidRDefault="000369C7" w:rsidP="00C23506">
            <w:pPr>
              <w:keepLines/>
              <w:tabs>
                <w:tab w:val="left" w:pos="150"/>
                <w:tab w:val="left" w:pos="397"/>
                <w:tab w:val="left" w:pos="794"/>
                <w:tab w:val="left" w:pos="1191"/>
              </w:tabs>
              <w:spacing w:before="40" w:after="40"/>
              <w:rPr>
                <w:rFonts w:cs="Segoe UI"/>
                <w:sz w:val="17"/>
                <w:szCs w:val="17"/>
              </w:rPr>
            </w:pPr>
            <w:r w:rsidRPr="00F84BA0">
              <w:rPr>
                <w:rFonts w:cs="Segoe UI"/>
                <w:sz w:val="17"/>
                <w:szCs w:val="17"/>
              </w:rPr>
              <w:t>17</w:t>
            </w:r>
          </w:p>
        </w:tc>
        <w:tc>
          <w:tcPr>
            <w:tcW w:w="8647" w:type="dxa"/>
            <w:shd w:val="clear" w:color="auto" w:fill="auto"/>
          </w:tcPr>
          <w:p w14:paraId="11F1272E" w14:textId="77777777" w:rsidR="000369C7" w:rsidRPr="00F84BA0" w:rsidRDefault="000369C7" w:rsidP="00C23506">
            <w:pPr>
              <w:keepLines/>
              <w:tabs>
                <w:tab w:val="left" w:pos="397"/>
                <w:tab w:val="left" w:pos="794"/>
                <w:tab w:val="left" w:pos="1191"/>
              </w:tabs>
              <w:spacing w:before="40" w:after="40"/>
              <w:jc w:val="both"/>
              <w:rPr>
                <w:rFonts w:cs="Segoe UI"/>
                <w:sz w:val="17"/>
                <w:szCs w:val="17"/>
              </w:rPr>
            </w:pPr>
            <w:r w:rsidRPr="00F84BA0">
              <w:rPr>
                <w:rFonts w:cs="Segoe UI"/>
                <w:i/>
                <w:sz w:val="17"/>
                <w:szCs w:val="17"/>
                <w:lang w:eastAsia="en-GB"/>
              </w:rPr>
              <w:t>Of which SEC-IRBA</w:t>
            </w:r>
            <w:r w:rsidRPr="00F84BA0">
              <w:rPr>
                <w:rFonts w:cs="Segoe UI"/>
                <w:sz w:val="17"/>
                <w:szCs w:val="17"/>
                <w:lang w:eastAsia="en-GB"/>
              </w:rPr>
              <w:t xml:space="preserve">: </w:t>
            </w:r>
            <w:r w:rsidRPr="00F84BA0">
              <w:rPr>
                <w:rFonts w:cs="Segoe UI"/>
                <w:sz w:val="17"/>
                <w:szCs w:val="17"/>
              </w:rPr>
              <w:t>RWA and capital requirements calculated using the SEC-IRBA under the BCR.</w:t>
            </w:r>
          </w:p>
        </w:tc>
      </w:tr>
      <w:tr w:rsidR="000369C7" w:rsidRPr="004E457E" w14:paraId="5B6B0A77" w14:textId="77777777" w:rsidTr="00C23506">
        <w:tc>
          <w:tcPr>
            <w:tcW w:w="567" w:type="dxa"/>
            <w:shd w:val="clear" w:color="auto" w:fill="auto"/>
          </w:tcPr>
          <w:p w14:paraId="12D95AA1" w14:textId="77777777" w:rsidR="000369C7" w:rsidRPr="00F84BA0" w:rsidRDefault="000369C7" w:rsidP="00C23506">
            <w:pPr>
              <w:keepLines/>
              <w:tabs>
                <w:tab w:val="left" w:pos="150"/>
                <w:tab w:val="left" w:pos="397"/>
                <w:tab w:val="left" w:pos="794"/>
                <w:tab w:val="left" w:pos="1191"/>
              </w:tabs>
              <w:spacing w:before="40" w:after="40"/>
              <w:rPr>
                <w:rFonts w:cs="Segoe UI"/>
                <w:sz w:val="17"/>
                <w:szCs w:val="17"/>
              </w:rPr>
            </w:pPr>
            <w:r w:rsidRPr="00F84BA0">
              <w:rPr>
                <w:rFonts w:cs="Segoe UI"/>
                <w:sz w:val="17"/>
                <w:szCs w:val="17"/>
              </w:rPr>
              <w:t>18</w:t>
            </w:r>
          </w:p>
        </w:tc>
        <w:tc>
          <w:tcPr>
            <w:tcW w:w="8647" w:type="dxa"/>
            <w:shd w:val="clear" w:color="auto" w:fill="auto"/>
          </w:tcPr>
          <w:p w14:paraId="37769626" w14:textId="77777777" w:rsidR="000369C7" w:rsidRPr="00F84BA0" w:rsidRDefault="000369C7" w:rsidP="00C23506">
            <w:pPr>
              <w:keepLines/>
              <w:tabs>
                <w:tab w:val="left" w:pos="397"/>
                <w:tab w:val="left" w:pos="794"/>
                <w:tab w:val="left" w:pos="1191"/>
              </w:tabs>
              <w:spacing w:before="40" w:after="40"/>
              <w:jc w:val="both"/>
              <w:rPr>
                <w:rFonts w:cs="Segoe UI"/>
                <w:sz w:val="17"/>
                <w:szCs w:val="17"/>
              </w:rPr>
            </w:pPr>
            <w:r w:rsidRPr="00F84BA0">
              <w:rPr>
                <w:rFonts w:cs="Segoe UI"/>
                <w:i/>
                <w:sz w:val="17"/>
                <w:szCs w:val="17"/>
                <w:lang w:eastAsia="en-GB"/>
              </w:rPr>
              <w:t>Of which SEC-ERBA</w:t>
            </w:r>
            <w:r>
              <w:rPr>
                <w:rFonts w:cs="Segoe UI"/>
                <w:i/>
                <w:sz w:val="17"/>
                <w:szCs w:val="17"/>
                <w:lang w:eastAsia="en-GB"/>
              </w:rPr>
              <w:t xml:space="preserve"> (including IAA)</w:t>
            </w:r>
            <w:r w:rsidRPr="00F84BA0">
              <w:rPr>
                <w:rFonts w:cs="Segoe UI"/>
                <w:sz w:val="17"/>
                <w:szCs w:val="17"/>
                <w:lang w:eastAsia="en-GB"/>
              </w:rPr>
              <w:t xml:space="preserve">: </w:t>
            </w:r>
            <w:r w:rsidRPr="00F84BA0">
              <w:rPr>
                <w:rFonts w:cs="Segoe UI"/>
                <w:sz w:val="17"/>
                <w:szCs w:val="17"/>
              </w:rPr>
              <w:t xml:space="preserve">RWA and capital requirements calculated using the </w:t>
            </w:r>
            <w:r w:rsidRPr="00F84BA0">
              <w:rPr>
                <w:rFonts w:cs="Segoe UI"/>
                <w:sz w:val="17"/>
                <w:szCs w:val="17"/>
                <w:lang w:eastAsia="en-GB"/>
              </w:rPr>
              <w:t xml:space="preserve">SEC-ERBA </w:t>
            </w:r>
            <w:r>
              <w:rPr>
                <w:rFonts w:cs="Segoe UI"/>
                <w:sz w:val="17"/>
                <w:szCs w:val="17"/>
                <w:lang w:eastAsia="en-GB"/>
              </w:rPr>
              <w:t xml:space="preserve">(including those exposures that the AI uses IAA to determine the risk-weights) </w:t>
            </w:r>
            <w:r w:rsidRPr="00F84BA0">
              <w:rPr>
                <w:rFonts w:cs="Segoe UI"/>
                <w:sz w:val="17"/>
                <w:szCs w:val="17"/>
              </w:rPr>
              <w:t>under the BCR.</w:t>
            </w:r>
          </w:p>
        </w:tc>
      </w:tr>
      <w:tr w:rsidR="000369C7" w:rsidRPr="004E457E" w14:paraId="1213C60E" w14:textId="77777777" w:rsidTr="00C23506">
        <w:tc>
          <w:tcPr>
            <w:tcW w:w="567" w:type="dxa"/>
            <w:shd w:val="clear" w:color="auto" w:fill="auto"/>
          </w:tcPr>
          <w:p w14:paraId="347D6F31" w14:textId="77777777" w:rsidR="000369C7" w:rsidRPr="00F84BA0" w:rsidRDefault="000369C7" w:rsidP="00C23506">
            <w:pPr>
              <w:keepLines/>
              <w:tabs>
                <w:tab w:val="left" w:pos="150"/>
                <w:tab w:val="left" w:pos="397"/>
                <w:tab w:val="left" w:pos="794"/>
                <w:tab w:val="left" w:pos="1191"/>
              </w:tabs>
              <w:spacing w:before="40" w:after="40"/>
              <w:rPr>
                <w:rFonts w:cs="Segoe UI"/>
                <w:sz w:val="17"/>
                <w:szCs w:val="17"/>
              </w:rPr>
            </w:pPr>
            <w:r w:rsidRPr="00F84BA0">
              <w:rPr>
                <w:rFonts w:cs="Segoe UI"/>
                <w:sz w:val="17"/>
                <w:szCs w:val="17"/>
              </w:rPr>
              <w:t>19</w:t>
            </w:r>
          </w:p>
        </w:tc>
        <w:tc>
          <w:tcPr>
            <w:tcW w:w="8647" w:type="dxa"/>
            <w:shd w:val="clear" w:color="auto" w:fill="auto"/>
          </w:tcPr>
          <w:p w14:paraId="4B1F7D39" w14:textId="77777777" w:rsidR="000369C7" w:rsidRPr="00F84BA0" w:rsidRDefault="000369C7" w:rsidP="00C23506">
            <w:pPr>
              <w:keepLines/>
              <w:tabs>
                <w:tab w:val="left" w:pos="397"/>
                <w:tab w:val="left" w:pos="794"/>
                <w:tab w:val="left" w:pos="1191"/>
              </w:tabs>
              <w:spacing w:before="40" w:after="40"/>
              <w:jc w:val="both"/>
              <w:rPr>
                <w:rFonts w:cs="Segoe UI"/>
                <w:sz w:val="17"/>
                <w:szCs w:val="17"/>
              </w:rPr>
            </w:pPr>
            <w:r w:rsidRPr="00F84BA0">
              <w:rPr>
                <w:rFonts w:cs="Segoe UI"/>
                <w:i/>
                <w:sz w:val="17"/>
                <w:szCs w:val="17"/>
                <w:lang w:eastAsia="en-GB"/>
              </w:rPr>
              <w:t>Of which SEC-SA</w:t>
            </w:r>
            <w:r w:rsidRPr="00F84BA0">
              <w:rPr>
                <w:rFonts w:cs="Segoe UI"/>
                <w:sz w:val="17"/>
                <w:szCs w:val="17"/>
                <w:lang w:eastAsia="en-GB"/>
              </w:rPr>
              <w:t xml:space="preserve">: </w:t>
            </w:r>
            <w:r w:rsidRPr="00F84BA0">
              <w:rPr>
                <w:rFonts w:cs="Segoe UI"/>
                <w:sz w:val="17"/>
                <w:szCs w:val="17"/>
              </w:rPr>
              <w:t xml:space="preserve">RWA and capital requirements calculated using the </w:t>
            </w:r>
            <w:r w:rsidRPr="00F84BA0">
              <w:rPr>
                <w:rFonts w:cs="Segoe UI"/>
                <w:sz w:val="17"/>
                <w:szCs w:val="17"/>
                <w:lang w:eastAsia="en-GB"/>
              </w:rPr>
              <w:t xml:space="preserve">SEC-SA </w:t>
            </w:r>
            <w:r w:rsidRPr="00F84BA0">
              <w:rPr>
                <w:rFonts w:cs="Segoe UI"/>
                <w:sz w:val="17"/>
                <w:szCs w:val="17"/>
              </w:rPr>
              <w:t>under the BCR.</w:t>
            </w:r>
          </w:p>
        </w:tc>
      </w:tr>
      <w:tr w:rsidR="000369C7" w:rsidRPr="004E457E" w14:paraId="59BA4B0E" w14:textId="77777777" w:rsidTr="00C23506">
        <w:tc>
          <w:tcPr>
            <w:tcW w:w="567" w:type="dxa"/>
            <w:shd w:val="clear" w:color="auto" w:fill="auto"/>
          </w:tcPr>
          <w:p w14:paraId="1BA1D277" w14:textId="77777777" w:rsidR="000369C7" w:rsidRPr="00F84BA0" w:rsidRDefault="000369C7" w:rsidP="00C23506">
            <w:pPr>
              <w:keepLines/>
              <w:tabs>
                <w:tab w:val="left" w:pos="150"/>
                <w:tab w:val="left" w:pos="397"/>
                <w:tab w:val="left" w:pos="794"/>
                <w:tab w:val="left" w:pos="1191"/>
              </w:tabs>
              <w:spacing w:before="40" w:after="40"/>
              <w:rPr>
                <w:rFonts w:cs="Segoe UI"/>
                <w:sz w:val="17"/>
                <w:szCs w:val="17"/>
              </w:rPr>
            </w:pPr>
            <w:r w:rsidRPr="00F84BA0">
              <w:rPr>
                <w:rFonts w:cs="Segoe UI"/>
                <w:sz w:val="17"/>
                <w:szCs w:val="17"/>
              </w:rPr>
              <w:t>19a</w:t>
            </w:r>
          </w:p>
        </w:tc>
        <w:tc>
          <w:tcPr>
            <w:tcW w:w="8647" w:type="dxa"/>
            <w:shd w:val="clear" w:color="auto" w:fill="auto"/>
          </w:tcPr>
          <w:p w14:paraId="2A13EEBB" w14:textId="77777777" w:rsidR="000369C7" w:rsidRPr="00F84BA0" w:rsidRDefault="000369C7" w:rsidP="00C23506">
            <w:pPr>
              <w:keepLines/>
              <w:tabs>
                <w:tab w:val="left" w:pos="150"/>
                <w:tab w:val="left" w:pos="397"/>
                <w:tab w:val="left" w:pos="794"/>
                <w:tab w:val="left" w:pos="1191"/>
              </w:tabs>
              <w:spacing w:before="40" w:after="40"/>
              <w:jc w:val="both"/>
              <w:rPr>
                <w:rFonts w:cs="Segoe UI"/>
                <w:sz w:val="17"/>
                <w:szCs w:val="17"/>
              </w:rPr>
            </w:pPr>
            <w:r w:rsidRPr="00F84BA0">
              <w:rPr>
                <w:rFonts w:cs="Segoe UI"/>
                <w:i/>
                <w:sz w:val="17"/>
                <w:szCs w:val="17"/>
              </w:rPr>
              <w:t>Of which SEC-FBA</w:t>
            </w:r>
            <w:r w:rsidRPr="00F84BA0">
              <w:rPr>
                <w:rFonts w:cs="Segoe UI"/>
                <w:sz w:val="17"/>
                <w:szCs w:val="17"/>
              </w:rPr>
              <w:t xml:space="preserve">: RWA and capital requirements calculated using the </w:t>
            </w:r>
            <w:r w:rsidRPr="00F84BA0">
              <w:rPr>
                <w:rFonts w:cs="Segoe UI"/>
                <w:sz w:val="17"/>
                <w:szCs w:val="17"/>
                <w:lang w:eastAsia="en-GB"/>
              </w:rPr>
              <w:t xml:space="preserve">SEC-FBA </w:t>
            </w:r>
            <w:r w:rsidRPr="00F84BA0">
              <w:rPr>
                <w:rFonts w:cs="Segoe UI"/>
                <w:sz w:val="17"/>
                <w:szCs w:val="17"/>
              </w:rPr>
              <w:t>under the BCR.</w:t>
            </w:r>
          </w:p>
        </w:tc>
      </w:tr>
      <w:tr w:rsidR="000369C7" w:rsidRPr="004E457E" w14:paraId="4C64CB79" w14:textId="77777777" w:rsidTr="00C23506">
        <w:tc>
          <w:tcPr>
            <w:tcW w:w="567" w:type="dxa"/>
            <w:shd w:val="clear" w:color="auto" w:fill="auto"/>
          </w:tcPr>
          <w:p w14:paraId="5ADE5118" w14:textId="77777777" w:rsidR="000369C7" w:rsidRPr="00D1767E" w:rsidRDefault="000369C7" w:rsidP="00C23506">
            <w:pPr>
              <w:keepLines/>
              <w:tabs>
                <w:tab w:val="left" w:pos="150"/>
                <w:tab w:val="left" w:pos="397"/>
                <w:tab w:val="left" w:pos="794"/>
                <w:tab w:val="left" w:pos="1191"/>
              </w:tabs>
              <w:spacing w:before="40" w:after="40"/>
              <w:rPr>
                <w:rFonts w:cs="Segoe UI"/>
                <w:sz w:val="17"/>
                <w:szCs w:val="17"/>
              </w:rPr>
            </w:pPr>
            <w:r w:rsidRPr="00D1767E">
              <w:rPr>
                <w:rFonts w:cs="Segoe UI"/>
                <w:sz w:val="17"/>
                <w:szCs w:val="17"/>
              </w:rPr>
              <w:t>20</w:t>
            </w:r>
          </w:p>
        </w:tc>
        <w:tc>
          <w:tcPr>
            <w:tcW w:w="8647" w:type="dxa"/>
            <w:shd w:val="clear" w:color="auto" w:fill="auto"/>
          </w:tcPr>
          <w:p w14:paraId="1DD9ECF9" w14:textId="63C839D6" w:rsidR="000369C7" w:rsidRPr="004E457E" w:rsidRDefault="000369C7" w:rsidP="00C23506">
            <w:pPr>
              <w:keepLines/>
              <w:tabs>
                <w:tab w:val="left" w:pos="150"/>
                <w:tab w:val="left" w:pos="397"/>
                <w:tab w:val="left" w:pos="794"/>
                <w:tab w:val="left" w:pos="1191"/>
              </w:tabs>
              <w:spacing w:before="40" w:after="40"/>
              <w:jc w:val="both"/>
              <w:rPr>
                <w:rFonts w:cs="Segoe UI"/>
                <w:i/>
                <w:sz w:val="17"/>
                <w:szCs w:val="17"/>
              </w:rPr>
            </w:pPr>
            <w:r w:rsidRPr="007B2B5C">
              <w:rPr>
                <w:rFonts w:cs="Segoe UI"/>
                <w:i/>
                <w:sz w:val="17"/>
                <w:szCs w:val="17"/>
              </w:rPr>
              <w:t>Market risk</w:t>
            </w:r>
            <w:r w:rsidRPr="007B2B5C">
              <w:rPr>
                <w:rFonts w:cs="Segoe UI"/>
                <w:sz w:val="17"/>
                <w:szCs w:val="17"/>
              </w:rPr>
              <w:t>: The amounts correspond to the RWA and capital requirements in the market risk framework (</w:t>
            </w:r>
            <w:r w:rsidRPr="00FE4698">
              <w:rPr>
                <w:rFonts w:cs="Segoe UI"/>
                <w:sz w:val="17"/>
                <w:szCs w:val="17"/>
              </w:rPr>
              <w:t xml:space="preserve">Part VI of this document), which also includes capital charges for securitization exposures booked in the trading book but excludes the </w:t>
            </w:r>
            <w:r>
              <w:rPr>
                <w:rFonts w:cs="Segoe UI"/>
                <w:sz w:val="17"/>
                <w:szCs w:val="17"/>
              </w:rPr>
              <w:t xml:space="preserve">capital charges for </w:t>
            </w:r>
            <w:r w:rsidRPr="005B5690">
              <w:rPr>
                <w:sz w:val="17"/>
              </w:rPr>
              <w:t>counterparty credit risk</w:t>
            </w:r>
            <w:r>
              <w:rPr>
                <w:rFonts w:cs="Segoe UI"/>
                <w:sz w:val="17"/>
                <w:szCs w:val="17"/>
              </w:rPr>
              <w:t>, default fund contributions and CVA risk</w:t>
            </w:r>
            <w:r w:rsidRPr="00FE4698">
              <w:rPr>
                <w:rFonts w:cs="Segoe UI"/>
                <w:sz w:val="17"/>
                <w:szCs w:val="17"/>
              </w:rPr>
              <w:t xml:space="preserve"> associated with covered positions (reported in Part IV</w:t>
            </w:r>
            <w:r>
              <w:rPr>
                <w:rFonts w:cs="Segoe UI"/>
                <w:sz w:val="17"/>
                <w:szCs w:val="17"/>
              </w:rPr>
              <w:t xml:space="preserve"> and Part IVA</w:t>
            </w:r>
            <w:r w:rsidRPr="00FE4698">
              <w:rPr>
                <w:rFonts w:cs="Segoe UI"/>
                <w:sz w:val="17"/>
                <w:szCs w:val="17"/>
              </w:rPr>
              <w:t xml:space="preserve"> of this document and</w:t>
            </w:r>
            <w:r>
              <w:rPr>
                <w:rFonts w:cs="Segoe UI"/>
                <w:sz w:val="17"/>
                <w:szCs w:val="17"/>
              </w:rPr>
              <w:t xml:space="preserve"> in</w:t>
            </w:r>
            <w:r w:rsidRPr="00FE4698">
              <w:rPr>
                <w:rFonts w:cs="Segoe UI"/>
                <w:sz w:val="17"/>
                <w:szCs w:val="17"/>
              </w:rPr>
              <w:t xml:space="preserve"> row</w:t>
            </w:r>
            <w:r>
              <w:rPr>
                <w:rFonts w:cs="Segoe UI"/>
                <w:sz w:val="17"/>
                <w:szCs w:val="17"/>
              </w:rPr>
              <w:t>s</w:t>
            </w:r>
            <w:r w:rsidRPr="00FE4698">
              <w:rPr>
                <w:rFonts w:cs="Segoe UI"/>
                <w:sz w:val="17"/>
                <w:szCs w:val="17"/>
              </w:rPr>
              <w:t xml:space="preserve"> 6</w:t>
            </w:r>
            <w:r>
              <w:rPr>
                <w:rFonts w:cs="Segoe UI"/>
                <w:sz w:val="17"/>
                <w:szCs w:val="17"/>
              </w:rPr>
              <w:t xml:space="preserve"> and 10</w:t>
            </w:r>
            <w:r w:rsidRPr="00FE4698">
              <w:rPr>
                <w:rFonts w:cs="Segoe UI"/>
                <w:sz w:val="17"/>
                <w:szCs w:val="17"/>
              </w:rPr>
              <w:t xml:space="preserve"> of this template).  An AI should derive the market risk RWAs by multiplying t</w:t>
            </w:r>
            <w:r w:rsidRPr="007B2B5C">
              <w:rPr>
                <w:rFonts w:cs="Segoe UI"/>
                <w:sz w:val="17"/>
                <w:szCs w:val="17"/>
              </w:rPr>
              <w:t>he market risk capital requirements by 12.5.</w:t>
            </w:r>
          </w:p>
        </w:tc>
      </w:tr>
      <w:tr w:rsidR="000369C7" w:rsidRPr="004E457E" w14:paraId="6BFCF27E" w14:textId="77777777" w:rsidTr="00C23506">
        <w:tc>
          <w:tcPr>
            <w:tcW w:w="567" w:type="dxa"/>
            <w:shd w:val="clear" w:color="auto" w:fill="auto"/>
          </w:tcPr>
          <w:p w14:paraId="51DEB194" w14:textId="77777777" w:rsidR="000369C7" w:rsidRPr="00D1767E" w:rsidRDefault="000369C7" w:rsidP="00C23506">
            <w:pPr>
              <w:keepLines/>
              <w:tabs>
                <w:tab w:val="left" w:pos="150"/>
                <w:tab w:val="left" w:pos="397"/>
                <w:tab w:val="left" w:pos="794"/>
                <w:tab w:val="left" w:pos="1191"/>
              </w:tabs>
              <w:spacing w:before="40" w:after="40"/>
              <w:rPr>
                <w:rFonts w:cs="Segoe UI"/>
                <w:sz w:val="17"/>
                <w:szCs w:val="17"/>
              </w:rPr>
            </w:pPr>
            <w:r w:rsidRPr="00D1767E">
              <w:rPr>
                <w:rFonts w:cs="Segoe UI"/>
                <w:sz w:val="17"/>
                <w:szCs w:val="17"/>
              </w:rPr>
              <w:lastRenderedPageBreak/>
              <w:t>21</w:t>
            </w:r>
          </w:p>
        </w:tc>
        <w:tc>
          <w:tcPr>
            <w:tcW w:w="8647" w:type="dxa"/>
            <w:shd w:val="clear" w:color="auto" w:fill="auto"/>
          </w:tcPr>
          <w:p w14:paraId="674F65B0" w14:textId="4AF51306" w:rsidR="000369C7" w:rsidRPr="004E457E" w:rsidRDefault="000369C7" w:rsidP="00C23506">
            <w:pPr>
              <w:keepLines/>
              <w:tabs>
                <w:tab w:val="left" w:pos="397"/>
                <w:tab w:val="left" w:pos="794"/>
                <w:tab w:val="left" w:pos="1191"/>
              </w:tabs>
              <w:spacing w:before="40" w:after="40"/>
              <w:jc w:val="both"/>
              <w:rPr>
                <w:rFonts w:cs="Segoe UI"/>
                <w:sz w:val="17"/>
                <w:szCs w:val="17"/>
              </w:rPr>
            </w:pPr>
            <w:r w:rsidRPr="004E457E">
              <w:rPr>
                <w:rFonts w:cs="Segoe UI"/>
                <w:i/>
                <w:sz w:val="17"/>
                <w:szCs w:val="17"/>
                <w:lang w:eastAsia="en-GB"/>
              </w:rPr>
              <w:t xml:space="preserve">Of which STM </w:t>
            </w:r>
            <w:r w:rsidRPr="009A7FDD">
              <w:rPr>
                <w:rFonts w:cs="Segoe UI"/>
                <w:i/>
                <w:sz w:val="17"/>
                <w:szCs w:val="17"/>
                <w:lang w:eastAsia="en-GB"/>
              </w:rPr>
              <w:t>approach</w:t>
            </w:r>
            <w:r w:rsidRPr="009A7FDD">
              <w:rPr>
                <w:rFonts w:cs="Segoe UI"/>
                <w:sz w:val="17"/>
                <w:szCs w:val="17"/>
                <w:lang w:eastAsia="en-GB"/>
              </w:rPr>
              <w:t xml:space="preserve">: </w:t>
            </w:r>
            <w:r w:rsidRPr="009A7FDD">
              <w:rPr>
                <w:rFonts w:cs="Segoe UI"/>
                <w:sz w:val="17"/>
                <w:szCs w:val="17"/>
              </w:rPr>
              <w:t>RWA and capital requirements calculated using the STM approach under the BCR, including capital charges for securitization exposur</w:t>
            </w:r>
            <w:r w:rsidRPr="007B2B5C">
              <w:rPr>
                <w:rFonts w:cs="Segoe UI"/>
                <w:sz w:val="17"/>
                <w:szCs w:val="17"/>
              </w:rPr>
              <w:t>es booked in the trading book</w:t>
            </w:r>
            <w:r w:rsidRPr="004E457E">
              <w:rPr>
                <w:rFonts w:cs="Segoe UI"/>
                <w:sz w:val="17"/>
                <w:szCs w:val="17"/>
              </w:rPr>
              <w:t xml:space="preserve">.  </w:t>
            </w:r>
            <w:r w:rsidRPr="00214964">
              <w:rPr>
                <w:rFonts w:cs="Segoe UI"/>
                <w:sz w:val="17"/>
                <w:szCs w:val="17"/>
              </w:rPr>
              <w:t>The value in</w:t>
            </w:r>
            <w:r w:rsidRPr="00214964">
              <w:rPr>
                <w:rFonts w:cs="Segoe UI"/>
                <w:sz w:val="17"/>
                <w:szCs w:val="17"/>
                <w:lang w:eastAsia="en-GB"/>
              </w:rPr>
              <w:t xml:space="preserve"> </w:t>
            </w:r>
            <w:r w:rsidRPr="007E5517">
              <w:rPr>
                <w:rFonts w:cs="Segoe UI"/>
                <w:sz w:val="17"/>
                <w:szCs w:val="17"/>
                <w:lang w:eastAsia="en-GB"/>
              </w:rPr>
              <w:t>[OV1:21/c] is equal to the value in [MR1:12/a]</w:t>
            </w:r>
            <w:r w:rsidRPr="00214964">
              <w:rPr>
                <w:rFonts w:cs="Segoe UI"/>
                <w:sz w:val="17"/>
                <w:szCs w:val="17"/>
                <w:lang w:eastAsia="en-GB"/>
              </w:rPr>
              <w:t>.</w:t>
            </w:r>
          </w:p>
        </w:tc>
      </w:tr>
      <w:tr w:rsidR="000369C7" w:rsidRPr="004E457E" w14:paraId="33456E3E" w14:textId="77777777" w:rsidTr="00C23506">
        <w:tc>
          <w:tcPr>
            <w:tcW w:w="567" w:type="dxa"/>
            <w:shd w:val="clear" w:color="auto" w:fill="auto"/>
          </w:tcPr>
          <w:p w14:paraId="61EFB8A4" w14:textId="77777777" w:rsidR="000369C7" w:rsidRPr="00D1767E" w:rsidRDefault="000369C7" w:rsidP="00C23506">
            <w:pPr>
              <w:keepLines/>
              <w:tabs>
                <w:tab w:val="left" w:pos="150"/>
                <w:tab w:val="left" w:pos="397"/>
                <w:tab w:val="left" w:pos="794"/>
                <w:tab w:val="left" w:pos="1191"/>
              </w:tabs>
              <w:spacing w:before="40" w:after="40"/>
              <w:rPr>
                <w:rFonts w:cs="Segoe UI"/>
                <w:sz w:val="17"/>
                <w:szCs w:val="17"/>
              </w:rPr>
            </w:pPr>
            <w:r w:rsidRPr="00D1767E">
              <w:rPr>
                <w:rFonts w:cs="Segoe UI"/>
                <w:sz w:val="17"/>
                <w:szCs w:val="17"/>
              </w:rPr>
              <w:t>22</w:t>
            </w:r>
          </w:p>
        </w:tc>
        <w:tc>
          <w:tcPr>
            <w:tcW w:w="8647" w:type="dxa"/>
            <w:shd w:val="clear" w:color="auto" w:fill="auto"/>
          </w:tcPr>
          <w:p w14:paraId="448B68EF" w14:textId="27E524FF" w:rsidR="000369C7" w:rsidRPr="00214964" w:rsidRDefault="000369C7" w:rsidP="00C23506">
            <w:pPr>
              <w:keepLines/>
              <w:tabs>
                <w:tab w:val="left" w:pos="397"/>
                <w:tab w:val="left" w:pos="794"/>
                <w:tab w:val="left" w:pos="1191"/>
              </w:tabs>
              <w:spacing w:before="40" w:after="40"/>
              <w:jc w:val="both"/>
              <w:rPr>
                <w:rFonts w:cs="Segoe UI"/>
                <w:sz w:val="17"/>
                <w:szCs w:val="17"/>
              </w:rPr>
            </w:pPr>
            <w:r w:rsidRPr="00214964">
              <w:rPr>
                <w:rFonts w:cs="Segoe UI"/>
                <w:i/>
                <w:sz w:val="17"/>
                <w:szCs w:val="17"/>
                <w:lang w:eastAsia="en-GB"/>
              </w:rPr>
              <w:t xml:space="preserve">Of which </w:t>
            </w:r>
            <w:r w:rsidRPr="00C00DC1">
              <w:rPr>
                <w:i/>
                <w:sz w:val="17"/>
              </w:rPr>
              <w:t>IMA</w:t>
            </w:r>
            <w:r w:rsidRPr="00C00DC1">
              <w:rPr>
                <w:rFonts w:cs="Segoe UI"/>
                <w:sz w:val="17"/>
                <w:szCs w:val="17"/>
                <w:lang w:eastAsia="en-GB"/>
              </w:rPr>
              <w:t>:</w:t>
            </w:r>
            <w:r w:rsidRPr="00214964">
              <w:rPr>
                <w:rFonts w:cs="Segoe UI"/>
                <w:sz w:val="17"/>
                <w:szCs w:val="17"/>
                <w:lang w:eastAsia="en-GB"/>
              </w:rPr>
              <w:t xml:space="preserve"> </w:t>
            </w:r>
            <w:r w:rsidRPr="00214964">
              <w:rPr>
                <w:rFonts w:cs="Segoe UI"/>
                <w:sz w:val="17"/>
                <w:szCs w:val="17"/>
              </w:rPr>
              <w:t xml:space="preserve">RWA and capital requirements calculated using the </w:t>
            </w:r>
            <w:r w:rsidRPr="00C00DC1">
              <w:rPr>
                <w:sz w:val="17"/>
              </w:rPr>
              <w:t>IMA</w:t>
            </w:r>
            <w:r w:rsidRPr="00214964">
              <w:rPr>
                <w:rFonts w:cs="Segoe UI"/>
                <w:sz w:val="17"/>
                <w:szCs w:val="17"/>
              </w:rPr>
              <w:t xml:space="preserve"> under the BCR.  The value in </w:t>
            </w:r>
            <w:r w:rsidRPr="007E5517">
              <w:rPr>
                <w:rFonts w:cs="Segoe UI"/>
                <w:sz w:val="17"/>
                <w:szCs w:val="17"/>
                <w:lang w:eastAsia="en-GB"/>
              </w:rPr>
              <w:t>[OV1:22/c] is equal to the value in [MR2:16 minus MR2:13]</w:t>
            </w:r>
            <w:r w:rsidRPr="00214964">
              <w:rPr>
                <w:rFonts w:cs="Segoe UI"/>
                <w:sz w:val="17"/>
                <w:szCs w:val="17"/>
              </w:rPr>
              <w:t>.</w:t>
            </w:r>
          </w:p>
        </w:tc>
      </w:tr>
      <w:tr w:rsidR="000369C7" w:rsidRPr="004E457E" w14:paraId="4FA4CCF5" w14:textId="77777777" w:rsidTr="00C23506">
        <w:tc>
          <w:tcPr>
            <w:tcW w:w="567" w:type="dxa"/>
            <w:shd w:val="clear" w:color="auto" w:fill="auto"/>
          </w:tcPr>
          <w:p w14:paraId="09A31D10" w14:textId="77777777" w:rsidR="000369C7" w:rsidRPr="009A7FDD" w:rsidRDefault="000369C7" w:rsidP="00C23506">
            <w:pPr>
              <w:keepLines/>
              <w:tabs>
                <w:tab w:val="left" w:pos="150"/>
                <w:tab w:val="left" w:pos="397"/>
                <w:tab w:val="left" w:pos="794"/>
                <w:tab w:val="left" w:pos="1191"/>
              </w:tabs>
              <w:spacing w:before="40" w:after="40"/>
              <w:rPr>
                <w:rFonts w:cs="Segoe UI"/>
                <w:sz w:val="17"/>
                <w:szCs w:val="17"/>
              </w:rPr>
            </w:pPr>
            <w:r w:rsidRPr="009A7FDD">
              <w:rPr>
                <w:rFonts w:cs="Segoe UI"/>
                <w:sz w:val="17"/>
                <w:szCs w:val="17"/>
              </w:rPr>
              <w:t>22a</w:t>
            </w:r>
          </w:p>
        </w:tc>
        <w:tc>
          <w:tcPr>
            <w:tcW w:w="8647" w:type="dxa"/>
            <w:shd w:val="clear" w:color="auto" w:fill="auto"/>
          </w:tcPr>
          <w:p w14:paraId="519EAECD" w14:textId="77777777" w:rsidR="000369C7" w:rsidRPr="009A7FDD" w:rsidRDefault="000369C7" w:rsidP="00C23506">
            <w:pPr>
              <w:keepLines/>
              <w:tabs>
                <w:tab w:val="left" w:pos="397"/>
                <w:tab w:val="left" w:pos="794"/>
                <w:tab w:val="left" w:pos="1191"/>
              </w:tabs>
              <w:spacing w:before="40" w:after="40"/>
              <w:jc w:val="both"/>
              <w:rPr>
                <w:rFonts w:cs="Segoe UI"/>
                <w:i/>
                <w:sz w:val="17"/>
                <w:szCs w:val="17"/>
                <w:lang w:eastAsia="en-GB"/>
              </w:rPr>
            </w:pPr>
            <w:r w:rsidRPr="009A7FDD">
              <w:rPr>
                <w:rFonts w:cs="Segoe UI"/>
                <w:i/>
                <w:sz w:val="17"/>
                <w:szCs w:val="17"/>
                <w:lang w:eastAsia="en-GB"/>
              </w:rPr>
              <w:t>Of which SSTM approach</w:t>
            </w:r>
            <w:r w:rsidRPr="009A7FDD">
              <w:rPr>
                <w:rFonts w:cs="Segoe UI"/>
                <w:sz w:val="17"/>
                <w:szCs w:val="17"/>
                <w:lang w:eastAsia="en-GB"/>
              </w:rPr>
              <w:t xml:space="preserve">: </w:t>
            </w:r>
            <w:r w:rsidRPr="009A7FDD">
              <w:rPr>
                <w:rFonts w:cs="Segoe UI"/>
                <w:sz w:val="17"/>
                <w:szCs w:val="17"/>
              </w:rPr>
              <w:t>RWA and capital requirements calculated using the SSTM approach under the BCR.</w:t>
            </w:r>
          </w:p>
        </w:tc>
      </w:tr>
      <w:tr w:rsidR="000369C7" w:rsidRPr="004E457E" w14:paraId="474F11BC" w14:textId="77777777" w:rsidTr="00F20132">
        <w:trPr>
          <w:trHeight w:val="2373"/>
        </w:trPr>
        <w:tc>
          <w:tcPr>
            <w:tcW w:w="567" w:type="dxa"/>
            <w:shd w:val="clear" w:color="auto" w:fill="auto"/>
          </w:tcPr>
          <w:p w14:paraId="0057AEB8" w14:textId="77777777" w:rsidR="000369C7" w:rsidRPr="00622192" w:rsidRDefault="000369C7" w:rsidP="00C23506">
            <w:pPr>
              <w:keepLines/>
              <w:tabs>
                <w:tab w:val="left" w:pos="150"/>
                <w:tab w:val="left" w:pos="397"/>
                <w:tab w:val="left" w:pos="794"/>
                <w:tab w:val="left" w:pos="1191"/>
              </w:tabs>
              <w:spacing w:before="40" w:after="40"/>
              <w:rPr>
                <w:rFonts w:cs="Segoe UI"/>
                <w:sz w:val="17"/>
                <w:szCs w:val="17"/>
                <w:highlight w:val="yellow"/>
              </w:rPr>
            </w:pPr>
            <w:r w:rsidRPr="008C194E">
              <w:rPr>
                <w:rFonts w:cs="Segoe UI"/>
                <w:sz w:val="17"/>
                <w:szCs w:val="17"/>
              </w:rPr>
              <w:t>23</w:t>
            </w:r>
          </w:p>
        </w:tc>
        <w:tc>
          <w:tcPr>
            <w:tcW w:w="8647" w:type="dxa"/>
            <w:shd w:val="clear" w:color="auto" w:fill="auto"/>
          </w:tcPr>
          <w:p w14:paraId="3ED688E8" w14:textId="40408A1C" w:rsidR="000369C7" w:rsidRPr="003E6DD6" w:rsidRDefault="000369C7" w:rsidP="000D7702">
            <w:pPr>
              <w:keepLines/>
              <w:tabs>
                <w:tab w:val="left" w:pos="397"/>
                <w:tab w:val="left" w:pos="794"/>
                <w:tab w:val="left" w:pos="1191"/>
              </w:tabs>
              <w:spacing w:before="40" w:after="40"/>
              <w:jc w:val="both"/>
              <w:rPr>
                <w:rFonts w:cs="Segoe UI"/>
                <w:sz w:val="17"/>
                <w:szCs w:val="17"/>
                <w:highlight w:val="yellow"/>
                <w:lang w:eastAsia="en-GB"/>
              </w:rPr>
            </w:pPr>
            <w:r w:rsidRPr="007B5E64">
              <w:rPr>
                <w:rFonts w:cs="Segoe UI"/>
                <w:i/>
                <w:sz w:val="17"/>
                <w:szCs w:val="17"/>
                <w:lang w:eastAsia="en-GB"/>
              </w:rPr>
              <w:t xml:space="preserve">Capital charge for </w:t>
            </w:r>
            <w:r>
              <w:rPr>
                <w:rFonts w:cs="Segoe UI"/>
                <w:i/>
                <w:sz w:val="17"/>
                <w:szCs w:val="17"/>
                <w:lang w:eastAsia="en-GB"/>
              </w:rPr>
              <w:t xml:space="preserve">moving exposures </w:t>
            </w:r>
            <w:r w:rsidRPr="007B5E64">
              <w:rPr>
                <w:rFonts w:cs="Segoe UI"/>
                <w:i/>
                <w:sz w:val="17"/>
                <w:szCs w:val="17"/>
                <w:lang w:eastAsia="en-GB"/>
              </w:rPr>
              <w:t>between trading book and banking book</w:t>
            </w:r>
            <w:r w:rsidRPr="007B5E64">
              <w:rPr>
                <w:rFonts w:cs="Segoe UI"/>
                <w:sz w:val="17"/>
                <w:szCs w:val="17"/>
                <w:lang w:eastAsia="en-GB"/>
              </w:rPr>
              <w:t xml:space="preserve">: </w:t>
            </w:r>
            <w:r>
              <w:rPr>
                <w:rFonts w:cs="Segoe UI"/>
                <w:sz w:val="17"/>
                <w:szCs w:val="17"/>
                <w:lang w:eastAsia="en-GB"/>
              </w:rPr>
              <w:t>O</w:t>
            </w:r>
            <w:r w:rsidRPr="00971F87">
              <w:rPr>
                <w:rFonts w:cs="Segoe UI"/>
                <w:sz w:val="17"/>
                <w:szCs w:val="17"/>
                <w:lang w:eastAsia="en-GB"/>
              </w:rPr>
              <w:t xml:space="preserve">utstanding accumulated capital surcharge imposed on the </w:t>
            </w:r>
            <w:r>
              <w:rPr>
                <w:rFonts w:cs="Segoe UI"/>
                <w:sz w:val="17"/>
                <w:szCs w:val="17"/>
                <w:lang w:eastAsia="en-GB"/>
              </w:rPr>
              <w:t xml:space="preserve">AI </w:t>
            </w:r>
            <w:r w:rsidRPr="00971F87">
              <w:rPr>
                <w:rFonts w:cs="Segoe UI"/>
                <w:sz w:val="17"/>
                <w:szCs w:val="17"/>
                <w:lang w:eastAsia="en-GB"/>
              </w:rPr>
              <w:t xml:space="preserve">in accordance with </w:t>
            </w:r>
            <w:r>
              <w:rPr>
                <w:rFonts w:cs="Segoe UI"/>
                <w:sz w:val="17"/>
                <w:szCs w:val="17"/>
                <w:lang w:eastAsia="en-GB"/>
              </w:rPr>
              <w:t>the market risk framework in the BCR</w:t>
            </w:r>
            <w:r w:rsidRPr="00971F87">
              <w:rPr>
                <w:rFonts w:cs="Segoe UI"/>
                <w:sz w:val="17"/>
                <w:szCs w:val="17"/>
                <w:lang w:eastAsia="en-GB"/>
              </w:rPr>
              <w:t xml:space="preserve"> when the total capital charge (across banking book and trading book) of a</w:t>
            </w:r>
            <w:r>
              <w:rPr>
                <w:rFonts w:cs="Segoe UI"/>
                <w:sz w:val="17"/>
                <w:szCs w:val="17"/>
                <w:lang w:eastAsia="en-GB"/>
              </w:rPr>
              <w:t xml:space="preserve">n AI </w:t>
            </w:r>
            <w:r w:rsidRPr="00971F87">
              <w:rPr>
                <w:rFonts w:cs="Segoe UI"/>
                <w:sz w:val="17"/>
                <w:szCs w:val="17"/>
                <w:lang w:eastAsia="en-GB"/>
              </w:rPr>
              <w:t xml:space="preserve">is reduced as a result of the instruments being </w:t>
            </w:r>
            <w:r>
              <w:rPr>
                <w:rFonts w:cs="Segoe UI"/>
                <w:sz w:val="17"/>
                <w:szCs w:val="17"/>
                <w:lang w:eastAsia="en-GB"/>
              </w:rPr>
              <w:t>moved</w:t>
            </w:r>
            <w:r w:rsidRPr="00971F87">
              <w:rPr>
                <w:rFonts w:cs="Segoe UI"/>
                <w:sz w:val="17"/>
                <w:szCs w:val="17"/>
                <w:lang w:eastAsia="en-GB"/>
              </w:rPr>
              <w:t xml:space="preserve"> between the trading book and the banking book after their </w:t>
            </w:r>
            <w:r>
              <w:rPr>
                <w:rFonts w:cs="Segoe UI"/>
                <w:sz w:val="17"/>
                <w:szCs w:val="17"/>
                <w:lang w:eastAsia="en-GB"/>
              </w:rPr>
              <w:t>initial assignment</w:t>
            </w:r>
            <w:r w:rsidRPr="00971F87">
              <w:rPr>
                <w:rFonts w:cs="Segoe UI"/>
                <w:sz w:val="17"/>
                <w:szCs w:val="17"/>
                <w:lang w:eastAsia="en-GB"/>
              </w:rPr>
              <w:t xml:space="preserve">. </w:t>
            </w:r>
            <w:r>
              <w:rPr>
                <w:rFonts w:cs="Segoe UI"/>
                <w:sz w:val="17"/>
                <w:szCs w:val="17"/>
                <w:lang w:eastAsia="en-GB"/>
              </w:rPr>
              <w:t xml:space="preserve"> </w:t>
            </w:r>
            <w:r w:rsidRPr="00971F87">
              <w:rPr>
                <w:rFonts w:cs="Segoe UI"/>
                <w:sz w:val="17"/>
                <w:szCs w:val="17"/>
                <w:lang w:eastAsia="en-GB"/>
              </w:rPr>
              <w:t>The outstanding accumulated capital surcharge takes into account any adjustment due to run-off</w:t>
            </w:r>
            <w:r>
              <w:rPr>
                <w:rFonts w:cs="Segoe UI"/>
                <w:sz w:val="17"/>
                <w:szCs w:val="17"/>
                <w:lang w:eastAsia="en-GB"/>
              </w:rPr>
              <w:t xml:space="preserve"> </w:t>
            </w:r>
            <w:r w:rsidRPr="00971F87">
              <w:rPr>
                <w:rFonts w:cs="Segoe UI"/>
                <w:sz w:val="17"/>
                <w:szCs w:val="17"/>
                <w:lang w:eastAsia="en-GB"/>
              </w:rPr>
              <w:t xml:space="preserve">as the positions mature or expire, in a manner agreed with the </w:t>
            </w:r>
            <w:r>
              <w:rPr>
                <w:rFonts w:cs="Segoe UI"/>
                <w:sz w:val="17"/>
                <w:szCs w:val="17"/>
                <w:lang w:eastAsia="en-GB"/>
              </w:rPr>
              <w:t>MA</w:t>
            </w:r>
            <w:r w:rsidRPr="00971F87">
              <w:rPr>
                <w:rFonts w:cs="Segoe UI"/>
                <w:sz w:val="17"/>
                <w:szCs w:val="17"/>
                <w:lang w:eastAsia="en-GB"/>
              </w:rPr>
              <w:t>.</w:t>
            </w:r>
          </w:p>
        </w:tc>
      </w:tr>
      <w:tr w:rsidR="000369C7" w:rsidRPr="004E457E" w14:paraId="2B118CA5" w14:textId="77777777" w:rsidTr="00C23506">
        <w:tc>
          <w:tcPr>
            <w:tcW w:w="567" w:type="dxa"/>
            <w:shd w:val="clear" w:color="auto" w:fill="auto"/>
          </w:tcPr>
          <w:p w14:paraId="3F683F46" w14:textId="77777777" w:rsidR="000369C7" w:rsidRPr="00622192" w:rsidRDefault="000369C7" w:rsidP="00C23506">
            <w:pPr>
              <w:keepLines/>
              <w:tabs>
                <w:tab w:val="left" w:pos="150"/>
                <w:tab w:val="left" w:pos="397"/>
                <w:tab w:val="left" w:pos="794"/>
                <w:tab w:val="left" w:pos="1191"/>
              </w:tabs>
              <w:spacing w:before="40" w:after="40"/>
              <w:rPr>
                <w:rFonts w:cs="Segoe UI"/>
                <w:sz w:val="17"/>
                <w:szCs w:val="17"/>
                <w:highlight w:val="yellow"/>
              </w:rPr>
            </w:pPr>
            <w:r w:rsidRPr="004B07C3">
              <w:rPr>
                <w:rFonts w:cs="Segoe UI"/>
                <w:sz w:val="17"/>
                <w:szCs w:val="17"/>
              </w:rPr>
              <w:t>24</w:t>
            </w:r>
          </w:p>
        </w:tc>
        <w:tc>
          <w:tcPr>
            <w:tcW w:w="8647" w:type="dxa"/>
            <w:shd w:val="clear" w:color="auto" w:fill="auto"/>
          </w:tcPr>
          <w:p w14:paraId="1D504270" w14:textId="77777777" w:rsidR="000369C7" w:rsidRPr="004E457E" w:rsidRDefault="000369C7" w:rsidP="00C23506">
            <w:pPr>
              <w:keepLines/>
              <w:tabs>
                <w:tab w:val="left" w:pos="150"/>
                <w:tab w:val="left" w:pos="397"/>
                <w:tab w:val="left" w:pos="794"/>
                <w:tab w:val="left" w:pos="1191"/>
              </w:tabs>
              <w:spacing w:before="40" w:after="40"/>
              <w:jc w:val="both"/>
              <w:rPr>
                <w:rFonts w:cs="Segoe UI"/>
                <w:sz w:val="17"/>
                <w:szCs w:val="17"/>
              </w:rPr>
            </w:pPr>
            <w:r w:rsidRPr="004E457E">
              <w:rPr>
                <w:rFonts w:cs="Segoe UI"/>
                <w:i/>
                <w:sz w:val="17"/>
                <w:szCs w:val="17"/>
              </w:rPr>
              <w:t>Operational risk</w:t>
            </w:r>
            <w:r w:rsidRPr="004B07C3">
              <w:rPr>
                <w:rFonts w:cs="Segoe UI"/>
                <w:sz w:val="17"/>
                <w:szCs w:val="17"/>
              </w:rPr>
              <w:t>:</w:t>
            </w:r>
            <w:r w:rsidRPr="004E457E">
              <w:rPr>
                <w:rFonts w:cs="Segoe UI"/>
                <w:sz w:val="17"/>
                <w:szCs w:val="17"/>
              </w:rPr>
              <w:t xml:space="preserve"> The amounts correspond to capital requirements in the operational risk framework specified in the BCR.</w:t>
            </w:r>
          </w:p>
        </w:tc>
      </w:tr>
      <w:tr w:rsidR="000369C7" w:rsidRPr="004E457E" w14:paraId="0BE15741" w14:textId="77777777" w:rsidTr="00C23506">
        <w:tc>
          <w:tcPr>
            <w:tcW w:w="567" w:type="dxa"/>
            <w:shd w:val="clear" w:color="auto" w:fill="auto"/>
          </w:tcPr>
          <w:p w14:paraId="5B4D5421" w14:textId="77777777" w:rsidR="000369C7" w:rsidRPr="004B07C3" w:rsidRDefault="000369C7" w:rsidP="00C23506">
            <w:pPr>
              <w:keepLines/>
              <w:tabs>
                <w:tab w:val="left" w:pos="150"/>
                <w:tab w:val="left" w:pos="397"/>
                <w:tab w:val="left" w:pos="794"/>
                <w:tab w:val="left" w:pos="1191"/>
              </w:tabs>
              <w:spacing w:before="40" w:after="40"/>
              <w:rPr>
                <w:rFonts w:cs="Segoe UI"/>
                <w:sz w:val="17"/>
                <w:szCs w:val="17"/>
              </w:rPr>
            </w:pPr>
            <w:r>
              <w:rPr>
                <w:rFonts w:cs="Segoe UI"/>
                <w:sz w:val="17"/>
                <w:szCs w:val="17"/>
              </w:rPr>
              <w:t>24a</w:t>
            </w:r>
          </w:p>
        </w:tc>
        <w:tc>
          <w:tcPr>
            <w:tcW w:w="8647" w:type="dxa"/>
            <w:shd w:val="clear" w:color="auto" w:fill="auto"/>
          </w:tcPr>
          <w:p w14:paraId="40A16D0D" w14:textId="77777777" w:rsidR="000369C7" w:rsidRPr="004E457E" w:rsidRDefault="000369C7" w:rsidP="00C23506">
            <w:pPr>
              <w:keepLines/>
              <w:tabs>
                <w:tab w:val="left" w:pos="150"/>
                <w:tab w:val="left" w:pos="397"/>
                <w:tab w:val="left" w:pos="794"/>
                <w:tab w:val="left" w:pos="1191"/>
              </w:tabs>
              <w:spacing w:before="40" w:after="40"/>
              <w:jc w:val="both"/>
              <w:rPr>
                <w:rFonts w:cs="Segoe UI"/>
                <w:i/>
                <w:sz w:val="17"/>
                <w:szCs w:val="17"/>
              </w:rPr>
            </w:pPr>
            <w:r>
              <w:rPr>
                <w:rFonts w:cs="Segoe UI"/>
                <w:i/>
                <w:sz w:val="17"/>
                <w:szCs w:val="17"/>
                <w:lang w:eastAsia="en-GB"/>
              </w:rPr>
              <w:t>Sovereign c</w:t>
            </w:r>
            <w:r w:rsidRPr="001234E1">
              <w:rPr>
                <w:rFonts w:cs="Segoe UI"/>
                <w:i/>
                <w:sz w:val="17"/>
                <w:szCs w:val="17"/>
                <w:lang w:eastAsia="en-GB"/>
              </w:rPr>
              <w:t>oncentration risk</w:t>
            </w:r>
            <w:r>
              <w:rPr>
                <w:rFonts w:cs="Segoe UI"/>
                <w:sz w:val="17"/>
                <w:szCs w:val="17"/>
                <w:lang w:eastAsia="en-GB"/>
              </w:rPr>
              <w:t xml:space="preserve">: </w:t>
            </w:r>
            <w:r w:rsidRPr="004E457E">
              <w:rPr>
                <w:rFonts w:cs="Segoe UI"/>
                <w:sz w:val="17"/>
                <w:szCs w:val="17"/>
              </w:rPr>
              <w:t xml:space="preserve">The amounts correspond to capital requirements in the </w:t>
            </w:r>
            <w:r>
              <w:rPr>
                <w:rFonts w:cs="Segoe UI"/>
                <w:sz w:val="17"/>
                <w:szCs w:val="17"/>
              </w:rPr>
              <w:t>sovereign concentration</w:t>
            </w:r>
            <w:r w:rsidRPr="004E457E">
              <w:rPr>
                <w:rFonts w:cs="Segoe UI"/>
                <w:sz w:val="17"/>
                <w:szCs w:val="17"/>
              </w:rPr>
              <w:t xml:space="preserve"> risk framework specified in the BCR.</w:t>
            </w:r>
          </w:p>
        </w:tc>
      </w:tr>
      <w:tr w:rsidR="000369C7" w:rsidRPr="004E457E" w14:paraId="28ACE0B0" w14:textId="77777777" w:rsidTr="00C23506">
        <w:tc>
          <w:tcPr>
            <w:tcW w:w="567" w:type="dxa"/>
            <w:shd w:val="clear" w:color="auto" w:fill="auto"/>
          </w:tcPr>
          <w:p w14:paraId="5EDD0FAF" w14:textId="77777777" w:rsidR="000369C7" w:rsidRPr="00AE64D1" w:rsidRDefault="000369C7" w:rsidP="00C23506">
            <w:pPr>
              <w:keepLines/>
              <w:tabs>
                <w:tab w:val="left" w:pos="150"/>
                <w:tab w:val="left" w:pos="397"/>
                <w:tab w:val="left" w:pos="794"/>
                <w:tab w:val="left" w:pos="1191"/>
              </w:tabs>
              <w:spacing w:before="40" w:after="40"/>
              <w:rPr>
                <w:rFonts w:cs="Segoe UI"/>
                <w:sz w:val="17"/>
                <w:szCs w:val="17"/>
              </w:rPr>
            </w:pPr>
            <w:r w:rsidRPr="00AE64D1">
              <w:rPr>
                <w:rFonts w:cs="Segoe UI"/>
                <w:sz w:val="17"/>
                <w:szCs w:val="17"/>
              </w:rPr>
              <w:t>25</w:t>
            </w:r>
          </w:p>
        </w:tc>
        <w:tc>
          <w:tcPr>
            <w:tcW w:w="8647" w:type="dxa"/>
            <w:shd w:val="clear" w:color="auto" w:fill="auto"/>
          </w:tcPr>
          <w:p w14:paraId="61AF99D1" w14:textId="77777777" w:rsidR="000369C7" w:rsidRPr="00AE64D1" w:rsidRDefault="000369C7" w:rsidP="00C23506">
            <w:pPr>
              <w:keepLines/>
              <w:tabs>
                <w:tab w:val="left" w:pos="150"/>
                <w:tab w:val="left" w:pos="397"/>
                <w:tab w:val="left" w:pos="794"/>
                <w:tab w:val="left" w:pos="1191"/>
              </w:tabs>
              <w:spacing w:before="40" w:after="40"/>
              <w:jc w:val="both"/>
              <w:rPr>
                <w:rFonts w:cs="Segoe UI"/>
                <w:sz w:val="17"/>
                <w:szCs w:val="17"/>
              </w:rPr>
            </w:pPr>
            <w:r w:rsidRPr="00AE64D1">
              <w:rPr>
                <w:rFonts w:cs="Segoe UI"/>
                <w:i/>
                <w:sz w:val="17"/>
                <w:szCs w:val="17"/>
              </w:rPr>
              <w:t>Amounts below the thresholds for deduction (subject to 250% RW)</w:t>
            </w:r>
            <w:r w:rsidRPr="00AE64D1">
              <w:rPr>
                <w:rFonts w:cs="Segoe UI"/>
                <w:sz w:val="17"/>
                <w:szCs w:val="17"/>
              </w:rPr>
              <w:t>: The amounts correspond to items subject to a 250% risk-weight pursuant to the BCR.</w:t>
            </w:r>
          </w:p>
        </w:tc>
      </w:tr>
      <w:tr w:rsidR="000369C7" w:rsidRPr="004E457E" w14:paraId="26AF95CF" w14:textId="77777777" w:rsidTr="00C23506">
        <w:tc>
          <w:tcPr>
            <w:tcW w:w="567" w:type="dxa"/>
            <w:shd w:val="clear" w:color="auto" w:fill="auto"/>
          </w:tcPr>
          <w:p w14:paraId="0B3479C9" w14:textId="77777777" w:rsidR="000369C7" w:rsidRPr="004B2378" w:rsidRDefault="000369C7" w:rsidP="00C23506">
            <w:pPr>
              <w:keepLines/>
              <w:tabs>
                <w:tab w:val="left" w:pos="150"/>
                <w:tab w:val="left" w:pos="397"/>
                <w:tab w:val="left" w:pos="794"/>
                <w:tab w:val="left" w:pos="1191"/>
              </w:tabs>
              <w:spacing w:before="40" w:after="40"/>
              <w:rPr>
                <w:rFonts w:cs="Segoe UI"/>
                <w:sz w:val="17"/>
                <w:szCs w:val="17"/>
              </w:rPr>
            </w:pPr>
            <w:r w:rsidRPr="004B2378">
              <w:rPr>
                <w:rFonts w:cs="Segoe UI"/>
                <w:sz w:val="17"/>
                <w:szCs w:val="17"/>
              </w:rPr>
              <w:t>26</w:t>
            </w:r>
          </w:p>
        </w:tc>
        <w:tc>
          <w:tcPr>
            <w:tcW w:w="8647" w:type="dxa"/>
            <w:shd w:val="clear" w:color="auto" w:fill="auto"/>
          </w:tcPr>
          <w:p w14:paraId="7730D02F" w14:textId="4174737B" w:rsidR="000369C7" w:rsidRPr="009A7FDD" w:rsidRDefault="000369C7" w:rsidP="00C23506">
            <w:pPr>
              <w:jc w:val="both"/>
              <w:rPr>
                <w:rFonts w:cs="Segoe UI"/>
                <w:sz w:val="17"/>
                <w:szCs w:val="17"/>
              </w:rPr>
            </w:pPr>
            <w:r w:rsidRPr="009A7FDD">
              <w:rPr>
                <w:rFonts w:cs="Segoe UI"/>
                <w:i/>
                <w:sz w:val="17"/>
                <w:szCs w:val="17"/>
              </w:rPr>
              <w:t>Output floor level applied</w:t>
            </w:r>
            <w:r w:rsidRPr="009A7FDD">
              <w:rPr>
                <w:rFonts w:cs="Segoe UI"/>
                <w:sz w:val="17"/>
                <w:szCs w:val="17"/>
              </w:rPr>
              <w:t xml:space="preserve">: the output floor level (expressed as a percentage) applied by the AI in accordance with </w:t>
            </w:r>
            <w:r>
              <w:rPr>
                <w:rFonts w:cs="Segoe UI"/>
                <w:sz w:val="17"/>
                <w:szCs w:val="17"/>
              </w:rPr>
              <w:t xml:space="preserve">the </w:t>
            </w:r>
            <w:r w:rsidRPr="009A7FDD">
              <w:rPr>
                <w:rFonts w:cs="Segoe UI"/>
                <w:sz w:val="17"/>
                <w:szCs w:val="17"/>
              </w:rPr>
              <w:t>BCR in its computation of the floor adjustment value in row 27.  An AI not subject to the o</w:t>
            </w:r>
            <w:r w:rsidR="00F25C9D">
              <w:rPr>
                <w:rFonts w:cs="Segoe UI"/>
                <w:sz w:val="17"/>
                <w:szCs w:val="17"/>
              </w:rPr>
              <w:t>utput floor requirement may</w:t>
            </w:r>
            <w:r w:rsidRPr="009A7FDD">
              <w:rPr>
                <w:rFonts w:cs="Segoe UI"/>
                <w:sz w:val="17"/>
                <w:szCs w:val="17"/>
              </w:rPr>
              <w:t xml:space="preserve"> report “Not applicable” or “N/A” in this row.</w:t>
            </w:r>
          </w:p>
        </w:tc>
      </w:tr>
      <w:tr w:rsidR="000369C7" w:rsidRPr="004E457E" w14:paraId="0439B0F8" w14:textId="77777777" w:rsidTr="00C23506">
        <w:tc>
          <w:tcPr>
            <w:tcW w:w="567" w:type="dxa"/>
            <w:shd w:val="clear" w:color="auto" w:fill="auto"/>
          </w:tcPr>
          <w:p w14:paraId="3912EE0E" w14:textId="45351934" w:rsidR="000369C7" w:rsidRPr="009A7FDD" w:rsidRDefault="000369C7" w:rsidP="00C23506">
            <w:pPr>
              <w:keepLines/>
              <w:tabs>
                <w:tab w:val="left" w:pos="150"/>
                <w:tab w:val="left" w:pos="397"/>
                <w:tab w:val="left" w:pos="794"/>
                <w:tab w:val="left" w:pos="1191"/>
              </w:tabs>
              <w:spacing w:before="40" w:after="40"/>
              <w:rPr>
                <w:rFonts w:cs="Segoe UI"/>
                <w:sz w:val="17"/>
                <w:szCs w:val="17"/>
              </w:rPr>
            </w:pPr>
            <w:r w:rsidRPr="009A7FDD">
              <w:rPr>
                <w:rFonts w:cs="Segoe UI"/>
                <w:sz w:val="17"/>
                <w:szCs w:val="17"/>
              </w:rPr>
              <w:t>27</w:t>
            </w:r>
          </w:p>
        </w:tc>
        <w:tc>
          <w:tcPr>
            <w:tcW w:w="8647" w:type="dxa"/>
            <w:shd w:val="clear" w:color="auto" w:fill="auto"/>
          </w:tcPr>
          <w:p w14:paraId="26437058" w14:textId="589DF449" w:rsidR="000369C7" w:rsidRPr="009A7FDD" w:rsidRDefault="000369C7" w:rsidP="00C23506">
            <w:pPr>
              <w:keepLines/>
              <w:tabs>
                <w:tab w:val="left" w:pos="150"/>
                <w:tab w:val="left" w:pos="397"/>
                <w:tab w:val="left" w:pos="794"/>
                <w:tab w:val="left" w:pos="1191"/>
              </w:tabs>
              <w:spacing w:before="40" w:after="40"/>
              <w:jc w:val="both"/>
              <w:rPr>
                <w:rFonts w:cs="Segoe UI"/>
                <w:i/>
                <w:sz w:val="17"/>
                <w:szCs w:val="17"/>
              </w:rPr>
            </w:pPr>
            <w:r w:rsidRPr="009A7FDD">
              <w:rPr>
                <w:rFonts w:cs="Segoe UI"/>
                <w:i/>
                <w:sz w:val="17"/>
                <w:szCs w:val="17"/>
              </w:rPr>
              <w:t>Floor adjustment (before application of transitional cap)</w:t>
            </w:r>
            <w:r w:rsidRPr="009A7FDD">
              <w:rPr>
                <w:rFonts w:cs="Segoe UI"/>
                <w:sz w:val="17"/>
                <w:szCs w:val="17"/>
              </w:rPr>
              <w:t xml:space="preserve">: The impact of the output floor, based on the output floor </w:t>
            </w:r>
            <w:r>
              <w:rPr>
                <w:rFonts w:cs="Segoe UI"/>
                <w:sz w:val="17"/>
                <w:szCs w:val="17"/>
              </w:rPr>
              <w:t xml:space="preserve">level </w:t>
            </w:r>
            <w:r w:rsidRPr="009A7FDD">
              <w:rPr>
                <w:rFonts w:cs="Segoe UI"/>
                <w:sz w:val="17"/>
                <w:szCs w:val="17"/>
              </w:rPr>
              <w:t>applied in row 26, in terms of the increase in RWA.  A transitional cap that limits the RWA increase resulting from the application of the output floor is not applicable to Hong Kong.</w:t>
            </w:r>
          </w:p>
        </w:tc>
      </w:tr>
      <w:tr w:rsidR="000369C7" w:rsidRPr="004E457E" w14:paraId="58E79CB7" w14:textId="77777777" w:rsidTr="00C23506">
        <w:tc>
          <w:tcPr>
            <w:tcW w:w="567" w:type="dxa"/>
            <w:shd w:val="clear" w:color="auto" w:fill="auto"/>
          </w:tcPr>
          <w:p w14:paraId="3446DB22" w14:textId="77777777" w:rsidR="000369C7" w:rsidRPr="009A7FDD" w:rsidRDefault="000369C7" w:rsidP="00C23506">
            <w:pPr>
              <w:keepLines/>
              <w:tabs>
                <w:tab w:val="left" w:pos="150"/>
                <w:tab w:val="left" w:pos="397"/>
                <w:tab w:val="left" w:pos="794"/>
                <w:tab w:val="left" w:pos="1191"/>
              </w:tabs>
              <w:spacing w:before="40" w:after="40"/>
              <w:rPr>
                <w:rFonts w:cs="Segoe UI"/>
                <w:sz w:val="17"/>
                <w:szCs w:val="17"/>
              </w:rPr>
            </w:pPr>
            <w:r w:rsidRPr="009A7FDD">
              <w:rPr>
                <w:rFonts w:cs="Segoe UI"/>
                <w:sz w:val="17"/>
                <w:szCs w:val="17"/>
              </w:rPr>
              <w:t>28</w:t>
            </w:r>
          </w:p>
        </w:tc>
        <w:tc>
          <w:tcPr>
            <w:tcW w:w="8647" w:type="dxa"/>
            <w:shd w:val="clear" w:color="auto" w:fill="auto"/>
          </w:tcPr>
          <w:p w14:paraId="1D51744E" w14:textId="371D3A05" w:rsidR="000369C7" w:rsidRPr="009A7FDD" w:rsidRDefault="000369C7" w:rsidP="00C23506">
            <w:pPr>
              <w:keepLines/>
              <w:tabs>
                <w:tab w:val="left" w:pos="150"/>
                <w:tab w:val="left" w:pos="397"/>
                <w:tab w:val="left" w:pos="794"/>
                <w:tab w:val="left" w:pos="1191"/>
              </w:tabs>
              <w:spacing w:before="40" w:after="40"/>
              <w:jc w:val="both"/>
              <w:rPr>
                <w:rFonts w:cs="Segoe UI"/>
                <w:i/>
                <w:sz w:val="17"/>
                <w:szCs w:val="17"/>
              </w:rPr>
            </w:pPr>
            <w:r w:rsidRPr="009A7FDD">
              <w:rPr>
                <w:rFonts w:cs="Segoe UI"/>
                <w:sz w:val="17"/>
                <w:szCs w:val="17"/>
              </w:rPr>
              <w:t>This row is not applicable in the case of Hong Kong.</w:t>
            </w:r>
          </w:p>
        </w:tc>
      </w:tr>
      <w:tr w:rsidR="000369C7" w:rsidRPr="004E457E" w14:paraId="3D68CB3C" w14:textId="77777777" w:rsidTr="00C23506">
        <w:tc>
          <w:tcPr>
            <w:tcW w:w="567" w:type="dxa"/>
            <w:shd w:val="clear" w:color="auto" w:fill="auto"/>
          </w:tcPr>
          <w:p w14:paraId="48740427" w14:textId="774794A6" w:rsidR="000369C7" w:rsidRPr="009A7FDD" w:rsidRDefault="000369C7" w:rsidP="00C23506">
            <w:pPr>
              <w:keepLines/>
              <w:tabs>
                <w:tab w:val="left" w:pos="150"/>
                <w:tab w:val="left" w:pos="397"/>
                <w:tab w:val="left" w:pos="794"/>
                <w:tab w:val="left" w:pos="1191"/>
              </w:tabs>
              <w:spacing w:before="40" w:after="40"/>
              <w:rPr>
                <w:rFonts w:cs="Segoe UI"/>
                <w:sz w:val="17"/>
                <w:szCs w:val="17"/>
              </w:rPr>
            </w:pPr>
            <w:r w:rsidRPr="009A7FDD">
              <w:rPr>
                <w:rFonts w:cs="Segoe UI"/>
                <w:sz w:val="17"/>
                <w:szCs w:val="17"/>
              </w:rPr>
              <w:t>28a</w:t>
            </w:r>
          </w:p>
        </w:tc>
        <w:tc>
          <w:tcPr>
            <w:tcW w:w="8647" w:type="dxa"/>
            <w:shd w:val="clear" w:color="auto" w:fill="auto"/>
          </w:tcPr>
          <w:p w14:paraId="25D026AF" w14:textId="02BC5F6D" w:rsidR="000369C7" w:rsidRPr="009A7FDD" w:rsidRDefault="000369C7" w:rsidP="00C23506">
            <w:pPr>
              <w:keepLines/>
              <w:tabs>
                <w:tab w:val="left" w:pos="150"/>
                <w:tab w:val="left" w:pos="397"/>
                <w:tab w:val="left" w:pos="794"/>
                <w:tab w:val="left" w:pos="1191"/>
              </w:tabs>
              <w:spacing w:before="40" w:after="40"/>
              <w:jc w:val="both"/>
              <w:rPr>
                <w:rFonts w:cs="Segoe UI"/>
                <w:sz w:val="17"/>
                <w:szCs w:val="17"/>
              </w:rPr>
            </w:pPr>
            <w:r w:rsidRPr="009A7FDD">
              <w:rPr>
                <w:rFonts w:cs="Segoe UI"/>
                <w:i/>
                <w:sz w:val="17"/>
                <w:szCs w:val="17"/>
              </w:rPr>
              <w:t>Deduction to RWA</w:t>
            </w:r>
            <w:r w:rsidRPr="009A7FDD">
              <w:rPr>
                <w:rFonts w:cs="Segoe UI"/>
                <w:sz w:val="17"/>
                <w:szCs w:val="17"/>
              </w:rPr>
              <w:t>: This is the sum of values in rows 28b and 28c.</w:t>
            </w:r>
          </w:p>
        </w:tc>
      </w:tr>
      <w:tr w:rsidR="000369C7" w:rsidRPr="004E457E" w14:paraId="6B75B6B9" w14:textId="77777777" w:rsidTr="00C23506">
        <w:tc>
          <w:tcPr>
            <w:tcW w:w="567" w:type="dxa"/>
            <w:shd w:val="clear" w:color="auto" w:fill="auto"/>
          </w:tcPr>
          <w:p w14:paraId="78499775" w14:textId="0FA58782" w:rsidR="000369C7" w:rsidRPr="001E63E7" w:rsidRDefault="000369C7" w:rsidP="00C23506">
            <w:pPr>
              <w:keepLines/>
              <w:tabs>
                <w:tab w:val="left" w:pos="150"/>
                <w:tab w:val="left" w:pos="397"/>
                <w:tab w:val="left" w:pos="794"/>
                <w:tab w:val="left" w:pos="1191"/>
              </w:tabs>
              <w:spacing w:before="40" w:after="40"/>
              <w:rPr>
                <w:sz w:val="17"/>
              </w:rPr>
            </w:pPr>
            <w:r w:rsidRPr="00666E2F">
              <w:rPr>
                <w:rFonts w:cs="Segoe UI"/>
                <w:sz w:val="17"/>
                <w:szCs w:val="17"/>
              </w:rPr>
              <w:t>2</w:t>
            </w:r>
            <w:r>
              <w:rPr>
                <w:rFonts w:cs="Segoe UI"/>
                <w:sz w:val="17"/>
                <w:szCs w:val="17"/>
              </w:rPr>
              <w:t>8</w:t>
            </w:r>
            <w:r w:rsidRPr="00666E2F">
              <w:rPr>
                <w:rFonts w:cs="Segoe UI"/>
                <w:sz w:val="17"/>
                <w:szCs w:val="17"/>
              </w:rPr>
              <w:t>b</w:t>
            </w:r>
          </w:p>
        </w:tc>
        <w:tc>
          <w:tcPr>
            <w:tcW w:w="8647" w:type="dxa"/>
            <w:shd w:val="clear" w:color="auto" w:fill="auto"/>
          </w:tcPr>
          <w:p w14:paraId="3A445B77" w14:textId="77777777" w:rsidR="000369C7" w:rsidRPr="00666E2F" w:rsidRDefault="000369C7" w:rsidP="00C23506">
            <w:pPr>
              <w:keepLines/>
              <w:tabs>
                <w:tab w:val="left" w:pos="150"/>
                <w:tab w:val="left" w:pos="397"/>
                <w:tab w:val="left" w:pos="794"/>
                <w:tab w:val="left" w:pos="1191"/>
              </w:tabs>
              <w:spacing w:before="40" w:after="40"/>
              <w:jc w:val="both"/>
              <w:rPr>
                <w:rFonts w:cs="Segoe UI"/>
                <w:i/>
                <w:sz w:val="17"/>
                <w:szCs w:val="17"/>
              </w:rPr>
            </w:pPr>
            <w:r w:rsidRPr="00666E2F">
              <w:rPr>
                <w:rFonts w:cs="Segoe UI"/>
                <w:i/>
                <w:sz w:val="17"/>
                <w:szCs w:val="17"/>
                <w:lang w:eastAsia="en-GB"/>
              </w:rPr>
              <w:t>Of which portion of regulatory reserve for general banking risks and collective provisions which is not included in Tier 2 Capital:</w:t>
            </w:r>
            <w:r w:rsidRPr="00666E2F">
              <w:rPr>
                <w:rFonts w:cs="Segoe UI"/>
                <w:sz w:val="17"/>
                <w:szCs w:val="17"/>
                <w:lang w:eastAsia="en-GB"/>
              </w:rPr>
              <w:t xml:space="preserve"> This row is only applicable for an AI using the STC, BSC, SEC-SA, SEC-ERBA or SEC-FBA approach for calculating credit risk for all or part of its exposures.  It refers to and has the same calculation basis as the amount reported in item 2.12(i), Division A, Part I of CAR return MA(BS)3.</w:t>
            </w:r>
          </w:p>
        </w:tc>
      </w:tr>
      <w:tr w:rsidR="000369C7" w:rsidRPr="004E457E" w14:paraId="29974E15" w14:textId="77777777" w:rsidTr="00C23506">
        <w:tc>
          <w:tcPr>
            <w:tcW w:w="567" w:type="dxa"/>
            <w:shd w:val="clear" w:color="auto" w:fill="auto"/>
          </w:tcPr>
          <w:p w14:paraId="1DEFD6E3" w14:textId="5C4C2E77" w:rsidR="000369C7" w:rsidRPr="00666E2F" w:rsidRDefault="000369C7" w:rsidP="00C23506">
            <w:pPr>
              <w:keepLines/>
              <w:tabs>
                <w:tab w:val="left" w:pos="150"/>
                <w:tab w:val="left" w:pos="397"/>
                <w:tab w:val="left" w:pos="794"/>
                <w:tab w:val="left" w:pos="1191"/>
              </w:tabs>
              <w:spacing w:before="40" w:after="40"/>
              <w:rPr>
                <w:rFonts w:cs="Segoe UI"/>
                <w:sz w:val="17"/>
                <w:szCs w:val="17"/>
              </w:rPr>
            </w:pPr>
            <w:r w:rsidRPr="00666E2F">
              <w:rPr>
                <w:rFonts w:cs="Segoe UI"/>
                <w:sz w:val="17"/>
                <w:szCs w:val="17"/>
              </w:rPr>
              <w:t>2</w:t>
            </w:r>
            <w:r>
              <w:rPr>
                <w:rFonts w:cs="Segoe UI"/>
                <w:sz w:val="17"/>
                <w:szCs w:val="17"/>
              </w:rPr>
              <w:t>8</w:t>
            </w:r>
            <w:r w:rsidRPr="00666E2F">
              <w:rPr>
                <w:rFonts w:cs="Segoe UI"/>
                <w:sz w:val="17"/>
                <w:szCs w:val="17"/>
              </w:rPr>
              <w:t>c</w:t>
            </w:r>
          </w:p>
        </w:tc>
        <w:tc>
          <w:tcPr>
            <w:tcW w:w="8647" w:type="dxa"/>
            <w:shd w:val="clear" w:color="auto" w:fill="auto"/>
          </w:tcPr>
          <w:p w14:paraId="151389B9" w14:textId="77777777" w:rsidR="000369C7" w:rsidRPr="00666E2F" w:rsidRDefault="000369C7" w:rsidP="00C23506">
            <w:pPr>
              <w:keepLines/>
              <w:tabs>
                <w:tab w:val="left" w:pos="150"/>
                <w:tab w:val="left" w:pos="397"/>
                <w:tab w:val="left" w:pos="794"/>
                <w:tab w:val="left" w:pos="1191"/>
              </w:tabs>
              <w:spacing w:before="40" w:after="40"/>
              <w:jc w:val="both"/>
              <w:rPr>
                <w:rFonts w:cs="Segoe UI"/>
                <w:i/>
                <w:sz w:val="17"/>
                <w:szCs w:val="17"/>
              </w:rPr>
            </w:pPr>
            <w:r w:rsidRPr="00666E2F">
              <w:rPr>
                <w:rFonts w:cs="Segoe UI"/>
                <w:i/>
                <w:sz w:val="17"/>
                <w:szCs w:val="17"/>
                <w:lang w:eastAsia="en-GB"/>
              </w:rPr>
              <w:t>Of which portion of cumulative fair value gains arising from the revaluation of land and buildings which is not included in Tier 2 Capital</w:t>
            </w:r>
            <w:r w:rsidRPr="00666E2F">
              <w:rPr>
                <w:rFonts w:cs="Segoe UI"/>
                <w:sz w:val="17"/>
                <w:szCs w:val="17"/>
                <w:lang w:eastAsia="en-GB"/>
              </w:rPr>
              <w:t>: It refers to and has the same calculation basis as the amount reported in item 2.12(ii), Division A, Part I of CAR return MA(BS)3.</w:t>
            </w:r>
          </w:p>
        </w:tc>
      </w:tr>
      <w:tr w:rsidR="000369C7" w:rsidRPr="004E457E" w14:paraId="4E29A8DE" w14:textId="77777777" w:rsidTr="00C23506">
        <w:tc>
          <w:tcPr>
            <w:tcW w:w="567" w:type="dxa"/>
            <w:shd w:val="clear" w:color="auto" w:fill="auto"/>
          </w:tcPr>
          <w:p w14:paraId="2C9B473C" w14:textId="719F6A76" w:rsidR="000369C7" w:rsidRPr="004B43DE" w:rsidRDefault="000369C7" w:rsidP="00C23506">
            <w:pPr>
              <w:keepLines/>
              <w:tabs>
                <w:tab w:val="left" w:pos="150"/>
                <w:tab w:val="left" w:pos="397"/>
                <w:tab w:val="left" w:pos="794"/>
                <w:tab w:val="left" w:pos="1191"/>
              </w:tabs>
              <w:spacing w:before="40" w:after="40"/>
              <w:rPr>
                <w:rFonts w:cs="Segoe UI"/>
                <w:sz w:val="17"/>
                <w:szCs w:val="17"/>
              </w:rPr>
            </w:pPr>
            <w:r w:rsidRPr="008F7571">
              <w:rPr>
                <w:rFonts w:cs="Segoe UI"/>
                <w:sz w:val="17"/>
                <w:szCs w:val="17"/>
              </w:rPr>
              <w:lastRenderedPageBreak/>
              <w:t>2</w:t>
            </w:r>
            <w:r>
              <w:rPr>
                <w:rFonts w:cs="Segoe UI"/>
                <w:sz w:val="17"/>
                <w:szCs w:val="17"/>
              </w:rPr>
              <w:t>9</w:t>
            </w:r>
          </w:p>
        </w:tc>
        <w:tc>
          <w:tcPr>
            <w:tcW w:w="8647" w:type="dxa"/>
            <w:shd w:val="clear" w:color="auto" w:fill="auto"/>
          </w:tcPr>
          <w:p w14:paraId="5C0886D6" w14:textId="268BC62E" w:rsidR="000369C7" w:rsidRPr="004B43DE" w:rsidRDefault="000369C7" w:rsidP="00C23506">
            <w:pPr>
              <w:keepLines/>
              <w:tabs>
                <w:tab w:val="left" w:pos="150"/>
                <w:tab w:val="left" w:pos="397"/>
                <w:tab w:val="left" w:pos="794"/>
                <w:tab w:val="left" w:pos="1191"/>
              </w:tabs>
              <w:spacing w:before="40" w:after="40"/>
              <w:jc w:val="both"/>
              <w:rPr>
                <w:rFonts w:cs="Segoe UI"/>
                <w:sz w:val="17"/>
                <w:szCs w:val="17"/>
                <w:lang w:eastAsia="en-GB"/>
              </w:rPr>
            </w:pPr>
            <w:r w:rsidRPr="004B43DE">
              <w:rPr>
                <w:rFonts w:cs="Segoe UI"/>
                <w:i/>
                <w:sz w:val="17"/>
                <w:szCs w:val="17"/>
              </w:rPr>
              <w:t>Total</w:t>
            </w:r>
            <w:r w:rsidRPr="004B43DE">
              <w:rPr>
                <w:rFonts w:cs="Segoe UI"/>
                <w:sz w:val="17"/>
                <w:szCs w:val="17"/>
              </w:rPr>
              <w:t xml:space="preserve">: This is equal to the sum of values in rows </w:t>
            </w:r>
            <w:r w:rsidRPr="004B43DE">
              <w:rPr>
                <w:rFonts w:cs="Segoe UI"/>
                <w:sz w:val="17"/>
                <w:szCs w:val="17"/>
                <w:lang w:eastAsia="en-GB"/>
              </w:rPr>
              <w:t xml:space="preserve">1, 6, 10, 12, 13, 14, </w:t>
            </w:r>
            <w:r>
              <w:rPr>
                <w:rFonts w:cs="Segoe UI"/>
                <w:sz w:val="17"/>
                <w:szCs w:val="17"/>
                <w:lang w:eastAsia="en-GB"/>
              </w:rPr>
              <w:t xml:space="preserve">14a, </w:t>
            </w:r>
            <w:r w:rsidRPr="004B43DE">
              <w:rPr>
                <w:rFonts w:cs="Segoe UI"/>
                <w:sz w:val="17"/>
                <w:szCs w:val="17"/>
                <w:lang w:eastAsia="en-GB"/>
              </w:rPr>
              <w:t>15, 16, 20</w:t>
            </w:r>
            <w:r w:rsidRPr="00E87FAF">
              <w:rPr>
                <w:rFonts w:cs="Segoe UI"/>
                <w:sz w:val="17"/>
                <w:szCs w:val="17"/>
                <w:lang w:eastAsia="en-GB"/>
              </w:rPr>
              <w:t>, 23, 24, 24a, 25</w:t>
            </w:r>
            <w:r>
              <w:rPr>
                <w:rFonts w:cs="Segoe UI"/>
                <w:sz w:val="17"/>
                <w:szCs w:val="17"/>
                <w:lang w:eastAsia="en-GB"/>
              </w:rPr>
              <w:t xml:space="preserve"> and </w:t>
            </w:r>
            <w:r w:rsidRPr="00E87FAF">
              <w:rPr>
                <w:rFonts w:cs="Segoe UI"/>
                <w:sz w:val="17"/>
                <w:szCs w:val="17"/>
                <w:lang w:eastAsia="en-GB"/>
              </w:rPr>
              <w:t xml:space="preserve">27, minus the deduction value in row 28a.  </w:t>
            </w:r>
          </w:p>
        </w:tc>
      </w:tr>
    </w:tbl>
    <w:p w14:paraId="2F40206B" w14:textId="77777777" w:rsidR="000369C7" w:rsidRDefault="000369C7" w:rsidP="000369C7"/>
    <w:p w14:paraId="3B490C2B" w14:textId="77777777" w:rsidR="00447DD2" w:rsidRDefault="00447DD2" w:rsidP="00447DD2">
      <w:pPr>
        <w:pStyle w:val="Bulletpoint"/>
        <w:numPr>
          <w:ilvl w:val="0"/>
          <w:numId w:val="0"/>
        </w:numPr>
        <w:ind w:leftChars="18" w:left="887" w:hanging="851"/>
      </w:pPr>
    </w:p>
    <w:p w14:paraId="0359278A" w14:textId="77777777" w:rsidR="00447DD2" w:rsidRPr="00447DD2" w:rsidRDefault="00447DD2" w:rsidP="00447DD2">
      <w:pPr>
        <w:sectPr w:rsidR="00447DD2" w:rsidRPr="00447DD2" w:rsidSect="00071D5E">
          <w:footerReference w:type="default" r:id="rId11"/>
          <w:pgSz w:w="11906" w:h="16838"/>
          <w:pgMar w:top="1440" w:right="1797" w:bottom="1440" w:left="1797" w:header="851" w:footer="992" w:gutter="0"/>
          <w:cols w:space="425"/>
          <w:docGrid w:type="lines" w:linePitch="360"/>
        </w:sectPr>
      </w:pPr>
    </w:p>
    <w:p w14:paraId="1C770C74" w14:textId="41413A5E" w:rsidR="007A048C" w:rsidRPr="007A048C" w:rsidRDefault="00FE27EF" w:rsidP="005B5690">
      <w:pPr>
        <w:keepNext/>
        <w:keepLines/>
        <w:tabs>
          <w:tab w:val="left" w:pos="426"/>
        </w:tabs>
        <w:ind w:left="284" w:right="-284" w:hanging="142"/>
        <w:outlineLvl w:val="0"/>
        <w:rPr>
          <w:color w:val="AA322F"/>
          <w:sz w:val="28"/>
        </w:rPr>
      </w:pPr>
      <w:r>
        <w:rPr>
          <w:color w:val="AA322F"/>
          <w:sz w:val="28"/>
        </w:rPr>
        <w:lastRenderedPageBreak/>
        <w:t>Part II:</w:t>
      </w:r>
      <w:r>
        <w:rPr>
          <w:color w:val="AA322F"/>
          <w:sz w:val="28"/>
        </w:rPr>
        <w:tab/>
        <w:t>Linkages between financial statements and regulatory exposures</w:t>
      </w:r>
    </w:p>
    <w:p w14:paraId="3E9DF11B" w14:textId="77777777" w:rsidR="00986FDA" w:rsidRPr="006C5977" w:rsidRDefault="00986FDA" w:rsidP="00D60F3A">
      <w:pPr>
        <w:pStyle w:val="Heading2"/>
        <w:ind w:left="142"/>
        <w:rPr>
          <w:sz w:val="28"/>
        </w:rPr>
      </w:pPr>
      <w:r>
        <w:t>Template LI1: Differences between accounting and regulatory scopes of consolidation and mapping of financial statement categories with regulatory risk categories</w:t>
      </w:r>
    </w:p>
    <w:tbl>
      <w:tblPr>
        <w:tblW w:w="13892" w:type="dxa"/>
        <w:tblInd w:w="108"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552"/>
        <w:gridCol w:w="11340"/>
      </w:tblGrid>
      <w:tr w:rsidR="00986FDA" w14:paraId="66E22061" w14:textId="77777777" w:rsidTr="00916BFE">
        <w:tc>
          <w:tcPr>
            <w:tcW w:w="2552" w:type="dxa"/>
          </w:tcPr>
          <w:p w14:paraId="4C377079" w14:textId="77777777" w:rsidR="00986FDA" w:rsidRDefault="00986FDA" w:rsidP="00916BFE">
            <w:pPr>
              <w:spacing w:before="40" w:after="40"/>
              <w:rPr>
                <w:noProof/>
                <w:sz w:val="17"/>
                <w:szCs w:val="17"/>
                <w:lang w:eastAsia="en-GB"/>
              </w:rPr>
            </w:pPr>
            <w:r>
              <w:rPr>
                <w:b/>
                <w:sz w:val="17"/>
                <w:szCs w:val="17"/>
                <w:lang w:eastAsia="en-GB"/>
              </w:rPr>
              <w:t>Purpose:</w:t>
            </w:r>
            <w:r>
              <w:rPr>
                <w:sz w:val="17"/>
                <w:szCs w:val="17"/>
                <w:lang w:eastAsia="en-GB"/>
              </w:rPr>
              <w:t xml:space="preserve"> </w:t>
            </w:r>
          </w:p>
        </w:tc>
        <w:tc>
          <w:tcPr>
            <w:tcW w:w="11340" w:type="dxa"/>
          </w:tcPr>
          <w:p w14:paraId="05E2BFBB" w14:textId="77777777" w:rsidR="00986FDA" w:rsidRDefault="00986FDA" w:rsidP="00916BFE">
            <w:pPr>
              <w:spacing w:before="40" w:after="40"/>
              <w:jc w:val="both"/>
              <w:rPr>
                <w:rFonts w:eastAsia="新細明體"/>
                <w:noProof/>
                <w:sz w:val="17"/>
                <w:szCs w:val="17"/>
                <w:lang w:eastAsia="en-GB"/>
              </w:rPr>
            </w:pPr>
            <w:r>
              <w:rPr>
                <w:sz w:val="17"/>
                <w:szCs w:val="17"/>
                <w:lang w:eastAsia="en-GB"/>
              </w:rPr>
              <w:t>To provide information on assets and liabilities to enable users to identify the differences between the scope of accounting consolidation and the scope of regulatory consolidation, with a breakdown into regulatory risk categories of every item of the assets and liabilities reported in financial statements based on the scope of accounting consolidation.</w:t>
            </w:r>
          </w:p>
        </w:tc>
      </w:tr>
      <w:tr w:rsidR="00986FDA" w14:paraId="04216C67" w14:textId="77777777" w:rsidTr="00916BFE">
        <w:tc>
          <w:tcPr>
            <w:tcW w:w="2552" w:type="dxa"/>
          </w:tcPr>
          <w:p w14:paraId="0C0112F7" w14:textId="77777777" w:rsidR="00986FDA" w:rsidRDefault="00986FDA" w:rsidP="00916BFE">
            <w:pPr>
              <w:spacing w:before="40" w:after="40"/>
              <w:rPr>
                <w:b/>
                <w:sz w:val="17"/>
                <w:szCs w:val="17"/>
                <w:lang w:eastAsia="en-GB"/>
              </w:rPr>
            </w:pPr>
            <w:r>
              <w:rPr>
                <w:b/>
                <w:sz w:val="17"/>
                <w:szCs w:val="17"/>
                <w:lang w:eastAsia="en-GB"/>
              </w:rPr>
              <w:t xml:space="preserve">Scope of application: </w:t>
            </w:r>
          </w:p>
        </w:tc>
        <w:tc>
          <w:tcPr>
            <w:tcW w:w="11340" w:type="dxa"/>
          </w:tcPr>
          <w:p w14:paraId="20414C86" w14:textId="77777777" w:rsidR="00986FDA" w:rsidRDefault="00986FDA" w:rsidP="00916BFE">
            <w:pPr>
              <w:pStyle w:val="TableText"/>
              <w:jc w:val="both"/>
              <w:rPr>
                <w:b/>
                <w:szCs w:val="17"/>
                <w:lang w:eastAsia="en-GB"/>
              </w:rPr>
            </w:pPr>
            <w:r>
              <w:rPr>
                <w:rFonts w:eastAsia="新細明體"/>
                <w:szCs w:val="17"/>
                <w:lang w:eastAsia="en-GB"/>
              </w:rPr>
              <w:t>The template is mandatory for all AIs</w:t>
            </w:r>
            <w:r>
              <w:t xml:space="preserve"> </w:t>
            </w:r>
            <w:r>
              <w:rPr>
                <w:rFonts w:eastAsia="新細明體"/>
                <w:szCs w:val="17"/>
                <w:lang w:eastAsia="en-GB"/>
              </w:rPr>
              <w:t>incorporated in Hong Kong.</w:t>
            </w:r>
          </w:p>
        </w:tc>
      </w:tr>
      <w:tr w:rsidR="00986FDA" w14:paraId="58D5E6AF" w14:textId="77777777" w:rsidTr="00916BFE">
        <w:tc>
          <w:tcPr>
            <w:tcW w:w="2552" w:type="dxa"/>
          </w:tcPr>
          <w:p w14:paraId="114855FB" w14:textId="77777777" w:rsidR="00986FDA" w:rsidRDefault="00986FDA" w:rsidP="00916BFE">
            <w:pPr>
              <w:spacing w:before="40" w:after="40"/>
              <w:rPr>
                <w:b/>
                <w:sz w:val="17"/>
                <w:szCs w:val="17"/>
                <w:lang w:eastAsia="en-GB"/>
              </w:rPr>
            </w:pPr>
            <w:r>
              <w:rPr>
                <w:b/>
                <w:sz w:val="17"/>
                <w:szCs w:val="17"/>
                <w:lang w:eastAsia="en-GB"/>
              </w:rPr>
              <w:t xml:space="preserve">Content: </w:t>
            </w:r>
          </w:p>
        </w:tc>
        <w:tc>
          <w:tcPr>
            <w:tcW w:w="11340" w:type="dxa"/>
          </w:tcPr>
          <w:p w14:paraId="1F173841" w14:textId="77777777" w:rsidR="00986FDA" w:rsidRDefault="00986FDA" w:rsidP="00916BFE">
            <w:pPr>
              <w:pStyle w:val="TableText"/>
              <w:jc w:val="both"/>
              <w:rPr>
                <w:szCs w:val="17"/>
                <w:lang w:eastAsia="en-GB"/>
              </w:rPr>
            </w:pPr>
            <w:r>
              <w:rPr>
                <w:szCs w:val="17"/>
                <w:lang w:eastAsia="en-GB"/>
              </w:rPr>
              <w:t>Carrying values (corresponding to the values reported in financial statements).</w:t>
            </w:r>
          </w:p>
        </w:tc>
      </w:tr>
      <w:tr w:rsidR="00986FDA" w14:paraId="0028E125" w14:textId="77777777" w:rsidTr="00916BFE">
        <w:tc>
          <w:tcPr>
            <w:tcW w:w="2552" w:type="dxa"/>
          </w:tcPr>
          <w:p w14:paraId="20FFB5F2" w14:textId="77777777" w:rsidR="00986FDA" w:rsidRDefault="00986FDA" w:rsidP="00916BFE">
            <w:pPr>
              <w:spacing w:before="40" w:after="40"/>
              <w:rPr>
                <w:sz w:val="17"/>
                <w:szCs w:val="17"/>
                <w:lang w:eastAsia="en-GB"/>
              </w:rPr>
            </w:pPr>
            <w:r>
              <w:rPr>
                <w:b/>
                <w:sz w:val="17"/>
                <w:szCs w:val="17"/>
                <w:lang w:eastAsia="en-GB"/>
              </w:rPr>
              <w:t>Frequency:</w:t>
            </w:r>
            <w:r>
              <w:rPr>
                <w:sz w:val="17"/>
                <w:szCs w:val="17"/>
                <w:lang w:eastAsia="en-GB"/>
              </w:rPr>
              <w:t xml:space="preserve"> </w:t>
            </w:r>
          </w:p>
        </w:tc>
        <w:tc>
          <w:tcPr>
            <w:tcW w:w="11340" w:type="dxa"/>
          </w:tcPr>
          <w:p w14:paraId="0CF3CDBF" w14:textId="77777777" w:rsidR="00986FDA" w:rsidRDefault="00986FDA" w:rsidP="00916BFE">
            <w:pPr>
              <w:pStyle w:val="TableText"/>
              <w:jc w:val="both"/>
              <w:rPr>
                <w:szCs w:val="17"/>
                <w:lang w:eastAsia="en-GB"/>
              </w:rPr>
            </w:pPr>
            <w:r>
              <w:rPr>
                <w:szCs w:val="17"/>
                <w:lang w:eastAsia="en-GB"/>
              </w:rPr>
              <w:t>Annual.</w:t>
            </w:r>
          </w:p>
        </w:tc>
      </w:tr>
      <w:tr w:rsidR="00986FDA" w14:paraId="420DE6E3" w14:textId="77777777" w:rsidTr="00916BFE">
        <w:tc>
          <w:tcPr>
            <w:tcW w:w="2552" w:type="dxa"/>
          </w:tcPr>
          <w:p w14:paraId="3B520A3B" w14:textId="77777777" w:rsidR="00986FDA" w:rsidRDefault="00986FDA" w:rsidP="00916BFE">
            <w:pPr>
              <w:spacing w:before="40" w:after="40"/>
              <w:rPr>
                <w:sz w:val="17"/>
                <w:szCs w:val="17"/>
                <w:lang w:eastAsia="en-GB"/>
              </w:rPr>
            </w:pPr>
            <w:r>
              <w:rPr>
                <w:b/>
                <w:sz w:val="17"/>
                <w:szCs w:val="17"/>
                <w:lang w:eastAsia="en-GB"/>
              </w:rPr>
              <w:t>Format:</w:t>
            </w:r>
            <w:r>
              <w:rPr>
                <w:sz w:val="17"/>
                <w:szCs w:val="17"/>
                <w:lang w:eastAsia="en-GB"/>
              </w:rPr>
              <w:t xml:space="preserve"> </w:t>
            </w:r>
          </w:p>
        </w:tc>
        <w:tc>
          <w:tcPr>
            <w:tcW w:w="11340" w:type="dxa"/>
          </w:tcPr>
          <w:p w14:paraId="555F3F58" w14:textId="77777777" w:rsidR="00986FDA" w:rsidRDefault="00986FDA" w:rsidP="00916BFE">
            <w:pPr>
              <w:pStyle w:val="TableText"/>
              <w:jc w:val="both"/>
              <w:rPr>
                <w:szCs w:val="17"/>
                <w:lang w:eastAsia="en-GB"/>
              </w:rPr>
            </w:pPr>
            <w:r>
              <w:rPr>
                <w:szCs w:val="17"/>
                <w:lang w:eastAsia="en-GB"/>
              </w:rPr>
              <w:t>Flexible, but the rows should align with the presentation of the AI’s financial statements.</w:t>
            </w:r>
          </w:p>
        </w:tc>
      </w:tr>
      <w:tr w:rsidR="00986FDA" w14:paraId="5F84D39F" w14:textId="77777777" w:rsidTr="00916BFE">
        <w:tc>
          <w:tcPr>
            <w:tcW w:w="2552" w:type="dxa"/>
          </w:tcPr>
          <w:p w14:paraId="2A5F7D17" w14:textId="77777777" w:rsidR="00986FDA" w:rsidRDefault="00986FDA" w:rsidP="00916BFE">
            <w:pPr>
              <w:spacing w:before="40" w:after="40"/>
              <w:rPr>
                <w:b/>
                <w:sz w:val="17"/>
                <w:szCs w:val="17"/>
                <w:lang w:eastAsia="en-GB"/>
              </w:rPr>
            </w:pPr>
            <w:r>
              <w:rPr>
                <w:rFonts w:eastAsia="新細明體"/>
                <w:b/>
                <w:sz w:val="17"/>
                <w:szCs w:val="17"/>
                <w:lang w:eastAsia="en-GB"/>
              </w:rPr>
              <w:t>Accompanying narrative</w:t>
            </w:r>
            <w:r>
              <w:rPr>
                <w:rFonts w:eastAsia="新細明體"/>
                <w:sz w:val="17"/>
                <w:szCs w:val="17"/>
                <w:lang w:eastAsia="en-GB"/>
              </w:rPr>
              <w:t>:</w:t>
            </w:r>
          </w:p>
        </w:tc>
        <w:tc>
          <w:tcPr>
            <w:tcW w:w="11340" w:type="dxa"/>
          </w:tcPr>
          <w:p w14:paraId="2C4EA10A" w14:textId="3F0E6399" w:rsidR="00986FDA" w:rsidRDefault="00D62DE9" w:rsidP="00916BFE">
            <w:pPr>
              <w:pStyle w:val="TableText"/>
              <w:jc w:val="both"/>
              <w:rPr>
                <w:noProof/>
                <w:szCs w:val="17"/>
                <w:lang w:eastAsia="en-GB"/>
              </w:rPr>
            </w:pPr>
            <w:r>
              <w:rPr>
                <w:szCs w:val="17"/>
                <w:lang w:eastAsia="en-GB"/>
              </w:rPr>
              <w:t>As set out in T</w:t>
            </w:r>
            <w:r w:rsidR="00986FDA">
              <w:rPr>
                <w:szCs w:val="17"/>
                <w:lang w:eastAsia="en-GB"/>
              </w:rPr>
              <w:t xml:space="preserve">able LIA.  An AI should provide qualitative explanation on items that are subject to regulatory capital charges in more than one risk category. </w:t>
            </w:r>
          </w:p>
        </w:tc>
      </w:tr>
      <w:tr w:rsidR="00986FDA" w14:paraId="6FBB0C41" w14:textId="77777777" w:rsidTr="00916BFE">
        <w:tc>
          <w:tcPr>
            <w:tcW w:w="2552" w:type="dxa"/>
          </w:tcPr>
          <w:p w14:paraId="05B7768C" w14:textId="77777777" w:rsidR="00986FDA" w:rsidRDefault="00986FDA" w:rsidP="00916BFE">
            <w:pPr>
              <w:spacing w:before="40" w:after="40"/>
              <w:rPr>
                <w:rFonts w:eastAsia="新細明體"/>
                <w:b/>
                <w:sz w:val="17"/>
                <w:szCs w:val="17"/>
                <w:lang w:eastAsia="en-GB"/>
              </w:rPr>
            </w:pPr>
            <w:r>
              <w:rPr>
                <w:rFonts w:eastAsia="新細明體"/>
                <w:b/>
                <w:sz w:val="17"/>
                <w:szCs w:val="17"/>
                <w:lang w:eastAsia="en-GB"/>
              </w:rPr>
              <w:t>Corresponding BDR section:</w:t>
            </w:r>
          </w:p>
        </w:tc>
        <w:tc>
          <w:tcPr>
            <w:tcW w:w="11340" w:type="dxa"/>
          </w:tcPr>
          <w:p w14:paraId="6A4B8F08" w14:textId="77777777" w:rsidR="00986FDA" w:rsidRDefault="00986FDA" w:rsidP="00916BFE">
            <w:pPr>
              <w:pStyle w:val="TableText"/>
              <w:jc w:val="both"/>
              <w:rPr>
                <w:szCs w:val="17"/>
                <w:lang w:eastAsia="en-GB"/>
              </w:rPr>
            </w:pPr>
            <w:r>
              <w:rPr>
                <w:szCs w:val="17"/>
                <w:lang w:eastAsia="en-GB"/>
              </w:rPr>
              <w:t>16D</w:t>
            </w:r>
          </w:p>
        </w:tc>
      </w:tr>
    </w:tbl>
    <w:p w14:paraId="75D21E75" w14:textId="77777777" w:rsidR="00986FDA" w:rsidRDefault="00986FDA" w:rsidP="00986FDA">
      <w:pPr>
        <w:spacing w:before="40" w:after="40"/>
        <w:rPr>
          <w:sz w:val="22"/>
        </w:rPr>
      </w:pPr>
    </w:p>
    <w:p w14:paraId="18E770A8" w14:textId="77777777" w:rsidR="00986FDA" w:rsidRDefault="00986FDA" w:rsidP="00986FDA">
      <w:pPr>
        <w:spacing w:before="40" w:after="40"/>
        <w:rPr>
          <w:sz w:val="22"/>
        </w:rPr>
      </w:pPr>
    </w:p>
    <w:p w14:paraId="01D9A424" w14:textId="77777777" w:rsidR="00986FDA" w:rsidRDefault="00986FDA" w:rsidP="00986FDA">
      <w:pPr>
        <w:spacing w:before="40" w:after="40"/>
        <w:rPr>
          <w:sz w:val="22"/>
        </w:rPr>
      </w:pPr>
    </w:p>
    <w:p w14:paraId="157ABB05" w14:textId="77777777" w:rsidR="00986FDA" w:rsidRDefault="00986FDA" w:rsidP="00986FDA">
      <w:pPr>
        <w:spacing w:before="40" w:after="40"/>
        <w:rPr>
          <w:sz w:val="22"/>
        </w:rPr>
      </w:pPr>
    </w:p>
    <w:p w14:paraId="20655C4D" w14:textId="77777777" w:rsidR="00986FDA" w:rsidRDefault="00986FDA" w:rsidP="00986FDA">
      <w:pPr>
        <w:spacing w:before="40" w:after="40"/>
        <w:rPr>
          <w:sz w:val="22"/>
        </w:rPr>
      </w:pPr>
    </w:p>
    <w:p w14:paraId="6B92CA44" w14:textId="77777777" w:rsidR="00986FDA" w:rsidRDefault="00986FDA" w:rsidP="00986FDA">
      <w:pPr>
        <w:spacing w:before="40" w:after="40"/>
        <w:rPr>
          <w:sz w:val="22"/>
        </w:rPr>
      </w:pPr>
    </w:p>
    <w:p w14:paraId="796679CD" w14:textId="77777777" w:rsidR="00986FDA" w:rsidRDefault="00986FDA" w:rsidP="00986FDA">
      <w:pPr>
        <w:spacing w:before="40" w:after="40"/>
        <w:rPr>
          <w:sz w:val="22"/>
        </w:rPr>
      </w:pPr>
    </w:p>
    <w:tbl>
      <w:tblPr>
        <w:tblW w:w="14034"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865"/>
        <w:gridCol w:w="1503"/>
        <w:gridCol w:w="1648"/>
        <w:gridCol w:w="1603"/>
        <w:gridCol w:w="1604"/>
        <w:gridCol w:w="1603"/>
        <w:gridCol w:w="1604"/>
        <w:gridCol w:w="1604"/>
      </w:tblGrid>
      <w:tr w:rsidR="00986FDA" w14:paraId="692B5882" w14:textId="77777777" w:rsidTr="00916BFE">
        <w:trPr>
          <w:trHeight w:val="179"/>
          <w:tblHeader/>
        </w:trPr>
        <w:tc>
          <w:tcPr>
            <w:tcW w:w="2865" w:type="dxa"/>
            <w:tcBorders>
              <w:top w:val="nil"/>
              <w:left w:val="nil"/>
              <w:bottom w:val="nil"/>
              <w:right w:val="single" w:sz="4" w:space="0" w:color="auto"/>
            </w:tcBorders>
            <w:shd w:val="clear" w:color="auto" w:fill="FFFFFF"/>
            <w:vAlign w:val="center"/>
          </w:tcPr>
          <w:p w14:paraId="6B5BAB46" w14:textId="77777777" w:rsidR="00986FDA" w:rsidRPr="005D0696" w:rsidRDefault="00986FDA" w:rsidP="00916BFE">
            <w:pPr>
              <w:rPr>
                <w:rFonts w:cs="Segoe UI"/>
                <w:sz w:val="17"/>
                <w:szCs w:val="17"/>
                <w:lang w:eastAsia="en-GB"/>
              </w:rPr>
            </w:pPr>
          </w:p>
        </w:tc>
        <w:tc>
          <w:tcPr>
            <w:tcW w:w="1503" w:type="dxa"/>
            <w:tcBorders>
              <w:top w:val="single" w:sz="4" w:space="0" w:color="auto"/>
              <w:left w:val="single" w:sz="4" w:space="0" w:color="auto"/>
              <w:bottom w:val="single" w:sz="4" w:space="0" w:color="auto"/>
              <w:right w:val="single" w:sz="4" w:space="0" w:color="auto"/>
            </w:tcBorders>
            <w:shd w:val="clear" w:color="auto" w:fill="FFFFFF"/>
            <w:vAlign w:val="center"/>
          </w:tcPr>
          <w:p w14:paraId="36C69BBC" w14:textId="77777777" w:rsidR="00986FDA" w:rsidRDefault="00986FDA" w:rsidP="00916BFE">
            <w:pPr>
              <w:jc w:val="center"/>
              <w:rPr>
                <w:rFonts w:cs="Segoe UI"/>
                <w:sz w:val="17"/>
                <w:szCs w:val="17"/>
                <w:lang w:eastAsia="en-GB"/>
              </w:rPr>
            </w:pPr>
            <w:r>
              <w:rPr>
                <w:rFonts w:cs="Segoe UI"/>
                <w:sz w:val="17"/>
                <w:szCs w:val="17"/>
                <w:lang w:eastAsia="en-GB"/>
              </w:rPr>
              <w:t>(a)</w:t>
            </w:r>
          </w:p>
        </w:tc>
        <w:tc>
          <w:tcPr>
            <w:tcW w:w="1648" w:type="dxa"/>
            <w:tcBorders>
              <w:top w:val="single" w:sz="4" w:space="0" w:color="auto"/>
              <w:left w:val="single" w:sz="4" w:space="0" w:color="auto"/>
              <w:bottom w:val="single" w:sz="4" w:space="0" w:color="auto"/>
              <w:right w:val="single" w:sz="4" w:space="0" w:color="auto"/>
            </w:tcBorders>
            <w:shd w:val="clear" w:color="auto" w:fill="FFFFFF"/>
            <w:vAlign w:val="center"/>
          </w:tcPr>
          <w:p w14:paraId="7C514626" w14:textId="77777777" w:rsidR="00986FDA" w:rsidRDefault="00986FDA" w:rsidP="00916BFE">
            <w:pPr>
              <w:jc w:val="center"/>
              <w:rPr>
                <w:rFonts w:cs="Segoe UI"/>
                <w:sz w:val="17"/>
                <w:szCs w:val="17"/>
                <w:lang w:eastAsia="en-GB"/>
              </w:rPr>
            </w:pPr>
            <w:r>
              <w:rPr>
                <w:rFonts w:cs="Segoe UI"/>
                <w:sz w:val="17"/>
                <w:szCs w:val="17"/>
                <w:lang w:eastAsia="en-GB"/>
              </w:rPr>
              <w:t>(b)</w:t>
            </w:r>
          </w:p>
        </w:tc>
        <w:tc>
          <w:tcPr>
            <w:tcW w:w="1603" w:type="dxa"/>
            <w:tcBorders>
              <w:top w:val="single" w:sz="4" w:space="0" w:color="auto"/>
              <w:left w:val="single" w:sz="4" w:space="0" w:color="auto"/>
              <w:bottom w:val="single" w:sz="4" w:space="0" w:color="auto"/>
              <w:right w:val="single" w:sz="4" w:space="0" w:color="auto"/>
            </w:tcBorders>
            <w:shd w:val="clear" w:color="auto" w:fill="FFFFFF"/>
            <w:vAlign w:val="center"/>
          </w:tcPr>
          <w:p w14:paraId="54FD0B40" w14:textId="77777777" w:rsidR="00986FDA" w:rsidRDefault="00986FDA" w:rsidP="00916BFE">
            <w:pPr>
              <w:jc w:val="center"/>
              <w:rPr>
                <w:rFonts w:cs="Segoe UI"/>
                <w:sz w:val="17"/>
                <w:szCs w:val="17"/>
                <w:lang w:eastAsia="en-GB"/>
              </w:rPr>
            </w:pPr>
            <w:r>
              <w:rPr>
                <w:rFonts w:cs="Segoe UI"/>
                <w:sz w:val="17"/>
                <w:lang w:eastAsia="en-GB"/>
              </w:rPr>
              <w:t>(c)</w:t>
            </w:r>
          </w:p>
        </w:tc>
        <w:tc>
          <w:tcPr>
            <w:tcW w:w="1604" w:type="dxa"/>
            <w:tcBorders>
              <w:top w:val="single" w:sz="4" w:space="0" w:color="auto"/>
              <w:left w:val="single" w:sz="4" w:space="0" w:color="auto"/>
              <w:bottom w:val="single" w:sz="4" w:space="0" w:color="auto"/>
              <w:right w:val="single" w:sz="4" w:space="0" w:color="auto"/>
            </w:tcBorders>
            <w:shd w:val="clear" w:color="auto" w:fill="FFFFFF"/>
            <w:vAlign w:val="center"/>
          </w:tcPr>
          <w:p w14:paraId="0AA58260" w14:textId="77777777" w:rsidR="00986FDA" w:rsidRDefault="00986FDA" w:rsidP="00916BFE">
            <w:pPr>
              <w:jc w:val="center"/>
              <w:rPr>
                <w:rFonts w:cs="Segoe UI"/>
                <w:sz w:val="17"/>
                <w:szCs w:val="17"/>
                <w:lang w:eastAsia="en-GB"/>
              </w:rPr>
            </w:pPr>
            <w:r>
              <w:rPr>
                <w:rFonts w:cs="Segoe UI"/>
                <w:sz w:val="17"/>
                <w:lang w:eastAsia="en-GB"/>
              </w:rPr>
              <w:t>(d)</w:t>
            </w:r>
          </w:p>
        </w:tc>
        <w:tc>
          <w:tcPr>
            <w:tcW w:w="1603" w:type="dxa"/>
            <w:tcBorders>
              <w:top w:val="single" w:sz="4" w:space="0" w:color="auto"/>
              <w:left w:val="single" w:sz="4" w:space="0" w:color="auto"/>
              <w:bottom w:val="single" w:sz="4" w:space="0" w:color="auto"/>
              <w:right w:val="single" w:sz="4" w:space="0" w:color="auto"/>
            </w:tcBorders>
            <w:shd w:val="clear" w:color="auto" w:fill="FFFFFF"/>
            <w:vAlign w:val="center"/>
          </w:tcPr>
          <w:p w14:paraId="0A87547A" w14:textId="77777777" w:rsidR="00986FDA" w:rsidRDefault="00986FDA" w:rsidP="00916BFE">
            <w:pPr>
              <w:jc w:val="center"/>
              <w:rPr>
                <w:rFonts w:cs="Segoe UI"/>
                <w:sz w:val="17"/>
                <w:szCs w:val="17"/>
                <w:lang w:eastAsia="en-GB"/>
              </w:rPr>
            </w:pPr>
            <w:r>
              <w:rPr>
                <w:rFonts w:cs="Segoe UI"/>
                <w:sz w:val="17"/>
                <w:lang w:eastAsia="en-GB"/>
              </w:rPr>
              <w:t>(e)</w:t>
            </w:r>
          </w:p>
        </w:tc>
        <w:tc>
          <w:tcPr>
            <w:tcW w:w="1604" w:type="dxa"/>
            <w:tcBorders>
              <w:top w:val="single" w:sz="4" w:space="0" w:color="auto"/>
              <w:left w:val="single" w:sz="4" w:space="0" w:color="auto"/>
              <w:bottom w:val="single" w:sz="4" w:space="0" w:color="auto"/>
              <w:right w:val="single" w:sz="4" w:space="0" w:color="auto"/>
            </w:tcBorders>
            <w:shd w:val="clear" w:color="auto" w:fill="FFFFFF"/>
            <w:vAlign w:val="center"/>
          </w:tcPr>
          <w:p w14:paraId="04C07742" w14:textId="77777777" w:rsidR="00986FDA" w:rsidRDefault="00986FDA" w:rsidP="00916BFE">
            <w:pPr>
              <w:jc w:val="center"/>
              <w:rPr>
                <w:rFonts w:cs="Segoe UI"/>
                <w:sz w:val="17"/>
                <w:szCs w:val="17"/>
                <w:lang w:eastAsia="en-GB"/>
              </w:rPr>
            </w:pPr>
            <w:r>
              <w:rPr>
                <w:rFonts w:cs="Segoe UI"/>
                <w:sz w:val="17"/>
                <w:szCs w:val="17"/>
                <w:lang w:eastAsia="en-GB"/>
              </w:rPr>
              <w:t>(f)</w:t>
            </w:r>
          </w:p>
        </w:tc>
        <w:tc>
          <w:tcPr>
            <w:tcW w:w="1604" w:type="dxa"/>
            <w:tcBorders>
              <w:top w:val="single" w:sz="4" w:space="0" w:color="auto"/>
              <w:left w:val="single" w:sz="4" w:space="0" w:color="auto"/>
              <w:bottom w:val="single" w:sz="4" w:space="0" w:color="auto"/>
              <w:right w:val="single" w:sz="4" w:space="0" w:color="auto"/>
            </w:tcBorders>
            <w:shd w:val="clear" w:color="auto" w:fill="FFFFFF"/>
            <w:vAlign w:val="center"/>
          </w:tcPr>
          <w:p w14:paraId="66ABD586" w14:textId="77777777" w:rsidR="00986FDA" w:rsidRDefault="00986FDA" w:rsidP="00916BFE">
            <w:pPr>
              <w:tabs>
                <w:tab w:val="left" w:pos="658"/>
              </w:tabs>
              <w:jc w:val="center"/>
              <w:rPr>
                <w:rFonts w:cs="Segoe UI"/>
                <w:sz w:val="17"/>
                <w:szCs w:val="17"/>
                <w:lang w:eastAsia="en-GB"/>
              </w:rPr>
            </w:pPr>
            <w:r>
              <w:rPr>
                <w:rFonts w:cs="Segoe UI"/>
                <w:sz w:val="17"/>
                <w:szCs w:val="17"/>
                <w:lang w:eastAsia="en-GB"/>
              </w:rPr>
              <w:t>(g)</w:t>
            </w:r>
          </w:p>
        </w:tc>
      </w:tr>
      <w:tr w:rsidR="00986FDA" w14:paraId="21362AEB" w14:textId="77777777" w:rsidTr="00916BFE">
        <w:trPr>
          <w:cantSplit/>
          <w:trHeight w:val="300"/>
          <w:tblHeader/>
        </w:trPr>
        <w:tc>
          <w:tcPr>
            <w:tcW w:w="2865" w:type="dxa"/>
            <w:tcBorders>
              <w:top w:val="nil"/>
              <w:left w:val="nil"/>
              <w:bottom w:val="nil"/>
              <w:right w:val="single" w:sz="4" w:space="0" w:color="auto"/>
            </w:tcBorders>
            <w:shd w:val="clear" w:color="auto" w:fill="FFFFFF"/>
            <w:vAlign w:val="bottom"/>
          </w:tcPr>
          <w:p w14:paraId="3EEF6378" w14:textId="77777777" w:rsidR="00986FDA" w:rsidRPr="001359F1" w:rsidRDefault="00986FDA" w:rsidP="00916BFE">
            <w:pPr>
              <w:rPr>
                <w:rFonts w:cs="Segoe UI"/>
                <w:sz w:val="17"/>
                <w:szCs w:val="17"/>
                <w:lang w:eastAsia="en-GB"/>
              </w:rPr>
            </w:pPr>
            <w:r>
              <w:rPr>
                <w:rFonts w:cs="Segoe UI"/>
                <w:sz w:val="17"/>
                <w:szCs w:val="17"/>
                <w:lang w:eastAsia="en-GB"/>
              </w:rPr>
              <w:t xml:space="preserve"> </w:t>
            </w:r>
          </w:p>
        </w:tc>
        <w:tc>
          <w:tcPr>
            <w:tcW w:w="1503" w:type="dxa"/>
            <w:vMerge w:val="restart"/>
            <w:tcBorders>
              <w:top w:val="single" w:sz="4" w:space="0" w:color="auto"/>
              <w:left w:val="single" w:sz="4" w:space="0" w:color="auto"/>
              <w:right w:val="single" w:sz="4" w:space="0" w:color="auto"/>
            </w:tcBorders>
            <w:shd w:val="clear" w:color="auto" w:fill="FFFFFF"/>
            <w:vAlign w:val="center"/>
          </w:tcPr>
          <w:p w14:paraId="00C7D02F" w14:textId="77777777" w:rsidR="00986FDA" w:rsidRDefault="00986FDA" w:rsidP="00916BFE">
            <w:pPr>
              <w:snapToGrid w:val="0"/>
              <w:jc w:val="center"/>
              <w:rPr>
                <w:rFonts w:cs="Segoe UI"/>
                <w:noProof/>
                <w:sz w:val="17"/>
                <w:szCs w:val="17"/>
                <w:lang w:eastAsia="en-GB"/>
              </w:rPr>
            </w:pPr>
            <w:r>
              <w:rPr>
                <w:rFonts w:cs="Segoe UI"/>
                <w:sz w:val="17"/>
                <w:szCs w:val="17"/>
                <w:lang w:eastAsia="en-GB"/>
              </w:rPr>
              <w:t>Carrying values as reported in published financial statements</w:t>
            </w:r>
          </w:p>
        </w:tc>
        <w:tc>
          <w:tcPr>
            <w:tcW w:w="1648" w:type="dxa"/>
            <w:vMerge w:val="restart"/>
            <w:tcBorders>
              <w:top w:val="single" w:sz="4" w:space="0" w:color="auto"/>
              <w:left w:val="single" w:sz="4" w:space="0" w:color="auto"/>
              <w:right w:val="single" w:sz="4" w:space="0" w:color="auto"/>
            </w:tcBorders>
            <w:shd w:val="clear" w:color="auto" w:fill="FFFFFF"/>
            <w:vAlign w:val="center"/>
          </w:tcPr>
          <w:p w14:paraId="0C8A4989" w14:textId="77777777" w:rsidR="00986FDA" w:rsidRDefault="00986FDA" w:rsidP="00916BFE">
            <w:pPr>
              <w:snapToGrid w:val="0"/>
              <w:jc w:val="center"/>
              <w:rPr>
                <w:rFonts w:cs="Segoe UI"/>
                <w:noProof/>
                <w:sz w:val="17"/>
                <w:szCs w:val="17"/>
                <w:lang w:eastAsia="en-GB"/>
              </w:rPr>
            </w:pPr>
            <w:r>
              <w:rPr>
                <w:rFonts w:cs="Segoe UI"/>
                <w:noProof/>
                <w:sz w:val="17"/>
                <w:szCs w:val="17"/>
                <w:lang w:eastAsia="en-GB"/>
              </w:rPr>
              <w:t>Carrying values</w:t>
            </w:r>
          </w:p>
          <w:p w14:paraId="3033B190" w14:textId="77777777" w:rsidR="00986FDA" w:rsidRDefault="00986FDA" w:rsidP="00916BFE">
            <w:pPr>
              <w:snapToGrid w:val="0"/>
              <w:jc w:val="center"/>
              <w:rPr>
                <w:rFonts w:cs="Segoe UI"/>
                <w:noProof/>
                <w:sz w:val="17"/>
                <w:szCs w:val="17"/>
                <w:lang w:eastAsia="en-GB"/>
              </w:rPr>
            </w:pPr>
            <w:r>
              <w:rPr>
                <w:rFonts w:cs="Segoe UI"/>
                <w:sz w:val="17"/>
                <w:szCs w:val="17"/>
                <w:lang w:eastAsia="en-GB"/>
              </w:rPr>
              <w:t>under scope of regulatory consolidation</w:t>
            </w:r>
          </w:p>
        </w:tc>
        <w:tc>
          <w:tcPr>
            <w:tcW w:w="8018"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4A2FA768" w14:textId="77777777" w:rsidR="00986FDA" w:rsidRDefault="00986FDA" w:rsidP="00916BFE">
            <w:pPr>
              <w:snapToGrid w:val="0"/>
              <w:jc w:val="center"/>
              <w:rPr>
                <w:rFonts w:cs="Segoe UI"/>
                <w:noProof/>
                <w:sz w:val="17"/>
                <w:szCs w:val="17"/>
                <w:lang w:eastAsia="en-GB"/>
              </w:rPr>
            </w:pPr>
            <w:r>
              <w:rPr>
                <w:rFonts w:cs="Segoe UI"/>
                <w:sz w:val="17"/>
                <w:lang w:eastAsia="en-GB"/>
              </w:rPr>
              <w:t>Carrying values of items:</w:t>
            </w:r>
          </w:p>
        </w:tc>
      </w:tr>
      <w:tr w:rsidR="00986FDA" w14:paraId="52720905" w14:textId="77777777" w:rsidTr="00916BFE">
        <w:trPr>
          <w:cantSplit/>
          <w:trHeight w:val="688"/>
          <w:tblHeader/>
        </w:trPr>
        <w:tc>
          <w:tcPr>
            <w:tcW w:w="2865" w:type="dxa"/>
            <w:tcBorders>
              <w:top w:val="nil"/>
              <w:left w:val="nil"/>
              <w:bottom w:val="single" w:sz="4" w:space="0" w:color="auto"/>
              <w:right w:val="single" w:sz="4" w:space="0" w:color="auto"/>
            </w:tcBorders>
            <w:shd w:val="clear" w:color="auto" w:fill="FFFFFF"/>
            <w:vAlign w:val="bottom"/>
          </w:tcPr>
          <w:p w14:paraId="36194B58" w14:textId="77777777" w:rsidR="00986FDA" w:rsidRDefault="00986FDA" w:rsidP="00916BFE">
            <w:pPr>
              <w:rPr>
                <w:rFonts w:cs="Segoe UI"/>
                <w:sz w:val="17"/>
                <w:szCs w:val="17"/>
                <w:lang w:eastAsia="en-GB"/>
              </w:rPr>
            </w:pPr>
          </w:p>
        </w:tc>
        <w:tc>
          <w:tcPr>
            <w:tcW w:w="1503" w:type="dxa"/>
            <w:vMerge/>
            <w:tcBorders>
              <w:left w:val="single" w:sz="4" w:space="0" w:color="auto"/>
              <w:bottom w:val="single" w:sz="4" w:space="0" w:color="auto"/>
              <w:right w:val="single" w:sz="4" w:space="0" w:color="auto"/>
            </w:tcBorders>
            <w:shd w:val="clear" w:color="auto" w:fill="FFFFFF"/>
            <w:vAlign w:val="bottom"/>
          </w:tcPr>
          <w:p w14:paraId="036C3DDF" w14:textId="77777777" w:rsidR="00986FDA" w:rsidRDefault="00986FDA" w:rsidP="00916BFE">
            <w:pPr>
              <w:jc w:val="center"/>
              <w:rPr>
                <w:rFonts w:cs="Segoe UI"/>
                <w:sz w:val="17"/>
                <w:szCs w:val="17"/>
                <w:lang w:eastAsia="en-GB"/>
              </w:rPr>
            </w:pPr>
          </w:p>
        </w:tc>
        <w:tc>
          <w:tcPr>
            <w:tcW w:w="1648" w:type="dxa"/>
            <w:vMerge/>
            <w:tcBorders>
              <w:left w:val="single" w:sz="4" w:space="0" w:color="auto"/>
              <w:bottom w:val="single" w:sz="4" w:space="0" w:color="auto"/>
              <w:right w:val="single" w:sz="4" w:space="0" w:color="auto"/>
            </w:tcBorders>
            <w:shd w:val="clear" w:color="auto" w:fill="FFFFFF"/>
            <w:vAlign w:val="bottom"/>
          </w:tcPr>
          <w:p w14:paraId="6A8E51C0" w14:textId="77777777" w:rsidR="00986FDA" w:rsidRDefault="00986FDA" w:rsidP="00916BFE">
            <w:pPr>
              <w:snapToGrid w:val="0"/>
              <w:jc w:val="center"/>
              <w:rPr>
                <w:rFonts w:cs="Segoe UI"/>
                <w:sz w:val="17"/>
                <w:szCs w:val="17"/>
                <w:lang w:eastAsia="en-GB"/>
              </w:rPr>
            </w:pPr>
          </w:p>
        </w:tc>
        <w:tc>
          <w:tcPr>
            <w:tcW w:w="1603" w:type="dxa"/>
            <w:tcBorders>
              <w:top w:val="single" w:sz="4" w:space="0" w:color="auto"/>
              <w:left w:val="single" w:sz="4" w:space="0" w:color="auto"/>
              <w:bottom w:val="single" w:sz="4" w:space="0" w:color="auto"/>
              <w:right w:val="single" w:sz="4" w:space="0" w:color="auto"/>
            </w:tcBorders>
            <w:shd w:val="clear" w:color="auto" w:fill="FFFFFF"/>
            <w:vAlign w:val="center"/>
          </w:tcPr>
          <w:p w14:paraId="70E3265D" w14:textId="77777777" w:rsidR="00986FDA" w:rsidRDefault="00986FDA" w:rsidP="00916BFE">
            <w:pPr>
              <w:snapToGrid w:val="0"/>
              <w:jc w:val="center"/>
              <w:rPr>
                <w:rFonts w:cs="Segoe UI"/>
                <w:noProof/>
                <w:sz w:val="17"/>
                <w:szCs w:val="17"/>
                <w:lang w:eastAsia="en-GB"/>
              </w:rPr>
            </w:pPr>
            <w:r>
              <w:rPr>
                <w:rFonts w:cs="Segoe UI"/>
                <w:sz w:val="17"/>
                <w:lang w:eastAsia="en-GB"/>
              </w:rPr>
              <w:t>subject to credit risk framework</w:t>
            </w:r>
          </w:p>
        </w:tc>
        <w:tc>
          <w:tcPr>
            <w:tcW w:w="1604" w:type="dxa"/>
            <w:tcBorders>
              <w:top w:val="single" w:sz="4" w:space="0" w:color="auto"/>
              <w:left w:val="single" w:sz="4" w:space="0" w:color="auto"/>
              <w:bottom w:val="single" w:sz="4" w:space="0" w:color="auto"/>
              <w:right w:val="single" w:sz="4" w:space="0" w:color="auto"/>
            </w:tcBorders>
            <w:shd w:val="clear" w:color="auto" w:fill="FFFFFF"/>
            <w:vAlign w:val="center"/>
          </w:tcPr>
          <w:p w14:paraId="5543A20A" w14:textId="77777777" w:rsidR="00986FDA" w:rsidRDefault="00986FDA" w:rsidP="00916BFE">
            <w:pPr>
              <w:snapToGrid w:val="0"/>
              <w:jc w:val="center"/>
              <w:rPr>
                <w:rFonts w:cs="Segoe UI"/>
                <w:noProof/>
                <w:sz w:val="17"/>
                <w:szCs w:val="17"/>
                <w:lang w:eastAsia="en-GB"/>
              </w:rPr>
            </w:pPr>
            <w:r>
              <w:rPr>
                <w:rFonts w:cs="Segoe UI"/>
                <w:sz w:val="17"/>
                <w:lang w:eastAsia="en-GB"/>
              </w:rPr>
              <w:t>subject to counterparty credit risk framework</w:t>
            </w:r>
          </w:p>
        </w:tc>
        <w:tc>
          <w:tcPr>
            <w:tcW w:w="1603" w:type="dxa"/>
            <w:tcBorders>
              <w:top w:val="single" w:sz="4" w:space="0" w:color="auto"/>
              <w:left w:val="single" w:sz="4" w:space="0" w:color="auto"/>
              <w:bottom w:val="single" w:sz="4" w:space="0" w:color="auto"/>
              <w:right w:val="single" w:sz="4" w:space="0" w:color="auto"/>
            </w:tcBorders>
            <w:shd w:val="clear" w:color="auto" w:fill="FFFFFF"/>
            <w:vAlign w:val="center"/>
          </w:tcPr>
          <w:p w14:paraId="1EAC34F9" w14:textId="77777777" w:rsidR="00986FDA" w:rsidRDefault="00986FDA" w:rsidP="00916BFE">
            <w:pPr>
              <w:snapToGrid w:val="0"/>
              <w:jc w:val="center"/>
              <w:rPr>
                <w:rFonts w:cs="Segoe UI"/>
                <w:noProof/>
                <w:sz w:val="17"/>
                <w:szCs w:val="17"/>
                <w:lang w:eastAsia="en-GB"/>
              </w:rPr>
            </w:pPr>
            <w:r>
              <w:rPr>
                <w:rFonts w:cs="Segoe UI"/>
                <w:sz w:val="17"/>
                <w:lang w:eastAsia="en-GB"/>
              </w:rPr>
              <w:t>subject to the securitization framework</w:t>
            </w:r>
          </w:p>
        </w:tc>
        <w:tc>
          <w:tcPr>
            <w:tcW w:w="1604" w:type="dxa"/>
            <w:tcBorders>
              <w:top w:val="single" w:sz="4" w:space="0" w:color="auto"/>
              <w:left w:val="single" w:sz="4" w:space="0" w:color="auto"/>
              <w:bottom w:val="single" w:sz="4" w:space="0" w:color="auto"/>
              <w:right w:val="single" w:sz="4" w:space="0" w:color="auto"/>
            </w:tcBorders>
            <w:shd w:val="clear" w:color="auto" w:fill="FFFFFF"/>
            <w:vAlign w:val="center"/>
          </w:tcPr>
          <w:p w14:paraId="4F78F80B" w14:textId="77777777" w:rsidR="00986FDA" w:rsidRDefault="00986FDA" w:rsidP="00916BFE">
            <w:pPr>
              <w:snapToGrid w:val="0"/>
              <w:jc w:val="center"/>
              <w:rPr>
                <w:rFonts w:cs="Segoe UI"/>
                <w:noProof/>
                <w:sz w:val="17"/>
                <w:szCs w:val="17"/>
                <w:lang w:eastAsia="en-GB"/>
              </w:rPr>
            </w:pPr>
            <w:r>
              <w:rPr>
                <w:rFonts w:cs="Segoe UI"/>
                <w:sz w:val="17"/>
                <w:lang w:eastAsia="en-GB"/>
              </w:rPr>
              <w:t xml:space="preserve">subject to </w:t>
            </w:r>
            <w:r>
              <w:rPr>
                <w:rFonts w:cs="Segoe UI"/>
                <w:sz w:val="17"/>
                <w:szCs w:val="17"/>
                <w:lang w:eastAsia="en-GB"/>
              </w:rPr>
              <w:t>market risk framework*</w:t>
            </w:r>
          </w:p>
        </w:tc>
        <w:tc>
          <w:tcPr>
            <w:tcW w:w="1604" w:type="dxa"/>
            <w:tcBorders>
              <w:top w:val="single" w:sz="4" w:space="0" w:color="auto"/>
              <w:left w:val="single" w:sz="4" w:space="0" w:color="auto"/>
              <w:bottom w:val="single" w:sz="4" w:space="0" w:color="auto"/>
              <w:right w:val="single" w:sz="4" w:space="0" w:color="auto"/>
            </w:tcBorders>
            <w:shd w:val="clear" w:color="auto" w:fill="FFFFFF"/>
            <w:vAlign w:val="center"/>
          </w:tcPr>
          <w:p w14:paraId="6ED091B0" w14:textId="77777777" w:rsidR="00986FDA" w:rsidRDefault="00986FDA" w:rsidP="00916BFE">
            <w:pPr>
              <w:snapToGrid w:val="0"/>
              <w:jc w:val="center"/>
              <w:rPr>
                <w:rFonts w:cs="Segoe UI"/>
                <w:noProof/>
                <w:sz w:val="17"/>
                <w:szCs w:val="17"/>
                <w:lang w:eastAsia="en-GB"/>
              </w:rPr>
            </w:pPr>
            <w:r>
              <w:rPr>
                <w:rFonts w:cs="Segoe UI"/>
                <w:sz w:val="17"/>
                <w:lang w:eastAsia="en-GB"/>
              </w:rPr>
              <w:t>not subject to capital requirements or subject to deduction from capital</w:t>
            </w:r>
          </w:p>
        </w:tc>
      </w:tr>
      <w:tr w:rsidR="00986FDA" w14:paraId="5C65019E" w14:textId="77777777" w:rsidTr="00916BFE">
        <w:trPr>
          <w:trHeight w:val="300"/>
        </w:trPr>
        <w:tc>
          <w:tcPr>
            <w:tcW w:w="2865" w:type="dxa"/>
            <w:tcBorders>
              <w:top w:val="single" w:sz="4" w:space="0" w:color="auto"/>
              <w:left w:val="nil"/>
              <w:right w:val="single" w:sz="4" w:space="0" w:color="auto"/>
            </w:tcBorders>
            <w:shd w:val="clear" w:color="auto" w:fill="BFBFBF"/>
          </w:tcPr>
          <w:p w14:paraId="7BD0D6DC" w14:textId="77777777" w:rsidR="00986FDA" w:rsidRDefault="00986FDA" w:rsidP="00916BFE">
            <w:pPr>
              <w:snapToGrid w:val="0"/>
              <w:spacing w:before="20" w:after="20"/>
              <w:rPr>
                <w:rFonts w:cs="Segoe UI"/>
                <w:b/>
                <w:sz w:val="17"/>
                <w:szCs w:val="17"/>
                <w:lang w:eastAsia="en-GB"/>
              </w:rPr>
            </w:pPr>
            <w:r>
              <w:rPr>
                <w:rFonts w:cs="Segoe UI"/>
                <w:b/>
                <w:sz w:val="17"/>
                <w:szCs w:val="17"/>
                <w:lang w:eastAsia="en-GB"/>
              </w:rPr>
              <w:t xml:space="preserve">Assets </w:t>
            </w:r>
          </w:p>
        </w:tc>
        <w:tc>
          <w:tcPr>
            <w:tcW w:w="1503" w:type="dxa"/>
            <w:tcBorders>
              <w:top w:val="single" w:sz="4" w:space="0" w:color="auto"/>
              <w:left w:val="single" w:sz="4" w:space="0" w:color="auto"/>
              <w:right w:val="single" w:sz="4" w:space="0" w:color="auto"/>
            </w:tcBorders>
            <w:shd w:val="clear" w:color="auto" w:fill="BFBFBF"/>
          </w:tcPr>
          <w:p w14:paraId="15CFB228" w14:textId="77777777" w:rsidR="00986FDA" w:rsidRDefault="00986FDA" w:rsidP="00916BFE">
            <w:pPr>
              <w:snapToGrid w:val="0"/>
              <w:rPr>
                <w:rFonts w:cs="Segoe UI"/>
                <w:b/>
                <w:sz w:val="17"/>
                <w:szCs w:val="17"/>
                <w:lang w:eastAsia="en-GB"/>
              </w:rPr>
            </w:pPr>
          </w:p>
        </w:tc>
        <w:tc>
          <w:tcPr>
            <w:tcW w:w="1648" w:type="dxa"/>
            <w:tcBorders>
              <w:top w:val="single" w:sz="4" w:space="0" w:color="auto"/>
              <w:left w:val="single" w:sz="4" w:space="0" w:color="auto"/>
              <w:right w:val="single" w:sz="4" w:space="0" w:color="auto"/>
            </w:tcBorders>
            <w:shd w:val="clear" w:color="auto" w:fill="BFBFBF"/>
          </w:tcPr>
          <w:p w14:paraId="5BF2624D" w14:textId="77777777" w:rsidR="00986FDA" w:rsidRDefault="00986FDA" w:rsidP="00916BFE">
            <w:pPr>
              <w:snapToGrid w:val="0"/>
              <w:rPr>
                <w:rFonts w:cs="Segoe UI"/>
                <w:b/>
                <w:sz w:val="17"/>
                <w:szCs w:val="17"/>
                <w:lang w:eastAsia="en-GB"/>
              </w:rPr>
            </w:pPr>
          </w:p>
        </w:tc>
        <w:tc>
          <w:tcPr>
            <w:tcW w:w="1603" w:type="dxa"/>
            <w:tcBorders>
              <w:top w:val="single" w:sz="4" w:space="0" w:color="auto"/>
              <w:left w:val="single" w:sz="4" w:space="0" w:color="auto"/>
              <w:right w:val="single" w:sz="4" w:space="0" w:color="auto"/>
            </w:tcBorders>
            <w:shd w:val="clear" w:color="auto" w:fill="BFBFBF"/>
          </w:tcPr>
          <w:p w14:paraId="7CB1FF88" w14:textId="77777777" w:rsidR="00986FDA" w:rsidRDefault="00986FDA" w:rsidP="00916BFE">
            <w:pPr>
              <w:snapToGrid w:val="0"/>
              <w:rPr>
                <w:rFonts w:cs="Segoe UI"/>
                <w:b/>
                <w:sz w:val="17"/>
                <w:szCs w:val="17"/>
                <w:lang w:eastAsia="en-GB"/>
              </w:rPr>
            </w:pPr>
          </w:p>
        </w:tc>
        <w:tc>
          <w:tcPr>
            <w:tcW w:w="1604" w:type="dxa"/>
            <w:tcBorders>
              <w:top w:val="single" w:sz="4" w:space="0" w:color="auto"/>
              <w:left w:val="single" w:sz="4" w:space="0" w:color="auto"/>
              <w:right w:val="single" w:sz="4" w:space="0" w:color="auto"/>
            </w:tcBorders>
            <w:shd w:val="clear" w:color="auto" w:fill="BFBFBF"/>
          </w:tcPr>
          <w:p w14:paraId="53A50342" w14:textId="77777777" w:rsidR="00986FDA" w:rsidRDefault="00986FDA" w:rsidP="00916BFE">
            <w:pPr>
              <w:snapToGrid w:val="0"/>
              <w:rPr>
                <w:rFonts w:cs="Segoe UI"/>
                <w:b/>
                <w:sz w:val="17"/>
                <w:szCs w:val="17"/>
                <w:lang w:eastAsia="en-GB"/>
              </w:rPr>
            </w:pPr>
          </w:p>
        </w:tc>
        <w:tc>
          <w:tcPr>
            <w:tcW w:w="1603" w:type="dxa"/>
            <w:tcBorders>
              <w:top w:val="single" w:sz="4" w:space="0" w:color="auto"/>
              <w:left w:val="single" w:sz="4" w:space="0" w:color="auto"/>
              <w:right w:val="single" w:sz="4" w:space="0" w:color="auto"/>
            </w:tcBorders>
            <w:shd w:val="clear" w:color="auto" w:fill="BFBFBF"/>
          </w:tcPr>
          <w:p w14:paraId="7C7AE8BE" w14:textId="77777777" w:rsidR="00986FDA" w:rsidRDefault="00986FDA" w:rsidP="00916BFE">
            <w:pPr>
              <w:snapToGrid w:val="0"/>
              <w:rPr>
                <w:rFonts w:cs="Segoe UI"/>
                <w:b/>
                <w:sz w:val="17"/>
                <w:szCs w:val="17"/>
                <w:lang w:eastAsia="en-GB"/>
              </w:rPr>
            </w:pPr>
          </w:p>
        </w:tc>
        <w:tc>
          <w:tcPr>
            <w:tcW w:w="1604" w:type="dxa"/>
            <w:tcBorders>
              <w:top w:val="single" w:sz="4" w:space="0" w:color="auto"/>
              <w:left w:val="single" w:sz="4" w:space="0" w:color="auto"/>
              <w:right w:val="single" w:sz="4" w:space="0" w:color="auto"/>
            </w:tcBorders>
            <w:shd w:val="clear" w:color="auto" w:fill="BFBFBF"/>
          </w:tcPr>
          <w:p w14:paraId="123FC533" w14:textId="77777777" w:rsidR="00986FDA" w:rsidRDefault="00986FDA" w:rsidP="00916BFE">
            <w:pPr>
              <w:snapToGrid w:val="0"/>
              <w:rPr>
                <w:rFonts w:cs="Segoe UI"/>
                <w:b/>
                <w:sz w:val="17"/>
                <w:szCs w:val="17"/>
                <w:lang w:eastAsia="en-GB"/>
              </w:rPr>
            </w:pPr>
          </w:p>
        </w:tc>
        <w:tc>
          <w:tcPr>
            <w:tcW w:w="1604" w:type="dxa"/>
            <w:tcBorders>
              <w:top w:val="single" w:sz="4" w:space="0" w:color="auto"/>
              <w:left w:val="single" w:sz="4" w:space="0" w:color="auto"/>
              <w:right w:val="single" w:sz="4" w:space="0" w:color="auto"/>
            </w:tcBorders>
            <w:shd w:val="clear" w:color="auto" w:fill="BFBFBF"/>
          </w:tcPr>
          <w:p w14:paraId="337CF8E4" w14:textId="77777777" w:rsidR="00986FDA" w:rsidRDefault="00986FDA" w:rsidP="00916BFE">
            <w:pPr>
              <w:snapToGrid w:val="0"/>
              <w:rPr>
                <w:rFonts w:cs="Segoe UI"/>
                <w:b/>
                <w:sz w:val="17"/>
                <w:szCs w:val="17"/>
                <w:lang w:eastAsia="en-GB"/>
              </w:rPr>
            </w:pPr>
          </w:p>
        </w:tc>
      </w:tr>
      <w:tr w:rsidR="00986FDA" w14:paraId="122B646C" w14:textId="77777777" w:rsidTr="00916BFE">
        <w:trPr>
          <w:trHeight w:val="216"/>
        </w:trPr>
        <w:tc>
          <w:tcPr>
            <w:tcW w:w="2865" w:type="dxa"/>
            <w:tcBorders>
              <w:left w:val="nil"/>
              <w:right w:val="single" w:sz="4" w:space="0" w:color="auto"/>
            </w:tcBorders>
            <w:shd w:val="clear" w:color="auto" w:fill="FFFFFF"/>
          </w:tcPr>
          <w:p w14:paraId="29FBEC7B" w14:textId="77777777" w:rsidR="00986FDA" w:rsidRDefault="00986FDA" w:rsidP="00916BFE">
            <w:pPr>
              <w:snapToGrid w:val="0"/>
              <w:spacing w:before="20" w:after="20"/>
              <w:rPr>
                <w:rFonts w:cs="Segoe UI"/>
                <w:sz w:val="17"/>
                <w:szCs w:val="17"/>
                <w:lang w:eastAsia="en-GB"/>
              </w:rPr>
            </w:pPr>
            <w:r>
              <w:rPr>
                <w:rFonts w:cs="Segoe UI"/>
                <w:sz w:val="17"/>
                <w:szCs w:val="17"/>
                <w:lang w:eastAsia="en-GB"/>
              </w:rPr>
              <w:t xml:space="preserve">Cash and balances at central banks </w:t>
            </w:r>
          </w:p>
        </w:tc>
        <w:tc>
          <w:tcPr>
            <w:tcW w:w="1503" w:type="dxa"/>
            <w:tcBorders>
              <w:left w:val="single" w:sz="4" w:space="0" w:color="auto"/>
              <w:right w:val="single" w:sz="4" w:space="0" w:color="auto"/>
            </w:tcBorders>
          </w:tcPr>
          <w:p w14:paraId="40ABFB9B" w14:textId="77777777" w:rsidR="00986FDA" w:rsidRDefault="00986FDA" w:rsidP="00916BFE">
            <w:pPr>
              <w:snapToGrid w:val="0"/>
              <w:rPr>
                <w:rFonts w:cs="Segoe UI"/>
                <w:sz w:val="17"/>
                <w:szCs w:val="17"/>
                <w:lang w:eastAsia="en-GB"/>
              </w:rPr>
            </w:pPr>
          </w:p>
        </w:tc>
        <w:tc>
          <w:tcPr>
            <w:tcW w:w="1648" w:type="dxa"/>
            <w:tcBorders>
              <w:left w:val="single" w:sz="4" w:space="0" w:color="auto"/>
              <w:right w:val="single" w:sz="4" w:space="0" w:color="auto"/>
            </w:tcBorders>
          </w:tcPr>
          <w:p w14:paraId="20E049BE"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5779CF18"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tcPr>
          <w:p w14:paraId="770ABA16"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7191CD2F"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01797332"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2B450707" w14:textId="77777777" w:rsidR="00986FDA" w:rsidRDefault="00986FDA" w:rsidP="00916BFE">
            <w:pPr>
              <w:snapToGrid w:val="0"/>
              <w:rPr>
                <w:rFonts w:cs="Segoe UI"/>
                <w:sz w:val="17"/>
                <w:szCs w:val="17"/>
                <w:lang w:eastAsia="en-GB"/>
              </w:rPr>
            </w:pPr>
          </w:p>
        </w:tc>
      </w:tr>
      <w:tr w:rsidR="00986FDA" w14:paraId="35308539" w14:textId="77777777" w:rsidTr="00916BFE">
        <w:trPr>
          <w:trHeight w:val="216"/>
        </w:trPr>
        <w:tc>
          <w:tcPr>
            <w:tcW w:w="2865" w:type="dxa"/>
            <w:tcBorders>
              <w:left w:val="nil"/>
              <w:right w:val="single" w:sz="4" w:space="0" w:color="auto"/>
            </w:tcBorders>
            <w:shd w:val="clear" w:color="auto" w:fill="FFFFFF"/>
          </w:tcPr>
          <w:p w14:paraId="25B85026" w14:textId="77777777" w:rsidR="00986FDA" w:rsidRDefault="00986FDA" w:rsidP="00916BFE">
            <w:pPr>
              <w:snapToGrid w:val="0"/>
              <w:spacing w:before="20" w:after="20"/>
              <w:rPr>
                <w:rFonts w:cs="Segoe UI"/>
                <w:sz w:val="17"/>
                <w:szCs w:val="17"/>
                <w:lang w:eastAsia="en-GB"/>
              </w:rPr>
            </w:pPr>
            <w:r>
              <w:rPr>
                <w:rFonts w:cs="Segoe UI"/>
                <w:sz w:val="17"/>
                <w:szCs w:val="17"/>
                <w:lang w:eastAsia="en-GB"/>
              </w:rPr>
              <w:t xml:space="preserve">Items in the course of collection from other banks </w:t>
            </w:r>
          </w:p>
        </w:tc>
        <w:tc>
          <w:tcPr>
            <w:tcW w:w="1503" w:type="dxa"/>
            <w:tcBorders>
              <w:left w:val="single" w:sz="4" w:space="0" w:color="auto"/>
              <w:right w:val="single" w:sz="4" w:space="0" w:color="auto"/>
            </w:tcBorders>
          </w:tcPr>
          <w:p w14:paraId="2AE799E2" w14:textId="77777777" w:rsidR="00986FDA" w:rsidRDefault="00986FDA" w:rsidP="00916BFE">
            <w:pPr>
              <w:snapToGrid w:val="0"/>
              <w:rPr>
                <w:rFonts w:cs="Segoe UI"/>
                <w:sz w:val="17"/>
                <w:szCs w:val="17"/>
                <w:lang w:eastAsia="en-GB"/>
              </w:rPr>
            </w:pPr>
          </w:p>
        </w:tc>
        <w:tc>
          <w:tcPr>
            <w:tcW w:w="1648" w:type="dxa"/>
            <w:tcBorders>
              <w:left w:val="single" w:sz="4" w:space="0" w:color="auto"/>
              <w:right w:val="single" w:sz="4" w:space="0" w:color="auto"/>
            </w:tcBorders>
          </w:tcPr>
          <w:p w14:paraId="12074DA8"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3D3AD9FF"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tcPr>
          <w:p w14:paraId="15C9D110"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7A65FE45"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35D88465"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4E5BDCC0" w14:textId="77777777" w:rsidR="00986FDA" w:rsidRDefault="00986FDA" w:rsidP="00916BFE">
            <w:pPr>
              <w:snapToGrid w:val="0"/>
              <w:rPr>
                <w:rFonts w:cs="Segoe UI"/>
                <w:sz w:val="17"/>
                <w:szCs w:val="17"/>
                <w:lang w:eastAsia="en-GB"/>
              </w:rPr>
            </w:pPr>
          </w:p>
        </w:tc>
      </w:tr>
      <w:tr w:rsidR="00986FDA" w14:paraId="1822EDCC" w14:textId="77777777" w:rsidTr="00916BFE">
        <w:trPr>
          <w:trHeight w:val="216"/>
        </w:trPr>
        <w:tc>
          <w:tcPr>
            <w:tcW w:w="2865" w:type="dxa"/>
            <w:tcBorders>
              <w:left w:val="nil"/>
              <w:right w:val="single" w:sz="4" w:space="0" w:color="auto"/>
            </w:tcBorders>
            <w:shd w:val="clear" w:color="auto" w:fill="FFFFFF"/>
          </w:tcPr>
          <w:p w14:paraId="21739C86" w14:textId="77777777" w:rsidR="00986FDA" w:rsidRDefault="00986FDA" w:rsidP="00916BFE">
            <w:pPr>
              <w:snapToGrid w:val="0"/>
              <w:spacing w:before="20" w:after="20"/>
              <w:rPr>
                <w:rFonts w:cs="Segoe UI"/>
                <w:sz w:val="17"/>
                <w:szCs w:val="17"/>
                <w:lang w:eastAsia="en-GB"/>
              </w:rPr>
            </w:pPr>
            <w:r>
              <w:rPr>
                <w:rFonts w:cs="Segoe UI"/>
                <w:sz w:val="17"/>
                <w:szCs w:val="17"/>
                <w:lang w:eastAsia="en-GB"/>
              </w:rPr>
              <w:t xml:space="preserve">Trading portfolio assets </w:t>
            </w:r>
          </w:p>
        </w:tc>
        <w:tc>
          <w:tcPr>
            <w:tcW w:w="1503" w:type="dxa"/>
            <w:tcBorders>
              <w:left w:val="single" w:sz="4" w:space="0" w:color="auto"/>
              <w:right w:val="single" w:sz="4" w:space="0" w:color="auto"/>
            </w:tcBorders>
          </w:tcPr>
          <w:p w14:paraId="6B4878B9" w14:textId="77777777" w:rsidR="00986FDA" w:rsidRDefault="00986FDA" w:rsidP="00916BFE">
            <w:pPr>
              <w:snapToGrid w:val="0"/>
              <w:rPr>
                <w:rFonts w:cs="Segoe UI"/>
                <w:sz w:val="17"/>
                <w:szCs w:val="17"/>
                <w:lang w:eastAsia="en-GB"/>
              </w:rPr>
            </w:pPr>
          </w:p>
        </w:tc>
        <w:tc>
          <w:tcPr>
            <w:tcW w:w="1648" w:type="dxa"/>
            <w:tcBorders>
              <w:left w:val="single" w:sz="4" w:space="0" w:color="auto"/>
              <w:right w:val="single" w:sz="4" w:space="0" w:color="auto"/>
            </w:tcBorders>
          </w:tcPr>
          <w:p w14:paraId="564C4C50"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481883AF"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tcPr>
          <w:p w14:paraId="6F80BC9E"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38D0F6C1"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43971F9B"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17A460D1" w14:textId="77777777" w:rsidR="00986FDA" w:rsidRDefault="00986FDA" w:rsidP="00916BFE">
            <w:pPr>
              <w:snapToGrid w:val="0"/>
              <w:rPr>
                <w:rFonts w:cs="Segoe UI"/>
                <w:sz w:val="17"/>
                <w:szCs w:val="17"/>
                <w:lang w:eastAsia="en-GB"/>
              </w:rPr>
            </w:pPr>
          </w:p>
        </w:tc>
      </w:tr>
      <w:tr w:rsidR="00986FDA" w14:paraId="3DD7AC74" w14:textId="77777777" w:rsidTr="00916BFE">
        <w:trPr>
          <w:trHeight w:val="216"/>
        </w:trPr>
        <w:tc>
          <w:tcPr>
            <w:tcW w:w="2865" w:type="dxa"/>
            <w:tcBorders>
              <w:left w:val="nil"/>
              <w:right w:val="single" w:sz="4" w:space="0" w:color="auto"/>
            </w:tcBorders>
            <w:shd w:val="clear" w:color="auto" w:fill="FFFFFF"/>
          </w:tcPr>
          <w:p w14:paraId="0F09639C" w14:textId="77777777" w:rsidR="00986FDA" w:rsidRDefault="00986FDA" w:rsidP="00916BFE">
            <w:pPr>
              <w:snapToGrid w:val="0"/>
              <w:spacing w:before="20" w:after="20"/>
              <w:rPr>
                <w:rFonts w:cs="Segoe UI"/>
                <w:sz w:val="17"/>
                <w:szCs w:val="17"/>
                <w:lang w:eastAsia="en-GB"/>
              </w:rPr>
            </w:pPr>
            <w:r>
              <w:rPr>
                <w:rFonts w:cs="Segoe UI"/>
                <w:sz w:val="17"/>
                <w:szCs w:val="17"/>
                <w:lang w:eastAsia="en-GB"/>
              </w:rPr>
              <w:t xml:space="preserve">Financial assets designated at fair value </w:t>
            </w:r>
          </w:p>
        </w:tc>
        <w:tc>
          <w:tcPr>
            <w:tcW w:w="1503" w:type="dxa"/>
            <w:tcBorders>
              <w:left w:val="single" w:sz="4" w:space="0" w:color="auto"/>
              <w:right w:val="single" w:sz="4" w:space="0" w:color="auto"/>
            </w:tcBorders>
          </w:tcPr>
          <w:p w14:paraId="763F097F" w14:textId="77777777" w:rsidR="00986FDA" w:rsidRDefault="00986FDA" w:rsidP="00916BFE">
            <w:pPr>
              <w:snapToGrid w:val="0"/>
              <w:rPr>
                <w:rFonts w:cs="Segoe UI"/>
                <w:sz w:val="17"/>
                <w:szCs w:val="17"/>
                <w:lang w:eastAsia="en-GB"/>
              </w:rPr>
            </w:pPr>
          </w:p>
        </w:tc>
        <w:tc>
          <w:tcPr>
            <w:tcW w:w="1648" w:type="dxa"/>
            <w:tcBorders>
              <w:left w:val="single" w:sz="4" w:space="0" w:color="auto"/>
              <w:right w:val="single" w:sz="4" w:space="0" w:color="auto"/>
            </w:tcBorders>
          </w:tcPr>
          <w:p w14:paraId="6B5C4552"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4DDC421D"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tcPr>
          <w:p w14:paraId="15E13EF6"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7D391078"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1139D923"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734BCBD5" w14:textId="77777777" w:rsidR="00986FDA" w:rsidRDefault="00986FDA" w:rsidP="00916BFE">
            <w:pPr>
              <w:snapToGrid w:val="0"/>
              <w:rPr>
                <w:rFonts w:cs="Segoe UI"/>
                <w:sz w:val="17"/>
                <w:szCs w:val="17"/>
                <w:lang w:eastAsia="en-GB"/>
              </w:rPr>
            </w:pPr>
          </w:p>
        </w:tc>
      </w:tr>
      <w:tr w:rsidR="00986FDA" w14:paraId="5F530F50" w14:textId="77777777" w:rsidTr="00916BFE">
        <w:trPr>
          <w:trHeight w:val="216"/>
        </w:trPr>
        <w:tc>
          <w:tcPr>
            <w:tcW w:w="2865" w:type="dxa"/>
            <w:tcBorders>
              <w:left w:val="nil"/>
              <w:right w:val="single" w:sz="4" w:space="0" w:color="auto"/>
            </w:tcBorders>
            <w:shd w:val="clear" w:color="auto" w:fill="FFFFFF"/>
          </w:tcPr>
          <w:p w14:paraId="15FFC492" w14:textId="77777777" w:rsidR="00986FDA" w:rsidRDefault="00986FDA" w:rsidP="00916BFE">
            <w:pPr>
              <w:snapToGrid w:val="0"/>
              <w:rPr>
                <w:rFonts w:cs="Segoe UI"/>
                <w:sz w:val="17"/>
                <w:szCs w:val="17"/>
                <w:lang w:eastAsia="en-GB"/>
              </w:rPr>
            </w:pPr>
            <w:r>
              <w:rPr>
                <w:rFonts w:cs="Segoe UI"/>
                <w:sz w:val="17"/>
                <w:szCs w:val="17"/>
                <w:lang w:eastAsia="en-GB"/>
              </w:rPr>
              <w:t xml:space="preserve">Derivative financial instruments </w:t>
            </w:r>
          </w:p>
        </w:tc>
        <w:tc>
          <w:tcPr>
            <w:tcW w:w="1503" w:type="dxa"/>
            <w:tcBorders>
              <w:left w:val="single" w:sz="4" w:space="0" w:color="auto"/>
              <w:right w:val="single" w:sz="4" w:space="0" w:color="auto"/>
            </w:tcBorders>
          </w:tcPr>
          <w:p w14:paraId="1024D422" w14:textId="77777777" w:rsidR="00986FDA" w:rsidRDefault="00986FDA" w:rsidP="00916BFE">
            <w:pPr>
              <w:snapToGrid w:val="0"/>
              <w:rPr>
                <w:rFonts w:cs="Segoe UI"/>
                <w:sz w:val="17"/>
                <w:szCs w:val="17"/>
                <w:lang w:eastAsia="en-GB"/>
              </w:rPr>
            </w:pPr>
          </w:p>
        </w:tc>
        <w:tc>
          <w:tcPr>
            <w:tcW w:w="1648" w:type="dxa"/>
            <w:tcBorders>
              <w:left w:val="single" w:sz="4" w:space="0" w:color="auto"/>
              <w:right w:val="single" w:sz="4" w:space="0" w:color="auto"/>
            </w:tcBorders>
          </w:tcPr>
          <w:p w14:paraId="6FEACD94"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1DDD8D92"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tcPr>
          <w:p w14:paraId="578CD59B"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50EB84A8"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764D09B4"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047A3515" w14:textId="77777777" w:rsidR="00986FDA" w:rsidRDefault="00986FDA" w:rsidP="00916BFE">
            <w:pPr>
              <w:snapToGrid w:val="0"/>
              <w:rPr>
                <w:rFonts w:cs="Segoe UI"/>
                <w:sz w:val="17"/>
                <w:szCs w:val="17"/>
                <w:lang w:eastAsia="en-GB"/>
              </w:rPr>
            </w:pPr>
          </w:p>
        </w:tc>
      </w:tr>
      <w:tr w:rsidR="00986FDA" w14:paraId="465A2C5E" w14:textId="77777777" w:rsidTr="00916BFE">
        <w:trPr>
          <w:trHeight w:val="216"/>
        </w:trPr>
        <w:tc>
          <w:tcPr>
            <w:tcW w:w="2865" w:type="dxa"/>
            <w:tcBorders>
              <w:left w:val="nil"/>
              <w:right w:val="single" w:sz="4" w:space="0" w:color="auto"/>
            </w:tcBorders>
            <w:shd w:val="clear" w:color="auto" w:fill="FFFFFF"/>
          </w:tcPr>
          <w:p w14:paraId="107F621B" w14:textId="77777777" w:rsidR="00986FDA" w:rsidRDefault="00986FDA" w:rsidP="00916BFE">
            <w:pPr>
              <w:snapToGrid w:val="0"/>
              <w:rPr>
                <w:rFonts w:cs="Segoe UI"/>
                <w:sz w:val="17"/>
                <w:szCs w:val="17"/>
                <w:lang w:eastAsia="en-GB"/>
              </w:rPr>
            </w:pPr>
            <w:r>
              <w:rPr>
                <w:rFonts w:cs="Segoe UI"/>
                <w:sz w:val="17"/>
                <w:szCs w:val="17"/>
                <w:lang w:eastAsia="en-GB"/>
              </w:rPr>
              <w:t>Loans and advances to banks</w:t>
            </w:r>
          </w:p>
        </w:tc>
        <w:tc>
          <w:tcPr>
            <w:tcW w:w="1503" w:type="dxa"/>
            <w:tcBorders>
              <w:left w:val="single" w:sz="4" w:space="0" w:color="auto"/>
              <w:right w:val="single" w:sz="4" w:space="0" w:color="auto"/>
            </w:tcBorders>
          </w:tcPr>
          <w:p w14:paraId="01E36AD2" w14:textId="77777777" w:rsidR="00986FDA" w:rsidRDefault="00986FDA" w:rsidP="00916BFE">
            <w:pPr>
              <w:snapToGrid w:val="0"/>
              <w:rPr>
                <w:rFonts w:cs="Segoe UI"/>
                <w:sz w:val="17"/>
                <w:szCs w:val="17"/>
                <w:lang w:eastAsia="en-GB"/>
              </w:rPr>
            </w:pPr>
          </w:p>
        </w:tc>
        <w:tc>
          <w:tcPr>
            <w:tcW w:w="1648" w:type="dxa"/>
            <w:tcBorders>
              <w:left w:val="single" w:sz="4" w:space="0" w:color="auto"/>
              <w:right w:val="single" w:sz="4" w:space="0" w:color="auto"/>
            </w:tcBorders>
          </w:tcPr>
          <w:p w14:paraId="0C85B8EF"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0114569D"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tcPr>
          <w:p w14:paraId="044B6879"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5BF38AF4"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29269C64"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494A66E5" w14:textId="77777777" w:rsidR="00986FDA" w:rsidRDefault="00986FDA" w:rsidP="00916BFE">
            <w:pPr>
              <w:snapToGrid w:val="0"/>
              <w:rPr>
                <w:rFonts w:cs="Segoe UI"/>
                <w:sz w:val="17"/>
                <w:szCs w:val="17"/>
                <w:lang w:eastAsia="en-GB"/>
              </w:rPr>
            </w:pPr>
          </w:p>
        </w:tc>
      </w:tr>
      <w:tr w:rsidR="00986FDA" w14:paraId="6F46F13C" w14:textId="77777777" w:rsidTr="00916BFE">
        <w:trPr>
          <w:trHeight w:val="216"/>
        </w:trPr>
        <w:tc>
          <w:tcPr>
            <w:tcW w:w="2865" w:type="dxa"/>
            <w:tcBorders>
              <w:left w:val="nil"/>
              <w:right w:val="single" w:sz="4" w:space="0" w:color="auto"/>
            </w:tcBorders>
            <w:shd w:val="clear" w:color="auto" w:fill="FFFFFF"/>
          </w:tcPr>
          <w:p w14:paraId="0C64EF70" w14:textId="77777777" w:rsidR="00986FDA" w:rsidRDefault="00986FDA" w:rsidP="00916BFE">
            <w:pPr>
              <w:snapToGrid w:val="0"/>
              <w:rPr>
                <w:rFonts w:cs="Segoe UI"/>
                <w:sz w:val="17"/>
                <w:szCs w:val="17"/>
                <w:lang w:eastAsia="en-GB"/>
              </w:rPr>
            </w:pPr>
            <w:r>
              <w:rPr>
                <w:rFonts w:cs="Segoe UI"/>
                <w:sz w:val="17"/>
                <w:szCs w:val="17"/>
                <w:lang w:eastAsia="en-GB"/>
              </w:rPr>
              <w:t>Loans and advances to customers</w:t>
            </w:r>
          </w:p>
        </w:tc>
        <w:tc>
          <w:tcPr>
            <w:tcW w:w="1503" w:type="dxa"/>
            <w:tcBorders>
              <w:left w:val="single" w:sz="4" w:space="0" w:color="auto"/>
              <w:right w:val="single" w:sz="4" w:space="0" w:color="auto"/>
            </w:tcBorders>
          </w:tcPr>
          <w:p w14:paraId="174254A3" w14:textId="77777777" w:rsidR="00986FDA" w:rsidRDefault="00986FDA" w:rsidP="00916BFE">
            <w:pPr>
              <w:snapToGrid w:val="0"/>
              <w:rPr>
                <w:rFonts w:cs="Segoe UI"/>
                <w:sz w:val="17"/>
                <w:szCs w:val="17"/>
                <w:lang w:eastAsia="en-GB"/>
              </w:rPr>
            </w:pPr>
          </w:p>
        </w:tc>
        <w:tc>
          <w:tcPr>
            <w:tcW w:w="1648" w:type="dxa"/>
            <w:tcBorders>
              <w:left w:val="single" w:sz="4" w:space="0" w:color="auto"/>
              <w:right w:val="single" w:sz="4" w:space="0" w:color="auto"/>
            </w:tcBorders>
          </w:tcPr>
          <w:p w14:paraId="66B5A67D"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61C0E8DE"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tcPr>
          <w:p w14:paraId="40B27639"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196E3FED"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35972B0F"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035BAEA0" w14:textId="77777777" w:rsidR="00986FDA" w:rsidRDefault="00986FDA" w:rsidP="00916BFE">
            <w:pPr>
              <w:snapToGrid w:val="0"/>
              <w:rPr>
                <w:rFonts w:cs="Segoe UI"/>
                <w:sz w:val="17"/>
                <w:szCs w:val="17"/>
                <w:lang w:eastAsia="en-GB"/>
              </w:rPr>
            </w:pPr>
          </w:p>
        </w:tc>
      </w:tr>
      <w:tr w:rsidR="00986FDA" w14:paraId="5E404565" w14:textId="77777777" w:rsidTr="00916BFE">
        <w:trPr>
          <w:trHeight w:val="216"/>
        </w:trPr>
        <w:tc>
          <w:tcPr>
            <w:tcW w:w="2865" w:type="dxa"/>
            <w:tcBorders>
              <w:left w:val="nil"/>
              <w:right w:val="single" w:sz="4" w:space="0" w:color="auto"/>
            </w:tcBorders>
            <w:shd w:val="clear" w:color="auto" w:fill="FFFFFF"/>
          </w:tcPr>
          <w:p w14:paraId="0FA18515" w14:textId="77777777" w:rsidR="00986FDA" w:rsidRDefault="00986FDA" w:rsidP="00916BFE">
            <w:pPr>
              <w:snapToGrid w:val="0"/>
              <w:rPr>
                <w:rFonts w:cs="Segoe UI"/>
                <w:sz w:val="17"/>
                <w:szCs w:val="17"/>
                <w:lang w:eastAsia="en-GB"/>
              </w:rPr>
            </w:pPr>
            <w:r>
              <w:rPr>
                <w:rFonts w:cs="Segoe UI"/>
                <w:sz w:val="17"/>
                <w:szCs w:val="17"/>
                <w:lang w:eastAsia="en-GB"/>
              </w:rPr>
              <w:t xml:space="preserve">Reverse repurchase agreements and other similar secured lending </w:t>
            </w:r>
          </w:p>
        </w:tc>
        <w:tc>
          <w:tcPr>
            <w:tcW w:w="1503" w:type="dxa"/>
            <w:tcBorders>
              <w:left w:val="single" w:sz="4" w:space="0" w:color="auto"/>
              <w:right w:val="single" w:sz="4" w:space="0" w:color="auto"/>
            </w:tcBorders>
          </w:tcPr>
          <w:p w14:paraId="427B3AE4" w14:textId="77777777" w:rsidR="00986FDA" w:rsidRDefault="00986FDA" w:rsidP="00916BFE">
            <w:pPr>
              <w:snapToGrid w:val="0"/>
              <w:rPr>
                <w:rFonts w:cs="Segoe UI"/>
                <w:sz w:val="17"/>
                <w:szCs w:val="17"/>
                <w:lang w:eastAsia="en-GB"/>
              </w:rPr>
            </w:pPr>
          </w:p>
        </w:tc>
        <w:tc>
          <w:tcPr>
            <w:tcW w:w="1648" w:type="dxa"/>
            <w:tcBorders>
              <w:left w:val="single" w:sz="4" w:space="0" w:color="auto"/>
              <w:right w:val="single" w:sz="4" w:space="0" w:color="auto"/>
            </w:tcBorders>
          </w:tcPr>
          <w:p w14:paraId="0C8F0284"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65603294"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tcPr>
          <w:p w14:paraId="3681538C"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1A6EFE66"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2F224F0B"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523F377B" w14:textId="77777777" w:rsidR="00986FDA" w:rsidRDefault="00986FDA" w:rsidP="00916BFE">
            <w:pPr>
              <w:snapToGrid w:val="0"/>
              <w:rPr>
                <w:rFonts w:cs="Segoe UI"/>
                <w:sz w:val="17"/>
                <w:szCs w:val="17"/>
                <w:lang w:eastAsia="en-GB"/>
              </w:rPr>
            </w:pPr>
          </w:p>
        </w:tc>
      </w:tr>
      <w:tr w:rsidR="00986FDA" w14:paraId="3D52B4F0" w14:textId="77777777" w:rsidTr="00916BFE">
        <w:trPr>
          <w:trHeight w:val="216"/>
        </w:trPr>
        <w:tc>
          <w:tcPr>
            <w:tcW w:w="2865" w:type="dxa"/>
            <w:tcBorders>
              <w:left w:val="nil"/>
              <w:right w:val="single" w:sz="4" w:space="0" w:color="auto"/>
            </w:tcBorders>
            <w:shd w:val="clear" w:color="auto" w:fill="FFFFFF"/>
          </w:tcPr>
          <w:p w14:paraId="62B31A1E" w14:textId="77777777" w:rsidR="00986FDA" w:rsidRDefault="00986FDA" w:rsidP="00916BFE">
            <w:pPr>
              <w:snapToGrid w:val="0"/>
              <w:rPr>
                <w:rFonts w:cs="Segoe UI"/>
                <w:sz w:val="17"/>
                <w:szCs w:val="17"/>
                <w:lang w:eastAsia="en-GB"/>
              </w:rPr>
            </w:pPr>
            <w:r>
              <w:rPr>
                <w:rFonts w:cs="Segoe UI"/>
                <w:sz w:val="17"/>
                <w:szCs w:val="17"/>
                <w:lang w:eastAsia="en-GB"/>
              </w:rPr>
              <w:t xml:space="preserve">Available for sale financial investments </w:t>
            </w:r>
          </w:p>
        </w:tc>
        <w:tc>
          <w:tcPr>
            <w:tcW w:w="1503" w:type="dxa"/>
            <w:tcBorders>
              <w:left w:val="single" w:sz="4" w:space="0" w:color="auto"/>
              <w:right w:val="single" w:sz="4" w:space="0" w:color="auto"/>
            </w:tcBorders>
          </w:tcPr>
          <w:p w14:paraId="0BFDD65B" w14:textId="77777777" w:rsidR="00986FDA" w:rsidRDefault="00986FDA" w:rsidP="00916BFE">
            <w:pPr>
              <w:snapToGrid w:val="0"/>
              <w:rPr>
                <w:rFonts w:cs="Segoe UI"/>
                <w:sz w:val="17"/>
                <w:szCs w:val="17"/>
                <w:lang w:eastAsia="en-GB"/>
              </w:rPr>
            </w:pPr>
          </w:p>
        </w:tc>
        <w:tc>
          <w:tcPr>
            <w:tcW w:w="1648" w:type="dxa"/>
            <w:tcBorders>
              <w:left w:val="single" w:sz="4" w:space="0" w:color="auto"/>
              <w:right w:val="single" w:sz="4" w:space="0" w:color="auto"/>
            </w:tcBorders>
          </w:tcPr>
          <w:p w14:paraId="2415124A"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576B6152"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tcPr>
          <w:p w14:paraId="4D8168B8"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789B4431"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7793F479"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0216BCB9" w14:textId="77777777" w:rsidR="00986FDA" w:rsidRDefault="00986FDA" w:rsidP="00916BFE">
            <w:pPr>
              <w:snapToGrid w:val="0"/>
              <w:rPr>
                <w:rFonts w:cs="Segoe UI"/>
                <w:sz w:val="17"/>
                <w:szCs w:val="17"/>
                <w:lang w:eastAsia="en-GB"/>
              </w:rPr>
            </w:pPr>
          </w:p>
        </w:tc>
      </w:tr>
      <w:tr w:rsidR="00986FDA" w14:paraId="29CDD9C0" w14:textId="77777777" w:rsidTr="00916BFE">
        <w:trPr>
          <w:trHeight w:val="216"/>
        </w:trPr>
        <w:tc>
          <w:tcPr>
            <w:tcW w:w="2865" w:type="dxa"/>
            <w:tcBorders>
              <w:left w:val="nil"/>
              <w:right w:val="single" w:sz="4" w:space="0" w:color="auto"/>
            </w:tcBorders>
            <w:shd w:val="clear" w:color="auto" w:fill="FFFFFF"/>
          </w:tcPr>
          <w:p w14:paraId="28F429B7" w14:textId="77777777" w:rsidR="00986FDA" w:rsidRDefault="00986FDA" w:rsidP="00916BFE">
            <w:pPr>
              <w:snapToGrid w:val="0"/>
              <w:rPr>
                <w:rFonts w:cs="Segoe UI"/>
                <w:sz w:val="17"/>
                <w:szCs w:val="17"/>
                <w:lang w:eastAsia="en-GB"/>
              </w:rPr>
            </w:pPr>
            <w:r>
              <w:rPr>
                <w:rFonts w:cs="Segoe UI"/>
                <w:sz w:val="17"/>
                <w:szCs w:val="17"/>
                <w:lang w:eastAsia="en-GB"/>
              </w:rPr>
              <w:t>….</w:t>
            </w:r>
          </w:p>
        </w:tc>
        <w:tc>
          <w:tcPr>
            <w:tcW w:w="1503" w:type="dxa"/>
            <w:tcBorders>
              <w:left w:val="single" w:sz="4" w:space="0" w:color="auto"/>
              <w:right w:val="single" w:sz="4" w:space="0" w:color="auto"/>
            </w:tcBorders>
          </w:tcPr>
          <w:p w14:paraId="39F129BF" w14:textId="77777777" w:rsidR="00986FDA" w:rsidRDefault="00986FDA" w:rsidP="00916BFE">
            <w:pPr>
              <w:snapToGrid w:val="0"/>
              <w:rPr>
                <w:rFonts w:cs="Segoe UI"/>
                <w:sz w:val="17"/>
                <w:szCs w:val="17"/>
                <w:lang w:eastAsia="en-GB"/>
              </w:rPr>
            </w:pPr>
          </w:p>
        </w:tc>
        <w:tc>
          <w:tcPr>
            <w:tcW w:w="1648" w:type="dxa"/>
            <w:tcBorders>
              <w:left w:val="single" w:sz="4" w:space="0" w:color="auto"/>
              <w:right w:val="single" w:sz="4" w:space="0" w:color="auto"/>
            </w:tcBorders>
          </w:tcPr>
          <w:p w14:paraId="73DB5D2D"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41926A8E"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tcPr>
          <w:p w14:paraId="290E8FF2"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2EB4FFE5"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70C9CAE1"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08792003" w14:textId="77777777" w:rsidR="00986FDA" w:rsidRDefault="00986FDA" w:rsidP="00916BFE">
            <w:pPr>
              <w:snapToGrid w:val="0"/>
              <w:rPr>
                <w:rFonts w:cs="Segoe UI"/>
                <w:sz w:val="17"/>
                <w:szCs w:val="17"/>
                <w:lang w:eastAsia="en-GB"/>
              </w:rPr>
            </w:pPr>
          </w:p>
        </w:tc>
      </w:tr>
      <w:tr w:rsidR="00986FDA" w14:paraId="5F45DB2E" w14:textId="77777777" w:rsidTr="00916BFE">
        <w:trPr>
          <w:trHeight w:val="216"/>
        </w:trPr>
        <w:tc>
          <w:tcPr>
            <w:tcW w:w="2865" w:type="dxa"/>
            <w:tcBorders>
              <w:left w:val="nil"/>
              <w:right w:val="single" w:sz="4" w:space="0" w:color="auto"/>
            </w:tcBorders>
            <w:shd w:val="clear" w:color="auto" w:fill="FFFFFF"/>
          </w:tcPr>
          <w:p w14:paraId="5927593D" w14:textId="77777777" w:rsidR="00986FDA" w:rsidRDefault="00986FDA" w:rsidP="00916BFE">
            <w:pPr>
              <w:keepNext/>
              <w:snapToGrid w:val="0"/>
              <w:rPr>
                <w:rFonts w:cs="Segoe UI"/>
                <w:b/>
                <w:sz w:val="17"/>
                <w:szCs w:val="17"/>
                <w:lang w:eastAsia="en-GB"/>
              </w:rPr>
            </w:pPr>
            <w:r>
              <w:rPr>
                <w:rFonts w:cs="Segoe UI"/>
                <w:b/>
                <w:sz w:val="17"/>
                <w:szCs w:val="17"/>
                <w:lang w:eastAsia="en-GB"/>
              </w:rPr>
              <w:t xml:space="preserve">Total assets </w:t>
            </w:r>
          </w:p>
        </w:tc>
        <w:tc>
          <w:tcPr>
            <w:tcW w:w="1503" w:type="dxa"/>
            <w:tcBorders>
              <w:left w:val="single" w:sz="4" w:space="0" w:color="auto"/>
              <w:right w:val="single" w:sz="4" w:space="0" w:color="auto"/>
            </w:tcBorders>
          </w:tcPr>
          <w:p w14:paraId="559765BB" w14:textId="77777777" w:rsidR="00986FDA" w:rsidRDefault="00986FDA" w:rsidP="00916BFE">
            <w:pPr>
              <w:keepNext/>
              <w:snapToGrid w:val="0"/>
              <w:rPr>
                <w:rFonts w:cs="Segoe UI"/>
                <w:sz w:val="17"/>
                <w:szCs w:val="17"/>
                <w:lang w:eastAsia="en-GB"/>
              </w:rPr>
            </w:pPr>
          </w:p>
        </w:tc>
        <w:tc>
          <w:tcPr>
            <w:tcW w:w="1648" w:type="dxa"/>
            <w:tcBorders>
              <w:left w:val="single" w:sz="4" w:space="0" w:color="auto"/>
              <w:right w:val="single" w:sz="4" w:space="0" w:color="auto"/>
            </w:tcBorders>
          </w:tcPr>
          <w:p w14:paraId="2C269858" w14:textId="77777777" w:rsidR="00986FDA" w:rsidRDefault="00986FDA" w:rsidP="00916BFE">
            <w:pPr>
              <w:keepNext/>
              <w:snapToGrid w:val="0"/>
              <w:rPr>
                <w:rFonts w:cs="Segoe UI"/>
                <w:sz w:val="17"/>
                <w:szCs w:val="17"/>
                <w:lang w:eastAsia="en-GB"/>
              </w:rPr>
            </w:pPr>
          </w:p>
        </w:tc>
        <w:tc>
          <w:tcPr>
            <w:tcW w:w="1603" w:type="dxa"/>
            <w:tcBorders>
              <w:left w:val="single" w:sz="4" w:space="0" w:color="auto"/>
              <w:right w:val="single" w:sz="4" w:space="0" w:color="auto"/>
            </w:tcBorders>
          </w:tcPr>
          <w:p w14:paraId="5FAF208A" w14:textId="77777777" w:rsidR="00986FDA" w:rsidRDefault="00986FDA" w:rsidP="00916BFE">
            <w:pPr>
              <w:keepNext/>
              <w:snapToGrid w:val="0"/>
              <w:rPr>
                <w:rFonts w:cs="Segoe UI"/>
                <w:sz w:val="17"/>
                <w:szCs w:val="17"/>
                <w:lang w:eastAsia="en-GB"/>
              </w:rPr>
            </w:pPr>
          </w:p>
        </w:tc>
        <w:tc>
          <w:tcPr>
            <w:tcW w:w="1604" w:type="dxa"/>
            <w:tcBorders>
              <w:left w:val="single" w:sz="4" w:space="0" w:color="auto"/>
              <w:right w:val="single" w:sz="4" w:space="0" w:color="auto"/>
            </w:tcBorders>
          </w:tcPr>
          <w:p w14:paraId="5C802D4A" w14:textId="77777777" w:rsidR="00986FDA" w:rsidRDefault="00986FDA" w:rsidP="00916BFE">
            <w:pPr>
              <w:keepNext/>
              <w:snapToGrid w:val="0"/>
              <w:rPr>
                <w:rFonts w:cs="Segoe UI"/>
                <w:sz w:val="17"/>
                <w:szCs w:val="17"/>
                <w:lang w:eastAsia="en-GB"/>
              </w:rPr>
            </w:pPr>
          </w:p>
        </w:tc>
        <w:tc>
          <w:tcPr>
            <w:tcW w:w="1603" w:type="dxa"/>
            <w:tcBorders>
              <w:left w:val="single" w:sz="4" w:space="0" w:color="auto"/>
              <w:right w:val="single" w:sz="4" w:space="0" w:color="auto"/>
            </w:tcBorders>
          </w:tcPr>
          <w:p w14:paraId="3C5663F3" w14:textId="77777777" w:rsidR="00986FDA" w:rsidRDefault="00986FDA" w:rsidP="00916BFE">
            <w:pPr>
              <w:keepNext/>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5945229D" w14:textId="77777777" w:rsidR="00986FDA" w:rsidRDefault="00986FDA" w:rsidP="00916BFE">
            <w:pPr>
              <w:keepNext/>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4C4DC9DC" w14:textId="77777777" w:rsidR="00986FDA" w:rsidRDefault="00986FDA" w:rsidP="00916BFE">
            <w:pPr>
              <w:keepNext/>
              <w:snapToGrid w:val="0"/>
              <w:rPr>
                <w:rFonts w:cs="Segoe UI"/>
                <w:sz w:val="17"/>
                <w:szCs w:val="17"/>
                <w:lang w:eastAsia="en-GB"/>
              </w:rPr>
            </w:pPr>
          </w:p>
        </w:tc>
      </w:tr>
      <w:tr w:rsidR="00986FDA" w14:paraId="260519F1" w14:textId="77777777" w:rsidTr="00916BFE">
        <w:trPr>
          <w:trHeight w:val="216"/>
        </w:trPr>
        <w:tc>
          <w:tcPr>
            <w:tcW w:w="2865" w:type="dxa"/>
            <w:tcBorders>
              <w:left w:val="nil"/>
              <w:bottom w:val="single" w:sz="4" w:space="0" w:color="BFBFBF"/>
              <w:right w:val="single" w:sz="4" w:space="0" w:color="auto"/>
            </w:tcBorders>
            <w:shd w:val="clear" w:color="auto" w:fill="FFFFFF"/>
          </w:tcPr>
          <w:p w14:paraId="15F660E2" w14:textId="77777777" w:rsidR="00986FDA" w:rsidRDefault="00986FDA" w:rsidP="00916BFE">
            <w:pPr>
              <w:keepNext/>
              <w:snapToGrid w:val="0"/>
              <w:rPr>
                <w:rFonts w:cs="Segoe UI"/>
                <w:sz w:val="17"/>
                <w:szCs w:val="17"/>
                <w:lang w:eastAsia="en-GB"/>
              </w:rPr>
            </w:pPr>
          </w:p>
        </w:tc>
        <w:tc>
          <w:tcPr>
            <w:tcW w:w="1503" w:type="dxa"/>
            <w:tcBorders>
              <w:left w:val="single" w:sz="4" w:space="0" w:color="auto"/>
              <w:bottom w:val="single" w:sz="4" w:space="0" w:color="BFBFBF"/>
              <w:right w:val="single" w:sz="4" w:space="0" w:color="auto"/>
            </w:tcBorders>
          </w:tcPr>
          <w:p w14:paraId="27EF8A88" w14:textId="77777777" w:rsidR="00986FDA" w:rsidRDefault="00986FDA" w:rsidP="00916BFE">
            <w:pPr>
              <w:keepNext/>
              <w:snapToGrid w:val="0"/>
              <w:rPr>
                <w:rFonts w:cs="Segoe UI"/>
                <w:sz w:val="17"/>
                <w:szCs w:val="17"/>
                <w:lang w:eastAsia="en-GB"/>
              </w:rPr>
            </w:pPr>
          </w:p>
        </w:tc>
        <w:tc>
          <w:tcPr>
            <w:tcW w:w="1648" w:type="dxa"/>
            <w:tcBorders>
              <w:left w:val="single" w:sz="4" w:space="0" w:color="auto"/>
              <w:bottom w:val="single" w:sz="4" w:space="0" w:color="BFBFBF"/>
              <w:right w:val="single" w:sz="4" w:space="0" w:color="auto"/>
            </w:tcBorders>
          </w:tcPr>
          <w:p w14:paraId="2BA24160" w14:textId="77777777" w:rsidR="00986FDA" w:rsidRDefault="00986FDA" w:rsidP="00916BFE">
            <w:pPr>
              <w:keepNext/>
              <w:snapToGrid w:val="0"/>
              <w:rPr>
                <w:rFonts w:cs="Segoe UI"/>
                <w:sz w:val="17"/>
                <w:szCs w:val="17"/>
                <w:lang w:eastAsia="en-GB"/>
              </w:rPr>
            </w:pPr>
          </w:p>
        </w:tc>
        <w:tc>
          <w:tcPr>
            <w:tcW w:w="1603" w:type="dxa"/>
            <w:tcBorders>
              <w:left w:val="single" w:sz="4" w:space="0" w:color="auto"/>
              <w:bottom w:val="single" w:sz="4" w:space="0" w:color="BFBFBF"/>
              <w:right w:val="single" w:sz="4" w:space="0" w:color="auto"/>
            </w:tcBorders>
          </w:tcPr>
          <w:p w14:paraId="0AB2BBAC" w14:textId="77777777" w:rsidR="00986FDA" w:rsidRDefault="00986FDA" w:rsidP="00916BFE">
            <w:pPr>
              <w:keepNext/>
              <w:snapToGrid w:val="0"/>
              <w:rPr>
                <w:rFonts w:cs="Segoe UI"/>
                <w:sz w:val="17"/>
                <w:szCs w:val="17"/>
                <w:lang w:eastAsia="en-GB"/>
              </w:rPr>
            </w:pPr>
          </w:p>
        </w:tc>
        <w:tc>
          <w:tcPr>
            <w:tcW w:w="1604" w:type="dxa"/>
            <w:tcBorders>
              <w:left w:val="single" w:sz="4" w:space="0" w:color="auto"/>
              <w:bottom w:val="single" w:sz="4" w:space="0" w:color="BFBFBF"/>
              <w:right w:val="single" w:sz="4" w:space="0" w:color="auto"/>
            </w:tcBorders>
          </w:tcPr>
          <w:p w14:paraId="05D66704" w14:textId="77777777" w:rsidR="00986FDA" w:rsidRDefault="00986FDA" w:rsidP="00916BFE">
            <w:pPr>
              <w:keepNext/>
              <w:snapToGrid w:val="0"/>
              <w:rPr>
                <w:rFonts w:cs="Segoe UI"/>
                <w:sz w:val="17"/>
                <w:szCs w:val="17"/>
                <w:lang w:eastAsia="en-GB"/>
              </w:rPr>
            </w:pPr>
          </w:p>
        </w:tc>
        <w:tc>
          <w:tcPr>
            <w:tcW w:w="1603" w:type="dxa"/>
            <w:tcBorders>
              <w:left w:val="single" w:sz="4" w:space="0" w:color="auto"/>
              <w:bottom w:val="single" w:sz="4" w:space="0" w:color="BFBFBF"/>
              <w:right w:val="single" w:sz="4" w:space="0" w:color="auto"/>
            </w:tcBorders>
          </w:tcPr>
          <w:p w14:paraId="0D3ABA68" w14:textId="77777777" w:rsidR="00986FDA" w:rsidRDefault="00986FDA" w:rsidP="00916BFE">
            <w:pPr>
              <w:keepNext/>
              <w:snapToGrid w:val="0"/>
              <w:rPr>
                <w:rFonts w:cs="Segoe UI"/>
                <w:sz w:val="17"/>
                <w:szCs w:val="17"/>
                <w:lang w:eastAsia="en-GB"/>
              </w:rPr>
            </w:pPr>
          </w:p>
        </w:tc>
        <w:tc>
          <w:tcPr>
            <w:tcW w:w="1604" w:type="dxa"/>
            <w:tcBorders>
              <w:left w:val="single" w:sz="4" w:space="0" w:color="auto"/>
              <w:bottom w:val="single" w:sz="4" w:space="0" w:color="BFBFBF"/>
              <w:right w:val="single" w:sz="4" w:space="0" w:color="auto"/>
            </w:tcBorders>
            <w:shd w:val="clear" w:color="auto" w:fill="FFFFFF"/>
          </w:tcPr>
          <w:p w14:paraId="210DD2DE" w14:textId="77777777" w:rsidR="00986FDA" w:rsidRDefault="00986FDA" w:rsidP="00916BFE">
            <w:pPr>
              <w:keepNext/>
              <w:snapToGrid w:val="0"/>
              <w:rPr>
                <w:rFonts w:cs="Segoe UI"/>
                <w:sz w:val="17"/>
                <w:szCs w:val="17"/>
                <w:lang w:eastAsia="en-GB"/>
              </w:rPr>
            </w:pPr>
          </w:p>
        </w:tc>
        <w:tc>
          <w:tcPr>
            <w:tcW w:w="1604" w:type="dxa"/>
            <w:tcBorders>
              <w:left w:val="single" w:sz="4" w:space="0" w:color="auto"/>
              <w:bottom w:val="single" w:sz="4" w:space="0" w:color="BFBFBF"/>
              <w:right w:val="single" w:sz="4" w:space="0" w:color="auto"/>
            </w:tcBorders>
            <w:shd w:val="clear" w:color="auto" w:fill="FFFFFF"/>
          </w:tcPr>
          <w:p w14:paraId="2A5F5322" w14:textId="77777777" w:rsidR="00986FDA" w:rsidRDefault="00986FDA" w:rsidP="00916BFE">
            <w:pPr>
              <w:keepNext/>
              <w:snapToGrid w:val="0"/>
              <w:rPr>
                <w:rFonts w:cs="Segoe UI"/>
                <w:sz w:val="17"/>
                <w:szCs w:val="17"/>
                <w:lang w:eastAsia="en-GB"/>
              </w:rPr>
            </w:pPr>
          </w:p>
        </w:tc>
      </w:tr>
      <w:tr w:rsidR="00986FDA" w14:paraId="01E6DC83" w14:textId="77777777" w:rsidTr="00916BFE">
        <w:trPr>
          <w:trHeight w:val="327"/>
        </w:trPr>
        <w:tc>
          <w:tcPr>
            <w:tcW w:w="2865" w:type="dxa"/>
            <w:tcBorders>
              <w:left w:val="nil"/>
              <w:right w:val="single" w:sz="4" w:space="0" w:color="auto"/>
            </w:tcBorders>
            <w:shd w:val="clear" w:color="auto" w:fill="BFBFBF"/>
          </w:tcPr>
          <w:p w14:paraId="2CC0FD2E" w14:textId="77777777" w:rsidR="00986FDA" w:rsidRDefault="00986FDA" w:rsidP="00916BFE">
            <w:pPr>
              <w:keepNext/>
              <w:snapToGrid w:val="0"/>
              <w:rPr>
                <w:rFonts w:cs="Segoe UI"/>
                <w:b/>
                <w:sz w:val="17"/>
                <w:szCs w:val="17"/>
                <w:lang w:eastAsia="en-GB"/>
              </w:rPr>
            </w:pPr>
            <w:r>
              <w:rPr>
                <w:rFonts w:cs="Segoe UI"/>
                <w:b/>
                <w:sz w:val="17"/>
                <w:szCs w:val="17"/>
                <w:lang w:eastAsia="en-GB"/>
              </w:rPr>
              <w:t xml:space="preserve">Liabilities </w:t>
            </w:r>
          </w:p>
        </w:tc>
        <w:tc>
          <w:tcPr>
            <w:tcW w:w="1503" w:type="dxa"/>
            <w:tcBorders>
              <w:left w:val="single" w:sz="4" w:space="0" w:color="auto"/>
              <w:right w:val="single" w:sz="4" w:space="0" w:color="auto"/>
            </w:tcBorders>
            <w:shd w:val="clear" w:color="auto" w:fill="BFBFBF"/>
          </w:tcPr>
          <w:p w14:paraId="02BDA442" w14:textId="77777777" w:rsidR="00986FDA" w:rsidRDefault="00986FDA" w:rsidP="00916BFE">
            <w:pPr>
              <w:keepNext/>
              <w:snapToGrid w:val="0"/>
              <w:rPr>
                <w:rFonts w:cs="Segoe UI"/>
                <w:b/>
                <w:sz w:val="17"/>
                <w:szCs w:val="17"/>
                <w:lang w:eastAsia="en-GB"/>
              </w:rPr>
            </w:pPr>
          </w:p>
        </w:tc>
        <w:tc>
          <w:tcPr>
            <w:tcW w:w="1648" w:type="dxa"/>
            <w:tcBorders>
              <w:left w:val="single" w:sz="4" w:space="0" w:color="auto"/>
              <w:right w:val="single" w:sz="4" w:space="0" w:color="auto"/>
            </w:tcBorders>
            <w:shd w:val="clear" w:color="auto" w:fill="BFBFBF"/>
          </w:tcPr>
          <w:p w14:paraId="40532396" w14:textId="77777777" w:rsidR="00986FDA" w:rsidRDefault="00986FDA" w:rsidP="00916BFE">
            <w:pPr>
              <w:keepNext/>
              <w:snapToGrid w:val="0"/>
              <w:rPr>
                <w:rFonts w:cs="Segoe UI"/>
                <w:b/>
                <w:sz w:val="17"/>
                <w:szCs w:val="17"/>
                <w:lang w:eastAsia="en-GB"/>
              </w:rPr>
            </w:pPr>
          </w:p>
        </w:tc>
        <w:tc>
          <w:tcPr>
            <w:tcW w:w="1603" w:type="dxa"/>
            <w:tcBorders>
              <w:left w:val="single" w:sz="4" w:space="0" w:color="auto"/>
              <w:right w:val="single" w:sz="4" w:space="0" w:color="auto"/>
            </w:tcBorders>
            <w:shd w:val="clear" w:color="auto" w:fill="BFBFBF"/>
          </w:tcPr>
          <w:p w14:paraId="50890065" w14:textId="77777777" w:rsidR="00986FDA" w:rsidRDefault="00986FDA" w:rsidP="00916BFE">
            <w:pPr>
              <w:keepNext/>
              <w:snapToGrid w:val="0"/>
              <w:rPr>
                <w:rFonts w:cs="Segoe UI"/>
                <w:b/>
                <w:sz w:val="17"/>
                <w:szCs w:val="17"/>
                <w:lang w:eastAsia="en-GB"/>
              </w:rPr>
            </w:pPr>
          </w:p>
        </w:tc>
        <w:tc>
          <w:tcPr>
            <w:tcW w:w="1604" w:type="dxa"/>
            <w:tcBorders>
              <w:left w:val="single" w:sz="4" w:space="0" w:color="auto"/>
              <w:right w:val="single" w:sz="4" w:space="0" w:color="auto"/>
            </w:tcBorders>
            <w:shd w:val="clear" w:color="auto" w:fill="BFBFBF"/>
          </w:tcPr>
          <w:p w14:paraId="32E0F770" w14:textId="77777777" w:rsidR="00986FDA" w:rsidRDefault="00986FDA" w:rsidP="00916BFE">
            <w:pPr>
              <w:keepNext/>
              <w:snapToGrid w:val="0"/>
              <w:rPr>
                <w:rFonts w:cs="Segoe UI"/>
                <w:b/>
                <w:sz w:val="17"/>
                <w:szCs w:val="17"/>
                <w:lang w:eastAsia="en-GB"/>
              </w:rPr>
            </w:pPr>
          </w:p>
        </w:tc>
        <w:tc>
          <w:tcPr>
            <w:tcW w:w="1603" w:type="dxa"/>
            <w:tcBorders>
              <w:left w:val="single" w:sz="4" w:space="0" w:color="auto"/>
              <w:right w:val="single" w:sz="4" w:space="0" w:color="auto"/>
            </w:tcBorders>
            <w:shd w:val="clear" w:color="auto" w:fill="BFBFBF"/>
          </w:tcPr>
          <w:p w14:paraId="7B8147DE" w14:textId="77777777" w:rsidR="00986FDA" w:rsidRDefault="00986FDA" w:rsidP="00916BFE">
            <w:pPr>
              <w:keepNext/>
              <w:snapToGrid w:val="0"/>
              <w:rPr>
                <w:rFonts w:cs="Segoe UI"/>
                <w:b/>
                <w:sz w:val="17"/>
                <w:szCs w:val="17"/>
                <w:lang w:eastAsia="en-GB"/>
              </w:rPr>
            </w:pPr>
          </w:p>
        </w:tc>
        <w:tc>
          <w:tcPr>
            <w:tcW w:w="1604" w:type="dxa"/>
            <w:tcBorders>
              <w:left w:val="single" w:sz="4" w:space="0" w:color="auto"/>
              <w:right w:val="single" w:sz="4" w:space="0" w:color="auto"/>
            </w:tcBorders>
            <w:shd w:val="clear" w:color="auto" w:fill="BFBFBF"/>
          </w:tcPr>
          <w:p w14:paraId="29AF1B17" w14:textId="77777777" w:rsidR="00986FDA" w:rsidRDefault="00986FDA" w:rsidP="00916BFE">
            <w:pPr>
              <w:keepNext/>
              <w:snapToGrid w:val="0"/>
              <w:rPr>
                <w:rFonts w:cs="Segoe UI"/>
                <w:b/>
                <w:sz w:val="17"/>
                <w:szCs w:val="17"/>
                <w:lang w:eastAsia="en-GB"/>
              </w:rPr>
            </w:pPr>
          </w:p>
        </w:tc>
        <w:tc>
          <w:tcPr>
            <w:tcW w:w="1604" w:type="dxa"/>
            <w:tcBorders>
              <w:left w:val="single" w:sz="4" w:space="0" w:color="auto"/>
              <w:right w:val="single" w:sz="4" w:space="0" w:color="auto"/>
            </w:tcBorders>
            <w:shd w:val="clear" w:color="auto" w:fill="BFBFBF"/>
          </w:tcPr>
          <w:p w14:paraId="3DAF1C8B" w14:textId="77777777" w:rsidR="00986FDA" w:rsidRDefault="00986FDA" w:rsidP="00916BFE">
            <w:pPr>
              <w:keepNext/>
              <w:snapToGrid w:val="0"/>
              <w:rPr>
                <w:rFonts w:cs="Segoe UI"/>
                <w:b/>
                <w:sz w:val="17"/>
                <w:szCs w:val="17"/>
                <w:lang w:eastAsia="en-GB"/>
              </w:rPr>
            </w:pPr>
          </w:p>
        </w:tc>
      </w:tr>
      <w:tr w:rsidR="00986FDA" w14:paraId="1F7499E0" w14:textId="77777777" w:rsidTr="00916BFE">
        <w:trPr>
          <w:trHeight w:val="216"/>
        </w:trPr>
        <w:tc>
          <w:tcPr>
            <w:tcW w:w="2865" w:type="dxa"/>
            <w:tcBorders>
              <w:left w:val="nil"/>
              <w:right w:val="single" w:sz="4" w:space="0" w:color="auto"/>
            </w:tcBorders>
            <w:shd w:val="clear" w:color="auto" w:fill="FFFFFF"/>
          </w:tcPr>
          <w:p w14:paraId="10A6432B" w14:textId="77777777" w:rsidR="00986FDA" w:rsidRDefault="00986FDA" w:rsidP="00916BFE">
            <w:pPr>
              <w:keepNext/>
              <w:snapToGrid w:val="0"/>
              <w:rPr>
                <w:rFonts w:cs="Segoe UI"/>
                <w:sz w:val="17"/>
                <w:szCs w:val="17"/>
                <w:lang w:eastAsia="en-GB"/>
              </w:rPr>
            </w:pPr>
            <w:r>
              <w:rPr>
                <w:rFonts w:cs="Segoe UI"/>
                <w:sz w:val="17"/>
                <w:szCs w:val="17"/>
                <w:lang w:eastAsia="en-GB"/>
              </w:rPr>
              <w:t xml:space="preserve">Deposits from banks </w:t>
            </w:r>
          </w:p>
        </w:tc>
        <w:tc>
          <w:tcPr>
            <w:tcW w:w="1503" w:type="dxa"/>
            <w:tcBorders>
              <w:left w:val="single" w:sz="4" w:space="0" w:color="auto"/>
              <w:right w:val="single" w:sz="4" w:space="0" w:color="auto"/>
            </w:tcBorders>
          </w:tcPr>
          <w:p w14:paraId="556B773A" w14:textId="77777777" w:rsidR="00986FDA" w:rsidRDefault="00986FDA" w:rsidP="00916BFE">
            <w:pPr>
              <w:keepNext/>
              <w:snapToGrid w:val="0"/>
              <w:rPr>
                <w:rFonts w:cs="Segoe UI"/>
                <w:sz w:val="17"/>
                <w:szCs w:val="17"/>
                <w:lang w:eastAsia="en-GB"/>
              </w:rPr>
            </w:pPr>
          </w:p>
        </w:tc>
        <w:tc>
          <w:tcPr>
            <w:tcW w:w="1648" w:type="dxa"/>
            <w:tcBorders>
              <w:left w:val="single" w:sz="4" w:space="0" w:color="auto"/>
              <w:right w:val="single" w:sz="4" w:space="0" w:color="auto"/>
            </w:tcBorders>
          </w:tcPr>
          <w:p w14:paraId="16C9DC2A" w14:textId="77777777" w:rsidR="00986FDA" w:rsidRDefault="00986FDA" w:rsidP="00916BFE">
            <w:pPr>
              <w:keepNext/>
              <w:snapToGrid w:val="0"/>
              <w:rPr>
                <w:rFonts w:cs="Segoe UI"/>
                <w:sz w:val="17"/>
                <w:szCs w:val="17"/>
                <w:lang w:eastAsia="en-GB"/>
              </w:rPr>
            </w:pPr>
          </w:p>
        </w:tc>
        <w:tc>
          <w:tcPr>
            <w:tcW w:w="1603" w:type="dxa"/>
            <w:tcBorders>
              <w:left w:val="single" w:sz="4" w:space="0" w:color="auto"/>
              <w:right w:val="single" w:sz="4" w:space="0" w:color="auto"/>
            </w:tcBorders>
          </w:tcPr>
          <w:p w14:paraId="591006E8" w14:textId="77777777" w:rsidR="00986FDA" w:rsidRDefault="00986FDA" w:rsidP="00916BFE">
            <w:pPr>
              <w:keepNext/>
              <w:snapToGrid w:val="0"/>
              <w:rPr>
                <w:rFonts w:cs="Segoe UI"/>
                <w:sz w:val="17"/>
                <w:szCs w:val="17"/>
                <w:lang w:eastAsia="en-GB"/>
              </w:rPr>
            </w:pPr>
          </w:p>
        </w:tc>
        <w:tc>
          <w:tcPr>
            <w:tcW w:w="1604" w:type="dxa"/>
            <w:tcBorders>
              <w:left w:val="single" w:sz="4" w:space="0" w:color="auto"/>
              <w:right w:val="single" w:sz="4" w:space="0" w:color="auto"/>
            </w:tcBorders>
          </w:tcPr>
          <w:p w14:paraId="56E5CF57" w14:textId="77777777" w:rsidR="00986FDA" w:rsidRDefault="00986FDA" w:rsidP="00916BFE">
            <w:pPr>
              <w:keepNext/>
              <w:snapToGrid w:val="0"/>
              <w:rPr>
                <w:rFonts w:cs="Segoe UI"/>
                <w:sz w:val="17"/>
                <w:szCs w:val="17"/>
                <w:lang w:eastAsia="en-GB"/>
              </w:rPr>
            </w:pPr>
          </w:p>
        </w:tc>
        <w:tc>
          <w:tcPr>
            <w:tcW w:w="1603" w:type="dxa"/>
            <w:tcBorders>
              <w:left w:val="single" w:sz="4" w:space="0" w:color="auto"/>
              <w:right w:val="single" w:sz="4" w:space="0" w:color="auto"/>
            </w:tcBorders>
          </w:tcPr>
          <w:p w14:paraId="49502D5F" w14:textId="77777777" w:rsidR="00986FDA" w:rsidRDefault="00986FDA" w:rsidP="00916BFE">
            <w:pPr>
              <w:keepNext/>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23E97D84" w14:textId="77777777" w:rsidR="00986FDA" w:rsidRDefault="00986FDA" w:rsidP="00916BFE">
            <w:pPr>
              <w:keepNext/>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4F80E8ED" w14:textId="77777777" w:rsidR="00986FDA" w:rsidRDefault="00986FDA" w:rsidP="00916BFE">
            <w:pPr>
              <w:keepNext/>
              <w:snapToGrid w:val="0"/>
              <w:rPr>
                <w:rFonts w:cs="Segoe UI"/>
                <w:sz w:val="17"/>
                <w:szCs w:val="17"/>
                <w:lang w:eastAsia="en-GB"/>
              </w:rPr>
            </w:pPr>
          </w:p>
        </w:tc>
      </w:tr>
      <w:tr w:rsidR="00986FDA" w14:paraId="44AE4252" w14:textId="77777777" w:rsidTr="00916BFE">
        <w:trPr>
          <w:trHeight w:val="216"/>
        </w:trPr>
        <w:tc>
          <w:tcPr>
            <w:tcW w:w="2865" w:type="dxa"/>
            <w:tcBorders>
              <w:left w:val="nil"/>
              <w:right w:val="single" w:sz="4" w:space="0" w:color="auto"/>
            </w:tcBorders>
            <w:shd w:val="clear" w:color="auto" w:fill="FFFFFF"/>
          </w:tcPr>
          <w:p w14:paraId="573FEEAE" w14:textId="77777777" w:rsidR="00986FDA" w:rsidRDefault="00986FDA" w:rsidP="00916BFE">
            <w:pPr>
              <w:snapToGrid w:val="0"/>
              <w:rPr>
                <w:rFonts w:cs="Segoe UI"/>
                <w:sz w:val="17"/>
                <w:szCs w:val="17"/>
                <w:lang w:eastAsia="en-GB"/>
              </w:rPr>
            </w:pPr>
            <w:r>
              <w:rPr>
                <w:rFonts w:cs="Segoe UI"/>
                <w:sz w:val="17"/>
                <w:szCs w:val="17"/>
                <w:lang w:eastAsia="en-GB"/>
              </w:rPr>
              <w:t xml:space="preserve">Items in the course of collection due to other banks </w:t>
            </w:r>
          </w:p>
        </w:tc>
        <w:tc>
          <w:tcPr>
            <w:tcW w:w="1503" w:type="dxa"/>
            <w:tcBorders>
              <w:left w:val="single" w:sz="4" w:space="0" w:color="auto"/>
              <w:right w:val="single" w:sz="4" w:space="0" w:color="auto"/>
            </w:tcBorders>
          </w:tcPr>
          <w:p w14:paraId="4AB46DEA" w14:textId="77777777" w:rsidR="00986FDA" w:rsidRDefault="00986FDA" w:rsidP="00916BFE">
            <w:pPr>
              <w:snapToGrid w:val="0"/>
              <w:rPr>
                <w:rFonts w:cs="Segoe UI"/>
                <w:sz w:val="17"/>
                <w:szCs w:val="17"/>
                <w:lang w:eastAsia="en-GB"/>
              </w:rPr>
            </w:pPr>
          </w:p>
        </w:tc>
        <w:tc>
          <w:tcPr>
            <w:tcW w:w="1648" w:type="dxa"/>
            <w:tcBorders>
              <w:left w:val="single" w:sz="4" w:space="0" w:color="auto"/>
              <w:right w:val="single" w:sz="4" w:space="0" w:color="auto"/>
            </w:tcBorders>
          </w:tcPr>
          <w:p w14:paraId="06E988A5"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482BE53A"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tcPr>
          <w:p w14:paraId="5705C041"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12AD63D2"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20DB197A"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106D1AEA" w14:textId="77777777" w:rsidR="00986FDA" w:rsidRDefault="00986FDA" w:rsidP="00916BFE">
            <w:pPr>
              <w:snapToGrid w:val="0"/>
              <w:rPr>
                <w:rFonts w:cs="Segoe UI"/>
                <w:sz w:val="17"/>
                <w:szCs w:val="17"/>
                <w:lang w:eastAsia="en-GB"/>
              </w:rPr>
            </w:pPr>
          </w:p>
        </w:tc>
      </w:tr>
      <w:tr w:rsidR="00986FDA" w14:paraId="771137D6" w14:textId="77777777" w:rsidTr="00916BFE">
        <w:trPr>
          <w:trHeight w:val="216"/>
        </w:trPr>
        <w:tc>
          <w:tcPr>
            <w:tcW w:w="2865" w:type="dxa"/>
            <w:tcBorders>
              <w:left w:val="nil"/>
              <w:right w:val="single" w:sz="4" w:space="0" w:color="auto"/>
            </w:tcBorders>
            <w:shd w:val="clear" w:color="auto" w:fill="FFFFFF"/>
          </w:tcPr>
          <w:p w14:paraId="6C333048" w14:textId="77777777" w:rsidR="00986FDA" w:rsidRDefault="00986FDA" w:rsidP="00916BFE">
            <w:pPr>
              <w:snapToGrid w:val="0"/>
              <w:rPr>
                <w:rFonts w:cs="Segoe UI"/>
                <w:sz w:val="17"/>
                <w:szCs w:val="17"/>
                <w:lang w:eastAsia="en-GB"/>
              </w:rPr>
            </w:pPr>
            <w:r>
              <w:rPr>
                <w:rFonts w:cs="Segoe UI"/>
                <w:sz w:val="17"/>
                <w:szCs w:val="17"/>
                <w:lang w:eastAsia="en-GB"/>
              </w:rPr>
              <w:t xml:space="preserve">Customer accounts </w:t>
            </w:r>
          </w:p>
        </w:tc>
        <w:tc>
          <w:tcPr>
            <w:tcW w:w="1503" w:type="dxa"/>
            <w:tcBorders>
              <w:left w:val="single" w:sz="4" w:space="0" w:color="auto"/>
              <w:right w:val="single" w:sz="4" w:space="0" w:color="auto"/>
            </w:tcBorders>
          </w:tcPr>
          <w:p w14:paraId="02D03AF6" w14:textId="77777777" w:rsidR="00986FDA" w:rsidRDefault="00986FDA" w:rsidP="00916BFE">
            <w:pPr>
              <w:snapToGrid w:val="0"/>
              <w:rPr>
                <w:rFonts w:cs="Segoe UI"/>
                <w:sz w:val="17"/>
                <w:szCs w:val="17"/>
                <w:lang w:eastAsia="en-GB"/>
              </w:rPr>
            </w:pPr>
          </w:p>
        </w:tc>
        <w:tc>
          <w:tcPr>
            <w:tcW w:w="1648" w:type="dxa"/>
            <w:tcBorders>
              <w:left w:val="single" w:sz="4" w:space="0" w:color="auto"/>
              <w:right w:val="single" w:sz="4" w:space="0" w:color="auto"/>
            </w:tcBorders>
          </w:tcPr>
          <w:p w14:paraId="0972AC23"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0F427A1C"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tcPr>
          <w:p w14:paraId="045341E8"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09141F4A"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640105FA"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164F30D6" w14:textId="77777777" w:rsidR="00986FDA" w:rsidRDefault="00986FDA" w:rsidP="00916BFE">
            <w:pPr>
              <w:snapToGrid w:val="0"/>
              <w:rPr>
                <w:rFonts w:cs="Segoe UI"/>
                <w:sz w:val="17"/>
                <w:szCs w:val="17"/>
                <w:lang w:eastAsia="en-GB"/>
              </w:rPr>
            </w:pPr>
          </w:p>
        </w:tc>
      </w:tr>
      <w:tr w:rsidR="00986FDA" w14:paraId="66A33294" w14:textId="77777777" w:rsidTr="00916BFE">
        <w:trPr>
          <w:trHeight w:val="216"/>
        </w:trPr>
        <w:tc>
          <w:tcPr>
            <w:tcW w:w="2865" w:type="dxa"/>
            <w:tcBorders>
              <w:left w:val="nil"/>
              <w:right w:val="single" w:sz="4" w:space="0" w:color="auto"/>
            </w:tcBorders>
            <w:shd w:val="clear" w:color="auto" w:fill="FFFFFF"/>
          </w:tcPr>
          <w:p w14:paraId="6A98127D" w14:textId="77777777" w:rsidR="00986FDA" w:rsidRDefault="00986FDA" w:rsidP="00916BFE">
            <w:pPr>
              <w:snapToGrid w:val="0"/>
              <w:rPr>
                <w:rFonts w:cs="Segoe UI"/>
                <w:sz w:val="17"/>
                <w:szCs w:val="17"/>
                <w:lang w:eastAsia="en-GB"/>
              </w:rPr>
            </w:pPr>
            <w:r>
              <w:rPr>
                <w:rFonts w:cs="Segoe UI"/>
                <w:sz w:val="17"/>
                <w:szCs w:val="17"/>
                <w:lang w:eastAsia="en-GB"/>
              </w:rPr>
              <w:t xml:space="preserve">Repurchase agreements and other similar secured borrowings </w:t>
            </w:r>
          </w:p>
        </w:tc>
        <w:tc>
          <w:tcPr>
            <w:tcW w:w="1503" w:type="dxa"/>
            <w:tcBorders>
              <w:left w:val="single" w:sz="4" w:space="0" w:color="auto"/>
              <w:right w:val="single" w:sz="4" w:space="0" w:color="auto"/>
            </w:tcBorders>
          </w:tcPr>
          <w:p w14:paraId="670A2817" w14:textId="77777777" w:rsidR="00986FDA" w:rsidRDefault="00986FDA" w:rsidP="00916BFE">
            <w:pPr>
              <w:snapToGrid w:val="0"/>
              <w:rPr>
                <w:rFonts w:cs="Segoe UI"/>
                <w:sz w:val="17"/>
                <w:szCs w:val="17"/>
                <w:lang w:eastAsia="en-GB"/>
              </w:rPr>
            </w:pPr>
          </w:p>
        </w:tc>
        <w:tc>
          <w:tcPr>
            <w:tcW w:w="1648" w:type="dxa"/>
            <w:tcBorders>
              <w:left w:val="single" w:sz="4" w:space="0" w:color="auto"/>
              <w:right w:val="single" w:sz="4" w:space="0" w:color="auto"/>
            </w:tcBorders>
          </w:tcPr>
          <w:p w14:paraId="0BB0DCAA"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1B0E253A"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tcPr>
          <w:p w14:paraId="08B6CFC8"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684DD77D"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0D50BA38"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6D04A7B8" w14:textId="77777777" w:rsidR="00986FDA" w:rsidRDefault="00986FDA" w:rsidP="00916BFE">
            <w:pPr>
              <w:snapToGrid w:val="0"/>
              <w:rPr>
                <w:rFonts w:cs="Segoe UI"/>
                <w:sz w:val="17"/>
                <w:szCs w:val="17"/>
                <w:lang w:eastAsia="en-GB"/>
              </w:rPr>
            </w:pPr>
          </w:p>
        </w:tc>
      </w:tr>
      <w:tr w:rsidR="00986FDA" w14:paraId="5A8B5764" w14:textId="77777777" w:rsidTr="00916BFE">
        <w:trPr>
          <w:trHeight w:val="216"/>
        </w:trPr>
        <w:tc>
          <w:tcPr>
            <w:tcW w:w="2865" w:type="dxa"/>
            <w:tcBorders>
              <w:left w:val="nil"/>
              <w:right w:val="single" w:sz="4" w:space="0" w:color="auto"/>
            </w:tcBorders>
            <w:shd w:val="clear" w:color="auto" w:fill="FFFFFF"/>
          </w:tcPr>
          <w:p w14:paraId="1DD857F8" w14:textId="77777777" w:rsidR="00986FDA" w:rsidRDefault="00986FDA" w:rsidP="00916BFE">
            <w:pPr>
              <w:snapToGrid w:val="0"/>
              <w:rPr>
                <w:rFonts w:cs="Segoe UI"/>
                <w:sz w:val="17"/>
                <w:szCs w:val="17"/>
                <w:lang w:eastAsia="en-GB"/>
              </w:rPr>
            </w:pPr>
            <w:r>
              <w:rPr>
                <w:rFonts w:cs="Segoe UI"/>
                <w:sz w:val="17"/>
                <w:szCs w:val="17"/>
                <w:lang w:eastAsia="en-GB"/>
              </w:rPr>
              <w:t xml:space="preserve">Trading portfolio liabilities </w:t>
            </w:r>
          </w:p>
        </w:tc>
        <w:tc>
          <w:tcPr>
            <w:tcW w:w="1503" w:type="dxa"/>
            <w:tcBorders>
              <w:left w:val="single" w:sz="4" w:space="0" w:color="auto"/>
              <w:right w:val="single" w:sz="4" w:space="0" w:color="auto"/>
            </w:tcBorders>
          </w:tcPr>
          <w:p w14:paraId="0FB396C5" w14:textId="77777777" w:rsidR="00986FDA" w:rsidRDefault="00986FDA" w:rsidP="00916BFE">
            <w:pPr>
              <w:snapToGrid w:val="0"/>
              <w:rPr>
                <w:rFonts w:cs="Segoe UI"/>
                <w:sz w:val="17"/>
                <w:szCs w:val="17"/>
                <w:lang w:eastAsia="en-GB"/>
              </w:rPr>
            </w:pPr>
          </w:p>
        </w:tc>
        <w:tc>
          <w:tcPr>
            <w:tcW w:w="1648" w:type="dxa"/>
            <w:tcBorders>
              <w:left w:val="single" w:sz="4" w:space="0" w:color="auto"/>
              <w:right w:val="single" w:sz="4" w:space="0" w:color="auto"/>
            </w:tcBorders>
          </w:tcPr>
          <w:p w14:paraId="77ABB697"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1188B372"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tcPr>
          <w:p w14:paraId="4458E82B"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21CF859A"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31451F77"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43D4ECC0" w14:textId="77777777" w:rsidR="00986FDA" w:rsidRDefault="00986FDA" w:rsidP="00916BFE">
            <w:pPr>
              <w:snapToGrid w:val="0"/>
              <w:rPr>
                <w:rFonts w:cs="Segoe UI"/>
                <w:sz w:val="17"/>
                <w:szCs w:val="17"/>
                <w:lang w:eastAsia="en-GB"/>
              </w:rPr>
            </w:pPr>
          </w:p>
        </w:tc>
      </w:tr>
      <w:tr w:rsidR="00986FDA" w14:paraId="0A33FAC9" w14:textId="77777777" w:rsidTr="00916BFE">
        <w:trPr>
          <w:trHeight w:val="216"/>
        </w:trPr>
        <w:tc>
          <w:tcPr>
            <w:tcW w:w="2865" w:type="dxa"/>
            <w:tcBorders>
              <w:left w:val="nil"/>
              <w:right w:val="single" w:sz="4" w:space="0" w:color="auto"/>
            </w:tcBorders>
            <w:shd w:val="clear" w:color="auto" w:fill="FFFFFF"/>
          </w:tcPr>
          <w:p w14:paraId="2EA488C5" w14:textId="77777777" w:rsidR="00986FDA" w:rsidRDefault="00986FDA" w:rsidP="00916BFE">
            <w:pPr>
              <w:snapToGrid w:val="0"/>
              <w:rPr>
                <w:rFonts w:cs="Segoe UI"/>
                <w:sz w:val="17"/>
                <w:szCs w:val="17"/>
                <w:lang w:eastAsia="en-GB"/>
              </w:rPr>
            </w:pPr>
            <w:r>
              <w:rPr>
                <w:rFonts w:cs="Segoe UI"/>
                <w:sz w:val="17"/>
                <w:szCs w:val="17"/>
                <w:lang w:eastAsia="en-GB"/>
              </w:rPr>
              <w:t xml:space="preserve">Financial liabilities designated at fair value </w:t>
            </w:r>
          </w:p>
        </w:tc>
        <w:tc>
          <w:tcPr>
            <w:tcW w:w="1503" w:type="dxa"/>
            <w:tcBorders>
              <w:left w:val="single" w:sz="4" w:space="0" w:color="auto"/>
              <w:right w:val="single" w:sz="4" w:space="0" w:color="auto"/>
            </w:tcBorders>
          </w:tcPr>
          <w:p w14:paraId="791FC78D" w14:textId="77777777" w:rsidR="00986FDA" w:rsidRDefault="00986FDA" w:rsidP="00916BFE">
            <w:pPr>
              <w:snapToGrid w:val="0"/>
              <w:rPr>
                <w:rFonts w:cs="Segoe UI"/>
                <w:sz w:val="17"/>
                <w:szCs w:val="17"/>
                <w:lang w:eastAsia="en-GB"/>
              </w:rPr>
            </w:pPr>
          </w:p>
        </w:tc>
        <w:tc>
          <w:tcPr>
            <w:tcW w:w="1648" w:type="dxa"/>
            <w:tcBorders>
              <w:left w:val="single" w:sz="4" w:space="0" w:color="auto"/>
              <w:right w:val="single" w:sz="4" w:space="0" w:color="auto"/>
            </w:tcBorders>
          </w:tcPr>
          <w:p w14:paraId="53377232"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1124B951"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tcPr>
          <w:p w14:paraId="48E60109"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3AC2A158"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57B47619"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412381B6" w14:textId="77777777" w:rsidR="00986FDA" w:rsidRDefault="00986FDA" w:rsidP="00916BFE">
            <w:pPr>
              <w:snapToGrid w:val="0"/>
              <w:rPr>
                <w:rFonts w:cs="Segoe UI"/>
                <w:sz w:val="17"/>
                <w:szCs w:val="17"/>
                <w:lang w:eastAsia="en-GB"/>
              </w:rPr>
            </w:pPr>
          </w:p>
        </w:tc>
      </w:tr>
      <w:tr w:rsidR="00986FDA" w14:paraId="1B1326AC" w14:textId="77777777" w:rsidTr="00916BFE">
        <w:trPr>
          <w:trHeight w:val="216"/>
        </w:trPr>
        <w:tc>
          <w:tcPr>
            <w:tcW w:w="2865" w:type="dxa"/>
            <w:tcBorders>
              <w:left w:val="nil"/>
              <w:right w:val="single" w:sz="4" w:space="0" w:color="auto"/>
            </w:tcBorders>
            <w:shd w:val="clear" w:color="auto" w:fill="FFFFFF"/>
          </w:tcPr>
          <w:p w14:paraId="0728B86E" w14:textId="77777777" w:rsidR="00986FDA" w:rsidRDefault="00986FDA" w:rsidP="00916BFE">
            <w:pPr>
              <w:snapToGrid w:val="0"/>
              <w:rPr>
                <w:rFonts w:cs="Segoe UI"/>
                <w:sz w:val="17"/>
                <w:szCs w:val="17"/>
                <w:lang w:eastAsia="en-GB"/>
              </w:rPr>
            </w:pPr>
            <w:r>
              <w:rPr>
                <w:rFonts w:cs="Segoe UI"/>
                <w:sz w:val="17"/>
                <w:szCs w:val="17"/>
                <w:lang w:eastAsia="en-GB"/>
              </w:rPr>
              <w:t xml:space="preserve">Derivative financial instruments </w:t>
            </w:r>
          </w:p>
        </w:tc>
        <w:tc>
          <w:tcPr>
            <w:tcW w:w="1503" w:type="dxa"/>
            <w:tcBorders>
              <w:left w:val="single" w:sz="4" w:space="0" w:color="auto"/>
              <w:right w:val="single" w:sz="4" w:space="0" w:color="auto"/>
            </w:tcBorders>
          </w:tcPr>
          <w:p w14:paraId="40380B68" w14:textId="77777777" w:rsidR="00986FDA" w:rsidRDefault="00986FDA" w:rsidP="00916BFE">
            <w:pPr>
              <w:snapToGrid w:val="0"/>
              <w:rPr>
                <w:rFonts w:cs="Segoe UI"/>
                <w:sz w:val="17"/>
                <w:szCs w:val="17"/>
                <w:lang w:eastAsia="en-GB"/>
              </w:rPr>
            </w:pPr>
          </w:p>
        </w:tc>
        <w:tc>
          <w:tcPr>
            <w:tcW w:w="1648" w:type="dxa"/>
            <w:tcBorders>
              <w:left w:val="single" w:sz="4" w:space="0" w:color="auto"/>
              <w:right w:val="single" w:sz="4" w:space="0" w:color="auto"/>
            </w:tcBorders>
          </w:tcPr>
          <w:p w14:paraId="411A7E81"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30740005"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tcPr>
          <w:p w14:paraId="6D317B88"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1E5D07B2"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71FCF1BB"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0FD28A5F" w14:textId="77777777" w:rsidR="00986FDA" w:rsidRDefault="00986FDA" w:rsidP="00916BFE">
            <w:pPr>
              <w:snapToGrid w:val="0"/>
              <w:rPr>
                <w:rFonts w:cs="Segoe UI"/>
                <w:sz w:val="17"/>
                <w:szCs w:val="17"/>
                <w:lang w:eastAsia="en-GB"/>
              </w:rPr>
            </w:pPr>
          </w:p>
        </w:tc>
      </w:tr>
      <w:tr w:rsidR="00986FDA" w14:paraId="2DAAF7EF" w14:textId="77777777" w:rsidTr="00916BFE">
        <w:trPr>
          <w:trHeight w:val="216"/>
        </w:trPr>
        <w:tc>
          <w:tcPr>
            <w:tcW w:w="2865" w:type="dxa"/>
            <w:tcBorders>
              <w:left w:val="nil"/>
              <w:right w:val="single" w:sz="4" w:space="0" w:color="auto"/>
            </w:tcBorders>
            <w:shd w:val="clear" w:color="auto" w:fill="FFFFFF"/>
          </w:tcPr>
          <w:p w14:paraId="48BF44E3" w14:textId="77777777" w:rsidR="00986FDA" w:rsidRDefault="00986FDA" w:rsidP="00916BFE">
            <w:pPr>
              <w:snapToGrid w:val="0"/>
              <w:rPr>
                <w:rFonts w:cs="Segoe UI"/>
                <w:sz w:val="17"/>
                <w:szCs w:val="17"/>
                <w:lang w:eastAsia="en-GB"/>
              </w:rPr>
            </w:pPr>
            <w:r>
              <w:rPr>
                <w:rFonts w:cs="Segoe UI"/>
                <w:sz w:val="17"/>
                <w:szCs w:val="17"/>
                <w:lang w:eastAsia="en-GB"/>
              </w:rPr>
              <w:lastRenderedPageBreak/>
              <w:t>….</w:t>
            </w:r>
          </w:p>
        </w:tc>
        <w:tc>
          <w:tcPr>
            <w:tcW w:w="1503" w:type="dxa"/>
            <w:tcBorders>
              <w:left w:val="single" w:sz="4" w:space="0" w:color="auto"/>
              <w:right w:val="single" w:sz="4" w:space="0" w:color="auto"/>
            </w:tcBorders>
          </w:tcPr>
          <w:p w14:paraId="6CC29F57" w14:textId="77777777" w:rsidR="00986FDA" w:rsidRDefault="00986FDA" w:rsidP="00916BFE">
            <w:pPr>
              <w:snapToGrid w:val="0"/>
              <w:rPr>
                <w:rFonts w:cs="Segoe UI"/>
                <w:sz w:val="17"/>
                <w:szCs w:val="17"/>
                <w:lang w:eastAsia="en-GB"/>
              </w:rPr>
            </w:pPr>
          </w:p>
        </w:tc>
        <w:tc>
          <w:tcPr>
            <w:tcW w:w="1648" w:type="dxa"/>
            <w:tcBorders>
              <w:left w:val="single" w:sz="4" w:space="0" w:color="auto"/>
              <w:right w:val="single" w:sz="4" w:space="0" w:color="auto"/>
            </w:tcBorders>
          </w:tcPr>
          <w:p w14:paraId="0167B582"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02AAFB18"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tcPr>
          <w:p w14:paraId="746F8A67" w14:textId="77777777" w:rsidR="00986FDA" w:rsidRDefault="00986FDA" w:rsidP="00916BFE">
            <w:pPr>
              <w:snapToGrid w:val="0"/>
              <w:rPr>
                <w:rFonts w:cs="Segoe UI"/>
                <w:sz w:val="17"/>
                <w:szCs w:val="17"/>
                <w:lang w:eastAsia="en-GB"/>
              </w:rPr>
            </w:pPr>
          </w:p>
        </w:tc>
        <w:tc>
          <w:tcPr>
            <w:tcW w:w="1603" w:type="dxa"/>
            <w:tcBorders>
              <w:left w:val="single" w:sz="4" w:space="0" w:color="auto"/>
              <w:right w:val="single" w:sz="4" w:space="0" w:color="auto"/>
            </w:tcBorders>
          </w:tcPr>
          <w:p w14:paraId="761D9014"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672D4E1E" w14:textId="77777777" w:rsidR="00986FDA" w:rsidRDefault="00986FDA" w:rsidP="00916BFE">
            <w:pPr>
              <w:snapToGrid w:val="0"/>
              <w:rPr>
                <w:rFonts w:cs="Segoe UI"/>
                <w:sz w:val="17"/>
                <w:szCs w:val="17"/>
                <w:lang w:eastAsia="en-GB"/>
              </w:rPr>
            </w:pPr>
          </w:p>
        </w:tc>
        <w:tc>
          <w:tcPr>
            <w:tcW w:w="1604" w:type="dxa"/>
            <w:tcBorders>
              <w:left w:val="single" w:sz="4" w:space="0" w:color="auto"/>
              <w:right w:val="single" w:sz="4" w:space="0" w:color="auto"/>
            </w:tcBorders>
            <w:shd w:val="clear" w:color="auto" w:fill="FFFFFF"/>
          </w:tcPr>
          <w:p w14:paraId="501AC2AB" w14:textId="77777777" w:rsidR="00986FDA" w:rsidRDefault="00986FDA" w:rsidP="00916BFE">
            <w:pPr>
              <w:snapToGrid w:val="0"/>
              <w:rPr>
                <w:rFonts w:cs="Segoe UI"/>
                <w:sz w:val="17"/>
                <w:szCs w:val="17"/>
                <w:lang w:eastAsia="en-GB"/>
              </w:rPr>
            </w:pPr>
          </w:p>
        </w:tc>
      </w:tr>
      <w:tr w:rsidR="00986FDA" w14:paraId="7E91ACC5" w14:textId="77777777" w:rsidTr="00916BFE">
        <w:trPr>
          <w:trHeight w:val="216"/>
        </w:trPr>
        <w:tc>
          <w:tcPr>
            <w:tcW w:w="2865" w:type="dxa"/>
            <w:tcBorders>
              <w:left w:val="nil"/>
              <w:bottom w:val="single" w:sz="4" w:space="0" w:color="BFBFBF"/>
              <w:right w:val="single" w:sz="4" w:space="0" w:color="auto"/>
            </w:tcBorders>
            <w:shd w:val="clear" w:color="auto" w:fill="FFFFFF"/>
          </w:tcPr>
          <w:p w14:paraId="12F64F30" w14:textId="77777777" w:rsidR="00986FDA" w:rsidRDefault="00986FDA" w:rsidP="00916BFE">
            <w:pPr>
              <w:snapToGrid w:val="0"/>
              <w:rPr>
                <w:rFonts w:cs="Segoe UI"/>
                <w:b/>
                <w:sz w:val="17"/>
                <w:szCs w:val="17"/>
                <w:lang w:eastAsia="en-GB"/>
              </w:rPr>
            </w:pPr>
            <w:r>
              <w:rPr>
                <w:rFonts w:cs="Segoe UI"/>
                <w:b/>
                <w:sz w:val="17"/>
                <w:szCs w:val="17"/>
                <w:lang w:eastAsia="en-GB"/>
              </w:rPr>
              <w:t xml:space="preserve">Total liabilities </w:t>
            </w:r>
          </w:p>
        </w:tc>
        <w:tc>
          <w:tcPr>
            <w:tcW w:w="1503" w:type="dxa"/>
            <w:tcBorders>
              <w:left w:val="single" w:sz="4" w:space="0" w:color="auto"/>
              <w:bottom w:val="single" w:sz="4" w:space="0" w:color="BFBFBF"/>
              <w:right w:val="single" w:sz="4" w:space="0" w:color="auto"/>
            </w:tcBorders>
          </w:tcPr>
          <w:p w14:paraId="0E48A33B" w14:textId="77777777" w:rsidR="00986FDA" w:rsidRDefault="00986FDA" w:rsidP="00916BFE">
            <w:pPr>
              <w:snapToGrid w:val="0"/>
              <w:rPr>
                <w:rFonts w:cs="Segoe UI"/>
                <w:sz w:val="17"/>
                <w:szCs w:val="17"/>
                <w:lang w:eastAsia="en-GB"/>
              </w:rPr>
            </w:pPr>
          </w:p>
        </w:tc>
        <w:tc>
          <w:tcPr>
            <w:tcW w:w="1648" w:type="dxa"/>
            <w:tcBorders>
              <w:left w:val="single" w:sz="4" w:space="0" w:color="auto"/>
              <w:bottom w:val="single" w:sz="4" w:space="0" w:color="BFBFBF"/>
              <w:right w:val="single" w:sz="4" w:space="0" w:color="auto"/>
            </w:tcBorders>
          </w:tcPr>
          <w:p w14:paraId="13AACA28" w14:textId="77777777" w:rsidR="00986FDA" w:rsidRDefault="00986FDA" w:rsidP="00916BFE">
            <w:pPr>
              <w:snapToGrid w:val="0"/>
              <w:rPr>
                <w:rFonts w:cs="Segoe UI"/>
                <w:sz w:val="17"/>
                <w:szCs w:val="17"/>
                <w:lang w:eastAsia="en-GB"/>
              </w:rPr>
            </w:pPr>
          </w:p>
        </w:tc>
        <w:tc>
          <w:tcPr>
            <w:tcW w:w="1603" w:type="dxa"/>
            <w:tcBorders>
              <w:left w:val="single" w:sz="4" w:space="0" w:color="auto"/>
              <w:bottom w:val="single" w:sz="4" w:space="0" w:color="BFBFBF"/>
              <w:right w:val="single" w:sz="4" w:space="0" w:color="auto"/>
            </w:tcBorders>
          </w:tcPr>
          <w:p w14:paraId="1A1A0B18" w14:textId="77777777" w:rsidR="00986FDA" w:rsidRDefault="00986FDA" w:rsidP="00916BFE">
            <w:pPr>
              <w:snapToGrid w:val="0"/>
              <w:rPr>
                <w:rFonts w:cs="Segoe UI"/>
                <w:sz w:val="17"/>
                <w:szCs w:val="17"/>
                <w:lang w:eastAsia="en-GB"/>
              </w:rPr>
            </w:pPr>
          </w:p>
        </w:tc>
        <w:tc>
          <w:tcPr>
            <w:tcW w:w="1604" w:type="dxa"/>
            <w:tcBorders>
              <w:left w:val="single" w:sz="4" w:space="0" w:color="auto"/>
              <w:bottom w:val="single" w:sz="4" w:space="0" w:color="BFBFBF"/>
              <w:right w:val="single" w:sz="4" w:space="0" w:color="auto"/>
            </w:tcBorders>
          </w:tcPr>
          <w:p w14:paraId="742851C9" w14:textId="77777777" w:rsidR="00986FDA" w:rsidRDefault="00986FDA" w:rsidP="00916BFE">
            <w:pPr>
              <w:snapToGrid w:val="0"/>
              <w:rPr>
                <w:rFonts w:cs="Segoe UI"/>
                <w:sz w:val="17"/>
                <w:szCs w:val="17"/>
                <w:lang w:eastAsia="en-GB"/>
              </w:rPr>
            </w:pPr>
          </w:p>
        </w:tc>
        <w:tc>
          <w:tcPr>
            <w:tcW w:w="1603" w:type="dxa"/>
            <w:tcBorders>
              <w:left w:val="single" w:sz="4" w:space="0" w:color="auto"/>
              <w:bottom w:val="single" w:sz="4" w:space="0" w:color="BFBFBF"/>
              <w:right w:val="single" w:sz="4" w:space="0" w:color="auto"/>
            </w:tcBorders>
          </w:tcPr>
          <w:p w14:paraId="49D68374" w14:textId="77777777" w:rsidR="00986FDA" w:rsidRDefault="00986FDA" w:rsidP="00916BFE">
            <w:pPr>
              <w:snapToGrid w:val="0"/>
              <w:rPr>
                <w:rFonts w:cs="Segoe UI"/>
                <w:sz w:val="17"/>
                <w:szCs w:val="17"/>
                <w:lang w:eastAsia="en-GB"/>
              </w:rPr>
            </w:pPr>
          </w:p>
        </w:tc>
        <w:tc>
          <w:tcPr>
            <w:tcW w:w="1604" w:type="dxa"/>
            <w:tcBorders>
              <w:left w:val="single" w:sz="4" w:space="0" w:color="auto"/>
              <w:bottom w:val="single" w:sz="4" w:space="0" w:color="BFBFBF"/>
              <w:right w:val="single" w:sz="4" w:space="0" w:color="auto"/>
            </w:tcBorders>
            <w:shd w:val="clear" w:color="auto" w:fill="FFFFFF"/>
          </w:tcPr>
          <w:p w14:paraId="457DE7A9" w14:textId="77777777" w:rsidR="00986FDA" w:rsidRDefault="00986FDA" w:rsidP="00916BFE">
            <w:pPr>
              <w:snapToGrid w:val="0"/>
              <w:rPr>
                <w:rFonts w:cs="Segoe UI"/>
                <w:sz w:val="17"/>
                <w:szCs w:val="17"/>
                <w:lang w:eastAsia="en-GB"/>
              </w:rPr>
            </w:pPr>
          </w:p>
        </w:tc>
        <w:tc>
          <w:tcPr>
            <w:tcW w:w="1604" w:type="dxa"/>
            <w:tcBorders>
              <w:left w:val="single" w:sz="4" w:space="0" w:color="auto"/>
              <w:bottom w:val="single" w:sz="4" w:space="0" w:color="BFBFBF"/>
              <w:right w:val="single" w:sz="4" w:space="0" w:color="auto"/>
            </w:tcBorders>
            <w:shd w:val="clear" w:color="auto" w:fill="FFFFFF"/>
          </w:tcPr>
          <w:p w14:paraId="0A2D152A" w14:textId="77777777" w:rsidR="00986FDA" w:rsidRDefault="00986FDA" w:rsidP="00916BFE">
            <w:pPr>
              <w:snapToGrid w:val="0"/>
              <w:rPr>
                <w:rFonts w:cs="Segoe UI"/>
                <w:sz w:val="17"/>
                <w:szCs w:val="17"/>
                <w:lang w:eastAsia="en-GB"/>
              </w:rPr>
            </w:pPr>
          </w:p>
        </w:tc>
      </w:tr>
      <w:tr w:rsidR="00986FDA" w14:paraId="15FAEAA1" w14:textId="77777777" w:rsidTr="00916BFE">
        <w:trPr>
          <w:trHeight w:val="216"/>
        </w:trPr>
        <w:tc>
          <w:tcPr>
            <w:tcW w:w="2865" w:type="dxa"/>
            <w:tcBorders>
              <w:left w:val="nil"/>
              <w:bottom w:val="single" w:sz="4" w:space="0" w:color="auto"/>
              <w:right w:val="single" w:sz="4" w:space="0" w:color="auto"/>
            </w:tcBorders>
            <w:shd w:val="clear" w:color="auto" w:fill="FFFFFF"/>
          </w:tcPr>
          <w:p w14:paraId="359DEA78" w14:textId="77777777" w:rsidR="00986FDA" w:rsidRDefault="00986FDA" w:rsidP="00916BFE">
            <w:pPr>
              <w:snapToGrid w:val="0"/>
              <w:rPr>
                <w:rFonts w:cs="Segoe UI"/>
                <w:b/>
                <w:sz w:val="17"/>
                <w:szCs w:val="17"/>
                <w:lang w:eastAsia="en-GB"/>
              </w:rPr>
            </w:pPr>
          </w:p>
        </w:tc>
        <w:tc>
          <w:tcPr>
            <w:tcW w:w="1503" w:type="dxa"/>
            <w:tcBorders>
              <w:left w:val="single" w:sz="4" w:space="0" w:color="auto"/>
              <w:bottom w:val="single" w:sz="4" w:space="0" w:color="auto"/>
              <w:right w:val="single" w:sz="4" w:space="0" w:color="auto"/>
            </w:tcBorders>
          </w:tcPr>
          <w:p w14:paraId="0638BC76" w14:textId="77777777" w:rsidR="00986FDA" w:rsidRDefault="00986FDA" w:rsidP="00916BFE">
            <w:pPr>
              <w:snapToGrid w:val="0"/>
              <w:rPr>
                <w:rFonts w:cs="Segoe UI"/>
                <w:sz w:val="17"/>
                <w:szCs w:val="17"/>
                <w:lang w:eastAsia="en-GB"/>
              </w:rPr>
            </w:pPr>
          </w:p>
        </w:tc>
        <w:tc>
          <w:tcPr>
            <w:tcW w:w="1648" w:type="dxa"/>
            <w:tcBorders>
              <w:left w:val="single" w:sz="4" w:space="0" w:color="auto"/>
              <w:bottom w:val="single" w:sz="4" w:space="0" w:color="auto"/>
              <w:right w:val="single" w:sz="4" w:space="0" w:color="auto"/>
            </w:tcBorders>
          </w:tcPr>
          <w:p w14:paraId="49A2BD8E" w14:textId="77777777" w:rsidR="00986FDA" w:rsidRDefault="00986FDA" w:rsidP="00916BFE">
            <w:pPr>
              <w:snapToGrid w:val="0"/>
              <w:rPr>
                <w:rFonts w:cs="Segoe UI"/>
                <w:sz w:val="17"/>
                <w:szCs w:val="17"/>
                <w:lang w:eastAsia="en-GB"/>
              </w:rPr>
            </w:pPr>
          </w:p>
        </w:tc>
        <w:tc>
          <w:tcPr>
            <w:tcW w:w="1603" w:type="dxa"/>
            <w:tcBorders>
              <w:left w:val="single" w:sz="4" w:space="0" w:color="auto"/>
              <w:bottom w:val="single" w:sz="4" w:space="0" w:color="auto"/>
              <w:right w:val="single" w:sz="4" w:space="0" w:color="auto"/>
            </w:tcBorders>
          </w:tcPr>
          <w:p w14:paraId="034EBD64" w14:textId="77777777" w:rsidR="00986FDA" w:rsidRDefault="00986FDA" w:rsidP="00916BFE">
            <w:pPr>
              <w:snapToGrid w:val="0"/>
              <w:rPr>
                <w:rFonts w:cs="Segoe UI"/>
                <w:sz w:val="17"/>
                <w:szCs w:val="17"/>
                <w:lang w:eastAsia="en-GB"/>
              </w:rPr>
            </w:pPr>
          </w:p>
        </w:tc>
        <w:tc>
          <w:tcPr>
            <w:tcW w:w="1604" w:type="dxa"/>
            <w:tcBorders>
              <w:left w:val="single" w:sz="4" w:space="0" w:color="auto"/>
              <w:bottom w:val="single" w:sz="4" w:space="0" w:color="auto"/>
              <w:right w:val="single" w:sz="4" w:space="0" w:color="auto"/>
            </w:tcBorders>
          </w:tcPr>
          <w:p w14:paraId="7EC45FC5" w14:textId="77777777" w:rsidR="00986FDA" w:rsidRDefault="00986FDA" w:rsidP="00916BFE">
            <w:pPr>
              <w:snapToGrid w:val="0"/>
              <w:rPr>
                <w:rFonts w:cs="Segoe UI"/>
                <w:sz w:val="17"/>
                <w:szCs w:val="17"/>
                <w:lang w:eastAsia="en-GB"/>
              </w:rPr>
            </w:pPr>
          </w:p>
        </w:tc>
        <w:tc>
          <w:tcPr>
            <w:tcW w:w="1603" w:type="dxa"/>
            <w:tcBorders>
              <w:left w:val="single" w:sz="4" w:space="0" w:color="auto"/>
              <w:bottom w:val="single" w:sz="4" w:space="0" w:color="auto"/>
              <w:right w:val="single" w:sz="4" w:space="0" w:color="auto"/>
            </w:tcBorders>
          </w:tcPr>
          <w:p w14:paraId="4E9AFC7B" w14:textId="77777777" w:rsidR="00986FDA" w:rsidRDefault="00986FDA" w:rsidP="00916BFE">
            <w:pPr>
              <w:snapToGrid w:val="0"/>
              <w:rPr>
                <w:rFonts w:cs="Segoe UI"/>
                <w:sz w:val="17"/>
                <w:szCs w:val="17"/>
                <w:lang w:eastAsia="en-GB"/>
              </w:rPr>
            </w:pPr>
          </w:p>
        </w:tc>
        <w:tc>
          <w:tcPr>
            <w:tcW w:w="1604" w:type="dxa"/>
            <w:tcBorders>
              <w:left w:val="single" w:sz="4" w:space="0" w:color="auto"/>
              <w:bottom w:val="single" w:sz="4" w:space="0" w:color="auto"/>
              <w:right w:val="single" w:sz="4" w:space="0" w:color="auto"/>
            </w:tcBorders>
            <w:shd w:val="clear" w:color="auto" w:fill="FFFFFF"/>
          </w:tcPr>
          <w:p w14:paraId="2AD4EB74" w14:textId="77777777" w:rsidR="00986FDA" w:rsidRDefault="00986FDA" w:rsidP="00916BFE">
            <w:pPr>
              <w:snapToGrid w:val="0"/>
              <w:rPr>
                <w:rFonts w:cs="Segoe UI"/>
                <w:sz w:val="17"/>
                <w:szCs w:val="17"/>
                <w:lang w:eastAsia="en-GB"/>
              </w:rPr>
            </w:pPr>
          </w:p>
        </w:tc>
        <w:tc>
          <w:tcPr>
            <w:tcW w:w="1604" w:type="dxa"/>
            <w:tcBorders>
              <w:left w:val="single" w:sz="4" w:space="0" w:color="auto"/>
              <w:bottom w:val="single" w:sz="4" w:space="0" w:color="auto"/>
              <w:right w:val="single" w:sz="4" w:space="0" w:color="auto"/>
            </w:tcBorders>
            <w:shd w:val="clear" w:color="auto" w:fill="FFFFFF"/>
          </w:tcPr>
          <w:p w14:paraId="455982C7" w14:textId="77777777" w:rsidR="00986FDA" w:rsidRDefault="00986FDA" w:rsidP="00916BFE">
            <w:pPr>
              <w:snapToGrid w:val="0"/>
              <w:rPr>
                <w:rFonts w:cs="Segoe UI"/>
                <w:sz w:val="17"/>
                <w:szCs w:val="17"/>
                <w:lang w:eastAsia="en-GB"/>
              </w:rPr>
            </w:pPr>
          </w:p>
        </w:tc>
      </w:tr>
      <w:tr w:rsidR="00986FDA" w14:paraId="09992903" w14:textId="77777777" w:rsidTr="00916BFE">
        <w:trPr>
          <w:trHeight w:val="216"/>
        </w:trPr>
        <w:tc>
          <w:tcPr>
            <w:tcW w:w="14034" w:type="dxa"/>
            <w:gridSpan w:val="8"/>
            <w:tcBorders>
              <w:top w:val="single" w:sz="4" w:space="0" w:color="auto"/>
              <w:left w:val="nil"/>
              <w:bottom w:val="single" w:sz="4" w:space="0" w:color="auto"/>
              <w:right w:val="single" w:sz="4" w:space="0" w:color="auto"/>
            </w:tcBorders>
            <w:shd w:val="clear" w:color="auto" w:fill="FFFFFF"/>
          </w:tcPr>
          <w:p w14:paraId="5607F043" w14:textId="33AE830A" w:rsidR="00986FDA" w:rsidRDefault="00986FDA" w:rsidP="00916BFE">
            <w:pPr>
              <w:snapToGrid w:val="0"/>
              <w:rPr>
                <w:rFonts w:cs="Segoe UI"/>
                <w:sz w:val="17"/>
                <w:szCs w:val="17"/>
                <w:lang w:eastAsia="en-GB"/>
              </w:rPr>
            </w:pPr>
            <w:r>
              <w:rPr>
                <w:rFonts w:cs="Segoe UI"/>
                <w:sz w:val="17"/>
                <w:szCs w:val="17"/>
                <w:lang w:eastAsia="en-GB"/>
              </w:rPr>
              <w:t>* For the purpose of this template, column (f) also includes items subject to CVA risk framework.</w:t>
            </w:r>
          </w:p>
        </w:tc>
      </w:tr>
    </w:tbl>
    <w:p w14:paraId="53C7166E" w14:textId="77777777" w:rsidR="00986FDA" w:rsidRDefault="00986FDA" w:rsidP="00986FDA">
      <w:pPr>
        <w:rPr>
          <w:vanish/>
        </w:rPr>
      </w:pPr>
    </w:p>
    <w:p w14:paraId="17B45899" w14:textId="77777777" w:rsidR="00986FDA" w:rsidRPr="003778B7" w:rsidRDefault="00986FDA" w:rsidP="00986FDA"/>
    <w:p w14:paraId="7CB7A8DD" w14:textId="77777777" w:rsidR="00986FDA" w:rsidRPr="003778B7" w:rsidRDefault="00986FDA" w:rsidP="00986FDA"/>
    <w:p w14:paraId="2CD62AD6" w14:textId="77777777" w:rsidR="00986FDA" w:rsidRPr="003778B7" w:rsidRDefault="00986FDA" w:rsidP="00986FDA"/>
    <w:p w14:paraId="2F3613A8" w14:textId="77777777" w:rsidR="00986FDA" w:rsidRPr="003778B7" w:rsidRDefault="00986FDA" w:rsidP="00986FDA"/>
    <w:p w14:paraId="489CEB8C" w14:textId="4C9DE084" w:rsidR="00986FDA" w:rsidRDefault="00986FDA" w:rsidP="00986FDA"/>
    <w:p w14:paraId="5FBB1160" w14:textId="3DAEB70D" w:rsidR="001B2113" w:rsidRDefault="001B2113" w:rsidP="00986FDA"/>
    <w:p w14:paraId="72B14C5B" w14:textId="3FE3C76B" w:rsidR="001B2113" w:rsidRDefault="001B2113" w:rsidP="00986FDA"/>
    <w:p w14:paraId="206639A0" w14:textId="23582C03" w:rsidR="001B2113" w:rsidRDefault="001B2113" w:rsidP="00986FDA"/>
    <w:p w14:paraId="089D3C92" w14:textId="3780052E" w:rsidR="001B2113" w:rsidRDefault="001B2113" w:rsidP="00986FDA"/>
    <w:p w14:paraId="4553892E" w14:textId="77777777" w:rsidR="001B2113" w:rsidRPr="003778B7" w:rsidRDefault="001B2113" w:rsidP="00986FDA"/>
    <w:p w14:paraId="470539B1" w14:textId="77777777" w:rsidR="00986FDA" w:rsidRPr="003778B7" w:rsidRDefault="00986FDA" w:rsidP="00986FDA"/>
    <w:p w14:paraId="2E83215B" w14:textId="1A3CCDE2" w:rsidR="00986FDA" w:rsidRDefault="00986FDA" w:rsidP="00986FDA"/>
    <w:p w14:paraId="29B31DD6" w14:textId="77777777" w:rsidR="00941EA3" w:rsidRPr="003778B7" w:rsidRDefault="00941EA3" w:rsidP="00986FDA"/>
    <w:p w14:paraId="77A362AB" w14:textId="77777777" w:rsidR="00986FDA" w:rsidRDefault="00986FDA" w:rsidP="00986FDA"/>
    <w:p w14:paraId="520D2651" w14:textId="77777777" w:rsidR="00986FDA" w:rsidRPr="003778B7" w:rsidRDefault="00986FDA" w:rsidP="00986FDA">
      <w:pPr>
        <w:tabs>
          <w:tab w:val="left" w:pos="8800"/>
        </w:tabs>
      </w:pPr>
      <w:r>
        <w:tab/>
      </w:r>
    </w:p>
    <w:tbl>
      <w:tblPr>
        <w:tblpPr w:leftFromText="180" w:rightFromText="180" w:vertAnchor="text" w:horzAnchor="margin" w:tblpX="108" w:tblpY="53"/>
        <w:tblW w:w="14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3217"/>
      </w:tblGrid>
      <w:tr w:rsidR="00986FDA" w14:paraId="25C32E3D" w14:textId="77777777" w:rsidTr="00916BFE">
        <w:trPr>
          <w:tblHeader/>
        </w:trPr>
        <w:tc>
          <w:tcPr>
            <w:tcW w:w="14034" w:type="dxa"/>
            <w:gridSpan w:val="2"/>
            <w:shd w:val="clear" w:color="auto" w:fill="BFBFBF"/>
          </w:tcPr>
          <w:p w14:paraId="5D83D65A" w14:textId="77777777" w:rsidR="00986FDA" w:rsidRDefault="00986FDA" w:rsidP="00916BFE">
            <w:pPr>
              <w:pStyle w:val="TableNote"/>
              <w:keepNext/>
              <w:spacing w:before="40" w:after="40"/>
              <w:rPr>
                <w:rFonts w:eastAsia="新細明體"/>
                <w:b/>
                <w:sz w:val="17"/>
                <w:lang w:eastAsia="en-GB"/>
              </w:rPr>
            </w:pPr>
            <w:r>
              <w:rPr>
                <w:rFonts w:eastAsia="新細明體"/>
                <w:b/>
                <w:sz w:val="17"/>
                <w:lang w:eastAsia="en-GB"/>
              </w:rPr>
              <w:lastRenderedPageBreak/>
              <w:t>Explanatory Note</w:t>
            </w:r>
          </w:p>
        </w:tc>
      </w:tr>
      <w:tr w:rsidR="00986FDA" w14:paraId="41B7B1F0" w14:textId="77777777" w:rsidTr="00916BFE">
        <w:trPr>
          <w:trHeight w:val="153"/>
        </w:trPr>
        <w:tc>
          <w:tcPr>
            <w:tcW w:w="14034" w:type="dxa"/>
            <w:gridSpan w:val="2"/>
            <w:shd w:val="clear" w:color="auto" w:fill="F2F2F2"/>
          </w:tcPr>
          <w:p w14:paraId="4BD19115" w14:textId="77777777" w:rsidR="00986FDA" w:rsidRDefault="00986FDA" w:rsidP="00916BFE">
            <w:pPr>
              <w:pStyle w:val="TableNote"/>
              <w:keepNext/>
              <w:spacing w:before="40" w:after="40"/>
              <w:rPr>
                <w:rFonts w:eastAsia="新細明體"/>
                <w:b/>
                <w:sz w:val="17"/>
                <w:lang w:eastAsia="en-GB"/>
              </w:rPr>
            </w:pPr>
            <w:r>
              <w:rPr>
                <w:rFonts w:eastAsia="新細明體"/>
                <w:b/>
                <w:sz w:val="17"/>
                <w:lang w:eastAsia="en-GB"/>
              </w:rPr>
              <w:t>Columns</w:t>
            </w:r>
          </w:p>
        </w:tc>
      </w:tr>
      <w:tr w:rsidR="00986FDA" w14:paraId="552C38BF" w14:textId="77777777" w:rsidTr="00916BFE">
        <w:tc>
          <w:tcPr>
            <w:tcW w:w="817" w:type="dxa"/>
          </w:tcPr>
          <w:p w14:paraId="3F321FD3" w14:textId="77777777" w:rsidR="00986FDA" w:rsidRDefault="00986FDA" w:rsidP="00916BFE">
            <w:pPr>
              <w:pStyle w:val="TableNote"/>
              <w:keepNext/>
              <w:spacing w:before="40" w:after="40"/>
              <w:rPr>
                <w:rFonts w:cs="Segoe UI"/>
                <w:sz w:val="17"/>
                <w:szCs w:val="17"/>
                <w:lang w:eastAsia="en-GB"/>
              </w:rPr>
            </w:pPr>
            <w:r>
              <w:rPr>
                <w:rFonts w:cs="Segoe UI"/>
                <w:sz w:val="17"/>
                <w:szCs w:val="17"/>
                <w:lang w:eastAsia="en-GB"/>
              </w:rPr>
              <w:t xml:space="preserve">(a) </w:t>
            </w:r>
            <w:r>
              <w:rPr>
                <w:sz w:val="17"/>
                <w:szCs w:val="17"/>
              </w:rPr>
              <w:t>and</w:t>
            </w:r>
            <w:r>
              <w:rPr>
                <w:rFonts w:cs="Segoe UI"/>
                <w:sz w:val="17"/>
                <w:szCs w:val="17"/>
                <w:lang w:eastAsia="en-GB"/>
              </w:rPr>
              <w:t xml:space="preserve"> (b)</w:t>
            </w:r>
          </w:p>
        </w:tc>
        <w:tc>
          <w:tcPr>
            <w:tcW w:w="13217" w:type="dxa"/>
          </w:tcPr>
          <w:p w14:paraId="00FBC11D" w14:textId="77777777" w:rsidR="00986FDA" w:rsidRDefault="00986FDA" w:rsidP="00916BFE">
            <w:pPr>
              <w:pStyle w:val="TableNote"/>
              <w:keepNext/>
              <w:spacing w:before="40" w:after="40"/>
              <w:rPr>
                <w:rFonts w:cs="Segoe UI"/>
                <w:sz w:val="17"/>
                <w:szCs w:val="17"/>
                <w:lang w:eastAsia="en-GB"/>
              </w:rPr>
            </w:pPr>
            <w:r>
              <w:rPr>
                <w:rFonts w:cs="Segoe UI"/>
                <w:i/>
                <w:sz w:val="17"/>
                <w:szCs w:val="17"/>
                <w:lang w:eastAsia="en-GB"/>
              </w:rPr>
              <w:t>Carrying values as reported in published financial statements</w:t>
            </w:r>
            <w:r>
              <w:rPr>
                <w:i/>
                <w:sz w:val="17"/>
                <w:szCs w:val="17"/>
              </w:rPr>
              <w:t xml:space="preserve"> / </w:t>
            </w:r>
            <w:r>
              <w:rPr>
                <w:rFonts w:cs="Segoe UI"/>
                <w:i/>
                <w:sz w:val="17"/>
                <w:szCs w:val="17"/>
                <w:lang w:eastAsia="en-GB"/>
              </w:rPr>
              <w:t>under scope of regulatory consolidation</w:t>
            </w:r>
            <w:r>
              <w:rPr>
                <w:rFonts w:cs="Segoe UI"/>
                <w:sz w:val="17"/>
                <w:szCs w:val="17"/>
                <w:lang w:eastAsia="en-GB"/>
              </w:rPr>
              <w:t>:</w:t>
            </w:r>
            <w:r>
              <w:rPr>
                <w:sz w:val="17"/>
                <w:szCs w:val="17"/>
              </w:rPr>
              <w:t xml:space="preserve"> If an AI’s scope of accounting consolidation and its scope of regulatory consolidation are exactly the same, columns (a) and (b) should be merged and this fact should be clearly disclosed.</w:t>
            </w:r>
          </w:p>
        </w:tc>
      </w:tr>
      <w:tr w:rsidR="00986FDA" w14:paraId="72B247DA" w14:textId="77777777" w:rsidTr="00916BFE">
        <w:trPr>
          <w:trHeight w:val="1389"/>
        </w:trPr>
        <w:tc>
          <w:tcPr>
            <w:tcW w:w="817" w:type="dxa"/>
          </w:tcPr>
          <w:p w14:paraId="1C89CE9B" w14:textId="77777777" w:rsidR="00986FDA" w:rsidRDefault="00986FDA" w:rsidP="00916BFE">
            <w:pPr>
              <w:pStyle w:val="TableNote"/>
              <w:keepNext/>
              <w:spacing w:before="40" w:after="40"/>
              <w:rPr>
                <w:sz w:val="17"/>
                <w:szCs w:val="17"/>
              </w:rPr>
            </w:pPr>
            <w:r>
              <w:rPr>
                <w:sz w:val="17"/>
                <w:szCs w:val="17"/>
              </w:rPr>
              <w:t>(c) to (f)</w:t>
            </w:r>
          </w:p>
        </w:tc>
        <w:tc>
          <w:tcPr>
            <w:tcW w:w="13217" w:type="dxa"/>
          </w:tcPr>
          <w:p w14:paraId="6DC7DFBB" w14:textId="77777777" w:rsidR="00986FDA" w:rsidRDefault="00986FDA" w:rsidP="00916BFE">
            <w:pPr>
              <w:pStyle w:val="TableNote"/>
              <w:keepNext/>
              <w:spacing w:before="40" w:after="40"/>
              <w:rPr>
                <w:sz w:val="17"/>
                <w:szCs w:val="17"/>
              </w:rPr>
            </w:pPr>
            <w:r>
              <w:rPr>
                <w:i/>
                <w:sz w:val="17"/>
                <w:szCs w:val="17"/>
              </w:rPr>
              <w:t>Carrying values of items</w:t>
            </w:r>
            <w:r>
              <w:rPr>
                <w:sz w:val="17"/>
                <w:szCs w:val="17"/>
              </w:rPr>
              <w:t>: The breakdown of regulatory categories in columns (c) to (f) corresponds to the breakdown prescribed in the rest of this document:-</w:t>
            </w:r>
          </w:p>
          <w:p w14:paraId="27DEF774" w14:textId="77777777" w:rsidR="00986FDA" w:rsidRDefault="00986FDA" w:rsidP="008D652E">
            <w:pPr>
              <w:pStyle w:val="TableNote"/>
              <w:keepNext/>
              <w:numPr>
                <w:ilvl w:val="0"/>
                <w:numId w:val="16"/>
              </w:numPr>
              <w:tabs>
                <w:tab w:val="left" w:pos="317"/>
              </w:tabs>
              <w:spacing w:before="40" w:after="40"/>
              <w:ind w:left="317" w:hanging="317"/>
              <w:rPr>
                <w:sz w:val="17"/>
                <w:szCs w:val="17"/>
              </w:rPr>
            </w:pPr>
            <w:r>
              <w:rPr>
                <w:sz w:val="17"/>
                <w:szCs w:val="17"/>
              </w:rPr>
              <w:t xml:space="preserve">column (c) corresponds to the carrying values of items (other than OBS items) reported in Part III; </w:t>
            </w:r>
          </w:p>
          <w:p w14:paraId="2FC7F3FC" w14:textId="77777777" w:rsidR="00986FDA" w:rsidRDefault="00986FDA" w:rsidP="008D652E">
            <w:pPr>
              <w:pStyle w:val="TableNote"/>
              <w:keepNext/>
              <w:numPr>
                <w:ilvl w:val="0"/>
                <w:numId w:val="16"/>
              </w:numPr>
              <w:tabs>
                <w:tab w:val="left" w:pos="317"/>
              </w:tabs>
              <w:spacing w:before="40" w:after="40"/>
              <w:ind w:left="317" w:hanging="317"/>
              <w:rPr>
                <w:sz w:val="17"/>
                <w:szCs w:val="17"/>
              </w:rPr>
            </w:pPr>
            <w:r>
              <w:rPr>
                <w:sz w:val="17"/>
                <w:szCs w:val="17"/>
              </w:rPr>
              <w:t xml:space="preserve">column (d) corresponds to the carrying values of items (other than OBS items) reported in Part IV; </w:t>
            </w:r>
          </w:p>
          <w:p w14:paraId="24E7D208" w14:textId="77777777" w:rsidR="00986FDA" w:rsidRDefault="00986FDA" w:rsidP="008D652E">
            <w:pPr>
              <w:pStyle w:val="TableNote"/>
              <w:keepNext/>
              <w:numPr>
                <w:ilvl w:val="0"/>
                <w:numId w:val="16"/>
              </w:numPr>
              <w:tabs>
                <w:tab w:val="left" w:pos="317"/>
              </w:tabs>
              <w:spacing w:before="40" w:after="40"/>
              <w:ind w:left="317" w:hanging="317"/>
              <w:rPr>
                <w:sz w:val="17"/>
                <w:szCs w:val="17"/>
              </w:rPr>
            </w:pPr>
            <w:r>
              <w:rPr>
                <w:sz w:val="17"/>
                <w:szCs w:val="17"/>
              </w:rPr>
              <w:t xml:space="preserve">column (e) corresponds to the carrying values of items in the banking book (other than OBS items) reported in Part V; and </w:t>
            </w:r>
          </w:p>
          <w:p w14:paraId="6C713B52" w14:textId="48E5F185" w:rsidR="00986FDA" w:rsidRDefault="00986FDA" w:rsidP="008D652E">
            <w:pPr>
              <w:pStyle w:val="TableNote"/>
              <w:keepNext/>
              <w:numPr>
                <w:ilvl w:val="0"/>
                <w:numId w:val="16"/>
              </w:numPr>
              <w:tabs>
                <w:tab w:val="left" w:pos="317"/>
              </w:tabs>
              <w:spacing w:before="40" w:after="40"/>
              <w:ind w:left="317" w:hanging="317"/>
              <w:rPr>
                <w:sz w:val="17"/>
                <w:szCs w:val="17"/>
              </w:rPr>
            </w:pPr>
            <w:r>
              <w:rPr>
                <w:sz w:val="17"/>
                <w:szCs w:val="17"/>
              </w:rPr>
              <w:t xml:space="preserve">column (f) corresponds to the carrying values of items (other than OBS items) reported in Part VI and Part IVA. </w:t>
            </w:r>
          </w:p>
          <w:p w14:paraId="4EFD9E64" w14:textId="77777777" w:rsidR="00986FDA" w:rsidRDefault="00986FDA" w:rsidP="00916BFE">
            <w:pPr>
              <w:pStyle w:val="TableNote"/>
              <w:keepNext/>
              <w:spacing w:before="40" w:after="40"/>
              <w:rPr>
                <w:sz w:val="17"/>
                <w:szCs w:val="17"/>
              </w:rPr>
            </w:pPr>
            <w:r>
              <w:rPr>
                <w:sz w:val="17"/>
                <w:szCs w:val="17"/>
              </w:rPr>
              <w:t>Where a single item attracts capital charges according to the risk frameworks for more than one risk category, it should be reported in all the relevant columns of risk categories.  An example could be where assets/liabilities arising from derivative contracts held in the regulatory trading book are related to both column (d) (subject to capital charge for default risk exposure) and column (f) (subject to capital charge for market risk exposure) calculation thus the sum of the values in column (c) to (g) may not equal the value in column (b).  Similarly, where the amount subject to such double counting (i.e. disclosed in two or more different columns) results in a material variance between the value in column (b) and the sum of values in columns (c) to (g), an AI should provide the reasons in the accompanying narrative.</w:t>
            </w:r>
          </w:p>
        </w:tc>
      </w:tr>
      <w:tr w:rsidR="00986FDA" w14:paraId="70A19FCF" w14:textId="77777777" w:rsidTr="00916BFE">
        <w:trPr>
          <w:trHeight w:val="321"/>
        </w:trPr>
        <w:tc>
          <w:tcPr>
            <w:tcW w:w="817" w:type="dxa"/>
          </w:tcPr>
          <w:p w14:paraId="3C7B7B1E" w14:textId="77777777" w:rsidR="00986FDA" w:rsidRDefault="00986FDA" w:rsidP="00916BFE">
            <w:pPr>
              <w:pStyle w:val="TableNote"/>
              <w:keepNext/>
              <w:spacing w:before="40" w:after="40"/>
              <w:rPr>
                <w:sz w:val="17"/>
                <w:szCs w:val="17"/>
              </w:rPr>
            </w:pPr>
            <w:r>
              <w:rPr>
                <w:sz w:val="17"/>
                <w:szCs w:val="17"/>
              </w:rPr>
              <w:t>(g)</w:t>
            </w:r>
          </w:p>
        </w:tc>
        <w:tc>
          <w:tcPr>
            <w:tcW w:w="13217" w:type="dxa"/>
          </w:tcPr>
          <w:p w14:paraId="682F10BA" w14:textId="77777777" w:rsidR="00986FDA" w:rsidRDefault="00986FDA" w:rsidP="00916BFE">
            <w:pPr>
              <w:pStyle w:val="TableNote"/>
              <w:keepNext/>
              <w:spacing w:before="40" w:after="40"/>
              <w:rPr>
                <w:sz w:val="17"/>
                <w:szCs w:val="17"/>
              </w:rPr>
            </w:pPr>
            <w:r>
              <w:rPr>
                <w:i/>
                <w:sz w:val="17"/>
                <w:szCs w:val="17"/>
              </w:rPr>
              <w:t>Carrying values of items</w:t>
            </w:r>
            <w:r>
              <w:rPr>
                <w:rFonts w:cs="Segoe UI"/>
                <w:i/>
                <w:sz w:val="17"/>
                <w:lang w:eastAsia="en-GB"/>
              </w:rPr>
              <w:t xml:space="preserve"> not subject to capital requirements or subject to deduction from capital</w:t>
            </w:r>
            <w:r>
              <w:rPr>
                <w:rFonts w:cs="Segoe UI"/>
                <w:sz w:val="17"/>
                <w:lang w:eastAsia="en-GB"/>
              </w:rPr>
              <w:t>:</w:t>
            </w:r>
            <w:r>
              <w:rPr>
                <w:sz w:val="17"/>
                <w:szCs w:val="17"/>
              </w:rPr>
              <w:t xml:space="preserve"> Column (g) includes amounts not subject to capital requirements according to the BCR or subject to deductions from regulatory capital.  Elements which are deducted from the AI’s regulatory capital (e.g. goodwill, intangible assets, deferred tax assets) are to be included in column (g), taking into consideration the different thresholds that apply where relevant.</w:t>
            </w:r>
            <w:r>
              <w:rPr>
                <w:sz w:val="17"/>
                <w:szCs w:val="17"/>
                <w:lang w:eastAsia="en-GB"/>
              </w:rPr>
              <w:t xml:space="preserve"> </w:t>
            </w:r>
          </w:p>
        </w:tc>
      </w:tr>
      <w:tr w:rsidR="00986FDA" w14:paraId="65B0A2B2" w14:textId="77777777" w:rsidTr="00916BFE">
        <w:tc>
          <w:tcPr>
            <w:tcW w:w="14034" w:type="dxa"/>
            <w:gridSpan w:val="2"/>
            <w:shd w:val="clear" w:color="auto" w:fill="F2F2F2"/>
          </w:tcPr>
          <w:p w14:paraId="037CCC27" w14:textId="77777777" w:rsidR="00986FDA" w:rsidRDefault="00986FDA" w:rsidP="00916BFE">
            <w:pPr>
              <w:pStyle w:val="TableNote"/>
              <w:keepNext/>
              <w:spacing w:before="40" w:after="40"/>
              <w:rPr>
                <w:rFonts w:eastAsia="新細明體"/>
                <w:b/>
                <w:sz w:val="17"/>
                <w:lang w:eastAsia="en-GB"/>
              </w:rPr>
            </w:pPr>
            <w:r>
              <w:rPr>
                <w:rFonts w:eastAsia="新細明體"/>
                <w:b/>
                <w:sz w:val="17"/>
                <w:lang w:eastAsia="en-GB"/>
              </w:rPr>
              <w:t>Rows</w:t>
            </w:r>
          </w:p>
        </w:tc>
      </w:tr>
      <w:tr w:rsidR="00986FDA" w14:paraId="64EBBC70" w14:textId="77777777" w:rsidTr="00916BFE">
        <w:trPr>
          <w:trHeight w:val="249"/>
        </w:trPr>
        <w:tc>
          <w:tcPr>
            <w:tcW w:w="817" w:type="dxa"/>
          </w:tcPr>
          <w:p w14:paraId="445E7F26" w14:textId="77777777" w:rsidR="00986FDA" w:rsidRDefault="00986FDA" w:rsidP="00916BFE">
            <w:pPr>
              <w:pStyle w:val="TableNote"/>
              <w:keepNext/>
              <w:spacing w:before="40" w:after="40"/>
              <w:rPr>
                <w:rFonts w:cs="Segoe UI"/>
                <w:sz w:val="17"/>
                <w:szCs w:val="17"/>
              </w:rPr>
            </w:pPr>
            <w:r>
              <w:rPr>
                <w:rFonts w:cs="Segoe UI"/>
                <w:sz w:val="17"/>
                <w:szCs w:val="17"/>
              </w:rPr>
              <w:t>All</w:t>
            </w:r>
          </w:p>
        </w:tc>
        <w:tc>
          <w:tcPr>
            <w:tcW w:w="13217" w:type="dxa"/>
          </w:tcPr>
          <w:p w14:paraId="7840B1A3" w14:textId="77777777" w:rsidR="00986FDA" w:rsidRDefault="00986FDA" w:rsidP="00916BFE">
            <w:pPr>
              <w:pStyle w:val="TableNote"/>
              <w:keepNext/>
              <w:spacing w:before="40" w:after="40"/>
              <w:rPr>
                <w:rFonts w:cs="Segoe UI"/>
                <w:sz w:val="17"/>
                <w:szCs w:val="17"/>
              </w:rPr>
            </w:pPr>
            <w:r>
              <w:rPr>
                <w:sz w:val="17"/>
                <w:szCs w:val="17"/>
              </w:rPr>
              <w:t>The rows should strictly follow the balance sheet presentation used by the AI in its year-end financial statements.</w:t>
            </w:r>
          </w:p>
        </w:tc>
      </w:tr>
    </w:tbl>
    <w:p w14:paraId="69D2D4AC" w14:textId="41F61277" w:rsidR="00986FDA" w:rsidRDefault="00986FDA" w:rsidP="00986FDA">
      <w:pPr>
        <w:spacing w:before="40" w:after="40"/>
        <w:sectPr w:rsidR="00986FDA">
          <w:footerReference w:type="default" r:id="rId12"/>
          <w:pgSz w:w="16838" w:h="11906" w:orient="landscape" w:code="9"/>
          <w:pgMar w:top="1276" w:right="1440" w:bottom="1418" w:left="1440" w:header="851" w:footer="737" w:gutter="0"/>
          <w:cols w:space="425"/>
          <w:docGrid w:type="linesAndChars" w:linePitch="360"/>
        </w:sectPr>
      </w:pPr>
    </w:p>
    <w:p w14:paraId="32BA7DD8" w14:textId="76B2564F" w:rsidR="00A668A1" w:rsidRDefault="00A668A1" w:rsidP="00D60F3A">
      <w:pPr>
        <w:pStyle w:val="Heading2"/>
        <w:ind w:firstLine="596"/>
      </w:pPr>
      <w:r>
        <w:rPr>
          <w:szCs w:val="22"/>
        </w:rPr>
        <w:lastRenderedPageBreak/>
        <w:t>Template LI2: Main sources of differences between regulatory exposure amounts and carrying values in financial statements</w:t>
      </w:r>
    </w:p>
    <w:tbl>
      <w:tblPr>
        <w:tblW w:w="13892" w:type="dxa"/>
        <w:tblInd w:w="108"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552"/>
        <w:gridCol w:w="11340"/>
      </w:tblGrid>
      <w:tr w:rsidR="00A668A1" w14:paraId="66E51E2E" w14:textId="77777777" w:rsidTr="00916BFE">
        <w:tc>
          <w:tcPr>
            <w:tcW w:w="2552" w:type="dxa"/>
          </w:tcPr>
          <w:p w14:paraId="377A9F10" w14:textId="77777777" w:rsidR="00A668A1" w:rsidRDefault="00A668A1" w:rsidP="00916BFE">
            <w:pPr>
              <w:spacing w:before="40" w:after="40"/>
              <w:rPr>
                <w:noProof/>
                <w:sz w:val="17"/>
                <w:szCs w:val="17"/>
                <w:lang w:eastAsia="en-GB"/>
              </w:rPr>
            </w:pPr>
            <w:r>
              <w:rPr>
                <w:b/>
                <w:sz w:val="17"/>
                <w:szCs w:val="17"/>
                <w:lang w:eastAsia="en-GB"/>
              </w:rPr>
              <w:t>Purpose:</w:t>
            </w:r>
            <w:r>
              <w:rPr>
                <w:sz w:val="17"/>
                <w:szCs w:val="17"/>
                <w:lang w:eastAsia="en-GB"/>
              </w:rPr>
              <w:t xml:space="preserve"> </w:t>
            </w:r>
          </w:p>
        </w:tc>
        <w:tc>
          <w:tcPr>
            <w:tcW w:w="11340" w:type="dxa"/>
          </w:tcPr>
          <w:p w14:paraId="7634E93F" w14:textId="77777777" w:rsidR="00A668A1" w:rsidRDefault="00A668A1" w:rsidP="00916BFE">
            <w:pPr>
              <w:pStyle w:val="TableText"/>
              <w:jc w:val="both"/>
              <w:rPr>
                <w:lang w:eastAsia="en-GB"/>
              </w:rPr>
            </w:pPr>
            <w:r>
              <w:rPr>
                <w:lang w:eastAsia="en-GB"/>
              </w:rPr>
              <w:t>To provide information on the main sources of differences between the carrying values in financial statements and the exposure amounts used for the calculation of regulatory capital in respect of the assets and liabilities based on the scope of regulatory consolidation.</w:t>
            </w:r>
          </w:p>
        </w:tc>
      </w:tr>
      <w:tr w:rsidR="00A668A1" w14:paraId="6D55E1FC" w14:textId="77777777" w:rsidTr="00916BFE">
        <w:tc>
          <w:tcPr>
            <w:tcW w:w="2552" w:type="dxa"/>
          </w:tcPr>
          <w:p w14:paraId="7EC3B422" w14:textId="77777777" w:rsidR="00A668A1" w:rsidRDefault="00A668A1" w:rsidP="00916BFE">
            <w:pPr>
              <w:spacing w:before="40" w:after="40"/>
              <w:rPr>
                <w:b/>
                <w:sz w:val="17"/>
                <w:szCs w:val="17"/>
                <w:lang w:eastAsia="en-GB"/>
              </w:rPr>
            </w:pPr>
            <w:r>
              <w:rPr>
                <w:b/>
                <w:sz w:val="17"/>
                <w:szCs w:val="17"/>
                <w:lang w:eastAsia="en-GB"/>
              </w:rPr>
              <w:t xml:space="preserve">Scope of application: </w:t>
            </w:r>
          </w:p>
        </w:tc>
        <w:tc>
          <w:tcPr>
            <w:tcW w:w="11340" w:type="dxa"/>
          </w:tcPr>
          <w:p w14:paraId="34E26BFF" w14:textId="77777777" w:rsidR="00A668A1" w:rsidRDefault="00A668A1" w:rsidP="00916BFE">
            <w:pPr>
              <w:pStyle w:val="TableText"/>
              <w:jc w:val="both"/>
              <w:rPr>
                <w:b/>
                <w:lang w:eastAsia="en-GB"/>
              </w:rPr>
            </w:pPr>
            <w:r>
              <w:rPr>
                <w:rFonts w:eastAsia="新細明體"/>
                <w:lang w:eastAsia="en-GB"/>
              </w:rPr>
              <w:t>The template is mandatory for all AIs</w:t>
            </w:r>
            <w:r>
              <w:t xml:space="preserve"> </w:t>
            </w:r>
            <w:r>
              <w:rPr>
                <w:rFonts w:eastAsia="新細明體"/>
                <w:lang w:eastAsia="en-GB"/>
              </w:rPr>
              <w:t>incorporated in Hong Kong.</w:t>
            </w:r>
          </w:p>
        </w:tc>
      </w:tr>
      <w:tr w:rsidR="00A668A1" w14:paraId="63DD9439" w14:textId="77777777" w:rsidTr="00916BFE">
        <w:tc>
          <w:tcPr>
            <w:tcW w:w="2552" w:type="dxa"/>
          </w:tcPr>
          <w:p w14:paraId="12CB8446" w14:textId="77777777" w:rsidR="00A668A1" w:rsidRDefault="00A668A1" w:rsidP="00916BFE">
            <w:pPr>
              <w:spacing w:before="40" w:after="40"/>
              <w:rPr>
                <w:b/>
                <w:sz w:val="17"/>
                <w:szCs w:val="17"/>
                <w:lang w:eastAsia="en-GB"/>
              </w:rPr>
            </w:pPr>
            <w:r>
              <w:rPr>
                <w:b/>
                <w:sz w:val="17"/>
                <w:szCs w:val="17"/>
                <w:lang w:eastAsia="en-GB"/>
              </w:rPr>
              <w:t xml:space="preserve">Content: </w:t>
            </w:r>
          </w:p>
        </w:tc>
        <w:tc>
          <w:tcPr>
            <w:tcW w:w="11340" w:type="dxa"/>
          </w:tcPr>
          <w:p w14:paraId="249E317F" w14:textId="77777777" w:rsidR="00A668A1" w:rsidRDefault="00A668A1" w:rsidP="00916BFE">
            <w:pPr>
              <w:pStyle w:val="TableText"/>
              <w:jc w:val="both"/>
              <w:rPr>
                <w:lang w:eastAsia="en-GB"/>
              </w:rPr>
            </w:pPr>
            <w:r>
              <w:rPr>
                <w:lang w:eastAsia="en-GB"/>
              </w:rPr>
              <w:t>Carrying values (that correspond to values reported in financial statements but according to the scope of regulatory consolidation (rows 1 to 3) and amounts considered for regulatory exposure purposes (row N)).</w:t>
            </w:r>
          </w:p>
        </w:tc>
      </w:tr>
      <w:tr w:rsidR="00A668A1" w14:paraId="50D71E18" w14:textId="77777777" w:rsidTr="00916BFE">
        <w:tc>
          <w:tcPr>
            <w:tcW w:w="2552" w:type="dxa"/>
          </w:tcPr>
          <w:p w14:paraId="468C4CA9" w14:textId="77777777" w:rsidR="00A668A1" w:rsidRDefault="00A668A1" w:rsidP="00916BFE">
            <w:pPr>
              <w:spacing w:before="40" w:after="40"/>
              <w:rPr>
                <w:sz w:val="17"/>
                <w:szCs w:val="17"/>
                <w:lang w:eastAsia="en-GB"/>
              </w:rPr>
            </w:pPr>
            <w:r>
              <w:rPr>
                <w:b/>
                <w:sz w:val="17"/>
                <w:szCs w:val="17"/>
                <w:lang w:eastAsia="en-GB"/>
              </w:rPr>
              <w:t>Frequency:</w:t>
            </w:r>
            <w:r>
              <w:rPr>
                <w:sz w:val="17"/>
                <w:szCs w:val="17"/>
                <w:lang w:eastAsia="en-GB"/>
              </w:rPr>
              <w:t xml:space="preserve"> </w:t>
            </w:r>
          </w:p>
        </w:tc>
        <w:tc>
          <w:tcPr>
            <w:tcW w:w="11340" w:type="dxa"/>
          </w:tcPr>
          <w:p w14:paraId="0F65D633" w14:textId="77777777" w:rsidR="00A668A1" w:rsidRDefault="00A668A1" w:rsidP="00916BFE">
            <w:pPr>
              <w:pStyle w:val="TableText"/>
              <w:jc w:val="both"/>
              <w:rPr>
                <w:lang w:eastAsia="en-GB"/>
              </w:rPr>
            </w:pPr>
            <w:r>
              <w:rPr>
                <w:lang w:eastAsia="en-GB"/>
              </w:rPr>
              <w:t>Annual.</w:t>
            </w:r>
          </w:p>
        </w:tc>
      </w:tr>
      <w:tr w:rsidR="00A668A1" w14:paraId="06964786" w14:textId="77777777" w:rsidTr="00916BFE">
        <w:tc>
          <w:tcPr>
            <w:tcW w:w="2552" w:type="dxa"/>
          </w:tcPr>
          <w:p w14:paraId="67AA6811" w14:textId="77777777" w:rsidR="00A668A1" w:rsidRDefault="00A668A1" w:rsidP="00916BFE">
            <w:pPr>
              <w:spacing w:before="40" w:after="40"/>
              <w:rPr>
                <w:sz w:val="17"/>
                <w:szCs w:val="17"/>
                <w:lang w:eastAsia="en-GB"/>
              </w:rPr>
            </w:pPr>
            <w:r>
              <w:rPr>
                <w:b/>
                <w:sz w:val="17"/>
                <w:szCs w:val="17"/>
                <w:lang w:eastAsia="en-GB"/>
              </w:rPr>
              <w:t>Format:</w:t>
            </w:r>
            <w:r>
              <w:rPr>
                <w:sz w:val="17"/>
                <w:szCs w:val="17"/>
                <w:lang w:eastAsia="en-GB"/>
              </w:rPr>
              <w:t xml:space="preserve"> </w:t>
            </w:r>
          </w:p>
        </w:tc>
        <w:tc>
          <w:tcPr>
            <w:tcW w:w="11340" w:type="dxa"/>
          </w:tcPr>
          <w:p w14:paraId="0F673CDB" w14:textId="77777777" w:rsidR="00A668A1" w:rsidRDefault="00A668A1" w:rsidP="00916BFE">
            <w:pPr>
              <w:pStyle w:val="TableText"/>
              <w:jc w:val="both"/>
              <w:rPr>
                <w:lang w:eastAsia="en-GB"/>
              </w:rPr>
            </w:pPr>
            <w:r>
              <w:rPr>
                <w:lang w:eastAsia="en-GB"/>
              </w:rPr>
              <w:t>Flexible.</w:t>
            </w:r>
          </w:p>
        </w:tc>
      </w:tr>
      <w:tr w:rsidR="00A668A1" w14:paraId="79FB0F05" w14:textId="77777777" w:rsidTr="00916BFE">
        <w:tc>
          <w:tcPr>
            <w:tcW w:w="2552" w:type="dxa"/>
          </w:tcPr>
          <w:p w14:paraId="4E42885D" w14:textId="77777777" w:rsidR="00A668A1" w:rsidRDefault="00A668A1" w:rsidP="00916BFE">
            <w:pPr>
              <w:spacing w:before="40" w:after="40"/>
              <w:rPr>
                <w:b/>
                <w:sz w:val="17"/>
                <w:szCs w:val="17"/>
                <w:lang w:eastAsia="en-GB"/>
              </w:rPr>
            </w:pPr>
            <w:r>
              <w:rPr>
                <w:rFonts w:eastAsia="新細明體"/>
                <w:b/>
                <w:sz w:val="17"/>
                <w:szCs w:val="17"/>
                <w:lang w:eastAsia="en-GB"/>
              </w:rPr>
              <w:t>Accompanying narrative</w:t>
            </w:r>
            <w:r>
              <w:rPr>
                <w:rFonts w:eastAsia="新細明體"/>
                <w:sz w:val="17"/>
                <w:szCs w:val="17"/>
                <w:lang w:eastAsia="en-GB"/>
              </w:rPr>
              <w:t>:</w:t>
            </w:r>
          </w:p>
        </w:tc>
        <w:tc>
          <w:tcPr>
            <w:tcW w:w="11340" w:type="dxa"/>
          </w:tcPr>
          <w:p w14:paraId="697649D3" w14:textId="7B186FDD" w:rsidR="00A668A1" w:rsidRDefault="00D62DE9" w:rsidP="00916BFE">
            <w:pPr>
              <w:pStyle w:val="TableText"/>
              <w:jc w:val="both"/>
              <w:rPr>
                <w:b/>
                <w:lang w:eastAsia="en-GB"/>
              </w:rPr>
            </w:pPr>
            <w:r>
              <w:rPr>
                <w:lang w:eastAsia="en-GB"/>
              </w:rPr>
              <w:t>As set out in T</w:t>
            </w:r>
            <w:r w:rsidR="00A668A1">
              <w:rPr>
                <w:lang w:eastAsia="en-GB"/>
              </w:rPr>
              <w:t>able LIA.</w:t>
            </w:r>
          </w:p>
        </w:tc>
      </w:tr>
      <w:tr w:rsidR="00A668A1" w14:paraId="28B9EE83" w14:textId="77777777" w:rsidTr="00916BFE">
        <w:tc>
          <w:tcPr>
            <w:tcW w:w="2552" w:type="dxa"/>
          </w:tcPr>
          <w:p w14:paraId="2F7C3E2F" w14:textId="77777777" w:rsidR="00A668A1" w:rsidRDefault="00A668A1" w:rsidP="00916BFE">
            <w:pPr>
              <w:spacing w:before="40" w:after="40"/>
              <w:rPr>
                <w:rFonts w:eastAsia="新細明體"/>
                <w:b/>
                <w:sz w:val="17"/>
                <w:szCs w:val="17"/>
                <w:lang w:eastAsia="en-GB"/>
              </w:rPr>
            </w:pPr>
            <w:r>
              <w:rPr>
                <w:rFonts w:eastAsia="新細明體"/>
                <w:b/>
                <w:sz w:val="17"/>
                <w:szCs w:val="17"/>
                <w:lang w:eastAsia="en-GB"/>
              </w:rPr>
              <w:t>Corresponding BDR section:</w:t>
            </w:r>
          </w:p>
        </w:tc>
        <w:tc>
          <w:tcPr>
            <w:tcW w:w="11340" w:type="dxa"/>
          </w:tcPr>
          <w:p w14:paraId="4C6A6538" w14:textId="77777777" w:rsidR="00A668A1" w:rsidRDefault="00A668A1" w:rsidP="00916BFE">
            <w:pPr>
              <w:pStyle w:val="TableText"/>
              <w:jc w:val="both"/>
              <w:rPr>
                <w:lang w:eastAsia="en-GB"/>
              </w:rPr>
            </w:pPr>
            <w:r>
              <w:rPr>
                <w:lang w:eastAsia="en-GB"/>
              </w:rPr>
              <w:t>16E</w:t>
            </w:r>
          </w:p>
        </w:tc>
      </w:tr>
    </w:tbl>
    <w:p w14:paraId="7FFFD0E8" w14:textId="77777777" w:rsidR="00A668A1" w:rsidRDefault="00A668A1" w:rsidP="00A668A1">
      <w:pPr>
        <w:spacing w:before="120" w:after="120"/>
        <w:rPr>
          <w:sz w:val="22"/>
        </w:rPr>
      </w:pP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141"/>
        <w:gridCol w:w="4536"/>
        <w:gridCol w:w="1701"/>
        <w:gridCol w:w="1772"/>
        <w:gridCol w:w="1772"/>
        <w:gridCol w:w="1772"/>
        <w:gridCol w:w="1772"/>
      </w:tblGrid>
      <w:tr w:rsidR="00A668A1" w14:paraId="5576D658" w14:textId="77777777" w:rsidTr="00916BFE">
        <w:trPr>
          <w:trHeight w:val="315"/>
        </w:trPr>
        <w:tc>
          <w:tcPr>
            <w:tcW w:w="426" w:type="dxa"/>
            <w:tcBorders>
              <w:top w:val="nil"/>
              <w:left w:val="nil"/>
              <w:bottom w:val="nil"/>
              <w:right w:val="nil"/>
            </w:tcBorders>
            <w:shd w:val="clear" w:color="auto" w:fill="FFFFFF"/>
          </w:tcPr>
          <w:p w14:paraId="13FE52C3" w14:textId="77777777" w:rsidR="00A668A1" w:rsidRDefault="00A668A1" w:rsidP="00916BFE">
            <w:pPr>
              <w:snapToGrid w:val="0"/>
              <w:jc w:val="center"/>
              <w:rPr>
                <w:rFonts w:cs="Segoe UI"/>
                <w:sz w:val="17"/>
                <w:lang w:eastAsia="en-GB"/>
              </w:rPr>
            </w:pPr>
          </w:p>
        </w:tc>
        <w:tc>
          <w:tcPr>
            <w:tcW w:w="4677" w:type="dxa"/>
            <w:gridSpan w:val="2"/>
            <w:tcBorders>
              <w:top w:val="nil"/>
              <w:left w:val="nil"/>
              <w:bottom w:val="nil"/>
              <w:right w:val="single" w:sz="4" w:space="0" w:color="auto"/>
            </w:tcBorders>
            <w:shd w:val="clear" w:color="auto" w:fill="FFFFFF"/>
            <w:vAlign w:val="center"/>
          </w:tcPr>
          <w:p w14:paraId="1EB9CDB2" w14:textId="77777777" w:rsidR="00A668A1" w:rsidRDefault="00A668A1" w:rsidP="00916BFE">
            <w:pPr>
              <w:snapToGrid w:val="0"/>
              <w:jc w:val="center"/>
              <w:rPr>
                <w:rFonts w:cs="Segoe UI"/>
                <w:sz w:val="17"/>
                <w:lang w:eastAsia="en-GB"/>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914EABF" w14:textId="77777777" w:rsidR="00A668A1" w:rsidRDefault="00A668A1" w:rsidP="00916BFE">
            <w:pPr>
              <w:snapToGrid w:val="0"/>
              <w:jc w:val="center"/>
              <w:rPr>
                <w:rFonts w:cs="Segoe UI"/>
                <w:sz w:val="17"/>
                <w:lang w:eastAsia="en-GB"/>
              </w:rPr>
            </w:pPr>
            <w:r>
              <w:rPr>
                <w:rFonts w:cs="Segoe UI"/>
                <w:sz w:val="17"/>
                <w:lang w:eastAsia="en-GB"/>
              </w:rPr>
              <w:t>(a)</w:t>
            </w:r>
          </w:p>
        </w:tc>
        <w:tc>
          <w:tcPr>
            <w:tcW w:w="1772" w:type="dxa"/>
            <w:tcBorders>
              <w:top w:val="single" w:sz="4" w:space="0" w:color="auto"/>
              <w:left w:val="single" w:sz="4" w:space="0" w:color="auto"/>
              <w:bottom w:val="single" w:sz="4" w:space="0" w:color="auto"/>
              <w:right w:val="single" w:sz="4" w:space="0" w:color="auto"/>
            </w:tcBorders>
            <w:shd w:val="clear" w:color="auto" w:fill="FFFFFF"/>
            <w:vAlign w:val="center"/>
          </w:tcPr>
          <w:p w14:paraId="127E8D5D" w14:textId="77777777" w:rsidR="00A668A1" w:rsidRDefault="00A668A1" w:rsidP="00916BFE">
            <w:pPr>
              <w:snapToGrid w:val="0"/>
              <w:jc w:val="center"/>
              <w:rPr>
                <w:rFonts w:cs="Segoe UI"/>
                <w:sz w:val="17"/>
                <w:lang w:eastAsia="en-GB"/>
              </w:rPr>
            </w:pPr>
            <w:r>
              <w:rPr>
                <w:rFonts w:cs="Segoe UI"/>
                <w:sz w:val="17"/>
                <w:lang w:eastAsia="en-GB"/>
              </w:rPr>
              <w:t>(b)</w:t>
            </w:r>
          </w:p>
        </w:tc>
        <w:tc>
          <w:tcPr>
            <w:tcW w:w="1772" w:type="dxa"/>
            <w:tcBorders>
              <w:top w:val="single" w:sz="4" w:space="0" w:color="auto"/>
              <w:left w:val="single" w:sz="4" w:space="0" w:color="auto"/>
              <w:bottom w:val="single" w:sz="4" w:space="0" w:color="auto"/>
              <w:right w:val="single" w:sz="4" w:space="0" w:color="auto"/>
            </w:tcBorders>
            <w:shd w:val="clear" w:color="auto" w:fill="FFFFFF"/>
            <w:vAlign w:val="center"/>
          </w:tcPr>
          <w:p w14:paraId="1C01D273" w14:textId="77777777" w:rsidR="00A668A1" w:rsidRDefault="00A668A1" w:rsidP="00916BFE">
            <w:pPr>
              <w:snapToGrid w:val="0"/>
              <w:jc w:val="center"/>
              <w:rPr>
                <w:rFonts w:cs="Segoe UI"/>
                <w:sz w:val="17"/>
                <w:lang w:eastAsia="en-GB"/>
              </w:rPr>
            </w:pPr>
            <w:r>
              <w:rPr>
                <w:rFonts w:cs="Segoe UI"/>
                <w:sz w:val="17"/>
                <w:lang w:eastAsia="en-GB"/>
              </w:rPr>
              <w:t>(c)</w:t>
            </w:r>
          </w:p>
        </w:tc>
        <w:tc>
          <w:tcPr>
            <w:tcW w:w="1772" w:type="dxa"/>
            <w:tcBorders>
              <w:top w:val="single" w:sz="4" w:space="0" w:color="auto"/>
              <w:left w:val="single" w:sz="4" w:space="0" w:color="auto"/>
              <w:bottom w:val="single" w:sz="4" w:space="0" w:color="auto"/>
              <w:right w:val="single" w:sz="4" w:space="0" w:color="auto"/>
            </w:tcBorders>
            <w:shd w:val="clear" w:color="auto" w:fill="FFFFFF"/>
            <w:vAlign w:val="center"/>
          </w:tcPr>
          <w:p w14:paraId="0CF338F5" w14:textId="77777777" w:rsidR="00A668A1" w:rsidRDefault="00A668A1" w:rsidP="00916BFE">
            <w:pPr>
              <w:snapToGrid w:val="0"/>
              <w:jc w:val="center"/>
              <w:rPr>
                <w:rFonts w:cs="Segoe UI"/>
                <w:sz w:val="17"/>
                <w:lang w:eastAsia="en-GB"/>
              </w:rPr>
            </w:pPr>
            <w:r>
              <w:rPr>
                <w:rFonts w:cs="Segoe UI"/>
                <w:sz w:val="17"/>
                <w:lang w:eastAsia="en-GB"/>
              </w:rPr>
              <w:t>(d)</w:t>
            </w:r>
          </w:p>
        </w:tc>
        <w:tc>
          <w:tcPr>
            <w:tcW w:w="1772" w:type="dxa"/>
            <w:tcBorders>
              <w:top w:val="single" w:sz="4" w:space="0" w:color="auto"/>
              <w:left w:val="single" w:sz="4" w:space="0" w:color="auto"/>
              <w:bottom w:val="single" w:sz="4" w:space="0" w:color="auto"/>
              <w:right w:val="single" w:sz="4" w:space="0" w:color="auto"/>
            </w:tcBorders>
            <w:shd w:val="clear" w:color="auto" w:fill="FFFFFF"/>
            <w:vAlign w:val="center"/>
          </w:tcPr>
          <w:p w14:paraId="69DCC4CD" w14:textId="77777777" w:rsidR="00A668A1" w:rsidRDefault="00A668A1" w:rsidP="00916BFE">
            <w:pPr>
              <w:snapToGrid w:val="0"/>
              <w:jc w:val="center"/>
              <w:rPr>
                <w:rFonts w:cs="Segoe UI"/>
                <w:sz w:val="17"/>
                <w:lang w:eastAsia="en-GB"/>
              </w:rPr>
            </w:pPr>
            <w:r>
              <w:rPr>
                <w:rFonts w:cs="Segoe UI"/>
                <w:sz w:val="17"/>
                <w:lang w:eastAsia="en-GB"/>
              </w:rPr>
              <w:t>(e)</w:t>
            </w:r>
          </w:p>
        </w:tc>
      </w:tr>
      <w:tr w:rsidR="00A668A1" w14:paraId="55D03B0B" w14:textId="77777777" w:rsidTr="00916BFE">
        <w:trPr>
          <w:trHeight w:val="134"/>
        </w:trPr>
        <w:tc>
          <w:tcPr>
            <w:tcW w:w="426" w:type="dxa"/>
            <w:tcBorders>
              <w:top w:val="nil"/>
              <w:left w:val="nil"/>
              <w:bottom w:val="nil"/>
              <w:right w:val="nil"/>
            </w:tcBorders>
            <w:shd w:val="clear" w:color="auto" w:fill="FFFFFF"/>
          </w:tcPr>
          <w:p w14:paraId="4B09E10F" w14:textId="77777777" w:rsidR="00A668A1" w:rsidRDefault="00A668A1" w:rsidP="00916BFE">
            <w:pPr>
              <w:snapToGrid w:val="0"/>
              <w:rPr>
                <w:rFonts w:cs="Segoe UI"/>
                <w:sz w:val="17"/>
                <w:lang w:eastAsia="en-GB"/>
              </w:rPr>
            </w:pPr>
          </w:p>
        </w:tc>
        <w:tc>
          <w:tcPr>
            <w:tcW w:w="4677" w:type="dxa"/>
            <w:gridSpan w:val="2"/>
            <w:tcBorders>
              <w:top w:val="nil"/>
              <w:left w:val="nil"/>
              <w:bottom w:val="nil"/>
              <w:right w:val="single" w:sz="4" w:space="0" w:color="auto"/>
            </w:tcBorders>
            <w:shd w:val="clear" w:color="auto" w:fill="FFFFFF"/>
            <w:vAlign w:val="bottom"/>
          </w:tcPr>
          <w:p w14:paraId="550BD64A" w14:textId="77777777" w:rsidR="00A668A1" w:rsidRDefault="00A668A1" w:rsidP="00916BFE">
            <w:pPr>
              <w:snapToGrid w:val="0"/>
              <w:rPr>
                <w:rFonts w:cs="Segoe UI"/>
                <w:sz w:val="17"/>
                <w:lang w:eastAsia="en-GB"/>
              </w:rPr>
            </w:pPr>
          </w:p>
        </w:tc>
        <w:tc>
          <w:tcPr>
            <w:tcW w:w="1701" w:type="dxa"/>
            <w:vMerge w:val="restart"/>
            <w:tcBorders>
              <w:top w:val="single" w:sz="4" w:space="0" w:color="auto"/>
              <w:left w:val="single" w:sz="4" w:space="0" w:color="auto"/>
              <w:right w:val="single" w:sz="4" w:space="0" w:color="auto"/>
            </w:tcBorders>
            <w:shd w:val="clear" w:color="auto" w:fill="FFFFFF"/>
            <w:vAlign w:val="center"/>
          </w:tcPr>
          <w:p w14:paraId="4228A68E" w14:textId="77777777" w:rsidR="00A668A1" w:rsidRDefault="00A668A1" w:rsidP="00916BFE">
            <w:pPr>
              <w:snapToGrid w:val="0"/>
              <w:jc w:val="center"/>
              <w:rPr>
                <w:rFonts w:cs="Segoe UI"/>
                <w:sz w:val="17"/>
                <w:lang w:eastAsia="en-GB"/>
              </w:rPr>
            </w:pPr>
            <w:r>
              <w:rPr>
                <w:rFonts w:cs="Segoe UI"/>
                <w:sz w:val="17"/>
                <w:lang w:eastAsia="en-GB"/>
              </w:rPr>
              <w:t>Total</w:t>
            </w:r>
          </w:p>
        </w:tc>
        <w:tc>
          <w:tcPr>
            <w:tcW w:w="7088"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C8A6EFA" w14:textId="77777777" w:rsidR="00A668A1" w:rsidRDefault="00A668A1" w:rsidP="00916BFE">
            <w:pPr>
              <w:snapToGrid w:val="0"/>
              <w:jc w:val="center"/>
              <w:rPr>
                <w:rFonts w:cs="Segoe UI"/>
                <w:sz w:val="17"/>
                <w:lang w:eastAsia="en-GB"/>
              </w:rPr>
            </w:pPr>
            <w:r>
              <w:rPr>
                <w:rFonts w:cs="Segoe UI"/>
                <w:sz w:val="17"/>
                <w:lang w:eastAsia="en-GB"/>
              </w:rPr>
              <w:t xml:space="preserve">Items subject to: </w:t>
            </w:r>
          </w:p>
        </w:tc>
      </w:tr>
      <w:tr w:rsidR="00A668A1" w14:paraId="576E13F0" w14:textId="77777777" w:rsidTr="00916BFE">
        <w:trPr>
          <w:trHeight w:val="321"/>
        </w:trPr>
        <w:tc>
          <w:tcPr>
            <w:tcW w:w="426" w:type="dxa"/>
            <w:tcBorders>
              <w:top w:val="nil"/>
              <w:left w:val="nil"/>
              <w:bottom w:val="single" w:sz="4" w:space="0" w:color="auto"/>
              <w:right w:val="nil"/>
            </w:tcBorders>
            <w:shd w:val="clear" w:color="auto" w:fill="FFFFFF"/>
          </w:tcPr>
          <w:p w14:paraId="3076071D" w14:textId="77777777" w:rsidR="00A668A1" w:rsidRDefault="00A668A1" w:rsidP="00916BFE">
            <w:pPr>
              <w:snapToGrid w:val="0"/>
              <w:jc w:val="center"/>
              <w:rPr>
                <w:rFonts w:cs="Segoe UI"/>
                <w:sz w:val="17"/>
                <w:lang w:eastAsia="en-GB"/>
              </w:rPr>
            </w:pPr>
          </w:p>
        </w:tc>
        <w:tc>
          <w:tcPr>
            <w:tcW w:w="4677" w:type="dxa"/>
            <w:gridSpan w:val="2"/>
            <w:tcBorders>
              <w:top w:val="nil"/>
              <w:left w:val="nil"/>
              <w:bottom w:val="single" w:sz="4" w:space="0" w:color="auto"/>
              <w:right w:val="single" w:sz="4" w:space="0" w:color="auto"/>
            </w:tcBorders>
            <w:shd w:val="clear" w:color="auto" w:fill="FFFFFF"/>
            <w:vAlign w:val="center"/>
          </w:tcPr>
          <w:p w14:paraId="3AFBAF83" w14:textId="77777777" w:rsidR="00A668A1" w:rsidRDefault="00A668A1" w:rsidP="00916BFE">
            <w:pPr>
              <w:snapToGrid w:val="0"/>
              <w:jc w:val="center"/>
              <w:rPr>
                <w:rFonts w:cs="Segoe UI"/>
                <w:sz w:val="17"/>
                <w:lang w:eastAsia="en-GB"/>
              </w:rPr>
            </w:pPr>
          </w:p>
        </w:tc>
        <w:tc>
          <w:tcPr>
            <w:tcW w:w="1701" w:type="dxa"/>
            <w:vMerge/>
            <w:tcBorders>
              <w:left w:val="single" w:sz="4" w:space="0" w:color="auto"/>
              <w:bottom w:val="single" w:sz="4" w:space="0" w:color="auto"/>
              <w:right w:val="single" w:sz="4" w:space="0" w:color="auto"/>
            </w:tcBorders>
            <w:shd w:val="clear" w:color="auto" w:fill="FFFFFF"/>
            <w:vAlign w:val="center"/>
          </w:tcPr>
          <w:p w14:paraId="64891578" w14:textId="77777777" w:rsidR="00A668A1" w:rsidRDefault="00A668A1" w:rsidP="00916BFE">
            <w:pPr>
              <w:snapToGrid w:val="0"/>
              <w:jc w:val="center"/>
              <w:rPr>
                <w:rFonts w:cs="Segoe UI"/>
                <w:sz w:val="17"/>
                <w:lang w:eastAsia="en-GB"/>
              </w:rPr>
            </w:pPr>
          </w:p>
        </w:tc>
        <w:tc>
          <w:tcPr>
            <w:tcW w:w="1772" w:type="dxa"/>
            <w:tcBorders>
              <w:top w:val="single" w:sz="4" w:space="0" w:color="auto"/>
              <w:left w:val="single" w:sz="4" w:space="0" w:color="auto"/>
              <w:bottom w:val="single" w:sz="4" w:space="0" w:color="auto"/>
              <w:right w:val="single" w:sz="4" w:space="0" w:color="auto"/>
            </w:tcBorders>
            <w:shd w:val="clear" w:color="auto" w:fill="FFFFFF"/>
            <w:vAlign w:val="center"/>
          </w:tcPr>
          <w:p w14:paraId="7A099779" w14:textId="77777777" w:rsidR="00A668A1" w:rsidRDefault="00A668A1" w:rsidP="00916BFE">
            <w:pPr>
              <w:snapToGrid w:val="0"/>
              <w:jc w:val="center"/>
              <w:rPr>
                <w:rFonts w:cs="Segoe UI"/>
                <w:noProof/>
                <w:sz w:val="17"/>
                <w:lang w:eastAsia="en-GB"/>
              </w:rPr>
            </w:pPr>
            <w:r>
              <w:rPr>
                <w:rFonts w:cs="Segoe UI"/>
                <w:sz w:val="17"/>
                <w:lang w:eastAsia="en-GB"/>
              </w:rPr>
              <w:t>credit risk framework</w:t>
            </w:r>
          </w:p>
        </w:tc>
        <w:tc>
          <w:tcPr>
            <w:tcW w:w="1772" w:type="dxa"/>
            <w:tcBorders>
              <w:top w:val="single" w:sz="4" w:space="0" w:color="auto"/>
              <w:left w:val="single" w:sz="4" w:space="0" w:color="auto"/>
              <w:bottom w:val="single" w:sz="4" w:space="0" w:color="auto"/>
              <w:right w:val="single" w:sz="4" w:space="0" w:color="auto"/>
            </w:tcBorders>
            <w:shd w:val="clear" w:color="auto" w:fill="FFFFFF"/>
            <w:vAlign w:val="center"/>
          </w:tcPr>
          <w:p w14:paraId="5D04F8F6" w14:textId="77777777" w:rsidR="00A668A1" w:rsidRDefault="00A668A1" w:rsidP="00916BFE">
            <w:pPr>
              <w:snapToGrid w:val="0"/>
              <w:jc w:val="center"/>
              <w:rPr>
                <w:rFonts w:cs="Segoe UI"/>
                <w:noProof/>
                <w:sz w:val="17"/>
                <w:lang w:eastAsia="en-GB"/>
              </w:rPr>
            </w:pPr>
            <w:r>
              <w:rPr>
                <w:rFonts w:cs="Segoe UI"/>
                <w:sz w:val="17"/>
                <w:lang w:eastAsia="en-GB"/>
              </w:rPr>
              <w:t>securitization framework</w:t>
            </w:r>
          </w:p>
        </w:tc>
        <w:tc>
          <w:tcPr>
            <w:tcW w:w="1772" w:type="dxa"/>
            <w:tcBorders>
              <w:top w:val="single" w:sz="4" w:space="0" w:color="auto"/>
              <w:left w:val="single" w:sz="4" w:space="0" w:color="auto"/>
              <w:bottom w:val="single" w:sz="4" w:space="0" w:color="auto"/>
              <w:right w:val="single" w:sz="4" w:space="0" w:color="auto"/>
            </w:tcBorders>
            <w:shd w:val="clear" w:color="auto" w:fill="FFFFFF"/>
            <w:vAlign w:val="center"/>
          </w:tcPr>
          <w:p w14:paraId="22CFE6E3" w14:textId="77777777" w:rsidR="00A668A1" w:rsidRDefault="00A668A1" w:rsidP="00916BFE">
            <w:pPr>
              <w:snapToGrid w:val="0"/>
              <w:jc w:val="center"/>
              <w:rPr>
                <w:rFonts w:cs="Segoe UI"/>
                <w:noProof/>
                <w:sz w:val="17"/>
                <w:lang w:eastAsia="en-GB"/>
              </w:rPr>
            </w:pPr>
            <w:r>
              <w:rPr>
                <w:rFonts w:cs="Segoe UI"/>
                <w:sz w:val="17"/>
                <w:lang w:eastAsia="en-GB"/>
              </w:rPr>
              <w:t>counterparty credit risk framework</w:t>
            </w:r>
          </w:p>
        </w:tc>
        <w:tc>
          <w:tcPr>
            <w:tcW w:w="1772" w:type="dxa"/>
            <w:tcBorders>
              <w:top w:val="single" w:sz="4" w:space="0" w:color="auto"/>
              <w:left w:val="single" w:sz="4" w:space="0" w:color="auto"/>
              <w:bottom w:val="single" w:sz="4" w:space="0" w:color="auto"/>
              <w:right w:val="single" w:sz="4" w:space="0" w:color="auto"/>
            </w:tcBorders>
            <w:shd w:val="clear" w:color="auto" w:fill="FFFFFF"/>
            <w:vAlign w:val="center"/>
          </w:tcPr>
          <w:p w14:paraId="1CD94D10" w14:textId="77777777" w:rsidR="00A668A1" w:rsidRDefault="00A668A1" w:rsidP="00916BFE">
            <w:pPr>
              <w:snapToGrid w:val="0"/>
              <w:jc w:val="center"/>
              <w:rPr>
                <w:rFonts w:cs="Segoe UI"/>
                <w:noProof/>
                <w:sz w:val="17"/>
                <w:lang w:eastAsia="en-GB"/>
              </w:rPr>
            </w:pPr>
            <w:r>
              <w:rPr>
                <w:rFonts w:cs="Segoe UI"/>
                <w:sz w:val="17"/>
                <w:lang w:eastAsia="en-GB"/>
              </w:rPr>
              <w:t>market risk framework*</w:t>
            </w:r>
          </w:p>
        </w:tc>
      </w:tr>
      <w:tr w:rsidR="00A668A1" w14:paraId="33687484" w14:textId="77777777" w:rsidTr="00916BFE">
        <w:trPr>
          <w:trHeight w:val="216"/>
        </w:trPr>
        <w:tc>
          <w:tcPr>
            <w:tcW w:w="426" w:type="dxa"/>
            <w:tcBorders>
              <w:top w:val="single" w:sz="4" w:space="0" w:color="auto"/>
              <w:left w:val="nil"/>
              <w:bottom w:val="single" w:sz="4" w:space="0" w:color="BFBFBF"/>
              <w:right w:val="single" w:sz="4" w:space="0" w:color="auto"/>
            </w:tcBorders>
            <w:shd w:val="clear" w:color="auto" w:fill="FFFFFF"/>
          </w:tcPr>
          <w:p w14:paraId="34FFAFB6" w14:textId="77777777" w:rsidR="00A668A1" w:rsidRDefault="00A668A1" w:rsidP="00916BFE">
            <w:pPr>
              <w:snapToGrid w:val="0"/>
              <w:rPr>
                <w:rFonts w:cs="Segoe UI"/>
                <w:b/>
                <w:sz w:val="17"/>
                <w:lang w:eastAsia="en-GB"/>
              </w:rPr>
            </w:pPr>
            <w:r>
              <w:rPr>
                <w:rFonts w:cs="Segoe UI"/>
                <w:b/>
                <w:sz w:val="17"/>
                <w:lang w:eastAsia="en-GB"/>
              </w:rPr>
              <w:t>1</w:t>
            </w:r>
          </w:p>
        </w:tc>
        <w:tc>
          <w:tcPr>
            <w:tcW w:w="4677" w:type="dxa"/>
            <w:gridSpan w:val="2"/>
            <w:tcBorders>
              <w:top w:val="single" w:sz="4" w:space="0" w:color="auto"/>
              <w:left w:val="nil"/>
              <w:bottom w:val="single" w:sz="4" w:space="0" w:color="BFBFBF"/>
              <w:right w:val="single" w:sz="4" w:space="0" w:color="auto"/>
            </w:tcBorders>
            <w:shd w:val="clear" w:color="auto" w:fill="FFFFFF"/>
          </w:tcPr>
          <w:p w14:paraId="5004A492" w14:textId="16B2F0EC" w:rsidR="00A668A1" w:rsidRDefault="00A668A1" w:rsidP="00916BFE">
            <w:pPr>
              <w:snapToGrid w:val="0"/>
              <w:rPr>
                <w:rFonts w:cs="Segoe UI"/>
                <w:b/>
                <w:sz w:val="17"/>
                <w:lang w:eastAsia="en-GB"/>
              </w:rPr>
            </w:pPr>
            <w:r>
              <w:rPr>
                <w:rFonts w:cs="Segoe UI"/>
                <w:b/>
                <w:sz w:val="17"/>
                <w:lang w:eastAsia="en-GB"/>
              </w:rPr>
              <w:t>Asset carrying value amount under scope of re</w:t>
            </w:r>
            <w:r w:rsidR="00D62DE9">
              <w:rPr>
                <w:rFonts w:cs="Segoe UI"/>
                <w:b/>
                <w:sz w:val="17"/>
                <w:lang w:eastAsia="en-GB"/>
              </w:rPr>
              <w:t>gulatory consolidation (as per T</w:t>
            </w:r>
            <w:r>
              <w:rPr>
                <w:rFonts w:cs="Segoe UI"/>
                <w:b/>
                <w:sz w:val="17"/>
                <w:lang w:eastAsia="en-GB"/>
              </w:rPr>
              <w:t>emplate LI1)</w:t>
            </w:r>
          </w:p>
        </w:tc>
        <w:tc>
          <w:tcPr>
            <w:tcW w:w="1701" w:type="dxa"/>
            <w:tcBorders>
              <w:top w:val="single" w:sz="4" w:space="0" w:color="auto"/>
              <w:left w:val="single" w:sz="4" w:space="0" w:color="auto"/>
              <w:bottom w:val="single" w:sz="4" w:space="0" w:color="BFBFBF"/>
              <w:right w:val="single" w:sz="4" w:space="0" w:color="auto"/>
            </w:tcBorders>
          </w:tcPr>
          <w:p w14:paraId="5D2A4B81" w14:textId="77777777" w:rsidR="00A668A1" w:rsidRDefault="00A668A1" w:rsidP="00916BFE">
            <w:pPr>
              <w:snapToGrid w:val="0"/>
              <w:rPr>
                <w:rFonts w:cs="Segoe UI"/>
                <w:sz w:val="17"/>
                <w:lang w:eastAsia="en-GB"/>
              </w:rPr>
            </w:pPr>
          </w:p>
        </w:tc>
        <w:tc>
          <w:tcPr>
            <w:tcW w:w="1772" w:type="dxa"/>
            <w:tcBorders>
              <w:top w:val="single" w:sz="4" w:space="0" w:color="auto"/>
              <w:left w:val="single" w:sz="4" w:space="0" w:color="auto"/>
              <w:bottom w:val="single" w:sz="4" w:space="0" w:color="BFBFBF"/>
              <w:right w:val="single" w:sz="4" w:space="0" w:color="auto"/>
            </w:tcBorders>
            <w:vAlign w:val="bottom"/>
          </w:tcPr>
          <w:p w14:paraId="3A9F853B" w14:textId="77777777" w:rsidR="00A668A1" w:rsidRDefault="00A668A1" w:rsidP="00916BFE">
            <w:pPr>
              <w:snapToGrid w:val="0"/>
              <w:rPr>
                <w:rFonts w:cs="Segoe UI"/>
                <w:sz w:val="17"/>
                <w:lang w:eastAsia="en-GB"/>
              </w:rPr>
            </w:pPr>
          </w:p>
        </w:tc>
        <w:tc>
          <w:tcPr>
            <w:tcW w:w="1772" w:type="dxa"/>
            <w:tcBorders>
              <w:top w:val="single" w:sz="4" w:space="0" w:color="auto"/>
              <w:left w:val="single" w:sz="4" w:space="0" w:color="auto"/>
              <w:bottom w:val="single" w:sz="4" w:space="0" w:color="BFBFBF"/>
              <w:right w:val="single" w:sz="4" w:space="0" w:color="auto"/>
            </w:tcBorders>
            <w:vAlign w:val="bottom"/>
          </w:tcPr>
          <w:p w14:paraId="14C6FB75" w14:textId="77777777" w:rsidR="00A668A1" w:rsidRDefault="00A668A1" w:rsidP="00916BFE">
            <w:pPr>
              <w:snapToGrid w:val="0"/>
              <w:rPr>
                <w:rFonts w:cs="Segoe UI"/>
                <w:sz w:val="17"/>
                <w:lang w:eastAsia="en-GB"/>
              </w:rPr>
            </w:pPr>
          </w:p>
        </w:tc>
        <w:tc>
          <w:tcPr>
            <w:tcW w:w="1772" w:type="dxa"/>
            <w:tcBorders>
              <w:top w:val="single" w:sz="4" w:space="0" w:color="auto"/>
              <w:left w:val="single" w:sz="4" w:space="0" w:color="auto"/>
              <w:bottom w:val="single" w:sz="4" w:space="0" w:color="BFBFBF"/>
              <w:right w:val="single" w:sz="4" w:space="0" w:color="auto"/>
            </w:tcBorders>
            <w:vAlign w:val="bottom"/>
          </w:tcPr>
          <w:p w14:paraId="30A974DF" w14:textId="77777777" w:rsidR="00A668A1" w:rsidRDefault="00A668A1" w:rsidP="00916BFE">
            <w:pPr>
              <w:snapToGrid w:val="0"/>
              <w:rPr>
                <w:rFonts w:cs="Segoe UI"/>
                <w:sz w:val="17"/>
                <w:lang w:eastAsia="en-GB"/>
              </w:rPr>
            </w:pPr>
          </w:p>
        </w:tc>
        <w:tc>
          <w:tcPr>
            <w:tcW w:w="1772" w:type="dxa"/>
            <w:tcBorders>
              <w:top w:val="single" w:sz="4" w:space="0" w:color="auto"/>
              <w:left w:val="single" w:sz="4" w:space="0" w:color="auto"/>
              <w:bottom w:val="single" w:sz="4" w:space="0" w:color="BFBFBF"/>
              <w:right w:val="single" w:sz="4" w:space="0" w:color="auto"/>
            </w:tcBorders>
            <w:shd w:val="clear" w:color="auto" w:fill="FFFFFF"/>
            <w:vAlign w:val="bottom"/>
          </w:tcPr>
          <w:p w14:paraId="6FF55FC8" w14:textId="77777777" w:rsidR="00A668A1" w:rsidRDefault="00A668A1" w:rsidP="00916BFE">
            <w:pPr>
              <w:snapToGrid w:val="0"/>
              <w:rPr>
                <w:rFonts w:cs="Segoe UI"/>
                <w:sz w:val="17"/>
                <w:lang w:eastAsia="en-GB"/>
              </w:rPr>
            </w:pPr>
          </w:p>
        </w:tc>
      </w:tr>
      <w:tr w:rsidR="00A668A1" w14:paraId="163DFE86" w14:textId="77777777" w:rsidTr="00916BFE">
        <w:trPr>
          <w:trHeight w:val="216"/>
        </w:trPr>
        <w:tc>
          <w:tcPr>
            <w:tcW w:w="426" w:type="dxa"/>
            <w:tcBorders>
              <w:top w:val="single" w:sz="4" w:space="0" w:color="BFBFBF"/>
              <w:left w:val="nil"/>
              <w:bottom w:val="single" w:sz="4" w:space="0" w:color="BFBFBF"/>
              <w:right w:val="single" w:sz="4" w:space="0" w:color="auto"/>
            </w:tcBorders>
            <w:shd w:val="clear" w:color="auto" w:fill="FFFFFF"/>
          </w:tcPr>
          <w:p w14:paraId="494AC558" w14:textId="77777777" w:rsidR="00A668A1" w:rsidRDefault="00A668A1" w:rsidP="00916BFE">
            <w:pPr>
              <w:snapToGrid w:val="0"/>
              <w:rPr>
                <w:rFonts w:cs="Segoe UI"/>
                <w:sz w:val="17"/>
                <w:lang w:eastAsia="en-GB"/>
              </w:rPr>
            </w:pPr>
            <w:r>
              <w:rPr>
                <w:rFonts w:cs="Segoe UI"/>
                <w:sz w:val="17"/>
                <w:lang w:eastAsia="en-GB"/>
              </w:rPr>
              <w:t>2</w:t>
            </w:r>
          </w:p>
        </w:tc>
        <w:tc>
          <w:tcPr>
            <w:tcW w:w="4677" w:type="dxa"/>
            <w:gridSpan w:val="2"/>
            <w:tcBorders>
              <w:top w:val="single" w:sz="4" w:space="0" w:color="BFBFBF"/>
              <w:left w:val="nil"/>
              <w:bottom w:val="single" w:sz="4" w:space="0" w:color="BFBFBF"/>
              <w:right w:val="single" w:sz="4" w:space="0" w:color="auto"/>
            </w:tcBorders>
            <w:shd w:val="clear" w:color="auto" w:fill="FFFFFF"/>
          </w:tcPr>
          <w:p w14:paraId="54818F31" w14:textId="0525337A" w:rsidR="00A668A1" w:rsidRDefault="00A668A1" w:rsidP="00916BFE">
            <w:pPr>
              <w:snapToGrid w:val="0"/>
              <w:rPr>
                <w:rFonts w:cs="Segoe UI"/>
                <w:sz w:val="17"/>
                <w:lang w:eastAsia="en-GB"/>
              </w:rPr>
            </w:pPr>
            <w:r>
              <w:rPr>
                <w:rFonts w:cs="Segoe UI"/>
                <w:sz w:val="17"/>
                <w:lang w:eastAsia="en-GB"/>
              </w:rPr>
              <w:t xml:space="preserve">Liabilities carrying value amount under regulatory </w:t>
            </w:r>
            <w:r w:rsidR="00D62DE9">
              <w:rPr>
                <w:rFonts w:cs="Segoe UI"/>
                <w:sz w:val="17"/>
                <w:lang w:eastAsia="en-GB"/>
              </w:rPr>
              <w:t>scope of consolidation (as per T</w:t>
            </w:r>
            <w:r>
              <w:rPr>
                <w:rFonts w:cs="Segoe UI"/>
                <w:sz w:val="17"/>
                <w:lang w:eastAsia="en-GB"/>
              </w:rPr>
              <w:t>emplate LI1)</w:t>
            </w:r>
          </w:p>
        </w:tc>
        <w:tc>
          <w:tcPr>
            <w:tcW w:w="1701" w:type="dxa"/>
            <w:tcBorders>
              <w:top w:val="single" w:sz="4" w:space="0" w:color="BFBFBF"/>
              <w:left w:val="single" w:sz="4" w:space="0" w:color="auto"/>
              <w:bottom w:val="single" w:sz="4" w:space="0" w:color="BFBFBF"/>
              <w:right w:val="single" w:sz="4" w:space="0" w:color="auto"/>
            </w:tcBorders>
          </w:tcPr>
          <w:p w14:paraId="095F3CEC"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25B0CF5A"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0B0F6A38"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696A947F"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shd w:val="clear" w:color="auto" w:fill="FFFFFF"/>
            <w:vAlign w:val="bottom"/>
          </w:tcPr>
          <w:p w14:paraId="38CFC825" w14:textId="77777777" w:rsidR="00A668A1" w:rsidRDefault="00A668A1" w:rsidP="00916BFE">
            <w:pPr>
              <w:snapToGrid w:val="0"/>
              <w:rPr>
                <w:rFonts w:cs="Segoe UI"/>
                <w:sz w:val="17"/>
                <w:lang w:eastAsia="en-GB"/>
              </w:rPr>
            </w:pPr>
          </w:p>
        </w:tc>
      </w:tr>
      <w:tr w:rsidR="00A668A1" w14:paraId="5CD10888" w14:textId="77777777" w:rsidTr="00916BFE">
        <w:trPr>
          <w:trHeight w:val="216"/>
        </w:trPr>
        <w:tc>
          <w:tcPr>
            <w:tcW w:w="426" w:type="dxa"/>
            <w:tcBorders>
              <w:top w:val="single" w:sz="4" w:space="0" w:color="BFBFBF"/>
              <w:left w:val="nil"/>
              <w:bottom w:val="single" w:sz="4" w:space="0" w:color="BFBFBF"/>
              <w:right w:val="single" w:sz="4" w:space="0" w:color="auto"/>
            </w:tcBorders>
            <w:shd w:val="clear" w:color="auto" w:fill="FFFFFF"/>
          </w:tcPr>
          <w:p w14:paraId="635A0E4E" w14:textId="77777777" w:rsidR="00A668A1" w:rsidRDefault="00A668A1" w:rsidP="00916BFE">
            <w:pPr>
              <w:snapToGrid w:val="0"/>
              <w:rPr>
                <w:rFonts w:cs="Segoe UI"/>
                <w:sz w:val="17"/>
                <w:lang w:eastAsia="en-GB"/>
              </w:rPr>
            </w:pPr>
            <w:r>
              <w:rPr>
                <w:rFonts w:cs="Segoe UI"/>
                <w:sz w:val="17"/>
                <w:lang w:eastAsia="en-GB"/>
              </w:rPr>
              <w:t>3</w:t>
            </w:r>
          </w:p>
        </w:tc>
        <w:tc>
          <w:tcPr>
            <w:tcW w:w="4677" w:type="dxa"/>
            <w:gridSpan w:val="2"/>
            <w:tcBorders>
              <w:top w:val="single" w:sz="4" w:space="0" w:color="BFBFBF"/>
              <w:left w:val="nil"/>
              <w:bottom w:val="single" w:sz="4" w:space="0" w:color="BFBFBF"/>
              <w:right w:val="single" w:sz="4" w:space="0" w:color="auto"/>
            </w:tcBorders>
            <w:shd w:val="clear" w:color="auto" w:fill="FFFFFF"/>
          </w:tcPr>
          <w:p w14:paraId="10E3A5F3" w14:textId="77777777" w:rsidR="00A668A1" w:rsidRDefault="00A668A1" w:rsidP="00916BFE">
            <w:pPr>
              <w:snapToGrid w:val="0"/>
              <w:rPr>
                <w:rFonts w:cs="Segoe UI"/>
                <w:sz w:val="17"/>
                <w:lang w:eastAsia="en-GB"/>
              </w:rPr>
            </w:pPr>
            <w:r>
              <w:rPr>
                <w:rFonts w:cs="Segoe UI"/>
                <w:sz w:val="17"/>
                <w:lang w:eastAsia="en-GB"/>
              </w:rPr>
              <w:t>Total net amount under regulatory scope of consolidation</w:t>
            </w:r>
          </w:p>
        </w:tc>
        <w:tc>
          <w:tcPr>
            <w:tcW w:w="1701" w:type="dxa"/>
            <w:tcBorders>
              <w:top w:val="single" w:sz="4" w:space="0" w:color="BFBFBF"/>
              <w:left w:val="single" w:sz="4" w:space="0" w:color="auto"/>
              <w:bottom w:val="single" w:sz="4" w:space="0" w:color="BFBFBF"/>
              <w:right w:val="single" w:sz="4" w:space="0" w:color="auto"/>
            </w:tcBorders>
          </w:tcPr>
          <w:p w14:paraId="08620611"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338F62CA"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1ECDA418"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521CF5D9"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shd w:val="clear" w:color="auto" w:fill="FFFFFF"/>
            <w:vAlign w:val="bottom"/>
          </w:tcPr>
          <w:p w14:paraId="3C106A76" w14:textId="77777777" w:rsidR="00A668A1" w:rsidRDefault="00A668A1" w:rsidP="00916BFE">
            <w:pPr>
              <w:snapToGrid w:val="0"/>
              <w:rPr>
                <w:rFonts w:cs="Segoe UI"/>
                <w:sz w:val="17"/>
                <w:lang w:eastAsia="en-GB"/>
              </w:rPr>
            </w:pPr>
          </w:p>
        </w:tc>
      </w:tr>
      <w:tr w:rsidR="00A668A1" w14:paraId="7E389A02" w14:textId="77777777" w:rsidTr="00916BFE">
        <w:trPr>
          <w:trHeight w:val="216"/>
        </w:trPr>
        <w:tc>
          <w:tcPr>
            <w:tcW w:w="426" w:type="dxa"/>
            <w:tcBorders>
              <w:top w:val="single" w:sz="4" w:space="0" w:color="BFBFBF"/>
              <w:left w:val="nil"/>
              <w:bottom w:val="single" w:sz="4" w:space="0" w:color="BFBFBF"/>
              <w:right w:val="single" w:sz="4" w:space="0" w:color="auto"/>
            </w:tcBorders>
            <w:shd w:val="clear" w:color="auto" w:fill="FFFFFF"/>
          </w:tcPr>
          <w:p w14:paraId="5A41372D" w14:textId="77777777" w:rsidR="00A668A1" w:rsidRDefault="00A668A1" w:rsidP="00916BFE">
            <w:pPr>
              <w:snapToGrid w:val="0"/>
              <w:rPr>
                <w:rFonts w:cs="Segoe UI"/>
                <w:sz w:val="17"/>
                <w:lang w:eastAsia="en-GB"/>
              </w:rPr>
            </w:pPr>
            <w:r>
              <w:rPr>
                <w:rFonts w:cs="Segoe UI"/>
                <w:sz w:val="17"/>
                <w:lang w:eastAsia="en-GB"/>
              </w:rPr>
              <w:t>4</w:t>
            </w:r>
          </w:p>
        </w:tc>
        <w:tc>
          <w:tcPr>
            <w:tcW w:w="4677" w:type="dxa"/>
            <w:gridSpan w:val="2"/>
            <w:tcBorders>
              <w:top w:val="single" w:sz="4" w:space="0" w:color="BFBFBF"/>
              <w:left w:val="nil"/>
              <w:bottom w:val="single" w:sz="4" w:space="0" w:color="BFBFBF"/>
              <w:right w:val="single" w:sz="4" w:space="0" w:color="auto"/>
            </w:tcBorders>
            <w:shd w:val="clear" w:color="auto" w:fill="FFFFFF"/>
          </w:tcPr>
          <w:p w14:paraId="12EE9729" w14:textId="77777777" w:rsidR="00A668A1" w:rsidRDefault="00A668A1" w:rsidP="00916BFE">
            <w:pPr>
              <w:snapToGrid w:val="0"/>
              <w:rPr>
                <w:rFonts w:cs="Segoe UI"/>
                <w:sz w:val="17"/>
                <w:lang w:eastAsia="en-GB"/>
              </w:rPr>
            </w:pPr>
            <w:r>
              <w:rPr>
                <w:rFonts w:cs="Segoe UI"/>
                <w:sz w:val="17"/>
                <w:lang w:eastAsia="en-GB"/>
              </w:rPr>
              <w:t>Off-balance sheet amounts</w:t>
            </w:r>
          </w:p>
        </w:tc>
        <w:tc>
          <w:tcPr>
            <w:tcW w:w="1701" w:type="dxa"/>
            <w:tcBorders>
              <w:top w:val="single" w:sz="4" w:space="0" w:color="BFBFBF"/>
              <w:left w:val="single" w:sz="4" w:space="0" w:color="auto"/>
              <w:bottom w:val="single" w:sz="4" w:space="0" w:color="BFBFBF"/>
              <w:right w:val="single" w:sz="4" w:space="0" w:color="auto"/>
            </w:tcBorders>
          </w:tcPr>
          <w:p w14:paraId="6629C341"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6B3479C4"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57303648"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6F9F5F84"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shd w:val="clear" w:color="auto" w:fill="D9D9D9"/>
            <w:vAlign w:val="bottom"/>
          </w:tcPr>
          <w:p w14:paraId="5020325A" w14:textId="77777777" w:rsidR="00A668A1" w:rsidRDefault="00A668A1" w:rsidP="00916BFE">
            <w:pPr>
              <w:snapToGrid w:val="0"/>
              <w:rPr>
                <w:rFonts w:cs="Segoe UI"/>
                <w:sz w:val="17"/>
                <w:lang w:eastAsia="en-GB"/>
              </w:rPr>
            </w:pPr>
          </w:p>
        </w:tc>
      </w:tr>
      <w:tr w:rsidR="00A668A1" w14:paraId="1432E628" w14:textId="77777777" w:rsidTr="00916BFE">
        <w:trPr>
          <w:trHeight w:val="216"/>
        </w:trPr>
        <w:tc>
          <w:tcPr>
            <w:tcW w:w="426" w:type="dxa"/>
            <w:tcBorders>
              <w:top w:val="single" w:sz="4" w:space="0" w:color="BFBFBF"/>
              <w:left w:val="nil"/>
              <w:bottom w:val="single" w:sz="4" w:space="0" w:color="BFBFBF"/>
              <w:right w:val="single" w:sz="4" w:space="0" w:color="auto"/>
            </w:tcBorders>
            <w:shd w:val="clear" w:color="auto" w:fill="FFFFFF"/>
          </w:tcPr>
          <w:p w14:paraId="5C792D78" w14:textId="77777777" w:rsidR="00A668A1" w:rsidRDefault="00A668A1" w:rsidP="00916BFE">
            <w:pPr>
              <w:snapToGrid w:val="0"/>
              <w:rPr>
                <w:rFonts w:cs="Segoe UI"/>
                <w:sz w:val="17"/>
                <w:lang w:eastAsia="en-GB"/>
              </w:rPr>
            </w:pPr>
            <w:r>
              <w:rPr>
                <w:rFonts w:cs="Segoe UI"/>
                <w:sz w:val="17"/>
                <w:lang w:eastAsia="en-GB"/>
              </w:rPr>
              <w:t>5</w:t>
            </w:r>
          </w:p>
        </w:tc>
        <w:tc>
          <w:tcPr>
            <w:tcW w:w="4677" w:type="dxa"/>
            <w:gridSpan w:val="2"/>
            <w:tcBorders>
              <w:top w:val="single" w:sz="4" w:space="0" w:color="BFBFBF"/>
              <w:left w:val="nil"/>
              <w:bottom w:val="single" w:sz="4" w:space="0" w:color="BFBFBF"/>
              <w:right w:val="single" w:sz="4" w:space="0" w:color="auto"/>
            </w:tcBorders>
            <w:shd w:val="clear" w:color="auto" w:fill="FFFFFF"/>
          </w:tcPr>
          <w:p w14:paraId="2FD2406B" w14:textId="77777777" w:rsidR="00A668A1" w:rsidRDefault="00A668A1" w:rsidP="00916BFE">
            <w:pPr>
              <w:snapToGrid w:val="0"/>
              <w:rPr>
                <w:rFonts w:cs="Segoe UI"/>
                <w:i/>
                <w:sz w:val="17"/>
                <w:lang w:eastAsia="en-GB"/>
              </w:rPr>
            </w:pPr>
            <w:r>
              <w:rPr>
                <w:rFonts w:cs="Segoe UI"/>
                <w:i/>
                <w:sz w:val="17"/>
                <w:lang w:eastAsia="en-GB"/>
              </w:rPr>
              <w:t xml:space="preserve">Differences in valuations </w:t>
            </w:r>
          </w:p>
        </w:tc>
        <w:tc>
          <w:tcPr>
            <w:tcW w:w="1701" w:type="dxa"/>
            <w:tcBorders>
              <w:top w:val="single" w:sz="4" w:space="0" w:color="BFBFBF"/>
              <w:left w:val="single" w:sz="4" w:space="0" w:color="auto"/>
              <w:bottom w:val="single" w:sz="4" w:space="0" w:color="BFBFBF"/>
              <w:right w:val="single" w:sz="4" w:space="0" w:color="auto"/>
            </w:tcBorders>
          </w:tcPr>
          <w:p w14:paraId="2FFE0AF6"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3FF73AC9"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0A970C70"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5FC4C8E0"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shd w:val="clear" w:color="auto" w:fill="D9D9D9"/>
            <w:vAlign w:val="bottom"/>
          </w:tcPr>
          <w:p w14:paraId="1B5B2F51" w14:textId="77777777" w:rsidR="00A668A1" w:rsidRDefault="00A668A1" w:rsidP="00916BFE">
            <w:pPr>
              <w:snapToGrid w:val="0"/>
              <w:rPr>
                <w:rFonts w:cs="Segoe UI"/>
                <w:sz w:val="17"/>
                <w:lang w:eastAsia="en-GB"/>
              </w:rPr>
            </w:pPr>
          </w:p>
        </w:tc>
      </w:tr>
      <w:tr w:rsidR="00A668A1" w14:paraId="6E93C81F" w14:textId="77777777" w:rsidTr="00916BFE">
        <w:trPr>
          <w:trHeight w:val="216"/>
        </w:trPr>
        <w:tc>
          <w:tcPr>
            <w:tcW w:w="426" w:type="dxa"/>
            <w:tcBorders>
              <w:top w:val="single" w:sz="4" w:space="0" w:color="BFBFBF"/>
              <w:left w:val="nil"/>
              <w:bottom w:val="single" w:sz="4" w:space="0" w:color="BFBFBF"/>
              <w:right w:val="single" w:sz="4" w:space="0" w:color="auto"/>
            </w:tcBorders>
            <w:shd w:val="clear" w:color="auto" w:fill="FFFFFF"/>
          </w:tcPr>
          <w:p w14:paraId="7FB45B0D" w14:textId="77777777" w:rsidR="00A668A1" w:rsidRDefault="00A668A1" w:rsidP="00916BFE">
            <w:pPr>
              <w:snapToGrid w:val="0"/>
              <w:rPr>
                <w:rFonts w:cs="Segoe UI"/>
                <w:sz w:val="17"/>
                <w:lang w:eastAsia="en-GB"/>
              </w:rPr>
            </w:pPr>
            <w:r>
              <w:rPr>
                <w:rFonts w:cs="Segoe UI"/>
                <w:sz w:val="17"/>
                <w:lang w:eastAsia="en-GB"/>
              </w:rPr>
              <w:t>6</w:t>
            </w:r>
          </w:p>
        </w:tc>
        <w:tc>
          <w:tcPr>
            <w:tcW w:w="4677" w:type="dxa"/>
            <w:gridSpan w:val="2"/>
            <w:tcBorders>
              <w:top w:val="single" w:sz="4" w:space="0" w:color="BFBFBF"/>
              <w:left w:val="nil"/>
              <w:bottom w:val="single" w:sz="4" w:space="0" w:color="BFBFBF"/>
              <w:right w:val="single" w:sz="4" w:space="0" w:color="auto"/>
            </w:tcBorders>
            <w:shd w:val="clear" w:color="auto" w:fill="FFFFFF"/>
          </w:tcPr>
          <w:p w14:paraId="45160FB6" w14:textId="77777777" w:rsidR="00A668A1" w:rsidRDefault="00A668A1" w:rsidP="00916BFE">
            <w:pPr>
              <w:snapToGrid w:val="0"/>
              <w:rPr>
                <w:rFonts w:cs="Segoe UI"/>
                <w:i/>
                <w:sz w:val="17"/>
                <w:lang w:eastAsia="en-GB"/>
              </w:rPr>
            </w:pPr>
            <w:r>
              <w:rPr>
                <w:rFonts w:cs="Segoe UI"/>
                <w:i/>
                <w:sz w:val="17"/>
                <w:lang w:eastAsia="en-GB"/>
              </w:rPr>
              <w:t>Differences due to different netting rules, other than those already included in row 2</w:t>
            </w:r>
          </w:p>
        </w:tc>
        <w:tc>
          <w:tcPr>
            <w:tcW w:w="1701" w:type="dxa"/>
            <w:tcBorders>
              <w:top w:val="single" w:sz="4" w:space="0" w:color="BFBFBF"/>
              <w:left w:val="single" w:sz="4" w:space="0" w:color="auto"/>
              <w:bottom w:val="single" w:sz="4" w:space="0" w:color="BFBFBF"/>
              <w:right w:val="single" w:sz="4" w:space="0" w:color="auto"/>
            </w:tcBorders>
          </w:tcPr>
          <w:p w14:paraId="7A659B0C"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26FA04B6"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60937C94"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151F1807"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shd w:val="clear" w:color="auto" w:fill="D9D9D9"/>
            <w:vAlign w:val="bottom"/>
          </w:tcPr>
          <w:p w14:paraId="64E98B59" w14:textId="77777777" w:rsidR="00A668A1" w:rsidRDefault="00A668A1" w:rsidP="00916BFE">
            <w:pPr>
              <w:snapToGrid w:val="0"/>
              <w:rPr>
                <w:rFonts w:cs="Segoe UI"/>
                <w:sz w:val="17"/>
                <w:lang w:eastAsia="en-GB"/>
              </w:rPr>
            </w:pPr>
          </w:p>
        </w:tc>
      </w:tr>
      <w:tr w:rsidR="00A668A1" w14:paraId="7AF0B9ED" w14:textId="77777777" w:rsidTr="00916BFE">
        <w:trPr>
          <w:trHeight w:val="216"/>
        </w:trPr>
        <w:tc>
          <w:tcPr>
            <w:tcW w:w="426" w:type="dxa"/>
            <w:tcBorders>
              <w:top w:val="single" w:sz="4" w:space="0" w:color="BFBFBF"/>
              <w:left w:val="nil"/>
              <w:bottom w:val="single" w:sz="4" w:space="0" w:color="BFBFBF"/>
              <w:right w:val="single" w:sz="4" w:space="0" w:color="auto"/>
            </w:tcBorders>
            <w:shd w:val="clear" w:color="auto" w:fill="FFFFFF"/>
          </w:tcPr>
          <w:p w14:paraId="36713197" w14:textId="77777777" w:rsidR="00A668A1" w:rsidRDefault="00A668A1" w:rsidP="00916BFE">
            <w:pPr>
              <w:snapToGrid w:val="0"/>
              <w:rPr>
                <w:rFonts w:cs="Segoe UI"/>
                <w:sz w:val="17"/>
                <w:lang w:eastAsia="en-GB"/>
              </w:rPr>
            </w:pPr>
            <w:r>
              <w:rPr>
                <w:rFonts w:cs="Segoe UI"/>
                <w:sz w:val="17"/>
                <w:lang w:eastAsia="en-GB"/>
              </w:rPr>
              <w:t>7</w:t>
            </w:r>
          </w:p>
        </w:tc>
        <w:tc>
          <w:tcPr>
            <w:tcW w:w="4677" w:type="dxa"/>
            <w:gridSpan w:val="2"/>
            <w:tcBorders>
              <w:top w:val="single" w:sz="4" w:space="0" w:color="BFBFBF"/>
              <w:left w:val="nil"/>
              <w:bottom w:val="single" w:sz="4" w:space="0" w:color="BFBFBF"/>
              <w:right w:val="single" w:sz="4" w:space="0" w:color="auto"/>
            </w:tcBorders>
            <w:shd w:val="clear" w:color="auto" w:fill="FFFFFF"/>
          </w:tcPr>
          <w:p w14:paraId="2F885016" w14:textId="77777777" w:rsidR="00A668A1" w:rsidRDefault="00A668A1" w:rsidP="00916BFE">
            <w:pPr>
              <w:snapToGrid w:val="0"/>
              <w:rPr>
                <w:rFonts w:cs="Segoe UI"/>
                <w:i/>
                <w:sz w:val="17"/>
                <w:lang w:eastAsia="en-GB"/>
              </w:rPr>
            </w:pPr>
            <w:r>
              <w:rPr>
                <w:rFonts w:cs="Segoe UI"/>
                <w:i/>
                <w:sz w:val="17"/>
                <w:lang w:eastAsia="en-GB"/>
              </w:rPr>
              <w:t>Differences due to consideration of provisions</w:t>
            </w:r>
          </w:p>
        </w:tc>
        <w:tc>
          <w:tcPr>
            <w:tcW w:w="1701" w:type="dxa"/>
            <w:tcBorders>
              <w:top w:val="single" w:sz="4" w:space="0" w:color="BFBFBF"/>
              <w:left w:val="single" w:sz="4" w:space="0" w:color="auto"/>
              <w:bottom w:val="single" w:sz="4" w:space="0" w:color="BFBFBF"/>
              <w:right w:val="single" w:sz="4" w:space="0" w:color="auto"/>
            </w:tcBorders>
          </w:tcPr>
          <w:p w14:paraId="1B753ADB"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7B5F9562"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1CF2C8CA"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290DAE59"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shd w:val="clear" w:color="auto" w:fill="D9D9D9"/>
            <w:vAlign w:val="bottom"/>
          </w:tcPr>
          <w:p w14:paraId="0CE65252" w14:textId="77777777" w:rsidR="00A668A1" w:rsidRDefault="00A668A1" w:rsidP="00916BFE">
            <w:pPr>
              <w:snapToGrid w:val="0"/>
              <w:rPr>
                <w:rFonts w:cs="Segoe UI"/>
                <w:sz w:val="17"/>
                <w:lang w:eastAsia="en-GB"/>
              </w:rPr>
            </w:pPr>
          </w:p>
        </w:tc>
      </w:tr>
      <w:tr w:rsidR="00A668A1" w14:paraId="408CCA46" w14:textId="77777777" w:rsidTr="00916BFE">
        <w:trPr>
          <w:trHeight w:val="216"/>
        </w:trPr>
        <w:tc>
          <w:tcPr>
            <w:tcW w:w="426" w:type="dxa"/>
            <w:tcBorders>
              <w:top w:val="single" w:sz="4" w:space="0" w:color="BFBFBF"/>
              <w:left w:val="nil"/>
              <w:bottom w:val="single" w:sz="4" w:space="0" w:color="BFBFBF"/>
              <w:right w:val="single" w:sz="4" w:space="0" w:color="auto"/>
            </w:tcBorders>
            <w:shd w:val="clear" w:color="auto" w:fill="FFFFFF"/>
          </w:tcPr>
          <w:p w14:paraId="0019A466" w14:textId="77777777" w:rsidR="00A668A1" w:rsidRDefault="00A668A1" w:rsidP="00916BFE">
            <w:pPr>
              <w:snapToGrid w:val="0"/>
              <w:rPr>
                <w:rFonts w:cs="Segoe UI"/>
                <w:sz w:val="17"/>
                <w:lang w:eastAsia="en-GB"/>
              </w:rPr>
            </w:pPr>
            <w:r>
              <w:rPr>
                <w:rFonts w:cs="Segoe UI"/>
                <w:sz w:val="17"/>
                <w:lang w:eastAsia="en-GB"/>
              </w:rPr>
              <w:t>8</w:t>
            </w:r>
          </w:p>
        </w:tc>
        <w:tc>
          <w:tcPr>
            <w:tcW w:w="4677" w:type="dxa"/>
            <w:gridSpan w:val="2"/>
            <w:tcBorders>
              <w:top w:val="single" w:sz="4" w:space="0" w:color="BFBFBF"/>
              <w:left w:val="nil"/>
              <w:bottom w:val="single" w:sz="4" w:space="0" w:color="BFBFBF"/>
              <w:right w:val="single" w:sz="4" w:space="0" w:color="auto"/>
            </w:tcBorders>
            <w:shd w:val="clear" w:color="auto" w:fill="FFFFFF"/>
          </w:tcPr>
          <w:p w14:paraId="72C494B9" w14:textId="77777777" w:rsidR="00A668A1" w:rsidRDefault="00A668A1" w:rsidP="00916BFE">
            <w:pPr>
              <w:snapToGrid w:val="0"/>
              <w:rPr>
                <w:rFonts w:cs="Segoe UI"/>
                <w:i/>
                <w:sz w:val="17"/>
                <w:lang w:eastAsia="en-GB"/>
              </w:rPr>
            </w:pPr>
            <w:r>
              <w:rPr>
                <w:rFonts w:cs="Segoe UI"/>
                <w:i/>
                <w:sz w:val="17"/>
                <w:lang w:eastAsia="en-GB"/>
              </w:rPr>
              <w:t>Differences due to prudential filters</w:t>
            </w:r>
          </w:p>
        </w:tc>
        <w:tc>
          <w:tcPr>
            <w:tcW w:w="1701" w:type="dxa"/>
            <w:tcBorders>
              <w:top w:val="single" w:sz="4" w:space="0" w:color="BFBFBF"/>
              <w:left w:val="single" w:sz="4" w:space="0" w:color="auto"/>
              <w:bottom w:val="single" w:sz="4" w:space="0" w:color="BFBFBF"/>
              <w:right w:val="single" w:sz="4" w:space="0" w:color="auto"/>
            </w:tcBorders>
          </w:tcPr>
          <w:p w14:paraId="7A8A7BD6"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2DBDA752"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5FC8C1E3"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33C31E26"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shd w:val="clear" w:color="auto" w:fill="D9D9D9"/>
            <w:vAlign w:val="bottom"/>
          </w:tcPr>
          <w:p w14:paraId="5F6854DF" w14:textId="77777777" w:rsidR="00A668A1" w:rsidRDefault="00A668A1" w:rsidP="00916BFE">
            <w:pPr>
              <w:snapToGrid w:val="0"/>
              <w:rPr>
                <w:rFonts w:cs="Segoe UI"/>
                <w:sz w:val="17"/>
                <w:lang w:eastAsia="en-GB"/>
              </w:rPr>
            </w:pPr>
          </w:p>
        </w:tc>
      </w:tr>
      <w:tr w:rsidR="00A668A1" w14:paraId="47027D93" w14:textId="77777777" w:rsidTr="00916BFE">
        <w:trPr>
          <w:trHeight w:val="187"/>
        </w:trPr>
        <w:tc>
          <w:tcPr>
            <w:tcW w:w="426" w:type="dxa"/>
            <w:tcBorders>
              <w:top w:val="single" w:sz="4" w:space="0" w:color="BFBFBF"/>
              <w:left w:val="nil"/>
              <w:bottom w:val="single" w:sz="4" w:space="0" w:color="BFBFBF"/>
              <w:right w:val="single" w:sz="4" w:space="0" w:color="auto"/>
            </w:tcBorders>
            <w:shd w:val="clear" w:color="auto" w:fill="FFFFFF"/>
          </w:tcPr>
          <w:p w14:paraId="7438C268" w14:textId="77777777" w:rsidR="00A668A1" w:rsidRDefault="00A668A1" w:rsidP="00916BFE">
            <w:pPr>
              <w:snapToGrid w:val="0"/>
              <w:rPr>
                <w:rFonts w:cs="Segoe UI"/>
                <w:sz w:val="17"/>
                <w:lang w:eastAsia="en-GB"/>
              </w:rPr>
            </w:pPr>
            <w:r>
              <w:rPr>
                <w:rFonts w:cs="Segoe UI"/>
                <w:sz w:val="17"/>
                <w:lang w:eastAsia="en-GB"/>
              </w:rPr>
              <w:t>⁞</w:t>
            </w:r>
          </w:p>
        </w:tc>
        <w:tc>
          <w:tcPr>
            <w:tcW w:w="4677" w:type="dxa"/>
            <w:gridSpan w:val="2"/>
            <w:tcBorders>
              <w:top w:val="single" w:sz="4" w:space="0" w:color="BFBFBF"/>
              <w:left w:val="nil"/>
              <w:bottom w:val="single" w:sz="4" w:space="0" w:color="BFBFBF"/>
              <w:right w:val="single" w:sz="4" w:space="0" w:color="auto"/>
            </w:tcBorders>
            <w:shd w:val="clear" w:color="auto" w:fill="FFFFFF"/>
          </w:tcPr>
          <w:p w14:paraId="40870DF6" w14:textId="77777777" w:rsidR="00A668A1" w:rsidRDefault="00A668A1" w:rsidP="00916BFE">
            <w:pPr>
              <w:snapToGrid w:val="0"/>
              <w:rPr>
                <w:rFonts w:cs="Segoe UI"/>
                <w:sz w:val="17"/>
                <w:lang w:eastAsia="en-GB"/>
              </w:rPr>
            </w:pPr>
            <w:r>
              <w:rPr>
                <w:rFonts w:cs="Segoe UI"/>
                <w:sz w:val="17"/>
                <w:lang w:eastAsia="en-GB"/>
              </w:rPr>
              <w:t xml:space="preserve">⁞ </w:t>
            </w:r>
          </w:p>
        </w:tc>
        <w:tc>
          <w:tcPr>
            <w:tcW w:w="1701" w:type="dxa"/>
            <w:tcBorders>
              <w:top w:val="single" w:sz="4" w:space="0" w:color="BFBFBF"/>
              <w:left w:val="single" w:sz="4" w:space="0" w:color="auto"/>
              <w:bottom w:val="single" w:sz="4" w:space="0" w:color="BFBFBF"/>
              <w:right w:val="single" w:sz="4" w:space="0" w:color="auto"/>
            </w:tcBorders>
          </w:tcPr>
          <w:p w14:paraId="182F6BB7"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6E43FAAF"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40F4F60C"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vAlign w:val="bottom"/>
          </w:tcPr>
          <w:p w14:paraId="1090088C"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BFBFBF"/>
              <w:right w:val="single" w:sz="4" w:space="0" w:color="auto"/>
            </w:tcBorders>
            <w:shd w:val="clear" w:color="auto" w:fill="D9D9D9"/>
            <w:vAlign w:val="bottom"/>
          </w:tcPr>
          <w:p w14:paraId="00A4A2B4" w14:textId="77777777" w:rsidR="00A668A1" w:rsidRDefault="00A668A1" w:rsidP="00916BFE">
            <w:pPr>
              <w:snapToGrid w:val="0"/>
              <w:rPr>
                <w:rFonts w:cs="Segoe UI"/>
                <w:sz w:val="17"/>
                <w:lang w:eastAsia="en-GB"/>
              </w:rPr>
            </w:pPr>
          </w:p>
        </w:tc>
      </w:tr>
      <w:tr w:rsidR="00A668A1" w14:paraId="46A3461D" w14:textId="77777777" w:rsidTr="00916BFE">
        <w:trPr>
          <w:trHeight w:val="216"/>
        </w:trPr>
        <w:tc>
          <w:tcPr>
            <w:tcW w:w="426" w:type="dxa"/>
            <w:tcBorders>
              <w:top w:val="single" w:sz="4" w:space="0" w:color="BFBFBF"/>
              <w:left w:val="nil"/>
              <w:bottom w:val="single" w:sz="4" w:space="0" w:color="auto"/>
              <w:right w:val="single" w:sz="4" w:space="0" w:color="auto"/>
            </w:tcBorders>
            <w:shd w:val="clear" w:color="auto" w:fill="FFFFFF"/>
          </w:tcPr>
          <w:p w14:paraId="4598545C" w14:textId="77777777" w:rsidR="00A668A1" w:rsidRDefault="00A668A1" w:rsidP="00916BFE">
            <w:pPr>
              <w:snapToGrid w:val="0"/>
              <w:rPr>
                <w:rFonts w:cs="Segoe UI"/>
                <w:b/>
                <w:sz w:val="17"/>
                <w:lang w:eastAsia="en-GB"/>
              </w:rPr>
            </w:pPr>
            <w:r>
              <w:rPr>
                <w:rFonts w:cs="Segoe UI"/>
                <w:b/>
                <w:sz w:val="17"/>
                <w:lang w:eastAsia="en-GB"/>
              </w:rPr>
              <w:t>N</w:t>
            </w:r>
          </w:p>
        </w:tc>
        <w:tc>
          <w:tcPr>
            <w:tcW w:w="4677" w:type="dxa"/>
            <w:gridSpan w:val="2"/>
            <w:tcBorders>
              <w:top w:val="single" w:sz="4" w:space="0" w:color="BFBFBF"/>
              <w:left w:val="nil"/>
              <w:bottom w:val="single" w:sz="4" w:space="0" w:color="auto"/>
              <w:right w:val="single" w:sz="4" w:space="0" w:color="auto"/>
            </w:tcBorders>
            <w:shd w:val="clear" w:color="auto" w:fill="FFFFFF"/>
          </w:tcPr>
          <w:p w14:paraId="7FE91832" w14:textId="77777777" w:rsidR="00A668A1" w:rsidRDefault="00A668A1" w:rsidP="00916BFE">
            <w:pPr>
              <w:snapToGrid w:val="0"/>
              <w:rPr>
                <w:rFonts w:cs="Segoe UI"/>
                <w:b/>
                <w:noProof/>
                <w:sz w:val="17"/>
                <w:lang w:eastAsia="en-GB"/>
              </w:rPr>
            </w:pPr>
            <w:r>
              <w:rPr>
                <w:rFonts w:cs="Segoe UI"/>
                <w:b/>
                <w:sz w:val="17"/>
                <w:lang w:eastAsia="en-GB"/>
              </w:rPr>
              <w:t>Exposure amounts considered for regulatory purposes</w:t>
            </w:r>
          </w:p>
        </w:tc>
        <w:tc>
          <w:tcPr>
            <w:tcW w:w="1701" w:type="dxa"/>
            <w:tcBorders>
              <w:top w:val="single" w:sz="4" w:space="0" w:color="BFBFBF"/>
              <w:left w:val="single" w:sz="4" w:space="0" w:color="auto"/>
              <w:bottom w:val="single" w:sz="4" w:space="0" w:color="auto"/>
              <w:right w:val="single" w:sz="4" w:space="0" w:color="auto"/>
            </w:tcBorders>
          </w:tcPr>
          <w:p w14:paraId="2C524102"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auto"/>
              <w:right w:val="single" w:sz="4" w:space="0" w:color="auto"/>
            </w:tcBorders>
            <w:vAlign w:val="bottom"/>
          </w:tcPr>
          <w:p w14:paraId="6A94B387"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auto"/>
              <w:right w:val="single" w:sz="4" w:space="0" w:color="auto"/>
            </w:tcBorders>
            <w:vAlign w:val="bottom"/>
          </w:tcPr>
          <w:p w14:paraId="65B83F05"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auto"/>
              <w:right w:val="single" w:sz="4" w:space="0" w:color="auto"/>
            </w:tcBorders>
            <w:vAlign w:val="bottom"/>
          </w:tcPr>
          <w:p w14:paraId="6856A21E" w14:textId="77777777" w:rsidR="00A668A1" w:rsidRDefault="00A668A1" w:rsidP="00916BFE">
            <w:pPr>
              <w:snapToGrid w:val="0"/>
              <w:rPr>
                <w:rFonts w:cs="Segoe UI"/>
                <w:sz w:val="17"/>
                <w:lang w:eastAsia="en-GB"/>
              </w:rPr>
            </w:pPr>
          </w:p>
        </w:tc>
        <w:tc>
          <w:tcPr>
            <w:tcW w:w="1772" w:type="dxa"/>
            <w:tcBorders>
              <w:top w:val="single" w:sz="4" w:space="0" w:color="BFBFBF"/>
              <w:left w:val="single" w:sz="4" w:space="0" w:color="auto"/>
              <w:bottom w:val="single" w:sz="4" w:space="0" w:color="auto"/>
              <w:right w:val="single" w:sz="4" w:space="0" w:color="auto"/>
            </w:tcBorders>
            <w:shd w:val="clear" w:color="auto" w:fill="D9D9D9"/>
            <w:vAlign w:val="bottom"/>
          </w:tcPr>
          <w:p w14:paraId="5E964A0A" w14:textId="77777777" w:rsidR="00A668A1" w:rsidRDefault="00A668A1" w:rsidP="00916BFE">
            <w:pPr>
              <w:snapToGrid w:val="0"/>
              <w:rPr>
                <w:rFonts w:cs="Segoe UI"/>
                <w:sz w:val="17"/>
                <w:lang w:eastAsia="en-GB"/>
              </w:rPr>
            </w:pPr>
          </w:p>
        </w:tc>
      </w:tr>
      <w:tr w:rsidR="00A668A1" w14:paraId="363C505A" w14:textId="77777777" w:rsidTr="00916BFE">
        <w:trPr>
          <w:trHeight w:val="216"/>
        </w:trPr>
        <w:tc>
          <w:tcPr>
            <w:tcW w:w="13892" w:type="dxa"/>
            <w:gridSpan w:val="8"/>
            <w:tcBorders>
              <w:top w:val="single" w:sz="4" w:space="0" w:color="auto"/>
              <w:left w:val="nil"/>
              <w:bottom w:val="single" w:sz="4" w:space="0" w:color="auto"/>
              <w:right w:val="single" w:sz="4" w:space="0" w:color="auto"/>
            </w:tcBorders>
            <w:shd w:val="clear" w:color="auto" w:fill="FFFFFF"/>
          </w:tcPr>
          <w:p w14:paraId="00C59045" w14:textId="386F61D2" w:rsidR="00A668A1" w:rsidRDefault="00A668A1" w:rsidP="00916BFE">
            <w:pPr>
              <w:snapToGrid w:val="0"/>
              <w:rPr>
                <w:rFonts w:cs="Segoe UI"/>
                <w:sz w:val="17"/>
                <w:lang w:eastAsia="en-GB"/>
              </w:rPr>
            </w:pPr>
            <w:r>
              <w:rPr>
                <w:rFonts w:cs="Segoe UI"/>
                <w:sz w:val="17"/>
                <w:szCs w:val="17"/>
                <w:lang w:eastAsia="en-GB"/>
              </w:rPr>
              <w:t>* For the purpose of this template, column (e) also includes items subject to CVA risk framework.</w:t>
            </w:r>
          </w:p>
        </w:tc>
      </w:tr>
      <w:tr w:rsidR="00A668A1" w14:paraId="295D0D59" w14:textId="77777777" w:rsidTr="00916BFE">
        <w:tblPrEx>
          <w:tblLook w:val="04A0" w:firstRow="1" w:lastRow="0" w:firstColumn="1" w:lastColumn="0" w:noHBand="0" w:noVBand="1"/>
        </w:tblPrEx>
        <w:trPr>
          <w:tblHeader/>
        </w:trPr>
        <w:tc>
          <w:tcPr>
            <w:tcW w:w="13892" w:type="dxa"/>
            <w:gridSpan w:val="8"/>
            <w:shd w:val="clear" w:color="auto" w:fill="BFBFBF"/>
          </w:tcPr>
          <w:p w14:paraId="42E369C2" w14:textId="77777777" w:rsidR="00A668A1" w:rsidRDefault="00A668A1" w:rsidP="00916BFE">
            <w:pPr>
              <w:pStyle w:val="TableNote"/>
              <w:keepNext/>
              <w:spacing w:before="40" w:after="40"/>
              <w:rPr>
                <w:sz w:val="22"/>
              </w:rPr>
            </w:pPr>
            <w:r>
              <w:rPr>
                <w:rFonts w:eastAsia="新細明體"/>
                <w:b/>
                <w:sz w:val="17"/>
                <w:lang w:eastAsia="en-GB"/>
              </w:rPr>
              <w:lastRenderedPageBreak/>
              <w:t>Explanatory Note</w:t>
            </w:r>
          </w:p>
        </w:tc>
      </w:tr>
      <w:tr w:rsidR="00A668A1" w14:paraId="318B0644" w14:textId="77777777" w:rsidTr="00916BFE">
        <w:tblPrEx>
          <w:tblLook w:val="04A0" w:firstRow="1" w:lastRow="0" w:firstColumn="1" w:lastColumn="0" w:noHBand="0" w:noVBand="1"/>
        </w:tblPrEx>
        <w:trPr>
          <w:trHeight w:val="321"/>
        </w:trPr>
        <w:tc>
          <w:tcPr>
            <w:tcW w:w="13892" w:type="dxa"/>
            <w:gridSpan w:val="8"/>
            <w:shd w:val="clear" w:color="auto" w:fill="F2F2F2"/>
          </w:tcPr>
          <w:p w14:paraId="71D5C8F3" w14:textId="77777777" w:rsidR="00A668A1" w:rsidRDefault="00A668A1" w:rsidP="00916BFE">
            <w:pPr>
              <w:pStyle w:val="TableNote"/>
              <w:keepNext/>
              <w:spacing w:before="40" w:after="40"/>
              <w:rPr>
                <w:sz w:val="22"/>
              </w:rPr>
            </w:pPr>
            <w:r>
              <w:rPr>
                <w:rFonts w:eastAsia="新細明體"/>
                <w:b/>
                <w:sz w:val="17"/>
                <w:lang w:eastAsia="en-GB"/>
              </w:rPr>
              <w:t>Columns</w:t>
            </w:r>
          </w:p>
        </w:tc>
      </w:tr>
      <w:tr w:rsidR="00A668A1" w14:paraId="63C4C0F8" w14:textId="77777777" w:rsidTr="00916BFE">
        <w:tblPrEx>
          <w:tblLook w:val="04A0" w:firstRow="1" w:lastRow="0" w:firstColumn="1" w:lastColumn="0" w:noHBand="0" w:noVBand="1"/>
        </w:tblPrEx>
        <w:tc>
          <w:tcPr>
            <w:tcW w:w="567" w:type="dxa"/>
            <w:gridSpan w:val="2"/>
          </w:tcPr>
          <w:p w14:paraId="3D7C3F70" w14:textId="77777777" w:rsidR="00A668A1" w:rsidRDefault="00A668A1" w:rsidP="00916BFE">
            <w:pPr>
              <w:pStyle w:val="TableNote"/>
              <w:keepNext/>
              <w:spacing w:before="40" w:after="40"/>
              <w:rPr>
                <w:rFonts w:cs="Segoe UI"/>
                <w:sz w:val="17"/>
                <w:szCs w:val="17"/>
                <w:lang w:eastAsia="en-GB"/>
              </w:rPr>
            </w:pPr>
            <w:r>
              <w:rPr>
                <w:rFonts w:cs="Segoe UI"/>
                <w:sz w:val="17"/>
                <w:szCs w:val="17"/>
                <w:lang w:eastAsia="en-GB"/>
              </w:rPr>
              <w:t>(a)</w:t>
            </w:r>
          </w:p>
        </w:tc>
        <w:tc>
          <w:tcPr>
            <w:tcW w:w="13325" w:type="dxa"/>
            <w:gridSpan w:val="6"/>
          </w:tcPr>
          <w:p w14:paraId="629A7245" w14:textId="77777777" w:rsidR="00A668A1" w:rsidRDefault="00A668A1" w:rsidP="00916BFE">
            <w:pPr>
              <w:pStyle w:val="TableNote"/>
              <w:keepNext/>
              <w:spacing w:before="40" w:after="40"/>
              <w:rPr>
                <w:sz w:val="17"/>
                <w:szCs w:val="17"/>
                <w:lang w:eastAsia="en-GB"/>
              </w:rPr>
            </w:pPr>
            <w:r>
              <w:rPr>
                <w:i/>
                <w:sz w:val="17"/>
                <w:szCs w:val="17"/>
              </w:rPr>
              <w:t>Total</w:t>
            </w:r>
            <w:r>
              <w:rPr>
                <w:sz w:val="17"/>
                <w:szCs w:val="17"/>
              </w:rPr>
              <w:t>: t</w:t>
            </w:r>
            <w:r>
              <w:rPr>
                <w:sz w:val="17"/>
                <w:szCs w:val="17"/>
                <w:lang w:eastAsia="en-GB"/>
              </w:rPr>
              <w:t xml:space="preserve">he values reported in column (a) may not necessarily equal the sum of values in columns (b) to (e), as some items may be subject to regulatory capital charges in more than one risk category, and other items </w:t>
            </w:r>
            <w:r>
              <w:rPr>
                <w:rFonts w:cs="Segoe UI"/>
                <w:sz w:val="17"/>
                <w:lang w:eastAsia="en-GB"/>
              </w:rPr>
              <w:t>not subject to capital requirements or subject to deduction from capital may be also included in values reported in this column</w:t>
            </w:r>
            <w:r>
              <w:rPr>
                <w:sz w:val="17"/>
                <w:szCs w:val="17"/>
                <w:lang w:eastAsia="en-GB"/>
              </w:rPr>
              <w:t>.</w:t>
            </w:r>
          </w:p>
          <w:p w14:paraId="5A1E9EF3" w14:textId="5F6CA831" w:rsidR="00A668A1" w:rsidRDefault="00A668A1" w:rsidP="00916BFE">
            <w:pPr>
              <w:pStyle w:val="BoxTitle"/>
              <w:spacing w:before="40" w:after="40"/>
              <w:rPr>
                <w:sz w:val="17"/>
                <w:szCs w:val="17"/>
              </w:rPr>
            </w:pPr>
            <w:r>
              <w:rPr>
                <w:rFonts w:eastAsia="Times New Roman" w:cs="Segoe UI"/>
                <w:sz w:val="17"/>
                <w:lang w:eastAsia="en-GB"/>
              </w:rPr>
              <w:t xml:space="preserve">The following linkage holds:- </w:t>
            </w:r>
            <w:r>
              <w:rPr>
                <w:rFonts w:cs="Segoe UI"/>
                <w:sz w:val="17"/>
                <w:lang w:eastAsia="en-GB"/>
              </w:rPr>
              <w:t>values in column (a) in LI2 = Values in column (b) in LI1 minus values in column (g) in LI1</w:t>
            </w:r>
            <w:r w:rsidR="003D4FD5">
              <w:rPr>
                <w:rFonts w:cs="Segoe UI"/>
                <w:sz w:val="17"/>
                <w:lang w:eastAsia="en-GB"/>
              </w:rPr>
              <w:t>.</w:t>
            </w:r>
            <w:r>
              <w:rPr>
                <w:rFonts w:cs="Segoe UI"/>
                <w:sz w:val="17"/>
                <w:lang w:eastAsia="en-GB"/>
              </w:rPr>
              <w:t xml:space="preserve"> </w:t>
            </w:r>
          </w:p>
        </w:tc>
      </w:tr>
      <w:tr w:rsidR="00A668A1" w14:paraId="7A918C07" w14:textId="77777777" w:rsidTr="00916BFE">
        <w:tblPrEx>
          <w:tblLook w:val="04A0" w:firstRow="1" w:lastRow="0" w:firstColumn="1" w:lastColumn="0" w:noHBand="0" w:noVBand="1"/>
        </w:tblPrEx>
        <w:tc>
          <w:tcPr>
            <w:tcW w:w="567" w:type="dxa"/>
            <w:gridSpan w:val="2"/>
          </w:tcPr>
          <w:p w14:paraId="0E2BCB21" w14:textId="77777777" w:rsidR="00A668A1" w:rsidRDefault="00A668A1" w:rsidP="00916BFE">
            <w:pPr>
              <w:pStyle w:val="TableNote"/>
              <w:keepNext/>
              <w:spacing w:before="40" w:after="40"/>
              <w:rPr>
                <w:sz w:val="17"/>
                <w:szCs w:val="17"/>
              </w:rPr>
            </w:pPr>
            <w:r>
              <w:rPr>
                <w:sz w:val="17"/>
                <w:szCs w:val="17"/>
              </w:rPr>
              <w:t>(b)</w:t>
            </w:r>
          </w:p>
        </w:tc>
        <w:tc>
          <w:tcPr>
            <w:tcW w:w="13325" w:type="dxa"/>
            <w:gridSpan w:val="6"/>
          </w:tcPr>
          <w:p w14:paraId="411C6D15" w14:textId="77777777" w:rsidR="00A668A1" w:rsidRDefault="00A668A1" w:rsidP="00916BFE">
            <w:pPr>
              <w:pStyle w:val="TableNote"/>
              <w:keepNext/>
              <w:spacing w:before="40" w:after="40"/>
              <w:rPr>
                <w:sz w:val="17"/>
                <w:szCs w:val="17"/>
              </w:rPr>
            </w:pPr>
            <w:r>
              <w:rPr>
                <w:i/>
                <w:sz w:val="17"/>
                <w:szCs w:val="17"/>
              </w:rPr>
              <w:t>Items subject to credit risk framework</w:t>
            </w:r>
            <w:r>
              <w:rPr>
                <w:sz w:val="17"/>
                <w:szCs w:val="17"/>
              </w:rPr>
              <w:t>: the exposures reported in Part III of this document.</w:t>
            </w:r>
          </w:p>
        </w:tc>
      </w:tr>
      <w:tr w:rsidR="00A668A1" w14:paraId="218EF449" w14:textId="77777777" w:rsidTr="00916BFE">
        <w:tblPrEx>
          <w:tblLook w:val="04A0" w:firstRow="1" w:lastRow="0" w:firstColumn="1" w:lastColumn="0" w:noHBand="0" w:noVBand="1"/>
        </w:tblPrEx>
        <w:tc>
          <w:tcPr>
            <w:tcW w:w="567" w:type="dxa"/>
            <w:gridSpan w:val="2"/>
          </w:tcPr>
          <w:p w14:paraId="3CB5DABC" w14:textId="77777777" w:rsidR="00A668A1" w:rsidRDefault="00A668A1" w:rsidP="00916BFE">
            <w:pPr>
              <w:pStyle w:val="TableNote"/>
              <w:keepNext/>
              <w:spacing w:before="40" w:after="40"/>
              <w:rPr>
                <w:sz w:val="17"/>
                <w:szCs w:val="17"/>
              </w:rPr>
            </w:pPr>
            <w:r>
              <w:rPr>
                <w:sz w:val="17"/>
                <w:szCs w:val="17"/>
              </w:rPr>
              <w:t>(c)</w:t>
            </w:r>
          </w:p>
        </w:tc>
        <w:tc>
          <w:tcPr>
            <w:tcW w:w="13325" w:type="dxa"/>
            <w:gridSpan w:val="6"/>
          </w:tcPr>
          <w:p w14:paraId="2795313F" w14:textId="77777777" w:rsidR="00A668A1" w:rsidRDefault="00A668A1" w:rsidP="00916BFE">
            <w:pPr>
              <w:pStyle w:val="TableNote"/>
              <w:keepNext/>
              <w:spacing w:before="40" w:after="40"/>
              <w:rPr>
                <w:sz w:val="17"/>
                <w:szCs w:val="17"/>
              </w:rPr>
            </w:pPr>
            <w:r>
              <w:rPr>
                <w:i/>
                <w:sz w:val="17"/>
                <w:szCs w:val="17"/>
              </w:rPr>
              <w:t>Items subject to securitization framework</w:t>
            </w:r>
            <w:r>
              <w:rPr>
                <w:sz w:val="17"/>
                <w:szCs w:val="17"/>
              </w:rPr>
              <w:t>: the exposures reported in Part V of this document.</w:t>
            </w:r>
          </w:p>
        </w:tc>
      </w:tr>
      <w:tr w:rsidR="00A668A1" w14:paraId="76CFD252" w14:textId="77777777" w:rsidTr="00916BFE">
        <w:tblPrEx>
          <w:tblLook w:val="04A0" w:firstRow="1" w:lastRow="0" w:firstColumn="1" w:lastColumn="0" w:noHBand="0" w:noVBand="1"/>
        </w:tblPrEx>
        <w:tc>
          <w:tcPr>
            <w:tcW w:w="567" w:type="dxa"/>
            <w:gridSpan w:val="2"/>
          </w:tcPr>
          <w:p w14:paraId="043E696B" w14:textId="77777777" w:rsidR="00A668A1" w:rsidRDefault="00A668A1" w:rsidP="00916BFE">
            <w:pPr>
              <w:pStyle w:val="TableNote"/>
              <w:keepNext/>
              <w:spacing w:before="40" w:after="40"/>
              <w:rPr>
                <w:sz w:val="17"/>
                <w:szCs w:val="17"/>
              </w:rPr>
            </w:pPr>
            <w:r>
              <w:rPr>
                <w:sz w:val="17"/>
                <w:szCs w:val="17"/>
              </w:rPr>
              <w:t>(d)</w:t>
            </w:r>
          </w:p>
        </w:tc>
        <w:tc>
          <w:tcPr>
            <w:tcW w:w="13325" w:type="dxa"/>
            <w:gridSpan w:val="6"/>
          </w:tcPr>
          <w:p w14:paraId="695ED9A1" w14:textId="77777777" w:rsidR="00A668A1" w:rsidRDefault="00A668A1" w:rsidP="00916BFE">
            <w:pPr>
              <w:pStyle w:val="TableNote"/>
              <w:keepNext/>
              <w:spacing w:before="40" w:after="40"/>
              <w:rPr>
                <w:sz w:val="17"/>
                <w:szCs w:val="17"/>
              </w:rPr>
            </w:pPr>
            <w:r>
              <w:rPr>
                <w:i/>
                <w:sz w:val="17"/>
                <w:szCs w:val="17"/>
              </w:rPr>
              <w:t>Items subject to counterparty credit risk framework</w:t>
            </w:r>
            <w:r>
              <w:rPr>
                <w:sz w:val="17"/>
                <w:szCs w:val="17"/>
              </w:rPr>
              <w:t>: the exposures reported in Part IV of this document.</w:t>
            </w:r>
          </w:p>
        </w:tc>
      </w:tr>
      <w:tr w:rsidR="00A668A1" w14:paraId="58643017" w14:textId="77777777" w:rsidTr="00916BFE">
        <w:tblPrEx>
          <w:tblLook w:val="04A0" w:firstRow="1" w:lastRow="0" w:firstColumn="1" w:lastColumn="0" w:noHBand="0" w:noVBand="1"/>
        </w:tblPrEx>
        <w:tc>
          <w:tcPr>
            <w:tcW w:w="567" w:type="dxa"/>
            <w:gridSpan w:val="2"/>
          </w:tcPr>
          <w:p w14:paraId="1DC49604" w14:textId="77777777" w:rsidR="00A668A1" w:rsidRDefault="00A668A1" w:rsidP="00916BFE">
            <w:pPr>
              <w:pStyle w:val="TableNote"/>
              <w:keepNext/>
              <w:spacing w:before="40" w:after="40"/>
              <w:rPr>
                <w:sz w:val="17"/>
                <w:szCs w:val="17"/>
              </w:rPr>
            </w:pPr>
            <w:r>
              <w:rPr>
                <w:sz w:val="17"/>
                <w:szCs w:val="17"/>
              </w:rPr>
              <w:t>(e)</w:t>
            </w:r>
          </w:p>
        </w:tc>
        <w:tc>
          <w:tcPr>
            <w:tcW w:w="13325" w:type="dxa"/>
            <w:gridSpan w:val="6"/>
          </w:tcPr>
          <w:p w14:paraId="19BBE59B" w14:textId="24087B59" w:rsidR="00A668A1" w:rsidRDefault="00A668A1" w:rsidP="00916BFE">
            <w:pPr>
              <w:pStyle w:val="TableNote"/>
              <w:keepNext/>
              <w:spacing w:before="40" w:after="40"/>
              <w:rPr>
                <w:sz w:val="17"/>
                <w:szCs w:val="17"/>
              </w:rPr>
            </w:pPr>
            <w:r>
              <w:rPr>
                <w:i/>
                <w:sz w:val="17"/>
                <w:szCs w:val="17"/>
              </w:rPr>
              <w:t>Items subject to market risk framework</w:t>
            </w:r>
            <w:r>
              <w:rPr>
                <w:sz w:val="17"/>
                <w:szCs w:val="17"/>
              </w:rPr>
              <w:t>: the exposures reported in Part VI and Part IVA of this document.</w:t>
            </w:r>
          </w:p>
        </w:tc>
      </w:tr>
      <w:tr w:rsidR="00A668A1" w14:paraId="0DABAA70" w14:textId="77777777" w:rsidTr="00916BFE">
        <w:tblPrEx>
          <w:tblLook w:val="04A0" w:firstRow="1" w:lastRow="0" w:firstColumn="1" w:lastColumn="0" w:noHBand="0" w:noVBand="1"/>
        </w:tblPrEx>
        <w:tc>
          <w:tcPr>
            <w:tcW w:w="13892" w:type="dxa"/>
            <w:gridSpan w:val="8"/>
            <w:shd w:val="clear" w:color="auto" w:fill="F2F2F2"/>
          </w:tcPr>
          <w:p w14:paraId="1695D8D2" w14:textId="77777777" w:rsidR="00A668A1" w:rsidRDefault="00A668A1" w:rsidP="00916BFE">
            <w:pPr>
              <w:pStyle w:val="TableNote"/>
              <w:keepNext/>
              <w:spacing w:before="40" w:after="40"/>
              <w:rPr>
                <w:i/>
                <w:sz w:val="17"/>
                <w:szCs w:val="17"/>
              </w:rPr>
            </w:pPr>
            <w:r>
              <w:rPr>
                <w:rFonts w:eastAsia="新細明體"/>
                <w:b/>
                <w:sz w:val="17"/>
                <w:lang w:eastAsia="en-GB"/>
              </w:rPr>
              <w:t>Rows</w:t>
            </w:r>
          </w:p>
        </w:tc>
      </w:tr>
      <w:tr w:rsidR="00A668A1" w14:paraId="028C707B" w14:textId="77777777" w:rsidTr="00916BFE">
        <w:tblPrEx>
          <w:tblLook w:val="04A0" w:firstRow="1" w:lastRow="0" w:firstColumn="1" w:lastColumn="0" w:noHBand="0" w:noVBand="1"/>
        </w:tblPrEx>
        <w:tc>
          <w:tcPr>
            <w:tcW w:w="567" w:type="dxa"/>
            <w:gridSpan w:val="2"/>
          </w:tcPr>
          <w:p w14:paraId="0DB63C5E" w14:textId="77777777" w:rsidR="00A668A1" w:rsidRDefault="00A668A1" w:rsidP="00916BFE">
            <w:pPr>
              <w:pStyle w:val="TableNote"/>
              <w:keepNext/>
              <w:spacing w:before="40" w:after="40"/>
              <w:rPr>
                <w:rFonts w:cs="Segoe UI"/>
                <w:sz w:val="17"/>
                <w:szCs w:val="17"/>
              </w:rPr>
            </w:pPr>
            <w:r>
              <w:rPr>
                <w:rFonts w:cs="Segoe UI"/>
                <w:sz w:val="17"/>
                <w:szCs w:val="17"/>
              </w:rPr>
              <w:t>1</w:t>
            </w:r>
          </w:p>
        </w:tc>
        <w:tc>
          <w:tcPr>
            <w:tcW w:w="13325" w:type="dxa"/>
            <w:gridSpan w:val="6"/>
          </w:tcPr>
          <w:p w14:paraId="2336A609" w14:textId="43AD15EF" w:rsidR="00A668A1" w:rsidRDefault="00A668A1" w:rsidP="00916BFE">
            <w:pPr>
              <w:pStyle w:val="TableNote"/>
              <w:keepNext/>
              <w:spacing w:before="40" w:after="40"/>
              <w:rPr>
                <w:rFonts w:cs="Segoe UI"/>
                <w:sz w:val="17"/>
                <w:szCs w:val="17"/>
              </w:rPr>
            </w:pPr>
            <w:r>
              <w:rPr>
                <w:rFonts w:cs="Segoe UI"/>
                <w:i/>
                <w:sz w:val="17"/>
                <w:lang w:eastAsia="en-GB"/>
              </w:rPr>
              <w:t>Asset carrying value amount under scope of re</w:t>
            </w:r>
            <w:r w:rsidR="00D62DE9">
              <w:rPr>
                <w:rFonts w:cs="Segoe UI"/>
                <w:i/>
                <w:sz w:val="17"/>
                <w:lang w:eastAsia="en-GB"/>
              </w:rPr>
              <w:t>gulatory consolidation (as per T</w:t>
            </w:r>
            <w:r>
              <w:rPr>
                <w:rFonts w:cs="Segoe UI"/>
                <w:i/>
                <w:sz w:val="17"/>
                <w:lang w:eastAsia="en-GB"/>
              </w:rPr>
              <w:t>emplate LI1)</w:t>
            </w:r>
            <w:r>
              <w:rPr>
                <w:rFonts w:cs="Segoe UI"/>
                <w:sz w:val="17"/>
                <w:lang w:eastAsia="en-GB"/>
              </w:rPr>
              <w:t xml:space="preserve">: </w:t>
            </w:r>
            <w:r>
              <w:rPr>
                <w:rFonts w:cs="Segoe UI"/>
                <w:sz w:val="17"/>
                <w:szCs w:val="17"/>
              </w:rPr>
              <w:t>the value reported in columns (b) to (e) of this row should correspond to the values reported in columns (c) to</w:t>
            </w:r>
            <w:r w:rsidR="00D62DE9">
              <w:rPr>
                <w:rFonts w:cs="Segoe UI"/>
                <w:sz w:val="17"/>
                <w:szCs w:val="17"/>
              </w:rPr>
              <w:t xml:space="preserve"> (f) of row ‘total assets’, of T</w:t>
            </w:r>
            <w:r>
              <w:rPr>
                <w:rFonts w:cs="Segoe UI"/>
                <w:sz w:val="17"/>
                <w:szCs w:val="17"/>
              </w:rPr>
              <w:t>emplate LI1.</w:t>
            </w:r>
          </w:p>
        </w:tc>
      </w:tr>
      <w:tr w:rsidR="00A668A1" w14:paraId="05B02B24" w14:textId="77777777" w:rsidTr="00916BFE">
        <w:tblPrEx>
          <w:tblLook w:val="04A0" w:firstRow="1" w:lastRow="0" w:firstColumn="1" w:lastColumn="0" w:noHBand="0" w:noVBand="1"/>
        </w:tblPrEx>
        <w:tc>
          <w:tcPr>
            <w:tcW w:w="567" w:type="dxa"/>
            <w:gridSpan w:val="2"/>
          </w:tcPr>
          <w:p w14:paraId="60C3BD8D" w14:textId="77777777" w:rsidR="00A668A1" w:rsidRDefault="00A668A1" w:rsidP="00916BFE">
            <w:pPr>
              <w:pStyle w:val="TableNote"/>
              <w:keepNext/>
              <w:spacing w:before="40" w:after="40"/>
              <w:rPr>
                <w:rFonts w:cs="Segoe UI"/>
                <w:sz w:val="17"/>
                <w:szCs w:val="17"/>
              </w:rPr>
            </w:pPr>
            <w:r>
              <w:rPr>
                <w:rFonts w:cs="Segoe UI"/>
                <w:sz w:val="17"/>
                <w:szCs w:val="17"/>
              </w:rPr>
              <w:t>2</w:t>
            </w:r>
          </w:p>
        </w:tc>
        <w:tc>
          <w:tcPr>
            <w:tcW w:w="13325" w:type="dxa"/>
            <w:gridSpan w:val="6"/>
          </w:tcPr>
          <w:p w14:paraId="504BC422" w14:textId="3D0E5316" w:rsidR="00A668A1" w:rsidRDefault="00A668A1" w:rsidP="00D62DE9">
            <w:pPr>
              <w:pStyle w:val="TableNote"/>
              <w:keepNext/>
              <w:spacing w:before="40" w:after="40"/>
              <w:rPr>
                <w:rFonts w:cs="Segoe UI"/>
                <w:sz w:val="17"/>
                <w:lang w:eastAsia="en-GB"/>
              </w:rPr>
            </w:pPr>
            <w:r>
              <w:rPr>
                <w:rFonts w:cs="Segoe UI"/>
                <w:i/>
                <w:sz w:val="17"/>
                <w:lang w:eastAsia="en-GB"/>
              </w:rPr>
              <w:t xml:space="preserve">Liabilities carrying value amount under regulatory scope of consolidation (as per </w:t>
            </w:r>
            <w:r w:rsidR="00D62DE9">
              <w:rPr>
                <w:rFonts w:cs="Segoe UI"/>
                <w:i/>
                <w:sz w:val="17"/>
                <w:lang w:eastAsia="en-GB"/>
              </w:rPr>
              <w:t>T</w:t>
            </w:r>
            <w:r>
              <w:rPr>
                <w:rFonts w:cs="Segoe UI"/>
                <w:i/>
                <w:sz w:val="17"/>
                <w:lang w:eastAsia="en-GB"/>
              </w:rPr>
              <w:t>emplate LI1)</w:t>
            </w:r>
            <w:r>
              <w:rPr>
                <w:rFonts w:cs="Segoe UI"/>
                <w:sz w:val="17"/>
                <w:lang w:eastAsia="en-GB"/>
              </w:rPr>
              <w:t xml:space="preserve">: </w:t>
            </w:r>
            <w:r>
              <w:rPr>
                <w:rFonts w:cs="Segoe UI"/>
                <w:sz w:val="17"/>
                <w:szCs w:val="17"/>
              </w:rPr>
              <w:t xml:space="preserve">the value reported in columns (b) to (e) of this row should correspond to the values reported in columns (c) to (f) </w:t>
            </w:r>
            <w:r w:rsidR="00D62DE9">
              <w:rPr>
                <w:rFonts w:cs="Segoe UI"/>
                <w:sz w:val="17"/>
                <w:szCs w:val="17"/>
              </w:rPr>
              <w:t>of row ‘total liabilities’, of T</w:t>
            </w:r>
            <w:r>
              <w:rPr>
                <w:rFonts w:cs="Segoe UI"/>
                <w:sz w:val="17"/>
                <w:szCs w:val="17"/>
              </w:rPr>
              <w:t>emplate LI1.</w:t>
            </w:r>
          </w:p>
        </w:tc>
      </w:tr>
      <w:tr w:rsidR="00A668A1" w14:paraId="3083EFF1" w14:textId="77777777" w:rsidTr="00916BFE">
        <w:tblPrEx>
          <w:tblLook w:val="04A0" w:firstRow="1" w:lastRow="0" w:firstColumn="1" w:lastColumn="0" w:noHBand="0" w:noVBand="1"/>
        </w:tblPrEx>
        <w:tc>
          <w:tcPr>
            <w:tcW w:w="567" w:type="dxa"/>
            <w:gridSpan w:val="2"/>
          </w:tcPr>
          <w:p w14:paraId="5273AEF0" w14:textId="77777777" w:rsidR="00A668A1" w:rsidRDefault="00A668A1" w:rsidP="00916BFE">
            <w:pPr>
              <w:pStyle w:val="TableNote"/>
              <w:keepNext/>
              <w:spacing w:before="40" w:after="40"/>
              <w:rPr>
                <w:rFonts w:cs="Segoe UI"/>
                <w:sz w:val="17"/>
                <w:szCs w:val="17"/>
              </w:rPr>
            </w:pPr>
            <w:r>
              <w:rPr>
                <w:rFonts w:cs="Segoe UI"/>
                <w:sz w:val="17"/>
                <w:szCs w:val="17"/>
              </w:rPr>
              <w:t>3</w:t>
            </w:r>
          </w:p>
        </w:tc>
        <w:tc>
          <w:tcPr>
            <w:tcW w:w="13325" w:type="dxa"/>
            <w:gridSpan w:val="6"/>
          </w:tcPr>
          <w:p w14:paraId="3B0B0322" w14:textId="77777777" w:rsidR="00A668A1" w:rsidRDefault="00A668A1" w:rsidP="00916BFE">
            <w:pPr>
              <w:pStyle w:val="TableNote"/>
              <w:keepNext/>
              <w:spacing w:before="40" w:after="40"/>
              <w:rPr>
                <w:rFonts w:cs="Segoe UI"/>
                <w:sz w:val="17"/>
                <w:szCs w:val="17"/>
                <w:lang w:eastAsia="en-GB"/>
              </w:rPr>
            </w:pPr>
            <w:r>
              <w:rPr>
                <w:rFonts w:cs="Segoe UI"/>
                <w:i/>
                <w:sz w:val="17"/>
                <w:lang w:eastAsia="en-GB"/>
              </w:rPr>
              <w:t>Total net amount under regulatory scope of consolidation</w:t>
            </w:r>
            <w:r>
              <w:rPr>
                <w:rFonts w:cs="Segoe UI"/>
                <w:sz w:val="17"/>
                <w:lang w:eastAsia="en-GB"/>
              </w:rPr>
              <w:t>:</w:t>
            </w:r>
            <w:r>
              <w:rPr>
                <w:rFonts w:cs="Segoe UI"/>
                <w:sz w:val="17"/>
                <w:szCs w:val="17"/>
                <w:lang w:eastAsia="en-GB"/>
              </w:rPr>
              <w:t xml:space="preserve"> all values in this row are derived from the subtraction of the respective values in row 1 and row 2.</w:t>
            </w:r>
          </w:p>
        </w:tc>
      </w:tr>
      <w:tr w:rsidR="00A668A1" w14:paraId="77DD1D39" w14:textId="77777777" w:rsidTr="00916BFE">
        <w:tblPrEx>
          <w:tblLook w:val="04A0" w:firstRow="1" w:lastRow="0" w:firstColumn="1" w:lastColumn="0" w:noHBand="0" w:noVBand="1"/>
        </w:tblPrEx>
        <w:tc>
          <w:tcPr>
            <w:tcW w:w="567" w:type="dxa"/>
            <w:gridSpan w:val="2"/>
          </w:tcPr>
          <w:p w14:paraId="5098BA0E" w14:textId="77777777" w:rsidR="00A668A1" w:rsidRDefault="00A668A1" w:rsidP="00916BFE">
            <w:pPr>
              <w:pStyle w:val="TableNote"/>
              <w:keepNext/>
              <w:spacing w:before="40" w:after="40"/>
              <w:rPr>
                <w:rFonts w:cs="Segoe UI"/>
                <w:sz w:val="17"/>
                <w:szCs w:val="17"/>
              </w:rPr>
            </w:pPr>
            <w:r>
              <w:rPr>
                <w:rFonts w:cs="Segoe UI"/>
                <w:sz w:val="17"/>
                <w:szCs w:val="17"/>
              </w:rPr>
              <w:t>4</w:t>
            </w:r>
          </w:p>
        </w:tc>
        <w:tc>
          <w:tcPr>
            <w:tcW w:w="13325" w:type="dxa"/>
            <w:gridSpan w:val="6"/>
          </w:tcPr>
          <w:p w14:paraId="0E268C32" w14:textId="7470D8CD" w:rsidR="00A668A1" w:rsidRDefault="00A668A1" w:rsidP="00916BFE">
            <w:pPr>
              <w:pStyle w:val="TableNote"/>
              <w:keepNext/>
              <w:spacing w:before="40" w:after="40"/>
              <w:rPr>
                <w:rFonts w:cs="Segoe UI"/>
                <w:b/>
                <w:sz w:val="17"/>
                <w:szCs w:val="17"/>
              </w:rPr>
            </w:pPr>
            <w:r>
              <w:rPr>
                <w:rFonts w:cs="Segoe UI"/>
                <w:i/>
                <w:sz w:val="17"/>
                <w:szCs w:val="17"/>
              </w:rPr>
              <w:t>Off-balance sheet amounts</w:t>
            </w:r>
            <w:r>
              <w:rPr>
                <w:rFonts w:cs="Segoe UI"/>
                <w:sz w:val="17"/>
                <w:szCs w:val="17"/>
              </w:rPr>
              <w:t>: these include original exposures of OBS items, prior to the application of CCFs in column (a), and the amounts subject to the respective regulatory frameworks, after application of the CCFs where relevant, in columns (b) to (d).</w:t>
            </w:r>
          </w:p>
        </w:tc>
      </w:tr>
      <w:tr w:rsidR="00A668A1" w14:paraId="7C5989CB" w14:textId="77777777" w:rsidTr="00916BFE">
        <w:tblPrEx>
          <w:tblLook w:val="04A0" w:firstRow="1" w:lastRow="0" w:firstColumn="1" w:lastColumn="0" w:noHBand="0" w:noVBand="1"/>
        </w:tblPrEx>
        <w:tc>
          <w:tcPr>
            <w:tcW w:w="567" w:type="dxa"/>
            <w:gridSpan w:val="2"/>
          </w:tcPr>
          <w:p w14:paraId="78B70359" w14:textId="77777777" w:rsidR="00A668A1" w:rsidRDefault="00A668A1" w:rsidP="00916BFE">
            <w:pPr>
              <w:pStyle w:val="TableNote"/>
              <w:keepNext/>
              <w:spacing w:before="40" w:after="40"/>
              <w:rPr>
                <w:rFonts w:cs="Segoe UI"/>
                <w:sz w:val="17"/>
                <w:szCs w:val="17"/>
                <w:lang w:eastAsia="en-GB"/>
              </w:rPr>
            </w:pPr>
            <w:r>
              <w:rPr>
                <w:rFonts w:cs="Segoe UI"/>
                <w:sz w:val="17"/>
                <w:szCs w:val="17"/>
                <w:lang w:eastAsia="en-GB"/>
              </w:rPr>
              <w:t>5 to N-1</w:t>
            </w:r>
          </w:p>
        </w:tc>
        <w:tc>
          <w:tcPr>
            <w:tcW w:w="13325" w:type="dxa"/>
            <w:gridSpan w:val="6"/>
          </w:tcPr>
          <w:p w14:paraId="2008600D" w14:textId="77777777" w:rsidR="00A668A1" w:rsidRDefault="00A668A1" w:rsidP="00916BFE">
            <w:pPr>
              <w:pStyle w:val="TableNote"/>
              <w:keepNext/>
              <w:spacing w:before="40" w:after="40"/>
              <w:rPr>
                <w:rFonts w:cs="Segoe UI"/>
                <w:sz w:val="17"/>
                <w:szCs w:val="17"/>
                <w:lang w:eastAsia="en-GB"/>
              </w:rPr>
            </w:pPr>
            <w:r>
              <w:rPr>
                <w:rFonts w:cs="Segoe UI"/>
                <w:sz w:val="17"/>
                <w:szCs w:val="17"/>
                <w:lang w:eastAsia="en-GB"/>
              </w:rPr>
              <w:t>Row headings shown in rows 5 to N-1 in above are provided for illustrative purposes only and should be adapted by the AI to describe the most meaningful drivers for differences between its financial statement carrying values and the exposure amounts considered for regulatory purposes.</w:t>
            </w:r>
          </w:p>
        </w:tc>
      </w:tr>
      <w:tr w:rsidR="00A668A1" w14:paraId="53227C12" w14:textId="77777777" w:rsidTr="00916BFE">
        <w:tblPrEx>
          <w:tblLook w:val="04A0" w:firstRow="1" w:lastRow="0" w:firstColumn="1" w:lastColumn="0" w:noHBand="0" w:noVBand="1"/>
        </w:tblPrEx>
        <w:tc>
          <w:tcPr>
            <w:tcW w:w="567" w:type="dxa"/>
            <w:gridSpan w:val="2"/>
          </w:tcPr>
          <w:p w14:paraId="12081DFF" w14:textId="77777777" w:rsidR="00A668A1" w:rsidRDefault="00A668A1" w:rsidP="00916BFE">
            <w:pPr>
              <w:pStyle w:val="TableNote"/>
              <w:keepNext/>
              <w:spacing w:before="40" w:after="40"/>
              <w:rPr>
                <w:rFonts w:cs="Segoe UI"/>
                <w:sz w:val="17"/>
                <w:szCs w:val="17"/>
                <w:lang w:eastAsia="en-GB"/>
              </w:rPr>
            </w:pPr>
            <w:r>
              <w:rPr>
                <w:rFonts w:cs="Segoe UI"/>
                <w:sz w:val="17"/>
                <w:szCs w:val="17"/>
                <w:lang w:eastAsia="en-GB"/>
              </w:rPr>
              <w:lastRenderedPageBreak/>
              <w:t>7</w:t>
            </w:r>
          </w:p>
        </w:tc>
        <w:tc>
          <w:tcPr>
            <w:tcW w:w="13325" w:type="dxa"/>
            <w:gridSpan w:val="6"/>
          </w:tcPr>
          <w:p w14:paraId="5C736CD1" w14:textId="77777777" w:rsidR="00A668A1" w:rsidRDefault="00A668A1" w:rsidP="00916BFE">
            <w:pPr>
              <w:pStyle w:val="TableNote"/>
              <w:keepNext/>
              <w:spacing w:before="40" w:after="40"/>
              <w:rPr>
                <w:rFonts w:cs="Segoe UI"/>
                <w:sz w:val="17"/>
                <w:szCs w:val="17"/>
                <w:lang w:eastAsia="en-GB"/>
              </w:rPr>
            </w:pPr>
            <w:r w:rsidRPr="0046359C">
              <w:rPr>
                <w:rFonts w:cs="Segoe UI"/>
                <w:i/>
                <w:sz w:val="17"/>
                <w:szCs w:val="17"/>
                <w:lang w:eastAsia="en-GB"/>
              </w:rPr>
              <w:t>Differences due to consideration of provisions</w:t>
            </w:r>
            <w:r w:rsidRPr="003B0443">
              <w:rPr>
                <w:rFonts w:cs="Segoe UI"/>
                <w:sz w:val="17"/>
                <w:szCs w:val="17"/>
                <w:lang w:eastAsia="en-GB"/>
              </w:rPr>
              <w:t xml:space="preserve">: </w:t>
            </w:r>
            <w:r>
              <w:rPr>
                <w:rFonts w:cs="Segoe UI"/>
                <w:sz w:val="17"/>
                <w:szCs w:val="17"/>
                <w:lang w:eastAsia="en-GB"/>
              </w:rPr>
              <w:t>t</w:t>
            </w:r>
            <w:r w:rsidRPr="003B0443">
              <w:rPr>
                <w:rFonts w:cs="Segoe UI"/>
                <w:sz w:val="17"/>
                <w:szCs w:val="17"/>
                <w:lang w:eastAsia="en-GB"/>
              </w:rPr>
              <w:t xml:space="preserve">he exposure values under row 1 are the carrying amounts and hence net of provisions (ie specific and </w:t>
            </w:r>
            <w:r>
              <w:rPr>
                <w:rFonts w:cs="Segoe UI"/>
                <w:sz w:val="17"/>
                <w:szCs w:val="17"/>
                <w:lang w:eastAsia="en-GB"/>
              </w:rPr>
              <w:t xml:space="preserve">collective </w:t>
            </w:r>
            <w:r w:rsidRPr="003B0443">
              <w:rPr>
                <w:rFonts w:cs="Segoe UI"/>
                <w:sz w:val="17"/>
                <w:szCs w:val="17"/>
                <w:lang w:eastAsia="en-GB"/>
              </w:rPr>
              <w:t xml:space="preserve">provisions). Nevertheless, exposures under the FIRB </w:t>
            </w:r>
            <w:r>
              <w:rPr>
                <w:rFonts w:cs="Segoe UI"/>
                <w:sz w:val="17"/>
                <w:szCs w:val="17"/>
                <w:lang w:eastAsia="en-GB"/>
              </w:rPr>
              <w:t xml:space="preserve">approach </w:t>
            </w:r>
            <w:r w:rsidRPr="003B0443">
              <w:rPr>
                <w:rFonts w:cs="Segoe UI"/>
                <w:sz w:val="17"/>
                <w:szCs w:val="17"/>
                <w:lang w:eastAsia="en-GB"/>
              </w:rPr>
              <w:t>and AIRB</w:t>
            </w:r>
            <w:r>
              <w:rPr>
                <w:rFonts w:cs="Segoe UI"/>
                <w:sz w:val="17"/>
                <w:szCs w:val="17"/>
                <w:lang w:eastAsia="en-GB"/>
              </w:rPr>
              <w:t xml:space="preserve"> approach</w:t>
            </w:r>
            <w:r w:rsidRPr="003B0443">
              <w:rPr>
                <w:rFonts w:cs="Segoe UI"/>
                <w:sz w:val="17"/>
                <w:szCs w:val="17"/>
                <w:lang w:eastAsia="en-GB"/>
              </w:rPr>
              <w:t xml:space="preserve"> are risk-weighted gross of provisions. </w:t>
            </w:r>
            <w:r>
              <w:rPr>
                <w:rFonts w:cs="Segoe UI"/>
                <w:sz w:val="17"/>
                <w:szCs w:val="17"/>
                <w:lang w:eastAsia="en-GB"/>
              </w:rPr>
              <w:t xml:space="preserve"> </w:t>
            </w:r>
            <w:r w:rsidRPr="003B0443">
              <w:rPr>
                <w:rFonts w:cs="Segoe UI"/>
                <w:sz w:val="17"/>
                <w:szCs w:val="17"/>
                <w:lang w:eastAsia="en-GB"/>
              </w:rPr>
              <w:t xml:space="preserve">Row 7 therefore is the re-inclusion of </w:t>
            </w:r>
            <w:r>
              <w:rPr>
                <w:rFonts w:cs="Segoe UI"/>
                <w:sz w:val="17"/>
                <w:szCs w:val="17"/>
                <w:lang w:eastAsia="en-GB"/>
              </w:rPr>
              <w:t xml:space="preserve">collective </w:t>
            </w:r>
            <w:r w:rsidRPr="003B0443">
              <w:rPr>
                <w:rFonts w:cs="Segoe UI"/>
                <w:sz w:val="17"/>
                <w:szCs w:val="17"/>
                <w:lang w:eastAsia="en-GB"/>
              </w:rPr>
              <w:t xml:space="preserve">and specific provisions in the carrying amount of exposures in the FIRB </w:t>
            </w:r>
            <w:r>
              <w:rPr>
                <w:rFonts w:cs="Segoe UI"/>
                <w:sz w:val="17"/>
                <w:szCs w:val="17"/>
                <w:lang w:eastAsia="en-GB"/>
              </w:rPr>
              <w:t xml:space="preserve">approach </w:t>
            </w:r>
            <w:r w:rsidRPr="003B0443">
              <w:rPr>
                <w:rFonts w:cs="Segoe UI"/>
                <w:sz w:val="17"/>
                <w:szCs w:val="17"/>
                <w:lang w:eastAsia="en-GB"/>
              </w:rPr>
              <w:t xml:space="preserve">and AIRB </w:t>
            </w:r>
            <w:r>
              <w:rPr>
                <w:rFonts w:cs="Segoe UI"/>
                <w:sz w:val="17"/>
                <w:szCs w:val="17"/>
                <w:lang w:eastAsia="en-GB"/>
              </w:rPr>
              <w:t xml:space="preserve">approach </w:t>
            </w:r>
            <w:r w:rsidRPr="003B0443">
              <w:rPr>
                <w:rFonts w:cs="Segoe UI"/>
                <w:sz w:val="17"/>
                <w:szCs w:val="17"/>
                <w:lang w:eastAsia="en-GB"/>
              </w:rPr>
              <w:t xml:space="preserve">so that the carrying amount of those exposures is reconciled with their regulatory exposure value. </w:t>
            </w:r>
            <w:r>
              <w:rPr>
                <w:rFonts w:cs="Segoe UI"/>
                <w:sz w:val="17"/>
                <w:szCs w:val="17"/>
                <w:lang w:eastAsia="en-GB"/>
              </w:rPr>
              <w:t xml:space="preserve"> </w:t>
            </w:r>
            <w:r w:rsidRPr="003B0443">
              <w:rPr>
                <w:rFonts w:cs="Segoe UI"/>
                <w:sz w:val="17"/>
                <w:szCs w:val="17"/>
                <w:lang w:eastAsia="en-GB"/>
              </w:rPr>
              <w:t xml:space="preserve">Row 7 may also include the elements qualifying as </w:t>
            </w:r>
            <w:r>
              <w:rPr>
                <w:rFonts w:cs="Segoe UI"/>
                <w:sz w:val="17"/>
                <w:szCs w:val="17"/>
                <w:lang w:eastAsia="en-GB"/>
              </w:rPr>
              <w:t xml:space="preserve">collective </w:t>
            </w:r>
            <w:r w:rsidRPr="003B0443">
              <w:rPr>
                <w:rFonts w:cs="Segoe UI"/>
                <w:sz w:val="17"/>
                <w:szCs w:val="17"/>
                <w:lang w:eastAsia="en-GB"/>
              </w:rPr>
              <w:t xml:space="preserve">provisions that may have been deducted from the carrying amount of exposures under the </w:t>
            </w:r>
            <w:r>
              <w:rPr>
                <w:rFonts w:cs="Segoe UI"/>
                <w:sz w:val="17"/>
                <w:szCs w:val="17"/>
                <w:lang w:eastAsia="en-GB"/>
              </w:rPr>
              <w:t xml:space="preserve">STC </w:t>
            </w:r>
            <w:r w:rsidRPr="003B0443">
              <w:rPr>
                <w:rFonts w:cs="Segoe UI"/>
                <w:sz w:val="17"/>
                <w:szCs w:val="17"/>
                <w:lang w:eastAsia="en-GB"/>
              </w:rPr>
              <w:t xml:space="preserve">approach and that therefore need to be reintegrated in the regulatory exposure value of those exposures. </w:t>
            </w:r>
            <w:r>
              <w:rPr>
                <w:rFonts w:cs="Segoe UI"/>
                <w:sz w:val="17"/>
                <w:szCs w:val="17"/>
                <w:lang w:eastAsia="en-GB"/>
              </w:rPr>
              <w:t xml:space="preserve"> </w:t>
            </w:r>
            <w:r w:rsidRPr="003B0443">
              <w:rPr>
                <w:rFonts w:cs="Segoe UI"/>
                <w:sz w:val="17"/>
                <w:szCs w:val="17"/>
                <w:lang w:eastAsia="en-GB"/>
              </w:rPr>
              <w:t xml:space="preserve">Any differences between the accounting </w:t>
            </w:r>
            <w:r>
              <w:rPr>
                <w:rFonts w:cs="Segoe UI"/>
                <w:sz w:val="17"/>
                <w:szCs w:val="17"/>
                <w:lang w:eastAsia="en-GB"/>
              </w:rPr>
              <w:t xml:space="preserve">provisions </w:t>
            </w:r>
            <w:r w:rsidRPr="003B0443">
              <w:rPr>
                <w:rFonts w:cs="Segoe UI"/>
                <w:sz w:val="17"/>
                <w:szCs w:val="17"/>
                <w:lang w:eastAsia="en-GB"/>
              </w:rPr>
              <w:t>and the regulatory provisions that have an impact on the exposure amounts considered for regulatory purposes should also be included in row 7.</w:t>
            </w:r>
          </w:p>
        </w:tc>
      </w:tr>
      <w:tr w:rsidR="00A668A1" w14:paraId="0B3F4962" w14:textId="77777777" w:rsidTr="00916BFE">
        <w:tblPrEx>
          <w:tblLook w:val="04A0" w:firstRow="1" w:lastRow="0" w:firstColumn="1" w:lastColumn="0" w:noHBand="0" w:noVBand="1"/>
        </w:tblPrEx>
        <w:tc>
          <w:tcPr>
            <w:tcW w:w="567" w:type="dxa"/>
            <w:gridSpan w:val="2"/>
          </w:tcPr>
          <w:p w14:paraId="6CFE98D3" w14:textId="77777777" w:rsidR="00A668A1" w:rsidRDefault="00A668A1" w:rsidP="00916BFE">
            <w:pPr>
              <w:pStyle w:val="TableNote"/>
              <w:keepNext/>
              <w:spacing w:before="40" w:after="40"/>
              <w:rPr>
                <w:rFonts w:cs="Segoe UI"/>
                <w:sz w:val="17"/>
                <w:szCs w:val="17"/>
                <w:lang w:eastAsia="en-GB"/>
              </w:rPr>
            </w:pPr>
            <w:r>
              <w:rPr>
                <w:rFonts w:cs="Segoe UI"/>
                <w:sz w:val="17"/>
                <w:szCs w:val="17"/>
                <w:lang w:eastAsia="en-GB"/>
              </w:rPr>
              <w:t>N</w:t>
            </w:r>
          </w:p>
        </w:tc>
        <w:tc>
          <w:tcPr>
            <w:tcW w:w="13325" w:type="dxa"/>
            <w:gridSpan w:val="6"/>
          </w:tcPr>
          <w:p w14:paraId="7E39D221" w14:textId="57AA19CA" w:rsidR="00A668A1" w:rsidRDefault="00A668A1" w:rsidP="00916BFE">
            <w:pPr>
              <w:pStyle w:val="TableNote"/>
              <w:keepNext/>
              <w:spacing w:before="40" w:after="40"/>
              <w:rPr>
                <w:rFonts w:cs="Segoe UI"/>
                <w:sz w:val="17"/>
                <w:szCs w:val="17"/>
                <w:lang w:eastAsia="en-GB"/>
              </w:rPr>
            </w:pPr>
            <w:r>
              <w:rPr>
                <w:rFonts w:cs="Segoe UI"/>
                <w:i/>
                <w:sz w:val="17"/>
                <w:szCs w:val="17"/>
                <w:lang w:eastAsia="en-GB"/>
              </w:rPr>
              <w:t>Exposure amounts considered for regulatory purposes</w:t>
            </w:r>
            <w:r>
              <w:rPr>
                <w:rFonts w:cs="Segoe UI"/>
                <w:sz w:val="17"/>
                <w:szCs w:val="17"/>
                <w:lang w:eastAsia="en-GB"/>
              </w:rPr>
              <w:t>: the row designates the aggregate amount considered as a ‘starting point’ of the RWA calculation (post CCF and CRM) for each of the risk categories.  This should correspond either to the exposure amount applied in the STC approach, in the BSC approach or to the EAD in the IRB approach under the credit risk framework; the exposure amount of any securitization exposure under the securitization framework; and the default risk exposure or EAD under the counterparty credit risk framework.</w:t>
            </w:r>
          </w:p>
        </w:tc>
      </w:tr>
    </w:tbl>
    <w:p w14:paraId="15EEDECA" w14:textId="77777777" w:rsidR="00A668A1" w:rsidRDefault="00A668A1" w:rsidP="00A668A1">
      <w:pPr>
        <w:pStyle w:val="TableNote"/>
        <w:keepNext/>
        <w:spacing w:before="40" w:after="40"/>
        <w:rPr>
          <w:sz w:val="17"/>
          <w:szCs w:val="17"/>
        </w:rPr>
        <w:sectPr w:rsidR="00A668A1" w:rsidSect="00A668A1">
          <w:footerReference w:type="default" r:id="rId13"/>
          <w:pgSz w:w="16838" w:h="11906" w:orient="landscape" w:code="9"/>
          <w:pgMar w:top="1134" w:right="1440" w:bottom="1134" w:left="1440" w:header="851" w:footer="737" w:gutter="0"/>
          <w:cols w:space="425"/>
          <w:docGrid w:type="linesAndChars" w:linePitch="360"/>
        </w:sectPr>
      </w:pPr>
    </w:p>
    <w:p w14:paraId="07E5A8FA" w14:textId="77777777" w:rsidR="00A668A1" w:rsidRDefault="00A668A1" w:rsidP="00A668A1">
      <w:pPr>
        <w:spacing w:before="40" w:after="40"/>
        <w:sectPr w:rsidR="00A668A1" w:rsidSect="00916BFE">
          <w:type w:val="continuous"/>
          <w:pgSz w:w="16838" w:h="11906" w:orient="landscape" w:code="9"/>
          <w:pgMar w:top="1134" w:right="1440" w:bottom="1134" w:left="1440" w:header="851" w:footer="737" w:gutter="0"/>
          <w:cols w:space="425"/>
          <w:docGrid w:type="linesAndChars" w:linePitch="360"/>
        </w:sectPr>
      </w:pPr>
    </w:p>
    <w:p w14:paraId="2B5B24BC" w14:textId="77777777" w:rsidR="00916BFE" w:rsidRDefault="00916BFE" w:rsidP="00D8383A">
      <w:pPr>
        <w:pStyle w:val="Heading2"/>
        <w:ind w:right="-199"/>
      </w:pPr>
      <w:r>
        <w:lastRenderedPageBreak/>
        <w:t>Table LIA: Explanations of differences between accounting and regulatory exposure amounts</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916BFE" w14:paraId="5CFC705A" w14:textId="77777777" w:rsidTr="00916BFE">
        <w:tc>
          <w:tcPr>
            <w:tcW w:w="2008" w:type="dxa"/>
          </w:tcPr>
          <w:p w14:paraId="629D1557" w14:textId="77777777" w:rsidR="00916BFE" w:rsidRDefault="00916BFE" w:rsidP="00916BFE">
            <w:pPr>
              <w:spacing w:before="40" w:after="40"/>
              <w:rPr>
                <w:noProof/>
                <w:sz w:val="17"/>
                <w:lang w:eastAsia="en-GB"/>
              </w:rPr>
            </w:pPr>
            <w:r>
              <w:rPr>
                <w:b/>
                <w:sz w:val="17"/>
                <w:lang w:eastAsia="en-GB"/>
              </w:rPr>
              <w:t>Purpose:</w:t>
            </w:r>
          </w:p>
        </w:tc>
        <w:tc>
          <w:tcPr>
            <w:tcW w:w="7234" w:type="dxa"/>
          </w:tcPr>
          <w:p w14:paraId="3F488AAA" w14:textId="2B876BEB" w:rsidR="00916BFE" w:rsidRDefault="00916BFE" w:rsidP="00363405">
            <w:pPr>
              <w:pStyle w:val="TableText"/>
              <w:jc w:val="both"/>
              <w:rPr>
                <w:lang w:eastAsia="en-GB"/>
              </w:rPr>
            </w:pPr>
            <w:r>
              <w:rPr>
                <w:lang w:eastAsia="en-GB"/>
              </w:rPr>
              <w:t xml:space="preserve">To provide qualitative explanations on the differences observed between accounting carrying values (as defined in </w:t>
            </w:r>
            <w:r w:rsidR="00363405">
              <w:rPr>
                <w:lang w:eastAsia="en-GB"/>
              </w:rPr>
              <w:t>T</w:t>
            </w:r>
            <w:r>
              <w:rPr>
                <w:lang w:eastAsia="en-GB"/>
              </w:rPr>
              <w:t>emplate LI1) and amounts considered for regulatory c</w:t>
            </w:r>
            <w:r w:rsidR="00363405">
              <w:rPr>
                <w:lang w:eastAsia="en-GB"/>
              </w:rPr>
              <w:t>apital purposes (as defined in T</w:t>
            </w:r>
            <w:r>
              <w:rPr>
                <w:lang w:eastAsia="en-GB"/>
              </w:rPr>
              <w:t xml:space="preserve">emplate LI2) under each risk framework. </w:t>
            </w:r>
          </w:p>
        </w:tc>
      </w:tr>
      <w:tr w:rsidR="00916BFE" w14:paraId="15382166" w14:textId="77777777" w:rsidTr="00916BFE">
        <w:tc>
          <w:tcPr>
            <w:tcW w:w="2008" w:type="dxa"/>
          </w:tcPr>
          <w:p w14:paraId="5B6F094E" w14:textId="77777777" w:rsidR="00916BFE" w:rsidRDefault="00916BFE" w:rsidP="00916BFE">
            <w:pPr>
              <w:spacing w:before="40" w:after="40"/>
              <w:rPr>
                <w:b/>
                <w:sz w:val="17"/>
                <w:lang w:eastAsia="en-GB"/>
              </w:rPr>
            </w:pPr>
            <w:r>
              <w:rPr>
                <w:b/>
                <w:sz w:val="17"/>
                <w:lang w:eastAsia="en-GB"/>
              </w:rPr>
              <w:t>Scope of application:</w:t>
            </w:r>
          </w:p>
        </w:tc>
        <w:tc>
          <w:tcPr>
            <w:tcW w:w="7234" w:type="dxa"/>
          </w:tcPr>
          <w:p w14:paraId="4DC4E2A8" w14:textId="77777777" w:rsidR="00916BFE" w:rsidRDefault="00916BFE" w:rsidP="00916BFE">
            <w:pPr>
              <w:spacing w:before="40" w:after="40"/>
              <w:jc w:val="both"/>
              <w:rPr>
                <w:b/>
                <w:sz w:val="17"/>
                <w:lang w:eastAsia="en-GB"/>
              </w:rPr>
            </w:pPr>
            <w:r>
              <w:rPr>
                <w:rFonts w:eastAsia="新細明體"/>
                <w:sz w:val="17"/>
                <w:lang w:eastAsia="en-GB"/>
              </w:rPr>
              <w:t>The table is mandatory for all AIs</w:t>
            </w:r>
            <w:r>
              <w:t xml:space="preserve"> </w:t>
            </w:r>
            <w:r>
              <w:rPr>
                <w:rFonts w:eastAsia="新細明體"/>
                <w:sz w:val="17"/>
                <w:lang w:eastAsia="en-GB"/>
              </w:rPr>
              <w:t>incorporated in Hong Kong.</w:t>
            </w:r>
          </w:p>
        </w:tc>
      </w:tr>
      <w:tr w:rsidR="00916BFE" w14:paraId="3CD74960" w14:textId="77777777" w:rsidTr="00916BFE">
        <w:tc>
          <w:tcPr>
            <w:tcW w:w="2008" w:type="dxa"/>
          </w:tcPr>
          <w:p w14:paraId="2565FBC8" w14:textId="77777777" w:rsidR="00916BFE" w:rsidRDefault="00916BFE" w:rsidP="00916BFE">
            <w:pPr>
              <w:spacing w:before="40" w:after="40"/>
              <w:rPr>
                <w:b/>
                <w:sz w:val="17"/>
                <w:lang w:eastAsia="en-GB"/>
              </w:rPr>
            </w:pPr>
            <w:r>
              <w:rPr>
                <w:b/>
                <w:sz w:val="17"/>
                <w:lang w:eastAsia="en-GB"/>
              </w:rPr>
              <w:t>Content:</w:t>
            </w:r>
          </w:p>
        </w:tc>
        <w:tc>
          <w:tcPr>
            <w:tcW w:w="7234" w:type="dxa"/>
          </w:tcPr>
          <w:p w14:paraId="5478E433" w14:textId="77777777" w:rsidR="00916BFE" w:rsidRDefault="00916BFE" w:rsidP="00916BFE">
            <w:pPr>
              <w:spacing w:before="40" w:after="40"/>
              <w:jc w:val="both"/>
              <w:rPr>
                <w:b/>
                <w:sz w:val="17"/>
                <w:lang w:eastAsia="en-GB"/>
              </w:rPr>
            </w:pPr>
            <w:r>
              <w:rPr>
                <w:sz w:val="17"/>
                <w:lang w:eastAsia="en-GB"/>
              </w:rPr>
              <w:t>Qualitative information.</w:t>
            </w:r>
          </w:p>
        </w:tc>
      </w:tr>
      <w:tr w:rsidR="00916BFE" w14:paraId="7E6FAF1A" w14:textId="77777777" w:rsidTr="00916BFE">
        <w:tc>
          <w:tcPr>
            <w:tcW w:w="2008" w:type="dxa"/>
          </w:tcPr>
          <w:p w14:paraId="2A26C157" w14:textId="77777777" w:rsidR="00916BFE" w:rsidRDefault="00916BFE" w:rsidP="00916BFE">
            <w:pPr>
              <w:spacing w:before="40" w:after="40"/>
              <w:rPr>
                <w:sz w:val="17"/>
                <w:lang w:eastAsia="en-GB"/>
              </w:rPr>
            </w:pPr>
            <w:r>
              <w:rPr>
                <w:b/>
                <w:sz w:val="17"/>
                <w:lang w:eastAsia="en-GB"/>
              </w:rPr>
              <w:t>Frequency:</w:t>
            </w:r>
          </w:p>
        </w:tc>
        <w:tc>
          <w:tcPr>
            <w:tcW w:w="7234" w:type="dxa"/>
          </w:tcPr>
          <w:p w14:paraId="2BD3FBCD" w14:textId="77777777" w:rsidR="00916BFE" w:rsidRDefault="00916BFE" w:rsidP="00916BFE">
            <w:pPr>
              <w:pStyle w:val="TableText"/>
              <w:jc w:val="both"/>
              <w:rPr>
                <w:lang w:eastAsia="en-GB"/>
              </w:rPr>
            </w:pPr>
            <w:r>
              <w:rPr>
                <w:lang w:eastAsia="en-GB"/>
              </w:rPr>
              <w:t>Annual.</w:t>
            </w:r>
          </w:p>
        </w:tc>
      </w:tr>
      <w:tr w:rsidR="00916BFE" w14:paraId="10E540C4" w14:textId="77777777" w:rsidTr="00916BFE">
        <w:tc>
          <w:tcPr>
            <w:tcW w:w="2008" w:type="dxa"/>
          </w:tcPr>
          <w:p w14:paraId="1D9D6B2A" w14:textId="77777777" w:rsidR="00916BFE" w:rsidRDefault="00916BFE" w:rsidP="00916BFE">
            <w:pPr>
              <w:spacing w:before="40" w:after="40"/>
              <w:rPr>
                <w:sz w:val="17"/>
                <w:lang w:eastAsia="en-GB"/>
              </w:rPr>
            </w:pPr>
            <w:r>
              <w:rPr>
                <w:b/>
                <w:sz w:val="17"/>
                <w:lang w:eastAsia="en-GB"/>
              </w:rPr>
              <w:t>Format:</w:t>
            </w:r>
          </w:p>
        </w:tc>
        <w:tc>
          <w:tcPr>
            <w:tcW w:w="7234" w:type="dxa"/>
          </w:tcPr>
          <w:p w14:paraId="3B24E155" w14:textId="77777777" w:rsidR="00916BFE" w:rsidRDefault="00916BFE" w:rsidP="00916BFE">
            <w:pPr>
              <w:pStyle w:val="TableText"/>
              <w:jc w:val="both"/>
              <w:rPr>
                <w:lang w:eastAsia="en-GB"/>
              </w:rPr>
            </w:pPr>
            <w:r>
              <w:rPr>
                <w:lang w:eastAsia="en-GB"/>
              </w:rPr>
              <w:t>Flexible.</w:t>
            </w:r>
          </w:p>
        </w:tc>
      </w:tr>
      <w:tr w:rsidR="00916BFE" w14:paraId="324C5AE5" w14:textId="77777777" w:rsidTr="00916BFE">
        <w:tc>
          <w:tcPr>
            <w:tcW w:w="2008" w:type="dxa"/>
          </w:tcPr>
          <w:p w14:paraId="45F24C3C" w14:textId="77777777" w:rsidR="00916BFE" w:rsidRDefault="00916BFE" w:rsidP="00916BFE">
            <w:pPr>
              <w:spacing w:before="40" w:after="40"/>
              <w:rPr>
                <w:b/>
                <w:sz w:val="17"/>
                <w:lang w:eastAsia="en-GB"/>
              </w:rPr>
            </w:pPr>
            <w:r>
              <w:rPr>
                <w:b/>
                <w:sz w:val="17"/>
                <w:lang w:eastAsia="en-GB"/>
              </w:rPr>
              <w:t>Corresponding BDR section:</w:t>
            </w:r>
          </w:p>
        </w:tc>
        <w:tc>
          <w:tcPr>
            <w:tcW w:w="7234" w:type="dxa"/>
          </w:tcPr>
          <w:p w14:paraId="7B637A00" w14:textId="77777777" w:rsidR="00916BFE" w:rsidRDefault="00916BFE" w:rsidP="00916BFE">
            <w:pPr>
              <w:pStyle w:val="TableText"/>
              <w:jc w:val="both"/>
              <w:rPr>
                <w:lang w:eastAsia="en-GB"/>
              </w:rPr>
            </w:pPr>
            <w:r>
              <w:rPr>
                <w:lang w:eastAsia="en-GB"/>
              </w:rPr>
              <w:t>16F</w:t>
            </w:r>
          </w:p>
        </w:tc>
      </w:tr>
    </w:tbl>
    <w:p w14:paraId="3647D7A3" w14:textId="77777777" w:rsidR="00916BFE" w:rsidRDefault="00916BFE" w:rsidP="00916BFE">
      <w:pPr>
        <w:spacing w:before="120" w:after="120"/>
        <w:rPr>
          <w:sz w:val="22"/>
        </w:rPr>
      </w:pPr>
    </w:p>
    <w:tbl>
      <w:tblPr>
        <w:tblW w:w="9242" w:type="dxa"/>
        <w:jc w:val="center"/>
        <w:tblCellMar>
          <w:left w:w="70" w:type="dxa"/>
          <w:right w:w="70" w:type="dxa"/>
        </w:tblCellMar>
        <w:tblLook w:val="00A0" w:firstRow="1" w:lastRow="0" w:firstColumn="1" w:lastColumn="0" w:noHBand="0" w:noVBand="0"/>
      </w:tblPr>
      <w:tblGrid>
        <w:gridCol w:w="370"/>
        <w:gridCol w:w="8872"/>
      </w:tblGrid>
      <w:tr w:rsidR="00916BFE" w14:paraId="0F9A3808" w14:textId="77777777" w:rsidTr="00916BFE">
        <w:trPr>
          <w:trHeight w:val="448"/>
          <w:jc w:val="center"/>
        </w:trPr>
        <w:tc>
          <w:tcPr>
            <w:tcW w:w="9242" w:type="dxa"/>
            <w:gridSpan w:val="2"/>
            <w:tcBorders>
              <w:top w:val="single" w:sz="4" w:space="0" w:color="auto"/>
              <w:bottom w:val="single" w:sz="4" w:space="0" w:color="auto"/>
            </w:tcBorders>
          </w:tcPr>
          <w:p w14:paraId="7D2856E3" w14:textId="4C8256F6" w:rsidR="00916BFE" w:rsidRDefault="00916BFE" w:rsidP="00916BFE">
            <w:pPr>
              <w:pStyle w:val="TableText"/>
              <w:jc w:val="both"/>
              <w:rPr>
                <w:szCs w:val="17"/>
              </w:rPr>
            </w:pPr>
            <w:r>
              <w:rPr>
                <w:lang w:eastAsia="fr-FR"/>
              </w:rPr>
              <w:t>An AI should explain the sources of differences from financial statements amounts to regulatory exp</w:t>
            </w:r>
            <w:r w:rsidR="00363405">
              <w:rPr>
                <w:lang w:eastAsia="fr-FR"/>
              </w:rPr>
              <w:t>osure amounts, as displayed in T</w:t>
            </w:r>
            <w:r>
              <w:rPr>
                <w:lang w:eastAsia="fr-FR"/>
              </w:rPr>
              <w:t>emplates LI1 and LI2.  In particular, the AI should:</w:t>
            </w:r>
          </w:p>
        </w:tc>
      </w:tr>
      <w:tr w:rsidR="00916BFE" w14:paraId="39290E0A" w14:textId="77777777" w:rsidTr="00916BFE">
        <w:trPr>
          <w:trHeight w:val="318"/>
          <w:jc w:val="center"/>
        </w:trPr>
        <w:tc>
          <w:tcPr>
            <w:tcW w:w="370" w:type="dxa"/>
            <w:tcBorders>
              <w:top w:val="single" w:sz="4" w:space="0" w:color="auto"/>
              <w:bottom w:val="single" w:sz="4" w:space="0" w:color="auto"/>
            </w:tcBorders>
            <w:noWrap/>
          </w:tcPr>
          <w:p w14:paraId="2A643E3C" w14:textId="77777777" w:rsidR="00916BFE" w:rsidRDefault="00916BFE" w:rsidP="00916BFE">
            <w:pPr>
              <w:pStyle w:val="TableText"/>
              <w:rPr>
                <w:szCs w:val="17"/>
              </w:rPr>
            </w:pPr>
            <w:r>
              <w:rPr>
                <w:szCs w:val="17"/>
              </w:rPr>
              <w:t>(a)</w:t>
            </w:r>
          </w:p>
        </w:tc>
        <w:tc>
          <w:tcPr>
            <w:tcW w:w="8872" w:type="dxa"/>
            <w:tcBorders>
              <w:top w:val="single" w:sz="4" w:space="0" w:color="auto"/>
              <w:bottom w:val="single" w:sz="4" w:space="0" w:color="auto"/>
            </w:tcBorders>
            <w:noWrap/>
          </w:tcPr>
          <w:p w14:paraId="62B44788" w14:textId="19A9EBCD" w:rsidR="00916BFE" w:rsidRDefault="00916BFE" w:rsidP="00916BFE">
            <w:pPr>
              <w:pStyle w:val="TableText"/>
              <w:jc w:val="both"/>
              <w:rPr>
                <w:noProof/>
                <w:lang w:eastAsia="fr-FR"/>
              </w:rPr>
            </w:pPr>
            <w:r>
              <w:rPr>
                <w:lang w:eastAsia="en-GB"/>
              </w:rPr>
              <w:t>explain the derivation of any material differences between the amo</w:t>
            </w:r>
            <w:r w:rsidR="00363405">
              <w:rPr>
                <w:lang w:eastAsia="en-GB"/>
              </w:rPr>
              <w:t>unts in columns (a) and (b) in T</w:t>
            </w:r>
            <w:r w:rsidR="001F6743">
              <w:rPr>
                <w:lang w:eastAsia="en-GB"/>
              </w:rPr>
              <w:t>emplate LI1;</w:t>
            </w:r>
          </w:p>
        </w:tc>
      </w:tr>
      <w:tr w:rsidR="00916BFE" w14:paraId="71C927FE" w14:textId="77777777" w:rsidTr="00916BFE">
        <w:trPr>
          <w:trHeight w:val="318"/>
          <w:jc w:val="center"/>
        </w:trPr>
        <w:tc>
          <w:tcPr>
            <w:tcW w:w="370" w:type="dxa"/>
            <w:tcBorders>
              <w:top w:val="single" w:sz="4" w:space="0" w:color="auto"/>
              <w:bottom w:val="single" w:sz="4" w:space="0" w:color="auto"/>
            </w:tcBorders>
            <w:noWrap/>
          </w:tcPr>
          <w:p w14:paraId="770C631B" w14:textId="77777777" w:rsidR="00916BFE" w:rsidRDefault="00916BFE" w:rsidP="00916BFE">
            <w:pPr>
              <w:widowControl w:val="0"/>
              <w:spacing w:before="40" w:after="40"/>
              <w:rPr>
                <w:sz w:val="17"/>
                <w:szCs w:val="17"/>
              </w:rPr>
            </w:pPr>
            <w:r>
              <w:rPr>
                <w:sz w:val="17"/>
                <w:szCs w:val="17"/>
              </w:rPr>
              <w:t>(b)</w:t>
            </w:r>
          </w:p>
        </w:tc>
        <w:tc>
          <w:tcPr>
            <w:tcW w:w="8872" w:type="dxa"/>
            <w:tcBorders>
              <w:top w:val="single" w:sz="4" w:space="0" w:color="auto"/>
              <w:bottom w:val="single" w:sz="4" w:space="0" w:color="auto"/>
            </w:tcBorders>
            <w:noWrap/>
          </w:tcPr>
          <w:p w14:paraId="3142FBF8" w14:textId="0D1EA595" w:rsidR="00916BFE" w:rsidRDefault="00916BFE" w:rsidP="00363405">
            <w:pPr>
              <w:pStyle w:val="TableText"/>
              <w:jc w:val="both"/>
              <w:rPr>
                <w:noProof/>
                <w:lang w:eastAsia="fr-FR"/>
              </w:rPr>
            </w:pPr>
            <w:r>
              <w:rPr>
                <w:lang w:eastAsia="fr-FR"/>
              </w:rPr>
              <w:t xml:space="preserve">explain the main drivers for the differences between accounting values and amounts considered for regulatory purposes shown in </w:t>
            </w:r>
            <w:r w:rsidR="00363405">
              <w:rPr>
                <w:lang w:eastAsia="fr-FR"/>
              </w:rPr>
              <w:t>T</w:t>
            </w:r>
            <w:r w:rsidR="001F6743">
              <w:rPr>
                <w:lang w:eastAsia="fr-FR"/>
              </w:rPr>
              <w:t>emplate LI2;</w:t>
            </w:r>
          </w:p>
        </w:tc>
      </w:tr>
      <w:tr w:rsidR="00916BFE" w14:paraId="56BD6EF7" w14:textId="77777777" w:rsidTr="00916BFE">
        <w:trPr>
          <w:trHeight w:val="318"/>
          <w:jc w:val="center"/>
        </w:trPr>
        <w:tc>
          <w:tcPr>
            <w:tcW w:w="370" w:type="dxa"/>
            <w:tcBorders>
              <w:top w:val="single" w:sz="4" w:space="0" w:color="auto"/>
              <w:bottom w:val="single" w:sz="4" w:space="0" w:color="auto"/>
            </w:tcBorders>
            <w:noWrap/>
          </w:tcPr>
          <w:p w14:paraId="4D101F61" w14:textId="77777777" w:rsidR="00916BFE" w:rsidRDefault="00916BFE" w:rsidP="00916BFE">
            <w:pPr>
              <w:widowControl w:val="0"/>
              <w:spacing w:before="40" w:after="40"/>
              <w:rPr>
                <w:sz w:val="17"/>
                <w:szCs w:val="17"/>
              </w:rPr>
            </w:pPr>
            <w:r>
              <w:rPr>
                <w:sz w:val="17"/>
                <w:szCs w:val="17"/>
              </w:rPr>
              <w:t>(c)</w:t>
            </w:r>
          </w:p>
        </w:tc>
        <w:tc>
          <w:tcPr>
            <w:tcW w:w="8872" w:type="dxa"/>
            <w:tcBorders>
              <w:top w:val="single" w:sz="4" w:space="0" w:color="auto"/>
              <w:bottom w:val="single" w:sz="4" w:space="0" w:color="auto"/>
            </w:tcBorders>
            <w:noWrap/>
          </w:tcPr>
          <w:p w14:paraId="7E90997C" w14:textId="77777777" w:rsidR="00916BFE" w:rsidRDefault="00916BFE" w:rsidP="00916BFE">
            <w:pPr>
              <w:pStyle w:val="TableText"/>
              <w:jc w:val="both"/>
              <w:rPr>
                <w:lang w:eastAsia="fr-FR"/>
              </w:rPr>
            </w:pPr>
            <w:r>
              <w:rPr>
                <w:lang w:eastAsia="fr-FR"/>
              </w:rPr>
              <w:t xml:space="preserve">describe its systems and controls to ensure that the valuation estimates are prudent and reliable for the purposes of implementing </w:t>
            </w:r>
            <w:r>
              <w:t xml:space="preserve">the </w:t>
            </w:r>
            <w:r>
              <w:rPr>
                <w:lang w:eastAsia="fr-FR"/>
              </w:rPr>
              <w:t xml:space="preserve">guidance on prudent valuation.  The AI should provide a description of the following: </w:t>
            </w:r>
          </w:p>
          <w:p w14:paraId="0C5D34AB" w14:textId="77777777" w:rsidR="00916BFE" w:rsidRDefault="00916BFE" w:rsidP="007679A1">
            <w:pPr>
              <w:pStyle w:val="TableText"/>
              <w:numPr>
                <w:ilvl w:val="0"/>
                <w:numId w:val="5"/>
              </w:numPr>
              <w:tabs>
                <w:tab w:val="left" w:pos="595"/>
              </w:tabs>
              <w:ind w:left="595" w:hanging="595"/>
              <w:jc w:val="both"/>
              <w:rPr>
                <w:lang w:eastAsia="fr-FR"/>
              </w:rPr>
            </w:pPr>
            <w:r>
              <w:rPr>
                <w:lang w:eastAsia="fr-FR"/>
              </w:rPr>
              <w:t>Valuation methodologies, including a description of the extent of use of marking-to-market methodology and of a marking-to-model methodology;</w:t>
            </w:r>
          </w:p>
          <w:p w14:paraId="6EBA3918" w14:textId="77777777" w:rsidR="00916BFE" w:rsidRDefault="00916BFE" w:rsidP="007679A1">
            <w:pPr>
              <w:pStyle w:val="TableText"/>
              <w:numPr>
                <w:ilvl w:val="0"/>
                <w:numId w:val="5"/>
              </w:numPr>
              <w:tabs>
                <w:tab w:val="left" w:pos="595"/>
              </w:tabs>
              <w:ind w:left="595" w:hanging="595"/>
              <w:jc w:val="both"/>
              <w:rPr>
                <w:lang w:eastAsia="fr-FR"/>
              </w:rPr>
            </w:pPr>
            <w:r>
              <w:rPr>
                <w:lang w:eastAsia="fr-FR"/>
              </w:rPr>
              <w:t>Independent price verification process; and</w:t>
            </w:r>
          </w:p>
          <w:p w14:paraId="792D37AA" w14:textId="77777777" w:rsidR="00916BFE" w:rsidRDefault="00916BFE" w:rsidP="007679A1">
            <w:pPr>
              <w:pStyle w:val="TableText"/>
              <w:numPr>
                <w:ilvl w:val="0"/>
                <w:numId w:val="5"/>
              </w:numPr>
              <w:tabs>
                <w:tab w:val="left" w:pos="595"/>
              </w:tabs>
              <w:ind w:left="595" w:hanging="595"/>
              <w:jc w:val="both"/>
              <w:rPr>
                <w:szCs w:val="17"/>
              </w:rPr>
            </w:pPr>
            <w:r>
              <w:rPr>
                <w:lang w:eastAsia="fr-FR"/>
              </w:rPr>
              <w:t>Procedures for considering valuation adjustments or reserves, including a description of the process and the methodology for valuing trading positions by type of instrument.</w:t>
            </w:r>
          </w:p>
        </w:tc>
      </w:tr>
      <w:tr w:rsidR="00916BFE" w14:paraId="1F59F4B6" w14:textId="77777777" w:rsidTr="00916BFE">
        <w:trPr>
          <w:trHeight w:val="318"/>
          <w:jc w:val="center"/>
        </w:trPr>
        <w:tc>
          <w:tcPr>
            <w:tcW w:w="370" w:type="dxa"/>
            <w:tcBorders>
              <w:top w:val="single" w:sz="4" w:space="0" w:color="auto"/>
              <w:bottom w:val="single" w:sz="4" w:space="0" w:color="auto"/>
            </w:tcBorders>
            <w:noWrap/>
          </w:tcPr>
          <w:p w14:paraId="3C56DD76" w14:textId="77777777" w:rsidR="00916BFE" w:rsidRDefault="00916BFE" w:rsidP="00916BFE">
            <w:pPr>
              <w:widowControl w:val="0"/>
              <w:spacing w:before="40" w:after="40"/>
              <w:rPr>
                <w:sz w:val="17"/>
                <w:szCs w:val="17"/>
              </w:rPr>
            </w:pPr>
            <w:r>
              <w:rPr>
                <w:sz w:val="17"/>
                <w:szCs w:val="17"/>
              </w:rPr>
              <w:t>(d)</w:t>
            </w:r>
          </w:p>
        </w:tc>
        <w:tc>
          <w:tcPr>
            <w:tcW w:w="8872" w:type="dxa"/>
            <w:tcBorders>
              <w:top w:val="single" w:sz="4" w:space="0" w:color="auto"/>
              <w:bottom w:val="single" w:sz="4" w:space="0" w:color="auto"/>
            </w:tcBorders>
            <w:noWrap/>
          </w:tcPr>
          <w:p w14:paraId="6B7AC8A3" w14:textId="77777777" w:rsidR="00916BFE" w:rsidRDefault="00916BFE" w:rsidP="00916BFE">
            <w:pPr>
              <w:pStyle w:val="TableText"/>
              <w:jc w:val="both"/>
              <w:rPr>
                <w:lang w:eastAsia="fr-FR"/>
              </w:rPr>
            </w:pPr>
            <w:r>
              <w:rPr>
                <w:lang w:eastAsia="fr-FR"/>
              </w:rPr>
              <w:t>The AI with insurance subsidiaries must disclose:</w:t>
            </w:r>
          </w:p>
          <w:p w14:paraId="60700E13" w14:textId="77777777" w:rsidR="00916BFE" w:rsidRDefault="00916BFE" w:rsidP="008D652E">
            <w:pPr>
              <w:pStyle w:val="TableText"/>
              <w:numPr>
                <w:ilvl w:val="0"/>
                <w:numId w:val="47"/>
              </w:numPr>
              <w:tabs>
                <w:tab w:val="left" w:pos="596"/>
              </w:tabs>
              <w:ind w:left="596" w:hanging="596"/>
              <w:jc w:val="both"/>
              <w:rPr>
                <w:lang w:eastAsia="fr-FR"/>
              </w:rPr>
            </w:pPr>
            <w:r>
              <w:rPr>
                <w:lang w:eastAsia="fr-FR"/>
              </w:rPr>
              <w:t>the national regulatory approach used with respect to insurance entities in determining an AI's reported capital positions (i.e. deduction of investments in insurance subsidiaries); and</w:t>
            </w:r>
          </w:p>
          <w:p w14:paraId="45D8C84B" w14:textId="77777777" w:rsidR="00916BFE" w:rsidRDefault="00916BFE" w:rsidP="008D652E">
            <w:pPr>
              <w:pStyle w:val="TableText"/>
              <w:numPr>
                <w:ilvl w:val="0"/>
                <w:numId w:val="47"/>
              </w:numPr>
              <w:tabs>
                <w:tab w:val="left" w:pos="596"/>
              </w:tabs>
              <w:ind w:left="596" w:hanging="596"/>
              <w:jc w:val="both"/>
              <w:rPr>
                <w:lang w:eastAsia="fr-FR"/>
              </w:rPr>
            </w:pPr>
            <w:r>
              <w:rPr>
                <w:lang w:eastAsia="fr-FR"/>
              </w:rPr>
              <w:t>any surplus capital in insurance subsidiaries recognised when calculating the bank's capital adequacy.</w:t>
            </w:r>
          </w:p>
          <w:p w14:paraId="2888B379" w14:textId="77777777" w:rsidR="00916BFE" w:rsidRDefault="00916BFE" w:rsidP="00A364EC">
            <w:pPr>
              <w:pStyle w:val="TableText"/>
              <w:tabs>
                <w:tab w:val="left" w:pos="596"/>
              </w:tabs>
              <w:jc w:val="both"/>
              <w:rPr>
                <w:lang w:eastAsia="fr-FR"/>
              </w:rPr>
            </w:pPr>
          </w:p>
        </w:tc>
      </w:tr>
    </w:tbl>
    <w:p w14:paraId="590DB618" w14:textId="77777777" w:rsidR="00916BFE" w:rsidRDefault="00916BFE" w:rsidP="00916BFE">
      <w:pPr>
        <w:keepNext/>
        <w:keepLines/>
        <w:tabs>
          <w:tab w:val="left" w:pos="426"/>
        </w:tabs>
        <w:spacing w:after="360"/>
        <w:ind w:leftChars="-283" w:left="-566" w:rightChars="-142" w:right="-284"/>
        <w:outlineLvl w:val="0"/>
        <w:rPr>
          <w:color w:val="AA322F"/>
          <w:sz w:val="28"/>
        </w:rPr>
        <w:sectPr w:rsidR="00916BFE">
          <w:footerReference w:type="default" r:id="rId14"/>
          <w:pgSz w:w="11906" w:h="16838"/>
          <w:pgMar w:top="1440" w:right="1800" w:bottom="1440" w:left="1800" w:header="851" w:footer="992" w:gutter="0"/>
          <w:cols w:space="425"/>
          <w:docGrid w:type="lines" w:linePitch="360"/>
        </w:sectPr>
      </w:pPr>
    </w:p>
    <w:p w14:paraId="13835076" w14:textId="7620115D" w:rsidR="0025068F" w:rsidRPr="0058460F" w:rsidRDefault="0058460F" w:rsidP="00A95483">
      <w:pPr>
        <w:pStyle w:val="Heading2"/>
        <w:rPr>
          <w:sz w:val="28"/>
          <w:szCs w:val="28"/>
        </w:rPr>
      </w:pPr>
      <w:r>
        <w:lastRenderedPageBreak/>
        <w:t>Template P</w:t>
      </w:r>
      <w:r w:rsidRPr="00FB5D22">
        <w:t>V1</w:t>
      </w:r>
      <w:r>
        <w:t>: Prudent valuation adjustments</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127"/>
        <w:gridCol w:w="7115"/>
      </w:tblGrid>
      <w:tr w:rsidR="0058460F" w:rsidRPr="00FB5D22" w14:paraId="477CB543" w14:textId="77777777" w:rsidTr="00826BF3">
        <w:tc>
          <w:tcPr>
            <w:tcW w:w="2127" w:type="dxa"/>
          </w:tcPr>
          <w:p w14:paraId="4052AC03" w14:textId="77777777" w:rsidR="0058460F" w:rsidRPr="00FB5D22" w:rsidRDefault="0058460F" w:rsidP="00B155C6">
            <w:pPr>
              <w:spacing w:before="40" w:after="40"/>
              <w:jc w:val="both"/>
              <w:rPr>
                <w:noProof/>
                <w:sz w:val="17"/>
                <w:lang w:eastAsia="en-GB"/>
              </w:rPr>
            </w:pPr>
            <w:r w:rsidRPr="00FB5D22">
              <w:rPr>
                <w:b/>
                <w:sz w:val="17"/>
                <w:lang w:eastAsia="en-GB"/>
              </w:rPr>
              <w:t>Purpose:</w:t>
            </w:r>
            <w:r w:rsidRPr="00FB5D22">
              <w:rPr>
                <w:sz w:val="17"/>
                <w:lang w:eastAsia="en-GB"/>
              </w:rPr>
              <w:t xml:space="preserve"> </w:t>
            </w:r>
          </w:p>
        </w:tc>
        <w:tc>
          <w:tcPr>
            <w:tcW w:w="7115" w:type="dxa"/>
          </w:tcPr>
          <w:p w14:paraId="3E9DD18C" w14:textId="77777777" w:rsidR="0058460F" w:rsidRPr="009F0F5D" w:rsidRDefault="0058460F" w:rsidP="00A95483">
            <w:pPr>
              <w:spacing w:before="40" w:after="40"/>
              <w:jc w:val="both"/>
              <w:rPr>
                <w:rFonts w:eastAsia="新細明體"/>
                <w:noProof/>
                <w:sz w:val="17"/>
                <w:lang w:eastAsia="en-GB"/>
              </w:rPr>
            </w:pPr>
            <w:r>
              <w:rPr>
                <w:rFonts w:eastAsia="新細明體"/>
                <w:noProof/>
                <w:sz w:val="17"/>
                <w:lang w:eastAsia="en-GB"/>
              </w:rPr>
              <w:t xml:space="preserve">To provide a detailed </w:t>
            </w:r>
            <w:r w:rsidRPr="001465AF">
              <w:rPr>
                <w:rFonts w:eastAsia="新細明體"/>
                <w:noProof/>
                <w:sz w:val="17"/>
                <w:lang w:eastAsia="en-GB"/>
              </w:rPr>
              <w:t>breakdown of the</w:t>
            </w:r>
            <w:r>
              <w:rPr>
                <w:rFonts w:eastAsia="新細明體"/>
                <w:noProof/>
                <w:sz w:val="17"/>
                <w:lang w:eastAsia="en-GB"/>
              </w:rPr>
              <w:t xml:space="preserve"> constituent elements of valuation adjustment.</w:t>
            </w:r>
          </w:p>
        </w:tc>
      </w:tr>
      <w:tr w:rsidR="0058460F" w:rsidRPr="00FB5D22" w14:paraId="19FDDA71" w14:textId="77777777" w:rsidTr="00826BF3">
        <w:tc>
          <w:tcPr>
            <w:tcW w:w="2127" w:type="dxa"/>
          </w:tcPr>
          <w:p w14:paraId="1642972C" w14:textId="77777777" w:rsidR="0058460F" w:rsidRPr="00FB5D22" w:rsidRDefault="0058460F" w:rsidP="00B155C6">
            <w:pPr>
              <w:spacing w:before="40" w:after="40"/>
              <w:jc w:val="both"/>
              <w:rPr>
                <w:b/>
                <w:sz w:val="17"/>
                <w:lang w:eastAsia="en-GB"/>
              </w:rPr>
            </w:pPr>
            <w:r w:rsidRPr="00FB5D22">
              <w:rPr>
                <w:b/>
                <w:sz w:val="17"/>
                <w:lang w:eastAsia="en-GB"/>
              </w:rPr>
              <w:t xml:space="preserve">Scope of application: </w:t>
            </w:r>
          </w:p>
        </w:tc>
        <w:tc>
          <w:tcPr>
            <w:tcW w:w="7115" w:type="dxa"/>
          </w:tcPr>
          <w:p w14:paraId="13AE1F92" w14:textId="55670A01" w:rsidR="0058460F" w:rsidRPr="00FB5D22" w:rsidRDefault="0058460F" w:rsidP="00A95483">
            <w:pPr>
              <w:tabs>
                <w:tab w:val="right" w:pos="6899"/>
              </w:tabs>
              <w:spacing w:before="40" w:after="40"/>
              <w:jc w:val="both"/>
              <w:rPr>
                <w:rFonts w:eastAsia="新細明體"/>
                <w:b/>
                <w:sz w:val="17"/>
                <w:lang w:eastAsia="en-GB"/>
              </w:rPr>
            </w:pPr>
            <w:r w:rsidRPr="00FB5D22">
              <w:rPr>
                <w:rFonts w:eastAsia="新細明體"/>
                <w:sz w:val="17"/>
                <w:lang w:eastAsia="en-GB"/>
              </w:rPr>
              <w:t>The template is mandatory for all AIs</w:t>
            </w:r>
            <w:r w:rsidRPr="00FB5D22">
              <w:t xml:space="preserve"> </w:t>
            </w:r>
            <w:r w:rsidR="00A00599">
              <w:rPr>
                <w:rFonts w:eastAsia="新細明體"/>
                <w:sz w:val="17"/>
                <w:lang w:eastAsia="en-GB"/>
              </w:rPr>
              <w:t>incorporated in Hong Kong.</w:t>
            </w:r>
          </w:p>
        </w:tc>
      </w:tr>
      <w:tr w:rsidR="0058460F" w:rsidRPr="0039564A" w14:paraId="7AEDC915" w14:textId="77777777" w:rsidTr="00826BF3">
        <w:tc>
          <w:tcPr>
            <w:tcW w:w="2127" w:type="dxa"/>
          </w:tcPr>
          <w:p w14:paraId="3AB1CF95" w14:textId="77777777" w:rsidR="0058460F" w:rsidRPr="00FB5D22" w:rsidRDefault="0058460F" w:rsidP="00B155C6">
            <w:pPr>
              <w:spacing w:before="40" w:after="40"/>
              <w:jc w:val="both"/>
              <w:rPr>
                <w:b/>
                <w:sz w:val="17"/>
                <w:lang w:eastAsia="en-GB"/>
              </w:rPr>
            </w:pPr>
            <w:r w:rsidRPr="00FB5D22">
              <w:rPr>
                <w:b/>
                <w:sz w:val="17"/>
                <w:lang w:eastAsia="en-GB"/>
              </w:rPr>
              <w:t xml:space="preserve">Content: </w:t>
            </w:r>
          </w:p>
        </w:tc>
        <w:tc>
          <w:tcPr>
            <w:tcW w:w="7115" w:type="dxa"/>
          </w:tcPr>
          <w:p w14:paraId="52755940" w14:textId="77777777" w:rsidR="0058460F" w:rsidRPr="001465AF" w:rsidRDefault="0058460F" w:rsidP="00A95483">
            <w:pPr>
              <w:spacing w:before="40" w:after="40"/>
              <w:jc w:val="both"/>
              <w:rPr>
                <w:rFonts w:eastAsia="新細明體"/>
                <w:sz w:val="17"/>
                <w:lang w:eastAsia="en-GB"/>
              </w:rPr>
            </w:pPr>
            <w:r>
              <w:rPr>
                <w:rFonts w:eastAsia="新細明體"/>
                <w:sz w:val="17"/>
                <w:lang w:eastAsia="en-GB"/>
              </w:rPr>
              <w:t>Valuation adjustments</w:t>
            </w:r>
            <w:r w:rsidRPr="001465AF">
              <w:rPr>
                <w:rFonts w:eastAsia="新細明體"/>
                <w:sz w:val="17"/>
                <w:lang w:eastAsia="en-GB"/>
              </w:rPr>
              <w:t xml:space="preserve"> for all</w:t>
            </w:r>
            <w:r>
              <w:rPr>
                <w:rFonts w:eastAsia="新細明體"/>
                <w:sz w:val="17"/>
                <w:lang w:eastAsia="en-GB"/>
              </w:rPr>
              <w:t xml:space="preserve"> assets measured at fair value (marked to market or marked to model), including </w:t>
            </w:r>
            <w:r w:rsidRPr="001465AF">
              <w:rPr>
                <w:rFonts w:eastAsia="新細明體"/>
                <w:sz w:val="17"/>
                <w:lang w:eastAsia="en-GB"/>
              </w:rPr>
              <w:t>non-deriv</w:t>
            </w:r>
            <w:r>
              <w:rPr>
                <w:rFonts w:eastAsia="新細明體"/>
                <w:sz w:val="17"/>
                <w:lang w:eastAsia="en-GB"/>
              </w:rPr>
              <w:t xml:space="preserve">ative and derivative instruments, that an AI has actually considered and made for the purpose of BCR </w:t>
            </w:r>
            <w:r w:rsidRPr="005425B4">
              <w:rPr>
                <w:rFonts w:cs="Segoe UI"/>
                <w:sz w:val="17"/>
                <w:szCs w:val="17"/>
              </w:rPr>
              <w:t>§</w:t>
            </w:r>
            <w:r>
              <w:rPr>
                <w:rFonts w:eastAsia="新細明體"/>
                <w:sz w:val="17"/>
                <w:lang w:eastAsia="en-GB"/>
              </w:rPr>
              <w:t xml:space="preserve">4A.  </w:t>
            </w:r>
          </w:p>
        </w:tc>
      </w:tr>
      <w:tr w:rsidR="0058460F" w:rsidRPr="00FB5D22" w14:paraId="5C7B59E6" w14:textId="77777777" w:rsidTr="00826BF3">
        <w:tc>
          <w:tcPr>
            <w:tcW w:w="2127" w:type="dxa"/>
          </w:tcPr>
          <w:p w14:paraId="0F482CDC" w14:textId="77777777" w:rsidR="0058460F" w:rsidRPr="00FB5D22" w:rsidRDefault="0058460F" w:rsidP="00B155C6">
            <w:pPr>
              <w:spacing w:before="40" w:after="40"/>
              <w:jc w:val="both"/>
              <w:rPr>
                <w:sz w:val="17"/>
                <w:lang w:eastAsia="en-GB"/>
              </w:rPr>
            </w:pPr>
            <w:r w:rsidRPr="00FB5D22">
              <w:rPr>
                <w:b/>
                <w:sz w:val="17"/>
                <w:lang w:eastAsia="en-GB"/>
              </w:rPr>
              <w:t>Frequency:</w:t>
            </w:r>
            <w:r w:rsidRPr="00FB5D22">
              <w:rPr>
                <w:sz w:val="17"/>
                <w:lang w:eastAsia="en-GB"/>
              </w:rPr>
              <w:t xml:space="preserve"> </w:t>
            </w:r>
          </w:p>
        </w:tc>
        <w:tc>
          <w:tcPr>
            <w:tcW w:w="7115" w:type="dxa"/>
          </w:tcPr>
          <w:p w14:paraId="5EED9BB5" w14:textId="77777777" w:rsidR="0058460F" w:rsidRPr="00FB5D22" w:rsidRDefault="0058460F" w:rsidP="00A95483">
            <w:pPr>
              <w:spacing w:before="40" w:after="40"/>
              <w:jc w:val="both"/>
              <w:rPr>
                <w:rFonts w:eastAsia="新細明體"/>
                <w:sz w:val="17"/>
                <w:lang w:eastAsia="en-GB"/>
              </w:rPr>
            </w:pPr>
            <w:r>
              <w:rPr>
                <w:rFonts w:eastAsia="新細明體"/>
                <w:sz w:val="17"/>
                <w:lang w:eastAsia="en-GB"/>
              </w:rPr>
              <w:t>Annual.</w:t>
            </w:r>
          </w:p>
        </w:tc>
      </w:tr>
      <w:tr w:rsidR="0058460F" w:rsidRPr="00FB5D22" w14:paraId="6470C569" w14:textId="77777777" w:rsidTr="00826BF3">
        <w:tc>
          <w:tcPr>
            <w:tcW w:w="2127" w:type="dxa"/>
          </w:tcPr>
          <w:p w14:paraId="0334C305" w14:textId="77777777" w:rsidR="0058460F" w:rsidRPr="00FB5D22" w:rsidRDefault="0058460F" w:rsidP="00B155C6">
            <w:pPr>
              <w:spacing w:before="40" w:after="40"/>
              <w:jc w:val="both"/>
              <w:rPr>
                <w:sz w:val="17"/>
                <w:lang w:eastAsia="en-GB"/>
              </w:rPr>
            </w:pPr>
            <w:r w:rsidRPr="00FB5D22">
              <w:rPr>
                <w:b/>
                <w:sz w:val="17"/>
                <w:lang w:eastAsia="en-GB"/>
              </w:rPr>
              <w:t>Format:</w:t>
            </w:r>
            <w:r w:rsidRPr="00FB5D22">
              <w:rPr>
                <w:sz w:val="17"/>
                <w:lang w:eastAsia="en-GB"/>
              </w:rPr>
              <w:t xml:space="preserve"> </w:t>
            </w:r>
          </w:p>
        </w:tc>
        <w:tc>
          <w:tcPr>
            <w:tcW w:w="7115" w:type="dxa"/>
          </w:tcPr>
          <w:p w14:paraId="1A2A50F7" w14:textId="77777777" w:rsidR="0058460F" w:rsidRPr="00FB5D22" w:rsidRDefault="0058460F" w:rsidP="00A95483">
            <w:pPr>
              <w:spacing w:before="40" w:after="40"/>
              <w:jc w:val="both"/>
              <w:rPr>
                <w:rFonts w:eastAsia="新細明體"/>
                <w:sz w:val="17"/>
                <w:lang w:eastAsia="en-GB"/>
              </w:rPr>
            </w:pPr>
            <w:r w:rsidRPr="00FB5D22">
              <w:rPr>
                <w:rFonts w:eastAsia="新細明體"/>
                <w:sz w:val="17"/>
                <w:lang w:eastAsia="en-GB"/>
              </w:rPr>
              <w:t>Fixed.</w:t>
            </w:r>
            <w:r>
              <w:rPr>
                <w:rFonts w:eastAsia="新細明體"/>
                <w:sz w:val="17"/>
                <w:lang w:eastAsia="en-GB"/>
              </w:rPr>
              <w:t xml:space="preserve">  For rows that are not applicable, “0” should be reported.  An AI should explain the reason why such rows are not applicable in the accompanying narrative.</w:t>
            </w:r>
          </w:p>
        </w:tc>
      </w:tr>
      <w:tr w:rsidR="0058460F" w:rsidRPr="00FB5D22" w14:paraId="03FAFF35" w14:textId="77777777" w:rsidTr="00826BF3">
        <w:tc>
          <w:tcPr>
            <w:tcW w:w="2127" w:type="dxa"/>
          </w:tcPr>
          <w:p w14:paraId="55522808" w14:textId="77777777" w:rsidR="0058460F" w:rsidRPr="00FB5D22" w:rsidRDefault="0058460F" w:rsidP="00B155C6">
            <w:pPr>
              <w:spacing w:before="40" w:after="40"/>
              <w:jc w:val="both"/>
              <w:rPr>
                <w:b/>
                <w:sz w:val="17"/>
                <w:lang w:eastAsia="en-GB"/>
              </w:rPr>
            </w:pPr>
            <w:r w:rsidRPr="00FB5D22">
              <w:rPr>
                <w:rFonts w:eastAsia="新細明體"/>
                <w:b/>
                <w:sz w:val="17"/>
                <w:szCs w:val="17"/>
                <w:lang w:eastAsia="en-GB"/>
              </w:rPr>
              <w:t>Accompanying narrative</w:t>
            </w:r>
            <w:r w:rsidRPr="00FB5D22">
              <w:rPr>
                <w:rFonts w:eastAsia="新細明體"/>
                <w:sz w:val="17"/>
                <w:szCs w:val="17"/>
                <w:lang w:eastAsia="en-GB"/>
              </w:rPr>
              <w:t>:</w:t>
            </w:r>
          </w:p>
        </w:tc>
        <w:tc>
          <w:tcPr>
            <w:tcW w:w="7115" w:type="dxa"/>
          </w:tcPr>
          <w:p w14:paraId="4BD6A168" w14:textId="33AC3619" w:rsidR="0058460F" w:rsidRPr="005D66F1" w:rsidRDefault="0058460F" w:rsidP="00A95483">
            <w:pPr>
              <w:spacing w:before="40" w:after="40"/>
              <w:jc w:val="both"/>
              <w:rPr>
                <w:rFonts w:eastAsia="新細明體"/>
                <w:sz w:val="17"/>
                <w:lang w:eastAsia="en-GB"/>
              </w:rPr>
            </w:pPr>
            <w:r w:rsidRPr="00752D09">
              <w:rPr>
                <w:rFonts w:eastAsia="新細明體"/>
                <w:sz w:val="17"/>
                <w:szCs w:val="17"/>
                <w:lang w:eastAsia="en-GB"/>
              </w:rPr>
              <w:t>An AI should supplement the template with a narrative commentary to explain any material movements in the current reporting period and the key drivers of such movements.</w:t>
            </w:r>
            <w:r>
              <w:rPr>
                <w:rFonts w:eastAsia="新細明體"/>
                <w:noProof/>
                <w:sz w:val="17"/>
                <w:lang w:eastAsia="en-GB"/>
              </w:rPr>
              <w:t xml:space="preserve">  In particular, an AI should provide details on “other adjustments</w:t>
            </w:r>
            <w:r w:rsidRPr="001465AF">
              <w:rPr>
                <w:rFonts w:eastAsia="新細明體"/>
                <w:noProof/>
                <w:sz w:val="17"/>
                <w:lang w:eastAsia="en-GB"/>
              </w:rPr>
              <w:t>”</w:t>
            </w:r>
            <w:r>
              <w:rPr>
                <w:rFonts w:eastAsia="新細明體"/>
                <w:noProof/>
                <w:sz w:val="17"/>
                <w:lang w:eastAsia="en-GB"/>
              </w:rPr>
              <w:t xml:space="preserve"> </w:t>
            </w:r>
            <w:r w:rsidRPr="007F75F9">
              <w:rPr>
                <w:rFonts w:eastAsia="新細明體"/>
                <w:noProof/>
                <w:sz w:val="17"/>
                <w:lang w:eastAsia="en-GB"/>
              </w:rPr>
              <w:t>in row 11</w:t>
            </w:r>
            <w:r>
              <w:rPr>
                <w:rFonts w:eastAsia="新細明體"/>
                <w:noProof/>
                <w:sz w:val="17"/>
                <w:lang w:eastAsia="en-GB"/>
              </w:rPr>
              <w:t xml:space="preserve">, </w:t>
            </w:r>
            <w:r w:rsidRPr="00057912">
              <w:rPr>
                <w:rFonts w:eastAsia="新細明體"/>
                <w:noProof/>
                <w:sz w:val="17"/>
                <w:lang w:eastAsia="en-GB"/>
              </w:rPr>
              <w:t xml:space="preserve">where material, </w:t>
            </w:r>
            <w:r>
              <w:rPr>
                <w:rFonts w:eastAsia="新細明體"/>
                <w:noProof/>
                <w:sz w:val="17"/>
                <w:lang w:eastAsia="en-GB"/>
              </w:rPr>
              <w:t xml:space="preserve">together with the definitions of those adjustment that are not listed in </w:t>
            </w:r>
            <w:r w:rsidRPr="00057912">
              <w:rPr>
                <w:rFonts w:eastAsia="新細明體"/>
                <w:noProof/>
                <w:sz w:val="17"/>
                <w:lang w:eastAsia="en-GB"/>
              </w:rPr>
              <w:t>the Basel framework.</w:t>
            </w:r>
            <w:r>
              <w:rPr>
                <w:rFonts w:eastAsia="新細明體"/>
                <w:noProof/>
                <w:sz w:val="17"/>
                <w:lang w:eastAsia="en-GB"/>
              </w:rPr>
              <w:t xml:space="preserve">  </w:t>
            </w:r>
            <w:r w:rsidR="00AF08F4">
              <w:rPr>
                <w:rFonts w:eastAsia="新細明體"/>
                <w:noProof/>
                <w:sz w:val="17"/>
                <w:lang w:eastAsia="en-GB"/>
              </w:rPr>
              <w:t>An</w:t>
            </w:r>
            <w:r>
              <w:rPr>
                <w:rFonts w:eastAsia="新細明體"/>
                <w:noProof/>
                <w:sz w:val="17"/>
                <w:lang w:eastAsia="en-GB"/>
              </w:rPr>
              <w:t xml:space="preserve"> AI should also explain the types </w:t>
            </w:r>
            <w:r w:rsidRPr="001465AF">
              <w:rPr>
                <w:rFonts w:eastAsia="新細明體"/>
                <w:noProof/>
                <w:sz w:val="17"/>
                <w:lang w:eastAsia="en-GB"/>
              </w:rPr>
              <w:t>of financial instruments</w:t>
            </w:r>
            <w:r>
              <w:rPr>
                <w:rFonts w:eastAsia="新細明體"/>
                <w:noProof/>
                <w:sz w:val="17"/>
                <w:lang w:eastAsia="en-GB"/>
              </w:rPr>
              <w:t xml:space="preserve"> with the highest amounts of valuation adjustment recorded</w:t>
            </w:r>
            <w:r w:rsidRPr="00FB5D22">
              <w:rPr>
                <w:rFonts w:eastAsia="新細明體"/>
                <w:sz w:val="17"/>
                <w:lang w:eastAsia="en-GB"/>
              </w:rPr>
              <w:t>.</w:t>
            </w:r>
          </w:p>
        </w:tc>
      </w:tr>
      <w:tr w:rsidR="0058460F" w:rsidRPr="00FB5D22" w14:paraId="1FEAC4FE" w14:textId="77777777" w:rsidTr="00826BF3">
        <w:tc>
          <w:tcPr>
            <w:tcW w:w="2127" w:type="dxa"/>
          </w:tcPr>
          <w:p w14:paraId="4F1D415C" w14:textId="77777777" w:rsidR="0058460F" w:rsidRPr="00FB5D22" w:rsidRDefault="0058460F" w:rsidP="00B155C6">
            <w:pPr>
              <w:spacing w:before="40" w:after="40"/>
              <w:jc w:val="both"/>
              <w:rPr>
                <w:rFonts w:eastAsia="新細明體"/>
                <w:b/>
                <w:sz w:val="17"/>
                <w:szCs w:val="17"/>
                <w:highlight w:val="yellow"/>
                <w:lang w:eastAsia="en-GB"/>
              </w:rPr>
            </w:pPr>
            <w:r w:rsidRPr="00FB5D22">
              <w:rPr>
                <w:rFonts w:eastAsia="新細明體"/>
                <w:b/>
                <w:sz w:val="17"/>
                <w:szCs w:val="17"/>
                <w:lang w:eastAsia="en-GB"/>
              </w:rPr>
              <w:t>Corresponding BDR section:</w:t>
            </w:r>
          </w:p>
        </w:tc>
        <w:tc>
          <w:tcPr>
            <w:tcW w:w="7115" w:type="dxa"/>
          </w:tcPr>
          <w:p w14:paraId="30614D99" w14:textId="77777777" w:rsidR="0058460F" w:rsidRPr="00FB5D22" w:rsidRDefault="0058460F" w:rsidP="00A95483">
            <w:pPr>
              <w:spacing w:before="40" w:after="40"/>
              <w:jc w:val="both"/>
              <w:rPr>
                <w:rFonts w:eastAsia="新細明體"/>
                <w:sz w:val="17"/>
                <w:szCs w:val="17"/>
                <w:highlight w:val="yellow"/>
                <w:lang w:eastAsia="en-GB"/>
              </w:rPr>
            </w:pPr>
            <w:r w:rsidRPr="001B530B">
              <w:rPr>
                <w:rFonts w:eastAsia="新細明體"/>
                <w:sz w:val="17"/>
                <w:szCs w:val="17"/>
                <w:lang w:eastAsia="en-GB"/>
              </w:rPr>
              <w:t>16FA</w:t>
            </w:r>
          </w:p>
        </w:tc>
      </w:tr>
    </w:tbl>
    <w:p w14:paraId="01EA8A48" w14:textId="77777777" w:rsidR="00B155C6" w:rsidRPr="00FB5D22" w:rsidRDefault="00B155C6" w:rsidP="0025068F">
      <w:pPr>
        <w:spacing w:before="120" w:after="120"/>
        <w:rPr>
          <w:sz w:val="22"/>
        </w:rPr>
      </w:pPr>
    </w:p>
    <w:tbl>
      <w:tblPr>
        <w:tblW w:w="9356" w:type="dxa"/>
        <w:tblInd w:w="-426" w:type="dxa"/>
        <w:tblLayout w:type="fixed"/>
        <w:tblCellMar>
          <w:left w:w="28" w:type="dxa"/>
          <w:right w:w="28" w:type="dxa"/>
        </w:tblCellMar>
        <w:tblLook w:val="04A0" w:firstRow="1" w:lastRow="0" w:firstColumn="1" w:lastColumn="0" w:noHBand="0" w:noVBand="1"/>
      </w:tblPr>
      <w:tblGrid>
        <w:gridCol w:w="425"/>
        <w:gridCol w:w="1702"/>
        <w:gridCol w:w="820"/>
        <w:gridCol w:w="820"/>
        <w:gridCol w:w="820"/>
        <w:gridCol w:w="820"/>
        <w:gridCol w:w="1120"/>
        <w:gridCol w:w="820"/>
        <w:gridCol w:w="1004"/>
        <w:gridCol w:w="1005"/>
      </w:tblGrid>
      <w:tr w:rsidR="0025068F" w:rsidRPr="00A84FAB" w14:paraId="1875F5E2" w14:textId="77777777" w:rsidTr="00925FDD">
        <w:trPr>
          <w:trHeight w:val="283"/>
          <w:tblHeader/>
        </w:trPr>
        <w:tc>
          <w:tcPr>
            <w:tcW w:w="425" w:type="dxa"/>
            <w:tcBorders>
              <w:top w:val="nil"/>
              <w:left w:val="nil"/>
              <w:bottom w:val="nil"/>
              <w:right w:val="nil"/>
            </w:tcBorders>
            <w:shd w:val="clear" w:color="auto" w:fill="auto"/>
            <w:noWrap/>
            <w:vAlign w:val="center"/>
            <w:hideMark/>
          </w:tcPr>
          <w:p w14:paraId="2FB28A2C" w14:textId="77777777" w:rsidR="0025068F" w:rsidRPr="00A84FAB" w:rsidRDefault="0025068F" w:rsidP="00647044">
            <w:pPr>
              <w:spacing w:line="200" w:lineRule="exact"/>
              <w:rPr>
                <w:rFonts w:eastAsia="新細明體" w:cs="Segoe UI"/>
                <w:color w:val="000000"/>
                <w:sz w:val="17"/>
                <w:szCs w:val="17"/>
              </w:rPr>
            </w:pPr>
          </w:p>
        </w:tc>
        <w:tc>
          <w:tcPr>
            <w:tcW w:w="1702" w:type="dxa"/>
            <w:tcBorders>
              <w:top w:val="nil"/>
              <w:left w:val="nil"/>
              <w:bottom w:val="nil"/>
              <w:right w:val="nil"/>
            </w:tcBorders>
            <w:shd w:val="clear" w:color="auto" w:fill="auto"/>
            <w:noWrap/>
            <w:vAlign w:val="center"/>
            <w:hideMark/>
          </w:tcPr>
          <w:p w14:paraId="6F6B8283" w14:textId="77777777" w:rsidR="0025068F" w:rsidRPr="00A84FAB" w:rsidRDefault="0025068F" w:rsidP="00647044">
            <w:pPr>
              <w:spacing w:line="200" w:lineRule="exact"/>
              <w:rPr>
                <w:rFonts w:eastAsia="新細明體" w:cs="Segoe UI"/>
                <w:color w:val="000000"/>
                <w:sz w:val="17"/>
                <w:szCs w:val="17"/>
              </w:rPr>
            </w:pPr>
          </w:p>
        </w:tc>
        <w:tc>
          <w:tcPr>
            <w:tcW w:w="820" w:type="dxa"/>
            <w:tcBorders>
              <w:top w:val="single" w:sz="4" w:space="0" w:color="auto"/>
              <w:left w:val="single" w:sz="4" w:space="0" w:color="auto"/>
              <w:bottom w:val="single" w:sz="4" w:space="0" w:color="auto"/>
              <w:right w:val="single" w:sz="4" w:space="0" w:color="BFBFBF"/>
            </w:tcBorders>
            <w:shd w:val="clear" w:color="auto" w:fill="auto"/>
            <w:vAlign w:val="center"/>
            <w:hideMark/>
          </w:tcPr>
          <w:p w14:paraId="0A7AD534" w14:textId="77777777" w:rsidR="0025068F" w:rsidRPr="00A84FAB" w:rsidRDefault="0025068F" w:rsidP="00647044">
            <w:pPr>
              <w:spacing w:line="200" w:lineRule="exact"/>
              <w:jc w:val="center"/>
              <w:rPr>
                <w:rFonts w:eastAsia="新細明體" w:cs="Segoe UI"/>
                <w:color w:val="000000"/>
                <w:sz w:val="17"/>
                <w:szCs w:val="17"/>
              </w:rPr>
            </w:pPr>
            <w:r w:rsidRPr="00A84FAB">
              <w:rPr>
                <w:rFonts w:eastAsia="新細明體" w:cs="Segoe UI"/>
                <w:color w:val="000000"/>
                <w:sz w:val="17"/>
                <w:szCs w:val="17"/>
              </w:rPr>
              <w:t>(a)</w:t>
            </w:r>
          </w:p>
        </w:tc>
        <w:tc>
          <w:tcPr>
            <w:tcW w:w="820" w:type="dxa"/>
            <w:tcBorders>
              <w:top w:val="single" w:sz="4" w:space="0" w:color="auto"/>
              <w:left w:val="nil"/>
              <w:bottom w:val="single" w:sz="4" w:space="0" w:color="auto"/>
              <w:right w:val="single" w:sz="4" w:space="0" w:color="BFBFBF"/>
            </w:tcBorders>
            <w:shd w:val="clear" w:color="auto" w:fill="auto"/>
            <w:vAlign w:val="center"/>
            <w:hideMark/>
          </w:tcPr>
          <w:p w14:paraId="2551D7E0" w14:textId="77777777" w:rsidR="0025068F" w:rsidRPr="00A84FAB" w:rsidRDefault="0025068F" w:rsidP="00647044">
            <w:pPr>
              <w:spacing w:line="200" w:lineRule="exact"/>
              <w:jc w:val="center"/>
              <w:rPr>
                <w:rFonts w:eastAsia="新細明體" w:cs="Segoe UI"/>
                <w:color w:val="000000"/>
                <w:sz w:val="17"/>
                <w:szCs w:val="17"/>
              </w:rPr>
            </w:pPr>
            <w:r w:rsidRPr="00A84FAB">
              <w:rPr>
                <w:rFonts w:eastAsia="新細明體" w:cs="Segoe UI"/>
                <w:color w:val="000000"/>
                <w:sz w:val="17"/>
                <w:szCs w:val="17"/>
              </w:rPr>
              <w:t>(b)</w:t>
            </w:r>
          </w:p>
        </w:tc>
        <w:tc>
          <w:tcPr>
            <w:tcW w:w="820" w:type="dxa"/>
            <w:tcBorders>
              <w:top w:val="single" w:sz="4" w:space="0" w:color="auto"/>
              <w:left w:val="nil"/>
              <w:bottom w:val="single" w:sz="4" w:space="0" w:color="auto"/>
              <w:right w:val="single" w:sz="4" w:space="0" w:color="BFBFBF"/>
            </w:tcBorders>
            <w:shd w:val="clear" w:color="auto" w:fill="auto"/>
            <w:vAlign w:val="center"/>
            <w:hideMark/>
          </w:tcPr>
          <w:p w14:paraId="4FD377C1" w14:textId="77777777" w:rsidR="0025068F" w:rsidRPr="00A84FAB" w:rsidRDefault="0025068F" w:rsidP="00647044">
            <w:pPr>
              <w:spacing w:line="200" w:lineRule="exact"/>
              <w:jc w:val="center"/>
              <w:rPr>
                <w:rFonts w:eastAsia="新細明體" w:cs="Segoe UI"/>
                <w:color w:val="000000"/>
                <w:sz w:val="17"/>
                <w:szCs w:val="17"/>
              </w:rPr>
            </w:pPr>
            <w:r w:rsidRPr="00A84FAB">
              <w:rPr>
                <w:rFonts w:eastAsia="新細明體" w:cs="Segoe UI"/>
                <w:color w:val="000000"/>
                <w:sz w:val="17"/>
                <w:szCs w:val="17"/>
              </w:rPr>
              <w:t>(c)</w:t>
            </w:r>
          </w:p>
        </w:tc>
        <w:tc>
          <w:tcPr>
            <w:tcW w:w="820" w:type="dxa"/>
            <w:tcBorders>
              <w:top w:val="single" w:sz="4" w:space="0" w:color="auto"/>
              <w:left w:val="nil"/>
              <w:bottom w:val="single" w:sz="4" w:space="0" w:color="auto"/>
              <w:right w:val="single" w:sz="4" w:space="0" w:color="BFBFBF"/>
            </w:tcBorders>
            <w:shd w:val="clear" w:color="auto" w:fill="auto"/>
            <w:vAlign w:val="center"/>
            <w:hideMark/>
          </w:tcPr>
          <w:p w14:paraId="7EA5F69C" w14:textId="77777777" w:rsidR="0025068F" w:rsidRPr="00A84FAB" w:rsidRDefault="0025068F" w:rsidP="00647044">
            <w:pPr>
              <w:spacing w:line="200" w:lineRule="exact"/>
              <w:jc w:val="center"/>
              <w:rPr>
                <w:rFonts w:eastAsia="新細明體" w:cs="Segoe UI"/>
                <w:color w:val="000000"/>
                <w:sz w:val="17"/>
                <w:szCs w:val="17"/>
              </w:rPr>
            </w:pPr>
            <w:r w:rsidRPr="00A84FAB">
              <w:rPr>
                <w:rFonts w:eastAsia="新細明體" w:cs="Segoe UI"/>
                <w:color w:val="000000"/>
                <w:sz w:val="17"/>
                <w:szCs w:val="17"/>
              </w:rPr>
              <w:t>(d)</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3FF2B429" w14:textId="77777777" w:rsidR="0025068F" w:rsidRPr="00A84FAB" w:rsidRDefault="0025068F" w:rsidP="00647044">
            <w:pPr>
              <w:spacing w:line="200" w:lineRule="exact"/>
              <w:jc w:val="center"/>
              <w:rPr>
                <w:rFonts w:eastAsia="新細明體" w:cs="Segoe UI"/>
                <w:color w:val="000000"/>
                <w:sz w:val="17"/>
                <w:szCs w:val="17"/>
              </w:rPr>
            </w:pPr>
            <w:r w:rsidRPr="00A84FAB">
              <w:rPr>
                <w:rFonts w:eastAsia="新細明體" w:cs="Segoe UI"/>
                <w:color w:val="000000"/>
                <w:sz w:val="17"/>
                <w:szCs w:val="17"/>
              </w:rPr>
              <w:t>(e)</w:t>
            </w:r>
          </w:p>
        </w:tc>
        <w:tc>
          <w:tcPr>
            <w:tcW w:w="820" w:type="dxa"/>
            <w:tcBorders>
              <w:top w:val="single" w:sz="4" w:space="0" w:color="auto"/>
              <w:left w:val="nil"/>
              <w:bottom w:val="single" w:sz="4" w:space="0" w:color="auto"/>
              <w:right w:val="single" w:sz="4" w:space="0" w:color="auto"/>
            </w:tcBorders>
            <w:shd w:val="clear" w:color="auto" w:fill="auto"/>
            <w:vAlign w:val="center"/>
            <w:hideMark/>
          </w:tcPr>
          <w:p w14:paraId="5CF65B8A" w14:textId="77777777" w:rsidR="0025068F" w:rsidRPr="005B5690" w:rsidRDefault="0025068F" w:rsidP="00647044">
            <w:pPr>
              <w:spacing w:line="200" w:lineRule="exact"/>
              <w:jc w:val="center"/>
              <w:rPr>
                <w:rFonts w:eastAsia="新細明體" w:cs="Segoe UI"/>
                <w:b/>
                <w:bCs/>
                <w:color w:val="000000"/>
                <w:sz w:val="17"/>
                <w:szCs w:val="17"/>
              </w:rPr>
            </w:pPr>
            <w:r w:rsidRPr="005B5690">
              <w:rPr>
                <w:rFonts w:eastAsia="新細明體" w:cs="Segoe UI"/>
                <w:b/>
                <w:bCs/>
                <w:color w:val="000000"/>
                <w:sz w:val="17"/>
                <w:szCs w:val="17"/>
              </w:rPr>
              <w:t>(f)</w:t>
            </w:r>
          </w:p>
        </w:tc>
        <w:tc>
          <w:tcPr>
            <w:tcW w:w="1004" w:type="dxa"/>
            <w:tcBorders>
              <w:top w:val="single" w:sz="4" w:space="0" w:color="auto"/>
              <w:left w:val="nil"/>
              <w:bottom w:val="nil"/>
              <w:right w:val="single" w:sz="4" w:space="0" w:color="BFBFBF"/>
            </w:tcBorders>
            <w:shd w:val="clear" w:color="auto" w:fill="auto"/>
            <w:vAlign w:val="center"/>
            <w:hideMark/>
          </w:tcPr>
          <w:p w14:paraId="7222A462" w14:textId="77777777" w:rsidR="0025068F" w:rsidRPr="00A84FAB" w:rsidRDefault="0025068F" w:rsidP="00647044">
            <w:pPr>
              <w:spacing w:line="200" w:lineRule="exact"/>
              <w:jc w:val="center"/>
              <w:rPr>
                <w:rFonts w:eastAsia="新細明體" w:cs="Segoe UI"/>
                <w:color w:val="000000"/>
                <w:sz w:val="17"/>
                <w:szCs w:val="17"/>
              </w:rPr>
            </w:pPr>
            <w:r w:rsidRPr="00A84FAB">
              <w:rPr>
                <w:rFonts w:eastAsia="新細明體" w:cs="Segoe UI"/>
                <w:color w:val="000000"/>
                <w:sz w:val="17"/>
                <w:szCs w:val="17"/>
              </w:rPr>
              <w:t>(g)</w:t>
            </w:r>
          </w:p>
        </w:tc>
        <w:tc>
          <w:tcPr>
            <w:tcW w:w="1005" w:type="dxa"/>
            <w:tcBorders>
              <w:top w:val="single" w:sz="4" w:space="0" w:color="auto"/>
              <w:left w:val="nil"/>
              <w:bottom w:val="nil"/>
              <w:right w:val="single" w:sz="4" w:space="0" w:color="auto"/>
            </w:tcBorders>
            <w:shd w:val="clear" w:color="auto" w:fill="auto"/>
            <w:vAlign w:val="center"/>
            <w:hideMark/>
          </w:tcPr>
          <w:p w14:paraId="360928FB" w14:textId="77777777" w:rsidR="0025068F" w:rsidRPr="00A84FAB" w:rsidRDefault="0025068F" w:rsidP="00647044">
            <w:pPr>
              <w:spacing w:line="200" w:lineRule="exact"/>
              <w:jc w:val="center"/>
              <w:rPr>
                <w:rFonts w:eastAsia="新細明體" w:cs="Segoe UI"/>
                <w:color w:val="000000"/>
                <w:sz w:val="17"/>
                <w:szCs w:val="17"/>
              </w:rPr>
            </w:pPr>
            <w:r w:rsidRPr="00A84FAB">
              <w:rPr>
                <w:rFonts w:eastAsia="新細明體" w:cs="Segoe UI"/>
                <w:color w:val="000000"/>
                <w:sz w:val="17"/>
                <w:szCs w:val="17"/>
              </w:rPr>
              <w:t>(h)</w:t>
            </w:r>
          </w:p>
        </w:tc>
      </w:tr>
      <w:tr w:rsidR="0025068F" w:rsidRPr="00A84FAB" w14:paraId="19229BA4" w14:textId="77777777" w:rsidTr="00925FDD">
        <w:trPr>
          <w:trHeight w:val="682"/>
          <w:tblHeader/>
        </w:trPr>
        <w:tc>
          <w:tcPr>
            <w:tcW w:w="425" w:type="dxa"/>
            <w:tcBorders>
              <w:top w:val="nil"/>
              <w:left w:val="nil"/>
              <w:bottom w:val="nil"/>
              <w:right w:val="nil"/>
            </w:tcBorders>
            <w:shd w:val="clear" w:color="auto" w:fill="auto"/>
            <w:noWrap/>
            <w:vAlign w:val="center"/>
            <w:hideMark/>
          </w:tcPr>
          <w:p w14:paraId="0066AAA2" w14:textId="77777777" w:rsidR="0025068F" w:rsidRPr="00A84FAB" w:rsidRDefault="0025068F" w:rsidP="00647044">
            <w:pPr>
              <w:spacing w:line="200" w:lineRule="exact"/>
              <w:rPr>
                <w:rFonts w:eastAsia="新細明體" w:cs="Segoe UI"/>
                <w:color w:val="000000"/>
                <w:sz w:val="17"/>
                <w:szCs w:val="17"/>
              </w:rPr>
            </w:pPr>
          </w:p>
        </w:tc>
        <w:tc>
          <w:tcPr>
            <w:tcW w:w="1702" w:type="dxa"/>
            <w:tcBorders>
              <w:top w:val="nil"/>
              <w:left w:val="nil"/>
              <w:bottom w:val="nil"/>
              <w:right w:val="nil"/>
            </w:tcBorders>
            <w:shd w:val="clear" w:color="auto" w:fill="auto"/>
            <w:noWrap/>
            <w:vAlign w:val="center"/>
            <w:hideMark/>
          </w:tcPr>
          <w:p w14:paraId="7DACBFEC" w14:textId="77777777" w:rsidR="0025068F" w:rsidRPr="00A84FAB" w:rsidRDefault="0025068F" w:rsidP="00647044">
            <w:pPr>
              <w:spacing w:line="200" w:lineRule="exact"/>
              <w:rPr>
                <w:rFonts w:eastAsia="新細明體" w:cs="Segoe UI"/>
                <w:color w:val="000000"/>
                <w:sz w:val="17"/>
                <w:szCs w:val="17"/>
              </w:rPr>
            </w:pPr>
          </w:p>
        </w:tc>
        <w:tc>
          <w:tcPr>
            <w:tcW w:w="820" w:type="dxa"/>
            <w:tcBorders>
              <w:top w:val="nil"/>
              <w:left w:val="single" w:sz="4" w:space="0" w:color="auto"/>
              <w:bottom w:val="single" w:sz="4" w:space="0" w:color="auto"/>
              <w:right w:val="single" w:sz="4" w:space="0" w:color="BFBFBF"/>
            </w:tcBorders>
            <w:shd w:val="clear" w:color="auto" w:fill="auto"/>
            <w:vAlign w:val="center"/>
            <w:hideMark/>
          </w:tcPr>
          <w:p w14:paraId="674BADFB" w14:textId="77777777" w:rsidR="0025068F" w:rsidRPr="00235B55" w:rsidRDefault="0025068F" w:rsidP="00647044">
            <w:pPr>
              <w:spacing w:line="200" w:lineRule="exact"/>
              <w:jc w:val="center"/>
              <w:rPr>
                <w:rFonts w:cs="Segoe UI"/>
                <w:sz w:val="17"/>
                <w:szCs w:val="17"/>
              </w:rPr>
            </w:pPr>
            <w:r w:rsidRPr="00235B55">
              <w:rPr>
                <w:rFonts w:cs="Segoe UI"/>
                <w:sz w:val="17"/>
                <w:szCs w:val="17"/>
              </w:rPr>
              <w:t>Equity</w:t>
            </w:r>
          </w:p>
        </w:tc>
        <w:tc>
          <w:tcPr>
            <w:tcW w:w="820" w:type="dxa"/>
            <w:tcBorders>
              <w:top w:val="nil"/>
              <w:left w:val="nil"/>
              <w:bottom w:val="single" w:sz="4" w:space="0" w:color="auto"/>
              <w:right w:val="single" w:sz="4" w:space="0" w:color="BFBFBF"/>
            </w:tcBorders>
            <w:shd w:val="clear" w:color="auto" w:fill="auto"/>
            <w:vAlign w:val="center"/>
            <w:hideMark/>
          </w:tcPr>
          <w:p w14:paraId="5D5E57F7" w14:textId="77777777" w:rsidR="0025068F" w:rsidRPr="00235B55" w:rsidRDefault="0025068F" w:rsidP="00647044">
            <w:pPr>
              <w:spacing w:line="200" w:lineRule="exact"/>
              <w:jc w:val="center"/>
              <w:rPr>
                <w:rFonts w:cs="Segoe UI"/>
                <w:sz w:val="17"/>
                <w:szCs w:val="17"/>
              </w:rPr>
            </w:pPr>
            <w:r w:rsidRPr="00235B55">
              <w:rPr>
                <w:rFonts w:cs="Segoe UI"/>
                <w:sz w:val="17"/>
                <w:szCs w:val="17"/>
              </w:rPr>
              <w:t>Interest rates</w:t>
            </w:r>
          </w:p>
        </w:tc>
        <w:tc>
          <w:tcPr>
            <w:tcW w:w="820" w:type="dxa"/>
            <w:tcBorders>
              <w:top w:val="nil"/>
              <w:left w:val="nil"/>
              <w:bottom w:val="single" w:sz="4" w:space="0" w:color="auto"/>
              <w:right w:val="single" w:sz="4" w:space="0" w:color="BFBFBF"/>
            </w:tcBorders>
            <w:shd w:val="clear" w:color="auto" w:fill="auto"/>
            <w:vAlign w:val="center"/>
            <w:hideMark/>
          </w:tcPr>
          <w:p w14:paraId="07617A26" w14:textId="77777777" w:rsidR="0025068F" w:rsidRPr="00235B55" w:rsidRDefault="0025068F" w:rsidP="00647044">
            <w:pPr>
              <w:spacing w:line="200" w:lineRule="exact"/>
              <w:jc w:val="center"/>
              <w:rPr>
                <w:rFonts w:cs="Segoe UI"/>
                <w:sz w:val="17"/>
                <w:szCs w:val="17"/>
              </w:rPr>
            </w:pPr>
            <w:r w:rsidRPr="00235B55">
              <w:rPr>
                <w:rFonts w:cs="Segoe UI"/>
                <w:sz w:val="17"/>
                <w:szCs w:val="17"/>
              </w:rPr>
              <w:t>FX</w:t>
            </w:r>
          </w:p>
        </w:tc>
        <w:tc>
          <w:tcPr>
            <w:tcW w:w="820" w:type="dxa"/>
            <w:tcBorders>
              <w:top w:val="nil"/>
              <w:left w:val="nil"/>
              <w:bottom w:val="single" w:sz="4" w:space="0" w:color="auto"/>
              <w:right w:val="single" w:sz="4" w:space="0" w:color="BFBFBF"/>
            </w:tcBorders>
            <w:shd w:val="clear" w:color="auto" w:fill="auto"/>
            <w:vAlign w:val="center"/>
            <w:hideMark/>
          </w:tcPr>
          <w:p w14:paraId="4197A7FF" w14:textId="77777777" w:rsidR="0025068F" w:rsidRPr="00235B55" w:rsidRDefault="0025068F" w:rsidP="00647044">
            <w:pPr>
              <w:spacing w:line="200" w:lineRule="exact"/>
              <w:jc w:val="center"/>
              <w:rPr>
                <w:rFonts w:cs="Segoe UI"/>
                <w:sz w:val="17"/>
                <w:szCs w:val="17"/>
              </w:rPr>
            </w:pPr>
            <w:r w:rsidRPr="00235B55">
              <w:rPr>
                <w:rFonts w:cs="Segoe UI"/>
                <w:sz w:val="17"/>
                <w:szCs w:val="17"/>
              </w:rPr>
              <w:t>Credit</w:t>
            </w:r>
          </w:p>
        </w:tc>
        <w:tc>
          <w:tcPr>
            <w:tcW w:w="1120" w:type="dxa"/>
            <w:tcBorders>
              <w:top w:val="nil"/>
              <w:left w:val="nil"/>
              <w:bottom w:val="single" w:sz="4" w:space="0" w:color="auto"/>
              <w:right w:val="single" w:sz="4" w:space="0" w:color="auto"/>
            </w:tcBorders>
            <w:shd w:val="clear" w:color="auto" w:fill="auto"/>
            <w:vAlign w:val="center"/>
            <w:hideMark/>
          </w:tcPr>
          <w:p w14:paraId="7214B135" w14:textId="77777777" w:rsidR="0025068F" w:rsidRPr="00235B55" w:rsidRDefault="0025068F" w:rsidP="00647044">
            <w:pPr>
              <w:spacing w:line="200" w:lineRule="exact"/>
              <w:jc w:val="center"/>
              <w:rPr>
                <w:rFonts w:cs="Segoe UI"/>
                <w:sz w:val="17"/>
                <w:szCs w:val="17"/>
              </w:rPr>
            </w:pPr>
            <w:r w:rsidRPr="00235B55">
              <w:rPr>
                <w:rFonts w:cs="Segoe UI"/>
                <w:sz w:val="17"/>
                <w:szCs w:val="17"/>
              </w:rPr>
              <w:t>Commodities</w:t>
            </w:r>
          </w:p>
        </w:tc>
        <w:tc>
          <w:tcPr>
            <w:tcW w:w="820" w:type="dxa"/>
            <w:tcBorders>
              <w:top w:val="nil"/>
              <w:left w:val="nil"/>
              <w:bottom w:val="single" w:sz="4" w:space="0" w:color="auto"/>
              <w:right w:val="single" w:sz="4" w:space="0" w:color="auto"/>
            </w:tcBorders>
            <w:shd w:val="clear" w:color="auto" w:fill="auto"/>
            <w:vAlign w:val="center"/>
            <w:hideMark/>
          </w:tcPr>
          <w:p w14:paraId="1EDF3AB6" w14:textId="77777777" w:rsidR="0025068F" w:rsidRPr="005B5690" w:rsidRDefault="0025068F" w:rsidP="00647044">
            <w:pPr>
              <w:spacing w:line="200" w:lineRule="exact"/>
              <w:jc w:val="center"/>
              <w:rPr>
                <w:rFonts w:cs="Segoe UI"/>
                <w:b/>
                <w:sz w:val="17"/>
                <w:szCs w:val="17"/>
              </w:rPr>
            </w:pPr>
            <w:r w:rsidRPr="005B5690">
              <w:rPr>
                <w:rFonts w:cs="Segoe UI"/>
                <w:b/>
                <w:sz w:val="17"/>
                <w:szCs w:val="17"/>
              </w:rPr>
              <w:t>Total</w:t>
            </w:r>
          </w:p>
        </w:tc>
        <w:tc>
          <w:tcPr>
            <w:tcW w:w="1004" w:type="dxa"/>
            <w:tcBorders>
              <w:top w:val="single" w:sz="4" w:space="0" w:color="auto"/>
              <w:left w:val="nil"/>
              <w:bottom w:val="nil"/>
              <w:right w:val="single" w:sz="4" w:space="0" w:color="BFBFBF"/>
            </w:tcBorders>
            <w:shd w:val="clear" w:color="auto" w:fill="auto"/>
            <w:vAlign w:val="center"/>
            <w:hideMark/>
          </w:tcPr>
          <w:p w14:paraId="74DC26B7" w14:textId="77777777" w:rsidR="0025068F" w:rsidRPr="00235B55" w:rsidRDefault="0025068F" w:rsidP="00647044">
            <w:pPr>
              <w:spacing w:line="200" w:lineRule="exact"/>
              <w:jc w:val="center"/>
              <w:rPr>
                <w:rFonts w:cs="Segoe UI"/>
                <w:sz w:val="17"/>
                <w:szCs w:val="17"/>
              </w:rPr>
            </w:pPr>
            <w:r w:rsidRPr="00235B55">
              <w:rPr>
                <w:rFonts w:cs="Segoe UI"/>
                <w:sz w:val="17"/>
                <w:szCs w:val="17"/>
              </w:rPr>
              <w:t>Of which:</w:t>
            </w:r>
            <w:r w:rsidRPr="00235B55">
              <w:rPr>
                <w:rFonts w:cs="Segoe UI"/>
                <w:sz w:val="17"/>
                <w:szCs w:val="17"/>
              </w:rPr>
              <w:br/>
              <w:t>In the trading book</w:t>
            </w:r>
          </w:p>
        </w:tc>
        <w:tc>
          <w:tcPr>
            <w:tcW w:w="1005" w:type="dxa"/>
            <w:tcBorders>
              <w:top w:val="single" w:sz="4" w:space="0" w:color="auto"/>
              <w:left w:val="nil"/>
              <w:bottom w:val="nil"/>
              <w:right w:val="single" w:sz="4" w:space="0" w:color="auto"/>
            </w:tcBorders>
            <w:shd w:val="clear" w:color="auto" w:fill="auto"/>
            <w:vAlign w:val="center"/>
            <w:hideMark/>
          </w:tcPr>
          <w:p w14:paraId="3CC62913" w14:textId="77777777" w:rsidR="0025068F" w:rsidRPr="00235B55" w:rsidRDefault="0025068F" w:rsidP="00647044">
            <w:pPr>
              <w:spacing w:line="200" w:lineRule="exact"/>
              <w:jc w:val="center"/>
              <w:rPr>
                <w:rFonts w:cs="Segoe UI"/>
                <w:sz w:val="17"/>
                <w:szCs w:val="17"/>
              </w:rPr>
            </w:pPr>
            <w:r w:rsidRPr="00235B55">
              <w:rPr>
                <w:rFonts w:cs="Segoe UI"/>
                <w:sz w:val="17"/>
                <w:szCs w:val="17"/>
              </w:rPr>
              <w:t>Of which:</w:t>
            </w:r>
            <w:r w:rsidRPr="00235B55">
              <w:rPr>
                <w:rFonts w:cs="Segoe UI"/>
                <w:sz w:val="17"/>
                <w:szCs w:val="17"/>
              </w:rPr>
              <w:br/>
              <w:t>In the banking book</w:t>
            </w:r>
          </w:p>
        </w:tc>
      </w:tr>
      <w:tr w:rsidR="0025068F" w:rsidRPr="00A84FAB" w14:paraId="1AC090BF" w14:textId="77777777" w:rsidTr="00925FDD">
        <w:trPr>
          <w:trHeight w:val="284"/>
        </w:trPr>
        <w:tc>
          <w:tcPr>
            <w:tcW w:w="425" w:type="dxa"/>
            <w:tcBorders>
              <w:top w:val="single" w:sz="4" w:space="0" w:color="auto"/>
              <w:left w:val="nil"/>
              <w:bottom w:val="single" w:sz="4" w:space="0" w:color="auto"/>
              <w:right w:val="single" w:sz="4" w:space="0" w:color="auto"/>
            </w:tcBorders>
            <w:shd w:val="clear" w:color="auto" w:fill="auto"/>
            <w:noWrap/>
            <w:hideMark/>
          </w:tcPr>
          <w:p w14:paraId="5FB99EF8" w14:textId="77777777" w:rsidR="0025068F" w:rsidRPr="00A84FAB" w:rsidRDefault="0025068F" w:rsidP="00571446">
            <w:pPr>
              <w:spacing w:line="200" w:lineRule="exact"/>
              <w:rPr>
                <w:rFonts w:eastAsia="新細明體" w:cs="Segoe UI"/>
                <w:color w:val="000000"/>
                <w:sz w:val="17"/>
                <w:szCs w:val="17"/>
              </w:rPr>
            </w:pPr>
            <w:r w:rsidRPr="00A84FAB">
              <w:rPr>
                <w:rFonts w:eastAsia="新細明體" w:cs="Segoe UI"/>
                <w:color w:val="000000"/>
                <w:sz w:val="17"/>
                <w:szCs w:val="17"/>
              </w:rPr>
              <w:t>1</w:t>
            </w:r>
          </w:p>
        </w:tc>
        <w:tc>
          <w:tcPr>
            <w:tcW w:w="1702" w:type="dxa"/>
            <w:tcBorders>
              <w:top w:val="single" w:sz="4" w:space="0" w:color="auto"/>
              <w:left w:val="nil"/>
              <w:bottom w:val="single" w:sz="4" w:space="0" w:color="auto"/>
              <w:right w:val="single" w:sz="4" w:space="0" w:color="auto"/>
            </w:tcBorders>
            <w:shd w:val="clear" w:color="auto" w:fill="auto"/>
            <w:hideMark/>
          </w:tcPr>
          <w:p w14:paraId="6F14795E" w14:textId="77777777" w:rsidR="0025068F" w:rsidRPr="00A84FAB" w:rsidRDefault="0025068F" w:rsidP="00925FDD">
            <w:pPr>
              <w:spacing w:line="200" w:lineRule="exact"/>
              <w:ind w:left="119"/>
              <w:rPr>
                <w:rFonts w:eastAsia="新細明體" w:cs="Segoe UI"/>
                <w:color w:val="000000"/>
                <w:sz w:val="17"/>
                <w:szCs w:val="17"/>
              </w:rPr>
            </w:pPr>
            <w:r w:rsidRPr="00A84FAB">
              <w:rPr>
                <w:rFonts w:eastAsia="新細明體" w:cs="Segoe UI"/>
                <w:color w:val="000000"/>
                <w:sz w:val="17"/>
                <w:szCs w:val="17"/>
              </w:rPr>
              <w:t>Close-out uncertainty, of which:</w:t>
            </w:r>
          </w:p>
        </w:tc>
        <w:tc>
          <w:tcPr>
            <w:tcW w:w="820" w:type="dxa"/>
            <w:tcBorders>
              <w:top w:val="nil"/>
              <w:left w:val="nil"/>
              <w:bottom w:val="single" w:sz="4" w:space="0" w:color="auto"/>
              <w:right w:val="single" w:sz="4" w:space="0" w:color="BFBFBF"/>
            </w:tcBorders>
            <w:shd w:val="clear" w:color="auto" w:fill="auto"/>
            <w:noWrap/>
            <w:hideMark/>
          </w:tcPr>
          <w:p w14:paraId="7F80ECDA"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nil"/>
              <w:left w:val="nil"/>
              <w:bottom w:val="single" w:sz="4" w:space="0" w:color="auto"/>
              <w:right w:val="single" w:sz="4" w:space="0" w:color="BFBFBF"/>
            </w:tcBorders>
            <w:shd w:val="clear" w:color="auto" w:fill="auto"/>
            <w:noWrap/>
            <w:hideMark/>
          </w:tcPr>
          <w:p w14:paraId="100B6202"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nil"/>
              <w:left w:val="nil"/>
              <w:bottom w:val="single" w:sz="4" w:space="0" w:color="auto"/>
              <w:right w:val="single" w:sz="4" w:space="0" w:color="BFBFBF"/>
            </w:tcBorders>
            <w:shd w:val="clear" w:color="auto" w:fill="auto"/>
            <w:noWrap/>
            <w:hideMark/>
          </w:tcPr>
          <w:p w14:paraId="1FBB8F1D"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nil"/>
              <w:left w:val="nil"/>
              <w:bottom w:val="single" w:sz="4" w:space="0" w:color="auto"/>
              <w:right w:val="single" w:sz="4" w:space="0" w:color="BFBFBF"/>
            </w:tcBorders>
            <w:shd w:val="clear" w:color="auto" w:fill="auto"/>
            <w:noWrap/>
            <w:hideMark/>
          </w:tcPr>
          <w:p w14:paraId="796E21B3"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120" w:type="dxa"/>
            <w:tcBorders>
              <w:top w:val="nil"/>
              <w:left w:val="nil"/>
              <w:bottom w:val="single" w:sz="4" w:space="0" w:color="auto"/>
              <w:right w:val="single" w:sz="4" w:space="0" w:color="auto"/>
            </w:tcBorders>
            <w:shd w:val="clear" w:color="auto" w:fill="auto"/>
            <w:noWrap/>
            <w:hideMark/>
          </w:tcPr>
          <w:p w14:paraId="110FCBE3"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nil"/>
              <w:left w:val="nil"/>
              <w:bottom w:val="single" w:sz="4" w:space="0" w:color="auto"/>
              <w:right w:val="single" w:sz="4" w:space="0" w:color="auto"/>
            </w:tcBorders>
            <w:shd w:val="clear" w:color="auto" w:fill="auto"/>
            <w:noWrap/>
            <w:hideMark/>
          </w:tcPr>
          <w:p w14:paraId="260D80AF"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4" w:type="dxa"/>
            <w:tcBorders>
              <w:top w:val="single" w:sz="4" w:space="0" w:color="auto"/>
              <w:left w:val="nil"/>
              <w:bottom w:val="single" w:sz="4" w:space="0" w:color="auto"/>
              <w:right w:val="single" w:sz="4" w:space="0" w:color="BFBFBF"/>
            </w:tcBorders>
            <w:shd w:val="clear" w:color="auto" w:fill="auto"/>
            <w:noWrap/>
            <w:hideMark/>
          </w:tcPr>
          <w:p w14:paraId="6F0E7C68"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5" w:type="dxa"/>
            <w:tcBorders>
              <w:top w:val="single" w:sz="4" w:space="0" w:color="auto"/>
              <w:left w:val="nil"/>
              <w:bottom w:val="single" w:sz="4" w:space="0" w:color="auto"/>
              <w:right w:val="single" w:sz="4" w:space="0" w:color="auto"/>
            </w:tcBorders>
            <w:shd w:val="clear" w:color="auto" w:fill="auto"/>
            <w:noWrap/>
            <w:hideMark/>
          </w:tcPr>
          <w:p w14:paraId="19C7A2E3"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r>
      <w:tr w:rsidR="0025068F" w:rsidRPr="00A84FAB" w14:paraId="50BEA91B" w14:textId="77777777" w:rsidTr="00925FDD">
        <w:trPr>
          <w:trHeight w:val="284"/>
        </w:trPr>
        <w:tc>
          <w:tcPr>
            <w:tcW w:w="425" w:type="dxa"/>
            <w:tcBorders>
              <w:top w:val="single" w:sz="4" w:space="0" w:color="auto"/>
              <w:left w:val="nil"/>
              <w:bottom w:val="nil"/>
              <w:right w:val="single" w:sz="4" w:space="0" w:color="auto"/>
            </w:tcBorders>
            <w:shd w:val="clear" w:color="auto" w:fill="auto"/>
            <w:noWrap/>
            <w:hideMark/>
          </w:tcPr>
          <w:p w14:paraId="687D9E4A" w14:textId="77777777" w:rsidR="0025068F" w:rsidRPr="00A84FAB" w:rsidRDefault="0025068F" w:rsidP="00571446">
            <w:pPr>
              <w:spacing w:line="200" w:lineRule="exact"/>
              <w:rPr>
                <w:rFonts w:eastAsia="新細明體" w:cs="Segoe UI"/>
                <w:color w:val="000000"/>
                <w:sz w:val="17"/>
                <w:szCs w:val="17"/>
              </w:rPr>
            </w:pPr>
            <w:r w:rsidRPr="00A84FAB">
              <w:rPr>
                <w:rFonts w:eastAsia="新細明體" w:cs="Segoe UI"/>
                <w:color w:val="000000"/>
                <w:sz w:val="17"/>
                <w:szCs w:val="17"/>
              </w:rPr>
              <w:t>2</w:t>
            </w:r>
          </w:p>
        </w:tc>
        <w:tc>
          <w:tcPr>
            <w:tcW w:w="1702" w:type="dxa"/>
            <w:tcBorders>
              <w:top w:val="single" w:sz="4" w:space="0" w:color="auto"/>
              <w:left w:val="nil"/>
              <w:bottom w:val="single" w:sz="4" w:space="0" w:color="BFBFBF"/>
              <w:right w:val="single" w:sz="4" w:space="0" w:color="auto"/>
            </w:tcBorders>
            <w:shd w:val="clear" w:color="auto" w:fill="auto"/>
            <w:hideMark/>
          </w:tcPr>
          <w:p w14:paraId="362E71D9" w14:textId="77777777" w:rsidR="0025068F" w:rsidRPr="00A84FAB" w:rsidRDefault="0025068F" w:rsidP="00647044">
            <w:pPr>
              <w:spacing w:line="200" w:lineRule="exact"/>
              <w:ind w:leftChars="142" w:left="284"/>
              <w:rPr>
                <w:rFonts w:eastAsia="新細明體" w:cs="Segoe UI"/>
                <w:i/>
                <w:iCs/>
                <w:color w:val="000000"/>
                <w:sz w:val="17"/>
                <w:szCs w:val="17"/>
              </w:rPr>
            </w:pPr>
            <w:r w:rsidRPr="00A84FAB">
              <w:rPr>
                <w:rFonts w:eastAsia="新細明體" w:cs="Segoe UI"/>
                <w:i/>
                <w:iCs/>
                <w:color w:val="000000"/>
                <w:sz w:val="17"/>
                <w:szCs w:val="17"/>
              </w:rPr>
              <w:t>Mid-market value</w:t>
            </w:r>
          </w:p>
        </w:tc>
        <w:tc>
          <w:tcPr>
            <w:tcW w:w="820" w:type="dxa"/>
            <w:tcBorders>
              <w:top w:val="single" w:sz="4" w:space="0" w:color="auto"/>
              <w:left w:val="nil"/>
              <w:bottom w:val="single" w:sz="4" w:space="0" w:color="BFBFBF"/>
              <w:right w:val="single" w:sz="4" w:space="0" w:color="BFBFBF"/>
            </w:tcBorders>
            <w:shd w:val="clear" w:color="auto" w:fill="auto"/>
            <w:noWrap/>
            <w:hideMark/>
          </w:tcPr>
          <w:p w14:paraId="2ED25A10"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BFBFBF"/>
              <w:right w:val="single" w:sz="4" w:space="0" w:color="BFBFBF"/>
            </w:tcBorders>
            <w:shd w:val="clear" w:color="auto" w:fill="auto"/>
            <w:noWrap/>
            <w:hideMark/>
          </w:tcPr>
          <w:p w14:paraId="56D5F58C"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BFBFBF"/>
              <w:right w:val="single" w:sz="4" w:space="0" w:color="BFBFBF"/>
            </w:tcBorders>
            <w:shd w:val="clear" w:color="auto" w:fill="auto"/>
            <w:noWrap/>
            <w:hideMark/>
          </w:tcPr>
          <w:p w14:paraId="6939DE9D"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BFBFBF"/>
              <w:right w:val="single" w:sz="4" w:space="0" w:color="BFBFBF"/>
            </w:tcBorders>
            <w:shd w:val="clear" w:color="auto" w:fill="auto"/>
            <w:noWrap/>
            <w:hideMark/>
          </w:tcPr>
          <w:p w14:paraId="6C1E164F"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120" w:type="dxa"/>
            <w:tcBorders>
              <w:top w:val="single" w:sz="4" w:space="0" w:color="auto"/>
              <w:left w:val="nil"/>
              <w:bottom w:val="single" w:sz="4" w:space="0" w:color="BFBFBF"/>
              <w:right w:val="single" w:sz="4" w:space="0" w:color="auto"/>
            </w:tcBorders>
            <w:shd w:val="clear" w:color="auto" w:fill="auto"/>
            <w:noWrap/>
            <w:hideMark/>
          </w:tcPr>
          <w:p w14:paraId="594AB668"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BFBFBF"/>
              <w:right w:val="single" w:sz="4" w:space="0" w:color="auto"/>
            </w:tcBorders>
            <w:shd w:val="clear" w:color="auto" w:fill="auto"/>
            <w:noWrap/>
            <w:hideMark/>
          </w:tcPr>
          <w:p w14:paraId="2244883A"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4" w:type="dxa"/>
            <w:tcBorders>
              <w:top w:val="single" w:sz="4" w:space="0" w:color="auto"/>
              <w:left w:val="nil"/>
              <w:bottom w:val="single" w:sz="4" w:space="0" w:color="BFBFBF"/>
              <w:right w:val="single" w:sz="4" w:space="0" w:color="BFBFBF"/>
            </w:tcBorders>
            <w:shd w:val="clear" w:color="auto" w:fill="auto"/>
            <w:noWrap/>
            <w:hideMark/>
          </w:tcPr>
          <w:p w14:paraId="3A2AE7BF"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5" w:type="dxa"/>
            <w:tcBorders>
              <w:top w:val="single" w:sz="4" w:space="0" w:color="auto"/>
              <w:left w:val="nil"/>
              <w:bottom w:val="single" w:sz="4" w:space="0" w:color="BFBFBF"/>
              <w:right w:val="single" w:sz="4" w:space="0" w:color="auto"/>
            </w:tcBorders>
            <w:shd w:val="clear" w:color="auto" w:fill="auto"/>
            <w:noWrap/>
            <w:hideMark/>
          </w:tcPr>
          <w:p w14:paraId="1B095997"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r>
      <w:tr w:rsidR="0025068F" w:rsidRPr="00A84FAB" w14:paraId="3A8DB1F6" w14:textId="77777777" w:rsidTr="00925FDD">
        <w:trPr>
          <w:trHeight w:val="284"/>
        </w:trPr>
        <w:tc>
          <w:tcPr>
            <w:tcW w:w="425" w:type="dxa"/>
            <w:tcBorders>
              <w:top w:val="single" w:sz="4" w:space="0" w:color="auto"/>
              <w:left w:val="nil"/>
              <w:bottom w:val="nil"/>
              <w:right w:val="single" w:sz="4" w:space="0" w:color="auto"/>
            </w:tcBorders>
            <w:shd w:val="clear" w:color="auto" w:fill="auto"/>
            <w:noWrap/>
            <w:hideMark/>
          </w:tcPr>
          <w:p w14:paraId="3D6A53F0" w14:textId="77777777" w:rsidR="0025068F" w:rsidRPr="00A84FAB" w:rsidRDefault="0025068F" w:rsidP="00571446">
            <w:pPr>
              <w:spacing w:line="200" w:lineRule="exact"/>
              <w:rPr>
                <w:rFonts w:eastAsia="新細明體" w:cs="Segoe UI"/>
                <w:color w:val="000000"/>
                <w:sz w:val="17"/>
                <w:szCs w:val="17"/>
              </w:rPr>
            </w:pPr>
            <w:r w:rsidRPr="00A84FAB">
              <w:rPr>
                <w:rFonts w:eastAsia="新細明體" w:cs="Segoe UI"/>
                <w:color w:val="000000"/>
                <w:sz w:val="17"/>
                <w:szCs w:val="17"/>
              </w:rPr>
              <w:t>3</w:t>
            </w:r>
          </w:p>
        </w:tc>
        <w:tc>
          <w:tcPr>
            <w:tcW w:w="1702" w:type="dxa"/>
            <w:tcBorders>
              <w:top w:val="nil"/>
              <w:left w:val="nil"/>
              <w:bottom w:val="single" w:sz="4" w:space="0" w:color="BFBFBF"/>
              <w:right w:val="single" w:sz="4" w:space="0" w:color="auto"/>
            </w:tcBorders>
            <w:shd w:val="clear" w:color="auto" w:fill="auto"/>
            <w:hideMark/>
          </w:tcPr>
          <w:p w14:paraId="332303F1" w14:textId="77777777" w:rsidR="0025068F" w:rsidRPr="00A84FAB" w:rsidRDefault="0025068F" w:rsidP="00647044">
            <w:pPr>
              <w:spacing w:line="200" w:lineRule="exact"/>
              <w:ind w:leftChars="142" w:left="284"/>
              <w:rPr>
                <w:rFonts w:eastAsia="新細明體" w:cs="Segoe UI"/>
                <w:i/>
                <w:iCs/>
                <w:color w:val="000000"/>
                <w:sz w:val="17"/>
                <w:szCs w:val="17"/>
              </w:rPr>
            </w:pPr>
            <w:r w:rsidRPr="00A84FAB">
              <w:rPr>
                <w:rFonts w:eastAsia="新細明體" w:cs="Segoe UI"/>
                <w:i/>
                <w:iCs/>
                <w:color w:val="000000"/>
                <w:sz w:val="17"/>
                <w:szCs w:val="17"/>
              </w:rPr>
              <w:t>Close-out costs</w:t>
            </w:r>
          </w:p>
        </w:tc>
        <w:tc>
          <w:tcPr>
            <w:tcW w:w="820" w:type="dxa"/>
            <w:tcBorders>
              <w:top w:val="nil"/>
              <w:left w:val="nil"/>
              <w:bottom w:val="single" w:sz="4" w:space="0" w:color="BFBFBF"/>
              <w:right w:val="single" w:sz="4" w:space="0" w:color="BFBFBF"/>
            </w:tcBorders>
            <w:shd w:val="clear" w:color="auto" w:fill="auto"/>
            <w:noWrap/>
            <w:hideMark/>
          </w:tcPr>
          <w:p w14:paraId="615B01A6"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nil"/>
              <w:left w:val="nil"/>
              <w:bottom w:val="single" w:sz="4" w:space="0" w:color="BFBFBF"/>
              <w:right w:val="single" w:sz="4" w:space="0" w:color="BFBFBF"/>
            </w:tcBorders>
            <w:shd w:val="clear" w:color="auto" w:fill="auto"/>
            <w:noWrap/>
            <w:hideMark/>
          </w:tcPr>
          <w:p w14:paraId="7B5B39FB"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nil"/>
              <w:left w:val="nil"/>
              <w:bottom w:val="single" w:sz="4" w:space="0" w:color="BFBFBF"/>
              <w:right w:val="single" w:sz="4" w:space="0" w:color="BFBFBF"/>
            </w:tcBorders>
            <w:shd w:val="clear" w:color="auto" w:fill="auto"/>
            <w:noWrap/>
            <w:hideMark/>
          </w:tcPr>
          <w:p w14:paraId="75CC5BF9"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nil"/>
              <w:left w:val="nil"/>
              <w:bottom w:val="single" w:sz="4" w:space="0" w:color="BFBFBF"/>
              <w:right w:val="single" w:sz="4" w:space="0" w:color="BFBFBF"/>
            </w:tcBorders>
            <w:shd w:val="clear" w:color="auto" w:fill="auto"/>
            <w:noWrap/>
            <w:hideMark/>
          </w:tcPr>
          <w:p w14:paraId="3BF16129"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120" w:type="dxa"/>
            <w:tcBorders>
              <w:top w:val="nil"/>
              <w:left w:val="nil"/>
              <w:bottom w:val="single" w:sz="4" w:space="0" w:color="BFBFBF"/>
              <w:right w:val="single" w:sz="4" w:space="0" w:color="auto"/>
            </w:tcBorders>
            <w:shd w:val="clear" w:color="auto" w:fill="auto"/>
            <w:noWrap/>
            <w:hideMark/>
          </w:tcPr>
          <w:p w14:paraId="3629258E"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nil"/>
              <w:left w:val="nil"/>
              <w:bottom w:val="single" w:sz="4" w:space="0" w:color="BFBFBF"/>
              <w:right w:val="single" w:sz="4" w:space="0" w:color="auto"/>
            </w:tcBorders>
            <w:shd w:val="clear" w:color="auto" w:fill="auto"/>
            <w:noWrap/>
            <w:hideMark/>
          </w:tcPr>
          <w:p w14:paraId="6392933F"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4" w:type="dxa"/>
            <w:tcBorders>
              <w:top w:val="nil"/>
              <w:left w:val="nil"/>
              <w:bottom w:val="single" w:sz="4" w:space="0" w:color="BFBFBF"/>
              <w:right w:val="single" w:sz="4" w:space="0" w:color="BFBFBF"/>
            </w:tcBorders>
            <w:shd w:val="clear" w:color="auto" w:fill="auto"/>
            <w:noWrap/>
            <w:hideMark/>
          </w:tcPr>
          <w:p w14:paraId="0927CFDA"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5" w:type="dxa"/>
            <w:tcBorders>
              <w:top w:val="nil"/>
              <w:left w:val="nil"/>
              <w:bottom w:val="single" w:sz="4" w:space="0" w:color="BFBFBF"/>
              <w:right w:val="single" w:sz="4" w:space="0" w:color="auto"/>
            </w:tcBorders>
            <w:shd w:val="clear" w:color="auto" w:fill="auto"/>
            <w:noWrap/>
            <w:hideMark/>
          </w:tcPr>
          <w:p w14:paraId="575D8A41"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r>
      <w:tr w:rsidR="0025068F" w:rsidRPr="00A84FAB" w14:paraId="033E3965" w14:textId="77777777" w:rsidTr="00925FDD">
        <w:trPr>
          <w:trHeight w:val="284"/>
        </w:trPr>
        <w:tc>
          <w:tcPr>
            <w:tcW w:w="425" w:type="dxa"/>
            <w:tcBorders>
              <w:top w:val="single" w:sz="4" w:space="0" w:color="auto"/>
              <w:left w:val="nil"/>
              <w:bottom w:val="single" w:sz="4" w:space="0" w:color="auto"/>
              <w:right w:val="single" w:sz="4" w:space="0" w:color="auto"/>
            </w:tcBorders>
            <w:shd w:val="clear" w:color="auto" w:fill="auto"/>
            <w:noWrap/>
            <w:hideMark/>
          </w:tcPr>
          <w:p w14:paraId="68F0F5BE" w14:textId="77777777" w:rsidR="0025068F" w:rsidRPr="00A84FAB" w:rsidRDefault="0025068F" w:rsidP="00571446">
            <w:pPr>
              <w:spacing w:line="200" w:lineRule="exact"/>
              <w:rPr>
                <w:rFonts w:eastAsia="新細明體" w:cs="Segoe UI"/>
                <w:color w:val="000000"/>
                <w:sz w:val="17"/>
                <w:szCs w:val="17"/>
              </w:rPr>
            </w:pPr>
            <w:r w:rsidRPr="00A84FAB">
              <w:rPr>
                <w:rFonts w:eastAsia="新細明體" w:cs="Segoe UI"/>
                <w:color w:val="000000"/>
                <w:sz w:val="17"/>
                <w:szCs w:val="17"/>
              </w:rPr>
              <w:t>4</w:t>
            </w:r>
          </w:p>
        </w:tc>
        <w:tc>
          <w:tcPr>
            <w:tcW w:w="1702" w:type="dxa"/>
            <w:tcBorders>
              <w:top w:val="nil"/>
              <w:left w:val="nil"/>
              <w:bottom w:val="single" w:sz="4" w:space="0" w:color="auto"/>
              <w:right w:val="single" w:sz="4" w:space="0" w:color="auto"/>
            </w:tcBorders>
            <w:shd w:val="clear" w:color="auto" w:fill="auto"/>
            <w:hideMark/>
          </w:tcPr>
          <w:p w14:paraId="7F106FE2" w14:textId="77777777" w:rsidR="0025068F" w:rsidRPr="00A84FAB" w:rsidRDefault="0025068F" w:rsidP="00647044">
            <w:pPr>
              <w:spacing w:line="200" w:lineRule="exact"/>
              <w:ind w:leftChars="142" w:left="284"/>
              <w:rPr>
                <w:rFonts w:eastAsia="新細明體" w:cs="Segoe UI"/>
                <w:i/>
                <w:iCs/>
                <w:color w:val="000000"/>
                <w:sz w:val="17"/>
                <w:szCs w:val="17"/>
              </w:rPr>
            </w:pPr>
            <w:r w:rsidRPr="00A84FAB">
              <w:rPr>
                <w:rFonts w:eastAsia="新細明體" w:cs="Segoe UI"/>
                <w:i/>
                <w:iCs/>
                <w:color w:val="000000"/>
                <w:sz w:val="17"/>
                <w:szCs w:val="17"/>
              </w:rPr>
              <w:t>Concentration</w:t>
            </w:r>
          </w:p>
        </w:tc>
        <w:tc>
          <w:tcPr>
            <w:tcW w:w="820" w:type="dxa"/>
            <w:tcBorders>
              <w:top w:val="nil"/>
              <w:left w:val="nil"/>
              <w:bottom w:val="single" w:sz="4" w:space="0" w:color="auto"/>
              <w:right w:val="single" w:sz="4" w:space="0" w:color="BFBFBF"/>
            </w:tcBorders>
            <w:shd w:val="clear" w:color="auto" w:fill="auto"/>
            <w:noWrap/>
            <w:hideMark/>
          </w:tcPr>
          <w:p w14:paraId="34A12697"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nil"/>
              <w:left w:val="nil"/>
              <w:bottom w:val="single" w:sz="4" w:space="0" w:color="auto"/>
              <w:right w:val="single" w:sz="4" w:space="0" w:color="BFBFBF"/>
            </w:tcBorders>
            <w:shd w:val="clear" w:color="auto" w:fill="auto"/>
            <w:noWrap/>
            <w:hideMark/>
          </w:tcPr>
          <w:p w14:paraId="25524181"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nil"/>
              <w:left w:val="nil"/>
              <w:bottom w:val="single" w:sz="4" w:space="0" w:color="auto"/>
              <w:right w:val="single" w:sz="4" w:space="0" w:color="BFBFBF"/>
            </w:tcBorders>
            <w:shd w:val="clear" w:color="auto" w:fill="auto"/>
            <w:noWrap/>
            <w:hideMark/>
          </w:tcPr>
          <w:p w14:paraId="5FA7B2C0"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nil"/>
              <w:left w:val="nil"/>
              <w:bottom w:val="single" w:sz="4" w:space="0" w:color="auto"/>
              <w:right w:val="single" w:sz="4" w:space="0" w:color="BFBFBF"/>
            </w:tcBorders>
            <w:shd w:val="clear" w:color="auto" w:fill="auto"/>
            <w:noWrap/>
            <w:hideMark/>
          </w:tcPr>
          <w:p w14:paraId="3F815521"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120" w:type="dxa"/>
            <w:tcBorders>
              <w:top w:val="nil"/>
              <w:left w:val="nil"/>
              <w:bottom w:val="single" w:sz="4" w:space="0" w:color="auto"/>
              <w:right w:val="single" w:sz="4" w:space="0" w:color="auto"/>
            </w:tcBorders>
            <w:shd w:val="clear" w:color="auto" w:fill="auto"/>
            <w:noWrap/>
            <w:hideMark/>
          </w:tcPr>
          <w:p w14:paraId="5FABA39C"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nil"/>
              <w:left w:val="nil"/>
              <w:bottom w:val="single" w:sz="4" w:space="0" w:color="auto"/>
              <w:right w:val="single" w:sz="4" w:space="0" w:color="auto"/>
            </w:tcBorders>
            <w:shd w:val="clear" w:color="auto" w:fill="auto"/>
            <w:noWrap/>
            <w:hideMark/>
          </w:tcPr>
          <w:p w14:paraId="56B08298"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4" w:type="dxa"/>
            <w:tcBorders>
              <w:top w:val="nil"/>
              <w:left w:val="nil"/>
              <w:bottom w:val="single" w:sz="4" w:space="0" w:color="auto"/>
              <w:right w:val="single" w:sz="4" w:space="0" w:color="BFBFBF"/>
            </w:tcBorders>
            <w:shd w:val="clear" w:color="auto" w:fill="auto"/>
            <w:noWrap/>
            <w:hideMark/>
          </w:tcPr>
          <w:p w14:paraId="4C8EE2C6"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5" w:type="dxa"/>
            <w:tcBorders>
              <w:top w:val="nil"/>
              <w:left w:val="nil"/>
              <w:bottom w:val="single" w:sz="4" w:space="0" w:color="auto"/>
              <w:right w:val="single" w:sz="4" w:space="0" w:color="auto"/>
            </w:tcBorders>
            <w:shd w:val="clear" w:color="auto" w:fill="auto"/>
            <w:noWrap/>
            <w:hideMark/>
          </w:tcPr>
          <w:p w14:paraId="209EB2CE"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r>
      <w:tr w:rsidR="0025068F" w:rsidRPr="00A84FAB" w14:paraId="03E2783A" w14:textId="77777777" w:rsidTr="00925FDD">
        <w:trPr>
          <w:trHeight w:val="284"/>
        </w:trPr>
        <w:tc>
          <w:tcPr>
            <w:tcW w:w="425" w:type="dxa"/>
            <w:tcBorders>
              <w:top w:val="single" w:sz="4" w:space="0" w:color="auto"/>
              <w:left w:val="nil"/>
              <w:bottom w:val="single" w:sz="4" w:space="0" w:color="auto"/>
              <w:right w:val="single" w:sz="4" w:space="0" w:color="auto"/>
            </w:tcBorders>
            <w:shd w:val="clear" w:color="auto" w:fill="auto"/>
            <w:noWrap/>
            <w:hideMark/>
          </w:tcPr>
          <w:p w14:paraId="052C7FC8" w14:textId="77777777" w:rsidR="0025068F" w:rsidRPr="00A84FAB" w:rsidRDefault="0025068F" w:rsidP="00571446">
            <w:pPr>
              <w:spacing w:line="200" w:lineRule="exact"/>
              <w:rPr>
                <w:rFonts w:eastAsia="新細明體" w:cs="Segoe UI"/>
                <w:color w:val="000000"/>
                <w:sz w:val="17"/>
                <w:szCs w:val="17"/>
              </w:rPr>
            </w:pPr>
            <w:r w:rsidRPr="00A84FAB">
              <w:rPr>
                <w:rFonts w:eastAsia="新細明體" w:cs="Segoe UI"/>
                <w:color w:val="000000"/>
                <w:sz w:val="17"/>
                <w:szCs w:val="17"/>
              </w:rPr>
              <w:t>5</w:t>
            </w:r>
          </w:p>
        </w:tc>
        <w:tc>
          <w:tcPr>
            <w:tcW w:w="1702" w:type="dxa"/>
            <w:tcBorders>
              <w:top w:val="single" w:sz="4" w:space="0" w:color="auto"/>
              <w:left w:val="nil"/>
              <w:bottom w:val="single" w:sz="4" w:space="0" w:color="auto"/>
              <w:right w:val="single" w:sz="4" w:space="0" w:color="auto"/>
            </w:tcBorders>
            <w:shd w:val="clear" w:color="auto" w:fill="auto"/>
            <w:hideMark/>
          </w:tcPr>
          <w:p w14:paraId="172ED5F5" w14:textId="77777777" w:rsidR="0025068F" w:rsidRPr="00A84FAB" w:rsidRDefault="0025068F" w:rsidP="00925FDD">
            <w:pPr>
              <w:spacing w:line="200" w:lineRule="exact"/>
              <w:ind w:left="119"/>
              <w:rPr>
                <w:rFonts w:eastAsia="新細明體" w:cs="Segoe UI"/>
                <w:color w:val="000000"/>
                <w:sz w:val="17"/>
                <w:szCs w:val="17"/>
              </w:rPr>
            </w:pPr>
            <w:r w:rsidRPr="00A84FAB">
              <w:rPr>
                <w:rFonts w:eastAsia="新細明體" w:cs="Segoe UI"/>
                <w:color w:val="000000"/>
                <w:sz w:val="17"/>
                <w:szCs w:val="17"/>
              </w:rPr>
              <w:t>Early termination</w:t>
            </w:r>
          </w:p>
        </w:tc>
        <w:tc>
          <w:tcPr>
            <w:tcW w:w="820" w:type="dxa"/>
            <w:tcBorders>
              <w:top w:val="single" w:sz="4" w:space="0" w:color="auto"/>
              <w:left w:val="nil"/>
              <w:bottom w:val="single" w:sz="4" w:space="0" w:color="auto"/>
              <w:right w:val="single" w:sz="4" w:space="0" w:color="BFBFBF"/>
            </w:tcBorders>
            <w:shd w:val="clear" w:color="auto" w:fill="auto"/>
            <w:noWrap/>
            <w:hideMark/>
          </w:tcPr>
          <w:p w14:paraId="7AD2C83F"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BFBFBF"/>
            </w:tcBorders>
            <w:shd w:val="clear" w:color="auto" w:fill="auto"/>
            <w:noWrap/>
            <w:hideMark/>
          </w:tcPr>
          <w:p w14:paraId="035908F2"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BFBFBF"/>
            </w:tcBorders>
            <w:shd w:val="clear" w:color="auto" w:fill="auto"/>
            <w:noWrap/>
            <w:hideMark/>
          </w:tcPr>
          <w:p w14:paraId="09B8E4F0"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BFBFBF"/>
            </w:tcBorders>
            <w:shd w:val="clear" w:color="auto" w:fill="auto"/>
            <w:noWrap/>
            <w:hideMark/>
          </w:tcPr>
          <w:p w14:paraId="1533876F"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120" w:type="dxa"/>
            <w:tcBorders>
              <w:top w:val="single" w:sz="4" w:space="0" w:color="auto"/>
              <w:left w:val="nil"/>
              <w:bottom w:val="single" w:sz="4" w:space="0" w:color="auto"/>
              <w:right w:val="single" w:sz="4" w:space="0" w:color="auto"/>
            </w:tcBorders>
            <w:shd w:val="clear" w:color="auto" w:fill="auto"/>
            <w:noWrap/>
            <w:hideMark/>
          </w:tcPr>
          <w:p w14:paraId="74DF624C"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auto"/>
            </w:tcBorders>
            <w:shd w:val="clear" w:color="auto" w:fill="auto"/>
            <w:noWrap/>
            <w:hideMark/>
          </w:tcPr>
          <w:p w14:paraId="38CAE78F"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4" w:type="dxa"/>
            <w:tcBorders>
              <w:top w:val="single" w:sz="4" w:space="0" w:color="auto"/>
              <w:left w:val="nil"/>
              <w:bottom w:val="single" w:sz="4" w:space="0" w:color="auto"/>
              <w:right w:val="single" w:sz="4" w:space="0" w:color="BFBFBF"/>
            </w:tcBorders>
            <w:shd w:val="clear" w:color="auto" w:fill="auto"/>
            <w:noWrap/>
            <w:hideMark/>
          </w:tcPr>
          <w:p w14:paraId="5B222CCB"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5" w:type="dxa"/>
            <w:tcBorders>
              <w:top w:val="single" w:sz="4" w:space="0" w:color="auto"/>
              <w:left w:val="nil"/>
              <w:bottom w:val="single" w:sz="4" w:space="0" w:color="auto"/>
              <w:right w:val="single" w:sz="4" w:space="0" w:color="auto"/>
            </w:tcBorders>
            <w:shd w:val="clear" w:color="auto" w:fill="auto"/>
            <w:noWrap/>
            <w:hideMark/>
          </w:tcPr>
          <w:p w14:paraId="491D4B67"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r>
      <w:tr w:rsidR="0025068F" w:rsidRPr="00A84FAB" w14:paraId="1F7DE800" w14:textId="77777777" w:rsidTr="00925FDD">
        <w:trPr>
          <w:trHeight w:val="284"/>
        </w:trPr>
        <w:tc>
          <w:tcPr>
            <w:tcW w:w="425" w:type="dxa"/>
            <w:tcBorders>
              <w:top w:val="single" w:sz="4" w:space="0" w:color="auto"/>
              <w:left w:val="nil"/>
              <w:bottom w:val="single" w:sz="4" w:space="0" w:color="auto"/>
              <w:right w:val="single" w:sz="4" w:space="0" w:color="auto"/>
            </w:tcBorders>
            <w:shd w:val="clear" w:color="auto" w:fill="auto"/>
            <w:noWrap/>
            <w:hideMark/>
          </w:tcPr>
          <w:p w14:paraId="222AF954" w14:textId="77777777" w:rsidR="0025068F" w:rsidRPr="00A84FAB" w:rsidRDefault="0025068F" w:rsidP="00571446">
            <w:pPr>
              <w:spacing w:line="200" w:lineRule="exact"/>
              <w:rPr>
                <w:rFonts w:eastAsia="新細明體" w:cs="Segoe UI"/>
                <w:color w:val="000000"/>
                <w:sz w:val="17"/>
                <w:szCs w:val="17"/>
              </w:rPr>
            </w:pPr>
            <w:r w:rsidRPr="00A84FAB">
              <w:rPr>
                <w:rFonts w:eastAsia="新細明體" w:cs="Segoe UI"/>
                <w:color w:val="000000"/>
                <w:sz w:val="17"/>
                <w:szCs w:val="17"/>
              </w:rPr>
              <w:t>6</w:t>
            </w:r>
          </w:p>
        </w:tc>
        <w:tc>
          <w:tcPr>
            <w:tcW w:w="1702" w:type="dxa"/>
            <w:tcBorders>
              <w:top w:val="single" w:sz="4" w:space="0" w:color="auto"/>
              <w:left w:val="nil"/>
              <w:bottom w:val="single" w:sz="4" w:space="0" w:color="auto"/>
              <w:right w:val="single" w:sz="4" w:space="0" w:color="auto"/>
            </w:tcBorders>
            <w:shd w:val="clear" w:color="auto" w:fill="auto"/>
            <w:hideMark/>
          </w:tcPr>
          <w:p w14:paraId="65ABBE17" w14:textId="77777777" w:rsidR="0025068F" w:rsidRPr="00A84FAB" w:rsidRDefault="0025068F" w:rsidP="00925FDD">
            <w:pPr>
              <w:spacing w:line="200" w:lineRule="exact"/>
              <w:ind w:left="119"/>
              <w:rPr>
                <w:rFonts w:eastAsia="新細明體" w:cs="Segoe UI"/>
                <w:color w:val="000000"/>
                <w:sz w:val="17"/>
                <w:szCs w:val="17"/>
              </w:rPr>
            </w:pPr>
            <w:r w:rsidRPr="00A84FAB">
              <w:rPr>
                <w:rFonts w:eastAsia="新細明體" w:cs="Segoe UI"/>
                <w:color w:val="000000"/>
                <w:sz w:val="17"/>
                <w:szCs w:val="17"/>
              </w:rPr>
              <w:t>Model risk</w:t>
            </w:r>
          </w:p>
        </w:tc>
        <w:tc>
          <w:tcPr>
            <w:tcW w:w="820" w:type="dxa"/>
            <w:tcBorders>
              <w:top w:val="single" w:sz="4" w:space="0" w:color="auto"/>
              <w:left w:val="nil"/>
              <w:bottom w:val="single" w:sz="4" w:space="0" w:color="auto"/>
              <w:right w:val="single" w:sz="4" w:space="0" w:color="BFBFBF"/>
            </w:tcBorders>
            <w:shd w:val="clear" w:color="auto" w:fill="auto"/>
            <w:noWrap/>
            <w:hideMark/>
          </w:tcPr>
          <w:p w14:paraId="08A86980"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BFBFBF"/>
            </w:tcBorders>
            <w:shd w:val="clear" w:color="auto" w:fill="auto"/>
            <w:noWrap/>
            <w:hideMark/>
          </w:tcPr>
          <w:p w14:paraId="3FE4119E"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BFBFBF"/>
            </w:tcBorders>
            <w:shd w:val="clear" w:color="auto" w:fill="auto"/>
            <w:noWrap/>
            <w:hideMark/>
          </w:tcPr>
          <w:p w14:paraId="2B84A421"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BFBFBF"/>
            </w:tcBorders>
            <w:shd w:val="clear" w:color="auto" w:fill="auto"/>
            <w:noWrap/>
            <w:hideMark/>
          </w:tcPr>
          <w:p w14:paraId="1A9955A4"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120" w:type="dxa"/>
            <w:tcBorders>
              <w:top w:val="single" w:sz="4" w:space="0" w:color="auto"/>
              <w:left w:val="nil"/>
              <w:bottom w:val="single" w:sz="4" w:space="0" w:color="auto"/>
              <w:right w:val="single" w:sz="4" w:space="0" w:color="auto"/>
            </w:tcBorders>
            <w:shd w:val="clear" w:color="auto" w:fill="auto"/>
            <w:noWrap/>
            <w:hideMark/>
          </w:tcPr>
          <w:p w14:paraId="07772B48"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auto"/>
            </w:tcBorders>
            <w:shd w:val="clear" w:color="auto" w:fill="auto"/>
            <w:noWrap/>
            <w:hideMark/>
          </w:tcPr>
          <w:p w14:paraId="01C40D33"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4" w:type="dxa"/>
            <w:tcBorders>
              <w:top w:val="single" w:sz="4" w:space="0" w:color="auto"/>
              <w:left w:val="nil"/>
              <w:bottom w:val="single" w:sz="4" w:space="0" w:color="auto"/>
              <w:right w:val="single" w:sz="4" w:space="0" w:color="BFBFBF"/>
            </w:tcBorders>
            <w:shd w:val="clear" w:color="auto" w:fill="auto"/>
            <w:noWrap/>
            <w:hideMark/>
          </w:tcPr>
          <w:p w14:paraId="593B1F2A"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5" w:type="dxa"/>
            <w:tcBorders>
              <w:top w:val="single" w:sz="4" w:space="0" w:color="auto"/>
              <w:left w:val="nil"/>
              <w:bottom w:val="single" w:sz="4" w:space="0" w:color="auto"/>
              <w:right w:val="single" w:sz="4" w:space="0" w:color="auto"/>
            </w:tcBorders>
            <w:shd w:val="clear" w:color="auto" w:fill="auto"/>
            <w:noWrap/>
            <w:hideMark/>
          </w:tcPr>
          <w:p w14:paraId="4C276C98"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r>
      <w:tr w:rsidR="0025068F" w:rsidRPr="00A84FAB" w14:paraId="4362D166" w14:textId="77777777" w:rsidTr="00925FDD">
        <w:trPr>
          <w:trHeight w:val="284"/>
        </w:trPr>
        <w:tc>
          <w:tcPr>
            <w:tcW w:w="425" w:type="dxa"/>
            <w:tcBorders>
              <w:top w:val="single" w:sz="4" w:space="0" w:color="auto"/>
              <w:left w:val="nil"/>
              <w:bottom w:val="nil"/>
              <w:right w:val="single" w:sz="4" w:space="0" w:color="auto"/>
            </w:tcBorders>
            <w:shd w:val="clear" w:color="auto" w:fill="auto"/>
            <w:noWrap/>
            <w:hideMark/>
          </w:tcPr>
          <w:p w14:paraId="3C3A073D" w14:textId="77777777" w:rsidR="0025068F" w:rsidRPr="00A84FAB" w:rsidRDefault="0025068F" w:rsidP="00571446">
            <w:pPr>
              <w:spacing w:line="200" w:lineRule="exact"/>
              <w:rPr>
                <w:rFonts w:eastAsia="新細明體" w:cs="Segoe UI"/>
                <w:color w:val="000000"/>
                <w:sz w:val="17"/>
                <w:szCs w:val="17"/>
              </w:rPr>
            </w:pPr>
            <w:r w:rsidRPr="00A84FAB">
              <w:rPr>
                <w:rFonts w:eastAsia="新細明體" w:cs="Segoe UI"/>
                <w:color w:val="000000"/>
                <w:sz w:val="17"/>
                <w:szCs w:val="17"/>
              </w:rPr>
              <w:t>7</w:t>
            </w:r>
          </w:p>
        </w:tc>
        <w:tc>
          <w:tcPr>
            <w:tcW w:w="1702" w:type="dxa"/>
            <w:tcBorders>
              <w:top w:val="single" w:sz="4" w:space="0" w:color="auto"/>
              <w:left w:val="nil"/>
              <w:bottom w:val="single" w:sz="4" w:space="0" w:color="auto"/>
              <w:right w:val="single" w:sz="4" w:space="0" w:color="auto"/>
            </w:tcBorders>
            <w:shd w:val="clear" w:color="auto" w:fill="auto"/>
            <w:hideMark/>
          </w:tcPr>
          <w:p w14:paraId="193494B1" w14:textId="77777777" w:rsidR="0025068F" w:rsidRPr="00A84FAB" w:rsidRDefault="0025068F" w:rsidP="00925FDD">
            <w:pPr>
              <w:spacing w:line="200" w:lineRule="exact"/>
              <w:ind w:left="119"/>
              <w:rPr>
                <w:rFonts w:eastAsia="新細明體" w:cs="Segoe UI"/>
                <w:color w:val="000000"/>
                <w:sz w:val="17"/>
                <w:szCs w:val="17"/>
              </w:rPr>
            </w:pPr>
            <w:r w:rsidRPr="00A84FAB">
              <w:rPr>
                <w:rFonts w:eastAsia="新細明體" w:cs="Segoe UI"/>
                <w:color w:val="000000"/>
                <w:sz w:val="17"/>
                <w:szCs w:val="17"/>
              </w:rPr>
              <w:t>Operational risks</w:t>
            </w:r>
          </w:p>
        </w:tc>
        <w:tc>
          <w:tcPr>
            <w:tcW w:w="820" w:type="dxa"/>
            <w:tcBorders>
              <w:top w:val="single" w:sz="4" w:space="0" w:color="auto"/>
              <w:left w:val="nil"/>
              <w:bottom w:val="single" w:sz="4" w:space="0" w:color="auto"/>
              <w:right w:val="single" w:sz="4" w:space="0" w:color="BFBFBF"/>
            </w:tcBorders>
            <w:shd w:val="clear" w:color="auto" w:fill="auto"/>
            <w:noWrap/>
            <w:hideMark/>
          </w:tcPr>
          <w:p w14:paraId="11390280"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BFBFBF"/>
            </w:tcBorders>
            <w:shd w:val="clear" w:color="auto" w:fill="auto"/>
            <w:noWrap/>
            <w:hideMark/>
          </w:tcPr>
          <w:p w14:paraId="5321A4D1"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BFBFBF"/>
            </w:tcBorders>
            <w:shd w:val="clear" w:color="auto" w:fill="auto"/>
            <w:noWrap/>
            <w:hideMark/>
          </w:tcPr>
          <w:p w14:paraId="4CBCC83B"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BFBFBF"/>
            </w:tcBorders>
            <w:shd w:val="clear" w:color="auto" w:fill="auto"/>
            <w:noWrap/>
            <w:hideMark/>
          </w:tcPr>
          <w:p w14:paraId="015A6544"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120" w:type="dxa"/>
            <w:tcBorders>
              <w:top w:val="single" w:sz="4" w:space="0" w:color="auto"/>
              <w:left w:val="nil"/>
              <w:bottom w:val="single" w:sz="4" w:space="0" w:color="auto"/>
              <w:right w:val="single" w:sz="4" w:space="0" w:color="auto"/>
            </w:tcBorders>
            <w:shd w:val="clear" w:color="auto" w:fill="auto"/>
            <w:noWrap/>
            <w:hideMark/>
          </w:tcPr>
          <w:p w14:paraId="03EB8F6A"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auto"/>
            </w:tcBorders>
            <w:shd w:val="clear" w:color="auto" w:fill="auto"/>
            <w:noWrap/>
            <w:hideMark/>
          </w:tcPr>
          <w:p w14:paraId="7EE98157"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4" w:type="dxa"/>
            <w:tcBorders>
              <w:top w:val="single" w:sz="4" w:space="0" w:color="auto"/>
              <w:left w:val="nil"/>
              <w:bottom w:val="single" w:sz="4" w:space="0" w:color="auto"/>
              <w:right w:val="single" w:sz="4" w:space="0" w:color="BFBFBF"/>
            </w:tcBorders>
            <w:shd w:val="clear" w:color="auto" w:fill="auto"/>
            <w:noWrap/>
            <w:hideMark/>
          </w:tcPr>
          <w:p w14:paraId="5F13D5E8"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5" w:type="dxa"/>
            <w:tcBorders>
              <w:top w:val="single" w:sz="4" w:space="0" w:color="auto"/>
              <w:left w:val="nil"/>
              <w:bottom w:val="single" w:sz="4" w:space="0" w:color="auto"/>
              <w:right w:val="single" w:sz="4" w:space="0" w:color="auto"/>
            </w:tcBorders>
            <w:shd w:val="clear" w:color="auto" w:fill="auto"/>
            <w:noWrap/>
            <w:hideMark/>
          </w:tcPr>
          <w:p w14:paraId="17020412" w14:textId="77777777" w:rsidR="0025068F" w:rsidRPr="003C3C43"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r>
      <w:tr w:rsidR="0025068F" w:rsidRPr="00A84FAB" w14:paraId="27A1C75E" w14:textId="77777777" w:rsidTr="00925FDD">
        <w:trPr>
          <w:trHeight w:val="284"/>
        </w:trPr>
        <w:tc>
          <w:tcPr>
            <w:tcW w:w="425" w:type="dxa"/>
            <w:tcBorders>
              <w:top w:val="single" w:sz="4" w:space="0" w:color="auto"/>
              <w:left w:val="nil"/>
              <w:bottom w:val="nil"/>
              <w:right w:val="single" w:sz="4" w:space="0" w:color="auto"/>
            </w:tcBorders>
            <w:shd w:val="clear" w:color="auto" w:fill="auto"/>
            <w:noWrap/>
            <w:hideMark/>
          </w:tcPr>
          <w:p w14:paraId="41080BFF" w14:textId="77777777" w:rsidR="0025068F" w:rsidRPr="00A84FAB" w:rsidRDefault="0025068F" w:rsidP="00571446">
            <w:pPr>
              <w:spacing w:line="200" w:lineRule="exact"/>
              <w:rPr>
                <w:rFonts w:eastAsia="新細明體" w:cs="Segoe UI"/>
                <w:color w:val="000000"/>
                <w:sz w:val="17"/>
                <w:szCs w:val="17"/>
              </w:rPr>
            </w:pPr>
            <w:r w:rsidRPr="00A84FAB">
              <w:rPr>
                <w:rFonts w:eastAsia="新細明體" w:cs="Segoe UI"/>
                <w:color w:val="000000"/>
                <w:sz w:val="17"/>
                <w:szCs w:val="17"/>
              </w:rPr>
              <w:t>8</w:t>
            </w:r>
          </w:p>
        </w:tc>
        <w:tc>
          <w:tcPr>
            <w:tcW w:w="1702" w:type="dxa"/>
            <w:tcBorders>
              <w:top w:val="single" w:sz="4" w:space="0" w:color="auto"/>
              <w:left w:val="nil"/>
              <w:bottom w:val="single" w:sz="4" w:space="0" w:color="BFBFBF" w:themeColor="background1" w:themeShade="BF"/>
              <w:right w:val="single" w:sz="4" w:space="0" w:color="auto"/>
            </w:tcBorders>
            <w:shd w:val="clear" w:color="auto" w:fill="auto"/>
            <w:hideMark/>
          </w:tcPr>
          <w:p w14:paraId="6CC11C96" w14:textId="32D82630" w:rsidR="0025068F" w:rsidRPr="00A84FAB" w:rsidRDefault="0025068F" w:rsidP="00925FDD">
            <w:pPr>
              <w:spacing w:line="200" w:lineRule="exact"/>
              <w:ind w:left="119"/>
              <w:rPr>
                <w:rFonts w:eastAsia="新細明體" w:cs="Segoe UI"/>
                <w:color w:val="000000"/>
                <w:sz w:val="17"/>
                <w:szCs w:val="17"/>
              </w:rPr>
            </w:pPr>
            <w:r w:rsidRPr="00A84FAB">
              <w:rPr>
                <w:rFonts w:eastAsia="新細明體" w:cs="Segoe UI"/>
                <w:color w:val="000000"/>
                <w:sz w:val="17"/>
                <w:szCs w:val="17"/>
              </w:rPr>
              <w:t>Investin</w:t>
            </w:r>
            <w:r w:rsidR="00196D03">
              <w:rPr>
                <w:rFonts w:eastAsia="新細明體" w:cs="Segoe UI"/>
                <w:color w:val="000000"/>
                <w:sz w:val="17"/>
                <w:szCs w:val="17"/>
              </w:rPr>
              <w:t>g</w:t>
            </w:r>
            <w:r w:rsidRPr="00A84FAB">
              <w:rPr>
                <w:rFonts w:eastAsia="新細明體" w:cs="Segoe UI"/>
                <w:color w:val="000000"/>
                <w:sz w:val="17"/>
                <w:szCs w:val="17"/>
              </w:rPr>
              <w:t xml:space="preserve"> and funding costs</w:t>
            </w:r>
          </w:p>
        </w:tc>
        <w:tc>
          <w:tcPr>
            <w:tcW w:w="820" w:type="dxa"/>
            <w:tcBorders>
              <w:top w:val="single" w:sz="4" w:space="0" w:color="auto"/>
              <w:left w:val="nil"/>
              <w:bottom w:val="single" w:sz="4" w:space="0" w:color="BFBFBF" w:themeColor="background1" w:themeShade="BF"/>
              <w:right w:val="single" w:sz="4" w:space="0" w:color="BFBFBF"/>
            </w:tcBorders>
            <w:shd w:val="clear" w:color="000000" w:fill="D9D9D9"/>
            <w:noWrap/>
            <w:hideMark/>
          </w:tcPr>
          <w:p w14:paraId="4772965C"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BFBFBF" w:themeColor="background1" w:themeShade="BF"/>
              <w:right w:val="single" w:sz="4" w:space="0" w:color="BFBFBF"/>
            </w:tcBorders>
            <w:shd w:val="clear" w:color="000000" w:fill="D9D9D9"/>
            <w:noWrap/>
            <w:hideMark/>
          </w:tcPr>
          <w:p w14:paraId="11FF289B"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BFBFBF" w:themeColor="background1" w:themeShade="BF"/>
              <w:right w:val="single" w:sz="4" w:space="0" w:color="BFBFBF"/>
            </w:tcBorders>
            <w:shd w:val="clear" w:color="000000" w:fill="D9D9D9"/>
            <w:noWrap/>
            <w:hideMark/>
          </w:tcPr>
          <w:p w14:paraId="04C58C57"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BFBFBF" w:themeColor="background1" w:themeShade="BF"/>
              <w:right w:val="single" w:sz="4" w:space="0" w:color="BFBFBF"/>
            </w:tcBorders>
            <w:shd w:val="clear" w:color="000000" w:fill="D9D9D9"/>
            <w:noWrap/>
            <w:hideMark/>
          </w:tcPr>
          <w:p w14:paraId="29A5AAC4"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120" w:type="dxa"/>
            <w:tcBorders>
              <w:top w:val="single" w:sz="4" w:space="0" w:color="auto"/>
              <w:left w:val="nil"/>
              <w:bottom w:val="single" w:sz="4" w:space="0" w:color="BFBFBF" w:themeColor="background1" w:themeShade="BF"/>
              <w:right w:val="single" w:sz="4" w:space="0" w:color="auto"/>
            </w:tcBorders>
            <w:shd w:val="clear" w:color="000000" w:fill="D9D9D9"/>
            <w:noWrap/>
            <w:hideMark/>
          </w:tcPr>
          <w:p w14:paraId="5394EDC7"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BFBFBF" w:themeColor="background1" w:themeShade="BF"/>
              <w:right w:val="single" w:sz="4" w:space="0" w:color="auto"/>
            </w:tcBorders>
            <w:shd w:val="clear" w:color="auto" w:fill="auto"/>
            <w:noWrap/>
            <w:hideMark/>
          </w:tcPr>
          <w:p w14:paraId="1372DD90"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4" w:type="dxa"/>
            <w:tcBorders>
              <w:top w:val="single" w:sz="4" w:space="0" w:color="auto"/>
              <w:left w:val="nil"/>
              <w:bottom w:val="single" w:sz="4" w:space="0" w:color="BFBFBF" w:themeColor="background1" w:themeShade="BF"/>
              <w:right w:val="single" w:sz="4" w:space="0" w:color="BFBFBF"/>
            </w:tcBorders>
            <w:shd w:val="clear" w:color="auto" w:fill="auto"/>
            <w:noWrap/>
            <w:hideMark/>
          </w:tcPr>
          <w:p w14:paraId="38AA90DD"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5" w:type="dxa"/>
            <w:tcBorders>
              <w:top w:val="single" w:sz="4" w:space="0" w:color="auto"/>
              <w:left w:val="nil"/>
              <w:bottom w:val="single" w:sz="4" w:space="0" w:color="BFBFBF" w:themeColor="background1" w:themeShade="BF"/>
              <w:right w:val="single" w:sz="4" w:space="0" w:color="auto"/>
            </w:tcBorders>
            <w:shd w:val="clear" w:color="auto" w:fill="auto"/>
            <w:noWrap/>
            <w:hideMark/>
          </w:tcPr>
          <w:p w14:paraId="028446EE" w14:textId="77777777" w:rsidR="0025068F" w:rsidRPr="00A84FAB" w:rsidRDefault="0025068F" w:rsidP="00647044">
            <w:pPr>
              <w:spacing w:line="200" w:lineRule="exact"/>
              <w:rPr>
                <w:rFonts w:eastAsia="新細明體" w:cs="Segoe UI"/>
                <w:color w:val="000000"/>
                <w:sz w:val="17"/>
                <w:szCs w:val="17"/>
              </w:rPr>
            </w:pPr>
          </w:p>
        </w:tc>
      </w:tr>
      <w:tr w:rsidR="0025068F" w:rsidRPr="00A84FAB" w14:paraId="020B0C7C" w14:textId="77777777" w:rsidTr="00925FDD">
        <w:trPr>
          <w:trHeight w:val="284"/>
        </w:trPr>
        <w:tc>
          <w:tcPr>
            <w:tcW w:w="425" w:type="dxa"/>
            <w:tcBorders>
              <w:top w:val="single" w:sz="4" w:space="0" w:color="auto"/>
              <w:left w:val="nil"/>
              <w:bottom w:val="nil"/>
              <w:right w:val="single" w:sz="4" w:space="0" w:color="auto"/>
            </w:tcBorders>
            <w:shd w:val="clear" w:color="auto" w:fill="auto"/>
            <w:noWrap/>
            <w:hideMark/>
          </w:tcPr>
          <w:p w14:paraId="046A2FC1" w14:textId="77777777" w:rsidR="0025068F" w:rsidRPr="00A84FAB" w:rsidRDefault="0025068F" w:rsidP="00571446">
            <w:pPr>
              <w:spacing w:line="200" w:lineRule="exact"/>
              <w:rPr>
                <w:rFonts w:eastAsia="新細明體" w:cs="Segoe UI"/>
                <w:color w:val="000000"/>
                <w:sz w:val="17"/>
                <w:szCs w:val="17"/>
              </w:rPr>
            </w:pPr>
            <w:r w:rsidRPr="00A84FAB">
              <w:rPr>
                <w:rFonts w:eastAsia="新細明體" w:cs="Segoe UI"/>
                <w:color w:val="000000"/>
                <w:sz w:val="17"/>
                <w:szCs w:val="17"/>
              </w:rPr>
              <w:t>9</w:t>
            </w:r>
          </w:p>
        </w:tc>
        <w:tc>
          <w:tcPr>
            <w:tcW w:w="1702" w:type="dxa"/>
            <w:tcBorders>
              <w:top w:val="single" w:sz="4" w:space="0" w:color="auto"/>
              <w:left w:val="nil"/>
              <w:bottom w:val="single" w:sz="4" w:space="0" w:color="BFBFBF"/>
              <w:right w:val="single" w:sz="4" w:space="0" w:color="auto"/>
            </w:tcBorders>
            <w:shd w:val="clear" w:color="auto" w:fill="auto"/>
            <w:hideMark/>
          </w:tcPr>
          <w:p w14:paraId="78B6B7FB" w14:textId="77777777" w:rsidR="0025068F" w:rsidRPr="00A84FAB" w:rsidRDefault="0025068F" w:rsidP="00925FDD">
            <w:pPr>
              <w:spacing w:line="200" w:lineRule="exact"/>
              <w:ind w:left="119"/>
              <w:rPr>
                <w:rFonts w:eastAsia="新細明體" w:cs="Segoe UI"/>
                <w:color w:val="000000"/>
                <w:sz w:val="17"/>
                <w:szCs w:val="17"/>
              </w:rPr>
            </w:pPr>
            <w:r w:rsidRPr="00A84FAB">
              <w:rPr>
                <w:rFonts w:eastAsia="新細明體" w:cs="Segoe UI"/>
                <w:color w:val="000000"/>
                <w:sz w:val="17"/>
                <w:szCs w:val="17"/>
              </w:rPr>
              <w:t>Unearned credit spreads</w:t>
            </w:r>
          </w:p>
        </w:tc>
        <w:tc>
          <w:tcPr>
            <w:tcW w:w="820" w:type="dxa"/>
            <w:tcBorders>
              <w:top w:val="single" w:sz="4" w:space="0" w:color="auto"/>
              <w:left w:val="nil"/>
              <w:bottom w:val="single" w:sz="4" w:space="0" w:color="BFBFBF"/>
              <w:right w:val="single" w:sz="4" w:space="0" w:color="BFBFBF"/>
            </w:tcBorders>
            <w:shd w:val="clear" w:color="000000" w:fill="D9D9D9"/>
            <w:noWrap/>
            <w:hideMark/>
          </w:tcPr>
          <w:p w14:paraId="14BD1338"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BFBFBF"/>
              <w:right w:val="single" w:sz="4" w:space="0" w:color="BFBFBF"/>
            </w:tcBorders>
            <w:shd w:val="clear" w:color="000000" w:fill="D9D9D9"/>
            <w:noWrap/>
            <w:hideMark/>
          </w:tcPr>
          <w:p w14:paraId="349708B6"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BFBFBF"/>
              <w:right w:val="single" w:sz="4" w:space="0" w:color="BFBFBF"/>
            </w:tcBorders>
            <w:shd w:val="clear" w:color="000000" w:fill="D9D9D9"/>
            <w:noWrap/>
            <w:hideMark/>
          </w:tcPr>
          <w:p w14:paraId="2135FEE4"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BFBFBF"/>
              <w:right w:val="single" w:sz="4" w:space="0" w:color="BFBFBF"/>
            </w:tcBorders>
            <w:shd w:val="clear" w:color="000000" w:fill="D9D9D9"/>
            <w:noWrap/>
            <w:hideMark/>
          </w:tcPr>
          <w:p w14:paraId="2F804353"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120" w:type="dxa"/>
            <w:tcBorders>
              <w:top w:val="single" w:sz="4" w:space="0" w:color="auto"/>
              <w:left w:val="nil"/>
              <w:bottom w:val="single" w:sz="4" w:space="0" w:color="BFBFBF"/>
              <w:right w:val="single" w:sz="4" w:space="0" w:color="auto"/>
            </w:tcBorders>
            <w:shd w:val="clear" w:color="000000" w:fill="D9D9D9"/>
            <w:noWrap/>
            <w:hideMark/>
          </w:tcPr>
          <w:p w14:paraId="66A3A077"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BFBFBF"/>
              <w:right w:val="single" w:sz="4" w:space="0" w:color="auto"/>
            </w:tcBorders>
            <w:shd w:val="clear" w:color="auto" w:fill="auto"/>
            <w:noWrap/>
            <w:hideMark/>
          </w:tcPr>
          <w:p w14:paraId="2E4FE2DA"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4" w:type="dxa"/>
            <w:tcBorders>
              <w:top w:val="single" w:sz="4" w:space="0" w:color="auto"/>
              <w:left w:val="nil"/>
              <w:bottom w:val="single" w:sz="4" w:space="0" w:color="BFBFBF"/>
              <w:right w:val="single" w:sz="4" w:space="0" w:color="BFBFBF"/>
            </w:tcBorders>
            <w:shd w:val="clear" w:color="auto" w:fill="auto"/>
            <w:noWrap/>
            <w:hideMark/>
          </w:tcPr>
          <w:p w14:paraId="49BE9512"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5" w:type="dxa"/>
            <w:tcBorders>
              <w:top w:val="single" w:sz="4" w:space="0" w:color="auto"/>
              <w:left w:val="nil"/>
              <w:bottom w:val="single" w:sz="4" w:space="0" w:color="BFBFBF"/>
              <w:right w:val="single" w:sz="4" w:space="0" w:color="auto"/>
            </w:tcBorders>
            <w:shd w:val="clear" w:color="auto" w:fill="auto"/>
            <w:noWrap/>
            <w:hideMark/>
          </w:tcPr>
          <w:p w14:paraId="2F699F25"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r>
      <w:tr w:rsidR="0025068F" w:rsidRPr="00A84FAB" w14:paraId="594B5EC8" w14:textId="77777777" w:rsidTr="00925FDD">
        <w:trPr>
          <w:trHeight w:val="284"/>
        </w:trPr>
        <w:tc>
          <w:tcPr>
            <w:tcW w:w="425" w:type="dxa"/>
            <w:tcBorders>
              <w:top w:val="single" w:sz="4" w:space="0" w:color="auto"/>
              <w:left w:val="nil"/>
              <w:bottom w:val="nil"/>
              <w:right w:val="single" w:sz="4" w:space="0" w:color="auto"/>
            </w:tcBorders>
            <w:shd w:val="clear" w:color="auto" w:fill="auto"/>
            <w:noWrap/>
            <w:hideMark/>
          </w:tcPr>
          <w:p w14:paraId="7CEAB3CE" w14:textId="77777777" w:rsidR="0025068F" w:rsidRPr="00A84FAB" w:rsidRDefault="0025068F" w:rsidP="00571446">
            <w:pPr>
              <w:spacing w:line="200" w:lineRule="exact"/>
              <w:rPr>
                <w:rFonts w:eastAsia="新細明體" w:cs="Segoe UI"/>
                <w:color w:val="000000"/>
                <w:sz w:val="17"/>
                <w:szCs w:val="17"/>
              </w:rPr>
            </w:pPr>
            <w:r w:rsidRPr="00A84FAB">
              <w:rPr>
                <w:rFonts w:eastAsia="新細明體" w:cs="Segoe UI"/>
                <w:color w:val="000000"/>
                <w:sz w:val="17"/>
                <w:szCs w:val="17"/>
              </w:rPr>
              <w:t>10</w:t>
            </w:r>
          </w:p>
        </w:tc>
        <w:tc>
          <w:tcPr>
            <w:tcW w:w="1702" w:type="dxa"/>
            <w:tcBorders>
              <w:top w:val="single" w:sz="4" w:space="0" w:color="auto"/>
              <w:left w:val="nil"/>
              <w:bottom w:val="single" w:sz="4" w:space="0" w:color="BFBFBF"/>
              <w:right w:val="single" w:sz="4" w:space="0" w:color="auto"/>
            </w:tcBorders>
            <w:shd w:val="clear" w:color="auto" w:fill="auto"/>
            <w:hideMark/>
          </w:tcPr>
          <w:p w14:paraId="5300DFF8" w14:textId="77777777" w:rsidR="0025068F" w:rsidRPr="00A84FAB" w:rsidRDefault="0025068F" w:rsidP="00925FDD">
            <w:pPr>
              <w:spacing w:line="200" w:lineRule="exact"/>
              <w:ind w:left="119"/>
              <w:rPr>
                <w:rFonts w:eastAsia="新細明體" w:cs="Segoe UI"/>
                <w:color w:val="000000"/>
                <w:sz w:val="17"/>
                <w:szCs w:val="17"/>
              </w:rPr>
            </w:pPr>
            <w:r w:rsidRPr="00A84FAB">
              <w:rPr>
                <w:rFonts w:eastAsia="新細明體" w:cs="Segoe UI"/>
                <w:color w:val="000000"/>
                <w:sz w:val="17"/>
                <w:szCs w:val="17"/>
              </w:rPr>
              <w:t>Future administrative costs</w:t>
            </w:r>
          </w:p>
        </w:tc>
        <w:tc>
          <w:tcPr>
            <w:tcW w:w="820" w:type="dxa"/>
            <w:tcBorders>
              <w:top w:val="single" w:sz="4" w:space="0" w:color="auto"/>
              <w:left w:val="nil"/>
              <w:bottom w:val="single" w:sz="4" w:space="0" w:color="auto"/>
              <w:right w:val="single" w:sz="4" w:space="0" w:color="BFBFBF"/>
            </w:tcBorders>
            <w:shd w:val="clear" w:color="auto" w:fill="auto"/>
            <w:noWrap/>
            <w:hideMark/>
          </w:tcPr>
          <w:p w14:paraId="639D20DB"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BFBFBF"/>
            </w:tcBorders>
            <w:shd w:val="clear" w:color="auto" w:fill="auto"/>
            <w:noWrap/>
            <w:hideMark/>
          </w:tcPr>
          <w:p w14:paraId="1E0263C0"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BFBFBF"/>
            </w:tcBorders>
            <w:shd w:val="clear" w:color="auto" w:fill="auto"/>
            <w:noWrap/>
            <w:hideMark/>
          </w:tcPr>
          <w:p w14:paraId="5CB98FB2"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BFBFBF"/>
            </w:tcBorders>
            <w:shd w:val="clear" w:color="auto" w:fill="auto"/>
            <w:noWrap/>
            <w:hideMark/>
          </w:tcPr>
          <w:p w14:paraId="55CA7C6D"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120" w:type="dxa"/>
            <w:tcBorders>
              <w:top w:val="single" w:sz="4" w:space="0" w:color="auto"/>
              <w:left w:val="nil"/>
              <w:bottom w:val="single" w:sz="4" w:space="0" w:color="auto"/>
              <w:right w:val="single" w:sz="4" w:space="0" w:color="auto"/>
            </w:tcBorders>
            <w:shd w:val="clear" w:color="auto" w:fill="auto"/>
            <w:noWrap/>
            <w:hideMark/>
          </w:tcPr>
          <w:p w14:paraId="5414367E"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auto"/>
            </w:tcBorders>
            <w:shd w:val="clear" w:color="auto" w:fill="auto"/>
            <w:noWrap/>
            <w:hideMark/>
          </w:tcPr>
          <w:p w14:paraId="267B51E6"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4" w:type="dxa"/>
            <w:tcBorders>
              <w:top w:val="single" w:sz="4" w:space="0" w:color="auto"/>
              <w:left w:val="nil"/>
              <w:bottom w:val="single" w:sz="4" w:space="0" w:color="auto"/>
              <w:right w:val="single" w:sz="4" w:space="0" w:color="BFBFBF"/>
            </w:tcBorders>
            <w:shd w:val="clear" w:color="auto" w:fill="auto"/>
            <w:noWrap/>
            <w:hideMark/>
          </w:tcPr>
          <w:p w14:paraId="64019B07"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5" w:type="dxa"/>
            <w:tcBorders>
              <w:top w:val="single" w:sz="4" w:space="0" w:color="auto"/>
              <w:left w:val="nil"/>
              <w:bottom w:val="single" w:sz="4" w:space="0" w:color="BFBFBF"/>
              <w:right w:val="single" w:sz="4" w:space="0" w:color="auto"/>
            </w:tcBorders>
            <w:shd w:val="clear" w:color="auto" w:fill="auto"/>
            <w:noWrap/>
            <w:hideMark/>
          </w:tcPr>
          <w:p w14:paraId="2CA53768"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r>
      <w:tr w:rsidR="0025068F" w:rsidRPr="00A84FAB" w14:paraId="756F74AA" w14:textId="77777777" w:rsidTr="00925FDD">
        <w:trPr>
          <w:trHeight w:val="284"/>
        </w:trPr>
        <w:tc>
          <w:tcPr>
            <w:tcW w:w="425" w:type="dxa"/>
            <w:tcBorders>
              <w:top w:val="single" w:sz="4" w:space="0" w:color="auto"/>
              <w:left w:val="nil"/>
              <w:bottom w:val="nil"/>
              <w:right w:val="single" w:sz="4" w:space="0" w:color="auto"/>
            </w:tcBorders>
            <w:shd w:val="clear" w:color="auto" w:fill="auto"/>
            <w:noWrap/>
            <w:hideMark/>
          </w:tcPr>
          <w:p w14:paraId="3B7FFBDE" w14:textId="77777777" w:rsidR="0025068F" w:rsidRPr="00A84FAB" w:rsidRDefault="0025068F" w:rsidP="00571446">
            <w:pPr>
              <w:spacing w:line="200" w:lineRule="exact"/>
              <w:rPr>
                <w:rFonts w:eastAsia="新細明體" w:cs="Segoe UI"/>
                <w:color w:val="000000"/>
                <w:sz w:val="17"/>
                <w:szCs w:val="17"/>
              </w:rPr>
            </w:pPr>
            <w:r w:rsidRPr="00A84FAB">
              <w:rPr>
                <w:rFonts w:eastAsia="新細明體" w:cs="Segoe UI"/>
                <w:color w:val="000000"/>
                <w:sz w:val="17"/>
                <w:szCs w:val="17"/>
              </w:rPr>
              <w:t>11</w:t>
            </w:r>
          </w:p>
        </w:tc>
        <w:tc>
          <w:tcPr>
            <w:tcW w:w="1702" w:type="dxa"/>
            <w:tcBorders>
              <w:top w:val="single" w:sz="4" w:space="0" w:color="auto"/>
              <w:left w:val="nil"/>
              <w:bottom w:val="single" w:sz="4" w:space="0" w:color="auto"/>
              <w:right w:val="single" w:sz="4" w:space="0" w:color="auto"/>
            </w:tcBorders>
            <w:shd w:val="clear" w:color="auto" w:fill="auto"/>
            <w:hideMark/>
          </w:tcPr>
          <w:p w14:paraId="37EE4BFD" w14:textId="77777777" w:rsidR="0025068F" w:rsidRPr="00A84FAB" w:rsidRDefault="0025068F" w:rsidP="00925FDD">
            <w:pPr>
              <w:spacing w:line="200" w:lineRule="exact"/>
              <w:ind w:left="119"/>
              <w:rPr>
                <w:rFonts w:eastAsia="新細明體" w:cs="Segoe UI"/>
                <w:color w:val="000000"/>
                <w:sz w:val="17"/>
                <w:szCs w:val="17"/>
              </w:rPr>
            </w:pPr>
            <w:r w:rsidRPr="00A84FAB">
              <w:rPr>
                <w:rFonts w:eastAsia="新細明體" w:cs="Segoe UI"/>
                <w:color w:val="000000"/>
                <w:sz w:val="17"/>
                <w:szCs w:val="17"/>
              </w:rPr>
              <w:t>Other adjustment</w:t>
            </w:r>
            <w:r>
              <w:rPr>
                <w:rFonts w:eastAsia="新細明體" w:cs="Segoe UI"/>
                <w:color w:val="000000"/>
                <w:sz w:val="17"/>
                <w:szCs w:val="17"/>
              </w:rPr>
              <w:t>s</w:t>
            </w:r>
          </w:p>
        </w:tc>
        <w:tc>
          <w:tcPr>
            <w:tcW w:w="820" w:type="dxa"/>
            <w:tcBorders>
              <w:top w:val="single" w:sz="4" w:space="0" w:color="auto"/>
              <w:left w:val="nil"/>
              <w:bottom w:val="single" w:sz="4" w:space="0" w:color="auto"/>
              <w:right w:val="single" w:sz="4" w:space="0" w:color="BFBFBF"/>
            </w:tcBorders>
            <w:shd w:val="clear" w:color="auto" w:fill="auto"/>
            <w:noWrap/>
            <w:hideMark/>
          </w:tcPr>
          <w:p w14:paraId="4BE608AB"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BFBFBF"/>
            </w:tcBorders>
            <w:shd w:val="clear" w:color="auto" w:fill="auto"/>
            <w:noWrap/>
            <w:hideMark/>
          </w:tcPr>
          <w:p w14:paraId="52E76734"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BFBFBF"/>
            </w:tcBorders>
            <w:shd w:val="clear" w:color="auto" w:fill="auto"/>
            <w:noWrap/>
            <w:hideMark/>
          </w:tcPr>
          <w:p w14:paraId="126F22FD"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BFBFBF"/>
            </w:tcBorders>
            <w:shd w:val="clear" w:color="auto" w:fill="auto"/>
            <w:noWrap/>
            <w:hideMark/>
          </w:tcPr>
          <w:p w14:paraId="4C9E095E"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120" w:type="dxa"/>
            <w:tcBorders>
              <w:top w:val="single" w:sz="4" w:space="0" w:color="auto"/>
              <w:left w:val="nil"/>
              <w:bottom w:val="single" w:sz="4" w:space="0" w:color="auto"/>
              <w:right w:val="single" w:sz="4" w:space="0" w:color="auto"/>
            </w:tcBorders>
            <w:shd w:val="clear" w:color="auto" w:fill="auto"/>
            <w:noWrap/>
            <w:hideMark/>
          </w:tcPr>
          <w:p w14:paraId="65DA4399"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auto"/>
            </w:tcBorders>
            <w:shd w:val="clear" w:color="auto" w:fill="auto"/>
            <w:noWrap/>
            <w:hideMark/>
          </w:tcPr>
          <w:p w14:paraId="0160265E"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4" w:type="dxa"/>
            <w:tcBorders>
              <w:top w:val="single" w:sz="4" w:space="0" w:color="auto"/>
              <w:left w:val="nil"/>
              <w:bottom w:val="single" w:sz="4" w:space="0" w:color="auto"/>
              <w:right w:val="single" w:sz="4" w:space="0" w:color="BFBFBF"/>
            </w:tcBorders>
            <w:shd w:val="clear" w:color="auto" w:fill="auto"/>
            <w:noWrap/>
            <w:hideMark/>
          </w:tcPr>
          <w:p w14:paraId="60AC9932"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5" w:type="dxa"/>
            <w:tcBorders>
              <w:top w:val="single" w:sz="4" w:space="0" w:color="auto"/>
              <w:left w:val="nil"/>
              <w:bottom w:val="single" w:sz="4" w:space="0" w:color="auto"/>
              <w:right w:val="single" w:sz="4" w:space="0" w:color="auto"/>
            </w:tcBorders>
            <w:shd w:val="clear" w:color="auto" w:fill="auto"/>
            <w:noWrap/>
            <w:hideMark/>
          </w:tcPr>
          <w:p w14:paraId="587E0415"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r>
      <w:tr w:rsidR="0025068F" w:rsidRPr="00A84FAB" w14:paraId="7C9550F5" w14:textId="77777777" w:rsidTr="00925FDD">
        <w:trPr>
          <w:trHeight w:val="284"/>
        </w:trPr>
        <w:tc>
          <w:tcPr>
            <w:tcW w:w="425" w:type="dxa"/>
            <w:tcBorders>
              <w:top w:val="single" w:sz="4" w:space="0" w:color="auto"/>
              <w:left w:val="nil"/>
              <w:bottom w:val="single" w:sz="4" w:space="0" w:color="auto"/>
              <w:right w:val="single" w:sz="4" w:space="0" w:color="auto"/>
            </w:tcBorders>
            <w:shd w:val="clear" w:color="auto" w:fill="auto"/>
            <w:noWrap/>
            <w:hideMark/>
          </w:tcPr>
          <w:p w14:paraId="4FDB9232" w14:textId="77777777" w:rsidR="0025068F" w:rsidRPr="00A84FAB" w:rsidRDefault="0025068F" w:rsidP="00571446">
            <w:pPr>
              <w:spacing w:line="200" w:lineRule="exact"/>
              <w:rPr>
                <w:rFonts w:eastAsia="新細明體" w:cs="Segoe UI"/>
                <w:b/>
                <w:bCs/>
                <w:color w:val="000000"/>
                <w:sz w:val="17"/>
                <w:szCs w:val="17"/>
              </w:rPr>
            </w:pPr>
            <w:r w:rsidRPr="00A84FAB">
              <w:rPr>
                <w:rFonts w:eastAsia="新細明體" w:cs="Segoe UI"/>
                <w:b/>
                <w:bCs/>
                <w:color w:val="000000"/>
                <w:sz w:val="17"/>
                <w:szCs w:val="17"/>
              </w:rPr>
              <w:t>12</w:t>
            </w:r>
          </w:p>
        </w:tc>
        <w:tc>
          <w:tcPr>
            <w:tcW w:w="1702" w:type="dxa"/>
            <w:tcBorders>
              <w:top w:val="single" w:sz="4" w:space="0" w:color="auto"/>
              <w:left w:val="nil"/>
              <w:bottom w:val="single" w:sz="4" w:space="0" w:color="auto"/>
              <w:right w:val="single" w:sz="4" w:space="0" w:color="auto"/>
            </w:tcBorders>
            <w:shd w:val="clear" w:color="auto" w:fill="auto"/>
            <w:hideMark/>
          </w:tcPr>
          <w:p w14:paraId="35846C7E" w14:textId="77777777" w:rsidR="0025068F" w:rsidRPr="00A84FAB" w:rsidRDefault="0025068F" w:rsidP="00925FDD">
            <w:pPr>
              <w:spacing w:line="200" w:lineRule="exact"/>
              <w:ind w:left="119"/>
              <w:rPr>
                <w:rFonts w:eastAsia="新細明體" w:cs="Segoe UI"/>
                <w:b/>
                <w:bCs/>
                <w:color w:val="000000"/>
                <w:sz w:val="17"/>
                <w:szCs w:val="17"/>
              </w:rPr>
            </w:pPr>
            <w:r w:rsidRPr="00925FDD">
              <w:rPr>
                <w:rFonts w:eastAsia="新細明體" w:cs="Segoe UI"/>
                <w:b/>
                <w:color w:val="000000"/>
                <w:sz w:val="17"/>
                <w:szCs w:val="17"/>
              </w:rPr>
              <w:t>Total</w:t>
            </w:r>
            <w:r w:rsidRPr="00925FDD">
              <w:rPr>
                <w:rFonts w:eastAsia="新細明體" w:cs="Segoe UI"/>
                <w:b/>
                <w:bCs/>
                <w:color w:val="000000"/>
                <w:sz w:val="17"/>
                <w:szCs w:val="17"/>
              </w:rPr>
              <w:t xml:space="preserve"> a</w:t>
            </w:r>
            <w:r w:rsidRPr="00A84FAB">
              <w:rPr>
                <w:rFonts w:eastAsia="新細明體" w:cs="Segoe UI"/>
                <w:b/>
                <w:bCs/>
                <w:color w:val="000000"/>
                <w:sz w:val="17"/>
                <w:szCs w:val="17"/>
              </w:rPr>
              <w:t>djustment</w:t>
            </w:r>
            <w:r>
              <w:rPr>
                <w:rFonts w:eastAsia="新細明體" w:cs="Segoe UI"/>
                <w:b/>
                <w:bCs/>
                <w:color w:val="000000"/>
                <w:sz w:val="17"/>
                <w:szCs w:val="17"/>
              </w:rPr>
              <w:t>s</w:t>
            </w:r>
          </w:p>
        </w:tc>
        <w:tc>
          <w:tcPr>
            <w:tcW w:w="820" w:type="dxa"/>
            <w:tcBorders>
              <w:top w:val="single" w:sz="4" w:space="0" w:color="auto"/>
              <w:left w:val="nil"/>
              <w:bottom w:val="single" w:sz="4" w:space="0" w:color="auto"/>
              <w:right w:val="single" w:sz="4" w:space="0" w:color="BFBFBF"/>
            </w:tcBorders>
            <w:shd w:val="clear" w:color="auto" w:fill="auto"/>
            <w:noWrap/>
            <w:hideMark/>
          </w:tcPr>
          <w:p w14:paraId="3442FFEE"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BFBFBF"/>
            </w:tcBorders>
            <w:shd w:val="clear" w:color="auto" w:fill="auto"/>
            <w:noWrap/>
            <w:hideMark/>
          </w:tcPr>
          <w:p w14:paraId="0961255B"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BFBFBF"/>
            </w:tcBorders>
            <w:shd w:val="clear" w:color="auto" w:fill="auto"/>
            <w:noWrap/>
            <w:hideMark/>
          </w:tcPr>
          <w:p w14:paraId="6EE2CA01"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BFBFBF"/>
            </w:tcBorders>
            <w:shd w:val="clear" w:color="auto" w:fill="auto"/>
            <w:noWrap/>
            <w:hideMark/>
          </w:tcPr>
          <w:p w14:paraId="0D6C802D"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120" w:type="dxa"/>
            <w:tcBorders>
              <w:top w:val="single" w:sz="4" w:space="0" w:color="auto"/>
              <w:left w:val="nil"/>
              <w:bottom w:val="single" w:sz="4" w:space="0" w:color="auto"/>
              <w:right w:val="single" w:sz="4" w:space="0" w:color="auto"/>
            </w:tcBorders>
            <w:shd w:val="clear" w:color="auto" w:fill="auto"/>
            <w:noWrap/>
            <w:hideMark/>
          </w:tcPr>
          <w:p w14:paraId="167E02E9"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820" w:type="dxa"/>
            <w:tcBorders>
              <w:top w:val="single" w:sz="4" w:space="0" w:color="auto"/>
              <w:left w:val="nil"/>
              <w:bottom w:val="single" w:sz="4" w:space="0" w:color="auto"/>
              <w:right w:val="single" w:sz="4" w:space="0" w:color="auto"/>
            </w:tcBorders>
            <w:shd w:val="clear" w:color="auto" w:fill="auto"/>
            <w:noWrap/>
            <w:hideMark/>
          </w:tcPr>
          <w:p w14:paraId="7B425FD6"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4" w:type="dxa"/>
            <w:tcBorders>
              <w:top w:val="single" w:sz="4" w:space="0" w:color="auto"/>
              <w:left w:val="nil"/>
              <w:bottom w:val="single" w:sz="4" w:space="0" w:color="auto"/>
              <w:right w:val="single" w:sz="4" w:space="0" w:color="BFBFBF"/>
            </w:tcBorders>
            <w:shd w:val="clear" w:color="auto" w:fill="auto"/>
            <w:noWrap/>
            <w:hideMark/>
          </w:tcPr>
          <w:p w14:paraId="3C63819D" w14:textId="77777777" w:rsidR="0025068F" w:rsidRPr="00A84FAB" w:rsidRDefault="0025068F" w:rsidP="00647044">
            <w:pPr>
              <w:spacing w:line="200" w:lineRule="exact"/>
              <w:rPr>
                <w:rFonts w:eastAsia="新細明體" w:cs="Segoe UI"/>
                <w:color w:val="000000"/>
                <w:sz w:val="17"/>
                <w:szCs w:val="17"/>
              </w:rPr>
            </w:pPr>
            <w:r w:rsidRPr="00A84FAB">
              <w:rPr>
                <w:rFonts w:eastAsia="新細明體" w:cs="Segoe UI"/>
                <w:color w:val="000000"/>
                <w:sz w:val="17"/>
                <w:szCs w:val="17"/>
              </w:rPr>
              <w:t xml:space="preserve">　</w:t>
            </w:r>
          </w:p>
        </w:tc>
        <w:tc>
          <w:tcPr>
            <w:tcW w:w="1005" w:type="dxa"/>
            <w:tcBorders>
              <w:top w:val="single" w:sz="4" w:space="0" w:color="auto"/>
              <w:left w:val="nil"/>
              <w:bottom w:val="single" w:sz="4" w:space="0" w:color="auto"/>
              <w:right w:val="single" w:sz="4" w:space="0" w:color="auto"/>
            </w:tcBorders>
            <w:shd w:val="clear" w:color="auto" w:fill="auto"/>
            <w:noWrap/>
            <w:hideMark/>
          </w:tcPr>
          <w:p w14:paraId="50703B07" w14:textId="77777777" w:rsidR="0025068F" w:rsidRPr="00A84FAB" w:rsidRDefault="0025068F" w:rsidP="00647044">
            <w:pPr>
              <w:spacing w:line="200" w:lineRule="exact"/>
              <w:rPr>
                <w:rFonts w:eastAsia="新細明體" w:cs="Segoe UI"/>
                <w:color w:val="000000"/>
                <w:sz w:val="17"/>
                <w:szCs w:val="17"/>
              </w:rPr>
            </w:pPr>
          </w:p>
        </w:tc>
      </w:tr>
    </w:tbl>
    <w:p w14:paraId="074FC9E8" w14:textId="743C3C01" w:rsidR="0025068F" w:rsidRDefault="0025068F" w:rsidP="0025068F">
      <w:pPr>
        <w:spacing w:before="120" w:after="120"/>
        <w:ind w:leftChars="-283" w:left="-566"/>
        <w:rPr>
          <w:sz w:val="22"/>
        </w:rPr>
      </w:pPr>
    </w:p>
    <w:p w14:paraId="45D6DCD6" w14:textId="77777777" w:rsidR="00854F6F" w:rsidRPr="00FB5D22" w:rsidRDefault="00854F6F" w:rsidP="0025068F">
      <w:pPr>
        <w:spacing w:before="120" w:after="120"/>
        <w:ind w:leftChars="-283" w:left="-566"/>
        <w:rPr>
          <w:sz w:val="22"/>
        </w:rPr>
      </w:pPr>
    </w:p>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8789"/>
      </w:tblGrid>
      <w:tr w:rsidR="00153731" w:rsidRPr="00FB5D22" w14:paraId="699F9FCE" w14:textId="77777777" w:rsidTr="00F65190">
        <w:trPr>
          <w:tblHeader/>
        </w:trPr>
        <w:tc>
          <w:tcPr>
            <w:tcW w:w="9214" w:type="dxa"/>
            <w:gridSpan w:val="2"/>
            <w:shd w:val="clear" w:color="auto" w:fill="BFBFBF"/>
          </w:tcPr>
          <w:p w14:paraId="47322419" w14:textId="77777777" w:rsidR="00153731" w:rsidRPr="00FB5D22" w:rsidRDefault="00153731" w:rsidP="00F65190">
            <w:pPr>
              <w:keepLines/>
              <w:tabs>
                <w:tab w:val="left" w:pos="150"/>
                <w:tab w:val="left" w:pos="397"/>
                <w:tab w:val="left" w:pos="794"/>
                <w:tab w:val="left" w:pos="1191"/>
              </w:tabs>
              <w:spacing w:before="40" w:after="40"/>
              <w:rPr>
                <w:rFonts w:eastAsia="新細明體"/>
                <w:b/>
                <w:sz w:val="17"/>
                <w:lang w:eastAsia="en-GB"/>
              </w:rPr>
            </w:pPr>
            <w:r w:rsidRPr="00FB5D22">
              <w:rPr>
                <w:rFonts w:eastAsia="新細明體"/>
                <w:b/>
                <w:sz w:val="17"/>
                <w:lang w:eastAsia="en-GB"/>
              </w:rPr>
              <w:lastRenderedPageBreak/>
              <w:t>Explanatory Note</w:t>
            </w:r>
          </w:p>
        </w:tc>
      </w:tr>
      <w:tr w:rsidR="00153731" w:rsidRPr="00FB5D22" w14:paraId="64CF2B4D" w14:textId="77777777" w:rsidTr="00F65190">
        <w:tc>
          <w:tcPr>
            <w:tcW w:w="9214" w:type="dxa"/>
            <w:gridSpan w:val="2"/>
            <w:shd w:val="clear" w:color="auto" w:fill="F2F2F2"/>
          </w:tcPr>
          <w:p w14:paraId="2BC2A20A" w14:textId="77777777" w:rsidR="00153731" w:rsidRPr="00FB5D22" w:rsidRDefault="00153731" w:rsidP="00F65190">
            <w:pPr>
              <w:keepLines/>
              <w:tabs>
                <w:tab w:val="left" w:pos="150"/>
                <w:tab w:val="left" w:pos="397"/>
                <w:tab w:val="left" w:pos="794"/>
                <w:tab w:val="left" w:pos="1191"/>
              </w:tabs>
              <w:spacing w:before="40" w:after="40"/>
              <w:rPr>
                <w:rFonts w:eastAsia="新細明體"/>
                <w:b/>
                <w:sz w:val="17"/>
                <w:lang w:eastAsia="en-GB"/>
              </w:rPr>
            </w:pPr>
            <w:r w:rsidRPr="00FB5D22">
              <w:rPr>
                <w:rFonts w:eastAsia="新細明體"/>
                <w:b/>
                <w:sz w:val="17"/>
                <w:lang w:eastAsia="en-GB"/>
              </w:rPr>
              <w:t>Rows</w:t>
            </w:r>
          </w:p>
        </w:tc>
      </w:tr>
      <w:tr w:rsidR="00153731" w:rsidRPr="00FB5D22" w14:paraId="5FAC9EDC" w14:textId="77777777" w:rsidTr="00F65190">
        <w:tc>
          <w:tcPr>
            <w:tcW w:w="425" w:type="dxa"/>
            <w:shd w:val="clear" w:color="auto" w:fill="auto"/>
          </w:tcPr>
          <w:p w14:paraId="7ABD28B9" w14:textId="77777777" w:rsidR="00153731" w:rsidRPr="00FB5D22" w:rsidRDefault="00153731" w:rsidP="00F65190">
            <w:pPr>
              <w:keepLines/>
              <w:tabs>
                <w:tab w:val="left" w:pos="150"/>
                <w:tab w:val="left" w:pos="397"/>
                <w:tab w:val="left" w:pos="794"/>
                <w:tab w:val="left" w:pos="1191"/>
              </w:tabs>
              <w:spacing w:before="40" w:after="40"/>
              <w:rPr>
                <w:rFonts w:cs="Segoe UI"/>
                <w:sz w:val="17"/>
                <w:szCs w:val="17"/>
              </w:rPr>
            </w:pPr>
            <w:r>
              <w:rPr>
                <w:rFonts w:cs="Segoe UI"/>
                <w:sz w:val="17"/>
                <w:szCs w:val="17"/>
              </w:rPr>
              <w:t>1</w:t>
            </w:r>
          </w:p>
        </w:tc>
        <w:tc>
          <w:tcPr>
            <w:tcW w:w="8789" w:type="dxa"/>
            <w:shd w:val="clear" w:color="auto" w:fill="auto"/>
          </w:tcPr>
          <w:p w14:paraId="45D035CC" w14:textId="77777777" w:rsidR="00153731" w:rsidRPr="00056FD4" w:rsidRDefault="00153731" w:rsidP="00F65190">
            <w:pPr>
              <w:keepLines/>
              <w:tabs>
                <w:tab w:val="left" w:pos="150"/>
                <w:tab w:val="left" w:pos="397"/>
                <w:tab w:val="left" w:pos="794"/>
                <w:tab w:val="left" w:pos="1191"/>
              </w:tabs>
              <w:spacing w:before="40" w:after="40"/>
              <w:jc w:val="both"/>
              <w:rPr>
                <w:rFonts w:cs="Segoe UI"/>
                <w:sz w:val="17"/>
                <w:szCs w:val="17"/>
              </w:rPr>
            </w:pPr>
            <w:r w:rsidRPr="00EB739B">
              <w:rPr>
                <w:rFonts w:eastAsia="新細明體" w:cs="Segoe UI"/>
                <w:i/>
                <w:color w:val="000000"/>
                <w:sz w:val="17"/>
                <w:szCs w:val="17"/>
              </w:rPr>
              <w:t>Close-out uncertainty, of which</w:t>
            </w:r>
            <w:r w:rsidRPr="00A84FAB">
              <w:rPr>
                <w:rFonts w:eastAsia="新細明體" w:cs="Segoe UI"/>
                <w:color w:val="000000"/>
                <w:sz w:val="17"/>
                <w:szCs w:val="17"/>
              </w:rPr>
              <w:t>:</w:t>
            </w:r>
            <w:r>
              <w:rPr>
                <w:rFonts w:eastAsia="新細明體" w:cs="Segoe UI"/>
                <w:color w:val="000000"/>
                <w:sz w:val="17"/>
                <w:szCs w:val="17"/>
              </w:rPr>
              <w:t xml:space="preserve"> </w:t>
            </w:r>
            <w:r w:rsidRPr="00EB739B">
              <w:rPr>
                <w:rFonts w:cs="Segoe UI"/>
                <w:sz w:val="17"/>
                <w:szCs w:val="17"/>
              </w:rPr>
              <w:t>valuation adjustment</w:t>
            </w:r>
            <w:r>
              <w:rPr>
                <w:rFonts w:cs="Segoe UI"/>
                <w:sz w:val="17"/>
                <w:szCs w:val="17"/>
              </w:rPr>
              <w:t>s that</w:t>
            </w:r>
            <w:r w:rsidRPr="00EB739B">
              <w:rPr>
                <w:rFonts w:cs="Segoe UI"/>
                <w:sz w:val="17"/>
                <w:szCs w:val="17"/>
              </w:rPr>
              <w:t xml:space="preserve"> reflect</w:t>
            </w:r>
            <w:r w:rsidRPr="00A84FAB">
              <w:rPr>
                <w:rFonts w:eastAsia="新細明體" w:cs="Segoe UI"/>
                <w:color w:val="000000"/>
                <w:sz w:val="17"/>
                <w:szCs w:val="17"/>
              </w:rPr>
              <w:t xml:space="preserve"> </w:t>
            </w:r>
            <w:r>
              <w:rPr>
                <w:rFonts w:eastAsia="新細明體" w:cs="Segoe UI"/>
                <w:color w:val="000000"/>
                <w:sz w:val="17"/>
                <w:szCs w:val="17"/>
              </w:rPr>
              <w:t>c</w:t>
            </w:r>
            <w:r w:rsidRPr="00A84FAB">
              <w:rPr>
                <w:rFonts w:eastAsia="新細明體" w:cs="Segoe UI"/>
                <w:color w:val="000000"/>
                <w:sz w:val="17"/>
                <w:szCs w:val="17"/>
              </w:rPr>
              <w:t>lose-out uncertainty</w:t>
            </w:r>
            <w:r>
              <w:rPr>
                <w:rFonts w:eastAsia="新細明體" w:cs="Segoe UI"/>
                <w:color w:val="000000"/>
                <w:sz w:val="17"/>
                <w:szCs w:val="17"/>
              </w:rPr>
              <w:t xml:space="preserve"> which include but not limited to the items reported in rows 2 to 4 below.</w:t>
            </w:r>
          </w:p>
        </w:tc>
      </w:tr>
      <w:tr w:rsidR="00153731" w:rsidRPr="00FB5D22" w14:paraId="1FE88E4E" w14:textId="77777777" w:rsidTr="00F65190">
        <w:tc>
          <w:tcPr>
            <w:tcW w:w="425" w:type="dxa"/>
            <w:shd w:val="clear" w:color="auto" w:fill="auto"/>
          </w:tcPr>
          <w:p w14:paraId="7C575042" w14:textId="77777777" w:rsidR="00153731" w:rsidRPr="00FB5D22" w:rsidRDefault="00153731" w:rsidP="00F65190">
            <w:pPr>
              <w:keepLines/>
              <w:tabs>
                <w:tab w:val="left" w:pos="150"/>
                <w:tab w:val="left" w:pos="397"/>
                <w:tab w:val="left" w:pos="794"/>
                <w:tab w:val="left" w:pos="1191"/>
              </w:tabs>
              <w:spacing w:before="40" w:after="40"/>
              <w:rPr>
                <w:rFonts w:cs="Segoe UI"/>
                <w:sz w:val="17"/>
                <w:szCs w:val="17"/>
              </w:rPr>
            </w:pPr>
            <w:r>
              <w:rPr>
                <w:rFonts w:cs="Segoe UI"/>
                <w:sz w:val="17"/>
                <w:szCs w:val="17"/>
              </w:rPr>
              <w:t>2</w:t>
            </w:r>
          </w:p>
        </w:tc>
        <w:tc>
          <w:tcPr>
            <w:tcW w:w="8789" w:type="dxa"/>
            <w:shd w:val="clear" w:color="auto" w:fill="auto"/>
          </w:tcPr>
          <w:p w14:paraId="3CAEFB39" w14:textId="77777777" w:rsidR="00153731" w:rsidRPr="00056FD4" w:rsidRDefault="00153731" w:rsidP="00F65190">
            <w:pPr>
              <w:keepLines/>
              <w:tabs>
                <w:tab w:val="left" w:pos="150"/>
                <w:tab w:val="left" w:pos="397"/>
                <w:tab w:val="left" w:pos="794"/>
                <w:tab w:val="left" w:pos="1191"/>
              </w:tabs>
              <w:spacing w:before="40" w:after="40"/>
              <w:jc w:val="both"/>
              <w:rPr>
                <w:rFonts w:cs="Segoe UI"/>
                <w:sz w:val="17"/>
                <w:szCs w:val="17"/>
              </w:rPr>
            </w:pPr>
            <w:r w:rsidRPr="00EB739B">
              <w:rPr>
                <w:rFonts w:cs="Segoe UI"/>
                <w:i/>
                <w:sz w:val="17"/>
                <w:szCs w:val="17"/>
              </w:rPr>
              <w:t>Mid-market value</w:t>
            </w:r>
            <w:r>
              <w:rPr>
                <w:rFonts w:cs="Segoe UI"/>
                <w:sz w:val="17"/>
                <w:szCs w:val="17"/>
              </w:rPr>
              <w:t>:</w:t>
            </w:r>
            <w:r w:rsidRPr="00EB739B">
              <w:rPr>
                <w:rFonts w:cs="Segoe UI"/>
                <w:sz w:val="17"/>
                <w:szCs w:val="17"/>
              </w:rPr>
              <w:t xml:space="preserve"> valuation adjustment required to reflect an appropriate level of prudence given the range of plausible mid values that could be derived from available market data either for the instrument price or price of equivalent instrument or for each valuation input used in the relevant valuation model when this input has been calibrated from prices of instruments.</w:t>
            </w:r>
          </w:p>
        </w:tc>
      </w:tr>
      <w:tr w:rsidR="00153731" w:rsidRPr="00FB5D22" w14:paraId="6E838F23" w14:textId="77777777" w:rsidTr="00F65190">
        <w:tc>
          <w:tcPr>
            <w:tcW w:w="425" w:type="dxa"/>
            <w:shd w:val="clear" w:color="auto" w:fill="auto"/>
          </w:tcPr>
          <w:p w14:paraId="37A7FC96" w14:textId="77777777" w:rsidR="00153731" w:rsidRPr="00FB5D22" w:rsidRDefault="00153731" w:rsidP="00F65190">
            <w:pPr>
              <w:keepLines/>
              <w:tabs>
                <w:tab w:val="left" w:pos="150"/>
                <w:tab w:val="left" w:pos="397"/>
                <w:tab w:val="left" w:pos="794"/>
                <w:tab w:val="left" w:pos="1191"/>
              </w:tabs>
              <w:spacing w:before="40" w:after="40"/>
              <w:rPr>
                <w:rFonts w:cs="Segoe UI"/>
                <w:sz w:val="17"/>
                <w:szCs w:val="17"/>
              </w:rPr>
            </w:pPr>
            <w:r>
              <w:rPr>
                <w:rFonts w:cs="Segoe UI"/>
                <w:sz w:val="17"/>
                <w:szCs w:val="17"/>
              </w:rPr>
              <w:t>3</w:t>
            </w:r>
          </w:p>
        </w:tc>
        <w:tc>
          <w:tcPr>
            <w:tcW w:w="8789" w:type="dxa"/>
            <w:shd w:val="clear" w:color="auto" w:fill="auto"/>
          </w:tcPr>
          <w:p w14:paraId="4291CD73" w14:textId="77777777" w:rsidR="00153731" w:rsidRPr="00056FD4" w:rsidRDefault="00153731" w:rsidP="00F65190">
            <w:pPr>
              <w:keepLines/>
              <w:tabs>
                <w:tab w:val="left" w:pos="150"/>
                <w:tab w:val="left" w:pos="397"/>
                <w:tab w:val="left" w:pos="794"/>
                <w:tab w:val="left" w:pos="1191"/>
              </w:tabs>
              <w:spacing w:before="40" w:after="40"/>
              <w:jc w:val="both"/>
              <w:rPr>
                <w:rFonts w:cs="Segoe UI"/>
                <w:sz w:val="17"/>
                <w:szCs w:val="17"/>
              </w:rPr>
            </w:pPr>
            <w:r w:rsidRPr="00845CB9">
              <w:rPr>
                <w:rFonts w:cs="Segoe UI"/>
                <w:i/>
                <w:sz w:val="17"/>
                <w:szCs w:val="17"/>
              </w:rPr>
              <w:t>Close-out costs</w:t>
            </w:r>
            <w:r w:rsidRPr="00A02344">
              <w:rPr>
                <w:rFonts w:cs="Segoe UI"/>
                <w:sz w:val="17"/>
                <w:szCs w:val="17"/>
              </w:rPr>
              <w:t>:</w:t>
            </w:r>
            <w:r w:rsidRPr="00845CB9">
              <w:rPr>
                <w:rFonts w:cs="Segoe UI"/>
                <w:sz w:val="17"/>
                <w:szCs w:val="17"/>
              </w:rPr>
              <w:t xml:space="preserve"> </w:t>
            </w:r>
            <w:r>
              <w:rPr>
                <w:rFonts w:eastAsia="新細明體"/>
                <w:noProof/>
                <w:sz w:val="17"/>
                <w:lang w:eastAsia="en-GB"/>
              </w:rPr>
              <w:t>valuation adjustment</w:t>
            </w:r>
            <w:r w:rsidRPr="00845CB9">
              <w:rPr>
                <w:rFonts w:cs="Segoe UI"/>
                <w:sz w:val="17"/>
                <w:szCs w:val="17"/>
              </w:rPr>
              <w:t xml:space="preserve"> to take into account the valuation uncertainty where the position level resulted from the valuations may not reflect the exit price for such position or portfolio (for example, where such valuations are calibrated to a mid-market price).</w:t>
            </w:r>
          </w:p>
        </w:tc>
      </w:tr>
      <w:tr w:rsidR="00153731" w:rsidRPr="00FB5D22" w14:paraId="517D85FA" w14:textId="77777777" w:rsidTr="00F65190">
        <w:tc>
          <w:tcPr>
            <w:tcW w:w="425" w:type="dxa"/>
            <w:shd w:val="clear" w:color="auto" w:fill="auto"/>
          </w:tcPr>
          <w:p w14:paraId="4817342A" w14:textId="77777777" w:rsidR="00153731" w:rsidRPr="00FB5D22" w:rsidRDefault="00153731" w:rsidP="00F65190">
            <w:pPr>
              <w:keepLines/>
              <w:tabs>
                <w:tab w:val="left" w:pos="150"/>
                <w:tab w:val="left" w:pos="397"/>
                <w:tab w:val="left" w:pos="794"/>
                <w:tab w:val="left" w:pos="1191"/>
              </w:tabs>
              <w:spacing w:before="40" w:after="40"/>
              <w:rPr>
                <w:rFonts w:cs="Segoe UI"/>
                <w:sz w:val="17"/>
                <w:szCs w:val="17"/>
              </w:rPr>
            </w:pPr>
            <w:r>
              <w:rPr>
                <w:rFonts w:cs="Segoe UI"/>
                <w:sz w:val="17"/>
                <w:szCs w:val="17"/>
              </w:rPr>
              <w:t>4</w:t>
            </w:r>
          </w:p>
        </w:tc>
        <w:tc>
          <w:tcPr>
            <w:tcW w:w="8789" w:type="dxa"/>
            <w:shd w:val="clear" w:color="auto" w:fill="auto"/>
          </w:tcPr>
          <w:p w14:paraId="3D39123D" w14:textId="77777777" w:rsidR="00153731" w:rsidRPr="00AC2676" w:rsidRDefault="00153731" w:rsidP="00F65190">
            <w:pPr>
              <w:keepLines/>
              <w:tabs>
                <w:tab w:val="left" w:pos="150"/>
                <w:tab w:val="left" w:pos="397"/>
                <w:tab w:val="left" w:pos="794"/>
                <w:tab w:val="left" w:pos="1191"/>
              </w:tabs>
              <w:spacing w:before="40" w:after="40"/>
              <w:jc w:val="both"/>
              <w:rPr>
                <w:rFonts w:cs="Segoe UI"/>
                <w:sz w:val="17"/>
                <w:szCs w:val="17"/>
              </w:rPr>
            </w:pPr>
            <w:r>
              <w:rPr>
                <w:rFonts w:cs="Segoe UI"/>
                <w:i/>
                <w:sz w:val="17"/>
                <w:szCs w:val="17"/>
              </w:rPr>
              <w:t>Concentration</w:t>
            </w:r>
            <w:r w:rsidRPr="00A02344">
              <w:rPr>
                <w:rFonts w:cs="Segoe UI"/>
                <w:sz w:val="17"/>
                <w:szCs w:val="17"/>
              </w:rPr>
              <w:t xml:space="preserve">: </w:t>
            </w:r>
            <w:r>
              <w:rPr>
                <w:rFonts w:eastAsia="新細明體"/>
                <w:noProof/>
                <w:sz w:val="17"/>
                <w:lang w:eastAsia="en-GB"/>
              </w:rPr>
              <w:t xml:space="preserve">valuation adjustment </w:t>
            </w:r>
            <w:r w:rsidRPr="00A02344">
              <w:rPr>
                <w:rFonts w:cs="Segoe UI"/>
                <w:sz w:val="17"/>
                <w:szCs w:val="17"/>
              </w:rPr>
              <w:t>required (over and above market price and close-out costs) to reach a prudent exit price for positions that are larger in terms of size as compared with the positions used for calculating the valuation (i.e. cases where the aggregate position held by an AI is larger than the normal traded volume or size of positions that formed the basis of observable quotes or trades that are applied to calibrate the price or inputs used by core valuation model).</w:t>
            </w:r>
          </w:p>
        </w:tc>
      </w:tr>
      <w:tr w:rsidR="00153731" w:rsidRPr="00FB5D22" w14:paraId="3ED46E20" w14:textId="77777777" w:rsidTr="00F65190">
        <w:tc>
          <w:tcPr>
            <w:tcW w:w="425" w:type="dxa"/>
            <w:shd w:val="clear" w:color="auto" w:fill="auto"/>
          </w:tcPr>
          <w:p w14:paraId="57899D2A" w14:textId="77777777" w:rsidR="00153731" w:rsidRPr="00FB5D22" w:rsidRDefault="00153731" w:rsidP="00F65190">
            <w:pPr>
              <w:keepLines/>
              <w:tabs>
                <w:tab w:val="left" w:pos="150"/>
                <w:tab w:val="left" w:pos="397"/>
                <w:tab w:val="left" w:pos="794"/>
                <w:tab w:val="left" w:pos="1191"/>
              </w:tabs>
              <w:spacing w:before="40" w:after="40"/>
              <w:rPr>
                <w:rFonts w:cs="Segoe UI"/>
                <w:sz w:val="17"/>
                <w:szCs w:val="17"/>
              </w:rPr>
            </w:pPr>
            <w:r>
              <w:rPr>
                <w:rFonts w:cs="Segoe UI"/>
                <w:sz w:val="17"/>
                <w:szCs w:val="17"/>
              </w:rPr>
              <w:t>5</w:t>
            </w:r>
          </w:p>
        </w:tc>
        <w:tc>
          <w:tcPr>
            <w:tcW w:w="8789" w:type="dxa"/>
            <w:shd w:val="clear" w:color="auto" w:fill="auto"/>
          </w:tcPr>
          <w:p w14:paraId="555F29D3" w14:textId="77777777" w:rsidR="00153731" w:rsidRPr="00FB5D22" w:rsidRDefault="00153731" w:rsidP="00F65190">
            <w:pPr>
              <w:keepLines/>
              <w:tabs>
                <w:tab w:val="left" w:pos="150"/>
                <w:tab w:val="left" w:pos="397"/>
                <w:tab w:val="left" w:pos="794"/>
                <w:tab w:val="left" w:pos="1191"/>
              </w:tabs>
              <w:spacing w:before="40" w:after="40"/>
              <w:jc w:val="both"/>
              <w:rPr>
                <w:rFonts w:cs="Segoe UI"/>
                <w:i/>
                <w:sz w:val="17"/>
                <w:szCs w:val="17"/>
              </w:rPr>
            </w:pPr>
            <w:r w:rsidRPr="00AA6E16">
              <w:rPr>
                <w:rFonts w:cs="Segoe UI"/>
                <w:i/>
                <w:sz w:val="17"/>
                <w:szCs w:val="17"/>
              </w:rPr>
              <w:t>Early termination</w:t>
            </w:r>
            <w:r w:rsidRPr="00AA6E16">
              <w:rPr>
                <w:rFonts w:cs="Segoe UI"/>
                <w:sz w:val="17"/>
                <w:szCs w:val="17"/>
              </w:rPr>
              <w:t>:</w:t>
            </w:r>
            <w:r w:rsidRPr="00AA6E16">
              <w:rPr>
                <w:rFonts w:cs="Segoe UI"/>
                <w:i/>
                <w:sz w:val="17"/>
                <w:szCs w:val="17"/>
              </w:rPr>
              <w:t xml:space="preserve"> </w:t>
            </w:r>
            <w:r>
              <w:rPr>
                <w:rFonts w:eastAsia="新細明體"/>
                <w:noProof/>
                <w:sz w:val="17"/>
                <w:lang w:eastAsia="en-GB"/>
              </w:rPr>
              <w:t xml:space="preserve">valuation adjustment </w:t>
            </w:r>
            <w:r w:rsidRPr="00AA6E16">
              <w:rPr>
                <w:rFonts w:cs="Segoe UI"/>
                <w:sz w:val="17"/>
                <w:szCs w:val="17"/>
              </w:rPr>
              <w:t xml:space="preserve">to reflect potential losses </w:t>
            </w:r>
            <w:r>
              <w:rPr>
                <w:rFonts w:cs="Segoe UI"/>
                <w:sz w:val="17"/>
                <w:szCs w:val="17"/>
              </w:rPr>
              <w:t>which</w:t>
            </w:r>
            <w:r w:rsidRPr="00AA6E16">
              <w:rPr>
                <w:rFonts w:cs="Segoe UI"/>
                <w:sz w:val="17"/>
                <w:szCs w:val="17"/>
              </w:rPr>
              <w:t xml:space="preserve"> may arise from contractual or non-contractual early terminations of customer trades</w:t>
            </w:r>
            <w:r>
              <w:rPr>
                <w:rFonts w:cs="Segoe UI"/>
                <w:sz w:val="17"/>
                <w:szCs w:val="17"/>
              </w:rPr>
              <w:t xml:space="preserve"> </w:t>
            </w:r>
            <w:r w:rsidRPr="00AA6E16">
              <w:rPr>
                <w:rFonts w:cs="Segoe UI"/>
                <w:sz w:val="17"/>
                <w:szCs w:val="17"/>
              </w:rPr>
              <w:t>in the valuation.</w:t>
            </w:r>
          </w:p>
        </w:tc>
      </w:tr>
      <w:tr w:rsidR="00153731" w:rsidRPr="00FB5D22" w14:paraId="4C650C26" w14:textId="77777777" w:rsidTr="00F65190">
        <w:tc>
          <w:tcPr>
            <w:tcW w:w="425" w:type="dxa"/>
            <w:shd w:val="clear" w:color="auto" w:fill="auto"/>
          </w:tcPr>
          <w:p w14:paraId="76919FBB" w14:textId="77777777" w:rsidR="00153731" w:rsidRPr="00FB5D22" w:rsidRDefault="00153731" w:rsidP="00F65190">
            <w:pPr>
              <w:keepLines/>
              <w:tabs>
                <w:tab w:val="left" w:pos="150"/>
                <w:tab w:val="left" w:pos="397"/>
                <w:tab w:val="left" w:pos="794"/>
                <w:tab w:val="left" w:pos="1191"/>
              </w:tabs>
              <w:spacing w:before="40" w:after="40"/>
              <w:rPr>
                <w:rFonts w:cs="Segoe UI"/>
                <w:sz w:val="17"/>
                <w:szCs w:val="17"/>
              </w:rPr>
            </w:pPr>
            <w:r>
              <w:rPr>
                <w:rFonts w:cs="Segoe UI"/>
                <w:sz w:val="17"/>
                <w:szCs w:val="17"/>
              </w:rPr>
              <w:t>6</w:t>
            </w:r>
          </w:p>
        </w:tc>
        <w:tc>
          <w:tcPr>
            <w:tcW w:w="8789" w:type="dxa"/>
            <w:shd w:val="clear" w:color="auto" w:fill="auto"/>
          </w:tcPr>
          <w:p w14:paraId="4BA9CE88" w14:textId="77777777" w:rsidR="00153731" w:rsidRPr="008A1D90" w:rsidRDefault="00153731" w:rsidP="00F65190">
            <w:pPr>
              <w:keepLines/>
              <w:tabs>
                <w:tab w:val="left" w:pos="150"/>
                <w:tab w:val="left" w:pos="397"/>
                <w:tab w:val="left" w:pos="794"/>
                <w:tab w:val="left" w:pos="1191"/>
              </w:tabs>
              <w:spacing w:before="40" w:after="40"/>
              <w:jc w:val="both"/>
              <w:rPr>
                <w:rFonts w:cs="Segoe UI"/>
                <w:sz w:val="17"/>
                <w:szCs w:val="17"/>
              </w:rPr>
            </w:pPr>
            <w:r>
              <w:rPr>
                <w:rFonts w:cs="Segoe UI"/>
                <w:i/>
                <w:sz w:val="17"/>
                <w:szCs w:val="17"/>
              </w:rPr>
              <w:t>Model risk</w:t>
            </w:r>
            <w:r w:rsidRPr="00A02344">
              <w:rPr>
                <w:rFonts w:cs="Segoe UI"/>
                <w:sz w:val="17"/>
                <w:szCs w:val="17"/>
              </w:rPr>
              <w:t>:</w:t>
            </w:r>
            <w:r w:rsidRPr="00B16ABC">
              <w:rPr>
                <w:rFonts w:cs="Segoe UI"/>
                <w:i/>
                <w:sz w:val="17"/>
                <w:szCs w:val="17"/>
              </w:rPr>
              <w:t xml:space="preserve"> </w:t>
            </w:r>
            <w:r>
              <w:rPr>
                <w:rFonts w:eastAsia="新細明體"/>
                <w:noProof/>
                <w:sz w:val="17"/>
                <w:lang w:eastAsia="en-GB"/>
              </w:rPr>
              <w:t xml:space="preserve">valuation adjustment </w:t>
            </w:r>
            <w:r w:rsidRPr="00890321">
              <w:rPr>
                <w:rFonts w:cs="Segoe UI"/>
                <w:sz w:val="17"/>
                <w:szCs w:val="17"/>
              </w:rPr>
              <w:t xml:space="preserve">to take into account valuation model risk which may arise due to: (i) the potential existence of a range of different models or model calibrations used by Pillar 3 data users; (ii) the lack of a firm exit price for the specific product being valued; (iii) the use of an incorrect valuation methodology; </w:t>
            </w:r>
            <w:r>
              <w:rPr>
                <w:rFonts w:cs="Segoe UI"/>
                <w:sz w:val="17"/>
                <w:szCs w:val="17"/>
              </w:rPr>
              <w:t xml:space="preserve">(iv) the </w:t>
            </w:r>
            <w:r w:rsidRPr="00890321">
              <w:rPr>
                <w:rFonts w:cs="Segoe UI"/>
                <w:sz w:val="17"/>
                <w:szCs w:val="17"/>
              </w:rPr>
              <w:t>risk of using unobservable and incorrect calibration parameters; or (v) the fact that certain market or product factors are not captured by the core valuation model.</w:t>
            </w:r>
          </w:p>
        </w:tc>
      </w:tr>
      <w:tr w:rsidR="00153731" w:rsidRPr="00FB5D22" w14:paraId="14477C0C" w14:textId="77777777" w:rsidTr="00F65190">
        <w:tc>
          <w:tcPr>
            <w:tcW w:w="425" w:type="dxa"/>
            <w:shd w:val="clear" w:color="auto" w:fill="auto"/>
          </w:tcPr>
          <w:p w14:paraId="5B8FF85A" w14:textId="77777777" w:rsidR="00153731" w:rsidRPr="00FB5D22" w:rsidRDefault="00153731" w:rsidP="00F65190">
            <w:pPr>
              <w:keepLines/>
              <w:tabs>
                <w:tab w:val="left" w:pos="150"/>
                <w:tab w:val="left" w:pos="397"/>
                <w:tab w:val="left" w:pos="794"/>
                <w:tab w:val="left" w:pos="1191"/>
              </w:tabs>
              <w:spacing w:before="40" w:after="40"/>
              <w:rPr>
                <w:rFonts w:cs="Segoe UI"/>
                <w:sz w:val="17"/>
                <w:szCs w:val="17"/>
              </w:rPr>
            </w:pPr>
            <w:r>
              <w:rPr>
                <w:rFonts w:cs="Segoe UI"/>
                <w:sz w:val="17"/>
                <w:szCs w:val="17"/>
              </w:rPr>
              <w:t>7</w:t>
            </w:r>
          </w:p>
        </w:tc>
        <w:tc>
          <w:tcPr>
            <w:tcW w:w="8789" w:type="dxa"/>
            <w:shd w:val="clear" w:color="auto" w:fill="auto"/>
          </w:tcPr>
          <w:p w14:paraId="3D3779C6" w14:textId="77777777" w:rsidR="00153731" w:rsidRPr="00E0562A" w:rsidRDefault="00153731" w:rsidP="00F65190">
            <w:pPr>
              <w:keepLines/>
              <w:tabs>
                <w:tab w:val="left" w:pos="150"/>
                <w:tab w:val="left" w:pos="397"/>
                <w:tab w:val="left" w:pos="794"/>
                <w:tab w:val="left" w:pos="1191"/>
              </w:tabs>
              <w:spacing w:before="40" w:after="40"/>
              <w:jc w:val="both"/>
              <w:rPr>
                <w:rFonts w:cs="Segoe UI"/>
                <w:sz w:val="17"/>
                <w:szCs w:val="17"/>
              </w:rPr>
            </w:pPr>
            <w:r w:rsidRPr="00E0562A">
              <w:rPr>
                <w:rFonts w:cs="Segoe UI"/>
                <w:i/>
                <w:sz w:val="17"/>
                <w:szCs w:val="17"/>
              </w:rPr>
              <w:t>Operational risks</w:t>
            </w:r>
            <w:r w:rsidRPr="00E0562A">
              <w:rPr>
                <w:rFonts w:cs="Segoe UI"/>
                <w:sz w:val="17"/>
                <w:szCs w:val="17"/>
              </w:rPr>
              <w:t xml:space="preserve">: </w:t>
            </w:r>
            <w:r>
              <w:rPr>
                <w:rFonts w:eastAsia="新細明體"/>
                <w:noProof/>
                <w:sz w:val="17"/>
                <w:lang w:eastAsia="en-GB"/>
              </w:rPr>
              <w:t xml:space="preserve">valuation adjustment </w:t>
            </w:r>
            <w:r w:rsidRPr="00E0562A">
              <w:rPr>
                <w:rFonts w:cs="Segoe UI"/>
                <w:sz w:val="17"/>
                <w:szCs w:val="17"/>
              </w:rPr>
              <w:t>to take into account potential losses that may arise from operational risks related to the valuation processes.</w:t>
            </w:r>
          </w:p>
        </w:tc>
      </w:tr>
      <w:tr w:rsidR="00153731" w:rsidRPr="00FB5D22" w14:paraId="37ECDCE5" w14:textId="77777777" w:rsidTr="00F65190">
        <w:tc>
          <w:tcPr>
            <w:tcW w:w="425" w:type="dxa"/>
            <w:shd w:val="clear" w:color="auto" w:fill="auto"/>
          </w:tcPr>
          <w:p w14:paraId="156E870B" w14:textId="77777777" w:rsidR="00153731" w:rsidRPr="00FB5D22" w:rsidRDefault="00153731" w:rsidP="00F65190">
            <w:pPr>
              <w:keepLines/>
              <w:tabs>
                <w:tab w:val="left" w:pos="150"/>
                <w:tab w:val="left" w:pos="397"/>
                <w:tab w:val="left" w:pos="794"/>
                <w:tab w:val="left" w:pos="1191"/>
              </w:tabs>
              <w:spacing w:before="40" w:after="40"/>
              <w:rPr>
                <w:rFonts w:cs="Segoe UI"/>
                <w:sz w:val="17"/>
                <w:szCs w:val="17"/>
              </w:rPr>
            </w:pPr>
            <w:r>
              <w:rPr>
                <w:rFonts w:cs="Segoe UI"/>
                <w:sz w:val="17"/>
                <w:szCs w:val="17"/>
              </w:rPr>
              <w:t>8</w:t>
            </w:r>
          </w:p>
        </w:tc>
        <w:tc>
          <w:tcPr>
            <w:tcW w:w="8789" w:type="dxa"/>
            <w:shd w:val="clear" w:color="auto" w:fill="auto"/>
          </w:tcPr>
          <w:p w14:paraId="4C3F6AB1" w14:textId="77777777" w:rsidR="00153731" w:rsidRPr="004310FF" w:rsidRDefault="00153731" w:rsidP="00F65190">
            <w:pPr>
              <w:keepLines/>
              <w:tabs>
                <w:tab w:val="left" w:pos="397"/>
                <w:tab w:val="left" w:pos="794"/>
                <w:tab w:val="left" w:pos="1191"/>
              </w:tabs>
              <w:spacing w:before="40" w:after="40"/>
              <w:jc w:val="both"/>
              <w:rPr>
                <w:rFonts w:cs="Segoe UI"/>
                <w:sz w:val="17"/>
                <w:szCs w:val="17"/>
                <w:lang w:eastAsia="en-GB"/>
              </w:rPr>
            </w:pPr>
            <w:r w:rsidRPr="004310FF">
              <w:rPr>
                <w:rFonts w:cs="Segoe UI"/>
                <w:i/>
                <w:sz w:val="17"/>
                <w:szCs w:val="17"/>
                <w:lang w:eastAsia="en-GB"/>
              </w:rPr>
              <w:t>Investing and funding costs</w:t>
            </w:r>
            <w:r w:rsidRPr="004310FF">
              <w:rPr>
                <w:rFonts w:cs="Segoe UI"/>
                <w:sz w:val="17"/>
                <w:szCs w:val="17"/>
              </w:rPr>
              <w:t>:</w:t>
            </w:r>
            <w:r w:rsidRPr="004310FF">
              <w:rPr>
                <w:rFonts w:cs="Segoe UI"/>
                <w:sz w:val="17"/>
                <w:szCs w:val="17"/>
                <w:lang w:eastAsia="en-GB"/>
              </w:rPr>
              <w:t xml:space="preserve"> </w:t>
            </w:r>
            <w:r>
              <w:rPr>
                <w:rFonts w:eastAsia="新細明體"/>
                <w:noProof/>
                <w:sz w:val="17"/>
                <w:lang w:eastAsia="en-GB"/>
              </w:rPr>
              <w:t xml:space="preserve">valuation adjustment </w:t>
            </w:r>
            <w:r w:rsidRPr="004310FF">
              <w:rPr>
                <w:rFonts w:cs="Segoe UI"/>
                <w:sz w:val="17"/>
                <w:szCs w:val="17"/>
                <w:lang w:eastAsia="en-GB"/>
              </w:rPr>
              <w:t>to reflect the valuation uncertainty in the funding costs</w:t>
            </w:r>
            <w:r>
              <w:rPr>
                <w:rFonts w:cs="Segoe UI"/>
                <w:sz w:val="17"/>
                <w:szCs w:val="17"/>
                <w:lang w:eastAsia="en-GB"/>
              </w:rPr>
              <w:t xml:space="preserve"> </w:t>
            </w:r>
            <w:r w:rsidRPr="004310FF">
              <w:rPr>
                <w:rFonts w:cs="Segoe UI"/>
                <w:sz w:val="17"/>
                <w:szCs w:val="17"/>
                <w:lang w:eastAsia="en-GB"/>
              </w:rPr>
              <w:t xml:space="preserve">which other </w:t>
            </w:r>
            <w:r w:rsidRPr="004310FF">
              <w:rPr>
                <w:rFonts w:cs="Segoe UI"/>
                <w:sz w:val="17"/>
                <w:szCs w:val="17"/>
              </w:rPr>
              <w:t>Pillar 3 data users</w:t>
            </w:r>
            <w:r w:rsidRPr="004310FF">
              <w:rPr>
                <w:rFonts w:cs="Segoe UI"/>
                <w:sz w:val="17"/>
                <w:szCs w:val="17"/>
                <w:lang w:eastAsia="en-GB"/>
              </w:rPr>
              <w:t xml:space="preserve"> may factor into a position or portfolio’s exit price, including funding valuation adjustments on derivatives exposures.</w:t>
            </w:r>
          </w:p>
        </w:tc>
      </w:tr>
      <w:tr w:rsidR="00153731" w:rsidRPr="00FB5D22" w14:paraId="2B47D81C" w14:textId="77777777" w:rsidTr="00F65190">
        <w:tc>
          <w:tcPr>
            <w:tcW w:w="425" w:type="dxa"/>
            <w:shd w:val="clear" w:color="auto" w:fill="auto"/>
          </w:tcPr>
          <w:p w14:paraId="14E319CE" w14:textId="77777777" w:rsidR="00153731" w:rsidRPr="00FB5D22" w:rsidRDefault="00153731" w:rsidP="00F65190">
            <w:pPr>
              <w:keepLines/>
              <w:tabs>
                <w:tab w:val="left" w:pos="150"/>
                <w:tab w:val="left" w:pos="397"/>
                <w:tab w:val="left" w:pos="794"/>
                <w:tab w:val="left" w:pos="1191"/>
              </w:tabs>
              <w:spacing w:before="40" w:after="40"/>
              <w:rPr>
                <w:rFonts w:cs="Segoe UI"/>
                <w:sz w:val="17"/>
                <w:szCs w:val="17"/>
              </w:rPr>
            </w:pPr>
            <w:r>
              <w:rPr>
                <w:rFonts w:cs="Segoe UI"/>
                <w:sz w:val="17"/>
                <w:szCs w:val="17"/>
              </w:rPr>
              <w:t>9</w:t>
            </w:r>
          </w:p>
        </w:tc>
        <w:tc>
          <w:tcPr>
            <w:tcW w:w="8789" w:type="dxa"/>
            <w:shd w:val="clear" w:color="auto" w:fill="auto"/>
          </w:tcPr>
          <w:p w14:paraId="6761BACA" w14:textId="77777777" w:rsidR="00153731" w:rsidRPr="00EA5018" w:rsidRDefault="00153731" w:rsidP="00F65190">
            <w:pPr>
              <w:keepLines/>
              <w:tabs>
                <w:tab w:val="left" w:pos="397"/>
                <w:tab w:val="left" w:pos="794"/>
                <w:tab w:val="left" w:pos="1191"/>
              </w:tabs>
              <w:spacing w:before="40" w:after="40"/>
              <w:jc w:val="both"/>
              <w:rPr>
                <w:rFonts w:cs="Segoe UI"/>
                <w:sz w:val="17"/>
                <w:szCs w:val="17"/>
                <w:lang w:eastAsia="en-GB"/>
              </w:rPr>
            </w:pPr>
            <w:r>
              <w:rPr>
                <w:rFonts w:cs="Segoe UI"/>
                <w:i/>
                <w:sz w:val="17"/>
                <w:szCs w:val="17"/>
                <w:lang w:eastAsia="en-GB"/>
              </w:rPr>
              <w:t>Unearned credit spreads</w:t>
            </w:r>
            <w:r w:rsidRPr="00A02344">
              <w:rPr>
                <w:rFonts w:cs="Segoe UI"/>
                <w:sz w:val="17"/>
                <w:szCs w:val="17"/>
              </w:rPr>
              <w:t>:</w:t>
            </w:r>
            <w:r w:rsidRPr="00793B61">
              <w:rPr>
                <w:rFonts w:cs="Segoe UI"/>
                <w:sz w:val="17"/>
                <w:szCs w:val="17"/>
                <w:lang w:eastAsia="en-GB"/>
              </w:rPr>
              <w:t xml:space="preserve"> </w:t>
            </w:r>
            <w:r>
              <w:rPr>
                <w:rFonts w:eastAsia="新細明體"/>
                <w:noProof/>
                <w:sz w:val="17"/>
                <w:lang w:eastAsia="en-GB"/>
              </w:rPr>
              <w:t xml:space="preserve">valuation adjustment </w:t>
            </w:r>
            <w:r w:rsidRPr="00EA5018">
              <w:rPr>
                <w:rFonts w:cs="Segoe UI"/>
                <w:sz w:val="17"/>
                <w:szCs w:val="17"/>
                <w:lang w:eastAsia="en-GB"/>
              </w:rPr>
              <w:t>to take into account the valuation uncertainty in the adjustment in order to reflect the current value of expected losses due to counterparty default on derivative positions, including the valuation uncertainty on CVAs.</w:t>
            </w:r>
          </w:p>
        </w:tc>
      </w:tr>
      <w:tr w:rsidR="00153731" w:rsidRPr="00FB5D22" w14:paraId="1EB9D2F4" w14:textId="77777777" w:rsidTr="00F65190">
        <w:tc>
          <w:tcPr>
            <w:tcW w:w="425" w:type="dxa"/>
            <w:shd w:val="clear" w:color="auto" w:fill="auto"/>
          </w:tcPr>
          <w:p w14:paraId="7E3A8641" w14:textId="77777777" w:rsidR="00153731" w:rsidRPr="00FB5D22" w:rsidRDefault="00153731" w:rsidP="00F65190">
            <w:pPr>
              <w:keepLines/>
              <w:tabs>
                <w:tab w:val="left" w:pos="150"/>
                <w:tab w:val="left" w:pos="397"/>
                <w:tab w:val="left" w:pos="794"/>
                <w:tab w:val="left" w:pos="1191"/>
              </w:tabs>
              <w:spacing w:before="40" w:after="40"/>
              <w:rPr>
                <w:rFonts w:cs="Segoe UI"/>
                <w:sz w:val="17"/>
                <w:szCs w:val="17"/>
              </w:rPr>
            </w:pPr>
            <w:r>
              <w:rPr>
                <w:rFonts w:cs="Segoe UI"/>
                <w:sz w:val="17"/>
                <w:szCs w:val="17"/>
              </w:rPr>
              <w:t>10</w:t>
            </w:r>
          </w:p>
        </w:tc>
        <w:tc>
          <w:tcPr>
            <w:tcW w:w="8789" w:type="dxa"/>
            <w:shd w:val="clear" w:color="auto" w:fill="auto"/>
          </w:tcPr>
          <w:p w14:paraId="263D74E2" w14:textId="77777777" w:rsidR="00153731" w:rsidRPr="00AC3EF6" w:rsidRDefault="00153731" w:rsidP="00F65190">
            <w:pPr>
              <w:keepLines/>
              <w:tabs>
                <w:tab w:val="left" w:pos="397"/>
                <w:tab w:val="left" w:pos="794"/>
                <w:tab w:val="left" w:pos="1191"/>
              </w:tabs>
              <w:spacing w:before="40" w:after="40"/>
              <w:jc w:val="both"/>
              <w:rPr>
                <w:rFonts w:cs="Segoe UI"/>
                <w:sz w:val="17"/>
                <w:szCs w:val="17"/>
                <w:lang w:eastAsia="en-GB"/>
              </w:rPr>
            </w:pPr>
            <w:r>
              <w:rPr>
                <w:rFonts w:cs="Segoe UI"/>
                <w:i/>
                <w:sz w:val="17"/>
                <w:szCs w:val="17"/>
                <w:lang w:eastAsia="en-GB"/>
              </w:rPr>
              <w:t>Future administrative costs</w:t>
            </w:r>
            <w:r w:rsidRPr="00A02344">
              <w:rPr>
                <w:rFonts w:cs="Segoe UI"/>
                <w:sz w:val="17"/>
                <w:szCs w:val="17"/>
              </w:rPr>
              <w:t>:</w:t>
            </w:r>
            <w:r w:rsidRPr="00793B61">
              <w:rPr>
                <w:rFonts w:cs="Segoe UI"/>
                <w:sz w:val="17"/>
                <w:szCs w:val="17"/>
                <w:lang w:eastAsia="en-GB"/>
              </w:rPr>
              <w:t xml:space="preserve"> </w:t>
            </w:r>
            <w:r>
              <w:rPr>
                <w:rFonts w:eastAsia="新細明體"/>
                <w:noProof/>
                <w:sz w:val="17"/>
                <w:lang w:eastAsia="en-GB"/>
              </w:rPr>
              <w:t xml:space="preserve">valuation adjustment </w:t>
            </w:r>
            <w:r w:rsidRPr="00AC3EF6">
              <w:rPr>
                <w:rFonts w:cs="Segoe UI"/>
                <w:sz w:val="17"/>
                <w:szCs w:val="17"/>
                <w:lang w:eastAsia="en-GB"/>
              </w:rPr>
              <w:t xml:space="preserve">to take into account the administrative costs and future hedging costs over the expected life of the exposures for which a direct exit price is not applied for the close-out costs.  </w:t>
            </w:r>
            <w:r>
              <w:rPr>
                <w:rFonts w:cs="Segoe UI"/>
                <w:sz w:val="17"/>
                <w:szCs w:val="17"/>
                <w:lang w:eastAsia="en-GB"/>
              </w:rPr>
              <w:t>O</w:t>
            </w:r>
            <w:r w:rsidRPr="00AC3EF6">
              <w:rPr>
                <w:rFonts w:cs="Segoe UI"/>
                <w:sz w:val="17"/>
                <w:szCs w:val="17"/>
                <w:lang w:eastAsia="en-GB"/>
              </w:rPr>
              <w:t>perational costs arising from hedging, administration and settlement of contracts in the portfolio</w:t>
            </w:r>
            <w:r>
              <w:rPr>
                <w:rFonts w:cs="Segoe UI"/>
                <w:sz w:val="17"/>
                <w:szCs w:val="17"/>
                <w:lang w:eastAsia="en-GB"/>
              </w:rPr>
              <w:t xml:space="preserve"> should be included</w:t>
            </w:r>
            <w:r w:rsidRPr="00AC3EF6">
              <w:rPr>
                <w:rFonts w:cs="Segoe UI"/>
                <w:sz w:val="17"/>
                <w:szCs w:val="17"/>
                <w:lang w:eastAsia="en-GB"/>
              </w:rPr>
              <w:t xml:space="preserve"> in the valuation adjustment for these future administrative costs that are incurred by the portfolio or position but are not reflected in the core valuation model or prices that are used to calibrate inputs for that model.</w:t>
            </w:r>
          </w:p>
        </w:tc>
      </w:tr>
      <w:tr w:rsidR="00153731" w:rsidRPr="00FB5D22" w14:paraId="2B8036FA" w14:textId="77777777" w:rsidTr="00F65190">
        <w:tc>
          <w:tcPr>
            <w:tcW w:w="425" w:type="dxa"/>
            <w:shd w:val="clear" w:color="auto" w:fill="auto"/>
          </w:tcPr>
          <w:p w14:paraId="59DE8DBE" w14:textId="77777777" w:rsidR="00153731" w:rsidRPr="00FB5D22" w:rsidRDefault="00153731" w:rsidP="00F65190">
            <w:pPr>
              <w:keepLines/>
              <w:tabs>
                <w:tab w:val="left" w:pos="150"/>
                <w:tab w:val="left" w:pos="397"/>
                <w:tab w:val="left" w:pos="794"/>
                <w:tab w:val="left" w:pos="1191"/>
              </w:tabs>
              <w:spacing w:before="40" w:after="40"/>
              <w:rPr>
                <w:rFonts w:cs="Segoe UI"/>
                <w:sz w:val="17"/>
                <w:szCs w:val="17"/>
              </w:rPr>
            </w:pPr>
            <w:r>
              <w:rPr>
                <w:rFonts w:cs="Segoe UI"/>
                <w:sz w:val="17"/>
                <w:szCs w:val="17"/>
              </w:rPr>
              <w:lastRenderedPageBreak/>
              <w:t>11</w:t>
            </w:r>
          </w:p>
        </w:tc>
        <w:tc>
          <w:tcPr>
            <w:tcW w:w="8789" w:type="dxa"/>
            <w:shd w:val="clear" w:color="auto" w:fill="auto"/>
          </w:tcPr>
          <w:p w14:paraId="49F08737" w14:textId="70A41D25" w:rsidR="00153731" w:rsidRPr="00695EAE" w:rsidRDefault="00153731" w:rsidP="00F65190">
            <w:pPr>
              <w:keepLines/>
              <w:spacing w:before="40" w:after="40"/>
              <w:jc w:val="both"/>
              <w:rPr>
                <w:rFonts w:cs="Segoe UI"/>
                <w:noProof/>
                <w:sz w:val="17"/>
                <w:szCs w:val="17"/>
                <w:highlight w:val="yellow"/>
                <w:lang w:eastAsia="en-GB"/>
              </w:rPr>
            </w:pPr>
            <w:r w:rsidRPr="00695EAE">
              <w:rPr>
                <w:rFonts w:cs="Segoe UI"/>
                <w:i/>
                <w:noProof/>
                <w:sz w:val="17"/>
                <w:szCs w:val="17"/>
                <w:lang w:eastAsia="en-GB"/>
              </w:rPr>
              <w:t>Other adjustments</w:t>
            </w:r>
            <w:r w:rsidRPr="00695EAE">
              <w:rPr>
                <w:rFonts w:cs="Segoe UI"/>
                <w:sz w:val="17"/>
                <w:szCs w:val="17"/>
              </w:rPr>
              <w:t>:</w:t>
            </w:r>
            <w:r w:rsidRPr="00695EAE">
              <w:rPr>
                <w:rFonts w:cs="Segoe UI"/>
                <w:i/>
                <w:noProof/>
                <w:sz w:val="17"/>
                <w:szCs w:val="17"/>
                <w:lang w:eastAsia="en-GB"/>
              </w:rPr>
              <w:t xml:space="preserve"> </w:t>
            </w:r>
            <w:r>
              <w:rPr>
                <w:rFonts w:eastAsia="新細明體"/>
                <w:noProof/>
                <w:sz w:val="17"/>
                <w:lang w:eastAsia="en-GB"/>
              </w:rPr>
              <w:t xml:space="preserve">valuation adjustment </w:t>
            </w:r>
            <w:r w:rsidRPr="00695EAE">
              <w:rPr>
                <w:rFonts w:cs="Segoe UI"/>
                <w:noProof/>
                <w:sz w:val="17"/>
                <w:szCs w:val="17"/>
                <w:lang w:eastAsia="en-GB"/>
              </w:rPr>
              <w:t xml:space="preserve">to take into account other factors that will influence the exit price but are not included in any of the categories listed in rows 1 to 10 above.  </w:t>
            </w:r>
            <w:r w:rsidR="004529D2">
              <w:rPr>
                <w:rFonts w:cs="Segoe UI"/>
                <w:noProof/>
                <w:sz w:val="17"/>
                <w:szCs w:val="17"/>
                <w:lang w:eastAsia="en-GB"/>
              </w:rPr>
              <w:t xml:space="preserve">An </w:t>
            </w:r>
            <w:r w:rsidRPr="00695EAE">
              <w:rPr>
                <w:rFonts w:cs="Segoe UI"/>
                <w:noProof/>
                <w:sz w:val="17"/>
                <w:szCs w:val="17"/>
                <w:lang w:eastAsia="en-GB"/>
              </w:rPr>
              <w:t xml:space="preserve">AI should disclose these factors in the narrative commentary to support the disclosure in this template. </w:t>
            </w:r>
          </w:p>
        </w:tc>
      </w:tr>
      <w:tr w:rsidR="00153731" w:rsidRPr="00FB5D22" w14:paraId="4D284065" w14:textId="77777777" w:rsidTr="00F65190">
        <w:tc>
          <w:tcPr>
            <w:tcW w:w="425" w:type="dxa"/>
            <w:shd w:val="clear" w:color="auto" w:fill="auto"/>
          </w:tcPr>
          <w:p w14:paraId="70C9E12B" w14:textId="77777777" w:rsidR="00153731" w:rsidRDefault="00153731" w:rsidP="00F65190">
            <w:pPr>
              <w:keepLines/>
              <w:tabs>
                <w:tab w:val="left" w:pos="150"/>
                <w:tab w:val="left" w:pos="397"/>
                <w:tab w:val="left" w:pos="794"/>
                <w:tab w:val="left" w:pos="1191"/>
              </w:tabs>
              <w:spacing w:before="40" w:after="40"/>
              <w:rPr>
                <w:rFonts w:cs="Segoe UI"/>
                <w:sz w:val="17"/>
                <w:szCs w:val="17"/>
              </w:rPr>
            </w:pPr>
            <w:r>
              <w:rPr>
                <w:rFonts w:cs="Segoe UI"/>
                <w:sz w:val="17"/>
                <w:szCs w:val="17"/>
              </w:rPr>
              <w:t>12</w:t>
            </w:r>
          </w:p>
        </w:tc>
        <w:tc>
          <w:tcPr>
            <w:tcW w:w="8789" w:type="dxa"/>
            <w:shd w:val="clear" w:color="auto" w:fill="auto"/>
          </w:tcPr>
          <w:p w14:paraId="0BD03259" w14:textId="77777777" w:rsidR="00153731" w:rsidRPr="00695EAE" w:rsidRDefault="00153731" w:rsidP="00F65190">
            <w:pPr>
              <w:keepLines/>
              <w:spacing w:before="40" w:after="40"/>
              <w:jc w:val="both"/>
              <w:rPr>
                <w:rFonts w:cs="Segoe UI"/>
                <w:i/>
                <w:noProof/>
                <w:sz w:val="17"/>
                <w:szCs w:val="17"/>
                <w:lang w:eastAsia="en-GB"/>
              </w:rPr>
            </w:pPr>
            <w:r w:rsidRPr="00695EAE">
              <w:rPr>
                <w:rFonts w:cs="Segoe UI"/>
                <w:i/>
                <w:noProof/>
                <w:sz w:val="17"/>
                <w:szCs w:val="17"/>
                <w:lang w:eastAsia="en-GB"/>
              </w:rPr>
              <w:t>Total adjustments</w:t>
            </w:r>
            <w:r w:rsidRPr="00695EAE">
              <w:rPr>
                <w:rFonts w:cs="Segoe UI"/>
                <w:sz w:val="17"/>
                <w:szCs w:val="17"/>
              </w:rPr>
              <w:t>: the value in [PV1:12/f] should be equal to the value in [CC1:7/a].</w:t>
            </w:r>
          </w:p>
        </w:tc>
      </w:tr>
    </w:tbl>
    <w:p w14:paraId="4EEBF93D" w14:textId="77777777" w:rsidR="00B55A4E" w:rsidRPr="006E5D75" w:rsidRDefault="00B55A4E" w:rsidP="006E5D75">
      <w:pPr>
        <w:rPr>
          <w:sz w:val="28"/>
          <w:szCs w:val="28"/>
        </w:rPr>
        <w:sectPr w:rsidR="00B55A4E" w:rsidRPr="006E5D75" w:rsidSect="000A7DF0">
          <w:footerReference w:type="default" r:id="rId15"/>
          <w:pgSz w:w="11906" w:h="16838"/>
          <w:pgMar w:top="1440" w:right="1797" w:bottom="1276" w:left="1797" w:header="851" w:footer="992" w:gutter="0"/>
          <w:cols w:space="425"/>
          <w:docGrid w:type="lines" w:linePitch="360"/>
        </w:sectPr>
      </w:pPr>
    </w:p>
    <w:p w14:paraId="4DC56FDA" w14:textId="62169F72" w:rsidR="00381F69" w:rsidRDefault="00E407D6" w:rsidP="00BC1606">
      <w:pPr>
        <w:pStyle w:val="Heading1"/>
        <w:ind w:left="-454"/>
      </w:pPr>
      <w:bookmarkStart w:id="2" w:name="_Toc373220159"/>
      <w:bookmarkStart w:id="3" w:name="_Toc378352952"/>
      <w:r>
        <w:lastRenderedPageBreak/>
        <w:t xml:space="preserve">Part IIA: </w:t>
      </w:r>
      <w:r w:rsidR="00381F69" w:rsidRPr="00844CB5">
        <w:t>Composition of regulatory capital</w:t>
      </w:r>
    </w:p>
    <w:bookmarkEnd w:id="2"/>
    <w:bookmarkEnd w:id="3"/>
    <w:p w14:paraId="341BDE79" w14:textId="7596848C" w:rsidR="005E68EA" w:rsidRDefault="00A476C3" w:rsidP="00275DE8">
      <w:pPr>
        <w:pStyle w:val="Heading2"/>
      </w:pPr>
      <w:r w:rsidRPr="0023654F">
        <w:t xml:space="preserve">Template </w:t>
      </w:r>
      <w:r>
        <w:t>CC1</w:t>
      </w:r>
      <w:r w:rsidRPr="0023654F">
        <w:t xml:space="preserve">: </w:t>
      </w:r>
      <w:r>
        <w:t>Composition of regulatory capital</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916BFE" w:rsidRPr="00916BFE" w14:paraId="02D945EC" w14:textId="77777777" w:rsidTr="00916BFE">
        <w:tc>
          <w:tcPr>
            <w:tcW w:w="2008" w:type="dxa"/>
          </w:tcPr>
          <w:p w14:paraId="0BFB62CC" w14:textId="77777777" w:rsidR="00916BFE" w:rsidRPr="00916BFE" w:rsidRDefault="00916BFE" w:rsidP="00916BFE">
            <w:pPr>
              <w:spacing w:before="40" w:after="40"/>
              <w:rPr>
                <w:noProof/>
                <w:sz w:val="17"/>
                <w:lang w:eastAsia="en-GB"/>
              </w:rPr>
            </w:pPr>
            <w:r w:rsidRPr="00916BFE">
              <w:rPr>
                <w:b/>
                <w:sz w:val="17"/>
                <w:lang w:eastAsia="en-GB"/>
              </w:rPr>
              <w:t>Purpose:</w:t>
            </w:r>
          </w:p>
        </w:tc>
        <w:tc>
          <w:tcPr>
            <w:tcW w:w="7234" w:type="dxa"/>
          </w:tcPr>
          <w:p w14:paraId="4609D911" w14:textId="77777777" w:rsidR="00916BFE" w:rsidRPr="00916BFE" w:rsidRDefault="00916BFE" w:rsidP="00916BFE">
            <w:pPr>
              <w:spacing w:before="40" w:after="40"/>
              <w:jc w:val="both"/>
              <w:rPr>
                <w:sz w:val="17"/>
                <w:lang w:eastAsia="en-GB"/>
              </w:rPr>
            </w:pPr>
            <w:r w:rsidRPr="00916BFE">
              <w:rPr>
                <w:sz w:val="17"/>
                <w:lang w:eastAsia="en-GB"/>
              </w:rPr>
              <w:t>To provide a breakdown of the constituent elements of Total capital.</w:t>
            </w:r>
          </w:p>
        </w:tc>
      </w:tr>
      <w:tr w:rsidR="00916BFE" w:rsidRPr="00916BFE" w14:paraId="45D56421" w14:textId="77777777" w:rsidTr="00916BFE">
        <w:tc>
          <w:tcPr>
            <w:tcW w:w="2008" w:type="dxa"/>
          </w:tcPr>
          <w:p w14:paraId="645C1758" w14:textId="77777777" w:rsidR="00916BFE" w:rsidRPr="00916BFE" w:rsidRDefault="00916BFE" w:rsidP="00916BFE">
            <w:pPr>
              <w:spacing w:before="40" w:after="40"/>
              <w:rPr>
                <w:b/>
                <w:sz w:val="17"/>
                <w:lang w:eastAsia="en-GB"/>
              </w:rPr>
            </w:pPr>
            <w:r w:rsidRPr="00916BFE">
              <w:rPr>
                <w:b/>
                <w:sz w:val="17"/>
                <w:lang w:eastAsia="en-GB"/>
              </w:rPr>
              <w:t>Scope of application:</w:t>
            </w:r>
          </w:p>
        </w:tc>
        <w:tc>
          <w:tcPr>
            <w:tcW w:w="7234" w:type="dxa"/>
          </w:tcPr>
          <w:p w14:paraId="3BF8760B" w14:textId="77777777" w:rsidR="00916BFE" w:rsidRPr="00916BFE" w:rsidRDefault="00916BFE" w:rsidP="00916BFE">
            <w:pPr>
              <w:spacing w:before="40" w:after="40"/>
              <w:jc w:val="both"/>
              <w:rPr>
                <w:rFonts w:eastAsia="新細明體"/>
                <w:b/>
                <w:sz w:val="17"/>
                <w:lang w:val="en-US" w:eastAsia="en-GB"/>
              </w:rPr>
            </w:pPr>
            <w:r w:rsidRPr="00916BFE">
              <w:rPr>
                <w:sz w:val="17"/>
                <w:szCs w:val="17"/>
              </w:rPr>
              <w:t>The template is mandatory for all AIs incorporated in Hong Kong.</w:t>
            </w:r>
          </w:p>
        </w:tc>
      </w:tr>
      <w:tr w:rsidR="00916BFE" w:rsidRPr="00916BFE" w14:paraId="591391D0" w14:textId="77777777" w:rsidTr="00916BFE">
        <w:tc>
          <w:tcPr>
            <w:tcW w:w="2008" w:type="dxa"/>
          </w:tcPr>
          <w:p w14:paraId="266F218D" w14:textId="77777777" w:rsidR="00916BFE" w:rsidRPr="00916BFE" w:rsidRDefault="00916BFE" w:rsidP="00916BFE">
            <w:pPr>
              <w:spacing w:before="40" w:after="40"/>
              <w:rPr>
                <w:b/>
                <w:sz w:val="17"/>
                <w:lang w:eastAsia="en-GB"/>
              </w:rPr>
            </w:pPr>
            <w:r w:rsidRPr="00916BFE">
              <w:rPr>
                <w:b/>
                <w:sz w:val="17"/>
                <w:lang w:eastAsia="en-GB"/>
              </w:rPr>
              <w:t>Content:</w:t>
            </w:r>
          </w:p>
        </w:tc>
        <w:tc>
          <w:tcPr>
            <w:tcW w:w="7234" w:type="dxa"/>
          </w:tcPr>
          <w:p w14:paraId="1066F6B7" w14:textId="77777777" w:rsidR="00916BFE" w:rsidRPr="00916BFE" w:rsidRDefault="00916BFE" w:rsidP="00916BFE">
            <w:pPr>
              <w:spacing w:before="40" w:after="40"/>
              <w:jc w:val="both"/>
              <w:rPr>
                <w:sz w:val="17"/>
                <w:szCs w:val="17"/>
              </w:rPr>
            </w:pPr>
            <w:r w:rsidRPr="00916BFE">
              <w:rPr>
                <w:sz w:val="17"/>
                <w:szCs w:val="17"/>
              </w:rPr>
              <w:t>Breakdown of regulatory capital according to the scope of regulatory consolidation.  Where an AI has a reporting date for disclosure (e.g. end-April, end-October) that does not fall on the same position date for the Return on Capital Adequacy Ratio (MA(BS)3) (i.e. end-March, end-June, end-September, end-December), the AI should disclose this template based on its own reporting date.  In such circumstance, the calculation basis of values disclosed in this template should, however, follow the same calculation basis used for the return.</w:t>
            </w:r>
          </w:p>
        </w:tc>
      </w:tr>
      <w:tr w:rsidR="00916BFE" w:rsidRPr="00916BFE" w14:paraId="04E41F1F" w14:textId="77777777" w:rsidTr="00916BFE">
        <w:tc>
          <w:tcPr>
            <w:tcW w:w="2008" w:type="dxa"/>
          </w:tcPr>
          <w:p w14:paraId="5ECDAF67" w14:textId="77777777" w:rsidR="00916BFE" w:rsidRPr="00916BFE" w:rsidRDefault="00916BFE" w:rsidP="00916BFE">
            <w:pPr>
              <w:spacing w:before="40" w:after="40"/>
              <w:rPr>
                <w:sz w:val="17"/>
                <w:lang w:eastAsia="en-GB"/>
              </w:rPr>
            </w:pPr>
            <w:r w:rsidRPr="00916BFE">
              <w:rPr>
                <w:b/>
                <w:sz w:val="17"/>
                <w:lang w:eastAsia="en-GB"/>
              </w:rPr>
              <w:t>Frequency:</w:t>
            </w:r>
          </w:p>
        </w:tc>
        <w:tc>
          <w:tcPr>
            <w:tcW w:w="7234" w:type="dxa"/>
          </w:tcPr>
          <w:p w14:paraId="13CEF044" w14:textId="77777777" w:rsidR="00916BFE" w:rsidRPr="00916BFE" w:rsidRDefault="00916BFE" w:rsidP="00916BFE">
            <w:pPr>
              <w:spacing w:before="40" w:after="40"/>
              <w:jc w:val="both"/>
              <w:rPr>
                <w:sz w:val="17"/>
                <w:lang w:eastAsia="en-GB"/>
              </w:rPr>
            </w:pPr>
            <w:r w:rsidRPr="00916BFE">
              <w:rPr>
                <w:sz w:val="17"/>
                <w:lang w:eastAsia="en-GB"/>
              </w:rPr>
              <w:t>Semi-annual.</w:t>
            </w:r>
          </w:p>
        </w:tc>
      </w:tr>
      <w:tr w:rsidR="00916BFE" w:rsidRPr="00916BFE" w14:paraId="49D54E1A" w14:textId="77777777" w:rsidTr="00916BFE">
        <w:tc>
          <w:tcPr>
            <w:tcW w:w="2008" w:type="dxa"/>
          </w:tcPr>
          <w:p w14:paraId="3E8AA780" w14:textId="77777777" w:rsidR="00916BFE" w:rsidRPr="00916BFE" w:rsidRDefault="00916BFE" w:rsidP="00916BFE">
            <w:pPr>
              <w:spacing w:before="40" w:after="40"/>
              <w:rPr>
                <w:sz w:val="17"/>
                <w:lang w:eastAsia="en-GB"/>
              </w:rPr>
            </w:pPr>
            <w:r w:rsidRPr="00916BFE">
              <w:rPr>
                <w:b/>
                <w:sz w:val="17"/>
                <w:lang w:eastAsia="en-GB"/>
              </w:rPr>
              <w:t>Format:</w:t>
            </w:r>
          </w:p>
        </w:tc>
        <w:tc>
          <w:tcPr>
            <w:tcW w:w="7234" w:type="dxa"/>
          </w:tcPr>
          <w:p w14:paraId="6848BF07" w14:textId="77777777" w:rsidR="00916BFE" w:rsidRPr="00916BFE" w:rsidRDefault="00916BFE" w:rsidP="00916BFE">
            <w:pPr>
              <w:spacing w:before="40" w:after="40"/>
              <w:jc w:val="both"/>
              <w:rPr>
                <w:sz w:val="17"/>
                <w:lang w:val="en-US" w:eastAsia="en-GB"/>
              </w:rPr>
            </w:pPr>
            <w:r w:rsidRPr="00916BFE">
              <w:rPr>
                <w:sz w:val="17"/>
                <w:lang w:eastAsia="en-GB"/>
              </w:rPr>
              <w:t>Fixed.</w:t>
            </w:r>
            <w:r w:rsidRPr="00916BFE">
              <w:rPr>
                <w:rFonts w:ascii="新細明體" w:eastAsia="新細明體" w:hAnsi="新細明體" w:hint="eastAsia"/>
                <w:sz w:val="17"/>
                <w:szCs w:val="17"/>
                <w:lang w:eastAsia="zh-TW"/>
              </w:rPr>
              <w:t xml:space="preserve">  </w:t>
            </w:r>
            <w:r w:rsidRPr="00916BFE">
              <w:rPr>
                <w:rFonts w:eastAsia="新細明體" w:hint="eastAsia"/>
                <w:sz w:val="17"/>
                <w:szCs w:val="17"/>
                <w:lang w:eastAsia="zh-TW"/>
              </w:rPr>
              <w:t>AIs</w:t>
            </w:r>
            <w:r w:rsidRPr="00916BFE">
              <w:rPr>
                <w:sz w:val="17"/>
                <w:szCs w:val="17"/>
              </w:rPr>
              <w:t xml:space="preserve"> are not permitted to add, delete or change the definitions of any rows </w:t>
            </w:r>
            <w:r w:rsidRPr="00916BFE">
              <w:rPr>
                <w:rFonts w:eastAsia="新細明體" w:hint="eastAsia"/>
                <w:sz w:val="17"/>
                <w:szCs w:val="17"/>
                <w:lang w:eastAsia="zh-TW"/>
              </w:rPr>
              <w:t>of this</w:t>
            </w:r>
            <w:r w:rsidRPr="00916BFE">
              <w:rPr>
                <w:sz w:val="17"/>
                <w:szCs w:val="17"/>
              </w:rPr>
              <w:t xml:space="preserve"> reporting template. </w:t>
            </w:r>
          </w:p>
        </w:tc>
      </w:tr>
      <w:tr w:rsidR="00916BFE" w:rsidRPr="00916BFE" w14:paraId="4C39F74A" w14:textId="77777777" w:rsidTr="00916BFE">
        <w:tc>
          <w:tcPr>
            <w:tcW w:w="2008" w:type="dxa"/>
          </w:tcPr>
          <w:p w14:paraId="17221E21" w14:textId="77777777" w:rsidR="00916BFE" w:rsidRPr="00916BFE" w:rsidRDefault="00916BFE" w:rsidP="00916BFE">
            <w:pPr>
              <w:spacing w:before="40" w:after="40"/>
              <w:rPr>
                <w:b/>
                <w:sz w:val="17"/>
                <w:lang w:eastAsia="en-GB"/>
              </w:rPr>
            </w:pPr>
            <w:r w:rsidRPr="00916BFE">
              <w:rPr>
                <w:rFonts w:eastAsia="新細明體"/>
                <w:b/>
                <w:sz w:val="17"/>
                <w:szCs w:val="17"/>
                <w:lang w:eastAsia="en-GB"/>
              </w:rPr>
              <w:t>Accompanying narrative</w:t>
            </w:r>
            <w:r w:rsidRPr="00916BFE">
              <w:rPr>
                <w:rFonts w:eastAsia="新細明體"/>
                <w:sz w:val="17"/>
                <w:szCs w:val="17"/>
                <w:lang w:eastAsia="en-GB"/>
              </w:rPr>
              <w:t>:</w:t>
            </w:r>
          </w:p>
        </w:tc>
        <w:tc>
          <w:tcPr>
            <w:tcW w:w="7234" w:type="dxa"/>
          </w:tcPr>
          <w:p w14:paraId="12EA93EF" w14:textId="77777777" w:rsidR="00916BFE" w:rsidRPr="00916BFE" w:rsidRDefault="00916BFE" w:rsidP="00916BFE">
            <w:pPr>
              <w:spacing w:before="40" w:after="40"/>
              <w:jc w:val="both"/>
              <w:rPr>
                <w:noProof/>
                <w:sz w:val="17"/>
                <w:szCs w:val="17"/>
                <w:lang w:eastAsia="en-GB"/>
              </w:rPr>
            </w:pPr>
            <w:r w:rsidRPr="00916BFE">
              <w:rPr>
                <w:sz w:val="17"/>
                <w:szCs w:val="17"/>
                <w:lang w:eastAsia="en-GB"/>
              </w:rPr>
              <w:t xml:space="preserve">An AI </w:t>
            </w:r>
            <w:r w:rsidRPr="00916BFE">
              <w:rPr>
                <w:sz w:val="17"/>
                <w:szCs w:val="17"/>
              </w:rPr>
              <w:t>should supplement the template with a narrative commentary to explain any significant changes over the reporting period and the key drivers of such change.</w:t>
            </w:r>
          </w:p>
        </w:tc>
      </w:tr>
      <w:tr w:rsidR="00916BFE" w:rsidRPr="00916BFE" w14:paraId="2F4C1C8C" w14:textId="77777777" w:rsidTr="00916BFE">
        <w:tc>
          <w:tcPr>
            <w:tcW w:w="2008" w:type="dxa"/>
          </w:tcPr>
          <w:p w14:paraId="66D0A5F3" w14:textId="77777777" w:rsidR="00916BFE" w:rsidRPr="00916BFE" w:rsidRDefault="00916BFE" w:rsidP="00916BFE">
            <w:pPr>
              <w:spacing w:before="40" w:after="40"/>
              <w:rPr>
                <w:rFonts w:eastAsia="新細明體"/>
                <w:b/>
                <w:sz w:val="17"/>
                <w:szCs w:val="17"/>
                <w:lang w:eastAsia="en-GB"/>
              </w:rPr>
            </w:pPr>
            <w:r w:rsidRPr="00916BFE">
              <w:rPr>
                <w:rFonts w:eastAsia="新細明體"/>
                <w:b/>
                <w:sz w:val="17"/>
                <w:szCs w:val="17"/>
                <w:lang w:eastAsia="en-GB"/>
              </w:rPr>
              <w:t>Corresponding BDR section:</w:t>
            </w:r>
          </w:p>
        </w:tc>
        <w:tc>
          <w:tcPr>
            <w:tcW w:w="7234" w:type="dxa"/>
          </w:tcPr>
          <w:p w14:paraId="6D7B53D6" w14:textId="77777777" w:rsidR="00916BFE" w:rsidRPr="00916BFE" w:rsidRDefault="00916BFE" w:rsidP="00916BFE">
            <w:pPr>
              <w:spacing w:before="40" w:after="40"/>
              <w:jc w:val="both"/>
              <w:rPr>
                <w:sz w:val="17"/>
                <w:szCs w:val="17"/>
                <w:lang w:eastAsia="en-GB"/>
              </w:rPr>
            </w:pPr>
            <w:r w:rsidRPr="00916BFE">
              <w:rPr>
                <w:sz w:val="17"/>
                <w:szCs w:val="17"/>
                <w:lang w:eastAsia="en-GB"/>
              </w:rPr>
              <w:t>16FB</w:t>
            </w:r>
          </w:p>
        </w:tc>
      </w:tr>
    </w:tbl>
    <w:p w14:paraId="56304E65" w14:textId="77777777" w:rsidR="00916BFE" w:rsidRPr="00916BFE" w:rsidRDefault="00916BFE" w:rsidP="00916BFE">
      <w:pPr>
        <w:rPr>
          <w:sz w:val="22"/>
        </w:rPr>
      </w:pPr>
    </w:p>
    <w:tbl>
      <w:tblPr>
        <w:tblW w:w="9215" w:type="dxa"/>
        <w:tblInd w:w="-426" w:type="dxa"/>
        <w:tblBorders>
          <w:top w:val="single" w:sz="8" w:space="0" w:color="BCBDBC"/>
          <w:left w:val="single" w:sz="8" w:space="0" w:color="BCBDBC"/>
          <w:bottom w:val="single" w:sz="8" w:space="0" w:color="BCBDBC"/>
          <w:right w:val="single" w:sz="8" w:space="0" w:color="BCBDBC"/>
          <w:insideH w:val="single" w:sz="6" w:space="0" w:color="BCBDBC"/>
          <w:insideV w:val="single" w:sz="6" w:space="0" w:color="BCBDBC"/>
        </w:tblBorders>
        <w:tblLayout w:type="fixed"/>
        <w:tblCellMar>
          <w:left w:w="0" w:type="dxa"/>
          <w:right w:w="0" w:type="dxa"/>
        </w:tblCellMar>
        <w:tblLook w:val="00A0" w:firstRow="1" w:lastRow="0" w:firstColumn="1" w:lastColumn="0" w:noHBand="0" w:noVBand="0"/>
      </w:tblPr>
      <w:tblGrid>
        <w:gridCol w:w="570"/>
        <w:gridCol w:w="5951"/>
        <w:gridCol w:w="1276"/>
        <w:gridCol w:w="1418"/>
      </w:tblGrid>
      <w:tr w:rsidR="00916BFE" w:rsidRPr="00916BFE" w14:paraId="16D1A3B0" w14:textId="77777777" w:rsidTr="005057BD">
        <w:trPr>
          <w:trHeight w:val="324"/>
          <w:tblHeader/>
        </w:trPr>
        <w:tc>
          <w:tcPr>
            <w:tcW w:w="6521" w:type="dxa"/>
            <w:gridSpan w:val="2"/>
            <w:tcBorders>
              <w:top w:val="nil"/>
              <w:left w:val="nil"/>
              <w:bottom w:val="nil"/>
              <w:right w:val="single" w:sz="4" w:space="0" w:color="auto"/>
            </w:tcBorders>
            <w:vAlign w:val="center"/>
          </w:tcPr>
          <w:p w14:paraId="163C6E68" w14:textId="77777777" w:rsidR="00916BFE" w:rsidRPr="00916BFE" w:rsidRDefault="00916BFE" w:rsidP="00916BFE">
            <w:pPr>
              <w:widowControl w:val="0"/>
              <w:autoSpaceDE w:val="0"/>
              <w:autoSpaceDN w:val="0"/>
              <w:adjustRightInd w:val="0"/>
              <w:rPr>
                <w:rFonts w:eastAsia="新細明體" w:cs="Segoe UI"/>
                <w:b/>
                <w:bCs/>
                <w:color w:val="000000"/>
                <w:lang w:val="en-US" w:eastAsia="zh-TW"/>
              </w:rPr>
            </w:pPr>
          </w:p>
        </w:tc>
        <w:tc>
          <w:tcPr>
            <w:tcW w:w="1276" w:type="dxa"/>
            <w:tcBorders>
              <w:top w:val="single" w:sz="6" w:space="0" w:color="auto"/>
              <w:left w:val="single" w:sz="6" w:space="0" w:color="auto"/>
              <w:bottom w:val="single" w:sz="6" w:space="0" w:color="auto"/>
              <w:right w:val="single" w:sz="6" w:space="0" w:color="auto"/>
            </w:tcBorders>
            <w:vAlign w:val="center"/>
          </w:tcPr>
          <w:p w14:paraId="27644CF8" w14:textId="77777777" w:rsidR="00916BFE" w:rsidRPr="00916BFE" w:rsidRDefault="00916BFE" w:rsidP="00916BFE">
            <w:pPr>
              <w:snapToGrid w:val="0"/>
              <w:spacing w:before="40" w:after="40"/>
              <w:jc w:val="center"/>
              <w:rPr>
                <w:bCs/>
                <w:sz w:val="17"/>
                <w:lang w:eastAsia="it-IT"/>
              </w:rPr>
            </w:pPr>
            <w:r w:rsidRPr="00916BFE">
              <w:rPr>
                <w:bCs/>
                <w:sz w:val="17"/>
                <w:lang w:eastAsia="it-IT"/>
              </w:rPr>
              <w:t>(a)</w:t>
            </w:r>
          </w:p>
        </w:tc>
        <w:tc>
          <w:tcPr>
            <w:tcW w:w="1417" w:type="dxa"/>
            <w:tcBorders>
              <w:top w:val="single" w:sz="6" w:space="0" w:color="auto"/>
              <w:left w:val="single" w:sz="6" w:space="0" w:color="auto"/>
              <w:bottom w:val="single" w:sz="6" w:space="0" w:color="auto"/>
              <w:right w:val="single" w:sz="4" w:space="0" w:color="auto"/>
            </w:tcBorders>
            <w:vAlign w:val="center"/>
          </w:tcPr>
          <w:p w14:paraId="4DE9A0FB" w14:textId="77777777" w:rsidR="00916BFE" w:rsidRPr="00916BFE" w:rsidRDefault="00916BFE" w:rsidP="00916BFE">
            <w:pPr>
              <w:snapToGrid w:val="0"/>
              <w:spacing w:before="40" w:after="40"/>
              <w:jc w:val="center"/>
              <w:rPr>
                <w:bCs/>
                <w:sz w:val="17"/>
                <w:lang w:eastAsia="it-IT"/>
              </w:rPr>
            </w:pPr>
            <w:r w:rsidRPr="00916BFE">
              <w:rPr>
                <w:bCs/>
                <w:sz w:val="17"/>
                <w:lang w:eastAsia="it-IT"/>
              </w:rPr>
              <w:t>(b)</w:t>
            </w:r>
          </w:p>
        </w:tc>
      </w:tr>
      <w:tr w:rsidR="00916BFE" w:rsidRPr="00916BFE" w14:paraId="692231F4" w14:textId="77777777" w:rsidTr="005057BD">
        <w:trPr>
          <w:trHeight w:val="528"/>
          <w:tblHeader/>
        </w:trPr>
        <w:tc>
          <w:tcPr>
            <w:tcW w:w="6521" w:type="dxa"/>
            <w:gridSpan w:val="2"/>
            <w:tcBorders>
              <w:top w:val="nil"/>
              <w:left w:val="nil"/>
              <w:bottom w:val="single" w:sz="6" w:space="0" w:color="auto"/>
              <w:right w:val="single" w:sz="6" w:space="0" w:color="auto"/>
            </w:tcBorders>
            <w:vAlign w:val="center"/>
          </w:tcPr>
          <w:p w14:paraId="03815D00" w14:textId="77777777" w:rsidR="00916BFE" w:rsidRPr="00916BFE" w:rsidRDefault="00916BFE" w:rsidP="00916BFE">
            <w:pPr>
              <w:snapToGrid w:val="0"/>
              <w:spacing w:before="40" w:after="40"/>
              <w:rPr>
                <w:sz w:val="17"/>
                <w:lang w:val="en-US" w:eastAsia="it-IT"/>
              </w:rPr>
            </w:pPr>
          </w:p>
        </w:tc>
        <w:tc>
          <w:tcPr>
            <w:tcW w:w="1276" w:type="dxa"/>
            <w:tcBorders>
              <w:top w:val="single" w:sz="6" w:space="0" w:color="auto"/>
              <w:left w:val="single" w:sz="6" w:space="0" w:color="auto"/>
              <w:bottom w:val="single" w:sz="6" w:space="0" w:color="auto"/>
              <w:right w:val="single" w:sz="6" w:space="0" w:color="auto"/>
            </w:tcBorders>
            <w:vAlign w:val="center"/>
          </w:tcPr>
          <w:p w14:paraId="14D9761C" w14:textId="77777777" w:rsidR="00916BFE" w:rsidRPr="00916BFE" w:rsidRDefault="00916BFE" w:rsidP="00916BFE">
            <w:pPr>
              <w:snapToGrid w:val="0"/>
              <w:spacing w:before="40" w:after="40"/>
              <w:ind w:left="57"/>
              <w:jc w:val="center"/>
              <w:rPr>
                <w:b/>
                <w:sz w:val="17"/>
                <w:lang w:eastAsia="it-IT"/>
              </w:rPr>
            </w:pPr>
            <w:r w:rsidRPr="00916BFE">
              <w:rPr>
                <w:b/>
                <w:sz w:val="17"/>
                <w:lang w:eastAsia="it-IT"/>
              </w:rPr>
              <w:t>Amount</w:t>
            </w:r>
          </w:p>
        </w:tc>
        <w:tc>
          <w:tcPr>
            <w:tcW w:w="1417" w:type="dxa"/>
            <w:tcBorders>
              <w:top w:val="single" w:sz="6" w:space="0" w:color="auto"/>
              <w:left w:val="single" w:sz="6" w:space="0" w:color="auto"/>
              <w:bottom w:val="single" w:sz="6" w:space="0" w:color="auto"/>
              <w:right w:val="single" w:sz="4" w:space="0" w:color="auto"/>
            </w:tcBorders>
            <w:vAlign w:val="center"/>
          </w:tcPr>
          <w:p w14:paraId="7594D0FB" w14:textId="77777777" w:rsidR="00916BFE" w:rsidRPr="00916BFE" w:rsidRDefault="00916BFE" w:rsidP="00916BFE">
            <w:pPr>
              <w:snapToGrid w:val="0"/>
              <w:spacing w:before="40" w:after="40"/>
              <w:jc w:val="center"/>
              <w:rPr>
                <w:b/>
                <w:sz w:val="17"/>
                <w:lang w:eastAsia="it-IT"/>
              </w:rPr>
            </w:pPr>
            <w:r w:rsidRPr="00916BFE">
              <w:rPr>
                <w:b/>
                <w:sz w:val="17"/>
                <w:lang w:eastAsia="it-IT"/>
              </w:rPr>
              <w:t>Source based on reference numbers/letters  of the balance sheet under the regulatory scope of consolidation</w:t>
            </w:r>
          </w:p>
        </w:tc>
      </w:tr>
      <w:tr w:rsidR="00916BFE" w:rsidRPr="00916BFE" w14:paraId="07FC9EF4" w14:textId="77777777" w:rsidTr="005057BD">
        <w:trPr>
          <w:cantSplit/>
          <w:trHeight w:val="285"/>
        </w:trPr>
        <w:tc>
          <w:tcPr>
            <w:tcW w:w="570" w:type="dxa"/>
            <w:tcBorders>
              <w:top w:val="single" w:sz="6" w:space="0" w:color="auto"/>
              <w:left w:val="nil"/>
              <w:bottom w:val="single" w:sz="6" w:space="0" w:color="BCBDBC"/>
              <w:right w:val="single" w:sz="4" w:space="0" w:color="auto"/>
            </w:tcBorders>
            <w:shd w:val="clear" w:color="auto" w:fill="A6A6A6"/>
          </w:tcPr>
          <w:p w14:paraId="5FE358BF" w14:textId="77777777" w:rsidR="00916BFE" w:rsidRPr="00916BFE" w:rsidRDefault="00916BFE" w:rsidP="00916BFE">
            <w:pPr>
              <w:snapToGrid w:val="0"/>
              <w:spacing w:before="40" w:after="40"/>
              <w:ind w:left="417" w:rightChars="71" w:right="142"/>
              <w:rPr>
                <w:b/>
                <w:sz w:val="17"/>
                <w:lang w:eastAsia="it-IT"/>
              </w:rPr>
            </w:pPr>
          </w:p>
        </w:tc>
        <w:tc>
          <w:tcPr>
            <w:tcW w:w="5951" w:type="dxa"/>
            <w:tcBorders>
              <w:top w:val="single" w:sz="6" w:space="0" w:color="auto"/>
              <w:left w:val="single" w:sz="4" w:space="0" w:color="auto"/>
              <w:bottom w:val="single" w:sz="6" w:space="0" w:color="BCBDBC"/>
              <w:right w:val="nil"/>
            </w:tcBorders>
            <w:shd w:val="clear" w:color="auto" w:fill="A6A6A6"/>
          </w:tcPr>
          <w:p w14:paraId="2FD081F0" w14:textId="77777777" w:rsidR="00916BFE" w:rsidRPr="00916BFE" w:rsidRDefault="00916BFE" w:rsidP="00916BFE">
            <w:pPr>
              <w:snapToGrid w:val="0"/>
              <w:spacing w:before="40" w:after="40"/>
              <w:ind w:left="57" w:rightChars="71" w:right="142"/>
              <w:rPr>
                <w:b/>
                <w:sz w:val="17"/>
                <w:lang w:eastAsia="it-IT"/>
              </w:rPr>
            </w:pPr>
            <w:r w:rsidRPr="00916BFE">
              <w:rPr>
                <w:b/>
                <w:sz w:val="17"/>
                <w:lang w:eastAsia="it-IT"/>
              </w:rPr>
              <w:t>CET1 capital: instruments and reserves</w:t>
            </w:r>
          </w:p>
        </w:tc>
        <w:tc>
          <w:tcPr>
            <w:tcW w:w="1276" w:type="dxa"/>
            <w:tcBorders>
              <w:top w:val="single" w:sz="6" w:space="0" w:color="auto"/>
              <w:left w:val="nil"/>
              <w:bottom w:val="single" w:sz="6" w:space="0" w:color="BCBDBC"/>
              <w:right w:val="nil"/>
            </w:tcBorders>
            <w:shd w:val="clear" w:color="auto" w:fill="A6A6A6"/>
          </w:tcPr>
          <w:p w14:paraId="6D1592E6" w14:textId="77777777" w:rsidR="00916BFE" w:rsidRPr="00916BFE" w:rsidRDefault="00916BFE" w:rsidP="00916BFE">
            <w:pPr>
              <w:snapToGrid w:val="0"/>
              <w:spacing w:before="40" w:after="40"/>
              <w:rPr>
                <w:sz w:val="17"/>
                <w:lang w:eastAsia="it-IT"/>
              </w:rPr>
            </w:pPr>
          </w:p>
        </w:tc>
        <w:tc>
          <w:tcPr>
            <w:tcW w:w="1417" w:type="dxa"/>
            <w:tcBorders>
              <w:top w:val="single" w:sz="6" w:space="0" w:color="auto"/>
              <w:left w:val="nil"/>
              <w:bottom w:val="single" w:sz="6" w:space="0" w:color="BCBDBC"/>
              <w:right w:val="single" w:sz="4" w:space="0" w:color="auto"/>
            </w:tcBorders>
            <w:shd w:val="clear" w:color="auto" w:fill="A6A6A6"/>
          </w:tcPr>
          <w:p w14:paraId="6FB18307" w14:textId="77777777" w:rsidR="00916BFE" w:rsidRPr="00916BFE" w:rsidRDefault="00916BFE" w:rsidP="00916BFE">
            <w:pPr>
              <w:snapToGrid w:val="0"/>
              <w:spacing w:before="40" w:after="40"/>
              <w:jc w:val="center"/>
              <w:rPr>
                <w:sz w:val="17"/>
                <w:lang w:eastAsia="it-IT"/>
              </w:rPr>
            </w:pPr>
          </w:p>
        </w:tc>
      </w:tr>
      <w:tr w:rsidR="00916BFE" w:rsidRPr="00916BFE" w14:paraId="041F7A25" w14:textId="77777777" w:rsidTr="005057BD">
        <w:trPr>
          <w:cantSplit/>
          <w:trHeight w:val="285"/>
        </w:trPr>
        <w:tc>
          <w:tcPr>
            <w:tcW w:w="570" w:type="dxa"/>
            <w:tcBorders>
              <w:top w:val="single" w:sz="6" w:space="0" w:color="auto"/>
              <w:left w:val="nil"/>
              <w:bottom w:val="single" w:sz="6" w:space="0" w:color="auto"/>
              <w:right w:val="single" w:sz="4" w:space="0" w:color="auto"/>
            </w:tcBorders>
            <w:shd w:val="clear" w:color="auto" w:fill="auto"/>
          </w:tcPr>
          <w:p w14:paraId="016AB06A"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1</w:t>
            </w:r>
          </w:p>
        </w:tc>
        <w:tc>
          <w:tcPr>
            <w:tcW w:w="5951" w:type="dxa"/>
            <w:tcBorders>
              <w:top w:val="single" w:sz="6" w:space="0" w:color="auto"/>
              <w:left w:val="single" w:sz="4" w:space="0" w:color="auto"/>
              <w:bottom w:val="single" w:sz="6" w:space="0" w:color="auto"/>
              <w:right w:val="single" w:sz="6" w:space="0" w:color="auto"/>
            </w:tcBorders>
            <w:shd w:val="clear" w:color="auto" w:fill="auto"/>
          </w:tcPr>
          <w:p w14:paraId="74FE87B4" w14:textId="77777777" w:rsidR="00916BFE" w:rsidRPr="00916BFE" w:rsidRDefault="00916BFE" w:rsidP="00916BFE">
            <w:pPr>
              <w:snapToGrid w:val="0"/>
              <w:spacing w:before="40" w:after="40"/>
              <w:ind w:left="57" w:rightChars="71" w:right="142"/>
              <w:rPr>
                <w:sz w:val="17"/>
                <w:lang w:val="en-US" w:eastAsia="it-IT"/>
              </w:rPr>
            </w:pPr>
            <w:r w:rsidRPr="00916BFE">
              <w:rPr>
                <w:sz w:val="17"/>
                <w:lang w:eastAsia="it-IT"/>
              </w:rPr>
              <w:t>Directly issued qualifying CET1 capital instruments plus any related share premium</w:t>
            </w:r>
          </w:p>
        </w:tc>
        <w:tc>
          <w:tcPr>
            <w:tcW w:w="1276" w:type="dxa"/>
            <w:tcBorders>
              <w:top w:val="single" w:sz="6" w:space="0" w:color="auto"/>
              <w:left w:val="single" w:sz="6" w:space="0" w:color="auto"/>
              <w:bottom w:val="single" w:sz="6" w:space="0" w:color="auto"/>
              <w:right w:val="single" w:sz="6" w:space="0" w:color="auto"/>
            </w:tcBorders>
            <w:shd w:val="clear" w:color="auto" w:fill="auto"/>
          </w:tcPr>
          <w:p w14:paraId="63A9033E" w14:textId="77777777" w:rsidR="00916BFE" w:rsidRPr="00916BFE" w:rsidRDefault="00916BFE" w:rsidP="00916BFE">
            <w:pPr>
              <w:snapToGrid w:val="0"/>
              <w:spacing w:before="40" w:after="40"/>
              <w:jc w:val="center"/>
              <w:rPr>
                <w:sz w:val="17"/>
                <w:lang w:eastAsia="it-IT"/>
              </w:rPr>
            </w:pPr>
          </w:p>
        </w:tc>
        <w:tc>
          <w:tcPr>
            <w:tcW w:w="1417" w:type="dxa"/>
            <w:tcBorders>
              <w:top w:val="single" w:sz="6" w:space="0" w:color="auto"/>
              <w:left w:val="single" w:sz="6" w:space="0" w:color="auto"/>
              <w:bottom w:val="single" w:sz="6" w:space="0" w:color="auto"/>
              <w:right w:val="single" w:sz="4" w:space="0" w:color="auto"/>
            </w:tcBorders>
            <w:shd w:val="clear" w:color="auto" w:fill="auto"/>
          </w:tcPr>
          <w:p w14:paraId="65EE5AD5" w14:textId="77777777" w:rsidR="00916BFE" w:rsidRPr="00916BFE" w:rsidRDefault="00916BFE" w:rsidP="00916BFE">
            <w:pPr>
              <w:snapToGrid w:val="0"/>
              <w:spacing w:before="40" w:after="40"/>
              <w:jc w:val="center"/>
              <w:rPr>
                <w:sz w:val="17"/>
                <w:lang w:eastAsia="it-IT"/>
              </w:rPr>
            </w:pPr>
            <w:r w:rsidRPr="00916BFE">
              <w:rPr>
                <w:sz w:val="17"/>
                <w:lang w:eastAsia="it-IT"/>
              </w:rPr>
              <w:t>[e]</w:t>
            </w:r>
          </w:p>
        </w:tc>
      </w:tr>
      <w:tr w:rsidR="00916BFE" w:rsidRPr="00916BFE" w14:paraId="11AEA534" w14:textId="77777777" w:rsidTr="005057BD">
        <w:trPr>
          <w:cantSplit/>
          <w:trHeight w:val="285"/>
        </w:trPr>
        <w:tc>
          <w:tcPr>
            <w:tcW w:w="570" w:type="dxa"/>
            <w:tcBorders>
              <w:top w:val="single" w:sz="6" w:space="0" w:color="auto"/>
              <w:left w:val="nil"/>
              <w:bottom w:val="single" w:sz="6" w:space="0" w:color="auto"/>
              <w:right w:val="single" w:sz="4" w:space="0" w:color="auto"/>
            </w:tcBorders>
            <w:shd w:val="clear" w:color="auto" w:fill="auto"/>
          </w:tcPr>
          <w:p w14:paraId="469D8BF9"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2</w:t>
            </w:r>
          </w:p>
        </w:tc>
        <w:tc>
          <w:tcPr>
            <w:tcW w:w="5951" w:type="dxa"/>
            <w:tcBorders>
              <w:top w:val="single" w:sz="6" w:space="0" w:color="auto"/>
              <w:left w:val="single" w:sz="4" w:space="0" w:color="auto"/>
              <w:bottom w:val="single" w:sz="6" w:space="0" w:color="auto"/>
              <w:right w:val="single" w:sz="6" w:space="0" w:color="auto"/>
            </w:tcBorders>
            <w:shd w:val="clear" w:color="auto" w:fill="auto"/>
          </w:tcPr>
          <w:p w14:paraId="250FA195"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Retained earnings</w:t>
            </w:r>
          </w:p>
        </w:tc>
        <w:tc>
          <w:tcPr>
            <w:tcW w:w="1276" w:type="dxa"/>
            <w:tcBorders>
              <w:top w:val="single" w:sz="6" w:space="0" w:color="auto"/>
              <w:left w:val="single" w:sz="6" w:space="0" w:color="auto"/>
              <w:bottom w:val="single" w:sz="6" w:space="0" w:color="auto"/>
              <w:right w:val="single" w:sz="6" w:space="0" w:color="auto"/>
            </w:tcBorders>
            <w:shd w:val="clear" w:color="auto" w:fill="auto"/>
          </w:tcPr>
          <w:p w14:paraId="63B6879A" w14:textId="77777777" w:rsidR="00916BFE" w:rsidRPr="00916BFE" w:rsidRDefault="00916BFE" w:rsidP="00916BFE">
            <w:pPr>
              <w:snapToGrid w:val="0"/>
              <w:spacing w:before="40" w:after="40"/>
              <w:jc w:val="center"/>
              <w:rPr>
                <w:sz w:val="17"/>
                <w:lang w:eastAsia="it-IT"/>
              </w:rPr>
            </w:pPr>
          </w:p>
        </w:tc>
        <w:tc>
          <w:tcPr>
            <w:tcW w:w="1417" w:type="dxa"/>
            <w:tcBorders>
              <w:top w:val="single" w:sz="6" w:space="0" w:color="auto"/>
              <w:left w:val="single" w:sz="6" w:space="0" w:color="auto"/>
              <w:bottom w:val="single" w:sz="6" w:space="0" w:color="auto"/>
              <w:right w:val="single" w:sz="4" w:space="0" w:color="auto"/>
            </w:tcBorders>
            <w:shd w:val="clear" w:color="auto" w:fill="auto"/>
          </w:tcPr>
          <w:p w14:paraId="6C7CFACE" w14:textId="77777777" w:rsidR="00916BFE" w:rsidRPr="00916BFE" w:rsidRDefault="00916BFE" w:rsidP="00916BFE">
            <w:pPr>
              <w:snapToGrid w:val="0"/>
              <w:spacing w:before="40" w:after="40"/>
              <w:jc w:val="center"/>
              <w:rPr>
                <w:sz w:val="17"/>
                <w:lang w:eastAsia="it-IT"/>
              </w:rPr>
            </w:pPr>
          </w:p>
        </w:tc>
      </w:tr>
      <w:tr w:rsidR="00916BFE" w:rsidRPr="00916BFE" w14:paraId="3C68BF90" w14:textId="77777777" w:rsidTr="005057BD">
        <w:trPr>
          <w:cantSplit/>
          <w:trHeight w:val="285"/>
        </w:trPr>
        <w:tc>
          <w:tcPr>
            <w:tcW w:w="570" w:type="dxa"/>
            <w:tcBorders>
              <w:top w:val="single" w:sz="6" w:space="0" w:color="auto"/>
              <w:left w:val="nil"/>
              <w:bottom w:val="single" w:sz="6" w:space="0" w:color="auto"/>
              <w:right w:val="single" w:sz="4" w:space="0" w:color="auto"/>
            </w:tcBorders>
            <w:shd w:val="clear" w:color="auto" w:fill="auto"/>
          </w:tcPr>
          <w:p w14:paraId="740472CF"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3</w:t>
            </w:r>
          </w:p>
        </w:tc>
        <w:tc>
          <w:tcPr>
            <w:tcW w:w="5951" w:type="dxa"/>
            <w:tcBorders>
              <w:top w:val="single" w:sz="6" w:space="0" w:color="auto"/>
              <w:left w:val="single" w:sz="4" w:space="0" w:color="auto"/>
              <w:bottom w:val="single" w:sz="6" w:space="0" w:color="auto"/>
              <w:right w:val="single" w:sz="6" w:space="0" w:color="auto"/>
            </w:tcBorders>
            <w:shd w:val="clear" w:color="auto" w:fill="auto"/>
          </w:tcPr>
          <w:p w14:paraId="69B574DE"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Disclosed reserves</w:t>
            </w:r>
          </w:p>
        </w:tc>
        <w:tc>
          <w:tcPr>
            <w:tcW w:w="1276" w:type="dxa"/>
            <w:tcBorders>
              <w:top w:val="single" w:sz="6" w:space="0" w:color="auto"/>
              <w:left w:val="single" w:sz="6" w:space="0" w:color="auto"/>
              <w:bottom w:val="single" w:sz="6" w:space="0" w:color="auto"/>
              <w:right w:val="single" w:sz="6" w:space="0" w:color="auto"/>
            </w:tcBorders>
            <w:shd w:val="clear" w:color="auto" w:fill="auto"/>
          </w:tcPr>
          <w:p w14:paraId="71516AA5" w14:textId="77777777" w:rsidR="00916BFE" w:rsidRPr="00916BFE" w:rsidRDefault="00916BFE" w:rsidP="00916BFE">
            <w:pPr>
              <w:snapToGrid w:val="0"/>
              <w:spacing w:before="40" w:after="40"/>
              <w:jc w:val="center"/>
              <w:rPr>
                <w:sz w:val="17"/>
                <w:lang w:eastAsia="it-IT"/>
              </w:rPr>
            </w:pPr>
          </w:p>
        </w:tc>
        <w:tc>
          <w:tcPr>
            <w:tcW w:w="1417" w:type="dxa"/>
            <w:tcBorders>
              <w:top w:val="single" w:sz="6" w:space="0" w:color="auto"/>
              <w:left w:val="single" w:sz="6" w:space="0" w:color="auto"/>
              <w:bottom w:val="single" w:sz="6" w:space="0" w:color="auto"/>
              <w:right w:val="single" w:sz="4" w:space="0" w:color="auto"/>
            </w:tcBorders>
            <w:shd w:val="clear" w:color="auto" w:fill="auto"/>
          </w:tcPr>
          <w:p w14:paraId="5B7541C3" w14:textId="77777777" w:rsidR="00916BFE" w:rsidRPr="00916BFE" w:rsidRDefault="00916BFE" w:rsidP="00916BFE">
            <w:pPr>
              <w:snapToGrid w:val="0"/>
              <w:spacing w:before="40" w:after="40"/>
              <w:jc w:val="center"/>
              <w:rPr>
                <w:sz w:val="17"/>
                <w:lang w:eastAsia="it-IT"/>
              </w:rPr>
            </w:pPr>
          </w:p>
        </w:tc>
      </w:tr>
      <w:tr w:rsidR="00916BFE" w:rsidRPr="00916BFE" w14:paraId="60D7E54D" w14:textId="77777777" w:rsidTr="005057BD">
        <w:trPr>
          <w:cantSplit/>
          <w:trHeight w:val="285"/>
        </w:trPr>
        <w:tc>
          <w:tcPr>
            <w:tcW w:w="570" w:type="dxa"/>
            <w:tcBorders>
              <w:top w:val="single" w:sz="6" w:space="0" w:color="auto"/>
              <w:left w:val="nil"/>
              <w:bottom w:val="single" w:sz="6" w:space="0" w:color="auto"/>
              <w:right w:val="single" w:sz="4" w:space="0" w:color="auto"/>
            </w:tcBorders>
            <w:shd w:val="clear" w:color="auto" w:fill="auto"/>
          </w:tcPr>
          <w:p w14:paraId="7B6190DA"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5</w:t>
            </w:r>
          </w:p>
        </w:tc>
        <w:tc>
          <w:tcPr>
            <w:tcW w:w="5951" w:type="dxa"/>
            <w:tcBorders>
              <w:top w:val="single" w:sz="6" w:space="0" w:color="auto"/>
              <w:left w:val="single" w:sz="4" w:space="0" w:color="auto"/>
              <w:bottom w:val="single" w:sz="6" w:space="0" w:color="auto"/>
              <w:right w:val="single" w:sz="6" w:space="0" w:color="auto"/>
            </w:tcBorders>
            <w:shd w:val="clear" w:color="auto" w:fill="auto"/>
          </w:tcPr>
          <w:p w14:paraId="68FEE644"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Minority interests arising from CET1 capital instruments issued by consolidated bank subsidiaries and held by third parties (amount allowed in CET1 capital of the consolidation group)</w:t>
            </w:r>
          </w:p>
        </w:tc>
        <w:tc>
          <w:tcPr>
            <w:tcW w:w="1276" w:type="dxa"/>
            <w:tcBorders>
              <w:top w:val="single" w:sz="6" w:space="0" w:color="auto"/>
              <w:left w:val="single" w:sz="6" w:space="0" w:color="auto"/>
              <w:bottom w:val="single" w:sz="6" w:space="0" w:color="auto"/>
              <w:right w:val="single" w:sz="6" w:space="0" w:color="auto"/>
            </w:tcBorders>
            <w:shd w:val="clear" w:color="auto" w:fill="auto"/>
          </w:tcPr>
          <w:p w14:paraId="15D4AE46" w14:textId="77777777" w:rsidR="00916BFE" w:rsidRPr="00916BFE" w:rsidRDefault="00916BFE" w:rsidP="00916BFE">
            <w:pPr>
              <w:snapToGrid w:val="0"/>
              <w:spacing w:before="40" w:after="40"/>
              <w:jc w:val="center"/>
              <w:rPr>
                <w:sz w:val="17"/>
                <w:lang w:eastAsia="it-IT"/>
              </w:rPr>
            </w:pPr>
          </w:p>
        </w:tc>
        <w:tc>
          <w:tcPr>
            <w:tcW w:w="1417" w:type="dxa"/>
            <w:tcBorders>
              <w:top w:val="single" w:sz="6" w:space="0" w:color="auto"/>
              <w:left w:val="single" w:sz="6" w:space="0" w:color="auto"/>
              <w:bottom w:val="single" w:sz="6" w:space="0" w:color="auto"/>
              <w:right w:val="single" w:sz="4" w:space="0" w:color="auto"/>
            </w:tcBorders>
            <w:shd w:val="clear" w:color="auto" w:fill="auto"/>
          </w:tcPr>
          <w:p w14:paraId="1B2E78AA" w14:textId="77777777" w:rsidR="00916BFE" w:rsidRPr="00916BFE" w:rsidRDefault="00916BFE" w:rsidP="00916BFE">
            <w:pPr>
              <w:snapToGrid w:val="0"/>
              <w:spacing w:before="40" w:after="40"/>
              <w:jc w:val="center"/>
              <w:rPr>
                <w:sz w:val="17"/>
                <w:lang w:eastAsia="it-IT"/>
              </w:rPr>
            </w:pPr>
          </w:p>
        </w:tc>
      </w:tr>
      <w:tr w:rsidR="00916BFE" w:rsidRPr="00916BFE" w14:paraId="4FB57982" w14:textId="77777777" w:rsidTr="005057BD">
        <w:trPr>
          <w:cantSplit/>
          <w:trHeight w:val="285"/>
        </w:trPr>
        <w:tc>
          <w:tcPr>
            <w:tcW w:w="570" w:type="dxa"/>
            <w:tcBorders>
              <w:top w:val="single" w:sz="6" w:space="0" w:color="auto"/>
              <w:left w:val="nil"/>
              <w:bottom w:val="single" w:sz="6" w:space="0" w:color="auto"/>
              <w:right w:val="single" w:sz="4" w:space="0" w:color="auto"/>
            </w:tcBorders>
            <w:shd w:val="clear" w:color="auto" w:fill="auto"/>
          </w:tcPr>
          <w:p w14:paraId="5584A91E"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6</w:t>
            </w:r>
          </w:p>
        </w:tc>
        <w:tc>
          <w:tcPr>
            <w:tcW w:w="5951" w:type="dxa"/>
            <w:tcBorders>
              <w:top w:val="single" w:sz="6" w:space="0" w:color="auto"/>
              <w:left w:val="single" w:sz="4" w:space="0" w:color="auto"/>
              <w:bottom w:val="single" w:sz="6" w:space="0" w:color="auto"/>
              <w:right w:val="single" w:sz="6" w:space="0" w:color="auto"/>
            </w:tcBorders>
            <w:shd w:val="clear" w:color="auto" w:fill="D9D9D9"/>
          </w:tcPr>
          <w:p w14:paraId="5D58BE30" w14:textId="77777777" w:rsidR="00916BFE" w:rsidRPr="00916BFE" w:rsidRDefault="00916BFE" w:rsidP="00916BFE">
            <w:pPr>
              <w:snapToGrid w:val="0"/>
              <w:spacing w:before="40" w:after="40"/>
              <w:ind w:left="57" w:rightChars="71" w:right="142"/>
              <w:rPr>
                <w:b/>
                <w:sz w:val="17"/>
                <w:lang w:eastAsia="it-IT"/>
              </w:rPr>
            </w:pPr>
            <w:r w:rsidRPr="00916BFE">
              <w:rPr>
                <w:b/>
                <w:sz w:val="17"/>
                <w:lang w:eastAsia="it-IT"/>
              </w:rPr>
              <w:t>CET1 capital before regulatory deductions</w:t>
            </w:r>
          </w:p>
        </w:tc>
        <w:tc>
          <w:tcPr>
            <w:tcW w:w="1276" w:type="dxa"/>
            <w:tcBorders>
              <w:top w:val="single" w:sz="6" w:space="0" w:color="auto"/>
              <w:left w:val="single" w:sz="6" w:space="0" w:color="auto"/>
              <w:bottom w:val="single" w:sz="6" w:space="0" w:color="auto"/>
              <w:right w:val="single" w:sz="6" w:space="0" w:color="auto"/>
            </w:tcBorders>
            <w:shd w:val="clear" w:color="auto" w:fill="auto"/>
          </w:tcPr>
          <w:p w14:paraId="30850C8F" w14:textId="77777777" w:rsidR="00916BFE" w:rsidRPr="00916BFE" w:rsidRDefault="00916BFE" w:rsidP="00916BFE">
            <w:pPr>
              <w:snapToGrid w:val="0"/>
              <w:spacing w:before="40" w:after="40"/>
              <w:jc w:val="center"/>
              <w:rPr>
                <w:sz w:val="17"/>
                <w:lang w:eastAsia="it-IT"/>
              </w:rPr>
            </w:pPr>
          </w:p>
        </w:tc>
        <w:tc>
          <w:tcPr>
            <w:tcW w:w="1417" w:type="dxa"/>
            <w:tcBorders>
              <w:top w:val="single" w:sz="6" w:space="0" w:color="auto"/>
              <w:left w:val="single" w:sz="6" w:space="0" w:color="auto"/>
              <w:bottom w:val="single" w:sz="6" w:space="0" w:color="auto"/>
              <w:right w:val="single" w:sz="4" w:space="0" w:color="auto"/>
            </w:tcBorders>
            <w:shd w:val="clear" w:color="auto" w:fill="auto"/>
          </w:tcPr>
          <w:p w14:paraId="7B3F8A9C" w14:textId="77777777" w:rsidR="00916BFE" w:rsidRPr="00916BFE" w:rsidRDefault="00916BFE" w:rsidP="00916BFE">
            <w:pPr>
              <w:snapToGrid w:val="0"/>
              <w:spacing w:before="40" w:after="40"/>
              <w:jc w:val="center"/>
              <w:rPr>
                <w:sz w:val="17"/>
                <w:lang w:eastAsia="it-IT"/>
              </w:rPr>
            </w:pPr>
          </w:p>
        </w:tc>
      </w:tr>
      <w:tr w:rsidR="00916BFE" w:rsidRPr="00916BFE" w14:paraId="7E27F9FC" w14:textId="77777777" w:rsidTr="005057BD">
        <w:trPr>
          <w:cantSplit/>
          <w:trHeight w:val="285"/>
        </w:trPr>
        <w:tc>
          <w:tcPr>
            <w:tcW w:w="570" w:type="dxa"/>
            <w:tcBorders>
              <w:top w:val="single" w:sz="6" w:space="0" w:color="auto"/>
              <w:left w:val="nil"/>
              <w:bottom w:val="single" w:sz="4" w:space="0" w:color="auto"/>
              <w:right w:val="single" w:sz="4" w:space="0" w:color="auto"/>
            </w:tcBorders>
            <w:shd w:val="clear" w:color="auto" w:fill="A6A6A6"/>
          </w:tcPr>
          <w:p w14:paraId="00034D5E" w14:textId="77777777" w:rsidR="00916BFE" w:rsidRPr="00916BFE" w:rsidRDefault="00916BFE" w:rsidP="00916BFE">
            <w:pPr>
              <w:snapToGrid w:val="0"/>
              <w:spacing w:before="40" w:after="40"/>
              <w:ind w:left="417" w:rightChars="71" w:right="142"/>
              <w:rPr>
                <w:b/>
                <w:sz w:val="17"/>
                <w:szCs w:val="17"/>
                <w:lang w:eastAsia="it-IT"/>
              </w:rPr>
            </w:pPr>
          </w:p>
        </w:tc>
        <w:tc>
          <w:tcPr>
            <w:tcW w:w="5951" w:type="dxa"/>
            <w:tcBorders>
              <w:top w:val="single" w:sz="6" w:space="0" w:color="auto"/>
              <w:left w:val="single" w:sz="4" w:space="0" w:color="auto"/>
              <w:bottom w:val="single" w:sz="4" w:space="0" w:color="auto"/>
              <w:right w:val="nil"/>
            </w:tcBorders>
            <w:shd w:val="clear" w:color="auto" w:fill="A6A6A6"/>
          </w:tcPr>
          <w:p w14:paraId="19BBBA29" w14:textId="77777777" w:rsidR="00916BFE" w:rsidRPr="00916BFE" w:rsidRDefault="00916BFE" w:rsidP="00916BFE">
            <w:pPr>
              <w:snapToGrid w:val="0"/>
              <w:spacing w:before="40" w:after="40"/>
              <w:ind w:left="57" w:rightChars="71" w:right="142"/>
              <w:rPr>
                <w:b/>
                <w:sz w:val="17"/>
                <w:szCs w:val="17"/>
                <w:lang w:eastAsia="it-IT"/>
              </w:rPr>
            </w:pPr>
            <w:r w:rsidRPr="00916BFE">
              <w:rPr>
                <w:b/>
                <w:sz w:val="17"/>
                <w:lang w:eastAsia="it-IT"/>
              </w:rPr>
              <w:t>CET1 capital: regulatory deductions</w:t>
            </w:r>
          </w:p>
        </w:tc>
        <w:tc>
          <w:tcPr>
            <w:tcW w:w="1276" w:type="dxa"/>
            <w:tcBorders>
              <w:top w:val="single" w:sz="6" w:space="0" w:color="auto"/>
              <w:left w:val="nil"/>
              <w:bottom w:val="single" w:sz="4" w:space="0" w:color="auto"/>
              <w:right w:val="nil"/>
            </w:tcBorders>
            <w:shd w:val="clear" w:color="auto" w:fill="A6A6A6"/>
          </w:tcPr>
          <w:p w14:paraId="51E17469" w14:textId="77777777" w:rsidR="00916BFE" w:rsidRPr="00916BFE" w:rsidRDefault="00916BFE" w:rsidP="00916BFE">
            <w:pPr>
              <w:snapToGrid w:val="0"/>
              <w:spacing w:before="40" w:after="40"/>
              <w:jc w:val="center"/>
              <w:rPr>
                <w:sz w:val="17"/>
                <w:lang w:eastAsia="it-IT"/>
              </w:rPr>
            </w:pPr>
          </w:p>
        </w:tc>
        <w:tc>
          <w:tcPr>
            <w:tcW w:w="1417" w:type="dxa"/>
            <w:tcBorders>
              <w:top w:val="single" w:sz="6" w:space="0" w:color="auto"/>
              <w:left w:val="nil"/>
              <w:bottom w:val="single" w:sz="4" w:space="0" w:color="auto"/>
              <w:right w:val="single" w:sz="4" w:space="0" w:color="auto"/>
            </w:tcBorders>
            <w:shd w:val="clear" w:color="auto" w:fill="A6A6A6"/>
          </w:tcPr>
          <w:p w14:paraId="513BCCAD" w14:textId="77777777" w:rsidR="00916BFE" w:rsidRPr="00916BFE" w:rsidRDefault="00916BFE" w:rsidP="00916BFE">
            <w:pPr>
              <w:snapToGrid w:val="0"/>
              <w:spacing w:before="40" w:after="40"/>
              <w:jc w:val="center"/>
              <w:rPr>
                <w:sz w:val="17"/>
                <w:lang w:eastAsia="it-IT"/>
              </w:rPr>
            </w:pPr>
          </w:p>
        </w:tc>
      </w:tr>
      <w:tr w:rsidR="00916BFE" w:rsidRPr="00916BFE" w14:paraId="2DE9AA0D"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5EAE4363"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7</w:t>
            </w:r>
          </w:p>
        </w:tc>
        <w:tc>
          <w:tcPr>
            <w:tcW w:w="5951" w:type="dxa"/>
            <w:tcBorders>
              <w:top w:val="single" w:sz="6" w:space="0" w:color="auto"/>
              <w:left w:val="single" w:sz="4" w:space="0" w:color="auto"/>
              <w:bottom w:val="single" w:sz="6" w:space="0" w:color="auto"/>
              <w:right w:val="single" w:sz="6" w:space="0" w:color="auto"/>
            </w:tcBorders>
            <w:shd w:val="clear" w:color="auto" w:fill="auto"/>
          </w:tcPr>
          <w:p w14:paraId="5E5C1D22"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Valuation adjustments</w:t>
            </w:r>
          </w:p>
        </w:tc>
        <w:tc>
          <w:tcPr>
            <w:tcW w:w="1276" w:type="dxa"/>
            <w:tcBorders>
              <w:top w:val="single" w:sz="4" w:space="0" w:color="auto"/>
              <w:left w:val="single" w:sz="6" w:space="0" w:color="auto"/>
              <w:bottom w:val="single" w:sz="6" w:space="0" w:color="auto"/>
              <w:right w:val="single" w:sz="6" w:space="0" w:color="auto"/>
            </w:tcBorders>
            <w:shd w:val="clear" w:color="auto" w:fill="auto"/>
          </w:tcPr>
          <w:p w14:paraId="0ED677F9"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6" w:space="0" w:color="auto"/>
              <w:bottom w:val="single" w:sz="6" w:space="0" w:color="auto"/>
              <w:right w:val="single" w:sz="4" w:space="0" w:color="auto"/>
            </w:tcBorders>
            <w:shd w:val="clear" w:color="auto" w:fill="auto"/>
          </w:tcPr>
          <w:p w14:paraId="54C53E08" w14:textId="77777777" w:rsidR="00916BFE" w:rsidRPr="00916BFE" w:rsidRDefault="00916BFE" w:rsidP="00916BFE">
            <w:pPr>
              <w:snapToGrid w:val="0"/>
              <w:spacing w:before="40" w:after="40"/>
              <w:jc w:val="center"/>
              <w:rPr>
                <w:sz w:val="17"/>
                <w:lang w:eastAsia="it-IT"/>
              </w:rPr>
            </w:pPr>
          </w:p>
        </w:tc>
      </w:tr>
      <w:tr w:rsidR="00916BFE" w:rsidRPr="00916BFE" w14:paraId="176A72BD"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782D72D6"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8</w:t>
            </w:r>
          </w:p>
        </w:tc>
        <w:tc>
          <w:tcPr>
            <w:tcW w:w="5951" w:type="dxa"/>
            <w:tcBorders>
              <w:top w:val="single" w:sz="6" w:space="0" w:color="auto"/>
              <w:left w:val="single" w:sz="4" w:space="0" w:color="auto"/>
              <w:bottom w:val="single" w:sz="4" w:space="0" w:color="auto"/>
              <w:right w:val="single" w:sz="6" w:space="0" w:color="auto"/>
            </w:tcBorders>
            <w:shd w:val="clear" w:color="auto" w:fill="auto"/>
          </w:tcPr>
          <w:p w14:paraId="029B6BD7" w14:textId="77777777" w:rsidR="00916BFE" w:rsidRPr="00916BFE" w:rsidRDefault="00916BFE" w:rsidP="00916BFE">
            <w:pPr>
              <w:snapToGrid w:val="0"/>
              <w:spacing w:before="40" w:after="40"/>
              <w:ind w:left="57" w:rightChars="71" w:right="142"/>
              <w:rPr>
                <w:sz w:val="17"/>
                <w:lang w:val="en-US" w:eastAsia="it-IT"/>
              </w:rPr>
            </w:pPr>
            <w:r w:rsidRPr="00916BFE">
              <w:rPr>
                <w:sz w:val="17"/>
                <w:lang w:val="en-US" w:eastAsia="it-IT"/>
              </w:rPr>
              <w:t>Goodwill (net of associated deferred tax liabilities)</w:t>
            </w:r>
          </w:p>
        </w:tc>
        <w:tc>
          <w:tcPr>
            <w:tcW w:w="1276" w:type="dxa"/>
            <w:tcBorders>
              <w:top w:val="single" w:sz="6" w:space="0" w:color="auto"/>
              <w:left w:val="single" w:sz="6" w:space="0" w:color="auto"/>
              <w:bottom w:val="single" w:sz="4" w:space="0" w:color="auto"/>
              <w:right w:val="single" w:sz="6" w:space="0" w:color="auto"/>
            </w:tcBorders>
            <w:shd w:val="clear" w:color="auto" w:fill="auto"/>
          </w:tcPr>
          <w:p w14:paraId="1F84C065" w14:textId="77777777" w:rsidR="00916BFE" w:rsidRPr="00916BFE" w:rsidRDefault="00916BFE" w:rsidP="00916BFE">
            <w:pPr>
              <w:snapToGrid w:val="0"/>
              <w:spacing w:before="40" w:after="40"/>
              <w:jc w:val="center"/>
              <w:rPr>
                <w:sz w:val="17"/>
                <w:lang w:eastAsia="it-IT"/>
              </w:rPr>
            </w:pPr>
          </w:p>
        </w:tc>
        <w:tc>
          <w:tcPr>
            <w:tcW w:w="1417" w:type="dxa"/>
            <w:tcBorders>
              <w:top w:val="single" w:sz="6" w:space="0" w:color="auto"/>
              <w:left w:val="single" w:sz="6" w:space="0" w:color="auto"/>
              <w:bottom w:val="single" w:sz="4" w:space="0" w:color="auto"/>
              <w:right w:val="single" w:sz="4" w:space="0" w:color="auto"/>
            </w:tcBorders>
            <w:shd w:val="clear" w:color="auto" w:fill="auto"/>
          </w:tcPr>
          <w:p w14:paraId="42D59964" w14:textId="77777777" w:rsidR="00916BFE" w:rsidRPr="00916BFE" w:rsidRDefault="00916BFE" w:rsidP="00916BFE">
            <w:pPr>
              <w:snapToGrid w:val="0"/>
              <w:spacing w:before="40" w:after="40"/>
              <w:jc w:val="center"/>
              <w:rPr>
                <w:sz w:val="17"/>
                <w:lang w:eastAsia="it-IT"/>
              </w:rPr>
            </w:pPr>
            <w:r w:rsidRPr="00916BFE">
              <w:rPr>
                <w:sz w:val="17"/>
                <w:lang w:eastAsia="it-IT"/>
              </w:rPr>
              <w:t>[a] - [c]</w:t>
            </w:r>
          </w:p>
        </w:tc>
      </w:tr>
      <w:tr w:rsidR="00916BFE" w:rsidRPr="00916BFE" w14:paraId="0427255E"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69C0753B"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9</w:t>
            </w:r>
          </w:p>
        </w:tc>
        <w:tc>
          <w:tcPr>
            <w:tcW w:w="5951" w:type="dxa"/>
            <w:tcBorders>
              <w:top w:val="single" w:sz="4" w:space="0" w:color="auto"/>
              <w:left w:val="single" w:sz="4" w:space="0" w:color="auto"/>
              <w:bottom w:val="single" w:sz="4" w:space="0" w:color="auto"/>
              <w:right w:val="single" w:sz="6" w:space="0" w:color="auto"/>
            </w:tcBorders>
            <w:shd w:val="clear" w:color="auto" w:fill="auto"/>
          </w:tcPr>
          <w:p w14:paraId="175E3798"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Other intangible assets (net of associated deferred tax liabilities)</w:t>
            </w:r>
          </w:p>
        </w:tc>
        <w:tc>
          <w:tcPr>
            <w:tcW w:w="1276" w:type="dxa"/>
            <w:tcBorders>
              <w:top w:val="single" w:sz="4" w:space="0" w:color="auto"/>
              <w:left w:val="single" w:sz="6" w:space="0" w:color="auto"/>
              <w:bottom w:val="single" w:sz="4" w:space="0" w:color="auto"/>
              <w:right w:val="single" w:sz="6" w:space="0" w:color="auto"/>
            </w:tcBorders>
            <w:shd w:val="clear" w:color="auto" w:fill="auto"/>
          </w:tcPr>
          <w:p w14:paraId="14878FEC"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6" w:space="0" w:color="auto"/>
              <w:bottom w:val="single" w:sz="4" w:space="0" w:color="auto"/>
              <w:right w:val="single" w:sz="4" w:space="0" w:color="auto"/>
            </w:tcBorders>
            <w:shd w:val="clear" w:color="auto" w:fill="auto"/>
          </w:tcPr>
          <w:p w14:paraId="2FA91213" w14:textId="77777777" w:rsidR="00916BFE" w:rsidRPr="00916BFE" w:rsidRDefault="00916BFE" w:rsidP="00916BFE">
            <w:pPr>
              <w:snapToGrid w:val="0"/>
              <w:spacing w:before="40" w:after="40"/>
              <w:jc w:val="center"/>
              <w:rPr>
                <w:sz w:val="17"/>
                <w:lang w:eastAsia="it-IT"/>
              </w:rPr>
            </w:pPr>
            <w:r w:rsidRPr="00916BFE">
              <w:rPr>
                <w:sz w:val="17"/>
                <w:lang w:eastAsia="it-IT"/>
              </w:rPr>
              <w:t>[b] - [d]</w:t>
            </w:r>
          </w:p>
        </w:tc>
      </w:tr>
      <w:tr w:rsidR="00916BFE" w:rsidRPr="00916BFE" w14:paraId="3F1397FC"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6CD13F0B"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10</w:t>
            </w:r>
          </w:p>
        </w:tc>
        <w:tc>
          <w:tcPr>
            <w:tcW w:w="5951" w:type="dxa"/>
            <w:tcBorders>
              <w:top w:val="single" w:sz="4" w:space="0" w:color="auto"/>
              <w:left w:val="single" w:sz="4" w:space="0" w:color="auto"/>
              <w:bottom w:val="single" w:sz="6" w:space="0" w:color="auto"/>
              <w:right w:val="single" w:sz="6" w:space="0" w:color="auto"/>
            </w:tcBorders>
            <w:shd w:val="clear" w:color="auto" w:fill="auto"/>
          </w:tcPr>
          <w:p w14:paraId="326C762B"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Deferred tax assets (net of associated deferred tax liabilities)</w:t>
            </w:r>
          </w:p>
        </w:tc>
        <w:tc>
          <w:tcPr>
            <w:tcW w:w="1276" w:type="dxa"/>
            <w:tcBorders>
              <w:top w:val="single" w:sz="4" w:space="0" w:color="auto"/>
              <w:left w:val="single" w:sz="6" w:space="0" w:color="auto"/>
              <w:bottom w:val="single" w:sz="6" w:space="0" w:color="auto"/>
              <w:right w:val="single" w:sz="6" w:space="0" w:color="auto"/>
            </w:tcBorders>
            <w:shd w:val="clear" w:color="auto" w:fill="auto"/>
          </w:tcPr>
          <w:p w14:paraId="05FE1C20"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6" w:space="0" w:color="auto"/>
              <w:bottom w:val="single" w:sz="6" w:space="0" w:color="auto"/>
              <w:right w:val="single" w:sz="4" w:space="0" w:color="auto"/>
            </w:tcBorders>
            <w:shd w:val="clear" w:color="auto" w:fill="auto"/>
          </w:tcPr>
          <w:p w14:paraId="0089BC90" w14:textId="77777777" w:rsidR="00916BFE" w:rsidRPr="00916BFE" w:rsidRDefault="00916BFE" w:rsidP="00916BFE">
            <w:pPr>
              <w:snapToGrid w:val="0"/>
              <w:spacing w:before="40" w:after="40"/>
              <w:jc w:val="center"/>
              <w:rPr>
                <w:sz w:val="17"/>
                <w:lang w:eastAsia="it-IT"/>
              </w:rPr>
            </w:pPr>
          </w:p>
        </w:tc>
      </w:tr>
      <w:tr w:rsidR="00916BFE" w:rsidRPr="00916BFE" w14:paraId="0BD78495"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6DBA76D0"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lastRenderedPageBreak/>
              <w:t>11</w:t>
            </w:r>
          </w:p>
        </w:tc>
        <w:tc>
          <w:tcPr>
            <w:tcW w:w="5951" w:type="dxa"/>
            <w:tcBorders>
              <w:top w:val="single" w:sz="6" w:space="0" w:color="auto"/>
              <w:left w:val="single" w:sz="4" w:space="0" w:color="auto"/>
              <w:bottom w:val="single" w:sz="4" w:space="0" w:color="auto"/>
              <w:right w:val="single" w:sz="6" w:space="0" w:color="auto"/>
            </w:tcBorders>
            <w:shd w:val="clear" w:color="auto" w:fill="auto"/>
          </w:tcPr>
          <w:p w14:paraId="256CEDD2" w14:textId="77777777" w:rsidR="00916BFE" w:rsidRPr="00916BFE" w:rsidRDefault="00916BFE" w:rsidP="00916BFE">
            <w:pPr>
              <w:snapToGrid w:val="0"/>
              <w:spacing w:before="40" w:after="40"/>
              <w:ind w:left="57" w:rightChars="71" w:right="142"/>
              <w:rPr>
                <w:sz w:val="17"/>
                <w:lang w:val="en-US" w:eastAsia="it-IT"/>
              </w:rPr>
            </w:pPr>
            <w:r w:rsidRPr="00916BFE">
              <w:rPr>
                <w:sz w:val="17"/>
                <w:lang w:val="en-US" w:eastAsia="it-IT"/>
              </w:rPr>
              <w:t>Cash flow hedge reserve</w:t>
            </w:r>
          </w:p>
        </w:tc>
        <w:tc>
          <w:tcPr>
            <w:tcW w:w="1276" w:type="dxa"/>
            <w:tcBorders>
              <w:top w:val="single" w:sz="6" w:space="0" w:color="auto"/>
              <w:left w:val="single" w:sz="6" w:space="0" w:color="auto"/>
              <w:bottom w:val="single" w:sz="4" w:space="0" w:color="auto"/>
              <w:right w:val="single" w:sz="6" w:space="0" w:color="auto"/>
            </w:tcBorders>
            <w:shd w:val="clear" w:color="auto" w:fill="auto"/>
          </w:tcPr>
          <w:p w14:paraId="5EEC4643" w14:textId="77777777" w:rsidR="00916BFE" w:rsidRPr="00916BFE" w:rsidRDefault="00916BFE" w:rsidP="00916BFE">
            <w:pPr>
              <w:snapToGrid w:val="0"/>
              <w:spacing w:before="40" w:after="40"/>
              <w:jc w:val="center"/>
              <w:rPr>
                <w:sz w:val="17"/>
                <w:lang w:eastAsia="it-IT"/>
              </w:rPr>
            </w:pPr>
          </w:p>
        </w:tc>
        <w:tc>
          <w:tcPr>
            <w:tcW w:w="1417" w:type="dxa"/>
            <w:tcBorders>
              <w:top w:val="single" w:sz="6" w:space="0" w:color="auto"/>
              <w:left w:val="single" w:sz="6" w:space="0" w:color="auto"/>
              <w:bottom w:val="single" w:sz="4" w:space="0" w:color="auto"/>
              <w:right w:val="single" w:sz="4" w:space="0" w:color="auto"/>
            </w:tcBorders>
            <w:shd w:val="clear" w:color="auto" w:fill="auto"/>
          </w:tcPr>
          <w:p w14:paraId="2950624A" w14:textId="77777777" w:rsidR="00916BFE" w:rsidRPr="00916BFE" w:rsidRDefault="00916BFE" w:rsidP="00916BFE">
            <w:pPr>
              <w:snapToGrid w:val="0"/>
              <w:spacing w:before="40" w:after="40"/>
              <w:jc w:val="center"/>
              <w:rPr>
                <w:sz w:val="17"/>
                <w:lang w:eastAsia="it-IT"/>
              </w:rPr>
            </w:pPr>
          </w:p>
        </w:tc>
      </w:tr>
      <w:tr w:rsidR="00916BFE" w:rsidRPr="00916BFE" w14:paraId="2FC3CFF3" w14:textId="77777777" w:rsidTr="005057BD">
        <w:trPr>
          <w:cantSplit/>
          <w:trHeight w:val="340"/>
        </w:trPr>
        <w:tc>
          <w:tcPr>
            <w:tcW w:w="570" w:type="dxa"/>
            <w:tcBorders>
              <w:top w:val="single" w:sz="4" w:space="0" w:color="auto"/>
              <w:left w:val="nil"/>
              <w:bottom w:val="single" w:sz="4" w:space="0" w:color="auto"/>
              <w:right w:val="single" w:sz="6" w:space="0" w:color="auto"/>
            </w:tcBorders>
          </w:tcPr>
          <w:p w14:paraId="6605F77B"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12</w:t>
            </w:r>
          </w:p>
        </w:tc>
        <w:tc>
          <w:tcPr>
            <w:tcW w:w="5951" w:type="dxa"/>
            <w:tcBorders>
              <w:top w:val="single" w:sz="4" w:space="0" w:color="auto"/>
              <w:left w:val="single" w:sz="6" w:space="0" w:color="auto"/>
              <w:bottom w:val="single" w:sz="4" w:space="0" w:color="auto"/>
              <w:right w:val="single" w:sz="6" w:space="0" w:color="auto"/>
            </w:tcBorders>
          </w:tcPr>
          <w:p w14:paraId="0DF42219"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Excess of total EL amount over total eligible provisions under the IRB approach</w:t>
            </w:r>
          </w:p>
        </w:tc>
        <w:tc>
          <w:tcPr>
            <w:tcW w:w="1276" w:type="dxa"/>
            <w:tcBorders>
              <w:top w:val="single" w:sz="4" w:space="0" w:color="auto"/>
              <w:left w:val="single" w:sz="6" w:space="0" w:color="auto"/>
              <w:bottom w:val="single" w:sz="4" w:space="0" w:color="auto"/>
              <w:right w:val="single" w:sz="6" w:space="0" w:color="auto"/>
            </w:tcBorders>
          </w:tcPr>
          <w:p w14:paraId="69CCC896"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6" w:space="0" w:color="auto"/>
              <w:bottom w:val="single" w:sz="4" w:space="0" w:color="auto"/>
              <w:right w:val="single" w:sz="4" w:space="0" w:color="auto"/>
            </w:tcBorders>
          </w:tcPr>
          <w:p w14:paraId="70380279" w14:textId="77777777" w:rsidR="00916BFE" w:rsidRPr="00916BFE" w:rsidRDefault="00916BFE" w:rsidP="00916BFE">
            <w:pPr>
              <w:snapToGrid w:val="0"/>
              <w:spacing w:before="40" w:after="40"/>
              <w:jc w:val="center"/>
              <w:rPr>
                <w:sz w:val="17"/>
                <w:lang w:eastAsia="it-IT"/>
              </w:rPr>
            </w:pPr>
          </w:p>
        </w:tc>
      </w:tr>
      <w:tr w:rsidR="00916BFE" w:rsidRPr="00916BFE" w14:paraId="5F1E4936" w14:textId="77777777" w:rsidTr="005057BD">
        <w:trPr>
          <w:cantSplit/>
        </w:trPr>
        <w:tc>
          <w:tcPr>
            <w:tcW w:w="570" w:type="dxa"/>
            <w:tcBorders>
              <w:top w:val="single" w:sz="4" w:space="0" w:color="auto"/>
              <w:left w:val="nil"/>
              <w:bottom w:val="single" w:sz="4" w:space="0" w:color="auto"/>
              <w:right w:val="single" w:sz="4" w:space="0" w:color="auto"/>
            </w:tcBorders>
            <w:shd w:val="clear" w:color="auto" w:fill="auto"/>
          </w:tcPr>
          <w:p w14:paraId="060D57A6"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13</w:t>
            </w:r>
          </w:p>
        </w:tc>
        <w:tc>
          <w:tcPr>
            <w:tcW w:w="5951" w:type="dxa"/>
            <w:tcBorders>
              <w:top w:val="single" w:sz="4" w:space="0" w:color="auto"/>
              <w:left w:val="single" w:sz="4" w:space="0" w:color="auto"/>
              <w:bottom w:val="single" w:sz="4" w:space="0" w:color="auto"/>
              <w:right w:val="single" w:sz="4" w:space="0" w:color="auto"/>
            </w:tcBorders>
          </w:tcPr>
          <w:p w14:paraId="48E841E3"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Credit-enhancing interest-only strip, and any gain-on-sale and other increase in the CET1 capital arising from securitization transactions</w:t>
            </w:r>
          </w:p>
        </w:tc>
        <w:tc>
          <w:tcPr>
            <w:tcW w:w="1276" w:type="dxa"/>
            <w:tcBorders>
              <w:top w:val="single" w:sz="4" w:space="0" w:color="auto"/>
              <w:left w:val="single" w:sz="4" w:space="0" w:color="auto"/>
              <w:bottom w:val="single" w:sz="4" w:space="0" w:color="auto"/>
              <w:right w:val="single" w:sz="4" w:space="0" w:color="auto"/>
            </w:tcBorders>
          </w:tcPr>
          <w:p w14:paraId="11347F5A"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tcPr>
          <w:p w14:paraId="26066A07" w14:textId="77777777" w:rsidR="00916BFE" w:rsidRPr="00916BFE" w:rsidRDefault="00916BFE" w:rsidP="00916BFE">
            <w:pPr>
              <w:snapToGrid w:val="0"/>
              <w:spacing w:before="40" w:after="40"/>
              <w:jc w:val="center"/>
              <w:rPr>
                <w:sz w:val="17"/>
                <w:lang w:eastAsia="it-IT"/>
              </w:rPr>
            </w:pPr>
          </w:p>
        </w:tc>
      </w:tr>
      <w:tr w:rsidR="00916BFE" w:rsidRPr="00916BFE" w14:paraId="6F99D6A6"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27EB7F13"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14</w:t>
            </w:r>
          </w:p>
        </w:tc>
        <w:tc>
          <w:tcPr>
            <w:tcW w:w="5951" w:type="dxa"/>
            <w:tcBorders>
              <w:top w:val="single" w:sz="4" w:space="0" w:color="auto"/>
              <w:left w:val="single" w:sz="4" w:space="0" w:color="auto"/>
              <w:bottom w:val="single" w:sz="4" w:space="0" w:color="auto"/>
              <w:right w:val="single" w:sz="4" w:space="0" w:color="auto"/>
            </w:tcBorders>
            <w:shd w:val="clear" w:color="auto" w:fill="FFFFFF"/>
          </w:tcPr>
          <w:p w14:paraId="1076C94E"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Gains and losses due to changes in own credit risk on fair valued liabilities</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815812A"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2C08FB34" w14:textId="77777777" w:rsidR="00916BFE" w:rsidRPr="00916BFE" w:rsidRDefault="00916BFE" w:rsidP="00916BFE">
            <w:pPr>
              <w:snapToGrid w:val="0"/>
              <w:spacing w:before="40" w:after="40"/>
              <w:jc w:val="center"/>
              <w:rPr>
                <w:sz w:val="17"/>
                <w:lang w:eastAsia="it-IT"/>
              </w:rPr>
            </w:pPr>
          </w:p>
        </w:tc>
      </w:tr>
      <w:tr w:rsidR="00916BFE" w:rsidRPr="00916BFE" w14:paraId="03861885"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7BCC998F"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15</w:t>
            </w:r>
          </w:p>
        </w:tc>
        <w:tc>
          <w:tcPr>
            <w:tcW w:w="5951" w:type="dxa"/>
            <w:tcBorders>
              <w:top w:val="single" w:sz="4" w:space="0" w:color="auto"/>
              <w:left w:val="single" w:sz="4" w:space="0" w:color="auto"/>
              <w:bottom w:val="single" w:sz="4" w:space="0" w:color="auto"/>
              <w:right w:val="single" w:sz="4" w:space="0" w:color="auto"/>
            </w:tcBorders>
            <w:shd w:val="clear" w:color="auto" w:fill="FFFFFF"/>
          </w:tcPr>
          <w:p w14:paraId="732BFB82"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Defined benefit pension fund net assets (net of associated deferred tax liabilities)</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95C8E1A"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6EC48097" w14:textId="77777777" w:rsidR="00916BFE" w:rsidRPr="00916BFE" w:rsidRDefault="00916BFE" w:rsidP="00916BFE">
            <w:pPr>
              <w:snapToGrid w:val="0"/>
              <w:spacing w:before="40" w:after="40"/>
              <w:jc w:val="center"/>
              <w:rPr>
                <w:sz w:val="17"/>
                <w:lang w:eastAsia="it-IT"/>
              </w:rPr>
            </w:pPr>
          </w:p>
        </w:tc>
      </w:tr>
      <w:tr w:rsidR="00916BFE" w:rsidRPr="00916BFE" w14:paraId="311B7FCC"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4A675CF0"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16</w:t>
            </w:r>
          </w:p>
        </w:tc>
        <w:tc>
          <w:tcPr>
            <w:tcW w:w="5951" w:type="dxa"/>
            <w:tcBorders>
              <w:top w:val="single" w:sz="4" w:space="0" w:color="auto"/>
              <w:left w:val="single" w:sz="4" w:space="0" w:color="auto"/>
              <w:bottom w:val="single" w:sz="4" w:space="0" w:color="auto"/>
              <w:right w:val="single" w:sz="4" w:space="0" w:color="auto"/>
            </w:tcBorders>
            <w:shd w:val="clear" w:color="auto" w:fill="FFFFFF"/>
          </w:tcPr>
          <w:p w14:paraId="7A654CFC"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Investments in own CET1 capital instruments (if not already netted off paid-in capital on reported balance sheet)</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B474BAC"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192EBD29" w14:textId="77777777" w:rsidR="00916BFE" w:rsidRPr="00916BFE" w:rsidRDefault="00916BFE" w:rsidP="00916BFE">
            <w:pPr>
              <w:snapToGrid w:val="0"/>
              <w:spacing w:before="40" w:after="40"/>
              <w:jc w:val="center"/>
              <w:rPr>
                <w:sz w:val="17"/>
                <w:lang w:eastAsia="it-IT"/>
              </w:rPr>
            </w:pPr>
          </w:p>
        </w:tc>
      </w:tr>
      <w:tr w:rsidR="00916BFE" w:rsidRPr="00916BFE" w14:paraId="240300EC"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07028DE7"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17</w:t>
            </w:r>
          </w:p>
        </w:tc>
        <w:tc>
          <w:tcPr>
            <w:tcW w:w="5951" w:type="dxa"/>
            <w:tcBorders>
              <w:top w:val="single" w:sz="4" w:space="0" w:color="auto"/>
              <w:left w:val="single" w:sz="4" w:space="0" w:color="auto"/>
              <w:bottom w:val="single" w:sz="4" w:space="0" w:color="auto"/>
              <w:right w:val="single" w:sz="4" w:space="0" w:color="auto"/>
            </w:tcBorders>
            <w:shd w:val="clear" w:color="auto" w:fill="FFFFFF"/>
          </w:tcPr>
          <w:p w14:paraId="080A93C3"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Reciprocal cross-holdings in CET1 capital instruments</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8D36633"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01047B83" w14:textId="77777777" w:rsidR="00916BFE" w:rsidRPr="00916BFE" w:rsidRDefault="00916BFE" w:rsidP="00916BFE">
            <w:pPr>
              <w:snapToGrid w:val="0"/>
              <w:spacing w:before="40" w:after="40"/>
              <w:jc w:val="center"/>
              <w:rPr>
                <w:sz w:val="17"/>
                <w:lang w:eastAsia="it-IT"/>
              </w:rPr>
            </w:pPr>
          </w:p>
        </w:tc>
      </w:tr>
      <w:tr w:rsidR="00916BFE" w:rsidRPr="00916BFE" w14:paraId="592C51CC"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22471748"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18</w:t>
            </w:r>
          </w:p>
        </w:tc>
        <w:tc>
          <w:tcPr>
            <w:tcW w:w="5951" w:type="dxa"/>
            <w:tcBorders>
              <w:top w:val="single" w:sz="4" w:space="0" w:color="auto"/>
              <w:left w:val="single" w:sz="4" w:space="0" w:color="auto"/>
              <w:bottom w:val="single" w:sz="4" w:space="0" w:color="auto"/>
              <w:right w:val="single" w:sz="4" w:space="0" w:color="auto"/>
            </w:tcBorders>
            <w:shd w:val="clear" w:color="auto" w:fill="FFFFFF"/>
          </w:tcPr>
          <w:p w14:paraId="1C54F751"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Insignificant LAC investments in CET1 capital instruments issued by financial sector entities that are outside the scope of regulatory consolidation (amount above 10% threshold)</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2A0AB92"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68E2A04B" w14:textId="77777777" w:rsidR="00916BFE" w:rsidRPr="00916BFE" w:rsidRDefault="00916BFE" w:rsidP="00916BFE">
            <w:pPr>
              <w:snapToGrid w:val="0"/>
              <w:spacing w:before="40" w:after="40"/>
              <w:jc w:val="center"/>
              <w:rPr>
                <w:sz w:val="17"/>
                <w:lang w:eastAsia="it-IT"/>
              </w:rPr>
            </w:pPr>
          </w:p>
        </w:tc>
      </w:tr>
      <w:tr w:rsidR="00916BFE" w:rsidRPr="00916BFE" w14:paraId="2CAD231E"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144AF187"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19</w:t>
            </w:r>
          </w:p>
        </w:tc>
        <w:tc>
          <w:tcPr>
            <w:tcW w:w="5951" w:type="dxa"/>
            <w:tcBorders>
              <w:top w:val="single" w:sz="4" w:space="0" w:color="auto"/>
              <w:left w:val="single" w:sz="4" w:space="0" w:color="auto"/>
              <w:bottom w:val="single" w:sz="4" w:space="0" w:color="auto"/>
              <w:right w:val="single" w:sz="4" w:space="0" w:color="auto"/>
            </w:tcBorders>
            <w:shd w:val="clear" w:color="auto" w:fill="FFFFFF"/>
          </w:tcPr>
          <w:p w14:paraId="1A208988"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Significant LAC investments in CET1 capital instruments issued by financial sector entities that are outside the scope of regulatory consolidation (amount above 10% threshold)</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D48F6CD"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233112DB" w14:textId="77777777" w:rsidR="00916BFE" w:rsidRPr="00916BFE" w:rsidRDefault="00916BFE" w:rsidP="00916BFE">
            <w:pPr>
              <w:snapToGrid w:val="0"/>
              <w:spacing w:before="40" w:after="40"/>
              <w:jc w:val="center"/>
              <w:rPr>
                <w:sz w:val="17"/>
                <w:lang w:eastAsia="it-IT"/>
              </w:rPr>
            </w:pPr>
          </w:p>
        </w:tc>
      </w:tr>
      <w:tr w:rsidR="00916BFE" w:rsidRPr="00916BFE" w14:paraId="1CC98744"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0928FB49"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20</w:t>
            </w:r>
          </w:p>
        </w:tc>
        <w:tc>
          <w:tcPr>
            <w:tcW w:w="5951" w:type="dxa"/>
            <w:tcBorders>
              <w:top w:val="single" w:sz="4" w:space="0" w:color="auto"/>
              <w:left w:val="single" w:sz="4" w:space="0" w:color="auto"/>
              <w:bottom w:val="single" w:sz="4" w:space="0" w:color="auto"/>
              <w:right w:val="single" w:sz="4" w:space="0" w:color="auto"/>
            </w:tcBorders>
            <w:shd w:val="clear" w:color="auto" w:fill="FFFF00"/>
          </w:tcPr>
          <w:p w14:paraId="043CDAA4" w14:textId="77777777" w:rsidR="00916BFE" w:rsidRPr="00916BFE" w:rsidDel="001C71B9" w:rsidRDefault="00916BFE" w:rsidP="00916BFE">
            <w:pPr>
              <w:snapToGrid w:val="0"/>
              <w:spacing w:before="40" w:after="40"/>
              <w:ind w:left="57" w:rightChars="71" w:right="142"/>
              <w:rPr>
                <w:sz w:val="17"/>
                <w:lang w:eastAsia="it-IT"/>
              </w:rPr>
            </w:pPr>
            <w:r w:rsidRPr="00916BFE">
              <w:rPr>
                <w:sz w:val="17"/>
                <w:lang w:eastAsia="it-IT"/>
              </w:rPr>
              <w:t>Mortgage servicing rights (net of associated deferred tax liabilities)</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D9C851E"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68ABAAEF"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r>
      <w:tr w:rsidR="00916BFE" w:rsidRPr="00916BFE" w14:paraId="5B000E0B"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7A56F984"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21</w:t>
            </w:r>
          </w:p>
        </w:tc>
        <w:tc>
          <w:tcPr>
            <w:tcW w:w="5951" w:type="dxa"/>
            <w:tcBorders>
              <w:top w:val="single" w:sz="4" w:space="0" w:color="auto"/>
              <w:left w:val="single" w:sz="4" w:space="0" w:color="auto"/>
              <w:bottom w:val="single" w:sz="4" w:space="0" w:color="auto"/>
              <w:right w:val="single" w:sz="4" w:space="0" w:color="auto"/>
            </w:tcBorders>
            <w:shd w:val="clear" w:color="auto" w:fill="FFFF00"/>
          </w:tcPr>
          <w:p w14:paraId="75AF3788" w14:textId="77777777" w:rsidR="00916BFE" w:rsidRPr="00916BFE" w:rsidRDefault="00916BFE" w:rsidP="00916BFE">
            <w:pPr>
              <w:snapToGrid w:val="0"/>
              <w:spacing w:before="40" w:after="40"/>
              <w:ind w:left="57" w:rightChars="71" w:right="142"/>
              <w:rPr>
                <w:sz w:val="17"/>
                <w:lang w:val="en-US" w:eastAsia="it-IT"/>
              </w:rPr>
            </w:pPr>
            <w:r w:rsidRPr="00916BFE">
              <w:rPr>
                <w:sz w:val="17"/>
                <w:lang w:val="en-US" w:eastAsia="it-IT"/>
              </w:rPr>
              <w:t>Deferred tax assets arising from temporary differences</w:t>
            </w:r>
            <w:r w:rsidRPr="00916BFE">
              <w:rPr>
                <w:sz w:val="17"/>
                <w:lang w:eastAsia="it-IT"/>
              </w:rPr>
              <w:t xml:space="preserve"> (net of associated deferred tax liabilities)</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5DF262E7"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36C9138E"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r>
      <w:tr w:rsidR="00916BFE" w:rsidRPr="00916BFE" w14:paraId="3F9F67E6"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2C27A592"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22</w:t>
            </w:r>
          </w:p>
        </w:tc>
        <w:tc>
          <w:tcPr>
            <w:tcW w:w="5951" w:type="dxa"/>
            <w:tcBorders>
              <w:top w:val="single" w:sz="4" w:space="0" w:color="auto"/>
              <w:left w:val="single" w:sz="4" w:space="0" w:color="auto"/>
              <w:bottom w:val="single" w:sz="4" w:space="0" w:color="auto"/>
              <w:right w:val="single" w:sz="4" w:space="0" w:color="auto"/>
            </w:tcBorders>
            <w:shd w:val="clear" w:color="auto" w:fill="FFFF00"/>
          </w:tcPr>
          <w:p w14:paraId="0807A942" w14:textId="77777777" w:rsidR="00916BFE" w:rsidRPr="00916BFE" w:rsidRDefault="00916BFE" w:rsidP="00916BFE">
            <w:pPr>
              <w:snapToGrid w:val="0"/>
              <w:spacing w:before="40" w:after="40"/>
              <w:ind w:left="57" w:rightChars="71" w:right="142"/>
              <w:rPr>
                <w:sz w:val="17"/>
                <w:lang w:val="en-US" w:eastAsia="it-IT"/>
              </w:rPr>
            </w:pPr>
            <w:r w:rsidRPr="00916BFE">
              <w:rPr>
                <w:sz w:val="17"/>
                <w:lang w:val="en-US" w:eastAsia="it-IT"/>
              </w:rPr>
              <w:t>Amount exceeding the 15% threshold</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8F50CF0"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5BFE235C"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r>
      <w:tr w:rsidR="00916BFE" w:rsidRPr="00916BFE" w14:paraId="1F6F09D3"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6161B679"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23</w:t>
            </w:r>
          </w:p>
        </w:tc>
        <w:tc>
          <w:tcPr>
            <w:tcW w:w="5951" w:type="dxa"/>
            <w:tcBorders>
              <w:top w:val="single" w:sz="4" w:space="0" w:color="auto"/>
              <w:left w:val="single" w:sz="4" w:space="0" w:color="auto"/>
              <w:bottom w:val="single" w:sz="4" w:space="0" w:color="auto"/>
              <w:right w:val="single" w:sz="4" w:space="0" w:color="auto"/>
            </w:tcBorders>
            <w:shd w:val="clear" w:color="auto" w:fill="FFFF00"/>
          </w:tcPr>
          <w:p w14:paraId="7CA22A94" w14:textId="77777777" w:rsidR="00916BFE" w:rsidRPr="00916BFE" w:rsidRDefault="00916BFE" w:rsidP="00916BFE">
            <w:pPr>
              <w:snapToGrid w:val="0"/>
              <w:spacing w:before="40" w:after="40"/>
              <w:ind w:left="423" w:rightChars="71" w:right="142"/>
              <w:rPr>
                <w:sz w:val="17"/>
                <w:lang w:eastAsia="it-IT"/>
              </w:rPr>
            </w:pPr>
            <w:r w:rsidRPr="00916BFE">
              <w:rPr>
                <w:sz w:val="17"/>
                <w:lang w:eastAsia="it-IT"/>
              </w:rPr>
              <w:t>of which: significant investments in the ordinary share of financial sector entities</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74485BCF"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16F711B5"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r>
      <w:tr w:rsidR="00916BFE" w:rsidRPr="00916BFE" w14:paraId="54FB4BD1"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01D8988E"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24</w:t>
            </w:r>
          </w:p>
        </w:tc>
        <w:tc>
          <w:tcPr>
            <w:tcW w:w="5951" w:type="dxa"/>
            <w:tcBorders>
              <w:top w:val="single" w:sz="4" w:space="0" w:color="auto"/>
              <w:left w:val="single" w:sz="4" w:space="0" w:color="auto"/>
              <w:bottom w:val="single" w:sz="4" w:space="0" w:color="auto"/>
              <w:right w:val="single" w:sz="4" w:space="0" w:color="auto"/>
            </w:tcBorders>
            <w:shd w:val="clear" w:color="auto" w:fill="FFFF00"/>
          </w:tcPr>
          <w:p w14:paraId="6D613C33" w14:textId="77777777" w:rsidR="00916BFE" w:rsidRPr="00916BFE" w:rsidRDefault="00916BFE" w:rsidP="00916BFE">
            <w:pPr>
              <w:snapToGrid w:val="0"/>
              <w:spacing w:before="40" w:after="40"/>
              <w:ind w:left="423" w:rightChars="71" w:right="142"/>
              <w:rPr>
                <w:sz w:val="17"/>
                <w:lang w:eastAsia="it-IT"/>
              </w:rPr>
            </w:pPr>
            <w:r w:rsidRPr="00916BFE">
              <w:rPr>
                <w:sz w:val="17"/>
                <w:lang w:eastAsia="it-IT"/>
              </w:rPr>
              <w:t>of which: mortgage servicing rights</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464F6EB5"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7057022C"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r>
      <w:tr w:rsidR="00916BFE" w:rsidRPr="00916BFE" w14:paraId="2A4FC322"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47987840"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25</w:t>
            </w:r>
          </w:p>
        </w:tc>
        <w:tc>
          <w:tcPr>
            <w:tcW w:w="5951" w:type="dxa"/>
            <w:tcBorders>
              <w:top w:val="single" w:sz="4" w:space="0" w:color="auto"/>
              <w:left w:val="single" w:sz="4" w:space="0" w:color="auto"/>
              <w:bottom w:val="single" w:sz="4" w:space="0" w:color="auto"/>
              <w:right w:val="single" w:sz="4" w:space="0" w:color="auto"/>
            </w:tcBorders>
            <w:shd w:val="clear" w:color="auto" w:fill="FFFF00"/>
          </w:tcPr>
          <w:p w14:paraId="3F4A1B99" w14:textId="77777777" w:rsidR="00916BFE" w:rsidRPr="00916BFE" w:rsidRDefault="00916BFE" w:rsidP="00916BFE">
            <w:pPr>
              <w:snapToGrid w:val="0"/>
              <w:spacing w:before="40" w:after="40"/>
              <w:ind w:left="423" w:rightChars="71" w:right="142"/>
              <w:rPr>
                <w:sz w:val="17"/>
                <w:lang w:eastAsia="it-IT"/>
              </w:rPr>
            </w:pPr>
            <w:r w:rsidRPr="00916BFE">
              <w:rPr>
                <w:sz w:val="17"/>
                <w:lang w:eastAsia="it-IT"/>
              </w:rPr>
              <w:t>of which: deferred tax assets arising from temporary differences</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9118916"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50C4D5ED"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r>
      <w:tr w:rsidR="00916BFE" w:rsidRPr="00916BFE" w14:paraId="26E69BF4"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50FDC79E"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26</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32DFD131"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National specific regulatory adjustments applied to CET1 capital</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F6901A4"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0A70DD4D" w14:textId="77777777" w:rsidR="00916BFE" w:rsidRPr="00916BFE" w:rsidRDefault="00916BFE" w:rsidP="00916BFE">
            <w:pPr>
              <w:snapToGrid w:val="0"/>
              <w:spacing w:before="40" w:after="40"/>
              <w:jc w:val="center"/>
              <w:rPr>
                <w:sz w:val="17"/>
                <w:lang w:eastAsia="it-IT"/>
              </w:rPr>
            </w:pPr>
          </w:p>
        </w:tc>
      </w:tr>
      <w:tr w:rsidR="00916BFE" w:rsidRPr="00916BFE" w14:paraId="6B51E39E"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77F9B654"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26a</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41D4BACA"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Cumulative fair value gains arising from the revaluation of land and buildings (own-use and investment properties)</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90E9E0B"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60D1CA7C" w14:textId="77777777" w:rsidR="00916BFE" w:rsidRPr="00916BFE" w:rsidRDefault="00916BFE" w:rsidP="00916BFE">
            <w:pPr>
              <w:snapToGrid w:val="0"/>
              <w:spacing w:before="40" w:after="40"/>
              <w:jc w:val="center"/>
              <w:rPr>
                <w:sz w:val="17"/>
                <w:lang w:eastAsia="it-IT"/>
              </w:rPr>
            </w:pPr>
          </w:p>
        </w:tc>
      </w:tr>
      <w:tr w:rsidR="00916BFE" w:rsidRPr="00916BFE" w14:paraId="1EAE2183"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3F9605CE"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26b</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79698EC4"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Regulatory reserve for general banking risks</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196FAB9"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781D7F6B" w14:textId="77777777" w:rsidR="00916BFE" w:rsidRPr="00916BFE" w:rsidRDefault="00916BFE" w:rsidP="00916BFE">
            <w:pPr>
              <w:snapToGrid w:val="0"/>
              <w:spacing w:before="40" w:after="40"/>
              <w:jc w:val="center"/>
              <w:rPr>
                <w:sz w:val="17"/>
                <w:lang w:eastAsia="it-IT"/>
              </w:rPr>
            </w:pPr>
          </w:p>
        </w:tc>
      </w:tr>
      <w:tr w:rsidR="00916BFE" w:rsidRPr="00916BFE" w14:paraId="21D18B87"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194858F6"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26c</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07899BF4"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Securitization exposures specified in a notice given by the MA</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530972A"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7423F095" w14:textId="77777777" w:rsidR="00916BFE" w:rsidRPr="00916BFE" w:rsidRDefault="00916BFE" w:rsidP="00916BFE">
            <w:pPr>
              <w:snapToGrid w:val="0"/>
              <w:spacing w:before="40" w:after="40"/>
              <w:jc w:val="center"/>
              <w:rPr>
                <w:sz w:val="17"/>
                <w:lang w:eastAsia="it-IT"/>
              </w:rPr>
            </w:pPr>
          </w:p>
        </w:tc>
      </w:tr>
      <w:tr w:rsidR="00916BFE" w:rsidRPr="00916BFE" w14:paraId="19CEA5DE"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7EE27635"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26d</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50DDC9FC"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Cumulative losses below depreciated cost arising from the institution's holdings of land and buildings</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79AB6C4"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35625E76" w14:textId="77777777" w:rsidR="00916BFE" w:rsidRPr="00916BFE" w:rsidRDefault="00916BFE" w:rsidP="00916BFE">
            <w:pPr>
              <w:snapToGrid w:val="0"/>
              <w:spacing w:before="40" w:after="40"/>
              <w:jc w:val="center"/>
              <w:rPr>
                <w:sz w:val="17"/>
                <w:lang w:eastAsia="it-IT"/>
              </w:rPr>
            </w:pPr>
          </w:p>
        </w:tc>
      </w:tr>
      <w:tr w:rsidR="00916BFE" w:rsidRPr="00916BFE" w14:paraId="5EE3C79C"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27BDF6B0"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26e</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3DAD8AE4"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Capital shortfall of regulated non-bank subsidiaries</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5B61535"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75587DEC" w14:textId="77777777" w:rsidR="00916BFE" w:rsidRPr="00916BFE" w:rsidRDefault="00916BFE" w:rsidP="00916BFE">
            <w:pPr>
              <w:snapToGrid w:val="0"/>
              <w:spacing w:before="40" w:after="40"/>
              <w:jc w:val="center"/>
              <w:rPr>
                <w:sz w:val="17"/>
                <w:lang w:eastAsia="it-IT"/>
              </w:rPr>
            </w:pPr>
          </w:p>
        </w:tc>
      </w:tr>
      <w:tr w:rsidR="00916BFE" w:rsidRPr="00916BFE" w14:paraId="2F0E9B4C"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636D95B2"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26f</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7E14A853"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Capital investment in a connected company which is a commercial entity (amount above 15% of the reporting institution's capital base)</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98A701C"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4EFBDB08" w14:textId="77777777" w:rsidR="00916BFE" w:rsidRPr="00916BFE" w:rsidRDefault="00916BFE" w:rsidP="00916BFE">
            <w:pPr>
              <w:snapToGrid w:val="0"/>
              <w:spacing w:before="40" w:after="40"/>
              <w:jc w:val="center"/>
              <w:rPr>
                <w:sz w:val="17"/>
                <w:lang w:eastAsia="it-IT"/>
              </w:rPr>
            </w:pPr>
          </w:p>
        </w:tc>
      </w:tr>
      <w:tr w:rsidR="00916BFE" w:rsidRPr="00916BFE" w14:paraId="50AED764"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5E6880D5"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27</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6A235D7E"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Regulatory deductions applied to CET1 capital due to insufficient AT1 capital and Tier 2 capital to cover deductions</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9C69D1D"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0386426C" w14:textId="77777777" w:rsidR="00916BFE" w:rsidRPr="00916BFE" w:rsidRDefault="00916BFE" w:rsidP="00916BFE">
            <w:pPr>
              <w:snapToGrid w:val="0"/>
              <w:spacing w:before="40" w:after="40"/>
              <w:jc w:val="center"/>
              <w:rPr>
                <w:sz w:val="17"/>
                <w:lang w:eastAsia="it-IT"/>
              </w:rPr>
            </w:pPr>
          </w:p>
        </w:tc>
      </w:tr>
      <w:tr w:rsidR="00916BFE" w:rsidRPr="00916BFE" w14:paraId="1EAE4303"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5E89ECF8"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28</w:t>
            </w:r>
          </w:p>
        </w:tc>
        <w:tc>
          <w:tcPr>
            <w:tcW w:w="5951" w:type="dxa"/>
            <w:tcBorders>
              <w:top w:val="single" w:sz="4" w:space="0" w:color="auto"/>
              <w:left w:val="single" w:sz="4" w:space="0" w:color="auto"/>
              <w:bottom w:val="single" w:sz="18" w:space="0" w:color="auto"/>
              <w:right w:val="single" w:sz="4" w:space="0" w:color="auto"/>
            </w:tcBorders>
            <w:shd w:val="clear" w:color="auto" w:fill="D9D9D9"/>
          </w:tcPr>
          <w:p w14:paraId="6C54D788" w14:textId="77777777" w:rsidR="00916BFE" w:rsidRPr="00916BFE" w:rsidRDefault="00916BFE" w:rsidP="00916BFE">
            <w:pPr>
              <w:snapToGrid w:val="0"/>
              <w:spacing w:before="40" w:after="40"/>
              <w:ind w:left="57" w:rightChars="71" w:right="142"/>
              <w:rPr>
                <w:b/>
                <w:sz w:val="17"/>
                <w:lang w:eastAsia="it-IT"/>
              </w:rPr>
            </w:pPr>
            <w:r w:rsidRPr="00916BFE">
              <w:rPr>
                <w:b/>
                <w:sz w:val="17"/>
                <w:lang w:eastAsia="it-IT"/>
              </w:rPr>
              <w:t>Total regulatory deductions to CET1 capital</w:t>
            </w:r>
          </w:p>
        </w:tc>
        <w:tc>
          <w:tcPr>
            <w:tcW w:w="1276" w:type="dxa"/>
            <w:tcBorders>
              <w:top w:val="single" w:sz="4" w:space="0" w:color="auto"/>
              <w:left w:val="single" w:sz="4" w:space="0" w:color="auto"/>
              <w:bottom w:val="single" w:sz="18" w:space="0" w:color="auto"/>
              <w:right w:val="single" w:sz="4" w:space="0" w:color="auto"/>
            </w:tcBorders>
            <w:shd w:val="clear" w:color="auto" w:fill="FFFFFF"/>
          </w:tcPr>
          <w:p w14:paraId="0DDD7CC3"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0507FE2A" w14:textId="77777777" w:rsidR="00916BFE" w:rsidRPr="00916BFE" w:rsidRDefault="00916BFE" w:rsidP="00916BFE">
            <w:pPr>
              <w:snapToGrid w:val="0"/>
              <w:spacing w:before="40" w:after="40"/>
              <w:jc w:val="center"/>
              <w:rPr>
                <w:sz w:val="17"/>
                <w:lang w:eastAsia="it-IT"/>
              </w:rPr>
            </w:pPr>
          </w:p>
        </w:tc>
      </w:tr>
      <w:tr w:rsidR="00916BFE" w:rsidRPr="00916BFE" w14:paraId="31C3A434" w14:textId="77777777" w:rsidTr="005057BD">
        <w:trPr>
          <w:cantSplit/>
          <w:trHeight w:val="270"/>
        </w:trPr>
        <w:tc>
          <w:tcPr>
            <w:tcW w:w="570" w:type="dxa"/>
            <w:tcBorders>
              <w:top w:val="single" w:sz="4" w:space="0" w:color="auto"/>
              <w:left w:val="nil"/>
              <w:bottom w:val="single" w:sz="4" w:space="0" w:color="auto"/>
              <w:right w:val="single" w:sz="18" w:space="0" w:color="auto"/>
            </w:tcBorders>
            <w:shd w:val="clear" w:color="auto" w:fill="auto"/>
          </w:tcPr>
          <w:p w14:paraId="1E4D94F2"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29</w:t>
            </w:r>
          </w:p>
        </w:tc>
        <w:tc>
          <w:tcPr>
            <w:tcW w:w="5951" w:type="dxa"/>
            <w:tcBorders>
              <w:top w:val="single" w:sz="18" w:space="0" w:color="auto"/>
              <w:left w:val="single" w:sz="18" w:space="0" w:color="auto"/>
              <w:bottom w:val="single" w:sz="18" w:space="0" w:color="auto"/>
              <w:right w:val="single" w:sz="18" w:space="0" w:color="auto"/>
            </w:tcBorders>
            <w:shd w:val="clear" w:color="auto" w:fill="D9D9D9"/>
          </w:tcPr>
          <w:p w14:paraId="2157CD00" w14:textId="77777777" w:rsidR="00916BFE" w:rsidRPr="00916BFE" w:rsidRDefault="00916BFE" w:rsidP="00916BFE">
            <w:pPr>
              <w:snapToGrid w:val="0"/>
              <w:spacing w:before="40" w:after="40"/>
              <w:ind w:left="57" w:rightChars="71" w:right="142"/>
              <w:rPr>
                <w:b/>
                <w:sz w:val="17"/>
                <w:lang w:eastAsia="it-IT"/>
              </w:rPr>
            </w:pPr>
            <w:r w:rsidRPr="00916BFE">
              <w:rPr>
                <w:b/>
                <w:sz w:val="17"/>
                <w:lang w:eastAsia="it-IT"/>
              </w:rPr>
              <w:t>CET1 capital</w:t>
            </w:r>
          </w:p>
        </w:tc>
        <w:tc>
          <w:tcPr>
            <w:tcW w:w="1276" w:type="dxa"/>
            <w:tcBorders>
              <w:top w:val="single" w:sz="18" w:space="0" w:color="auto"/>
              <w:left w:val="single" w:sz="18" w:space="0" w:color="auto"/>
              <w:bottom w:val="single" w:sz="18" w:space="0" w:color="auto"/>
              <w:right w:val="single" w:sz="18" w:space="0" w:color="auto"/>
            </w:tcBorders>
            <w:shd w:val="clear" w:color="auto" w:fill="FFFFFF"/>
          </w:tcPr>
          <w:p w14:paraId="40603E9C"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18" w:space="0" w:color="auto"/>
              <w:bottom w:val="single" w:sz="4" w:space="0" w:color="auto"/>
              <w:right w:val="single" w:sz="4" w:space="0" w:color="auto"/>
            </w:tcBorders>
            <w:shd w:val="clear" w:color="auto" w:fill="FFFFFF"/>
          </w:tcPr>
          <w:p w14:paraId="474EB6B2" w14:textId="77777777" w:rsidR="00916BFE" w:rsidRPr="00916BFE" w:rsidRDefault="00916BFE" w:rsidP="00916BFE">
            <w:pPr>
              <w:snapToGrid w:val="0"/>
              <w:spacing w:before="40" w:after="40"/>
              <w:jc w:val="center"/>
              <w:rPr>
                <w:sz w:val="17"/>
                <w:lang w:eastAsia="it-IT"/>
              </w:rPr>
            </w:pPr>
          </w:p>
        </w:tc>
      </w:tr>
      <w:tr w:rsidR="00916BFE" w:rsidRPr="00916BFE" w14:paraId="0B5EF0CF"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6A6A6"/>
          </w:tcPr>
          <w:p w14:paraId="397F3B0E" w14:textId="77777777" w:rsidR="00916BFE" w:rsidRPr="00916BFE" w:rsidRDefault="00916BFE" w:rsidP="00916BFE">
            <w:pPr>
              <w:snapToGrid w:val="0"/>
              <w:spacing w:before="40" w:after="40"/>
              <w:ind w:left="57"/>
              <w:rPr>
                <w:sz w:val="17"/>
                <w:szCs w:val="17"/>
                <w:lang w:eastAsia="en-GB"/>
              </w:rPr>
            </w:pPr>
          </w:p>
        </w:tc>
        <w:tc>
          <w:tcPr>
            <w:tcW w:w="5951" w:type="dxa"/>
            <w:tcBorders>
              <w:top w:val="single" w:sz="18" w:space="0" w:color="auto"/>
              <w:left w:val="single" w:sz="4" w:space="0" w:color="auto"/>
              <w:bottom w:val="single" w:sz="4" w:space="0" w:color="auto"/>
              <w:right w:val="single" w:sz="4" w:space="0" w:color="auto"/>
            </w:tcBorders>
            <w:shd w:val="clear" w:color="auto" w:fill="A6A6A6"/>
          </w:tcPr>
          <w:p w14:paraId="61094B98" w14:textId="77777777" w:rsidR="00916BFE" w:rsidRPr="00916BFE" w:rsidRDefault="00916BFE" w:rsidP="00916BFE">
            <w:pPr>
              <w:snapToGrid w:val="0"/>
              <w:spacing w:before="40" w:after="40"/>
              <w:ind w:left="57" w:rightChars="71" w:right="142"/>
              <w:rPr>
                <w:b/>
                <w:sz w:val="17"/>
                <w:lang w:eastAsia="it-IT"/>
              </w:rPr>
            </w:pPr>
            <w:r w:rsidRPr="00916BFE">
              <w:rPr>
                <w:b/>
                <w:sz w:val="17"/>
                <w:lang w:eastAsia="it-IT"/>
              </w:rPr>
              <w:t>AT1 capital: instruments</w:t>
            </w:r>
          </w:p>
        </w:tc>
        <w:tc>
          <w:tcPr>
            <w:tcW w:w="1276" w:type="dxa"/>
            <w:tcBorders>
              <w:top w:val="single" w:sz="18" w:space="0" w:color="auto"/>
              <w:left w:val="single" w:sz="4" w:space="0" w:color="auto"/>
              <w:bottom w:val="single" w:sz="4" w:space="0" w:color="auto"/>
              <w:right w:val="single" w:sz="4" w:space="0" w:color="auto"/>
            </w:tcBorders>
            <w:shd w:val="clear" w:color="auto" w:fill="A6A6A6"/>
          </w:tcPr>
          <w:p w14:paraId="3CA5F94F"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6A6A6"/>
          </w:tcPr>
          <w:p w14:paraId="465A258A" w14:textId="77777777" w:rsidR="00916BFE" w:rsidRPr="00916BFE" w:rsidRDefault="00916BFE" w:rsidP="00916BFE">
            <w:pPr>
              <w:snapToGrid w:val="0"/>
              <w:spacing w:before="40" w:after="40"/>
              <w:jc w:val="center"/>
              <w:rPr>
                <w:sz w:val="17"/>
                <w:lang w:eastAsia="it-IT"/>
              </w:rPr>
            </w:pPr>
          </w:p>
        </w:tc>
      </w:tr>
      <w:tr w:rsidR="00916BFE" w:rsidRPr="00916BFE" w14:paraId="41D2D2B9"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5448E839"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30</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0C01C74D"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Qualifying AT1 capital instruments plus any related share premium</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B477A5D"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402E0DC3" w14:textId="77777777" w:rsidR="00916BFE" w:rsidRPr="00916BFE" w:rsidRDefault="00916BFE" w:rsidP="00916BFE">
            <w:pPr>
              <w:snapToGrid w:val="0"/>
              <w:spacing w:before="40" w:after="40"/>
              <w:jc w:val="center"/>
              <w:rPr>
                <w:sz w:val="17"/>
                <w:lang w:eastAsia="it-IT"/>
              </w:rPr>
            </w:pPr>
            <w:r w:rsidRPr="00916BFE">
              <w:rPr>
                <w:sz w:val="17"/>
                <w:lang w:eastAsia="it-IT"/>
              </w:rPr>
              <w:t>[f]</w:t>
            </w:r>
          </w:p>
        </w:tc>
      </w:tr>
      <w:tr w:rsidR="00916BFE" w:rsidRPr="00916BFE" w14:paraId="4EEC9E09"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4FEAD7BA"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lastRenderedPageBreak/>
              <w:t>31</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7F62D036" w14:textId="77777777" w:rsidR="00916BFE" w:rsidRPr="00916BFE" w:rsidRDefault="00916BFE" w:rsidP="00916BFE">
            <w:pPr>
              <w:snapToGrid w:val="0"/>
              <w:spacing w:before="40" w:after="40"/>
              <w:ind w:left="423" w:rightChars="71" w:right="142"/>
              <w:rPr>
                <w:sz w:val="17"/>
                <w:lang w:eastAsia="it-IT"/>
              </w:rPr>
            </w:pPr>
            <w:r w:rsidRPr="00916BFE">
              <w:rPr>
                <w:sz w:val="17"/>
                <w:lang w:eastAsia="it-IT"/>
              </w:rPr>
              <w:t>of which: classified as equity under applicable accounting standards</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CDA9910"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392EAE97" w14:textId="77777777" w:rsidR="00916BFE" w:rsidRPr="00916BFE" w:rsidRDefault="00916BFE" w:rsidP="00916BFE">
            <w:pPr>
              <w:snapToGrid w:val="0"/>
              <w:spacing w:before="40" w:after="40"/>
              <w:jc w:val="center"/>
              <w:rPr>
                <w:sz w:val="17"/>
                <w:lang w:eastAsia="it-IT"/>
              </w:rPr>
            </w:pPr>
          </w:p>
        </w:tc>
      </w:tr>
      <w:tr w:rsidR="00916BFE" w:rsidRPr="00916BFE" w14:paraId="1FC32E18"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6677AE89"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32</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186FB3DC" w14:textId="77777777" w:rsidR="00916BFE" w:rsidRPr="00916BFE" w:rsidRDefault="00916BFE" w:rsidP="00916BFE">
            <w:pPr>
              <w:snapToGrid w:val="0"/>
              <w:spacing w:before="40" w:after="40"/>
              <w:ind w:left="423" w:rightChars="71" w:right="142"/>
              <w:rPr>
                <w:sz w:val="17"/>
                <w:lang w:eastAsia="it-IT"/>
              </w:rPr>
            </w:pPr>
            <w:r w:rsidRPr="00916BFE">
              <w:rPr>
                <w:sz w:val="17"/>
                <w:lang w:eastAsia="it-IT"/>
              </w:rPr>
              <w:t>of which: classified as liabilities under applicable accounting standards</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053BC97"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7776B323" w14:textId="77777777" w:rsidR="00916BFE" w:rsidRPr="00916BFE" w:rsidRDefault="00916BFE" w:rsidP="00916BFE">
            <w:pPr>
              <w:snapToGrid w:val="0"/>
              <w:spacing w:before="40" w:after="40"/>
              <w:jc w:val="center"/>
              <w:rPr>
                <w:sz w:val="17"/>
                <w:lang w:eastAsia="it-IT"/>
              </w:rPr>
            </w:pPr>
          </w:p>
        </w:tc>
      </w:tr>
      <w:tr w:rsidR="00916BFE" w:rsidRPr="00916BFE" w14:paraId="49196C0A"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6A701DB9"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34</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6A313538"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AT1 capital instruments issued by consolidated bank subsidiaries and held by third parties (amount allowed in AT1 capital of the consolidation group)</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CD39E93"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5D77698F" w14:textId="77777777" w:rsidR="00916BFE" w:rsidRPr="00916BFE" w:rsidRDefault="00916BFE" w:rsidP="00916BFE">
            <w:pPr>
              <w:snapToGrid w:val="0"/>
              <w:spacing w:before="40" w:after="40"/>
              <w:jc w:val="center"/>
              <w:rPr>
                <w:sz w:val="17"/>
                <w:lang w:eastAsia="it-IT"/>
              </w:rPr>
            </w:pPr>
          </w:p>
        </w:tc>
      </w:tr>
      <w:tr w:rsidR="00916BFE" w:rsidRPr="00916BFE" w14:paraId="3B52DAA0" w14:textId="77777777" w:rsidTr="005057BD">
        <w:trPr>
          <w:cantSplit/>
          <w:trHeight w:val="270"/>
        </w:trPr>
        <w:tc>
          <w:tcPr>
            <w:tcW w:w="570" w:type="dxa"/>
            <w:tcBorders>
              <w:top w:val="single" w:sz="4" w:space="0" w:color="auto"/>
              <w:left w:val="nil"/>
              <w:bottom w:val="single" w:sz="4" w:space="0" w:color="auto"/>
              <w:right w:val="single" w:sz="4" w:space="0" w:color="auto"/>
            </w:tcBorders>
            <w:shd w:val="clear" w:color="auto" w:fill="auto"/>
          </w:tcPr>
          <w:p w14:paraId="292196A2"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36</w:t>
            </w:r>
          </w:p>
        </w:tc>
        <w:tc>
          <w:tcPr>
            <w:tcW w:w="5951" w:type="dxa"/>
            <w:tcBorders>
              <w:top w:val="single" w:sz="4" w:space="0" w:color="auto"/>
              <w:left w:val="single" w:sz="4" w:space="0" w:color="auto"/>
              <w:bottom w:val="single" w:sz="4" w:space="0" w:color="auto"/>
              <w:right w:val="single" w:sz="4" w:space="0" w:color="auto"/>
            </w:tcBorders>
            <w:shd w:val="clear" w:color="auto" w:fill="D9D9D9"/>
          </w:tcPr>
          <w:p w14:paraId="089C861E" w14:textId="77777777" w:rsidR="00916BFE" w:rsidRPr="00916BFE" w:rsidRDefault="00916BFE" w:rsidP="00916BFE">
            <w:pPr>
              <w:snapToGrid w:val="0"/>
              <w:spacing w:before="40" w:after="40"/>
              <w:ind w:left="57" w:rightChars="71" w:right="142"/>
              <w:rPr>
                <w:b/>
                <w:sz w:val="17"/>
                <w:lang w:eastAsia="it-IT"/>
              </w:rPr>
            </w:pPr>
            <w:r w:rsidRPr="00916BFE">
              <w:rPr>
                <w:b/>
                <w:sz w:val="17"/>
                <w:lang w:eastAsia="it-IT"/>
              </w:rPr>
              <w:t>AT1 capital before regulatory deductions</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7D1E863"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4ACD26B5" w14:textId="77777777" w:rsidR="00916BFE" w:rsidRPr="00916BFE" w:rsidRDefault="00916BFE" w:rsidP="00916BFE">
            <w:pPr>
              <w:snapToGrid w:val="0"/>
              <w:spacing w:before="40" w:after="40"/>
              <w:jc w:val="center"/>
              <w:rPr>
                <w:sz w:val="17"/>
                <w:lang w:eastAsia="it-IT"/>
              </w:rPr>
            </w:pPr>
          </w:p>
        </w:tc>
      </w:tr>
      <w:tr w:rsidR="00916BFE" w:rsidRPr="00916BFE" w14:paraId="189F28DA" w14:textId="77777777" w:rsidTr="005057BD">
        <w:trPr>
          <w:cantSplit/>
          <w:trHeight w:val="270"/>
        </w:trPr>
        <w:tc>
          <w:tcPr>
            <w:tcW w:w="570" w:type="dxa"/>
            <w:tcBorders>
              <w:top w:val="single" w:sz="4" w:space="0" w:color="auto"/>
              <w:left w:val="nil"/>
              <w:bottom w:val="single" w:sz="6" w:space="0" w:color="auto"/>
              <w:right w:val="single" w:sz="4" w:space="0" w:color="auto"/>
            </w:tcBorders>
            <w:shd w:val="clear" w:color="auto" w:fill="A6A6A6"/>
          </w:tcPr>
          <w:p w14:paraId="749A030A" w14:textId="77777777" w:rsidR="00916BFE" w:rsidRPr="00916BFE" w:rsidRDefault="00916BFE" w:rsidP="00916BFE">
            <w:pPr>
              <w:snapToGrid w:val="0"/>
              <w:spacing w:before="40" w:after="40"/>
              <w:ind w:rightChars="71" w:right="142"/>
              <w:rPr>
                <w:b/>
                <w:bCs/>
                <w:sz w:val="17"/>
                <w:szCs w:val="17"/>
              </w:rPr>
            </w:pPr>
          </w:p>
        </w:tc>
        <w:tc>
          <w:tcPr>
            <w:tcW w:w="5951" w:type="dxa"/>
            <w:tcBorders>
              <w:top w:val="single" w:sz="4" w:space="0" w:color="auto"/>
              <w:left w:val="single" w:sz="4" w:space="0" w:color="auto"/>
              <w:bottom w:val="single" w:sz="6" w:space="0" w:color="auto"/>
              <w:right w:val="nil"/>
            </w:tcBorders>
            <w:shd w:val="clear" w:color="auto" w:fill="A6A6A6"/>
          </w:tcPr>
          <w:p w14:paraId="53738B72" w14:textId="77777777" w:rsidR="00916BFE" w:rsidRPr="00916BFE" w:rsidRDefault="00916BFE" w:rsidP="00916BFE">
            <w:pPr>
              <w:snapToGrid w:val="0"/>
              <w:spacing w:before="40" w:after="40"/>
              <w:ind w:left="57" w:rightChars="71" w:right="142"/>
              <w:rPr>
                <w:b/>
                <w:bCs/>
                <w:sz w:val="17"/>
                <w:szCs w:val="17"/>
              </w:rPr>
            </w:pPr>
            <w:r w:rsidRPr="00916BFE">
              <w:rPr>
                <w:b/>
                <w:sz w:val="17"/>
                <w:lang w:eastAsia="it-IT"/>
              </w:rPr>
              <w:t>AT1 capital: regulatory deductions</w:t>
            </w:r>
          </w:p>
        </w:tc>
        <w:tc>
          <w:tcPr>
            <w:tcW w:w="1276" w:type="dxa"/>
            <w:tcBorders>
              <w:top w:val="single" w:sz="4" w:space="0" w:color="auto"/>
              <w:left w:val="nil"/>
              <w:bottom w:val="single" w:sz="6" w:space="0" w:color="auto"/>
              <w:right w:val="nil"/>
            </w:tcBorders>
            <w:shd w:val="clear" w:color="auto" w:fill="A6A6A6"/>
          </w:tcPr>
          <w:p w14:paraId="12B97526"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nil"/>
              <w:bottom w:val="single" w:sz="6" w:space="0" w:color="auto"/>
              <w:right w:val="single" w:sz="4" w:space="0" w:color="auto"/>
            </w:tcBorders>
            <w:shd w:val="clear" w:color="auto" w:fill="A6A6A6"/>
          </w:tcPr>
          <w:p w14:paraId="6FCFF962" w14:textId="77777777" w:rsidR="00916BFE" w:rsidRPr="00916BFE" w:rsidRDefault="00916BFE" w:rsidP="00916BFE">
            <w:pPr>
              <w:snapToGrid w:val="0"/>
              <w:spacing w:before="40" w:after="40"/>
              <w:jc w:val="center"/>
              <w:rPr>
                <w:sz w:val="17"/>
                <w:lang w:eastAsia="it-IT"/>
              </w:rPr>
            </w:pPr>
          </w:p>
        </w:tc>
      </w:tr>
      <w:tr w:rsidR="00916BFE" w:rsidRPr="00916BFE" w14:paraId="25EF4409" w14:textId="77777777" w:rsidTr="005057BD">
        <w:trPr>
          <w:cantSplit/>
          <w:trHeight w:val="270"/>
        </w:trPr>
        <w:tc>
          <w:tcPr>
            <w:tcW w:w="570" w:type="dxa"/>
            <w:tcBorders>
              <w:top w:val="single" w:sz="4" w:space="0" w:color="auto"/>
              <w:left w:val="nil"/>
              <w:bottom w:val="single" w:sz="6" w:space="0" w:color="auto"/>
              <w:right w:val="single" w:sz="4" w:space="0" w:color="auto"/>
            </w:tcBorders>
            <w:shd w:val="clear" w:color="auto" w:fill="auto"/>
          </w:tcPr>
          <w:p w14:paraId="2CEEFD9A"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37</w:t>
            </w:r>
          </w:p>
        </w:tc>
        <w:tc>
          <w:tcPr>
            <w:tcW w:w="5951" w:type="dxa"/>
            <w:tcBorders>
              <w:top w:val="single" w:sz="4" w:space="0" w:color="auto"/>
              <w:left w:val="single" w:sz="4" w:space="0" w:color="auto"/>
              <w:bottom w:val="single" w:sz="6" w:space="0" w:color="auto"/>
              <w:right w:val="single" w:sz="4" w:space="0" w:color="auto"/>
            </w:tcBorders>
            <w:shd w:val="clear" w:color="auto" w:fill="auto"/>
          </w:tcPr>
          <w:p w14:paraId="6783BE95"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Investments in own AT1 capital instruments</w:t>
            </w:r>
          </w:p>
        </w:tc>
        <w:tc>
          <w:tcPr>
            <w:tcW w:w="1276" w:type="dxa"/>
            <w:tcBorders>
              <w:top w:val="single" w:sz="4" w:space="0" w:color="auto"/>
              <w:left w:val="single" w:sz="4" w:space="0" w:color="auto"/>
              <w:bottom w:val="single" w:sz="6" w:space="0" w:color="auto"/>
              <w:right w:val="single" w:sz="4" w:space="0" w:color="auto"/>
            </w:tcBorders>
            <w:shd w:val="clear" w:color="auto" w:fill="auto"/>
          </w:tcPr>
          <w:p w14:paraId="44333877"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6" w:space="0" w:color="auto"/>
              <w:right w:val="single" w:sz="4" w:space="0" w:color="auto"/>
            </w:tcBorders>
            <w:shd w:val="clear" w:color="auto" w:fill="auto"/>
          </w:tcPr>
          <w:p w14:paraId="7C09FB01" w14:textId="77777777" w:rsidR="00916BFE" w:rsidRPr="00916BFE" w:rsidRDefault="00916BFE" w:rsidP="00916BFE">
            <w:pPr>
              <w:snapToGrid w:val="0"/>
              <w:spacing w:before="40" w:after="40"/>
              <w:jc w:val="center"/>
              <w:rPr>
                <w:sz w:val="17"/>
                <w:lang w:eastAsia="it-IT"/>
              </w:rPr>
            </w:pPr>
          </w:p>
        </w:tc>
      </w:tr>
      <w:tr w:rsidR="00916BFE" w:rsidRPr="00916BFE" w14:paraId="117A5782" w14:textId="77777777" w:rsidTr="005057BD">
        <w:trPr>
          <w:cantSplit/>
          <w:trHeight w:val="270"/>
        </w:trPr>
        <w:tc>
          <w:tcPr>
            <w:tcW w:w="570" w:type="dxa"/>
            <w:tcBorders>
              <w:top w:val="single" w:sz="4" w:space="0" w:color="auto"/>
              <w:left w:val="nil"/>
              <w:bottom w:val="single" w:sz="6" w:space="0" w:color="auto"/>
              <w:right w:val="single" w:sz="4" w:space="0" w:color="auto"/>
            </w:tcBorders>
            <w:shd w:val="clear" w:color="auto" w:fill="auto"/>
          </w:tcPr>
          <w:p w14:paraId="6711CBAF"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38</w:t>
            </w:r>
          </w:p>
        </w:tc>
        <w:tc>
          <w:tcPr>
            <w:tcW w:w="5951" w:type="dxa"/>
            <w:tcBorders>
              <w:top w:val="single" w:sz="4" w:space="0" w:color="auto"/>
              <w:left w:val="single" w:sz="4" w:space="0" w:color="auto"/>
              <w:bottom w:val="single" w:sz="6" w:space="0" w:color="auto"/>
              <w:right w:val="single" w:sz="4" w:space="0" w:color="auto"/>
            </w:tcBorders>
            <w:shd w:val="clear" w:color="auto" w:fill="auto"/>
          </w:tcPr>
          <w:p w14:paraId="30BFDE2E"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Reciprocal cross-holdings in AT1 capital instruments</w:t>
            </w:r>
          </w:p>
        </w:tc>
        <w:tc>
          <w:tcPr>
            <w:tcW w:w="1276" w:type="dxa"/>
            <w:tcBorders>
              <w:top w:val="single" w:sz="4" w:space="0" w:color="auto"/>
              <w:left w:val="single" w:sz="4" w:space="0" w:color="auto"/>
              <w:bottom w:val="single" w:sz="6" w:space="0" w:color="auto"/>
              <w:right w:val="single" w:sz="4" w:space="0" w:color="auto"/>
            </w:tcBorders>
            <w:shd w:val="clear" w:color="auto" w:fill="auto"/>
          </w:tcPr>
          <w:p w14:paraId="4BBB49E0"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6" w:space="0" w:color="auto"/>
              <w:right w:val="single" w:sz="4" w:space="0" w:color="auto"/>
            </w:tcBorders>
            <w:shd w:val="clear" w:color="auto" w:fill="auto"/>
          </w:tcPr>
          <w:p w14:paraId="6B0DF4EF" w14:textId="77777777" w:rsidR="00916BFE" w:rsidRPr="00916BFE" w:rsidRDefault="00916BFE" w:rsidP="00916BFE">
            <w:pPr>
              <w:snapToGrid w:val="0"/>
              <w:spacing w:before="40" w:after="40"/>
              <w:jc w:val="center"/>
              <w:rPr>
                <w:sz w:val="17"/>
                <w:lang w:eastAsia="it-IT"/>
              </w:rPr>
            </w:pPr>
          </w:p>
        </w:tc>
      </w:tr>
      <w:tr w:rsidR="00916BFE" w:rsidRPr="00916BFE" w14:paraId="64AB4EDD" w14:textId="77777777" w:rsidTr="005057BD">
        <w:trPr>
          <w:cantSplit/>
          <w:trHeight w:val="270"/>
        </w:trPr>
        <w:tc>
          <w:tcPr>
            <w:tcW w:w="570" w:type="dxa"/>
            <w:tcBorders>
              <w:top w:val="single" w:sz="4" w:space="0" w:color="auto"/>
              <w:left w:val="nil"/>
              <w:bottom w:val="single" w:sz="6" w:space="0" w:color="auto"/>
              <w:right w:val="single" w:sz="4" w:space="0" w:color="auto"/>
            </w:tcBorders>
            <w:shd w:val="clear" w:color="auto" w:fill="auto"/>
          </w:tcPr>
          <w:p w14:paraId="1D7BD23F"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39</w:t>
            </w:r>
          </w:p>
        </w:tc>
        <w:tc>
          <w:tcPr>
            <w:tcW w:w="5951" w:type="dxa"/>
            <w:tcBorders>
              <w:top w:val="single" w:sz="4" w:space="0" w:color="auto"/>
              <w:left w:val="single" w:sz="4" w:space="0" w:color="auto"/>
              <w:bottom w:val="single" w:sz="6" w:space="0" w:color="auto"/>
              <w:right w:val="single" w:sz="4" w:space="0" w:color="auto"/>
            </w:tcBorders>
            <w:shd w:val="clear" w:color="auto" w:fill="auto"/>
          </w:tcPr>
          <w:p w14:paraId="323D8152"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Insignificant LAC investments in AT1 capital instruments issued by financial sector entities that are outside the scope of regulatory consolidation (amount above 10% threshold)</w:t>
            </w:r>
          </w:p>
        </w:tc>
        <w:tc>
          <w:tcPr>
            <w:tcW w:w="1276" w:type="dxa"/>
            <w:tcBorders>
              <w:top w:val="single" w:sz="4" w:space="0" w:color="auto"/>
              <w:left w:val="single" w:sz="4" w:space="0" w:color="auto"/>
              <w:bottom w:val="single" w:sz="6" w:space="0" w:color="auto"/>
              <w:right w:val="single" w:sz="4" w:space="0" w:color="auto"/>
            </w:tcBorders>
            <w:shd w:val="clear" w:color="auto" w:fill="auto"/>
          </w:tcPr>
          <w:p w14:paraId="7C96F6BC"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6" w:space="0" w:color="auto"/>
              <w:right w:val="single" w:sz="4" w:space="0" w:color="auto"/>
            </w:tcBorders>
            <w:shd w:val="clear" w:color="auto" w:fill="auto"/>
          </w:tcPr>
          <w:p w14:paraId="4684833B" w14:textId="77777777" w:rsidR="00916BFE" w:rsidRPr="00916BFE" w:rsidRDefault="00916BFE" w:rsidP="00916BFE">
            <w:pPr>
              <w:snapToGrid w:val="0"/>
              <w:spacing w:before="40" w:after="40"/>
              <w:jc w:val="center"/>
              <w:rPr>
                <w:sz w:val="17"/>
                <w:lang w:eastAsia="it-IT"/>
              </w:rPr>
            </w:pPr>
          </w:p>
        </w:tc>
      </w:tr>
      <w:tr w:rsidR="00916BFE" w:rsidRPr="00916BFE" w14:paraId="21BC4594" w14:textId="77777777" w:rsidTr="005057BD">
        <w:trPr>
          <w:cantSplit/>
          <w:trHeight w:val="270"/>
        </w:trPr>
        <w:tc>
          <w:tcPr>
            <w:tcW w:w="570" w:type="dxa"/>
            <w:tcBorders>
              <w:top w:val="single" w:sz="4" w:space="0" w:color="auto"/>
              <w:left w:val="nil"/>
              <w:bottom w:val="single" w:sz="6" w:space="0" w:color="auto"/>
              <w:right w:val="single" w:sz="4" w:space="0" w:color="auto"/>
            </w:tcBorders>
            <w:shd w:val="clear" w:color="auto" w:fill="auto"/>
          </w:tcPr>
          <w:p w14:paraId="1AFD6BB9"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40</w:t>
            </w:r>
          </w:p>
        </w:tc>
        <w:tc>
          <w:tcPr>
            <w:tcW w:w="5951" w:type="dxa"/>
            <w:tcBorders>
              <w:top w:val="single" w:sz="4" w:space="0" w:color="auto"/>
              <w:left w:val="single" w:sz="4" w:space="0" w:color="auto"/>
              <w:bottom w:val="single" w:sz="6" w:space="0" w:color="auto"/>
              <w:right w:val="single" w:sz="4" w:space="0" w:color="auto"/>
            </w:tcBorders>
            <w:shd w:val="clear" w:color="auto" w:fill="auto"/>
          </w:tcPr>
          <w:p w14:paraId="071A6038"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Significant LAC investments in AT1 capital instruments issued by financial sector entities that are outside the scope of regulatory consolidation</w:t>
            </w:r>
          </w:p>
        </w:tc>
        <w:tc>
          <w:tcPr>
            <w:tcW w:w="1276" w:type="dxa"/>
            <w:tcBorders>
              <w:top w:val="single" w:sz="4" w:space="0" w:color="auto"/>
              <w:left w:val="single" w:sz="4" w:space="0" w:color="auto"/>
              <w:bottom w:val="single" w:sz="6" w:space="0" w:color="auto"/>
              <w:right w:val="single" w:sz="4" w:space="0" w:color="auto"/>
            </w:tcBorders>
            <w:shd w:val="clear" w:color="auto" w:fill="auto"/>
          </w:tcPr>
          <w:p w14:paraId="19E9E6D0"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6" w:space="0" w:color="auto"/>
              <w:right w:val="single" w:sz="4" w:space="0" w:color="auto"/>
            </w:tcBorders>
            <w:shd w:val="clear" w:color="auto" w:fill="auto"/>
          </w:tcPr>
          <w:p w14:paraId="3D488252" w14:textId="77777777" w:rsidR="00916BFE" w:rsidRPr="00916BFE" w:rsidRDefault="00916BFE" w:rsidP="00916BFE">
            <w:pPr>
              <w:snapToGrid w:val="0"/>
              <w:spacing w:before="40" w:after="40"/>
              <w:jc w:val="center"/>
              <w:rPr>
                <w:sz w:val="17"/>
                <w:lang w:eastAsia="it-IT"/>
              </w:rPr>
            </w:pPr>
          </w:p>
        </w:tc>
      </w:tr>
      <w:tr w:rsidR="00916BFE" w:rsidRPr="00916BFE" w14:paraId="29B4FA17" w14:textId="77777777" w:rsidTr="005057BD">
        <w:trPr>
          <w:cantSplit/>
          <w:trHeight w:val="270"/>
        </w:trPr>
        <w:tc>
          <w:tcPr>
            <w:tcW w:w="570" w:type="dxa"/>
            <w:tcBorders>
              <w:top w:val="single" w:sz="4" w:space="0" w:color="auto"/>
              <w:left w:val="nil"/>
              <w:bottom w:val="single" w:sz="6" w:space="0" w:color="auto"/>
              <w:right w:val="single" w:sz="4" w:space="0" w:color="auto"/>
            </w:tcBorders>
            <w:shd w:val="clear" w:color="auto" w:fill="auto"/>
          </w:tcPr>
          <w:p w14:paraId="4EC604AC"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41</w:t>
            </w:r>
          </w:p>
        </w:tc>
        <w:tc>
          <w:tcPr>
            <w:tcW w:w="5951" w:type="dxa"/>
            <w:tcBorders>
              <w:top w:val="single" w:sz="4" w:space="0" w:color="auto"/>
              <w:left w:val="single" w:sz="4" w:space="0" w:color="auto"/>
              <w:bottom w:val="single" w:sz="6" w:space="0" w:color="auto"/>
              <w:right w:val="single" w:sz="4" w:space="0" w:color="auto"/>
            </w:tcBorders>
            <w:shd w:val="clear" w:color="auto" w:fill="auto"/>
          </w:tcPr>
          <w:p w14:paraId="1DAE2662"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National specific regulatory adjustments applied to AT1 capital</w:t>
            </w:r>
          </w:p>
        </w:tc>
        <w:tc>
          <w:tcPr>
            <w:tcW w:w="1276" w:type="dxa"/>
            <w:tcBorders>
              <w:top w:val="single" w:sz="4" w:space="0" w:color="auto"/>
              <w:left w:val="single" w:sz="4" w:space="0" w:color="auto"/>
              <w:bottom w:val="single" w:sz="6" w:space="0" w:color="auto"/>
              <w:right w:val="single" w:sz="4" w:space="0" w:color="auto"/>
            </w:tcBorders>
            <w:shd w:val="clear" w:color="auto" w:fill="auto"/>
          </w:tcPr>
          <w:p w14:paraId="3D0346A8"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6" w:space="0" w:color="auto"/>
              <w:right w:val="single" w:sz="4" w:space="0" w:color="auto"/>
            </w:tcBorders>
            <w:shd w:val="clear" w:color="auto" w:fill="auto"/>
          </w:tcPr>
          <w:p w14:paraId="41BA78B1" w14:textId="77777777" w:rsidR="00916BFE" w:rsidRPr="00916BFE" w:rsidRDefault="00916BFE" w:rsidP="00916BFE">
            <w:pPr>
              <w:snapToGrid w:val="0"/>
              <w:spacing w:before="40" w:after="40"/>
              <w:jc w:val="center"/>
              <w:rPr>
                <w:sz w:val="17"/>
                <w:lang w:eastAsia="it-IT"/>
              </w:rPr>
            </w:pPr>
          </w:p>
        </w:tc>
      </w:tr>
      <w:tr w:rsidR="00916BFE" w:rsidRPr="00916BFE" w14:paraId="06FAE9E7" w14:textId="77777777" w:rsidTr="0078191C">
        <w:trPr>
          <w:cantSplit/>
          <w:trHeight w:val="270"/>
        </w:trPr>
        <w:tc>
          <w:tcPr>
            <w:tcW w:w="570" w:type="dxa"/>
            <w:tcBorders>
              <w:top w:val="single" w:sz="4" w:space="0" w:color="auto"/>
              <w:left w:val="nil"/>
              <w:bottom w:val="single" w:sz="6" w:space="0" w:color="auto"/>
              <w:right w:val="single" w:sz="4" w:space="0" w:color="auto"/>
            </w:tcBorders>
            <w:shd w:val="clear" w:color="auto" w:fill="auto"/>
          </w:tcPr>
          <w:p w14:paraId="1EEB0B64"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42</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3A20B64C" w14:textId="77777777" w:rsidR="00916BFE" w:rsidRPr="00916BFE" w:rsidRDefault="00916BFE" w:rsidP="00916BFE">
            <w:pPr>
              <w:snapToGrid w:val="0"/>
              <w:spacing w:before="40" w:after="40"/>
              <w:ind w:left="57" w:rightChars="71" w:right="142"/>
              <w:rPr>
                <w:sz w:val="17"/>
                <w:lang w:eastAsia="it-IT"/>
              </w:rPr>
            </w:pPr>
            <w:r w:rsidRPr="00916BFE">
              <w:rPr>
                <w:sz w:val="17"/>
                <w:lang w:eastAsia="it-IT"/>
              </w:rPr>
              <w:t>Regulatory deductions applied to AT1 capital due to insufficient Tier 2 capital to cover deductions</w:t>
            </w:r>
          </w:p>
        </w:tc>
        <w:tc>
          <w:tcPr>
            <w:tcW w:w="1276" w:type="dxa"/>
            <w:tcBorders>
              <w:top w:val="single" w:sz="4" w:space="0" w:color="auto"/>
              <w:left w:val="single" w:sz="4" w:space="0" w:color="auto"/>
              <w:bottom w:val="single" w:sz="6" w:space="0" w:color="auto"/>
              <w:right w:val="single" w:sz="4" w:space="0" w:color="auto"/>
            </w:tcBorders>
            <w:shd w:val="clear" w:color="auto" w:fill="auto"/>
          </w:tcPr>
          <w:p w14:paraId="13FE5994" w14:textId="77777777" w:rsidR="00916BFE" w:rsidRPr="00916BFE" w:rsidRDefault="00916BFE" w:rsidP="00916BFE">
            <w:pPr>
              <w:snapToGrid w:val="0"/>
              <w:spacing w:before="40" w:after="40"/>
              <w:jc w:val="center"/>
              <w:rPr>
                <w:sz w:val="17"/>
                <w:lang w:eastAsia="it-IT"/>
              </w:rPr>
            </w:pPr>
          </w:p>
        </w:tc>
        <w:tc>
          <w:tcPr>
            <w:tcW w:w="1417" w:type="dxa"/>
            <w:tcBorders>
              <w:top w:val="single" w:sz="4" w:space="0" w:color="auto"/>
              <w:left w:val="single" w:sz="4" w:space="0" w:color="auto"/>
              <w:bottom w:val="single" w:sz="6" w:space="0" w:color="auto"/>
              <w:right w:val="single" w:sz="4" w:space="0" w:color="auto"/>
            </w:tcBorders>
            <w:shd w:val="clear" w:color="auto" w:fill="auto"/>
          </w:tcPr>
          <w:p w14:paraId="1FBF3FAF" w14:textId="77777777" w:rsidR="00916BFE" w:rsidRPr="00916BFE" w:rsidRDefault="00916BFE" w:rsidP="00916BFE">
            <w:pPr>
              <w:snapToGrid w:val="0"/>
              <w:spacing w:before="40" w:after="40"/>
              <w:jc w:val="center"/>
              <w:rPr>
                <w:sz w:val="17"/>
                <w:lang w:eastAsia="it-IT"/>
              </w:rPr>
            </w:pPr>
          </w:p>
        </w:tc>
      </w:tr>
      <w:tr w:rsidR="00916BFE" w:rsidRPr="00916BFE" w14:paraId="4BFE47C3" w14:textId="77777777" w:rsidTr="0078191C">
        <w:trPr>
          <w:cantSplit/>
          <w:trHeight w:val="270"/>
        </w:trPr>
        <w:tc>
          <w:tcPr>
            <w:tcW w:w="570" w:type="dxa"/>
            <w:tcBorders>
              <w:top w:val="single" w:sz="6" w:space="0" w:color="auto"/>
              <w:left w:val="nil"/>
              <w:bottom w:val="single" w:sz="4" w:space="0" w:color="auto"/>
              <w:right w:val="single" w:sz="4" w:space="0" w:color="auto"/>
            </w:tcBorders>
          </w:tcPr>
          <w:p w14:paraId="62EC07C6"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43</w:t>
            </w:r>
          </w:p>
        </w:tc>
        <w:tc>
          <w:tcPr>
            <w:tcW w:w="5951" w:type="dxa"/>
            <w:tcBorders>
              <w:top w:val="single" w:sz="4" w:space="0" w:color="auto"/>
              <w:left w:val="single" w:sz="4" w:space="0" w:color="auto"/>
              <w:bottom w:val="single" w:sz="18" w:space="0" w:color="auto"/>
              <w:right w:val="single" w:sz="6" w:space="0" w:color="auto"/>
            </w:tcBorders>
            <w:shd w:val="clear" w:color="auto" w:fill="D9D9D9"/>
          </w:tcPr>
          <w:p w14:paraId="13F3345D" w14:textId="77777777" w:rsidR="00916BFE" w:rsidRPr="00916BFE" w:rsidRDefault="00916BFE" w:rsidP="00916BFE">
            <w:pPr>
              <w:snapToGrid w:val="0"/>
              <w:spacing w:before="40" w:after="40"/>
              <w:ind w:left="57" w:rightChars="71" w:right="142"/>
              <w:rPr>
                <w:b/>
                <w:sz w:val="17"/>
                <w:lang w:eastAsia="it-IT"/>
              </w:rPr>
            </w:pPr>
            <w:r w:rsidRPr="00916BFE">
              <w:rPr>
                <w:b/>
                <w:sz w:val="17"/>
                <w:lang w:eastAsia="it-IT"/>
              </w:rPr>
              <w:t>Total regulatory deductions to AT1 capital</w:t>
            </w:r>
          </w:p>
        </w:tc>
        <w:tc>
          <w:tcPr>
            <w:tcW w:w="1276" w:type="dxa"/>
            <w:tcBorders>
              <w:top w:val="single" w:sz="6" w:space="0" w:color="auto"/>
              <w:left w:val="single" w:sz="6" w:space="0" w:color="auto"/>
              <w:bottom w:val="single" w:sz="18" w:space="0" w:color="auto"/>
              <w:right w:val="single" w:sz="6" w:space="0" w:color="auto"/>
            </w:tcBorders>
            <w:shd w:val="clear" w:color="auto" w:fill="auto"/>
          </w:tcPr>
          <w:p w14:paraId="742C89CE" w14:textId="77777777" w:rsidR="00916BFE" w:rsidRPr="00916BFE" w:rsidRDefault="00916BFE" w:rsidP="00916BFE">
            <w:pPr>
              <w:snapToGrid w:val="0"/>
              <w:spacing w:before="40" w:after="40"/>
              <w:jc w:val="center"/>
              <w:rPr>
                <w:sz w:val="17"/>
                <w:lang w:eastAsia="it-IT"/>
              </w:rPr>
            </w:pPr>
          </w:p>
        </w:tc>
        <w:tc>
          <w:tcPr>
            <w:tcW w:w="1417" w:type="dxa"/>
            <w:tcBorders>
              <w:top w:val="single" w:sz="6" w:space="0" w:color="auto"/>
              <w:left w:val="single" w:sz="6" w:space="0" w:color="auto"/>
              <w:bottom w:val="single" w:sz="6" w:space="0" w:color="auto"/>
              <w:right w:val="single" w:sz="4" w:space="0" w:color="auto"/>
            </w:tcBorders>
            <w:shd w:val="clear" w:color="auto" w:fill="auto"/>
          </w:tcPr>
          <w:p w14:paraId="6BAFA29D" w14:textId="77777777" w:rsidR="00916BFE" w:rsidRPr="00916BFE" w:rsidRDefault="00916BFE" w:rsidP="00916BFE">
            <w:pPr>
              <w:snapToGrid w:val="0"/>
              <w:spacing w:before="40" w:after="40"/>
              <w:jc w:val="center"/>
              <w:rPr>
                <w:sz w:val="17"/>
                <w:lang w:eastAsia="it-IT"/>
              </w:rPr>
            </w:pPr>
          </w:p>
        </w:tc>
      </w:tr>
      <w:tr w:rsidR="00916BFE" w:rsidRPr="00916BFE" w14:paraId="57179570" w14:textId="77777777" w:rsidTr="0078191C">
        <w:trPr>
          <w:cantSplit/>
          <w:trHeight w:val="270"/>
        </w:trPr>
        <w:tc>
          <w:tcPr>
            <w:tcW w:w="570" w:type="dxa"/>
            <w:tcBorders>
              <w:top w:val="single" w:sz="4" w:space="0" w:color="auto"/>
              <w:left w:val="nil"/>
              <w:bottom w:val="single" w:sz="4" w:space="0" w:color="auto"/>
              <w:right w:val="single" w:sz="18" w:space="0" w:color="auto"/>
            </w:tcBorders>
          </w:tcPr>
          <w:p w14:paraId="7513DEE0"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44</w:t>
            </w:r>
          </w:p>
        </w:tc>
        <w:tc>
          <w:tcPr>
            <w:tcW w:w="5951" w:type="dxa"/>
            <w:tcBorders>
              <w:top w:val="single" w:sz="18" w:space="0" w:color="auto"/>
              <w:left w:val="single" w:sz="18" w:space="0" w:color="auto"/>
              <w:bottom w:val="single" w:sz="18" w:space="0" w:color="auto"/>
              <w:right w:val="single" w:sz="18" w:space="0" w:color="auto"/>
            </w:tcBorders>
            <w:shd w:val="clear" w:color="auto" w:fill="D9D9D9"/>
          </w:tcPr>
          <w:p w14:paraId="165A2BD1" w14:textId="77777777" w:rsidR="00916BFE" w:rsidRPr="00916BFE" w:rsidRDefault="00916BFE" w:rsidP="00916BFE">
            <w:pPr>
              <w:snapToGrid w:val="0"/>
              <w:spacing w:before="40" w:after="40"/>
              <w:ind w:left="57" w:rightChars="71" w:right="142"/>
              <w:rPr>
                <w:b/>
                <w:sz w:val="17"/>
                <w:lang w:eastAsia="it-IT"/>
              </w:rPr>
            </w:pPr>
            <w:r w:rsidRPr="00916BFE">
              <w:rPr>
                <w:b/>
                <w:sz w:val="17"/>
                <w:lang w:eastAsia="it-IT"/>
              </w:rPr>
              <w:t>AT1 capital</w:t>
            </w:r>
          </w:p>
        </w:tc>
        <w:tc>
          <w:tcPr>
            <w:tcW w:w="1276" w:type="dxa"/>
            <w:tcBorders>
              <w:top w:val="single" w:sz="18" w:space="0" w:color="auto"/>
              <w:left w:val="single" w:sz="18" w:space="0" w:color="auto"/>
              <w:bottom w:val="single" w:sz="18" w:space="0" w:color="auto"/>
              <w:right w:val="single" w:sz="18" w:space="0" w:color="auto"/>
            </w:tcBorders>
            <w:shd w:val="clear" w:color="auto" w:fill="auto"/>
          </w:tcPr>
          <w:p w14:paraId="1C4FAEE5"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6" w:space="0" w:color="auto"/>
              <w:left w:val="single" w:sz="18" w:space="0" w:color="auto"/>
              <w:bottom w:val="single" w:sz="6" w:space="0" w:color="auto"/>
              <w:right w:val="single" w:sz="4" w:space="0" w:color="auto"/>
            </w:tcBorders>
            <w:shd w:val="clear" w:color="auto" w:fill="auto"/>
          </w:tcPr>
          <w:p w14:paraId="37F542FC" w14:textId="77777777" w:rsidR="00916BFE" w:rsidRPr="00916BFE" w:rsidRDefault="00916BFE" w:rsidP="00916BFE">
            <w:pPr>
              <w:snapToGrid w:val="0"/>
              <w:spacing w:before="40" w:after="40"/>
              <w:jc w:val="center"/>
              <w:rPr>
                <w:sz w:val="17"/>
                <w:lang w:eastAsia="it-IT"/>
              </w:rPr>
            </w:pPr>
          </w:p>
        </w:tc>
      </w:tr>
      <w:tr w:rsidR="00916BFE" w:rsidRPr="00916BFE" w14:paraId="7F470416" w14:textId="77777777" w:rsidTr="0078191C">
        <w:trPr>
          <w:cantSplit/>
          <w:trHeight w:val="270"/>
        </w:trPr>
        <w:tc>
          <w:tcPr>
            <w:tcW w:w="570" w:type="dxa"/>
            <w:tcBorders>
              <w:top w:val="single" w:sz="4" w:space="0" w:color="auto"/>
              <w:left w:val="nil"/>
              <w:bottom w:val="single" w:sz="6" w:space="0" w:color="BCBDBC"/>
              <w:right w:val="single" w:sz="18" w:space="0" w:color="auto"/>
            </w:tcBorders>
          </w:tcPr>
          <w:p w14:paraId="3ECCC600"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45</w:t>
            </w:r>
          </w:p>
        </w:tc>
        <w:tc>
          <w:tcPr>
            <w:tcW w:w="5951" w:type="dxa"/>
            <w:tcBorders>
              <w:top w:val="single" w:sz="18" w:space="0" w:color="auto"/>
              <w:left w:val="single" w:sz="18" w:space="0" w:color="auto"/>
              <w:bottom w:val="single" w:sz="18" w:space="0" w:color="auto"/>
              <w:right w:val="single" w:sz="18" w:space="0" w:color="auto"/>
            </w:tcBorders>
            <w:shd w:val="clear" w:color="auto" w:fill="D9D9D9"/>
          </w:tcPr>
          <w:p w14:paraId="50D4BF72" w14:textId="77777777" w:rsidR="00916BFE" w:rsidRPr="00916BFE" w:rsidRDefault="00916BFE" w:rsidP="00916BFE">
            <w:pPr>
              <w:snapToGrid w:val="0"/>
              <w:spacing w:before="40" w:after="40"/>
              <w:ind w:left="57" w:rightChars="71" w:right="142"/>
              <w:rPr>
                <w:b/>
                <w:sz w:val="17"/>
                <w:lang w:eastAsia="it-IT"/>
              </w:rPr>
            </w:pPr>
            <w:r w:rsidRPr="00916BFE">
              <w:rPr>
                <w:b/>
                <w:sz w:val="17"/>
                <w:lang w:eastAsia="it-IT"/>
              </w:rPr>
              <w:t>Tier 1 capital (T1 = CET1 + AT1)</w:t>
            </w:r>
          </w:p>
        </w:tc>
        <w:tc>
          <w:tcPr>
            <w:tcW w:w="1276" w:type="dxa"/>
            <w:tcBorders>
              <w:top w:val="single" w:sz="18" w:space="0" w:color="auto"/>
              <w:left w:val="single" w:sz="18" w:space="0" w:color="auto"/>
              <w:bottom w:val="single" w:sz="18" w:space="0" w:color="auto"/>
              <w:right w:val="single" w:sz="18" w:space="0" w:color="auto"/>
            </w:tcBorders>
            <w:shd w:val="clear" w:color="auto" w:fill="auto"/>
          </w:tcPr>
          <w:p w14:paraId="0CC16344"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6" w:space="0" w:color="auto"/>
              <w:left w:val="single" w:sz="18" w:space="0" w:color="auto"/>
              <w:bottom w:val="single" w:sz="6" w:space="0" w:color="auto"/>
              <w:right w:val="single" w:sz="4" w:space="0" w:color="auto"/>
            </w:tcBorders>
            <w:shd w:val="clear" w:color="auto" w:fill="auto"/>
          </w:tcPr>
          <w:p w14:paraId="7209DBED" w14:textId="77777777" w:rsidR="00916BFE" w:rsidRPr="00916BFE" w:rsidRDefault="00916BFE" w:rsidP="00916BFE">
            <w:pPr>
              <w:snapToGrid w:val="0"/>
              <w:spacing w:before="40" w:after="40"/>
              <w:jc w:val="center"/>
              <w:rPr>
                <w:sz w:val="17"/>
                <w:lang w:eastAsia="it-IT"/>
              </w:rPr>
            </w:pPr>
          </w:p>
        </w:tc>
      </w:tr>
      <w:tr w:rsidR="00916BFE" w:rsidRPr="00916BFE" w14:paraId="29E0A17D"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6A6A6"/>
          </w:tcPr>
          <w:p w14:paraId="6274BCE5" w14:textId="77777777" w:rsidR="00916BFE" w:rsidRPr="00916BFE" w:rsidRDefault="00916BFE" w:rsidP="00916BFE">
            <w:pPr>
              <w:snapToGrid w:val="0"/>
              <w:spacing w:before="40" w:after="40"/>
              <w:ind w:left="417" w:rightChars="71" w:right="142"/>
              <w:rPr>
                <w:b/>
                <w:sz w:val="17"/>
                <w:szCs w:val="17"/>
                <w:lang w:eastAsia="it-IT"/>
              </w:rPr>
            </w:pPr>
          </w:p>
        </w:tc>
        <w:tc>
          <w:tcPr>
            <w:tcW w:w="5951" w:type="dxa"/>
            <w:tcBorders>
              <w:top w:val="single" w:sz="18" w:space="0" w:color="auto"/>
              <w:left w:val="single" w:sz="4" w:space="0" w:color="auto"/>
              <w:bottom w:val="single" w:sz="4" w:space="0" w:color="auto"/>
              <w:right w:val="nil"/>
            </w:tcBorders>
            <w:shd w:val="clear" w:color="auto" w:fill="A6A6A6"/>
          </w:tcPr>
          <w:p w14:paraId="337F959A" w14:textId="77777777" w:rsidR="00916BFE" w:rsidRPr="00916BFE" w:rsidRDefault="00916BFE" w:rsidP="00916BFE">
            <w:pPr>
              <w:snapToGrid w:val="0"/>
              <w:spacing w:before="40" w:after="40"/>
              <w:ind w:left="57" w:rightChars="71" w:right="142"/>
              <w:rPr>
                <w:b/>
                <w:sz w:val="17"/>
                <w:szCs w:val="17"/>
                <w:lang w:eastAsia="it-IT"/>
              </w:rPr>
            </w:pPr>
            <w:r w:rsidRPr="00916BFE">
              <w:rPr>
                <w:b/>
                <w:sz w:val="17"/>
                <w:szCs w:val="17"/>
                <w:lang w:eastAsia="it-IT"/>
              </w:rPr>
              <w:t>Tier 2 capital: instruments and provisions</w:t>
            </w:r>
          </w:p>
        </w:tc>
        <w:tc>
          <w:tcPr>
            <w:tcW w:w="1276" w:type="dxa"/>
            <w:tcBorders>
              <w:top w:val="single" w:sz="18" w:space="0" w:color="auto"/>
              <w:left w:val="nil"/>
              <w:bottom w:val="single" w:sz="4" w:space="0" w:color="auto"/>
              <w:right w:val="nil"/>
            </w:tcBorders>
            <w:shd w:val="clear" w:color="auto" w:fill="A6A6A6"/>
          </w:tcPr>
          <w:p w14:paraId="409B0AD0"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6" w:space="0" w:color="auto"/>
              <w:left w:val="nil"/>
              <w:bottom w:val="single" w:sz="4" w:space="0" w:color="auto"/>
              <w:right w:val="single" w:sz="6" w:space="0" w:color="auto"/>
            </w:tcBorders>
            <w:shd w:val="clear" w:color="auto" w:fill="A6A6A6"/>
          </w:tcPr>
          <w:p w14:paraId="16FAAD8C" w14:textId="77777777" w:rsidR="00916BFE" w:rsidRPr="00916BFE" w:rsidRDefault="00916BFE" w:rsidP="00916BFE">
            <w:pPr>
              <w:snapToGrid w:val="0"/>
              <w:spacing w:before="40" w:after="40"/>
              <w:jc w:val="center"/>
              <w:rPr>
                <w:sz w:val="17"/>
                <w:lang w:eastAsia="it-IT"/>
              </w:rPr>
            </w:pPr>
          </w:p>
        </w:tc>
      </w:tr>
      <w:tr w:rsidR="00916BFE" w:rsidRPr="00916BFE" w14:paraId="0B7C7DD8"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299FF2C8"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46</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7831A93C" w14:textId="77777777" w:rsidR="00916BFE" w:rsidRPr="00916BFE" w:rsidRDefault="00916BFE" w:rsidP="00916BFE">
            <w:pPr>
              <w:snapToGrid w:val="0"/>
              <w:spacing w:before="40" w:after="40"/>
              <w:ind w:left="57" w:rightChars="71" w:right="142"/>
              <w:rPr>
                <w:sz w:val="17"/>
                <w:szCs w:val="17"/>
                <w:lang w:eastAsia="it-IT"/>
              </w:rPr>
            </w:pPr>
            <w:r w:rsidRPr="00916BFE">
              <w:rPr>
                <w:sz w:val="17"/>
                <w:szCs w:val="17"/>
                <w:lang w:eastAsia="it-IT"/>
              </w:rPr>
              <w:t>Qualifying Tier 2 capital instruments plus any related share premium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436670C"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61C01C3" w14:textId="77777777" w:rsidR="00916BFE" w:rsidRPr="00916BFE" w:rsidRDefault="00916BFE" w:rsidP="00916BFE">
            <w:pPr>
              <w:snapToGrid w:val="0"/>
              <w:spacing w:before="40" w:after="40"/>
              <w:jc w:val="center"/>
              <w:rPr>
                <w:sz w:val="17"/>
                <w:lang w:eastAsia="it-IT"/>
              </w:rPr>
            </w:pPr>
          </w:p>
        </w:tc>
      </w:tr>
      <w:tr w:rsidR="00916BFE" w:rsidRPr="00916BFE" w14:paraId="47C703A9"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716F2D6D"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48</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512EB34C" w14:textId="77777777" w:rsidR="00916BFE" w:rsidRPr="00916BFE" w:rsidRDefault="00916BFE" w:rsidP="00916BFE">
            <w:pPr>
              <w:snapToGrid w:val="0"/>
              <w:spacing w:before="40" w:after="40"/>
              <w:ind w:left="57" w:rightChars="71" w:right="142"/>
              <w:rPr>
                <w:sz w:val="17"/>
                <w:szCs w:val="17"/>
                <w:lang w:eastAsia="it-IT"/>
              </w:rPr>
            </w:pPr>
            <w:r w:rsidRPr="00916BFE">
              <w:rPr>
                <w:sz w:val="17"/>
                <w:szCs w:val="17"/>
                <w:lang w:eastAsia="it-IT"/>
              </w:rPr>
              <w:t>Tier 2 capital instruments issued by consolidated bank subsidiaries and held by third parties (amount allowed in Tier 2 capital of the consolidation group)</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7A13877"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EFFD624" w14:textId="77777777" w:rsidR="00916BFE" w:rsidRPr="00916BFE" w:rsidRDefault="00916BFE" w:rsidP="00916BFE">
            <w:pPr>
              <w:snapToGrid w:val="0"/>
              <w:spacing w:before="40" w:after="40"/>
              <w:jc w:val="center"/>
              <w:rPr>
                <w:sz w:val="17"/>
                <w:lang w:eastAsia="it-IT"/>
              </w:rPr>
            </w:pPr>
          </w:p>
        </w:tc>
      </w:tr>
      <w:tr w:rsidR="00916BFE" w:rsidRPr="00916BFE" w14:paraId="2335B30E"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4B233918"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50</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21523CD7" w14:textId="77777777" w:rsidR="00916BFE" w:rsidRPr="00916BFE" w:rsidRDefault="00916BFE" w:rsidP="00916BFE">
            <w:pPr>
              <w:snapToGrid w:val="0"/>
              <w:spacing w:before="40" w:after="40"/>
              <w:ind w:left="57" w:rightChars="71" w:right="142"/>
              <w:rPr>
                <w:sz w:val="17"/>
                <w:szCs w:val="17"/>
                <w:lang w:eastAsia="it-IT"/>
              </w:rPr>
            </w:pPr>
            <w:r w:rsidRPr="00916BFE">
              <w:rPr>
                <w:sz w:val="17"/>
                <w:szCs w:val="17"/>
                <w:lang w:eastAsia="it-IT"/>
              </w:rPr>
              <w:t>Collective provisions and regulatory reserve for general banking risks eligible for inclusion in Tier 2 capital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AF4C5E4"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B58A819" w14:textId="77777777" w:rsidR="00916BFE" w:rsidRPr="00916BFE" w:rsidRDefault="00916BFE" w:rsidP="00916BFE">
            <w:pPr>
              <w:snapToGrid w:val="0"/>
              <w:spacing w:before="40" w:after="40"/>
              <w:jc w:val="center"/>
              <w:rPr>
                <w:sz w:val="17"/>
                <w:lang w:eastAsia="it-IT"/>
              </w:rPr>
            </w:pPr>
          </w:p>
        </w:tc>
      </w:tr>
      <w:tr w:rsidR="00916BFE" w:rsidRPr="00916BFE" w14:paraId="15483E98"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5E22F01C"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51</w:t>
            </w:r>
          </w:p>
        </w:tc>
        <w:tc>
          <w:tcPr>
            <w:tcW w:w="5951" w:type="dxa"/>
            <w:tcBorders>
              <w:top w:val="single" w:sz="4" w:space="0" w:color="auto"/>
              <w:left w:val="single" w:sz="4" w:space="0" w:color="auto"/>
              <w:bottom w:val="single" w:sz="4" w:space="0" w:color="auto"/>
              <w:right w:val="single" w:sz="4" w:space="0" w:color="auto"/>
            </w:tcBorders>
            <w:shd w:val="clear" w:color="auto" w:fill="D9D9D9"/>
          </w:tcPr>
          <w:p w14:paraId="7D623BB5" w14:textId="77777777" w:rsidR="00916BFE" w:rsidRPr="00916BFE" w:rsidRDefault="00916BFE" w:rsidP="00916BFE">
            <w:pPr>
              <w:snapToGrid w:val="0"/>
              <w:spacing w:before="40" w:after="40"/>
              <w:ind w:left="57" w:rightChars="71" w:right="142"/>
              <w:rPr>
                <w:b/>
                <w:sz w:val="17"/>
                <w:szCs w:val="17"/>
                <w:lang w:eastAsia="it-IT"/>
              </w:rPr>
            </w:pPr>
            <w:r w:rsidRPr="00916BFE">
              <w:rPr>
                <w:b/>
                <w:sz w:val="17"/>
                <w:szCs w:val="17"/>
                <w:lang w:eastAsia="it-IT"/>
              </w:rPr>
              <w:t>Tier 2 capital before regulatory deductions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999148"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A673AD0" w14:textId="77777777" w:rsidR="00916BFE" w:rsidRPr="00916BFE" w:rsidRDefault="00916BFE" w:rsidP="00916BFE">
            <w:pPr>
              <w:snapToGrid w:val="0"/>
              <w:spacing w:before="40" w:after="40"/>
              <w:jc w:val="center"/>
              <w:rPr>
                <w:sz w:val="17"/>
                <w:lang w:eastAsia="it-IT"/>
              </w:rPr>
            </w:pPr>
          </w:p>
        </w:tc>
      </w:tr>
      <w:tr w:rsidR="00916BFE" w:rsidRPr="00916BFE" w14:paraId="7A35F393"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6A6A6"/>
          </w:tcPr>
          <w:p w14:paraId="0F95F875" w14:textId="77777777" w:rsidR="00916BFE" w:rsidRPr="00916BFE" w:rsidRDefault="00916BFE" w:rsidP="00916BFE">
            <w:pPr>
              <w:snapToGrid w:val="0"/>
              <w:spacing w:before="40" w:after="40"/>
              <w:ind w:left="57"/>
              <w:rPr>
                <w:sz w:val="17"/>
                <w:szCs w:val="17"/>
                <w:lang w:eastAsia="en-GB"/>
              </w:rPr>
            </w:pPr>
          </w:p>
        </w:tc>
        <w:tc>
          <w:tcPr>
            <w:tcW w:w="5951" w:type="dxa"/>
            <w:tcBorders>
              <w:top w:val="single" w:sz="4" w:space="0" w:color="auto"/>
              <w:left w:val="single" w:sz="4" w:space="0" w:color="auto"/>
              <w:bottom w:val="single" w:sz="4" w:space="0" w:color="auto"/>
              <w:right w:val="single" w:sz="4" w:space="0" w:color="auto"/>
            </w:tcBorders>
            <w:shd w:val="clear" w:color="auto" w:fill="A6A6A6"/>
          </w:tcPr>
          <w:p w14:paraId="07694C91" w14:textId="77777777" w:rsidR="00916BFE" w:rsidRPr="00916BFE" w:rsidRDefault="00916BFE" w:rsidP="00916BFE">
            <w:pPr>
              <w:snapToGrid w:val="0"/>
              <w:spacing w:before="40" w:after="40"/>
              <w:ind w:left="57" w:rightChars="71" w:right="142"/>
              <w:rPr>
                <w:b/>
                <w:sz w:val="17"/>
                <w:szCs w:val="17"/>
                <w:lang w:eastAsia="it-IT"/>
              </w:rPr>
            </w:pPr>
            <w:r w:rsidRPr="00916BFE">
              <w:rPr>
                <w:b/>
                <w:sz w:val="17"/>
                <w:szCs w:val="17"/>
                <w:lang w:eastAsia="it-IT"/>
              </w:rPr>
              <w:t>Tier 2 capital: regulatory deductions</w:t>
            </w:r>
          </w:p>
        </w:tc>
        <w:tc>
          <w:tcPr>
            <w:tcW w:w="1276" w:type="dxa"/>
            <w:tcBorders>
              <w:top w:val="single" w:sz="4" w:space="0" w:color="auto"/>
              <w:left w:val="single" w:sz="4" w:space="0" w:color="auto"/>
              <w:bottom w:val="single" w:sz="4" w:space="0" w:color="auto"/>
              <w:right w:val="single" w:sz="4" w:space="0" w:color="auto"/>
            </w:tcBorders>
            <w:shd w:val="clear" w:color="auto" w:fill="A6A6A6"/>
          </w:tcPr>
          <w:p w14:paraId="6DAB02A8"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6A6A6"/>
          </w:tcPr>
          <w:p w14:paraId="5491D8C5" w14:textId="77777777" w:rsidR="00916BFE" w:rsidRPr="00916BFE" w:rsidRDefault="00916BFE" w:rsidP="00916BFE">
            <w:pPr>
              <w:snapToGrid w:val="0"/>
              <w:spacing w:before="40" w:after="40"/>
              <w:jc w:val="center"/>
              <w:rPr>
                <w:sz w:val="17"/>
                <w:lang w:eastAsia="it-IT"/>
              </w:rPr>
            </w:pPr>
          </w:p>
        </w:tc>
      </w:tr>
      <w:tr w:rsidR="00916BFE" w:rsidRPr="00916BFE" w14:paraId="3C521DD0"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02CE51D5"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52</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4025FC92" w14:textId="77777777" w:rsidR="00916BFE" w:rsidRPr="00916BFE" w:rsidRDefault="00916BFE" w:rsidP="00916BFE">
            <w:pPr>
              <w:snapToGrid w:val="0"/>
              <w:spacing w:before="40" w:after="40"/>
              <w:ind w:left="57" w:rightChars="71" w:right="142"/>
              <w:rPr>
                <w:sz w:val="17"/>
                <w:szCs w:val="17"/>
                <w:lang w:eastAsia="it-IT"/>
              </w:rPr>
            </w:pPr>
            <w:r w:rsidRPr="00916BFE">
              <w:rPr>
                <w:sz w:val="17"/>
                <w:szCs w:val="17"/>
                <w:lang w:eastAsia="it-IT"/>
              </w:rPr>
              <w:t>Investments in own Tier 2 capital instruments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C573C9E"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9BD4022" w14:textId="77777777" w:rsidR="00916BFE" w:rsidRPr="00916BFE" w:rsidRDefault="00916BFE" w:rsidP="00916BFE">
            <w:pPr>
              <w:snapToGrid w:val="0"/>
              <w:spacing w:before="40" w:after="40"/>
              <w:jc w:val="center"/>
              <w:rPr>
                <w:sz w:val="17"/>
                <w:lang w:eastAsia="it-IT"/>
              </w:rPr>
            </w:pPr>
          </w:p>
        </w:tc>
      </w:tr>
      <w:tr w:rsidR="00916BFE" w:rsidRPr="00916BFE" w14:paraId="33F751D1"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354E76A6"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53</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1E2AA017" w14:textId="77777777" w:rsidR="00916BFE" w:rsidRPr="00916BFE" w:rsidRDefault="00916BFE" w:rsidP="00916BFE">
            <w:pPr>
              <w:snapToGrid w:val="0"/>
              <w:spacing w:before="40" w:after="40"/>
              <w:ind w:left="57" w:rightChars="71" w:right="142"/>
              <w:rPr>
                <w:sz w:val="17"/>
                <w:szCs w:val="17"/>
                <w:lang w:eastAsia="it-IT"/>
              </w:rPr>
            </w:pPr>
            <w:r w:rsidRPr="00916BFE">
              <w:rPr>
                <w:sz w:val="17"/>
                <w:szCs w:val="17"/>
                <w:lang w:eastAsia="it-IT"/>
              </w:rPr>
              <w:t>Reciprocal cross-holdings in Tier 2 capital instruments and non-capital LAC liabilities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44C4767"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D5C2B55" w14:textId="77777777" w:rsidR="00916BFE" w:rsidRPr="00916BFE" w:rsidRDefault="00916BFE" w:rsidP="00916BFE">
            <w:pPr>
              <w:snapToGrid w:val="0"/>
              <w:spacing w:before="40" w:after="40"/>
              <w:jc w:val="center"/>
              <w:rPr>
                <w:sz w:val="17"/>
                <w:lang w:eastAsia="it-IT"/>
              </w:rPr>
            </w:pPr>
          </w:p>
        </w:tc>
      </w:tr>
      <w:tr w:rsidR="00916BFE" w:rsidRPr="00916BFE" w14:paraId="4D87D243"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320A9505"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54</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5B03AF57" w14:textId="77777777" w:rsidR="00916BFE" w:rsidRPr="00916BFE" w:rsidRDefault="00916BFE" w:rsidP="00916BFE">
            <w:pPr>
              <w:snapToGrid w:val="0"/>
              <w:spacing w:before="40" w:after="40"/>
              <w:ind w:left="57" w:rightChars="71" w:right="142"/>
              <w:rPr>
                <w:sz w:val="17"/>
                <w:szCs w:val="17"/>
                <w:lang w:eastAsia="it-IT"/>
              </w:rPr>
            </w:pPr>
            <w:r w:rsidRPr="00916BFE">
              <w:rPr>
                <w:sz w:val="17"/>
                <w:szCs w:val="17"/>
                <w:lang w:eastAsia="it-IT"/>
              </w:rPr>
              <w:t>Insignificant LAC investments in Tier 2 capital instruments issued by, and non-capital LAC liabilities of, financial sector entities that are outside the scope of regulatory consolidation (amount above 10% threshold and, where applicable, 5% threshold)</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76A843B"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5FAD4B" w14:textId="77777777" w:rsidR="00916BFE" w:rsidRPr="00916BFE" w:rsidRDefault="00916BFE" w:rsidP="00916BFE">
            <w:pPr>
              <w:snapToGrid w:val="0"/>
              <w:spacing w:before="40" w:after="40"/>
              <w:jc w:val="center"/>
              <w:rPr>
                <w:sz w:val="17"/>
                <w:lang w:eastAsia="it-IT"/>
              </w:rPr>
            </w:pPr>
          </w:p>
        </w:tc>
      </w:tr>
      <w:tr w:rsidR="00916BFE" w:rsidRPr="00916BFE" w14:paraId="1CC3C680"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6E9A4122"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54a</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2EC1ABAA" w14:textId="77777777" w:rsidR="00916BFE" w:rsidRPr="00916BFE" w:rsidRDefault="00916BFE" w:rsidP="00916BFE">
            <w:pPr>
              <w:snapToGrid w:val="0"/>
              <w:spacing w:before="40" w:after="40"/>
              <w:ind w:left="57" w:rightChars="71" w:right="142"/>
              <w:rPr>
                <w:sz w:val="17"/>
                <w:szCs w:val="17"/>
                <w:lang w:eastAsia="it-IT"/>
              </w:rPr>
            </w:pPr>
            <w:r w:rsidRPr="00916BFE">
              <w:rPr>
                <w:kern w:val="2"/>
                <w:sz w:val="17"/>
                <w:szCs w:val="17"/>
                <w:lang w:eastAsia="it-IT"/>
              </w:rPr>
              <w:t xml:space="preserve">Insignificant LAC investments in non-capital LAC liabilities of financial sector entities that are outside the scope of regulatory consolidation (amount formerly designated for the 5% threshold but no longer meets the conditions) (for institutions defined as “section 2 institution” under </w:t>
            </w:r>
            <w:r w:rsidRPr="00916BFE">
              <w:rPr>
                <w:sz w:val="17"/>
                <w:szCs w:val="17"/>
              </w:rPr>
              <w:t>§</w:t>
            </w:r>
            <w:r w:rsidRPr="00916BFE">
              <w:rPr>
                <w:kern w:val="2"/>
                <w:sz w:val="17"/>
                <w:szCs w:val="17"/>
                <w:lang w:eastAsia="it-IT"/>
              </w:rPr>
              <w:t>2(1) of Schedule 4F to BCR only)</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6E36B67"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D9C35AB" w14:textId="77777777" w:rsidR="00916BFE" w:rsidRPr="00916BFE" w:rsidRDefault="00916BFE" w:rsidP="00916BFE">
            <w:pPr>
              <w:snapToGrid w:val="0"/>
              <w:spacing w:before="40" w:after="40"/>
              <w:jc w:val="center"/>
              <w:rPr>
                <w:sz w:val="17"/>
                <w:lang w:eastAsia="it-IT"/>
              </w:rPr>
            </w:pPr>
          </w:p>
        </w:tc>
      </w:tr>
      <w:tr w:rsidR="00916BFE" w:rsidRPr="00916BFE" w14:paraId="5935C9B5"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1DA2ED33"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lastRenderedPageBreak/>
              <w:t>55</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0E72890F" w14:textId="77777777" w:rsidR="00916BFE" w:rsidRPr="00916BFE" w:rsidRDefault="00916BFE" w:rsidP="00916BFE">
            <w:pPr>
              <w:snapToGrid w:val="0"/>
              <w:spacing w:before="40" w:after="40"/>
              <w:ind w:left="57" w:rightChars="71" w:right="142"/>
              <w:rPr>
                <w:sz w:val="17"/>
                <w:szCs w:val="17"/>
                <w:lang w:eastAsia="it-IT"/>
              </w:rPr>
            </w:pPr>
            <w:r w:rsidRPr="00916BFE">
              <w:rPr>
                <w:sz w:val="17"/>
                <w:szCs w:val="17"/>
                <w:lang w:eastAsia="it-IT"/>
              </w:rPr>
              <w:t xml:space="preserve">Significant LAC investments in Tier 2 capital instruments issued by financial sector entities that are outside the scope of regulatory consolidation </w:t>
            </w:r>
            <w:r w:rsidRPr="00916BFE">
              <w:rPr>
                <w:sz w:val="17"/>
                <w:szCs w:val="17"/>
              </w:rPr>
              <w:t>(net of eligible short positions)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B00BB85"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626CA90" w14:textId="77777777" w:rsidR="00916BFE" w:rsidRPr="00916BFE" w:rsidRDefault="00916BFE" w:rsidP="00916BFE">
            <w:pPr>
              <w:snapToGrid w:val="0"/>
              <w:spacing w:before="40" w:after="40"/>
              <w:jc w:val="center"/>
              <w:rPr>
                <w:sz w:val="17"/>
                <w:lang w:eastAsia="it-IT"/>
              </w:rPr>
            </w:pPr>
          </w:p>
        </w:tc>
      </w:tr>
      <w:tr w:rsidR="00916BFE" w:rsidRPr="00916BFE" w14:paraId="76783D0B"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7F8804F5"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55a</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203333E6" w14:textId="77777777" w:rsidR="00916BFE" w:rsidRPr="00916BFE" w:rsidRDefault="00916BFE" w:rsidP="00916BFE">
            <w:pPr>
              <w:snapToGrid w:val="0"/>
              <w:spacing w:before="40" w:after="40"/>
              <w:ind w:left="57" w:rightChars="71" w:right="142"/>
              <w:rPr>
                <w:sz w:val="17"/>
                <w:szCs w:val="17"/>
                <w:lang w:eastAsia="it-IT"/>
              </w:rPr>
            </w:pPr>
            <w:r w:rsidRPr="00916BFE">
              <w:rPr>
                <w:kern w:val="2"/>
                <w:sz w:val="17"/>
                <w:szCs w:val="17"/>
                <w:lang w:eastAsia="it-IT"/>
              </w:rPr>
              <w:t>Significant LAC investments in non-capital LAC liabilities of financial sector entities that are outside the scope of regulatory consolidation (net of eligible short positions)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75AD2FF"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25D75AD" w14:textId="77777777" w:rsidR="00916BFE" w:rsidRPr="00916BFE" w:rsidRDefault="00916BFE" w:rsidP="00916BFE">
            <w:pPr>
              <w:snapToGrid w:val="0"/>
              <w:spacing w:before="40" w:after="40"/>
              <w:jc w:val="center"/>
              <w:rPr>
                <w:sz w:val="17"/>
                <w:lang w:eastAsia="it-IT"/>
              </w:rPr>
            </w:pPr>
          </w:p>
        </w:tc>
      </w:tr>
      <w:tr w:rsidR="00916BFE" w:rsidRPr="00916BFE" w14:paraId="0E88E01F"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7DCACEF8"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56</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68730996" w14:textId="77777777" w:rsidR="00916BFE" w:rsidRPr="00916BFE" w:rsidRDefault="00916BFE" w:rsidP="00916BFE">
            <w:pPr>
              <w:snapToGrid w:val="0"/>
              <w:spacing w:before="40" w:after="40"/>
              <w:ind w:left="57" w:rightChars="71" w:right="142"/>
              <w:rPr>
                <w:sz w:val="17"/>
                <w:szCs w:val="17"/>
                <w:lang w:eastAsia="it-IT"/>
              </w:rPr>
            </w:pPr>
            <w:r w:rsidRPr="00916BFE">
              <w:rPr>
                <w:sz w:val="17"/>
                <w:szCs w:val="17"/>
                <w:lang w:eastAsia="it-IT"/>
              </w:rPr>
              <w:t>National specific regulatory adjustments applied to Tier 2 capital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043A552"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E2A0EDB" w14:textId="77777777" w:rsidR="00916BFE" w:rsidRPr="00916BFE" w:rsidRDefault="00916BFE" w:rsidP="00916BFE">
            <w:pPr>
              <w:snapToGrid w:val="0"/>
              <w:spacing w:before="40" w:after="40"/>
              <w:jc w:val="center"/>
              <w:rPr>
                <w:sz w:val="17"/>
                <w:lang w:eastAsia="it-IT"/>
              </w:rPr>
            </w:pPr>
          </w:p>
        </w:tc>
      </w:tr>
      <w:tr w:rsidR="00916BFE" w:rsidRPr="00916BFE" w14:paraId="0D191027"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340AC2B4"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56a</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1BDC4B22" w14:textId="77777777" w:rsidR="00916BFE" w:rsidRPr="00916BFE" w:rsidRDefault="00916BFE" w:rsidP="00916BFE">
            <w:pPr>
              <w:snapToGrid w:val="0"/>
              <w:spacing w:before="40" w:after="40"/>
              <w:ind w:left="57" w:rightChars="71" w:right="142"/>
              <w:rPr>
                <w:sz w:val="17"/>
                <w:szCs w:val="17"/>
                <w:lang w:eastAsia="it-IT"/>
              </w:rPr>
            </w:pPr>
            <w:r w:rsidRPr="00916BFE">
              <w:rPr>
                <w:sz w:val="17"/>
                <w:szCs w:val="17"/>
                <w:lang w:eastAsia="it-IT"/>
              </w:rPr>
              <w:t>Add back of cumulative fair value gains arising from the revaluation of land and buildings (own-use and investment properties) eligible for inclusion in Tier 2 capital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D3B25B9"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232A43" w14:textId="77777777" w:rsidR="00916BFE" w:rsidRPr="00916BFE" w:rsidRDefault="00916BFE" w:rsidP="00916BFE">
            <w:pPr>
              <w:snapToGrid w:val="0"/>
              <w:spacing w:before="40" w:after="40"/>
              <w:jc w:val="center"/>
              <w:rPr>
                <w:sz w:val="17"/>
                <w:lang w:eastAsia="it-IT"/>
              </w:rPr>
            </w:pPr>
          </w:p>
        </w:tc>
      </w:tr>
      <w:tr w:rsidR="00916BFE" w:rsidRPr="00916BFE" w14:paraId="7186FED6"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158D6A68"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56b</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6D37E122" w14:textId="62FEF9E4" w:rsidR="00916BFE" w:rsidRPr="00916BFE" w:rsidRDefault="00916BFE" w:rsidP="003A7CB3">
            <w:pPr>
              <w:snapToGrid w:val="0"/>
              <w:spacing w:before="40" w:after="40"/>
              <w:ind w:left="57" w:rightChars="71" w:right="142"/>
              <w:rPr>
                <w:sz w:val="17"/>
                <w:szCs w:val="17"/>
                <w:lang w:eastAsia="it-IT"/>
              </w:rPr>
            </w:pPr>
            <w:r w:rsidRPr="00916BFE">
              <w:rPr>
                <w:kern w:val="2"/>
                <w:sz w:val="17"/>
                <w:szCs w:val="17"/>
                <w:lang w:eastAsia="it-IT"/>
              </w:rPr>
              <w:t xml:space="preserve">Regulatory deductions applied to Tier 2 capital to cover the required deductions falling within </w:t>
            </w:r>
            <w:r w:rsidR="003A7CB3">
              <w:rPr>
                <w:kern w:val="2"/>
                <w:sz w:val="17"/>
                <w:szCs w:val="17"/>
                <w:lang w:eastAsia="it-IT"/>
              </w:rPr>
              <w:t xml:space="preserve">BCR </w:t>
            </w:r>
            <w:r w:rsidRPr="00916BFE">
              <w:rPr>
                <w:sz w:val="17"/>
                <w:szCs w:val="17"/>
              </w:rPr>
              <w:t>§</w:t>
            </w:r>
            <w:r w:rsidRPr="00916BFE">
              <w:rPr>
                <w:kern w:val="2"/>
                <w:sz w:val="17"/>
                <w:szCs w:val="17"/>
                <w:lang w:eastAsia="it-IT"/>
              </w:rPr>
              <w:t>48(1)(g)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3C4CEE3"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041A5EC" w14:textId="77777777" w:rsidR="00916BFE" w:rsidRPr="00916BFE" w:rsidRDefault="00916BFE" w:rsidP="00916BFE">
            <w:pPr>
              <w:snapToGrid w:val="0"/>
              <w:spacing w:before="40" w:after="40"/>
              <w:jc w:val="center"/>
              <w:rPr>
                <w:sz w:val="17"/>
                <w:lang w:eastAsia="it-IT"/>
              </w:rPr>
            </w:pPr>
          </w:p>
        </w:tc>
      </w:tr>
      <w:tr w:rsidR="00916BFE" w:rsidRPr="00916BFE" w14:paraId="163B5D58"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62EB491C"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57</w:t>
            </w:r>
          </w:p>
        </w:tc>
        <w:tc>
          <w:tcPr>
            <w:tcW w:w="5951" w:type="dxa"/>
            <w:tcBorders>
              <w:top w:val="single" w:sz="4" w:space="0" w:color="auto"/>
              <w:left w:val="single" w:sz="4" w:space="0" w:color="auto"/>
              <w:bottom w:val="single" w:sz="18" w:space="0" w:color="auto"/>
              <w:right w:val="single" w:sz="4" w:space="0" w:color="auto"/>
            </w:tcBorders>
            <w:shd w:val="clear" w:color="auto" w:fill="D9D9D9"/>
          </w:tcPr>
          <w:p w14:paraId="776098A7" w14:textId="77777777" w:rsidR="00916BFE" w:rsidRPr="00916BFE" w:rsidRDefault="00916BFE" w:rsidP="00916BFE">
            <w:pPr>
              <w:snapToGrid w:val="0"/>
              <w:spacing w:before="40" w:after="40"/>
              <w:ind w:left="57" w:rightChars="71" w:right="142"/>
              <w:rPr>
                <w:b/>
                <w:sz w:val="17"/>
                <w:szCs w:val="17"/>
                <w:lang w:eastAsia="it-IT"/>
              </w:rPr>
            </w:pPr>
            <w:r w:rsidRPr="00916BFE">
              <w:rPr>
                <w:b/>
                <w:sz w:val="17"/>
                <w:szCs w:val="17"/>
                <w:lang w:eastAsia="it-IT"/>
              </w:rPr>
              <w:t>Total regulatory adjustments to Tier 2 capital</w:t>
            </w:r>
          </w:p>
        </w:tc>
        <w:tc>
          <w:tcPr>
            <w:tcW w:w="1276" w:type="dxa"/>
            <w:tcBorders>
              <w:top w:val="single" w:sz="4" w:space="0" w:color="auto"/>
              <w:left w:val="single" w:sz="4" w:space="0" w:color="auto"/>
              <w:bottom w:val="single" w:sz="18" w:space="0" w:color="auto"/>
              <w:right w:val="single" w:sz="4" w:space="0" w:color="auto"/>
            </w:tcBorders>
            <w:shd w:val="clear" w:color="auto" w:fill="auto"/>
          </w:tcPr>
          <w:p w14:paraId="4FCD2492"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00D015" w14:textId="77777777" w:rsidR="00916BFE" w:rsidRPr="00916BFE" w:rsidRDefault="00916BFE" w:rsidP="00916BFE">
            <w:pPr>
              <w:snapToGrid w:val="0"/>
              <w:spacing w:before="40" w:after="40"/>
              <w:jc w:val="center"/>
              <w:rPr>
                <w:sz w:val="17"/>
                <w:lang w:eastAsia="it-IT"/>
              </w:rPr>
            </w:pPr>
          </w:p>
        </w:tc>
      </w:tr>
      <w:tr w:rsidR="00916BFE" w:rsidRPr="00916BFE" w14:paraId="7831EE8F" w14:textId="77777777" w:rsidTr="005057BD">
        <w:trPr>
          <w:cantSplit/>
          <w:trHeight w:val="270"/>
        </w:trPr>
        <w:tc>
          <w:tcPr>
            <w:tcW w:w="570" w:type="dxa"/>
            <w:tcBorders>
              <w:top w:val="single" w:sz="6" w:space="0" w:color="auto"/>
              <w:left w:val="nil"/>
              <w:bottom w:val="single" w:sz="6" w:space="0" w:color="auto"/>
              <w:right w:val="single" w:sz="18" w:space="0" w:color="auto"/>
            </w:tcBorders>
            <w:shd w:val="clear" w:color="auto" w:fill="auto"/>
          </w:tcPr>
          <w:p w14:paraId="7E78B6C8"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58</w:t>
            </w:r>
          </w:p>
        </w:tc>
        <w:tc>
          <w:tcPr>
            <w:tcW w:w="5951" w:type="dxa"/>
            <w:tcBorders>
              <w:top w:val="single" w:sz="18" w:space="0" w:color="auto"/>
              <w:left w:val="single" w:sz="18" w:space="0" w:color="auto"/>
              <w:bottom w:val="single" w:sz="18" w:space="0" w:color="auto"/>
              <w:right w:val="single" w:sz="18" w:space="0" w:color="auto"/>
            </w:tcBorders>
            <w:shd w:val="clear" w:color="auto" w:fill="D9D9D9"/>
          </w:tcPr>
          <w:p w14:paraId="7809113C" w14:textId="77777777" w:rsidR="00916BFE" w:rsidRPr="00916BFE" w:rsidRDefault="00916BFE" w:rsidP="00916BFE">
            <w:pPr>
              <w:snapToGrid w:val="0"/>
              <w:spacing w:before="40" w:after="40"/>
              <w:ind w:left="57" w:rightChars="71" w:right="142"/>
              <w:rPr>
                <w:b/>
                <w:sz w:val="17"/>
                <w:szCs w:val="17"/>
                <w:lang w:eastAsia="it-IT"/>
              </w:rPr>
            </w:pPr>
            <w:r w:rsidRPr="00916BFE">
              <w:rPr>
                <w:b/>
                <w:sz w:val="17"/>
                <w:szCs w:val="17"/>
                <w:lang w:eastAsia="it-IT"/>
              </w:rPr>
              <w:t>Tier 2 capital (T2)</w:t>
            </w:r>
          </w:p>
        </w:tc>
        <w:tc>
          <w:tcPr>
            <w:tcW w:w="1276" w:type="dxa"/>
            <w:tcBorders>
              <w:top w:val="single" w:sz="18" w:space="0" w:color="auto"/>
              <w:left w:val="single" w:sz="18" w:space="0" w:color="auto"/>
              <w:bottom w:val="single" w:sz="18" w:space="0" w:color="auto"/>
              <w:right w:val="single" w:sz="18" w:space="0" w:color="auto"/>
            </w:tcBorders>
            <w:shd w:val="clear" w:color="auto" w:fill="auto"/>
          </w:tcPr>
          <w:p w14:paraId="0EE7314C"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18" w:space="0" w:color="auto"/>
              <w:bottom w:val="single" w:sz="4" w:space="0" w:color="auto"/>
              <w:right w:val="single" w:sz="4" w:space="0" w:color="auto"/>
            </w:tcBorders>
            <w:shd w:val="clear" w:color="auto" w:fill="auto"/>
          </w:tcPr>
          <w:p w14:paraId="565AE5E2" w14:textId="77777777" w:rsidR="00916BFE" w:rsidRPr="00916BFE" w:rsidRDefault="00916BFE" w:rsidP="00916BFE">
            <w:pPr>
              <w:snapToGrid w:val="0"/>
              <w:spacing w:before="40" w:after="40"/>
              <w:jc w:val="center"/>
              <w:rPr>
                <w:sz w:val="17"/>
                <w:lang w:eastAsia="it-IT"/>
              </w:rPr>
            </w:pPr>
          </w:p>
        </w:tc>
      </w:tr>
      <w:tr w:rsidR="00916BFE" w:rsidRPr="00916BFE" w14:paraId="08B18262" w14:textId="77777777" w:rsidTr="005057BD">
        <w:trPr>
          <w:cantSplit/>
          <w:trHeight w:val="270"/>
        </w:trPr>
        <w:tc>
          <w:tcPr>
            <w:tcW w:w="570" w:type="dxa"/>
            <w:tcBorders>
              <w:top w:val="single" w:sz="6" w:space="0" w:color="auto"/>
              <w:left w:val="nil"/>
              <w:bottom w:val="single" w:sz="6" w:space="0" w:color="auto"/>
              <w:right w:val="single" w:sz="18" w:space="0" w:color="auto"/>
            </w:tcBorders>
            <w:shd w:val="clear" w:color="auto" w:fill="auto"/>
          </w:tcPr>
          <w:p w14:paraId="2E99CD86"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59</w:t>
            </w:r>
          </w:p>
        </w:tc>
        <w:tc>
          <w:tcPr>
            <w:tcW w:w="5951" w:type="dxa"/>
            <w:tcBorders>
              <w:top w:val="single" w:sz="18" w:space="0" w:color="auto"/>
              <w:left w:val="single" w:sz="18" w:space="0" w:color="auto"/>
              <w:bottom w:val="single" w:sz="18" w:space="0" w:color="auto"/>
              <w:right w:val="single" w:sz="18" w:space="0" w:color="auto"/>
            </w:tcBorders>
            <w:shd w:val="clear" w:color="auto" w:fill="D9D9D9"/>
          </w:tcPr>
          <w:p w14:paraId="5D6E64F8" w14:textId="77777777" w:rsidR="00916BFE" w:rsidRPr="00916BFE" w:rsidRDefault="00916BFE" w:rsidP="00916BFE">
            <w:pPr>
              <w:snapToGrid w:val="0"/>
              <w:spacing w:before="40" w:after="40"/>
              <w:ind w:left="57" w:rightChars="71" w:right="142"/>
              <w:rPr>
                <w:b/>
                <w:sz w:val="17"/>
                <w:szCs w:val="17"/>
                <w:lang w:eastAsia="it-IT"/>
              </w:rPr>
            </w:pPr>
            <w:r w:rsidRPr="00916BFE">
              <w:rPr>
                <w:b/>
                <w:sz w:val="17"/>
                <w:szCs w:val="17"/>
                <w:lang w:eastAsia="it-IT"/>
              </w:rPr>
              <w:t>Total regulatory capital (TC = T1 + T2)</w:t>
            </w:r>
          </w:p>
        </w:tc>
        <w:tc>
          <w:tcPr>
            <w:tcW w:w="1276" w:type="dxa"/>
            <w:tcBorders>
              <w:top w:val="single" w:sz="18" w:space="0" w:color="auto"/>
              <w:left w:val="single" w:sz="18" w:space="0" w:color="auto"/>
              <w:bottom w:val="single" w:sz="18" w:space="0" w:color="auto"/>
              <w:right w:val="single" w:sz="18" w:space="0" w:color="auto"/>
            </w:tcBorders>
            <w:shd w:val="clear" w:color="auto" w:fill="auto"/>
          </w:tcPr>
          <w:p w14:paraId="6F246F62"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18" w:space="0" w:color="auto"/>
              <w:bottom w:val="single" w:sz="4" w:space="0" w:color="auto"/>
              <w:right w:val="single" w:sz="4" w:space="0" w:color="auto"/>
            </w:tcBorders>
            <w:shd w:val="clear" w:color="auto" w:fill="auto"/>
          </w:tcPr>
          <w:p w14:paraId="63D1F504" w14:textId="77777777" w:rsidR="00916BFE" w:rsidRPr="00916BFE" w:rsidRDefault="00916BFE" w:rsidP="00916BFE">
            <w:pPr>
              <w:snapToGrid w:val="0"/>
              <w:spacing w:before="40" w:after="40"/>
              <w:jc w:val="center"/>
              <w:rPr>
                <w:sz w:val="17"/>
                <w:lang w:eastAsia="it-IT"/>
              </w:rPr>
            </w:pPr>
          </w:p>
        </w:tc>
      </w:tr>
      <w:tr w:rsidR="00916BFE" w:rsidRPr="00916BFE" w14:paraId="7C1ED4EC" w14:textId="77777777" w:rsidTr="005057BD">
        <w:trPr>
          <w:cantSplit/>
          <w:trHeight w:val="270"/>
        </w:trPr>
        <w:tc>
          <w:tcPr>
            <w:tcW w:w="570" w:type="dxa"/>
            <w:tcBorders>
              <w:top w:val="single" w:sz="6" w:space="0" w:color="auto"/>
              <w:left w:val="nil"/>
              <w:bottom w:val="single" w:sz="6" w:space="0" w:color="auto"/>
              <w:right w:val="single" w:sz="18" w:space="0" w:color="auto"/>
            </w:tcBorders>
            <w:shd w:val="clear" w:color="auto" w:fill="auto"/>
          </w:tcPr>
          <w:p w14:paraId="1CE39A9B"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60</w:t>
            </w:r>
          </w:p>
        </w:tc>
        <w:tc>
          <w:tcPr>
            <w:tcW w:w="5951" w:type="dxa"/>
            <w:tcBorders>
              <w:top w:val="single" w:sz="18" w:space="0" w:color="auto"/>
              <w:left w:val="single" w:sz="18" w:space="0" w:color="auto"/>
              <w:bottom w:val="single" w:sz="18" w:space="0" w:color="auto"/>
              <w:right w:val="single" w:sz="18" w:space="0" w:color="auto"/>
            </w:tcBorders>
            <w:shd w:val="clear" w:color="auto" w:fill="D9D9D9"/>
          </w:tcPr>
          <w:p w14:paraId="62AEFE34" w14:textId="77777777" w:rsidR="00916BFE" w:rsidRPr="00916BFE" w:rsidRDefault="00916BFE" w:rsidP="00916BFE">
            <w:pPr>
              <w:snapToGrid w:val="0"/>
              <w:spacing w:before="40" w:after="40"/>
              <w:ind w:left="57" w:rightChars="71" w:right="142"/>
              <w:rPr>
                <w:b/>
                <w:sz w:val="17"/>
                <w:szCs w:val="17"/>
                <w:lang w:eastAsia="it-IT"/>
              </w:rPr>
            </w:pPr>
            <w:r w:rsidRPr="00916BFE">
              <w:rPr>
                <w:b/>
                <w:sz w:val="17"/>
                <w:szCs w:val="17"/>
                <w:lang w:eastAsia="it-IT"/>
              </w:rPr>
              <w:t>Total RWA</w:t>
            </w:r>
          </w:p>
        </w:tc>
        <w:tc>
          <w:tcPr>
            <w:tcW w:w="1276" w:type="dxa"/>
            <w:tcBorders>
              <w:top w:val="single" w:sz="18" w:space="0" w:color="auto"/>
              <w:left w:val="single" w:sz="18" w:space="0" w:color="auto"/>
              <w:bottom w:val="single" w:sz="18" w:space="0" w:color="auto"/>
              <w:right w:val="single" w:sz="18" w:space="0" w:color="auto"/>
            </w:tcBorders>
            <w:shd w:val="clear" w:color="auto" w:fill="auto"/>
          </w:tcPr>
          <w:p w14:paraId="6E5AFF2F"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18" w:space="0" w:color="auto"/>
              <w:bottom w:val="single" w:sz="4" w:space="0" w:color="auto"/>
              <w:right w:val="single" w:sz="4" w:space="0" w:color="auto"/>
            </w:tcBorders>
            <w:shd w:val="clear" w:color="auto" w:fill="auto"/>
          </w:tcPr>
          <w:p w14:paraId="33FC964D" w14:textId="77777777" w:rsidR="00916BFE" w:rsidRPr="00916BFE" w:rsidRDefault="00916BFE" w:rsidP="00916BFE">
            <w:pPr>
              <w:snapToGrid w:val="0"/>
              <w:spacing w:before="40" w:after="40"/>
              <w:jc w:val="center"/>
              <w:rPr>
                <w:sz w:val="17"/>
                <w:lang w:eastAsia="it-IT"/>
              </w:rPr>
            </w:pPr>
          </w:p>
        </w:tc>
      </w:tr>
      <w:tr w:rsidR="00916BFE" w:rsidRPr="00916BFE" w14:paraId="210B6F11"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6A6A6"/>
          </w:tcPr>
          <w:p w14:paraId="45DB507A" w14:textId="77777777" w:rsidR="00916BFE" w:rsidRPr="00916BFE" w:rsidRDefault="00916BFE" w:rsidP="00916BFE">
            <w:pPr>
              <w:snapToGrid w:val="0"/>
              <w:spacing w:before="40" w:after="40"/>
              <w:ind w:left="57"/>
              <w:rPr>
                <w:sz w:val="17"/>
                <w:szCs w:val="17"/>
                <w:lang w:eastAsia="en-GB"/>
              </w:rPr>
            </w:pPr>
          </w:p>
        </w:tc>
        <w:tc>
          <w:tcPr>
            <w:tcW w:w="5951" w:type="dxa"/>
            <w:tcBorders>
              <w:top w:val="single" w:sz="18" w:space="0" w:color="auto"/>
              <w:left w:val="single" w:sz="4" w:space="0" w:color="auto"/>
              <w:bottom w:val="single" w:sz="18" w:space="0" w:color="auto"/>
              <w:right w:val="single" w:sz="4" w:space="0" w:color="auto"/>
            </w:tcBorders>
            <w:shd w:val="clear" w:color="auto" w:fill="A6A6A6"/>
          </w:tcPr>
          <w:p w14:paraId="09AB4425" w14:textId="77777777" w:rsidR="00916BFE" w:rsidRPr="00916BFE" w:rsidRDefault="00916BFE" w:rsidP="00916BFE">
            <w:pPr>
              <w:snapToGrid w:val="0"/>
              <w:spacing w:before="40" w:after="40"/>
              <w:ind w:left="57" w:rightChars="71" w:right="142"/>
              <w:rPr>
                <w:b/>
                <w:sz w:val="17"/>
                <w:szCs w:val="17"/>
                <w:lang w:eastAsia="it-IT"/>
              </w:rPr>
            </w:pPr>
            <w:r w:rsidRPr="00916BFE">
              <w:rPr>
                <w:b/>
                <w:sz w:val="17"/>
                <w:szCs w:val="17"/>
                <w:lang w:eastAsia="it-IT"/>
              </w:rPr>
              <w:t>Capital ratios (as a percentage of RWA)</w:t>
            </w:r>
          </w:p>
        </w:tc>
        <w:tc>
          <w:tcPr>
            <w:tcW w:w="1276" w:type="dxa"/>
            <w:tcBorders>
              <w:top w:val="single" w:sz="18" w:space="0" w:color="auto"/>
              <w:left w:val="single" w:sz="4" w:space="0" w:color="auto"/>
              <w:bottom w:val="single" w:sz="18" w:space="0" w:color="auto"/>
              <w:right w:val="single" w:sz="4" w:space="0" w:color="auto"/>
            </w:tcBorders>
            <w:shd w:val="clear" w:color="auto" w:fill="A6A6A6"/>
          </w:tcPr>
          <w:p w14:paraId="0A620188"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6A6A6"/>
          </w:tcPr>
          <w:p w14:paraId="6CE179D2" w14:textId="77777777" w:rsidR="00916BFE" w:rsidRPr="00916BFE" w:rsidRDefault="00916BFE" w:rsidP="00916BFE">
            <w:pPr>
              <w:snapToGrid w:val="0"/>
              <w:spacing w:before="40" w:after="40"/>
              <w:jc w:val="center"/>
              <w:rPr>
                <w:sz w:val="17"/>
                <w:lang w:eastAsia="it-IT"/>
              </w:rPr>
            </w:pPr>
          </w:p>
        </w:tc>
      </w:tr>
      <w:tr w:rsidR="00916BFE" w:rsidRPr="00916BFE" w14:paraId="336057B0" w14:textId="77777777" w:rsidTr="005057BD">
        <w:trPr>
          <w:cantSplit/>
          <w:trHeight w:val="270"/>
        </w:trPr>
        <w:tc>
          <w:tcPr>
            <w:tcW w:w="570" w:type="dxa"/>
            <w:tcBorders>
              <w:top w:val="single" w:sz="6" w:space="0" w:color="auto"/>
              <w:left w:val="nil"/>
              <w:bottom w:val="single" w:sz="6" w:space="0" w:color="auto"/>
              <w:right w:val="single" w:sz="18" w:space="0" w:color="auto"/>
            </w:tcBorders>
            <w:shd w:val="clear" w:color="auto" w:fill="auto"/>
          </w:tcPr>
          <w:p w14:paraId="4EB0A9BB"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61</w:t>
            </w:r>
          </w:p>
        </w:tc>
        <w:tc>
          <w:tcPr>
            <w:tcW w:w="5951" w:type="dxa"/>
            <w:tcBorders>
              <w:top w:val="single" w:sz="18" w:space="0" w:color="auto"/>
              <w:left w:val="single" w:sz="18" w:space="0" w:color="auto"/>
              <w:bottom w:val="single" w:sz="18" w:space="0" w:color="auto"/>
              <w:right w:val="single" w:sz="18" w:space="0" w:color="auto"/>
            </w:tcBorders>
            <w:shd w:val="clear" w:color="auto" w:fill="D9D9D9"/>
          </w:tcPr>
          <w:p w14:paraId="6A6C3A81" w14:textId="77777777" w:rsidR="00916BFE" w:rsidRPr="00916BFE" w:rsidRDefault="00916BFE" w:rsidP="00916BFE">
            <w:pPr>
              <w:snapToGrid w:val="0"/>
              <w:spacing w:before="40" w:after="40"/>
              <w:ind w:left="57" w:rightChars="71" w:right="142"/>
              <w:rPr>
                <w:b/>
                <w:sz w:val="17"/>
                <w:szCs w:val="17"/>
                <w:lang w:eastAsia="it-IT"/>
              </w:rPr>
            </w:pPr>
            <w:r w:rsidRPr="00916BFE">
              <w:rPr>
                <w:b/>
                <w:sz w:val="17"/>
                <w:szCs w:val="17"/>
                <w:lang w:eastAsia="it-IT"/>
              </w:rPr>
              <w:t>CET1 capital ratio</w:t>
            </w:r>
          </w:p>
        </w:tc>
        <w:tc>
          <w:tcPr>
            <w:tcW w:w="1276" w:type="dxa"/>
            <w:tcBorders>
              <w:top w:val="single" w:sz="18" w:space="0" w:color="auto"/>
              <w:left w:val="single" w:sz="18" w:space="0" w:color="auto"/>
              <w:bottom w:val="single" w:sz="18" w:space="0" w:color="auto"/>
              <w:right w:val="single" w:sz="18" w:space="0" w:color="auto"/>
            </w:tcBorders>
            <w:shd w:val="clear" w:color="auto" w:fill="auto"/>
          </w:tcPr>
          <w:p w14:paraId="550D6351"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18" w:space="0" w:color="auto"/>
              <w:bottom w:val="single" w:sz="4" w:space="0" w:color="auto"/>
              <w:right w:val="single" w:sz="4" w:space="0" w:color="auto"/>
            </w:tcBorders>
            <w:shd w:val="clear" w:color="auto" w:fill="auto"/>
          </w:tcPr>
          <w:p w14:paraId="7DA80F4F" w14:textId="77777777" w:rsidR="00916BFE" w:rsidRPr="00916BFE" w:rsidRDefault="00916BFE" w:rsidP="00916BFE">
            <w:pPr>
              <w:snapToGrid w:val="0"/>
              <w:spacing w:before="40" w:after="40"/>
              <w:jc w:val="center"/>
              <w:rPr>
                <w:sz w:val="17"/>
                <w:lang w:eastAsia="it-IT"/>
              </w:rPr>
            </w:pPr>
          </w:p>
        </w:tc>
      </w:tr>
      <w:tr w:rsidR="00916BFE" w:rsidRPr="00916BFE" w14:paraId="15E8F204" w14:textId="77777777" w:rsidTr="005057BD">
        <w:trPr>
          <w:cantSplit/>
          <w:trHeight w:val="270"/>
        </w:trPr>
        <w:tc>
          <w:tcPr>
            <w:tcW w:w="570" w:type="dxa"/>
            <w:tcBorders>
              <w:top w:val="single" w:sz="6" w:space="0" w:color="auto"/>
              <w:left w:val="nil"/>
              <w:bottom w:val="single" w:sz="6" w:space="0" w:color="auto"/>
              <w:right w:val="single" w:sz="18" w:space="0" w:color="auto"/>
            </w:tcBorders>
            <w:shd w:val="clear" w:color="auto" w:fill="auto"/>
          </w:tcPr>
          <w:p w14:paraId="1210DCDF"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62</w:t>
            </w:r>
          </w:p>
        </w:tc>
        <w:tc>
          <w:tcPr>
            <w:tcW w:w="5951" w:type="dxa"/>
            <w:tcBorders>
              <w:top w:val="single" w:sz="18" w:space="0" w:color="auto"/>
              <w:left w:val="single" w:sz="18" w:space="0" w:color="auto"/>
              <w:bottom w:val="single" w:sz="18" w:space="0" w:color="auto"/>
              <w:right w:val="single" w:sz="18" w:space="0" w:color="auto"/>
            </w:tcBorders>
            <w:shd w:val="clear" w:color="auto" w:fill="D9D9D9"/>
          </w:tcPr>
          <w:p w14:paraId="2BF61A00" w14:textId="77777777" w:rsidR="00916BFE" w:rsidRPr="00916BFE" w:rsidRDefault="00916BFE" w:rsidP="00916BFE">
            <w:pPr>
              <w:snapToGrid w:val="0"/>
              <w:spacing w:before="40" w:after="40"/>
              <w:ind w:left="57" w:rightChars="71" w:right="142"/>
              <w:rPr>
                <w:b/>
                <w:sz w:val="17"/>
                <w:szCs w:val="17"/>
                <w:lang w:eastAsia="it-IT"/>
              </w:rPr>
            </w:pPr>
            <w:r w:rsidRPr="00916BFE">
              <w:rPr>
                <w:b/>
                <w:sz w:val="17"/>
                <w:szCs w:val="17"/>
                <w:lang w:eastAsia="it-IT"/>
              </w:rPr>
              <w:t>Tier 1 capital ratio</w:t>
            </w:r>
          </w:p>
        </w:tc>
        <w:tc>
          <w:tcPr>
            <w:tcW w:w="1276" w:type="dxa"/>
            <w:tcBorders>
              <w:top w:val="single" w:sz="18" w:space="0" w:color="auto"/>
              <w:left w:val="single" w:sz="18" w:space="0" w:color="auto"/>
              <w:bottom w:val="single" w:sz="18" w:space="0" w:color="auto"/>
              <w:right w:val="single" w:sz="18" w:space="0" w:color="auto"/>
            </w:tcBorders>
            <w:shd w:val="clear" w:color="auto" w:fill="auto"/>
          </w:tcPr>
          <w:p w14:paraId="1B503450"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18" w:space="0" w:color="auto"/>
              <w:bottom w:val="single" w:sz="4" w:space="0" w:color="auto"/>
              <w:right w:val="single" w:sz="4" w:space="0" w:color="auto"/>
            </w:tcBorders>
            <w:shd w:val="clear" w:color="auto" w:fill="auto"/>
          </w:tcPr>
          <w:p w14:paraId="6EF3B162" w14:textId="77777777" w:rsidR="00916BFE" w:rsidRPr="00916BFE" w:rsidRDefault="00916BFE" w:rsidP="00916BFE">
            <w:pPr>
              <w:snapToGrid w:val="0"/>
              <w:spacing w:before="40" w:after="40"/>
              <w:jc w:val="center"/>
              <w:rPr>
                <w:sz w:val="17"/>
                <w:lang w:eastAsia="it-IT"/>
              </w:rPr>
            </w:pPr>
          </w:p>
        </w:tc>
      </w:tr>
      <w:tr w:rsidR="00916BFE" w:rsidRPr="00916BFE" w14:paraId="2ED47C8F" w14:textId="77777777" w:rsidTr="005057BD">
        <w:trPr>
          <w:cantSplit/>
          <w:trHeight w:val="270"/>
        </w:trPr>
        <w:tc>
          <w:tcPr>
            <w:tcW w:w="570" w:type="dxa"/>
            <w:tcBorders>
              <w:top w:val="single" w:sz="6" w:space="0" w:color="auto"/>
              <w:left w:val="nil"/>
              <w:bottom w:val="single" w:sz="6" w:space="0" w:color="auto"/>
              <w:right w:val="single" w:sz="18" w:space="0" w:color="auto"/>
            </w:tcBorders>
            <w:shd w:val="clear" w:color="auto" w:fill="auto"/>
          </w:tcPr>
          <w:p w14:paraId="24994F35"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63</w:t>
            </w:r>
          </w:p>
        </w:tc>
        <w:tc>
          <w:tcPr>
            <w:tcW w:w="5951" w:type="dxa"/>
            <w:tcBorders>
              <w:top w:val="single" w:sz="18" w:space="0" w:color="auto"/>
              <w:left w:val="single" w:sz="18" w:space="0" w:color="auto"/>
              <w:bottom w:val="single" w:sz="18" w:space="0" w:color="auto"/>
              <w:right w:val="single" w:sz="18" w:space="0" w:color="auto"/>
            </w:tcBorders>
            <w:shd w:val="clear" w:color="auto" w:fill="D9D9D9"/>
          </w:tcPr>
          <w:p w14:paraId="2880703C" w14:textId="77777777" w:rsidR="00916BFE" w:rsidRPr="00916BFE" w:rsidRDefault="00916BFE" w:rsidP="00916BFE">
            <w:pPr>
              <w:snapToGrid w:val="0"/>
              <w:spacing w:before="40" w:after="40"/>
              <w:ind w:left="57" w:rightChars="71" w:right="142"/>
              <w:rPr>
                <w:b/>
                <w:sz w:val="17"/>
                <w:szCs w:val="17"/>
                <w:lang w:eastAsia="it-IT"/>
              </w:rPr>
            </w:pPr>
            <w:r w:rsidRPr="00916BFE">
              <w:rPr>
                <w:b/>
                <w:sz w:val="17"/>
                <w:szCs w:val="17"/>
                <w:lang w:eastAsia="it-IT"/>
              </w:rPr>
              <w:t>Total capital ratio</w:t>
            </w:r>
          </w:p>
        </w:tc>
        <w:tc>
          <w:tcPr>
            <w:tcW w:w="1276" w:type="dxa"/>
            <w:tcBorders>
              <w:top w:val="single" w:sz="18" w:space="0" w:color="auto"/>
              <w:left w:val="single" w:sz="18" w:space="0" w:color="auto"/>
              <w:bottom w:val="single" w:sz="18" w:space="0" w:color="auto"/>
              <w:right w:val="single" w:sz="18" w:space="0" w:color="auto"/>
            </w:tcBorders>
            <w:shd w:val="clear" w:color="auto" w:fill="auto"/>
          </w:tcPr>
          <w:p w14:paraId="625E6850"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18" w:space="0" w:color="auto"/>
              <w:bottom w:val="single" w:sz="4" w:space="0" w:color="auto"/>
              <w:right w:val="single" w:sz="4" w:space="0" w:color="auto"/>
            </w:tcBorders>
            <w:shd w:val="clear" w:color="auto" w:fill="auto"/>
          </w:tcPr>
          <w:p w14:paraId="5AD4BFF2" w14:textId="77777777" w:rsidR="00916BFE" w:rsidRPr="00916BFE" w:rsidRDefault="00916BFE" w:rsidP="00916BFE">
            <w:pPr>
              <w:snapToGrid w:val="0"/>
              <w:spacing w:before="40" w:after="40"/>
              <w:jc w:val="center"/>
              <w:rPr>
                <w:sz w:val="17"/>
                <w:lang w:eastAsia="it-IT"/>
              </w:rPr>
            </w:pPr>
          </w:p>
        </w:tc>
      </w:tr>
      <w:tr w:rsidR="00916BFE" w:rsidRPr="00916BFE" w14:paraId="747440EB" w14:textId="77777777" w:rsidTr="005057BD">
        <w:trPr>
          <w:cantSplit/>
          <w:trHeight w:val="270"/>
        </w:trPr>
        <w:tc>
          <w:tcPr>
            <w:tcW w:w="570" w:type="dxa"/>
            <w:tcBorders>
              <w:top w:val="single" w:sz="6" w:space="0" w:color="auto"/>
              <w:left w:val="nil"/>
              <w:bottom w:val="single" w:sz="6" w:space="0" w:color="auto"/>
              <w:right w:val="single" w:sz="18" w:space="0" w:color="auto"/>
            </w:tcBorders>
            <w:shd w:val="clear" w:color="auto" w:fill="auto"/>
          </w:tcPr>
          <w:p w14:paraId="28BB4507"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64</w:t>
            </w:r>
          </w:p>
        </w:tc>
        <w:tc>
          <w:tcPr>
            <w:tcW w:w="5951" w:type="dxa"/>
            <w:tcBorders>
              <w:top w:val="single" w:sz="18" w:space="0" w:color="auto"/>
              <w:left w:val="single" w:sz="18" w:space="0" w:color="auto"/>
              <w:bottom w:val="single" w:sz="18" w:space="0" w:color="auto"/>
              <w:right w:val="single" w:sz="18" w:space="0" w:color="auto"/>
            </w:tcBorders>
            <w:shd w:val="clear" w:color="auto" w:fill="D9D9D9"/>
          </w:tcPr>
          <w:p w14:paraId="3353F788" w14:textId="77777777" w:rsidR="00916BFE" w:rsidRPr="00916BFE" w:rsidRDefault="00916BFE" w:rsidP="00916BFE">
            <w:pPr>
              <w:snapToGrid w:val="0"/>
              <w:spacing w:before="40" w:after="40"/>
              <w:ind w:left="57" w:rightChars="71" w:right="142"/>
              <w:rPr>
                <w:b/>
                <w:sz w:val="17"/>
                <w:szCs w:val="17"/>
                <w:lang w:eastAsia="it-IT"/>
              </w:rPr>
            </w:pPr>
            <w:r w:rsidRPr="00916BFE">
              <w:rPr>
                <w:b/>
                <w:sz w:val="17"/>
                <w:szCs w:val="17"/>
                <w:lang w:eastAsia="it-IT"/>
              </w:rPr>
              <w:t>Institution-specific buffer requirement (capital conservation buffer plus countercyclical capital buffer plus higher loss absorbency requirements)</w:t>
            </w:r>
          </w:p>
        </w:tc>
        <w:tc>
          <w:tcPr>
            <w:tcW w:w="1276" w:type="dxa"/>
            <w:tcBorders>
              <w:top w:val="single" w:sz="18" w:space="0" w:color="auto"/>
              <w:left w:val="single" w:sz="18" w:space="0" w:color="auto"/>
              <w:bottom w:val="single" w:sz="18" w:space="0" w:color="auto"/>
              <w:right w:val="single" w:sz="18" w:space="0" w:color="auto"/>
            </w:tcBorders>
            <w:shd w:val="clear" w:color="auto" w:fill="auto"/>
          </w:tcPr>
          <w:p w14:paraId="374BFC04"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18" w:space="0" w:color="auto"/>
              <w:bottom w:val="single" w:sz="4" w:space="0" w:color="auto"/>
              <w:right w:val="single" w:sz="4" w:space="0" w:color="auto"/>
            </w:tcBorders>
            <w:shd w:val="clear" w:color="auto" w:fill="auto"/>
          </w:tcPr>
          <w:p w14:paraId="790FF699" w14:textId="77777777" w:rsidR="00916BFE" w:rsidRPr="00916BFE" w:rsidRDefault="00916BFE" w:rsidP="00916BFE">
            <w:pPr>
              <w:snapToGrid w:val="0"/>
              <w:spacing w:before="40" w:after="40"/>
              <w:jc w:val="center"/>
              <w:rPr>
                <w:sz w:val="17"/>
                <w:lang w:eastAsia="it-IT"/>
              </w:rPr>
            </w:pPr>
          </w:p>
        </w:tc>
      </w:tr>
      <w:tr w:rsidR="00916BFE" w:rsidRPr="00916BFE" w14:paraId="2EEDD398"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2AEB6298"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65</w:t>
            </w:r>
          </w:p>
        </w:tc>
        <w:tc>
          <w:tcPr>
            <w:tcW w:w="5951" w:type="dxa"/>
            <w:tcBorders>
              <w:top w:val="single" w:sz="18" w:space="0" w:color="auto"/>
              <w:left w:val="single" w:sz="4" w:space="0" w:color="auto"/>
              <w:bottom w:val="single" w:sz="4" w:space="0" w:color="auto"/>
              <w:right w:val="single" w:sz="4" w:space="0" w:color="auto"/>
            </w:tcBorders>
            <w:shd w:val="clear" w:color="auto" w:fill="auto"/>
          </w:tcPr>
          <w:p w14:paraId="2332385D" w14:textId="77777777" w:rsidR="00916BFE" w:rsidRPr="00916BFE" w:rsidRDefault="00916BFE" w:rsidP="00916BFE">
            <w:pPr>
              <w:snapToGrid w:val="0"/>
              <w:spacing w:before="40" w:after="40"/>
              <w:ind w:left="423" w:rightChars="71" w:right="142"/>
              <w:rPr>
                <w:sz w:val="17"/>
                <w:szCs w:val="17"/>
                <w:lang w:eastAsia="it-IT"/>
              </w:rPr>
            </w:pPr>
            <w:r w:rsidRPr="00916BFE">
              <w:rPr>
                <w:sz w:val="17"/>
                <w:szCs w:val="17"/>
                <w:lang w:eastAsia="it-IT"/>
              </w:rPr>
              <w:t>of which: capital conservation buffer requirement</w:t>
            </w:r>
          </w:p>
        </w:tc>
        <w:tc>
          <w:tcPr>
            <w:tcW w:w="1276" w:type="dxa"/>
            <w:tcBorders>
              <w:top w:val="single" w:sz="18" w:space="0" w:color="auto"/>
              <w:left w:val="single" w:sz="4" w:space="0" w:color="auto"/>
              <w:bottom w:val="single" w:sz="4" w:space="0" w:color="auto"/>
              <w:right w:val="single" w:sz="4" w:space="0" w:color="auto"/>
            </w:tcBorders>
            <w:shd w:val="clear" w:color="auto" w:fill="auto"/>
          </w:tcPr>
          <w:p w14:paraId="58A904C7"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7291A96" w14:textId="77777777" w:rsidR="00916BFE" w:rsidRPr="00916BFE" w:rsidRDefault="00916BFE" w:rsidP="00916BFE">
            <w:pPr>
              <w:snapToGrid w:val="0"/>
              <w:spacing w:before="40" w:after="40"/>
              <w:jc w:val="center"/>
              <w:rPr>
                <w:sz w:val="17"/>
                <w:lang w:eastAsia="it-IT"/>
              </w:rPr>
            </w:pPr>
          </w:p>
        </w:tc>
      </w:tr>
      <w:tr w:rsidR="00916BFE" w:rsidRPr="00916BFE" w14:paraId="3B2A13EB"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74DB45A8"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66</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1B0C3D43" w14:textId="77777777" w:rsidR="00916BFE" w:rsidRPr="00916BFE" w:rsidRDefault="00916BFE" w:rsidP="00916BFE">
            <w:pPr>
              <w:snapToGrid w:val="0"/>
              <w:spacing w:before="40" w:after="40"/>
              <w:ind w:left="423" w:rightChars="71" w:right="142"/>
              <w:rPr>
                <w:sz w:val="17"/>
                <w:szCs w:val="17"/>
                <w:lang w:eastAsia="it-IT"/>
              </w:rPr>
            </w:pPr>
            <w:r w:rsidRPr="00916BFE">
              <w:rPr>
                <w:sz w:val="17"/>
                <w:szCs w:val="17"/>
                <w:lang w:eastAsia="it-IT"/>
              </w:rPr>
              <w:t>of which: bank specific countercyclical capital buffer requirement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F96F74D"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9A1526" w14:textId="77777777" w:rsidR="00916BFE" w:rsidRPr="00916BFE" w:rsidRDefault="00916BFE" w:rsidP="00916BFE">
            <w:pPr>
              <w:snapToGrid w:val="0"/>
              <w:spacing w:before="40" w:after="40"/>
              <w:jc w:val="center"/>
              <w:rPr>
                <w:sz w:val="17"/>
                <w:lang w:eastAsia="it-IT"/>
              </w:rPr>
            </w:pPr>
          </w:p>
        </w:tc>
      </w:tr>
      <w:tr w:rsidR="00916BFE" w:rsidRPr="00916BFE" w14:paraId="058436A3"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584AF24A"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67</w:t>
            </w:r>
          </w:p>
        </w:tc>
        <w:tc>
          <w:tcPr>
            <w:tcW w:w="5951" w:type="dxa"/>
            <w:tcBorders>
              <w:top w:val="single" w:sz="4" w:space="0" w:color="auto"/>
              <w:left w:val="single" w:sz="4" w:space="0" w:color="auto"/>
              <w:bottom w:val="single" w:sz="12" w:space="0" w:color="auto"/>
              <w:right w:val="single" w:sz="4" w:space="0" w:color="auto"/>
            </w:tcBorders>
            <w:shd w:val="clear" w:color="auto" w:fill="auto"/>
          </w:tcPr>
          <w:p w14:paraId="4E3DEB81" w14:textId="77777777" w:rsidR="00916BFE" w:rsidRPr="00916BFE" w:rsidRDefault="00916BFE" w:rsidP="00916BFE">
            <w:pPr>
              <w:snapToGrid w:val="0"/>
              <w:spacing w:before="40" w:after="40"/>
              <w:ind w:left="423" w:rightChars="71" w:right="142"/>
              <w:rPr>
                <w:sz w:val="17"/>
                <w:szCs w:val="17"/>
                <w:lang w:eastAsia="it-IT"/>
              </w:rPr>
            </w:pPr>
            <w:r w:rsidRPr="00916BFE">
              <w:rPr>
                <w:sz w:val="17"/>
                <w:szCs w:val="17"/>
                <w:lang w:eastAsia="it-IT"/>
              </w:rPr>
              <w:t>of which: higher loss absorbency requirement</w:t>
            </w:r>
          </w:p>
        </w:tc>
        <w:tc>
          <w:tcPr>
            <w:tcW w:w="1276" w:type="dxa"/>
            <w:tcBorders>
              <w:top w:val="single" w:sz="4" w:space="0" w:color="auto"/>
              <w:left w:val="single" w:sz="4" w:space="0" w:color="auto"/>
              <w:bottom w:val="single" w:sz="12" w:space="0" w:color="auto"/>
              <w:right w:val="single" w:sz="4" w:space="0" w:color="auto"/>
            </w:tcBorders>
            <w:shd w:val="clear" w:color="auto" w:fill="auto"/>
          </w:tcPr>
          <w:p w14:paraId="38809FE9"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8384A3" w14:textId="77777777" w:rsidR="00916BFE" w:rsidRPr="00916BFE" w:rsidRDefault="00916BFE" w:rsidP="00916BFE">
            <w:pPr>
              <w:snapToGrid w:val="0"/>
              <w:spacing w:before="40" w:after="40"/>
              <w:jc w:val="center"/>
              <w:rPr>
                <w:sz w:val="17"/>
                <w:lang w:eastAsia="it-IT"/>
              </w:rPr>
            </w:pPr>
          </w:p>
        </w:tc>
      </w:tr>
      <w:tr w:rsidR="00916BFE" w:rsidRPr="00916BFE" w14:paraId="16177D7D" w14:textId="77777777" w:rsidTr="005057BD">
        <w:trPr>
          <w:cantSplit/>
          <w:trHeight w:val="270"/>
        </w:trPr>
        <w:tc>
          <w:tcPr>
            <w:tcW w:w="570" w:type="dxa"/>
            <w:tcBorders>
              <w:top w:val="single" w:sz="6" w:space="0" w:color="auto"/>
              <w:left w:val="nil"/>
              <w:bottom w:val="single" w:sz="6" w:space="0" w:color="auto"/>
              <w:right w:val="single" w:sz="18" w:space="0" w:color="auto"/>
            </w:tcBorders>
            <w:shd w:val="clear" w:color="auto" w:fill="auto"/>
          </w:tcPr>
          <w:p w14:paraId="3C30C163"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68</w:t>
            </w:r>
          </w:p>
        </w:tc>
        <w:tc>
          <w:tcPr>
            <w:tcW w:w="5951" w:type="dxa"/>
            <w:tcBorders>
              <w:top w:val="single" w:sz="18" w:space="0" w:color="auto"/>
              <w:left w:val="single" w:sz="18" w:space="0" w:color="auto"/>
              <w:bottom w:val="single" w:sz="18" w:space="0" w:color="auto"/>
              <w:right w:val="single" w:sz="18" w:space="0" w:color="auto"/>
            </w:tcBorders>
            <w:shd w:val="clear" w:color="auto" w:fill="D9D9D9"/>
          </w:tcPr>
          <w:p w14:paraId="3577D951" w14:textId="77777777" w:rsidR="00916BFE" w:rsidRPr="00916BFE" w:rsidRDefault="00916BFE" w:rsidP="00916BFE">
            <w:pPr>
              <w:snapToGrid w:val="0"/>
              <w:spacing w:before="40" w:after="40"/>
              <w:ind w:left="57" w:rightChars="71" w:right="142"/>
              <w:rPr>
                <w:sz w:val="17"/>
                <w:szCs w:val="17"/>
                <w:lang w:eastAsia="it-IT"/>
              </w:rPr>
            </w:pPr>
            <w:r w:rsidRPr="00916BFE">
              <w:rPr>
                <w:sz w:val="17"/>
                <w:szCs w:val="17"/>
                <w:lang w:eastAsia="it-IT"/>
              </w:rPr>
              <w:t>CET1 (as a percentage of RWA) available after meeting minimum capital requirements</w:t>
            </w:r>
          </w:p>
        </w:tc>
        <w:tc>
          <w:tcPr>
            <w:tcW w:w="1276" w:type="dxa"/>
            <w:tcBorders>
              <w:top w:val="single" w:sz="18" w:space="0" w:color="auto"/>
              <w:left w:val="single" w:sz="18" w:space="0" w:color="auto"/>
              <w:bottom w:val="single" w:sz="18" w:space="0" w:color="auto"/>
              <w:right w:val="single" w:sz="18" w:space="0" w:color="auto"/>
            </w:tcBorders>
            <w:shd w:val="clear" w:color="auto" w:fill="auto"/>
          </w:tcPr>
          <w:p w14:paraId="51D8D6E9"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18" w:space="0" w:color="auto"/>
              <w:bottom w:val="single" w:sz="4" w:space="0" w:color="auto"/>
              <w:right w:val="single" w:sz="4" w:space="0" w:color="auto"/>
            </w:tcBorders>
            <w:shd w:val="clear" w:color="auto" w:fill="auto"/>
          </w:tcPr>
          <w:p w14:paraId="06B9845C" w14:textId="77777777" w:rsidR="00916BFE" w:rsidRPr="00916BFE" w:rsidRDefault="00916BFE" w:rsidP="00916BFE">
            <w:pPr>
              <w:snapToGrid w:val="0"/>
              <w:spacing w:before="40" w:after="40"/>
              <w:jc w:val="center"/>
              <w:rPr>
                <w:sz w:val="17"/>
                <w:lang w:eastAsia="it-IT"/>
              </w:rPr>
            </w:pPr>
          </w:p>
        </w:tc>
      </w:tr>
      <w:tr w:rsidR="00916BFE" w:rsidRPr="00916BFE" w14:paraId="2D684A38"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6A6A6"/>
          </w:tcPr>
          <w:p w14:paraId="1E35E381" w14:textId="77777777" w:rsidR="00916BFE" w:rsidRPr="00916BFE" w:rsidRDefault="00916BFE" w:rsidP="00916BFE">
            <w:pPr>
              <w:snapToGrid w:val="0"/>
              <w:spacing w:before="40" w:after="40"/>
              <w:ind w:left="57"/>
              <w:rPr>
                <w:sz w:val="17"/>
                <w:szCs w:val="17"/>
                <w:lang w:eastAsia="en-GB"/>
              </w:rPr>
            </w:pPr>
          </w:p>
        </w:tc>
        <w:tc>
          <w:tcPr>
            <w:tcW w:w="5951" w:type="dxa"/>
            <w:tcBorders>
              <w:top w:val="single" w:sz="18" w:space="0" w:color="auto"/>
              <w:left w:val="single" w:sz="4" w:space="0" w:color="auto"/>
              <w:bottom w:val="single" w:sz="4" w:space="0" w:color="auto"/>
              <w:right w:val="single" w:sz="4" w:space="0" w:color="auto"/>
            </w:tcBorders>
            <w:shd w:val="clear" w:color="auto" w:fill="A6A6A6"/>
          </w:tcPr>
          <w:p w14:paraId="14657D18" w14:textId="77777777" w:rsidR="00916BFE" w:rsidRPr="00916BFE" w:rsidRDefault="00916BFE" w:rsidP="00916BFE">
            <w:pPr>
              <w:snapToGrid w:val="0"/>
              <w:spacing w:before="40" w:after="40"/>
              <w:ind w:left="57" w:rightChars="71" w:right="142"/>
              <w:rPr>
                <w:b/>
                <w:sz w:val="17"/>
                <w:szCs w:val="17"/>
                <w:lang w:eastAsia="it-IT"/>
              </w:rPr>
            </w:pPr>
            <w:r w:rsidRPr="00916BFE">
              <w:rPr>
                <w:b/>
                <w:sz w:val="17"/>
                <w:szCs w:val="17"/>
                <w:lang w:eastAsia="it-IT"/>
              </w:rPr>
              <w:t>National minima (if different from Basel 3 minimum)</w:t>
            </w:r>
          </w:p>
        </w:tc>
        <w:tc>
          <w:tcPr>
            <w:tcW w:w="1276" w:type="dxa"/>
            <w:tcBorders>
              <w:top w:val="single" w:sz="18" w:space="0" w:color="auto"/>
              <w:left w:val="single" w:sz="4" w:space="0" w:color="auto"/>
              <w:bottom w:val="single" w:sz="4" w:space="0" w:color="auto"/>
              <w:right w:val="single" w:sz="4" w:space="0" w:color="auto"/>
            </w:tcBorders>
            <w:shd w:val="clear" w:color="auto" w:fill="A6A6A6"/>
          </w:tcPr>
          <w:p w14:paraId="147CC229"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6A6A6"/>
          </w:tcPr>
          <w:p w14:paraId="11315A77" w14:textId="77777777" w:rsidR="00916BFE" w:rsidRPr="00916BFE" w:rsidRDefault="00916BFE" w:rsidP="00916BFE">
            <w:pPr>
              <w:snapToGrid w:val="0"/>
              <w:spacing w:before="40" w:after="40"/>
              <w:jc w:val="center"/>
              <w:rPr>
                <w:sz w:val="17"/>
                <w:lang w:eastAsia="it-IT"/>
              </w:rPr>
            </w:pPr>
          </w:p>
        </w:tc>
      </w:tr>
      <w:tr w:rsidR="00916BFE" w:rsidRPr="00916BFE" w14:paraId="58B03413"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14F408A9"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69</w:t>
            </w:r>
          </w:p>
        </w:tc>
        <w:tc>
          <w:tcPr>
            <w:tcW w:w="5951" w:type="dxa"/>
            <w:tcBorders>
              <w:top w:val="single" w:sz="4" w:space="0" w:color="auto"/>
              <w:left w:val="single" w:sz="4" w:space="0" w:color="auto"/>
              <w:bottom w:val="single" w:sz="4" w:space="0" w:color="auto"/>
              <w:right w:val="single" w:sz="4" w:space="0" w:color="auto"/>
            </w:tcBorders>
            <w:shd w:val="clear" w:color="auto" w:fill="FFFF00"/>
          </w:tcPr>
          <w:p w14:paraId="70FCE55A" w14:textId="77777777" w:rsidR="00916BFE" w:rsidRPr="00916BFE" w:rsidRDefault="00916BFE" w:rsidP="00916BFE">
            <w:pPr>
              <w:snapToGrid w:val="0"/>
              <w:spacing w:before="40" w:after="40"/>
              <w:ind w:left="57" w:rightChars="71" w:right="142"/>
              <w:rPr>
                <w:sz w:val="17"/>
                <w:szCs w:val="17"/>
                <w:lang w:eastAsia="it-IT"/>
              </w:rPr>
            </w:pPr>
            <w:r w:rsidRPr="00916BFE">
              <w:rPr>
                <w:sz w:val="17"/>
                <w:szCs w:val="17"/>
                <w:lang w:eastAsia="it-IT"/>
              </w:rPr>
              <w:t>National CET1 minimum ratio</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0F7A31C"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273934ED"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r>
      <w:tr w:rsidR="00916BFE" w:rsidRPr="00916BFE" w14:paraId="582EE6A6"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7ACA9DC8"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70</w:t>
            </w:r>
          </w:p>
        </w:tc>
        <w:tc>
          <w:tcPr>
            <w:tcW w:w="5951" w:type="dxa"/>
            <w:tcBorders>
              <w:top w:val="single" w:sz="4" w:space="0" w:color="auto"/>
              <w:left w:val="single" w:sz="4" w:space="0" w:color="auto"/>
              <w:bottom w:val="single" w:sz="4" w:space="0" w:color="auto"/>
              <w:right w:val="single" w:sz="4" w:space="0" w:color="auto"/>
            </w:tcBorders>
            <w:shd w:val="clear" w:color="auto" w:fill="FFFF00"/>
          </w:tcPr>
          <w:p w14:paraId="4A13FC8A" w14:textId="77777777" w:rsidR="00916BFE" w:rsidRPr="00916BFE" w:rsidRDefault="00916BFE" w:rsidP="00916BFE">
            <w:pPr>
              <w:snapToGrid w:val="0"/>
              <w:spacing w:before="40" w:after="40"/>
              <w:ind w:left="57" w:rightChars="71" w:right="142"/>
              <w:rPr>
                <w:sz w:val="17"/>
                <w:szCs w:val="17"/>
                <w:lang w:eastAsia="it-IT"/>
              </w:rPr>
            </w:pPr>
            <w:r w:rsidRPr="00916BFE">
              <w:rPr>
                <w:sz w:val="17"/>
                <w:szCs w:val="17"/>
                <w:lang w:eastAsia="it-IT"/>
              </w:rPr>
              <w:t>National Tier 1 minimum ratio</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7BCC0FC6"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5E86105F"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r>
      <w:tr w:rsidR="00916BFE" w:rsidRPr="00916BFE" w14:paraId="7EB659F2"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1A535BDA"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71</w:t>
            </w:r>
          </w:p>
        </w:tc>
        <w:tc>
          <w:tcPr>
            <w:tcW w:w="5951" w:type="dxa"/>
            <w:tcBorders>
              <w:top w:val="single" w:sz="4" w:space="0" w:color="auto"/>
              <w:left w:val="single" w:sz="4" w:space="0" w:color="auto"/>
              <w:bottom w:val="single" w:sz="4" w:space="0" w:color="auto"/>
              <w:right w:val="single" w:sz="4" w:space="0" w:color="auto"/>
            </w:tcBorders>
            <w:shd w:val="clear" w:color="auto" w:fill="FFFF00"/>
          </w:tcPr>
          <w:p w14:paraId="0AF7831B" w14:textId="77777777" w:rsidR="00916BFE" w:rsidRPr="00916BFE" w:rsidRDefault="00916BFE" w:rsidP="00916BFE">
            <w:pPr>
              <w:snapToGrid w:val="0"/>
              <w:spacing w:before="40" w:after="40"/>
              <w:ind w:left="57" w:rightChars="71" w:right="142"/>
              <w:rPr>
                <w:sz w:val="17"/>
                <w:szCs w:val="17"/>
                <w:lang w:eastAsia="it-IT"/>
              </w:rPr>
            </w:pPr>
            <w:r w:rsidRPr="00916BFE">
              <w:rPr>
                <w:sz w:val="17"/>
                <w:szCs w:val="17"/>
                <w:lang w:eastAsia="it-IT"/>
              </w:rPr>
              <w:t>National Total capital minimum ratio</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546D4C2B"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000FF1A8"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r>
      <w:tr w:rsidR="00916BFE" w:rsidRPr="00916BFE" w14:paraId="2051ECE2"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6A6A6"/>
          </w:tcPr>
          <w:p w14:paraId="34A5A7A8" w14:textId="77777777" w:rsidR="00916BFE" w:rsidRPr="00916BFE" w:rsidRDefault="00916BFE" w:rsidP="00916BFE">
            <w:pPr>
              <w:snapToGrid w:val="0"/>
              <w:spacing w:before="40" w:after="40"/>
              <w:ind w:left="57"/>
              <w:rPr>
                <w:sz w:val="17"/>
                <w:szCs w:val="17"/>
                <w:lang w:eastAsia="en-GB"/>
              </w:rPr>
            </w:pPr>
          </w:p>
        </w:tc>
        <w:tc>
          <w:tcPr>
            <w:tcW w:w="5951" w:type="dxa"/>
            <w:tcBorders>
              <w:top w:val="single" w:sz="4" w:space="0" w:color="auto"/>
              <w:left w:val="single" w:sz="4" w:space="0" w:color="auto"/>
              <w:bottom w:val="single" w:sz="4" w:space="0" w:color="auto"/>
              <w:right w:val="single" w:sz="4" w:space="0" w:color="auto"/>
            </w:tcBorders>
            <w:shd w:val="clear" w:color="auto" w:fill="A6A6A6"/>
          </w:tcPr>
          <w:p w14:paraId="521D9A31" w14:textId="77777777" w:rsidR="00916BFE" w:rsidRPr="00916BFE" w:rsidRDefault="00916BFE" w:rsidP="00916BFE">
            <w:pPr>
              <w:snapToGrid w:val="0"/>
              <w:spacing w:before="40" w:after="40"/>
              <w:ind w:left="57" w:rightChars="71" w:right="142"/>
              <w:rPr>
                <w:b/>
                <w:sz w:val="17"/>
                <w:szCs w:val="17"/>
                <w:lang w:eastAsia="it-IT"/>
              </w:rPr>
            </w:pPr>
            <w:r w:rsidRPr="00916BFE">
              <w:rPr>
                <w:b/>
                <w:sz w:val="17"/>
                <w:szCs w:val="17"/>
                <w:lang w:eastAsia="it-IT"/>
              </w:rPr>
              <w:t>Amounts below the thresholds for deduction (before risk weighting)</w:t>
            </w:r>
          </w:p>
        </w:tc>
        <w:tc>
          <w:tcPr>
            <w:tcW w:w="1276" w:type="dxa"/>
            <w:tcBorders>
              <w:top w:val="single" w:sz="4" w:space="0" w:color="auto"/>
              <w:left w:val="single" w:sz="4" w:space="0" w:color="auto"/>
              <w:bottom w:val="single" w:sz="4" w:space="0" w:color="auto"/>
              <w:right w:val="single" w:sz="4" w:space="0" w:color="auto"/>
            </w:tcBorders>
            <w:shd w:val="clear" w:color="auto" w:fill="A6A6A6"/>
          </w:tcPr>
          <w:p w14:paraId="54B1328D"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6A6A6"/>
          </w:tcPr>
          <w:p w14:paraId="2CED2284" w14:textId="77777777" w:rsidR="00916BFE" w:rsidRPr="00916BFE" w:rsidRDefault="00916BFE" w:rsidP="00916BFE">
            <w:pPr>
              <w:snapToGrid w:val="0"/>
              <w:spacing w:before="40" w:after="40"/>
              <w:jc w:val="center"/>
              <w:rPr>
                <w:sz w:val="17"/>
                <w:lang w:eastAsia="it-IT"/>
              </w:rPr>
            </w:pPr>
          </w:p>
        </w:tc>
      </w:tr>
      <w:tr w:rsidR="00916BFE" w:rsidRPr="00916BFE" w14:paraId="691999DA"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01F96628"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72</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57D0CE04" w14:textId="77777777" w:rsidR="00916BFE" w:rsidRPr="00916BFE" w:rsidRDefault="00916BFE" w:rsidP="00916BFE">
            <w:pPr>
              <w:snapToGrid w:val="0"/>
              <w:spacing w:before="40" w:after="40"/>
              <w:ind w:left="57" w:rightChars="71" w:right="142"/>
              <w:rPr>
                <w:sz w:val="17"/>
                <w:szCs w:val="17"/>
                <w:lang w:eastAsia="it-IT"/>
              </w:rPr>
            </w:pPr>
            <w:r w:rsidRPr="00916BFE">
              <w:rPr>
                <w:sz w:val="17"/>
                <w:szCs w:val="17"/>
                <w:lang w:eastAsia="it-IT"/>
              </w:rPr>
              <w:t>Insignificant LAC investments in CET1, AT1 and Tier 2 capital instruments issued by, and non-capital LAC liabilities of, financial sector entities that are outside the scope of regulatory consolidation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07C6639"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F6A3900" w14:textId="77777777" w:rsidR="00916BFE" w:rsidRPr="00916BFE" w:rsidRDefault="00916BFE" w:rsidP="00916BFE">
            <w:pPr>
              <w:snapToGrid w:val="0"/>
              <w:spacing w:before="40" w:after="40"/>
              <w:jc w:val="center"/>
              <w:rPr>
                <w:sz w:val="17"/>
                <w:lang w:eastAsia="it-IT"/>
              </w:rPr>
            </w:pPr>
          </w:p>
        </w:tc>
      </w:tr>
      <w:tr w:rsidR="00916BFE" w:rsidRPr="00916BFE" w14:paraId="24E638D4"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1630383C"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73</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52EA08D2" w14:textId="77777777" w:rsidR="00916BFE" w:rsidRPr="00916BFE" w:rsidRDefault="00916BFE" w:rsidP="00916BFE">
            <w:pPr>
              <w:snapToGrid w:val="0"/>
              <w:spacing w:before="40" w:after="40"/>
              <w:ind w:left="57" w:rightChars="71" w:right="142"/>
              <w:rPr>
                <w:sz w:val="17"/>
                <w:szCs w:val="17"/>
                <w:lang w:eastAsia="it-IT"/>
              </w:rPr>
            </w:pPr>
            <w:r w:rsidRPr="00916BFE">
              <w:rPr>
                <w:sz w:val="17"/>
                <w:szCs w:val="17"/>
                <w:lang w:eastAsia="it-IT"/>
              </w:rPr>
              <w:t>Significant LAC investments in CET1 capital instruments issued by financial sector entities that are outside the scope of regulatory consolidation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76154E0"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C02077D" w14:textId="77777777" w:rsidR="00916BFE" w:rsidRPr="00916BFE" w:rsidRDefault="00916BFE" w:rsidP="00916BFE">
            <w:pPr>
              <w:snapToGrid w:val="0"/>
              <w:spacing w:before="40" w:after="40"/>
              <w:jc w:val="center"/>
              <w:rPr>
                <w:sz w:val="17"/>
                <w:lang w:eastAsia="it-IT"/>
              </w:rPr>
            </w:pPr>
          </w:p>
        </w:tc>
      </w:tr>
      <w:tr w:rsidR="00916BFE" w:rsidRPr="00916BFE" w14:paraId="7B3D60EF"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2F1EDE94"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t>74</w:t>
            </w:r>
          </w:p>
        </w:tc>
        <w:tc>
          <w:tcPr>
            <w:tcW w:w="5951" w:type="dxa"/>
            <w:tcBorders>
              <w:top w:val="single" w:sz="4" w:space="0" w:color="auto"/>
              <w:left w:val="single" w:sz="4" w:space="0" w:color="auto"/>
              <w:bottom w:val="single" w:sz="4" w:space="0" w:color="auto"/>
              <w:right w:val="single" w:sz="4" w:space="0" w:color="auto"/>
            </w:tcBorders>
            <w:shd w:val="clear" w:color="auto" w:fill="FFFF00"/>
          </w:tcPr>
          <w:p w14:paraId="4E4DAB22" w14:textId="77777777" w:rsidR="00916BFE" w:rsidRPr="00916BFE" w:rsidRDefault="00916BFE" w:rsidP="00916BFE">
            <w:pPr>
              <w:snapToGrid w:val="0"/>
              <w:spacing w:before="40" w:after="40"/>
              <w:ind w:left="57" w:rightChars="71" w:right="142"/>
              <w:rPr>
                <w:sz w:val="17"/>
                <w:szCs w:val="17"/>
                <w:lang w:eastAsia="it-IT"/>
              </w:rPr>
            </w:pPr>
            <w:r w:rsidRPr="00916BFE">
              <w:rPr>
                <w:sz w:val="17"/>
                <w:szCs w:val="17"/>
                <w:lang w:eastAsia="it-IT"/>
              </w:rPr>
              <w:t xml:space="preserve">Mortgage servicing rights </w:t>
            </w:r>
            <w:r w:rsidRPr="00916BFE">
              <w:rPr>
                <w:sz w:val="17"/>
                <w:lang w:eastAsia="it-IT"/>
              </w:rPr>
              <w:t>(net of associated deferred tax liabilities)</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4AB0940"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008EA42F"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r>
      <w:tr w:rsidR="00916BFE" w:rsidRPr="00916BFE" w14:paraId="1D7AA491"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7CBCA410" w14:textId="77777777" w:rsidR="00916BFE" w:rsidRPr="00916BFE" w:rsidRDefault="00916BFE" w:rsidP="00916BFE">
            <w:pPr>
              <w:snapToGrid w:val="0"/>
              <w:spacing w:before="40" w:after="40"/>
              <w:ind w:left="57"/>
              <w:rPr>
                <w:sz w:val="17"/>
                <w:szCs w:val="17"/>
                <w:lang w:eastAsia="en-GB"/>
              </w:rPr>
            </w:pPr>
            <w:r w:rsidRPr="00916BFE">
              <w:rPr>
                <w:sz w:val="17"/>
                <w:szCs w:val="17"/>
                <w:lang w:eastAsia="en-GB"/>
              </w:rPr>
              <w:lastRenderedPageBreak/>
              <w:t>75</w:t>
            </w:r>
          </w:p>
        </w:tc>
        <w:tc>
          <w:tcPr>
            <w:tcW w:w="5951" w:type="dxa"/>
            <w:tcBorders>
              <w:top w:val="single" w:sz="4" w:space="0" w:color="auto"/>
              <w:left w:val="single" w:sz="4" w:space="0" w:color="auto"/>
              <w:bottom w:val="single" w:sz="4" w:space="0" w:color="auto"/>
              <w:right w:val="single" w:sz="4" w:space="0" w:color="auto"/>
            </w:tcBorders>
            <w:shd w:val="clear" w:color="auto" w:fill="FFFF00"/>
          </w:tcPr>
          <w:p w14:paraId="6BEEED20" w14:textId="77777777" w:rsidR="00916BFE" w:rsidRPr="00916BFE" w:rsidRDefault="00916BFE" w:rsidP="00916BFE">
            <w:pPr>
              <w:snapToGrid w:val="0"/>
              <w:spacing w:before="40" w:after="40"/>
              <w:ind w:left="57" w:rightChars="71" w:right="142"/>
              <w:rPr>
                <w:sz w:val="17"/>
                <w:szCs w:val="17"/>
                <w:lang w:eastAsia="it-IT"/>
              </w:rPr>
            </w:pPr>
            <w:r w:rsidRPr="00916BFE">
              <w:rPr>
                <w:sz w:val="17"/>
                <w:szCs w:val="17"/>
                <w:lang w:eastAsia="it-IT"/>
              </w:rPr>
              <w:t xml:space="preserve">Deferred tax assets arising from temporary differences </w:t>
            </w:r>
            <w:r w:rsidRPr="00916BFE">
              <w:rPr>
                <w:sz w:val="17"/>
                <w:lang w:eastAsia="it-IT"/>
              </w:rPr>
              <w:t>(net of associated deferred tax liabilities)</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480BD372"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08BB88C5" w14:textId="77777777" w:rsidR="00916BFE" w:rsidRPr="00916BFE" w:rsidRDefault="00916BFE" w:rsidP="00916BFE">
            <w:pPr>
              <w:snapToGrid w:val="0"/>
              <w:spacing w:before="40" w:after="40"/>
              <w:jc w:val="center"/>
              <w:rPr>
                <w:sz w:val="17"/>
                <w:lang w:eastAsia="it-IT"/>
              </w:rPr>
            </w:pPr>
            <w:r w:rsidRPr="00916BFE">
              <w:rPr>
                <w:sz w:val="17"/>
                <w:lang w:eastAsia="it-IT"/>
              </w:rPr>
              <w:t>Not applicable</w:t>
            </w:r>
          </w:p>
        </w:tc>
      </w:tr>
      <w:tr w:rsidR="00916BFE" w:rsidRPr="00916BFE" w14:paraId="416768CB"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6A6A6"/>
          </w:tcPr>
          <w:p w14:paraId="05080E98" w14:textId="77777777" w:rsidR="00916BFE" w:rsidRPr="00916BFE" w:rsidRDefault="00916BFE" w:rsidP="00916BFE">
            <w:pPr>
              <w:snapToGrid w:val="0"/>
              <w:spacing w:before="40" w:after="40"/>
              <w:ind w:left="57"/>
              <w:rPr>
                <w:sz w:val="17"/>
                <w:szCs w:val="17"/>
                <w:lang w:eastAsia="en-GB"/>
              </w:rPr>
            </w:pPr>
          </w:p>
        </w:tc>
        <w:tc>
          <w:tcPr>
            <w:tcW w:w="5951" w:type="dxa"/>
            <w:tcBorders>
              <w:top w:val="single" w:sz="4" w:space="0" w:color="auto"/>
              <w:left w:val="single" w:sz="4" w:space="0" w:color="auto"/>
              <w:bottom w:val="single" w:sz="4" w:space="0" w:color="auto"/>
              <w:right w:val="single" w:sz="4" w:space="0" w:color="auto"/>
            </w:tcBorders>
            <w:shd w:val="clear" w:color="auto" w:fill="A6A6A6"/>
          </w:tcPr>
          <w:p w14:paraId="21248E60" w14:textId="77777777" w:rsidR="00916BFE" w:rsidRPr="00916BFE" w:rsidRDefault="00916BFE" w:rsidP="00916BFE">
            <w:pPr>
              <w:snapToGrid w:val="0"/>
              <w:spacing w:before="40" w:after="40"/>
              <w:ind w:left="57" w:rightChars="71" w:right="142"/>
              <w:rPr>
                <w:b/>
                <w:sz w:val="17"/>
                <w:szCs w:val="17"/>
                <w:lang w:eastAsia="it-IT"/>
              </w:rPr>
            </w:pPr>
            <w:r w:rsidRPr="00916BFE">
              <w:rPr>
                <w:b/>
                <w:sz w:val="17"/>
                <w:szCs w:val="17"/>
                <w:lang w:eastAsia="it-IT"/>
              </w:rPr>
              <w:t>Applicable caps on the inclusion of provisions in Tier 2 capital</w:t>
            </w:r>
          </w:p>
        </w:tc>
        <w:tc>
          <w:tcPr>
            <w:tcW w:w="1276" w:type="dxa"/>
            <w:tcBorders>
              <w:top w:val="single" w:sz="4" w:space="0" w:color="auto"/>
              <w:left w:val="single" w:sz="4" w:space="0" w:color="auto"/>
              <w:bottom w:val="single" w:sz="4" w:space="0" w:color="auto"/>
              <w:right w:val="single" w:sz="4" w:space="0" w:color="auto"/>
            </w:tcBorders>
            <w:shd w:val="clear" w:color="auto" w:fill="A6A6A6"/>
          </w:tcPr>
          <w:p w14:paraId="1276B259"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6A6A6"/>
          </w:tcPr>
          <w:p w14:paraId="6EA4C005" w14:textId="77777777" w:rsidR="00916BFE" w:rsidRPr="00916BFE" w:rsidRDefault="00916BFE" w:rsidP="00916BFE">
            <w:pPr>
              <w:snapToGrid w:val="0"/>
              <w:spacing w:before="40" w:after="40"/>
              <w:jc w:val="center"/>
              <w:rPr>
                <w:sz w:val="17"/>
                <w:lang w:eastAsia="it-IT"/>
              </w:rPr>
            </w:pPr>
          </w:p>
        </w:tc>
      </w:tr>
      <w:tr w:rsidR="00916BFE" w:rsidRPr="00916BFE" w14:paraId="0F62F802"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372BF9A8" w14:textId="77777777" w:rsidR="00916BFE" w:rsidRPr="00916BFE" w:rsidRDefault="00916BFE" w:rsidP="00916BFE">
            <w:pPr>
              <w:snapToGrid w:val="0"/>
              <w:spacing w:before="40" w:after="40"/>
              <w:ind w:left="57"/>
              <w:rPr>
                <w:sz w:val="17"/>
                <w:szCs w:val="17"/>
                <w:lang w:eastAsia="it-IT"/>
              </w:rPr>
            </w:pPr>
            <w:r w:rsidRPr="00916BFE">
              <w:rPr>
                <w:sz w:val="17"/>
                <w:szCs w:val="17"/>
                <w:lang w:eastAsia="it-IT"/>
              </w:rPr>
              <w:t>76</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2D156791" w14:textId="77777777" w:rsidR="00916BFE" w:rsidRPr="00916BFE" w:rsidRDefault="00916BFE" w:rsidP="00916BFE">
            <w:pPr>
              <w:snapToGrid w:val="0"/>
              <w:spacing w:before="40" w:after="40"/>
              <w:ind w:left="57" w:rightChars="71" w:right="142"/>
              <w:rPr>
                <w:sz w:val="17"/>
                <w:szCs w:val="17"/>
                <w:lang w:eastAsia="it-IT"/>
              </w:rPr>
            </w:pPr>
            <w:r w:rsidRPr="00916BFE">
              <w:rPr>
                <w:sz w:val="17"/>
                <w:szCs w:val="17"/>
                <w:lang w:eastAsia="it-IT"/>
              </w:rPr>
              <w:t>Provisions eligible for inclusion in Tier 2 in respect of exposures subject to the BSC approach, or the STC approach and SEC-ERBA, SEC-SA and SEC-FBA (prior to application of cap)</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932EEBC"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FD5999" w14:textId="77777777" w:rsidR="00916BFE" w:rsidRPr="00916BFE" w:rsidRDefault="00916BFE" w:rsidP="00916BFE">
            <w:pPr>
              <w:snapToGrid w:val="0"/>
              <w:spacing w:before="40" w:after="40"/>
              <w:jc w:val="center"/>
              <w:rPr>
                <w:sz w:val="17"/>
                <w:lang w:eastAsia="it-IT"/>
              </w:rPr>
            </w:pPr>
          </w:p>
        </w:tc>
      </w:tr>
      <w:tr w:rsidR="00916BFE" w:rsidRPr="00916BFE" w14:paraId="30419076"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62D12BC2" w14:textId="77777777" w:rsidR="00916BFE" w:rsidRPr="00916BFE" w:rsidRDefault="00916BFE" w:rsidP="00916BFE">
            <w:pPr>
              <w:snapToGrid w:val="0"/>
              <w:spacing w:before="40" w:after="40"/>
              <w:ind w:left="57"/>
              <w:rPr>
                <w:sz w:val="17"/>
                <w:szCs w:val="17"/>
                <w:lang w:eastAsia="it-IT"/>
              </w:rPr>
            </w:pPr>
            <w:r w:rsidRPr="00916BFE">
              <w:rPr>
                <w:sz w:val="17"/>
                <w:szCs w:val="17"/>
                <w:lang w:eastAsia="it-IT"/>
              </w:rPr>
              <w:t>77</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0D8892D0" w14:textId="6AC59DEE" w:rsidR="00916BFE" w:rsidRPr="00916BFE" w:rsidRDefault="00916BFE" w:rsidP="00916BFE">
            <w:pPr>
              <w:snapToGrid w:val="0"/>
              <w:spacing w:before="40" w:after="40"/>
              <w:ind w:left="57" w:rightChars="71" w:right="142"/>
              <w:rPr>
                <w:b/>
                <w:sz w:val="17"/>
                <w:szCs w:val="17"/>
                <w:lang w:eastAsia="it-IT"/>
              </w:rPr>
            </w:pPr>
            <w:r w:rsidRPr="00916BFE">
              <w:rPr>
                <w:sz w:val="17"/>
                <w:szCs w:val="17"/>
                <w:lang w:eastAsia="it-IT"/>
              </w:rPr>
              <w:t>Cap on inclusion of provisions in Tier 2 under the BSC approach, or the STC approach, and SEC-ERBA, SEC-SA and SEC-FBA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B74E72A"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ED51989" w14:textId="77777777" w:rsidR="00916BFE" w:rsidRPr="00916BFE" w:rsidRDefault="00916BFE" w:rsidP="00916BFE">
            <w:pPr>
              <w:snapToGrid w:val="0"/>
              <w:spacing w:before="40" w:after="40"/>
              <w:jc w:val="center"/>
              <w:rPr>
                <w:sz w:val="17"/>
                <w:lang w:eastAsia="it-IT"/>
              </w:rPr>
            </w:pPr>
          </w:p>
        </w:tc>
      </w:tr>
      <w:tr w:rsidR="00916BFE" w:rsidRPr="00916BFE" w14:paraId="68E97E25"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5E4FC3BA" w14:textId="77777777" w:rsidR="00916BFE" w:rsidRPr="00916BFE" w:rsidRDefault="00916BFE" w:rsidP="00916BFE">
            <w:pPr>
              <w:snapToGrid w:val="0"/>
              <w:spacing w:before="40" w:after="40"/>
              <w:ind w:left="57"/>
              <w:rPr>
                <w:sz w:val="17"/>
                <w:szCs w:val="17"/>
                <w:lang w:eastAsia="it-IT"/>
              </w:rPr>
            </w:pPr>
            <w:r w:rsidRPr="00916BFE">
              <w:rPr>
                <w:sz w:val="17"/>
                <w:szCs w:val="17"/>
                <w:lang w:eastAsia="it-IT"/>
              </w:rPr>
              <w:t>78</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35148DA3" w14:textId="77777777" w:rsidR="00916BFE" w:rsidRPr="00916BFE" w:rsidRDefault="00916BFE" w:rsidP="00916BFE">
            <w:pPr>
              <w:snapToGrid w:val="0"/>
              <w:spacing w:before="40" w:after="40"/>
              <w:ind w:left="57" w:rightChars="71" w:right="142"/>
              <w:rPr>
                <w:b/>
                <w:sz w:val="17"/>
                <w:szCs w:val="17"/>
                <w:lang w:eastAsia="it-IT"/>
              </w:rPr>
            </w:pPr>
            <w:r w:rsidRPr="00916BFE">
              <w:rPr>
                <w:sz w:val="17"/>
                <w:szCs w:val="17"/>
                <w:lang w:eastAsia="it-IT"/>
              </w:rPr>
              <w:t>Provisions eligible for inclusion in Tier 2 in respect of exposures subject to the IRB approach and SEC-IRBA (prior to application of cap)</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08A8299"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C1265D" w14:textId="77777777" w:rsidR="00916BFE" w:rsidRPr="00916BFE" w:rsidRDefault="00916BFE" w:rsidP="00916BFE">
            <w:pPr>
              <w:snapToGrid w:val="0"/>
              <w:spacing w:before="40" w:after="40"/>
              <w:jc w:val="center"/>
              <w:rPr>
                <w:sz w:val="17"/>
                <w:lang w:eastAsia="it-IT"/>
              </w:rPr>
            </w:pPr>
          </w:p>
        </w:tc>
      </w:tr>
      <w:tr w:rsidR="00916BFE" w:rsidRPr="00916BFE" w14:paraId="0FE5F805" w14:textId="77777777" w:rsidTr="005057BD">
        <w:trPr>
          <w:cantSplit/>
          <w:trHeight w:val="270"/>
        </w:trPr>
        <w:tc>
          <w:tcPr>
            <w:tcW w:w="570" w:type="dxa"/>
            <w:tcBorders>
              <w:top w:val="single" w:sz="6" w:space="0" w:color="auto"/>
              <w:left w:val="nil"/>
              <w:bottom w:val="single" w:sz="6" w:space="0" w:color="auto"/>
              <w:right w:val="single" w:sz="4" w:space="0" w:color="auto"/>
            </w:tcBorders>
            <w:shd w:val="clear" w:color="auto" w:fill="auto"/>
          </w:tcPr>
          <w:p w14:paraId="609952C4" w14:textId="77777777" w:rsidR="00916BFE" w:rsidRPr="00916BFE" w:rsidRDefault="00916BFE" w:rsidP="00916BFE">
            <w:pPr>
              <w:snapToGrid w:val="0"/>
              <w:spacing w:before="40" w:after="40"/>
              <w:ind w:left="57"/>
              <w:rPr>
                <w:sz w:val="17"/>
                <w:szCs w:val="17"/>
                <w:lang w:eastAsia="it-IT"/>
              </w:rPr>
            </w:pPr>
            <w:r w:rsidRPr="00916BFE">
              <w:rPr>
                <w:sz w:val="17"/>
                <w:szCs w:val="17"/>
                <w:lang w:eastAsia="it-IT"/>
              </w:rPr>
              <w:t>79</w:t>
            </w:r>
          </w:p>
        </w:tc>
        <w:tc>
          <w:tcPr>
            <w:tcW w:w="5951" w:type="dxa"/>
            <w:tcBorders>
              <w:top w:val="single" w:sz="4" w:space="0" w:color="auto"/>
              <w:left w:val="single" w:sz="4" w:space="0" w:color="auto"/>
              <w:bottom w:val="single" w:sz="4" w:space="0" w:color="auto"/>
              <w:right w:val="single" w:sz="4" w:space="0" w:color="auto"/>
            </w:tcBorders>
            <w:shd w:val="clear" w:color="auto" w:fill="auto"/>
          </w:tcPr>
          <w:p w14:paraId="750916AC" w14:textId="77777777" w:rsidR="00916BFE" w:rsidRPr="00916BFE" w:rsidRDefault="00916BFE" w:rsidP="00916BFE">
            <w:pPr>
              <w:snapToGrid w:val="0"/>
              <w:spacing w:before="40" w:after="40"/>
              <w:ind w:left="57" w:rightChars="71" w:right="142"/>
              <w:rPr>
                <w:b/>
                <w:sz w:val="17"/>
                <w:szCs w:val="17"/>
                <w:lang w:eastAsia="it-IT"/>
              </w:rPr>
            </w:pPr>
            <w:r w:rsidRPr="00916BFE">
              <w:rPr>
                <w:sz w:val="17"/>
                <w:szCs w:val="17"/>
                <w:lang w:eastAsia="it-IT"/>
              </w:rPr>
              <w:t>Cap for inclusion of provisions in Tier 2 under the IRB approach and SEC-IRBA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8B7ACC8" w14:textId="77777777" w:rsidR="00916BFE" w:rsidRPr="00916BFE" w:rsidRDefault="00916BFE" w:rsidP="00916BFE">
            <w:pPr>
              <w:snapToGrid w:val="0"/>
              <w:spacing w:before="40" w:after="40"/>
              <w:ind w:left="57"/>
              <w:jc w:val="center"/>
              <w:rPr>
                <w:sz w:val="17"/>
                <w:lang w:eastAsia="it-I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6C6EDD" w14:textId="77777777" w:rsidR="00916BFE" w:rsidRPr="00916BFE" w:rsidRDefault="00916BFE" w:rsidP="00916BFE">
            <w:pPr>
              <w:snapToGrid w:val="0"/>
              <w:spacing w:before="40" w:after="40"/>
              <w:jc w:val="center"/>
              <w:rPr>
                <w:sz w:val="17"/>
                <w:lang w:eastAsia="it-IT"/>
              </w:rPr>
            </w:pPr>
          </w:p>
        </w:tc>
      </w:tr>
      <w:tr w:rsidR="00916BFE" w:rsidRPr="00916BFE" w14:paraId="5BF02373" w14:textId="77777777" w:rsidTr="005057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9215" w:type="dxa"/>
            <w:gridSpan w:val="4"/>
            <w:tcBorders>
              <w:top w:val="nil"/>
              <w:left w:val="nil"/>
            </w:tcBorders>
            <w:shd w:val="clear" w:color="auto" w:fill="auto"/>
          </w:tcPr>
          <w:p w14:paraId="6F20A513" w14:textId="77777777" w:rsidR="001B2113" w:rsidRPr="001B2113" w:rsidRDefault="001B2113" w:rsidP="001B2113">
            <w:pPr>
              <w:snapToGrid w:val="0"/>
              <w:spacing w:before="40" w:after="40" w:line="240" w:lineRule="exact"/>
              <w:jc w:val="both"/>
              <w:rPr>
                <w:rFonts w:cs="Segoe UI"/>
                <w:i/>
                <w:kern w:val="2"/>
                <w:sz w:val="17"/>
                <w:szCs w:val="17"/>
                <w:lang w:eastAsia="it-IT"/>
              </w:rPr>
            </w:pPr>
            <w:r w:rsidRPr="001B2113">
              <w:rPr>
                <w:rFonts w:cs="Segoe UI"/>
                <w:i/>
                <w:kern w:val="2"/>
                <w:sz w:val="17"/>
                <w:szCs w:val="17"/>
                <w:lang w:eastAsia="it-IT"/>
              </w:rPr>
              <w:t>Points to note:</w:t>
            </w:r>
          </w:p>
          <w:p w14:paraId="3D84361D" w14:textId="77777777" w:rsidR="001B2113" w:rsidRPr="001B2113" w:rsidRDefault="001B2113" w:rsidP="008D652E">
            <w:pPr>
              <w:widowControl w:val="0"/>
              <w:numPr>
                <w:ilvl w:val="0"/>
                <w:numId w:val="43"/>
              </w:numPr>
              <w:autoSpaceDE w:val="0"/>
              <w:autoSpaceDN w:val="0"/>
              <w:adjustRightInd w:val="0"/>
              <w:spacing w:after="60" w:line="240" w:lineRule="exact"/>
              <w:ind w:left="425" w:rightChars="71" w:right="142" w:hanging="425"/>
              <w:jc w:val="both"/>
              <w:rPr>
                <w:rFonts w:cs="Segoe UI"/>
                <w:i/>
                <w:kern w:val="2"/>
                <w:sz w:val="17"/>
                <w:szCs w:val="17"/>
                <w:lang w:eastAsia="it-IT"/>
              </w:rPr>
            </w:pPr>
            <w:r w:rsidRPr="001B2113">
              <w:rPr>
                <w:rFonts w:cs="Segoe UI"/>
                <w:i/>
                <w:kern w:val="2"/>
                <w:sz w:val="17"/>
                <w:szCs w:val="17"/>
                <w:lang w:eastAsia="it-IT"/>
              </w:rPr>
              <w:t>Shaded rows with borders indicate the following:</w:t>
            </w:r>
          </w:p>
          <w:p w14:paraId="141CC836" w14:textId="77777777" w:rsidR="001B2113" w:rsidRPr="001B2113" w:rsidRDefault="001B2113" w:rsidP="008D652E">
            <w:pPr>
              <w:widowControl w:val="0"/>
              <w:numPr>
                <w:ilvl w:val="0"/>
                <w:numId w:val="44"/>
              </w:numPr>
              <w:autoSpaceDE w:val="0"/>
              <w:autoSpaceDN w:val="0"/>
              <w:adjustRightInd w:val="0"/>
              <w:spacing w:after="60" w:line="240" w:lineRule="exact"/>
              <w:ind w:left="709" w:rightChars="71" w:right="142" w:hanging="284"/>
              <w:jc w:val="both"/>
              <w:rPr>
                <w:rFonts w:cs="Segoe UI"/>
                <w:i/>
                <w:kern w:val="2"/>
                <w:sz w:val="17"/>
                <w:szCs w:val="17"/>
                <w:lang w:eastAsia="it-IT"/>
              </w:rPr>
            </w:pPr>
            <w:r w:rsidRPr="001B2113">
              <w:rPr>
                <w:rFonts w:cs="Segoe UI"/>
                <w:i/>
                <w:kern w:val="2"/>
                <w:sz w:val="17"/>
                <w:szCs w:val="17"/>
                <w:lang w:eastAsia="it-IT"/>
              </w:rPr>
              <w:t>a row shaded dark grey introduces a new section which provides details of a certain component of regulatory capital;</w:t>
            </w:r>
          </w:p>
          <w:p w14:paraId="2F3972A5" w14:textId="77777777" w:rsidR="001B2113" w:rsidRPr="001B2113" w:rsidRDefault="001B2113" w:rsidP="008D652E">
            <w:pPr>
              <w:widowControl w:val="0"/>
              <w:numPr>
                <w:ilvl w:val="0"/>
                <w:numId w:val="44"/>
              </w:numPr>
              <w:autoSpaceDE w:val="0"/>
              <w:autoSpaceDN w:val="0"/>
              <w:adjustRightInd w:val="0"/>
              <w:spacing w:after="60" w:line="240" w:lineRule="exact"/>
              <w:ind w:left="709" w:rightChars="71" w:right="142" w:hanging="284"/>
              <w:jc w:val="both"/>
              <w:rPr>
                <w:rFonts w:cs="Segoe UI"/>
                <w:i/>
                <w:kern w:val="2"/>
                <w:sz w:val="17"/>
                <w:szCs w:val="17"/>
                <w:lang w:eastAsia="it-IT"/>
              </w:rPr>
            </w:pPr>
            <w:r w:rsidRPr="001B2113">
              <w:rPr>
                <w:rFonts w:cs="Segoe UI"/>
                <w:i/>
                <w:kern w:val="2"/>
                <w:sz w:val="17"/>
                <w:szCs w:val="17"/>
                <w:lang w:eastAsia="it-IT"/>
              </w:rPr>
              <w:t>a row shaded light grey, with no thick border, represents the sum of cells in the relevant section above it;</w:t>
            </w:r>
          </w:p>
          <w:p w14:paraId="49EFF22B" w14:textId="77777777" w:rsidR="001B2113" w:rsidRPr="001B2113" w:rsidRDefault="001B2113" w:rsidP="008D652E">
            <w:pPr>
              <w:widowControl w:val="0"/>
              <w:numPr>
                <w:ilvl w:val="0"/>
                <w:numId w:val="44"/>
              </w:numPr>
              <w:autoSpaceDE w:val="0"/>
              <w:autoSpaceDN w:val="0"/>
              <w:adjustRightInd w:val="0"/>
              <w:spacing w:after="60" w:line="240" w:lineRule="exact"/>
              <w:ind w:left="709" w:rightChars="71" w:right="142" w:hanging="284"/>
              <w:jc w:val="both"/>
              <w:rPr>
                <w:rFonts w:cs="Segoe UI"/>
                <w:i/>
                <w:kern w:val="2"/>
                <w:sz w:val="17"/>
                <w:szCs w:val="17"/>
                <w:lang w:eastAsia="it-IT"/>
              </w:rPr>
            </w:pPr>
            <w:r w:rsidRPr="001B2113">
              <w:rPr>
                <w:rFonts w:cs="Segoe UI"/>
                <w:i/>
                <w:kern w:val="2"/>
                <w:sz w:val="17"/>
                <w:szCs w:val="17"/>
                <w:lang w:eastAsia="it-IT"/>
              </w:rPr>
              <w:t>a row shaded light grey, with a thick border, indicates a key component of regulatory capital and the regulatory capital ratios;</w:t>
            </w:r>
          </w:p>
          <w:p w14:paraId="152A2760" w14:textId="77777777" w:rsidR="001B2113" w:rsidRPr="001B2113" w:rsidRDefault="001B2113" w:rsidP="008D652E">
            <w:pPr>
              <w:widowControl w:val="0"/>
              <w:numPr>
                <w:ilvl w:val="0"/>
                <w:numId w:val="44"/>
              </w:numPr>
              <w:autoSpaceDE w:val="0"/>
              <w:autoSpaceDN w:val="0"/>
              <w:adjustRightInd w:val="0"/>
              <w:spacing w:after="60" w:line="240" w:lineRule="exact"/>
              <w:ind w:left="709" w:rightChars="71" w:right="142" w:hanging="284"/>
              <w:jc w:val="both"/>
              <w:rPr>
                <w:rFonts w:cs="Segoe UI"/>
                <w:i/>
                <w:kern w:val="2"/>
                <w:sz w:val="17"/>
                <w:szCs w:val="17"/>
                <w:lang w:eastAsia="it-IT"/>
              </w:rPr>
            </w:pPr>
            <w:r w:rsidRPr="001B2113">
              <w:rPr>
                <w:rFonts w:cs="Segoe UI"/>
                <w:i/>
                <w:kern w:val="2"/>
                <w:sz w:val="17"/>
                <w:szCs w:val="17"/>
                <w:lang w:eastAsia="it-IT"/>
              </w:rPr>
              <w:t>a row shaded yellow represents an item that is not applicable to Hong Kong.</w:t>
            </w:r>
          </w:p>
          <w:p w14:paraId="0376A04A" w14:textId="24275DD1" w:rsidR="001B2113" w:rsidRPr="001B2113" w:rsidRDefault="001B2113" w:rsidP="008D652E">
            <w:pPr>
              <w:pStyle w:val="ListParagraph"/>
              <w:widowControl w:val="0"/>
              <w:numPr>
                <w:ilvl w:val="0"/>
                <w:numId w:val="43"/>
              </w:numPr>
              <w:autoSpaceDE w:val="0"/>
              <w:autoSpaceDN w:val="0"/>
              <w:adjustRightInd w:val="0"/>
              <w:spacing w:after="60" w:line="240" w:lineRule="exact"/>
              <w:ind w:leftChars="0" w:left="425" w:rightChars="71" w:right="142" w:hanging="425"/>
              <w:jc w:val="both"/>
              <w:rPr>
                <w:rFonts w:cs="Segoe UI"/>
                <w:i/>
                <w:kern w:val="2"/>
                <w:sz w:val="17"/>
                <w:szCs w:val="17"/>
                <w:lang w:eastAsia="it-IT"/>
              </w:rPr>
            </w:pPr>
            <w:r w:rsidRPr="001B2113">
              <w:rPr>
                <w:rFonts w:cs="Segoe UI"/>
                <w:i/>
                <w:kern w:val="2"/>
                <w:sz w:val="17"/>
                <w:szCs w:val="17"/>
                <w:lang w:eastAsia="it-IT"/>
              </w:rPr>
              <w:t xml:space="preserve">The reconciliation requirements included in Template CC2 result in the decomposition of certain regulatory adjustments.  For example, the disclosure template above includes the adjustment “Goodwill net of associated deferred tax liabilities”.  The reconciliation requirements will lead to the disclosure of both the goodwill component and the related tax liability component of this regulatory adjustment. </w:t>
            </w:r>
          </w:p>
          <w:p w14:paraId="7CDD96D3" w14:textId="1FD6D1B7" w:rsidR="00916BFE" w:rsidRPr="001B2113" w:rsidRDefault="001B2113" w:rsidP="008D652E">
            <w:pPr>
              <w:widowControl w:val="0"/>
              <w:numPr>
                <w:ilvl w:val="0"/>
                <w:numId w:val="43"/>
              </w:numPr>
              <w:autoSpaceDE w:val="0"/>
              <w:autoSpaceDN w:val="0"/>
              <w:adjustRightInd w:val="0"/>
              <w:spacing w:after="60" w:line="240" w:lineRule="exact"/>
              <w:ind w:left="425" w:rightChars="71" w:right="142" w:hanging="425"/>
              <w:jc w:val="both"/>
              <w:rPr>
                <w:rFonts w:cs="Segoe UI"/>
                <w:i/>
                <w:kern w:val="2"/>
                <w:sz w:val="17"/>
                <w:szCs w:val="17"/>
                <w:lang w:eastAsia="it-IT"/>
              </w:rPr>
            </w:pPr>
            <w:r w:rsidRPr="001B2113">
              <w:rPr>
                <w:rFonts w:cs="Segoe UI"/>
                <w:i/>
                <w:kern w:val="2"/>
                <w:sz w:val="17"/>
                <w:szCs w:val="17"/>
                <w:lang w:eastAsia="it-IT"/>
              </w:rPr>
              <w:t>Elements where a more conservative definition has been applied in the BCR relative to that set out in Basel III capital standards are d</w:t>
            </w:r>
            <w:r w:rsidR="00CB70E6">
              <w:rPr>
                <w:rFonts w:cs="Segoe UI"/>
                <w:i/>
                <w:kern w:val="2"/>
                <w:sz w:val="17"/>
                <w:szCs w:val="17"/>
                <w:lang w:eastAsia="it-IT"/>
              </w:rPr>
              <w:t>isclosed below in Notes to the t</w:t>
            </w:r>
            <w:r w:rsidRPr="001B2113">
              <w:rPr>
                <w:rFonts w:cs="Segoe UI"/>
                <w:i/>
                <w:kern w:val="2"/>
                <w:sz w:val="17"/>
                <w:szCs w:val="17"/>
                <w:lang w:eastAsia="it-IT"/>
              </w:rPr>
              <w:t>emplate.</w:t>
            </w:r>
          </w:p>
        </w:tc>
      </w:tr>
    </w:tbl>
    <w:p w14:paraId="268CCF77" w14:textId="77777777" w:rsidR="00916BFE" w:rsidRPr="00916BFE" w:rsidRDefault="00916BFE" w:rsidP="00916BFE">
      <w:pPr>
        <w:spacing w:before="120" w:after="120"/>
        <w:ind w:leftChars="-283" w:left="-566"/>
        <w:rPr>
          <w:sz w:val="22"/>
        </w:rPr>
      </w:pPr>
    </w:p>
    <w:p w14:paraId="3E62A9EA" w14:textId="77777777" w:rsidR="00F11E65" w:rsidRPr="009F63DC" w:rsidRDefault="00F11E65" w:rsidP="00F11E65">
      <w:pPr>
        <w:spacing w:before="120" w:after="120"/>
        <w:ind w:leftChars="-283" w:left="-566"/>
        <w:rPr>
          <w:sz w:val="22"/>
        </w:rPr>
      </w:pPr>
    </w:p>
    <w:p w14:paraId="6A1D57F0" w14:textId="27120348" w:rsidR="00F11E65" w:rsidRDefault="00CB70E6" w:rsidP="00F11E65">
      <w:pPr>
        <w:spacing w:before="120" w:after="120"/>
        <w:ind w:leftChars="-283" w:left="-566"/>
        <w:rPr>
          <w:sz w:val="17"/>
          <w:szCs w:val="17"/>
          <w:u w:val="single"/>
        </w:rPr>
      </w:pPr>
      <w:r>
        <w:rPr>
          <w:sz w:val="17"/>
          <w:szCs w:val="17"/>
          <w:u w:val="single"/>
        </w:rPr>
        <w:t>Notes to the t</w:t>
      </w:r>
      <w:r w:rsidR="00F11E65" w:rsidRPr="006211B4">
        <w:rPr>
          <w:sz w:val="17"/>
          <w:szCs w:val="17"/>
          <w:u w:val="single"/>
        </w:rPr>
        <w:t>emplate</w:t>
      </w:r>
    </w:p>
    <w:tbl>
      <w:tblPr>
        <w:tblW w:w="9214" w:type="dxa"/>
        <w:tblInd w:w="-567" w:type="dxa"/>
        <w:tblBorders>
          <w:top w:val="single" w:sz="8" w:space="0" w:color="BCBDBC"/>
          <w:left w:val="single" w:sz="8" w:space="0" w:color="BCBDBC"/>
          <w:bottom w:val="single" w:sz="8" w:space="0" w:color="BCBDBC"/>
          <w:right w:val="single" w:sz="8" w:space="0" w:color="BCBDBC"/>
          <w:insideH w:val="single" w:sz="6" w:space="0" w:color="BCBDBC"/>
          <w:insideV w:val="single" w:sz="6" w:space="0" w:color="BCBDBC"/>
        </w:tblBorders>
        <w:tblLayout w:type="fixed"/>
        <w:tblCellMar>
          <w:left w:w="0" w:type="dxa"/>
          <w:right w:w="0" w:type="dxa"/>
        </w:tblCellMar>
        <w:tblLook w:val="00A0" w:firstRow="1" w:lastRow="0" w:firstColumn="1" w:lastColumn="0" w:noHBand="0" w:noVBand="0"/>
      </w:tblPr>
      <w:tblGrid>
        <w:gridCol w:w="567"/>
        <w:gridCol w:w="6659"/>
        <w:gridCol w:w="994"/>
        <w:gridCol w:w="994"/>
      </w:tblGrid>
      <w:tr w:rsidR="00F11E65" w:rsidRPr="0023654F" w14:paraId="0E36EF18" w14:textId="77777777" w:rsidTr="001929CC">
        <w:trPr>
          <w:trHeight w:val="270"/>
          <w:tblHeader/>
        </w:trPr>
        <w:tc>
          <w:tcPr>
            <w:tcW w:w="567" w:type="dxa"/>
            <w:tcBorders>
              <w:top w:val="single" w:sz="6" w:space="0" w:color="auto"/>
              <w:left w:val="nil"/>
              <w:bottom w:val="single" w:sz="6" w:space="0" w:color="auto"/>
              <w:right w:val="single" w:sz="4" w:space="0" w:color="auto"/>
            </w:tcBorders>
            <w:shd w:val="clear" w:color="auto" w:fill="D9D9D9"/>
            <w:vAlign w:val="center"/>
          </w:tcPr>
          <w:p w14:paraId="02C37B8A" w14:textId="77777777" w:rsidR="00F11E65" w:rsidRPr="00544F8F" w:rsidRDefault="00F11E65" w:rsidP="001929CC">
            <w:pPr>
              <w:pStyle w:val="TableText"/>
              <w:snapToGrid w:val="0"/>
              <w:ind w:left="57"/>
              <w:rPr>
                <w:b/>
                <w:szCs w:val="17"/>
                <w:lang w:eastAsia="it-IT"/>
              </w:rPr>
            </w:pPr>
          </w:p>
        </w:tc>
        <w:tc>
          <w:tcPr>
            <w:tcW w:w="6659" w:type="dxa"/>
            <w:tcBorders>
              <w:top w:val="single" w:sz="4" w:space="0" w:color="auto"/>
              <w:left w:val="single" w:sz="4" w:space="0" w:color="auto"/>
              <w:bottom w:val="single" w:sz="4" w:space="0" w:color="auto"/>
              <w:right w:val="single" w:sz="4" w:space="0" w:color="auto"/>
            </w:tcBorders>
            <w:shd w:val="clear" w:color="auto" w:fill="D9D9D9"/>
            <w:vAlign w:val="center"/>
          </w:tcPr>
          <w:p w14:paraId="20671F72" w14:textId="77777777" w:rsidR="00F11E65" w:rsidRPr="00544F8F" w:rsidRDefault="00F11E65" w:rsidP="001929CC">
            <w:pPr>
              <w:pStyle w:val="TableText"/>
              <w:snapToGrid w:val="0"/>
              <w:ind w:left="57" w:rightChars="71" w:right="142"/>
              <w:rPr>
                <w:b/>
                <w:szCs w:val="17"/>
                <w:lang w:eastAsia="it-IT"/>
              </w:rPr>
            </w:pPr>
            <w:r w:rsidRPr="00544F8F">
              <w:rPr>
                <w:b/>
                <w:szCs w:val="17"/>
                <w:lang w:eastAsia="it-IT"/>
              </w:rPr>
              <w:t>Description</w:t>
            </w:r>
          </w:p>
        </w:tc>
        <w:tc>
          <w:tcPr>
            <w:tcW w:w="994" w:type="dxa"/>
            <w:tcBorders>
              <w:top w:val="single" w:sz="4" w:space="0" w:color="auto"/>
              <w:left w:val="single" w:sz="4" w:space="0" w:color="auto"/>
              <w:bottom w:val="single" w:sz="4" w:space="0" w:color="auto"/>
              <w:right w:val="single" w:sz="4" w:space="0" w:color="auto"/>
            </w:tcBorders>
            <w:shd w:val="clear" w:color="auto" w:fill="D9D9D9"/>
            <w:vAlign w:val="center"/>
          </w:tcPr>
          <w:p w14:paraId="2F2E28BE" w14:textId="77777777" w:rsidR="00F11E65" w:rsidRPr="00544F8F" w:rsidRDefault="00F11E65" w:rsidP="001929CC">
            <w:pPr>
              <w:pStyle w:val="TableText"/>
              <w:snapToGrid w:val="0"/>
              <w:ind w:left="4"/>
              <w:jc w:val="center"/>
              <w:rPr>
                <w:b/>
                <w:lang w:eastAsia="it-IT"/>
              </w:rPr>
            </w:pPr>
            <w:r w:rsidRPr="00544F8F">
              <w:rPr>
                <w:b/>
                <w:lang w:eastAsia="it-IT"/>
              </w:rPr>
              <w:t>Hong Kong basis</w:t>
            </w:r>
          </w:p>
        </w:tc>
        <w:tc>
          <w:tcPr>
            <w:tcW w:w="994" w:type="dxa"/>
            <w:tcBorders>
              <w:top w:val="single" w:sz="4" w:space="0" w:color="auto"/>
              <w:left w:val="single" w:sz="4" w:space="0" w:color="auto"/>
              <w:bottom w:val="single" w:sz="4" w:space="0" w:color="auto"/>
              <w:right w:val="single" w:sz="4" w:space="0" w:color="auto"/>
            </w:tcBorders>
            <w:shd w:val="clear" w:color="auto" w:fill="D9D9D9"/>
            <w:vAlign w:val="center"/>
          </w:tcPr>
          <w:p w14:paraId="18DDC0B7" w14:textId="77777777" w:rsidR="00F11E65" w:rsidRPr="00544F8F" w:rsidRDefault="00F11E65" w:rsidP="001929CC">
            <w:pPr>
              <w:pStyle w:val="TableText"/>
              <w:snapToGrid w:val="0"/>
              <w:jc w:val="center"/>
              <w:rPr>
                <w:b/>
                <w:lang w:eastAsia="it-IT"/>
              </w:rPr>
            </w:pPr>
            <w:r w:rsidRPr="00544F8F">
              <w:rPr>
                <w:b/>
                <w:lang w:eastAsia="it-IT"/>
              </w:rPr>
              <w:t>Basel III basis</w:t>
            </w:r>
          </w:p>
        </w:tc>
      </w:tr>
      <w:tr w:rsidR="00F11E65" w:rsidRPr="0023654F" w14:paraId="4F1E6BD0" w14:textId="77777777" w:rsidTr="001929CC">
        <w:trPr>
          <w:trHeight w:val="270"/>
        </w:trPr>
        <w:tc>
          <w:tcPr>
            <w:tcW w:w="567" w:type="dxa"/>
            <w:vMerge w:val="restart"/>
            <w:tcBorders>
              <w:top w:val="single" w:sz="6" w:space="0" w:color="auto"/>
              <w:left w:val="nil"/>
              <w:right w:val="single" w:sz="4" w:space="0" w:color="auto"/>
            </w:tcBorders>
            <w:shd w:val="clear" w:color="auto" w:fill="FFFFFF"/>
          </w:tcPr>
          <w:p w14:paraId="6C7F318D" w14:textId="77777777" w:rsidR="00F11E65" w:rsidRPr="00544F8F" w:rsidRDefault="00F11E65" w:rsidP="001929CC">
            <w:pPr>
              <w:pStyle w:val="TableText"/>
              <w:snapToGrid w:val="0"/>
              <w:ind w:left="57"/>
              <w:rPr>
                <w:b/>
                <w:szCs w:val="17"/>
                <w:lang w:eastAsia="it-IT"/>
              </w:rPr>
            </w:pPr>
            <w:r w:rsidRPr="00494F30">
              <w:rPr>
                <w:szCs w:val="17"/>
                <w:lang w:eastAsia="it-IT"/>
              </w:rPr>
              <w:t>9</w:t>
            </w:r>
          </w:p>
        </w:tc>
        <w:tc>
          <w:tcPr>
            <w:tcW w:w="6659" w:type="dxa"/>
            <w:tcBorders>
              <w:top w:val="single" w:sz="4" w:space="0" w:color="auto"/>
              <w:left w:val="single" w:sz="4" w:space="0" w:color="auto"/>
              <w:bottom w:val="single" w:sz="4" w:space="0" w:color="auto"/>
              <w:right w:val="single" w:sz="4" w:space="0" w:color="auto"/>
            </w:tcBorders>
            <w:shd w:val="clear" w:color="auto" w:fill="FFFFFF"/>
          </w:tcPr>
          <w:p w14:paraId="669CD326" w14:textId="77777777" w:rsidR="00F11E65" w:rsidRPr="00494F30" w:rsidRDefault="00F11E65" w:rsidP="001929CC">
            <w:pPr>
              <w:pStyle w:val="TableText"/>
              <w:snapToGrid w:val="0"/>
              <w:ind w:left="57" w:rightChars="71" w:right="142"/>
              <w:rPr>
                <w:b/>
                <w:szCs w:val="17"/>
                <w:lang w:eastAsia="it-IT"/>
              </w:rPr>
            </w:pPr>
            <w:r w:rsidRPr="00494F30">
              <w:rPr>
                <w:b/>
                <w:lang w:eastAsia="it-IT"/>
              </w:rPr>
              <w:t>Other intangible assets (net of associated deferred tax liabilities)</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14:paraId="295D4C6C" w14:textId="77777777" w:rsidR="00F11E65" w:rsidRPr="00544F8F" w:rsidRDefault="00F11E65" w:rsidP="001929CC">
            <w:pPr>
              <w:pStyle w:val="TableText"/>
              <w:snapToGrid w:val="0"/>
              <w:ind w:left="4"/>
              <w:jc w:val="center"/>
              <w:rPr>
                <w:b/>
                <w:lang w:eastAsia="it-IT"/>
              </w:rPr>
            </w:pP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14:paraId="7B49891F" w14:textId="77777777" w:rsidR="00F11E65" w:rsidRPr="00544F8F" w:rsidRDefault="00F11E65" w:rsidP="001929CC">
            <w:pPr>
              <w:pStyle w:val="TableText"/>
              <w:snapToGrid w:val="0"/>
              <w:jc w:val="center"/>
              <w:rPr>
                <w:b/>
                <w:lang w:eastAsia="it-IT"/>
              </w:rPr>
            </w:pPr>
          </w:p>
        </w:tc>
      </w:tr>
      <w:tr w:rsidR="00F11E65" w:rsidRPr="0023654F" w14:paraId="21FA8FC6" w14:textId="77777777" w:rsidTr="001929CC">
        <w:trPr>
          <w:trHeight w:val="270"/>
        </w:trPr>
        <w:tc>
          <w:tcPr>
            <w:tcW w:w="567" w:type="dxa"/>
            <w:vMerge/>
            <w:tcBorders>
              <w:left w:val="nil"/>
              <w:bottom w:val="single" w:sz="6" w:space="0" w:color="auto"/>
              <w:right w:val="single" w:sz="4" w:space="0" w:color="auto"/>
            </w:tcBorders>
            <w:shd w:val="clear" w:color="auto" w:fill="FFFFFF"/>
          </w:tcPr>
          <w:p w14:paraId="5D1AE6A6" w14:textId="77777777" w:rsidR="00F11E65" w:rsidRPr="00494F30" w:rsidRDefault="00F11E65" w:rsidP="001929CC">
            <w:pPr>
              <w:pStyle w:val="TableText"/>
              <w:snapToGrid w:val="0"/>
              <w:ind w:left="57"/>
              <w:rPr>
                <w:szCs w:val="17"/>
                <w:lang w:eastAsia="it-IT"/>
              </w:rPr>
            </w:pPr>
          </w:p>
        </w:tc>
        <w:tc>
          <w:tcPr>
            <w:tcW w:w="864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C0F5135" w14:textId="77777777" w:rsidR="00F11E65" w:rsidRPr="00F6771E" w:rsidRDefault="00F11E65" w:rsidP="001929CC">
            <w:pPr>
              <w:pStyle w:val="TableText"/>
              <w:snapToGrid w:val="0"/>
              <w:ind w:left="57" w:rightChars="71" w:right="142"/>
              <w:jc w:val="both"/>
              <w:rPr>
                <w:u w:val="single"/>
                <w:lang w:eastAsia="it-IT"/>
              </w:rPr>
            </w:pPr>
            <w:r w:rsidRPr="00F6771E">
              <w:rPr>
                <w:u w:val="single"/>
                <w:lang w:eastAsia="it-IT"/>
              </w:rPr>
              <w:t>Explanation</w:t>
            </w:r>
          </w:p>
          <w:p w14:paraId="22AB5578" w14:textId="77777777" w:rsidR="00F11E65" w:rsidRPr="00544F8F" w:rsidRDefault="00F11E65" w:rsidP="001929CC">
            <w:pPr>
              <w:pStyle w:val="TableText"/>
              <w:snapToGrid w:val="0"/>
              <w:ind w:left="57" w:rightChars="71" w:right="142"/>
              <w:jc w:val="both"/>
              <w:rPr>
                <w:b/>
                <w:lang w:eastAsia="it-IT"/>
              </w:rPr>
            </w:pPr>
            <w:r w:rsidRPr="00F6771E">
              <w:rPr>
                <w:lang w:eastAsia="it-IT"/>
              </w:rPr>
              <w:t xml:space="preserve">As set out in paragraph 87 of the Basel III text issued by the Basel Committee (December 2010), mortgage servicing rights (“MSRs”) may be given limited recognition in CET1 capital (and hence be excluded from deduction from CET1 capital up to the specified threshold).  In Hong Kong, an AI is required to follow the accounting treatment of including MSRs as part of intangible assets reported in the AI's financial statements and to deduct MSRs in full from CET1 capital.  Therefore, the amount to be deducted as reported in row </w:t>
            </w:r>
            <w:r>
              <w:rPr>
                <w:lang w:eastAsia="it-IT"/>
              </w:rPr>
              <w:t>9</w:t>
            </w:r>
            <w:r w:rsidRPr="00F6771E">
              <w:rPr>
                <w:lang w:eastAsia="it-IT"/>
              </w:rPr>
              <w:t xml:space="preserve"> may be greater than </w:t>
            </w:r>
            <w:r>
              <w:rPr>
                <w:lang w:eastAsia="it-IT"/>
              </w:rPr>
              <w:t xml:space="preserve">that required under Basel III.  </w:t>
            </w:r>
            <w:r w:rsidRPr="00F6771E">
              <w:rPr>
                <w:lang w:eastAsia="it-IT"/>
              </w:rPr>
              <w:t xml:space="preserve">The amount reported under the column "Basel III basis" in this box represents the amount reported in row </w:t>
            </w:r>
            <w:r>
              <w:rPr>
                <w:lang w:eastAsia="it-IT"/>
              </w:rPr>
              <w:t>9</w:t>
            </w:r>
            <w:r w:rsidRPr="00F6771E">
              <w:rPr>
                <w:lang w:eastAsia="it-IT"/>
              </w:rPr>
              <w:t xml:space="preserve"> (i.e. the amount reported under the "Hong Kong basis") adjusted by reducing the amount of MSRs to be deducted to the extent not in excess of the 10% threshold set for MSRs and the aggregate 15% </w:t>
            </w:r>
            <w:r w:rsidRPr="00F6771E">
              <w:rPr>
                <w:lang w:eastAsia="it-IT"/>
              </w:rPr>
              <w:lastRenderedPageBreak/>
              <w:t>threshold set for MSRs, DTAs arising from temporary differences and significant investments in CET1 capital instruments issued by financial sector entities (excluding those that are loans, facilities or other credit exposures to connected companies) under Basel III.</w:t>
            </w:r>
          </w:p>
        </w:tc>
      </w:tr>
      <w:tr w:rsidR="00F11E65" w:rsidRPr="0023654F" w14:paraId="30C3820B" w14:textId="77777777" w:rsidTr="001929CC">
        <w:trPr>
          <w:trHeight w:val="270"/>
        </w:trPr>
        <w:tc>
          <w:tcPr>
            <w:tcW w:w="567" w:type="dxa"/>
            <w:vMerge w:val="restart"/>
            <w:tcBorders>
              <w:top w:val="single" w:sz="6" w:space="0" w:color="auto"/>
              <w:left w:val="nil"/>
              <w:right w:val="single" w:sz="4" w:space="0" w:color="auto"/>
            </w:tcBorders>
            <w:shd w:val="clear" w:color="auto" w:fill="FFFFFF"/>
          </w:tcPr>
          <w:p w14:paraId="246A54BB" w14:textId="77777777" w:rsidR="00F11E65" w:rsidRPr="00494F30" w:rsidRDefault="00F11E65" w:rsidP="001929CC">
            <w:pPr>
              <w:pStyle w:val="TableText"/>
              <w:snapToGrid w:val="0"/>
              <w:ind w:left="57"/>
              <w:rPr>
                <w:szCs w:val="17"/>
                <w:lang w:eastAsia="it-IT"/>
              </w:rPr>
            </w:pPr>
            <w:r>
              <w:rPr>
                <w:szCs w:val="17"/>
                <w:lang w:eastAsia="it-IT"/>
              </w:rPr>
              <w:lastRenderedPageBreak/>
              <w:t>10</w:t>
            </w:r>
          </w:p>
        </w:tc>
        <w:tc>
          <w:tcPr>
            <w:tcW w:w="6659" w:type="dxa"/>
            <w:tcBorders>
              <w:top w:val="single" w:sz="4" w:space="0" w:color="auto"/>
              <w:left w:val="single" w:sz="4" w:space="0" w:color="auto"/>
              <w:bottom w:val="single" w:sz="4" w:space="0" w:color="auto"/>
              <w:right w:val="single" w:sz="4" w:space="0" w:color="auto"/>
            </w:tcBorders>
            <w:shd w:val="clear" w:color="auto" w:fill="FFFFFF"/>
            <w:vAlign w:val="center"/>
          </w:tcPr>
          <w:p w14:paraId="1E414D72" w14:textId="77777777" w:rsidR="00F11E65" w:rsidRPr="00544F8F" w:rsidRDefault="00F11E65" w:rsidP="001929CC">
            <w:pPr>
              <w:pStyle w:val="TableText"/>
              <w:snapToGrid w:val="0"/>
              <w:ind w:left="57" w:rightChars="71" w:right="142"/>
              <w:rPr>
                <w:b/>
                <w:szCs w:val="17"/>
                <w:lang w:eastAsia="it-IT"/>
              </w:rPr>
            </w:pPr>
            <w:r w:rsidRPr="00494F30">
              <w:rPr>
                <w:b/>
                <w:lang w:eastAsia="it-IT"/>
              </w:rPr>
              <w:t xml:space="preserve">Deferred tax assets </w:t>
            </w:r>
            <w:r w:rsidRPr="00494F30">
              <w:rPr>
                <w:b/>
                <w:lang w:val="en-US" w:eastAsia="it-IT"/>
              </w:rPr>
              <w:t>(net o</w:t>
            </w:r>
            <w:r w:rsidRPr="00591AE9">
              <w:rPr>
                <w:b/>
                <w:lang w:val="en-US" w:eastAsia="it-IT"/>
              </w:rPr>
              <w:t>f a</w:t>
            </w:r>
            <w:r>
              <w:rPr>
                <w:b/>
                <w:lang w:val="en-US" w:eastAsia="it-IT"/>
              </w:rPr>
              <w:t>ssociated deferred tax liabilities</w:t>
            </w:r>
            <w:r w:rsidRPr="00591AE9">
              <w:rPr>
                <w:b/>
                <w:lang w:val="en-US" w:eastAsia="it-IT"/>
              </w:rPr>
              <w:t>)</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14:paraId="4A44DB24" w14:textId="77777777" w:rsidR="00F11E65" w:rsidRPr="00544F8F" w:rsidRDefault="00F11E65" w:rsidP="001929CC">
            <w:pPr>
              <w:pStyle w:val="TableText"/>
              <w:snapToGrid w:val="0"/>
              <w:ind w:left="4"/>
              <w:jc w:val="center"/>
              <w:rPr>
                <w:b/>
                <w:lang w:eastAsia="it-IT"/>
              </w:rPr>
            </w:pP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14:paraId="4E97CDEB" w14:textId="77777777" w:rsidR="00F11E65" w:rsidRPr="00544F8F" w:rsidRDefault="00F11E65" w:rsidP="001929CC">
            <w:pPr>
              <w:pStyle w:val="TableText"/>
              <w:snapToGrid w:val="0"/>
              <w:jc w:val="center"/>
              <w:rPr>
                <w:b/>
                <w:lang w:eastAsia="it-IT"/>
              </w:rPr>
            </w:pPr>
          </w:p>
        </w:tc>
      </w:tr>
      <w:tr w:rsidR="00F11E65" w:rsidRPr="0023654F" w14:paraId="3BD82B90" w14:textId="77777777" w:rsidTr="001929CC">
        <w:trPr>
          <w:trHeight w:val="270"/>
        </w:trPr>
        <w:tc>
          <w:tcPr>
            <w:tcW w:w="567" w:type="dxa"/>
            <w:vMerge/>
            <w:tcBorders>
              <w:left w:val="nil"/>
              <w:bottom w:val="single" w:sz="6" w:space="0" w:color="auto"/>
              <w:right w:val="single" w:sz="4" w:space="0" w:color="auto"/>
            </w:tcBorders>
            <w:shd w:val="clear" w:color="auto" w:fill="FFFFFF"/>
            <w:vAlign w:val="center"/>
          </w:tcPr>
          <w:p w14:paraId="5760B962" w14:textId="77777777" w:rsidR="00F11E65" w:rsidRPr="00494F30" w:rsidRDefault="00F11E65" w:rsidP="001929CC">
            <w:pPr>
              <w:pStyle w:val="TableText"/>
              <w:snapToGrid w:val="0"/>
              <w:ind w:left="57"/>
              <w:rPr>
                <w:szCs w:val="17"/>
                <w:lang w:eastAsia="it-IT"/>
              </w:rPr>
            </w:pPr>
          </w:p>
        </w:tc>
        <w:tc>
          <w:tcPr>
            <w:tcW w:w="864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4B4D931" w14:textId="77777777" w:rsidR="00F11E65" w:rsidRPr="00F6771E" w:rsidRDefault="00F11E65" w:rsidP="001929CC">
            <w:pPr>
              <w:pStyle w:val="TableText"/>
              <w:snapToGrid w:val="0"/>
              <w:ind w:left="57" w:rightChars="71" w:right="142"/>
              <w:jc w:val="both"/>
              <w:rPr>
                <w:u w:val="single"/>
                <w:lang w:eastAsia="it-IT"/>
              </w:rPr>
            </w:pPr>
            <w:r w:rsidRPr="00F6771E">
              <w:rPr>
                <w:u w:val="single"/>
                <w:lang w:eastAsia="it-IT"/>
              </w:rPr>
              <w:t>Explanation</w:t>
            </w:r>
          </w:p>
          <w:p w14:paraId="18FCF88E" w14:textId="77777777" w:rsidR="00F11E65" w:rsidRPr="00544F8F" w:rsidRDefault="00F11E65" w:rsidP="001929CC">
            <w:pPr>
              <w:pStyle w:val="TableText"/>
              <w:snapToGrid w:val="0"/>
              <w:ind w:left="57" w:rightChars="71" w:right="142"/>
              <w:jc w:val="both"/>
              <w:rPr>
                <w:b/>
                <w:lang w:eastAsia="it-IT"/>
              </w:rPr>
            </w:pPr>
            <w:r w:rsidRPr="00F6771E">
              <w:rPr>
                <w:lang w:eastAsia="it-IT"/>
              </w:rPr>
              <w:t xml:space="preserve">As set out in paragraphs 69 and 87 of the Basel III text issued by the Basel Committee (December 2010), DTAs of the bank to be realized are to be deducted, whereas DTAs which relate to temporary differences may be given limited recognition in CET1 capital (and hence be excluded from deduction from CET1 capital up to the specified threshold).  In Hong Kong, an AI is required to deduct all DTAs in full, </w:t>
            </w:r>
            <w:r>
              <w:rPr>
                <w:lang w:eastAsia="it-IT"/>
              </w:rPr>
              <w:t>irrespective of their origin</w:t>
            </w:r>
            <w:r w:rsidRPr="00F6771E">
              <w:rPr>
                <w:lang w:eastAsia="it-IT"/>
              </w:rPr>
              <w:t xml:space="preserve">, from CET1 capital.  Therefore, the amount to be deducted as reported in row </w:t>
            </w:r>
            <w:r>
              <w:rPr>
                <w:lang w:eastAsia="it-IT"/>
              </w:rPr>
              <w:t>10</w:t>
            </w:r>
            <w:r w:rsidRPr="00F6771E">
              <w:rPr>
                <w:lang w:eastAsia="it-IT"/>
              </w:rPr>
              <w:t xml:space="preserve"> may be greater than that required under Basel III.</w:t>
            </w:r>
            <w:r>
              <w:rPr>
                <w:lang w:eastAsia="it-IT"/>
              </w:rPr>
              <w:t xml:space="preserve">  </w:t>
            </w:r>
            <w:r w:rsidRPr="00F6771E">
              <w:rPr>
                <w:lang w:eastAsia="it-IT"/>
              </w:rPr>
              <w:t xml:space="preserve">The amount reported under the column "Basel III basis" in this box represents the amount reported in row </w:t>
            </w:r>
            <w:r>
              <w:rPr>
                <w:lang w:eastAsia="it-IT"/>
              </w:rPr>
              <w:t>10</w:t>
            </w:r>
            <w:r w:rsidRPr="00F6771E">
              <w:rPr>
                <w:lang w:eastAsia="it-IT"/>
              </w:rPr>
              <w:t xml:space="preserve"> (i.e. the amount reported under the "Hong Kong basis") adjusted by reducing the amount of DTAs to be deducted which relate to temporary differences to the extent not in excess of the 10% threshold set for DTAs arising from temporary differences and the aggregate 15% threshold set for MSRs, DTAs arising from temporary differences and significant investments in CET1 capital instruments issued by financial sector entities (excluding thos</w:t>
            </w:r>
            <w:r>
              <w:rPr>
                <w:lang w:eastAsia="it-IT"/>
              </w:rPr>
              <w:t>e that are loans, facilities or</w:t>
            </w:r>
            <w:r w:rsidRPr="00F6771E">
              <w:rPr>
                <w:lang w:eastAsia="it-IT"/>
              </w:rPr>
              <w:t xml:space="preserve"> other credit exposures to connected companies) under Basel III.</w:t>
            </w:r>
          </w:p>
        </w:tc>
      </w:tr>
      <w:tr w:rsidR="00F11E65" w:rsidRPr="0023654F" w14:paraId="71E4D15F" w14:textId="77777777" w:rsidTr="001929CC">
        <w:trPr>
          <w:cantSplit/>
          <w:trHeight w:val="270"/>
        </w:trPr>
        <w:tc>
          <w:tcPr>
            <w:tcW w:w="567" w:type="dxa"/>
            <w:vMerge w:val="restart"/>
            <w:tcBorders>
              <w:top w:val="single" w:sz="4" w:space="0" w:color="auto"/>
              <w:left w:val="nil"/>
              <w:right w:val="single" w:sz="4" w:space="0" w:color="auto"/>
            </w:tcBorders>
            <w:shd w:val="clear" w:color="auto" w:fill="auto"/>
          </w:tcPr>
          <w:p w14:paraId="6F0C1431" w14:textId="77777777" w:rsidR="00F11E65" w:rsidRPr="00010C76" w:rsidRDefault="00F11E65" w:rsidP="001929CC">
            <w:pPr>
              <w:pStyle w:val="TableText"/>
              <w:snapToGrid w:val="0"/>
              <w:ind w:left="57"/>
              <w:rPr>
                <w:szCs w:val="17"/>
                <w:lang w:eastAsia="it-IT"/>
              </w:rPr>
            </w:pPr>
            <w:r>
              <w:rPr>
                <w:szCs w:val="17"/>
                <w:lang w:eastAsia="it-IT"/>
              </w:rPr>
              <w:t>18</w:t>
            </w:r>
          </w:p>
        </w:tc>
        <w:tc>
          <w:tcPr>
            <w:tcW w:w="6659" w:type="dxa"/>
            <w:tcBorders>
              <w:top w:val="single" w:sz="4" w:space="0" w:color="auto"/>
              <w:left w:val="single" w:sz="4" w:space="0" w:color="auto"/>
              <w:bottom w:val="single" w:sz="4" w:space="0" w:color="auto"/>
              <w:right w:val="single" w:sz="4" w:space="0" w:color="auto"/>
            </w:tcBorders>
            <w:shd w:val="clear" w:color="auto" w:fill="auto"/>
          </w:tcPr>
          <w:p w14:paraId="3D6F96AF" w14:textId="77777777" w:rsidR="00F11E65" w:rsidRPr="00F6771E" w:rsidRDefault="00F11E65" w:rsidP="001929CC">
            <w:pPr>
              <w:pStyle w:val="TableText"/>
              <w:snapToGrid w:val="0"/>
              <w:ind w:left="57" w:rightChars="71" w:right="142"/>
              <w:rPr>
                <w:b/>
                <w:szCs w:val="17"/>
                <w:lang w:eastAsia="it-IT"/>
              </w:rPr>
            </w:pPr>
            <w:r w:rsidRPr="00F6771E">
              <w:rPr>
                <w:b/>
                <w:szCs w:val="17"/>
                <w:lang w:eastAsia="it-IT"/>
              </w:rPr>
              <w:t xml:space="preserve">Insignificant </w:t>
            </w:r>
            <w:r>
              <w:rPr>
                <w:b/>
                <w:szCs w:val="17"/>
                <w:lang w:eastAsia="it-IT"/>
              </w:rPr>
              <w:t xml:space="preserve">LAC </w:t>
            </w:r>
            <w:r w:rsidRPr="00F6771E">
              <w:rPr>
                <w:b/>
                <w:szCs w:val="17"/>
                <w:lang w:eastAsia="it-IT"/>
              </w:rPr>
              <w:t>investments in CET1 capital instruments issued by financial sector entities that are outside the scope of regulatory consolidation (amount above 10% threshold)</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CF48D37" w14:textId="77777777" w:rsidR="00F11E65" w:rsidRPr="003B53ED" w:rsidRDefault="00F11E65" w:rsidP="001929CC">
            <w:pPr>
              <w:pStyle w:val="TableText"/>
              <w:snapToGrid w:val="0"/>
              <w:ind w:left="57"/>
              <w:jc w:val="center"/>
              <w:rPr>
                <w:lang w:eastAsia="it-IT"/>
              </w:rPr>
            </w:pP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CDA686C" w14:textId="77777777" w:rsidR="00F11E65" w:rsidRPr="0023654F" w:rsidRDefault="00F11E65" w:rsidP="001929CC">
            <w:pPr>
              <w:pStyle w:val="TableText"/>
              <w:snapToGrid w:val="0"/>
              <w:jc w:val="center"/>
              <w:rPr>
                <w:lang w:eastAsia="it-IT"/>
              </w:rPr>
            </w:pPr>
          </w:p>
        </w:tc>
      </w:tr>
      <w:tr w:rsidR="00F11E65" w:rsidRPr="0023654F" w14:paraId="1734B557" w14:textId="77777777" w:rsidTr="001929CC">
        <w:trPr>
          <w:cantSplit/>
          <w:trHeight w:val="270"/>
        </w:trPr>
        <w:tc>
          <w:tcPr>
            <w:tcW w:w="567" w:type="dxa"/>
            <w:vMerge/>
            <w:tcBorders>
              <w:left w:val="nil"/>
              <w:bottom w:val="single" w:sz="6" w:space="0" w:color="auto"/>
              <w:right w:val="single" w:sz="4" w:space="0" w:color="auto"/>
            </w:tcBorders>
            <w:shd w:val="clear" w:color="auto" w:fill="auto"/>
          </w:tcPr>
          <w:p w14:paraId="7241170E" w14:textId="77777777" w:rsidR="00F11E65" w:rsidRDefault="00F11E65" w:rsidP="001929CC">
            <w:pPr>
              <w:pStyle w:val="TableText"/>
              <w:snapToGrid w:val="0"/>
              <w:ind w:left="57"/>
              <w:rPr>
                <w:szCs w:val="17"/>
                <w:lang w:eastAsia="it-IT"/>
              </w:rPr>
            </w:pPr>
          </w:p>
        </w:tc>
        <w:tc>
          <w:tcPr>
            <w:tcW w:w="8647" w:type="dxa"/>
            <w:gridSpan w:val="3"/>
            <w:tcBorders>
              <w:top w:val="single" w:sz="4" w:space="0" w:color="auto"/>
              <w:left w:val="single" w:sz="4" w:space="0" w:color="auto"/>
              <w:bottom w:val="single" w:sz="4" w:space="0" w:color="auto"/>
              <w:right w:val="single" w:sz="4" w:space="0" w:color="auto"/>
            </w:tcBorders>
            <w:shd w:val="clear" w:color="auto" w:fill="auto"/>
          </w:tcPr>
          <w:p w14:paraId="461E6381" w14:textId="77777777" w:rsidR="00F11E65" w:rsidRPr="00F6771E" w:rsidRDefault="00F11E65" w:rsidP="001929CC">
            <w:pPr>
              <w:pStyle w:val="TableText"/>
              <w:snapToGrid w:val="0"/>
              <w:ind w:left="57" w:rightChars="71" w:right="142"/>
              <w:jc w:val="both"/>
              <w:rPr>
                <w:szCs w:val="17"/>
                <w:u w:val="single"/>
                <w:lang w:eastAsia="it-IT"/>
              </w:rPr>
            </w:pPr>
            <w:r w:rsidRPr="00F6771E">
              <w:rPr>
                <w:u w:val="single"/>
                <w:lang w:eastAsia="it-IT"/>
              </w:rPr>
              <w:t>Exp</w:t>
            </w:r>
            <w:r w:rsidRPr="00F6771E">
              <w:rPr>
                <w:szCs w:val="17"/>
                <w:u w:val="single"/>
                <w:lang w:eastAsia="it-IT"/>
              </w:rPr>
              <w:t>lanation</w:t>
            </w:r>
          </w:p>
          <w:p w14:paraId="16DC299A" w14:textId="77777777" w:rsidR="00F11E65" w:rsidRPr="00F6771E" w:rsidRDefault="00F11E65" w:rsidP="001929CC">
            <w:pPr>
              <w:pStyle w:val="TableText"/>
              <w:snapToGrid w:val="0"/>
              <w:ind w:left="57" w:rightChars="71" w:right="142"/>
              <w:jc w:val="both"/>
              <w:rPr>
                <w:lang w:eastAsia="it-IT"/>
              </w:rPr>
            </w:pPr>
            <w:r w:rsidRPr="00F6771E">
              <w:rPr>
                <w:szCs w:val="17"/>
                <w:lang w:eastAsia="it-IT"/>
              </w:rPr>
              <w:t xml:space="preserve">For the purpose of determining the total amount of insignificant </w:t>
            </w:r>
            <w:r>
              <w:rPr>
                <w:szCs w:val="17"/>
                <w:lang w:eastAsia="it-IT"/>
              </w:rPr>
              <w:t xml:space="preserve">LAC </w:t>
            </w:r>
            <w:r w:rsidRPr="00F6771E">
              <w:rPr>
                <w:szCs w:val="17"/>
                <w:lang w:eastAsia="it-IT"/>
              </w:rPr>
              <w:t>investments in CET1 capital instruments issued by financial sector entities, an AI is required to aggregate any amount of loans, facilities or other credit exposures provided by it to any of its connected companies, where the connected company is a financial sector entity, as if such loans, facilities or other credit exposures were direct holdings, indirect holdings or synthetic holdings of the AI in the capital instruments of the financial sector entity, except where the AI demonstrates to the satisfaction of the M</w:t>
            </w:r>
            <w:r>
              <w:rPr>
                <w:szCs w:val="17"/>
                <w:lang w:eastAsia="it-IT"/>
              </w:rPr>
              <w:t>A</w:t>
            </w:r>
            <w:r w:rsidRPr="00F6771E">
              <w:rPr>
                <w:szCs w:val="17"/>
                <w:lang w:eastAsia="it-IT"/>
              </w:rPr>
              <w:t xml:space="preserve"> that any such loan was made, any such facility was granted, or any such other credit exposure was incurred, in the ordinary course of the AI's business.  Therefore, the amount to be deducted as reported in row 18 may be greater than that required under Basel III.  The amount reported under the column "Basel III basis"</w:t>
            </w:r>
            <w:r w:rsidRPr="00F6771E">
              <w:rPr>
                <w:lang w:eastAsia="it-IT"/>
              </w:rPr>
              <w:t xml:space="preserve"> in this box represents the amount reported in row 18 (i.e. the amount reported under the "Hong Kong basis") adjusted by excluding the aggregate amount of loans, facilities or other credit exposures to the AI's connected companies which were subject to deduction under the Hong Kong approach.</w:t>
            </w:r>
          </w:p>
        </w:tc>
      </w:tr>
      <w:tr w:rsidR="00F11E65" w:rsidRPr="0023654F" w14:paraId="4CB2DEBA" w14:textId="77777777" w:rsidTr="001929CC">
        <w:trPr>
          <w:cantSplit/>
          <w:trHeight w:val="270"/>
        </w:trPr>
        <w:tc>
          <w:tcPr>
            <w:tcW w:w="567" w:type="dxa"/>
            <w:vMerge w:val="restart"/>
            <w:tcBorders>
              <w:left w:val="nil"/>
              <w:right w:val="single" w:sz="4" w:space="0" w:color="auto"/>
            </w:tcBorders>
            <w:shd w:val="clear" w:color="auto" w:fill="auto"/>
          </w:tcPr>
          <w:p w14:paraId="5C1D8D84" w14:textId="77777777" w:rsidR="00F11E65" w:rsidRDefault="00F11E65" w:rsidP="001929CC">
            <w:pPr>
              <w:pStyle w:val="TableText"/>
              <w:snapToGrid w:val="0"/>
              <w:ind w:left="57"/>
              <w:rPr>
                <w:szCs w:val="17"/>
                <w:lang w:eastAsia="it-IT"/>
              </w:rPr>
            </w:pPr>
            <w:r>
              <w:rPr>
                <w:szCs w:val="17"/>
                <w:lang w:eastAsia="it-IT"/>
              </w:rPr>
              <w:t>19</w:t>
            </w:r>
          </w:p>
        </w:tc>
        <w:tc>
          <w:tcPr>
            <w:tcW w:w="6659" w:type="dxa"/>
            <w:tcBorders>
              <w:top w:val="single" w:sz="4" w:space="0" w:color="auto"/>
              <w:left w:val="single" w:sz="4" w:space="0" w:color="auto"/>
              <w:bottom w:val="single" w:sz="4" w:space="0" w:color="auto"/>
              <w:right w:val="single" w:sz="4" w:space="0" w:color="auto"/>
            </w:tcBorders>
            <w:shd w:val="clear" w:color="auto" w:fill="auto"/>
          </w:tcPr>
          <w:p w14:paraId="74CAE2A8" w14:textId="77777777" w:rsidR="00F11E65" w:rsidRPr="00F6771E" w:rsidRDefault="00F11E65" w:rsidP="001929CC">
            <w:pPr>
              <w:pStyle w:val="TableText"/>
              <w:snapToGrid w:val="0"/>
              <w:ind w:left="57" w:rightChars="71" w:right="142"/>
              <w:rPr>
                <w:b/>
                <w:szCs w:val="17"/>
                <w:lang w:eastAsia="it-IT"/>
              </w:rPr>
            </w:pPr>
            <w:r w:rsidRPr="00F6771E">
              <w:rPr>
                <w:b/>
                <w:szCs w:val="17"/>
                <w:lang w:eastAsia="it-IT"/>
              </w:rPr>
              <w:t xml:space="preserve">Significant </w:t>
            </w:r>
            <w:r>
              <w:rPr>
                <w:b/>
                <w:szCs w:val="17"/>
                <w:lang w:eastAsia="it-IT"/>
              </w:rPr>
              <w:t xml:space="preserve">LAC </w:t>
            </w:r>
            <w:r w:rsidRPr="00F6771E">
              <w:rPr>
                <w:b/>
                <w:szCs w:val="17"/>
                <w:lang w:eastAsia="it-IT"/>
              </w:rPr>
              <w:t>investments in CET1 capital instruments issued by financial sector entities that are outside the scope of regulatory consolidation (amount above 10% threshold)</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66641D7" w14:textId="77777777" w:rsidR="00F11E65" w:rsidRPr="00D95E5B" w:rsidRDefault="00F11E65" w:rsidP="001929CC">
            <w:pPr>
              <w:pStyle w:val="TableText"/>
              <w:snapToGrid w:val="0"/>
              <w:ind w:left="57" w:rightChars="71" w:right="142"/>
              <w:rPr>
                <w:u w:val="single"/>
                <w:lang w:eastAsia="it-IT"/>
              </w:rPr>
            </w:pP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BF8A3DB" w14:textId="77777777" w:rsidR="00F11E65" w:rsidRPr="00D95E5B" w:rsidRDefault="00F11E65" w:rsidP="001929CC">
            <w:pPr>
              <w:pStyle w:val="TableText"/>
              <w:snapToGrid w:val="0"/>
              <w:ind w:left="57" w:rightChars="71" w:right="142"/>
              <w:rPr>
                <w:u w:val="single"/>
                <w:lang w:eastAsia="it-IT"/>
              </w:rPr>
            </w:pPr>
          </w:p>
        </w:tc>
      </w:tr>
      <w:tr w:rsidR="00F11E65" w:rsidRPr="0023654F" w14:paraId="026CF4F8" w14:textId="77777777" w:rsidTr="001929CC">
        <w:trPr>
          <w:cantSplit/>
          <w:trHeight w:val="270"/>
        </w:trPr>
        <w:tc>
          <w:tcPr>
            <w:tcW w:w="567" w:type="dxa"/>
            <w:vMerge/>
            <w:tcBorders>
              <w:left w:val="nil"/>
              <w:bottom w:val="single" w:sz="6" w:space="0" w:color="auto"/>
              <w:right w:val="single" w:sz="4" w:space="0" w:color="auto"/>
            </w:tcBorders>
            <w:shd w:val="clear" w:color="auto" w:fill="auto"/>
          </w:tcPr>
          <w:p w14:paraId="05175B11" w14:textId="77777777" w:rsidR="00F11E65" w:rsidRDefault="00F11E65" w:rsidP="001929CC">
            <w:pPr>
              <w:pStyle w:val="TableText"/>
              <w:snapToGrid w:val="0"/>
              <w:ind w:left="57"/>
              <w:rPr>
                <w:szCs w:val="17"/>
                <w:lang w:eastAsia="it-IT"/>
              </w:rPr>
            </w:pPr>
          </w:p>
        </w:tc>
        <w:tc>
          <w:tcPr>
            <w:tcW w:w="8647" w:type="dxa"/>
            <w:gridSpan w:val="3"/>
            <w:tcBorders>
              <w:top w:val="single" w:sz="4" w:space="0" w:color="auto"/>
              <w:left w:val="single" w:sz="4" w:space="0" w:color="auto"/>
              <w:bottom w:val="single" w:sz="4" w:space="0" w:color="auto"/>
              <w:right w:val="single" w:sz="4" w:space="0" w:color="auto"/>
            </w:tcBorders>
            <w:shd w:val="clear" w:color="auto" w:fill="auto"/>
          </w:tcPr>
          <w:p w14:paraId="6C0D5851" w14:textId="77777777" w:rsidR="00F11E65" w:rsidRPr="00EF641D" w:rsidRDefault="00F11E65" w:rsidP="001929CC">
            <w:pPr>
              <w:pStyle w:val="TableText"/>
              <w:snapToGrid w:val="0"/>
              <w:ind w:left="57" w:rightChars="71" w:right="142"/>
              <w:jc w:val="both"/>
              <w:rPr>
                <w:u w:val="single"/>
                <w:lang w:eastAsia="it-IT"/>
              </w:rPr>
            </w:pPr>
            <w:r w:rsidRPr="00EF641D">
              <w:rPr>
                <w:szCs w:val="17"/>
                <w:u w:val="single"/>
                <w:lang w:eastAsia="it-IT"/>
              </w:rPr>
              <w:t>Explanation</w:t>
            </w:r>
          </w:p>
          <w:p w14:paraId="5701FDA8" w14:textId="77777777" w:rsidR="00F11E65" w:rsidRPr="00D95E5B" w:rsidRDefault="00F11E65" w:rsidP="001929CC">
            <w:pPr>
              <w:pStyle w:val="TableText"/>
              <w:snapToGrid w:val="0"/>
              <w:ind w:left="57" w:rightChars="71" w:right="142"/>
              <w:jc w:val="both"/>
              <w:rPr>
                <w:u w:val="single"/>
                <w:lang w:eastAsia="it-IT"/>
              </w:rPr>
            </w:pPr>
            <w:r w:rsidRPr="00544F8F">
              <w:rPr>
                <w:szCs w:val="17"/>
                <w:lang w:eastAsia="it-IT"/>
              </w:rPr>
              <w:t>For</w:t>
            </w:r>
            <w:r>
              <w:rPr>
                <w:lang w:eastAsia="it-IT"/>
              </w:rPr>
              <w:t xml:space="preserve"> the purpose of determining the total amount of significant LAC investments in CET1 capital instruments issued by financial sector entities, an AI is required to aggregate any amount of loans, facilities or other credit exposures provided by it to any of its connected companies, where the connected company is a financial sector entity, as if such loans, facilities or other credit exposures were direct holdings, indirect holdings or synthetic holdings of the AI in the capital instruments of the financial sector entity, except where the AI demonstrates to the satisfaction of the MA that any such loan was made, any such facility was granted, or any such other credit exposure was incurred, in the ordinary course of the AI's business.  </w:t>
            </w:r>
            <w:r w:rsidRPr="00544F8F">
              <w:rPr>
                <w:szCs w:val="17"/>
                <w:lang w:eastAsia="it-IT"/>
              </w:rPr>
              <w:t>Therefore</w:t>
            </w:r>
            <w:r w:rsidRPr="00544F8F">
              <w:rPr>
                <w:lang w:eastAsia="it-IT"/>
              </w:rPr>
              <w:t xml:space="preserve">, the amount to be deducted as reported in row 19 may be greater than </w:t>
            </w:r>
            <w:r>
              <w:rPr>
                <w:lang w:eastAsia="it-IT"/>
              </w:rPr>
              <w:t xml:space="preserve">that required under Basel III.  </w:t>
            </w:r>
            <w:r w:rsidRPr="00544F8F">
              <w:rPr>
                <w:lang w:eastAsia="it-IT"/>
              </w:rPr>
              <w:t>The amount reported under the column "Basel III basis" in this box represents the amount reported in row 19 (i.e. the amount reported under the "Hong Kong basis") adjusted by excluding the aggregate amount of loans, facilities or other credit exposures to the AI's connected companies which were subject to deduction under the Hong Kong approach.</w:t>
            </w:r>
          </w:p>
        </w:tc>
      </w:tr>
      <w:tr w:rsidR="00F11E65" w:rsidRPr="0023654F" w14:paraId="3E8A8C87" w14:textId="77777777" w:rsidTr="001929CC">
        <w:trPr>
          <w:cantSplit/>
          <w:trHeight w:val="270"/>
        </w:trPr>
        <w:tc>
          <w:tcPr>
            <w:tcW w:w="567" w:type="dxa"/>
            <w:vMerge w:val="restart"/>
            <w:tcBorders>
              <w:top w:val="single" w:sz="6" w:space="0" w:color="auto"/>
              <w:left w:val="nil"/>
              <w:right w:val="single" w:sz="4" w:space="0" w:color="auto"/>
            </w:tcBorders>
            <w:shd w:val="clear" w:color="auto" w:fill="auto"/>
          </w:tcPr>
          <w:p w14:paraId="28FE86E4" w14:textId="77777777" w:rsidR="00F11E65" w:rsidRDefault="00F11E65" w:rsidP="001929CC">
            <w:pPr>
              <w:pStyle w:val="TableText"/>
              <w:snapToGrid w:val="0"/>
              <w:ind w:left="57"/>
              <w:rPr>
                <w:szCs w:val="17"/>
                <w:lang w:eastAsia="it-IT"/>
              </w:rPr>
            </w:pPr>
            <w:r>
              <w:rPr>
                <w:szCs w:val="17"/>
                <w:lang w:eastAsia="it-IT"/>
              </w:rPr>
              <w:t>39</w:t>
            </w:r>
          </w:p>
        </w:tc>
        <w:tc>
          <w:tcPr>
            <w:tcW w:w="6659" w:type="dxa"/>
            <w:tcBorders>
              <w:top w:val="single" w:sz="4" w:space="0" w:color="auto"/>
              <w:left w:val="single" w:sz="4" w:space="0" w:color="auto"/>
              <w:bottom w:val="single" w:sz="4" w:space="0" w:color="auto"/>
              <w:right w:val="single" w:sz="4" w:space="0" w:color="auto"/>
            </w:tcBorders>
            <w:shd w:val="clear" w:color="auto" w:fill="auto"/>
          </w:tcPr>
          <w:p w14:paraId="4789A688" w14:textId="77777777" w:rsidR="00F11E65" w:rsidRPr="00F6771E" w:rsidRDefault="00F11E65" w:rsidP="001929CC">
            <w:pPr>
              <w:pStyle w:val="TableText"/>
              <w:snapToGrid w:val="0"/>
              <w:ind w:left="57" w:rightChars="71" w:right="142"/>
              <w:rPr>
                <w:b/>
                <w:szCs w:val="17"/>
                <w:lang w:eastAsia="it-IT"/>
              </w:rPr>
            </w:pPr>
            <w:r w:rsidRPr="00F6771E">
              <w:rPr>
                <w:b/>
                <w:szCs w:val="17"/>
                <w:lang w:eastAsia="it-IT"/>
              </w:rPr>
              <w:t xml:space="preserve">Insignificant </w:t>
            </w:r>
            <w:r>
              <w:rPr>
                <w:b/>
                <w:szCs w:val="17"/>
                <w:lang w:eastAsia="it-IT"/>
              </w:rPr>
              <w:t xml:space="preserve">LAC </w:t>
            </w:r>
            <w:r w:rsidRPr="00F6771E">
              <w:rPr>
                <w:b/>
                <w:szCs w:val="17"/>
                <w:lang w:eastAsia="it-IT"/>
              </w:rPr>
              <w:t>investments in AT1 capital instruments issued by financial sector entities that are outside the scope of regulatory consolidation (amount above 10% threshold)</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6C687C0" w14:textId="77777777" w:rsidR="00F11E65" w:rsidRPr="003B53ED" w:rsidRDefault="00F11E65" w:rsidP="001929CC">
            <w:pPr>
              <w:pStyle w:val="TableText"/>
              <w:snapToGrid w:val="0"/>
              <w:ind w:left="57"/>
              <w:jc w:val="center"/>
              <w:rPr>
                <w:lang w:eastAsia="it-IT"/>
              </w:rPr>
            </w:pP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9528A26" w14:textId="77777777" w:rsidR="00F11E65" w:rsidRPr="0023654F" w:rsidRDefault="00F11E65" w:rsidP="001929CC">
            <w:pPr>
              <w:pStyle w:val="TableText"/>
              <w:snapToGrid w:val="0"/>
              <w:jc w:val="center"/>
              <w:rPr>
                <w:lang w:eastAsia="it-IT"/>
              </w:rPr>
            </w:pPr>
          </w:p>
        </w:tc>
      </w:tr>
      <w:tr w:rsidR="00F11E65" w:rsidRPr="0023654F" w14:paraId="08D59C50" w14:textId="77777777" w:rsidTr="001929CC">
        <w:trPr>
          <w:cantSplit/>
          <w:trHeight w:val="270"/>
        </w:trPr>
        <w:tc>
          <w:tcPr>
            <w:tcW w:w="567" w:type="dxa"/>
            <w:vMerge/>
            <w:tcBorders>
              <w:left w:val="nil"/>
              <w:bottom w:val="single" w:sz="6" w:space="0" w:color="auto"/>
              <w:right w:val="single" w:sz="4" w:space="0" w:color="auto"/>
            </w:tcBorders>
            <w:shd w:val="clear" w:color="auto" w:fill="auto"/>
          </w:tcPr>
          <w:p w14:paraId="643DDDC6" w14:textId="77777777" w:rsidR="00F11E65" w:rsidRDefault="00F11E65" w:rsidP="001929CC">
            <w:pPr>
              <w:pStyle w:val="TableText"/>
              <w:snapToGrid w:val="0"/>
              <w:ind w:left="57"/>
              <w:rPr>
                <w:szCs w:val="17"/>
                <w:lang w:eastAsia="it-IT"/>
              </w:rPr>
            </w:pPr>
          </w:p>
        </w:tc>
        <w:tc>
          <w:tcPr>
            <w:tcW w:w="8647" w:type="dxa"/>
            <w:gridSpan w:val="3"/>
            <w:tcBorders>
              <w:top w:val="single" w:sz="4" w:space="0" w:color="auto"/>
              <w:left w:val="single" w:sz="4" w:space="0" w:color="auto"/>
              <w:bottom w:val="single" w:sz="4" w:space="0" w:color="auto"/>
              <w:right w:val="single" w:sz="4" w:space="0" w:color="auto"/>
            </w:tcBorders>
            <w:shd w:val="clear" w:color="auto" w:fill="auto"/>
          </w:tcPr>
          <w:p w14:paraId="3471E0C1" w14:textId="77777777" w:rsidR="00F11E65" w:rsidRPr="00EF641D" w:rsidRDefault="00F11E65" w:rsidP="001929CC">
            <w:pPr>
              <w:pStyle w:val="TableText"/>
              <w:snapToGrid w:val="0"/>
              <w:ind w:left="57" w:rightChars="71" w:right="142"/>
              <w:jc w:val="both"/>
              <w:rPr>
                <w:u w:val="single"/>
                <w:lang w:eastAsia="it-IT"/>
              </w:rPr>
            </w:pPr>
            <w:r w:rsidRPr="00EF641D">
              <w:rPr>
                <w:szCs w:val="17"/>
                <w:u w:val="single"/>
                <w:lang w:eastAsia="it-IT"/>
              </w:rPr>
              <w:t>Explanation</w:t>
            </w:r>
          </w:p>
          <w:p w14:paraId="0FC80E34" w14:textId="77777777" w:rsidR="00F11E65" w:rsidRPr="0023654F" w:rsidRDefault="00F11E65" w:rsidP="001929CC">
            <w:pPr>
              <w:pStyle w:val="TableText"/>
              <w:snapToGrid w:val="0"/>
              <w:ind w:left="57" w:rightChars="71" w:right="142"/>
              <w:jc w:val="both"/>
              <w:rPr>
                <w:lang w:eastAsia="it-IT"/>
              </w:rPr>
            </w:pPr>
            <w:r>
              <w:rPr>
                <w:lang w:eastAsia="it-IT"/>
              </w:rPr>
              <w:t xml:space="preserve">The </w:t>
            </w:r>
            <w:r w:rsidRPr="00544F8F">
              <w:rPr>
                <w:szCs w:val="17"/>
                <w:lang w:eastAsia="it-IT"/>
              </w:rPr>
              <w:t>effect</w:t>
            </w:r>
            <w:r>
              <w:rPr>
                <w:lang w:eastAsia="it-IT"/>
              </w:rPr>
              <w:t xml:space="preserve"> of treating loans, facilities or other credit exposures to connected companies which are financial sector entities as CET1 capital instruments for the purpose of considering deductions to be made in calculating the capital base (see note re row 18 to the template above) will mean the headroom within the threshold available for the exemption from capital deduction of other insignificant LAC investments in AT1 capital instruments may be smaller.  Therefore, the amount to be deducted as reported in row 39 may be greater than that required under Basel III.  The amount reported under the column "Basel III basis" in this box represents the amount reported in row 39 (i.e. the amount reported under the "Hong Kong basis") adjusted by excluding the aggregate amount of loans, facilities or other credit exposures to the AI's connected companies which were subject to deduction under the Hong Kong approach.</w:t>
            </w:r>
          </w:p>
        </w:tc>
      </w:tr>
      <w:tr w:rsidR="00F11E65" w:rsidRPr="0023654F" w14:paraId="14470C30" w14:textId="77777777" w:rsidTr="001929CC">
        <w:trPr>
          <w:cantSplit/>
          <w:trHeight w:val="270"/>
        </w:trPr>
        <w:tc>
          <w:tcPr>
            <w:tcW w:w="567" w:type="dxa"/>
            <w:vMerge w:val="restart"/>
            <w:tcBorders>
              <w:top w:val="single" w:sz="6" w:space="0" w:color="auto"/>
              <w:left w:val="nil"/>
              <w:right w:val="single" w:sz="4" w:space="0" w:color="auto"/>
            </w:tcBorders>
            <w:shd w:val="clear" w:color="auto" w:fill="auto"/>
          </w:tcPr>
          <w:p w14:paraId="05DA5E1E" w14:textId="77777777" w:rsidR="00F11E65" w:rsidRDefault="00F11E65" w:rsidP="001929CC">
            <w:pPr>
              <w:pStyle w:val="TableText"/>
              <w:snapToGrid w:val="0"/>
              <w:ind w:left="57"/>
              <w:rPr>
                <w:szCs w:val="17"/>
                <w:lang w:eastAsia="it-IT"/>
              </w:rPr>
            </w:pPr>
            <w:r>
              <w:rPr>
                <w:szCs w:val="17"/>
                <w:lang w:eastAsia="it-IT"/>
              </w:rPr>
              <w:t>54</w:t>
            </w:r>
          </w:p>
        </w:tc>
        <w:tc>
          <w:tcPr>
            <w:tcW w:w="6659" w:type="dxa"/>
            <w:tcBorders>
              <w:top w:val="single" w:sz="4" w:space="0" w:color="auto"/>
              <w:left w:val="single" w:sz="4" w:space="0" w:color="auto"/>
              <w:bottom w:val="single" w:sz="4" w:space="0" w:color="auto"/>
              <w:right w:val="single" w:sz="4" w:space="0" w:color="auto"/>
            </w:tcBorders>
            <w:shd w:val="clear" w:color="auto" w:fill="auto"/>
          </w:tcPr>
          <w:p w14:paraId="25594917" w14:textId="77777777" w:rsidR="00F11E65" w:rsidRPr="00F6771E" w:rsidRDefault="00F11E65" w:rsidP="001929CC">
            <w:pPr>
              <w:pStyle w:val="TableText"/>
              <w:snapToGrid w:val="0"/>
              <w:ind w:left="57" w:rightChars="71" w:right="142"/>
              <w:rPr>
                <w:b/>
                <w:szCs w:val="17"/>
                <w:lang w:eastAsia="it-IT"/>
              </w:rPr>
            </w:pPr>
            <w:r w:rsidRPr="00F6771E">
              <w:rPr>
                <w:b/>
                <w:szCs w:val="17"/>
                <w:lang w:eastAsia="it-IT"/>
              </w:rPr>
              <w:t xml:space="preserve">Insignificant </w:t>
            </w:r>
            <w:r>
              <w:rPr>
                <w:b/>
                <w:szCs w:val="17"/>
                <w:lang w:eastAsia="it-IT"/>
              </w:rPr>
              <w:t xml:space="preserve">LAC </w:t>
            </w:r>
            <w:r w:rsidRPr="00F6771E">
              <w:rPr>
                <w:b/>
                <w:szCs w:val="17"/>
                <w:lang w:eastAsia="it-IT"/>
              </w:rPr>
              <w:t>investments in Tier 2 capital instruments issued by</w:t>
            </w:r>
            <w:r>
              <w:rPr>
                <w:b/>
                <w:szCs w:val="17"/>
                <w:lang w:eastAsia="it-IT"/>
              </w:rPr>
              <w:t>, and non-capital LAC liabilities of,</w:t>
            </w:r>
            <w:r w:rsidRPr="00F6771E">
              <w:rPr>
                <w:b/>
                <w:szCs w:val="17"/>
                <w:lang w:eastAsia="it-IT"/>
              </w:rPr>
              <w:t xml:space="preserve"> financial sector entities that are outside the scope of regulatory consolidation (amount above 10% threshold</w:t>
            </w:r>
            <w:r>
              <w:rPr>
                <w:b/>
                <w:szCs w:val="17"/>
                <w:lang w:eastAsia="it-IT"/>
              </w:rPr>
              <w:t xml:space="preserve"> and, where applicable, 5% threshold</w:t>
            </w:r>
            <w:r w:rsidRPr="00F6771E">
              <w:rPr>
                <w:b/>
                <w:szCs w:val="17"/>
                <w:lang w:eastAsia="it-IT"/>
              </w:rPr>
              <w:t>)</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D55C6ED" w14:textId="77777777" w:rsidR="00F11E65" w:rsidRPr="00F6771E" w:rsidRDefault="00F11E65" w:rsidP="001929CC">
            <w:pPr>
              <w:pStyle w:val="TableText"/>
              <w:snapToGrid w:val="0"/>
              <w:ind w:left="57"/>
              <w:jc w:val="center"/>
              <w:rPr>
                <w:lang w:eastAsia="it-IT"/>
              </w:rPr>
            </w:pP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EBD6E8F" w14:textId="77777777" w:rsidR="00F11E65" w:rsidRPr="00F6771E" w:rsidRDefault="00F11E65" w:rsidP="001929CC">
            <w:pPr>
              <w:pStyle w:val="TableText"/>
              <w:snapToGrid w:val="0"/>
              <w:jc w:val="center"/>
              <w:rPr>
                <w:lang w:eastAsia="it-IT"/>
              </w:rPr>
            </w:pPr>
          </w:p>
        </w:tc>
      </w:tr>
      <w:tr w:rsidR="00F11E65" w:rsidRPr="0023654F" w14:paraId="42AD1856" w14:textId="77777777" w:rsidTr="001929CC">
        <w:trPr>
          <w:cantSplit/>
          <w:trHeight w:val="270"/>
        </w:trPr>
        <w:tc>
          <w:tcPr>
            <w:tcW w:w="567" w:type="dxa"/>
            <w:vMerge/>
            <w:tcBorders>
              <w:left w:val="nil"/>
              <w:bottom w:val="single" w:sz="4" w:space="0" w:color="auto"/>
              <w:right w:val="single" w:sz="4" w:space="0" w:color="auto"/>
            </w:tcBorders>
            <w:shd w:val="clear" w:color="auto" w:fill="auto"/>
          </w:tcPr>
          <w:p w14:paraId="04AB55AC" w14:textId="77777777" w:rsidR="00F11E65" w:rsidRDefault="00F11E65" w:rsidP="001929CC">
            <w:pPr>
              <w:pStyle w:val="TableText"/>
              <w:snapToGrid w:val="0"/>
              <w:ind w:left="57"/>
              <w:rPr>
                <w:szCs w:val="17"/>
                <w:lang w:eastAsia="it-IT"/>
              </w:rPr>
            </w:pPr>
          </w:p>
        </w:tc>
        <w:tc>
          <w:tcPr>
            <w:tcW w:w="8647" w:type="dxa"/>
            <w:gridSpan w:val="3"/>
            <w:tcBorders>
              <w:top w:val="single" w:sz="4" w:space="0" w:color="auto"/>
              <w:left w:val="single" w:sz="4" w:space="0" w:color="auto"/>
              <w:bottom w:val="single" w:sz="4" w:space="0" w:color="auto"/>
              <w:right w:val="single" w:sz="4" w:space="0" w:color="auto"/>
            </w:tcBorders>
            <w:shd w:val="clear" w:color="auto" w:fill="auto"/>
          </w:tcPr>
          <w:p w14:paraId="3C025EDB" w14:textId="77777777" w:rsidR="00F11E65" w:rsidRPr="00F6771E" w:rsidRDefault="00F11E65" w:rsidP="001929CC">
            <w:pPr>
              <w:pStyle w:val="TableText"/>
              <w:snapToGrid w:val="0"/>
              <w:ind w:left="57" w:rightChars="71" w:right="142"/>
              <w:jc w:val="both"/>
              <w:rPr>
                <w:u w:val="single"/>
                <w:lang w:eastAsia="it-IT"/>
              </w:rPr>
            </w:pPr>
            <w:r w:rsidRPr="00F6771E">
              <w:rPr>
                <w:szCs w:val="17"/>
                <w:u w:val="single"/>
                <w:lang w:eastAsia="it-IT"/>
              </w:rPr>
              <w:t>Explanation</w:t>
            </w:r>
          </w:p>
          <w:p w14:paraId="41FDDA50" w14:textId="77777777" w:rsidR="00F11E65" w:rsidRPr="00F6771E" w:rsidRDefault="00F11E65" w:rsidP="001929CC">
            <w:pPr>
              <w:pStyle w:val="TableText"/>
              <w:snapToGrid w:val="0"/>
              <w:ind w:left="57" w:rightChars="71" w:right="142"/>
              <w:jc w:val="both"/>
              <w:rPr>
                <w:lang w:eastAsia="it-IT"/>
              </w:rPr>
            </w:pPr>
            <w:r w:rsidRPr="00F6771E">
              <w:rPr>
                <w:szCs w:val="17"/>
                <w:lang w:eastAsia="it-IT"/>
              </w:rPr>
              <w:t>The</w:t>
            </w:r>
            <w:r w:rsidRPr="00F6771E">
              <w:rPr>
                <w:lang w:eastAsia="it-IT"/>
              </w:rPr>
              <w:t xml:space="preserve"> effect of treating loans, facilities or other credit exposures to connected companies which are financial sector entities as CET1 capital instruments for the purpose of considering deductions to be made in calculating the capital base (see note re row 18 to the template above) will mean the headroom within the threshold available for the exemption from capital deduction of other insignificant </w:t>
            </w:r>
            <w:r>
              <w:rPr>
                <w:lang w:eastAsia="it-IT"/>
              </w:rPr>
              <w:t xml:space="preserve">LAC </w:t>
            </w:r>
            <w:r w:rsidRPr="00F6771E">
              <w:rPr>
                <w:lang w:eastAsia="it-IT"/>
              </w:rPr>
              <w:t xml:space="preserve">investments in Tier 2 capital instruments </w:t>
            </w:r>
            <w:r>
              <w:rPr>
                <w:lang w:eastAsia="it-IT"/>
              </w:rPr>
              <w:t xml:space="preserve">and non-capital LAC liabilities </w:t>
            </w:r>
            <w:r w:rsidRPr="00F6771E">
              <w:rPr>
                <w:lang w:eastAsia="it-IT"/>
              </w:rPr>
              <w:t xml:space="preserve">may be smaller.  Therefore, the amount to be deducted as reported in row 54 may be greater than </w:t>
            </w:r>
            <w:r>
              <w:rPr>
                <w:lang w:eastAsia="it-IT"/>
              </w:rPr>
              <w:t xml:space="preserve">that required under Basel III.  </w:t>
            </w:r>
            <w:r w:rsidRPr="00F6771E">
              <w:rPr>
                <w:lang w:eastAsia="it-IT"/>
              </w:rPr>
              <w:t>The amount reported under the column "Basel III basis" in this box represents the amount reported in row 54 (i.e. the amount reported under the "Hong Kong basis") adjusted by excluding the aggregate amount of loans, facilities or other credit exposures to the AI's connected companies which were subject to deduction under the Hong Kong approach.</w:t>
            </w:r>
          </w:p>
        </w:tc>
      </w:tr>
      <w:tr w:rsidR="00F11E65" w:rsidRPr="0023654F" w14:paraId="245069E2" w14:textId="77777777" w:rsidTr="001929CC">
        <w:trPr>
          <w:cantSplit/>
          <w:trHeight w:val="270"/>
        </w:trPr>
        <w:tc>
          <w:tcPr>
            <w:tcW w:w="9214" w:type="dxa"/>
            <w:gridSpan w:val="4"/>
            <w:tcBorders>
              <w:top w:val="single" w:sz="4" w:space="0" w:color="auto"/>
              <w:left w:val="nil"/>
              <w:bottom w:val="single" w:sz="6" w:space="0" w:color="auto"/>
              <w:right w:val="single" w:sz="4" w:space="0" w:color="auto"/>
            </w:tcBorders>
            <w:shd w:val="clear" w:color="auto" w:fill="auto"/>
          </w:tcPr>
          <w:p w14:paraId="058B7CF4" w14:textId="77777777" w:rsidR="00F11E65" w:rsidRDefault="00F11E65" w:rsidP="001929CC">
            <w:pPr>
              <w:pStyle w:val="TableText"/>
              <w:snapToGrid w:val="0"/>
              <w:ind w:left="57" w:rightChars="71" w:right="142"/>
              <w:rPr>
                <w:szCs w:val="17"/>
                <w:lang w:eastAsia="it-IT"/>
              </w:rPr>
            </w:pPr>
            <w:r w:rsidRPr="00EF641D">
              <w:rPr>
                <w:szCs w:val="17"/>
                <w:lang w:eastAsia="it-IT"/>
              </w:rPr>
              <w:t>Remarks:</w:t>
            </w:r>
          </w:p>
          <w:p w14:paraId="53454AB8" w14:textId="267D6E01" w:rsidR="00F11E65" w:rsidRPr="00EF641D" w:rsidRDefault="00F11E65" w:rsidP="001929CC">
            <w:pPr>
              <w:pStyle w:val="TableText"/>
              <w:snapToGrid w:val="0"/>
              <w:ind w:left="57" w:rightChars="71" w:right="142"/>
              <w:jc w:val="both"/>
              <w:rPr>
                <w:szCs w:val="17"/>
                <w:lang w:eastAsia="it-IT"/>
              </w:rPr>
            </w:pPr>
            <w:r>
              <w:rPr>
                <w:szCs w:val="17"/>
                <w:lang w:eastAsia="it-IT"/>
              </w:rPr>
              <w:t xml:space="preserve">The amount of the 10% threshold and 5% threshold mentioned above is calculated based on the amount of CET1 capital determined in accordance with the deduction methods set out in BCR Schedule 4F.  The 15% threshold is referring to paragraph 88 </w:t>
            </w:r>
            <w:r w:rsidRPr="00F6771E">
              <w:rPr>
                <w:lang w:eastAsia="it-IT"/>
              </w:rPr>
              <w:t>of the Basel III text issued by the Basel Committee (December 2010)</w:t>
            </w:r>
            <w:r>
              <w:rPr>
                <w:szCs w:val="17"/>
                <w:lang w:eastAsia="it-IT"/>
              </w:rPr>
              <w:t xml:space="preserve"> and has no effect to the Hong Kong regime.</w:t>
            </w:r>
          </w:p>
        </w:tc>
      </w:tr>
    </w:tbl>
    <w:p w14:paraId="3BFAD24D" w14:textId="77777777" w:rsidR="00F11E65" w:rsidRPr="006211B4" w:rsidRDefault="00F11E65" w:rsidP="00F11E65">
      <w:pPr>
        <w:spacing w:before="120" w:after="120"/>
        <w:ind w:leftChars="-283" w:left="-566"/>
        <w:rPr>
          <w:sz w:val="17"/>
          <w:szCs w:val="17"/>
          <w:u w:val="single"/>
        </w:rPr>
      </w:pPr>
    </w:p>
    <w:tbl>
      <w:tblPr>
        <w:tblW w:w="910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8505"/>
      </w:tblGrid>
      <w:tr w:rsidR="00F11E65" w:rsidRPr="00280717" w14:paraId="04AA36A0" w14:textId="77777777" w:rsidTr="005B5690">
        <w:trPr>
          <w:tblHeader/>
        </w:trPr>
        <w:tc>
          <w:tcPr>
            <w:tcW w:w="9101" w:type="dxa"/>
            <w:gridSpan w:val="2"/>
            <w:shd w:val="clear" w:color="auto" w:fill="BFBFBF"/>
          </w:tcPr>
          <w:p w14:paraId="2062AD97" w14:textId="77777777" w:rsidR="00F11E65" w:rsidRPr="00D748CC" w:rsidRDefault="00F11E65" w:rsidP="001929CC">
            <w:pPr>
              <w:spacing w:before="40" w:after="40"/>
              <w:jc w:val="both"/>
              <w:rPr>
                <w:rFonts w:eastAsia="新細明體"/>
                <w:b/>
                <w:kern w:val="2"/>
                <w:sz w:val="17"/>
                <w:szCs w:val="17"/>
                <w:lang w:eastAsia="en-GB"/>
              </w:rPr>
            </w:pPr>
            <w:r w:rsidRPr="00D748CC">
              <w:rPr>
                <w:rFonts w:eastAsia="新細明體"/>
                <w:b/>
                <w:kern w:val="2"/>
                <w:sz w:val="17"/>
                <w:szCs w:val="17"/>
                <w:lang w:eastAsia="en-GB"/>
              </w:rPr>
              <w:t>Explanatory Note</w:t>
            </w:r>
          </w:p>
        </w:tc>
      </w:tr>
      <w:tr w:rsidR="00F11E65" w:rsidRPr="00280717" w14:paraId="0870300F" w14:textId="77777777" w:rsidTr="005B5690">
        <w:trPr>
          <w:trHeight w:val="153"/>
        </w:trPr>
        <w:tc>
          <w:tcPr>
            <w:tcW w:w="9101" w:type="dxa"/>
            <w:gridSpan w:val="2"/>
            <w:shd w:val="clear" w:color="auto" w:fill="F2F2F2"/>
          </w:tcPr>
          <w:p w14:paraId="10FE5784" w14:textId="77777777" w:rsidR="00F11E65" w:rsidRPr="00D748CC" w:rsidRDefault="00F11E65" w:rsidP="001929CC">
            <w:pPr>
              <w:spacing w:before="40" w:after="40"/>
              <w:jc w:val="both"/>
              <w:rPr>
                <w:rFonts w:eastAsia="新細明體"/>
                <w:b/>
                <w:kern w:val="2"/>
                <w:sz w:val="17"/>
                <w:szCs w:val="17"/>
                <w:lang w:eastAsia="en-GB"/>
              </w:rPr>
            </w:pPr>
            <w:r w:rsidRPr="00D748CC">
              <w:rPr>
                <w:rFonts w:eastAsia="新細明體"/>
                <w:b/>
                <w:kern w:val="2"/>
                <w:sz w:val="17"/>
                <w:szCs w:val="17"/>
                <w:lang w:eastAsia="en-GB"/>
              </w:rPr>
              <w:t>Columns</w:t>
            </w:r>
          </w:p>
        </w:tc>
      </w:tr>
      <w:tr w:rsidR="00F11E65" w:rsidRPr="00280717" w14:paraId="1E80C119" w14:textId="77777777" w:rsidTr="005B5690">
        <w:tc>
          <w:tcPr>
            <w:tcW w:w="596" w:type="dxa"/>
            <w:shd w:val="clear" w:color="auto" w:fill="auto"/>
          </w:tcPr>
          <w:p w14:paraId="52F05F67"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(a)</w:t>
            </w:r>
          </w:p>
        </w:tc>
        <w:tc>
          <w:tcPr>
            <w:tcW w:w="8505" w:type="dxa"/>
            <w:shd w:val="clear" w:color="auto" w:fill="auto"/>
          </w:tcPr>
          <w:p w14:paraId="6A88D5D8" w14:textId="77777777" w:rsidR="00F11E65" w:rsidRPr="00D748CC" w:rsidRDefault="00F11E65" w:rsidP="001929CC">
            <w:pPr>
              <w:pStyle w:val="TableText"/>
              <w:keepNext/>
              <w:jc w:val="both"/>
              <w:rPr>
                <w:kern w:val="2"/>
                <w:szCs w:val="17"/>
              </w:rPr>
            </w:pPr>
            <w:r w:rsidRPr="00D748CC">
              <w:rPr>
                <w:kern w:val="2"/>
                <w:szCs w:val="17"/>
              </w:rPr>
              <w:t>All amounts should be reported in Hong Kong dollars unless the AI uses another currency consistently for disclosure purposes.</w:t>
            </w:r>
          </w:p>
        </w:tc>
      </w:tr>
      <w:tr w:rsidR="00F11E65" w:rsidRPr="00280717" w14:paraId="4DDD4DD0" w14:textId="77777777" w:rsidTr="005B5690">
        <w:tc>
          <w:tcPr>
            <w:tcW w:w="596" w:type="dxa"/>
            <w:shd w:val="clear" w:color="auto" w:fill="auto"/>
          </w:tcPr>
          <w:p w14:paraId="4C7C98B3"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(b)</w:t>
            </w:r>
          </w:p>
        </w:tc>
        <w:tc>
          <w:tcPr>
            <w:tcW w:w="8505" w:type="dxa"/>
            <w:shd w:val="clear" w:color="auto" w:fill="auto"/>
          </w:tcPr>
          <w:p w14:paraId="62FAE2D7" w14:textId="57F347C2" w:rsidR="00F11E65" w:rsidRPr="00D748CC" w:rsidRDefault="00F11E65" w:rsidP="00CB70E6">
            <w:pPr>
              <w:pStyle w:val="TableText"/>
              <w:keepNext/>
              <w:jc w:val="both"/>
              <w:rPr>
                <w:kern w:val="2"/>
                <w:szCs w:val="17"/>
              </w:rPr>
            </w:pPr>
            <w:r w:rsidRPr="00D748CC">
              <w:rPr>
                <w:kern w:val="2"/>
                <w:szCs w:val="17"/>
              </w:rPr>
              <w:t>An AI is required to complete column (b) to show the source of every major input, which is to be cross-referenced to the corresponding rows in Template CC2.  This is Step 3 as required under the three-step approach to reconciliation as explained</w:t>
            </w:r>
            <w:r w:rsidR="00CB70E6">
              <w:rPr>
                <w:kern w:val="2"/>
                <w:szCs w:val="17"/>
              </w:rPr>
              <w:t xml:space="preserve"> </w:t>
            </w:r>
            <w:r w:rsidR="00CB70E6" w:rsidRPr="00CB70E6">
              <w:rPr>
                <w:kern w:val="2"/>
                <w:szCs w:val="17"/>
              </w:rPr>
              <w:t>in DIS25 of the Basel framework</w:t>
            </w:r>
            <w:r w:rsidRPr="00D748CC">
              <w:rPr>
                <w:kern w:val="2"/>
                <w:szCs w:val="17"/>
              </w:rPr>
              <w:t>.</w:t>
            </w:r>
          </w:p>
        </w:tc>
      </w:tr>
      <w:tr w:rsidR="00F11E65" w:rsidRPr="00280717" w14:paraId="79CEAE75" w14:textId="77777777" w:rsidTr="005B5690">
        <w:trPr>
          <w:trHeight w:val="373"/>
        </w:trPr>
        <w:tc>
          <w:tcPr>
            <w:tcW w:w="9101" w:type="dxa"/>
            <w:gridSpan w:val="2"/>
            <w:shd w:val="clear" w:color="auto" w:fill="F2F2F2"/>
          </w:tcPr>
          <w:p w14:paraId="3DFEFA22" w14:textId="77777777" w:rsidR="00F11E65" w:rsidRPr="00D748CC" w:rsidRDefault="00F11E65" w:rsidP="001929CC">
            <w:pPr>
              <w:pStyle w:val="TableNote"/>
              <w:spacing w:before="40" w:after="40"/>
              <w:rPr>
                <w:i/>
                <w:kern w:val="2"/>
                <w:sz w:val="17"/>
                <w:szCs w:val="17"/>
              </w:rPr>
            </w:pPr>
            <w:r w:rsidRPr="00D748CC">
              <w:rPr>
                <w:rFonts w:eastAsia="新細明體"/>
                <w:b/>
                <w:kern w:val="2"/>
                <w:sz w:val="17"/>
                <w:szCs w:val="17"/>
                <w:lang w:eastAsia="en-GB"/>
              </w:rPr>
              <w:t>Rows</w:t>
            </w:r>
          </w:p>
        </w:tc>
      </w:tr>
      <w:tr w:rsidR="00F11E65" w:rsidRPr="00280717" w14:paraId="046D7DC2" w14:textId="77777777" w:rsidTr="005B5690">
        <w:trPr>
          <w:trHeight w:val="373"/>
        </w:trPr>
        <w:tc>
          <w:tcPr>
            <w:tcW w:w="596" w:type="dxa"/>
            <w:shd w:val="clear" w:color="auto" w:fill="auto"/>
          </w:tcPr>
          <w:p w14:paraId="0907C2FB"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1</w:t>
            </w:r>
          </w:p>
        </w:tc>
        <w:tc>
          <w:tcPr>
            <w:tcW w:w="8505" w:type="dxa"/>
            <w:shd w:val="clear" w:color="auto" w:fill="auto"/>
          </w:tcPr>
          <w:p w14:paraId="09CFD00F" w14:textId="77777777" w:rsidR="00F11E65" w:rsidRPr="00D748CC" w:rsidRDefault="00F11E65" w:rsidP="001929CC">
            <w:pPr>
              <w:pStyle w:val="TableNote"/>
              <w:spacing w:before="40" w:after="40"/>
              <w:rPr>
                <w:kern w:val="2"/>
                <w:sz w:val="17"/>
                <w:szCs w:val="17"/>
              </w:rPr>
            </w:pPr>
            <w:r w:rsidRPr="00D748CC">
              <w:rPr>
                <w:kern w:val="2"/>
                <w:sz w:val="17"/>
                <w:szCs w:val="17"/>
              </w:rPr>
              <w:t>Instruments that meet all the qualifying criteria for CET1 capital as set out in BCR Schedule 4A issued by an AI.  This should be equal to the sum of ordinary shares (and any related share premium) and other capital instruments (in the case of non-joint stock companies) which meet the qualifying criteria.  This item should be net of treasury stock and other investments in own shares to the extent that such investments are already derecognized on the balance sheet under the relevant accounting standards.  Other paid-in capital elements should be excluded.  All minority interests should be excluded.</w:t>
            </w:r>
          </w:p>
        </w:tc>
      </w:tr>
      <w:tr w:rsidR="00F11E65" w:rsidRPr="00280717" w14:paraId="1C5F543E" w14:textId="77777777" w:rsidTr="005B5690">
        <w:trPr>
          <w:trHeight w:val="373"/>
        </w:trPr>
        <w:tc>
          <w:tcPr>
            <w:tcW w:w="596" w:type="dxa"/>
            <w:shd w:val="clear" w:color="auto" w:fill="auto"/>
          </w:tcPr>
          <w:p w14:paraId="777E38B1"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lastRenderedPageBreak/>
              <w:t>2</w:t>
            </w:r>
          </w:p>
        </w:tc>
        <w:tc>
          <w:tcPr>
            <w:tcW w:w="8505" w:type="dxa"/>
            <w:shd w:val="clear" w:color="auto" w:fill="auto"/>
          </w:tcPr>
          <w:p w14:paraId="4051C780" w14:textId="77777777" w:rsidR="00F11E65" w:rsidRPr="00D748CC" w:rsidRDefault="00F11E65" w:rsidP="001929CC">
            <w:pPr>
              <w:pStyle w:val="TableText"/>
              <w:keepNext/>
              <w:jc w:val="both"/>
              <w:rPr>
                <w:kern w:val="2"/>
                <w:szCs w:val="17"/>
              </w:rPr>
            </w:pPr>
            <w:r w:rsidRPr="00D748CC">
              <w:rPr>
                <w:kern w:val="2"/>
                <w:szCs w:val="17"/>
              </w:rPr>
              <w:t>Retained earnings, prior to all regulatory deductions, in accordance with BCR §38(1)(c).  For interim disclosure, this row should report for the reporting period an AI’s profit or loss as published in its interim financial statements (and therefore subject to internal review); and for annual disclosure, the audited profit or loss as published in its annual financial statements.  Dividends should be removed in accordance with the applicable accounting standards, i.e. they should be excluded from this row when they are removed from the balance sheet of the AI.</w:t>
            </w:r>
          </w:p>
        </w:tc>
      </w:tr>
      <w:tr w:rsidR="00F11E65" w:rsidRPr="00280717" w14:paraId="496E96BB" w14:textId="77777777" w:rsidTr="005B5690">
        <w:trPr>
          <w:trHeight w:val="373"/>
        </w:trPr>
        <w:tc>
          <w:tcPr>
            <w:tcW w:w="596" w:type="dxa"/>
            <w:shd w:val="clear" w:color="auto" w:fill="auto"/>
          </w:tcPr>
          <w:p w14:paraId="102F80BB"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3</w:t>
            </w:r>
          </w:p>
        </w:tc>
        <w:tc>
          <w:tcPr>
            <w:tcW w:w="8505" w:type="dxa"/>
            <w:shd w:val="clear" w:color="auto" w:fill="auto"/>
          </w:tcPr>
          <w:p w14:paraId="096A2DE0" w14:textId="77777777" w:rsidR="00F11E65" w:rsidRPr="00D748CC" w:rsidRDefault="00F11E65" w:rsidP="001929CC">
            <w:pPr>
              <w:keepLines/>
              <w:widowControl w:val="0"/>
              <w:tabs>
                <w:tab w:val="left" w:pos="150"/>
                <w:tab w:val="left" w:pos="397"/>
                <w:tab w:val="left" w:pos="794"/>
                <w:tab w:val="left" w:pos="1191"/>
              </w:tabs>
              <w:spacing w:before="40" w:after="40"/>
              <w:jc w:val="both"/>
              <w:rPr>
                <w:kern w:val="2"/>
                <w:sz w:val="17"/>
                <w:szCs w:val="17"/>
              </w:rPr>
            </w:pPr>
            <w:r w:rsidRPr="00D748CC">
              <w:rPr>
                <w:kern w:val="2"/>
                <w:sz w:val="17"/>
                <w:szCs w:val="17"/>
              </w:rPr>
              <w:t>Disclosed reserves (including accumulated other comprehensive income), prior to all regulatory adjustments.</w:t>
            </w:r>
          </w:p>
        </w:tc>
      </w:tr>
      <w:tr w:rsidR="00F11E65" w:rsidRPr="00280717" w14:paraId="457043DC" w14:textId="77777777" w:rsidTr="005B5690">
        <w:trPr>
          <w:trHeight w:val="373"/>
        </w:trPr>
        <w:tc>
          <w:tcPr>
            <w:tcW w:w="596" w:type="dxa"/>
            <w:shd w:val="clear" w:color="auto" w:fill="auto"/>
          </w:tcPr>
          <w:p w14:paraId="37B5F79F"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5</w:t>
            </w:r>
          </w:p>
        </w:tc>
        <w:tc>
          <w:tcPr>
            <w:tcW w:w="8505" w:type="dxa"/>
            <w:shd w:val="clear" w:color="auto" w:fill="auto"/>
          </w:tcPr>
          <w:p w14:paraId="5AE95BB6" w14:textId="77777777" w:rsidR="00F11E65" w:rsidRPr="00D748CC" w:rsidRDefault="00F11E65" w:rsidP="001929CC">
            <w:pPr>
              <w:keepLines/>
              <w:widowControl w:val="0"/>
              <w:tabs>
                <w:tab w:val="left" w:pos="150"/>
                <w:tab w:val="left" w:pos="397"/>
                <w:tab w:val="left" w:pos="794"/>
                <w:tab w:val="left" w:pos="1191"/>
              </w:tabs>
              <w:spacing w:before="40" w:after="40"/>
              <w:jc w:val="both"/>
              <w:rPr>
                <w:kern w:val="2"/>
                <w:sz w:val="17"/>
                <w:szCs w:val="17"/>
              </w:rPr>
            </w:pPr>
            <w:r w:rsidRPr="00D748CC">
              <w:rPr>
                <w:kern w:val="2"/>
                <w:sz w:val="17"/>
                <w:szCs w:val="17"/>
              </w:rPr>
              <w:t>Minority interests arising from CET1 capital instruments issued by consolidated bank subsidiaries and held by third parties.  Only the amount that is eligible for inclusion in the CET1 capital of the consolidation group should be reported here, as determined by the application of BCR Schedule 4D.</w:t>
            </w:r>
          </w:p>
        </w:tc>
      </w:tr>
      <w:tr w:rsidR="00F11E65" w:rsidRPr="00280717" w14:paraId="1E27F6F6" w14:textId="77777777" w:rsidTr="005B5690">
        <w:trPr>
          <w:trHeight w:val="373"/>
        </w:trPr>
        <w:tc>
          <w:tcPr>
            <w:tcW w:w="596" w:type="dxa"/>
            <w:shd w:val="clear" w:color="auto" w:fill="auto"/>
          </w:tcPr>
          <w:p w14:paraId="7EE83A97"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6</w:t>
            </w:r>
          </w:p>
        </w:tc>
        <w:tc>
          <w:tcPr>
            <w:tcW w:w="8505" w:type="dxa"/>
            <w:shd w:val="clear" w:color="auto" w:fill="auto"/>
          </w:tcPr>
          <w:p w14:paraId="2E1CB3BC" w14:textId="77777777" w:rsidR="00F11E65" w:rsidRPr="00D748CC" w:rsidRDefault="00F11E65" w:rsidP="001929CC">
            <w:pPr>
              <w:keepLines/>
              <w:widowControl w:val="0"/>
              <w:tabs>
                <w:tab w:val="left" w:pos="150"/>
                <w:tab w:val="left" w:pos="397"/>
                <w:tab w:val="left" w:pos="794"/>
                <w:tab w:val="left" w:pos="1191"/>
              </w:tabs>
              <w:spacing w:before="40" w:after="40"/>
              <w:jc w:val="both"/>
              <w:rPr>
                <w:kern w:val="2"/>
                <w:sz w:val="17"/>
                <w:szCs w:val="17"/>
              </w:rPr>
            </w:pPr>
            <w:r w:rsidRPr="00D748CC">
              <w:rPr>
                <w:kern w:val="2"/>
                <w:sz w:val="17"/>
                <w:szCs w:val="17"/>
              </w:rPr>
              <w:t>Sum of values in rows 1 to 5.</w:t>
            </w:r>
          </w:p>
        </w:tc>
      </w:tr>
      <w:tr w:rsidR="00F11E65" w:rsidRPr="00280717" w14:paraId="5ED51957" w14:textId="77777777" w:rsidTr="005B5690">
        <w:trPr>
          <w:trHeight w:val="373"/>
        </w:trPr>
        <w:tc>
          <w:tcPr>
            <w:tcW w:w="596" w:type="dxa"/>
            <w:shd w:val="clear" w:color="auto" w:fill="auto"/>
          </w:tcPr>
          <w:p w14:paraId="7E39EFAA"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7</w:t>
            </w:r>
          </w:p>
        </w:tc>
        <w:tc>
          <w:tcPr>
            <w:tcW w:w="8505" w:type="dxa"/>
            <w:shd w:val="clear" w:color="auto" w:fill="auto"/>
          </w:tcPr>
          <w:p w14:paraId="0FAC44B9" w14:textId="77777777" w:rsidR="00F11E65" w:rsidRPr="00D748CC" w:rsidRDefault="00F11E65" w:rsidP="001929CC">
            <w:pPr>
              <w:keepLines/>
              <w:widowControl w:val="0"/>
              <w:tabs>
                <w:tab w:val="left" w:pos="150"/>
                <w:tab w:val="left" w:pos="397"/>
                <w:tab w:val="left" w:pos="794"/>
                <w:tab w:val="left" w:pos="1191"/>
              </w:tabs>
              <w:spacing w:before="40" w:after="40"/>
              <w:jc w:val="both"/>
              <w:rPr>
                <w:kern w:val="2"/>
                <w:sz w:val="17"/>
                <w:szCs w:val="17"/>
              </w:rPr>
            </w:pPr>
            <w:r w:rsidRPr="00D748CC">
              <w:rPr>
                <w:kern w:val="2"/>
                <w:sz w:val="17"/>
                <w:szCs w:val="17"/>
              </w:rPr>
              <w:t>Prudential valuation adjustments according to the requirements of BCR §43(1)(g) and paragraph 4.5 of the Supervisory Policy Manual module CA-S-10 “Financial Instrument Fair Value Practices”.</w:t>
            </w:r>
          </w:p>
        </w:tc>
      </w:tr>
      <w:tr w:rsidR="00F11E65" w:rsidRPr="00280717" w14:paraId="12E5E326" w14:textId="77777777" w:rsidTr="005B5690">
        <w:trPr>
          <w:trHeight w:val="373"/>
        </w:trPr>
        <w:tc>
          <w:tcPr>
            <w:tcW w:w="596" w:type="dxa"/>
            <w:shd w:val="clear" w:color="auto" w:fill="auto"/>
          </w:tcPr>
          <w:p w14:paraId="3039F7EC"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8</w:t>
            </w:r>
          </w:p>
        </w:tc>
        <w:tc>
          <w:tcPr>
            <w:tcW w:w="8505" w:type="dxa"/>
            <w:shd w:val="clear" w:color="auto" w:fill="auto"/>
          </w:tcPr>
          <w:p w14:paraId="3AE8DFFE" w14:textId="77777777" w:rsidR="00F11E65" w:rsidRPr="00D748CC" w:rsidRDefault="00F11E65" w:rsidP="001929CC">
            <w:pPr>
              <w:keepLines/>
              <w:widowControl w:val="0"/>
              <w:tabs>
                <w:tab w:val="left" w:pos="150"/>
                <w:tab w:val="left" w:pos="397"/>
                <w:tab w:val="left" w:pos="794"/>
                <w:tab w:val="left" w:pos="1191"/>
              </w:tabs>
              <w:spacing w:before="40" w:after="40"/>
              <w:jc w:val="both"/>
              <w:rPr>
                <w:kern w:val="2"/>
                <w:sz w:val="17"/>
                <w:szCs w:val="17"/>
              </w:rPr>
            </w:pPr>
            <w:r w:rsidRPr="00D748CC">
              <w:rPr>
                <w:kern w:val="2"/>
                <w:sz w:val="17"/>
                <w:szCs w:val="17"/>
              </w:rPr>
              <w:t>Goodwill net of associated deferred tax liabilities, as referred to in BCR §43(1)(a).</w:t>
            </w:r>
          </w:p>
        </w:tc>
      </w:tr>
      <w:tr w:rsidR="00F11E65" w:rsidRPr="00280717" w14:paraId="6A2ADA32" w14:textId="77777777" w:rsidTr="005B5690">
        <w:trPr>
          <w:trHeight w:val="373"/>
        </w:trPr>
        <w:tc>
          <w:tcPr>
            <w:tcW w:w="596" w:type="dxa"/>
            <w:shd w:val="clear" w:color="auto" w:fill="auto"/>
          </w:tcPr>
          <w:p w14:paraId="1847F469"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9</w:t>
            </w:r>
          </w:p>
        </w:tc>
        <w:tc>
          <w:tcPr>
            <w:tcW w:w="8505" w:type="dxa"/>
            <w:shd w:val="clear" w:color="auto" w:fill="auto"/>
          </w:tcPr>
          <w:p w14:paraId="1B781E30" w14:textId="77777777" w:rsidR="00F11E65" w:rsidRPr="00D748CC" w:rsidRDefault="00F11E65" w:rsidP="001929CC">
            <w:pPr>
              <w:keepLines/>
              <w:widowControl w:val="0"/>
              <w:tabs>
                <w:tab w:val="left" w:pos="150"/>
                <w:tab w:val="left" w:pos="397"/>
                <w:tab w:val="left" w:pos="794"/>
                <w:tab w:val="left" w:pos="1191"/>
              </w:tabs>
              <w:spacing w:before="40" w:after="40"/>
              <w:jc w:val="both"/>
              <w:rPr>
                <w:kern w:val="2"/>
                <w:sz w:val="17"/>
                <w:szCs w:val="17"/>
              </w:rPr>
            </w:pPr>
            <w:r w:rsidRPr="00D748CC">
              <w:rPr>
                <w:kern w:val="2"/>
                <w:sz w:val="17"/>
                <w:szCs w:val="17"/>
              </w:rPr>
              <w:t>Other intangible assets (referred to in BCR §43(1)(b)) including mortgage servicing rights (“MSRs”), net of associated deferred tax liabilities.</w:t>
            </w:r>
          </w:p>
        </w:tc>
      </w:tr>
      <w:tr w:rsidR="00F11E65" w:rsidRPr="00280717" w14:paraId="2F37EB89" w14:textId="77777777" w:rsidTr="005B5690">
        <w:trPr>
          <w:trHeight w:val="373"/>
        </w:trPr>
        <w:tc>
          <w:tcPr>
            <w:tcW w:w="596" w:type="dxa"/>
            <w:shd w:val="clear" w:color="auto" w:fill="auto"/>
          </w:tcPr>
          <w:p w14:paraId="0901AA4D"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10</w:t>
            </w:r>
          </w:p>
        </w:tc>
        <w:tc>
          <w:tcPr>
            <w:tcW w:w="8505" w:type="dxa"/>
            <w:shd w:val="clear" w:color="auto" w:fill="auto"/>
          </w:tcPr>
          <w:p w14:paraId="1FEF024C" w14:textId="77777777" w:rsidR="00F11E65" w:rsidRPr="00D748CC" w:rsidRDefault="00F11E65" w:rsidP="001929CC">
            <w:pPr>
              <w:keepLines/>
              <w:widowControl w:val="0"/>
              <w:tabs>
                <w:tab w:val="left" w:pos="150"/>
                <w:tab w:val="left" w:pos="397"/>
                <w:tab w:val="left" w:pos="794"/>
                <w:tab w:val="left" w:pos="1191"/>
              </w:tabs>
              <w:spacing w:before="40" w:after="40"/>
              <w:jc w:val="both"/>
              <w:rPr>
                <w:kern w:val="2"/>
                <w:sz w:val="17"/>
                <w:szCs w:val="17"/>
              </w:rPr>
            </w:pPr>
            <w:r w:rsidRPr="00D748CC">
              <w:rPr>
                <w:kern w:val="2"/>
                <w:sz w:val="17"/>
                <w:szCs w:val="17"/>
              </w:rPr>
              <w:t>Deferred tax assets (“DTAs”) (referred to in BCR §43(1)(d)) including those arising from temporary differences, net of associated deferred tax liabilities.</w:t>
            </w:r>
          </w:p>
        </w:tc>
      </w:tr>
      <w:tr w:rsidR="00F11E65" w:rsidRPr="00280717" w14:paraId="46FA189B" w14:textId="77777777" w:rsidTr="005B5690">
        <w:trPr>
          <w:trHeight w:val="373"/>
        </w:trPr>
        <w:tc>
          <w:tcPr>
            <w:tcW w:w="596" w:type="dxa"/>
            <w:shd w:val="clear" w:color="auto" w:fill="auto"/>
          </w:tcPr>
          <w:p w14:paraId="0F53BD04"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11</w:t>
            </w:r>
          </w:p>
        </w:tc>
        <w:tc>
          <w:tcPr>
            <w:tcW w:w="8505" w:type="dxa"/>
            <w:shd w:val="clear" w:color="auto" w:fill="auto"/>
          </w:tcPr>
          <w:p w14:paraId="1A86F88E" w14:textId="77777777" w:rsidR="00F11E65" w:rsidRPr="00D748CC" w:rsidRDefault="00F11E65" w:rsidP="001929CC">
            <w:pPr>
              <w:keepLines/>
              <w:widowControl w:val="0"/>
              <w:tabs>
                <w:tab w:val="left" w:pos="150"/>
                <w:tab w:val="left" w:pos="397"/>
                <w:tab w:val="left" w:pos="794"/>
                <w:tab w:val="left" w:pos="1191"/>
              </w:tabs>
              <w:spacing w:before="40" w:after="40"/>
              <w:jc w:val="both"/>
              <w:rPr>
                <w:kern w:val="2"/>
                <w:sz w:val="17"/>
                <w:szCs w:val="17"/>
              </w:rPr>
            </w:pPr>
            <w:r w:rsidRPr="00D748CC">
              <w:rPr>
                <w:kern w:val="2"/>
                <w:sz w:val="17"/>
                <w:szCs w:val="17"/>
              </w:rPr>
              <w:t>Cumulative cash flow hedge reserve that relate to the hedging of financial instruments that are not fair valued on the balance sheet (including projected cash flows) described in BCR §38(2)(a).</w:t>
            </w:r>
          </w:p>
        </w:tc>
      </w:tr>
      <w:tr w:rsidR="00F11E65" w:rsidRPr="00280717" w14:paraId="023349EC" w14:textId="77777777" w:rsidTr="005B5690">
        <w:trPr>
          <w:trHeight w:val="373"/>
        </w:trPr>
        <w:tc>
          <w:tcPr>
            <w:tcW w:w="596" w:type="dxa"/>
            <w:shd w:val="clear" w:color="auto" w:fill="auto"/>
          </w:tcPr>
          <w:p w14:paraId="038ED4EB"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12</w:t>
            </w:r>
          </w:p>
        </w:tc>
        <w:tc>
          <w:tcPr>
            <w:tcW w:w="8505" w:type="dxa"/>
            <w:shd w:val="clear" w:color="auto" w:fill="auto"/>
          </w:tcPr>
          <w:p w14:paraId="198AF059" w14:textId="77777777" w:rsidR="00F11E65" w:rsidRPr="00D748CC" w:rsidRDefault="00F11E65" w:rsidP="001929CC">
            <w:pPr>
              <w:keepLines/>
              <w:widowControl w:val="0"/>
              <w:spacing w:before="40" w:after="40"/>
              <w:jc w:val="both"/>
              <w:rPr>
                <w:kern w:val="2"/>
                <w:sz w:val="17"/>
                <w:szCs w:val="17"/>
              </w:rPr>
            </w:pPr>
            <w:r w:rsidRPr="00D748CC">
              <w:rPr>
                <w:kern w:val="2"/>
                <w:sz w:val="17"/>
                <w:szCs w:val="17"/>
              </w:rPr>
              <w:t>Excess of total EL amount over total eligible provisions under the IRB approach as described in BCR §43(1)(i).</w:t>
            </w:r>
          </w:p>
        </w:tc>
      </w:tr>
      <w:tr w:rsidR="00F11E65" w:rsidRPr="00280717" w14:paraId="050B873C" w14:textId="77777777" w:rsidTr="005B5690">
        <w:trPr>
          <w:trHeight w:val="373"/>
        </w:trPr>
        <w:tc>
          <w:tcPr>
            <w:tcW w:w="596" w:type="dxa"/>
            <w:shd w:val="clear" w:color="auto" w:fill="auto"/>
          </w:tcPr>
          <w:p w14:paraId="04A79012"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13</w:t>
            </w:r>
          </w:p>
        </w:tc>
        <w:tc>
          <w:tcPr>
            <w:tcW w:w="8505" w:type="dxa"/>
            <w:shd w:val="clear" w:color="auto" w:fill="auto"/>
          </w:tcPr>
          <w:p w14:paraId="2B4EB1E6" w14:textId="77777777" w:rsidR="00F11E65" w:rsidRPr="00D748CC" w:rsidRDefault="00F11E65" w:rsidP="001929CC">
            <w:pPr>
              <w:keepLines/>
              <w:widowControl w:val="0"/>
              <w:tabs>
                <w:tab w:val="left" w:pos="150"/>
                <w:tab w:val="left" w:pos="397"/>
                <w:tab w:val="left" w:pos="794"/>
                <w:tab w:val="left" w:pos="1191"/>
              </w:tabs>
              <w:spacing w:before="40" w:after="40"/>
              <w:jc w:val="both"/>
              <w:rPr>
                <w:kern w:val="2"/>
                <w:sz w:val="17"/>
                <w:szCs w:val="17"/>
              </w:rPr>
            </w:pPr>
            <w:r w:rsidRPr="00D748CC">
              <w:rPr>
                <w:kern w:val="2"/>
                <w:sz w:val="17"/>
                <w:szCs w:val="17"/>
              </w:rPr>
              <w:t>Credit-enhancing interest-only strip, and any gain-on-sale and other increase in the CET1 capital arising from securitization transactions in which the AI is the originating institution as referred to in BCR §43(1)(e).</w:t>
            </w:r>
          </w:p>
        </w:tc>
      </w:tr>
      <w:tr w:rsidR="00F11E65" w:rsidRPr="00280717" w14:paraId="0EA7B022" w14:textId="77777777" w:rsidTr="005B5690">
        <w:trPr>
          <w:trHeight w:val="373"/>
        </w:trPr>
        <w:tc>
          <w:tcPr>
            <w:tcW w:w="596" w:type="dxa"/>
            <w:shd w:val="clear" w:color="auto" w:fill="auto"/>
          </w:tcPr>
          <w:p w14:paraId="264FC65A"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14</w:t>
            </w:r>
          </w:p>
        </w:tc>
        <w:tc>
          <w:tcPr>
            <w:tcW w:w="8505" w:type="dxa"/>
            <w:shd w:val="clear" w:color="auto" w:fill="auto"/>
          </w:tcPr>
          <w:p w14:paraId="5D7939B5" w14:textId="77777777" w:rsidR="00F11E65" w:rsidRPr="00D748CC" w:rsidRDefault="00F11E65" w:rsidP="001929CC">
            <w:pPr>
              <w:keepLines/>
              <w:widowControl w:val="0"/>
              <w:tabs>
                <w:tab w:val="left" w:pos="150"/>
                <w:tab w:val="left" w:pos="397"/>
                <w:tab w:val="left" w:pos="794"/>
                <w:tab w:val="left" w:pos="1191"/>
              </w:tabs>
              <w:spacing w:before="40" w:after="40"/>
              <w:jc w:val="both"/>
              <w:rPr>
                <w:kern w:val="2"/>
                <w:sz w:val="17"/>
                <w:szCs w:val="17"/>
              </w:rPr>
            </w:pPr>
            <w:r w:rsidRPr="00D748CC">
              <w:rPr>
                <w:kern w:val="2"/>
                <w:sz w:val="17"/>
                <w:szCs w:val="17"/>
              </w:rPr>
              <w:t>Gains and losses due to changes in own credit risk on fair valued liabilities, as described in BCR §38(2)(b), and debit valuation adjustments in respect of derivative contracts as referred to in BCR §43(1)(h).</w:t>
            </w:r>
          </w:p>
        </w:tc>
      </w:tr>
      <w:tr w:rsidR="00F11E65" w:rsidRPr="00280717" w14:paraId="739B9BC7" w14:textId="77777777" w:rsidTr="005B5690">
        <w:trPr>
          <w:trHeight w:val="373"/>
        </w:trPr>
        <w:tc>
          <w:tcPr>
            <w:tcW w:w="596" w:type="dxa"/>
            <w:shd w:val="clear" w:color="auto" w:fill="auto"/>
          </w:tcPr>
          <w:p w14:paraId="521CBC33"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15</w:t>
            </w:r>
          </w:p>
        </w:tc>
        <w:tc>
          <w:tcPr>
            <w:tcW w:w="8505" w:type="dxa"/>
            <w:shd w:val="clear" w:color="auto" w:fill="auto"/>
          </w:tcPr>
          <w:p w14:paraId="336CE50B" w14:textId="77777777" w:rsidR="00F11E65" w:rsidRPr="00D748CC" w:rsidRDefault="00F11E65" w:rsidP="001929CC">
            <w:pPr>
              <w:keepLines/>
              <w:widowControl w:val="0"/>
              <w:tabs>
                <w:tab w:val="left" w:pos="150"/>
                <w:tab w:val="left" w:pos="397"/>
                <w:tab w:val="left" w:pos="794"/>
                <w:tab w:val="left" w:pos="1191"/>
              </w:tabs>
              <w:spacing w:before="40" w:after="40"/>
              <w:jc w:val="both"/>
              <w:rPr>
                <w:kern w:val="2"/>
                <w:sz w:val="17"/>
                <w:szCs w:val="17"/>
              </w:rPr>
            </w:pPr>
            <w:r w:rsidRPr="00D748CC">
              <w:rPr>
                <w:kern w:val="2"/>
                <w:sz w:val="17"/>
                <w:szCs w:val="17"/>
              </w:rPr>
              <w:t>Net assets of defined benefit pension fund or plan, net of associated deferred tax liabilities, as referred to in BCR §43(1)(c).</w:t>
            </w:r>
          </w:p>
        </w:tc>
      </w:tr>
      <w:tr w:rsidR="00F11E65" w:rsidRPr="00280717" w14:paraId="63FFB6AC" w14:textId="77777777" w:rsidTr="005B5690">
        <w:trPr>
          <w:trHeight w:val="373"/>
        </w:trPr>
        <w:tc>
          <w:tcPr>
            <w:tcW w:w="596" w:type="dxa"/>
            <w:shd w:val="clear" w:color="auto" w:fill="auto"/>
          </w:tcPr>
          <w:p w14:paraId="33B417C1"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16</w:t>
            </w:r>
          </w:p>
        </w:tc>
        <w:tc>
          <w:tcPr>
            <w:tcW w:w="8505" w:type="dxa"/>
            <w:shd w:val="clear" w:color="auto" w:fill="auto"/>
          </w:tcPr>
          <w:p w14:paraId="1F0027B3" w14:textId="77777777" w:rsidR="00F11E65" w:rsidRPr="00D748CC" w:rsidRDefault="00F11E65" w:rsidP="001929CC">
            <w:pPr>
              <w:keepLines/>
              <w:widowControl w:val="0"/>
              <w:tabs>
                <w:tab w:val="left" w:pos="150"/>
                <w:tab w:val="left" w:pos="397"/>
                <w:tab w:val="left" w:pos="794"/>
                <w:tab w:val="left" w:pos="1191"/>
              </w:tabs>
              <w:spacing w:before="40" w:after="40"/>
              <w:jc w:val="both"/>
              <w:rPr>
                <w:kern w:val="2"/>
                <w:sz w:val="17"/>
                <w:szCs w:val="17"/>
              </w:rPr>
            </w:pPr>
            <w:r w:rsidRPr="00D748CC">
              <w:rPr>
                <w:kern w:val="2"/>
                <w:sz w:val="17"/>
                <w:szCs w:val="17"/>
              </w:rPr>
              <w:t>Investments in own CET1 capital instruments, as referred to in BCR §43(1)(l).</w:t>
            </w:r>
          </w:p>
        </w:tc>
      </w:tr>
      <w:tr w:rsidR="00F11E65" w:rsidRPr="00280717" w14:paraId="49BD191C" w14:textId="77777777" w:rsidTr="005B5690">
        <w:trPr>
          <w:trHeight w:val="373"/>
        </w:trPr>
        <w:tc>
          <w:tcPr>
            <w:tcW w:w="596" w:type="dxa"/>
            <w:shd w:val="clear" w:color="auto" w:fill="auto"/>
          </w:tcPr>
          <w:p w14:paraId="640FCA9C"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17</w:t>
            </w:r>
          </w:p>
        </w:tc>
        <w:tc>
          <w:tcPr>
            <w:tcW w:w="8505" w:type="dxa"/>
            <w:shd w:val="clear" w:color="auto" w:fill="auto"/>
          </w:tcPr>
          <w:p w14:paraId="4CDCB29D" w14:textId="77777777" w:rsidR="00F11E65" w:rsidRPr="00D748CC" w:rsidRDefault="00F11E65" w:rsidP="001929CC">
            <w:pPr>
              <w:keepLines/>
              <w:widowControl w:val="0"/>
              <w:tabs>
                <w:tab w:val="left" w:pos="150"/>
                <w:tab w:val="left" w:pos="397"/>
                <w:tab w:val="left" w:pos="794"/>
                <w:tab w:val="left" w:pos="1191"/>
              </w:tabs>
              <w:spacing w:before="40" w:after="40"/>
              <w:jc w:val="both"/>
              <w:rPr>
                <w:kern w:val="2"/>
                <w:sz w:val="17"/>
                <w:szCs w:val="17"/>
              </w:rPr>
            </w:pPr>
            <w:r w:rsidRPr="00D748CC">
              <w:rPr>
                <w:kern w:val="2"/>
                <w:sz w:val="17"/>
                <w:szCs w:val="17"/>
              </w:rPr>
              <w:t>Reciprocal cross-holdings in CET1 capital instruments, as referred to in BCR §43(1)(m).</w:t>
            </w:r>
          </w:p>
        </w:tc>
      </w:tr>
      <w:tr w:rsidR="00F11E65" w:rsidRPr="00280717" w14:paraId="60A0F893" w14:textId="77777777" w:rsidTr="005B5690">
        <w:trPr>
          <w:trHeight w:val="373"/>
        </w:trPr>
        <w:tc>
          <w:tcPr>
            <w:tcW w:w="596" w:type="dxa"/>
            <w:shd w:val="clear" w:color="auto" w:fill="auto"/>
          </w:tcPr>
          <w:p w14:paraId="76792C79"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lastRenderedPageBreak/>
              <w:t>18</w:t>
            </w:r>
          </w:p>
        </w:tc>
        <w:tc>
          <w:tcPr>
            <w:tcW w:w="8505" w:type="dxa"/>
            <w:shd w:val="clear" w:color="auto" w:fill="auto"/>
          </w:tcPr>
          <w:p w14:paraId="21AC0DFA" w14:textId="77777777" w:rsidR="00F11E65" w:rsidRPr="00D748CC" w:rsidRDefault="00F11E65" w:rsidP="001929CC">
            <w:pPr>
              <w:keepLines/>
              <w:widowControl w:val="0"/>
              <w:tabs>
                <w:tab w:val="left" w:pos="150"/>
                <w:tab w:val="left" w:pos="397"/>
                <w:tab w:val="left" w:pos="794"/>
                <w:tab w:val="left" w:pos="1191"/>
              </w:tabs>
              <w:spacing w:before="40" w:after="40"/>
              <w:jc w:val="both"/>
              <w:rPr>
                <w:kern w:val="2"/>
                <w:sz w:val="17"/>
                <w:szCs w:val="17"/>
              </w:rPr>
            </w:pPr>
            <w:r w:rsidRPr="00D748CC">
              <w:rPr>
                <w:kern w:val="2"/>
                <w:sz w:val="17"/>
                <w:szCs w:val="17"/>
              </w:rPr>
              <w:t>Amount of insignificant LAC investments in CET1 capital instruments issued by financial sector entities outside the scope of regulatory consolidation that is in excess of the 10% threshold according to BCR Schedule 4F after taking into account any amount of loans, facilities or other credit exposures that is required (i) by BCR §46(2) to be aggregated with this item for the purpose of determining the excess amount, and (ii) by BCR §43(1)(o) to be deducted from CET1 capital.</w:t>
            </w:r>
          </w:p>
        </w:tc>
      </w:tr>
      <w:tr w:rsidR="00F11E65" w:rsidRPr="00280717" w14:paraId="7B3205AB" w14:textId="77777777" w:rsidTr="005B5690">
        <w:trPr>
          <w:trHeight w:val="373"/>
        </w:trPr>
        <w:tc>
          <w:tcPr>
            <w:tcW w:w="596" w:type="dxa"/>
            <w:shd w:val="clear" w:color="auto" w:fill="auto"/>
          </w:tcPr>
          <w:p w14:paraId="1A6D078E"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19</w:t>
            </w:r>
          </w:p>
        </w:tc>
        <w:tc>
          <w:tcPr>
            <w:tcW w:w="8505" w:type="dxa"/>
            <w:shd w:val="clear" w:color="auto" w:fill="auto"/>
          </w:tcPr>
          <w:p w14:paraId="63C7987E" w14:textId="77777777" w:rsidR="00F11E65" w:rsidRPr="00D748CC" w:rsidRDefault="00F11E65" w:rsidP="001929CC">
            <w:pPr>
              <w:keepLines/>
              <w:widowControl w:val="0"/>
              <w:spacing w:before="40" w:after="40"/>
              <w:jc w:val="both"/>
              <w:rPr>
                <w:kern w:val="2"/>
                <w:sz w:val="17"/>
                <w:szCs w:val="17"/>
              </w:rPr>
            </w:pPr>
            <w:r w:rsidRPr="00D748CC">
              <w:rPr>
                <w:kern w:val="2"/>
                <w:sz w:val="17"/>
                <w:szCs w:val="17"/>
              </w:rPr>
              <w:t>Amount of significant LAC investments in CET1 capital instruments issued by financial sector entities outside the scope of regulatory consolidation that is in excess of the 10% threshold according to BCR Schedule 4G, after taking into account any amount of loans, facilities or other credit exposures that is required (i) by BCR §46(2) to be aggregated with this item for the purpose of determining the excess amount, and (ii) by BCR §43(1)(p) to be deducted from CET1 capital.</w:t>
            </w:r>
          </w:p>
        </w:tc>
      </w:tr>
      <w:tr w:rsidR="00F11E65" w:rsidRPr="00A90287" w14:paraId="05BB0668" w14:textId="77777777" w:rsidTr="005B5690">
        <w:trPr>
          <w:trHeight w:val="373"/>
        </w:trPr>
        <w:tc>
          <w:tcPr>
            <w:tcW w:w="596" w:type="dxa"/>
            <w:shd w:val="clear" w:color="auto" w:fill="auto"/>
          </w:tcPr>
          <w:p w14:paraId="4910608A"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20</w:t>
            </w:r>
          </w:p>
        </w:tc>
        <w:tc>
          <w:tcPr>
            <w:tcW w:w="8505" w:type="dxa"/>
            <w:shd w:val="clear" w:color="auto" w:fill="FFFF00"/>
          </w:tcPr>
          <w:p w14:paraId="14546BDF" w14:textId="77777777" w:rsidR="00F11E65" w:rsidRPr="00D748CC" w:rsidRDefault="00F11E65" w:rsidP="001929CC">
            <w:pPr>
              <w:keepLines/>
              <w:widowControl w:val="0"/>
              <w:tabs>
                <w:tab w:val="left" w:pos="150"/>
                <w:tab w:val="left" w:pos="397"/>
                <w:tab w:val="left" w:pos="794"/>
                <w:tab w:val="left" w:pos="1191"/>
              </w:tabs>
              <w:spacing w:before="40" w:after="40"/>
              <w:jc w:val="both"/>
              <w:rPr>
                <w:kern w:val="2"/>
                <w:sz w:val="17"/>
                <w:szCs w:val="17"/>
              </w:rPr>
            </w:pPr>
            <w:r w:rsidRPr="00D748CC">
              <w:rPr>
                <w:kern w:val="2"/>
                <w:sz w:val="17"/>
                <w:szCs w:val="17"/>
              </w:rPr>
              <w:t>This row is not applicable in the case of Hong Kong given that any amount of MSRs on an AI’s balance sheet will be included in row 9 (other intangible assets) and fully deducted in accordance with BCR §43(1)(b).</w:t>
            </w:r>
          </w:p>
        </w:tc>
      </w:tr>
      <w:tr w:rsidR="00F11E65" w:rsidRPr="00280717" w14:paraId="5B5E1F2B" w14:textId="77777777" w:rsidTr="005B5690">
        <w:trPr>
          <w:trHeight w:val="373"/>
        </w:trPr>
        <w:tc>
          <w:tcPr>
            <w:tcW w:w="596" w:type="dxa"/>
            <w:shd w:val="clear" w:color="auto" w:fill="auto"/>
          </w:tcPr>
          <w:p w14:paraId="72F186B0"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21</w:t>
            </w:r>
          </w:p>
        </w:tc>
        <w:tc>
          <w:tcPr>
            <w:tcW w:w="8505" w:type="dxa"/>
            <w:shd w:val="clear" w:color="auto" w:fill="FFFF00"/>
          </w:tcPr>
          <w:p w14:paraId="36C91602" w14:textId="77777777" w:rsidR="00F11E65" w:rsidRPr="00D748CC" w:rsidRDefault="00F11E65" w:rsidP="001929CC">
            <w:pPr>
              <w:pStyle w:val="TableNote"/>
              <w:spacing w:before="40" w:after="40"/>
              <w:rPr>
                <w:kern w:val="2"/>
                <w:sz w:val="17"/>
                <w:szCs w:val="17"/>
              </w:rPr>
            </w:pPr>
            <w:r w:rsidRPr="00D748CC">
              <w:rPr>
                <w:kern w:val="2"/>
                <w:sz w:val="17"/>
                <w:szCs w:val="17"/>
              </w:rPr>
              <w:t>This row is not applicable in the case of Hong Kong given that any amount of DTA arising from temporary difference on an AI’s balance sheet will be included in row 10 (deferred tax assets) and fully deducted in accordance with BCR §43(1)(d).</w:t>
            </w:r>
          </w:p>
        </w:tc>
      </w:tr>
      <w:tr w:rsidR="00F11E65" w:rsidRPr="00280717" w14:paraId="2DA1ABD6" w14:textId="77777777" w:rsidTr="005B5690">
        <w:trPr>
          <w:trHeight w:val="373"/>
        </w:trPr>
        <w:tc>
          <w:tcPr>
            <w:tcW w:w="596" w:type="dxa"/>
            <w:shd w:val="clear" w:color="auto" w:fill="auto"/>
          </w:tcPr>
          <w:p w14:paraId="44DEA9A9"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22</w:t>
            </w:r>
          </w:p>
        </w:tc>
        <w:tc>
          <w:tcPr>
            <w:tcW w:w="8505" w:type="dxa"/>
            <w:shd w:val="clear" w:color="auto" w:fill="FFFF00"/>
          </w:tcPr>
          <w:p w14:paraId="2D1F8798" w14:textId="77777777" w:rsidR="00F11E65" w:rsidRPr="00D748CC" w:rsidRDefault="00F11E65" w:rsidP="001929CC">
            <w:pPr>
              <w:pStyle w:val="TableNote"/>
              <w:spacing w:before="40" w:after="40"/>
              <w:rPr>
                <w:kern w:val="2"/>
                <w:sz w:val="17"/>
                <w:szCs w:val="17"/>
              </w:rPr>
            </w:pPr>
            <w:r w:rsidRPr="00D748CC">
              <w:rPr>
                <w:kern w:val="2"/>
                <w:sz w:val="17"/>
                <w:szCs w:val="17"/>
              </w:rPr>
              <w:t>This row is irrelevant as the “15% threshold” is not applicable to Hong Kong since MSRs and DTAs are required to be fully deducted under the BCR.</w:t>
            </w:r>
          </w:p>
        </w:tc>
      </w:tr>
      <w:tr w:rsidR="00F11E65" w:rsidRPr="00280717" w14:paraId="03395F4A" w14:textId="77777777" w:rsidTr="005B5690">
        <w:trPr>
          <w:trHeight w:val="373"/>
        </w:trPr>
        <w:tc>
          <w:tcPr>
            <w:tcW w:w="596" w:type="dxa"/>
            <w:shd w:val="clear" w:color="auto" w:fill="auto"/>
          </w:tcPr>
          <w:p w14:paraId="2E49ED83"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23</w:t>
            </w:r>
          </w:p>
        </w:tc>
        <w:tc>
          <w:tcPr>
            <w:tcW w:w="8505" w:type="dxa"/>
            <w:shd w:val="clear" w:color="auto" w:fill="FFFF00"/>
          </w:tcPr>
          <w:p w14:paraId="652979FA" w14:textId="77777777" w:rsidR="00F11E65" w:rsidRPr="00D748CC" w:rsidRDefault="00F11E65" w:rsidP="001929CC">
            <w:pPr>
              <w:pStyle w:val="TableNote"/>
              <w:spacing w:before="40" w:after="40"/>
              <w:rPr>
                <w:kern w:val="2"/>
                <w:sz w:val="17"/>
                <w:szCs w:val="17"/>
              </w:rPr>
            </w:pPr>
            <w:r w:rsidRPr="00D748CC">
              <w:rPr>
                <w:kern w:val="2"/>
                <w:sz w:val="17"/>
                <w:szCs w:val="17"/>
              </w:rPr>
              <w:t>This row is irrelevant as the “15% threshold” is not applicable to Hong Kong since MSRs and DTAs are required to be fully deducted under the BCR.</w:t>
            </w:r>
          </w:p>
        </w:tc>
      </w:tr>
      <w:tr w:rsidR="00F11E65" w:rsidRPr="00280717" w14:paraId="62F5DC40" w14:textId="77777777" w:rsidTr="005B5690">
        <w:trPr>
          <w:trHeight w:val="373"/>
        </w:trPr>
        <w:tc>
          <w:tcPr>
            <w:tcW w:w="596" w:type="dxa"/>
            <w:shd w:val="clear" w:color="auto" w:fill="auto"/>
          </w:tcPr>
          <w:p w14:paraId="4B0949D6"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24</w:t>
            </w:r>
          </w:p>
        </w:tc>
        <w:tc>
          <w:tcPr>
            <w:tcW w:w="8505" w:type="dxa"/>
            <w:shd w:val="clear" w:color="auto" w:fill="FFFF00"/>
          </w:tcPr>
          <w:p w14:paraId="3E627A2D" w14:textId="77777777" w:rsidR="00F11E65" w:rsidRPr="00D748CC" w:rsidRDefault="00F11E65" w:rsidP="001929CC">
            <w:pPr>
              <w:pStyle w:val="TableNote"/>
              <w:spacing w:before="40" w:after="40"/>
              <w:rPr>
                <w:kern w:val="2"/>
                <w:sz w:val="17"/>
                <w:szCs w:val="17"/>
              </w:rPr>
            </w:pPr>
            <w:r w:rsidRPr="00D748CC">
              <w:rPr>
                <w:kern w:val="2"/>
                <w:sz w:val="17"/>
                <w:szCs w:val="17"/>
              </w:rPr>
              <w:t>This row is irrelevant as the “15% threshold” is not applicable to Hong Kong since MSRs and DTAs are required to be fully deducted under the BCR.</w:t>
            </w:r>
          </w:p>
        </w:tc>
      </w:tr>
      <w:tr w:rsidR="00F11E65" w:rsidRPr="00280717" w14:paraId="440E08D3" w14:textId="77777777" w:rsidTr="005B5690">
        <w:trPr>
          <w:trHeight w:val="373"/>
        </w:trPr>
        <w:tc>
          <w:tcPr>
            <w:tcW w:w="596" w:type="dxa"/>
            <w:shd w:val="clear" w:color="auto" w:fill="auto"/>
          </w:tcPr>
          <w:p w14:paraId="0D0F5D2B"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25</w:t>
            </w:r>
          </w:p>
        </w:tc>
        <w:tc>
          <w:tcPr>
            <w:tcW w:w="8505" w:type="dxa"/>
            <w:shd w:val="clear" w:color="auto" w:fill="FFFF00"/>
          </w:tcPr>
          <w:p w14:paraId="2175ECE6" w14:textId="77777777" w:rsidR="00F11E65" w:rsidRPr="00D748CC" w:rsidRDefault="00F11E65" w:rsidP="001929CC">
            <w:pPr>
              <w:pStyle w:val="TableNote"/>
              <w:spacing w:before="40" w:after="40"/>
              <w:rPr>
                <w:kern w:val="2"/>
                <w:sz w:val="17"/>
                <w:szCs w:val="17"/>
              </w:rPr>
            </w:pPr>
            <w:r w:rsidRPr="00D748CC">
              <w:rPr>
                <w:kern w:val="2"/>
                <w:sz w:val="17"/>
                <w:szCs w:val="17"/>
              </w:rPr>
              <w:t>This row is irrelevant as the “15% threshold” is not applicable to Hong Kong since MSRs and DTAs are required to be fully deducted under the BCR.</w:t>
            </w:r>
          </w:p>
        </w:tc>
      </w:tr>
      <w:tr w:rsidR="00F11E65" w:rsidRPr="00280717" w14:paraId="21FA4A35" w14:textId="77777777" w:rsidTr="005B5690">
        <w:trPr>
          <w:trHeight w:val="373"/>
        </w:trPr>
        <w:tc>
          <w:tcPr>
            <w:tcW w:w="596" w:type="dxa"/>
            <w:shd w:val="clear" w:color="auto" w:fill="auto"/>
          </w:tcPr>
          <w:p w14:paraId="69755540"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26</w:t>
            </w:r>
          </w:p>
        </w:tc>
        <w:tc>
          <w:tcPr>
            <w:tcW w:w="8505" w:type="dxa"/>
            <w:shd w:val="clear" w:color="auto" w:fill="auto"/>
          </w:tcPr>
          <w:p w14:paraId="555466D8" w14:textId="77777777" w:rsidR="00F11E65" w:rsidRPr="00D748CC" w:rsidRDefault="00F11E65" w:rsidP="001929CC">
            <w:pPr>
              <w:pStyle w:val="TableNote"/>
              <w:spacing w:before="40" w:after="40"/>
              <w:rPr>
                <w:kern w:val="2"/>
                <w:sz w:val="17"/>
                <w:szCs w:val="17"/>
              </w:rPr>
            </w:pPr>
            <w:r w:rsidRPr="00D748CC">
              <w:rPr>
                <w:kern w:val="2"/>
                <w:sz w:val="17"/>
                <w:szCs w:val="17"/>
              </w:rPr>
              <w:t>Specific regulatory adjustments that the MA requires AIs to apply to CET1 capital in addition to the adjustments required under Basel III, calculated as the sum of values in rows 26a to 26f and any other additional rows inserted between rows 26 and 27, if applicable.</w:t>
            </w:r>
          </w:p>
        </w:tc>
      </w:tr>
      <w:tr w:rsidR="00F11E65" w:rsidRPr="00280717" w14:paraId="599B9DB0" w14:textId="77777777" w:rsidTr="005B5690">
        <w:trPr>
          <w:trHeight w:val="373"/>
        </w:trPr>
        <w:tc>
          <w:tcPr>
            <w:tcW w:w="596" w:type="dxa"/>
            <w:shd w:val="clear" w:color="auto" w:fill="auto"/>
          </w:tcPr>
          <w:p w14:paraId="19FD8FA6"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26a</w:t>
            </w:r>
          </w:p>
        </w:tc>
        <w:tc>
          <w:tcPr>
            <w:tcW w:w="8505" w:type="dxa"/>
            <w:shd w:val="clear" w:color="auto" w:fill="auto"/>
          </w:tcPr>
          <w:p w14:paraId="2F7C9638" w14:textId="77777777" w:rsidR="00F11E65" w:rsidRPr="00D748CC" w:rsidRDefault="00F11E65" w:rsidP="001929CC">
            <w:pPr>
              <w:pStyle w:val="TableNote"/>
              <w:spacing w:before="40" w:after="40"/>
              <w:rPr>
                <w:kern w:val="2"/>
                <w:sz w:val="17"/>
                <w:szCs w:val="17"/>
              </w:rPr>
            </w:pPr>
            <w:r w:rsidRPr="00D748CC">
              <w:rPr>
                <w:kern w:val="2"/>
                <w:sz w:val="17"/>
                <w:szCs w:val="17"/>
              </w:rPr>
              <w:t>Cumulative fair value gains arising from revaluation of land and buildings (covering both own-use and investment properties) as set out in BCR §38(2)(c) and (d).</w:t>
            </w:r>
          </w:p>
        </w:tc>
      </w:tr>
      <w:tr w:rsidR="00F11E65" w:rsidRPr="00280717" w14:paraId="51A61DFE" w14:textId="77777777" w:rsidTr="005B5690">
        <w:trPr>
          <w:trHeight w:val="373"/>
        </w:trPr>
        <w:tc>
          <w:tcPr>
            <w:tcW w:w="596" w:type="dxa"/>
            <w:shd w:val="clear" w:color="auto" w:fill="auto"/>
          </w:tcPr>
          <w:p w14:paraId="41FD3D62"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26b</w:t>
            </w:r>
          </w:p>
        </w:tc>
        <w:tc>
          <w:tcPr>
            <w:tcW w:w="8505" w:type="dxa"/>
            <w:shd w:val="clear" w:color="auto" w:fill="auto"/>
          </w:tcPr>
          <w:p w14:paraId="2B28A747" w14:textId="77777777" w:rsidR="00F11E65" w:rsidRPr="00D748CC" w:rsidRDefault="00F11E65" w:rsidP="001929CC">
            <w:pPr>
              <w:pStyle w:val="TableNote"/>
              <w:spacing w:before="40" w:after="40"/>
              <w:rPr>
                <w:kern w:val="2"/>
                <w:sz w:val="17"/>
                <w:szCs w:val="17"/>
              </w:rPr>
            </w:pPr>
            <w:r w:rsidRPr="00D748CC">
              <w:rPr>
                <w:kern w:val="2"/>
                <w:sz w:val="17"/>
                <w:szCs w:val="17"/>
              </w:rPr>
              <w:t>Regulatory reserve for general banking risks as referred to in BCR §38(2)(e).</w:t>
            </w:r>
          </w:p>
        </w:tc>
      </w:tr>
      <w:tr w:rsidR="00F11E65" w:rsidRPr="00280717" w14:paraId="7F5C1A0B" w14:textId="77777777" w:rsidTr="005B5690">
        <w:trPr>
          <w:trHeight w:val="373"/>
        </w:trPr>
        <w:tc>
          <w:tcPr>
            <w:tcW w:w="596" w:type="dxa"/>
            <w:shd w:val="clear" w:color="auto" w:fill="auto"/>
          </w:tcPr>
          <w:p w14:paraId="6CD972E3"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26c</w:t>
            </w:r>
          </w:p>
        </w:tc>
        <w:tc>
          <w:tcPr>
            <w:tcW w:w="8505" w:type="dxa"/>
            <w:shd w:val="clear" w:color="auto" w:fill="auto"/>
          </w:tcPr>
          <w:p w14:paraId="6D195198" w14:textId="77777777" w:rsidR="00F11E65" w:rsidRPr="00D748CC" w:rsidRDefault="00F11E65" w:rsidP="001929CC">
            <w:pPr>
              <w:pStyle w:val="TableNote"/>
              <w:spacing w:before="40" w:after="40"/>
              <w:rPr>
                <w:kern w:val="2"/>
                <w:sz w:val="17"/>
                <w:szCs w:val="17"/>
              </w:rPr>
            </w:pPr>
            <w:r w:rsidRPr="00D748CC">
              <w:rPr>
                <w:kern w:val="2"/>
                <w:sz w:val="17"/>
                <w:szCs w:val="17"/>
              </w:rPr>
              <w:t>Any securitization exposures specified in a notice given by the MA pursuant to BCR §43(1)(f).</w:t>
            </w:r>
          </w:p>
        </w:tc>
      </w:tr>
      <w:tr w:rsidR="00F11E65" w:rsidRPr="00280717" w14:paraId="064DA41A" w14:textId="77777777" w:rsidTr="005B5690">
        <w:trPr>
          <w:trHeight w:val="373"/>
        </w:trPr>
        <w:tc>
          <w:tcPr>
            <w:tcW w:w="596" w:type="dxa"/>
            <w:shd w:val="clear" w:color="auto" w:fill="auto"/>
          </w:tcPr>
          <w:p w14:paraId="0B601282"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26d</w:t>
            </w:r>
          </w:p>
        </w:tc>
        <w:tc>
          <w:tcPr>
            <w:tcW w:w="8505" w:type="dxa"/>
            <w:shd w:val="clear" w:color="auto" w:fill="auto"/>
          </w:tcPr>
          <w:p w14:paraId="7FB2B819" w14:textId="77777777" w:rsidR="00F11E65" w:rsidRPr="00D748CC" w:rsidRDefault="00F11E65" w:rsidP="001929CC">
            <w:pPr>
              <w:pStyle w:val="TableNote"/>
              <w:spacing w:before="40" w:after="40"/>
              <w:rPr>
                <w:kern w:val="2"/>
                <w:sz w:val="17"/>
                <w:szCs w:val="17"/>
              </w:rPr>
            </w:pPr>
            <w:r w:rsidRPr="00D748CC">
              <w:rPr>
                <w:kern w:val="2"/>
                <w:sz w:val="17"/>
                <w:szCs w:val="17"/>
              </w:rPr>
              <w:t>Cumulative losses below depreciated cost arising from the institution’s holdings of land and buildings as referred to in BCR §43(1)(j).</w:t>
            </w:r>
          </w:p>
        </w:tc>
      </w:tr>
      <w:tr w:rsidR="00F11E65" w:rsidRPr="00280717" w14:paraId="41939EA1" w14:textId="77777777" w:rsidTr="005B5690">
        <w:trPr>
          <w:trHeight w:val="373"/>
        </w:trPr>
        <w:tc>
          <w:tcPr>
            <w:tcW w:w="596" w:type="dxa"/>
            <w:shd w:val="clear" w:color="auto" w:fill="auto"/>
          </w:tcPr>
          <w:p w14:paraId="6B9D2739"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26e</w:t>
            </w:r>
          </w:p>
        </w:tc>
        <w:tc>
          <w:tcPr>
            <w:tcW w:w="8505" w:type="dxa"/>
            <w:shd w:val="clear" w:color="auto" w:fill="auto"/>
          </w:tcPr>
          <w:p w14:paraId="06F6B53D" w14:textId="77777777" w:rsidR="00F11E65" w:rsidRPr="00D748CC" w:rsidRDefault="00F11E65" w:rsidP="001929CC">
            <w:pPr>
              <w:pStyle w:val="TableNote"/>
              <w:spacing w:before="40" w:after="40"/>
              <w:rPr>
                <w:kern w:val="2"/>
                <w:sz w:val="17"/>
                <w:szCs w:val="17"/>
              </w:rPr>
            </w:pPr>
            <w:r w:rsidRPr="00D748CC">
              <w:rPr>
                <w:kern w:val="2"/>
                <w:sz w:val="17"/>
                <w:szCs w:val="17"/>
              </w:rPr>
              <w:t>Capital shortfall of regulated non-bank subsidiaries as specified in BCR §43(1)(k).</w:t>
            </w:r>
          </w:p>
        </w:tc>
      </w:tr>
      <w:tr w:rsidR="00F11E65" w:rsidRPr="00280717" w14:paraId="67809F01" w14:textId="77777777" w:rsidTr="005B5690">
        <w:trPr>
          <w:trHeight w:val="373"/>
        </w:trPr>
        <w:tc>
          <w:tcPr>
            <w:tcW w:w="596" w:type="dxa"/>
            <w:shd w:val="clear" w:color="auto" w:fill="auto"/>
          </w:tcPr>
          <w:p w14:paraId="57396C8A"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lastRenderedPageBreak/>
              <w:t>26f</w:t>
            </w:r>
          </w:p>
        </w:tc>
        <w:tc>
          <w:tcPr>
            <w:tcW w:w="8505" w:type="dxa"/>
            <w:shd w:val="clear" w:color="auto" w:fill="auto"/>
          </w:tcPr>
          <w:p w14:paraId="5105D31B" w14:textId="77777777" w:rsidR="00F11E65" w:rsidRPr="00D748CC" w:rsidRDefault="00F11E65" w:rsidP="001929CC">
            <w:pPr>
              <w:pStyle w:val="TableNote"/>
              <w:spacing w:before="40" w:after="40"/>
              <w:rPr>
                <w:kern w:val="2"/>
                <w:sz w:val="17"/>
                <w:szCs w:val="17"/>
              </w:rPr>
            </w:pPr>
            <w:r w:rsidRPr="00D748CC">
              <w:rPr>
                <w:kern w:val="2"/>
                <w:sz w:val="17"/>
                <w:szCs w:val="17"/>
              </w:rPr>
              <w:t>Amount of the sum of any capital investment in commercial connected entities that is in excess of 15% of the capital base of the AI (as reported in its capital adequacy return as at the immediately preceding calendar quarter end date according to BCR §43(1)(n)), taking into account any amount of loans, facilities or other credit exposures that is required by BCR §46(1) to be aggregated with this item for the purpose of determining the excess amount subject to deduction.</w:t>
            </w:r>
          </w:p>
        </w:tc>
      </w:tr>
      <w:tr w:rsidR="00F11E65" w:rsidRPr="00280717" w14:paraId="266C6C86" w14:textId="77777777" w:rsidTr="005B5690">
        <w:trPr>
          <w:trHeight w:val="373"/>
        </w:trPr>
        <w:tc>
          <w:tcPr>
            <w:tcW w:w="596" w:type="dxa"/>
            <w:shd w:val="clear" w:color="auto" w:fill="auto"/>
          </w:tcPr>
          <w:p w14:paraId="4C60CE4B"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27</w:t>
            </w:r>
          </w:p>
        </w:tc>
        <w:tc>
          <w:tcPr>
            <w:tcW w:w="8505" w:type="dxa"/>
            <w:shd w:val="clear" w:color="auto" w:fill="auto"/>
          </w:tcPr>
          <w:p w14:paraId="38D6E06C" w14:textId="77777777" w:rsidR="00F11E65" w:rsidRPr="00D748CC" w:rsidRDefault="00F11E65" w:rsidP="001929CC">
            <w:pPr>
              <w:pStyle w:val="TableNote"/>
              <w:spacing w:before="40" w:after="40"/>
              <w:rPr>
                <w:kern w:val="2"/>
                <w:sz w:val="17"/>
                <w:szCs w:val="17"/>
              </w:rPr>
            </w:pPr>
            <w:r w:rsidRPr="00D748CC">
              <w:rPr>
                <w:kern w:val="2"/>
                <w:sz w:val="17"/>
                <w:szCs w:val="17"/>
              </w:rPr>
              <w:t>Regulatory deductions applied to CET1 capital due to insufficient AT1 capital being available to cover deductions, as required under BCR §43(1)(r).  If the value reported in row 43 exceeds that in row 36, the excess is to be reported here.</w:t>
            </w:r>
          </w:p>
        </w:tc>
      </w:tr>
      <w:tr w:rsidR="00F11E65" w:rsidRPr="00280717" w14:paraId="5EC18A4C" w14:textId="77777777" w:rsidTr="005B5690">
        <w:trPr>
          <w:trHeight w:val="373"/>
        </w:trPr>
        <w:tc>
          <w:tcPr>
            <w:tcW w:w="596" w:type="dxa"/>
            <w:shd w:val="clear" w:color="auto" w:fill="auto"/>
          </w:tcPr>
          <w:p w14:paraId="288C09A0"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28</w:t>
            </w:r>
          </w:p>
        </w:tc>
        <w:tc>
          <w:tcPr>
            <w:tcW w:w="8505" w:type="dxa"/>
            <w:shd w:val="clear" w:color="auto" w:fill="auto"/>
          </w:tcPr>
          <w:p w14:paraId="1F5A1AC4" w14:textId="77777777" w:rsidR="00F11E65" w:rsidRPr="00D748CC" w:rsidRDefault="00F11E65" w:rsidP="001929CC">
            <w:pPr>
              <w:pStyle w:val="TableNote"/>
              <w:spacing w:before="40" w:after="40"/>
              <w:rPr>
                <w:kern w:val="2"/>
                <w:sz w:val="17"/>
                <w:szCs w:val="17"/>
              </w:rPr>
            </w:pPr>
            <w:r w:rsidRPr="00D748CC">
              <w:rPr>
                <w:kern w:val="2"/>
                <w:sz w:val="17"/>
                <w:szCs w:val="17"/>
              </w:rPr>
              <w:t>Total regulatory deductions to CET1 capital, calculated as the sum of values in rows 7 to 19, rows 26 and 27.</w:t>
            </w:r>
          </w:p>
        </w:tc>
      </w:tr>
      <w:tr w:rsidR="00F11E65" w:rsidRPr="00280717" w14:paraId="5A624234" w14:textId="77777777" w:rsidTr="005B5690">
        <w:trPr>
          <w:trHeight w:val="373"/>
        </w:trPr>
        <w:tc>
          <w:tcPr>
            <w:tcW w:w="596" w:type="dxa"/>
            <w:shd w:val="clear" w:color="auto" w:fill="auto"/>
          </w:tcPr>
          <w:p w14:paraId="41E36F2F"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29</w:t>
            </w:r>
          </w:p>
        </w:tc>
        <w:tc>
          <w:tcPr>
            <w:tcW w:w="8505" w:type="dxa"/>
            <w:shd w:val="clear" w:color="auto" w:fill="auto"/>
          </w:tcPr>
          <w:p w14:paraId="4D2D354A" w14:textId="77777777" w:rsidR="00F11E65" w:rsidRPr="00D748CC" w:rsidRDefault="00F11E65" w:rsidP="001929CC">
            <w:pPr>
              <w:pStyle w:val="TableNote"/>
              <w:spacing w:before="40" w:after="40"/>
              <w:rPr>
                <w:kern w:val="2"/>
                <w:sz w:val="17"/>
                <w:szCs w:val="17"/>
              </w:rPr>
            </w:pPr>
            <w:r w:rsidRPr="00D748CC">
              <w:rPr>
                <w:kern w:val="2"/>
                <w:sz w:val="17"/>
                <w:szCs w:val="17"/>
              </w:rPr>
              <w:t>CET1 capital, calculated as the difference of values in row 6 and row 28.</w:t>
            </w:r>
          </w:p>
        </w:tc>
      </w:tr>
      <w:tr w:rsidR="00F11E65" w:rsidRPr="00280717" w14:paraId="4E00A8D2" w14:textId="77777777" w:rsidTr="005B5690">
        <w:trPr>
          <w:trHeight w:val="373"/>
        </w:trPr>
        <w:tc>
          <w:tcPr>
            <w:tcW w:w="596" w:type="dxa"/>
            <w:shd w:val="clear" w:color="auto" w:fill="auto"/>
          </w:tcPr>
          <w:p w14:paraId="0692BB6E"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30</w:t>
            </w:r>
          </w:p>
        </w:tc>
        <w:tc>
          <w:tcPr>
            <w:tcW w:w="8505" w:type="dxa"/>
            <w:shd w:val="clear" w:color="auto" w:fill="auto"/>
          </w:tcPr>
          <w:p w14:paraId="462D2C13" w14:textId="77777777" w:rsidR="00F11E65" w:rsidRPr="00D748CC" w:rsidRDefault="00F11E65" w:rsidP="001929CC">
            <w:pPr>
              <w:pStyle w:val="TableNote"/>
              <w:spacing w:before="40" w:after="40"/>
              <w:rPr>
                <w:kern w:val="2"/>
                <w:sz w:val="17"/>
                <w:szCs w:val="17"/>
              </w:rPr>
            </w:pPr>
            <w:r w:rsidRPr="00D748CC">
              <w:rPr>
                <w:kern w:val="2"/>
                <w:sz w:val="17"/>
                <w:szCs w:val="17"/>
              </w:rPr>
              <w:t>Instruments issued by an AI that meet all the qualifying criteria for AT1 capital as set out in BCR Schedule 4B, and any related share premium as referred to in BCR §39(1)(b).  All instruments issued by subsidiaries of the consolidation group should be excluded from this row.  This row may however include AT1 capital instruments issued by an SPV of the institution only if it meets the requirements set out in BCR §39(3) and Schedule 4B.</w:t>
            </w:r>
          </w:p>
        </w:tc>
      </w:tr>
      <w:tr w:rsidR="00F11E65" w:rsidRPr="00280717" w14:paraId="4EC2554B" w14:textId="77777777" w:rsidTr="005B5690">
        <w:trPr>
          <w:trHeight w:val="373"/>
        </w:trPr>
        <w:tc>
          <w:tcPr>
            <w:tcW w:w="596" w:type="dxa"/>
            <w:shd w:val="clear" w:color="auto" w:fill="auto"/>
          </w:tcPr>
          <w:p w14:paraId="0A596AEA"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31</w:t>
            </w:r>
          </w:p>
        </w:tc>
        <w:tc>
          <w:tcPr>
            <w:tcW w:w="8505" w:type="dxa"/>
            <w:shd w:val="clear" w:color="auto" w:fill="auto"/>
          </w:tcPr>
          <w:p w14:paraId="236758B1" w14:textId="77777777" w:rsidR="00F11E65" w:rsidRPr="00D748CC" w:rsidRDefault="00F11E65" w:rsidP="001929CC">
            <w:pPr>
              <w:pStyle w:val="TableNote"/>
              <w:spacing w:before="40" w:after="40"/>
              <w:rPr>
                <w:kern w:val="2"/>
                <w:sz w:val="17"/>
                <w:szCs w:val="17"/>
              </w:rPr>
            </w:pPr>
            <w:r w:rsidRPr="00D748CC">
              <w:rPr>
                <w:kern w:val="2"/>
                <w:sz w:val="17"/>
                <w:szCs w:val="17"/>
              </w:rPr>
              <w:t>The amount of instruments in row 30 classified as equity under applicable accounting standards.</w:t>
            </w:r>
          </w:p>
        </w:tc>
      </w:tr>
      <w:tr w:rsidR="00F11E65" w:rsidRPr="00280717" w14:paraId="0D2D2C9A" w14:textId="77777777" w:rsidTr="005B5690">
        <w:trPr>
          <w:trHeight w:val="373"/>
        </w:trPr>
        <w:tc>
          <w:tcPr>
            <w:tcW w:w="596" w:type="dxa"/>
            <w:shd w:val="clear" w:color="auto" w:fill="auto"/>
          </w:tcPr>
          <w:p w14:paraId="104EF3AB"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32</w:t>
            </w:r>
          </w:p>
        </w:tc>
        <w:tc>
          <w:tcPr>
            <w:tcW w:w="8505" w:type="dxa"/>
            <w:shd w:val="clear" w:color="auto" w:fill="auto"/>
          </w:tcPr>
          <w:p w14:paraId="3FE69D4B" w14:textId="77777777" w:rsidR="00F11E65" w:rsidRPr="00D748CC" w:rsidRDefault="00F11E65" w:rsidP="001929CC">
            <w:pPr>
              <w:pStyle w:val="TableNote"/>
              <w:spacing w:before="40" w:after="40"/>
              <w:rPr>
                <w:kern w:val="2"/>
                <w:sz w:val="17"/>
                <w:szCs w:val="17"/>
              </w:rPr>
            </w:pPr>
            <w:r w:rsidRPr="00D748CC">
              <w:rPr>
                <w:kern w:val="2"/>
                <w:sz w:val="17"/>
                <w:szCs w:val="17"/>
              </w:rPr>
              <w:t>The amount of instruments in row 30 classified as liabilities under applicable accounting standards.</w:t>
            </w:r>
          </w:p>
        </w:tc>
      </w:tr>
      <w:tr w:rsidR="00F11E65" w:rsidRPr="00280717" w14:paraId="1D4A2402" w14:textId="77777777" w:rsidTr="005B5690">
        <w:trPr>
          <w:trHeight w:val="373"/>
        </w:trPr>
        <w:tc>
          <w:tcPr>
            <w:tcW w:w="596" w:type="dxa"/>
            <w:shd w:val="clear" w:color="auto" w:fill="auto"/>
          </w:tcPr>
          <w:p w14:paraId="7AC0D947"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34</w:t>
            </w:r>
          </w:p>
        </w:tc>
        <w:tc>
          <w:tcPr>
            <w:tcW w:w="8505" w:type="dxa"/>
            <w:shd w:val="clear" w:color="auto" w:fill="auto"/>
          </w:tcPr>
          <w:p w14:paraId="535C76E5" w14:textId="77777777" w:rsidR="00F11E65" w:rsidRPr="00D748CC" w:rsidRDefault="00F11E65" w:rsidP="001929CC">
            <w:pPr>
              <w:pStyle w:val="TableNote"/>
              <w:spacing w:before="40" w:after="40"/>
              <w:rPr>
                <w:kern w:val="2"/>
                <w:sz w:val="17"/>
                <w:szCs w:val="17"/>
              </w:rPr>
            </w:pPr>
            <w:r w:rsidRPr="00D748CC">
              <w:rPr>
                <w:kern w:val="2"/>
                <w:sz w:val="17"/>
                <w:szCs w:val="17"/>
              </w:rPr>
              <w:t>Applicable amount of capital instruments issued by consolidated bank subsidiaries and held by third parties allowed to be recognized in consolidated AT1 capital in accordance with BCR Schedule 4D.</w:t>
            </w:r>
          </w:p>
        </w:tc>
      </w:tr>
      <w:tr w:rsidR="00F11E65" w:rsidRPr="00280717" w14:paraId="55BAA1A1" w14:textId="77777777" w:rsidTr="005B5690">
        <w:trPr>
          <w:trHeight w:val="373"/>
        </w:trPr>
        <w:tc>
          <w:tcPr>
            <w:tcW w:w="596" w:type="dxa"/>
            <w:shd w:val="clear" w:color="auto" w:fill="auto"/>
          </w:tcPr>
          <w:p w14:paraId="0A96C312"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36</w:t>
            </w:r>
          </w:p>
        </w:tc>
        <w:tc>
          <w:tcPr>
            <w:tcW w:w="8505" w:type="dxa"/>
            <w:shd w:val="clear" w:color="auto" w:fill="auto"/>
          </w:tcPr>
          <w:p w14:paraId="54C647BB" w14:textId="3B5495D2" w:rsidR="00F11E65" w:rsidRPr="00D748CC" w:rsidRDefault="00F11E65" w:rsidP="001929CC">
            <w:pPr>
              <w:pStyle w:val="TableNote"/>
              <w:spacing w:before="40" w:after="40"/>
              <w:rPr>
                <w:kern w:val="2"/>
                <w:sz w:val="17"/>
                <w:szCs w:val="17"/>
              </w:rPr>
            </w:pPr>
            <w:r w:rsidRPr="00D748CC">
              <w:rPr>
                <w:kern w:val="2"/>
                <w:sz w:val="17"/>
                <w:szCs w:val="17"/>
              </w:rPr>
              <w:t>The sum of values in rows 30 and 34.</w:t>
            </w:r>
          </w:p>
        </w:tc>
      </w:tr>
      <w:tr w:rsidR="00F11E65" w:rsidRPr="00280717" w14:paraId="4F1108CE" w14:textId="77777777" w:rsidTr="005B5690">
        <w:trPr>
          <w:trHeight w:val="373"/>
        </w:trPr>
        <w:tc>
          <w:tcPr>
            <w:tcW w:w="596" w:type="dxa"/>
            <w:shd w:val="clear" w:color="auto" w:fill="auto"/>
          </w:tcPr>
          <w:p w14:paraId="73D78F60"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37</w:t>
            </w:r>
          </w:p>
        </w:tc>
        <w:tc>
          <w:tcPr>
            <w:tcW w:w="8505" w:type="dxa"/>
            <w:shd w:val="clear" w:color="auto" w:fill="auto"/>
          </w:tcPr>
          <w:p w14:paraId="2FA459AD" w14:textId="77777777" w:rsidR="00F11E65" w:rsidRPr="00D748CC" w:rsidRDefault="00F11E65" w:rsidP="001929CC">
            <w:pPr>
              <w:pStyle w:val="TableNote"/>
              <w:spacing w:before="40" w:after="40"/>
              <w:rPr>
                <w:kern w:val="2"/>
                <w:sz w:val="17"/>
                <w:szCs w:val="17"/>
              </w:rPr>
            </w:pPr>
            <w:r w:rsidRPr="00D748CC">
              <w:rPr>
                <w:kern w:val="2"/>
                <w:sz w:val="17"/>
                <w:szCs w:val="17"/>
              </w:rPr>
              <w:t>Investments in own AT1 capital instruments, as referred to in BCR §47(1)(a).</w:t>
            </w:r>
          </w:p>
        </w:tc>
      </w:tr>
      <w:tr w:rsidR="00F11E65" w:rsidRPr="00280717" w14:paraId="121552F2" w14:textId="77777777" w:rsidTr="005B5690">
        <w:trPr>
          <w:trHeight w:val="373"/>
        </w:trPr>
        <w:tc>
          <w:tcPr>
            <w:tcW w:w="596" w:type="dxa"/>
            <w:shd w:val="clear" w:color="auto" w:fill="auto"/>
          </w:tcPr>
          <w:p w14:paraId="5B8BA133"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38</w:t>
            </w:r>
          </w:p>
        </w:tc>
        <w:tc>
          <w:tcPr>
            <w:tcW w:w="8505" w:type="dxa"/>
            <w:shd w:val="clear" w:color="auto" w:fill="auto"/>
          </w:tcPr>
          <w:p w14:paraId="16B3FD9E" w14:textId="77777777" w:rsidR="00F11E65" w:rsidRPr="00D748CC" w:rsidRDefault="00F11E65" w:rsidP="001929CC">
            <w:pPr>
              <w:pStyle w:val="TableNote"/>
              <w:spacing w:before="40" w:after="40"/>
              <w:rPr>
                <w:kern w:val="2"/>
                <w:sz w:val="17"/>
                <w:szCs w:val="17"/>
              </w:rPr>
            </w:pPr>
            <w:r w:rsidRPr="00D748CC">
              <w:rPr>
                <w:kern w:val="2"/>
                <w:sz w:val="17"/>
                <w:szCs w:val="17"/>
              </w:rPr>
              <w:t>Reciprocal cross-holdings in AT1 capital instruments, as referred to in BCR §47(1)(b).</w:t>
            </w:r>
          </w:p>
        </w:tc>
      </w:tr>
      <w:tr w:rsidR="00F11E65" w:rsidRPr="00280717" w14:paraId="45009583" w14:textId="77777777" w:rsidTr="005B5690">
        <w:trPr>
          <w:trHeight w:val="373"/>
        </w:trPr>
        <w:tc>
          <w:tcPr>
            <w:tcW w:w="596" w:type="dxa"/>
            <w:shd w:val="clear" w:color="auto" w:fill="auto"/>
          </w:tcPr>
          <w:p w14:paraId="571BB866"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39</w:t>
            </w:r>
          </w:p>
        </w:tc>
        <w:tc>
          <w:tcPr>
            <w:tcW w:w="8505" w:type="dxa"/>
            <w:shd w:val="clear" w:color="auto" w:fill="auto"/>
          </w:tcPr>
          <w:p w14:paraId="5D7DFA85" w14:textId="77777777" w:rsidR="00F11E65" w:rsidRPr="00D748CC" w:rsidRDefault="00F11E65" w:rsidP="001929CC">
            <w:pPr>
              <w:pStyle w:val="TableNote"/>
              <w:spacing w:before="40" w:after="40"/>
              <w:rPr>
                <w:kern w:val="2"/>
                <w:sz w:val="17"/>
                <w:szCs w:val="17"/>
              </w:rPr>
            </w:pPr>
            <w:r w:rsidRPr="00D748CC">
              <w:rPr>
                <w:kern w:val="2"/>
                <w:sz w:val="17"/>
                <w:szCs w:val="17"/>
              </w:rPr>
              <w:t>Amount of insignificant LAC investments in AT1 capital instruments issued by financial sector entities outside the scope of regulatory consolidation that is in excess of the 10% threshold according to BCR Schedule 4F, and is required to be deducted from AT1 capital in accordance with BCR §47(1)(c).</w:t>
            </w:r>
          </w:p>
        </w:tc>
      </w:tr>
      <w:tr w:rsidR="00F11E65" w:rsidRPr="00280717" w14:paraId="4A1C11CF" w14:textId="77777777" w:rsidTr="005B5690">
        <w:trPr>
          <w:trHeight w:val="373"/>
        </w:trPr>
        <w:tc>
          <w:tcPr>
            <w:tcW w:w="596" w:type="dxa"/>
            <w:shd w:val="clear" w:color="auto" w:fill="auto"/>
          </w:tcPr>
          <w:p w14:paraId="42748A39"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40</w:t>
            </w:r>
          </w:p>
        </w:tc>
        <w:tc>
          <w:tcPr>
            <w:tcW w:w="8505" w:type="dxa"/>
            <w:shd w:val="clear" w:color="auto" w:fill="auto"/>
          </w:tcPr>
          <w:p w14:paraId="0BE77910" w14:textId="77777777" w:rsidR="00F11E65" w:rsidRPr="00D748CC" w:rsidRDefault="00F11E65" w:rsidP="001929CC">
            <w:pPr>
              <w:pStyle w:val="TableNote"/>
              <w:spacing w:before="40" w:after="40"/>
              <w:rPr>
                <w:kern w:val="2"/>
                <w:sz w:val="17"/>
                <w:szCs w:val="17"/>
              </w:rPr>
            </w:pPr>
            <w:r w:rsidRPr="00D748CC">
              <w:rPr>
                <w:kern w:val="2"/>
                <w:sz w:val="17"/>
                <w:szCs w:val="17"/>
              </w:rPr>
              <w:t>Amount of significant LAC investments in AT1 capital instruments issued by financial sector entities outside the scope of regulatory consolidation that is required to be deducted from AT1 capital in accordance with BCR §47(1)(d).</w:t>
            </w:r>
          </w:p>
        </w:tc>
      </w:tr>
      <w:tr w:rsidR="00F11E65" w:rsidRPr="001270EC" w14:paraId="0DE40C94" w14:textId="77777777" w:rsidTr="005B5690">
        <w:trPr>
          <w:trHeight w:val="373"/>
        </w:trPr>
        <w:tc>
          <w:tcPr>
            <w:tcW w:w="596" w:type="dxa"/>
            <w:shd w:val="clear" w:color="auto" w:fill="auto"/>
          </w:tcPr>
          <w:p w14:paraId="31E4187A"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41</w:t>
            </w:r>
          </w:p>
        </w:tc>
        <w:tc>
          <w:tcPr>
            <w:tcW w:w="8505" w:type="dxa"/>
            <w:shd w:val="clear" w:color="auto" w:fill="auto"/>
          </w:tcPr>
          <w:p w14:paraId="168BD7D7" w14:textId="77777777" w:rsidR="00F11E65" w:rsidRPr="00D748CC" w:rsidRDefault="00F11E65" w:rsidP="001929CC">
            <w:pPr>
              <w:pStyle w:val="TableNote"/>
              <w:spacing w:before="40" w:after="40"/>
              <w:rPr>
                <w:kern w:val="2"/>
                <w:sz w:val="17"/>
                <w:szCs w:val="17"/>
              </w:rPr>
            </w:pPr>
            <w:r w:rsidRPr="00D748CC">
              <w:rPr>
                <w:kern w:val="2"/>
                <w:sz w:val="17"/>
                <w:szCs w:val="17"/>
              </w:rPr>
              <w:t>Specific regulatory deductions that the MA requires AIs to apply to AT1 capital in addition to the adjustments required under Basel III, calculated as the sum of values in any other additional rows inserted between rows 41 and 42, if applicable.</w:t>
            </w:r>
          </w:p>
        </w:tc>
      </w:tr>
      <w:tr w:rsidR="00F11E65" w:rsidRPr="00280717" w14:paraId="316DD4BC" w14:textId="77777777" w:rsidTr="005B5690">
        <w:trPr>
          <w:trHeight w:val="373"/>
        </w:trPr>
        <w:tc>
          <w:tcPr>
            <w:tcW w:w="596" w:type="dxa"/>
            <w:shd w:val="clear" w:color="auto" w:fill="auto"/>
          </w:tcPr>
          <w:p w14:paraId="00C34975"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42</w:t>
            </w:r>
          </w:p>
        </w:tc>
        <w:tc>
          <w:tcPr>
            <w:tcW w:w="8505" w:type="dxa"/>
            <w:shd w:val="clear" w:color="auto" w:fill="auto"/>
          </w:tcPr>
          <w:p w14:paraId="5EE5D01D" w14:textId="77777777" w:rsidR="00F11E65" w:rsidRPr="00D748CC" w:rsidRDefault="00F11E65" w:rsidP="001929CC">
            <w:pPr>
              <w:pStyle w:val="TableNote"/>
              <w:spacing w:before="40" w:after="40"/>
              <w:rPr>
                <w:kern w:val="2"/>
                <w:sz w:val="17"/>
                <w:szCs w:val="17"/>
              </w:rPr>
            </w:pPr>
            <w:r w:rsidRPr="00D748CC">
              <w:rPr>
                <w:kern w:val="2"/>
                <w:sz w:val="17"/>
                <w:szCs w:val="17"/>
              </w:rPr>
              <w:t>Regulatory deductions applied to AT1 capital due to insufficient Tier 2 capital being available to cover deductions, as required under BCR §47(1)(g).  If the value reported in row 57 exceeds that in row 51, the excess is to be reported here.</w:t>
            </w:r>
          </w:p>
        </w:tc>
      </w:tr>
      <w:tr w:rsidR="00F11E65" w:rsidRPr="00280717" w14:paraId="526B126C" w14:textId="77777777" w:rsidTr="005B5690">
        <w:trPr>
          <w:trHeight w:val="373"/>
        </w:trPr>
        <w:tc>
          <w:tcPr>
            <w:tcW w:w="596" w:type="dxa"/>
            <w:shd w:val="clear" w:color="auto" w:fill="auto"/>
          </w:tcPr>
          <w:p w14:paraId="5D86FA53"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lastRenderedPageBreak/>
              <w:t>43</w:t>
            </w:r>
          </w:p>
        </w:tc>
        <w:tc>
          <w:tcPr>
            <w:tcW w:w="8505" w:type="dxa"/>
            <w:shd w:val="clear" w:color="auto" w:fill="auto"/>
          </w:tcPr>
          <w:p w14:paraId="1E3E2DAD" w14:textId="77777777" w:rsidR="00F11E65" w:rsidRPr="00D748CC" w:rsidRDefault="00F11E65" w:rsidP="001929CC">
            <w:pPr>
              <w:pStyle w:val="TableNote"/>
              <w:spacing w:before="40" w:after="40"/>
              <w:rPr>
                <w:kern w:val="2"/>
                <w:sz w:val="17"/>
                <w:szCs w:val="17"/>
              </w:rPr>
            </w:pPr>
            <w:r w:rsidRPr="00D748CC">
              <w:rPr>
                <w:kern w:val="2"/>
                <w:sz w:val="17"/>
                <w:szCs w:val="17"/>
              </w:rPr>
              <w:t>The sum of values in rows 37 to 40, 41 (if applicable) and 42.</w:t>
            </w:r>
          </w:p>
        </w:tc>
      </w:tr>
      <w:tr w:rsidR="00F11E65" w:rsidRPr="00280717" w14:paraId="3952E626" w14:textId="77777777" w:rsidTr="005B5690">
        <w:trPr>
          <w:trHeight w:val="373"/>
        </w:trPr>
        <w:tc>
          <w:tcPr>
            <w:tcW w:w="596" w:type="dxa"/>
            <w:shd w:val="clear" w:color="auto" w:fill="auto"/>
          </w:tcPr>
          <w:p w14:paraId="70AEAB7F"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44</w:t>
            </w:r>
          </w:p>
        </w:tc>
        <w:tc>
          <w:tcPr>
            <w:tcW w:w="8505" w:type="dxa"/>
            <w:shd w:val="clear" w:color="auto" w:fill="auto"/>
          </w:tcPr>
          <w:p w14:paraId="77F62769" w14:textId="77777777" w:rsidR="00F11E65" w:rsidRPr="00D748CC" w:rsidRDefault="00F11E65" w:rsidP="001929CC">
            <w:pPr>
              <w:pStyle w:val="TableNote"/>
              <w:spacing w:before="40" w:after="40"/>
              <w:rPr>
                <w:kern w:val="2"/>
                <w:sz w:val="17"/>
                <w:szCs w:val="17"/>
              </w:rPr>
            </w:pPr>
            <w:r w:rsidRPr="00D748CC">
              <w:rPr>
                <w:kern w:val="2"/>
                <w:sz w:val="17"/>
                <w:szCs w:val="17"/>
              </w:rPr>
              <w:t>AT1 capital, calculated as the difference of values in row 36 and row 43.  If the amount reported in row 43 exceeds that in row 36, include the excess amount in row 27 and report zero here.</w:t>
            </w:r>
          </w:p>
        </w:tc>
      </w:tr>
      <w:tr w:rsidR="00F11E65" w:rsidRPr="00280717" w14:paraId="4D65AEFC" w14:textId="77777777" w:rsidTr="005B5690">
        <w:trPr>
          <w:trHeight w:val="373"/>
        </w:trPr>
        <w:tc>
          <w:tcPr>
            <w:tcW w:w="596" w:type="dxa"/>
            <w:shd w:val="clear" w:color="auto" w:fill="auto"/>
          </w:tcPr>
          <w:p w14:paraId="3C541526"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45</w:t>
            </w:r>
          </w:p>
        </w:tc>
        <w:tc>
          <w:tcPr>
            <w:tcW w:w="8505" w:type="dxa"/>
            <w:shd w:val="clear" w:color="auto" w:fill="auto"/>
          </w:tcPr>
          <w:p w14:paraId="00BC2861" w14:textId="77777777" w:rsidR="00F11E65" w:rsidRPr="00D748CC" w:rsidRDefault="00F11E65" w:rsidP="001929CC">
            <w:pPr>
              <w:pStyle w:val="TableNote"/>
              <w:spacing w:before="40" w:after="40"/>
              <w:rPr>
                <w:kern w:val="2"/>
                <w:sz w:val="17"/>
                <w:szCs w:val="17"/>
              </w:rPr>
            </w:pPr>
            <w:r w:rsidRPr="00D748CC">
              <w:rPr>
                <w:kern w:val="2"/>
                <w:sz w:val="17"/>
                <w:szCs w:val="17"/>
              </w:rPr>
              <w:t>Tier 1 capital, calculated as the sum of values in row 29 and row 44.</w:t>
            </w:r>
          </w:p>
        </w:tc>
      </w:tr>
      <w:tr w:rsidR="00F11E65" w:rsidRPr="00280717" w14:paraId="56F2FC96" w14:textId="77777777" w:rsidTr="005B5690">
        <w:trPr>
          <w:trHeight w:val="373"/>
        </w:trPr>
        <w:tc>
          <w:tcPr>
            <w:tcW w:w="596" w:type="dxa"/>
            <w:shd w:val="clear" w:color="auto" w:fill="auto"/>
          </w:tcPr>
          <w:p w14:paraId="50F6D7A8"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46</w:t>
            </w:r>
          </w:p>
        </w:tc>
        <w:tc>
          <w:tcPr>
            <w:tcW w:w="8505" w:type="dxa"/>
            <w:shd w:val="clear" w:color="auto" w:fill="auto"/>
          </w:tcPr>
          <w:p w14:paraId="28BC32BB" w14:textId="77777777" w:rsidR="00F11E65" w:rsidRPr="00D748CC" w:rsidRDefault="00F11E65" w:rsidP="001929CC">
            <w:pPr>
              <w:pStyle w:val="TableNote"/>
              <w:spacing w:before="40" w:after="40"/>
              <w:rPr>
                <w:kern w:val="2"/>
                <w:sz w:val="17"/>
                <w:szCs w:val="17"/>
              </w:rPr>
            </w:pPr>
            <w:r w:rsidRPr="00D748CC">
              <w:rPr>
                <w:kern w:val="2"/>
                <w:sz w:val="17"/>
                <w:szCs w:val="17"/>
              </w:rPr>
              <w:t>Instruments issued by an AI that meet all the qualifying criteria for Tier 2 capital as set out in BCR Schedule 4C and any related share premium as referred to in BCR §40(1)(b).  All instruments issued by subsidiaries of the consolidation group should be excluded from this row.  This row may however include Tier 2 capital instruments issued by an SPV of the institution only if it meets the requirements set out in BCR §40(3) and Schedule 4C.</w:t>
            </w:r>
          </w:p>
        </w:tc>
      </w:tr>
      <w:tr w:rsidR="00F11E65" w:rsidRPr="00280717" w14:paraId="5F1CA145" w14:textId="77777777" w:rsidTr="005B5690">
        <w:trPr>
          <w:trHeight w:val="373"/>
        </w:trPr>
        <w:tc>
          <w:tcPr>
            <w:tcW w:w="596" w:type="dxa"/>
            <w:shd w:val="clear" w:color="auto" w:fill="auto"/>
          </w:tcPr>
          <w:p w14:paraId="02D9E268"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48</w:t>
            </w:r>
          </w:p>
        </w:tc>
        <w:tc>
          <w:tcPr>
            <w:tcW w:w="8505" w:type="dxa"/>
            <w:shd w:val="clear" w:color="auto" w:fill="auto"/>
          </w:tcPr>
          <w:p w14:paraId="7BCF69D9" w14:textId="77777777" w:rsidR="00F11E65" w:rsidRPr="00D748CC" w:rsidRDefault="00F11E65" w:rsidP="001929CC">
            <w:pPr>
              <w:pStyle w:val="TableNote"/>
              <w:spacing w:before="40" w:after="40"/>
              <w:rPr>
                <w:kern w:val="2"/>
                <w:sz w:val="17"/>
                <w:szCs w:val="17"/>
              </w:rPr>
            </w:pPr>
            <w:r w:rsidRPr="00D748CC">
              <w:rPr>
                <w:kern w:val="2"/>
                <w:sz w:val="17"/>
                <w:szCs w:val="17"/>
              </w:rPr>
              <w:t>Applicable amount of capital instruments issued by consolidated bank subsidiaries and held by third parties allowed to be recognized in consolidated Tier 2 capital in accordance with BCR Schedule 4D.</w:t>
            </w:r>
          </w:p>
        </w:tc>
      </w:tr>
      <w:tr w:rsidR="00F11E65" w:rsidRPr="00280717" w14:paraId="1D00A03D" w14:textId="77777777" w:rsidTr="005B5690">
        <w:trPr>
          <w:trHeight w:val="373"/>
        </w:trPr>
        <w:tc>
          <w:tcPr>
            <w:tcW w:w="596" w:type="dxa"/>
            <w:shd w:val="clear" w:color="auto" w:fill="auto"/>
          </w:tcPr>
          <w:p w14:paraId="5D12CF53"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50</w:t>
            </w:r>
          </w:p>
        </w:tc>
        <w:tc>
          <w:tcPr>
            <w:tcW w:w="8505" w:type="dxa"/>
            <w:shd w:val="clear" w:color="auto" w:fill="auto"/>
          </w:tcPr>
          <w:p w14:paraId="35A884EF" w14:textId="77777777" w:rsidR="00F11E65" w:rsidRPr="00D748CC" w:rsidRDefault="00F11E65" w:rsidP="001929CC">
            <w:pPr>
              <w:pStyle w:val="TableNote"/>
              <w:spacing w:before="40" w:after="40"/>
              <w:rPr>
                <w:kern w:val="2"/>
                <w:sz w:val="17"/>
                <w:szCs w:val="17"/>
              </w:rPr>
            </w:pPr>
            <w:r w:rsidRPr="00D748CC">
              <w:rPr>
                <w:kern w:val="2"/>
                <w:sz w:val="17"/>
                <w:szCs w:val="17"/>
              </w:rPr>
              <w:t>The aggregate amount of the AI’s regulatory reserve for general banking risks and collective provisions related to the BSC approach or the STC approach, and SEC-ERBA, SEC-SA and SEC-FBA, surplus provisions for exposures calculated by using the IRB approach, and the portion of the institution’s total regulatory reserve for general banking risks and collective provisions apportioned to the SEC-IRBA approach, allowed to be included in Tier 2 capital, calculated in accordance with BCR §42.</w:t>
            </w:r>
          </w:p>
        </w:tc>
      </w:tr>
      <w:tr w:rsidR="00F11E65" w:rsidRPr="00280717" w14:paraId="6685B92D" w14:textId="77777777" w:rsidTr="005B5690">
        <w:trPr>
          <w:trHeight w:val="373"/>
        </w:trPr>
        <w:tc>
          <w:tcPr>
            <w:tcW w:w="596" w:type="dxa"/>
            <w:shd w:val="clear" w:color="auto" w:fill="auto"/>
          </w:tcPr>
          <w:p w14:paraId="3C100EB7"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51</w:t>
            </w:r>
          </w:p>
        </w:tc>
        <w:tc>
          <w:tcPr>
            <w:tcW w:w="8505" w:type="dxa"/>
            <w:shd w:val="clear" w:color="auto" w:fill="auto"/>
          </w:tcPr>
          <w:p w14:paraId="4F11520E" w14:textId="370472AE" w:rsidR="00F11E65" w:rsidRPr="00D748CC" w:rsidRDefault="00F11E65" w:rsidP="001929CC">
            <w:pPr>
              <w:pStyle w:val="TableNote"/>
              <w:spacing w:before="40" w:after="40"/>
              <w:rPr>
                <w:kern w:val="2"/>
                <w:sz w:val="17"/>
                <w:szCs w:val="17"/>
              </w:rPr>
            </w:pPr>
            <w:r w:rsidRPr="00D748CC">
              <w:rPr>
                <w:kern w:val="2"/>
                <w:sz w:val="17"/>
                <w:szCs w:val="17"/>
              </w:rPr>
              <w:t>The sum of values in rows 46, 48 and 50.</w:t>
            </w:r>
          </w:p>
        </w:tc>
      </w:tr>
      <w:tr w:rsidR="00F11E65" w:rsidRPr="00280717" w14:paraId="00D26A18" w14:textId="77777777" w:rsidTr="005B5690">
        <w:trPr>
          <w:trHeight w:val="373"/>
        </w:trPr>
        <w:tc>
          <w:tcPr>
            <w:tcW w:w="596" w:type="dxa"/>
            <w:shd w:val="clear" w:color="auto" w:fill="auto"/>
          </w:tcPr>
          <w:p w14:paraId="331DE83D"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52</w:t>
            </w:r>
          </w:p>
        </w:tc>
        <w:tc>
          <w:tcPr>
            <w:tcW w:w="8505" w:type="dxa"/>
            <w:shd w:val="clear" w:color="auto" w:fill="auto"/>
          </w:tcPr>
          <w:p w14:paraId="1D632D6D" w14:textId="77777777" w:rsidR="00F11E65" w:rsidRPr="00D748CC" w:rsidRDefault="00F11E65" w:rsidP="001929CC">
            <w:pPr>
              <w:pStyle w:val="TableNote"/>
              <w:spacing w:before="40" w:after="40"/>
              <w:rPr>
                <w:kern w:val="2"/>
                <w:sz w:val="17"/>
                <w:szCs w:val="17"/>
              </w:rPr>
            </w:pPr>
            <w:r w:rsidRPr="00D748CC">
              <w:rPr>
                <w:kern w:val="2"/>
                <w:sz w:val="17"/>
                <w:szCs w:val="17"/>
              </w:rPr>
              <w:t>Investments in own Tier 2 capital instruments, as referred to in BCR §48(1)(a).</w:t>
            </w:r>
          </w:p>
        </w:tc>
      </w:tr>
      <w:tr w:rsidR="00F11E65" w:rsidRPr="00280717" w14:paraId="51768F2B" w14:textId="77777777" w:rsidTr="005B5690">
        <w:trPr>
          <w:trHeight w:val="373"/>
        </w:trPr>
        <w:tc>
          <w:tcPr>
            <w:tcW w:w="596" w:type="dxa"/>
            <w:shd w:val="clear" w:color="auto" w:fill="auto"/>
          </w:tcPr>
          <w:p w14:paraId="233CD6BD"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53</w:t>
            </w:r>
          </w:p>
        </w:tc>
        <w:tc>
          <w:tcPr>
            <w:tcW w:w="8505" w:type="dxa"/>
            <w:shd w:val="clear" w:color="auto" w:fill="auto"/>
          </w:tcPr>
          <w:p w14:paraId="7006D717" w14:textId="77777777" w:rsidR="00F11E65" w:rsidRPr="00D748CC" w:rsidRDefault="00F11E65" w:rsidP="001929CC">
            <w:pPr>
              <w:pStyle w:val="TableNote"/>
              <w:spacing w:before="40" w:after="40"/>
              <w:rPr>
                <w:kern w:val="2"/>
                <w:sz w:val="17"/>
                <w:szCs w:val="17"/>
              </w:rPr>
            </w:pPr>
            <w:r w:rsidRPr="00D748CC">
              <w:rPr>
                <w:kern w:val="2"/>
                <w:sz w:val="17"/>
                <w:szCs w:val="17"/>
              </w:rPr>
              <w:t>Reciprocal cross-holdings in Tier 2 capital instruments and non-capital LAC liabilities, as referred to in BCR §48(1)(b).</w:t>
            </w:r>
          </w:p>
        </w:tc>
      </w:tr>
      <w:tr w:rsidR="00F11E65" w:rsidRPr="00280717" w14:paraId="19451297" w14:textId="77777777" w:rsidTr="005B5690">
        <w:trPr>
          <w:trHeight w:val="373"/>
        </w:trPr>
        <w:tc>
          <w:tcPr>
            <w:tcW w:w="596" w:type="dxa"/>
            <w:shd w:val="clear" w:color="auto" w:fill="auto"/>
          </w:tcPr>
          <w:p w14:paraId="4C5F45F4"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54</w:t>
            </w:r>
          </w:p>
        </w:tc>
        <w:tc>
          <w:tcPr>
            <w:tcW w:w="8505" w:type="dxa"/>
            <w:shd w:val="clear" w:color="auto" w:fill="auto"/>
          </w:tcPr>
          <w:p w14:paraId="7E0B799A" w14:textId="77777777" w:rsidR="00F11E65" w:rsidRPr="00D748CC" w:rsidRDefault="00F11E65" w:rsidP="001929CC">
            <w:pPr>
              <w:pStyle w:val="TableNote"/>
              <w:spacing w:before="40" w:after="40"/>
              <w:rPr>
                <w:kern w:val="2"/>
                <w:sz w:val="17"/>
                <w:szCs w:val="17"/>
              </w:rPr>
            </w:pPr>
            <w:r w:rsidRPr="00D748CC">
              <w:rPr>
                <w:kern w:val="2"/>
                <w:sz w:val="17"/>
                <w:szCs w:val="17"/>
              </w:rPr>
              <w:t xml:space="preserve">Amount of insignificant LAC investments in Tier 2 capital instruments issued by, and non-capital LAC liabilities of, financial sector entities outside the scope of regulatory consolidation (net of eligible short positions) that is in excess of the 10% threshold and, where applicable, the gross long positions of non-capital LAC liabilities of such entities that is in excess of the 5% threshold according to BCR Schedule 4F, and is required to be deducted from Tier 2 capital in accordance with BCR §48(1)(c). </w:t>
            </w:r>
          </w:p>
        </w:tc>
      </w:tr>
      <w:tr w:rsidR="00F11E65" w:rsidRPr="00280717" w14:paraId="23D3FCC9" w14:textId="77777777" w:rsidTr="005B5690">
        <w:trPr>
          <w:trHeight w:val="373"/>
        </w:trPr>
        <w:tc>
          <w:tcPr>
            <w:tcW w:w="596" w:type="dxa"/>
            <w:shd w:val="clear" w:color="auto" w:fill="auto"/>
          </w:tcPr>
          <w:p w14:paraId="09E6F843"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54a</w:t>
            </w:r>
          </w:p>
        </w:tc>
        <w:tc>
          <w:tcPr>
            <w:tcW w:w="8505" w:type="dxa"/>
            <w:shd w:val="clear" w:color="auto" w:fill="auto"/>
          </w:tcPr>
          <w:p w14:paraId="7CCEC7CD" w14:textId="77777777" w:rsidR="00F11E65" w:rsidRPr="00D748CC" w:rsidRDefault="00F11E65" w:rsidP="001929CC">
            <w:pPr>
              <w:pStyle w:val="TableNote"/>
              <w:spacing w:before="40" w:after="40"/>
              <w:rPr>
                <w:kern w:val="2"/>
                <w:sz w:val="17"/>
                <w:szCs w:val="17"/>
              </w:rPr>
            </w:pPr>
            <w:r w:rsidRPr="00D748CC">
              <w:rPr>
                <w:kern w:val="2"/>
                <w:sz w:val="17"/>
                <w:szCs w:val="17"/>
              </w:rPr>
              <w:t>Amount of insignificant LAC investments in non-capital LAC liabilities of financial sector entities that are outside the scope of regulatory consolidation, formerly designated for the 5% threshold but no longer meeting the conditions for designation under BCR Schedule 4F, measured on a gross long basis.  This row is applicable to “section 2 institutions” (as defined in §2 of Schedule 4F) only, where the amounts designated to this threshold may not subsequently be moved to the 10% threshold.  This row does not apply to “section 3 institutions” (as defined in §3 of Schedule 4F), to which these conditions on the use of the 5% threshold do not apply.</w:t>
            </w:r>
          </w:p>
        </w:tc>
      </w:tr>
      <w:tr w:rsidR="00F11E65" w:rsidRPr="00EC2911" w14:paraId="0EA10D38" w14:textId="77777777" w:rsidTr="005B5690">
        <w:trPr>
          <w:trHeight w:val="373"/>
        </w:trPr>
        <w:tc>
          <w:tcPr>
            <w:tcW w:w="596" w:type="dxa"/>
            <w:shd w:val="clear" w:color="auto" w:fill="auto"/>
          </w:tcPr>
          <w:p w14:paraId="1695617F"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55</w:t>
            </w:r>
          </w:p>
        </w:tc>
        <w:tc>
          <w:tcPr>
            <w:tcW w:w="8505" w:type="dxa"/>
            <w:shd w:val="clear" w:color="auto" w:fill="auto"/>
          </w:tcPr>
          <w:p w14:paraId="7BC9FAA2" w14:textId="77777777" w:rsidR="00F11E65" w:rsidRPr="00D748CC" w:rsidRDefault="00F11E65" w:rsidP="001929CC">
            <w:pPr>
              <w:pStyle w:val="TableNote"/>
              <w:spacing w:before="40" w:after="40"/>
              <w:rPr>
                <w:kern w:val="2"/>
                <w:sz w:val="17"/>
                <w:szCs w:val="17"/>
              </w:rPr>
            </w:pPr>
            <w:r w:rsidRPr="00D748CC">
              <w:rPr>
                <w:kern w:val="2"/>
                <w:sz w:val="17"/>
                <w:szCs w:val="17"/>
              </w:rPr>
              <w:t>Amount of significant LAC investments in Tier 2 capital instruments issued by financial sector entities outside the scope of regulatory consolidation (net of eligible short positions) that is required to be deducted from Tier 2 capital in accordance with BCR §48(1)(d).</w:t>
            </w:r>
          </w:p>
        </w:tc>
      </w:tr>
      <w:tr w:rsidR="00F11E65" w:rsidRPr="00EC2911" w14:paraId="2E9C92BB" w14:textId="77777777" w:rsidTr="005B5690">
        <w:trPr>
          <w:trHeight w:val="373"/>
        </w:trPr>
        <w:tc>
          <w:tcPr>
            <w:tcW w:w="596" w:type="dxa"/>
            <w:shd w:val="clear" w:color="auto" w:fill="auto"/>
          </w:tcPr>
          <w:p w14:paraId="5384D444"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lastRenderedPageBreak/>
              <w:t>55a</w:t>
            </w:r>
          </w:p>
        </w:tc>
        <w:tc>
          <w:tcPr>
            <w:tcW w:w="8505" w:type="dxa"/>
            <w:shd w:val="clear" w:color="auto" w:fill="auto"/>
          </w:tcPr>
          <w:p w14:paraId="29D01403" w14:textId="77777777" w:rsidR="00F11E65" w:rsidRPr="00D748CC" w:rsidRDefault="00F11E65" w:rsidP="001929CC">
            <w:pPr>
              <w:pStyle w:val="TableNote"/>
              <w:spacing w:before="40" w:after="40"/>
              <w:rPr>
                <w:kern w:val="2"/>
                <w:sz w:val="17"/>
                <w:szCs w:val="17"/>
              </w:rPr>
            </w:pPr>
            <w:r w:rsidRPr="00D748CC">
              <w:rPr>
                <w:kern w:val="2"/>
                <w:sz w:val="17"/>
                <w:szCs w:val="17"/>
              </w:rPr>
              <w:t>Amount of significant LAC investments in non-capital LAC liabilities of financial sector entities outside the scope of regulatory consolidation (net of eligible short positions) that is required to be deducted from Tier 2 capital in accordance with BCR §48(1)(d).</w:t>
            </w:r>
          </w:p>
        </w:tc>
      </w:tr>
      <w:tr w:rsidR="00F11E65" w:rsidRPr="00280717" w14:paraId="7BC7851D" w14:textId="77777777" w:rsidTr="005B5690">
        <w:trPr>
          <w:trHeight w:val="373"/>
        </w:trPr>
        <w:tc>
          <w:tcPr>
            <w:tcW w:w="596" w:type="dxa"/>
            <w:shd w:val="clear" w:color="auto" w:fill="auto"/>
          </w:tcPr>
          <w:p w14:paraId="47B5C907"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56</w:t>
            </w:r>
          </w:p>
        </w:tc>
        <w:tc>
          <w:tcPr>
            <w:tcW w:w="8505" w:type="dxa"/>
            <w:shd w:val="clear" w:color="auto" w:fill="auto"/>
          </w:tcPr>
          <w:p w14:paraId="23EDFB1E" w14:textId="77777777" w:rsidR="00F11E65" w:rsidRPr="00D748CC" w:rsidRDefault="00F11E65" w:rsidP="001929CC">
            <w:pPr>
              <w:pStyle w:val="TableNote"/>
              <w:spacing w:before="40" w:after="40"/>
              <w:rPr>
                <w:kern w:val="2"/>
                <w:sz w:val="17"/>
                <w:szCs w:val="17"/>
              </w:rPr>
            </w:pPr>
            <w:r w:rsidRPr="00D748CC">
              <w:rPr>
                <w:kern w:val="2"/>
                <w:sz w:val="17"/>
                <w:szCs w:val="17"/>
              </w:rPr>
              <w:t>Specific regulatory adjustments that the MA requires AIs to apply to Tier 2 capital in addition to the minimum adjustments required under Basel III, calculated as the sum of values in any additional rows inserted between rows 56 and 57, if applicable.</w:t>
            </w:r>
          </w:p>
        </w:tc>
      </w:tr>
      <w:tr w:rsidR="00F11E65" w:rsidRPr="00280717" w14:paraId="6C797310" w14:textId="77777777" w:rsidTr="005B5690">
        <w:trPr>
          <w:trHeight w:val="373"/>
        </w:trPr>
        <w:tc>
          <w:tcPr>
            <w:tcW w:w="596" w:type="dxa"/>
            <w:shd w:val="clear" w:color="auto" w:fill="auto"/>
          </w:tcPr>
          <w:p w14:paraId="304A93DC"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56a</w:t>
            </w:r>
          </w:p>
        </w:tc>
        <w:tc>
          <w:tcPr>
            <w:tcW w:w="8505" w:type="dxa"/>
            <w:shd w:val="clear" w:color="auto" w:fill="auto"/>
          </w:tcPr>
          <w:p w14:paraId="38172F2C" w14:textId="77777777" w:rsidR="00F11E65" w:rsidRPr="00D748CC" w:rsidRDefault="00F11E65" w:rsidP="001929CC">
            <w:pPr>
              <w:pStyle w:val="TableNote"/>
              <w:spacing w:before="40" w:after="40"/>
              <w:rPr>
                <w:kern w:val="2"/>
                <w:sz w:val="17"/>
                <w:szCs w:val="17"/>
              </w:rPr>
            </w:pPr>
            <w:r w:rsidRPr="00D748CC">
              <w:rPr>
                <w:kern w:val="2"/>
                <w:sz w:val="17"/>
                <w:szCs w:val="17"/>
              </w:rPr>
              <w:t>The portion (i.e. 45%) of the property revaluation reserve that is permitted to be included / added back as Tier 2 capital under BCR §40(1)(d).  This item has the effect of reducing the total regulatory deductions to Tier 2 capital and must be reported as a negative figure.</w:t>
            </w:r>
          </w:p>
        </w:tc>
      </w:tr>
      <w:tr w:rsidR="00F11E65" w:rsidRPr="00280717" w14:paraId="34974B8A" w14:textId="77777777" w:rsidTr="005B5690">
        <w:trPr>
          <w:trHeight w:val="373"/>
        </w:trPr>
        <w:tc>
          <w:tcPr>
            <w:tcW w:w="596" w:type="dxa"/>
            <w:shd w:val="clear" w:color="auto" w:fill="auto"/>
          </w:tcPr>
          <w:p w14:paraId="0A4022FA"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56b</w:t>
            </w:r>
          </w:p>
        </w:tc>
        <w:tc>
          <w:tcPr>
            <w:tcW w:w="8505" w:type="dxa"/>
            <w:shd w:val="clear" w:color="auto" w:fill="auto"/>
          </w:tcPr>
          <w:p w14:paraId="598A9587" w14:textId="77777777" w:rsidR="00F11E65" w:rsidRPr="00D748CC" w:rsidRDefault="00F11E65" w:rsidP="001929CC">
            <w:pPr>
              <w:pStyle w:val="TableNote"/>
              <w:spacing w:before="40" w:after="40"/>
              <w:rPr>
                <w:kern w:val="2"/>
                <w:sz w:val="17"/>
                <w:szCs w:val="17"/>
              </w:rPr>
            </w:pPr>
            <w:r w:rsidRPr="00D748CC">
              <w:rPr>
                <w:kern w:val="2"/>
                <w:sz w:val="17"/>
                <w:szCs w:val="17"/>
              </w:rPr>
              <w:t>For institutions that maintain any non-capital LAC debt resources, the amount by which the total amount of the AI’s holdings of non-capital LAC liabilities falling within BCR §48(1)(g) exceeds the institution’s non-capital LAC debt resources or, for institutions that do not maintain any non-capital LAC debt resources, the total amount of the institution’s holdings of non-capital LAC liabilities falling within BCR §48(1)(g).</w:t>
            </w:r>
          </w:p>
        </w:tc>
      </w:tr>
      <w:tr w:rsidR="00F11E65" w:rsidRPr="00280717" w14:paraId="39A6639D" w14:textId="77777777" w:rsidTr="005B5690">
        <w:trPr>
          <w:trHeight w:val="373"/>
        </w:trPr>
        <w:tc>
          <w:tcPr>
            <w:tcW w:w="596" w:type="dxa"/>
            <w:shd w:val="clear" w:color="auto" w:fill="auto"/>
          </w:tcPr>
          <w:p w14:paraId="2B39AB66"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57</w:t>
            </w:r>
          </w:p>
        </w:tc>
        <w:tc>
          <w:tcPr>
            <w:tcW w:w="8505" w:type="dxa"/>
            <w:shd w:val="clear" w:color="auto" w:fill="auto"/>
          </w:tcPr>
          <w:p w14:paraId="5E713FB8" w14:textId="77777777" w:rsidR="00F11E65" w:rsidRPr="00D748CC" w:rsidRDefault="00F11E65" w:rsidP="001929CC">
            <w:pPr>
              <w:pStyle w:val="TableNote"/>
              <w:spacing w:before="40" w:after="40"/>
              <w:rPr>
                <w:kern w:val="2"/>
                <w:sz w:val="17"/>
                <w:szCs w:val="17"/>
              </w:rPr>
            </w:pPr>
            <w:r w:rsidRPr="00D748CC">
              <w:rPr>
                <w:kern w:val="2"/>
                <w:sz w:val="17"/>
                <w:szCs w:val="17"/>
              </w:rPr>
              <w:t>The sum of values in rows 52 to 56b.</w:t>
            </w:r>
          </w:p>
        </w:tc>
      </w:tr>
      <w:tr w:rsidR="00F11E65" w:rsidRPr="00280717" w14:paraId="3335D7F5" w14:textId="77777777" w:rsidTr="005B5690">
        <w:trPr>
          <w:trHeight w:val="373"/>
        </w:trPr>
        <w:tc>
          <w:tcPr>
            <w:tcW w:w="596" w:type="dxa"/>
            <w:shd w:val="clear" w:color="auto" w:fill="auto"/>
          </w:tcPr>
          <w:p w14:paraId="3F485BD9"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58</w:t>
            </w:r>
          </w:p>
        </w:tc>
        <w:tc>
          <w:tcPr>
            <w:tcW w:w="8505" w:type="dxa"/>
            <w:shd w:val="clear" w:color="auto" w:fill="auto"/>
          </w:tcPr>
          <w:p w14:paraId="55F85731" w14:textId="77777777" w:rsidR="00F11E65" w:rsidRPr="00D748CC" w:rsidRDefault="00F11E65" w:rsidP="001929CC">
            <w:pPr>
              <w:pStyle w:val="TableNote"/>
              <w:spacing w:before="40" w:after="40"/>
              <w:rPr>
                <w:kern w:val="2"/>
                <w:sz w:val="17"/>
                <w:szCs w:val="17"/>
              </w:rPr>
            </w:pPr>
            <w:r w:rsidRPr="00D748CC">
              <w:rPr>
                <w:kern w:val="2"/>
                <w:sz w:val="17"/>
                <w:szCs w:val="17"/>
              </w:rPr>
              <w:t>Tier 2 capital, calculated as the difference of values in row 51 and row 57.  If the amount reported in row 57 exceeds that in row 51, include the excess amount in row 42 and report zero here.</w:t>
            </w:r>
          </w:p>
        </w:tc>
      </w:tr>
      <w:tr w:rsidR="00F11E65" w:rsidRPr="00280717" w14:paraId="2B49A96C" w14:textId="77777777" w:rsidTr="005B5690">
        <w:trPr>
          <w:trHeight w:val="373"/>
        </w:trPr>
        <w:tc>
          <w:tcPr>
            <w:tcW w:w="596" w:type="dxa"/>
            <w:shd w:val="clear" w:color="auto" w:fill="auto"/>
          </w:tcPr>
          <w:p w14:paraId="33AA8DB9"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59</w:t>
            </w:r>
          </w:p>
        </w:tc>
        <w:tc>
          <w:tcPr>
            <w:tcW w:w="8505" w:type="dxa"/>
            <w:shd w:val="clear" w:color="auto" w:fill="auto"/>
          </w:tcPr>
          <w:p w14:paraId="310BC321" w14:textId="77777777" w:rsidR="00F11E65" w:rsidRPr="00D748CC" w:rsidRDefault="00F11E65" w:rsidP="001929CC">
            <w:pPr>
              <w:pStyle w:val="TableNote"/>
              <w:spacing w:before="40" w:after="40"/>
              <w:rPr>
                <w:kern w:val="2"/>
                <w:sz w:val="17"/>
                <w:szCs w:val="17"/>
              </w:rPr>
            </w:pPr>
            <w:r w:rsidRPr="00D748CC">
              <w:rPr>
                <w:kern w:val="2"/>
                <w:sz w:val="17"/>
                <w:szCs w:val="17"/>
              </w:rPr>
              <w:t>Total capital, calculated as the sum of values in row 45 and row 58.</w:t>
            </w:r>
          </w:p>
        </w:tc>
      </w:tr>
      <w:tr w:rsidR="00F11E65" w:rsidRPr="00280717" w14:paraId="7CCA9B95" w14:textId="77777777" w:rsidTr="005B5690">
        <w:trPr>
          <w:trHeight w:val="373"/>
        </w:trPr>
        <w:tc>
          <w:tcPr>
            <w:tcW w:w="596" w:type="dxa"/>
            <w:shd w:val="clear" w:color="auto" w:fill="auto"/>
          </w:tcPr>
          <w:p w14:paraId="43F5654F"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60</w:t>
            </w:r>
          </w:p>
        </w:tc>
        <w:tc>
          <w:tcPr>
            <w:tcW w:w="8505" w:type="dxa"/>
            <w:shd w:val="clear" w:color="auto" w:fill="auto"/>
          </w:tcPr>
          <w:p w14:paraId="383C4FB5" w14:textId="77777777" w:rsidR="00F11E65" w:rsidRPr="00D748CC" w:rsidRDefault="00F11E65" w:rsidP="001929CC">
            <w:pPr>
              <w:pStyle w:val="TableNote"/>
              <w:spacing w:before="40" w:after="40"/>
              <w:rPr>
                <w:kern w:val="2"/>
                <w:sz w:val="17"/>
                <w:szCs w:val="17"/>
              </w:rPr>
            </w:pPr>
            <w:r w:rsidRPr="00D748CC">
              <w:rPr>
                <w:kern w:val="2"/>
                <w:sz w:val="17"/>
                <w:szCs w:val="17"/>
              </w:rPr>
              <w:t>Total RWA of the AI.</w:t>
            </w:r>
          </w:p>
        </w:tc>
      </w:tr>
      <w:tr w:rsidR="00F11E65" w:rsidRPr="00280717" w14:paraId="11991C6A" w14:textId="77777777" w:rsidTr="005B5690">
        <w:trPr>
          <w:trHeight w:val="373"/>
        </w:trPr>
        <w:tc>
          <w:tcPr>
            <w:tcW w:w="596" w:type="dxa"/>
            <w:shd w:val="clear" w:color="auto" w:fill="auto"/>
          </w:tcPr>
          <w:p w14:paraId="03BF9240"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61</w:t>
            </w:r>
          </w:p>
        </w:tc>
        <w:tc>
          <w:tcPr>
            <w:tcW w:w="8505" w:type="dxa"/>
            <w:shd w:val="clear" w:color="auto" w:fill="auto"/>
          </w:tcPr>
          <w:p w14:paraId="675A631C" w14:textId="77777777" w:rsidR="00F11E65" w:rsidRPr="00D748CC" w:rsidRDefault="00F11E65" w:rsidP="001929CC">
            <w:pPr>
              <w:pStyle w:val="TableNote"/>
              <w:spacing w:before="40" w:after="40"/>
              <w:rPr>
                <w:kern w:val="2"/>
                <w:sz w:val="17"/>
                <w:szCs w:val="17"/>
              </w:rPr>
            </w:pPr>
            <w:r w:rsidRPr="00D748CC">
              <w:rPr>
                <w:kern w:val="2"/>
                <w:sz w:val="17"/>
                <w:szCs w:val="17"/>
              </w:rPr>
              <w:t>CET1 capital ratio (as a percentage of RWA), calculated as the quotient of value in row 29 to value in row 60, expressed as a percentage.</w:t>
            </w:r>
          </w:p>
        </w:tc>
      </w:tr>
      <w:tr w:rsidR="00F11E65" w:rsidRPr="00280717" w14:paraId="360BD766" w14:textId="77777777" w:rsidTr="005B5690">
        <w:trPr>
          <w:trHeight w:val="373"/>
        </w:trPr>
        <w:tc>
          <w:tcPr>
            <w:tcW w:w="596" w:type="dxa"/>
            <w:shd w:val="clear" w:color="auto" w:fill="auto"/>
          </w:tcPr>
          <w:p w14:paraId="39E3CFEC"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62</w:t>
            </w:r>
          </w:p>
        </w:tc>
        <w:tc>
          <w:tcPr>
            <w:tcW w:w="8505" w:type="dxa"/>
            <w:shd w:val="clear" w:color="auto" w:fill="auto"/>
          </w:tcPr>
          <w:p w14:paraId="73AC5A29" w14:textId="77777777" w:rsidR="00F11E65" w:rsidRPr="00D748CC" w:rsidRDefault="00F11E65" w:rsidP="001929CC">
            <w:pPr>
              <w:pStyle w:val="TableNote"/>
              <w:spacing w:before="40" w:after="40"/>
              <w:rPr>
                <w:kern w:val="2"/>
                <w:sz w:val="17"/>
                <w:szCs w:val="17"/>
              </w:rPr>
            </w:pPr>
            <w:r w:rsidRPr="00D748CC">
              <w:rPr>
                <w:kern w:val="2"/>
                <w:sz w:val="17"/>
                <w:szCs w:val="17"/>
              </w:rPr>
              <w:t>Tier 1 capital ratio (as a percentage of RWA), calculated as the quotient of value in row 45 to value in row 60, expressed as a percentage.</w:t>
            </w:r>
          </w:p>
        </w:tc>
      </w:tr>
      <w:tr w:rsidR="00F11E65" w:rsidRPr="00280717" w14:paraId="1586A1F1" w14:textId="77777777" w:rsidTr="005B5690">
        <w:trPr>
          <w:trHeight w:val="373"/>
        </w:trPr>
        <w:tc>
          <w:tcPr>
            <w:tcW w:w="596" w:type="dxa"/>
            <w:shd w:val="clear" w:color="auto" w:fill="auto"/>
          </w:tcPr>
          <w:p w14:paraId="7F532B4F"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63</w:t>
            </w:r>
          </w:p>
        </w:tc>
        <w:tc>
          <w:tcPr>
            <w:tcW w:w="8505" w:type="dxa"/>
            <w:shd w:val="clear" w:color="auto" w:fill="auto"/>
          </w:tcPr>
          <w:p w14:paraId="34B16BF0" w14:textId="77777777" w:rsidR="00F11E65" w:rsidRPr="00D748CC" w:rsidRDefault="00F11E65" w:rsidP="001929CC">
            <w:pPr>
              <w:pStyle w:val="TableNote"/>
              <w:spacing w:before="40" w:after="40"/>
              <w:rPr>
                <w:kern w:val="2"/>
                <w:sz w:val="17"/>
                <w:szCs w:val="17"/>
              </w:rPr>
            </w:pPr>
            <w:r w:rsidRPr="00D748CC">
              <w:rPr>
                <w:kern w:val="2"/>
                <w:sz w:val="17"/>
                <w:szCs w:val="17"/>
              </w:rPr>
              <w:t>Total capital ratio (as a percentage of RWA), calculated as the quotient of value in row 59 to value in row 60, expressed as a percentage.</w:t>
            </w:r>
          </w:p>
        </w:tc>
      </w:tr>
      <w:tr w:rsidR="00F11E65" w:rsidRPr="00280717" w14:paraId="790E3D9D" w14:textId="77777777" w:rsidTr="005B5690">
        <w:trPr>
          <w:trHeight w:val="373"/>
        </w:trPr>
        <w:tc>
          <w:tcPr>
            <w:tcW w:w="596" w:type="dxa"/>
            <w:shd w:val="clear" w:color="auto" w:fill="auto"/>
          </w:tcPr>
          <w:p w14:paraId="68FF6687"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64</w:t>
            </w:r>
          </w:p>
        </w:tc>
        <w:tc>
          <w:tcPr>
            <w:tcW w:w="8505" w:type="dxa"/>
            <w:shd w:val="clear" w:color="auto" w:fill="auto"/>
          </w:tcPr>
          <w:p w14:paraId="290D29ED" w14:textId="77777777" w:rsidR="00F11E65" w:rsidRPr="00D748CC" w:rsidRDefault="00F11E65" w:rsidP="001929CC">
            <w:pPr>
              <w:pStyle w:val="TableNote"/>
              <w:spacing w:before="40" w:after="40"/>
              <w:rPr>
                <w:kern w:val="2"/>
                <w:sz w:val="17"/>
                <w:szCs w:val="17"/>
              </w:rPr>
            </w:pPr>
            <w:r w:rsidRPr="00D748CC">
              <w:rPr>
                <w:kern w:val="2"/>
                <w:sz w:val="17"/>
                <w:szCs w:val="17"/>
              </w:rPr>
              <w:t>Institution-specific buffer requirement (i.e. capital conservation buffer (“CB”), any countercyclical capital buffer (“CCyB”) and any higher loss absorbency (“HLA”) requirements, all expressed as a percentage of RWA), to be calculated in accordance with the level specified in BCR §3M for CB requirement, plus the institution-specific CCyB requirement and the institution-specific HLA requirement.</w:t>
            </w:r>
          </w:p>
        </w:tc>
      </w:tr>
      <w:tr w:rsidR="00F11E65" w:rsidRPr="00280717" w14:paraId="5968ABC3" w14:textId="77777777" w:rsidTr="005B5690">
        <w:trPr>
          <w:trHeight w:val="373"/>
        </w:trPr>
        <w:tc>
          <w:tcPr>
            <w:tcW w:w="596" w:type="dxa"/>
            <w:shd w:val="clear" w:color="auto" w:fill="auto"/>
          </w:tcPr>
          <w:p w14:paraId="325EAC0B"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65</w:t>
            </w:r>
          </w:p>
        </w:tc>
        <w:tc>
          <w:tcPr>
            <w:tcW w:w="8505" w:type="dxa"/>
            <w:shd w:val="clear" w:color="auto" w:fill="auto"/>
          </w:tcPr>
          <w:p w14:paraId="74FAED25" w14:textId="77777777" w:rsidR="00F11E65" w:rsidRPr="00D748CC" w:rsidRDefault="00F11E65" w:rsidP="001929CC">
            <w:pPr>
              <w:pStyle w:val="TableNote"/>
              <w:spacing w:before="40" w:after="40"/>
              <w:rPr>
                <w:kern w:val="2"/>
                <w:sz w:val="17"/>
                <w:szCs w:val="17"/>
              </w:rPr>
            </w:pPr>
            <w:r w:rsidRPr="00D748CC">
              <w:rPr>
                <w:kern w:val="2"/>
                <w:sz w:val="17"/>
                <w:szCs w:val="17"/>
              </w:rPr>
              <w:t>The amount in row 64 (expressed as a percentage of RWA) that relates to the CB requirement (i.e. to report the level specified in BCR §3M).</w:t>
            </w:r>
          </w:p>
        </w:tc>
      </w:tr>
      <w:tr w:rsidR="00F11E65" w:rsidRPr="00280717" w14:paraId="5BB6F1DE" w14:textId="77777777" w:rsidTr="005B5690">
        <w:trPr>
          <w:trHeight w:val="373"/>
        </w:trPr>
        <w:tc>
          <w:tcPr>
            <w:tcW w:w="596" w:type="dxa"/>
            <w:shd w:val="clear" w:color="auto" w:fill="auto"/>
          </w:tcPr>
          <w:p w14:paraId="1F92337B"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66</w:t>
            </w:r>
          </w:p>
        </w:tc>
        <w:tc>
          <w:tcPr>
            <w:tcW w:w="8505" w:type="dxa"/>
            <w:shd w:val="clear" w:color="auto" w:fill="auto"/>
          </w:tcPr>
          <w:p w14:paraId="46CDAEC7" w14:textId="77777777" w:rsidR="00F11E65" w:rsidRPr="00D748CC" w:rsidRDefault="00F11E65" w:rsidP="001929CC">
            <w:pPr>
              <w:pStyle w:val="TableNote"/>
              <w:spacing w:before="40" w:after="40"/>
              <w:rPr>
                <w:kern w:val="2"/>
                <w:sz w:val="17"/>
                <w:szCs w:val="17"/>
              </w:rPr>
            </w:pPr>
            <w:r w:rsidRPr="00D748CC">
              <w:rPr>
                <w:kern w:val="2"/>
                <w:sz w:val="17"/>
                <w:szCs w:val="17"/>
              </w:rPr>
              <w:t>The amount in row 64 (expressed as a percentage of RWA) that relates to the institution-specific CCyB requirement, which is equal to the value reported in cell N+2/d of Template CCyB1.</w:t>
            </w:r>
          </w:p>
        </w:tc>
      </w:tr>
      <w:tr w:rsidR="00F11E65" w:rsidRPr="00280717" w14:paraId="300A00D9" w14:textId="77777777" w:rsidTr="005B5690">
        <w:trPr>
          <w:trHeight w:val="373"/>
        </w:trPr>
        <w:tc>
          <w:tcPr>
            <w:tcW w:w="596" w:type="dxa"/>
            <w:shd w:val="clear" w:color="auto" w:fill="auto"/>
          </w:tcPr>
          <w:p w14:paraId="1469A8DE"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lastRenderedPageBreak/>
              <w:t>67</w:t>
            </w:r>
          </w:p>
        </w:tc>
        <w:tc>
          <w:tcPr>
            <w:tcW w:w="8505" w:type="dxa"/>
            <w:shd w:val="clear" w:color="auto" w:fill="auto"/>
          </w:tcPr>
          <w:p w14:paraId="3480109C" w14:textId="77777777" w:rsidR="00F11E65" w:rsidRPr="00D748CC" w:rsidRDefault="00F11E65" w:rsidP="001929CC">
            <w:pPr>
              <w:pStyle w:val="TableNote"/>
              <w:spacing w:before="40" w:after="40"/>
              <w:rPr>
                <w:kern w:val="2"/>
                <w:sz w:val="17"/>
                <w:szCs w:val="17"/>
              </w:rPr>
            </w:pPr>
            <w:r w:rsidRPr="00D748CC">
              <w:rPr>
                <w:kern w:val="2"/>
                <w:sz w:val="17"/>
                <w:szCs w:val="17"/>
              </w:rPr>
              <w:t>The amount in row 64 (expressed as a percentage of RWA) relates to any HLA requirements, if applicable.  An AI should report the HLA requirement applicable to it as a G-SIB or a D-SIB, whichever is higher.</w:t>
            </w:r>
          </w:p>
        </w:tc>
      </w:tr>
      <w:tr w:rsidR="00F11E65" w:rsidRPr="00280717" w14:paraId="6595120B" w14:textId="77777777" w:rsidTr="005B5690">
        <w:trPr>
          <w:trHeight w:val="373"/>
        </w:trPr>
        <w:tc>
          <w:tcPr>
            <w:tcW w:w="596" w:type="dxa"/>
            <w:shd w:val="clear" w:color="auto" w:fill="auto"/>
          </w:tcPr>
          <w:p w14:paraId="0ACF45F3"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68</w:t>
            </w:r>
          </w:p>
        </w:tc>
        <w:tc>
          <w:tcPr>
            <w:tcW w:w="8505" w:type="dxa"/>
            <w:shd w:val="clear" w:color="auto" w:fill="auto"/>
          </w:tcPr>
          <w:p w14:paraId="4CBB28D5" w14:textId="77777777" w:rsidR="00F11E65" w:rsidRPr="00D748CC" w:rsidRDefault="00F11E65" w:rsidP="001929CC">
            <w:pPr>
              <w:pStyle w:val="TableNote"/>
              <w:spacing w:before="40" w:after="40"/>
              <w:rPr>
                <w:kern w:val="2"/>
                <w:sz w:val="17"/>
                <w:szCs w:val="17"/>
              </w:rPr>
            </w:pPr>
            <w:r w:rsidRPr="00D748CC">
              <w:rPr>
                <w:kern w:val="2"/>
                <w:sz w:val="17"/>
                <w:szCs w:val="17"/>
              </w:rPr>
              <w:t>CET1 (as a percentage of risk-weighted assets) available after meeting the AI’s minimum capital requirements, calculated as the CET1 capital ratio (row 61) less the sum of ratios of (i) the 4.5% minimum CET1 requirement under BCR §3B; and (ii) any other CET1 capital required to meet the minimum Tier 1 and Total capital requirements under BCR §43(1)(r) and §47(1)(g).</w:t>
            </w:r>
          </w:p>
          <w:p w14:paraId="431A5E01" w14:textId="77777777" w:rsidR="00F11E65" w:rsidRPr="00D748CC" w:rsidRDefault="00F11E65" w:rsidP="001929CC">
            <w:pPr>
              <w:pStyle w:val="TableNote"/>
              <w:spacing w:before="40" w:after="40"/>
              <w:rPr>
                <w:kern w:val="2"/>
                <w:sz w:val="17"/>
                <w:szCs w:val="17"/>
              </w:rPr>
            </w:pPr>
            <w:r w:rsidRPr="00D748CC">
              <w:rPr>
                <w:kern w:val="2"/>
                <w:sz w:val="17"/>
                <w:szCs w:val="17"/>
              </w:rPr>
              <w:t>For example, suppose an AI has 100 RWA, 10 CET1 capital, 1.5 AT1 capital and no Tier 2 capital. Since it does not have any Tier 2 capital, it will have to earmark its CET1 capital to meet the 8% minimum capital requirement.  The net CET1 capital left to meet other requirements (which could include Pillar 2 or buffers requirements) will be 10 – 4.5 – 2 = 3.5.</w:t>
            </w:r>
          </w:p>
        </w:tc>
      </w:tr>
      <w:tr w:rsidR="00F11E65" w:rsidRPr="00280717" w14:paraId="4D9B5412" w14:textId="77777777" w:rsidTr="005B5690">
        <w:trPr>
          <w:trHeight w:val="373"/>
        </w:trPr>
        <w:tc>
          <w:tcPr>
            <w:tcW w:w="596" w:type="dxa"/>
            <w:shd w:val="clear" w:color="auto" w:fill="auto"/>
          </w:tcPr>
          <w:p w14:paraId="22E22D5A"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69</w:t>
            </w:r>
          </w:p>
        </w:tc>
        <w:tc>
          <w:tcPr>
            <w:tcW w:w="8505" w:type="dxa"/>
            <w:shd w:val="clear" w:color="auto" w:fill="FFFF00"/>
          </w:tcPr>
          <w:p w14:paraId="59F2AB1D" w14:textId="77777777" w:rsidR="00F11E65" w:rsidRPr="00D748CC" w:rsidRDefault="00F11E65" w:rsidP="001929CC">
            <w:pPr>
              <w:pStyle w:val="TableNote"/>
              <w:spacing w:before="40" w:after="40"/>
              <w:rPr>
                <w:kern w:val="2"/>
                <w:sz w:val="17"/>
                <w:szCs w:val="17"/>
              </w:rPr>
            </w:pPr>
            <w:r w:rsidRPr="00D748CC">
              <w:rPr>
                <w:kern w:val="2"/>
                <w:sz w:val="17"/>
                <w:szCs w:val="17"/>
              </w:rPr>
              <w:t>This row is not applicable in the case of Hong Kong where the CET1 capital ratio is as defined under Basel III.</w:t>
            </w:r>
          </w:p>
        </w:tc>
      </w:tr>
      <w:tr w:rsidR="00F11E65" w:rsidRPr="00280717" w14:paraId="3AA419C6" w14:textId="77777777" w:rsidTr="005B5690">
        <w:trPr>
          <w:trHeight w:val="373"/>
        </w:trPr>
        <w:tc>
          <w:tcPr>
            <w:tcW w:w="596" w:type="dxa"/>
            <w:shd w:val="clear" w:color="auto" w:fill="auto"/>
          </w:tcPr>
          <w:p w14:paraId="5AF51CE4"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70</w:t>
            </w:r>
          </w:p>
        </w:tc>
        <w:tc>
          <w:tcPr>
            <w:tcW w:w="8505" w:type="dxa"/>
            <w:shd w:val="clear" w:color="auto" w:fill="FFFF00"/>
          </w:tcPr>
          <w:p w14:paraId="08623551" w14:textId="77777777" w:rsidR="00F11E65" w:rsidRPr="00D748CC" w:rsidRDefault="00F11E65" w:rsidP="001929CC">
            <w:pPr>
              <w:pStyle w:val="TableNote"/>
              <w:spacing w:before="40" w:after="40"/>
              <w:rPr>
                <w:kern w:val="2"/>
                <w:sz w:val="17"/>
                <w:szCs w:val="17"/>
              </w:rPr>
            </w:pPr>
            <w:r w:rsidRPr="00D748CC">
              <w:rPr>
                <w:kern w:val="2"/>
                <w:sz w:val="17"/>
                <w:szCs w:val="17"/>
              </w:rPr>
              <w:t>This row is not applicable in the case of Hong Kong where the Tier 1 capital ratio is as defined under Basel III.</w:t>
            </w:r>
          </w:p>
        </w:tc>
      </w:tr>
      <w:tr w:rsidR="00F11E65" w:rsidRPr="00280717" w14:paraId="07E7002F" w14:textId="77777777" w:rsidTr="005B5690">
        <w:trPr>
          <w:trHeight w:val="373"/>
        </w:trPr>
        <w:tc>
          <w:tcPr>
            <w:tcW w:w="596" w:type="dxa"/>
            <w:shd w:val="clear" w:color="auto" w:fill="auto"/>
          </w:tcPr>
          <w:p w14:paraId="447DA75B"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71</w:t>
            </w:r>
          </w:p>
        </w:tc>
        <w:tc>
          <w:tcPr>
            <w:tcW w:w="8505" w:type="dxa"/>
            <w:shd w:val="clear" w:color="auto" w:fill="FFFF00"/>
          </w:tcPr>
          <w:p w14:paraId="238A3383" w14:textId="77777777" w:rsidR="00F11E65" w:rsidRPr="00D748CC" w:rsidRDefault="00F11E65" w:rsidP="001929CC">
            <w:pPr>
              <w:pStyle w:val="TableNote"/>
              <w:spacing w:before="40" w:after="40"/>
              <w:rPr>
                <w:kern w:val="2"/>
                <w:sz w:val="17"/>
                <w:szCs w:val="17"/>
              </w:rPr>
            </w:pPr>
            <w:r w:rsidRPr="00D748CC">
              <w:rPr>
                <w:kern w:val="2"/>
                <w:sz w:val="17"/>
                <w:szCs w:val="17"/>
              </w:rPr>
              <w:t>This row is not applicable in the case of Hong Kong where the Total capital ratio is as defined under Basel III.</w:t>
            </w:r>
          </w:p>
        </w:tc>
      </w:tr>
      <w:tr w:rsidR="00F11E65" w:rsidRPr="00280717" w14:paraId="3D4ED1AB" w14:textId="77777777" w:rsidTr="005B5690">
        <w:trPr>
          <w:trHeight w:val="373"/>
        </w:trPr>
        <w:tc>
          <w:tcPr>
            <w:tcW w:w="596" w:type="dxa"/>
            <w:shd w:val="clear" w:color="auto" w:fill="auto"/>
          </w:tcPr>
          <w:p w14:paraId="43FECB83"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72</w:t>
            </w:r>
          </w:p>
        </w:tc>
        <w:tc>
          <w:tcPr>
            <w:tcW w:w="8505" w:type="dxa"/>
            <w:shd w:val="clear" w:color="auto" w:fill="auto"/>
          </w:tcPr>
          <w:p w14:paraId="20D24286" w14:textId="77777777" w:rsidR="00F11E65" w:rsidRPr="00D748CC" w:rsidRDefault="00F11E65" w:rsidP="001929CC">
            <w:pPr>
              <w:pStyle w:val="TableNote"/>
              <w:spacing w:before="40" w:after="40"/>
              <w:rPr>
                <w:kern w:val="2"/>
                <w:sz w:val="17"/>
                <w:szCs w:val="17"/>
              </w:rPr>
            </w:pPr>
            <w:r w:rsidRPr="00D748CC">
              <w:rPr>
                <w:kern w:val="2"/>
                <w:sz w:val="17"/>
                <w:szCs w:val="17"/>
              </w:rPr>
              <w:t>Insignificant LAC investments in CET1, AT1, Tier 2 capital instruments issued by, and non-capital LAC liabilities of, financial sector entities outside the regulatory scope of consolidation, to the extent that such holdings are not reported in row 18, row 39 and row 54.</w:t>
            </w:r>
          </w:p>
        </w:tc>
      </w:tr>
      <w:tr w:rsidR="00F11E65" w:rsidRPr="00280717" w14:paraId="2213205B" w14:textId="77777777" w:rsidTr="005B5690">
        <w:trPr>
          <w:trHeight w:val="373"/>
        </w:trPr>
        <w:tc>
          <w:tcPr>
            <w:tcW w:w="596" w:type="dxa"/>
            <w:shd w:val="clear" w:color="auto" w:fill="auto"/>
          </w:tcPr>
          <w:p w14:paraId="13CE4F70"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73</w:t>
            </w:r>
          </w:p>
        </w:tc>
        <w:tc>
          <w:tcPr>
            <w:tcW w:w="8505" w:type="dxa"/>
            <w:shd w:val="clear" w:color="auto" w:fill="auto"/>
          </w:tcPr>
          <w:p w14:paraId="6CCA25A5" w14:textId="77777777" w:rsidR="00F11E65" w:rsidRPr="00D748CC" w:rsidRDefault="00F11E65" w:rsidP="001929CC">
            <w:pPr>
              <w:pStyle w:val="TableNote"/>
              <w:spacing w:before="40" w:after="40"/>
              <w:rPr>
                <w:kern w:val="2"/>
                <w:sz w:val="17"/>
                <w:szCs w:val="17"/>
              </w:rPr>
            </w:pPr>
            <w:r w:rsidRPr="00D748CC">
              <w:rPr>
                <w:kern w:val="2"/>
                <w:sz w:val="17"/>
                <w:szCs w:val="17"/>
              </w:rPr>
              <w:t>Significant LAC investments in CET1 capital instruments issued by financial sector entities that are outside the regulatory scope of consolidation, to the extent that such holdings are not reported in row 19 and row 23.</w:t>
            </w:r>
          </w:p>
        </w:tc>
      </w:tr>
      <w:tr w:rsidR="00F11E65" w:rsidRPr="00280717" w14:paraId="591A4804" w14:textId="77777777" w:rsidTr="005B5690">
        <w:trPr>
          <w:trHeight w:val="373"/>
        </w:trPr>
        <w:tc>
          <w:tcPr>
            <w:tcW w:w="596" w:type="dxa"/>
            <w:shd w:val="clear" w:color="auto" w:fill="auto"/>
          </w:tcPr>
          <w:p w14:paraId="52CD0ECF"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74</w:t>
            </w:r>
          </w:p>
        </w:tc>
        <w:tc>
          <w:tcPr>
            <w:tcW w:w="8505" w:type="dxa"/>
            <w:shd w:val="clear" w:color="auto" w:fill="FFFF00"/>
          </w:tcPr>
          <w:p w14:paraId="1FBE0D8B" w14:textId="77777777" w:rsidR="00F11E65" w:rsidRPr="00D748CC" w:rsidRDefault="00F11E65" w:rsidP="001929CC">
            <w:pPr>
              <w:pStyle w:val="TableNote"/>
              <w:spacing w:before="40" w:after="40"/>
              <w:rPr>
                <w:kern w:val="2"/>
                <w:sz w:val="17"/>
                <w:szCs w:val="17"/>
              </w:rPr>
            </w:pPr>
            <w:r w:rsidRPr="00D748CC">
              <w:rPr>
                <w:kern w:val="2"/>
                <w:sz w:val="17"/>
                <w:szCs w:val="17"/>
              </w:rPr>
              <w:t>This row is not applicable in the case of Hong Kong, as MSRs are fully deducted.  Please refer to row 20.</w:t>
            </w:r>
          </w:p>
        </w:tc>
      </w:tr>
      <w:tr w:rsidR="00F11E65" w:rsidRPr="00280717" w14:paraId="05B37B87" w14:textId="77777777" w:rsidTr="005B5690">
        <w:trPr>
          <w:trHeight w:val="373"/>
        </w:trPr>
        <w:tc>
          <w:tcPr>
            <w:tcW w:w="596" w:type="dxa"/>
            <w:shd w:val="clear" w:color="auto" w:fill="auto"/>
          </w:tcPr>
          <w:p w14:paraId="604995F8"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75</w:t>
            </w:r>
          </w:p>
        </w:tc>
        <w:tc>
          <w:tcPr>
            <w:tcW w:w="8505" w:type="dxa"/>
            <w:shd w:val="clear" w:color="auto" w:fill="FFFF00"/>
          </w:tcPr>
          <w:p w14:paraId="020B471B" w14:textId="77777777" w:rsidR="00F11E65" w:rsidRPr="00D748CC" w:rsidRDefault="00F11E65" w:rsidP="001929CC">
            <w:pPr>
              <w:pStyle w:val="TableNote"/>
              <w:spacing w:before="40" w:after="40"/>
              <w:rPr>
                <w:kern w:val="2"/>
                <w:sz w:val="17"/>
                <w:szCs w:val="17"/>
              </w:rPr>
            </w:pPr>
            <w:r w:rsidRPr="00D748CC">
              <w:rPr>
                <w:kern w:val="2"/>
                <w:sz w:val="17"/>
                <w:szCs w:val="17"/>
              </w:rPr>
              <w:t>This row is not applicable in the case of Hong Kong, as DTAs are fully deducted.  Please refer to row 21.</w:t>
            </w:r>
          </w:p>
        </w:tc>
      </w:tr>
      <w:tr w:rsidR="00F11E65" w:rsidRPr="00280717" w14:paraId="169B5B5E" w14:textId="77777777" w:rsidTr="005B5690">
        <w:trPr>
          <w:trHeight w:val="373"/>
        </w:trPr>
        <w:tc>
          <w:tcPr>
            <w:tcW w:w="596" w:type="dxa"/>
            <w:shd w:val="clear" w:color="auto" w:fill="auto"/>
          </w:tcPr>
          <w:p w14:paraId="51969DAC"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76</w:t>
            </w:r>
          </w:p>
        </w:tc>
        <w:tc>
          <w:tcPr>
            <w:tcW w:w="8505" w:type="dxa"/>
            <w:shd w:val="clear" w:color="auto" w:fill="auto"/>
          </w:tcPr>
          <w:p w14:paraId="1A2B9FBA" w14:textId="77777777" w:rsidR="00F11E65" w:rsidRPr="00D748CC" w:rsidRDefault="00F11E65" w:rsidP="001929CC">
            <w:pPr>
              <w:pStyle w:val="TableNote"/>
              <w:spacing w:before="40" w:after="40"/>
              <w:rPr>
                <w:kern w:val="2"/>
                <w:sz w:val="17"/>
                <w:szCs w:val="17"/>
              </w:rPr>
            </w:pPr>
            <w:r w:rsidRPr="00D748CC">
              <w:rPr>
                <w:kern w:val="2"/>
                <w:sz w:val="17"/>
                <w:szCs w:val="17"/>
              </w:rPr>
              <w:t>Amount of an AI’s regulatory reserve for general banking risks and provisions for Stages 1 and 2 of credit impairment related to the BSC approach, the STC approach and SEC-ERBA, SEC-SA and SEC-FBA eligible for inclusion in Tier 2 capital, calculated in accordance with BCR §42(1) or §42(2), where applicable, prior to the application of the cap.</w:t>
            </w:r>
          </w:p>
        </w:tc>
      </w:tr>
      <w:tr w:rsidR="00F11E65" w:rsidRPr="00280717" w14:paraId="087D883C" w14:textId="77777777" w:rsidTr="005B5690">
        <w:trPr>
          <w:trHeight w:val="373"/>
        </w:trPr>
        <w:tc>
          <w:tcPr>
            <w:tcW w:w="596" w:type="dxa"/>
            <w:shd w:val="clear" w:color="auto" w:fill="auto"/>
          </w:tcPr>
          <w:p w14:paraId="610CF2D9"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77</w:t>
            </w:r>
          </w:p>
        </w:tc>
        <w:tc>
          <w:tcPr>
            <w:tcW w:w="8505" w:type="dxa"/>
            <w:shd w:val="clear" w:color="auto" w:fill="auto"/>
          </w:tcPr>
          <w:p w14:paraId="48CD5688" w14:textId="77777777" w:rsidR="00F11E65" w:rsidRPr="00D748CC" w:rsidRDefault="00F11E65" w:rsidP="001929CC">
            <w:pPr>
              <w:pStyle w:val="TableNote"/>
              <w:spacing w:before="40" w:after="40"/>
              <w:rPr>
                <w:kern w:val="2"/>
                <w:sz w:val="17"/>
                <w:szCs w:val="17"/>
              </w:rPr>
            </w:pPr>
            <w:r w:rsidRPr="00D748CC">
              <w:rPr>
                <w:kern w:val="2"/>
                <w:sz w:val="17"/>
                <w:szCs w:val="17"/>
              </w:rPr>
              <w:t>Cap for inclusion of regulatory reserve for general banking risks and provisions for Stages 1 and 2 of credit impairment related to the BSC approach, the STC approach and the SEC-ERBA, SEC-SA and SEC-FBA in Tier 2 capital, calculated in accordance with BCR §42(1) or §42(2), where applicable.</w:t>
            </w:r>
          </w:p>
        </w:tc>
      </w:tr>
      <w:tr w:rsidR="00F11E65" w:rsidRPr="00280717" w14:paraId="7DE57A61" w14:textId="77777777" w:rsidTr="005B5690">
        <w:trPr>
          <w:trHeight w:val="373"/>
        </w:trPr>
        <w:tc>
          <w:tcPr>
            <w:tcW w:w="596" w:type="dxa"/>
            <w:shd w:val="clear" w:color="auto" w:fill="auto"/>
          </w:tcPr>
          <w:p w14:paraId="52E01DB1"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78</w:t>
            </w:r>
          </w:p>
        </w:tc>
        <w:tc>
          <w:tcPr>
            <w:tcW w:w="8505" w:type="dxa"/>
            <w:shd w:val="clear" w:color="auto" w:fill="auto"/>
          </w:tcPr>
          <w:p w14:paraId="7ADFFC78" w14:textId="77777777" w:rsidR="00F11E65" w:rsidRPr="00D748CC" w:rsidRDefault="00F11E65" w:rsidP="001929CC">
            <w:pPr>
              <w:pStyle w:val="TableNote"/>
              <w:spacing w:before="40" w:after="40"/>
              <w:rPr>
                <w:kern w:val="2"/>
                <w:sz w:val="17"/>
                <w:szCs w:val="17"/>
              </w:rPr>
            </w:pPr>
            <w:r w:rsidRPr="00D748CC">
              <w:rPr>
                <w:kern w:val="2"/>
                <w:sz w:val="17"/>
                <w:szCs w:val="17"/>
              </w:rPr>
              <w:t>The sum of surplus provisions for exposures calculated using the IRB approach and the portion of an AI’s total regulatory reserve for general banking risks and provisions for Stages 1 and 2 of credit impairment that is apportioned to the SEC-IRBA in Tier 2 capital, calculated in accordance with BCR §42(2), (3) and (4), prior to the application of the cap.</w:t>
            </w:r>
          </w:p>
        </w:tc>
      </w:tr>
      <w:tr w:rsidR="00F11E65" w:rsidRPr="008729B1" w14:paraId="4C8B0E29" w14:textId="77777777" w:rsidTr="005B5690">
        <w:trPr>
          <w:trHeight w:val="373"/>
        </w:trPr>
        <w:tc>
          <w:tcPr>
            <w:tcW w:w="596" w:type="dxa"/>
            <w:shd w:val="clear" w:color="auto" w:fill="auto"/>
          </w:tcPr>
          <w:p w14:paraId="6794E5EE" w14:textId="77777777" w:rsidR="00F11E65" w:rsidRPr="00D748CC" w:rsidRDefault="00F11E65" w:rsidP="001929CC">
            <w:pPr>
              <w:keepLines/>
              <w:widowControl w:val="0"/>
              <w:tabs>
                <w:tab w:val="left" w:pos="150"/>
                <w:tab w:val="left" w:pos="397"/>
                <w:tab w:val="left" w:pos="794"/>
                <w:tab w:val="left" w:pos="1191"/>
              </w:tabs>
              <w:spacing w:before="40" w:after="40"/>
              <w:rPr>
                <w:rFonts w:cs="Segoe UI"/>
                <w:kern w:val="2"/>
                <w:sz w:val="17"/>
                <w:szCs w:val="17"/>
                <w:lang w:eastAsia="en-GB"/>
              </w:rPr>
            </w:pPr>
            <w:r w:rsidRPr="00D748CC">
              <w:rPr>
                <w:rFonts w:cs="Segoe UI"/>
                <w:kern w:val="2"/>
                <w:sz w:val="17"/>
                <w:szCs w:val="17"/>
                <w:lang w:eastAsia="en-GB"/>
              </w:rPr>
              <w:t>79</w:t>
            </w:r>
          </w:p>
        </w:tc>
        <w:tc>
          <w:tcPr>
            <w:tcW w:w="8505" w:type="dxa"/>
            <w:shd w:val="clear" w:color="auto" w:fill="auto"/>
          </w:tcPr>
          <w:p w14:paraId="5645BDB1" w14:textId="77777777" w:rsidR="00F11E65" w:rsidRPr="00D748CC" w:rsidRDefault="00F11E65" w:rsidP="001929CC">
            <w:pPr>
              <w:pStyle w:val="TableNote"/>
              <w:spacing w:before="40" w:after="40"/>
              <w:rPr>
                <w:kern w:val="2"/>
                <w:sz w:val="17"/>
                <w:szCs w:val="17"/>
              </w:rPr>
            </w:pPr>
            <w:r w:rsidRPr="00D748CC">
              <w:rPr>
                <w:kern w:val="2"/>
                <w:sz w:val="17"/>
                <w:szCs w:val="17"/>
              </w:rPr>
              <w:t>Cap for inclusion of surplus provisions for exposures calculated using the IRB approach and the portion of an AI’s total regulatory reserve for general banking risks and provisions for Stages 1 and 2 of credit impairment that is apportioned to the SEC-IRBA in Tier 2 capital, calculated in accordance with BCR §42(2), (3) and (4).</w:t>
            </w:r>
          </w:p>
        </w:tc>
      </w:tr>
    </w:tbl>
    <w:p w14:paraId="6C86E09B" w14:textId="2275692D" w:rsidR="00275DE8" w:rsidRPr="00A476C3" w:rsidRDefault="00275DE8" w:rsidP="00A476C3">
      <w:pPr>
        <w:sectPr w:rsidR="00275DE8" w:rsidRPr="00A476C3">
          <w:headerReference w:type="even" r:id="rId16"/>
          <w:headerReference w:type="default" r:id="rId17"/>
          <w:footerReference w:type="even" r:id="rId18"/>
          <w:footerReference w:type="default" r:id="rId19"/>
          <w:headerReference w:type="first" r:id="rId20"/>
          <w:footerReference w:type="first" r:id="rId21"/>
          <w:pgSz w:w="11906" w:h="16838"/>
          <w:pgMar w:top="1440" w:right="1800" w:bottom="1440" w:left="1800" w:header="851" w:footer="992" w:gutter="0"/>
          <w:cols w:space="425"/>
          <w:docGrid w:type="lines" w:linePitch="360"/>
        </w:sectPr>
      </w:pPr>
    </w:p>
    <w:p w14:paraId="00D88C81" w14:textId="1BAE2CF8" w:rsidR="00381F69" w:rsidRPr="005E68EA" w:rsidRDefault="005E68EA" w:rsidP="00A95483">
      <w:pPr>
        <w:pStyle w:val="Heading2"/>
        <w:rPr>
          <w:sz w:val="20"/>
        </w:rPr>
      </w:pPr>
      <w:r w:rsidRPr="0023654F">
        <w:lastRenderedPageBreak/>
        <w:t xml:space="preserve">Template </w:t>
      </w:r>
      <w:r>
        <w:t>CC2</w:t>
      </w:r>
      <w:r w:rsidRPr="0023654F">
        <w:t xml:space="preserve">: </w:t>
      </w:r>
      <w:r>
        <w:t>Reconciliation of regulatory capital to balance sheet</w:t>
      </w:r>
    </w:p>
    <w:tbl>
      <w:tblPr>
        <w:tblpPr w:leftFromText="180" w:rightFromText="180" w:vertAnchor="text" w:tblpX="-567" w:tblpY="1"/>
        <w:tblOverlap w:val="never"/>
        <w:tblW w:w="9350"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116"/>
        <w:gridCol w:w="7234"/>
      </w:tblGrid>
      <w:tr w:rsidR="00D01C68" w:rsidRPr="0046600C" w14:paraId="75AF2C20" w14:textId="77777777" w:rsidTr="0080192D">
        <w:tc>
          <w:tcPr>
            <w:tcW w:w="2116" w:type="dxa"/>
          </w:tcPr>
          <w:p w14:paraId="4CBF31B9" w14:textId="77777777" w:rsidR="00D01C68" w:rsidRPr="0023654F" w:rsidRDefault="00D01C68" w:rsidP="00882F4F">
            <w:pPr>
              <w:spacing w:before="40" w:after="40"/>
              <w:rPr>
                <w:noProof/>
                <w:sz w:val="17"/>
                <w:lang w:eastAsia="en-GB"/>
              </w:rPr>
            </w:pPr>
            <w:r w:rsidRPr="0023654F">
              <w:rPr>
                <w:b/>
                <w:sz w:val="17"/>
                <w:lang w:eastAsia="en-GB"/>
              </w:rPr>
              <w:t>Purpose:</w:t>
            </w:r>
          </w:p>
        </w:tc>
        <w:tc>
          <w:tcPr>
            <w:tcW w:w="7234" w:type="dxa"/>
          </w:tcPr>
          <w:p w14:paraId="5DE357E1" w14:textId="77777777" w:rsidR="00D01C68" w:rsidRPr="0023654F" w:rsidRDefault="00D01C68" w:rsidP="00882F4F">
            <w:pPr>
              <w:pStyle w:val="TableText"/>
              <w:jc w:val="both"/>
              <w:rPr>
                <w:lang w:eastAsia="en-GB"/>
              </w:rPr>
            </w:pPr>
            <w:r>
              <w:rPr>
                <w:lang w:eastAsia="en-GB"/>
              </w:rPr>
              <w:t>To e</w:t>
            </w:r>
            <w:r w:rsidRPr="00512189">
              <w:rPr>
                <w:lang w:eastAsia="en-GB"/>
              </w:rPr>
              <w:t xml:space="preserve">nable </w:t>
            </w:r>
            <w:r>
              <w:rPr>
                <w:lang w:eastAsia="en-GB"/>
              </w:rPr>
              <w:t xml:space="preserve">Pillar 3 data </w:t>
            </w:r>
            <w:r w:rsidRPr="00512189">
              <w:rPr>
                <w:lang w:eastAsia="en-GB"/>
              </w:rPr>
              <w:t>users to identify the differences between the scope of accounting consolidation and the scope of regulatory consolidation, and to show the link between a</w:t>
            </w:r>
            <w:r>
              <w:rPr>
                <w:lang w:eastAsia="en-GB"/>
              </w:rPr>
              <w:t>n AI</w:t>
            </w:r>
            <w:r w:rsidRPr="00512189">
              <w:rPr>
                <w:lang w:eastAsia="en-GB"/>
              </w:rPr>
              <w:t xml:space="preserve">’s balance sheet in its published financial statements and the numbers that are used in the composition of </w:t>
            </w:r>
            <w:r>
              <w:rPr>
                <w:lang w:eastAsia="en-GB"/>
              </w:rPr>
              <w:t xml:space="preserve">regulatory </w:t>
            </w:r>
            <w:r w:rsidRPr="00512189">
              <w:rPr>
                <w:lang w:eastAsia="en-GB"/>
              </w:rPr>
              <w:t>capital disclosure template set out in Template CC1.</w:t>
            </w:r>
          </w:p>
        </w:tc>
      </w:tr>
      <w:tr w:rsidR="00D01C68" w:rsidRPr="005B71C7" w14:paraId="179ED947" w14:textId="77777777" w:rsidTr="0080192D">
        <w:tc>
          <w:tcPr>
            <w:tcW w:w="2116" w:type="dxa"/>
          </w:tcPr>
          <w:p w14:paraId="5C3CBC36" w14:textId="77777777" w:rsidR="00D01C68" w:rsidRPr="0023654F" w:rsidRDefault="00D01C68" w:rsidP="00882F4F">
            <w:pPr>
              <w:spacing w:before="40" w:after="40"/>
              <w:rPr>
                <w:b/>
                <w:sz w:val="17"/>
                <w:lang w:eastAsia="en-GB"/>
              </w:rPr>
            </w:pPr>
            <w:r>
              <w:rPr>
                <w:b/>
                <w:sz w:val="17"/>
                <w:lang w:eastAsia="en-GB"/>
              </w:rPr>
              <w:t>Scope of application:</w:t>
            </w:r>
          </w:p>
        </w:tc>
        <w:tc>
          <w:tcPr>
            <w:tcW w:w="7234" w:type="dxa"/>
          </w:tcPr>
          <w:p w14:paraId="210D55BC" w14:textId="3F9E6207" w:rsidR="00D01C68" w:rsidRPr="00512189" w:rsidRDefault="00D01C68" w:rsidP="00AB2DE3">
            <w:pPr>
              <w:pStyle w:val="TableText"/>
              <w:jc w:val="both"/>
              <w:rPr>
                <w:lang w:eastAsia="en-GB"/>
              </w:rPr>
            </w:pPr>
            <w:r w:rsidRPr="00512189">
              <w:rPr>
                <w:lang w:eastAsia="en-GB"/>
              </w:rPr>
              <w:t xml:space="preserve">The template is mandatory for all </w:t>
            </w:r>
            <w:r w:rsidR="00AB2DE3">
              <w:rPr>
                <w:lang w:eastAsia="en-GB"/>
              </w:rPr>
              <w:t xml:space="preserve">AIs </w:t>
            </w:r>
            <w:r>
              <w:rPr>
                <w:lang w:eastAsia="en-GB"/>
              </w:rPr>
              <w:t xml:space="preserve">incorporated </w:t>
            </w:r>
            <w:r w:rsidR="00AB2DE3">
              <w:rPr>
                <w:lang w:eastAsia="en-GB"/>
              </w:rPr>
              <w:t>in Hong Kong</w:t>
            </w:r>
            <w:r w:rsidRPr="00512189">
              <w:rPr>
                <w:lang w:eastAsia="en-GB"/>
              </w:rPr>
              <w:t>.</w:t>
            </w:r>
          </w:p>
        </w:tc>
      </w:tr>
      <w:tr w:rsidR="00D01C68" w:rsidRPr="004B58B9" w14:paraId="348E21C6" w14:textId="77777777" w:rsidTr="0080192D">
        <w:tc>
          <w:tcPr>
            <w:tcW w:w="2116" w:type="dxa"/>
          </w:tcPr>
          <w:p w14:paraId="44023350" w14:textId="77777777" w:rsidR="00D01C68" w:rsidRPr="0023654F" w:rsidRDefault="00D01C68" w:rsidP="00882F4F">
            <w:pPr>
              <w:spacing w:before="40" w:after="40"/>
              <w:rPr>
                <w:b/>
                <w:sz w:val="17"/>
                <w:lang w:eastAsia="en-GB"/>
              </w:rPr>
            </w:pPr>
            <w:r>
              <w:rPr>
                <w:b/>
                <w:sz w:val="17"/>
                <w:lang w:eastAsia="en-GB"/>
              </w:rPr>
              <w:t>Content:</w:t>
            </w:r>
          </w:p>
        </w:tc>
        <w:tc>
          <w:tcPr>
            <w:tcW w:w="7234" w:type="dxa"/>
          </w:tcPr>
          <w:p w14:paraId="23775895" w14:textId="77777777" w:rsidR="00D01C68" w:rsidRPr="00673F0D" w:rsidRDefault="00D01C68" w:rsidP="00882F4F">
            <w:pPr>
              <w:pStyle w:val="TableText"/>
              <w:jc w:val="both"/>
              <w:rPr>
                <w:szCs w:val="17"/>
              </w:rPr>
            </w:pPr>
            <w:r w:rsidRPr="004878F3">
              <w:rPr>
                <w:lang w:eastAsia="en-GB"/>
              </w:rPr>
              <w:t>Carrying values (corresponding to the values reported in financial statements).</w:t>
            </w:r>
            <w:r>
              <w:rPr>
                <w:szCs w:val="17"/>
              </w:rPr>
              <w:t xml:space="preserve">  </w:t>
            </w:r>
            <w:r w:rsidRPr="00371940">
              <w:rPr>
                <w:szCs w:val="17"/>
              </w:rPr>
              <w:t>Where an AI has a reporting date for disclosure (e.g. end-April, end-October) that does not fall on the same position date for the Return on Capital Adequacy Ratio (MA(BS)3) (i.e. end-March, end-June, end-September, end-December), the AI should disclose this template based on its own reporting date.  In such circumstance, the calculation basis of values disclosed in this template should, however, follow the same calculation basis used for the return.</w:t>
            </w:r>
          </w:p>
        </w:tc>
      </w:tr>
      <w:tr w:rsidR="00D01C68" w:rsidRPr="0023654F" w14:paraId="1D542E17" w14:textId="77777777" w:rsidTr="0080192D">
        <w:tc>
          <w:tcPr>
            <w:tcW w:w="2116" w:type="dxa"/>
          </w:tcPr>
          <w:p w14:paraId="4BB27402" w14:textId="77777777" w:rsidR="00D01C68" w:rsidRPr="0023654F" w:rsidRDefault="00D01C68" w:rsidP="00882F4F">
            <w:pPr>
              <w:spacing w:before="40" w:after="40"/>
              <w:rPr>
                <w:sz w:val="17"/>
                <w:lang w:eastAsia="en-GB"/>
              </w:rPr>
            </w:pPr>
            <w:r w:rsidRPr="0023654F">
              <w:rPr>
                <w:b/>
                <w:sz w:val="17"/>
                <w:lang w:eastAsia="en-GB"/>
              </w:rPr>
              <w:t>Frequency:</w:t>
            </w:r>
          </w:p>
        </w:tc>
        <w:tc>
          <w:tcPr>
            <w:tcW w:w="7234" w:type="dxa"/>
          </w:tcPr>
          <w:p w14:paraId="18194AB8" w14:textId="77777777" w:rsidR="00D01C68" w:rsidRPr="0023654F" w:rsidRDefault="00D01C68" w:rsidP="00882F4F">
            <w:pPr>
              <w:pStyle w:val="TableText"/>
              <w:jc w:val="both"/>
              <w:rPr>
                <w:lang w:eastAsia="en-GB"/>
              </w:rPr>
            </w:pPr>
            <w:r w:rsidRPr="004878F3">
              <w:rPr>
                <w:lang w:eastAsia="en-GB"/>
              </w:rPr>
              <w:t>Semi</w:t>
            </w:r>
            <w:r>
              <w:rPr>
                <w:lang w:eastAsia="en-GB"/>
              </w:rPr>
              <w:t>-</w:t>
            </w:r>
            <w:r w:rsidRPr="004878F3">
              <w:rPr>
                <w:lang w:eastAsia="en-GB"/>
              </w:rPr>
              <w:t>annual.</w:t>
            </w:r>
          </w:p>
        </w:tc>
      </w:tr>
      <w:tr w:rsidR="00D01C68" w:rsidRPr="0023654F" w14:paraId="39DC34D1" w14:textId="77777777" w:rsidTr="0080192D">
        <w:tc>
          <w:tcPr>
            <w:tcW w:w="2116" w:type="dxa"/>
          </w:tcPr>
          <w:p w14:paraId="4178F981" w14:textId="77777777" w:rsidR="00D01C68" w:rsidRPr="0023654F" w:rsidRDefault="00D01C68" w:rsidP="00882F4F">
            <w:pPr>
              <w:spacing w:before="40" w:after="40"/>
              <w:rPr>
                <w:sz w:val="17"/>
                <w:lang w:eastAsia="en-GB"/>
              </w:rPr>
            </w:pPr>
            <w:r w:rsidRPr="0023654F">
              <w:rPr>
                <w:b/>
                <w:sz w:val="17"/>
                <w:lang w:eastAsia="en-GB"/>
              </w:rPr>
              <w:t>Format:</w:t>
            </w:r>
          </w:p>
        </w:tc>
        <w:tc>
          <w:tcPr>
            <w:tcW w:w="7234" w:type="dxa"/>
          </w:tcPr>
          <w:p w14:paraId="590898D6" w14:textId="77777777" w:rsidR="00D01C68" w:rsidRPr="0023654F" w:rsidRDefault="00D01C68" w:rsidP="00882F4F">
            <w:pPr>
              <w:pStyle w:val="TableText"/>
              <w:jc w:val="both"/>
              <w:rPr>
                <w:lang w:eastAsia="en-GB"/>
              </w:rPr>
            </w:pPr>
            <w:r w:rsidRPr="004878F3">
              <w:rPr>
                <w:lang w:eastAsia="en-GB"/>
              </w:rPr>
              <w:t xml:space="preserve">Flexible (but the rows </w:t>
            </w:r>
            <w:r>
              <w:rPr>
                <w:lang w:eastAsia="en-GB"/>
              </w:rPr>
              <w:t>should</w:t>
            </w:r>
            <w:r w:rsidRPr="004878F3">
              <w:rPr>
                <w:lang w:eastAsia="en-GB"/>
              </w:rPr>
              <w:t xml:space="preserve"> align with the </w:t>
            </w:r>
            <w:r>
              <w:rPr>
                <w:lang w:eastAsia="en-GB"/>
              </w:rPr>
              <w:t xml:space="preserve">balance sheet </w:t>
            </w:r>
            <w:r w:rsidRPr="004878F3">
              <w:rPr>
                <w:lang w:eastAsia="en-GB"/>
              </w:rPr>
              <w:t>presentation).</w:t>
            </w:r>
          </w:p>
        </w:tc>
      </w:tr>
      <w:tr w:rsidR="00D01C68" w:rsidRPr="0023654F" w14:paraId="39A56426" w14:textId="77777777" w:rsidTr="0080192D">
        <w:tc>
          <w:tcPr>
            <w:tcW w:w="2116" w:type="dxa"/>
          </w:tcPr>
          <w:p w14:paraId="4FE2FF0E" w14:textId="77777777" w:rsidR="00D01C68" w:rsidRPr="0023654F" w:rsidRDefault="00D01C68" w:rsidP="00882F4F">
            <w:pPr>
              <w:spacing w:before="40" w:after="40"/>
              <w:rPr>
                <w:b/>
                <w:sz w:val="17"/>
                <w:lang w:eastAsia="en-GB"/>
              </w:rPr>
            </w:pPr>
            <w:r w:rsidRPr="0023654F">
              <w:rPr>
                <w:rFonts w:eastAsiaTheme="minorEastAsia"/>
                <w:b/>
                <w:sz w:val="17"/>
                <w:szCs w:val="17"/>
                <w:lang w:eastAsia="en-GB"/>
              </w:rPr>
              <w:t>Accompanying narrative</w:t>
            </w:r>
            <w:r w:rsidRPr="0023654F">
              <w:rPr>
                <w:rFonts w:eastAsiaTheme="minorEastAsia"/>
                <w:sz w:val="17"/>
                <w:szCs w:val="17"/>
                <w:lang w:eastAsia="en-GB"/>
              </w:rPr>
              <w:t>:</w:t>
            </w:r>
          </w:p>
        </w:tc>
        <w:tc>
          <w:tcPr>
            <w:tcW w:w="7234" w:type="dxa"/>
          </w:tcPr>
          <w:p w14:paraId="525FA0B7" w14:textId="77777777" w:rsidR="00D01C68" w:rsidRPr="00512189" w:rsidRDefault="00D01C68" w:rsidP="00882F4F">
            <w:pPr>
              <w:pStyle w:val="TableText"/>
              <w:jc w:val="both"/>
              <w:rPr>
                <w:lang w:eastAsia="en-GB"/>
              </w:rPr>
            </w:pPr>
            <w:r>
              <w:rPr>
                <w:lang w:eastAsia="en-GB"/>
              </w:rPr>
              <w:t>An AI</w:t>
            </w:r>
            <w:r w:rsidRPr="004878F3">
              <w:rPr>
                <w:lang w:eastAsia="en-GB"/>
              </w:rPr>
              <w:t xml:space="preserve"> </w:t>
            </w:r>
            <w:r>
              <w:rPr>
                <w:lang w:eastAsia="en-GB"/>
              </w:rPr>
              <w:t>should</w:t>
            </w:r>
            <w:r w:rsidRPr="004878F3">
              <w:rPr>
                <w:lang w:eastAsia="en-GB"/>
              </w:rPr>
              <w:t xml:space="preserve"> supplement the template with a narrative commentary to explain any significant changes in the expanded balance sheet items over the reporting period and the key drivers of such change. </w:t>
            </w:r>
            <w:r>
              <w:rPr>
                <w:lang w:eastAsia="en-GB"/>
              </w:rPr>
              <w:t xml:space="preserve"> </w:t>
            </w:r>
            <w:r w:rsidRPr="004878F3">
              <w:rPr>
                <w:lang w:eastAsia="en-GB"/>
              </w:rPr>
              <w:t>Narrative commentary to significant changes in other balance sheet items could be found in Table LIA.</w:t>
            </w:r>
          </w:p>
        </w:tc>
      </w:tr>
      <w:tr w:rsidR="00D01C68" w:rsidRPr="0023654F" w14:paraId="7C493551" w14:textId="77777777" w:rsidTr="0080192D">
        <w:tc>
          <w:tcPr>
            <w:tcW w:w="2116" w:type="dxa"/>
          </w:tcPr>
          <w:p w14:paraId="18FFCD37" w14:textId="77777777" w:rsidR="00D01C68" w:rsidRPr="0023654F" w:rsidRDefault="00D01C68" w:rsidP="00882F4F">
            <w:pPr>
              <w:spacing w:before="40" w:after="40"/>
              <w:rPr>
                <w:rFonts w:eastAsiaTheme="minorEastAsia"/>
                <w:b/>
                <w:sz w:val="17"/>
                <w:szCs w:val="17"/>
                <w:lang w:eastAsia="en-GB"/>
              </w:rPr>
            </w:pPr>
            <w:r>
              <w:rPr>
                <w:rFonts w:eastAsiaTheme="minorEastAsia"/>
                <w:b/>
                <w:sz w:val="17"/>
                <w:szCs w:val="17"/>
                <w:lang w:eastAsia="en-GB"/>
              </w:rPr>
              <w:t>Corresponding BDR section:</w:t>
            </w:r>
          </w:p>
        </w:tc>
        <w:tc>
          <w:tcPr>
            <w:tcW w:w="7234" w:type="dxa"/>
          </w:tcPr>
          <w:p w14:paraId="28706E6E" w14:textId="77777777" w:rsidR="00D01C68" w:rsidRPr="00AC37F2" w:rsidRDefault="00D01C68" w:rsidP="00882F4F">
            <w:pPr>
              <w:pStyle w:val="TableText"/>
              <w:jc w:val="both"/>
              <w:rPr>
                <w:szCs w:val="17"/>
                <w:lang w:eastAsia="en-GB"/>
              </w:rPr>
            </w:pPr>
            <w:r w:rsidRPr="001B530B">
              <w:rPr>
                <w:szCs w:val="17"/>
                <w:lang w:eastAsia="en-GB"/>
              </w:rPr>
              <w:t>16FC</w:t>
            </w:r>
          </w:p>
        </w:tc>
      </w:tr>
    </w:tbl>
    <w:p w14:paraId="1F8F6FF2" w14:textId="77777777" w:rsidR="00D01C68" w:rsidRDefault="00D01C68" w:rsidP="00D01C68">
      <w:pPr>
        <w:rPr>
          <w:sz w:val="22"/>
        </w:rPr>
      </w:pPr>
    </w:p>
    <w:tbl>
      <w:tblPr>
        <w:tblW w:w="9345" w:type="dxa"/>
        <w:tblInd w:w="-567" w:type="dxa"/>
        <w:tblBorders>
          <w:top w:val="single" w:sz="8" w:space="0" w:color="BCBDBC"/>
          <w:left w:val="single" w:sz="8" w:space="0" w:color="BCBDBC"/>
          <w:bottom w:val="single" w:sz="8" w:space="0" w:color="BCBDBC"/>
          <w:right w:val="single" w:sz="8" w:space="0" w:color="BCBDBC"/>
          <w:insideH w:val="single" w:sz="6" w:space="0" w:color="BCBDBC"/>
          <w:insideV w:val="single" w:sz="6" w:space="0" w:color="BCBDBC"/>
        </w:tblBorders>
        <w:tblLayout w:type="fixed"/>
        <w:tblCellMar>
          <w:left w:w="0" w:type="dxa"/>
          <w:right w:w="0" w:type="dxa"/>
        </w:tblCellMar>
        <w:tblLook w:val="00A0" w:firstRow="1" w:lastRow="0" w:firstColumn="1" w:lastColumn="0" w:noHBand="0" w:noVBand="0"/>
      </w:tblPr>
      <w:tblGrid>
        <w:gridCol w:w="4820"/>
        <w:gridCol w:w="1701"/>
        <w:gridCol w:w="1701"/>
        <w:gridCol w:w="1123"/>
      </w:tblGrid>
      <w:tr w:rsidR="00D01C68" w:rsidRPr="0023654F" w14:paraId="6B037FAA" w14:textId="77777777" w:rsidTr="0080192D">
        <w:trPr>
          <w:trHeight w:val="48"/>
          <w:tblHeader/>
        </w:trPr>
        <w:tc>
          <w:tcPr>
            <w:tcW w:w="4820" w:type="dxa"/>
            <w:tcBorders>
              <w:top w:val="nil"/>
              <w:left w:val="nil"/>
              <w:bottom w:val="nil"/>
              <w:right w:val="single" w:sz="4" w:space="0" w:color="auto"/>
            </w:tcBorders>
            <w:vAlign w:val="center"/>
          </w:tcPr>
          <w:p w14:paraId="5CC652C8" w14:textId="77777777" w:rsidR="00D01C68" w:rsidRDefault="00D01C68" w:rsidP="00EF7D49">
            <w:pPr>
              <w:pStyle w:val="Default"/>
              <w:rPr>
                <w:b/>
                <w:bCs/>
                <w:sz w:val="20"/>
                <w:szCs w:val="20"/>
              </w:rPr>
            </w:pPr>
          </w:p>
        </w:tc>
        <w:tc>
          <w:tcPr>
            <w:tcW w:w="1701" w:type="dxa"/>
            <w:tcBorders>
              <w:top w:val="single" w:sz="4" w:space="0" w:color="auto"/>
              <w:left w:val="nil"/>
              <w:bottom w:val="single" w:sz="4" w:space="0" w:color="auto"/>
              <w:right w:val="single" w:sz="4" w:space="0" w:color="auto"/>
            </w:tcBorders>
            <w:vAlign w:val="center"/>
          </w:tcPr>
          <w:p w14:paraId="3F62A184" w14:textId="77777777" w:rsidR="00D01C68" w:rsidRPr="00A50DB0" w:rsidRDefault="00D01C68" w:rsidP="00EF7D49">
            <w:pPr>
              <w:pStyle w:val="TableText"/>
              <w:snapToGrid w:val="0"/>
              <w:jc w:val="center"/>
              <w:rPr>
                <w:bCs/>
                <w:lang w:eastAsia="it-IT"/>
              </w:rPr>
            </w:pPr>
            <w:r>
              <w:rPr>
                <w:bCs/>
                <w:lang w:eastAsia="it-IT"/>
              </w:rPr>
              <w:t>(</w:t>
            </w:r>
            <w:r w:rsidRPr="0023654F">
              <w:rPr>
                <w:bCs/>
                <w:lang w:eastAsia="it-IT"/>
              </w:rPr>
              <w:t>a</w:t>
            </w:r>
            <w:r>
              <w:rPr>
                <w:bCs/>
                <w:lang w:eastAsia="it-IT"/>
              </w:rPr>
              <w:t>)</w:t>
            </w:r>
          </w:p>
        </w:tc>
        <w:tc>
          <w:tcPr>
            <w:tcW w:w="1701" w:type="dxa"/>
            <w:tcBorders>
              <w:top w:val="single" w:sz="6" w:space="0" w:color="auto"/>
              <w:left w:val="single" w:sz="6" w:space="0" w:color="auto"/>
              <w:bottom w:val="single" w:sz="6" w:space="0" w:color="auto"/>
              <w:right w:val="single" w:sz="6" w:space="0" w:color="auto"/>
            </w:tcBorders>
            <w:vAlign w:val="center"/>
          </w:tcPr>
          <w:p w14:paraId="45DB1D25" w14:textId="77777777" w:rsidR="00D01C68" w:rsidRPr="0023654F" w:rsidRDefault="00D01C68" w:rsidP="00EF7D49">
            <w:pPr>
              <w:pStyle w:val="TableText"/>
              <w:snapToGrid w:val="0"/>
              <w:jc w:val="center"/>
              <w:rPr>
                <w:bCs/>
                <w:lang w:eastAsia="it-IT"/>
              </w:rPr>
            </w:pPr>
            <w:r>
              <w:rPr>
                <w:bCs/>
                <w:lang w:eastAsia="it-IT"/>
              </w:rPr>
              <w:t>(b)</w:t>
            </w:r>
          </w:p>
        </w:tc>
        <w:tc>
          <w:tcPr>
            <w:tcW w:w="1123" w:type="dxa"/>
            <w:tcBorders>
              <w:top w:val="single" w:sz="6" w:space="0" w:color="auto"/>
              <w:left w:val="single" w:sz="6" w:space="0" w:color="auto"/>
              <w:bottom w:val="single" w:sz="6" w:space="0" w:color="auto"/>
              <w:right w:val="single" w:sz="4" w:space="0" w:color="auto"/>
            </w:tcBorders>
            <w:vAlign w:val="center"/>
          </w:tcPr>
          <w:p w14:paraId="01F9E644" w14:textId="77777777" w:rsidR="00D01C68" w:rsidRPr="0023654F" w:rsidRDefault="00D01C68" w:rsidP="00EF7D49">
            <w:pPr>
              <w:pStyle w:val="TableText"/>
              <w:snapToGrid w:val="0"/>
              <w:jc w:val="center"/>
              <w:rPr>
                <w:bCs/>
                <w:lang w:eastAsia="it-IT"/>
              </w:rPr>
            </w:pPr>
            <w:r>
              <w:rPr>
                <w:bCs/>
                <w:lang w:eastAsia="it-IT"/>
              </w:rPr>
              <w:t>(c)</w:t>
            </w:r>
          </w:p>
        </w:tc>
      </w:tr>
      <w:tr w:rsidR="00D01C68" w:rsidRPr="0023654F" w14:paraId="795F78BD" w14:textId="77777777" w:rsidTr="0080192D">
        <w:trPr>
          <w:trHeight w:val="528"/>
          <w:tblHeader/>
        </w:trPr>
        <w:tc>
          <w:tcPr>
            <w:tcW w:w="4820" w:type="dxa"/>
            <w:tcBorders>
              <w:top w:val="nil"/>
              <w:left w:val="nil"/>
              <w:bottom w:val="single" w:sz="6" w:space="0" w:color="auto"/>
              <w:right w:val="single" w:sz="4" w:space="0" w:color="auto"/>
            </w:tcBorders>
            <w:vAlign w:val="center"/>
          </w:tcPr>
          <w:p w14:paraId="0045891C" w14:textId="77777777" w:rsidR="00D01C68" w:rsidRPr="00E960C4" w:rsidRDefault="00D01C68" w:rsidP="00EF7D49">
            <w:pPr>
              <w:pStyle w:val="TableText"/>
              <w:snapToGrid w:val="0"/>
              <w:rPr>
                <w:lang w:val="en-US" w:eastAsia="it-IT"/>
              </w:rPr>
            </w:pPr>
          </w:p>
        </w:tc>
        <w:tc>
          <w:tcPr>
            <w:tcW w:w="1701" w:type="dxa"/>
            <w:tcBorders>
              <w:top w:val="single" w:sz="4" w:space="0" w:color="auto"/>
              <w:left w:val="single" w:sz="4" w:space="0" w:color="auto"/>
              <w:bottom w:val="single" w:sz="6" w:space="0" w:color="auto"/>
              <w:right w:val="single" w:sz="6" w:space="0" w:color="auto"/>
            </w:tcBorders>
            <w:vAlign w:val="center"/>
          </w:tcPr>
          <w:p w14:paraId="06A9B464" w14:textId="77777777" w:rsidR="00D01C68" w:rsidRDefault="00D01C68" w:rsidP="00EF7D49">
            <w:pPr>
              <w:pStyle w:val="TableText"/>
              <w:snapToGrid w:val="0"/>
              <w:ind w:left="57"/>
              <w:jc w:val="center"/>
              <w:rPr>
                <w:b/>
                <w:lang w:eastAsia="it-IT"/>
              </w:rPr>
            </w:pPr>
            <w:r>
              <w:rPr>
                <w:b/>
                <w:lang w:eastAsia="it-IT"/>
              </w:rPr>
              <w:t>Balance sheet as in published financial statements</w:t>
            </w:r>
          </w:p>
          <w:p w14:paraId="377A232B" w14:textId="77777777" w:rsidR="00D01C68" w:rsidRPr="007765D1" w:rsidRDefault="00D01C68" w:rsidP="00EF7D49">
            <w:pPr>
              <w:pStyle w:val="TableText"/>
              <w:snapToGrid w:val="0"/>
              <w:ind w:left="57"/>
              <w:jc w:val="center"/>
              <w:rPr>
                <w:lang w:eastAsia="it-IT"/>
              </w:rPr>
            </w:pPr>
            <w:r w:rsidRPr="007765D1">
              <w:rPr>
                <w:lang w:eastAsia="it-IT"/>
              </w:rPr>
              <w:t>(as at period-end)</w:t>
            </w:r>
          </w:p>
        </w:tc>
        <w:tc>
          <w:tcPr>
            <w:tcW w:w="1701" w:type="dxa"/>
            <w:tcBorders>
              <w:top w:val="single" w:sz="6" w:space="0" w:color="auto"/>
              <w:left w:val="single" w:sz="6" w:space="0" w:color="auto"/>
              <w:bottom w:val="single" w:sz="6" w:space="0" w:color="auto"/>
              <w:right w:val="single" w:sz="6" w:space="0" w:color="auto"/>
            </w:tcBorders>
            <w:vAlign w:val="center"/>
          </w:tcPr>
          <w:p w14:paraId="63A3EB5E" w14:textId="77777777" w:rsidR="00D01C68" w:rsidRDefault="00D01C68" w:rsidP="00EF7D49">
            <w:pPr>
              <w:pStyle w:val="TableText"/>
              <w:snapToGrid w:val="0"/>
              <w:ind w:left="57"/>
              <w:jc w:val="center"/>
              <w:rPr>
                <w:b/>
                <w:lang w:eastAsia="it-IT"/>
              </w:rPr>
            </w:pPr>
            <w:r>
              <w:rPr>
                <w:b/>
                <w:lang w:eastAsia="it-IT"/>
              </w:rPr>
              <w:t>Under regulatory scope of consolidation</w:t>
            </w:r>
          </w:p>
          <w:p w14:paraId="2289586E" w14:textId="77777777" w:rsidR="00D01C68" w:rsidRPr="007765D1" w:rsidRDefault="00D01C68" w:rsidP="00EF7D49">
            <w:pPr>
              <w:pStyle w:val="TableText"/>
              <w:snapToGrid w:val="0"/>
              <w:ind w:left="57"/>
              <w:jc w:val="center"/>
              <w:rPr>
                <w:lang w:eastAsia="it-IT"/>
              </w:rPr>
            </w:pPr>
            <w:r w:rsidRPr="007765D1">
              <w:rPr>
                <w:lang w:eastAsia="it-IT"/>
              </w:rPr>
              <w:t>(as at period-end)</w:t>
            </w:r>
          </w:p>
        </w:tc>
        <w:tc>
          <w:tcPr>
            <w:tcW w:w="1123" w:type="dxa"/>
            <w:tcBorders>
              <w:top w:val="single" w:sz="6" w:space="0" w:color="auto"/>
              <w:left w:val="single" w:sz="6" w:space="0" w:color="auto"/>
              <w:bottom w:val="single" w:sz="6" w:space="0" w:color="auto"/>
              <w:right w:val="single" w:sz="4" w:space="0" w:color="auto"/>
            </w:tcBorders>
            <w:vAlign w:val="center"/>
          </w:tcPr>
          <w:p w14:paraId="0A12414A" w14:textId="77777777" w:rsidR="00D01C68" w:rsidRPr="000513EC" w:rsidRDefault="00D01C68" w:rsidP="00EF7D49">
            <w:pPr>
              <w:pStyle w:val="TableText"/>
              <w:snapToGrid w:val="0"/>
              <w:ind w:left="57"/>
              <w:jc w:val="center"/>
              <w:rPr>
                <w:b/>
                <w:lang w:eastAsia="it-IT"/>
              </w:rPr>
            </w:pPr>
            <w:r>
              <w:rPr>
                <w:b/>
                <w:lang w:eastAsia="it-IT"/>
              </w:rPr>
              <w:t>Reference</w:t>
            </w:r>
          </w:p>
        </w:tc>
      </w:tr>
      <w:tr w:rsidR="00D01C68" w:rsidRPr="0023654F" w14:paraId="0A6377E1" w14:textId="77777777" w:rsidTr="0080192D">
        <w:trPr>
          <w:cantSplit/>
          <w:trHeight w:val="285"/>
        </w:trPr>
        <w:tc>
          <w:tcPr>
            <w:tcW w:w="4820" w:type="dxa"/>
            <w:tcBorders>
              <w:top w:val="single" w:sz="6" w:space="0" w:color="auto"/>
              <w:left w:val="nil"/>
              <w:bottom w:val="single" w:sz="6" w:space="0" w:color="BCBDBC"/>
              <w:right w:val="nil"/>
            </w:tcBorders>
            <w:shd w:val="clear" w:color="auto" w:fill="A6A6A6" w:themeFill="background1" w:themeFillShade="A6"/>
          </w:tcPr>
          <w:p w14:paraId="5EA7E817" w14:textId="77777777" w:rsidR="00D01C68" w:rsidRPr="00445B4A" w:rsidRDefault="00D01C68" w:rsidP="00EF7D49">
            <w:pPr>
              <w:pStyle w:val="TableText"/>
              <w:snapToGrid w:val="0"/>
              <w:ind w:left="57"/>
              <w:rPr>
                <w:b/>
                <w:lang w:eastAsia="it-IT"/>
              </w:rPr>
            </w:pPr>
            <w:r>
              <w:rPr>
                <w:b/>
                <w:lang w:eastAsia="it-IT"/>
              </w:rPr>
              <w:t>Assets</w:t>
            </w:r>
          </w:p>
        </w:tc>
        <w:tc>
          <w:tcPr>
            <w:tcW w:w="1701" w:type="dxa"/>
            <w:tcBorders>
              <w:top w:val="single" w:sz="6" w:space="0" w:color="auto"/>
              <w:left w:val="nil"/>
              <w:bottom w:val="single" w:sz="6" w:space="0" w:color="BCBDBC"/>
              <w:right w:val="nil"/>
            </w:tcBorders>
            <w:shd w:val="clear" w:color="auto" w:fill="A6A6A6" w:themeFill="background1" w:themeFillShade="A6"/>
          </w:tcPr>
          <w:p w14:paraId="6A7F96E4" w14:textId="77777777" w:rsidR="00D01C68" w:rsidRPr="00445B4A" w:rsidRDefault="00D01C68" w:rsidP="00EF7D49">
            <w:pPr>
              <w:pStyle w:val="TableText"/>
              <w:snapToGrid w:val="0"/>
              <w:ind w:left="57" w:rightChars="71" w:right="142"/>
              <w:rPr>
                <w:b/>
                <w:lang w:eastAsia="it-IT"/>
              </w:rPr>
            </w:pPr>
          </w:p>
        </w:tc>
        <w:tc>
          <w:tcPr>
            <w:tcW w:w="1701" w:type="dxa"/>
            <w:tcBorders>
              <w:top w:val="single" w:sz="6" w:space="0" w:color="auto"/>
              <w:left w:val="nil"/>
              <w:bottom w:val="single" w:sz="6" w:space="0" w:color="BCBDBC"/>
              <w:right w:val="nil"/>
            </w:tcBorders>
            <w:shd w:val="clear" w:color="auto" w:fill="A6A6A6" w:themeFill="background1" w:themeFillShade="A6"/>
          </w:tcPr>
          <w:p w14:paraId="3BCC8F2E" w14:textId="77777777" w:rsidR="00D01C68" w:rsidRPr="0023654F" w:rsidRDefault="00D01C68" w:rsidP="00EF7D49">
            <w:pPr>
              <w:pStyle w:val="TableText"/>
              <w:snapToGrid w:val="0"/>
              <w:rPr>
                <w:lang w:eastAsia="it-IT"/>
              </w:rPr>
            </w:pPr>
          </w:p>
        </w:tc>
        <w:tc>
          <w:tcPr>
            <w:tcW w:w="1123" w:type="dxa"/>
            <w:tcBorders>
              <w:top w:val="single" w:sz="6" w:space="0" w:color="auto"/>
              <w:left w:val="nil"/>
              <w:bottom w:val="single" w:sz="6" w:space="0" w:color="BCBDBC"/>
              <w:right w:val="single" w:sz="4" w:space="0" w:color="auto"/>
            </w:tcBorders>
            <w:shd w:val="clear" w:color="auto" w:fill="A6A6A6" w:themeFill="background1" w:themeFillShade="A6"/>
          </w:tcPr>
          <w:p w14:paraId="319DB632" w14:textId="77777777" w:rsidR="00D01C68" w:rsidRPr="0023654F" w:rsidRDefault="00D01C68" w:rsidP="00EF7D49">
            <w:pPr>
              <w:pStyle w:val="TableText"/>
              <w:snapToGrid w:val="0"/>
              <w:jc w:val="center"/>
              <w:rPr>
                <w:lang w:eastAsia="it-IT"/>
              </w:rPr>
            </w:pPr>
          </w:p>
        </w:tc>
      </w:tr>
      <w:tr w:rsidR="00D01C68" w:rsidRPr="0023654F" w14:paraId="0DC37898" w14:textId="77777777" w:rsidTr="0080192D">
        <w:trPr>
          <w:cantSplit/>
          <w:trHeight w:val="285"/>
        </w:trPr>
        <w:tc>
          <w:tcPr>
            <w:tcW w:w="4820" w:type="dxa"/>
            <w:tcBorders>
              <w:top w:val="single" w:sz="6" w:space="0" w:color="auto"/>
              <w:left w:val="nil"/>
              <w:bottom w:val="single" w:sz="6" w:space="0" w:color="auto"/>
              <w:right w:val="single" w:sz="4" w:space="0" w:color="auto"/>
            </w:tcBorders>
            <w:shd w:val="clear" w:color="auto" w:fill="auto"/>
          </w:tcPr>
          <w:p w14:paraId="24FAB2CE" w14:textId="77777777" w:rsidR="00D01C68" w:rsidRPr="008B2E9C" w:rsidRDefault="00D01C68" w:rsidP="00EF7D49">
            <w:pPr>
              <w:pStyle w:val="TableText"/>
              <w:snapToGrid w:val="0"/>
              <w:ind w:left="57"/>
              <w:rPr>
                <w:szCs w:val="17"/>
                <w:lang w:eastAsia="en-GB"/>
              </w:rPr>
            </w:pPr>
            <w:r w:rsidRPr="00FB79AF">
              <w:rPr>
                <w:szCs w:val="17"/>
                <w:lang w:eastAsia="en-GB"/>
              </w:rPr>
              <w:t>Cash and balances at central banks</w:t>
            </w:r>
          </w:p>
        </w:tc>
        <w:tc>
          <w:tcPr>
            <w:tcW w:w="1701" w:type="dxa"/>
            <w:tcBorders>
              <w:top w:val="single" w:sz="6" w:space="0" w:color="auto"/>
              <w:left w:val="single" w:sz="4" w:space="0" w:color="auto"/>
              <w:bottom w:val="single" w:sz="6" w:space="0" w:color="auto"/>
              <w:right w:val="single" w:sz="6" w:space="0" w:color="auto"/>
            </w:tcBorders>
            <w:shd w:val="clear" w:color="auto" w:fill="auto"/>
          </w:tcPr>
          <w:p w14:paraId="40AA47ED" w14:textId="77777777" w:rsidR="00D01C68" w:rsidRPr="00E960C4" w:rsidRDefault="00D01C68" w:rsidP="00EF7D49">
            <w:pPr>
              <w:pStyle w:val="TableText"/>
              <w:snapToGrid w:val="0"/>
              <w:ind w:left="57" w:rightChars="71" w:right="142"/>
              <w:rPr>
                <w:lang w:val="en-US" w:eastAsia="it-IT"/>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5F9626B0" w14:textId="77777777" w:rsidR="00D01C68" w:rsidRPr="0023654F" w:rsidRDefault="00D01C68" w:rsidP="00EF7D49">
            <w:pPr>
              <w:pStyle w:val="TableText"/>
              <w:snapToGrid w:val="0"/>
              <w:jc w:val="center"/>
              <w:rPr>
                <w:lang w:eastAsia="it-IT"/>
              </w:rPr>
            </w:pPr>
          </w:p>
        </w:tc>
        <w:tc>
          <w:tcPr>
            <w:tcW w:w="1123" w:type="dxa"/>
            <w:tcBorders>
              <w:top w:val="single" w:sz="6" w:space="0" w:color="auto"/>
              <w:left w:val="single" w:sz="6" w:space="0" w:color="auto"/>
              <w:bottom w:val="single" w:sz="6" w:space="0" w:color="auto"/>
              <w:right w:val="single" w:sz="4" w:space="0" w:color="auto"/>
            </w:tcBorders>
            <w:shd w:val="clear" w:color="auto" w:fill="auto"/>
          </w:tcPr>
          <w:p w14:paraId="1E5714BE" w14:textId="77777777" w:rsidR="00D01C68" w:rsidRPr="0023654F" w:rsidRDefault="00D01C68" w:rsidP="00EF7D49">
            <w:pPr>
              <w:pStyle w:val="TableText"/>
              <w:snapToGrid w:val="0"/>
              <w:jc w:val="center"/>
              <w:rPr>
                <w:lang w:eastAsia="it-IT"/>
              </w:rPr>
            </w:pPr>
          </w:p>
        </w:tc>
      </w:tr>
      <w:tr w:rsidR="00D01C68" w:rsidRPr="0023654F" w14:paraId="240D5567" w14:textId="77777777" w:rsidTr="0080192D">
        <w:trPr>
          <w:cantSplit/>
          <w:trHeight w:val="285"/>
        </w:trPr>
        <w:tc>
          <w:tcPr>
            <w:tcW w:w="4820" w:type="dxa"/>
            <w:tcBorders>
              <w:top w:val="single" w:sz="6" w:space="0" w:color="auto"/>
              <w:left w:val="nil"/>
              <w:bottom w:val="single" w:sz="6" w:space="0" w:color="auto"/>
              <w:right w:val="single" w:sz="4" w:space="0" w:color="auto"/>
            </w:tcBorders>
            <w:shd w:val="clear" w:color="auto" w:fill="auto"/>
          </w:tcPr>
          <w:p w14:paraId="1EF62235" w14:textId="77777777" w:rsidR="00D01C68" w:rsidRPr="008B2E9C" w:rsidRDefault="00D01C68" w:rsidP="00EF7D49">
            <w:pPr>
              <w:pStyle w:val="TableText"/>
              <w:snapToGrid w:val="0"/>
              <w:ind w:left="57"/>
              <w:rPr>
                <w:szCs w:val="17"/>
                <w:lang w:eastAsia="en-GB"/>
              </w:rPr>
            </w:pPr>
            <w:r w:rsidRPr="00FB79AF">
              <w:rPr>
                <w:szCs w:val="17"/>
                <w:lang w:eastAsia="en-GB"/>
              </w:rPr>
              <w:t>Items in the course of collection from other banks</w:t>
            </w:r>
          </w:p>
        </w:tc>
        <w:tc>
          <w:tcPr>
            <w:tcW w:w="1701" w:type="dxa"/>
            <w:tcBorders>
              <w:top w:val="single" w:sz="6" w:space="0" w:color="auto"/>
              <w:left w:val="single" w:sz="4" w:space="0" w:color="auto"/>
              <w:bottom w:val="single" w:sz="6" w:space="0" w:color="auto"/>
              <w:right w:val="single" w:sz="6" w:space="0" w:color="auto"/>
            </w:tcBorders>
            <w:shd w:val="clear" w:color="auto" w:fill="auto"/>
          </w:tcPr>
          <w:p w14:paraId="638B0D90" w14:textId="77777777" w:rsidR="00D01C68" w:rsidRPr="00E960C4" w:rsidRDefault="00D01C68" w:rsidP="00EF7D49">
            <w:pPr>
              <w:pStyle w:val="TableText"/>
              <w:snapToGrid w:val="0"/>
              <w:ind w:left="57" w:rightChars="71" w:right="142"/>
              <w:rPr>
                <w:lang w:eastAsia="it-IT"/>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689443FF" w14:textId="77777777" w:rsidR="00D01C68" w:rsidRPr="0023654F" w:rsidRDefault="00D01C68" w:rsidP="00EF7D49">
            <w:pPr>
              <w:pStyle w:val="TableText"/>
              <w:snapToGrid w:val="0"/>
              <w:jc w:val="center"/>
              <w:rPr>
                <w:lang w:eastAsia="it-IT"/>
              </w:rPr>
            </w:pPr>
          </w:p>
        </w:tc>
        <w:tc>
          <w:tcPr>
            <w:tcW w:w="1123" w:type="dxa"/>
            <w:tcBorders>
              <w:top w:val="single" w:sz="6" w:space="0" w:color="auto"/>
              <w:left w:val="single" w:sz="6" w:space="0" w:color="auto"/>
              <w:bottom w:val="single" w:sz="6" w:space="0" w:color="auto"/>
              <w:right w:val="single" w:sz="4" w:space="0" w:color="auto"/>
            </w:tcBorders>
            <w:shd w:val="clear" w:color="auto" w:fill="auto"/>
          </w:tcPr>
          <w:p w14:paraId="1B01830D" w14:textId="77777777" w:rsidR="00D01C68" w:rsidRPr="0023654F" w:rsidRDefault="00D01C68" w:rsidP="00EF7D49">
            <w:pPr>
              <w:pStyle w:val="TableText"/>
              <w:snapToGrid w:val="0"/>
              <w:jc w:val="center"/>
              <w:rPr>
                <w:lang w:eastAsia="it-IT"/>
              </w:rPr>
            </w:pPr>
          </w:p>
        </w:tc>
      </w:tr>
      <w:tr w:rsidR="00D01C68" w:rsidRPr="0023654F" w14:paraId="5B3F7C00" w14:textId="77777777" w:rsidTr="0080192D">
        <w:trPr>
          <w:cantSplit/>
          <w:trHeight w:val="285"/>
        </w:trPr>
        <w:tc>
          <w:tcPr>
            <w:tcW w:w="4820" w:type="dxa"/>
            <w:tcBorders>
              <w:top w:val="single" w:sz="6" w:space="0" w:color="auto"/>
              <w:left w:val="nil"/>
              <w:bottom w:val="single" w:sz="6" w:space="0" w:color="auto"/>
              <w:right w:val="single" w:sz="4" w:space="0" w:color="auto"/>
            </w:tcBorders>
            <w:shd w:val="clear" w:color="auto" w:fill="auto"/>
          </w:tcPr>
          <w:p w14:paraId="2E92156E" w14:textId="77777777" w:rsidR="00D01C68" w:rsidRPr="008B2E9C" w:rsidRDefault="00D01C68" w:rsidP="00EF7D49">
            <w:pPr>
              <w:pStyle w:val="TableText"/>
              <w:snapToGrid w:val="0"/>
              <w:ind w:left="57"/>
              <w:rPr>
                <w:szCs w:val="17"/>
                <w:lang w:eastAsia="en-GB"/>
              </w:rPr>
            </w:pPr>
            <w:r w:rsidRPr="00FB79AF">
              <w:rPr>
                <w:szCs w:val="17"/>
                <w:lang w:eastAsia="en-GB"/>
              </w:rPr>
              <w:t>Trading portfolio assets</w:t>
            </w:r>
          </w:p>
        </w:tc>
        <w:tc>
          <w:tcPr>
            <w:tcW w:w="1701" w:type="dxa"/>
            <w:tcBorders>
              <w:top w:val="single" w:sz="6" w:space="0" w:color="auto"/>
              <w:left w:val="single" w:sz="4" w:space="0" w:color="auto"/>
              <w:bottom w:val="single" w:sz="6" w:space="0" w:color="auto"/>
              <w:right w:val="single" w:sz="6" w:space="0" w:color="auto"/>
            </w:tcBorders>
            <w:shd w:val="clear" w:color="auto" w:fill="auto"/>
          </w:tcPr>
          <w:p w14:paraId="354CDB9A" w14:textId="77777777" w:rsidR="00D01C68" w:rsidRPr="00E960C4" w:rsidRDefault="00D01C68" w:rsidP="00EF7D49">
            <w:pPr>
              <w:pStyle w:val="TableText"/>
              <w:snapToGrid w:val="0"/>
              <w:ind w:left="57" w:rightChars="71" w:right="142"/>
              <w:rPr>
                <w:lang w:eastAsia="it-IT"/>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60917717" w14:textId="77777777" w:rsidR="00D01C68" w:rsidRPr="0023654F" w:rsidRDefault="00D01C68" w:rsidP="00EF7D49">
            <w:pPr>
              <w:pStyle w:val="TableText"/>
              <w:snapToGrid w:val="0"/>
              <w:jc w:val="center"/>
              <w:rPr>
                <w:lang w:eastAsia="it-IT"/>
              </w:rPr>
            </w:pPr>
          </w:p>
        </w:tc>
        <w:tc>
          <w:tcPr>
            <w:tcW w:w="1123" w:type="dxa"/>
            <w:tcBorders>
              <w:top w:val="single" w:sz="6" w:space="0" w:color="auto"/>
              <w:left w:val="single" w:sz="6" w:space="0" w:color="auto"/>
              <w:bottom w:val="single" w:sz="6" w:space="0" w:color="auto"/>
              <w:right w:val="single" w:sz="4" w:space="0" w:color="auto"/>
            </w:tcBorders>
            <w:shd w:val="clear" w:color="auto" w:fill="auto"/>
          </w:tcPr>
          <w:p w14:paraId="47928685" w14:textId="77777777" w:rsidR="00D01C68" w:rsidRPr="0023654F" w:rsidRDefault="00D01C68" w:rsidP="00EF7D49">
            <w:pPr>
              <w:pStyle w:val="TableText"/>
              <w:snapToGrid w:val="0"/>
              <w:jc w:val="center"/>
              <w:rPr>
                <w:lang w:eastAsia="it-IT"/>
              </w:rPr>
            </w:pPr>
          </w:p>
        </w:tc>
      </w:tr>
      <w:tr w:rsidR="00D01C68" w:rsidRPr="0023654F" w14:paraId="783A1ACF" w14:textId="77777777" w:rsidTr="0080192D">
        <w:trPr>
          <w:cantSplit/>
          <w:trHeight w:val="285"/>
        </w:trPr>
        <w:tc>
          <w:tcPr>
            <w:tcW w:w="4820" w:type="dxa"/>
            <w:tcBorders>
              <w:top w:val="single" w:sz="6" w:space="0" w:color="auto"/>
              <w:left w:val="nil"/>
              <w:bottom w:val="single" w:sz="6" w:space="0" w:color="auto"/>
              <w:right w:val="single" w:sz="4" w:space="0" w:color="auto"/>
            </w:tcBorders>
            <w:shd w:val="clear" w:color="auto" w:fill="auto"/>
          </w:tcPr>
          <w:p w14:paraId="2D84E41E" w14:textId="77777777" w:rsidR="00D01C68" w:rsidRPr="008B2E9C" w:rsidRDefault="00D01C68" w:rsidP="00EF7D49">
            <w:pPr>
              <w:pStyle w:val="TableText"/>
              <w:snapToGrid w:val="0"/>
              <w:ind w:left="57"/>
              <w:rPr>
                <w:szCs w:val="17"/>
                <w:lang w:eastAsia="en-GB"/>
              </w:rPr>
            </w:pPr>
            <w:r w:rsidRPr="00FB79AF">
              <w:rPr>
                <w:szCs w:val="17"/>
                <w:lang w:eastAsia="en-GB"/>
              </w:rPr>
              <w:t>Financial assets designated at fair value</w:t>
            </w:r>
          </w:p>
        </w:tc>
        <w:tc>
          <w:tcPr>
            <w:tcW w:w="1701" w:type="dxa"/>
            <w:tcBorders>
              <w:top w:val="single" w:sz="6" w:space="0" w:color="auto"/>
              <w:left w:val="single" w:sz="4" w:space="0" w:color="auto"/>
              <w:bottom w:val="single" w:sz="6" w:space="0" w:color="auto"/>
              <w:right w:val="single" w:sz="6" w:space="0" w:color="auto"/>
            </w:tcBorders>
            <w:shd w:val="clear" w:color="auto" w:fill="auto"/>
          </w:tcPr>
          <w:p w14:paraId="5E301DC0" w14:textId="77777777" w:rsidR="00D01C68" w:rsidRPr="00E960C4" w:rsidRDefault="00D01C68" w:rsidP="00EF7D49">
            <w:pPr>
              <w:pStyle w:val="TableText"/>
              <w:snapToGrid w:val="0"/>
              <w:ind w:left="57" w:rightChars="71" w:right="142"/>
              <w:rPr>
                <w:lang w:eastAsia="it-IT"/>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76F23A32" w14:textId="77777777" w:rsidR="00D01C68" w:rsidRPr="0023654F" w:rsidRDefault="00D01C68" w:rsidP="00EF7D49">
            <w:pPr>
              <w:pStyle w:val="TableText"/>
              <w:snapToGrid w:val="0"/>
              <w:jc w:val="center"/>
              <w:rPr>
                <w:lang w:eastAsia="it-IT"/>
              </w:rPr>
            </w:pPr>
          </w:p>
        </w:tc>
        <w:tc>
          <w:tcPr>
            <w:tcW w:w="1123" w:type="dxa"/>
            <w:tcBorders>
              <w:top w:val="single" w:sz="6" w:space="0" w:color="auto"/>
              <w:left w:val="single" w:sz="6" w:space="0" w:color="auto"/>
              <w:bottom w:val="single" w:sz="6" w:space="0" w:color="auto"/>
              <w:right w:val="single" w:sz="4" w:space="0" w:color="auto"/>
            </w:tcBorders>
            <w:shd w:val="clear" w:color="auto" w:fill="auto"/>
          </w:tcPr>
          <w:p w14:paraId="45AF7C23" w14:textId="77777777" w:rsidR="00D01C68" w:rsidRPr="0023654F" w:rsidRDefault="00D01C68" w:rsidP="00EF7D49">
            <w:pPr>
              <w:pStyle w:val="TableText"/>
              <w:snapToGrid w:val="0"/>
              <w:jc w:val="center"/>
              <w:rPr>
                <w:lang w:eastAsia="it-IT"/>
              </w:rPr>
            </w:pPr>
          </w:p>
        </w:tc>
      </w:tr>
      <w:tr w:rsidR="00D01C68" w:rsidRPr="0023654F" w14:paraId="009E1AA2" w14:textId="77777777" w:rsidTr="0080192D">
        <w:trPr>
          <w:cantSplit/>
          <w:trHeight w:val="285"/>
        </w:trPr>
        <w:tc>
          <w:tcPr>
            <w:tcW w:w="4820" w:type="dxa"/>
            <w:tcBorders>
              <w:top w:val="single" w:sz="6" w:space="0" w:color="auto"/>
              <w:left w:val="nil"/>
              <w:bottom w:val="single" w:sz="6" w:space="0" w:color="auto"/>
              <w:right w:val="single" w:sz="4" w:space="0" w:color="auto"/>
            </w:tcBorders>
            <w:shd w:val="clear" w:color="auto" w:fill="auto"/>
          </w:tcPr>
          <w:p w14:paraId="68237E11" w14:textId="77777777" w:rsidR="00D01C68" w:rsidRPr="008B2E9C" w:rsidRDefault="00D01C68" w:rsidP="00EF7D49">
            <w:pPr>
              <w:pStyle w:val="TableText"/>
              <w:snapToGrid w:val="0"/>
              <w:ind w:left="57"/>
              <w:rPr>
                <w:szCs w:val="17"/>
                <w:lang w:eastAsia="en-GB"/>
              </w:rPr>
            </w:pPr>
            <w:r w:rsidRPr="00FB79AF">
              <w:rPr>
                <w:szCs w:val="17"/>
                <w:lang w:eastAsia="en-GB"/>
              </w:rPr>
              <w:t>Derivative financial instruments</w:t>
            </w:r>
          </w:p>
        </w:tc>
        <w:tc>
          <w:tcPr>
            <w:tcW w:w="1701" w:type="dxa"/>
            <w:tcBorders>
              <w:top w:val="single" w:sz="6" w:space="0" w:color="auto"/>
              <w:left w:val="single" w:sz="4" w:space="0" w:color="auto"/>
              <w:bottom w:val="single" w:sz="6" w:space="0" w:color="auto"/>
              <w:right w:val="single" w:sz="6" w:space="0" w:color="auto"/>
            </w:tcBorders>
            <w:shd w:val="clear" w:color="auto" w:fill="auto"/>
          </w:tcPr>
          <w:p w14:paraId="34A85095" w14:textId="77777777" w:rsidR="00D01C68" w:rsidRPr="00E960C4" w:rsidRDefault="00D01C68" w:rsidP="00EF7D49">
            <w:pPr>
              <w:pStyle w:val="TableText"/>
              <w:snapToGrid w:val="0"/>
              <w:ind w:left="57" w:rightChars="71" w:right="142"/>
              <w:rPr>
                <w:lang w:eastAsia="it-IT"/>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38282804" w14:textId="77777777" w:rsidR="00D01C68" w:rsidRPr="0023654F" w:rsidRDefault="00D01C68" w:rsidP="00EF7D49">
            <w:pPr>
              <w:pStyle w:val="TableText"/>
              <w:snapToGrid w:val="0"/>
              <w:jc w:val="center"/>
              <w:rPr>
                <w:lang w:eastAsia="it-IT"/>
              </w:rPr>
            </w:pPr>
          </w:p>
        </w:tc>
        <w:tc>
          <w:tcPr>
            <w:tcW w:w="1123" w:type="dxa"/>
            <w:tcBorders>
              <w:top w:val="single" w:sz="6" w:space="0" w:color="auto"/>
              <w:left w:val="single" w:sz="6" w:space="0" w:color="auto"/>
              <w:bottom w:val="single" w:sz="6" w:space="0" w:color="auto"/>
              <w:right w:val="single" w:sz="4" w:space="0" w:color="auto"/>
            </w:tcBorders>
            <w:shd w:val="clear" w:color="auto" w:fill="auto"/>
          </w:tcPr>
          <w:p w14:paraId="7793EAA8" w14:textId="77777777" w:rsidR="00D01C68" w:rsidRPr="0023654F" w:rsidRDefault="00D01C68" w:rsidP="00EF7D49">
            <w:pPr>
              <w:pStyle w:val="TableText"/>
              <w:snapToGrid w:val="0"/>
              <w:jc w:val="center"/>
              <w:rPr>
                <w:lang w:eastAsia="it-IT"/>
              </w:rPr>
            </w:pPr>
          </w:p>
        </w:tc>
      </w:tr>
      <w:tr w:rsidR="00D01C68" w:rsidRPr="0023654F" w14:paraId="1381298E" w14:textId="77777777" w:rsidTr="0080192D">
        <w:trPr>
          <w:cantSplit/>
          <w:trHeight w:val="285"/>
        </w:trPr>
        <w:tc>
          <w:tcPr>
            <w:tcW w:w="4820" w:type="dxa"/>
            <w:tcBorders>
              <w:top w:val="single" w:sz="6" w:space="0" w:color="auto"/>
              <w:left w:val="nil"/>
              <w:bottom w:val="single" w:sz="6" w:space="0" w:color="auto"/>
              <w:right w:val="single" w:sz="4" w:space="0" w:color="auto"/>
            </w:tcBorders>
            <w:shd w:val="clear" w:color="auto" w:fill="auto"/>
          </w:tcPr>
          <w:p w14:paraId="4C706608" w14:textId="77777777" w:rsidR="00D01C68" w:rsidRPr="008B2E9C" w:rsidRDefault="00D01C68" w:rsidP="00EF7D49">
            <w:pPr>
              <w:pStyle w:val="TableText"/>
              <w:snapToGrid w:val="0"/>
              <w:ind w:left="57"/>
              <w:rPr>
                <w:szCs w:val="17"/>
                <w:lang w:eastAsia="en-GB"/>
              </w:rPr>
            </w:pPr>
            <w:r w:rsidRPr="00FB79AF">
              <w:rPr>
                <w:szCs w:val="17"/>
                <w:lang w:eastAsia="en-GB"/>
              </w:rPr>
              <w:t>Loans and advances to banks</w:t>
            </w:r>
          </w:p>
        </w:tc>
        <w:tc>
          <w:tcPr>
            <w:tcW w:w="1701" w:type="dxa"/>
            <w:tcBorders>
              <w:top w:val="single" w:sz="6" w:space="0" w:color="auto"/>
              <w:left w:val="single" w:sz="4" w:space="0" w:color="auto"/>
              <w:bottom w:val="single" w:sz="6" w:space="0" w:color="auto"/>
              <w:right w:val="single" w:sz="6" w:space="0" w:color="auto"/>
            </w:tcBorders>
            <w:shd w:val="clear" w:color="auto" w:fill="auto"/>
          </w:tcPr>
          <w:p w14:paraId="0F072F0E" w14:textId="77777777" w:rsidR="00D01C68" w:rsidRPr="00E960C4" w:rsidRDefault="00D01C68" w:rsidP="00EF7D49">
            <w:pPr>
              <w:pStyle w:val="TableText"/>
              <w:snapToGrid w:val="0"/>
              <w:ind w:left="57" w:rightChars="71" w:right="142"/>
              <w:rPr>
                <w:lang w:eastAsia="it-IT"/>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21A4EB7A" w14:textId="77777777" w:rsidR="00D01C68" w:rsidRPr="0023654F" w:rsidRDefault="00D01C68" w:rsidP="00EF7D49">
            <w:pPr>
              <w:pStyle w:val="TableText"/>
              <w:snapToGrid w:val="0"/>
              <w:jc w:val="center"/>
              <w:rPr>
                <w:lang w:eastAsia="it-IT"/>
              </w:rPr>
            </w:pPr>
          </w:p>
        </w:tc>
        <w:tc>
          <w:tcPr>
            <w:tcW w:w="1123" w:type="dxa"/>
            <w:tcBorders>
              <w:top w:val="single" w:sz="6" w:space="0" w:color="auto"/>
              <w:left w:val="single" w:sz="6" w:space="0" w:color="auto"/>
              <w:bottom w:val="single" w:sz="6" w:space="0" w:color="auto"/>
              <w:right w:val="single" w:sz="4" w:space="0" w:color="auto"/>
            </w:tcBorders>
            <w:shd w:val="clear" w:color="auto" w:fill="auto"/>
          </w:tcPr>
          <w:p w14:paraId="4EEA746C" w14:textId="77777777" w:rsidR="00D01C68" w:rsidRPr="0023654F" w:rsidRDefault="00D01C68" w:rsidP="00EF7D49">
            <w:pPr>
              <w:pStyle w:val="TableText"/>
              <w:snapToGrid w:val="0"/>
              <w:jc w:val="center"/>
              <w:rPr>
                <w:lang w:eastAsia="it-IT"/>
              </w:rPr>
            </w:pPr>
          </w:p>
        </w:tc>
      </w:tr>
      <w:tr w:rsidR="00D01C68" w:rsidRPr="0023654F" w14:paraId="74305AFD" w14:textId="77777777" w:rsidTr="0080192D">
        <w:trPr>
          <w:cantSplit/>
          <w:trHeight w:val="285"/>
        </w:trPr>
        <w:tc>
          <w:tcPr>
            <w:tcW w:w="4820" w:type="dxa"/>
            <w:tcBorders>
              <w:top w:val="single" w:sz="6" w:space="0" w:color="auto"/>
              <w:left w:val="nil"/>
              <w:bottom w:val="single" w:sz="6" w:space="0" w:color="auto"/>
              <w:right w:val="single" w:sz="4" w:space="0" w:color="auto"/>
            </w:tcBorders>
            <w:shd w:val="clear" w:color="auto" w:fill="auto"/>
          </w:tcPr>
          <w:p w14:paraId="5D23E9A7" w14:textId="77777777" w:rsidR="00D01C68" w:rsidRPr="008B2E9C" w:rsidRDefault="00D01C68" w:rsidP="00EF7D49">
            <w:pPr>
              <w:pStyle w:val="TableText"/>
              <w:snapToGrid w:val="0"/>
              <w:ind w:left="57"/>
              <w:rPr>
                <w:szCs w:val="17"/>
                <w:lang w:eastAsia="en-GB"/>
              </w:rPr>
            </w:pPr>
            <w:r w:rsidRPr="00FB79AF">
              <w:rPr>
                <w:szCs w:val="17"/>
                <w:lang w:eastAsia="en-GB"/>
              </w:rPr>
              <w:t>Loans and advances to customers</w:t>
            </w:r>
          </w:p>
        </w:tc>
        <w:tc>
          <w:tcPr>
            <w:tcW w:w="1701" w:type="dxa"/>
            <w:tcBorders>
              <w:top w:val="single" w:sz="6" w:space="0" w:color="auto"/>
              <w:left w:val="single" w:sz="4" w:space="0" w:color="auto"/>
              <w:bottom w:val="single" w:sz="6" w:space="0" w:color="auto"/>
              <w:right w:val="single" w:sz="6" w:space="0" w:color="auto"/>
            </w:tcBorders>
            <w:shd w:val="clear" w:color="auto" w:fill="auto"/>
          </w:tcPr>
          <w:p w14:paraId="45C786EE" w14:textId="77777777" w:rsidR="00D01C68" w:rsidRPr="00E960C4" w:rsidRDefault="00D01C68" w:rsidP="00EF7D49">
            <w:pPr>
              <w:pStyle w:val="TableText"/>
              <w:snapToGrid w:val="0"/>
              <w:ind w:left="57" w:rightChars="71" w:right="142"/>
              <w:rPr>
                <w:lang w:eastAsia="it-IT"/>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12903B72" w14:textId="77777777" w:rsidR="00D01C68" w:rsidRPr="0023654F" w:rsidRDefault="00D01C68" w:rsidP="00EF7D49">
            <w:pPr>
              <w:pStyle w:val="TableText"/>
              <w:snapToGrid w:val="0"/>
              <w:jc w:val="center"/>
              <w:rPr>
                <w:lang w:eastAsia="it-IT"/>
              </w:rPr>
            </w:pPr>
          </w:p>
        </w:tc>
        <w:tc>
          <w:tcPr>
            <w:tcW w:w="1123" w:type="dxa"/>
            <w:tcBorders>
              <w:top w:val="single" w:sz="6" w:space="0" w:color="auto"/>
              <w:left w:val="single" w:sz="6" w:space="0" w:color="auto"/>
              <w:bottom w:val="single" w:sz="6" w:space="0" w:color="auto"/>
              <w:right w:val="single" w:sz="4" w:space="0" w:color="auto"/>
            </w:tcBorders>
            <w:shd w:val="clear" w:color="auto" w:fill="auto"/>
          </w:tcPr>
          <w:p w14:paraId="424535DE" w14:textId="77777777" w:rsidR="00D01C68" w:rsidRPr="0023654F" w:rsidRDefault="00D01C68" w:rsidP="00EF7D49">
            <w:pPr>
              <w:pStyle w:val="TableText"/>
              <w:snapToGrid w:val="0"/>
              <w:jc w:val="center"/>
              <w:rPr>
                <w:lang w:eastAsia="it-IT"/>
              </w:rPr>
            </w:pPr>
          </w:p>
        </w:tc>
      </w:tr>
      <w:tr w:rsidR="00D01C68" w:rsidRPr="0023654F" w14:paraId="152183A4" w14:textId="77777777" w:rsidTr="0080192D">
        <w:trPr>
          <w:cantSplit/>
          <w:trHeight w:val="285"/>
        </w:trPr>
        <w:tc>
          <w:tcPr>
            <w:tcW w:w="4820" w:type="dxa"/>
            <w:tcBorders>
              <w:top w:val="single" w:sz="6" w:space="0" w:color="auto"/>
              <w:left w:val="nil"/>
              <w:bottom w:val="single" w:sz="6" w:space="0" w:color="auto"/>
              <w:right w:val="single" w:sz="4" w:space="0" w:color="auto"/>
            </w:tcBorders>
            <w:shd w:val="clear" w:color="auto" w:fill="auto"/>
          </w:tcPr>
          <w:p w14:paraId="7E1F97D7" w14:textId="77777777" w:rsidR="00D01C68" w:rsidRPr="008B2E9C" w:rsidRDefault="00D01C68" w:rsidP="00EF7D49">
            <w:pPr>
              <w:pStyle w:val="TableText"/>
              <w:snapToGrid w:val="0"/>
              <w:ind w:left="57"/>
              <w:rPr>
                <w:szCs w:val="17"/>
                <w:lang w:eastAsia="en-GB"/>
              </w:rPr>
            </w:pPr>
            <w:r w:rsidRPr="00FB79AF">
              <w:rPr>
                <w:szCs w:val="17"/>
                <w:lang w:eastAsia="en-GB"/>
              </w:rPr>
              <w:t>Reverse repurchase agreements and other similar secured lending</w:t>
            </w:r>
          </w:p>
        </w:tc>
        <w:tc>
          <w:tcPr>
            <w:tcW w:w="1701" w:type="dxa"/>
            <w:tcBorders>
              <w:top w:val="single" w:sz="6" w:space="0" w:color="auto"/>
              <w:left w:val="single" w:sz="4" w:space="0" w:color="auto"/>
              <w:bottom w:val="single" w:sz="6" w:space="0" w:color="auto"/>
              <w:right w:val="single" w:sz="6" w:space="0" w:color="auto"/>
            </w:tcBorders>
            <w:shd w:val="clear" w:color="auto" w:fill="auto"/>
          </w:tcPr>
          <w:p w14:paraId="1D10FDBB" w14:textId="77777777" w:rsidR="00D01C68" w:rsidRPr="00E960C4" w:rsidRDefault="00D01C68" w:rsidP="00EF7D49">
            <w:pPr>
              <w:pStyle w:val="TableText"/>
              <w:snapToGrid w:val="0"/>
              <w:ind w:left="57" w:rightChars="71" w:right="142"/>
              <w:rPr>
                <w:lang w:eastAsia="it-IT"/>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2FE2B4B1" w14:textId="77777777" w:rsidR="00D01C68" w:rsidRPr="0023654F" w:rsidRDefault="00D01C68" w:rsidP="00EF7D49">
            <w:pPr>
              <w:pStyle w:val="TableText"/>
              <w:snapToGrid w:val="0"/>
              <w:jc w:val="center"/>
              <w:rPr>
                <w:lang w:eastAsia="it-IT"/>
              </w:rPr>
            </w:pPr>
          </w:p>
        </w:tc>
        <w:tc>
          <w:tcPr>
            <w:tcW w:w="1123" w:type="dxa"/>
            <w:tcBorders>
              <w:top w:val="single" w:sz="6" w:space="0" w:color="auto"/>
              <w:left w:val="single" w:sz="6" w:space="0" w:color="auto"/>
              <w:bottom w:val="single" w:sz="6" w:space="0" w:color="auto"/>
              <w:right w:val="single" w:sz="4" w:space="0" w:color="auto"/>
            </w:tcBorders>
            <w:shd w:val="clear" w:color="auto" w:fill="auto"/>
          </w:tcPr>
          <w:p w14:paraId="273AC843" w14:textId="77777777" w:rsidR="00D01C68" w:rsidRPr="0023654F" w:rsidRDefault="00D01C68" w:rsidP="00EF7D49">
            <w:pPr>
              <w:pStyle w:val="TableText"/>
              <w:snapToGrid w:val="0"/>
              <w:jc w:val="center"/>
              <w:rPr>
                <w:lang w:eastAsia="it-IT"/>
              </w:rPr>
            </w:pPr>
          </w:p>
        </w:tc>
      </w:tr>
      <w:tr w:rsidR="00D01C68" w:rsidRPr="0023654F" w14:paraId="4816B842" w14:textId="77777777" w:rsidTr="0080192D">
        <w:trPr>
          <w:cantSplit/>
          <w:trHeight w:val="285"/>
        </w:trPr>
        <w:tc>
          <w:tcPr>
            <w:tcW w:w="4820" w:type="dxa"/>
            <w:tcBorders>
              <w:top w:val="single" w:sz="6" w:space="0" w:color="auto"/>
              <w:left w:val="nil"/>
              <w:bottom w:val="single" w:sz="6" w:space="0" w:color="auto"/>
              <w:right w:val="single" w:sz="4" w:space="0" w:color="auto"/>
            </w:tcBorders>
            <w:shd w:val="clear" w:color="auto" w:fill="auto"/>
          </w:tcPr>
          <w:p w14:paraId="41C3E120" w14:textId="77777777" w:rsidR="00D01C68" w:rsidRPr="008B2E9C" w:rsidRDefault="00D01C68" w:rsidP="00EF7D49">
            <w:pPr>
              <w:pStyle w:val="TableText"/>
              <w:snapToGrid w:val="0"/>
              <w:ind w:left="57"/>
              <w:rPr>
                <w:szCs w:val="17"/>
                <w:lang w:eastAsia="en-GB"/>
              </w:rPr>
            </w:pPr>
            <w:r>
              <w:rPr>
                <w:szCs w:val="17"/>
                <w:lang w:eastAsia="en-GB"/>
              </w:rPr>
              <w:t>F</w:t>
            </w:r>
            <w:r w:rsidRPr="00FB79AF">
              <w:rPr>
                <w:szCs w:val="17"/>
                <w:lang w:eastAsia="en-GB"/>
              </w:rPr>
              <w:t>inancial investments</w:t>
            </w:r>
            <w:r>
              <w:rPr>
                <w:szCs w:val="17"/>
                <w:lang w:eastAsia="en-GB"/>
              </w:rPr>
              <w:t xml:space="preserve"> measured at fair value through other comprehensive income</w:t>
            </w:r>
          </w:p>
        </w:tc>
        <w:tc>
          <w:tcPr>
            <w:tcW w:w="1701" w:type="dxa"/>
            <w:tcBorders>
              <w:top w:val="single" w:sz="6" w:space="0" w:color="auto"/>
              <w:left w:val="single" w:sz="4" w:space="0" w:color="auto"/>
              <w:bottom w:val="single" w:sz="6" w:space="0" w:color="auto"/>
              <w:right w:val="single" w:sz="6" w:space="0" w:color="auto"/>
            </w:tcBorders>
            <w:shd w:val="clear" w:color="auto" w:fill="auto"/>
          </w:tcPr>
          <w:p w14:paraId="12A06B75" w14:textId="77777777" w:rsidR="00D01C68" w:rsidRPr="001300F1" w:rsidRDefault="00D01C68" w:rsidP="00EF7D49">
            <w:pPr>
              <w:pStyle w:val="TableText"/>
              <w:snapToGrid w:val="0"/>
              <w:ind w:left="57" w:rightChars="71" w:right="142"/>
              <w:rPr>
                <w:lang w:eastAsia="it-IT"/>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2F473162" w14:textId="77777777" w:rsidR="00D01C68" w:rsidRPr="0023654F" w:rsidRDefault="00D01C68" w:rsidP="00EF7D49">
            <w:pPr>
              <w:pStyle w:val="TableText"/>
              <w:snapToGrid w:val="0"/>
              <w:jc w:val="center"/>
              <w:rPr>
                <w:lang w:eastAsia="it-IT"/>
              </w:rPr>
            </w:pPr>
          </w:p>
        </w:tc>
        <w:tc>
          <w:tcPr>
            <w:tcW w:w="1123" w:type="dxa"/>
            <w:tcBorders>
              <w:top w:val="single" w:sz="6" w:space="0" w:color="auto"/>
              <w:left w:val="single" w:sz="6" w:space="0" w:color="auto"/>
              <w:bottom w:val="single" w:sz="6" w:space="0" w:color="auto"/>
              <w:right w:val="single" w:sz="4" w:space="0" w:color="auto"/>
            </w:tcBorders>
            <w:shd w:val="clear" w:color="auto" w:fill="auto"/>
          </w:tcPr>
          <w:p w14:paraId="593E5A30" w14:textId="77777777" w:rsidR="00D01C68" w:rsidRPr="0023654F" w:rsidRDefault="00D01C68" w:rsidP="00EF7D49">
            <w:pPr>
              <w:pStyle w:val="TableText"/>
              <w:snapToGrid w:val="0"/>
              <w:jc w:val="center"/>
              <w:rPr>
                <w:lang w:eastAsia="it-IT"/>
              </w:rPr>
            </w:pPr>
          </w:p>
        </w:tc>
      </w:tr>
      <w:tr w:rsidR="00D01C68" w:rsidRPr="0023654F" w14:paraId="07EAB0F4" w14:textId="77777777" w:rsidTr="0080192D">
        <w:trPr>
          <w:cantSplit/>
          <w:trHeight w:val="285"/>
        </w:trPr>
        <w:tc>
          <w:tcPr>
            <w:tcW w:w="4820" w:type="dxa"/>
            <w:tcBorders>
              <w:top w:val="single" w:sz="6" w:space="0" w:color="auto"/>
              <w:left w:val="nil"/>
              <w:bottom w:val="single" w:sz="6" w:space="0" w:color="auto"/>
              <w:right w:val="single" w:sz="4" w:space="0" w:color="auto"/>
            </w:tcBorders>
            <w:shd w:val="clear" w:color="auto" w:fill="auto"/>
          </w:tcPr>
          <w:p w14:paraId="2AA78722" w14:textId="77777777" w:rsidR="00D01C68" w:rsidRPr="008B2E9C" w:rsidRDefault="00D01C68" w:rsidP="00EF7D49">
            <w:pPr>
              <w:pStyle w:val="TableText"/>
              <w:snapToGrid w:val="0"/>
              <w:ind w:left="57"/>
              <w:rPr>
                <w:szCs w:val="17"/>
                <w:lang w:eastAsia="en-GB"/>
              </w:rPr>
            </w:pPr>
            <w:r w:rsidRPr="00FB79AF">
              <w:rPr>
                <w:szCs w:val="17"/>
                <w:lang w:eastAsia="en-GB"/>
              </w:rPr>
              <w:t>Current and deferred tax assets</w:t>
            </w:r>
          </w:p>
        </w:tc>
        <w:tc>
          <w:tcPr>
            <w:tcW w:w="1701" w:type="dxa"/>
            <w:tcBorders>
              <w:top w:val="single" w:sz="6" w:space="0" w:color="auto"/>
              <w:left w:val="single" w:sz="4" w:space="0" w:color="auto"/>
              <w:bottom w:val="single" w:sz="6" w:space="0" w:color="auto"/>
              <w:right w:val="single" w:sz="6" w:space="0" w:color="auto"/>
            </w:tcBorders>
            <w:shd w:val="clear" w:color="auto" w:fill="auto"/>
          </w:tcPr>
          <w:p w14:paraId="77F7DDF1" w14:textId="77777777" w:rsidR="00D01C68" w:rsidRPr="00E960C4" w:rsidRDefault="00D01C68" w:rsidP="00EF7D49">
            <w:pPr>
              <w:pStyle w:val="TableText"/>
              <w:snapToGrid w:val="0"/>
              <w:ind w:left="57" w:rightChars="71" w:right="142"/>
              <w:rPr>
                <w:lang w:eastAsia="it-IT"/>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7B0A6866" w14:textId="77777777" w:rsidR="00D01C68" w:rsidRPr="0023654F" w:rsidRDefault="00D01C68" w:rsidP="00EF7D49">
            <w:pPr>
              <w:pStyle w:val="TableText"/>
              <w:snapToGrid w:val="0"/>
              <w:jc w:val="center"/>
              <w:rPr>
                <w:lang w:eastAsia="it-IT"/>
              </w:rPr>
            </w:pPr>
          </w:p>
        </w:tc>
        <w:tc>
          <w:tcPr>
            <w:tcW w:w="1123" w:type="dxa"/>
            <w:tcBorders>
              <w:top w:val="single" w:sz="6" w:space="0" w:color="auto"/>
              <w:left w:val="single" w:sz="6" w:space="0" w:color="auto"/>
              <w:bottom w:val="single" w:sz="6" w:space="0" w:color="auto"/>
              <w:right w:val="single" w:sz="4" w:space="0" w:color="auto"/>
            </w:tcBorders>
            <w:shd w:val="clear" w:color="auto" w:fill="auto"/>
          </w:tcPr>
          <w:p w14:paraId="59540903" w14:textId="77777777" w:rsidR="00D01C68" w:rsidRPr="0023654F" w:rsidRDefault="00D01C68" w:rsidP="00EF7D49">
            <w:pPr>
              <w:pStyle w:val="TableText"/>
              <w:snapToGrid w:val="0"/>
              <w:jc w:val="center"/>
              <w:rPr>
                <w:lang w:eastAsia="it-IT"/>
              </w:rPr>
            </w:pPr>
          </w:p>
        </w:tc>
      </w:tr>
      <w:tr w:rsidR="00D01C68" w:rsidRPr="0023654F" w14:paraId="27D4099C" w14:textId="77777777" w:rsidTr="0080192D">
        <w:trPr>
          <w:cantSplit/>
          <w:trHeight w:val="285"/>
        </w:trPr>
        <w:tc>
          <w:tcPr>
            <w:tcW w:w="4820" w:type="dxa"/>
            <w:tcBorders>
              <w:top w:val="single" w:sz="6" w:space="0" w:color="auto"/>
              <w:left w:val="nil"/>
              <w:bottom w:val="single" w:sz="6" w:space="0" w:color="auto"/>
              <w:right w:val="single" w:sz="4" w:space="0" w:color="auto"/>
            </w:tcBorders>
            <w:shd w:val="clear" w:color="auto" w:fill="auto"/>
          </w:tcPr>
          <w:p w14:paraId="51933397" w14:textId="77777777" w:rsidR="00D01C68" w:rsidRPr="008B2E9C" w:rsidRDefault="00D01C68" w:rsidP="00EF7D49">
            <w:pPr>
              <w:pStyle w:val="TableText"/>
              <w:snapToGrid w:val="0"/>
              <w:ind w:left="57"/>
              <w:rPr>
                <w:szCs w:val="17"/>
                <w:lang w:eastAsia="en-GB"/>
              </w:rPr>
            </w:pPr>
            <w:r w:rsidRPr="00FB79AF">
              <w:rPr>
                <w:szCs w:val="17"/>
                <w:lang w:eastAsia="en-GB"/>
              </w:rPr>
              <w:lastRenderedPageBreak/>
              <w:t>Prepayments, accrued income and other assets</w:t>
            </w:r>
          </w:p>
        </w:tc>
        <w:tc>
          <w:tcPr>
            <w:tcW w:w="1701" w:type="dxa"/>
            <w:tcBorders>
              <w:top w:val="single" w:sz="6" w:space="0" w:color="auto"/>
              <w:left w:val="single" w:sz="4" w:space="0" w:color="auto"/>
              <w:bottom w:val="single" w:sz="6" w:space="0" w:color="auto"/>
              <w:right w:val="single" w:sz="6" w:space="0" w:color="auto"/>
            </w:tcBorders>
            <w:shd w:val="clear" w:color="auto" w:fill="auto"/>
          </w:tcPr>
          <w:p w14:paraId="172F157A" w14:textId="77777777" w:rsidR="00D01C68" w:rsidRPr="00E960C4" w:rsidRDefault="00D01C68" w:rsidP="00EF7D49">
            <w:pPr>
              <w:pStyle w:val="TableText"/>
              <w:snapToGrid w:val="0"/>
              <w:ind w:left="57" w:rightChars="71" w:right="142"/>
              <w:rPr>
                <w:lang w:eastAsia="it-IT"/>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0457B933" w14:textId="77777777" w:rsidR="00D01C68" w:rsidRPr="0023654F" w:rsidRDefault="00D01C68" w:rsidP="00EF7D49">
            <w:pPr>
              <w:pStyle w:val="TableText"/>
              <w:snapToGrid w:val="0"/>
              <w:jc w:val="center"/>
              <w:rPr>
                <w:lang w:eastAsia="it-IT"/>
              </w:rPr>
            </w:pPr>
          </w:p>
        </w:tc>
        <w:tc>
          <w:tcPr>
            <w:tcW w:w="1123" w:type="dxa"/>
            <w:tcBorders>
              <w:top w:val="single" w:sz="6" w:space="0" w:color="auto"/>
              <w:left w:val="single" w:sz="6" w:space="0" w:color="auto"/>
              <w:bottom w:val="single" w:sz="6" w:space="0" w:color="auto"/>
              <w:right w:val="single" w:sz="4" w:space="0" w:color="auto"/>
            </w:tcBorders>
            <w:shd w:val="clear" w:color="auto" w:fill="auto"/>
          </w:tcPr>
          <w:p w14:paraId="34687EC5" w14:textId="77777777" w:rsidR="00D01C68" w:rsidRPr="0023654F" w:rsidRDefault="00D01C68" w:rsidP="00EF7D49">
            <w:pPr>
              <w:pStyle w:val="TableText"/>
              <w:snapToGrid w:val="0"/>
              <w:jc w:val="center"/>
              <w:rPr>
                <w:lang w:eastAsia="it-IT"/>
              </w:rPr>
            </w:pPr>
          </w:p>
        </w:tc>
      </w:tr>
      <w:tr w:rsidR="00D01C68" w:rsidRPr="0023654F" w14:paraId="70B7FFFE" w14:textId="77777777" w:rsidTr="0080192D">
        <w:trPr>
          <w:cantSplit/>
          <w:trHeight w:val="285"/>
        </w:trPr>
        <w:tc>
          <w:tcPr>
            <w:tcW w:w="4820" w:type="dxa"/>
            <w:tcBorders>
              <w:top w:val="single" w:sz="6" w:space="0" w:color="auto"/>
              <w:left w:val="nil"/>
              <w:bottom w:val="single" w:sz="6" w:space="0" w:color="auto"/>
              <w:right w:val="single" w:sz="4" w:space="0" w:color="auto"/>
            </w:tcBorders>
            <w:shd w:val="clear" w:color="auto" w:fill="auto"/>
          </w:tcPr>
          <w:p w14:paraId="0C816870" w14:textId="77777777" w:rsidR="00D01C68" w:rsidRPr="008B2E9C" w:rsidRDefault="00D01C68" w:rsidP="00EF7D49">
            <w:pPr>
              <w:pStyle w:val="TableText"/>
              <w:snapToGrid w:val="0"/>
              <w:ind w:left="57"/>
              <w:rPr>
                <w:szCs w:val="17"/>
                <w:lang w:eastAsia="en-GB"/>
              </w:rPr>
            </w:pPr>
            <w:r w:rsidRPr="00FB79AF">
              <w:rPr>
                <w:szCs w:val="17"/>
                <w:lang w:eastAsia="en-GB"/>
              </w:rPr>
              <w:t>Investments in associates and joint ventures</w:t>
            </w:r>
          </w:p>
        </w:tc>
        <w:tc>
          <w:tcPr>
            <w:tcW w:w="1701" w:type="dxa"/>
            <w:tcBorders>
              <w:top w:val="single" w:sz="6" w:space="0" w:color="auto"/>
              <w:left w:val="single" w:sz="4" w:space="0" w:color="auto"/>
              <w:bottom w:val="single" w:sz="6" w:space="0" w:color="auto"/>
              <w:right w:val="single" w:sz="6" w:space="0" w:color="auto"/>
            </w:tcBorders>
            <w:shd w:val="clear" w:color="auto" w:fill="auto"/>
          </w:tcPr>
          <w:p w14:paraId="5B903E18" w14:textId="77777777" w:rsidR="00D01C68" w:rsidRPr="00E960C4" w:rsidRDefault="00D01C68" w:rsidP="00EF7D49">
            <w:pPr>
              <w:pStyle w:val="TableText"/>
              <w:snapToGrid w:val="0"/>
              <w:ind w:left="57" w:rightChars="71" w:right="142"/>
              <w:rPr>
                <w:lang w:eastAsia="it-IT"/>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47AAFB68" w14:textId="77777777" w:rsidR="00D01C68" w:rsidRPr="0023654F" w:rsidRDefault="00D01C68" w:rsidP="00EF7D49">
            <w:pPr>
              <w:pStyle w:val="TableText"/>
              <w:snapToGrid w:val="0"/>
              <w:jc w:val="center"/>
              <w:rPr>
                <w:lang w:eastAsia="it-IT"/>
              </w:rPr>
            </w:pPr>
          </w:p>
        </w:tc>
        <w:tc>
          <w:tcPr>
            <w:tcW w:w="1123" w:type="dxa"/>
            <w:tcBorders>
              <w:top w:val="single" w:sz="6" w:space="0" w:color="auto"/>
              <w:left w:val="single" w:sz="6" w:space="0" w:color="auto"/>
              <w:bottom w:val="single" w:sz="6" w:space="0" w:color="auto"/>
              <w:right w:val="single" w:sz="4" w:space="0" w:color="auto"/>
            </w:tcBorders>
            <w:shd w:val="clear" w:color="auto" w:fill="auto"/>
          </w:tcPr>
          <w:p w14:paraId="057B92B6" w14:textId="77777777" w:rsidR="00D01C68" w:rsidRPr="0023654F" w:rsidRDefault="00D01C68" w:rsidP="00EF7D49">
            <w:pPr>
              <w:pStyle w:val="TableText"/>
              <w:snapToGrid w:val="0"/>
              <w:jc w:val="center"/>
              <w:rPr>
                <w:lang w:eastAsia="it-IT"/>
              </w:rPr>
            </w:pPr>
          </w:p>
        </w:tc>
      </w:tr>
      <w:tr w:rsidR="00D01C68" w:rsidRPr="0023654F" w14:paraId="5716FD9E" w14:textId="77777777" w:rsidTr="0080192D">
        <w:trPr>
          <w:cantSplit/>
          <w:trHeight w:val="285"/>
        </w:trPr>
        <w:tc>
          <w:tcPr>
            <w:tcW w:w="4820" w:type="dxa"/>
            <w:tcBorders>
              <w:top w:val="single" w:sz="6" w:space="0" w:color="auto"/>
              <w:left w:val="nil"/>
              <w:bottom w:val="single" w:sz="6" w:space="0" w:color="auto"/>
              <w:right w:val="single" w:sz="4" w:space="0" w:color="auto"/>
            </w:tcBorders>
            <w:shd w:val="clear" w:color="auto" w:fill="auto"/>
          </w:tcPr>
          <w:p w14:paraId="5DE4B619" w14:textId="77777777" w:rsidR="00D01C68" w:rsidRPr="008B2E9C" w:rsidRDefault="00D01C68" w:rsidP="00EF7D49">
            <w:pPr>
              <w:pStyle w:val="TableText"/>
              <w:snapToGrid w:val="0"/>
              <w:ind w:left="57"/>
              <w:rPr>
                <w:szCs w:val="17"/>
                <w:lang w:eastAsia="en-GB"/>
              </w:rPr>
            </w:pPr>
            <w:r w:rsidRPr="00FB79AF">
              <w:rPr>
                <w:szCs w:val="17"/>
                <w:lang w:eastAsia="en-GB"/>
              </w:rPr>
              <w:t>Goodwill and intangible assets</w:t>
            </w:r>
          </w:p>
        </w:tc>
        <w:tc>
          <w:tcPr>
            <w:tcW w:w="1701" w:type="dxa"/>
            <w:tcBorders>
              <w:top w:val="single" w:sz="6" w:space="0" w:color="auto"/>
              <w:left w:val="single" w:sz="4" w:space="0" w:color="auto"/>
              <w:bottom w:val="single" w:sz="6" w:space="0" w:color="auto"/>
              <w:right w:val="single" w:sz="6" w:space="0" w:color="auto"/>
            </w:tcBorders>
            <w:shd w:val="clear" w:color="auto" w:fill="auto"/>
          </w:tcPr>
          <w:p w14:paraId="2A2ABC9E" w14:textId="77777777" w:rsidR="00D01C68" w:rsidRPr="00E960C4" w:rsidRDefault="00D01C68" w:rsidP="00EF7D49">
            <w:pPr>
              <w:pStyle w:val="TableText"/>
              <w:snapToGrid w:val="0"/>
              <w:ind w:left="57" w:rightChars="71" w:right="142"/>
              <w:rPr>
                <w:lang w:eastAsia="it-IT"/>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4492C394" w14:textId="77777777" w:rsidR="00D01C68" w:rsidRPr="0023654F" w:rsidRDefault="00D01C68" w:rsidP="00EF7D49">
            <w:pPr>
              <w:pStyle w:val="TableText"/>
              <w:snapToGrid w:val="0"/>
              <w:jc w:val="center"/>
              <w:rPr>
                <w:lang w:eastAsia="it-IT"/>
              </w:rPr>
            </w:pPr>
          </w:p>
        </w:tc>
        <w:tc>
          <w:tcPr>
            <w:tcW w:w="1123" w:type="dxa"/>
            <w:tcBorders>
              <w:top w:val="single" w:sz="6" w:space="0" w:color="auto"/>
              <w:left w:val="single" w:sz="6" w:space="0" w:color="auto"/>
              <w:bottom w:val="single" w:sz="6" w:space="0" w:color="auto"/>
              <w:right w:val="single" w:sz="4" w:space="0" w:color="auto"/>
            </w:tcBorders>
            <w:shd w:val="clear" w:color="auto" w:fill="auto"/>
          </w:tcPr>
          <w:p w14:paraId="4D65D7DC" w14:textId="77777777" w:rsidR="00D01C68" w:rsidRPr="0023654F" w:rsidRDefault="00D01C68" w:rsidP="00EF7D49">
            <w:pPr>
              <w:pStyle w:val="TableText"/>
              <w:snapToGrid w:val="0"/>
              <w:jc w:val="center"/>
              <w:rPr>
                <w:lang w:eastAsia="it-IT"/>
              </w:rPr>
            </w:pPr>
          </w:p>
        </w:tc>
      </w:tr>
      <w:tr w:rsidR="00D01C68" w:rsidRPr="0023654F" w14:paraId="64DF277B" w14:textId="77777777" w:rsidTr="0080192D">
        <w:trPr>
          <w:cantSplit/>
          <w:trHeight w:val="285"/>
        </w:trPr>
        <w:tc>
          <w:tcPr>
            <w:tcW w:w="4820" w:type="dxa"/>
            <w:tcBorders>
              <w:top w:val="single" w:sz="6" w:space="0" w:color="auto"/>
              <w:left w:val="nil"/>
              <w:bottom w:val="single" w:sz="6" w:space="0" w:color="auto"/>
              <w:right w:val="single" w:sz="4" w:space="0" w:color="auto"/>
            </w:tcBorders>
            <w:shd w:val="clear" w:color="auto" w:fill="auto"/>
          </w:tcPr>
          <w:p w14:paraId="280C896A" w14:textId="77777777" w:rsidR="00D01C68" w:rsidRPr="008B2E9C" w:rsidRDefault="00D01C68" w:rsidP="00EF7D49">
            <w:pPr>
              <w:pStyle w:val="TableText"/>
              <w:snapToGrid w:val="0"/>
              <w:ind w:leftChars="29" w:left="425" w:hangingChars="216" w:hanging="367"/>
              <w:rPr>
                <w:szCs w:val="17"/>
                <w:lang w:eastAsia="en-GB"/>
              </w:rPr>
            </w:pPr>
            <w:r>
              <w:rPr>
                <w:szCs w:val="17"/>
                <w:lang w:eastAsia="en-GB"/>
              </w:rPr>
              <w:tab/>
            </w:r>
            <w:r w:rsidRPr="00FB79AF">
              <w:rPr>
                <w:szCs w:val="17"/>
                <w:lang w:eastAsia="en-GB"/>
              </w:rPr>
              <w:t>Of which: goodwill</w:t>
            </w:r>
          </w:p>
        </w:tc>
        <w:tc>
          <w:tcPr>
            <w:tcW w:w="1701" w:type="dxa"/>
            <w:tcBorders>
              <w:top w:val="single" w:sz="6" w:space="0" w:color="auto"/>
              <w:left w:val="single" w:sz="4" w:space="0" w:color="auto"/>
              <w:bottom w:val="single" w:sz="6" w:space="0" w:color="auto"/>
              <w:right w:val="single" w:sz="6" w:space="0" w:color="auto"/>
            </w:tcBorders>
            <w:shd w:val="clear" w:color="auto" w:fill="auto"/>
          </w:tcPr>
          <w:p w14:paraId="04007A62" w14:textId="77777777" w:rsidR="00D01C68" w:rsidRPr="00E960C4" w:rsidRDefault="00D01C68" w:rsidP="00EF7D49">
            <w:pPr>
              <w:pStyle w:val="TableText"/>
              <w:snapToGrid w:val="0"/>
              <w:ind w:left="57" w:rightChars="71" w:right="142"/>
              <w:rPr>
                <w:lang w:eastAsia="it-IT"/>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2163B109" w14:textId="77777777" w:rsidR="00D01C68" w:rsidRPr="0023654F" w:rsidRDefault="00D01C68" w:rsidP="00EF7D49">
            <w:pPr>
              <w:pStyle w:val="TableText"/>
              <w:snapToGrid w:val="0"/>
              <w:jc w:val="center"/>
              <w:rPr>
                <w:lang w:eastAsia="it-IT"/>
              </w:rPr>
            </w:pPr>
          </w:p>
        </w:tc>
        <w:tc>
          <w:tcPr>
            <w:tcW w:w="1123" w:type="dxa"/>
            <w:tcBorders>
              <w:top w:val="single" w:sz="6" w:space="0" w:color="auto"/>
              <w:left w:val="single" w:sz="6" w:space="0" w:color="auto"/>
              <w:bottom w:val="single" w:sz="6" w:space="0" w:color="auto"/>
              <w:right w:val="single" w:sz="4" w:space="0" w:color="auto"/>
            </w:tcBorders>
            <w:shd w:val="clear" w:color="auto" w:fill="auto"/>
          </w:tcPr>
          <w:p w14:paraId="088B58ED" w14:textId="77777777" w:rsidR="00D01C68" w:rsidRPr="0023654F" w:rsidRDefault="00D01C68" w:rsidP="00EF7D49">
            <w:pPr>
              <w:pStyle w:val="TableText"/>
              <w:snapToGrid w:val="0"/>
              <w:jc w:val="center"/>
              <w:rPr>
                <w:lang w:eastAsia="it-IT"/>
              </w:rPr>
            </w:pPr>
            <w:r>
              <w:rPr>
                <w:lang w:eastAsia="it-IT"/>
              </w:rPr>
              <w:t>[</w:t>
            </w:r>
            <w:r w:rsidRPr="00FB79AF">
              <w:rPr>
                <w:lang w:eastAsia="it-IT"/>
              </w:rPr>
              <w:t>a</w:t>
            </w:r>
            <w:r>
              <w:rPr>
                <w:lang w:eastAsia="it-IT"/>
              </w:rPr>
              <w:t>]</w:t>
            </w:r>
          </w:p>
        </w:tc>
      </w:tr>
      <w:tr w:rsidR="00D01C68" w:rsidRPr="0023654F" w14:paraId="44B0BA33" w14:textId="77777777" w:rsidTr="0080192D">
        <w:trPr>
          <w:cantSplit/>
          <w:trHeight w:val="285"/>
        </w:trPr>
        <w:tc>
          <w:tcPr>
            <w:tcW w:w="4820" w:type="dxa"/>
            <w:tcBorders>
              <w:top w:val="single" w:sz="6" w:space="0" w:color="auto"/>
              <w:left w:val="nil"/>
              <w:bottom w:val="single" w:sz="6" w:space="0" w:color="auto"/>
              <w:right w:val="single" w:sz="4" w:space="0" w:color="auto"/>
            </w:tcBorders>
            <w:shd w:val="clear" w:color="auto" w:fill="auto"/>
          </w:tcPr>
          <w:p w14:paraId="5FFA7A0A" w14:textId="77777777" w:rsidR="00D01C68" w:rsidRPr="008B2E9C" w:rsidRDefault="00D01C68" w:rsidP="00EF7D49">
            <w:pPr>
              <w:pStyle w:val="TableText"/>
              <w:snapToGrid w:val="0"/>
              <w:ind w:leftChars="29" w:left="425" w:hangingChars="216" w:hanging="367"/>
              <w:rPr>
                <w:szCs w:val="17"/>
                <w:lang w:eastAsia="en-GB"/>
              </w:rPr>
            </w:pPr>
            <w:r>
              <w:rPr>
                <w:szCs w:val="17"/>
                <w:lang w:eastAsia="en-GB"/>
              </w:rPr>
              <w:tab/>
            </w:r>
            <w:r w:rsidRPr="00FB79AF">
              <w:rPr>
                <w:szCs w:val="17"/>
                <w:lang w:eastAsia="en-GB"/>
              </w:rPr>
              <w:t>Of which: other intangibles</w:t>
            </w:r>
            <w:r>
              <w:rPr>
                <w:szCs w:val="17"/>
                <w:lang w:eastAsia="en-GB"/>
              </w:rPr>
              <w:t xml:space="preserve"> assets</w:t>
            </w:r>
          </w:p>
        </w:tc>
        <w:tc>
          <w:tcPr>
            <w:tcW w:w="1701" w:type="dxa"/>
            <w:tcBorders>
              <w:top w:val="single" w:sz="6" w:space="0" w:color="auto"/>
              <w:left w:val="single" w:sz="4" w:space="0" w:color="auto"/>
              <w:bottom w:val="single" w:sz="6" w:space="0" w:color="auto"/>
              <w:right w:val="single" w:sz="6" w:space="0" w:color="auto"/>
            </w:tcBorders>
            <w:shd w:val="clear" w:color="auto" w:fill="auto"/>
          </w:tcPr>
          <w:p w14:paraId="2728C21A" w14:textId="77777777" w:rsidR="00D01C68" w:rsidRPr="00E960C4" w:rsidRDefault="00D01C68" w:rsidP="00EF7D49">
            <w:pPr>
              <w:pStyle w:val="TableText"/>
              <w:snapToGrid w:val="0"/>
              <w:ind w:left="57" w:rightChars="71" w:right="142"/>
              <w:rPr>
                <w:lang w:eastAsia="it-IT"/>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61AB2B92" w14:textId="77777777" w:rsidR="00D01C68" w:rsidRPr="0023654F" w:rsidRDefault="00D01C68" w:rsidP="00EF7D49">
            <w:pPr>
              <w:pStyle w:val="TableText"/>
              <w:snapToGrid w:val="0"/>
              <w:jc w:val="center"/>
              <w:rPr>
                <w:lang w:eastAsia="it-IT"/>
              </w:rPr>
            </w:pPr>
          </w:p>
        </w:tc>
        <w:tc>
          <w:tcPr>
            <w:tcW w:w="1123" w:type="dxa"/>
            <w:tcBorders>
              <w:top w:val="single" w:sz="6" w:space="0" w:color="auto"/>
              <w:left w:val="single" w:sz="6" w:space="0" w:color="auto"/>
              <w:bottom w:val="single" w:sz="6" w:space="0" w:color="auto"/>
              <w:right w:val="single" w:sz="4" w:space="0" w:color="auto"/>
            </w:tcBorders>
            <w:shd w:val="clear" w:color="auto" w:fill="auto"/>
          </w:tcPr>
          <w:p w14:paraId="7EB36EDB" w14:textId="77777777" w:rsidR="00D01C68" w:rsidRPr="0023654F" w:rsidRDefault="00D01C68" w:rsidP="00EF7D49">
            <w:pPr>
              <w:pStyle w:val="TableText"/>
              <w:snapToGrid w:val="0"/>
              <w:jc w:val="center"/>
              <w:rPr>
                <w:lang w:eastAsia="it-IT"/>
              </w:rPr>
            </w:pPr>
            <w:r>
              <w:rPr>
                <w:lang w:eastAsia="it-IT"/>
              </w:rPr>
              <w:t>[</w:t>
            </w:r>
            <w:r w:rsidRPr="00FB79AF">
              <w:rPr>
                <w:lang w:eastAsia="it-IT"/>
              </w:rPr>
              <w:t>b</w:t>
            </w:r>
            <w:r>
              <w:rPr>
                <w:lang w:eastAsia="it-IT"/>
              </w:rPr>
              <w:t>]</w:t>
            </w:r>
          </w:p>
        </w:tc>
      </w:tr>
      <w:tr w:rsidR="00D01C68" w:rsidRPr="0023654F" w14:paraId="6E367934" w14:textId="77777777" w:rsidTr="0080192D">
        <w:trPr>
          <w:cantSplit/>
          <w:trHeight w:val="285"/>
        </w:trPr>
        <w:tc>
          <w:tcPr>
            <w:tcW w:w="4820" w:type="dxa"/>
            <w:tcBorders>
              <w:top w:val="single" w:sz="6" w:space="0" w:color="auto"/>
              <w:left w:val="nil"/>
              <w:bottom w:val="single" w:sz="6" w:space="0" w:color="auto"/>
              <w:right w:val="single" w:sz="4" w:space="0" w:color="auto"/>
            </w:tcBorders>
            <w:shd w:val="clear" w:color="auto" w:fill="auto"/>
          </w:tcPr>
          <w:p w14:paraId="4AE40D12" w14:textId="77777777" w:rsidR="00D01C68" w:rsidRPr="008B2E9C" w:rsidRDefault="00D01C68" w:rsidP="00EF7D49">
            <w:pPr>
              <w:pStyle w:val="TableText"/>
              <w:snapToGrid w:val="0"/>
              <w:ind w:left="57"/>
              <w:rPr>
                <w:szCs w:val="17"/>
                <w:lang w:eastAsia="en-GB"/>
              </w:rPr>
            </w:pPr>
            <w:r w:rsidRPr="00FB79AF">
              <w:rPr>
                <w:szCs w:val="17"/>
                <w:lang w:eastAsia="en-GB"/>
              </w:rPr>
              <w:t>Property, plant and equipment</w:t>
            </w:r>
          </w:p>
        </w:tc>
        <w:tc>
          <w:tcPr>
            <w:tcW w:w="1701" w:type="dxa"/>
            <w:tcBorders>
              <w:top w:val="single" w:sz="6" w:space="0" w:color="auto"/>
              <w:left w:val="single" w:sz="4" w:space="0" w:color="auto"/>
              <w:bottom w:val="single" w:sz="6" w:space="0" w:color="auto"/>
              <w:right w:val="single" w:sz="6" w:space="0" w:color="auto"/>
            </w:tcBorders>
            <w:shd w:val="clear" w:color="auto" w:fill="auto"/>
          </w:tcPr>
          <w:p w14:paraId="29D63D83" w14:textId="77777777" w:rsidR="00D01C68" w:rsidRPr="00E960C4" w:rsidRDefault="00D01C68" w:rsidP="00EF7D49">
            <w:pPr>
              <w:pStyle w:val="TableText"/>
              <w:snapToGrid w:val="0"/>
              <w:ind w:left="57" w:rightChars="71" w:right="142"/>
              <w:rPr>
                <w:lang w:eastAsia="it-IT"/>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1B02997E" w14:textId="77777777" w:rsidR="00D01C68" w:rsidRPr="0023654F" w:rsidRDefault="00D01C68" w:rsidP="00EF7D49">
            <w:pPr>
              <w:pStyle w:val="TableText"/>
              <w:snapToGrid w:val="0"/>
              <w:jc w:val="center"/>
              <w:rPr>
                <w:lang w:eastAsia="it-IT"/>
              </w:rPr>
            </w:pPr>
          </w:p>
        </w:tc>
        <w:tc>
          <w:tcPr>
            <w:tcW w:w="1123" w:type="dxa"/>
            <w:tcBorders>
              <w:top w:val="single" w:sz="6" w:space="0" w:color="auto"/>
              <w:left w:val="single" w:sz="6" w:space="0" w:color="auto"/>
              <w:bottom w:val="single" w:sz="6" w:space="0" w:color="auto"/>
              <w:right w:val="single" w:sz="4" w:space="0" w:color="auto"/>
            </w:tcBorders>
            <w:shd w:val="clear" w:color="auto" w:fill="auto"/>
          </w:tcPr>
          <w:p w14:paraId="4DC73484" w14:textId="77777777" w:rsidR="00D01C68" w:rsidRPr="0023654F" w:rsidRDefault="00D01C68" w:rsidP="00EF7D49">
            <w:pPr>
              <w:pStyle w:val="TableText"/>
              <w:snapToGrid w:val="0"/>
              <w:jc w:val="center"/>
              <w:rPr>
                <w:lang w:eastAsia="it-IT"/>
              </w:rPr>
            </w:pPr>
          </w:p>
        </w:tc>
      </w:tr>
      <w:tr w:rsidR="00D01C68" w:rsidRPr="0023654F" w14:paraId="6E8D9E0F" w14:textId="77777777" w:rsidTr="0080192D">
        <w:trPr>
          <w:cantSplit/>
          <w:trHeight w:val="285"/>
        </w:trPr>
        <w:tc>
          <w:tcPr>
            <w:tcW w:w="4820" w:type="dxa"/>
            <w:tcBorders>
              <w:top w:val="single" w:sz="6" w:space="0" w:color="auto"/>
              <w:left w:val="nil"/>
              <w:bottom w:val="single" w:sz="6" w:space="0" w:color="auto"/>
              <w:right w:val="single" w:sz="4" w:space="0" w:color="auto"/>
            </w:tcBorders>
            <w:shd w:val="clear" w:color="auto" w:fill="auto"/>
          </w:tcPr>
          <w:p w14:paraId="3AD4A425" w14:textId="77777777" w:rsidR="00D01C68" w:rsidRPr="00FB79AF" w:rsidRDefault="00D01C68" w:rsidP="00EF7D49">
            <w:pPr>
              <w:pStyle w:val="TableText"/>
              <w:snapToGrid w:val="0"/>
              <w:ind w:left="57"/>
              <w:rPr>
                <w:b/>
                <w:szCs w:val="17"/>
                <w:lang w:eastAsia="en-GB"/>
              </w:rPr>
            </w:pPr>
            <w:r w:rsidRPr="00FB79AF">
              <w:rPr>
                <w:b/>
                <w:szCs w:val="17"/>
                <w:lang w:eastAsia="en-GB"/>
              </w:rPr>
              <w:t>Total assets</w:t>
            </w:r>
          </w:p>
        </w:tc>
        <w:tc>
          <w:tcPr>
            <w:tcW w:w="1701" w:type="dxa"/>
            <w:tcBorders>
              <w:top w:val="single" w:sz="6" w:space="0" w:color="auto"/>
              <w:left w:val="single" w:sz="4" w:space="0" w:color="auto"/>
              <w:bottom w:val="single" w:sz="6" w:space="0" w:color="auto"/>
              <w:right w:val="single" w:sz="6" w:space="0" w:color="auto"/>
            </w:tcBorders>
            <w:shd w:val="clear" w:color="auto" w:fill="auto"/>
          </w:tcPr>
          <w:p w14:paraId="0AA9FAC8" w14:textId="77777777" w:rsidR="00D01C68" w:rsidRPr="00E960C4" w:rsidRDefault="00D01C68" w:rsidP="00EF7D49">
            <w:pPr>
              <w:pStyle w:val="TableText"/>
              <w:snapToGrid w:val="0"/>
              <w:ind w:left="57" w:rightChars="71" w:right="142"/>
              <w:rPr>
                <w:lang w:eastAsia="it-IT"/>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36068E3E" w14:textId="77777777" w:rsidR="00D01C68" w:rsidRPr="0023654F" w:rsidRDefault="00D01C68" w:rsidP="00EF7D49">
            <w:pPr>
              <w:pStyle w:val="TableText"/>
              <w:snapToGrid w:val="0"/>
              <w:jc w:val="center"/>
              <w:rPr>
                <w:lang w:eastAsia="it-IT"/>
              </w:rPr>
            </w:pPr>
          </w:p>
        </w:tc>
        <w:tc>
          <w:tcPr>
            <w:tcW w:w="1123" w:type="dxa"/>
            <w:tcBorders>
              <w:top w:val="single" w:sz="6" w:space="0" w:color="auto"/>
              <w:left w:val="single" w:sz="6" w:space="0" w:color="auto"/>
              <w:bottom w:val="single" w:sz="6" w:space="0" w:color="auto"/>
              <w:right w:val="single" w:sz="4" w:space="0" w:color="auto"/>
            </w:tcBorders>
            <w:shd w:val="clear" w:color="auto" w:fill="auto"/>
          </w:tcPr>
          <w:p w14:paraId="348BB438" w14:textId="77777777" w:rsidR="00D01C68" w:rsidRPr="0023654F" w:rsidRDefault="00D01C68" w:rsidP="00EF7D49">
            <w:pPr>
              <w:pStyle w:val="TableText"/>
              <w:snapToGrid w:val="0"/>
              <w:jc w:val="center"/>
              <w:rPr>
                <w:lang w:eastAsia="it-IT"/>
              </w:rPr>
            </w:pPr>
          </w:p>
        </w:tc>
      </w:tr>
      <w:tr w:rsidR="00D01C68" w:rsidRPr="0023654F" w14:paraId="59E14E9B" w14:textId="77777777" w:rsidTr="0080192D">
        <w:trPr>
          <w:cantSplit/>
          <w:trHeight w:val="285"/>
        </w:trPr>
        <w:tc>
          <w:tcPr>
            <w:tcW w:w="4820" w:type="dxa"/>
            <w:tcBorders>
              <w:top w:val="single" w:sz="6" w:space="0" w:color="auto"/>
              <w:left w:val="nil"/>
              <w:bottom w:val="single" w:sz="4" w:space="0" w:color="auto"/>
              <w:right w:val="nil"/>
            </w:tcBorders>
            <w:shd w:val="clear" w:color="auto" w:fill="A6A6A6" w:themeFill="background1" w:themeFillShade="A6"/>
          </w:tcPr>
          <w:p w14:paraId="49F59DDC" w14:textId="77777777" w:rsidR="00D01C68" w:rsidRPr="008B2E9C" w:rsidRDefault="00D01C68" w:rsidP="00EF7D49">
            <w:pPr>
              <w:pStyle w:val="TableText"/>
              <w:snapToGrid w:val="0"/>
              <w:ind w:left="57"/>
              <w:rPr>
                <w:b/>
                <w:szCs w:val="17"/>
                <w:lang w:eastAsia="it-IT"/>
              </w:rPr>
            </w:pPr>
            <w:r>
              <w:rPr>
                <w:b/>
                <w:lang w:eastAsia="it-IT"/>
              </w:rPr>
              <w:t>Liabilities</w:t>
            </w:r>
          </w:p>
        </w:tc>
        <w:tc>
          <w:tcPr>
            <w:tcW w:w="1701" w:type="dxa"/>
            <w:tcBorders>
              <w:top w:val="single" w:sz="6" w:space="0" w:color="auto"/>
              <w:left w:val="nil"/>
              <w:bottom w:val="single" w:sz="4" w:space="0" w:color="auto"/>
              <w:right w:val="nil"/>
            </w:tcBorders>
            <w:shd w:val="clear" w:color="auto" w:fill="A6A6A6" w:themeFill="background1" w:themeFillShade="A6"/>
          </w:tcPr>
          <w:p w14:paraId="6EB5D6DD" w14:textId="77777777" w:rsidR="00D01C68" w:rsidRPr="008B2E9C" w:rsidRDefault="00D01C68" w:rsidP="00EF7D49">
            <w:pPr>
              <w:pStyle w:val="TableText"/>
              <w:snapToGrid w:val="0"/>
              <w:ind w:left="57" w:rightChars="71" w:right="142"/>
              <w:rPr>
                <w:b/>
                <w:szCs w:val="17"/>
                <w:lang w:eastAsia="it-IT"/>
              </w:rPr>
            </w:pPr>
          </w:p>
        </w:tc>
        <w:tc>
          <w:tcPr>
            <w:tcW w:w="1701" w:type="dxa"/>
            <w:tcBorders>
              <w:top w:val="single" w:sz="6" w:space="0" w:color="auto"/>
              <w:left w:val="nil"/>
              <w:bottom w:val="single" w:sz="4" w:space="0" w:color="auto"/>
              <w:right w:val="nil"/>
            </w:tcBorders>
            <w:shd w:val="clear" w:color="auto" w:fill="A6A6A6" w:themeFill="background1" w:themeFillShade="A6"/>
          </w:tcPr>
          <w:p w14:paraId="5100C33C" w14:textId="77777777" w:rsidR="00D01C68" w:rsidRPr="0023654F" w:rsidRDefault="00D01C68" w:rsidP="00EF7D49">
            <w:pPr>
              <w:pStyle w:val="TableText"/>
              <w:snapToGrid w:val="0"/>
              <w:jc w:val="center"/>
              <w:rPr>
                <w:lang w:eastAsia="it-IT"/>
              </w:rPr>
            </w:pPr>
          </w:p>
        </w:tc>
        <w:tc>
          <w:tcPr>
            <w:tcW w:w="1123" w:type="dxa"/>
            <w:tcBorders>
              <w:top w:val="single" w:sz="6" w:space="0" w:color="auto"/>
              <w:left w:val="nil"/>
              <w:bottom w:val="single" w:sz="4" w:space="0" w:color="auto"/>
              <w:right w:val="single" w:sz="4" w:space="0" w:color="auto"/>
            </w:tcBorders>
            <w:shd w:val="clear" w:color="auto" w:fill="A6A6A6" w:themeFill="background1" w:themeFillShade="A6"/>
          </w:tcPr>
          <w:p w14:paraId="254EC4D1" w14:textId="77777777" w:rsidR="00D01C68" w:rsidRPr="0023654F" w:rsidRDefault="00D01C68" w:rsidP="00EF7D49">
            <w:pPr>
              <w:pStyle w:val="TableText"/>
              <w:snapToGrid w:val="0"/>
              <w:jc w:val="center"/>
              <w:rPr>
                <w:lang w:eastAsia="it-IT"/>
              </w:rPr>
            </w:pPr>
          </w:p>
        </w:tc>
      </w:tr>
      <w:tr w:rsidR="00D01C68" w:rsidRPr="0023654F" w14:paraId="2D1693C1" w14:textId="77777777" w:rsidTr="0080192D">
        <w:trPr>
          <w:cantSplit/>
          <w:trHeight w:val="270"/>
        </w:trPr>
        <w:tc>
          <w:tcPr>
            <w:tcW w:w="4820" w:type="dxa"/>
            <w:tcBorders>
              <w:top w:val="single" w:sz="4" w:space="0" w:color="auto"/>
              <w:left w:val="nil"/>
              <w:bottom w:val="single" w:sz="4" w:space="0" w:color="auto"/>
              <w:right w:val="single" w:sz="4" w:space="0" w:color="auto"/>
            </w:tcBorders>
            <w:shd w:val="clear" w:color="auto" w:fill="auto"/>
          </w:tcPr>
          <w:p w14:paraId="3391717E" w14:textId="77777777" w:rsidR="00D01C68" w:rsidRPr="008B2E9C" w:rsidRDefault="00D01C68" w:rsidP="00EF7D49">
            <w:pPr>
              <w:pStyle w:val="TableText"/>
              <w:snapToGrid w:val="0"/>
              <w:ind w:left="57"/>
              <w:rPr>
                <w:szCs w:val="17"/>
                <w:lang w:eastAsia="en-GB"/>
              </w:rPr>
            </w:pPr>
            <w:r w:rsidRPr="00FB79AF">
              <w:rPr>
                <w:szCs w:val="17"/>
                <w:lang w:eastAsia="en-GB"/>
              </w:rPr>
              <w:t>Deposits from banks</w:t>
            </w:r>
          </w:p>
        </w:tc>
        <w:tc>
          <w:tcPr>
            <w:tcW w:w="1701" w:type="dxa"/>
            <w:tcBorders>
              <w:top w:val="single" w:sz="6" w:space="0" w:color="auto"/>
              <w:left w:val="single" w:sz="4" w:space="0" w:color="auto"/>
              <w:bottom w:val="single" w:sz="6" w:space="0" w:color="auto"/>
              <w:right w:val="single" w:sz="6" w:space="0" w:color="auto"/>
            </w:tcBorders>
            <w:shd w:val="clear" w:color="auto" w:fill="auto"/>
          </w:tcPr>
          <w:p w14:paraId="6DBBB8CD" w14:textId="77777777" w:rsidR="00D01C68" w:rsidRPr="00A3109D" w:rsidRDefault="00D01C68" w:rsidP="00EF7D49">
            <w:pPr>
              <w:pStyle w:val="TableText"/>
              <w:snapToGrid w:val="0"/>
              <w:ind w:left="57" w:rightChars="71" w:right="142"/>
              <w:rPr>
                <w:lang w:eastAsia="it-IT"/>
              </w:rPr>
            </w:pPr>
          </w:p>
        </w:tc>
        <w:tc>
          <w:tcPr>
            <w:tcW w:w="1701" w:type="dxa"/>
            <w:tcBorders>
              <w:top w:val="single" w:sz="4" w:space="0" w:color="auto"/>
              <w:left w:val="single" w:sz="6" w:space="0" w:color="auto"/>
              <w:bottom w:val="single" w:sz="6" w:space="0" w:color="auto"/>
              <w:right w:val="single" w:sz="6" w:space="0" w:color="auto"/>
            </w:tcBorders>
            <w:shd w:val="clear" w:color="auto" w:fill="auto"/>
          </w:tcPr>
          <w:p w14:paraId="55AD7BFE" w14:textId="77777777" w:rsidR="00D01C68" w:rsidRPr="0023654F" w:rsidRDefault="00D01C68" w:rsidP="00EF7D49">
            <w:pPr>
              <w:pStyle w:val="TableText"/>
              <w:snapToGrid w:val="0"/>
              <w:jc w:val="center"/>
              <w:rPr>
                <w:lang w:eastAsia="it-IT"/>
              </w:rPr>
            </w:pPr>
          </w:p>
        </w:tc>
        <w:tc>
          <w:tcPr>
            <w:tcW w:w="1123" w:type="dxa"/>
            <w:tcBorders>
              <w:top w:val="single" w:sz="4" w:space="0" w:color="auto"/>
              <w:left w:val="single" w:sz="6" w:space="0" w:color="auto"/>
              <w:bottom w:val="single" w:sz="6" w:space="0" w:color="auto"/>
              <w:right w:val="single" w:sz="4" w:space="0" w:color="auto"/>
            </w:tcBorders>
            <w:shd w:val="clear" w:color="auto" w:fill="auto"/>
          </w:tcPr>
          <w:p w14:paraId="7B7AB249" w14:textId="77777777" w:rsidR="00D01C68" w:rsidRPr="0023654F" w:rsidRDefault="00D01C68" w:rsidP="00EF7D49">
            <w:pPr>
              <w:pStyle w:val="TableText"/>
              <w:snapToGrid w:val="0"/>
              <w:jc w:val="center"/>
              <w:rPr>
                <w:lang w:eastAsia="it-IT"/>
              </w:rPr>
            </w:pPr>
          </w:p>
        </w:tc>
      </w:tr>
      <w:tr w:rsidR="00D01C68" w:rsidRPr="0023654F" w14:paraId="17C26EB7" w14:textId="77777777" w:rsidTr="0080192D">
        <w:trPr>
          <w:cantSplit/>
          <w:trHeight w:val="270"/>
        </w:trPr>
        <w:tc>
          <w:tcPr>
            <w:tcW w:w="4820" w:type="dxa"/>
            <w:tcBorders>
              <w:top w:val="single" w:sz="4" w:space="0" w:color="auto"/>
              <w:left w:val="nil"/>
              <w:bottom w:val="single" w:sz="4" w:space="0" w:color="auto"/>
              <w:right w:val="single" w:sz="4" w:space="0" w:color="auto"/>
            </w:tcBorders>
            <w:shd w:val="clear" w:color="auto" w:fill="auto"/>
          </w:tcPr>
          <w:p w14:paraId="562F290E" w14:textId="77777777" w:rsidR="00D01C68" w:rsidRPr="008B2E9C" w:rsidRDefault="00D01C68" w:rsidP="00EF7D49">
            <w:pPr>
              <w:pStyle w:val="TableText"/>
              <w:snapToGrid w:val="0"/>
              <w:ind w:left="57"/>
              <w:rPr>
                <w:szCs w:val="17"/>
                <w:lang w:eastAsia="en-GB"/>
              </w:rPr>
            </w:pPr>
            <w:r w:rsidRPr="00FB79AF">
              <w:rPr>
                <w:szCs w:val="17"/>
                <w:lang w:eastAsia="en-GB"/>
              </w:rPr>
              <w:t>Items in the course of collection due to other banks</w:t>
            </w:r>
          </w:p>
        </w:tc>
        <w:tc>
          <w:tcPr>
            <w:tcW w:w="1701" w:type="dxa"/>
            <w:tcBorders>
              <w:top w:val="single" w:sz="6" w:space="0" w:color="auto"/>
              <w:left w:val="single" w:sz="4" w:space="0" w:color="auto"/>
              <w:bottom w:val="single" w:sz="4" w:space="0" w:color="auto"/>
              <w:right w:val="single" w:sz="6" w:space="0" w:color="auto"/>
            </w:tcBorders>
            <w:shd w:val="clear" w:color="auto" w:fill="auto"/>
          </w:tcPr>
          <w:p w14:paraId="6A46E509" w14:textId="77777777" w:rsidR="00D01C68" w:rsidRPr="00B62B9C" w:rsidRDefault="00D01C68" w:rsidP="00EF7D49">
            <w:pPr>
              <w:pStyle w:val="TableText"/>
              <w:snapToGrid w:val="0"/>
              <w:ind w:left="57" w:rightChars="71" w:right="142"/>
              <w:rPr>
                <w:lang w:val="en-US" w:eastAsia="it-IT"/>
              </w:rPr>
            </w:pPr>
          </w:p>
        </w:tc>
        <w:tc>
          <w:tcPr>
            <w:tcW w:w="1701" w:type="dxa"/>
            <w:tcBorders>
              <w:top w:val="single" w:sz="6" w:space="0" w:color="auto"/>
              <w:left w:val="single" w:sz="6" w:space="0" w:color="auto"/>
              <w:bottom w:val="single" w:sz="4" w:space="0" w:color="auto"/>
              <w:right w:val="single" w:sz="6" w:space="0" w:color="auto"/>
            </w:tcBorders>
            <w:shd w:val="clear" w:color="auto" w:fill="auto"/>
          </w:tcPr>
          <w:p w14:paraId="3CCD7A23" w14:textId="77777777" w:rsidR="00D01C68" w:rsidRPr="0023654F" w:rsidRDefault="00D01C68" w:rsidP="00EF7D49">
            <w:pPr>
              <w:pStyle w:val="TableText"/>
              <w:snapToGrid w:val="0"/>
              <w:jc w:val="center"/>
              <w:rPr>
                <w:lang w:eastAsia="it-IT"/>
              </w:rPr>
            </w:pPr>
          </w:p>
        </w:tc>
        <w:tc>
          <w:tcPr>
            <w:tcW w:w="1123" w:type="dxa"/>
            <w:tcBorders>
              <w:top w:val="single" w:sz="6" w:space="0" w:color="auto"/>
              <w:left w:val="single" w:sz="6" w:space="0" w:color="auto"/>
              <w:bottom w:val="single" w:sz="4" w:space="0" w:color="auto"/>
              <w:right w:val="single" w:sz="4" w:space="0" w:color="auto"/>
            </w:tcBorders>
            <w:shd w:val="clear" w:color="auto" w:fill="auto"/>
          </w:tcPr>
          <w:p w14:paraId="31D371D3" w14:textId="77777777" w:rsidR="00D01C68" w:rsidRPr="0023654F" w:rsidRDefault="00D01C68" w:rsidP="00EF7D49">
            <w:pPr>
              <w:pStyle w:val="TableText"/>
              <w:snapToGrid w:val="0"/>
              <w:jc w:val="center"/>
              <w:rPr>
                <w:lang w:eastAsia="it-IT"/>
              </w:rPr>
            </w:pPr>
          </w:p>
        </w:tc>
      </w:tr>
      <w:tr w:rsidR="00D01C68" w:rsidRPr="0023654F" w14:paraId="76AE9F18" w14:textId="77777777" w:rsidTr="0080192D">
        <w:trPr>
          <w:cantSplit/>
          <w:trHeight w:val="270"/>
        </w:trPr>
        <w:tc>
          <w:tcPr>
            <w:tcW w:w="4820" w:type="dxa"/>
            <w:tcBorders>
              <w:top w:val="single" w:sz="4" w:space="0" w:color="auto"/>
              <w:left w:val="nil"/>
              <w:bottom w:val="single" w:sz="4" w:space="0" w:color="auto"/>
              <w:right w:val="single" w:sz="4" w:space="0" w:color="auto"/>
            </w:tcBorders>
            <w:shd w:val="clear" w:color="auto" w:fill="auto"/>
          </w:tcPr>
          <w:p w14:paraId="191E2BC3" w14:textId="77777777" w:rsidR="00D01C68" w:rsidRPr="008B2E9C" w:rsidRDefault="00D01C68" w:rsidP="00EF7D49">
            <w:pPr>
              <w:pStyle w:val="TableText"/>
              <w:snapToGrid w:val="0"/>
              <w:ind w:left="57"/>
              <w:rPr>
                <w:szCs w:val="17"/>
                <w:lang w:eastAsia="en-GB"/>
              </w:rPr>
            </w:pPr>
            <w:r w:rsidRPr="00FB79AF">
              <w:rPr>
                <w:szCs w:val="17"/>
                <w:lang w:eastAsia="en-GB"/>
              </w:rPr>
              <w:t>Customer accounts</w:t>
            </w:r>
          </w:p>
        </w:tc>
        <w:tc>
          <w:tcPr>
            <w:tcW w:w="1701" w:type="dxa"/>
            <w:tcBorders>
              <w:top w:val="single" w:sz="4" w:space="0" w:color="auto"/>
              <w:left w:val="single" w:sz="4" w:space="0" w:color="auto"/>
              <w:bottom w:val="single" w:sz="4" w:space="0" w:color="auto"/>
              <w:right w:val="single" w:sz="6" w:space="0" w:color="auto"/>
            </w:tcBorders>
            <w:shd w:val="clear" w:color="auto" w:fill="auto"/>
          </w:tcPr>
          <w:p w14:paraId="3581A40B" w14:textId="77777777" w:rsidR="00D01C68" w:rsidRPr="00C50113" w:rsidRDefault="00D01C68" w:rsidP="00EF7D49">
            <w:pPr>
              <w:pStyle w:val="TableText"/>
              <w:snapToGrid w:val="0"/>
              <w:ind w:left="57" w:rightChars="71" w:right="142"/>
              <w:rPr>
                <w:lang w:eastAsia="it-IT"/>
              </w:rPr>
            </w:pPr>
          </w:p>
        </w:tc>
        <w:tc>
          <w:tcPr>
            <w:tcW w:w="1701" w:type="dxa"/>
            <w:tcBorders>
              <w:top w:val="single" w:sz="4" w:space="0" w:color="auto"/>
              <w:left w:val="single" w:sz="6" w:space="0" w:color="auto"/>
              <w:bottom w:val="single" w:sz="4" w:space="0" w:color="auto"/>
              <w:right w:val="single" w:sz="6" w:space="0" w:color="auto"/>
            </w:tcBorders>
            <w:shd w:val="clear" w:color="auto" w:fill="auto"/>
          </w:tcPr>
          <w:p w14:paraId="497F096B" w14:textId="77777777" w:rsidR="00D01C68" w:rsidRPr="0023654F" w:rsidRDefault="00D01C68" w:rsidP="00EF7D49">
            <w:pPr>
              <w:pStyle w:val="TableText"/>
              <w:snapToGrid w:val="0"/>
              <w:jc w:val="center"/>
              <w:rPr>
                <w:lang w:eastAsia="it-IT"/>
              </w:rPr>
            </w:pPr>
          </w:p>
        </w:tc>
        <w:tc>
          <w:tcPr>
            <w:tcW w:w="1123" w:type="dxa"/>
            <w:tcBorders>
              <w:top w:val="single" w:sz="4" w:space="0" w:color="auto"/>
              <w:left w:val="single" w:sz="6" w:space="0" w:color="auto"/>
              <w:bottom w:val="single" w:sz="4" w:space="0" w:color="auto"/>
              <w:right w:val="single" w:sz="4" w:space="0" w:color="auto"/>
            </w:tcBorders>
            <w:shd w:val="clear" w:color="auto" w:fill="auto"/>
          </w:tcPr>
          <w:p w14:paraId="29993C64" w14:textId="77777777" w:rsidR="00D01C68" w:rsidRPr="0023654F" w:rsidRDefault="00D01C68" w:rsidP="00EF7D49">
            <w:pPr>
              <w:pStyle w:val="TableText"/>
              <w:snapToGrid w:val="0"/>
              <w:jc w:val="center"/>
              <w:rPr>
                <w:lang w:eastAsia="it-IT"/>
              </w:rPr>
            </w:pPr>
          </w:p>
        </w:tc>
      </w:tr>
      <w:tr w:rsidR="00D01C68" w:rsidRPr="0023654F" w14:paraId="0B4543DB" w14:textId="77777777" w:rsidTr="0080192D">
        <w:trPr>
          <w:cantSplit/>
          <w:trHeight w:val="270"/>
        </w:trPr>
        <w:tc>
          <w:tcPr>
            <w:tcW w:w="4820" w:type="dxa"/>
            <w:tcBorders>
              <w:top w:val="single" w:sz="4" w:space="0" w:color="auto"/>
              <w:left w:val="nil"/>
              <w:bottom w:val="single" w:sz="4" w:space="0" w:color="auto"/>
              <w:right w:val="single" w:sz="4" w:space="0" w:color="auto"/>
            </w:tcBorders>
            <w:shd w:val="clear" w:color="auto" w:fill="auto"/>
          </w:tcPr>
          <w:p w14:paraId="241A4299" w14:textId="77777777" w:rsidR="00D01C68" w:rsidRPr="008B2E9C" w:rsidRDefault="00D01C68" w:rsidP="00EF7D49">
            <w:pPr>
              <w:pStyle w:val="TableText"/>
              <w:snapToGrid w:val="0"/>
              <w:ind w:left="57"/>
              <w:rPr>
                <w:szCs w:val="17"/>
                <w:lang w:eastAsia="en-GB"/>
              </w:rPr>
            </w:pPr>
            <w:r w:rsidRPr="00FB79AF">
              <w:rPr>
                <w:szCs w:val="17"/>
                <w:lang w:eastAsia="en-GB"/>
              </w:rPr>
              <w:t>Repurchase agreements and other similar secured borrowing</w:t>
            </w:r>
          </w:p>
        </w:tc>
        <w:tc>
          <w:tcPr>
            <w:tcW w:w="1701" w:type="dxa"/>
            <w:tcBorders>
              <w:top w:val="single" w:sz="4" w:space="0" w:color="auto"/>
              <w:left w:val="single" w:sz="4" w:space="0" w:color="auto"/>
              <w:bottom w:val="single" w:sz="6" w:space="0" w:color="auto"/>
              <w:right w:val="single" w:sz="6" w:space="0" w:color="auto"/>
            </w:tcBorders>
            <w:shd w:val="clear" w:color="auto" w:fill="auto"/>
          </w:tcPr>
          <w:p w14:paraId="1E79AA32" w14:textId="77777777" w:rsidR="00D01C68" w:rsidRPr="00C50113" w:rsidRDefault="00D01C68" w:rsidP="00EF7D49">
            <w:pPr>
              <w:pStyle w:val="TableText"/>
              <w:snapToGrid w:val="0"/>
              <w:ind w:left="57" w:rightChars="71" w:right="142"/>
              <w:rPr>
                <w:lang w:eastAsia="it-IT"/>
              </w:rPr>
            </w:pPr>
          </w:p>
        </w:tc>
        <w:tc>
          <w:tcPr>
            <w:tcW w:w="1701" w:type="dxa"/>
            <w:tcBorders>
              <w:top w:val="single" w:sz="4" w:space="0" w:color="auto"/>
              <w:left w:val="single" w:sz="6" w:space="0" w:color="auto"/>
              <w:bottom w:val="single" w:sz="6" w:space="0" w:color="auto"/>
              <w:right w:val="single" w:sz="6" w:space="0" w:color="auto"/>
            </w:tcBorders>
            <w:shd w:val="clear" w:color="auto" w:fill="auto"/>
          </w:tcPr>
          <w:p w14:paraId="3C8305FF" w14:textId="77777777" w:rsidR="00D01C68" w:rsidRPr="0023654F" w:rsidRDefault="00D01C68" w:rsidP="00EF7D49">
            <w:pPr>
              <w:pStyle w:val="TableText"/>
              <w:snapToGrid w:val="0"/>
              <w:jc w:val="center"/>
              <w:rPr>
                <w:lang w:eastAsia="it-IT"/>
              </w:rPr>
            </w:pPr>
          </w:p>
        </w:tc>
        <w:tc>
          <w:tcPr>
            <w:tcW w:w="1123" w:type="dxa"/>
            <w:tcBorders>
              <w:top w:val="single" w:sz="4" w:space="0" w:color="auto"/>
              <w:left w:val="single" w:sz="6" w:space="0" w:color="auto"/>
              <w:bottom w:val="single" w:sz="6" w:space="0" w:color="auto"/>
              <w:right w:val="single" w:sz="4" w:space="0" w:color="auto"/>
            </w:tcBorders>
            <w:shd w:val="clear" w:color="auto" w:fill="auto"/>
          </w:tcPr>
          <w:p w14:paraId="0989EC92" w14:textId="77777777" w:rsidR="00D01C68" w:rsidRPr="0023654F" w:rsidRDefault="00D01C68" w:rsidP="00EF7D49">
            <w:pPr>
              <w:pStyle w:val="TableText"/>
              <w:snapToGrid w:val="0"/>
              <w:jc w:val="center"/>
              <w:rPr>
                <w:lang w:eastAsia="it-IT"/>
              </w:rPr>
            </w:pPr>
          </w:p>
        </w:tc>
      </w:tr>
      <w:tr w:rsidR="00D01C68" w:rsidRPr="0023654F" w14:paraId="25DE4405" w14:textId="77777777" w:rsidTr="0080192D">
        <w:trPr>
          <w:cantSplit/>
          <w:trHeight w:val="270"/>
        </w:trPr>
        <w:tc>
          <w:tcPr>
            <w:tcW w:w="4820" w:type="dxa"/>
            <w:tcBorders>
              <w:top w:val="single" w:sz="4" w:space="0" w:color="auto"/>
              <w:left w:val="nil"/>
              <w:bottom w:val="single" w:sz="4" w:space="0" w:color="auto"/>
              <w:right w:val="single" w:sz="4" w:space="0" w:color="auto"/>
            </w:tcBorders>
            <w:shd w:val="clear" w:color="auto" w:fill="auto"/>
          </w:tcPr>
          <w:p w14:paraId="7B48DF7A" w14:textId="77777777" w:rsidR="00D01C68" w:rsidRPr="008B2E9C" w:rsidRDefault="00D01C68" w:rsidP="00EF7D49">
            <w:pPr>
              <w:pStyle w:val="TableText"/>
              <w:snapToGrid w:val="0"/>
              <w:ind w:left="57"/>
              <w:rPr>
                <w:szCs w:val="17"/>
                <w:lang w:eastAsia="en-GB"/>
              </w:rPr>
            </w:pPr>
            <w:r w:rsidRPr="00FB79AF">
              <w:rPr>
                <w:szCs w:val="17"/>
                <w:lang w:eastAsia="en-GB"/>
              </w:rPr>
              <w:t>Trading portfolio liabilities</w:t>
            </w:r>
          </w:p>
        </w:tc>
        <w:tc>
          <w:tcPr>
            <w:tcW w:w="1701" w:type="dxa"/>
            <w:tcBorders>
              <w:top w:val="single" w:sz="6" w:space="0" w:color="auto"/>
              <w:left w:val="single" w:sz="4" w:space="0" w:color="auto"/>
              <w:bottom w:val="single" w:sz="4" w:space="0" w:color="auto"/>
              <w:right w:val="single" w:sz="6" w:space="0" w:color="auto"/>
            </w:tcBorders>
            <w:shd w:val="clear" w:color="auto" w:fill="auto"/>
          </w:tcPr>
          <w:p w14:paraId="35B250FE" w14:textId="77777777" w:rsidR="00D01C68" w:rsidRPr="00267664" w:rsidRDefault="00D01C68" w:rsidP="00EF7D49">
            <w:pPr>
              <w:pStyle w:val="TableText"/>
              <w:snapToGrid w:val="0"/>
              <w:ind w:left="57" w:rightChars="71" w:right="142"/>
              <w:rPr>
                <w:lang w:val="en-US" w:eastAsia="it-IT"/>
              </w:rPr>
            </w:pPr>
          </w:p>
        </w:tc>
        <w:tc>
          <w:tcPr>
            <w:tcW w:w="1701" w:type="dxa"/>
            <w:tcBorders>
              <w:top w:val="single" w:sz="6" w:space="0" w:color="auto"/>
              <w:left w:val="single" w:sz="6" w:space="0" w:color="auto"/>
              <w:bottom w:val="single" w:sz="4" w:space="0" w:color="auto"/>
              <w:right w:val="single" w:sz="6" w:space="0" w:color="auto"/>
            </w:tcBorders>
            <w:shd w:val="clear" w:color="auto" w:fill="auto"/>
          </w:tcPr>
          <w:p w14:paraId="14D9FBEA" w14:textId="77777777" w:rsidR="00D01C68" w:rsidRPr="0023654F" w:rsidRDefault="00D01C68" w:rsidP="00EF7D49">
            <w:pPr>
              <w:pStyle w:val="TableText"/>
              <w:snapToGrid w:val="0"/>
              <w:jc w:val="center"/>
              <w:rPr>
                <w:lang w:eastAsia="it-IT"/>
              </w:rPr>
            </w:pPr>
          </w:p>
        </w:tc>
        <w:tc>
          <w:tcPr>
            <w:tcW w:w="1123" w:type="dxa"/>
            <w:tcBorders>
              <w:top w:val="single" w:sz="6" w:space="0" w:color="auto"/>
              <w:left w:val="single" w:sz="6" w:space="0" w:color="auto"/>
              <w:bottom w:val="single" w:sz="4" w:space="0" w:color="auto"/>
              <w:right w:val="single" w:sz="4" w:space="0" w:color="auto"/>
            </w:tcBorders>
            <w:shd w:val="clear" w:color="auto" w:fill="auto"/>
          </w:tcPr>
          <w:p w14:paraId="09A1F91B" w14:textId="77777777" w:rsidR="00D01C68" w:rsidRPr="0023654F" w:rsidRDefault="00D01C68" w:rsidP="00EF7D49">
            <w:pPr>
              <w:pStyle w:val="TableText"/>
              <w:snapToGrid w:val="0"/>
              <w:jc w:val="center"/>
              <w:rPr>
                <w:lang w:eastAsia="it-IT"/>
              </w:rPr>
            </w:pPr>
          </w:p>
        </w:tc>
      </w:tr>
      <w:tr w:rsidR="00D01C68" w:rsidRPr="0023654F" w14:paraId="10F8F1F2" w14:textId="77777777" w:rsidTr="0080192D">
        <w:trPr>
          <w:cantSplit/>
          <w:trHeight w:val="340"/>
        </w:trPr>
        <w:tc>
          <w:tcPr>
            <w:tcW w:w="4820" w:type="dxa"/>
            <w:tcBorders>
              <w:top w:val="single" w:sz="4" w:space="0" w:color="auto"/>
              <w:left w:val="nil"/>
              <w:bottom w:val="single" w:sz="4" w:space="0" w:color="auto"/>
              <w:right w:val="single" w:sz="6" w:space="0" w:color="auto"/>
            </w:tcBorders>
          </w:tcPr>
          <w:p w14:paraId="5AE44B08" w14:textId="77777777" w:rsidR="00D01C68" w:rsidRPr="008B2E9C" w:rsidRDefault="00D01C68" w:rsidP="00EF7D49">
            <w:pPr>
              <w:pStyle w:val="TableText"/>
              <w:snapToGrid w:val="0"/>
              <w:ind w:left="57"/>
              <w:rPr>
                <w:szCs w:val="17"/>
                <w:lang w:eastAsia="en-GB"/>
              </w:rPr>
            </w:pPr>
            <w:r w:rsidRPr="00FB79AF">
              <w:rPr>
                <w:szCs w:val="17"/>
                <w:lang w:eastAsia="en-GB"/>
              </w:rPr>
              <w:t>Financial liabi</w:t>
            </w:r>
            <w:r>
              <w:rPr>
                <w:szCs w:val="17"/>
                <w:lang w:eastAsia="en-GB"/>
              </w:rPr>
              <w:t>lities designated at fair value</w:t>
            </w:r>
          </w:p>
        </w:tc>
        <w:tc>
          <w:tcPr>
            <w:tcW w:w="1701" w:type="dxa"/>
            <w:tcBorders>
              <w:top w:val="single" w:sz="4" w:space="0" w:color="auto"/>
              <w:left w:val="single" w:sz="6" w:space="0" w:color="auto"/>
              <w:bottom w:val="single" w:sz="4" w:space="0" w:color="auto"/>
              <w:right w:val="single" w:sz="6" w:space="0" w:color="auto"/>
            </w:tcBorders>
          </w:tcPr>
          <w:p w14:paraId="031F5C3C" w14:textId="77777777" w:rsidR="00D01C68" w:rsidRPr="00267664" w:rsidRDefault="00D01C68" w:rsidP="00EF7D49">
            <w:pPr>
              <w:pStyle w:val="TableText"/>
              <w:snapToGrid w:val="0"/>
              <w:ind w:left="57" w:rightChars="71" w:right="142"/>
              <w:rPr>
                <w:lang w:eastAsia="it-IT"/>
              </w:rPr>
            </w:pPr>
          </w:p>
        </w:tc>
        <w:tc>
          <w:tcPr>
            <w:tcW w:w="1701" w:type="dxa"/>
            <w:tcBorders>
              <w:top w:val="single" w:sz="4" w:space="0" w:color="auto"/>
              <w:left w:val="single" w:sz="6" w:space="0" w:color="auto"/>
              <w:bottom w:val="single" w:sz="4" w:space="0" w:color="auto"/>
              <w:right w:val="single" w:sz="6" w:space="0" w:color="auto"/>
            </w:tcBorders>
          </w:tcPr>
          <w:p w14:paraId="6522139B" w14:textId="77777777" w:rsidR="00D01C68" w:rsidRPr="0023654F" w:rsidRDefault="00D01C68" w:rsidP="00EF7D49">
            <w:pPr>
              <w:pStyle w:val="TableText"/>
              <w:snapToGrid w:val="0"/>
              <w:jc w:val="center"/>
              <w:rPr>
                <w:lang w:eastAsia="it-IT"/>
              </w:rPr>
            </w:pPr>
          </w:p>
        </w:tc>
        <w:tc>
          <w:tcPr>
            <w:tcW w:w="1123" w:type="dxa"/>
            <w:tcBorders>
              <w:top w:val="single" w:sz="4" w:space="0" w:color="auto"/>
              <w:left w:val="single" w:sz="6" w:space="0" w:color="auto"/>
              <w:bottom w:val="single" w:sz="4" w:space="0" w:color="auto"/>
              <w:right w:val="single" w:sz="4" w:space="0" w:color="auto"/>
            </w:tcBorders>
          </w:tcPr>
          <w:p w14:paraId="675708C9" w14:textId="77777777" w:rsidR="00D01C68" w:rsidRPr="0023654F" w:rsidRDefault="00D01C68" w:rsidP="00EF7D49">
            <w:pPr>
              <w:pStyle w:val="TableText"/>
              <w:snapToGrid w:val="0"/>
              <w:jc w:val="center"/>
              <w:rPr>
                <w:lang w:eastAsia="it-IT"/>
              </w:rPr>
            </w:pPr>
          </w:p>
        </w:tc>
      </w:tr>
      <w:tr w:rsidR="00D01C68" w:rsidRPr="0023654F" w14:paraId="05814759" w14:textId="77777777" w:rsidTr="0080192D">
        <w:trPr>
          <w:cantSplit/>
        </w:trPr>
        <w:tc>
          <w:tcPr>
            <w:tcW w:w="4820" w:type="dxa"/>
            <w:tcBorders>
              <w:top w:val="single" w:sz="4" w:space="0" w:color="auto"/>
              <w:left w:val="nil"/>
              <w:bottom w:val="single" w:sz="4" w:space="0" w:color="auto"/>
              <w:right w:val="single" w:sz="4" w:space="0" w:color="auto"/>
            </w:tcBorders>
            <w:shd w:val="clear" w:color="auto" w:fill="auto"/>
          </w:tcPr>
          <w:p w14:paraId="39668C1C" w14:textId="77777777" w:rsidR="00D01C68" w:rsidRPr="008B2E9C" w:rsidRDefault="00D01C68" w:rsidP="00EF7D49">
            <w:pPr>
              <w:pStyle w:val="TableText"/>
              <w:snapToGrid w:val="0"/>
              <w:ind w:left="57"/>
              <w:rPr>
                <w:szCs w:val="17"/>
                <w:lang w:eastAsia="en-GB"/>
              </w:rPr>
            </w:pPr>
            <w:r w:rsidRPr="00FB79AF">
              <w:rPr>
                <w:szCs w:val="17"/>
                <w:lang w:eastAsia="en-GB"/>
              </w:rPr>
              <w:t>Derivative financial instruments</w:t>
            </w:r>
          </w:p>
        </w:tc>
        <w:tc>
          <w:tcPr>
            <w:tcW w:w="1701" w:type="dxa"/>
            <w:tcBorders>
              <w:top w:val="single" w:sz="4" w:space="0" w:color="auto"/>
              <w:left w:val="single" w:sz="4" w:space="0" w:color="auto"/>
              <w:bottom w:val="single" w:sz="4" w:space="0" w:color="auto"/>
              <w:right w:val="single" w:sz="4" w:space="0" w:color="auto"/>
            </w:tcBorders>
          </w:tcPr>
          <w:p w14:paraId="2E19D4AE" w14:textId="77777777" w:rsidR="00D01C68" w:rsidRPr="00267664" w:rsidRDefault="00D01C68" w:rsidP="00EF7D49">
            <w:pPr>
              <w:pStyle w:val="TableText"/>
              <w:snapToGrid w:val="0"/>
              <w:ind w:left="57" w:rightChars="71" w:right="142"/>
              <w:rPr>
                <w:lang w:eastAsia="it-IT"/>
              </w:rPr>
            </w:pPr>
          </w:p>
        </w:tc>
        <w:tc>
          <w:tcPr>
            <w:tcW w:w="1701" w:type="dxa"/>
            <w:tcBorders>
              <w:top w:val="single" w:sz="4" w:space="0" w:color="auto"/>
              <w:left w:val="single" w:sz="4" w:space="0" w:color="auto"/>
              <w:bottom w:val="single" w:sz="4" w:space="0" w:color="auto"/>
              <w:right w:val="single" w:sz="4" w:space="0" w:color="auto"/>
            </w:tcBorders>
          </w:tcPr>
          <w:p w14:paraId="3000EE21" w14:textId="77777777" w:rsidR="00D01C68" w:rsidRPr="0023654F" w:rsidRDefault="00D01C68" w:rsidP="00EF7D49">
            <w:pPr>
              <w:pStyle w:val="TableText"/>
              <w:snapToGrid w:val="0"/>
              <w:jc w:val="center"/>
              <w:rPr>
                <w:lang w:eastAsia="it-IT"/>
              </w:rPr>
            </w:pPr>
          </w:p>
        </w:tc>
        <w:tc>
          <w:tcPr>
            <w:tcW w:w="1123" w:type="dxa"/>
            <w:tcBorders>
              <w:top w:val="single" w:sz="4" w:space="0" w:color="auto"/>
              <w:left w:val="single" w:sz="4" w:space="0" w:color="auto"/>
              <w:bottom w:val="single" w:sz="4" w:space="0" w:color="auto"/>
              <w:right w:val="single" w:sz="4" w:space="0" w:color="auto"/>
            </w:tcBorders>
          </w:tcPr>
          <w:p w14:paraId="2EBC3671" w14:textId="77777777" w:rsidR="00D01C68" w:rsidRPr="0023654F" w:rsidRDefault="00D01C68" w:rsidP="00EF7D49">
            <w:pPr>
              <w:pStyle w:val="TableText"/>
              <w:snapToGrid w:val="0"/>
              <w:jc w:val="center"/>
              <w:rPr>
                <w:lang w:eastAsia="it-IT"/>
              </w:rPr>
            </w:pPr>
          </w:p>
        </w:tc>
      </w:tr>
      <w:tr w:rsidR="00D01C68" w:rsidRPr="0023654F" w14:paraId="40839E79" w14:textId="77777777" w:rsidTr="0080192D">
        <w:trPr>
          <w:cantSplit/>
          <w:trHeight w:val="270"/>
        </w:trPr>
        <w:tc>
          <w:tcPr>
            <w:tcW w:w="4820" w:type="dxa"/>
            <w:tcBorders>
              <w:top w:val="single" w:sz="4" w:space="0" w:color="auto"/>
              <w:left w:val="nil"/>
              <w:bottom w:val="single" w:sz="4" w:space="0" w:color="auto"/>
              <w:right w:val="single" w:sz="4" w:space="0" w:color="auto"/>
            </w:tcBorders>
            <w:shd w:val="clear" w:color="auto" w:fill="auto"/>
          </w:tcPr>
          <w:p w14:paraId="4B9AE0F2" w14:textId="77777777" w:rsidR="00D01C68" w:rsidRPr="008B2E9C" w:rsidRDefault="00D01C68" w:rsidP="00EF7D49">
            <w:pPr>
              <w:pStyle w:val="TableText"/>
              <w:snapToGrid w:val="0"/>
              <w:ind w:left="57"/>
              <w:rPr>
                <w:szCs w:val="17"/>
                <w:lang w:eastAsia="en-GB"/>
              </w:rPr>
            </w:pPr>
            <w:r w:rsidRPr="00FB79AF">
              <w:rPr>
                <w:szCs w:val="17"/>
                <w:lang w:eastAsia="en-GB"/>
              </w:rPr>
              <w:t>Debt securities in issue</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0FB485EC" w14:textId="77777777" w:rsidR="00D01C68" w:rsidRPr="00267664" w:rsidRDefault="00D01C68" w:rsidP="00EF7D49">
            <w:pPr>
              <w:pStyle w:val="TableText"/>
              <w:snapToGrid w:val="0"/>
              <w:ind w:left="57" w:rightChars="71" w:right="142"/>
              <w:rPr>
                <w:lang w:eastAsia="it-IT"/>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1B8278B1" w14:textId="77777777" w:rsidR="00D01C68" w:rsidRPr="0023654F" w:rsidRDefault="00D01C68" w:rsidP="00EF7D49">
            <w:pPr>
              <w:pStyle w:val="TableText"/>
              <w:snapToGrid w:val="0"/>
              <w:jc w:val="center"/>
              <w:rPr>
                <w:lang w:eastAsia="it-IT"/>
              </w:rPr>
            </w:pP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tcPr>
          <w:p w14:paraId="775CDC7D" w14:textId="77777777" w:rsidR="00D01C68" w:rsidRPr="0023654F" w:rsidRDefault="00D01C68" w:rsidP="00EF7D49">
            <w:pPr>
              <w:pStyle w:val="TableText"/>
              <w:snapToGrid w:val="0"/>
              <w:jc w:val="center"/>
              <w:rPr>
                <w:lang w:eastAsia="it-IT"/>
              </w:rPr>
            </w:pPr>
          </w:p>
        </w:tc>
      </w:tr>
      <w:tr w:rsidR="00D01C68" w:rsidRPr="0023654F" w14:paraId="15F06223" w14:textId="77777777" w:rsidTr="0080192D">
        <w:trPr>
          <w:cantSplit/>
          <w:trHeight w:val="270"/>
        </w:trPr>
        <w:tc>
          <w:tcPr>
            <w:tcW w:w="4820" w:type="dxa"/>
            <w:tcBorders>
              <w:top w:val="single" w:sz="4" w:space="0" w:color="auto"/>
              <w:left w:val="nil"/>
              <w:bottom w:val="single" w:sz="4" w:space="0" w:color="auto"/>
              <w:right w:val="single" w:sz="4" w:space="0" w:color="auto"/>
            </w:tcBorders>
            <w:shd w:val="clear" w:color="auto" w:fill="auto"/>
          </w:tcPr>
          <w:p w14:paraId="14635390" w14:textId="77777777" w:rsidR="00D01C68" w:rsidRPr="008B2E9C" w:rsidRDefault="00D01C68" w:rsidP="00EF7D49">
            <w:pPr>
              <w:pStyle w:val="TableText"/>
              <w:snapToGrid w:val="0"/>
              <w:ind w:left="57"/>
              <w:rPr>
                <w:szCs w:val="17"/>
                <w:lang w:eastAsia="en-GB"/>
              </w:rPr>
            </w:pPr>
            <w:r w:rsidRPr="00FB79AF">
              <w:rPr>
                <w:szCs w:val="17"/>
                <w:lang w:eastAsia="en-GB"/>
              </w:rPr>
              <w:t>Accruals, deferred income and other liabilities</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4189795A" w14:textId="77777777" w:rsidR="00D01C68" w:rsidRPr="00267664" w:rsidRDefault="00D01C68" w:rsidP="00EF7D49">
            <w:pPr>
              <w:pStyle w:val="TableText"/>
              <w:snapToGrid w:val="0"/>
              <w:ind w:left="57" w:rightChars="71" w:right="142"/>
              <w:rPr>
                <w:lang w:eastAsia="it-IT"/>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52015AD2" w14:textId="77777777" w:rsidR="00D01C68" w:rsidRPr="0023654F" w:rsidRDefault="00D01C68" w:rsidP="00EF7D49">
            <w:pPr>
              <w:pStyle w:val="TableText"/>
              <w:snapToGrid w:val="0"/>
              <w:jc w:val="center"/>
              <w:rPr>
                <w:lang w:eastAsia="it-IT"/>
              </w:rPr>
            </w:pP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tcPr>
          <w:p w14:paraId="1905FE10" w14:textId="77777777" w:rsidR="00D01C68" w:rsidRPr="0023654F" w:rsidRDefault="00D01C68" w:rsidP="00EF7D49">
            <w:pPr>
              <w:pStyle w:val="TableText"/>
              <w:snapToGrid w:val="0"/>
              <w:jc w:val="center"/>
              <w:rPr>
                <w:lang w:eastAsia="it-IT"/>
              </w:rPr>
            </w:pPr>
          </w:p>
        </w:tc>
      </w:tr>
      <w:tr w:rsidR="00D01C68" w:rsidRPr="0023654F" w14:paraId="005E32B4" w14:textId="77777777" w:rsidTr="0080192D">
        <w:trPr>
          <w:cantSplit/>
          <w:trHeight w:val="270"/>
        </w:trPr>
        <w:tc>
          <w:tcPr>
            <w:tcW w:w="4820" w:type="dxa"/>
            <w:tcBorders>
              <w:top w:val="single" w:sz="4" w:space="0" w:color="auto"/>
              <w:left w:val="nil"/>
              <w:bottom w:val="single" w:sz="4" w:space="0" w:color="auto"/>
              <w:right w:val="single" w:sz="4" w:space="0" w:color="auto"/>
            </w:tcBorders>
            <w:shd w:val="clear" w:color="auto" w:fill="auto"/>
          </w:tcPr>
          <w:p w14:paraId="41F1A6A4" w14:textId="77777777" w:rsidR="00D01C68" w:rsidRPr="008B2E9C" w:rsidRDefault="00D01C68" w:rsidP="00EF7D49">
            <w:pPr>
              <w:pStyle w:val="TableText"/>
              <w:snapToGrid w:val="0"/>
              <w:ind w:left="57"/>
              <w:rPr>
                <w:szCs w:val="17"/>
                <w:lang w:eastAsia="en-GB"/>
              </w:rPr>
            </w:pPr>
            <w:r w:rsidRPr="00FB79AF">
              <w:rPr>
                <w:szCs w:val="17"/>
                <w:lang w:eastAsia="en-GB"/>
              </w:rPr>
              <w:t>Current and deferred tax liabilities</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6E92B7D1" w14:textId="77777777" w:rsidR="00D01C68" w:rsidRPr="00267664" w:rsidRDefault="00D01C68" w:rsidP="00EF7D49">
            <w:pPr>
              <w:pStyle w:val="TableText"/>
              <w:snapToGrid w:val="0"/>
              <w:ind w:left="57" w:rightChars="71" w:right="142"/>
              <w:rPr>
                <w:lang w:eastAsia="it-IT"/>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0DA2CFC1" w14:textId="77777777" w:rsidR="00D01C68" w:rsidRPr="0023654F" w:rsidRDefault="00D01C68" w:rsidP="00EF7D49">
            <w:pPr>
              <w:pStyle w:val="TableText"/>
              <w:snapToGrid w:val="0"/>
              <w:jc w:val="center"/>
              <w:rPr>
                <w:lang w:eastAsia="it-IT"/>
              </w:rPr>
            </w:pP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tcPr>
          <w:p w14:paraId="3A08D849" w14:textId="77777777" w:rsidR="00D01C68" w:rsidRPr="0023654F" w:rsidRDefault="00D01C68" w:rsidP="00EF7D49">
            <w:pPr>
              <w:pStyle w:val="TableText"/>
              <w:snapToGrid w:val="0"/>
              <w:jc w:val="center"/>
              <w:rPr>
                <w:lang w:eastAsia="it-IT"/>
              </w:rPr>
            </w:pPr>
          </w:p>
        </w:tc>
      </w:tr>
      <w:tr w:rsidR="00D01C68" w:rsidRPr="0023654F" w14:paraId="7D389F9B" w14:textId="77777777" w:rsidTr="0080192D">
        <w:trPr>
          <w:cantSplit/>
          <w:trHeight w:val="270"/>
        </w:trPr>
        <w:tc>
          <w:tcPr>
            <w:tcW w:w="4820" w:type="dxa"/>
            <w:tcBorders>
              <w:top w:val="single" w:sz="4" w:space="0" w:color="auto"/>
              <w:left w:val="nil"/>
              <w:bottom w:val="single" w:sz="4" w:space="0" w:color="auto"/>
              <w:right w:val="single" w:sz="4" w:space="0" w:color="auto"/>
            </w:tcBorders>
            <w:shd w:val="clear" w:color="auto" w:fill="auto"/>
          </w:tcPr>
          <w:p w14:paraId="38CBD020" w14:textId="77777777" w:rsidR="00D01C68" w:rsidRPr="008B2E9C" w:rsidRDefault="00D01C68" w:rsidP="00EF7D49">
            <w:pPr>
              <w:pStyle w:val="TableText"/>
              <w:snapToGrid w:val="0"/>
              <w:ind w:leftChars="29" w:left="425" w:hangingChars="216" w:hanging="367"/>
              <w:rPr>
                <w:szCs w:val="17"/>
                <w:lang w:eastAsia="en-GB"/>
              </w:rPr>
            </w:pPr>
            <w:r>
              <w:rPr>
                <w:szCs w:val="17"/>
                <w:lang w:eastAsia="en-GB"/>
              </w:rPr>
              <w:tab/>
            </w:r>
            <w:r w:rsidRPr="00FB79AF">
              <w:rPr>
                <w:szCs w:val="17"/>
                <w:lang w:eastAsia="en-GB"/>
              </w:rPr>
              <w:t>Of which: DTLs related to goodwill</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7DFC1FF5" w14:textId="77777777" w:rsidR="00D01C68" w:rsidRPr="00267664" w:rsidRDefault="00D01C68" w:rsidP="00EF7D49">
            <w:pPr>
              <w:pStyle w:val="TableText"/>
              <w:snapToGrid w:val="0"/>
              <w:ind w:left="57" w:rightChars="71" w:right="142"/>
              <w:rPr>
                <w:lang w:eastAsia="it-IT"/>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4C62FB68" w14:textId="77777777" w:rsidR="00D01C68" w:rsidRPr="0023654F" w:rsidRDefault="00D01C68" w:rsidP="00EF7D49">
            <w:pPr>
              <w:pStyle w:val="TableText"/>
              <w:snapToGrid w:val="0"/>
              <w:jc w:val="center"/>
              <w:rPr>
                <w:lang w:eastAsia="it-IT"/>
              </w:rPr>
            </w:pP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tcPr>
          <w:p w14:paraId="0C5392EF" w14:textId="77777777" w:rsidR="00D01C68" w:rsidRPr="00FB79AF" w:rsidRDefault="00D01C68" w:rsidP="00EF7D49">
            <w:pPr>
              <w:pStyle w:val="TableText"/>
              <w:snapToGrid w:val="0"/>
              <w:jc w:val="center"/>
              <w:rPr>
                <w:szCs w:val="17"/>
                <w:lang w:eastAsia="en-GB"/>
              </w:rPr>
            </w:pPr>
            <w:r>
              <w:rPr>
                <w:szCs w:val="17"/>
                <w:lang w:eastAsia="en-GB"/>
              </w:rPr>
              <w:t>[c]</w:t>
            </w:r>
          </w:p>
        </w:tc>
      </w:tr>
      <w:tr w:rsidR="00D01C68" w:rsidRPr="0023654F" w14:paraId="72481D19" w14:textId="77777777" w:rsidTr="0080192D">
        <w:trPr>
          <w:cantSplit/>
          <w:trHeight w:val="270"/>
        </w:trPr>
        <w:tc>
          <w:tcPr>
            <w:tcW w:w="4820" w:type="dxa"/>
            <w:tcBorders>
              <w:top w:val="single" w:sz="4" w:space="0" w:color="auto"/>
              <w:left w:val="nil"/>
              <w:bottom w:val="single" w:sz="4" w:space="0" w:color="auto"/>
              <w:right w:val="single" w:sz="4" w:space="0" w:color="auto"/>
            </w:tcBorders>
            <w:shd w:val="clear" w:color="auto" w:fill="auto"/>
          </w:tcPr>
          <w:p w14:paraId="004FF3C6" w14:textId="77777777" w:rsidR="00D01C68" w:rsidRPr="008B2E9C" w:rsidRDefault="00D01C68" w:rsidP="00EF7D49">
            <w:pPr>
              <w:pStyle w:val="TableText"/>
              <w:snapToGrid w:val="0"/>
              <w:ind w:leftChars="29" w:left="425" w:hangingChars="216" w:hanging="367"/>
              <w:rPr>
                <w:szCs w:val="17"/>
                <w:lang w:eastAsia="en-GB"/>
              </w:rPr>
            </w:pPr>
            <w:r>
              <w:rPr>
                <w:szCs w:val="17"/>
                <w:lang w:eastAsia="en-GB"/>
              </w:rPr>
              <w:tab/>
            </w:r>
            <w:r w:rsidRPr="00FB79AF">
              <w:rPr>
                <w:szCs w:val="17"/>
                <w:lang w:eastAsia="en-GB"/>
              </w:rPr>
              <w:t xml:space="preserve">Of which: DTLs related to intangible assets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1647AD27" w14:textId="77777777" w:rsidR="00D01C68" w:rsidRPr="00267664" w:rsidRDefault="00D01C68" w:rsidP="00EF7D49">
            <w:pPr>
              <w:pStyle w:val="TableText"/>
              <w:snapToGrid w:val="0"/>
              <w:ind w:left="57" w:rightChars="71" w:right="142"/>
              <w:rPr>
                <w:lang w:eastAsia="it-IT"/>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56CA69D0" w14:textId="77777777" w:rsidR="00D01C68" w:rsidRPr="0023654F" w:rsidRDefault="00D01C68" w:rsidP="00EF7D49">
            <w:pPr>
              <w:pStyle w:val="TableText"/>
              <w:snapToGrid w:val="0"/>
              <w:jc w:val="center"/>
              <w:rPr>
                <w:lang w:eastAsia="it-IT"/>
              </w:rPr>
            </w:pP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tcPr>
          <w:p w14:paraId="2E4A450F" w14:textId="77777777" w:rsidR="00D01C68" w:rsidRPr="00FB79AF" w:rsidRDefault="00D01C68" w:rsidP="00EF7D49">
            <w:pPr>
              <w:pStyle w:val="TableText"/>
              <w:snapToGrid w:val="0"/>
              <w:jc w:val="center"/>
              <w:rPr>
                <w:szCs w:val="17"/>
                <w:lang w:eastAsia="en-GB"/>
              </w:rPr>
            </w:pPr>
            <w:r>
              <w:rPr>
                <w:szCs w:val="17"/>
                <w:lang w:eastAsia="en-GB"/>
              </w:rPr>
              <w:t>[d]</w:t>
            </w:r>
          </w:p>
        </w:tc>
      </w:tr>
      <w:tr w:rsidR="00D01C68" w:rsidRPr="0023654F" w14:paraId="71D01462" w14:textId="77777777" w:rsidTr="0080192D">
        <w:trPr>
          <w:cantSplit/>
          <w:trHeight w:val="270"/>
        </w:trPr>
        <w:tc>
          <w:tcPr>
            <w:tcW w:w="4820" w:type="dxa"/>
            <w:tcBorders>
              <w:top w:val="single" w:sz="4" w:space="0" w:color="auto"/>
              <w:left w:val="nil"/>
              <w:bottom w:val="single" w:sz="4" w:space="0" w:color="auto"/>
              <w:right w:val="single" w:sz="4" w:space="0" w:color="auto"/>
            </w:tcBorders>
            <w:shd w:val="clear" w:color="auto" w:fill="auto"/>
          </w:tcPr>
          <w:p w14:paraId="53914151" w14:textId="77777777" w:rsidR="00D01C68" w:rsidRPr="008B2E9C" w:rsidRDefault="00D01C68" w:rsidP="00EF7D49">
            <w:pPr>
              <w:pStyle w:val="TableText"/>
              <w:snapToGrid w:val="0"/>
              <w:ind w:left="57"/>
              <w:rPr>
                <w:szCs w:val="17"/>
                <w:lang w:eastAsia="en-GB"/>
              </w:rPr>
            </w:pPr>
            <w:r w:rsidRPr="00FB79AF">
              <w:rPr>
                <w:szCs w:val="17"/>
                <w:lang w:eastAsia="en-GB"/>
              </w:rPr>
              <w:t>Subordinated liabilities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683965F" w14:textId="77777777" w:rsidR="00D01C68" w:rsidRPr="00267664" w:rsidDel="001C71B9" w:rsidRDefault="00D01C68" w:rsidP="00EF7D49">
            <w:pPr>
              <w:pStyle w:val="TableText"/>
              <w:snapToGrid w:val="0"/>
              <w:ind w:left="57" w:rightChars="71" w:right="142"/>
              <w:rPr>
                <w:lang w:eastAsia="it-IT"/>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12C7B1B" w14:textId="77777777" w:rsidR="00D01C68" w:rsidRPr="0023654F" w:rsidRDefault="00D01C68" w:rsidP="00EF7D49">
            <w:pPr>
              <w:pStyle w:val="TableText"/>
              <w:snapToGrid w:val="0"/>
              <w:jc w:val="center"/>
              <w:rPr>
                <w:lang w:eastAsia="it-IT"/>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227B5DF4" w14:textId="77777777" w:rsidR="00D01C68" w:rsidRPr="0023654F" w:rsidRDefault="00D01C68" w:rsidP="00EF7D49">
            <w:pPr>
              <w:pStyle w:val="TableText"/>
              <w:snapToGrid w:val="0"/>
              <w:jc w:val="center"/>
              <w:rPr>
                <w:lang w:eastAsia="it-IT"/>
              </w:rPr>
            </w:pPr>
          </w:p>
        </w:tc>
      </w:tr>
      <w:tr w:rsidR="00D01C68" w:rsidRPr="0023654F" w14:paraId="3A26D6E4" w14:textId="77777777" w:rsidTr="0080192D">
        <w:trPr>
          <w:cantSplit/>
          <w:trHeight w:val="270"/>
        </w:trPr>
        <w:tc>
          <w:tcPr>
            <w:tcW w:w="4820" w:type="dxa"/>
            <w:tcBorders>
              <w:top w:val="single" w:sz="4" w:space="0" w:color="auto"/>
              <w:left w:val="nil"/>
              <w:bottom w:val="single" w:sz="4" w:space="0" w:color="auto"/>
              <w:right w:val="single" w:sz="4" w:space="0" w:color="auto"/>
            </w:tcBorders>
            <w:shd w:val="clear" w:color="auto" w:fill="auto"/>
          </w:tcPr>
          <w:p w14:paraId="56AAE887" w14:textId="77777777" w:rsidR="00D01C68" w:rsidRPr="008B2E9C" w:rsidRDefault="00D01C68" w:rsidP="00EF7D49">
            <w:pPr>
              <w:pStyle w:val="TableText"/>
              <w:snapToGrid w:val="0"/>
              <w:ind w:left="57"/>
              <w:rPr>
                <w:szCs w:val="17"/>
                <w:lang w:eastAsia="en-GB"/>
              </w:rPr>
            </w:pPr>
            <w:r w:rsidRPr="00FB79AF">
              <w:rPr>
                <w:szCs w:val="17"/>
                <w:lang w:eastAsia="en-GB"/>
              </w:rPr>
              <w:t>Provisions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5A75B15" w14:textId="77777777" w:rsidR="00D01C68" w:rsidRPr="00267664" w:rsidRDefault="00D01C68" w:rsidP="00EF7D49">
            <w:pPr>
              <w:pStyle w:val="TableText"/>
              <w:snapToGrid w:val="0"/>
              <w:ind w:left="57" w:rightChars="71" w:right="142"/>
              <w:rPr>
                <w:lang w:eastAsia="it-IT"/>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305E1EE1" w14:textId="77777777" w:rsidR="00D01C68" w:rsidRPr="0023654F" w:rsidRDefault="00D01C68" w:rsidP="00EF7D49">
            <w:pPr>
              <w:pStyle w:val="TableText"/>
              <w:snapToGrid w:val="0"/>
              <w:jc w:val="center"/>
              <w:rPr>
                <w:lang w:eastAsia="it-IT"/>
              </w:rPr>
            </w:pP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tcPr>
          <w:p w14:paraId="25D36718" w14:textId="77777777" w:rsidR="00D01C68" w:rsidRPr="0023654F" w:rsidRDefault="00D01C68" w:rsidP="00EF7D49">
            <w:pPr>
              <w:pStyle w:val="TableText"/>
              <w:snapToGrid w:val="0"/>
              <w:jc w:val="center"/>
              <w:rPr>
                <w:lang w:eastAsia="it-IT"/>
              </w:rPr>
            </w:pPr>
          </w:p>
        </w:tc>
      </w:tr>
      <w:tr w:rsidR="00D01C68" w:rsidRPr="0023654F" w14:paraId="78B3B396" w14:textId="77777777" w:rsidTr="0080192D">
        <w:trPr>
          <w:cantSplit/>
          <w:trHeight w:val="270"/>
        </w:trPr>
        <w:tc>
          <w:tcPr>
            <w:tcW w:w="4820" w:type="dxa"/>
            <w:tcBorders>
              <w:top w:val="single" w:sz="4" w:space="0" w:color="auto"/>
              <w:left w:val="nil"/>
              <w:bottom w:val="single" w:sz="4" w:space="0" w:color="auto"/>
              <w:right w:val="single" w:sz="4" w:space="0" w:color="auto"/>
            </w:tcBorders>
            <w:shd w:val="clear" w:color="auto" w:fill="auto"/>
          </w:tcPr>
          <w:p w14:paraId="7F0EB421" w14:textId="77777777" w:rsidR="00D01C68" w:rsidRPr="008B2E9C" w:rsidRDefault="00D01C68" w:rsidP="00EF7D49">
            <w:pPr>
              <w:pStyle w:val="TableText"/>
              <w:snapToGrid w:val="0"/>
              <w:ind w:left="57"/>
              <w:rPr>
                <w:szCs w:val="17"/>
                <w:lang w:eastAsia="en-GB"/>
              </w:rPr>
            </w:pPr>
            <w:r w:rsidRPr="00FB79AF">
              <w:rPr>
                <w:szCs w:val="17"/>
                <w:lang w:eastAsia="en-GB"/>
              </w:rPr>
              <w:t>Retirement benefit liabilities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22144E1" w14:textId="77777777" w:rsidR="00D01C68" w:rsidRPr="00267664" w:rsidRDefault="00D01C68" w:rsidP="00EF7D49">
            <w:pPr>
              <w:pStyle w:val="TableText"/>
              <w:snapToGrid w:val="0"/>
              <w:ind w:left="57" w:rightChars="71" w:right="142"/>
              <w:rPr>
                <w:lang w:eastAsia="it-IT"/>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015C655A" w14:textId="77777777" w:rsidR="00D01C68" w:rsidRPr="0023654F" w:rsidRDefault="00D01C68" w:rsidP="00EF7D49">
            <w:pPr>
              <w:pStyle w:val="TableText"/>
              <w:snapToGrid w:val="0"/>
              <w:jc w:val="center"/>
              <w:rPr>
                <w:lang w:eastAsia="it-IT"/>
              </w:rPr>
            </w:pP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tcPr>
          <w:p w14:paraId="50A8D9AD" w14:textId="77777777" w:rsidR="00D01C68" w:rsidRPr="0023654F" w:rsidRDefault="00D01C68" w:rsidP="00EF7D49">
            <w:pPr>
              <w:pStyle w:val="TableText"/>
              <w:snapToGrid w:val="0"/>
              <w:jc w:val="center"/>
              <w:rPr>
                <w:lang w:eastAsia="it-IT"/>
              </w:rPr>
            </w:pPr>
          </w:p>
        </w:tc>
      </w:tr>
      <w:tr w:rsidR="00D01C68" w:rsidRPr="0023654F" w14:paraId="37BF0DF6" w14:textId="77777777" w:rsidTr="0080192D">
        <w:trPr>
          <w:cantSplit/>
          <w:trHeight w:val="270"/>
        </w:trPr>
        <w:tc>
          <w:tcPr>
            <w:tcW w:w="4820" w:type="dxa"/>
            <w:tcBorders>
              <w:top w:val="single" w:sz="4" w:space="0" w:color="auto"/>
              <w:left w:val="nil"/>
              <w:bottom w:val="single" w:sz="4" w:space="0" w:color="auto"/>
              <w:right w:val="single" w:sz="4" w:space="0" w:color="auto"/>
            </w:tcBorders>
            <w:shd w:val="clear" w:color="auto" w:fill="auto"/>
          </w:tcPr>
          <w:p w14:paraId="20FD82D2" w14:textId="77777777" w:rsidR="00D01C68" w:rsidRPr="00FB79AF" w:rsidRDefault="00D01C68" w:rsidP="00EF7D49">
            <w:pPr>
              <w:pStyle w:val="TableText"/>
              <w:snapToGrid w:val="0"/>
              <w:ind w:left="57"/>
              <w:rPr>
                <w:b/>
                <w:szCs w:val="17"/>
                <w:lang w:eastAsia="en-GB"/>
              </w:rPr>
            </w:pPr>
            <w:r w:rsidRPr="00FB79AF">
              <w:rPr>
                <w:b/>
                <w:szCs w:val="17"/>
                <w:lang w:eastAsia="en-GB"/>
              </w:rPr>
              <w:t>Total liabilities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890798C" w14:textId="77777777" w:rsidR="00D01C68" w:rsidRPr="00267664" w:rsidRDefault="00D01C68" w:rsidP="00EF7D49">
            <w:pPr>
              <w:pStyle w:val="TableText"/>
              <w:snapToGrid w:val="0"/>
              <w:ind w:left="57" w:rightChars="71" w:right="142"/>
              <w:rPr>
                <w:lang w:eastAsia="it-IT"/>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1993BFBC" w14:textId="77777777" w:rsidR="00D01C68" w:rsidRPr="0023654F" w:rsidRDefault="00D01C68" w:rsidP="00EF7D49">
            <w:pPr>
              <w:pStyle w:val="TableText"/>
              <w:snapToGrid w:val="0"/>
              <w:jc w:val="center"/>
              <w:rPr>
                <w:lang w:eastAsia="it-IT"/>
              </w:rPr>
            </w:pP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2F5AE6" w14:textId="77777777" w:rsidR="00D01C68" w:rsidRPr="0023654F" w:rsidRDefault="00D01C68" w:rsidP="00EF7D49">
            <w:pPr>
              <w:pStyle w:val="TableText"/>
              <w:snapToGrid w:val="0"/>
              <w:jc w:val="center"/>
              <w:rPr>
                <w:lang w:eastAsia="it-IT"/>
              </w:rPr>
            </w:pPr>
          </w:p>
        </w:tc>
      </w:tr>
      <w:tr w:rsidR="00D01C68" w:rsidRPr="0023654F" w14:paraId="13A91F52" w14:textId="77777777" w:rsidTr="0080192D">
        <w:trPr>
          <w:cantSplit/>
          <w:trHeight w:val="270"/>
        </w:trPr>
        <w:tc>
          <w:tcPr>
            <w:tcW w:w="4820" w:type="dxa"/>
            <w:tcBorders>
              <w:top w:val="single" w:sz="4" w:space="0" w:color="auto"/>
              <w:left w:val="nil"/>
              <w:bottom w:val="single" w:sz="4" w:space="0" w:color="auto"/>
              <w:right w:val="nil"/>
            </w:tcBorders>
            <w:shd w:val="clear" w:color="auto" w:fill="A6A6A6" w:themeFill="background1" w:themeFillShade="A6"/>
          </w:tcPr>
          <w:p w14:paraId="37875921" w14:textId="77777777" w:rsidR="00D01C68" w:rsidRPr="008B5525" w:rsidRDefault="00D01C68" w:rsidP="00EF7D49">
            <w:pPr>
              <w:pStyle w:val="TableText"/>
              <w:snapToGrid w:val="0"/>
              <w:ind w:left="57"/>
              <w:rPr>
                <w:b/>
                <w:szCs w:val="17"/>
                <w:lang w:eastAsia="en-GB"/>
              </w:rPr>
            </w:pPr>
            <w:r w:rsidRPr="008B5525">
              <w:rPr>
                <w:b/>
                <w:szCs w:val="17"/>
                <w:lang w:eastAsia="en-GB"/>
              </w:rPr>
              <w:t>Shareholders’ equity</w:t>
            </w:r>
          </w:p>
        </w:tc>
        <w:tc>
          <w:tcPr>
            <w:tcW w:w="1701" w:type="dxa"/>
            <w:tcBorders>
              <w:top w:val="single" w:sz="4" w:space="0" w:color="auto"/>
              <w:left w:val="nil"/>
              <w:bottom w:val="single" w:sz="4" w:space="0" w:color="auto"/>
              <w:right w:val="nil"/>
            </w:tcBorders>
            <w:shd w:val="clear" w:color="auto" w:fill="A6A6A6" w:themeFill="background1" w:themeFillShade="A6"/>
          </w:tcPr>
          <w:p w14:paraId="5E731AC2" w14:textId="77777777" w:rsidR="00D01C68" w:rsidRPr="00445B4A" w:rsidRDefault="00D01C68" w:rsidP="00EF7D49">
            <w:pPr>
              <w:pStyle w:val="TableText"/>
              <w:snapToGrid w:val="0"/>
              <w:ind w:left="57" w:rightChars="71" w:right="142"/>
              <w:rPr>
                <w:b/>
                <w:lang w:eastAsia="it-IT"/>
              </w:rPr>
            </w:pPr>
          </w:p>
        </w:tc>
        <w:tc>
          <w:tcPr>
            <w:tcW w:w="1701" w:type="dxa"/>
            <w:tcBorders>
              <w:top w:val="single" w:sz="4" w:space="0" w:color="auto"/>
              <w:left w:val="nil"/>
              <w:bottom w:val="single" w:sz="4" w:space="0" w:color="auto"/>
              <w:right w:val="nil"/>
            </w:tcBorders>
            <w:shd w:val="clear" w:color="auto" w:fill="A6A6A6" w:themeFill="background1" w:themeFillShade="A6"/>
          </w:tcPr>
          <w:p w14:paraId="00D6612B" w14:textId="77777777" w:rsidR="00D01C68" w:rsidRPr="0023654F" w:rsidRDefault="00D01C68" w:rsidP="00EF7D49">
            <w:pPr>
              <w:pStyle w:val="TableText"/>
              <w:snapToGrid w:val="0"/>
              <w:jc w:val="center"/>
              <w:rPr>
                <w:lang w:eastAsia="it-IT"/>
              </w:rPr>
            </w:pPr>
          </w:p>
        </w:tc>
        <w:tc>
          <w:tcPr>
            <w:tcW w:w="1123" w:type="dxa"/>
            <w:tcBorders>
              <w:top w:val="single" w:sz="4" w:space="0" w:color="auto"/>
              <w:left w:val="nil"/>
              <w:bottom w:val="single" w:sz="4" w:space="0" w:color="auto"/>
              <w:right w:val="single" w:sz="4" w:space="0" w:color="auto"/>
            </w:tcBorders>
            <w:shd w:val="clear" w:color="auto" w:fill="A6A6A6" w:themeFill="background1" w:themeFillShade="A6"/>
          </w:tcPr>
          <w:p w14:paraId="3B5A562F" w14:textId="77777777" w:rsidR="00D01C68" w:rsidRPr="0023654F" w:rsidRDefault="00D01C68" w:rsidP="00EF7D49">
            <w:pPr>
              <w:pStyle w:val="TableText"/>
              <w:snapToGrid w:val="0"/>
              <w:jc w:val="center"/>
              <w:rPr>
                <w:lang w:eastAsia="it-IT"/>
              </w:rPr>
            </w:pPr>
          </w:p>
        </w:tc>
      </w:tr>
      <w:tr w:rsidR="00D01C68" w:rsidRPr="0023654F" w14:paraId="4E954B96" w14:textId="77777777" w:rsidTr="0080192D">
        <w:trPr>
          <w:cantSplit/>
          <w:trHeight w:val="270"/>
        </w:trPr>
        <w:tc>
          <w:tcPr>
            <w:tcW w:w="4820" w:type="dxa"/>
            <w:tcBorders>
              <w:top w:val="single" w:sz="4" w:space="0" w:color="auto"/>
              <w:left w:val="nil"/>
              <w:bottom w:val="single" w:sz="4" w:space="0" w:color="auto"/>
              <w:right w:val="single" w:sz="4" w:space="0" w:color="auto"/>
            </w:tcBorders>
            <w:shd w:val="clear" w:color="auto" w:fill="auto"/>
          </w:tcPr>
          <w:p w14:paraId="5A234E5A" w14:textId="77777777" w:rsidR="00D01C68" w:rsidRPr="008B2E9C" w:rsidRDefault="00D01C68" w:rsidP="00EF7D49">
            <w:pPr>
              <w:pStyle w:val="TableText"/>
              <w:snapToGrid w:val="0"/>
              <w:ind w:left="57"/>
              <w:rPr>
                <w:szCs w:val="17"/>
                <w:lang w:eastAsia="en-GB"/>
              </w:rPr>
            </w:pPr>
            <w:r w:rsidRPr="00FB79AF">
              <w:rPr>
                <w:szCs w:val="17"/>
                <w:lang w:eastAsia="en-GB"/>
              </w:rPr>
              <w:t>Paid-in share capital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781AA11" w14:textId="77777777" w:rsidR="00D01C68" w:rsidRPr="00372905" w:rsidRDefault="00D01C68" w:rsidP="00EF7D49">
            <w:pPr>
              <w:pStyle w:val="TableText"/>
              <w:snapToGrid w:val="0"/>
              <w:ind w:left="57" w:rightChars="71" w:right="142"/>
              <w:rPr>
                <w:lang w:eastAsia="it-IT"/>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6465F9B5" w14:textId="77777777" w:rsidR="00D01C68" w:rsidRPr="0023654F" w:rsidRDefault="00D01C68" w:rsidP="00EF7D49">
            <w:pPr>
              <w:pStyle w:val="TableText"/>
              <w:snapToGrid w:val="0"/>
              <w:jc w:val="center"/>
              <w:rPr>
                <w:lang w:eastAsia="it-IT"/>
              </w:rPr>
            </w:pP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tcPr>
          <w:p w14:paraId="3729830D" w14:textId="77777777" w:rsidR="00D01C68" w:rsidRPr="0023654F" w:rsidRDefault="00D01C68" w:rsidP="00EF7D49">
            <w:pPr>
              <w:pStyle w:val="TableText"/>
              <w:snapToGrid w:val="0"/>
              <w:jc w:val="center"/>
              <w:rPr>
                <w:lang w:eastAsia="it-IT"/>
              </w:rPr>
            </w:pPr>
          </w:p>
        </w:tc>
      </w:tr>
      <w:tr w:rsidR="00D01C68" w:rsidRPr="0023654F" w14:paraId="0ED33F42" w14:textId="77777777" w:rsidTr="0080192D">
        <w:trPr>
          <w:cantSplit/>
          <w:trHeight w:val="270"/>
        </w:trPr>
        <w:tc>
          <w:tcPr>
            <w:tcW w:w="4820" w:type="dxa"/>
            <w:tcBorders>
              <w:top w:val="single" w:sz="4" w:space="0" w:color="auto"/>
              <w:left w:val="nil"/>
              <w:bottom w:val="single" w:sz="4" w:space="0" w:color="auto"/>
              <w:right w:val="single" w:sz="4" w:space="0" w:color="auto"/>
            </w:tcBorders>
            <w:shd w:val="clear" w:color="auto" w:fill="auto"/>
          </w:tcPr>
          <w:p w14:paraId="5081865E" w14:textId="77777777" w:rsidR="00D01C68" w:rsidRPr="008B2E9C" w:rsidRDefault="00D01C68" w:rsidP="00EF7D49">
            <w:pPr>
              <w:pStyle w:val="TableText"/>
              <w:snapToGrid w:val="0"/>
              <w:ind w:leftChars="29" w:left="425" w:hangingChars="216" w:hanging="367"/>
              <w:rPr>
                <w:szCs w:val="17"/>
                <w:lang w:eastAsia="en-GB"/>
              </w:rPr>
            </w:pPr>
            <w:r>
              <w:rPr>
                <w:szCs w:val="17"/>
                <w:lang w:eastAsia="en-GB"/>
              </w:rPr>
              <w:tab/>
            </w:r>
            <w:r w:rsidRPr="00FB79AF">
              <w:rPr>
                <w:szCs w:val="17"/>
                <w:lang w:eastAsia="en-GB"/>
              </w:rPr>
              <w:t>Of which: amount eligible for CET1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40CABED" w14:textId="77777777" w:rsidR="00D01C68" w:rsidRPr="00372905" w:rsidRDefault="00D01C68" w:rsidP="00EF7D49">
            <w:pPr>
              <w:pStyle w:val="TableText"/>
              <w:snapToGrid w:val="0"/>
              <w:ind w:left="57" w:rightChars="71" w:right="142"/>
              <w:rPr>
                <w:lang w:eastAsia="it-IT"/>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452C6C87" w14:textId="77777777" w:rsidR="00D01C68" w:rsidRPr="0023654F" w:rsidRDefault="00D01C68" w:rsidP="00EF7D49">
            <w:pPr>
              <w:pStyle w:val="TableText"/>
              <w:snapToGrid w:val="0"/>
              <w:jc w:val="center"/>
              <w:rPr>
                <w:lang w:eastAsia="it-IT"/>
              </w:rPr>
            </w:pP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4C512E" w14:textId="77777777" w:rsidR="00D01C68" w:rsidRPr="0023654F" w:rsidRDefault="00D01C68" w:rsidP="00EF7D49">
            <w:pPr>
              <w:pStyle w:val="TableText"/>
              <w:snapToGrid w:val="0"/>
              <w:jc w:val="center"/>
              <w:rPr>
                <w:lang w:eastAsia="it-IT"/>
              </w:rPr>
            </w:pPr>
            <w:r>
              <w:rPr>
                <w:lang w:eastAsia="it-IT"/>
              </w:rPr>
              <w:t>[e]</w:t>
            </w:r>
          </w:p>
        </w:tc>
      </w:tr>
      <w:tr w:rsidR="00D01C68" w:rsidRPr="0023654F" w14:paraId="72BB8F15" w14:textId="77777777" w:rsidTr="0080192D">
        <w:trPr>
          <w:cantSplit/>
          <w:trHeight w:val="270"/>
        </w:trPr>
        <w:tc>
          <w:tcPr>
            <w:tcW w:w="4820" w:type="dxa"/>
            <w:tcBorders>
              <w:top w:val="single" w:sz="4" w:space="0" w:color="auto"/>
              <w:left w:val="nil"/>
              <w:bottom w:val="single" w:sz="4" w:space="0" w:color="auto"/>
              <w:right w:val="single" w:sz="4" w:space="0" w:color="auto"/>
            </w:tcBorders>
            <w:shd w:val="clear" w:color="auto" w:fill="auto"/>
          </w:tcPr>
          <w:p w14:paraId="592E8FE1" w14:textId="77777777" w:rsidR="00D01C68" w:rsidRPr="008B2E9C" w:rsidRDefault="00D01C68" w:rsidP="00EF7D49">
            <w:pPr>
              <w:pStyle w:val="TableText"/>
              <w:snapToGrid w:val="0"/>
              <w:ind w:leftChars="29" w:left="425" w:hangingChars="216" w:hanging="367"/>
              <w:rPr>
                <w:szCs w:val="17"/>
                <w:lang w:eastAsia="en-GB"/>
              </w:rPr>
            </w:pPr>
            <w:r>
              <w:rPr>
                <w:szCs w:val="17"/>
                <w:lang w:eastAsia="en-GB"/>
              </w:rPr>
              <w:tab/>
            </w:r>
            <w:r w:rsidRPr="00FB79AF">
              <w:rPr>
                <w:szCs w:val="17"/>
                <w:lang w:eastAsia="en-GB"/>
              </w:rPr>
              <w:t>Of which: amount eligible for AT1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A52A0D3" w14:textId="77777777" w:rsidR="00D01C68" w:rsidRPr="00372905" w:rsidRDefault="00D01C68" w:rsidP="00EF7D49">
            <w:pPr>
              <w:pStyle w:val="TableText"/>
              <w:snapToGrid w:val="0"/>
              <w:ind w:left="57" w:rightChars="71" w:right="142"/>
              <w:rPr>
                <w:lang w:eastAsia="it-IT"/>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7EF0A2AE" w14:textId="77777777" w:rsidR="00D01C68" w:rsidRPr="0023654F" w:rsidRDefault="00D01C68" w:rsidP="00EF7D49">
            <w:pPr>
              <w:pStyle w:val="TableText"/>
              <w:snapToGrid w:val="0"/>
              <w:jc w:val="center"/>
              <w:rPr>
                <w:lang w:eastAsia="it-IT"/>
              </w:rPr>
            </w:pP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tcPr>
          <w:p w14:paraId="709DD9DB" w14:textId="77777777" w:rsidR="00D01C68" w:rsidRPr="0023654F" w:rsidRDefault="00D01C68" w:rsidP="00EF7D49">
            <w:pPr>
              <w:pStyle w:val="TableText"/>
              <w:snapToGrid w:val="0"/>
              <w:jc w:val="center"/>
              <w:rPr>
                <w:lang w:eastAsia="it-IT"/>
              </w:rPr>
            </w:pPr>
            <w:r>
              <w:rPr>
                <w:lang w:eastAsia="it-IT"/>
              </w:rPr>
              <w:t>[f]</w:t>
            </w:r>
          </w:p>
        </w:tc>
      </w:tr>
      <w:tr w:rsidR="00D01C68" w:rsidRPr="0023654F" w14:paraId="6AC91CAB" w14:textId="77777777" w:rsidTr="0080192D">
        <w:trPr>
          <w:cantSplit/>
          <w:trHeight w:val="270"/>
        </w:trPr>
        <w:tc>
          <w:tcPr>
            <w:tcW w:w="4820" w:type="dxa"/>
            <w:tcBorders>
              <w:top w:val="single" w:sz="4" w:space="0" w:color="auto"/>
              <w:left w:val="nil"/>
              <w:bottom w:val="single" w:sz="4" w:space="0" w:color="auto"/>
              <w:right w:val="single" w:sz="4" w:space="0" w:color="auto"/>
            </w:tcBorders>
            <w:shd w:val="clear" w:color="auto" w:fill="auto"/>
          </w:tcPr>
          <w:p w14:paraId="206D0175" w14:textId="77777777" w:rsidR="00D01C68" w:rsidRDefault="00D01C68" w:rsidP="00EF7D49">
            <w:pPr>
              <w:pStyle w:val="TableText"/>
              <w:snapToGrid w:val="0"/>
              <w:ind w:left="57"/>
              <w:rPr>
                <w:szCs w:val="17"/>
                <w:lang w:eastAsia="en-GB"/>
              </w:rPr>
            </w:pPr>
            <w:r w:rsidRPr="00FB79AF">
              <w:rPr>
                <w:szCs w:val="17"/>
                <w:lang w:eastAsia="en-GB"/>
              </w:rPr>
              <w:t>Retained earnings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0DD9D7B" w14:textId="77777777" w:rsidR="00D01C68" w:rsidRPr="008B5525" w:rsidRDefault="00D01C68" w:rsidP="00EF7D49">
            <w:pPr>
              <w:pStyle w:val="TableText"/>
              <w:snapToGrid w:val="0"/>
              <w:ind w:left="57" w:rightChars="71" w:right="142"/>
              <w:rPr>
                <w:lang w:eastAsia="it-IT"/>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20EF1F19" w14:textId="77777777" w:rsidR="00D01C68" w:rsidRPr="0023654F" w:rsidRDefault="00D01C68" w:rsidP="00EF7D49">
            <w:pPr>
              <w:pStyle w:val="TableText"/>
              <w:snapToGrid w:val="0"/>
              <w:jc w:val="center"/>
              <w:rPr>
                <w:lang w:eastAsia="it-IT"/>
              </w:rPr>
            </w:pP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tcPr>
          <w:p w14:paraId="1088CA64" w14:textId="77777777" w:rsidR="00D01C68" w:rsidRPr="0023654F" w:rsidRDefault="00D01C68" w:rsidP="00EF7D49">
            <w:pPr>
              <w:pStyle w:val="TableText"/>
              <w:snapToGrid w:val="0"/>
              <w:jc w:val="center"/>
              <w:rPr>
                <w:lang w:eastAsia="it-IT"/>
              </w:rPr>
            </w:pPr>
          </w:p>
        </w:tc>
      </w:tr>
      <w:tr w:rsidR="00D01C68" w:rsidRPr="0023654F" w14:paraId="4FD0EE5A" w14:textId="77777777" w:rsidTr="0080192D">
        <w:trPr>
          <w:cantSplit/>
          <w:trHeight w:val="270"/>
        </w:trPr>
        <w:tc>
          <w:tcPr>
            <w:tcW w:w="4820" w:type="dxa"/>
            <w:tcBorders>
              <w:top w:val="single" w:sz="4" w:space="0" w:color="auto"/>
              <w:left w:val="nil"/>
              <w:bottom w:val="single" w:sz="4" w:space="0" w:color="auto"/>
              <w:right w:val="single" w:sz="4" w:space="0" w:color="auto"/>
            </w:tcBorders>
            <w:shd w:val="clear" w:color="auto" w:fill="auto"/>
          </w:tcPr>
          <w:p w14:paraId="405DAAC1" w14:textId="77777777" w:rsidR="00D01C68" w:rsidRDefault="00D01C68" w:rsidP="00EF7D49">
            <w:pPr>
              <w:pStyle w:val="TableText"/>
              <w:snapToGrid w:val="0"/>
              <w:ind w:left="57"/>
              <w:rPr>
                <w:szCs w:val="17"/>
                <w:lang w:eastAsia="en-GB"/>
              </w:rPr>
            </w:pPr>
            <w:r w:rsidRPr="00FB79AF">
              <w:rPr>
                <w:szCs w:val="17"/>
                <w:lang w:eastAsia="en-GB"/>
              </w:rPr>
              <w:t>Accumulated other comprehensive income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46C97D6" w14:textId="77777777" w:rsidR="00D01C68" w:rsidRPr="00372905" w:rsidRDefault="00D01C68" w:rsidP="00EF7D49">
            <w:pPr>
              <w:pStyle w:val="TableText"/>
              <w:snapToGrid w:val="0"/>
              <w:ind w:left="57" w:rightChars="71" w:right="142"/>
              <w:rPr>
                <w:lang w:eastAsia="it-IT"/>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3509D1E5" w14:textId="77777777" w:rsidR="00D01C68" w:rsidRPr="0023654F" w:rsidRDefault="00D01C68" w:rsidP="00EF7D49">
            <w:pPr>
              <w:pStyle w:val="TableText"/>
              <w:snapToGrid w:val="0"/>
              <w:jc w:val="center"/>
              <w:rPr>
                <w:lang w:eastAsia="it-IT"/>
              </w:rPr>
            </w:pP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C62046" w14:textId="77777777" w:rsidR="00D01C68" w:rsidRPr="0023654F" w:rsidRDefault="00D01C68" w:rsidP="00EF7D49">
            <w:pPr>
              <w:pStyle w:val="TableText"/>
              <w:snapToGrid w:val="0"/>
              <w:jc w:val="center"/>
              <w:rPr>
                <w:lang w:eastAsia="it-IT"/>
              </w:rPr>
            </w:pPr>
          </w:p>
        </w:tc>
      </w:tr>
      <w:tr w:rsidR="00D01C68" w:rsidRPr="0023654F" w14:paraId="25C47205" w14:textId="77777777" w:rsidTr="0080192D">
        <w:trPr>
          <w:cantSplit/>
          <w:trHeight w:val="270"/>
        </w:trPr>
        <w:tc>
          <w:tcPr>
            <w:tcW w:w="4820" w:type="dxa"/>
            <w:tcBorders>
              <w:top w:val="single" w:sz="6" w:space="0" w:color="auto"/>
              <w:left w:val="nil"/>
              <w:bottom w:val="single" w:sz="6" w:space="0" w:color="auto"/>
              <w:right w:val="single" w:sz="4" w:space="0" w:color="auto"/>
            </w:tcBorders>
            <w:shd w:val="clear" w:color="auto" w:fill="auto"/>
          </w:tcPr>
          <w:p w14:paraId="1D54D321" w14:textId="77777777" w:rsidR="00D01C68" w:rsidRPr="00FB79AF" w:rsidRDefault="00D01C68" w:rsidP="00EF7D49">
            <w:pPr>
              <w:pStyle w:val="TableText"/>
              <w:snapToGrid w:val="0"/>
              <w:ind w:left="57"/>
              <w:rPr>
                <w:b/>
                <w:szCs w:val="17"/>
                <w:lang w:eastAsia="it-IT"/>
              </w:rPr>
            </w:pPr>
            <w:r w:rsidRPr="00FB79AF">
              <w:rPr>
                <w:b/>
                <w:szCs w:val="17"/>
                <w:lang w:eastAsia="it-IT"/>
              </w:rPr>
              <w:t>Total shareholders’ equity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A346A0F" w14:textId="77777777" w:rsidR="00D01C68" w:rsidRPr="00E219E7" w:rsidRDefault="00D01C68" w:rsidP="00EF7D49">
            <w:pPr>
              <w:pStyle w:val="TableText"/>
              <w:snapToGrid w:val="0"/>
              <w:ind w:left="57" w:rightChars="71" w:right="142"/>
              <w:rPr>
                <w:szCs w:val="17"/>
                <w:lang w:eastAsia="it-IT"/>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7D5AFD2" w14:textId="77777777" w:rsidR="00D01C68" w:rsidRPr="003B53ED" w:rsidRDefault="00D01C68" w:rsidP="00EF7D49">
            <w:pPr>
              <w:pStyle w:val="TableText"/>
              <w:snapToGrid w:val="0"/>
              <w:ind w:left="57"/>
              <w:jc w:val="center"/>
              <w:rPr>
                <w:lang w:eastAsia="it-IT"/>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4BC6D41E" w14:textId="77777777" w:rsidR="00D01C68" w:rsidRPr="0023654F" w:rsidRDefault="00D01C68" w:rsidP="00EF7D49">
            <w:pPr>
              <w:pStyle w:val="TableText"/>
              <w:snapToGrid w:val="0"/>
              <w:jc w:val="center"/>
              <w:rPr>
                <w:lang w:eastAsia="it-IT"/>
              </w:rPr>
            </w:pPr>
          </w:p>
        </w:tc>
      </w:tr>
    </w:tbl>
    <w:p w14:paraId="0D28D14E" w14:textId="77777777" w:rsidR="007D7991" w:rsidRDefault="007D7991" w:rsidP="004251F0">
      <w:pPr>
        <w:spacing w:before="120" w:after="120"/>
        <w:rPr>
          <w:sz w:val="22"/>
        </w:rPr>
      </w:pPr>
    </w:p>
    <w:tbl>
      <w:tblPr>
        <w:tblStyle w:val="TableGrid"/>
        <w:tblW w:w="9214" w:type="dxa"/>
        <w:tblInd w:w="-459" w:type="dxa"/>
        <w:tblLook w:val="04A0" w:firstRow="1" w:lastRow="0" w:firstColumn="1" w:lastColumn="0" w:noHBand="0" w:noVBand="1"/>
      </w:tblPr>
      <w:tblGrid>
        <w:gridCol w:w="709"/>
        <w:gridCol w:w="8505"/>
      </w:tblGrid>
      <w:tr w:rsidR="007D7991" w:rsidRPr="00280717" w14:paraId="785DC9DE" w14:textId="77777777" w:rsidTr="00321677">
        <w:trPr>
          <w:tblHeader/>
        </w:trPr>
        <w:tc>
          <w:tcPr>
            <w:tcW w:w="9214" w:type="dxa"/>
            <w:gridSpan w:val="2"/>
            <w:shd w:val="clear" w:color="auto" w:fill="BFBFBF" w:themeFill="background1" w:themeFillShade="BF"/>
          </w:tcPr>
          <w:p w14:paraId="71F252C2" w14:textId="77777777" w:rsidR="007D7991" w:rsidRPr="00280717" w:rsidRDefault="007D7991" w:rsidP="00321677">
            <w:pPr>
              <w:spacing w:before="40" w:after="40"/>
              <w:jc w:val="both"/>
              <w:rPr>
                <w:rFonts w:eastAsiaTheme="minorEastAsia"/>
                <w:b/>
                <w:sz w:val="17"/>
                <w:szCs w:val="17"/>
                <w:lang w:eastAsia="en-GB"/>
              </w:rPr>
            </w:pPr>
            <w:r w:rsidRPr="00280717">
              <w:rPr>
                <w:rFonts w:eastAsiaTheme="minorEastAsia"/>
                <w:b/>
                <w:sz w:val="17"/>
                <w:szCs w:val="17"/>
                <w:lang w:eastAsia="en-GB"/>
              </w:rPr>
              <w:t>Explanatory Note</w:t>
            </w:r>
          </w:p>
        </w:tc>
      </w:tr>
      <w:tr w:rsidR="007D7991" w:rsidRPr="00280717" w14:paraId="103B7503" w14:textId="77777777" w:rsidTr="00321677">
        <w:trPr>
          <w:trHeight w:val="153"/>
        </w:trPr>
        <w:tc>
          <w:tcPr>
            <w:tcW w:w="9214" w:type="dxa"/>
            <w:gridSpan w:val="2"/>
            <w:shd w:val="clear" w:color="auto" w:fill="F2F2F2" w:themeFill="background1" w:themeFillShade="F2"/>
          </w:tcPr>
          <w:p w14:paraId="41165158" w14:textId="77777777" w:rsidR="007D7991" w:rsidRPr="00280717" w:rsidRDefault="007D7991" w:rsidP="00321677">
            <w:pPr>
              <w:spacing w:before="40" w:after="40"/>
              <w:jc w:val="both"/>
              <w:rPr>
                <w:rFonts w:eastAsiaTheme="minorEastAsia"/>
                <w:b/>
                <w:sz w:val="17"/>
                <w:szCs w:val="17"/>
                <w:lang w:eastAsia="en-GB"/>
              </w:rPr>
            </w:pPr>
            <w:r w:rsidRPr="00280717">
              <w:rPr>
                <w:rFonts w:eastAsiaTheme="minorEastAsia"/>
                <w:b/>
                <w:sz w:val="17"/>
                <w:szCs w:val="17"/>
                <w:lang w:eastAsia="en-GB"/>
              </w:rPr>
              <w:t>Columns</w:t>
            </w:r>
          </w:p>
        </w:tc>
      </w:tr>
      <w:tr w:rsidR="007D7991" w:rsidRPr="00280717" w14:paraId="35C5AEA0" w14:textId="77777777" w:rsidTr="00321677">
        <w:tc>
          <w:tcPr>
            <w:tcW w:w="709" w:type="dxa"/>
          </w:tcPr>
          <w:p w14:paraId="5404B7F9" w14:textId="77777777" w:rsidR="007D7991" w:rsidRPr="00F171BA" w:rsidRDefault="007D7991" w:rsidP="00321677">
            <w:pPr>
              <w:keepLines/>
              <w:widowControl w:val="0"/>
              <w:tabs>
                <w:tab w:val="left" w:pos="1191"/>
              </w:tabs>
              <w:spacing w:before="40" w:after="40"/>
              <w:ind w:rightChars="-54" w:right="-108"/>
              <w:rPr>
                <w:rFonts w:cs="Segoe UI"/>
                <w:sz w:val="17"/>
                <w:szCs w:val="17"/>
                <w:lang w:eastAsia="en-GB"/>
              </w:rPr>
            </w:pPr>
            <w:r>
              <w:rPr>
                <w:rFonts w:cs="Segoe UI"/>
                <w:sz w:val="17"/>
                <w:szCs w:val="17"/>
                <w:lang w:eastAsia="en-GB"/>
              </w:rPr>
              <w:t>(a) and (b)</w:t>
            </w:r>
          </w:p>
        </w:tc>
        <w:tc>
          <w:tcPr>
            <w:tcW w:w="8505" w:type="dxa"/>
          </w:tcPr>
          <w:p w14:paraId="5412BB06" w14:textId="16D4D596" w:rsidR="007D7991" w:rsidRPr="00EC1C29" w:rsidRDefault="007D7991" w:rsidP="007D7991">
            <w:pPr>
              <w:pStyle w:val="TableText"/>
              <w:keepNext/>
              <w:ind w:left="70"/>
              <w:jc w:val="both"/>
              <w:rPr>
                <w:szCs w:val="17"/>
              </w:rPr>
            </w:pPr>
            <w:r>
              <w:rPr>
                <w:szCs w:val="17"/>
              </w:rPr>
              <w:t>An AI</w:t>
            </w:r>
            <w:r w:rsidRPr="00EC1C29">
              <w:rPr>
                <w:szCs w:val="17"/>
              </w:rPr>
              <w:t xml:space="preserve"> </w:t>
            </w:r>
            <w:r>
              <w:rPr>
                <w:szCs w:val="17"/>
              </w:rPr>
              <w:t>should</w:t>
            </w:r>
            <w:r w:rsidRPr="00EC1C29">
              <w:rPr>
                <w:szCs w:val="17"/>
              </w:rPr>
              <w:t xml:space="preserve"> take </w:t>
            </w:r>
            <w:r>
              <w:rPr>
                <w:szCs w:val="17"/>
              </w:rPr>
              <w:t>the</w:t>
            </w:r>
            <w:r w:rsidRPr="00EC1C29">
              <w:rPr>
                <w:szCs w:val="17"/>
              </w:rPr>
              <w:t xml:space="preserve"> balance sheet </w:t>
            </w:r>
            <w:r>
              <w:rPr>
                <w:szCs w:val="17"/>
              </w:rPr>
              <w:t xml:space="preserve">numbers </w:t>
            </w:r>
            <w:r w:rsidRPr="00EC1C29">
              <w:rPr>
                <w:szCs w:val="17"/>
              </w:rPr>
              <w:t xml:space="preserve">in </w:t>
            </w:r>
            <w:r>
              <w:rPr>
                <w:szCs w:val="17"/>
              </w:rPr>
              <w:t>its</w:t>
            </w:r>
            <w:r w:rsidRPr="00EC1C29">
              <w:rPr>
                <w:szCs w:val="17"/>
              </w:rPr>
              <w:t xml:space="preserve"> published financial statements (</w:t>
            </w:r>
            <w:r>
              <w:rPr>
                <w:szCs w:val="17"/>
              </w:rPr>
              <w:t>reported in column (a)</w:t>
            </w:r>
            <w:r w:rsidRPr="00EC1C29">
              <w:rPr>
                <w:szCs w:val="17"/>
              </w:rPr>
              <w:t>)</w:t>
            </w:r>
            <w:r>
              <w:rPr>
                <w:szCs w:val="17"/>
              </w:rPr>
              <w:t>,</w:t>
            </w:r>
            <w:r w:rsidRPr="00EC1C29">
              <w:rPr>
                <w:szCs w:val="17"/>
              </w:rPr>
              <w:t xml:space="preserve"> and report the numbers when the regulatory scope of consolidation is applied (</w:t>
            </w:r>
            <w:r>
              <w:rPr>
                <w:szCs w:val="17"/>
              </w:rPr>
              <w:t>reported in column (b)</w:t>
            </w:r>
            <w:r w:rsidRPr="00EC1C29">
              <w:rPr>
                <w:szCs w:val="17"/>
              </w:rPr>
              <w:t xml:space="preserve">). </w:t>
            </w:r>
            <w:r>
              <w:rPr>
                <w:szCs w:val="17"/>
              </w:rPr>
              <w:t xml:space="preserve"> </w:t>
            </w:r>
            <w:r w:rsidRPr="00EC1C29">
              <w:rPr>
                <w:szCs w:val="17"/>
              </w:rPr>
              <w:t xml:space="preserve">This is </w:t>
            </w:r>
            <w:r w:rsidRPr="00EC1C29">
              <w:rPr>
                <w:szCs w:val="17"/>
              </w:rPr>
              <w:lastRenderedPageBreak/>
              <w:t>referred to as Step 1 under the three-step approach to reconciliation, as explained</w:t>
            </w:r>
            <w:r w:rsidR="003D36C8">
              <w:rPr>
                <w:szCs w:val="17"/>
              </w:rPr>
              <w:t xml:space="preserve"> </w:t>
            </w:r>
            <w:r w:rsidR="003D36C8" w:rsidRPr="003D36C8">
              <w:rPr>
                <w:szCs w:val="17"/>
              </w:rPr>
              <w:t>in DIS25 of the Basel framework</w:t>
            </w:r>
            <w:r w:rsidRPr="00EC1C29">
              <w:rPr>
                <w:szCs w:val="17"/>
              </w:rPr>
              <w:t>.</w:t>
            </w:r>
          </w:p>
          <w:p w14:paraId="6D9DC0C6" w14:textId="77777777" w:rsidR="007D7991" w:rsidRPr="00EC1C29" w:rsidRDefault="007D7991" w:rsidP="007D7991">
            <w:pPr>
              <w:pStyle w:val="TableText"/>
              <w:keepNext/>
              <w:ind w:left="70"/>
              <w:jc w:val="both"/>
              <w:rPr>
                <w:szCs w:val="17"/>
              </w:rPr>
            </w:pPr>
            <w:r w:rsidRPr="00EC1C29">
              <w:rPr>
                <w:szCs w:val="17"/>
              </w:rPr>
              <w:t xml:space="preserve">If there are rows in the balance sheet under the regulatory scope of consolidation that are not present in the published financial statements, </w:t>
            </w:r>
            <w:r>
              <w:rPr>
                <w:szCs w:val="17"/>
              </w:rPr>
              <w:t>the AI should</w:t>
            </w:r>
            <w:r w:rsidRPr="00EC1C29">
              <w:rPr>
                <w:szCs w:val="17"/>
              </w:rPr>
              <w:t xml:space="preserve"> add these </w:t>
            </w:r>
            <w:r>
              <w:rPr>
                <w:szCs w:val="17"/>
              </w:rPr>
              <w:t xml:space="preserve">rows </w:t>
            </w:r>
            <w:r w:rsidRPr="00EC1C29">
              <w:rPr>
                <w:szCs w:val="17"/>
              </w:rPr>
              <w:t>and give a value of zero in column (a).</w:t>
            </w:r>
          </w:p>
          <w:p w14:paraId="57F965D6" w14:textId="77777777" w:rsidR="007D7991" w:rsidRDefault="007D7991" w:rsidP="007D7991">
            <w:pPr>
              <w:pStyle w:val="TableText"/>
              <w:keepNext/>
              <w:ind w:left="70"/>
              <w:jc w:val="both"/>
              <w:rPr>
                <w:szCs w:val="17"/>
              </w:rPr>
            </w:pPr>
            <w:r w:rsidRPr="00EC1C29">
              <w:rPr>
                <w:szCs w:val="17"/>
              </w:rPr>
              <w:t>If a</w:t>
            </w:r>
            <w:r>
              <w:rPr>
                <w:szCs w:val="17"/>
              </w:rPr>
              <w:t>n AI</w:t>
            </w:r>
            <w:r w:rsidRPr="00EC1C29">
              <w:rPr>
                <w:szCs w:val="17"/>
              </w:rPr>
              <w:t>’s scope of accounting consolidation and scope of regulatory consolidation are exactly the same, columns (a) and (b) should be merged and this fact should be clearly disclosed.</w:t>
            </w:r>
          </w:p>
          <w:p w14:paraId="15C4B0F7" w14:textId="77777777" w:rsidR="007D7991" w:rsidRPr="00F171BA" w:rsidRDefault="007D7991" w:rsidP="0081774C">
            <w:pPr>
              <w:pStyle w:val="TableNote"/>
              <w:spacing w:before="40" w:after="40"/>
              <w:ind w:left="70"/>
              <w:rPr>
                <w:sz w:val="17"/>
                <w:szCs w:val="17"/>
              </w:rPr>
            </w:pPr>
            <w:r>
              <w:rPr>
                <w:sz w:val="17"/>
                <w:szCs w:val="17"/>
              </w:rPr>
              <w:t>T</w:t>
            </w:r>
            <w:r w:rsidRPr="00EC1C29">
              <w:rPr>
                <w:sz w:val="17"/>
                <w:szCs w:val="17"/>
              </w:rPr>
              <w:t xml:space="preserve">he amounts in columns (a) and (b) in </w:t>
            </w:r>
            <w:r>
              <w:rPr>
                <w:sz w:val="17"/>
                <w:szCs w:val="17"/>
              </w:rPr>
              <w:t>this t</w:t>
            </w:r>
            <w:r w:rsidRPr="00EC1C29">
              <w:rPr>
                <w:sz w:val="17"/>
                <w:szCs w:val="17"/>
              </w:rPr>
              <w:t>emplate before balance sheet expansion (i</w:t>
            </w:r>
            <w:r>
              <w:rPr>
                <w:sz w:val="17"/>
                <w:szCs w:val="17"/>
              </w:rPr>
              <w:t>.</w:t>
            </w:r>
            <w:r w:rsidRPr="00EC1C29">
              <w:rPr>
                <w:sz w:val="17"/>
                <w:szCs w:val="17"/>
              </w:rPr>
              <w:t>e</w:t>
            </w:r>
            <w:r>
              <w:rPr>
                <w:sz w:val="17"/>
                <w:szCs w:val="17"/>
              </w:rPr>
              <w:t>.</w:t>
            </w:r>
            <w:r w:rsidRPr="00EC1C29">
              <w:rPr>
                <w:sz w:val="17"/>
                <w:szCs w:val="17"/>
              </w:rPr>
              <w:t xml:space="preserve"> before Step 2</w:t>
            </w:r>
            <w:r>
              <w:rPr>
                <w:sz w:val="17"/>
                <w:szCs w:val="17"/>
              </w:rPr>
              <w:t xml:space="preserve"> under the three-step approach</w:t>
            </w:r>
            <w:r w:rsidRPr="00EC1C29">
              <w:rPr>
                <w:sz w:val="17"/>
                <w:szCs w:val="17"/>
              </w:rPr>
              <w:t>) should be identical to columns (a) and (b) in Template LI1.</w:t>
            </w:r>
          </w:p>
        </w:tc>
      </w:tr>
      <w:tr w:rsidR="007D7991" w:rsidRPr="00280717" w14:paraId="60DCEBB5" w14:textId="77777777" w:rsidTr="00321677">
        <w:tc>
          <w:tcPr>
            <w:tcW w:w="709" w:type="dxa"/>
          </w:tcPr>
          <w:p w14:paraId="7BC9011F" w14:textId="77777777" w:rsidR="007D7991" w:rsidRDefault="007D7991" w:rsidP="00321677">
            <w:pPr>
              <w:keepLines/>
              <w:widowControl w:val="0"/>
              <w:tabs>
                <w:tab w:val="left" w:pos="1191"/>
              </w:tabs>
              <w:spacing w:before="40" w:after="40"/>
              <w:ind w:rightChars="-54" w:right="-108"/>
              <w:rPr>
                <w:rFonts w:cs="Segoe UI"/>
                <w:sz w:val="17"/>
                <w:szCs w:val="17"/>
                <w:lang w:eastAsia="en-GB"/>
              </w:rPr>
            </w:pPr>
            <w:r>
              <w:rPr>
                <w:rFonts w:cs="Segoe UI"/>
                <w:sz w:val="17"/>
                <w:szCs w:val="17"/>
                <w:lang w:eastAsia="en-GB"/>
              </w:rPr>
              <w:lastRenderedPageBreak/>
              <w:t>(c)</w:t>
            </w:r>
          </w:p>
        </w:tc>
        <w:tc>
          <w:tcPr>
            <w:tcW w:w="8505" w:type="dxa"/>
          </w:tcPr>
          <w:p w14:paraId="693CE9A9" w14:textId="083939DD" w:rsidR="007D7991" w:rsidRDefault="007D7991" w:rsidP="003D36C8">
            <w:pPr>
              <w:pStyle w:val="TableText"/>
              <w:keepNext/>
              <w:ind w:left="70"/>
              <w:jc w:val="both"/>
              <w:rPr>
                <w:szCs w:val="17"/>
              </w:rPr>
            </w:pPr>
            <w:r>
              <w:rPr>
                <w:szCs w:val="17"/>
              </w:rPr>
              <w:t>An AI should, using a</w:t>
            </w:r>
            <w:r w:rsidRPr="00EC1C29">
              <w:rPr>
                <w:szCs w:val="17"/>
              </w:rPr>
              <w:t xml:space="preserve"> reference number/letter</w:t>
            </w:r>
            <w:r>
              <w:rPr>
                <w:szCs w:val="17"/>
              </w:rPr>
              <w:t xml:space="preserve"> input in this column, cross-reference the figures of the expanded </w:t>
            </w:r>
            <w:r w:rsidRPr="004878F3">
              <w:rPr>
                <w:lang w:eastAsia="en-GB"/>
              </w:rPr>
              <w:t xml:space="preserve">balance sheet </w:t>
            </w:r>
            <w:r>
              <w:rPr>
                <w:szCs w:val="17"/>
              </w:rPr>
              <w:t>items to the corresponding i</w:t>
            </w:r>
            <w:r w:rsidRPr="00EC1C29">
              <w:rPr>
                <w:szCs w:val="17"/>
              </w:rPr>
              <w:t>tems</w:t>
            </w:r>
            <w:r>
              <w:rPr>
                <w:szCs w:val="17"/>
              </w:rPr>
              <w:t xml:space="preserve"> in</w:t>
            </w:r>
            <w:r w:rsidRPr="00EC1C29">
              <w:rPr>
                <w:szCs w:val="17"/>
              </w:rPr>
              <w:t xml:space="preserve"> column (b) of Template CC1</w:t>
            </w:r>
            <w:r>
              <w:rPr>
                <w:szCs w:val="17"/>
              </w:rPr>
              <w:t xml:space="preserve"> in accordance with </w:t>
            </w:r>
            <w:r w:rsidRPr="00EC1C29">
              <w:rPr>
                <w:szCs w:val="17"/>
              </w:rPr>
              <w:t xml:space="preserve">Step </w:t>
            </w:r>
            <w:r>
              <w:rPr>
                <w:szCs w:val="17"/>
              </w:rPr>
              <w:t>3</w:t>
            </w:r>
            <w:r w:rsidRPr="00EC1C29">
              <w:rPr>
                <w:szCs w:val="17"/>
              </w:rPr>
              <w:t xml:space="preserve"> under the three-step approach to reconciliation as explained</w:t>
            </w:r>
            <w:r w:rsidR="003D36C8">
              <w:rPr>
                <w:szCs w:val="17"/>
              </w:rPr>
              <w:t xml:space="preserve"> </w:t>
            </w:r>
            <w:r w:rsidR="003D36C8" w:rsidRPr="003D36C8">
              <w:rPr>
                <w:szCs w:val="17"/>
              </w:rPr>
              <w:t>in DIS25 of the Basel framework</w:t>
            </w:r>
            <w:r w:rsidRPr="00EC1C29">
              <w:rPr>
                <w:szCs w:val="17"/>
              </w:rPr>
              <w:t>.</w:t>
            </w:r>
          </w:p>
        </w:tc>
      </w:tr>
      <w:tr w:rsidR="007D7991" w:rsidRPr="00280717" w14:paraId="66B48CCE" w14:textId="77777777" w:rsidTr="00321677">
        <w:trPr>
          <w:trHeight w:val="373"/>
        </w:trPr>
        <w:tc>
          <w:tcPr>
            <w:tcW w:w="9214" w:type="dxa"/>
            <w:gridSpan w:val="2"/>
            <w:shd w:val="clear" w:color="auto" w:fill="F2F2F2" w:themeFill="background1" w:themeFillShade="F2"/>
          </w:tcPr>
          <w:p w14:paraId="164B6D80" w14:textId="77777777" w:rsidR="007D7991" w:rsidRPr="00A539ED" w:rsidRDefault="007D7991" w:rsidP="007D7991">
            <w:pPr>
              <w:pStyle w:val="TableNote"/>
              <w:spacing w:before="40" w:after="40"/>
              <w:ind w:left="70"/>
              <w:rPr>
                <w:i/>
                <w:sz w:val="17"/>
                <w:szCs w:val="17"/>
              </w:rPr>
            </w:pPr>
            <w:r>
              <w:rPr>
                <w:rFonts w:eastAsiaTheme="minorEastAsia"/>
                <w:b/>
                <w:sz w:val="17"/>
                <w:szCs w:val="17"/>
                <w:lang w:eastAsia="en-GB"/>
              </w:rPr>
              <w:t>Row</w:t>
            </w:r>
            <w:r w:rsidRPr="00280717">
              <w:rPr>
                <w:rFonts w:eastAsiaTheme="minorEastAsia"/>
                <w:b/>
                <w:sz w:val="17"/>
                <w:szCs w:val="17"/>
                <w:lang w:eastAsia="en-GB"/>
              </w:rPr>
              <w:t>s</w:t>
            </w:r>
          </w:p>
        </w:tc>
      </w:tr>
      <w:tr w:rsidR="007D7991" w:rsidRPr="00280717" w14:paraId="7CC782BD" w14:textId="77777777" w:rsidTr="00321677">
        <w:trPr>
          <w:trHeight w:val="373"/>
        </w:trPr>
        <w:tc>
          <w:tcPr>
            <w:tcW w:w="709" w:type="dxa"/>
          </w:tcPr>
          <w:p w14:paraId="378ABBB7" w14:textId="77777777" w:rsidR="007D7991" w:rsidRPr="00280717" w:rsidRDefault="007D7991" w:rsidP="00321677">
            <w:pPr>
              <w:keepLines/>
              <w:widowControl w:val="0"/>
              <w:tabs>
                <w:tab w:val="left" w:pos="1191"/>
              </w:tabs>
              <w:spacing w:before="40" w:after="40"/>
              <w:ind w:rightChars="-54" w:right="-108"/>
              <w:rPr>
                <w:rFonts w:cs="Segoe UI"/>
                <w:sz w:val="17"/>
                <w:szCs w:val="17"/>
                <w:lang w:eastAsia="en-GB"/>
              </w:rPr>
            </w:pPr>
            <w:r>
              <w:rPr>
                <w:rFonts w:cs="Segoe UI"/>
                <w:sz w:val="17"/>
                <w:szCs w:val="17"/>
                <w:lang w:eastAsia="en-GB"/>
              </w:rPr>
              <w:t>All</w:t>
            </w:r>
          </w:p>
        </w:tc>
        <w:tc>
          <w:tcPr>
            <w:tcW w:w="8505" w:type="dxa"/>
          </w:tcPr>
          <w:p w14:paraId="60501F24" w14:textId="2F0E79BC" w:rsidR="007D7991" w:rsidRPr="00805D2E" w:rsidRDefault="007D7991" w:rsidP="003D36C8">
            <w:pPr>
              <w:pStyle w:val="TableText"/>
              <w:keepNext/>
              <w:ind w:left="70"/>
              <w:jc w:val="both"/>
              <w:rPr>
                <w:szCs w:val="17"/>
              </w:rPr>
            </w:pPr>
            <w:r>
              <w:rPr>
                <w:szCs w:val="17"/>
              </w:rPr>
              <w:t>R</w:t>
            </w:r>
            <w:r w:rsidRPr="00EC1C29">
              <w:rPr>
                <w:szCs w:val="17"/>
              </w:rPr>
              <w:t xml:space="preserve">ows in the template should follow the balance sheet presentation used by </w:t>
            </w:r>
            <w:r>
              <w:rPr>
                <w:szCs w:val="17"/>
              </w:rPr>
              <w:t>an AI</w:t>
            </w:r>
            <w:r w:rsidRPr="00EC1C29">
              <w:rPr>
                <w:szCs w:val="17"/>
              </w:rPr>
              <w:t xml:space="preserve"> in its financial statements, on which basis the </w:t>
            </w:r>
            <w:r>
              <w:rPr>
                <w:szCs w:val="17"/>
              </w:rPr>
              <w:t>AI</w:t>
            </w:r>
            <w:r w:rsidRPr="00EC1C29">
              <w:rPr>
                <w:szCs w:val="17"/>
              </w:rPr>
              <w:t xml:space="preserve"> is required to expand the balance sheet to identify all the items that are disclosed in Template CC1 (referred to as Step 2 under the three-step approach to reconciliation, as explained</w:t>
            </w:r>
            <w:r w:rsidR="003D36C8">
              <w:rPr>
                <w:szCs w:val="17"/>
              </w:rPr>
              <w:t xml:space="preserve"> </w:t>
            </w:r>
            <w:r w:rsidR="003D36C8" w:rsidRPr="003D36C8">
              <w:rPr>
                <w:szCs w:val="17"/>
              </w:rPr>
              <w:t>in DIS25 of the Basel framework</w:t>
            </w:r>
            <w:r w:rsidR="008645B7">
              <w:rPr>
                <w:szCs w:val="17"/>
              </w:rPr>
              <w:t>)</w:t>
            </w:r>
            <w:r w:rsidRPr="00EC1C29">
              <w:rPr>
                <w:szCs w:val="17"/>
              </w:rPr>
              <w:t xml:space="preserve">. </w:t>
            </w:r>
            <w:r>
              <w:rPr>
                <w:szCs w:val="17"/>
              </w:rPr>
              <w:t xml:space="preserve"> </w:t>
            </w:r>
            <w:r w:rsidRPr="00EC1C29">
              <w:rPr>
                <w:szCs w:val="17"/>
              </w:rPr>
              <w:t>Set out above (i</w:t>
            </w:r>
            <w:r>
              <w:rPr>
                <w:szCs w:val="17"/>
              </w:rPr>
              <w:t>.</w:t>
            </w:r>
            <w:r w:rsidRPr="00EC1C29">
              <w:rPr>
                <w:szCs w:val="17"/>
              </w:rPr>
              <w:t>e</w:t>
            </w:r>
            <w:r>
              <w:rPr>
                <w:szCs w:val="17"/>
              </w:rPr>
              <w:t>. items [</w:t>
            </w:r>
            <w:r w:rsidRPr="00EC1C29">
              <w:rPr>
                <w:szCs w:val="17"/>
              </w:rPr>
              <w:t>a</w:t>
            </w:r>
            <w:r>
              <w:rPr>
                <w:szCs w:val="17"/>
              </w:rPr>
              <w:t>]</w:t>
            </w:r>
            <w:r w:rsidRPr="00EC1C29">
              <w:rPr>
                <w:szCs w:val="17"/>
              </w:rPr>
              <w:t xml:space="preserve"> to </w:t>
            </w:r>
            <w:r>
              <w:rPr>
                <w:szCs w:val="17"/>
              </w:rPr>
              <w:t>[f]</w:t>
            </w:r>
            <w:r w:rsidRPr="00EC1C29">
              <w:rPr>
                <w:szCs w:val="17"/>
              </w:rPr>
              <w:t xml:space="preserve">) are some examples of items that may need to be expanded for a particular banking group. </w:t>
            </w:r>
            <w:r>
              <w:rPr>
                <w:szCs w:val="17"/>
              </w:rPr>
              <w:t xml:space="preserve"> </w:t>
            </w:r>
            <w:r w:rsidRPr="00EC1C29">
              <w:rPr>
                <w:szCs w:val="17"/>
              </w:rPr>
              <w:t xml:space="preserve">Disclosure should be proportionate to the complexity of the </w:t>
            </w:r>
            <w:r>
              <w:rPr>
                <w:szCs w:val="17"/>
              </w:rPr>
              <w:t>AI</w:t>
            </w:r>
            <w:r w:rsidRPr="00EC1C29">
              <w:rPr>
                <w:szCs w:val="17"/>
              </w:rPr>
              <w:t xml:space="preserve">’s balance sheet. </w:t>
            </w:r>
            <w:r>
              <w:rPr>
                <w:szCs w:val="17"/>
              </w:rPr>
              <w:t xml:space="preserve"> </w:t>
            </w:r>
            <w:r w:rsidRPr="00EC1C29">
              <w:rPr>
                <w:szCs w:val="17"/>
              </w:rPr>
              <w:t xml:space="preserve">Each item </w:t>
            </w:r>
            <w:r>
              <w:rPr>
                <w:szCs w:val="17"/>
              </w:rPr>
              <w:t>should</w:t>
            </w:r>
            <w:r w:rsidRPr="00EC1C29">
              <w:rPr>
                <w:szCs w:val="17"/>
              </w:rPr>
              <w:t xml:space="preserve"> be given a reference number/letter in column (c) that is used as cross-reference to the corresponding items</w:t>
            </w:r>
            <w:r>
              <w:rPr>
                <w:szCs w:val="17"/>
              </w:rPr>
              <w:t xml:space="preserve"> in</w:t>
            </w:r>
            <w:r w:rsidRPr="00EC1C29">
              <w:rPr>
                <w:szCs w:val="17"/>
              </w:rPr>
              <w:t xml:space="preserve"> column (b) of Template CC1.</w:t>
            </w:r>
          </w:p>
        </w:tc>
      </w:tr>
    </w:tbl>
    <w:p w14:paraId="0CEF84A0" w14:textId="77777777" w:rsidR="007D7991" w:rsidRDefault="007D7991" w:rsidP="007D7991">
      <w:pPr>
        <w:spacing w:before="120" w:after="120"/>
        <w:rPr>
          <w:sz w:val="22"/>
        </w:rPr>
      </w:pPr>
    </w:p>
    <w:p w14:paraId="32F9EC29" w14:textId="77777777" w:rsidR="007D7991" w:rsidRPr="007D7991" w:rsidRDefault="007D7991" w:rsidP="007D7991">
      <w:pPr>
        <w:sectPr w:rsidR="007D7991" w:rsidRPr="007D7991">
          <w:headerReference w:type="even" r:id="rId22"/>
          <w:headerReference w:type="default" r:id="rId23"/>
          <w:footerReference w:type="even" r:id="rId24"/>
          <w:footerReference w:type="default" r:id="rId25"/>
          <w:headerReference w:type="first" r:id="rId26"/>
          <w:footerReference w:type="first" r:id="rId27"/>
          <w:pgSz w:w="11906" w:h="16838"/>
          <w:pgMar w:top="1440" w:right="1800" w:bottom="1440" w:left="1800" w:header="851" w:footer="992" w:gutter="0"/>
          <w:cols w:space="425"/>
          <w:docGrid w:type="lines" w:linePitch="360"/>
        </w:sectPr>
      </w:pPr>
    </w:p>
    <w:p w14:paraId="76D016CD" w14:textId="62D68F72" w:rsidR="00B033E6" w:rsidRDefault="002D4096" w:rsidP="00275DE8">
      <w:pPr>
        <w:pStyle w:val="Heading2"/>
      </w:pPr>
      <w:r w:rsidRPr="002D4096">
        <w:lastRenderedPageBreak/>
        <w:t>Table CCA: Main features of regulatory capital instruments</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2D4096" w:rsidRPr="002D4096" w14:paraId="6BCC24F9" w14:textId="77777777" w:rsidTr="001929CC">
        <w:tc>
          <w:tcPr>
            <w:tcW w:w="2008" w:type="dxa"/>
          </w:tcPr>
          <w:p w14:paraId="587EC5F6" w14:textId="77777777" w:rsidR="002D4096" w:rsidRPr="002D4096" w:rsidRDefault="002D4096" w:rsidP="002D4096">
            <w:pPr>
              <w:spacing w:before="40" w:after="40"/>
              <w:rPr>
                <w:noProof/>
                <w:sz w:val="17"/>
                <w:lang w:eastAsia="en-GB"/>
              </w:rPr>
            </w:pPr>
            <w:r w:rsidRPr="002D4096">
              <w:rPr>
                <w:b/>
                <w:sz w:val="17"/>
                <w:lang w:eastAsia="en-GB"/>
              </w:rPr>
              <w:t>Purpose:</w:t>
            </w:r>
          </w:p>
        </w:tc>
        <w:tc>
          <w:tcPr>
            <w:tcW w:w="7234" w:type="dxa"/>
          </w:tcPr>
          <w:p w14:paraId="127D4BA8" w14:textId="77777777" w:rsidR="002D4096" w:rsidRPr="002D4096" w:rsidRDefault="002D4096" w:rsidP="002D4096">
            <w:pPr>
              <w:spacing w:before="40" w:after="40"/>
              <w:jc w:val="both"/>
              <w:rPr>
                <w:sz w:val="17"/>
                <w:lang w:eastAsia="en-GB"/>
              </w:rPr>
            </w:pPr>
            <w:r w:rsidRPr="002D4096">
              <w:rPr>
                <w:sz w:val="17"/>
                <w:szCs w:val="17"/>
              </w:rPr>
              <w:t>To provide a description on the main features of the CET1, Additional Tier 1 and Tier 2 capital instruments, as applicable, that are included in an AI’s regulatory capital.</w:t>
            </w:r>
          </w:p>
        </w:tc>
      </w:tr>
      <w:tr w:rsidR="002D4096" w:rsidRPr="002D4096" w14:paraId="6AB327CF" w14:textId="77777777" w:rsidTr="001929CC">
        <w:tc>
          <w:tcPr>
            <w:tcW w:w="2008" w:type="dxa"/>
          </w:tcPr>
          <w:p w14:paraId="11B36676" w14:textId="77777777" w:rsidR="002D4096" w:rsidRPr="002D4096" w:rsidRDefault="002D4096" w:rsidP="002D4096">
            <w:pPr>
              <w:spacing w:before="40" w:after="40"/>
              <w:rPr>
                <w:b/>
                <w:sz w:val="17"/>
                <w:lang w:eastAsia="en-GB"/>
              </w:rPr>
            </w:pPr>
            <w:r w:rsidRPr="002D4096">
              <w:rPr>
                <w:b/>
                <w:sz w:val="17"/>
                <w:lang w:eastAsia="en-GB"/>
              </w:rPr>
              <w:t>Scope of application:</w:t>
            </w:r>
          </w:p>
        </w:tc>
        <w:tc>
          <w:tcPr>
            <w:tcW w:w="7234" w:type="dxa"/>
          </w:tcPr>
          <w:p w14:paraId="2A6E760A" w14:textId="77777777" w:rsidR="002D4096" w:rsidRPr="002D4096" w:rsidRDefault="002D4096" w:rsidP="002D4096">
            <w:pPr>
              <w:spacing w:before="40" w:after="40"/>
              <w:jc w:val="both"/>
              <w:rPr>
                <w:sz w:val="17"/>
                <w:szCs w:val="17"/>
              </w:rPr>
            </w:pPr>
            <w:r w:rsidRPr="002D4096">
              <w:rPr>
                <w:rFonts w:eastAsia="新細明體"/>
                <w:sz w:val="17"/>
                <w:lang w:eastAsia="en-GB"/>
              </w:rPr>
              <w:t>The table is mandatory for all AIs</w:t>
            </w:r>
            <w:r w:rsidRPr="002D4096">
              <w:rPr>
                <w:sz w:val="17"/>
              </w:rPr>
              <w:t xml:space="preserve"> </w:t>
            </w:r>
            <w:r w:rsidRPr="002D4096">
              <w:rPr>
                <w:rFonts w:eastAsia="新細明體"/>
                <w:sz w:val="17"/>
                <w:lang w:eastAsia="en-GB"/>
              </w:rPr>
              <w:t>incorporated in Hong Kong.</w:t>
            </w:r>
          </w:p>
        </w:tc>
      </w:tr>
      <w:tr w:rsidR="002D4096" w:rsidRPr="002D4096" w14:paraId="22715E96" w14:textId="77777777" w:rsidTr="001929CC">
        <w:tc>
          <w:tcPr>
            <w:tcW w:w="2008" w:type="dxa"/>
          </w:tcPr>
          <w:p w14:paraId="760B29A8" w14:textId="77777777" w:rsidR="002D4096" w:rsidRPr="002D4096" w:rsidRDefault="002D4096" w:rsidP="002D4096">
            <w:pPr>
              <w:spacing w:before="40" w:after="40"/>
              <w:rPr>
                <w:b/>
                <w:sz w:val="17"/>
                <w:lang w:eastAsia="en-GB"/>
              </w:rPr>
            </w:pPr>
            <w:r w:rsidRPr="002D4096">
              <w:rPr>
                <w:b/>
                <w:sz w:val="17"/>
                <w:lang w:eastAsia="en-GB"/>
              </w:rPr>
              <w:t>Content:</w:t>
            </w:r>
          </w:p>
        </w:tc>
        <w:tc>
          <w:tcPr>
            <w:tcW w:w="7234" w:type="dxa"/>
          </w:tcPr>
          <w:p w14:paraId="2549FCBB" w14:textId="77777777" w:rsidR="002D4096" w:rsidRPr="002D4096" w:rsidRDefault="002D4096" w:rsidP="002D4096">
            <w:pPr>
              <w:spacing w:before="40" w:after="40"/>
              <w:jc w:val="both"/>
              <w:rPr>
                <w:sz w:val="17"/>
                <w:lang w:eastAsia="en-GB"/>
              </w:rPr>
            </w:pPr>
            <w:r w:rsidRPr="002D4096">
              <w:rPr>
                <w:sz w:val="17"/>
                <w:lang w:eastAsia="en-GB"/>
              </w:rPr>
              <w:t>Qualitative and quantitative information.</w:t>
            </w:r>
          </w:p>
        </w:tc>
      </w:tr>
      <w:tr w:rsidR="002D4096" w:rsidRPr="002D4096" w14:paraId="7651E2DA" w14:textId="77777777" w:rsidTr="001929CC">
        <w:tc>
          <w:tcPr>
            <w:tcW w:w="2008" w:type="dxa"/>
          </w:tcPr>
          <w:p w14:paraId="7246735C" w14:textId="77777777" w:rsidR="002D4096" w:rsidRPr="002D4096" w:rsidRDefault="002D4096" w:rsidP="002D4096">
            <w:pPr>
              <w:spacing w:before="40" w:after="40"/>
              <w:rPr>
                <w:b/>
                <w:sz w:val="17"/>
                <w:lang w:eastAsia="en-GB"/>
              </w:rPr>
            </w:pPr>
            <w:r w:rsidRPr="002D4096">
              <w:rPr>
                <w:b/>
                <w:sz w:val="17"/>
                <w:lang w:eastAsia="en-GB"/>
              </w:rPr>
              <w:t>Frequency:</w:t>
            </w:r>
          </w:p>
        </w:tc>
        <w:tc>
          <w:tcPr>
            <w:tcW w:w="7234" w:type="dxa"/>
          </w:tcPr>
          <w:p w14:paraId="13C48C95" w14:textId="3A23876D" w:rsidR="002D4096" w:rsidRPr="002D4096" w:rsidRDefault="002D4096" w:rsidP="00D13019">
            <w:pPr>
              <w:spacing w:before="40" w:after="40"/>
              <w:jc w:val="both"/>
              <w:rPr>
                <w:sz w:val="17"/>
                <w:lang w:eastAsia="en-GB"/>
              </w:rPr>
            </w:pPr>
            <w:r w:rsidRPr="002D4096">
              <w:rPr>
                <w:sz w:val="17"/>
                <w:lang w:eastAsia="en-GB"/>
              </w:rPr>
              <w:t xml:space="preserve">Semi-annual.  This table should be posted on the AI’s internet website (or if permitted by the MA, the internet website of </w:t>
            </w:r>
            <w:r w:rsidRPr="00D13019">
              <w:rPr>
                <w:sz w:val="17"/>
                <w:lang w:eastAsia="en-GB"/>
              </w:rPr>
              <w:t xml:space="preserve">its </w:t>
            </w:r>
            <w:r w:rsidRPr="005B5690">
              <w:rPr>
                <w:sz w:val="17"/>
                <w:lang w:eastAsia="en-GB"/>
              </w:rPr>
              <w:t>holding company</w:t>
            </w:r>
            <w:r w:rsidRPr="00D13019">
              <w:rPr>
                <w:sz w:val="17"/>
                <w:lang w:eastAsia="en-GB"/>
              </w:rPr>
              <w:t>).</w:t>
            </w:r>
            <w:r w:rsidRPr="002D4096">
              <w:rPr>
                <w:sz w:val="17"/>
                <w:lang w:eastAsia="en-GB"/>
              </w:rPr>
              <w:t xml:space="preserve">  It should be updated whenever a capital instrument is issued, repaid, included in or excluded from the capital base by an AI, and whenever there is a redemption, conversion / write-down, or any other material change in the nature of the relevant instrument.  The AI should include the web link to the issuances made over the previous period in each disclosure statement.</w:t>
            </w:r>
          </w:p>
        </w:tc>
      </w:tr>
      <w:tr w:rsidR="002D4096" w:rsidRPr="002D4096" w14:paraId="5B5DA399" w14:textId="77777777" w:rsidTr="001929CC">
        <w:tc>
          <w:tcPr>
            <w:tcW w:w="2008" w:type="dxa"/>
          </w:tcPr>
          <w:p w14:paraId="3E78C446" w14:textId="77777777" w:rsidR="002D4096" w:rsidRPr="002D4096" w:rsidRDefault="002D4096" w:rsidP="002D4096">
            <w:pPr>
              <w:spacing w:before="40" w:after="40"/>
              <w:rPr>
                <w:b/>
                <w:sz w:val="17"/>
                <w:lang w:eastAsia="en-GB"/>
              </w:rPr>
            </w:pPr>
            <w:r w:rsidRPr="002D4096">
              <w:rPr>
                <w:b/>
                <w:sz w:val="17"/>
                <w:lang w:eastAsia="en-GB"/>
              </w:rPr>
              <w:t>Format:</w:t>
            </w:r>
          </w:p>
        </w:tc>
        <w:tc>
          <w:tcPr>
            <w:tcW w:w="7234" w:type="dxa"/>
          </w:tcPr>
          <w:p w14:paraId="3A0E8DAB" w14:textId="77777777" w:rsidR="002D4096" w:rsidRPr="002D4096" w:rsidRDefault="002D4096" w:rsidP="002D4096">
            <w:pPr>
              <w:spacing w:before="40" w:after="40"/>
              <w:jc w:val="both"/>
              <w:rPr>
                <w:sz w:val="17"/>
                <w:lang w:eastAsia="en-GB"/>
              </w:rPr>
            </w:pPr>
            <w:r w:rsidRPr="002D4096">
              <w:rPr>
                <w:sz w:val="17"/>
                <w:lang w:eastAsia="en-GB"/>
              </w:rPr>
              <w:t>Flexible.</w:t>
            </w:r>
          </w:p>
        </w:tc>
      </w:tr>
      <w:tr w:rsidR="002D4096" w:rsidRPr="002D4096" w14:paraId="3777B0D7" w14:textId="77777777" w:rsidTr="001929CC">
        <w:tc>
          <w:tcPr>
            <w:tcW w:w="2008" w:type="dxa"/>
          </w:tcPr>
          <w:p w14:paraId="325A138D" w14:textId="77777777" w:rsidR="002D4096" w:rsidRPr="002D4096" w:rsidRDefault="002D4096" w:rsidP="002D4096">
            <w:pPr>
              <w:spacing w:before="40" w:after="40"/>
              <w:rPr>
                <w:b/>
                <w:sz w:val="17"/>
                <w:lang w:eastAsia="en-GB"/>
              </w:rPr>
            </w:pPr>
            <w:r w:rsidRPr="002D4096">
              <w:rPr>
                <w:b/>
                <w:sz w:val="17"/>
                <w:lang w:eastAsia="en-GB"/>
              </w:rPr>
              <w:t>Accompanying</w:t>
            </w:r>
            <w:r w:rsidRPr="002D4096">
              <w:rPr>
                <w:b/>
                <w:bCs/>
                <w:sz w:val="17"/>
                <w:szCs w:val="17"/>
              </w:rPr>
              <w:t xml:space="preserve"> information:</w:t>
            </w:r>
          </w:p>
        </w:tc>
        <w:tc>
          <w:tcPr>
            <w:tcW w:w="7234" w:type="dxa"/>
          </w:tcPr>
          <w:p w14:paraId="44ACE270" w14:textId="77777777" w:rsidR="002D4096" w:rsidRPr="002D4096" w:rsidRDefault="002D4096" w:rsidP="002D4096">
            <w:pPr>
              <w:spacing w:before="40" w:after="40"/>
              <w:jc w:val="both"/>
              <w:rPr>
                <w:sz w:val="17"/>
                <w:lang w:eastAsia="en-GB"/>
              </w:rPr>
            </w:pPr>
            <w:r w:rsidRPr="002D4096">
              <w:rPr>
                <w:sz w:val="17"/>
                <w:lang w:eastAsia="en-GB"/>
              </w:rPr>
              <w:t>The full terms and conditions of all instruments included in an AI’s regulatory capital should be made available on its internet website.</w:t>
            </w:r>
          </w:p>
        </w:tc>
      </w:tr>
      <w:tr w:rsidR="002D4096" w:rsidRPr="002D4096" w14:paraId="2B91829B" w14:textId="77777777" w:rsidTr="001929CC">
        <w:tc>
          <w:tcPr>
            <w:tcW w:w="2008" w:type="dxa"/>
          </w:tcPr>
          <w:p w14:paraId="05C7ECE5" w14:textId="77777777" w:rsidR="002D4096" w:rsidRPr="002D4096" w:rsidRDefault="002D4096" w:rsidP="002D4096">
            <w:pPr>
              <w:spacing w:before="40" w:after="40"/>
              <w:rPr>
                <w:b/>
                <w:sz w:val="17"/>
                <w:lang w:eastAsia="en-GB"/>
              </w:rPr>
            </w:pPr>
            <w:r w:rsidRPr="002D4096">
              <w:rPr>
                <w:b/>
                <w:sz w:val="17"/>
                <w:lang w:eastAsia="en-GB"/>
              </w:rPr>
              <w:t>Corresponding BDR section:</w:t>
            </w:r>
          </w:p>
        </w:tc>
        <w:tc>
          <w:tcPr>
            <w:tcW w:w="7234" w:type="dxa"/>
          </w:tcPr>
          <w:p w14:paraId="61D7B6ED" w14:textId="77777777" w:rsidR="002D4096" w:rsidRPr="002D4096" w:rsidRDefault="002D4096" w:rsidP="002D4096">
            <w:pPr>
              <w:spacing w:before="40" w:after="40"/>
              <w:jc w:val="both"/>
              <w:rPr>
                <w:sz w:val="17"/>
                <w:lang w:eastAsia="en-GB"/>
              </w:rPr>
            </w:pPr>
            <w:r w:rsidRPr="002D4096">
              <w:rPr>
                <w:sz w:val="17"/>
                <w:lang w:eastAsia="en-GB"/>
              </w:rPr>
              <w:t>16FE</w:t>
            </w:r>
          </w:p>
        </w:tc>
      </w:tr>
    </w:tbl>
    <w:p w14:paraId="084C4C5A" w14:textId="77777777" w:rsidR="002D4096" w:rsidRPr="002D4096" w:rsidRDefault="002D4096" w:rsidP="002D4096">
      <w:pPr>
        <w:tabs>
          <w:tab w:val="left" w:pos="3400"/>
        </w:tabs>
        <w:spacing w:before="40" w:after="40"/>
        <w:rPr>
          <w:b/>
          <w:sz w:val="17"/>
          <w:lang w:eastAsia="en-GB"/>
        </w:rPr>
      </w:pPr>
      <w:r w:rsidRPr="002D4096">
        <w:rPr>
          <w:b/>
          <w:sz w:val="17"/>
          <w:lang w:eastAsia="en-GB"/>
        </w:rPr>
        <w:tab/>
      </w:r>
    </w:p>
    <w:tbl>
      <w:tblPr>
        <w:tblW w:w="9214" w:type="dxa"/>
        <w:tblInd w:w="-459"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486"/>
        <w:gridCol w:w="6471"/>
        <w:gridCol w:w="2257"/>
      </w:tblGrid>
      <w:tr w:rsidR="004251F0" w:rsidRPr="00813FAB" w14:paraId="2258ED5E" w14:textId="77777777" w:rsidTr="00321677">
        <w:trPr>
          <w:trHeight w:val="203"/>
          <w:tblHeader/>
        </w:trPr>
        <w:tc>
          <w:tcPr>
            <w:tcW w:w="486" w:type="dxa"/>
            <w:tcBorders>
              <w:top w:val="nil"/>
              <w:bottom w:val="nil"/>
              <w:right w:val="nil"/>
            </w:tcBorders>
            <w:shd w:val="clear" w:color="auto" w:fill="auto"/>
          </w:tcPr>
          <w:p w14:paraId="2B412F72" w14:textId="77777777" w:rsidR="004251F0" w:rsidRPr="00D748CC" w:rsidRDefault="004251F0" w:rsidP="00321677">
            <w:pPr>
              <w:spacing w:before="20" w:after="20" w:line="240" w:lineRule="exact"/>
              <w:rPr>
                <w:rFonts w:cs="Segoe UI"/>
                <w:kern w:val="2"/>
                <w:sz w:val="17"/>
                <w:szCs w:val="17"/>
              </w:rPr>
            </w:pPr>
          </w:p>
        </w:tc>
        <w:tc>
          <w:tcPr>
            <w:tcW w:w="6471" w:type="dxa"/>
            <w:tcBorders>
              <w:top w:val="nil"/>
              <w:left w:val="nil"/>
              <w:bottom w:val="nil"/>
            </w:tcBorders>
            <w:shd w:val="clear" w:color="auto" w:fill="auto"/>
          </w:tcPr>
          <w:p w14:paraId="7EC5F2F7" w14:textId="77777777" w:rsidR="004251F0" w:rsidRPr="00D748CC" w:rsidRDefault="004251F0" w:rsidP="00321677">
            <w:pPr>
              <w:spacing w:before="20" w:after="20" w:line="240" w:lineRule="exact"/>
              <w:rPr>
                <w:rFonts w:cs="Segoe UI"/>
                <w:kern w:val="2"/>
                <w:sz w:val="17"/>
                <w:szCs w:val="17"/>
              </w:rPr>
            </w:pPr>
          </w:p>
        </w:tc>
        <w:tc>
          <w:tcPr>
            <w:tcW w:w="2257" w:type="dxa"/>
            <w:tcBorders>
              <w:top w:val="single" w:sz="4" w:space="0" w:color="auto"/>
              <w:right w:val="single" w:sz="4" w:space="0" w:color="auto"/>
            </w:tcBorders>
            <w:shd w:val="clear" w:color="auto" w:fill="auto"/>
            <w:vAlign w:val="center"/>
          </w:tcPr>
          <w:p w14:paraId="0B06E3AC" w14:textId="77777777" w:rsidR="004251F0" w:rsidRPr="00D748CC" w:rsidRDefault="004251F0" w:rsidP="00321677">
            <w:pPr>
              <w:pStyle w:val="TableText"/>
              <w:snapToGrid w:val="0"/>
              <w:spacing w:before="20" w:after="20" w:line="240" w:lineRule="exact"/>
              <w:jc w:val="center"/>
              <w:rPr>
                <w:rFonts w:cs="Segoe UI"/>
                <w:kern w:val="2"/>
                <w:szCs w:val="17"/>
              </w:rPr>
            </w:pPr>
            <w:r w:rsidRPr="00D748CC">
              <w:rPr>
                <w:rFonts w:cs="Segoe UI"/>
                <w:kern w:val="2"/>
                <w:szCs w:val="17"/>
              </w:rPr>
              <w:t>(a)</w:t>
            </w:r>
          </w:p>
        </w:tc>
      </w:tr>
      <w:tr w:rsidR="004251F0" w:rsidRPr="00813FAB" w14:paraId="5F7B9FD2" w14:textId="77777777" w:rsidTr="00321677">
        <w:trPr>
          <w:tblHeader/>
        </w:trPr>
        <w:tc>
          <w:tcPr>
            <w:tcW w:w="486" w:type="dxa"/>
            <w:tcBorders>
              <w:top w:val="nil"/>
              <w:right w:val="nil"/>
            </w:tcBorders>
            <w:shd w:val="clear" w:color="auto" w:fill="auto"/>
          </w:tcPr>
          <w:p w14:paraId="4896E53F" w14:textId="77777777" w:rsidR="004251F0" w:rsidRPr="00D748CC" w:rsidRDefault="004251F0" w:rsidP="00321677">
            <w:pPr>
              <w:spacing w:before="20" w:after="20" w:line="240" w:lineRule="exact"/>
              <w:rPr>
                <w:rFonts w:cs="Segoe UI"/>
                <w:kern w:val="2"/>
                <w:sz w:val="17"/>
                <w:szCs w:val="17"/>
              </w:rPr>
            </w:pPr>
          </w:p>
        </w:tc>
        <w:tc>
          <w:tcPr>
            <w:tcW w:w="6471" w:type="dxa"/>
            <w:tcBorders>
              <w:top w:val="nil"/>
              <w:left w:val="nil"/>
            </w:tcBorders>
            <w:shd w:val="clear" w:color="auto" w:fill="auto"/>
          </w:tcPr>
          <w:p w14:paraId="5FE58145" w14:textId="77777777" w:rsidR="004251F0" w:rsidRPr="00D748CC" w:rsidRDefault="004251F0" w:rsidP="00321677">
            <w:pPr>
              <w:spacing w:before="20" w:after="20" w:line="240" w:lineRule="exact"/>
              <w:rPr>
                <w:rFonts w:cs="Segoe UI"/>
                <w:kern w:val="2"/>
                <w:sz w:val="17"/>
                <w:szCs w:val="17"/>
              </w:rPr>
            </w:pPr>
          </w:p>
        </w:tc>
        <w:tc>
          <w:tcPr>
            <w:tcW w:w="2257" w:type="dxa"/>
            <w:tcBorders>
              <w:right w:val="single" w:sz="4" w:space="0" w:color="auto"/>
            </w:tcBorders>
            <w:shd w:val="clear" w:color="auto" w:fill="auto"/>
          </w:tcPr>
          <w:p w14:paraId="029D16AD" w14:textId="77777777" w:rsidR="004251F0" w:rsidRPr="00D748CC" w:rsidRDefault="004251F0" w:rsidP="00321677">
            <w:pPr>
              <w:pStyle w:val="TableText"/>
              <w:snapToGrid w:val="0"/>
              <w:spacing w:before="20" w:after="20" w:line="240" w:lineRule="exact"/>
              <w:jc w:val="center"/>
              <w:rPr>
                <w:rFonts w:cs="Segoe UI"/>
                <w:b/>
                <w:kern w:val="2"/>
                <w:szCs w:val="17"/>
              </w:rPr>
            </w:pPr>
            <w:r w:rsidRPr="00D748CC">
              <w:rPr>
                <w:rFonts w:cs="Segoe UI"/>
                <w:b/>
                <w:kern w:val="2"/>
                <w:szCs w:val="17"/>
              </w:rPr>
              <w:t>Quantitative / qualitative information</w:t>
            </w:r>
          </w:p>
        </w:tc>
      </w:tr>
      <w:tr w:rsidR="004251F0" w:rsidRPr="00813FAB" w14:paraId="4FD5C559" w14:textId="77777777" w:rsidTr="00321677">
        <w:tc>
          <w:tcPr>
            <w:tcW w:w="486" w:type="dxa"/>
            <w:shd w:val="clear" w:color="auto" w:fill="auto"/>
          </w:tcPr>
          <w:p w14:paraId="24AF253E"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1</w:t>
            </w:r>
          </w:p>
        </w:tc>
        <w:tc>
          <w:tcPr>
            <w:tcW w:w="6471" w:type="dxa"/>
            <w:shd w:val="clear" w:color="auto" w:fill="auto"/>
          </w:tcPr>
          <w:p w14:paraId="6E347FDB"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Issuer</w:t>
            </w:r>
          </w:p>
        </w:tc>
        <w:tc>
          <w:tcPr>
            <w:tcW w:w="2257" w:type="dxa"/>
            <w:tcBorders>
              <w:right w:val="single" w:sz="4" w:space="0" w:color="auto"/>
            </w:tcBorders>
            <w:shd w:val="clear" w:color="auto" w:fill="auto"/>
          </w:tcPr>
          <w:p w14:paraId="6F19E792" w14:textId="77777777" w:rsidR="004251F0" w:rsidRPr="00D748CC" w:rsidRDefault="004251F0" w:rsidP="00321677">
            <w:pPr>
              <w:spacing w:before="20" w:after="20" w:line="240" w:lineRule="exact"/>
              <w:rPr>
                <w:rFonts w:cs="Segoe UI"/>
                <w:kern w:val="2"/>
                <w:sz w:val="17"/>
                <w:szCs w:val="17"/>
              </w:rPr>
            </w:pPr>
          </w:p>
        </w:tc>
      </w:tr>
      <w:tr w:rsidR="004251F0" w:rsidRPr="00813FAB" w14:paraId="6B4BE991" w14:textId="77777777" w:rsidTr="00321677">
        <w:tc>
          <w:tcPr>
            <w:tcW w:w="486" w:type="dxa"/>
            <w:shd w:val="clear" w:color="auto" w:fill="auto"/>
          </w:tcPr>
          <w:p w14:paraId="5700C42B"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2</w:t>
            </w:r>
          </w:p>
        </w:tc>
        <w:tc>
          <w:tcPr>
            <w:tcW w:w="6471" w:type="dxa"/>
            <w:shd w:val="clear" w:color="auto" w:fill="auto"/>
          </w:tcPr>
          <w:p w14:paraId="5372817B"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Unique identifier (e.g. CUSIP, ISIN or Bloomberg identifier for private placement)</w:t>
            </w:r>
          </w:p>
        </w:tc>
        <w:tc>
          <w:tcPr>
            <w:tcW w:w="2257" w:type="dxa"/>
            <w:tcBorders>
              <w:right w:val="single" w:sz="4" w:space="0" w:color="auto"/>
            </w:tcBorders>
            <w:shd w:val="clear" w:color="auto" w:fill="auto"/>
          </w:tcPr>
          <w:p w14:paraId="6ADE400C" w14:textId="77777777" w:rsidR="004251F0" w:rsidRPr="00D748CC" w:rsidRDefault="004251F0" w:rsidP="00321677">
            <w:pPr>
              <w:spacing w:before="20" w:after="20" w:line="240" w:lineRule="exact"/>
              <w:rPr>
                <w:rFonts w:cs="Segoe UI"/>
                <w:kern w:val="2"/>
                <w:sz w:val="17"/>
                <w:szCs w:val="17"/>
              </w:rPr>
            </w:pPr>
          </w:p>
        </w:tc>
      </w:tr>
      <w:tr w:rsidR="004251F0" w:rsidRPr="00813FAB" w14:paraId="035608D6" w14:textId="77777777" w:rsidTr="00321677">
        <w:tc>
          <w:tcPr>
            <w:tcW w:w="486" w:type="dxa"/>
            <w:shd w:val="clear" w:color="auto" w:fill="auto"/>
          </w:tcPr>
          <w:p w14:paraId="5A4C5E61"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3</w:t>
            </w:r>
          </w:p>
        </w:tc>
        <w:tc>
          <w:tcPr>
            <w:tcW w:w="6471" w:type="dxa"/>
            <w:shd w:val="clear" w:color="auto" w:fill="auto"/>
          </w:tcPr>
          <w:p w14:paraId="3ECD8F12"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Governing law(s) of the instrument</w:t>
            </w:r>
          </w:p>
        </w:tc>
        <w:tc>
          <w:tcPr>
            <w:tcW w:w="2257" w:type="dxa"/>
            <w:tcBorders>
              <w:right w:val="single" w:sz="4" w:space="0" w:color="auto"/>
            </w:tcBorders>
            <w:shd w:val="clear" w:color="auto" w:fill="auto"/>
          </w:tcPr>
          <w:p w14:paraId="6EF68B97" w14:textId="77777777" w:rsidR="004251F0" w:rsidRPr="00D748CC" w:rsidRDefault="004251F0" w:rsidP="00321677">
            <w:pPr>
              <w:spacing w:before="20" w:after="20" w:line="240" w:lineRule="exact"/>
              <w:rPr>
                <w:rFonts w:cs="Segoe UI"/>
                <w:kern w:val="2"/>
                <w:sz w:val="17"/>
                <w:szCs w:val="17"/>
              </w:rPr>
            </w:pPr>
          </w:p>
        </w:tc>
      </w:tr>
      <w:tr w:rsidR="004251F0" w:rsidRPr="00813FAB" w14:paraId="6E7207C1" w14:textId="77777777" w:rsidTr="00321677">
        <w:tc>
          <w:tcPr>
            <w:tcW w:w="486" w:type="dxa"/>
            <w:shd w:val="clear" w:color="auto" w:fill="auto"/>
          </w:tcPr>
          <w:p w14:paraId="169D994A" w14:textId="77777777" w:rsidR="004251F0" w:rsidRPr="00D748CC" w:rsidRDefault="004251F0" w:rsidP="00321677">
            <w:pPr>
              <w:spacing w:before="20" w:after="20" w:line="240" w:lineRule="exact"/>
              <w:rPr>
                <w:rFonts w:cs="Segoe UI"/>
                <w:kern w:val="2"/>
                <w:sz w:val="17"/>
                <w:szCs w:val="17"/>
              </w:rPr>
            </w:pPr>
          </w:p>
        </w:tc>
        <w:tc>
          <w:tcPr>
            <w:tcW w:w="6471" w:type="dxa"/>
            <w:shd w:val="clear" w:color="auto" w:fill="auto"/>
          </w:tcPr>
          <w:p w14:paraId="370E716B" w14:textId="77777777" w:rsidR="004251F0" w:rsidRPr="00D748CC" w:rsidRDefault="004251F0" w:rsidP="00321677">
            <w:pPr>
              <w:spacing w:before="20" w:after="20" w:line="240" w:lineRule="exact"/>
              <w:rPr>
                <w:rFonts w:cs="Segoe UI"/>
                <w:i/>
                <w:kern w:val="2"/>
                <w:sz w:val="17"/>
                <w:szCs w:val="17"/>
              </w:rPr>
            </w:pPr>
            <w:r w:rsidRPr="00D748CC">
              <w:rPr>
                <w:rFonts w:cs="Segoe UI"/>
                <w:i/>
                <w:kern w:val="2"/>
                <w:sz w:val="17"/>
                <w:szCs w:val="17"/>
              </w:rPr>
              <w:t>Regulatory treatment</w:t>
            </w:r>
          </w:p>
        </w:tc>
        <w:tc>
          <w:tcPr>
            <w:tcW w:w="2257" w:type="dxa"/>
            <w:tcBorders>
              <w:right w:val="single" w:sz="4" w:space="0" w:color="auto"/>
            </w:tcBorders>
            <w:shd w:val="clear" w:color="auto" w:fill="auto"/>
          </w:tcPr>
          <w:p w14:paraId="4021DEED" w14:textId="77777777" w:rsidR="004251F0" w:rsidRPr="00D748CC" w:rsidRDefault="004251F0" w:rsidP="00321677">
            <w:pPr>
              <w:spacing w:before="20" w:after="20" w:line="240" w:lineRule="exact"/>
              <w:rPr>
                <w:rFonts w:cs="Segoe UI"/>
                <w:kern w:val="2"/>
                <w:sz w:val="17"/>
                <w:szCs w:val="17"/>
              </w:rPr>
            </w:pPr>
          </w:p>
        </w:tc>
      </w:tr>
      <w:tr w:rsidR="004251F0" w:rsidRPr="00813FAB" w14:paraId="61506758" w14:textId="77777777" w:rsidTr="00321677">
        <w:tc>
          <w:tcPr>
            <w:tcW w:w="486" w:type="dxa"/>
            <w:shd w:val="clear" w:color="auto" w:fill="auto"/>
          </w:tcPr>
          <w:p w14:paraId="27A07944"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4</w:t>
            </w:r>
          </w:p>
        </w:tc>
        <w:tc>
          <w:tcPr>
            <w:tcW w:w="6471" w:type="dxa"/>
            <w:shd w:val="clear" w:color="auto" w:fill="auto"/>
          </w:tcPr>
          <w:p w14:paraId="5258ECCF" w14:textId="000F351F"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Transitional Basel III rules</w:t>
            </w:r>
          </w:p>
        </w:tc>
        <w:tc>
          <w:tcPr>
            <w:tcW w:w="2257" w:type="dxa"/>
            <w:tcBorders>
              <w:right w:val="single" w:sz="4" w:space="0" w:color="auto"/>
            </w:tcBorders>
            <w:shd w:val="clear" w:color="auto" w:fill="D9D9D9"/>
          </w:tcPr>
          <w:p w14:paraId="3881A980" w14:textId="77777777" w:rsidR="004251F0" w:rsidRPr="00D748CC" w:rsidRDefault="004251F0" w:rsidP="00321677">
            <w:pPr>
              <w:spacing w:before="20" w:after="20" w:line="240" w:lineRule="exact"/>
              <w:jc w:val="center"/>
              <w:rPr>
                <w:rFonts w:cs="Segoe UI"/>
                <w:kern w:val="2"/>
                <w:sz w:val="17"/>
                <w:szCs w:val="17"/>
              </w:rPr>
            </w:pPr>
            <w:r w:rsidRPr="00D748CC">
              <w:rPr>
                <w:rFonts w:cs="Segoe UI"/>
                <w:kern w:val="2"/>
                <w:sz w:val="17"/>
                <w:szCs w:val="17"/>
              </w:rPr>
              <w:t>NA</w:t>
            </w:r>
          </w:p>
        </w:tc>
      </w:tr>
      <w:tr w:rsidR="004251F0" w:rsidRPr="00813FAB" w14:paraId="5B184634" w14:textId="77777777" w:rsidTr="00321677">
        <w:tc>
          <w:tcPr>
            <w:tcW w:w="486" w:type="dxa"/>
            <w:shd w:val="clear" w:color="auto" w:fill="auto"/>
          </w:tcPr>
          <w:p w14:paraId="64997E9F"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5</w:t>
            </w:r>
          </w:p>
        </w:tc>
        <w:tc>
          <w:tcPr>
            <w:tcW w:w="6471" w:type="dxa"/>
            <w:shd w:val="clear" w:color="auto" w:fill="auto"/>
          </w:tcPr>
          <w:p w14:paraId="6F9B89ED" w14:textId="53F6C093"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Basel III rules</w:t>
            </w:r>
          </w:p>
        </w:tc>
        <w:tc>
          <w:tcPr>
            <w:tcW w:w="2257" w:type="dxa"/>
            <w:tcBorders>
              <w:right w:val="single" w:sz="4" w:space="0" w:color="auto"/>
            </w:tcBorders>
            <w:shd w:val="clear" w:color="auto" w:fill="auto"/>
          </w:tcPr>
          <w:p w14:paraId="3D074614" w14:textId="77777777" w:rsidR="004251F0" w:rsidRPr="00D748CC" w:rsidRDefault="004251F0" w:rsidP="00321677">
            <w:pPr>
              <w:spacing w:before="20" w:after="20" w:line="240" w:lineRule="exact"/>
              <w:rPr>
                <w:rFonts w:cs="Segoe UI"/>
                <w:kern w:val="2"/>
                <w:sz w:val="17"/>
                <w:szCs w:val="17"/>
              </w:rPr>
            </w:pPr>
          </w:p>
        </w:tc>
      </w:tr>
      <w:tr w:rsidR="004251F0" w:rsidRPr="00813FAB" w14:paraId="6D18204F" w14:textId="77777777" w:rsidTr="00321677">
        <w:tc>
          <w:tcPr>
            <w:tcW w:w="486" w:type="dxa"/>
            <w:shd w:val="clear" w:color="auto" w:fill="auto"/>
          </w:tcPr>
          <w:p w14:paraId="4D4A2A08"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6</w:t>
            </w:r>
          </w:p>
        </w:tc>
        <w:tc>
          <w:tcPr>
            <w:tcW w:w="6471" w:type="dxa"/>
            <w:shd w:val="clear" w:color="auto" w:fill="auto"/>
          </w:tcPr>
          <w:p w14:paraId="313B5963" w14:textId="77777777"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Eligible at solo / group / solo and group</w:t>
            </w:r>
          </w:p>
        </w:tc>
        <w:tc>
          <w:tcPr>
            <w:tcW w:w="2257" w:type="dxa"/>
            <w:tcBorders>
              <w:right w:val="single" w:sz="4" w:space="0" w:color="auto"/>
            </w:tcBorders>
            <w:shd w:val="clear" w:color="auto" w:fill="auto"/>
          </w:tcPr>
          <w:p w14:paraId="4CE0F4B2" w14:textId="77777777" w:rsidR="004251F0" w:rsidRPr="00D748CC" w:rsidRDefault="004251F0" w:rsidP="00321677">
            <w:pPr>
              <w:spacing w:before="20" w:after="20" w:line="240" w:lineRule="exact"/>
              <w:rPr>
                <w:rFonts w:cs="Segoe UI"/>
                <w:kern w:val="2"/>
                <w:sz w:val="17"/>
                <w:szCs w:val="17"/>
              </w:rPr>
            </w:pPr>
          </w:p>
        </w:tc>
      </w:tr>
      <w:tr w:rsidR="004251F0" w:rsidRPr="00813FAB" w14:paraId="69E352C2" w14:textId="77777777" w:rsidTr="00321677">
        <w:tc>
          <w:tcPr>
            <w:tcW w:w="486" w:type="dxa"/>
            <w:shd w:val="clear" w:color="auto" w:fill="auto"/>
          </w:tcPr>
          <w:p w14:paraId="519C7A1F"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7</w:t>
            </w:r>
          </w:p>
        </w:tc>
        <w:tc>
          <w:tcPr>
            <w:tcW w:w="6471" w:type="dxa"/>
            <w:shd w:val="clear" w:color="auto" w:fill="auto"/>
          </w:tcPr>
          <w:p w14:paraId="7B05E82D" w14:textId="77777777"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Instrument type (types to be specified by each jurisdiction)</w:t>
            </w:r>
          </w:p>
        </w:tc>
        <w:tc>
          <w:tcPr>
            <w:tcW w:w="2257" w:type="dxa"/>
            <w:tcBorders>
              <w:right w:val="single" w:sz="4" w:space="0" w:color="auto"/>
            </w:tcBorders>
            <w:shd w:val="clear" w:color="auto" w:fill="auto"/>
          </w:tcPr>
          <w:p w14:paraId="2CA8FC49" w14:textId="77777777" w:rsidR="004251F0" w:rsidRPr="00D748CC" w:rsidRDefault="004251F0" w:rsidP="00321677">
            <w:pPr>
              <w:spacing w:before="20" w:after="20" w:line="240" w:lineRule="exact"/>
              <w:rPr>
                <w:rFonts w:cs="Segoe UI"/>
                <w:kern w:val="2"/>
                <w:sz w:val="17"/>
                <w:szCs w:val="17"/>
              </w:rPr>
            </w:pPr>
          </w:p>
        </w:tc>
      </w:tr>
      <w:tr w:rsidR="004251F0" w:rsidRPr="00813FAB" w14:paraId="66047218" w14:textId="77777777" w:rsidTr="00321677">
        <w:tc>
          <w:tcPr>
            <w:tcW w:w="486" w:type="dxa"/>
            <w:shd w:val="clear" w:color="auto" w:fill="auto"/>
          </w:tcPr>
          <w:p w14:paraId="50EADF4D"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8</w:t>
            </w:r>
          </w:p>
        </w:tc>
        <w:tc>
          <w:tcPr>
            <w:tcW w:w="6471" w:type="dxa"/>
            <w:shd w:val="clear" w:color="auto" w:fill="auto"/>
          </w:tcPr>
          <w:p w14:paraId="5D856C5B"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Amount recognised in regulatory capital (currency in millions, as of most recent reporting date)</w:t>
            </w:r>
          </w:p>
        </w:tc>
        <w:tc>
          <w:tcPr>
            <w:tcW w:w="2257" w:type="dxa"/>
            <w:tcBorders>
              <w:right w:val="single" w:sz="4" w:space="0" w:color="auto"/>
            </w:tcBorders>
            <w:shd w:val="clear" w:color="auto" w:fill="auto"/>
          </w:tcPr>
          <w:p w14:paraId="629AC1AA" w14:textId="77777777" w:rsidR="004251F0" w:rsidRPr="00D748CC" w:rsidRDefault="004251F0" w:rsidP="00321677">
            <w:pPr>
              <w:spacing w:before="20" w:after="20" w:line="240" w:lineRule="exact"/>
              <w:rPr>
                <w:rFonts w:cs="Segoe UI"/>
                <w:kern w:val="2"/>
                <w:sz w:val="17"/>
                <w:szCs w:val="17"/>
              </w:rPr>
            </w:pPr>
          </w:p>
        </w:tc>
      </w:tr>
      <w:tr w:rsidR="004251F0" w:rsidRPr="00813FAB" w14:paraId="6F729DFC" w14:textId="77777777" w:rsidTr="00321677">
        <w:trPr>
          <w:trHeight w:val="205"/>
        </w:trPr>
        <w:tc>
          <w:tcPr>
            <w:tcW w:w="486" w:type="dxa"/>
            <w:shd w:val="clear" w:color="auto" w:fill="auto"/>
          </w:tcPr>
          <w:p w14:paraId="5399ECAB"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9</w:t>
            </w:r>
          </w:p>
        </w:tc>
        <w:tc>
          <w:tcPr>
            <w:tcW w:w="6471" w:type="dxa"/>
            <w:shd w:val="clear" w:color="auto" w:fill="auto"/>
          </w:tcPr>
          <w:p w14:paraId="53192FD1"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Par value of instrument</w:t>
            </w:r>
          </w:p>
        </w:tc>
        <w:tc>
          <w:tcPr>
            <w:tcW w:w="2257" w:type="dxa"/>
            <w:tcBorders>
              <w:right w:val="single" w:sz="4" w:space="0" w:color="auto"/>
            </w:tcBorders>
            <w:shd w:val="clear" w:color="auto" w:fill="auto"/>
          </w:tcPr>
          <w:p w14:paraId="084C3AA6" w14:textId="77777777" w:rsidR="004251F0" w:rsidRPr="00D748CC" w:rsidRDefault="004251F0" w:rsidP="00321677">
            <w:pPr>
              <w:spacing w:before="20" w:after="20" w:line="240" w:lineRule="exact"/>
              <w:rPr>
                <w:rFonts w:cs="Segoe UI"/>
                <w:kern w:val="2"/>
                <w:sz w:val="17"/>
                <w:szCs w:val="17"/>
              </w:rPr>
            </w:pPr>
          </w:p>
        </w:tc>
      </w:tr>
      <w:tr w:rsidR="004251F0" w:rsidRPr="00813FAB" w14:paraId="45D67463" w14:textId="77777777" w:rsidTr="00321677">
        <w:tc>
          <w:tcPr>
            <w:tcW w:w="486" w:type="dxa"/>
            <w:shd w:val="clear" w:color="auto" w:fill="auto"/>
          </w:tcPr>
          <w:p w14:paraId="1B23C8C8"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10</w:t>
            </w:r>
          </w:p>
        </w:tc>
        <w:tc>
          <w:tcPr>
            <w:tcW w:w="6471" w:type="dxa"/>
            <w:shd w:val="clear" w:color="auto" w:fill="auto"/>
          </w:tcPr>
          <w:p w14:paraId="46DA5A6D"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Accounting classification</w:t>
            </w:r>
          </w:p>
        </w:tc>
        <w:tc>
          <w:tcPr>
            <w:tcW w:w="2257" w:type="dxa"/>
            <w:tcBorders>
              <w:right w:val="single" w:sz="4" w:space="0" w:color="auto"/>
            </w:tcBorders>
            <w:shd w:val="clear" w:color="auto" w:fill="auto"/>
          </w:tcPr>
          <w:p w14:paraId="41CBE329" w14:textId="77777777" w:rsidR="004251F0" w:rsidRPr="00D748CC" w:rsidRDefault="004251F0" w:rsidP="00321677">
            <w:pPr>
              <w:spacing w:before="20" w:after="20" w:line="240" w:lineRule="exact"/>
              <w:rPr>
                <w:rFonts w:cs="Segoe UI"/>
                <w:kern w:val="2"/>
                <w:sz w:val="17"/>
                <w:szCs w:val="17"/>
              </w:rPr>
            </w:pPr>
          </w:p>
        </w:tc>
      </w:tr>
      <w:tr w:rsidR="004251F0" w:rsidRPr="00813FAB" w14:paraId="2BF9EC8B" w14:textId="77777777" w:rsidTr="00321677">
        <w:tc>
          <w:tcPr>
            <w:tcW w:w="486" w:type="dxa"/>
            <w:shd w:val="clear" w:color="auto" w:fill="auto"/>
          </w:tcPr>
          <w:p w14:paraId="4F3BC14C"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11</w:t>
            </w:r>
          </w:p>
        </w:tc>
        <w:tc>
          <w:tcPr>
            <w:tcW w:w="6471" w:type="dxa"/>
            <w:shd w:val="clear" w:color="auto" w:fill="auto"/>
          </w:tcPr>
          <w:p w14:paraId="42735774"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Original date of issuance</w:t>
            </w:r>
          </w:p>
        </w:tc>
        <w:tc>
          <w:tcPr>
            <w:tcW w:w="2257" w:type="dxa"/>
            <w:tcBorders>
              <w:right w:val="single" w:sz="4" w:space="0" w:color="auto"/>
            </w:tcBorders>
            <w:shd w:val="clear" w:color="auto" w:fill="auto"/>
          </w:tcPr>
          <w:p w14:paraId="5DEEC49F" w14:textId="77777777" w:rsidR="004251F0" w:rsidRPr="00D748CC" w:rsidRDefault="004251F0" w:rsidP="00321677">
            <w:pPr>
              <w:spacing w:before="20" w:after="20" w:line="240" w:lineRule="exact"/>
              <w:rPr>
                <w:rFonts w:cs="Segoe UI"/>
                <w:kern w:val="2"/>
                <w:sz w:val="17"/>
                <w:szCs w:val="17"/>
              </w:rPr>
            </w:pPr>
          </w:p>
        </w:tc>
      </w:tr>
      <w:tr w:rsidR="004251F0" w:rsidRPr="00813FAB" w14:paraId="4915474C" w14:textId="77777777" w:rsidTr="00321677">
        <w:tc>
          <w:tcPr>
            <w:tcW w:w="486" w:type="dxa"/>
            <w:shd w:val="clear" w:color="auto" w:fill="auto"/>
          </w:tcPr>
          <w:p w14:paraId="2DF44FBD"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12</w:t>
            </w:r>
          </w:p>
        </w:tc>
        <w:tc>
          <w:tcPr>
            <w:tcW w:w="6471" w:type="dxa"/>
            <w:shd w:val="clear" w:color="auto" w:fill="auto"/>
          </w:tcPr>
          <w:p w14:paraId="10A3C4D4"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Perpetual or dated</w:t>
            </w:r>
          </w:p>
        </w:tc>
        <w:tc>
          <w:tcPr>
            <w:tcW w:w="2257" w:type="dxa"/>
            <w:tcBorders>
              <w:right w:val="single" w:sz="4" w:space="0" w:color="auto"/>
            </w:tcBorders>
            <w:shd w:val="clear" w:color="auto" w:fill="auto"/>
          </w:tcPr>
          <w:p w14:paraId="75C2B135" w14:textId="77777777" w:rsidR="004251F0" w:rsidRPr="00D748CC" w:rsidRDefault="004251F0" w:rsidP="00321677">
            <w:pPr>
              <w:spacing w:before="20" w:after="20" w:line="240" w:lineRule="exact"/>
              <w:rPr>
                <w:rFonts w:cs="Segoe UI"/>
                <w:kern w:val="2"/>
                <w:sz w:val="17"/>
                <w:szCs w:val="17"/>
              </w:rPr>
            </w:pPr>
          </w:p>
        </w:tc>
      </w:tr>
      <w:tr w:rsidR="004251F0" w:rsidRPr="00813FAB" w14:paraId="695CF4F6" w14:textId="77777777" w:rsidTr="00321677">
        <w:tc>
          <w:tcPr>
            <w:tcW w:w="486" w:type="dxa"/>
            <w:shd w:val="clear" w:color="auto" w:fill="auto"/>
          </w:tcPr>
          <w:p w14:paraId="505D10FD"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13</w:t>
            </w:r>
          </w:p>
        </w:tc>
        <w:tc>
          <w:tcPr>
            <w:tcW w:w="6471" w:type="dxa"/>
            <w:shd w:val="clear" w:color="auto" w:fill="auto"/>
          </w:tcPr>
          <w:p w14:paraId="1D61A6B5" w14:textId="77777777"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Original maturity date</w:t>
            </w:r>
          </w:p>
        </w:tc>
        <w:tc>
          <w:tcPr>
            <w:tcW w:w="2257" w:type="dxa"/>
            <w:tcBorders>
              <w:right w:val="single" w:sz="4" w:space="0" w:color="auto"/>
            </w:tcBorders>
            <w:shd w:val="clear" w:color="auto" w:fill="auto"/>
          </w:tcPr>
          <w:p w14:paraId="46453DB4" w14:textId="77777777" w:rsidR="004251F0" w:rsidRPr="00D748CC" w:rsidRDefault="004251F0" w:rsidP="00321677">
            <w:pPr>
              <w:spacing w:before="20" w:after="20" w:line="240" w:lineRule="exact"/>
              <w:rPr>
                <w:rFonts w:cs="Segoe UI"/>
                <w:kern w:val="2"/>
                <w:sz w:val="17"/>
                <w:szCs w:val="17"/>
              </w:rPr>
            </w:pPr>
          </w:p>
        </w:tc>
      </w:tr>
      <w:tr w:rsidR="004251F0" w:rsidRPr="00813FAB" w14:paraId="38A85D13" w14:textId="77777777" w:rsidTr="00321677">
        <w:tc>
          <w:tcPr>
            <w:tcW w:w="486" w:type="dxa"/>
            <w:shd w:val="clear" w:color="auto" w:fill="auto"/>
          </w:tcPr>
          <w:p w14:paraId="2E2E61A7"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14</w:t>
            </w:r>
          </w:p>
        </w:tc>
        <w:tc>
          <w:tcPr>
            <w:tcW w:w="6471" w:type="dxa"/>
            <w:shd w:val="clear" w:color="auto" w:fill="auto"/>
          </w:tcPr>
          <w:p w14:paraId="446506CE"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Issuer call subject to prior supervisory approval</w:t>
            </w:r>
          </w:p>
        </w:tc>
        <w:tc>
          <w:tcPr>
            <w:tcW w:w="2257" w:type="dxa"/>
            <w:tcBorders>
              <w:right w:val="single" w:sz="4" w:space="0" w:color="auto"/>
            </w:tcBorders>
            <w:shd w:val="clear" w:color="auto" w:fill="auto"/>
          </w:tcPr>
          <w:p w14:paraId="72C2DD15" w14:textId="77777777" w:rsidR="004251F0" w:rsidRPr="00D748CC" w:rsidRDefault="004251F0" w:rsidP="00321677">
            <w:pPr>
              <w:spacing w:before="20" w:after="20" w:line="240" w:lineRule="exact"/>
              <w:rPr>
                <w:rFonts w:cs="Segoe UI"/>
                <w:kern w:val="2"/>
                <w:sz w:val="17"/>
                <w:szCs w:val="17"/>
              </w:rPr>
            </w:pPr>
          </w:p>
        </w:tc>
      </w:tr>
      <w:tr w:rsidR="004251F0" w:rsidRPr="00813FAB" w14:paraId="473FBB9F" w14:textId="77777777" w:rsidTr="00321677">
        <w:tc>
          <w:tcPr>
            <w:tcW w:w="486" w:type="dxa"/>
            <w:shd w:val="clear" w:color="auto" w:fill="auto"/>
          </w:tcPr>
          <w:p w14:paraId="2E0771DA"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15</w:t>
            </w:r>
          </w:p>
        </w:tc>
        <w:tc>
          <w:tcPr>
            <w:tcW w:w="6471" w:type="dxa"/>
            <w:shd w:val="clear" w:color="auto" w:fill="auto"/>
          </w:tcPr>
          <w:p w14:paraId="6EA78AC4" w14:textId="77777777"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Optional call date, contingent call dates and redemption amount</w:t>
            </w:r>
          </w:p>
        </w:tc>
        <w:tc>
          <w:tcPr>
            <w:tcW w:w="2257" w:type="dxa"/>
            <w:tcBorders>
              <w:right w:val="single" w:sz="4" w:space="0" w:color="auto"/>
            </w:tcBorders>
            <w:shd w:val="clear" w:color="auto" w:fill="auto"/>
          </w:tcPr>
          <w:p w14:paraId="2C83617D" w14:textId="77777777" w:rsidR="004251F0" w:rsidRPr="00D748CC" w:rsidRDefault="004251F0" w:rsidP="00321677">
            <w:pPr>
              <w:spacing w:before="20" w:after="20" w:line="240" w:lineRule="exact"/>
              <w:rPr>
                <w:rFonts w:cs="Segoe UI"/>
                <w:kern w:val="2"/>
                <w:sz w:val="17"/>
                <w:szCs w:val="17"/>
              </w:rPr>
            </w:pPr>
          </w:p>
        </w:tc>
      </w:tr>
      <w:tr w:rsidR="004251F0" w:rsidRPr="00813FAB" w14:paraId="0F4B8376" w14:textId="77777777" w:rsidTr="00321677">
        <w:tc>
          <w:tcPr>
            <w:tcW w:w="486" w:type="dxa"/>
            <w:shd w:val="clear" w:color="auto" w:fill="auto"/>
          </w:tcPr>
          <w:p w14:paraId="730D99FA"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16</w:t>
            </w:r>
          </w:p>
        </w:tc>
        <w:tc>
          <w:tcPr>
            <w:tcW w:w="6471" w:type="dxa"/>
            <w:shd w:val="clear" w:color="auto" w:fill="auto"/>
          </w:tcPr>
          <w:p w14:paraId="6BD8F624" w14:textId="77777777"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Subsequent call dates, if applicable</w:t>
            </w:r>
          </w:p>
        </w:tc>
        <w:tc>
          <w:tcPr>
            <w:tcW w:w="2257" w:type="dxa"/>
            <w:tcBorders>
              <w:right w:val="single" w:sz="4" w:space="0" w:color="auto"/>
            </w:tcBorders>
            <w:shd w:val="clear" w:color="auto" w:fill="auto"/>
          </w:tcPr>
          <w:p w14:paraId="7D67B9B0" w14:textId="77777777" w:rsidR="004251F0" w:rsidRPr="00D748CC" w:rsidRDefault="004251F0" w:rsidP="00321677">
            <w:pPr>
              <w:spacing w:before="20" w:after="20" w:line="240" w:lineRule="exact"/>
              <w:rPr>
                <w:rFonts w:cs="Segoe UI"/>
                <w:kern w:val="2"/>
                <w:sz w:val="17"/>
                <w:szCs w:val="17"/>
              </w:rPr>
            </w:pPr>
          </w:p>
        </w:tc>
      </w:tr>
      <w:tr w:rsidR="004251F0" w:rsidRPr="00813FAB" w14:paraId="0390524A" w14:textId="77777777" w:rsidTr="00321677">
        <w:tc>
          <w:tcPr>
            <w:tcW w:w="486" w:type="dxa"/>
            <w:shd w:val="clear" w:color="auto" w:fill="auto"/>
          </w:tcPr>
          <w:p w14:paraId="5EFEF658" w14:textId="77777777" w:rsidR="004251F0" w:rsidRPr="00D748CC" w:rsidRDefault="004251F0" w:rsidP="00321677">
            <w:pPr>
              <w:spacing w:before="20" w:after="20" w:line="240" w:lineRule="exact"/>
              <w:rPr>
                <w:rFonts w:cs="Segoe UI"/>
                <w:kern w:val="2"/>
                <w:sz w:val="17"/>
                <w:szCs w:val="17"/>
              </w:rPr>
            </w:pPr>
          </w:p>
        </w:tc>
        <w:tc>
          <w:tcPr>
            <w:tcW w:w="6471" w:type="dxa"/>
            <w:shd w:val="clear" w:color="auto" w:fill="auto"/>
          </w:tcPr>
          <w:p w14:paraId="763D7BD0" w14:textId="77777777" w:rsidR="004251F0" w:rsidRPr="00D748CC" w:rsidRDefault="004251F0" w:rsidP="00321677">
            <w:pPr>
              <w:spacing w:before="20" w:after="20" w:line="240" w:lineRule="exact"/>
              <w:rPr>
                <w:rFonts w:cs="Segoe UI"/>
                <w:i/>
                <w:kern w:val="2"/>
                <w:sz w:val="17"/>
                <w:szCs w:val="17"/>
              </w:rPr>
            </w:pPr>
            <w:r w:rsidRPr="00D748CC">
              <w:rPr>
                <w:rFonts w:cs="Segoe UI"/>
                <w:i/>
                <w:kern w:val="2"/>
                <w:sz w:val="17"/>
                <w:szCs w:val="17"/>
              </w:rPr>
              <w:t>Coupons / dividends</w:t>
            </w:r>
          </w:p>
        </w:tc>
        <w:tc>
          <w:tcPr>
            <w:tcW w:w="2257" w:type="dxa"/>
            <w:tcBorders>
              <w:right w:val="single" w:sz="4" w:space="0" w:color="auto"/>
            </w:tcBorders>
            <w:shd w:val="clear" w:color="auto" w:fill="auto"/>
          </w:tcPr>
          <w:p w14:paraId="2FC3BF58" w14:textId="77777777" w:rsidR="004251F0" w:rsidRPr="00D748CC" w:rsidRDefault="004251F0" w:rsidP="00321677">
            <w:pPr>
              <w:spacing w:before="20" w:after="20" w:line="240" w:lineRule="exact"/>
              <w:rPr>
                <w:rFonts w:cs="Segoe UI"/>
                <w:kern w:val="2"/>
                <w:sz w:val="17"/>
                <w:szCs w:val="17"/>
              </w:rPr>
            </w:pPr>
          </w:p>
        </w:tc>
      </w:tr>
      <w:tr w:rsidR="004251F0" w:rsidRPr="00813FAB" w14:paraId="63FA9C38" w14:textId="77777777" w:rsidTr="00321677">
        <w:tc>
          <w:tcPr>
            <w:tcW w:w="486" w:type="dxa"/>
            <w:shd w:val="clear" w:color="auto" w:fill="auto"/>
          </w:tcPr>
          <w:p w14:paraId="52B180A7"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17</w:t>
            </w:r>
          </w:p>
        </w:tc>
        <w:tc>
          <w:tcPr>
            <w:tcW w:w="6471" w:type="dxa"/>
            <w:shd w:val="clear" w:color="auto" w:fill="auto"/>
          </w:tcPr>
          <w:p w14:paraId="7EA1611A" w14:textId="77777777"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Fixed or floating dividend / coupon</w:t>
            </w:r>
          </w:p>
        </w:tc>
        <w:tc>
          <w:tcPr>
            <w:tcW w:w="2257" w:type="dxa"/>
            <w:tcBorders>
              <w:right w:val="single" w:sz="4" w:space="0" w:color="auto"/>
            </w:tcBorders>
            <w:shd w:val="clear" w:color="auto" w:fill="auto"/>
          </w:tcPr>
          <w:p w14:paraId="10172BDE" w14:textId="77777777" w:rsidR="004251F0" w:rsidRPr="00D748CC" w:rsidRDefault="004251F0" w:rsidP="00321677">
            <w:pPr>
              <w:spacing w:before="20" w:after="20" w:line="240" w:lineRule="exact"/>
              <w:rPr>
                <w:rFonts w:cs="Segoe UI"/>
                <w:kern w:val="2"/>
                <w:sz w:val="17"/>
                <w:szCs w:val="17"/>
              </w:rPr>
            </w:pPr>
          </w:p>
        </w:tc>
      </w:tr>
      <w:tr w:rsidR="004251F0" w:rsidRPr="00813FAB" w14:paraId="4970C4EB" w14:textId="77777777" w:rsidTr="00321677">
        <w:tc>
          <w:tcPr>
            <w:tcW w:w="486" w:type="dxa"/>
            <w:shd w:val="clear" w:color="auto" w:fill="auto"/>
          </w:tcPr>
          <w:p w14:paraId="2047EF81"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18</w:t>
            </w:r>
          </w:p>
        </w:tc>
        <w:tc>
          <w:tcPr>
            <w:tcW w:w="6471" w:type="dxa"/>
            <w:shd w:val="clear" w:color="auto" w:fill="auto"/>
          </w:tcPr>
          <w:p w14:paraId="02BBF591" w14:textId="77777777"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Coupon rate and any related index</w:t>
            </w:r>
          </w:p>
        </w:tc>
        <w:tc>
          <w:tcPr>
            <w:tcW w:w="2257" w:type="dxa"/>
            <w:tcBorders>
              <w:right w:val="single" w:sz="4" w:space="0" w:color="auto"/>
            </w:tcBorders>
            <w:shd w:val="clear" w:color="auto" w:fill="auto"/>
          </w:tcPr>
          <w:p w14:paraId="7FC87D02" w14:textId="77777777" w:rsidR="004251F0" w:rsidRPr="00D748CC" w:rsidRDefault="004251F0" w:rsidP="00321677">
            <w:pPr>
              <w:spacing w:before="20" w:after="20" w:line="240" w:lineRule="exact"/>
              <w:rPr>
                <w:rFonts w:cs="Segoe UI"/>
                <w:kern w:val="2"/>
                <w:sz w:val="17"/>
                <w:szCs w:val="17"/>
              </w:rPr>
            </w:pPr>
          </w:p>
        </w:tc>
      </w:tr>
      <w:tr w:rsidR="004251F0" w:rsidRPr="00813FAB" w14:paraId="1578080E" w14:textId="77777777" w:rsidTr="00321677">
        <w:tc>
          <w:tcPr>
            <w:tcW w:w="486" w:type="dxa"/>
            <w:shd w:val="clear" w:color="auto" w:fill="auto"/>
          </w:tcPr>
          <w:p w14:paraId="063F3A46"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lastRenderedPageBreak/>
              <w:t>19</w:t>
            </w:r>
          </w:p>
        </w:tc>
        <w:tc>
          <w:tcPr>
            <w:tcW w:w="6471" w:type="dxa"/>
            <w:shd w:val="clear" w:color="auto" w:fill="auto"/>
          </w:tcPr>
          <w:p w14:paraId="42AB4D2C" w14:textId="77777777"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Existence of a dividend stopper</w:t>
            </w:r>
          </w:p>
        </w:tc>
        <w:tc>
          <w:tcPr>
            <w:tcW w:w="2257" w:type="dxa"/>
            <w:tcBorders>
              <w:right w:val="single" w:sz="4" w:space="0" w:color="auto"/>
            </w:tcBorders>
            <w:shd w:val="clear" w:color="auto" w:fill="auto"/>
          </w:tcPr>
          <w:p w14:paraId="40BC5E3C" w14:textId="77777777" w:rsidR="004251F0" w:rsidRPr="00D748CC" w:rsidRDefault="004251F0" w:rsidP="00321677">
            <w:pPr>
              <w:spacing w:before="20" w:after="20" w:line="240" w:lineRule="exact"/>
              <w:rPr>
                <w:rFonts w:cs="Segoe UI"/>
                <w:kern w:val="2"/>
                <w:sz w:val="17"/>
                <w:szCs w:val="17"/>
              </w:rPr>
            </w:pPr>
          </w:p>
        </w:tc>
      </w:tr>
      <w:tr w:rsidR="004251F0" w:rsidRPr="00813FAB" w14:paraId="558BE610" w14:textId="77777777" w:rsidTr="00321677">
        <w:tc>
          <w:tcPr>
            <w:tcW w:w="486" w:type="dxa"/>
            <w:shd w:val="clear" w:color="auto" w:fill="auto"/>
          </w:tcPr>
          <w:p w14:paraId="38D9B5E9"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20</w:t>
            </w:r>
          </w:p>
        </w:tc>
        <w:tc>
          <w:tcPr>
            <w:tcW w:w="6471" w:type="dxa"/>
            <w:shd w:val="clear" w:color="auto" w:fill="auto"/>
          </w:tcPr>
          <w:p w14:paraId="132487A9" w14:textId="77777777"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Fully discretionary, partially discretionary or mandatory</w:t>
            </w:r>
          </w:p>
        </w:tc>
        <w:tc>
          <w:tcPr>
            <w:tcW w:w="2257" w:type="dxa"/>
            <w:tcBorders>
              <w:right w:val="single" w:sz="4" w:space="0" w:color="auto"/>
            </w:tcBorders>
            <w:shd w:val="clear" w:color="auto" w:fill="auto"/>
          </w:tcPr>
          <w:p w14:paraId="7B7513F7" w14:textId="77777777" w:rsidR="004251F0" w:rsidRPr="00D748CC" w:rsidRDefault="004251F0" w:rsidP="00321677">
            <w:pPr>
              <w:spacing w:before="20" w:after="20" w:line="240" w:lineRule="exact"/>
              <w:rPr>
                <w:rFonts w:cs="Segoe UI"/>
                <w:kern w:val="2"/>
                <w:sz w:val="17"/>
                <w:szCs w:val="17"/>
              </w:rPr>
            </w:pPr>
          </w:p>
        </w:tc>
      </w:tr>
      <w:tr w:rsidR="004251F0" w:rsidRPr="00813FAB" w14:paraId="583CF5FB" w14:textId="77777777" w:rsidTr="00321677">
        <w:tc>
          <w:tcPr>
            <w:tcW w:w="486" w:type="dxa"/>
            <w:shd w:val="clear" w:color="auto" w:fill="auto"/>
          </w:tcPr>
          <w:p w14:paraId="7305CD0D"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21</w:t>
            </w:r>
          </w:p>
        </w:tc>
        <w:tc>
          <w:tcPr>
            <w:tcW w:w="6471" w:type="dxa"/>
            <w:shd w:val="clear" w:color="auto" w:fill="auto"/>
          </w:tcPr>
          <w:p w14:paraId="40985260" w14:textId="77777777"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Existence of step-up or other incentive to redeem</w:t>
            </w:r>
          </w:p>
        </w:tc>
        <w:tc>
          <w:tcPr>
            <w:tcW w:w="2257" w:type="dxa"/>
            <w:tcBorders>
              <w:right w:val="single" w:sz="4" w:space="0" w:color="auto"/>
            </w:tcBorders>
            <w:shd w:val="clear" w:color="auto" w:fill="auto"/>
          </w:tcPr>
          <w:p w14:paraId="2E9D0105" w14:textId="77777777" w:rsidR="004251F0" w:rsidRPr="00D748CC" w:rsidRDefault="004251F0" w:rsidP="00321677">
            <w:pPr>
              <w:spacing w:before="20" w:after="20" w:line="240" w:lineRule="exact"/>
              <w:rPr>
                <w:rFonts w:cs="Segoe UI"/>
                <w:kern w:val="2"/>
                <w:sz w:val="17"/>
                <w:szCs w:val="17"/>
              </w:rPr>
            </w:pPr>
          </w:p>
        </w:tc>
      </w:tr>
      <w:tr w:rsidR="004251F0" w:rsidRPr="00813FAB" w14:paraId="5EAFB388" w14:textId="77777777" w:rsidTr="00321677">
        <w:tc>
          <w:tcPr>
            <w:tcW w:w="486" w:type="dxa"/>
            <w:shd w:val="clear" w:color="auto" w:fill="auto"/>
          </w:tcPr>
          <w:p w14:paraId="35B57DDE"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22</w:t>
            </w:r>
          </w:p>
        </w:tc>
        <w:tc>
          <w:tcPr>
            <w:tcW w:w="6471" w:type="dxa"/>
            <w:shd w:val="clear" w:color="auto" w:fill="auto"/>
          </w:tcPr>
          <w:p w14:paraId="0EAA85C4" w14:textId="77777777"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Non-cumulative or cumulative</w:t>
            </w:r>
          </w:p>
        </w:tc>
        <w:tc>
          <w:tcPr>
            <w:tcW w:w="2257" w:type="dxa"/>
            <w:tcBorders>
              <w:right w:val="single" w:sz="4" w:space="0" w:color="auto"/>
            </w:tcBorders>
            <w:shd w:val="clear" w:color="auto" w:fill="auto"/>
          </w:tcPr>
          <w:p w14:paraId="3EDA7B0F" w14:textId="77777777" w:rsidR="004251F0" w:rsidRPr="00D748CC" w:rsidRDefault="004251F0" w:rsidP="00321677">
            <w:pPr>
              <w:spacing w:before="20" w:after="20" w:line="240" w:lineRule="exact"/>
              <w:rPr>
                <w:rFonts w:cs="Segoe UI"/>
                <w:kern w:val="2"/>
                <w:sz w:val="17"/>
                <w:szCs w:val="17"/>
              </w:rPr>
            </w:pPr>
          </w:p>
        </w:tc>
      </w:tr>
      <w:tr w:rsidR="004251F0" w:rsidRPr="00813FAB" w14:paraId="19A38FE7" w14:textId="77777777" w:rsidTr="00321677">
        <w:tc>
          <w:tcPr>
            <w:tcW w:w="486" w:type="dxa"/>
            <w:shd w:val="clear" w:color="auto" w:fill="auto"/>
          </w:tcPr>
          <w:p w14:paraId="15875461"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23</w:t>
            </w:r>
          </w:p>
        </w:tc>
        <w:tc>
          <w:tcPr>
            <w:tcW w:w="6471" w:type="dxa"/>
            <w:shd w:val="clear" w:color="auto" w:fill="auto"/>
          </w:tcPr>
          <w:p w14:paraId="03BCDD44"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Convertible or non-convertible</w:t>
            </w:r>
          </w:p>
        </w:tc>
        <w:tc>
          <w:tcPr>
            <w:tcW w:w="2257" w:type="dxa"/>
            <w:tcBorders>
              <w:right w:val="single" w:sz="4" w:space="0" w:color="auto"/>
            </w:tcBorders>
            <w:shd w:val="clear" w:color="auto" w:fill="auto"/>
          </w:tcPr>
          <w:p w14:paraId="7F812CE0" w14:textId="77777777" w:rsidR="004251F0" w:rsidRPr="00D748CC" w:rsidRDefault="004251F0" w:rsidP="00321677">
            <w:pPr>
              <w:spacing w:before="20" w:after="20" w:line="240" w:lineRule="exact"/>
              <w:rPr>
                <w:rFonts w:cs="Segoe UI"/>
                <w:kern w:val="2"/>
                <w:sz w:val="17"/>
                <w:szCs w:val="17"/>
              </w:rPr>
            </w:pPr>
          </w:p>
        </w:tc>
      </w:tr>
      <w:tr w:rsidR="004251F0" w:rsidRPr="00813FAB" w14:paraId="0D642560" w14:textId="77777777" w:rsidTr="00321677">
        <w:tc>
          <w:tcPr>
            <w:tcW w:w="486" w:type="dxa"/>
            <w:shd w:val="clear" w:color="auto" w:fill="auto"/>
          </w:tcPr>
          <w:p w14:paraId="32D45494"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24</w:t>
            </w:r>
          </w:p>
        </w:tc>
        <w:tc>
          <w:tcPr>
            <w:tcW w:w="6471" w:type="dxa"/>
            <w:shd w:val="clear" w:color="auto" w:fill="auto"/>
          </w:tcPr>
          <w:p w14:paraId="16BD8C6F" w14:textId="77777777"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If convertible, conversion trigger(s)</w:t>
            </w:r>
          </w:p>
        </w:tc>
        <w:tc>
          <w:tcPr>
            <w:tcW w:w="2257" w:type="dxa"/>
            <w:tcBorders>
              <w:right w:val="single" w:sz="4" w:space="0" w:color="auto"/>
            </w:tcBorders>
            <w:shd w:val="clear" w:color="auto" w:fill="auto"/>
          </w:tcPr>
          <w:p w14:paraId="00C12990" w14:textId="77777777" w:rsidR="004251F0" w:rsidRPr="00D748CC" w:rsidRDefault="004251F0" w:rsidP="00321677">
            <w:pPr>
              <w:spacing w:before="20" w:after="20" w:line="240" w:lineRule="exact"/>
              <w:rPr>
                <w:rFonts w:cs="Segoe UI"/>
                <w:kern w:val="2"/>
                <w:sz w:val="17"/>
                <w:szCs w:val="17"/>
              </w:rPr>
            </w:pPr>
          </w:p>
        </w:tc>
      </w:tr>
      <w:tr w:rsidR="004251F0" w:rsidRPr="00813FAB" w14:paraId="5A65EA5D" w14:textId="77777777" w:rsidTr="00321677">
        <w:tc>
          <w:tcPr>
            <w:tcW w:w="486" w:type="dxa"/>
            <w:shd w:val="clear" w:color="auto" w:fill="auto"/>
          </w:tcPr>
          <w:p w14:paraId="55FA7FDC"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25</w:t>
            </w:r>
          </w:p>
        </w:tc>
        <w:tc>
          <w:tcPr>
            <w:tcW w:w="6471" w:type="dxa"/>
            <w:shd w:val="clear" w:color="auto" w:fill="auto"/>
          </w:tcPr>
          <w:p w14:paraId="0607F1CE" w14:textId="77777777"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If convertible, fully or partially</w:t>
            </w:r>
          </w:p>
        </w:tc>
        <w:tc>
          <w:tcPr>
            <w:tcW w:w="2257" w:type="dxa"/>
            <w:tcBorders>
              <w:right w:val="single" w:sz="4" w:space="0" w:color="auto"/>
            </w:tcBorders>
            <w:shd w:val="clear" w:color="auto" w:fill="auto"/>
          </w:tcPr>
          <w:p w14:paraId="79D42394" w14:textId="77777777" w:rsidR="004251F0" w:rsidRPr="00D748CC" w:rsidRDefault="004251F0" w:rsidP="00321677">
            <w:pPr>
              <w:spacing w:before="20" w:after="20" w:line="240" w:lineRule="exact"/>
              <w:rPr>
                <w:rFonts w:cs="Segoe UI"/>
                <w:kern w:val="2"/>
                <w:sz w:val="17"/>
                <w:szCs w:val="17"/>
              </w:rPr>
            </w:pPr>
          </w:p>
        </w:tc>
      </w:tr>
      <w:tr w:rsidR="004251F0" w:rsidRPr="00813FAB" w14:paraId="282CE7F0" w14:textId="77777777" w:rsidTr="00321677">
        <w:tc>
          <w:tcPr>
            <w:tcW w:w="486" w:type="dxa"/>
            <w:shd w:val="clear" w:color="auto" w:fill="auto"/>
          </w:tcPr>
          <w:p w14:paraId="12DCC688"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26</w:t>
            </w:r>
          </w:p>
        </w:tc>
        <w:tc>
          <w:tcPr>
            <w:tcW w:w="6471" w:type="dxa"/>
            <w:shd w:val="clear" w:color="auto" w:fill="auto"/>
          </w:tcPr>
          <w:p w14:paraId="3AB91397" w14:textId="77777777"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If convertible, conversion rate</w:t>
            </w:r>
          </w:p>
        </w:tc>
        <w:tc>
          <w:tcPr>
            <w:tcW w:w="2257" w:type="dxa"/>
            <w:tcBorders>
              <w:right w:val="single" w:sz="4" w:space="0" w:color="auto"/>
            </w:tcBorders>
            <w:shd w:val="clear" w:color="auto" w:fill="auto"/>
          </w:tcPr>
          <w:p w14:paraId="69316CEE" w14:textId="77777777" w:rsidR="004251F0" w:rsidRPr="00D748CC" w:rsidRDefault="004251F0" w:rsidP="00321677">
            <w:pPr>
              <w:spacing w:before="20" w:after="20" w:line="240" w:lineRule="exact"/>
              <w:rPr>
                <w:rFonts w:cs="Segoe UI"/>
                <w:kern w:val="2"/>
                <w:sz w:val="17"/>
                <w:szCs w:val="17"/>
              </w:rPr>
            </w:pPr>
          </w:p>
        </w:tc>
      </w:tr>
      <w:tr w:rsidR="004251F0" w:rsidRPr="00813FAB" w14:paraId="08B952C3" w14:textId="77777777" w:rsidTr="00321677">
        <w:tc>
          <w:tcPr>
            <w:tcW w:w="486" w:type="dxa"/>
            <w:shd w:val="clear" w:color="auto" w:fill="auto"/>
          </w:tcPr>
          <w:p w14:paraId="5DCAB73B"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27</w:t>
            </w:r>
          </w:p>
        </w:tc>
        <w:tc>
          <w:tcPr>
            <w:tcW w:w="6471" w:type="dxa"/>
            <w:shd w:val="clear" w:color="auto" w:fill="auto"/>
          </w:tcPr>
          <w:p w14:paraId="44E4327E" w14:textId="77777777"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If convertible, mandatory or optional conversion</w:t>
            </w:r>
          </w:p>
        </w:tc>
        <w:tc>
          <w:tcPr>
            <w:tcW w:w="2257" w:type="dxa"/>
            <w:tcBorders>
              <w:right w:val="single" w:sz="4" w:space="0" w:color="auto"/>
            </w:tcBorders>
            <w:shd w:val="clear" w:color="auto" w:fill="auto"/>
          </w:tcPr>
          <w:p w14:paraId="0171E05F" w14:textId="77777777" w:rsidR="004251F0" w:rsidRPr="00D748CC" w:rsidRDefault="004251F0" w:rsidP="00321677">
            <w:pPr>
              <w:spacing w:before="20" w:after="20" w:line="240" w:lineRule="exact"/>
              <w:rPr>
                <w:rFonts w:cs="Segoe UI"/>
                <w:kern w:val="2"/>
                <w:sz w:val="17"/>
                <w:szCs w:val="17"/>
              </w:rPr>
            </w:pPr>
          </w:p>
        </w:tc>
      </w:tr>
      <w:tr w:rsidR="004251F0" w:rsidRPr="00813FAB" w14:paraId="19639630" w14:textId="77777777" w:rsidTr="00321677">
        <w:tc>
          <w:tcPr>
            <w:tcW w:w="486" w:type="dxa"/>
            <w:shd w:val="clear" w:color="auto" w:fill="auto"/>
          </w:tcPr>
          <w:p w14:paraId="48A8C9CC"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28</w:t>
            </w:r>
          </w:p>
        </w:tc>
        <w:tc>
          <w:tcPr>
            <w:tcW w:w="6471" w:type="dxa"/>
            <w:shd w:val="clear" w:color="auto" w:fill="auto"/>
          </w:tcPr>
          <w:p w14:paraId="0E527CFA" w14:textId="77777777"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If convertible, specify instrument type convertible into</w:t>
            </w:r>
          </w:p>
        </w:tc>
        <w:tc>
          <w:tcPr>
            <w:tcW w:w="2257" w:type="dxa"/>
            <w:tcBorders>
              <w:right w:val="single" w:sz="4" w:space="0" w:color="auto"/>
            </w:tcBorders>
            <w:shd w:val="clear" w:color="auto" w:fill="auto"/>
          </w:tcPr>
          <w:p w14:paraId="0D914729" w14:textId="77777777" w:rsidR="004251F0" w:rsidRPr="00D748CC" w:rsidRDefault="004251F0" w:rsidP="00321677">
            <w:pPr>
              <w:spacing w:before="20" w:after="20" w:line="240" w:lineRule="exact"/>
              <w:rPr>
                <w:rFonts w:cs="Segoe UI"/>
                <w:kern w:val="2"/>
                <w:sz w:val="17"/>
                <w:szCs w:val="17"/>
              </w:rPr>
            </w:pPr>
          </w:p>
        </w:tc>
      </w:tr>
      <w:tr w:rsidR="004251F0" w:rsidRPr="00813FAB" w14:paraId="6633D750" w14:textId="77777777" w:rsidTr="00321677">
        <w:tc>
          <w:tcPr>
            <w:tcW w:w="486" w:type="dxa"/>
            <w:shd w:val="clear" w:color="auto" w:fill="auto"/>
          </w:tcPr>
          <w:p w14:paraId="1C855BF3"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29</w:t>
            </w:r>
          </w:p>
        </w:tc>
        <w:tc>
          <w:tcPr>
            <w:tcW w:w="6471" w:type="dxa"/>
            <w:shd w:val="clear" w:color="auto" w:fill="auto"/>
          </w:tcPr>
          <w:p w14:paraId="432528B5" w14:textId="77777777"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If convertible, specify issuer of instrument it converts into</w:t>
            </w:r>
          </w:p>
        </w:tc>
        <w:tc>
          <w:tcPr>
            <w:tcW w:w="2257" w:type="dxa"/>
            <w:tcBorders>
              <w:right w:val="single" w:sz="4" w:space="0" w:color="auto"/>
            </w:tcBorders>
            <w:shd w:val="clear" w:color="auto" w:fill="auto"/>
          </w:tcPr>
          <w:p w14:paraId="039780C6" w14:textId="77777777" w:rsidR="004251F0" w:rsidRPr="00D748CC" w:rsidRDefault="004251F0" w:rsidP="00321677">
            <w:pPr>
              <w:spacing w:before="20" w:after="20" w:line="240" w:lineRule="exact"/>
              <w:rPr>
                <w:rFonts w:cs="Segoe UI"/>
                <w:kern w:val="2"/>
                <w:sz w:val="17"/>
                <w:szCs w:val="17"/>
              </w:rPr>
            </w:pPr>
          </w:p>
        </w:tc>
      </w:tr>
      <w:tr w:rsidR="004251F0" w:rsidRPr="00813FAB" w14:paraId="04B88EA1" w14:textId="77777777" w:rsidTr="00321677">
        <w:tc>
          <w:tcPr>
            <w:tcW w:w="486" w:type="dxa"/>
            <w:shd w:val="clear" w:color="auto" w:fill="auto"/>
          </w:tcPr>
          <w:p w14:paraId="6DD7F86B"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30</w:t>
            </w:r>
          </w:p>
        </w:tc>
        <w:tc>
          <w:tcPr>
            <w:tcW w:w="6471" w:type="dxa"/>
            <w:shd w:val="clear" w:color="auto" w:fill="auto"/>
          </w:tcPr>
          <w:p w14:paraId="11621157"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Write-down feature</w:t>
            </w:r>
          </w:p>
        </w:tc>
        <w:tc>
          <w:tcPr>
            <w:tcW w:w="2257" w:type="dxa"/>
            <w:tcBorders>
              <w:right w:val="single" w:sz="4" w:space="0" w:color="auto"/>
            </w:tcBorders>
            <w:shd w:val="clear" w:color="auto" w:fill="auto"/>
          </w:tcPr>
          <w:p w14:paraId="7A4002CE" w14:textId="77777777" w:rsidR="004251F0" w:rsidRPr="00D748CC" w:rsidRDefault="004251F0" w:rsidP="00321677">
            <w:pPr>
              <w:spacing w:before="20" w:after="20" w:line="240" w:lineRule="exact"/>
              <w:rPr>
                <w:rFonts w:cs="Segoe UI"/>
                <w:kern w:val="2"/>
                <w:sz w:val="17"/>
                <w:szCs w:val="17"/>
              </w:rPr>
            </w:pPr>
          </w:p>
        </w:tc>
      </w:tr>
      <w:tr w:rsidR="004251F0" w:rsidRPr="00813FAB" w14:paraId="3D875592" w14:textId="77777777" w:rsidTr="00321677">
        <w:tc>
          <w:tcPr>
            <w:tcW w:w="486" w:type="dxa"/>
            <w:shd w:val="clear" w:color="auto" w:fill="auto"/>
          </w:tcPr>
          <w:p w14:paraId="37445848"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31</w:t>
            </w:r>
          </w:p>
        </w:tc>
        <w:tc>
          <w:tcPr>
            <w:tcW w:w="6471" w:type="dxa"/>
            <w:shd w:val="clear" w:color="auto" w:fill="auto"/>
          </w:tcPr>
          <w:p w14:paraId="53FB98EC" w14:textId="77777777"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If write-down, write-down trigger(s)</w:t>
            </w:r>
          </w:p>
        </w:tc>
        <w:tc>
          <w:tcPr>
            <w:tcW w:w="2257" w:type="dxa"/>
            <w:tcBorders>
              <w:right w:val="single" w:sz="4" w:space="0" w:color="auto"/>
            </w:tcBorders>
            <w:shd w:val="clear" w:color="auto" w:fill="auto"/>
          </w:tcPr>
          <w:p w14:paraId="76267C9C" w14:textId="77777777" w:rsidR="004251F0" w:rsidRPr="00D748CC" w:rsidRDefault="004251F0" w:rsidP="00321677">
            <w:pPr>
              <w:spacing w:before="20" w:after="20" w:line="240" w:lineRule="exact"/>
              <w:rPr>
                <w:rFonts w:cs="Segoe UI"/>
                <w:kern w:val="2"/>
                <w:sz w:val="17"/>
                <w:szCs w:val="17"/>
              </w:rPr>
            </w:pPr>
          </w:p>
        </w:tc>
      </w:tr>
      <w:tr w:rsidR="004251F0" w:rsidRPr="00813FAB" w14:paraId="574CADD0" w14:textId="77777777" w:rsidTr="00321677">
        <w:tc>
          <w:tcPr>
            <w:tcW w:w="486" w:type="dxa"/>
            <w:shd w:val="clear" w:color="auto" w:fill="auto"/>
          </w:tcPr>
          <w:p w14:paraId="0BEAA745"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32</w:t>
            </w:r>
          </w:p>
        </w:tc>
        <w:tc>
          <w:tcPr>
            <w:tcW w:w="6471" w:type="dxa"/>
            <w:shd w:val="clear" w:color="auto" w:fill="auto"/>
          </w:tcPr>
          <w:p w14:paraId="441FC4C1" w14:textId="77777777"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If write-down, full or partial</w:t>
            </w:r>
          </w:p>
        </w:tc>
        <w:tc>
          <w:tcPr>
            <w:tcW w:w="2257" w:type="dxa"/>
            <w:tcBorders>
              <w:right w:val="single" w:sz="4" w:space="0" w:color="auto"/>
            </w:tcBorders>
            <w:shd w:val="clear" w:color="auto" w:fill="auto"/>
          </w:tcPr>
          <w:p w14:paraId="11CBECEB" w14:textId="77777777" w:rsidR="004251F0" w:rsidRPr="00D748CC" w:rsidRDefault="004251F0" w:rsidP="00321677">
            <w:pPr>
              <w:spacing w:before="20" w:after="20" w:line="240" w:lineRule="exact"/>
              <w:rPr>
                <w:rFonts w:cs="Segoe UI"/>
                <w:kern w:val="2"/>
                <w:sz w:val="17"/>
                <w:szCs w:val="17"/>
              </w:rPr>
            </w:pPr>
          </w:p>
        </w:tc>
      </w:tr>
      <w:tr w:rsidR="004251F0" w:rsidRPr="00813FAB" w14:paraId="4518122D" w14:textId="77777777" w:rsidTr="00321677">
        <w:tc>
          <w:tcPr>
            <w:tcW w:w="486" w:type="dxa"/>
            <w:shd w:val="clear" w:color="auto" w:fill="auto"/>
          </w:tcPr>
          <w:p w14:paraId="33B4F87A"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33</w:t>
            </w:r>
          </w:p>
        </w:tc>
        <w:tc>
          <w:tcPr>
            <w:tcW w:w="6471" w:type="dxa"/>
            <w:shd w:val="clear" w:color="auto" w:fill="auto"/>
          </w:tcPr>
          <w:p w14:paraId="40AD3A16" w14:textId="77777777" w:rsidR="004251F0" w:rsidRPr="00D748CC" w:rsidRDefault="004251F0" w:rsidP="00321677">
            <w:pPr>
              <w:spacing w:before="20" w:after="20" w:line="240" w:lineRule="exact"/>
              <w:ind w:leftChars="165" w:left="330"/>
              <w:rPr>
                <w:rFonts w:cs="Segoe UI"/>
                <w:kern w:val="2"/>
                <w:sz w:val="17"/>
                <w:szCs w:val="17"/>
              </w:rPr>
            </w:pPr>
            <w:r w:rsidRPr="00D748CC">
              <w:rPr>
                <w:rFonts w:cs="Segoe UI"/>
                <w:kern w:val="2"/>
                <w:sz w:val="17"/>
                <w:szCs w:val="17"/>
              </w:rPr>
              <w:t>If write-down, permanent or temporary</w:t>
            </w:r>
          </w:p>
        </w:tc>
        <w:tc>
          <w:tcPr>
            <w:tcW w:w="2257" w:type="dxa"/>
            <w:tcBorders>
              <w:right w:val="single" w:sz="4" w:space="0" w:color="auto"/>
            </w:tcBorders>
            <w:shd w:val="clear" w:color="auto" w:fill="auto"/>
          </w:tcPr>
          <w:p w14:paraId="509A28B2" w14:textId="77777777" w:rsidR="004251F0" w:rsidRPr="00D748CC" w:rsidRDefault="004251F0" w:rsidP="00321677">
            <w:pPr>
              <w:spacing w:before="20" w:after="20" w:line="240" w:lineRule="exact"/>
              <w:rPr>
                <w:rFonts w:cs="Segoe UI"/>
                <w:kern w:val="2"/>
                <w:sz w:val="17"/>
                <w:szCs w:val="17"/>
              </w:rPr>
            </w:pPr>
          </w:p>
        </w:tc>
      </w:tr>
      <w:tr w:rsidR="004251F0" w:rsidRPr="00813FAB" w14:paraId="24374619" w14:textId="77777777" w:rsidTr="00321677">
        <w:tc>
          <w:tcPr>
            <w:tcW w:w="486" w:type="dxa"/>
            <w:shd w:val="clear" w:color="auto" w:fill="auto"/>
          </w:tcPr>
          <w:p w14:paraId="477E1633"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34</w:t>
            </w:r>
          </w:p>
        </w:tc>
        <w:tc>
          <w:tcPr>
            <w:tcW w:w="6471" w:type="dxa"/>
            <w:shd w:val="clear" w:color="auto" w:fill="auto"/>
          </w:tcPr>
          <w:p w14:paraId="4B2671CD" w14:textId="77777777" w:rsidR="004251F0" w:rsidRPr="00D748CC" w:rsidRDefault="004251F0" w:rsidP="00321677">
            <w:pPr>
              <w:spacing w:before="20" w:after="20" w:line="240" w:lineRule="exact"/>
              <w:ind w:leftChars="378" w:left="756"/>
              <w:rPr>
                <w:rFonts w:cs="Segoe UI"/>
                <w:kern w:val="2"/>
                <w:sz w:val="17"/>
                <w:szCs w:val="17"/>
              </w:rPr>
            </w:pPr>
            <w:r w:rsidRPr="00D748CC">
              <w:rPr>
                <w:rFonts w:cs="Segoe UI"/>
                <w:kern w:val="2"/>
                <w:sz w:val="17"/>
                <w:szCs w:val="17"/>
              </w:rPr>
              <w:t>If temporary write-down, description of write-up mechanism</w:t>
            </w:r>
          </w:p>
        </w:tc>
        <w:tc>
          <w:tcPr>
            <w:tcW w:w="2257" w:type="dxa"/>
            <w:tcBorders>
              <w:right w:val="single" w:sz="4" w:space="0" w:color="auto"/>
            </w:tcBorders>
            <w:shd w:val="clear" w:color="auto" w:fill="auto"/>
          </w:tcPr>
          <w:p w14:paraId="1CE8A60F" w14:textId="77777777" w:rsidR="004251F0" w:rsidRPr="00D748CC" w:rsidRDefault="004251F0" w:rsidP="00321677">
            <w:pPr>
              <w:spacing w:before="20" w:after="20" w:line="240" w:lineRule="exact"/>
              <w:rPr>
                <w:rFonts w:cs="Segoe UI"/>
                <w:kern w:val="2"/>
                <w:sz w:val="17"/>
                <w:szCs w:val="17"/>
              </w:rPr>
            </w:pPr>
          </w:p>
        </w:tc>
      </w:tr>
      <w:tr w:rsidR="004251F0" w:rsidRPr="00813FAB" w14:paraId="020F7764" w14:textId="77777777" w:rsidTr="00321677">
        <w:tc>
          <w:tcPr>
            <w:tcW w:w="486" w:type="dxa"/>
            <w:shd w:val="clear" w:color="auto" w:fill="auto"/>
          </w:tcPr>
          <w:p w14:paraId="7788ECD8"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35</w:t>
            </w:r>
          </w:p>
        </w:tc>
        <w:tc>
          <w:tcPr>
            <w:tcW w:w="6471" w:type="dxa"/>
            <w:shd w:val="clear" w:color="auto" w:fill="auto"/>
          </w:tcPr>
          <w:p w14:paraId="5AF30A69"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Position in subordination hierarchy in liquidation (specify instrument type immediately senior to instrument in the insolvency creditor hierarchy of the legal entity concerned).</w:t>
            </w:r>
          </w:p>
        </w:tc>
        <w:tc>
          <w:tcPr>
            <w:tcW w:w="2257" w:type="dxa"/>
            <w:tcBorders>
              <w:right w:val="single" w:sz="4" w:space="0" w:color="auto"/>
            </w:tcBorders>
            <w:shd w:val="clear" w:color="auto" w:fill="auto"/>
          </w:tcPr>
          <w:p w14:paraId="38E3465F" w14:textId="77777777" w:rsidR="004251F0" w:rsidRPr="00D748CC" w:rsidRDefault="004251F0" w:rsidP="00321677">
            <w:pPr>
              <w:spacing w:before="20" w:after="20" w:line="240" w:lineRule="exact"/>
              <w:rPr>
                <w:rFonts w:cs="Segoe UI"/>
                <w:kern w:val="2"/>
                <w:sz w:val="17"/>
                <w:szCs w:val="17"/>
              </w:rPr>
            </w:pPr>
          </w:p>
        </w:tc>
      </w:tr>
      <w:tr w:rsidR="004251F0" w:rsidRPr="00813FAB" w14:paraId="3E407FA3" w14:textId="77777777" w:rsidTr="00321677">
        <w:tc>
          <w:tcPr>
            <w:tcW w:w="486" w:type="dxa"/>
            <w:shd w:val="clear" w:color="auto" w:fill="auto"/>
          </w:tcPr>
          <w:p w14:paraId="2663F8BE"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36</w:t>
            </w:r>
          </w:p>
        </w:tc>
        <w:tc>
          <w:tcPr>
            <w:tcW w:w="6471" w:type="dxa"/>
            <w:shd w:val="clear" w:color="auto" w:fill="auto"/>
          </w:tcPr>
          <w:p w14:paraId="644A5A74"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Non-compliant transitioned features</w:t>
            </w:r>
          </w:p>
        </w:tc>
        <w:tc>
          <w:tcPr>
            <w:tcW w:w="2257" w:type="dxa"/>
            <w:tcBorders>
              <w:right w:val="single" w:sz="4" w:space="0" w:color="auto"/>
            </w:tcBorders>
            <w:shd w:val="clear" w:color="auto" w:fill="D9D9D9"/>
          </w:tcPr>
          <w:p w14:paraId="137D0549" w14:textId="77777777" w:rsidR="004251F0" w:rsidRPr="00D748CC" w:rsidRDefault="004251F0" w:rsidP="00321677">
            <w:pPr>
              <w:spacing w:before="20" w:after="20" w:line="240" w:lineRule="exact"/>
              <w:jc w:val="center"/>
              <w:rPr>
                <w:rFonts w:cs="Segoe UI"/>
                <w:kern w:val="2"/>
                <w:sz w:val="17"/>
                <w:szCs w:val="17"/>
              </w:rPr>
            </w:pPr>
            <w:r w:rsidRPr="00D748CC">
              <w:rPr>
                <w:rFonts w:cs="Segoe UI"/>
                <w:kern w:val="2"/>
                <w:sz w:val="17"/>
                <w:szCs w:val="17"/>
              </w:rPr>
              <w:t>NA</w:t>
            </w:r>
          </w:p>
        </w:tc>
      </w:tr>
      <w:tr w:rsidR="004251F0" w:rsidRPr="00813FAB" w14:paraId="169DE248" w14:textId="77777777" w:rsidTr="00321677">
        <w:tc>
          <w:tcPr>
            <w:tcW w:w="486" w:type="dxa"/>
            <w:shd w:val="clear" w:color="auto" w:fill="auto"/>
          </w:tcPr>
          <w:p w14:paraId="4B6D59F2"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37</w:t>
            </w:r>
          </w:p>
        </w:tc>
        <w:tc>
          <w:tcPr>
            <w:tcW w:w="6471" w:type="dxa"/>
            <w:shd w:val="clear" w:color="auto" w:fill="auto"/>
          </w:tcPr>
          <w:p w14:paraId="3D206890" w14:textId="77777777" w:rsidR="004251F0" w:rsidRPr="00D748CC" w:rsidRDefault="004251F0" w:rsidP="00321677">
            <w:pPr>
              <w:spacing w:before="20" w:after="20" w:line="240" w:lineRule="exact"/>
              <w:rPr>
                <w:rFonts w:cs="Segoe UI"/>
                <w:kern w:val="2"/>
                <w:sz w:val="17"/>
                <w:szCs w:val="17"/>
              </w:rPr>
            </w:pPr>
            <w:r w:rsidRPr="00D748CC">
              <w:rPr>
                <w:rFonts w:cs="Segoe UI"/>
                <w:kern w:val="2"/>
                <w:sz w:val="17"/>
                <w:szCs w:val="17"/>
              </w:rPr>
              <w:t>If yes, specify non-compliant features</w:t>
            </w:r>
          </w:p>
        </w:tc>
        <w:tc>
          <w:tcPr>
            <w:tcW w:w="2257" w:type="dxa"/>
            <w:tcBorders>
              <w:right w:val="single" w:sz="4" w:space="0" w:color="auto"/>
            </w:tcBorders>
            <w:shd w:val="clear" w:color="auto" w:fill="D9D9D9"/>
          </w:tcPr>
          <w:p w14:paraId="1F583960" w14:textId="77777777" w:rsidR="004251F0" w:rsidRPr="00D748CC" w:rsidRDefault="004251F0" w:rsidP="00321677">
            <w:pPr>
              <w:spacing w:before="20" w:after="20" w:line="240" w:lineRule="exact"/>
              <w:jc w:val="center"/>
              <w:rPr>
                <w:rFonts w:cs="Segoe UI"/>
                <w:kern w:val="2"/>
                <w:sz w:val="17"/>
                <w:szCs w:val="17"/>
              </w:rPr>
            </w:pPr>
            <w:r w:rsidRPr="00D748CC">
              <w:rPr>
                <w:rFonts w:cs="Segoe UI"/>
                <w:kern w:val="2"/>
                <w:sz w:val="17"/>
                <w:szCs w:val="17"/>
              </w:rPr>
              <w:t>NA</w:t>
            </w:r>
          </w:p>
        </w:tc>
      </w:tr>
      <w:tr w:rsidR="004251F0" w14:paraId="4A2F48B2" w14:textId="77777777" w:rsidTr="00321677">
        <w:tblPrEx>
          <w:tblBorders>
            <w:left w:val="single" w:sz="4" w:space="0" w:color="auto"/>
            <w:right w:val="single" w:sz="4" w:space="0" w:color="auto"/>
          </w:tblBorders>
        </w:tblPrEx>
        <w:tc>
          <w:tcPr>
            <w:tcW w:w="9214" w:type="dxa"/>
            <w:gridSpan w:val="3"/>
            <w:tcBorders>
              <w:left w:val="nil"/>
            </w:tcBorders>
            <w:shd w:val="clear" w:color="auto" w:fill="auto"/>
          </w:tcPr>
          <w:p w14:paraId="41FEA5CB" w14:textId="77777777" w:rsidR="004251F0" w:rsidRPr="00D748CC" w:rsidRDefault="004251F0" w:rsidP="00321677">
            <w:pPr>
              <w:pStyle w:val="TableText"/>
              <w:snapToGrid w:val="0"/>
              <w:spacing w:line="240" w:lineRule="exact"/>
              <w:ind w:leftChars="-54" w:left="-108"/>
              <w:jc w:val="both"/>
              <w:rPr>
                <w:rFonts w:cs="Segoe UI"/>
                <w:i/>
                <w:kern w:val="2"/>
                <w:szCs w:val="17"/>
                <w:lang w:eastAsia="it-IT"/>
              </w:rPr>
            </w:pPr>
            <w:r w:rsidRPr="00D748CC">
              <w:rPr>
                <w:rFonts w:cs="Segoe UI"/>
                <w:i/>
                <w:kern w:val="2"/>
                <w:szCs w:val="17"/>
                <w:lang w:eastAsia="it-IT"/>
              </w:rPr>
              <w:t>Points to note:</w:t>
            </w:r>
          </w:p>
          <w:p w14:paraId="612B3B14" w14:textId="77777777" w:rsidR="004251F0" w:rsidRPr="00D748CC" w:rsidRDefault="004251F0" w:rsidP="008D652E">
            <w:pPr>
              <w:pStyle w:val="ListParagraph"/>
              <w:numPr>
                <w:ilvl w:val="0"/>
                <w:numId w:val="46"/>
              </w:numPr>
              <w:tabs>
                <w:tab w:val="left" w:pos="317"/>
              </w:tabs>
              <w:spacing w:after="60" w:line="240" w:lineRule="exact"/>
              <w:ind w:leftChars="0" w:left="317" w:hanging="425"/>
              <w:jc w:val="both"/>
              <w:rPr>
                <w:rFonts w:cs="Segoe UI"/>
                <w:i/>
                <w:kern w:val="2"/>
                <w:sz w:val="17"/>
                <w:szCs w:val="17"/>
              </w:rPr>
            </w:pPr>
            <w:r w:rsidRPr="00D748CC">
              <w:rPr>
                <w:rFonts w:cs="Segoe UI"/>
                <w:i/>
                <w:kern w:val="2"/>
                <w:sz w:val="17"/>
                <w:szCs w:val="17"/>
              </w:rPr>
              <w:t>An AI should report the main features of each outstanding regulatory capital instrument.  For any item that is not applicable for a particular capital instrument, “NA” should be entered.</w:t>
            </w:r>
          </w:p>
          <w:p w14:paraId="52866267" w14:textId="77777777" w:rsidR="004251F0" w:rsidRPr="00D748CC" w:rsidRDefault="004251F0" w:rsidP="008D652E">
            <w:pPr>
              <w:pStyle w:val="ListParagraph"/>
              <w:numPr>
                <w:ilvl w:val="0"/>
                <w:numId w:val="46"/>
              </w:numPr>
              <w:spacing w:after="60" w:line="240" w:lineRule="exact"/>
              <w:ind w:leftChars="0" w:left="317" w:hanging="425"/>
              <w:jc w:val="both"/>
              <w:rPr>
                <w:rFonts w:cs="Segoe UI"/>
                <w:i/>
                <w:kern w:val="2"/>
                <w:sz w:val="17"/>
                <w:szCs w:val="17"/>
              </w:rPr>
            </w:pPr>
            <w:r w:rsidRPr="00D748CC">
              <w:rPr>
                <w:rFonts w:cs="Segoe UI"/>
                <w:i/>
                <w:kern w:val="2"/>
                <w:sz w:val="17"/>
                <w:szCs w:val="17"/>
              </w:rPr>
              <w:t>In order to provide a “main features report” that summarises all of the regulatory capital instruments of the banking group, an AI should report each instrument, including ordinary shares, in a separate column of this template (by adding column (b), column (c) and so on).</w:t>
            </w:r>
          </w:p>
          <w:p w14:paraId="0879F817" w14:textId="77777777" w:rsidR="004251F0" w:rsidRPr="00D748CC" w:rsidRDefault="004251F0" w:rsidP="008D652E">
            <w:pPr>
              <w:pStyle w:val="ListParagraph"/>
              <w:numPr>
                <w:ilvl w:val="0"/>
                <w:numId w:val="46"/>
              </w:numPr>
              <w:spacing w:after="60" w:line="240" w:lineRule="exact"/>
              <w:ind w:leftChars="0" w:left="317" w:hanging="425"/>
              <w:jc w:val="both"/>
              <w:rPr>
                <w:kern w:val="2"/>
                <w:sz w:val="17"/>
                <w:szCs w:val="17"/>
              </w:rPr>
            </w:pPr>
            <w:r w:rsidRPr="00D748CC">
              <w:rPr>
                <w:rFonts w:cs="Segoe UI"/>
                <w:i/>
                <w:kern w:val="2"/>
                <w:sz w:val="17"/>
                <w:szCs w:val="17"/>
              </w:rPr>
              <w:t>An AI should select one of the standard options in the list as the input for a particular cell, where relevant.  The following table provides a more detailed explanation of reporting requirements for each of the cells, and, where relevant, the list of standard options from which the AI should select as the input for a particular cell.</w:t>
            </w:r>
          </w:p>
        </w:tc>
      </w:tr>
    </w:tbl>
    <w:p w14:paraId="2D908B20" w14:textId="57296BAE" w:rsidR="002D4096" w:rsidRDefault="002D4096" w:rsidP="002D4096"/>
    <w:p w14:paraId="6CDCD3DE" w14:textId="77777777" w:rsidR="004251F0" w:rsidRPr="00BB4B5D" w:rsidRDefault="004251F0" w:rsidP="004251F0"/>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8728"/>
      </w:tblGrid>
      <w:tr w:rsidR="004251F0" w:rsidRPr="00813FAB" w14:paraId="45C16D03" w14:textId="77777777" w:rsidTr="00321677">
        <w:tc>
          <w:tcPr>
            <w:tcW w:w="9214" w:type="dxa"/>
            <w:gridSpan w:val="2"/>
            <w:shd w:val="clear" w:color="auto" w:fill="BFBFBF"/>
          </w:tcPr>
          <w:p w14:paraId="6EB8E1F5" w14:textId="77777777" w:rsidR="004251F0" w:rsidRPr="00D748CC" w:rsidRDefault="004251F0" w:rsidP="00321677">
            <w:pPr>
              <w:pStyle w:val="TableNote"/>
              <w:keepNext/>
              <w:spacing w:before="40" w:after="40"/>
              <w:rPr>
                <w:rFonts w:eastAsia="新細明體"/>
                <w:b/>
                <w:kern w:val="2"/>
                <w:sz w:val="17"/>
                <w:szCs w:val="22"/>
                <w:lang w:eastAsia="en-GB"/>
              </w:rPr>
            </w:pPr>
            <w:r w:rsidRPr="00D748CC">
              <w:rPr>
                <w:rFonts w:eastAsia="新細明體"/>
                <w:b/>
                <w:kern w:val="2"/>
                <w:sz w:val="17"/>
                <w:szCs w:val="22"/>
                <w:lang w:eastAsia="en-GB"/>
              </w:rPr>
              <w:t>Explanatory Note</w:t>
            </w:r>
          </w:p>
        </w:tc>
      </w:tr>
      <w:tr w:rsidR="004251F0" w:rsidRPr="00813FAB" w14:paraId="4FAA15DA" w14:textId="77777777" w:rsidTr="00321677">
        <w:tc>
          <w:tcPr>
            <w:tcW w:w="9214" w:type="dxa"/>
            <w:gridSpan w:val="2"/>
            <w:shd w:val="clear" w:color="auto" w:fill="F2F2F2"/>
          </w:tcPr>
          <w:p w14:paraId="287FF36B" w14:textId="77777777" w:rsidR="004251F0" w:rsidRPr="00D748CC" w:rsidRDefault="004251F0" w:rsidP="00321677">
            <w:pPr>
              <w:pStyle w:val="TableNote"/>
              <w:keepNext/>
              <w:spacing w:before="40" w:after="40"/>
              <w:rPr>
                <w:rFonts w:eastAsia="新細明體"/>
                <w:b/>
                <w:kern w:val="2"/>
                <w:sz w:val="17"/>
                <w:szCs w:val="22"/>
                <w:lang w:eastAsia="en-GB"/>
              </w:rPr>
            </w:pPr>
            <w:r w:rsidRPr="00D748CC">
              <w:rPr>
                <w:rFonts w:eastAsia="新細明體"/>
                <w:b/>
                <w:kern w:val="2"/>
                <w:sz w:val="17"/>
                <w:szCs w:val="22"/>
                <w:lang w:eastAsia="en-GB"/>
              </w:rPr>
              <w:t>Rows</w:t>
            </w:r>
          </w:p>
        </w:tc>
      </w:tr>
      <w:tr w:rsidR="004251F0" w:rsidRPr="00813FAB" w14:paraId="6649A57F" w14:textId="77777777" w:rsidTr="00321677">
        <w:tc>
          <w:tcPr>
            <w:tcW w:w="486" w:type="dxa"/>
            <w:shd w:val="clear" w:color="auto" w:fill="auto"/>
          </w:tcPr>
          <w:p w14:paraId="4B153F0F" w14:textId="77777777" w:rsidR="004251F0" w:rsidRPr="00D748CC" w:rsidRDefault="004251F0" w:rsidP="00321677">
            <w:pPr>
              <w:rPr>
                <w:rFonts w:cs="Segoe UI"/>
                <w:kern w:val="2"/>
                <w:sz w:val="17"/>
                <w:szCs w:val="17"/>
              </w:rPr>
            </w:pPr>
            <w:r w:rsidRPr="00D748CC">
              <w:rPr>
                <w:rFonts w:cs="Segoe UI"/>
                <w:kern w:val="2"/>
                <w:sz w:val="17"/>
                <w:szCs w:val="17"/>
              </w:rPr>
              <w:t>1</w:t>
            </w:r>
          </w:p>
        </w:tc>
        <w:tc>
          <w:tcPr>
            <w:tcW w:w="8728" w:type="dxa"/>
            <w:shd w:val="clear" w:color="auto" w:fill="auto"/>
          </w:tcPr>
          <w:p w14:paraId="09210DC0" w14:textId="77777777" w:rsidR="004251F0" w:rsidRPr="00D748CC" w:rsidRDefault="004251F0" w:rsidP="00321677">
            <w:pPr>
              <w:jc w:val="both"/>
              <w:rPr>
                <w:rFonts w:cs="Segoe UI"/>
                <w:kern w:val="2"/>
                <w:sz w:val="17"/>
                <w:szCs w:val="22"/>
                <w:lang w:eastAsia="en-GB"/>
              </w:rPr>
            </w:pPr>
            <w:r w:rsidRPr="00D748CC">
              <w:rPr>
                <w:rFonts w:cs="Segoe UI"/>
                <w:kern w:val="2"/>
                <w:sz w:val="17"/>
                <w:szCs w:val="22"/>
                <w:lang w:eastAsia="en-GB"/>
              </w:rPr>
              <w:t>The legal entity which is the issuer of the instrument.</w:t>
            </w:r>
          </w:p>
          <w:p w14:paraId="5419366C" w14:textId="77777777" w:rsidR="004251F0" w:rsidRPr="00D748CC" w:rsidRDefault="004251F0" w:rsidP="00321677">
            <w:pPr>
              <w:jc w:val="both"/>
              <w:rPr>
                <w:rFonts w:cs="Segoe UI"/>
                <w:kern w:val="2"/>
                <w:sz w:val="17"/>
                <w:szCs w:val="17"/>
              </w:rPr>
            </w:pPr>
            <w:r w:rsidRPr="00D748CC">
              <w:rPr>
                <w:rFonts w:cs="Segoe UI"/>
                <w:i/>
                <w:kern w:val="2"/>
                <w:sz w:val="17"/>
                <w:szCs w:val="22"/>
                <w:lang w:eastAsia="en-GB"/>
              </w:rPr>
              <w:t>Free text</w:t>
            </w:r>
          </w:p>
        </w:tc>
      </w:tr>
      <w:tr w:rsidR="004251F0" w:rsidRPr="00813FAB" w14:paraId="6D5CAF76" w14:textId="77777777" w:rsidTr="00321677">
        <w:tc>
          <w:tcPr>
            <w:tcW w:w="486" w:type="dxa"/>
            <w:shd w:val="clear" w:color="auto" w:fill="auto"/>
          </w:tcPr>
          <w:p w14:paraId="325EF84B" w14:textId="77777777" w:rsidR="004251F0" w:rsidRPr="00D748CC" w:rsidRDefault="004251F0" w:rsidP="00321677">
            <w:pPr>
              <w:rPr>
                <w:rFonts w:cs="Segoe UI"/>
                <w:kern w:val="2"/>
                <w:sz w:val="17"/>
                <w:szCs w:val="17"/>
              </w:rPr>
            </w:pPr>
            <w:r w:rsidRPr="00D748CC">
              <w:rPr>
                <w:rFonts w:cs="Segoe UI"/>
                <w:kern w:val="2"/>
                <w:sz w:val="17"/>
                <w:szCs w:val="17"/>
              </w:rPr>
              <w:t>2</w:t>
            </w:r>
          </w:p>
        </w:tc>
        <w:tc>
          <w:tcPr>
            <w:tcW w:w="8728" w:type="dxa"/>
            <w:shd w:val="clear" w:color="auto" w:fill="auto"/>
          </w:tcPr>
          <w:p w14:paraId="00681218" w14:textId="77777777" w:rsidR="004251F0" w:rsidRPr="00D748CC" w:rsidRDefault="004251F0" w:rsidP="00321677">
            <w:pPr>
              <w:jc w:val="both"/>
              <w:rPr>
                <w:rFonts w:cs="Segoe UI"/>
                <w:kern w:val="2"/>
                <w:sz w:val="17"/>
                <w:szCs w:val="22"/>
                <w:lang w:eastAsia="en-GB"/>
              </w:rPr>
            </w:pPr>
            <w:r w:rsidRPr="00D748CC">
              <w:rPr>
                <w:rFonts w:cs="Segoe UI"/>
                <w:kern w:val="2"/>
                <w:sz w:val="17"/>
                <w:szCs w:val="17"/>
              </w:rPr>
              <w:t>Unique identifier (e.g. CUSIP, ISIN or Bloomberg identifier for private placement).</w:t>
            </w:r>
          </w:p>
          <w:p w14:paraId="338AC2B7" w14:textId="77777777" w:rsidR="004251F0" w:rsidRPr="00D748CC" w:rsidRDefault="004251F0" w:rsidP="00321677">
            <w:pPr>
              <w:jc w:val="both"/>
              <w:rPr>
                <w:rFonts w:cs="Segoe UI"/>
                <w:kern w:val="2"/>
                <w:sz w:val="17"/>
                <w:szCs w:val="17"/>
              </w:rPr>
            </w:pPr>
            <w:r w:rsidRPr="00D748CC">
              <w:rPr>
                <w:rFonts w:cs="Segoe UI"/>
                <w:i/>
                <w:kern w:val="2"/>
                <w:sz w:val="17"/>
                <w:szCs w:val="22"/>
                <w:lang w:eastAsia="en-GB"/>
              </w:rPr>
              <w:t>Free text</w:t>
            </w:r>
          </w:p>
        </w:tc>
      </w:tr>
      <w:tr w:rsidR="004251F0" w:rsidRPr="00813FAB" w14:paraId="31D39671" w14:textId="77777777" w:rsidTr="00321677">
        <w:tc>
          <w:tcPr>
            <w:tcW w:w="486" w:type="dxa"/>
            <w:shd w:val="clear" w:color="auto" w:fill="auto"/>
          </w:tcPr>
          <w:p w14:paraId="17C426F3" w14:textId="77777777" w:rsidR="004251F0" w:rsidRPr="00D748CC" w:rsidRDefault="004251F0" w:rsidP="00321677">
            <w:pPr>
              <w:rPr>
                <w:rFonts w:cs="Segoe UI"/>
                <w:kern w:val="2"/>
                <w:sz w:val="17"/>
                <w:szCs w:val="17"/>
              </w:rPr>
            </w:pPr>
            <w:r w:rsidRPr="00D748CC">
              <w:rPr>
                <w:rFonts w:cs="Segoe UI"/>
                <w:kern w:val="2"/>
                <w:sz w:val="17"/>
                <w:szCs w:val="17"/>
              </w:rPr>
              <w:t>3</w:t>
            </w:r>
          </w:p>
        </w:tc>
        <w:tc>
          <w:tcPr>
            <w:tcW w:w="8728" w:type="dxa"/>
            <w:shd w:val="clear" w:color="auto" w:fill="auto"/>
          </w:tcPr>
          <w:p w14:paraId="5B16ED1A" w14:textId="77777777" w:rsidR="004251F0" w:rsidRPr="00D748CC" w:rsidRDefault="004251F0" w:rsidP="00321677">
            <w:pPr>
              <w:jc w:val="both"/>
              <w:rPr>
                <w:rFonts w:cs="Segoe UI"/>
                <w:kern w:val="2"/>
                <w:sz w:val="17"/>
                <w:szCs w:val="22"/>
                <w:lang w:eastAsia="en-GB"/>
              </w:rPr>
            </w:pPr>
            <w:r w:rsidRPr="00D748CC">
              <w:rPr>
                <w:rFonts w:cs="Segoe UI"/>
                <w:kern w:val="2"/>
                <w:sz w:val="17"/>
                <w:szCs w:val="22"/>
                <w:lang w:eastAsia="en-GB"/>
              </w:rPr>
              <w:t>Specifies the governing law(s) of the instrument.</w:t>
            </w:r>
          </w:p>
          <w:p w14:paraId="1992DA76" w14:textId="77777777" w:rsidR="004251F0" w:rsidRPr="00D748CC" w:rsidRDefault="004251F0" w:rsidP="00321677">
            <w:pPr>
              <w:jc w:val="both"/>
              <w:rPr>
                <w:rFonts w:cs="Segoe UI"/>
                <w:kern w:val="2"/>
                <w:sz w:val="17"/>
                <w:szCs w:val="17"/>
              </w:rPr>
            </w:pPr>
            <w:r w:rsidRPr="00D748CC">
              <w:rPr>
                <w:rFonts w:cs="Segoe UI"/>
                <w:i/>
                <w:kern w:val="2"/>
                <w:sz w:val="17"/>
                <w:szCs w:val="22"/>
                <w:lang w:eastAsia="en-GB"/>
              </w:rPr>
              <w:t>Free text</w:t>
            </w:r>
          </w:p>
        </w:tc>
      </w:tr>
      <w:tr w:rsidR="004251F0" w:rsidRPr="00D748CC" w14:paraId="762C3BDA" w14:textId="77777777" w:rsidTr="00321677">
        <w:tc>
          <w:tcPr>
            <w:tcW w:w="486" w:type="dxa"/>
            <w:shd w:val="clear" w:color="auto" w:fill="auto"/>
          </w:tcPr>
          <w:p w14:paraId="1D3F4206" w14:textId="77777777" w:rsidR="004251F0" w:rsidRPr="00D748CC" w:rsidRDefault="004251F0" w:rsidP="00321677">
            <w:pPr>
              <w:rPr>
                <w:rFonts w:cs="Segoe UI"/>
                <w:kern w:val="2"/>
                <w:sz w:val="17"/>
                <w:szCs w:val="17"/>
              </w:rPr>
            </w:pPr>
            <w:r w:rsidRPr="00D748CC">
              <w:rPr>
                <w:rFonts w:cs="Segoe UI"/>
                <w:kern w:val="2"/>
                <w:sz w:val="17"/>
                <w:szCs w:val="17"/>
              </w:rPr>
              <w:t>4</w:t>
            </w:r>
          </w:p>
        </w:tc>
        <w:tc>
          <w:tcPr>
            <w:tcW w:w="8728" w:type="dxa"/>
            <w:shd w:val="clear" w:color="auto" w:fill="auto"/>
          </w:tcPr>
          <w:p w14:paraId="1F5760E0" w14:textId="77777777" w:rsidR="004251F0" w:rsidRPr="00D13019" w:rsidRDefault="004251F0" w:rsidP="00321677">
            <w:pPr>
              <w:jc w:val="both"/>
              <w:rPr>
                <w:rFonts w:cs="Segoe UI"/>
                <w:kern w:val="2"/>
                <w:sz w:val="17"/>
                <w:szCs w:val="17"/>
              </w:rPr>
            </w:pPr>
            <w:r w:rsidRPr="005B5690">
              <w:rPr>
                <w:rFonts w:cs="Segoe UI"/>
                <w:kern w:val="2"/>
                <w:sz w:val="17"/>
                <w:szCs w:val="17"/>
              </w:rPr>
              <w:t>This row is obsolete and no longer applicable.</w:t>
            </w:r>
          </w:p>
        </w:tc>
      </w:tr>
      <w:tr w:rsidR="004251F0" w:rsidRPr="00813FAB" w14:paraId="369ACAD9" w14:textId="77777777" w:rsidTr="00321677">
        <w:tc>
          <w:tcPr>
            <w:tcW w:w="486" w:type="dxa"/>
            <w:shd w:val="clear" w:color="auto" w:fill="auto"/>
          </w:tcPr>
          <w:p w14:paraId="1A01092B" w14:textId="77777777" w:rsidR="004251F0" w:rsidRPr="00D748CC" w:rsidRDefault="004251F0" w:rsidP="00321677">
            <w:pPr>
              <w:rPr>
                <w:rFonts w:cs="Segoe UI"/>
                <w:kern w:val="2"/>
                <w:sz w:val="17"/>
                <w:szCs w:val="17"/>
              </w:rPr>
            </w:pPr>
            <w:r w:rsidRPr="00D748CC">
              <w:rPr>
                <w:rFonts w:cs="Segoe UI"/>
                <w:kern w:val="2"/>
                <w:sz w:val="17"/>
                <w:szCs w:val="17"/>
              </w:rPr>
              <w:t>5</w:t>
            </w:r>
          </w:p>
        </w:tc>
        <w:tc>
          <w:tcPr>
            <w:tcW w:w="8728" w:type="dxa"/>
            <w:shd w:val="clear" w:color="auto" w:fill="auto"/>
          </w:tcPr>
          <w:p w14:paraId="34C96A8C" w14:textId="408B5CB5" w:rsidR="004251F0" w:rsidRPr="00D13019" w:rsidRDefault="004251F0" w:rsidP="00321677">
            <w:pPr>
              <w:jc w:val="both"/>
              <w:rPr>
                <w:rFonts w:cs="Segoe UI"/>
                <w:kern w:val="2"/>
                <w:sz w:val="17"/>
                <w:szCs w:val="17"/>
              </w:rPr>
            </w:pPr>
            <w:r w:rsidRPr="00D13019">
              <w:rPr>
                <w:rFonts w:cs="Segoe UI"/>
                <w:kern w:val="2"/>
                <w:sz w:val="17"/>
                <w:szCs w:val="17"/>
              </w:rPr>
              <w:t>Specifies the regulatory capital treatment</w:t>
            </w:r>
            <w:r w:rsidR="00DA5542">
              <w:rPr>
                <w:rFonts w:cs="Segoe UI"/>
                <w:kern w:val="2"/>
                <w:sz w:val="17"/>
                <w:szCs w:val="17"/>
              </w:rPr>
              <w:t>.</w:t>
            </w:r>
            <w:r w:rsidRPr="00D13019">
              <w:rPr>
                <w:rFonts w:cs="Segoe UI"/>
                <w:kern w:val="2"/>
                <w:sz w:val="17"/>
                <w:szCs w:val="17"/>
              </w:rPr>
              <w:t xml:space="preserve"> </w:t>
            </w:r>
          </w:p>
          <w:p w14:paraId="2E0951FB" w14:textId="5E7A7732" w:rsidR="004251F0" w:rsidRPr="00D13019" w:rsidRDefault="004251F0" w:rsidP="00321677">
            <w:pPr>
              <w:jc w:val="both"/>
              <w:rPr>
                <w:rFonts w:cs="Segoe UI"/>
                <w:i/>
                <w:kern w:val="2"/>
                <w:sz w:val="17"/>
                <w:szCs w:val="17"/>
              </w:rPr>
            </w:pPr>
            <w:r w:rsidRPr="00D13019">
              <w:rPr>
                <w:rFonts w:cs="Segoe UI"/>
                <w:i/>
                <w:kern w:val="2"/>
                <w:sz w:val="17"/>
                <w:szCs w:val="17"/>
              </w:rPr>
              <w:lastRenderedPageBreak/>
              <w:t>Enter: [Common Equity Tier 1] [Additional Tier 1] [Tier 2]</w:t>
            </w:r>
          </w:p>
        </w:tc>
      </w:tr>
      <w:tr w:rsidR="004251F0" w:rsidRPr="00813FAB" w14:paraId="672F157B" w14:textId="77777777" w:rsidTr="00321677">
        <w:tc>
          <w:tcPr>
            <w:tcW w:w="486" w:type="dxa"/>
            <w:shd w:val="clear" w:color="auto" w:fill="auto"/>
          </w:tcPr>
          <w:p w14:paraId="6B64B74D" w14:textId="77777777" w:rsidR="004251F0" w:rsidRPr="00D748CC" w:rsidRDefault="004251F0" w:rsidP="00321677">
            <w:pPr>
              <w:rPr>
                <w:rFonts w:cs="Segoe UI"/>
                <w:kern w:val="2"/>
                <w:sz w:val="17"/>
                <w:szCs w:val="17"/>
              </w:rPr>
            </w:pPr>
            <w:r w:rsidRPr="00D748CC">
              <w:rPr>
                <w:rFonts w:cs="Segoe UI"/>
                <w:kern w:val="2"/>
                <w:sz w:val="17"/>
                <w:szCs w:val="17"/>
              </w:rPr>
              <w:lastRenderedPageBreak/>
              <w:t>6</w:t>
            </w:r>
          </w:p>
        </w:tc>
        <w:tc>
          <w:tcPr>
            <w:tcW w:w="8728" w:type="dxa"/>
            <w:shd w:val="clear" w:color="auto" w:fill="auto"/>
          </w:tcPr>
          <w:p w14:paraId="11D90853" w14:textId="77777777" w:rsidR="004251F0" w:rsidRPr="00D13019" w:rsidRDefault="004251F0" w:rsidP="00321677">
            <w:pPr>
              <w:jc w:val="both"/>
              <w:rPr>
                <w:rFonts w:cs="Segoe UI"/>
                <w:kern w:val="2"/>
                <w:sz w:val="17"/>
                <w:szCs w:val="17"/>
              </w:rPr>
            </w:pPr>
            <w:r w:rsidRPr="00D13019">
              <w:rPr>
                <w:rFonts w:cs="Segoe UI"/>
                <w:kern w:val="2"/>
                <w:sz w:val="17"/>
                <w:szCs w:val="17"/>
              </w:rPr>
              <w:t>Specifies the level(s) within the group at which the instrument is included in capital.  The level of solo includes solo-consolidated.</w:t>
            </w:r>
          </w:p>
          <w:p w14:paraId="4E211BAA" w14:textId="77777777" w:rsidR="004251F0" w:rsidRPr="00D13019" w:rsidRDefault="004251F0" w:rsidP="00321677">
            <w:pPr>
              <w:jc w:val="both"/>
              <w:rPr>
                <w:rFonts w:cs="Segoe UI"/>
                <w:i/>
                <w:kern w:val="2"/>
                <w:sz w:val="17"/>
                <w:szCs w:val="17"/>
              </w:rPr>
            </w:pPr>
            <w:r w:rsidRPr="00D13019">
              <w:rPr>
                <w:rFonts w:cs="Segoe UI"/>
                <w:i/>
                <w:kern w:val="2"/>
                <w:sz w:val="17"/>
                <w:szCs w:val="17"/>
              </w:rPr>
              <w:t>Enter: [Solo] [Group] [Solo and Group]</w:t>
            </w:r>
          </w:p>
        </w:tc>
      </w:tr>
      <w:tr w:rsidR="004251F0" w:rsidRPr="00813FAB" w14:paraId="4467E309" w14:textId="77777777" w:rsidTr="00321677">
        <w:tc>
          <w:tcPr>
            <w:tcW w:w="486" w:type="dxa"/>
            <w:shd w:val="clear" w:color="auto" w:fill="auto"/>
          </w:tcPr>
          <w:p w14:paraId="14580FE4" w14:textId="77777777" w:rsidR="004251F0" w:rsidRPr="00D748CC" w:rsidRDefault="004251F0" w:rsidP="00321677">
            <w:pPr>
              <w:rPr>
                <w:rFonts w:cs="Segoe UI"/>
                <w:kern w:val="2"/>
                <w:sz w:val="17"/>
                <w:szCs w:val="17"/>
              </w:rPr>
            </w:pPr>
            <w:r w:rsidRPr="00D748CC">
              <w:rPr>
                <w:rFonts w:cs="Segoe UI"/>
                <w:kern w:val="2"/>
                <w:sz w:val="17"/>
                <w:szCs w:val="17"/>
              </w:rPr>
              <w:t>7</w:t>
            </w:r>
          </w:p>
        </w:tc>
        <w:tc>
          <w:tcPr>
            <w:tcW w:w="8728" w:type="dxa"/>
            <w:shd w:val="clear" w:color="auto" w:fill="auto"/>
          </w:tcPr>
          <w:p w14:paraId="11664924" w14:textId="1B3B9015" w:rsidR="004251F0" w:rsidRPr="00D13019" w:rsidRDefault="004251F0" w:rsidP="00321677">
            <w:pPr>
              <w:jc w:val="both"/>
              <w:rPr>
                <w:rFonts w:cs="Segoe UI"/>
                <w:kern w:val="2"/>
                <w:sz w:val="17"/>
                <w:szCs w:val="17"/>
              </w:rPr>
            </w:pPr>
            <w:r w:rsidRPr="00D13019">
              <w:rPr>
                <w:rFonts w:cs="Segoe UI"/>
                <w:kern w:val="2"/>
                <w:sz w:val="17"/>
                <w:szCs w:val="17"/>
              </w:rPr>
              <w:t>Specifies the instrument type, varying by jurisdiction.  This helps provide a more granular understanding of features.</w:t>
            </w:r>
          </w:p>
          <w:p w14:paraId="1C109D1B" w14:textId="77777777" w:rsidR="004251F0" w:rsidRPr="00D13019" w:rsidRDefault="004251F0" w:rsidP="00321677">
            <w:pPr>
              <w:jc w:val="both"/>
              <w:rPr>
                <w:rFonts w:cs="Segoe UI"/>
                <w:i/>
                <w:kern w:val="2"/>
                <w:sz w:val="17"/>
                <w:szCs w:val="17"/>
              </w:rPr>
            </w:pPr>
            <w:r w:rsidRPr="00D13019">
              <w:rPr>
                <w:rFonts w:cs="Segoe UI"/>
                <w:i/>
                <w:kern w:val="2"/>
                <w:sz w:val="17"/>
                <w:szCs w:val="17"/>
              </w:rPr>
              <w:t>Enter: [Ordinary shares] [Perpetual non-cumulative preference shares] [Perpetual debt instruments] [Perpetual cumulative preference shares] [Redeemable non-cumulative preference shares] [Redeemable cumulative preference shares] [Other Tier 2 instruments] [Others: please specify]</w:t>
            </w:r>
          </w:p>
        </w:tc>
      </w:tr>
      <w:tr w:rsidR="004251F0" w:rsidRPr="00813FAB" w14:paraId="7E908806" w14:textId="77777777" w:rsidTr="00321677">
        <w:tc>
          <w:tcPr>
            <w:tcW w:w="486" w:type="dxa"/>
            <w:shd w:val="clear" w:color="auto" w:fill="auto"/>
          </w:tcPr>
          <w:p w14:paraId="607D9C05" w14:textId="77777777" w:rsidR="004251F0" w:rsidRPr="00D748CC" w:rsidRDefault="004251F0" w:rsidP="00321677">
            <w:pPr>
              <w:rPr>
                <w:rFonts w:cs="Segoe UI"/>
                <w:kern w:val="2"/>
                <w:sz w:val="17"/>
                <w:szCs w:val="17"/>
              </w:rPr>
            </w:pPr>
            <w:r w:rsidRPr="00D748CC">
              <w:rPr>
                <w:rFonts w:cs="Segoe UI"/>
                <w:kern w:val="2"/>
                <w:sz w:val="17"/>
                <w:szCs w:val="17"/>
              </w:rPr>
              <w:t>8</w:t>
            </w:r>
          </w:p>
        </w:tc>
        <w:tc>
          <w:tcPr>
            <w:tcW w:w="8728" w:type="dxa"/>
            <w:shd w:val="clear" w:color="auto" w:fill="auto"/>
          </w:tcPr>
          <w:p w14:paraId="4DD75E28" w14:textId="192793ED" w:rsidR="004251F0" w:rsidRPr="00D13019" w:rsidRDefault="004251F0" w:rsidP="00321677">
            <w:pPr>
              <w:jc w:val="both"/>
              <w:rPr>
                <w:rFonts w:cs="Segoe UI"/>
                <w:kern w:val="2"/>
                <w:sz w:val="17"/>
                <w:szCs w:val="17"/>
              </w:rPr>
            </w:pPr>
            <w:r w:rsidRPr="00D13019">
              <w:rPr>
                <w:rFonts w:cs="Segoe UI"/>
                <w:kern w:val="2"/>
                <w:sz w:val="17"/>
                <w:szCs w:val="17"/>
              </w:rPr>
              <w:t xml:space="preserve">Specifies amount recognised in regulatory capital.  </w:t>
            </w:r>
          </w:p>
          <w:p w14:paraId="5A44056A" w14:textId="77777777" w:rsidR="004251F0" w:rsidRPr="00D13019" w:rsidRDefault="004251F0" w:rsidP="00321677">
            <w:pPr>
              <w:jc w:val="both"/>
              <w:rPr>
                <w:rFonts w:cs="Segoe UI"/>
                <w:i/>
                <w:kern w:val="2"/>
                <w:sz w:val="17"/>
                <w:szCs w:val="17"/>
              </w:rPr>
            </w:pPr>
            <w:r w:rsidRPr="00D13019">
              <w:rPr>
                <w:rFonts w:cs="Segoe UI"/>
                <w:i/>
                <w:kern w:val="2"/>
                <w:sz w:val="17"/>
                <w:szCs w:val="17"/>
              </w:rPr>
              <w:t>Free text</w:t>
            </w:r>
          </w:p>
        </w:tc>
      </w:tr>
      <w:tr w:rsidR="004251F0" w:rsidRPr="00813FAB" w14:paraId="6481320C" w14:textId="77777777" w:rsidTr="00321677">
        <w:tc>
          <w:tcPr>
            <w:tcW w:w="486" w:type="dxa"/>
            <w:shd w:val="clear" w:color="auto" w:fill="auto"/>
          </w:tcPr>
          <w:p w14:paraId="09BF4A31" w14:textId="77777777" w:rsidR="004251F0" w:rsidRPr="00D748CC" w:rsidRDefault="004251F0" w:rsidP="00321677">
            <w:pPr>
              <w:rPr>
                <w:rFonts w:cs="Segoe UI"/>
                <w:kern w:val="2"/>
                <w:sz w:val="17"/>
                <w:szCs w:val="17"/>
              </w:rPr>
            </w:pPr>
            <w:r w:rsidRPr="00D748CC">
              <w:rPr>
                <w:rFonts w:cs="Segoe UI"/>
                <w:kern w:val="2"/>
                <w:sz w:val="17"/>
                <w:szCs w:val="17"/>
              </w:rPr>
              <w:t>9</w:t>
            </w:r>
          </w:p>
        </w:tc>
        <w:tc>
          <w:tcPr>
            <w:tcW w:w="8728" w:type="dxa"/>
            <w:shd w:val="clear" w:color="auto" w:fill="auto"/>
          </w:tcPr>
          <w:p w14:paraId="0A8DDE98" w14:textId="77777777" w:rsidR="004251F0" w:rsidRPr="00D748CC" w:rsidRDefault="004251F0" w:rsidP="00321677">
            <w:pPr>
              <w:jc w:val="both"/>
              <w:rPr>
                <w:rFonts w:cs="Segoe UI"/>
                <w:kern w:val="2"/>
                <w:sz w:val="17"/>
                <w:szCs w:val="17"/>
              </w:rPr>
            </w:pPr>
            <w:r w:rsidRPr="00D748CC">
              <w:rPr>
                <w:rFonts w:cs="Segoe UI"/>
                <w:kern w:val="2"/>
                <w:sz w:val="17"/>
                <w:szCs w:val="17"/>
              </w:rPr>
              <w:t>Par value of the instrument.</w:t>
            </w:r>
          </w:p>
          <w:p w14:paraId="7FA127CF" w14:textId="77777777" w:rsidR="004251F0" w:rsidRPr="00D748CC" w:rsidRDefault="004251F0" w:rsidP="00321677">
            <w:pPr>
              <w:jc w:val="both"/>
              <w:rPr>
                <w:rFonts w:cs="Segoe UI"/>
                <w:i/>
                <w:kern w:val="2"/>
                <w:sz w:val="17"/>
                <w:szCs w:val="17"/>
              </w:rPr>
            </w:pPr>
            <w:r w:rsidRPr="00D748CC">
              <w:rPr>
                <w:rFonts w:cs="Segoe UI"/>
                <w:i/>
                <w:kern w:val="2"/>
                <w:sz w:val="17"/>
                <w:szCs w:val="17"/>
              </w:rPr>
              <w:t>Free text</w:t>
            </w:r>
          </w:p>
        </w:tc>
      </w:tr>
      <w:tr w:rsidR="004251F0" w:rsidRPr="00813FAB" w14:paraId="25C5161C" w14:textId="77777777" w:rsidTr="00321677">
        <w:tc>
          <w:tcPr>
            <w:tcW w:w="486" w:type="dxa"/>
            <w:shd w:val="clear" w:color="auto" w:fill="auto"/>
          </w:tcPr>
          <w:p w14:paraId="4B69EE52" w14:textId="77777777" w:rsidR="004251F0" w:rsidRPr="00D748CC" w:rsidRDefault="004251F0" w:rsidP="00321677">
            <w:pPr>
              <w:rPr>
                <w:rFonts w:cs="Segoe UI"/>
                <w:kern w:val="2"/>
                <w:sz w:val="17"/>
                <w:szCs w:val="17"/>
              </w:rPr>
            </w:pPr>
            <w:r w:rsidRPr="00D748CC">
              <w:rPr>
                <w:rFonts w:cs="Segoe UI"/>
                <w:kern w:val="2"/>
                <w:sz w:val="17"/>
                <w:szCs w:val="17"/>
              </w:rPr>
              <w:t>10</w:t>
            </w:r>
          </w:p>
        </w:tc>
        <w:tc>
          <w:tcPr>
            <w:tcW w:w="8728" w:type="dxa"/>
            <w:shd w:val="clear" w:color="auto" w:fill="auto"/>
          </w:tcPr>
          <w:p w14:paraId="39E89236" w14:textId="77777777" w:rsidR="004251F0" w:rsidRPr="00D748CC" w:rsidRDefault="004251F0" w:rsidP="00321677">
            <w:pPr>
              <w:jc w:val="both"/>
              <w:rPr>
                <w:rFonts w:cs="Segoe UI"/>
                <w:kern w:val="2"/>
                <w:sz w:val="17"/>
                <w:szCs w:val="17"/>
              </w:rPr>
            </w:pPr>
            <w:r w:rsidRPr="00D748CC">
              <w:rPr>
                <w:rFonts w:cs="Segoe UI"/>
                <w:kern w:val="2"/>
                <w:sz w:val="17"/>
                <w:szCs w:val="17"/>
              </w:rPr>
              <w:t>Specifies accounting classification which helps to assess loss absorbency.</w:t>
            </w:r>
          </w:p>
          <w:p w14:paraId="2A3DF3F7" w14:textId="77777777" w:rsidR="004251F0" w:rsidRPr="00D748CC" w:rsidRDefault="004251F0" w:rsidP="00321677">
            <w:pPr>
              <w:jc w:val="both"/>
              <w:rPr>
                <w:rFonts w:cs="Segoe UI"/>
                <w:i/>
                <w:kern w:val="2"/>
                <w:sz w:val="17"/>
                <w:szCs w:val="17"/>
              </w:rPr>
            </w:pPr>
            <w:r w:rsidRPr="00D748CC">
              <w:rPr>
                <w:rFonts w:cs="Segoe UI"/>
                <w:i/>
                <w:kern w:val="2"/>
                <w:sz w:val="17"/>
                <w:szCs w:val="17"/>
              </w:rPr>
              <w:t xml:space="preserve">Enter: [Shareholders’ equity] [Liability – amortised cost] [Liability </w:t>
            </w:r>
            <w:r w:rsidRPr="00D748CC">
              <w:rPr>
                <w:rFonts w:cs="Segoe UI" w:hint="eastAsia"/>
                <w:i/>
                <w:kern w:val="2"/>
                <w:sz w:val="17"/>
                <w:szCs w:val="17"/>
              </w:rPr>
              <w:t>–</w:t>
            </w:r>
            <w:r w:rsidRPr="00D748CC">
              <w:rPr>
                <w:rFonts w:cs="Segoe UI"/>
                <w:i/>
                <w:kern w:val="2"/>
                <w:sz w:val="17"/>
                <w:szCs w:val="17"/>
              </w:rPr>
              <w:t xml:space="preserve"> fair value option] [Non-controlling interest in consolidated subsidiary]</w:t>
            </w:r>
          </w:p>
        </w:tc>
      </w:tr>
      <w:tr w:rsidR="004251F0" w:rsidRPr="00813FAB" w14:paraId="53FB89AD" w14:textId="77777777" w:rsidTr="00321677">
        <w:tc>
          <w:tcPr>
            <w:tcW w:w="486" w:type="dxa"/>
            <w:shd w:val="clear" w:color="auto" w:fill="auto"/>
          </w:tcPr>
          <w:p w14:paraId="14EDFFAC" w14:textId="77777777" w:rsidR="004251F0" w:rsidRPr="00D748CC" w:rsidRDefault="004251F0" w:rsidP="00321677">
            <w:pPr>
              <w:rPr>
                <w:rFonts w:cs="Segoe UI"/>
                <w:kern w:val="2"/>
                <w:sz w:val="17"/>
                <w:szCs w:val="17"/>
              </w:rPr>
            </w:pPr>
            <w:r w:rsidRPr="00D748CC">
              <w:rPr>
                <w:rFonts w:cs="Segoe UI"/>
                <w:kern w:val="2"/>
                <w:sz w:val="17"/>
                <w:szCs w:val="17"/>
              </w:rPr>
              <w:t>11</w:t>
            </w:r>
          </w:p>
        </w:tc>
        <w:tc>
          <w:tcPr>
            <w:tcW w:w="8728" w:type="dxa"/>
            <w:shd w:val="clear" w:color="auto" w:fill="auto"/>
          </w:tcPr>
          <w:p w14:paraId="0976389D" w14:textId="77777777" w:rsidR="004251F0" w:rsidRPr="00D748CC" w:rsidRDefault="004251F0" w:rsidP="00321677">
            <w:pPr>
              <w:jc w:val="both"/>
              <w:rPr>
                <w:rFonts w:cs="Segoe UI"/>
                <w:i/>
                <w:kern w:val="2"/>
                <w:sz w:val="17"/>
                <w:szCs w:val="17"/>
              </w:rPr>
            </w:pPr>
            <w:r w:rsidRPr="00D748CC">
              <w:rPr>
                <w:rFonts w:cs="Segoe UI"/>
                <w:kern w:val="2"/>
                <w:sz w:val="17"/>
                <w:szCs w:val="17"/>
              </w:rPr>
              <w:t>Specifies date of issuance.</w:t>
            </w:r>
          </w:p>
          <w:p w14:paraId="17668B52" w14:textId="77777777" w:rsidR="004251F0" w:rsidRPr="00D748CC" w:rsidRDefault="004251F0" w:rsidP="00321677">
            <w:pPr>
              <w:jc w:val="both"/>
              <w:rPr>
                <w:rFonts w:cs="Segoe UI"/>
                <w:kern w:val="2"/>
                <w:sz w:val="17"/>
                <w:szCs w:val="17"/>
              </w:rPr>
            </w:pPr>
            <w:r w:rsidRPr="00D748CC">
              <w:rPr>
                <w:rFonts w:cs="Segoe UI"/>
                <w:i/>
                <w:kern w:val="2"/>
                <w:sz w:val="17"/>
                <w:szCs w:val="17"/>
              </w:rPr>
              <w:t>Free text</w:t>
            </w:r>
          </w:p>
        </w:tc>
      </w:tr>
      <w:tr w:rsidR="004251F0" w:rsidRPr="00813FAB" w14:paraId="0C9AB544" w14:textId="77777777" w:rsidTr="00321677">
        <w:tc>
          <w:tcPr>
            <w:tcW w:w="486" w:type="dxa"/>
            <w:shd w:val="clear" w:color="auto" w:fill="auto"/>
          </w:tcPr>
          <w:p w14:paraId="73DD9739" w14:textId="77777777" w:rsidR="004251F0" w:rsidRPr="00D748CC" w:rsidRDefault="004251F0" w:rsidP="00321677">
            <w:pPr>
              <w:rPr>
                <w:rFonts w:cs="Segoe UI"/>
                <w:kern w:val="2"/>
                <w:sz w:val="17"/>
                <w:szCs w:val="17"/>
              </w:rPr>
            </w:pPr>
            <w:r w:rsidRPr="00D748CC">
              <w:rPr>
                <w:rFonts w:cs="Segoe UI"/>
                <w:kern w:val="2"/>
                <w:sz w:val="17"/>
                <w:szCs w:val="17"/>
              </w:rPr>
              <w:t>12</w:t>
            </w:r>
          </w:p>
        </w:tc>
        <w:tc>
          <w:tcPr>
            <w:tcW w:w="8728" w:type="dxa"/>
            <w:shd w:val="clear" w:color="auto" w:fill="auto"/>
          </w:tcPr>
          <w:p w14:paraId="16FF5CB2" w14:textId="77777777" w:rsidR="004251F0" w:rsidRPr="00D748CC" w:rsidRDefault="004251F0" w:rsidP="00321677">
            <w:pPr>
              <w:jc w:val="both"/>
              <w:rPr>
                <w:rFonts w:cs="Segoe UI"/>
                <w:i/>
                <w:kern w:val="2"/>
                <w:sz w:val="17"/>
                <w:szCs w:val="17"/>
              </w:rPr>
            </w:pPr>
            <w:r w:rsidRPr="00D748CC">
              <w:rPr>
                <w:rFonts w:cs="Segoe UI"/>
                <w:kern w:val="2"/>
                <w:sz w:val="17"/>
                <w:szCs w:val="17"/>
              </w:rPr>
              <w:t>Specifies whether dated or perpetual.</w:t>
            </w:r>
          </w:p>
          <w:p w14:paraId="5D93DD39" w14:textId="77777777" w:rsidR="004251F0" w:rsidRPr="00D748CC" w:rsidRDefault="004251F0" w:rsidP="00321677">
            <w:pPr>
              <w:jc w:val="both"/>
              <w:rPr>
                <w:rFonts w:cs="Segoe UI"/>
                <w:i/>
                <w:kern w:val="2"/>
                <w:sz w:val="17"/>
                <w:szCs w:val="17"/>
              </w:rPr>
            </w:pPr>
            <w:r w:rsidRPr="00D748CC">
              <w:rPr>
                <w:rFonts w:cs="Segoe UI"/>
                <w:i/>
                <w:kern w:val="2"/>
                <w:sz w:val="17"/>
                <w:szCs w:val="17"/>
              </w:rPr>
              <w:t>Enter: [Perpetual] [Dated]</w:t>
            </w:r>
          </w:p>
        </w:tc>
      </w:tr>
      <w:tr w:rsidR="004251F0" w:rsidRPr="00813FAB" w14:paraId="68A5F900" w14:textId="77777777" w:rsidTr="00321677">
        <w:tc>
          <w:tcPr>
            <w:tcW w:w="486" w:type="dxa"/>
            <w:shd w:val="clear" w:color="auto" w:fill="auto"/>
          </w:tcPr>
          <w:p w14:paraId="2628B836" w14:textId="77777777" w:rsidR="004251F0" w:rsidRPr="00D748CC" w:rsidRDefault="004251F0" w:rsidP="00321677">
            <w:pPr>
              <w:rPr>
                <w:rFonts w:cs="Segoe UI"/>
                <w:kern w:val="2"/>
                <w:sz w:val="17"/>
                <w:szCs w:val="17"/>
              </w:rPr>
            </w:pPr>
            <w:r w:rsidRPr="00D748CC">
              <w:rPr>
                <w:rFonts w:cs="Segoe UI"/>
                <w:kern w:val="2"/>
                <w:sz w:val="17"/>
                <w:szCs w:val="17"/>
              </w:rPr>
              <w:t>13</w:t>
            </w:r>
          </w:p>
        </w:tc>
        <w:tc>
          <w:tcPr>
            <w:tcW w:w="8728" w:type="dxa"/>
            <w:shd w:val="clear" w:color="auto" w:fill="auto"/>
          </w:tcPr>
          <w:p w14:paraId="032FC68A" w14:textId="77777777" w:rsidR="004251F0" w:rsidRPr="00D748CC" w:rsidRDefault="004251F0" w:rsidP="00321677">
            <w:pPr>
              <w:jc w:val="both"/>
              <w:rPr>
                <w:rFonts w:cs="Segoe UI"/>
                <w:kern w:val="2"/>
                <w:sz w:val="17"/>
                <w:szCs w:val="17"/>
              </w:rPr>
            </w:pPr>
            <w:r w:rsidRPr="00D748CC">
              <w:rPr>
                <w:rFonts w:cs="Segoe UI"/>
                <w:kern w:val="2"/>
                <w:sz w:val="17"/>
                <w:szCs w:val="17"/>
              </w:rPr>
              <w:t>For dated instrument, specifies original maturity date (day, month and year).  For perpetual instrument, “no maturity” should be entered.</w:t>
            </w:r>
          </w:p>
          <w:p w14:paraId="5AE04438" w14:textId="77777777" w:rsidR="004251F0" w:rsidRPr="00D748CC" w:rsidRDefault="004251F0" w:rsidP="00321677">
            <w:pPr>
              <w:jc w:val="both"/>
              <w:rPr>
                <w:rFonts w:cs="Segoe UI"/>
                <w:i/>
                <w:kern w:val="2"/>
                <w:sz w:val="17"/>
                <w:szCs w:val="17"/>
              </w:rPr>
            </w:pPr>
            <w:r w:rsidRPr="00D748CC">
              <w:rPr>
                <w:rFonts w:cs="Segoe UI"/>
                <w:i/>
                <w:kern w:val="2"/>
                <w:sz w:val="17"/>
                <w:szCs w:val="17"/>
              </w:rPr>
              <w:t>Free text</w:t>
            </w:r>
          </w:p>
        </w:tc>
      </w:tr>
      <w:tr w:rsidR="004251F0" w:rsidRPr="00813FAB" w14:paraId="6950ACE5" w14:textId="77777777" w:rsidTr="00321677">
        <w:tc>
          <w:tcPr>
            <w:tcW w:w="486" w:type="dxa"/>
            <w:shd w:val="clear" w:color="auto" w:fill="auto"/>
          </w:tcPr>
          <w:p w14:paraId="424E71FB" w14:textId="77777777" w:rsidR="004251F0" w:rsidRPr="00D748CC" w:rsidRDefault="004251F0" w:rsidP="00321677">
            <w:pPr>
              <w:rPr>
                <w:rFonts w:cs="Segoe UI"/>
                <w:kern w:val="2"/>
                <w:sz w:val="17"/>
                <w:szCs w:val="17"/>
              </w:rPr>
            </w:pPr>
            <w:r w:rsidRPr="00D748CC">
              <w:rPr>
                <w:rFonts w:cs="Segoe UI"/>
                <w:kern w:val="2"/>
                <w:sz w:val="17"/>
                <w:szCs w:val="17"/>
              </w:rPr>
              <w:t>14</w:t>
            </w:r>
          </w:p>
        </w:tc>
        <w:tc>
          <w:tcPr>
            <w:tcW w:w="8728" w:type="dxa"/>
            <w:shd w:val="clear" w:color="auto" w:fill="auto"/>
          </w:tcPr>
          <w:p w14:paraId="5677831F" w14:textId="77777777" w:rsidR="004251F0" w:rsidRPr="00D748CC" w:rsidRDefault="004251F0" w:rsidP="00321677">
            <w:pPr>
              <w:jc w:val="both"/>
              <w:rPr>
                <w:rFonts w:cs="Segoe UI"/>
                <w:kern w:val="2"/>
                <w:sz w:val="17"/>
                <w:szCs w:val="17"/>
              </w:rPr>
            </w:pPr>
            <w:r w:rsidRPr="00D748CC">
              <w:rPr>
                <w:rFonts w:cs="Segoe UI"/>
                <w:kern w:val="2"/>
                <w:sz w:val="17"/>
                <w:szCs w:val="17"/>
              </w:rPr>
              <w:t>Specifies whether there is an issuer call option.</w:t>
            </w:r>
          </w:p>
          <w:p w14:paraId="41EE2D67" w14:textId="77777777" w:rsidR="004251F0" w:rsidRPr="00D748CC" w:rsidRDefault="004251F0" w:rsidP="00321677">
            <w:pPr>
              <w:jc w:val="both"/>
              <w:rPr>
                <w:rFonts w:cs="Segoe UI"/>
                <w:i/>
                <w:kern w:val="2"/>
                <w:sz w:val="17"/>
                <w:szCs w:val="17"/>
              </w:rPr>
            </w:pPr>
            <w:r w:rsidRPr="00D748CC">
              <w:rPr>
                <w:rFonts w:cs="Segoe UI"/>
                <w:i/>
                <w:kern w:val="2"/>
                <w:sz w:val="17"/>
                <w:szCs w:val="17"/>
              </w:rPr>
              <w:t>Enter: [Yes] [No]</w:t>
            </w:r>
          </w:p>
        </w:tc>
      </w:tr>
      <w:tr w:rsidR="004251F0" w:rsidRPr="00813FAB" w14:paraId="52E8CAFA" w14:textId="77777777" w:rsidTr="00321677">
        <w:tc>
          <w:tcPr>
            <w:tcW w:w="486" w:type="dxa"/>
            <w:shd w:val="clear" w:color="auto" w:fill="auto"/>
          </w:tcPr>
          <w:p w14:paraId="5705BD48" w14:textId="77777777" w:rsidR="004251F0" w:rsidRPr="00D748CC" w:rsidRDefault="004251F0" w:rsidP="00321677">
            <w:pPr>
              <w:rPr>
                <w:rFonts w:cs="Segoe UI"/>
                <w:kern w:val="2"/>
                <w:sz w:val="17"/>
                <w:szCs w:val="17"/>
              </w:rPr>
            </w:pPr>
            <w:r w:rsidRPr="00D748CC">
              <w:rPr>
                <w:rFonts w:cs="Segoe UI"/>
                <w:kern w:val="2"/>
                <w:sz w:val="17"/>
                <w:szCs w:val="17"/>
              </w:rPr>
              <w:t>15</w:t>
            </w:r>
          </w:p>
        </w:tc>
        <w:tc>
          <w:tcPr>
            <w:tcW w:w="8728" w:type="dxa"/>
            <w:shd w:val="clear" w:color="auto" w:fill="auto"/>
          </w:tcPr>
          <w:p w14:paraId="123B692C" w14:textId="77777777" w:rsidR="004251F0" w:rsidRPr="00D748CC" w:rsidRDefault="004251F0" w:rsidP="00321677">
            <w:pPr>
              <w:jc w:val="both"/>
              <w:rPr>
                <w:rFonts w:cs="Segoe UI"/>
                <w:kern w:val="2"/>
                <w:sz w:val="17"/>
                <w:szCs w:val="17"/>
              </w:rPr>
            </w:pPr>
            <w:r w:rsidRPr="00D748CC">
              <w:rPr>
                <w:rFonts w:cs="Segoe UI"/>
                <w:kern w:val="2"/>
                <w:sz w:val="17"/>
                <w:szCs w:val="17"/>
              </w:rPr>
              <w:t>For instrument with issuer call option, specifies (i) first date of call if the instrument has a call option on a specific date (day, month and year); (ii) if the instrument has a tax and / or regulatory event call; and (iii) the redemption price.</w:t>
            </w:r>
          </w:p>
          <w:p w14:paraId="0C3E73AF" w14:textId="77777777" w:rsidR="004251F0" w:rsidRPr="00D748CC" w:rsidRDefault="004251F0" w:rsidP="00321677">
            <w:pPr>
              <w:jc w:val="both"/>
              <w:rPr>
                <w:rFonts w:cs="Segoe UI"/>
                <w:i/>
                <w:kern w:val="2"/>
                <w:sz w:val="17"/>
                <w:szCs w:val="17"/>
              </w:rPr>
            </w:pPr>
            <w:r w:rsidRPr="00D748CC">
              <w:rPr>
                <w:rFonts w:cs="Segoe UI"/>
                <w:i/>
                <w:kern w:val="2"/>
                <w:sz w:val="17"/>
                <w:szCs w:val="17"/>
              </w:rPr>
              <w:t>Free text</w:t>
            </w:r>
          </w:p>
        </w:tc>
      </w:tr>
      <w:tr w:rsidR="004251F0" w:rsidRPr="00813FAB" w14:paraId="1D21F73A" w14:textId="77777777" w:rsidTr="00321677">
        <w:tc>
          <w:tcPr>
            <w:tcW w:w="486" w:type="dxa"/>
            <w:shd w:val="clear" w:color="auto" w:fill="auto"/>
          </w:tcPr>
          <w:p w14:paraId="47BFC0D2" w14:textId="77777777" w:rsidR="004251F0" w:rsidRPr="00D748CC" w:rsidRDefault="004251F0" w:rsidP="00321677">
            <w:pPr>
              <w:rPr>
                <w:rFonts w:cs="Segoe UI"/>
                <w:kern w:val="2"/>
                <w:sz w:val="17"/>
                <w:szCs w:val="17"/>
              </w:rPr>
            </w:pPr>
            <w:r w:rsidRPr="00D748CC">
              <w:rPr>
                <w:rFonts w:cs="Segoe UI"/>
                <w:kern w:val="2"/>
                <w:sz w:val="17"/>
                <w:szCs w:val="17"/>
              </w:rPr>
              <w:t>16</w:t>
            </w:r>
          </w:p>
        </w:tc>
        <w:tc>
          <w:tcPr>
            <w:tcW w:w="8728" w:type="dxa"/>
            <w:shd w:val="clear" w:color="auto" w:fill="auto"/>
          </w:tcPr>
          <w:p w14:paraId="225516A0" w14:textId="77777777" w:rsidR="004251F0" w:rsidRPr="00D748CC" w:rsidRDefault="004251F0" w:rsidP="00321677">
            <w:pPr>
              <w:jc w:val="both"/>
              <w:rPr>
                <w:rFonts w:cs="Segoe UI"/>
                <w:kern w:val="2"/>
                <w:sz w:val="17"/>
                <w:szCs w:val="17"/>
              </w:rPr>
            </w:pPr>
            <w:r w:rsidRPr="00D748CC">
              <w:rPr>
                <w:rFonts w:cs="Segoe UI"/>
                <w:kern w:val="2"/>
                <w:sz w:val="17"/>
                <w:szCs w:val="17"/>
              </w:rPr>
              <w:t>Specifies the existence and frequency of subsequent call dates, if applicable.</w:t>
            </w:r>
          </w:p>
          <w:p w14:paraId="3551C5E7" w14:textId="77777777" w:rsidR="004251F0" w:rsidRPr="00D748CC" w:rsidRDefault="004251F0" w:rsidP="00321677">
            <w:pPr>
              <w:jc w:val="both"/>
              <w:rPr>
                <w:rFonts w:cs="Segoe UI"/>
                <w:i/>
                <w:kern w:val="2"/>
                <w:sz w:val="17"/>
                <w:szCs w:val="17"/>
              </w:rPr>
            </w:pPr>
            <w:r w:rsidRPr="00D748CC">
              <w:rPr>
                <w:rFonts w:cs="Segoe UI"/>
                <w:i/>
                <w:kern w:val="2"/>
                <w:sz w:val="17"/>
                <w:szCs w:val="17"/>
              </w:rPr>
              <w:t>Free text</w:t>
            </w:r>
          </w:p>
        </w:tc>
      </w:tr>
      <w:tr w:rsidR="004251F0" w:rsidRPr="00813FAB" w14:paraId="34DEA6BD" w14:textId="77777777" w:rsidTr="00321677">
        <w:tc>
          <w:tcPr>
            <w:tcW w:w="486" w:type="dxa"/>
            <w:shd w:val="clear" w:color="auto" w:fill="auto"/>
          </w:tcPr>
          <w:p w14:paraId="3B162A69" w14:textId="77777777" w:rsidR="004251F0" w:rsidRPr="00D748CC" w:rsidRDefault="004251F0" w:rsidP="00321677">
            <w:pPr>
              <w:rPr>
                <w:rFonts w:cs="Segoe UI"/>
                <w:kern w:val="2"/>
                <w:sz w:val="17"/>
                <w:szCs w:val="17"/>
              </w:rPr>
            </w:pPr>
            <w:r w:rsidRPr="00D748CC">
              <w:rPr>
                <w:rFonts w:cs="Segoe UI"/>
                <w:kern w:val="2"/>
                <w:sz w:val="17"/>
                <w:szCs w:val="17"/>
              </w:rPr>
              <w:t>17</w:t>
            </w:r>
          </w:p>
        </w:tc>
        <w:tc>
          <w:tcPr>
            <w:tcW w:w="8728" w:type="dxa"/>
            <w:shd w:val="clear" w:color="auto" w:fill="auto"/>
          </w:tcPr>
          <w:p w14:paraId="5C65DCC7" w14:textId="77777777" w:rsidR="004251F0" w:rsidRPr="00D748CC" w:rsidRDefault="004251F0" w:rsidP="00321677">
            <w:pPr>
              <w:jc w:val="both"/>
              <w:rPr>
                <w:rFonts w:cs="Segoe UI"/>
                <w:kern w:val="2"/>
                <w:sz w:val="17"/>
                <w:szCs w:val="17"/>
              </w:rPr>
            </w:pPr>
            <w:r w:rsidRPr="00D748CC">
              <w:rPr>
                <w:rFonts w:cs="Segoe UI"/>
                <w:kern w:val="2"/>
                <w:sz w:val="17"/>
                <w:szCs w:val="17"/>
              </w:rPr>
              <w:t>Specifies whether the coupon / dividend is: (i) fixed over the life of the instrument; (ii) floating over the life of the instrument; (iii) currently fixed but will move to a floating rate in the future; or (iv) currently floating but will move to a fixed rate in the future.</w:t>
            </w:r>
          </w:p>
          <w:p w14:paraId="4AD3A7F1" w14:textId="77777777" w:rsidR="004251F0" w:rsidRPr="00D748CC" w:rsidRDefault="004251F0" w:rsidP="00321677">
            <w:pPr>
              <w:rPr>
                <w:rFonts w:cs="Segoe UI"/>
                <w:i/>
                <w:kern w:val="2"/>
                <w:sz w:val="17"/>
                <w:szCs w:val="17"/>
              </w:rPr>
            </w:pPr>
            <w:r w:rsidRPr="00D748CC">
              <w:rPr>
                <w:rFonts w:cs="Segoe UI"/>
                <w:i/>
                <w:kern w:val="2"/>
                <w:sz w:val="17"/>
                <w:szCs w:val="17"/>
              </w:rPr>
              <w:t>Enter: [Fixed] [Floating] [Fixed to floating] [Floating to fixed]</w:t>
            </w:r>
          </w:p>
        </w:tc>
      </w:tr>
      <w:tr w:rsidR="004251F0" w:rsidRPr="00813FAB" w14:paraId="3C5DE9BE" w14:textId="77777777" w:rsidTr="00321677">
        <w:tc>
          <w:tcPr>
            <w:tcW w:w="486" w:type="dxa"/>
            <w:shd w:val="clear" w:color="auto" w:fill="auto"/>
          </w:tcPr>
          <w:p w14:paraId="5CAF607F" w14:textId="77777777" w:rsidR="004251F0" w:rsidRPr="00D748CC" w:rsidRDefault="004251F0" w:rsidP="00321677">
            <w:pPr>
              <w:rPr>
                <w:rFonts w:cs="Segoe UI"/>
                <w:kern w:val="2"/>
                <w:sz w:val="17"/>
                <w:szCs w:val="17"/>
              </w:rPr>
            </w:pPr>
            <w:r w:rsidRPr="00D748CC">
              <w:rPr>
                <w:rFonts w:cs="Segoe UI"/>
                <w:kern w:val="2"/>
                <w:sz w:val="17"/>
                <w:szCs w:val="17"/>
              </w:rPr>
              <w:t>18</w:t>
            </w:r>
          </w:p>
        </w:tc>
        <w:tc>
          <w:tcPr>
            <w:tcW w:w="8728" w:type="dxa"/>
            <w:shd w:val="clear" w:color="auto" w:fill="auto"/>
          </w:tcPr>
          <w:p w14:paraId="4F15DF0C" w14:textId="77777777" w:rsidR="004251F0" w:rsidRPr="00D748CC" w:rsidRDefault="004251F0" w:rsidP="00321677">
            <w:pPr>
              <w:jc w:val="both"/>
              <w:rPr>
                <w:rFonts w:cs="Segoe UI"/>
                <w:kern w:val="2"/>
                <w:sz w:val="17"/>
                <w:szCs w:val="17"/>
              </w:rPr>
            </w:pPr>
            <w:r w:rsidRPr="00D748CC">
              <w:rPr>
                <w:rFonts w:cs="Segoe UI"/>
                <w:kern w:val="2"/>
                <w:sz w:val="17"/>
                <w:szCs w:val="17"/>
              </w:rPr>
              <w:t>Specifies the coupon rate of the instrument and any related index that the coupon / dividend rate references.</w:t>
            </w:r>
          </w:p>
          <w:p w14:paraId="151AB351" w14:textId="77777777" w:rsidR="004251F0" w:rsidRPr="00D748CC" w:rsidRDefault="004251F0" w:rsidP="00321677">
            <w:pPr>
              <w:jc w:val="both"/>
              <w:rPr>
                <w:rFonts w:cs="Segoe UI"/>
                <w:i/>
                <w:kern w:val="2"/>
                <w:sz w:val="17"/>
                <w:szCs w:val="17"/>
              </w:rPr>
            </w:pPr>
            <w:r w:rsidRPr="00D748CC">
              <w:rPr>
                <w:rFonts w:cs="Segoe UI"/>
                <w:i/>
                <w:kern w:val="2"/>
                <w:sz w:val="17"/>
                <w:szCs w:val="17"/>
              </w:rPr>
              <w:t>Free text</w:t>
            </w:r>
          </w:p>
        </w:tc>
      </w:tr>
      <w:tr w:rsidR="004251F0" w:rsidRPr="00813FAB" w14:paraId="1CE63576" w14:textId="77777777" w:rsidTr="00321677">
        <w:tc>
          <w:tcPr>
            <w:tcW w:w="486" w:type="dxa"/>
            <w:shd w:val="clear" w:color="auto" w:fill="auto"/>
          </w:tcPr>
          <w:p w14:paraId="79DCE427" w14:textId="77777777" w:rsidR="004251F0" w:rsidRPr="00D748CC" w:rsidRDefault="004251F0" w:rsidP="00321677">
            <w:pPr>
              <w:rPr>
                <w:rFonts w:cs="Segoe UI"/>
                <w:kern w:val="2"/>
                <w:sz w:val="17"/>
                <w:szCs w:val="17"/>
              </w:rPr>
            </w:pPr>
            <w:r w:rsidRPr="00D748CC">
              <w:rPr>
                <w:rFonts w:cs="Segoe UI"/>
                <w:kern w:val="2"/>
                <w:sz w:val="17"/>
                <w:szCs w:val="17"/>
              </w:rPr>
              <w:lastRenderedPageBreak/>
              <w:t>19</w:t>
            </w:r>
          </w:p>
        </w:tc>
        <w:tc>
          <w:tcPr>
            <w:tcW w:w="8728" w:type="dxa"/>
            <w:shd w:val="clear" w:color="auto" w:fill="auto"/>
          </w:tcPr>
          <w:p w14:paraId="2A29ACF9" w14:textId="77777777" w:rsidR="004251F0" w:rsidRPr="00D748CC" w:rsidRDefault="004251F0" w:rsidP="00321677">
            <w:pPr>
              <w:jc w:val="both"/>
              <w:rPr>
                <w:rFonts w:cs="Segoe UI"/>
                <w:kern w:val="2"/>
                <w:sz w:val="17"/>
                <w:szCs w:val="17"/>
              </w:rPr>
            </w:pPr>
            <w:r w:rsidRPr="00D748CC">
              <w:rPr>
                <w:rFonts w:cs="Segoe UI"/>
                <w:kern w:val="2"/>
                <w:sz w:val="17"/>
                <w:szCs w:val="17"/>
              </w:rPr>
              <w:t>Specifies whether the non-payment of a coupon or dividend on the instrument prohibits the payment of dividends on ordinary shares (i.e. whether there is a dividend stopper).</w:t>
            </w:r>
          </w:p>
          <w:p w14:paraId="1BDD893A" w14:textId="77777777" w:rsidR="004251F0" w:rsidRPr="00D748CC" w:rsidRDefault="004251F0" w:rsidP="00321677">
            <w:pPr>
              <w:jc w:val="both"/>
              <w:rPr>
                <w:rFonts w:cs="Segoe UI"/>
                <w:i/>
                <w:kern w:val="2"/>
                <w:sz w:val="17"/>
                <w:szCs w:val="17"/>
              </w:rPr>
            </w:pPr>
            <w:r w:rsidRPr="00D748CC">
              <w:rPr>
                <w:rFonts w:cs="Segoe UI"/>
                <w:i/>
                <w:kern w:val="2"/>
                <w:sz w:val="17"/>
                <w:szCs w:val="17"/>
              </w:rPr>
              <w:t>Enter: [Yes] [No]</w:t>
            </w:r>
          </w:p>
        </w:tc>
      </w:tr>
      <w:tr w:rsidR="004251F0" w:rsidRPr="00813FAB" w14:paraId="085951AB" w14:textId="77777777" w:rsidTr="00321677">
        <w:tc>
          <w:tcPr>
            <w:tcW w:w="486" w:type="dxa"/>
            <w:shd w:val="clear" w:color="auto" w:fill="auto"/>
          </w:tcPr>
          <w:p w14:paraId="469DBCF8" w14:textId="77777777" w:rsidR="004251F0" w:rsidRPr="00D748CC" w:rsidRDefault="004251F0" w:rsidP="00321677">
            <w:pPr>
              <w:rPr>
                <w:rFonts w:cs="Segoe UI"/>
                <w:kern w:val="2"/>
                <w:sz w:val="17"/>
                <w:szCs w:val="17"/>
              </w:rPr>
            </w:pPr>
            <w:r w:rsidRPr="00D748CC">
              <w:rPr>
                <w:rFonts w:cs="Segoe UI"/>
                <w:kern w:val="2"/>
                <w:sz w:val="17"/>
                <w:szCs w:val="17"/>
              </w:rPr>
              <w:t>20</w:t>
            </w:r>
          </w:p>
        </w:tc>
        <w:tc>
          <w:tcPr>
            <w:tcW w:w="8728" w:type="dxa"/>
            <w:shd w:val="clear" w:color="auto" w:fill="auto"/>
          </w:tcPr>
          <w:p w14:paraId="2C674C6A" w14:textId="77777777" w:rsidR="004251F0" w:rsidRPr="00D748CC" w:rsidRDefault="004251F0" w:rsidP="00321677">
            <w:pPr>
              <w:jc w:val="both"/>
              <w:rPr>
                <w:rFonts w:cs="Segoe UI"/>
                <w:kern w:val="2"/>
                <w:sz w:val="17"/>
                <w:szCs w:val="17"/>
              </w:rPr>
            </w:pPr>
            <w:r w:rsidRPr="00D748CC">
              <w:rPr>
                <w:rFonts w:cs="Segoe UI"/>
                <w:kern w:val="2"/>
                <w:sz w:val="17"/>
                <w:szCs w:val="17"/>
              </w:rPr>
              <w:t>Specifies whether the issuer has (i) full discretion; (ii) partial discretion; or (iii) no discretion over whether a coupon / dividend is paid.  If an AI has full discretion to cancel coupon / dividend payments under all circumstances, it should select “fully discretionary” (including when there is a dividend stopper that does not have the effect of preventing the AI from cancelling payments on the instrument).  If there are conditions that should be met before payment can be cancelled (e.g. capital below a certain threshold), the AI should select “partially discretionary”.  If the AI is unable to cancel the payment outside of insolvency, it should select “mandatory”.</w:t>
            </w:r>
          </w:p>
          <w:p w14:paraId="11EB3B94" w14:textId="77777777" w:rsidR="004251F0" w:rsidRPr="00D748CC" w:rsidRDefault="004251F0" w:rsidP="00321677">
            <w:pPr>
              <w:jc w:val="both"/>
              <w:rPr>
                <w:rFonts w:cs="Segoe UI"/>
                <w:i/>
                <w:kern w:val="2"/>
                <w:sz w:val="17"/>
                <w:szCs w:val="17"/>
              </w:rPr>
            </w:pPr>
            <w:r w:rsidRPr="00D748CC">
              <w:rPr>
                <w:rFonts w:cs="Segoe UI"/>
                <w:i/>
                <w:kern w:val="2"/>
                <w:sz w:val="17"/>
                <w:szCs w:val="17"/>
              </w:rPr>
              <w:t>Enter: [Fully discretionary] [Partially discretionary] [Mandatory]</w:t>
            </w:r>
          </w:p>
        </w:tc>
      </w:tr>
      <w:tr w:rsidR="004251F0" w:rsidRPr="00813FAB" w14:paraId="5537BF53" w14:textId="77777777" w:rsidTr="00321677">
        <w:tc>
          <w:tcPr>
            <w:tcW w:w="486" w:type="dxa"/>
            <w:shd w:val="clear" w:color="auto" w:fill="auto"/>
          </w:tcPr>
          <w:p w14:paraId="659EC9BC" w14:textId="77777777" w:rsidR="004251F0" w:rsidRPr="00D748CC" w:rsidRDefault="004251F0" w:rsidP="00321677">
            <w:pPr>
              <w:rPr>
                <w:rFonts w:cs="Segoe UI"/>
                <w:kern w:val="2"/>
                <w:sz w:val="17"/>
                <w:szCs w:val="17"/>
              </w:rPr>
            </w:pPr>
            <w:r w:rsidRPr="00D748CC">
              <w:rPr>
                <w:rFonts w:cs="Segoe UI"/>
                <w:kern w:val="2"/>
                <w:sz w:val="17"/>
                <w:szCs w:val="17"/>
              </w:rPr>
              <w:t>21</w:t>
            </w:r>
          </w:p>
        </w:tc>
        <w:tc>
          <w:tcPr>
            <w:tcW w:w="8728" w:type="dxa"/>
            <w:shd w:val="clear" w:color="auto" w:fill="auto"/>
          </w:tcPr>
          <w:p w14:paraId="17AE2F7B" w14:textId="77777777" w:rsidR="004251F0" w:rsidRPr="00D748CC" w:rsidRDefault="004251F0" w:rsidP="00321677">
            <w:pPr>
              <w:jc w:val="both"/>
              <w:rPr>
                <w:rFonts w:cs="Segoe UI"/>
                <w:i/>
                <w:kern w:val="2"/>
                <w:sz w:val="17"/>
                <w:szCs w:val="17"/>
              </w:rPr>
            </w:pPr>
            <w:r w:rsidRPr="00D748CC">
              <w:rPr>
                <w:rFonts w:cs="Segoe UI"/>
                <w:kern w:val="2"/>
                <w:sz w:val="17"/>
                <w:szCs w:val="17"/>
              </w:rPr>
              <w:t>Specifies whether there is a step-up or other incentive to redeem.</w:t>
            </w:r>
          </w:p>
          <w:p w14:paraId="106030AB" w14:textId="77777777" w:rsidR="004251F0" w:rsidRPr="00D748CC" w:rsidRDefault="004251F0" w:rsidP="00321677">
            <w:pPr>
              <w:jc w:val="both"/>
              <w:rPr>
                <w:rFonts w:cs="Segoe UI"/>
                <w:kern w:val="2"/>
                <w:sz w:val="17"/>
                <w:szCs w:val="17"/>
              </w:rPr>
            </w:pPr>
            <w:r w:rsidRPr="00D748CC">
              <w:rPr>
                <w:rFonts w:cs="Segoe UI"/>
                <w:i/>
                <w:kern w:val="2"/>
                <w:sz w:val="17"/>
                <w:szCs w:val="17"/>
              </w:rPr>
              <w:t>Enter: [Yes] [No]</w:t>
            </w:r>
          </w:p>
        </w:tc>
      </w:tr>
      <w:tr w:rsidR="004251F0" w:rsidRPr="00813FAB" w14:paraId="405D9993" w14:textId="77777777" w:rsidTr="00321677">
        <w:tc>
          <w:tcPr>
            <w:tcW w:w="486" w:type="dxa"/>
            <w:shd w:val="clear" w:color="auto" w:fill="auto"/>
          </w:tcPr>
          <w:p w14:paraId="56B3BDA0" w14:textId="77777777" w:rsidR="004251F0" w:rsidRPr="00D748CC" w:rsidRDefault="004251F0" w:rsidP="00321677">
            <w:pPr>
              <w:rPr>
                <w:rFonts w:cs="Segoe UI"/>
                <w:kern w:val="2"/>
                <w:sz w:val="17"/>
                <w:szCs w:val="17"/>
              </w:rPr>
            </w:pPr>
            <w:r w:rsidRPr="00D748CC">
              <w:rPr>
                <w:rFonts w:cs="Segoe UI"/>
                <w:kern w:val="2"/>
                <w:sz w:val="17"/>
                <w:szCs w:val="17"/>
              </w:rPr>
              <w:t>22</w:t>
            </w:r>
          </w:p>
        </w:tc>
        <w:tc>
          <w:tcPr>
            <w:tcW w:w="8728" w:type="dxa"/>
            <w:shd w:val="clear" w:color="auto" w:fill="auto"/>
          </w:tcPr>
          <w:p w14:paraId="487E813C" w14:textId="77777777" w:rsidR="004251F0" w:rsidRPr="00D748CC" w:rsidRDefault="004251F0" w:rsidP="00321677">
            <w:pPr>
              <w:jc w:val="both"/>
              <w:rPr>
                <w:rFonts w:cs="Segoe UI"/>
                <w:kern w:val="2"/>
                <w:sz w:val="17"/>
                <w:szCs w:val="17"/>
              </w:rPr>
            </w:pPr>
            <w:r w:rsidRPr="00D748CC">
              <w:rPr>
                <w:rFonts w:cs="Segoe UI"/>
                <w:kern w:val="2"/>
                <w:sz w:val="17"/>
                <w:szCs w:val="17"/>
              </w:rPr>
              <w:t>Specifies whether dividends / coupons are cumulative or non-cumulative.</w:t>
            </w:r>
          </w:p>
          <w:p w14:paraId="3830BA08" w14:textId="77777777" w:rsidR="004251F0" w:rsidRPr="00D748CC" w:rsidRDefault="004251F0" w:rsidP="00321677">
            <w:pPr>
              <w:jc w:val="both"/>
              <w:rPr>
                <w:rFonts w:cs="Segoe UI"/>
                <w:i/>
                <w:kern w:val="2"/>
                <w:sz w:val="17"/>
                <w:szCs w:val="17"/>
              </w:rPr>
            </w:pPr>
            <w:r w:rsidRPr="00D748CC">
              <w:rPr>
                <w:rFonts w:cs="Segoe UI"/>
                <w:i/>
                <w:kern w:val="2"/>
                <w:sz w:val="17"/>
                <w:szCs w:val="17"/>
              </w:rPr>
              <w:t>Enter: [Non-cumulative] [Cumulative]</w:t>
            </w:r>
          </w:p>
        </w:tc>
      </w:tr>
      <w:tr w:rsidR="004251F0" w:rsidRPr="00813FAB" w14:paraId="15E10728" w14:textId="77777777" w:rsidTr="00321677">
        <w:tc>
          <w:tcPr>
            <w:tcW w:w="486" w:type="dxa"/>
            <w:shd w:val="clear" w:color="auto" w:fill="auto"/>
          </w:tcPr>
          <w:p w14:paraId="61D97FFB" w14:textId="77777777" w:rsidR="004251F0" w:rsidRPr="00D748CC" w:rsidRDefault="004251F0" w:rsidP="00321677">
            <w:pPr>
              <w:rPr>
                <w:rFonts w:cs="Segoe UI"/>
                <w:kern w:val="2"/>
                <w:sz w:val="17"/>
                <w:szCs w:val="17"/>
              </w:rPr>
            </w:pPr>
            <w:r w:rsidRPr="00D748CC">
              <w:rPr>
                <w:rFonts w:cs="Segoe UI"/>
                <w:kern w:val="2"/>
                <w:sz w:val="17"/>
                <w:szCs w:val="17"/>
              </w:rPr>
              <w:t>23</w:t>
            </w:r>
          </w:p>
        </w:tc>
        <w:tc>
          <w:tcPr>
            <w:tcW w:w="8728" w:type="dxa"/>
            <w:shd w:val="clear" w:color="auto" w:fill="auto"/>
          </w:tcPr>
          <w:p w14:paraId="23E1EF57" w14:textId="15C972A6" w:rsidR="004251F0" w:rsidRDefault="004251F0" w:rsidP="00321677">
            <w:pPr>
              <w:jc w:val="both"/>
              <w:rPr>
                <w:rFonts w:cs="Segoe UI"/>
                <w:kern w:val="2"/>
                <w:sz w:val="17"/>
                <w:szCs w:val="17"/>
              </w:rPr>
            </w:pPr>
            <w:r w:rsidRPr="00D748CC">
              <w:rPr>
                <w:rFonts w:cs="Segoe UI"/>
                <w:i/>
                <w:kern w:val="2"/>
                <w:sz w:val="17"/>
                <w:szCs w:val="17"/>
              </w:rPr>
              <w:t>Convertible or non-convertible</w:t>
            </w:r>
            <w:r w:rsidRPr="00D748CC">
              <w:rPr>
                <w:rFonts w:cs="Segoe UI"/>
                <w:kern w:val="2"/>
                <w:sz w:val="17"/>
                <w:szCs w:val="17"/>
              </w:rPr>
              <w:t>: specifies whether the instrument is convertible or not</w:t>
            </w:r>
            <w:r>
              <w:rPr>
                <w:rFonts w:cs="Segoe UI"/>
                <w:kern w:val="2"/>
                <w:sz w:val="17"/>
                <w:szCs w:val="17"/>
              </w:rPr>
              <w:t xml:space="preserve"> </w:t>
            </w:r>
            <w:r w:rsidRPr="005B5690">
              <w:rPr>
                <w:rFonts w:cs="Segoe UI"/>
                <w:kern w:val="2"/>
                <w:sz w:val="17"/>
                <w:szCs w:val="17"/>
              </w:rPr>
              <w:t>without considering the implications of the potential exercise of powers under the Financial Institutions (Resolution) Ordinance. However, the AI should also disclose in this row, e.g. in the form of a remark, if the terms and conditions of the instrument contain a provision that the holder of the instrument acknowledges and agrees to be bound by such powers.</w:t>
            </w:r>
          </w:p>
          <w:p w14:paraId="2DA7B53F" w14:textId="77777777" w:rsidR="004251F0" w:rsidRPr="00D748CC" w:rsidRDefault="004251F0" w:rsidP="00321677">
            <w:pPr>
              <w:jc w:val="both"/>
              <w:rPr>
                <w:rFonts w:cs="Segoe UI"/>
                <w:i/>
                <w:kern w:val="2"/>
                <w:sz w:val="17"/>
                <w:szCs w:val="17"/>
              </w:rPr>
            </w:pPr>
            <w:r w:rsidRPr="00D748CC">
              <w:rPr>
                <w:rFonts w:cs="Segoe UI"/>
                <w:i/>
                <w:kern w:val="2"/>
                <w:sz w:val="17"/>
                <w:szCs w:val="17"/>
              </w:rPr>
              <w:t>Enter: [Convertible] [Non-convertible]</w:t>
            </w:r>
          </w:p>
        </w:tc>
      </w:tr>
      <w:tr w:rsidR="004251F0" w:rsidRPr="00813FAB" w14:paraId="38B3660B" w14:textId="77777777" w:rsidTr="00321677">
        <w:tc>
          <w:tcPr>
            <w:tcW w:w="486" w:type="dxa"/>
            <w:shd w:val="clear" w:color="auto" w:fill="auto"/>
          </w:tcPr>
          <w:p w14:paraId="74DC5821" w14:textId="77777777" w:rsidR="004251F0" w:rsidRPr="00D748CC" w:rsidRDefault="004251F0" w:rsidP="00321677">
            <w:pPr>
              <w:rPr>
                <w:rFonts w:cs="Segoe UI"/>
                <w:kern w:val="2"/>
                <w:sz w:val="17"/>
                <w:szCs w:val="17"/>
              </w:rPr>
            </w:pPr>
            <w:r w:rsidRPr="00D748CC">
              <w:rPr>
                <w:rFonts w:cs="Segoe UI"/>
                <w:kern w:val="2"/>
                <w:sz w:val="17"/>
                <w:szCs w:val="17"/>
              </w:rPr>
              <w:t>24</w:t>
            </w:r>
          </w:p>
        </w:tc>
        <w:tc>
          <w:tcPr>
            <w:tcW w:w="8728" w:type="dxa"/>
            <w:shd w:val="clear" w:color="auto" w:fill="auto"/>
          </w:tcPr>
          <w:p w14:paraId="442DD895" w14:textId="77777777" w:rsidR="004251F0" w:rsidRPr="00D748CC" w:rsidRDefault="004251F0" w:rsidP="00321677">
            <w:pPr>
              <w:jc w:val="both"/>
              <w:rPr>
                <w:rFonts w:cs="Segoe UI"/>
                <w:kern w:val="2"/>
                <w:sz w:val="17"/>
                <w:szCs w:val="17"/>
              </w:rPr>
            </w:pPr>
            <w:r w:rsidRPr="00D748CC">
              <w:rPr>
                <w:rFonts w:cs="Segoe UI"/>
                <w:kern w:val="2"/>
                <w:sz w:val="17"/>
                <w:szCs w:val="17"/>
              </w:rPr>
              <w:t>Specifies the conditions under which the instrument will convert, including point of non-viability.  Where one or more authorities have the ability to trigger conversion, names of the authorities should be listed.  For each of the authorities it should be stated whether it is the terms of the contract of the instrument that provide the legal basis for the authority to trigger conversion (a contractual approach) or whether the legal basis is provided by statutory means (a statutory approach).</w:t>
            </w:r>
          </w:p>
          <w:p w14:paraId="2DDAA9DE" w14:textId="77777777" w:rsidR="004251F0" w:rsidRPr="00D748CC" w:rsidRDefault="004251F0" w:rsidP="00321677">
            <w:pPr>
              <w:jc w:val="both"/>
              <w:rPr>
                <w:rFonts w:cs="Segoe UI"/>
                <w:i/>
                <w:kern w:val="2"/>
                <w:sz w:val="17"/>
                <w:szCs w:val="17"/>
              </w:rPr>
            </w:pPr>
            <w:r w:rsidRPr="00D748CC">
              <w:rPr>
                <w:rFonts w:cs="Segoe UI"/>
                <w:i/>
                <w:kern w:val="2"/>
                <w:sz w:val="17"/>
                <w:szCs w:val="17"/>
              </w:rPr>
              <w:t>Free text.</w:t>
            </w:r>
          </w:p>
        </w:tc>
      </w:tr>
      <w:tr w:rsidR="004251F0" w:rsidRPr="00813FAB" w14:paraId="5DFF52BB" w14:textId="77777777" w:rsidTr="00321677">
        <w:tc>
          <w:tcPr>
            <w:tcW w:w="486" w:type="dxa"/>
            <w:shd w:val="clear" w:color="auto" w:fill="auto"/>
          </w:tcPr>
          <w:p w14:paraId="555E76E8" w14:textId="77777777" w:rsidR="004251F0" w:rsidRPr="00D748CC" w:rsidRDefault="004251F0" w:rsidP="00321677">
            <w:pPr>
              <w:rPr>
                <w:rFonts w:cs="Segoe UI"/>
                <w:kern w:val="2"/>
                <w:sz w:val="17"/>
                <w:szCs w:val="17"/>
              </w:rPr>
            </w:pPr>
            <w:r w:rsidRPr="00D748CC">
              <w:rPr>
                <w:rFonts w:cs="Segoe UI"/>
                <w:kern w:val="2"/>
                <w:sz w:val="17"/>
                <w:szCs w:val="17"/>
              </w:rPr>
              <w:t>25</w:t>
            </w:r>
          </w:p>
        </w:tc>
        <w:tc>
          <w:tcPr>
            <w:tcW w:w="8728" w:type="dxa"/>
            <w:shd w:val="clear" w:color="auto" w:fill="auto"/>
          </w:tcPr>
          <w:p w14:paraId="240483FD" w14:textId="77777777" w:rsidR="004251F0" w:rsidRPr="00D748CC" w:rsidRDefault="004251F0" w:rsidP="00321677">
            <w:pPr>
              <w:jc w:val="both"/>
              <w:rPr>
                <w:rFonts w:cs="Segoe UI"/>
                <w:kern w:val="2"/>
                <w:sz w:val="17"/>
                <w:szCs w:val="17"/>
              </w:rPr>
            </w:pPr>
            <w:r w:rsidRPr="00D748CC">
              <w:rPr>
                <w:rFonts w:cs="Segoe UI"/>
                <w:kern w:val="2"/>
                <w:sz w:val="17"/>
                <w:szCs w:val="17"/>
              </w:rPr>
              <w:t>For each conversion trigger separately, specifies whether the instrument will: (i) always convert fully; (ii) may convert fully or partially; or (iii) will always convert partially.</w:t>
            </w:r>
          </w:p>
          <w:p w14:paraId="5C48555A" w14:textId="77777777" w:rsidR="004251F0" w:rsidRPr="00D748CC" w:rsidRDefault="004251F0" w:rsidP="00321677">
            <w:pPr>
              <w:jc w:val="both"/>
              <w:rPr>
                <w:rFonts w:cs="Segoe UI"/>
                <w:i/>
                <w:kern w:val="2"/>
                <w:sz w:val="17"/>
                <w:szCs w:val="17"/>
              </w:rPr>
            </w:pPr>
            <w:r w:rsidRPr="00D748CC">
              <w:rPr>
                <w:rFonts w:cs="Segoe UI"/>
                <w:i/>
                <w:kern w:val="2"/>
                <w:sz w:val="17"/>
                <w:szCs w:val="17"/>
              </w:rPr>
              <w:t>Free text referencing one of the options above</w:t>
            </w:r>
          </w:p>
        </w:tc>
      </w:tr>
      <w:tr w:rsidR="004251F0" w:rsidRPr="00813FAB" w14:paraId="00BA277F" w14:textId="77777777" w:rsidTr="00321677">
        <w:tc>
          <w:tcPr>
            <w:tcW w:w="486" w:type="dxa"/>
            <w:shd w:val="clear" w:color="auto" w:fill="auto"/>
          </w:tcPr>
          <w:p w14:paraId="2715C57F" w14:textId="77777777" w:rsidR="004251F0" w:rsidRPr="00D748CC" w:rsidRDefault="004251F0" w:rsidP="00321677">
            <w:pPr>
              <w:rPr>
                <w:rFonts w:cs="Segoe UI"/>
                <w:kern w:val="2"/>
                <w:sz w:val="17"/>
                <w:szCs w:val="17"/>
              </w:rPr>
            </w:pPr>
            <w:r w:rsidRPr="00D748CC">
              <w:rPr>
                <w:rFonts w:cs="Segoe UI"/>
                <w:kern w:val="2"/>
                <w:sz w:val="17"/>
                <w:szCs w:val="17"/>
              </w:rPr>
              <w:t>26</w:t>
            </w:r>
          </w:p>
        </w:tc>
        <w:tc>
          <w:tcPr>
            <w:tcW w:w="8728" w:type="dxa"/>
            <w:shd w:val="clear" w:color="auto" w:fill="auto"/>
          </w:tcPr>
          <w:p w14:paraId="094672C1" w14:textId="77777777" w:rsidR="004251F0" w:rsidRPr="00D748CC" w:rsidRDefault="004251F0" w:rsidP="00321677">
            <w:pPr>
              <w:jc w:val="both"/>
              <w:rPr>
                <w:rFonts w:cs="Segoe UI"/>
                <w:kern w:val="2"/>
                <w:sz w:val="17"/>
                <w:szCs w:val="17"/>
              </w:rPr>
            </w:pPr>
            <w:r w:rsidRPr="00D748CC">
              <w:rPr>
                <w:rFonts w:cs="Segoe UI"/>
                <w:kern w:val="2"/>
                <w:sz w:val="17"/>
                <w:szCs w:val="17"/>
              </w:rPr>
              <w:t>Specifies rate of conversion into the more loss absorbent instrument.</w:t>
            </w:r>
          </w:p>
          <w:p w14:paraId="6EAD12E1" w14:textId="77777777" w:rsidR="004251F0" w:rsidRPr="00D748CC" w:rsidRDefault="004251F0" w:rsidP="00321677">
            <w:pPr>
              <w:jc w:val="both"/>
              <w:rPr>
                <w:rFonts w:cs="Segoe UI"/>
                <w:i/>
                <w:kern w:val="2"/>
                <w:sz w:val="17"/>
                <w:szCs w:val="17"/>
              </w:rPr>
            </w:pPr>
            <w:r w:rsidRPr="00D748CC">
              <w:rPr>
                <w:rFonts w:cs="Segoe UI"/>
                <w:i/>
                <w:kern w:val="2"/>
                <w:sz w:val="17"/>
                <w:szCs w:val="17"/>
              </w:rPr>
              <w:t>Free text</w:t>
            </w:r>
          </w:p>
        </w:tc>
      </w:tr>
      <w:tr w:rsidR="004251F0" w:rsidRPr="00813FAB" w14:paraId="5C14E7C9" w14:textId="77777777" w:rsidTr="00321677">
        <w:tc>
          <w:tcPr>
            <w:tcW w:w="486" w:type="dxa"/>
            <w:shd w:val="clear" w:color="auto" w:fill="auto"/>
          </w:tcPr>
          <w:p w14:paraId="0089DA07" w14:textId="77777777" w:rsidR="004251F0" w:rsidRPr="00D748CC" w:rsidRDefault="004251F0" w:rsidP="00321677">
            <w:pPr>
              <w:rPr>
                <w:rFonts w:cs="Segoe UI"/>
                <w:kern w:val="2"/>
                <w:sz w:val="17"/>
                <w:szCs w:val="17"/>
              </w:rPr>
            </w:pPr>
            <w:r w:rsidRPr="00D748CC">
              <w:rPr>
                <w:rFonts w:cs="Segoe UI"/>
                <w:kern w:val="2"/>
                <w:sz w:val="17"/>
                <w:szCs w:val="17"/>
              </w:rPr>
              <w:t>27</w:t>
            </w:r>
          </w:p>
        </w:tc>
        <w:tc>
          <w:tcPr>
            <w:tcW w:w="8728" w:type="dxa"/>
            <w:shd w:val="clear" w:color="auto" w:fill="auto"/>
          </w:tcPr>
          <w:p w14:paraId="437DFC6F" w14:textId="77777777" w:rsidR="004251F0" w:rsidRPr="00D748CC" w:rsidRDefault="004251F0" w:rsidP="00321677">
            <w:pPr>
              <w:jc w:val="both"/>
              <w:rPr>
                <w:rFonts w:cs="Segoe UI"/>
                <w:kern w:val="2"/>
                <w:sz w:val="17"/>
                <w:szCs w:val="17"/>
              </w:rPr>
            </w:pPr>
            <w:r w:rsidRPr="00D748CC">
              <w:rPr>
                <w:rFonts w:cs="Segoe UI"/>
                <w:kern w:val="2"/>
                <w:sz w:val="17"/>
                <w:szCs w:val="17"/>
              </w:rPr>
              <w:t>For convertible instruments, specifies whether conversion is mandatory or optional.</w:t>
            </w:r>
          </w:p>
          <w:p w14:paraId="534A1503" w14:textId="77777777" w:rsidR="004251F0" w:rsidRPr="00D748CC" w:rsidRDefault="004251F0" w:rsidP="00321677">
            <w:pPr>
              <w:jc w:val="both"/>
              <w:rPr>
                <w:rFonts w:cs="Segoe UI"/>
                <w:i/>
                <w:kern w:val="2"/>
                <w:sz w:val="17"/>
                <w:szCs w:val="17"/>
              </w:rPr>
            </w:pPr>
            <w:r w:rsidRPr="00D748CC">
              <w:rPr>
                <w:rFonts w:cs="Segoe UI"/>
                <w:i/>
                <w:kern w:val="2"/>
                <w:sz w:val="17"/>
                <w:szCs w:val="17"/>
              </w:rPr>
              <w:t>Enter: [Mandatory] [Optional] [NA]</w:t>
            </w:r>
          </w:p>
        </w:tc>
      </w:tr>
      <w:tr w:rsidR="004251F0" w:rsidRPr="00813FAB" w14:paraId="1E6053E6" w14:textId="77777777" w:rsidTr="00321677">
        <w:tc>
          <w:tcPr>
            <w:tcW w:w="486" w:type="dxa"/>
            <w:shd w:val="clear" w:color="auto" w:fill="auto"/>
          </w:tcPr>
          <w:p w14:paraId="290CDFBD" w14:textId="77777777" w:rsidR="004251F0" w:rsidRPr="00D748CC" w:rsidRDefault="004251F0" w:rsidP="00321677">
            <w:pPr>
              <w:rPr>
                <w:rFonts w:cs="Segoe UI"/>
                <w:kern w:val="2"/>
                <w:sz w:val="17"/>
                <w:szCs w:val="17"/>
              </w:rPr>
            </w:pPr>
            <w:r w:rsidRPr="00D748CC">
              <w:rPr>
                <w:rFonts w:cs="Segoe UI"/>
                <w:kern w:val="2"/>
                <w:sz w:val="17"/>
                <w:szCs w:val="17"/>
              </w:rPr>
              <w:t>28</w:t>
            </w:r>
          </w:p>
        </w:tc>
        <w:tc>
          <w:tcPr>
            <w:tcW w:w="8728" w:type="dxa"/>
            <w:shd w:val="clear" w:color="auto" w:fill="auto"/>
          </w:tcPr>
          <w:p w14:paraId="6DF027B4" w14:textId="77777777" w:rsidR="004251F0" w:rsidRPr="00D13019" w:rsidRDefault="004251F0" w:rsidP="00321677">
            <w:pPr>
              <w:jc w:val="both"/>
              <w:rPr>
                <w:rFonts w:cs="Segoe UI"/>
                <w:kern w:val="2"/>
                <w:sz w:val="17"/>
                <w:szCs w:val="17"/>
              </w:rPr>
            </w:pPr>
            <w:r w:rsidRPr="00D13019">
              <w:rPr>
                <w:rFonts w:cs="Segoe UI"/>
                <w:kern w:val="2"/>
                <w:sz w:val="17"/>
                <w:szCs w:val="17"/>
              </w:rPr>
              <w:t>For convertible instruments, specifies instrument type</w:t>
            </w:r>
            <w:r w:rsidRPr="005B5690">
              <w:rPr>
                <w:rFonts w:cs="Segoe UI"/>
                <w:kern w:val="2"/>
                <w:sz w:val="17"/>
                <w:szCs w:val="17"/>
              </w:rPr>
              <w:t>s</w:t>
            </w:r>
            <w:r w:rsidRPr="00D13019">
              <w:rPr>
                <w:rFonts w:cs="Segoe UI"/>
                <w:kern w:val="2"/>
                <w:sz w:val="17"/>
                <w:szCs w:val="17"/>
              </w:rPr>
              <w:t xml:space="preserve"> </w:t>
            </w:r>
            <w:r w:rsidRPr="005B5690">
              <w:rPr>
                <w:rFonts w:cs="Segoe UI"/>
                <w:kern w:val="2"/>
                <w:sz w:val="17"/>
                <w:szCs w:val="17"/>
              </w:rPr>
              <w:t>they are</w:t>
            </w:r>
            <w:r w:rsidRPr="00D13019">
              <w:rPr>
                <w:rFonts w:cs="Segoe UI"/>
                <w:kern w:val="2"/>
                <w:sz w:val="17"/>
                <w:szCs w:val="17"/>
              </w:rPr>
              <w:t xml:space="preserve"> convertible into.</w:t>
            </w:r>
          </w:p>
          <w:p w14:paraId="3130209F" w14:textId="77777777" w:rsidR="004251F0" w:rsidRPr="00D13019" w:rsidRDefault="004251F0" w:rsidP="00321677">
            <w:pPr>
              <w:jc w:val="both"/>
              <w:rPr>
                <w:rFonts w:cs="Segoe UI"/>
                <w:i/>
                <w:kern w:val="2"/>
                <w:sz w:val="17"/>
                <w:szCs w:val="17"/>
              </w:rPr>
            </w:pPr>
            <w:r w:rsidRPr="00D13019">
              <w:rPr>
                <w:rFonts w:cs="Segoe UI"/>
                <w:i/>
                <w:kern w:val="2"/>
                <w:sz w:val="17"/>
                <w:szCs w:val="17"/>
              </w:rPr>
              <w:t>Enter: [Common Equity Tier 1] [Additional Tier 1] [Tier 2] [Others: please specify]</w:t>
            </w:r>
          </w:p>
        </w:tc>
      </w:tr>
      <w:tr w:rsidR="004251F0" w:rsidRPr="00813FAB" w14:paraId="49362A4A" w14:textId="77777777" w:rsidTr="00321677">
        <w:tc>
          <w:tcPr>
            <w:tcW w:w="486" w:type="dxa"/>
            <w:shd w:val="clear" w:color="auto" w:fill="auto"/>
          </w:tcPr>
          <w:p w14:paraId="707F53C0" w14:textId="77777777" w:rsidR="004251F0" w:rsidRPr="00D748CC" w:rsidRDefault="004251F0" w:rsidP="00321677">
            <w:pPr>
              <w:rPr>
                <w:rFonts w:cs="Segoe UI"/>
                <w:kern w:val="2"/>
                <w:sz w:val="17"/>
                <w:szCs w:val="17"/>
              </w:rPr>
            </w:pPr>
            <w:r w:rsidRPr="00D748CC">
              <w:rPr>
                <w:rFonts w:cs="Segoe UI"/>
                <w:kern w:val="2"/>
                <w:sz w:val="17"/>
                <w:szCs w:val="17"/>
              </w:rPr>
              <w:t>29</w:t>
            </w:r>
          </w:p>
        </w:tc>
        <w:tc>
          <w:tcPr>
            <w:tcW w:w="8728" w:type="dxa"/>
            <w:shd w:val="clear" w:color="auto" w:fill="auto"/>
          </w:tcPr>
          <w:p w14:paraId="5FBCEB9A" w14:textId="77777777" w:rsidR="004251F0" w:rsidRPr="00D13019" w:rsidRDefault="004251F0" w:rsidP="00321677">
            <w:pPr>
              <w:jc w:val="both"/>
              <w:rPr>
                <w:rFonts w:cs="Segoe UI"/>
                <w:kern w:val="2"/>
                <w:sz w:val="17"/>
                <w:szCs w:val="17"/>
              </w:rPr>
            </w:pPr>
            <w:r w:rsidRPr="00D13019">
              <w:rPr>
                <w:rFonts w:cs="Segoe UI"/>
                <w:kern w:val="2"/>
                <w:sz w:val="17"/>
                <w:szCs w:val="17"/>
              </w:rPr>
              <w:t>If convertible, specifies issuer of instrument into which it converts.</w:t>
            </w:r>
          </w:p>
          <w:p w14:paraId="6DA760B6" w14:textId="77777777" w:rsidR="004251F0" w:rsidRPr="00D13019" w:rsidRDefault="004251F0" w:rsidP="00321677">
            <w:pPr>
              <w:jc w:val="both"/>
              <w:rPr>
                <w:rFonts w:cs="Segoe UI"/>
                <w:i/>
                <w:kern w:val="2"/>
                <w:sz w:val="17"/>
                <w:szCs w:val="17"/>
              </w:rPr>
            </w:pPr>
            <w:r w:rsidRPr="00D13019">
              <w:rPr>
                <w:rFonts w:cs="Segoe UI"/>
                <w:i/>
                <w:kern w:val="2"/>
                <w:sz w:val="17"/>
                <w:szCs w:val="17"/>
              </w:rPr>
              <w:t>Free text</w:t>
            </w:r>
          </w:p>
        </w:tc>
      </w:tr>
      <w:tr w:rsidR="004251F0" w:rsidRPr="00813FAB" w14:paraId="438980F6" w14:textId="77777777" w:rsidTr="00321677">
        <w:tc>
          <w:tcPr>
            <w:tcW w:w="486" w:type="dxa"/>
            <w:shd w:val="clear" w:color="auto" w:fill="auto"/>
          </w:tcPr>
          <w:p w14:paraId="3E01429B" w14:textId="77777777" w:rsidR="004251F0" w:rsidRPr="00D748CC" w:rsidRDefault="004251F0" w:rsidP="00321677">
            <w:pPr>
              <w:rPr>
                <w:rFonts w:cs="Segoe UI"/>
                <w:kern w:val="2"/>
                <w:sz w:val="17"/>
                <w:szCs w:val="17"/>
              </w:rPr>
            </w:pPr>
            <w:r w:rsidRPr="00D748CC">
              <w:rPr>
                <w:rFonts w:cs="Segoe UI"/>
                <w:kern w:val="2"/>
                <w:sz w:val="17"/>
                <w:szCs w:val="17"/>
              </w:rPr>
              <w:t>30</w:t>
            </w:r>
          </w:p>
        </w:tc>
        <w:tc>
          <w:tcPr>
            <w:tcW w:w="8728" w:type="dxa"/>
            <w:shd w:val="clear" w:color="auto" w:fill="auto"/>
          </w:tcPr>
          <w:p w14:paraId="2E8EA5F3" w14:textId="51C6A594" w:rsidR="004251F0" w:rsidRDefault="004251F0" w:rsidP="00321677">
            <w:pPr>
              <w:jc w:val="both"/>
              <w:rPr>
                <w:rFonts w:cs="Segoe UI"/>
                <w:kern w:val="2"/>
                <w:sz w:val="17"/>
                <w:szCs w:val="17"/>
              </w:rPr>
            </w:pPr>
            <w:r w:rsidRPr="00D13019">
              <w:rPr>
                <w:rFonts w:cs="Segoe UI"/>
                <w:kern w:val="2"/>
                <w:sz w:val="17"/>
                <w:szCs w:val="17"/>
              </w:rPr>
              <w:t xml:space="preserve">Specifies whether there is a write-down feature </w:t>
            </w:r>
            <w:r w:rsidRPr="005B5690">
              <w:rPr>
                <w:rFonts w:cs="Segoe UI"/>
                <w:kern w:val="2"/>
                <w:sz w:val="17"/>
                <w:szCs w:val="17"/>
              </w:rPr>
              <w:t xml:space="preserve">without considering the implications of the potential exercise of powers under the Financial Institutions (Resolution) Ordinance. However, the AI should also disclose in this row, </w:t>
            </w:r>
            <w:r w:rsidRPr="005B5690">
              <w:rPr>
                <w:rFonts w:cs="Segoe UI"/>
                <w:kern w:val="2"/>
                <w:sz w:val="17"/>
                <w:szCs w:val="17"/>
              </w:rPr>
              <w:lastRenderedPageBreak/>
              <w:t>e.g. in the form of a remark, if the terms and conditions of the instrument contain a provision that the holder of the instrument acknowledges and agrees to be bound by such powers.</w:t>
            </w:r>
          </w:p>
          <w:p w14:paraId="31812C33" w14:textId="77777777" w:rsidR="004251F0" w:rsidRPr="00D13019" w:rsidRDefault="004251F0" w:rsidP="00321677">
            <w:pPr>
              <w:jc w:val="both"/>
              <w:rPr>
                <w:rFonts w:cs="Segoe UI"/>
                <w:i/>
                <w:kern w:val="2"/>
                <w:sz w:val="17"/>
                <w:szCs w:val="17"/>
              </w:rPr>
            </w:pPr>
            <w:r w:rsidRPr="00D13019">
              <w:rPr>
                <w:rFonts w:cs="Segoe UI"/>
                <w:i/>
                <w:kern w:val="2"/>
                <w:sz w:val="17"/>
                <w:szCs w:val="17"/>
              </w:rPr>
              <w:t>Enter: [Yes] [No]</w:t>
            </w:r>
          </w:p>
        </w:tc>
      </w:tr>
      <w:tr w:rsidR="004251F0" w:rsidRPr="00813FAB" w14:paraId="25D70FEA" w14:textId="77777777" w:rsidTr="00321677">
        <w:tc>
          <w:tcPr>
            <w:tcW w:w="486" w:type="dxa"/>
            <w:shd w:val="clear" w:color="auto" w:fill="auto"/>
          </w:tcPr>
          <w:p w14:paraId="0D252E71" w14:textId="77777777" w:rsidR="004251F0" w:rsidRPr="00D748CC" w:rsidRDefault="004251F0" w:rsidP="00321677">
            <w:pPr>
              <w:rPr>
                <w:rFonts w:cs="Segoe UI"/>
                <w:kern w:val="2"/>
                <w:sz w:val="17"/>
                <w:szCs w:val="17"/>
              </w:rPr>
            </w:pPr>
            <w:r w:rsidRPr="00D748CC">
              <w:rPr>
                <w:rFonts w:cs="Segoe UI"/>
                <w:kern w:val="2"/>
                <w:sz w:val="17"/>
                <w:szCs w:val="17"/>
              </w:rPr>
              <w:lastRenderedPageBreak/>
              <w:t>31</w:t>
            </w:r>
          </w:p>
        </w:tc>
        <w:tc>
          <w:tcPr>
            <w:tcW w:w="8728" w:type="dxa"/>
            <w:shd w:val="clear" w:color="auto" w:fill="auto"/>
          </w:tcPr>
          <w:p w14:paraId="66736D0E" w14:textId="77777777" w:rsidR="004251F0" w:rsidRPr="00D748CC" w:rsidRDefault="004251F0" w:rsidP="00321677">
            <w:pPr>
              <w:jc w:val="both"/>
              <w:rPr>
                <w:rFonts w:cs="Segoe UI"/>
                <w:kern w:val="2"/>
                <w:sz w:val="17"/>
                <w:szCs w:val="17"/>
              </w:rPr>
            </w:pPr>
            <w:r w:rsidRPr="00D748CC">
              <w:rPr>
                <w:rFonts w:cs="Segoe UI"/>
                <w:kern w:val="2"/>
                <w:sz w:val="17"/>
                <w:szCs w:val="17"/>
              </w:rPr>
              <w:t>Specifies the trigger at which write-down occurs, including point of non-viability.  Where one or more authorities have the ability to trigger write-down, names of the authorities should be listed.  For each of the authorities it should be stated whether it is the terms of the contract of the instrument that provide the legal basis for the authority to trigger write-down (a contractual approach) or whether the legal basis is provided by statutory means (a statutory approach).</w:t>
            </w:r>
          </w:p>
          <w:p w14:paraId="752BA147" w14:textId="77777777" w:rsidR="004251F0" w:rsidRPr="00D748CC" w:rsidRDefault="004251F0" w:rsidP="00321677">
            <w:pPr>
              <w:jc w:val="both"/>
              <w:rPr>
                <w:rFonts w:cs="Segoe UI"/>
                <w:i/>
                <w:kern w:val="2"/>
                <w:sz w:val="17"/>
                <w:szCs w:val="17"/>
              </w:rPr>
            </w:pPr>
            <w:r w:rsidRPr="00D748CC">
              <w:rPr>
                <w:rFonts w:cs="Segoe UI"/>
                <w:i/>
                <w:kern w:val="2"/>
                <w:sz w:val="17"/>
                <w:szCs w:val="17"/>
              </w:rPr>
              <w:t>Free text</w:t>
            </w:r>
          </w:p>
        </w:tc>
      </w:tr>
      <w:tr w:rsidR="004251F0" w:rsidRPr="00813FAB" w14:paraId="36A957F4" w14:textId="77777777" w:rsidTr="00321677">
        <w:tc>
          <w:tcPr>
            <w:tcW w:w="486" w:type="dxa"/>
            <w:shd w:val="clear" w:color="auto" w:fill="auto"/>
          </w:tcPr>
          <w:p w14:paraId="468A45DF" w14:textId="77777777" w:rsidR="004251F0" w:rsidRPr="00D748CC" w:rsidRDefault="004251F0" w:rsidP="00321677">
            <w:pPr>
              <w:rPr>
                <w:rFonts w:cs="Segoe UI"/>
                <w:kern w:val="2"/>
                <w:sz w:val="17"/>
                <w:szCs w:val="17"/>
              </w:rPr>
            </w:pPr>
            <w:r w:rsidRPr="00D748CC">
              <w:rPr>
                <w:rFonts w:cs="Segoe UI"/>
                <w:kern w:val="2"/>
                <w:sz w:val="17"/>
                <w:szCs w:val="17"/>
              </w:rPr>
              <w:t>32</w:t>
            </w:r>
          </w:p>
        </w:tc>
        <w:tc>
          <w:tcPr>
            <w:tcW w:w="8728" w:type="dxa"/>
            <w:shd w:val="clear" w:color="auto" w:fill="auto"/>
          </w:tcPr>
          <w:p w14:paraId="41A748E3" w14:textId="77777777" w:rsidR="004251F0" w:rsidRPr="00D748CC" w:rsidRDefault="004251F0" w:rsidP="00321677">
            <w:pPr>
              <w:jc w:val="both"/>
              <w:rPr>
                <w:rFonts w:cs="Segoe UI"/>
                <w:kern w:val="2"/>
                <w:sz w:val="17"/>
                <w:szCs w:val="17"/>
              </w:rPr>
            </w:pPr>
            <w:r w:rsidRPr="00D748CC">
              <w:rPr>
                <w:rFonts w:cs="Segoe UI"/>
                <w:kern w:val="2"/>
                <w:sz w:val="17"/>
                <w:szCs w:val="17"/>
              </w:rPr>
              <w:t xml:space="preserve">For each write-down trigger separately, specifies whether the instrument will: (i) always be written down fully; (ii) may be written down partially; or (iii) will always be written down partially.  </w:t>
            </w:r>
          </w:p>
          <w:p w14:paraId="49A4143E" w14:textId="77777777" w:rsidR="004251F0" w:rsidRPr="00D748CC" w:rsidRDefault="004251F0" w:rsidP="00321677">
            <w:pPr>
              <w:jc w:val="both"/>
              <w:rPr>
                <w:rFonts w:cs="Segoe UI"/>
                <w:i/>
                <w:kern w:val="2"/>
                <w:sz w:val="17"/>
                <w:szCs w:val="17"/>
              </w:rPr>
            </w:pPr>
            <w:r w:rsidRPr="00D748CC">
              <w:rPr>
                <w:rFonts w:cs="Segoe UI"/>
                <w:i/>
                <w:kern w:val="2"/>
                <w:sz w:val="17"/>
                <w:szCs w:val="17"/>
              </w:rPr>
              <w:t>Free text referencing one of the options above</w:t>
            </w:r>
          </w:p>
        </w:tc>
      </w:tr>
      <w:tr w:rsidR="004251F0" w:rsidRPr="00813FAB" w14:paraId="3027AFD1" w14:textId="77777777" w:rsidTr="00321677">
        <w:tc>
          <w:tcPr>
            <w:tcW w:w="486" w:type="dxa"/>
            <w:shd w:val="clear" w:color="auto" w:fill="auto"/>
          </w:tcPr>
          <w:p w14:paraId="19A005C8" w14:textId="77777777" w:rsidR="004251F0" w:rsidRPr="00D748CC" w:rsidRDefault="004251F0" w:rsidP="00321677">
            <w:pPr>
              <w:rPr>
                <w:rFonts w:cs="Segoe UI"/>
                <w:kern w:val="2"/>
                <w:sz w:val="17"/>
                <w:szCs w:val="17"/>
              </w:rPr>
            </w:pPr>
            <w:r w:rsidRPr="00D748CC">
              <w:rPr>
                <w:rFonts w:cs="Segoe UI"/>
                <w:kern w:val="2"/>
                <w:sz w:val="17"/>
                <w:szCs w:val="17"/>
              </w:rPr>
              <w:t>33</w:t>
            </w:r>
          </w:p>
        </w:tc>
        <w:tc>
          <w:tcPr>
            <w:tcW w:w="8728" w:type="dxa"/>
            <w:shd w:val="clear" w:color="auto" w:fill="auto"/>
          </w:tcPr>
          <w:p w14:paraId="2B0A90D7" w14:textId="77777777" w:rsidR="004251F0" w:rsidRPr="00D748CC" w:rsidRDefault="004251F0" w:rsidP="00321677">
            <w:pPr>
              <w:jc w:val="both"/>
              <w:rPr>
                <w:rFonts w:cs="Segoe UI"/>
                <w:kern w:val="2"/>
                <w:sz w:val="17"/>
                <w:szCs w:val="17"/>
              </w:rPr>
            </w:pPr>
            <w:r w:rsidRPr="00D748CC">
              <w:rPr>
                <w:rFonts w:cs="Segoe UI"/>
                <w:kern w:val="2"/>
                <w:sz w:val="17"/>
                <w:szCs w:val="17"/>
              </w:rPr>
              <w:t xml:space="preserve">For write-down instrument, specifies whether write-down is permanent or temporary.  </w:t>
            </w:r>
          </w:p>
          <w:p w14:paraId="4F635103" w14:textId="77777777" w:rsidR="004251F0" w:rsidRPr="00D748CC" w:rsidRDefault="004251F0" w:rsidP="00321677">
            <w:pPr>
              <w:jc w:val="both"/>
              <w:rPr>
                <w:rFonts w:cs="Segoe UI"/>
                <w:i/>
                <w:kern w:val="2"/>
                <w:sz w:val="17"/>
                <w:szCs w:val="17"/>
              </w:rPr>
            </w:pPr>
            <w:r w:rsidRPr="00D748CC">
              <w:rPr>
                <w:rFonts w:cs="Segoe UI"/>
                <w:i/>
                <w:kern w:val="2"/>
                <w:sz w:val="17"/>
                <w:szCs w:val="17"/>
              </w:rPr>
              <w:t>Enter: [Permanent] [Temporary] [NA]</w:t>
            </w:r>
          </w:p>
        </w:tc>
      </w:tr>
      <w:tr w:rsidR="004251F0" w:rsidRPr="00813FAB" w14:paraId="728608ED" w14:textId="77777777" w:rsidTr="00321677">
        <w:tc>
          <w:tcPr>
            <w:tcW w:w="486" w:type="dxa"/>
            <w:shd w:val="clear" w:color="auto" w:fill="auto"/>
          </w:tcPr>
          <w:p w14:paraId="7D90A297" w14:textId="77777777" w:rsidR="004251F0" w:rsidRPr="00D748CC" w:rsidRDefault="004251F0" w:rsidP="00321677">
            <w:pPr>
              <w:rPr>
                <w:rFonts w:cs="Segoe UI"/>
                <w:kern w:val="2"/>
                <w:sz w:val="17"/>
                <w:szCs w:val="17"/>
              </w:rPr>
            </w:pPr>
            <w:r w:rsidRPr="00D748CC">
              <w:rPr>
                <w:rFonts w:cs="Segoe UI"/>
                <w:kern w:val="2"/>
                <w:sz w:val="17"/>
                <w:szCs w:val="17"/>
              </w:rPr>
              <w:t>34</w:t>
            </w:r>
          </w:p>
        </w:tc>
        <w:tc>
          <w:tcPr>
            <w:tcW w:w="8728" w:type="dxa"/>
            <w:shd w:val="clear" w:color="auto" w:fill="auto"/>
          </w:tcPr>
          <w:p w14:paraId="30BA6781" w14:textId="77777777" w:rsidR="004251F0" w:rsidRPr="00D748CC" w:rsidRDefault="004251F0" w:rsidP="00321677">
            <w:pPr>
              <w:jc w:val="both"/>
              <w:rPr>
                <w:rFonts w:cs="Segoe UI"/>
                <w:kern w:val="2"/>
                <w:sz w:val="17"/>
                <w:szCs w:val="17"/>
              </w:rPr>
            </w:pPr>
            <w:r w:rsidRPr="00D748CC">
              <w:rPr>
                <w:rFonts w:cs="Segoe UI"/>
                <w:kern w:val="2"/>
                <w:sz w:val="17"/>
                <w:szCs w:val="17"/>
              </w:rPr>
              <w:t>For instrument that has a temporary write-down, description of write-up mechanism.  Not applicable in the case of Hong Kong as no write-up is allowed.</w:t>
            </w:r>
          </w:p>
          <w:p w14:paraId="7A218206" w14:textId="77777777" w:rsidR="004251F0" w:rsidRPr="00D748CC" w:rsidRDefault="004251F0" w:rsidP="00321677">
            <w:pPr>
              <w:jc w:val="both"/>
              <w:rPr>
                <w:rFonts w:cs="Segoe UI"/>
                <w:i/>
                <w:kern w:val="2"/>
                <w:sz w:val="17"/>
                <w:szCs w:val="17"/>
              </w:rPr>
            </w:pPr>
            <w:r w:rsidRPr="00D748CC">
              <w:rPr>
                <w:rFonts w:cs="Segoe UI"/>
                <w:i/>
                <w:kern w:val="2"/>
                <w:sz w:val="17"/>
                <w:szCs w:val="17"/>
              </w:rPr>
              <w:t>Enter: [NA]</w:t>
            </w:r>
          </w:p>
        </w:tc>
      </w:tr>
      <w:tr w:rsidR="004251F0" w:rsidRPr="00813FAB" w14:paraId="5E53E481" w14:textId="77777777" w:rsidTr="00321677">
        <w:tc>
          <w:tcPr>
            <w:tcW w:w="486" w:type="dxa"/>
            <w:shd w:val="clear" w:color="auto" w:fill="auto"/>
          </w:tcPr>
          <w:p w14:paraId="1B1169E8" w14:textId="77777777" w:rsidR="004251F0" w:rsidRPr="00D748CC" w:rsidRDefault="004251F0" w:rsidP="00321677">
            <w:pPr>
              <w:rPr>
                <w:rFonts w:cs="Segoe UI"/>
                <w:kern w:val="2"/>
                <w:sz w:val="17"/>
                <w:szCs w:val="17"/>
              </w:rPr>
            </w:pPr>
            <w:r w:rsidRPr="00D748CC">
              <w:rPr>
                <w:rFonts w:cs="Segoe UI"/>
                <w:kern w:val="2"/>
                <w:sz w:val="17"/>
                <w:szCs w:val="17"/>
              </w:rPr>
              <w:t>35</w:t>
            </w:r>
          </w:p>
        </w:tc>
        <w:tc>
          <w:tcPr>
            <w:tcW w:w="8728" w:type="dxa"/>
            <w:shd w:val="clear" w:color="auto" w:fill="auto"/>
          </w:tcPr>
          <w:p w14:paraId="06189BDD" w14:textId="77777777" w:rsidR="004251F0" w:rsidRPr="00D748CC" w:rsidRDefault="004251F0" w:rsidP="00321677">
            <w:pPr>
              <w:jc w:val="both"/>
              <w:rPr>
                <w:rFonts w:cs="Segoe UI"/>
                <w:kern w:val="2"/>
                <w:sz w:val="17"/>
                <w:szCs w:val="17"/>
              </w:rPr>
            </w:pPr>
            <w:r w:rsidRPr="00D748CC">
              <w:rPr>
                <w:rFonts w:cs="Segoe UI"/>
                <w:kern w:val="2"/>
                <w:sz w:val="17"/>
                <w:szCs w:val="17"/>
              </w:rPr>
              <w:t>Specifies instrument to which it is most immediately subordinate.  Where applicable, an AI should specify the column numbers of the instruments in the completed main features template to which the instrument is most immediately subordinate.</w:t>
            </w:r>
          </w:p>
          <w:p w14:paraId="792011B2" w14:textId="77777777" w:rsidR="004251F0" w:rsidRPr="00D748CC" w:rsidRDefault="004251F0" w:rsidP="00321677">
            <w:pPr>
              <w:jc w:val="both"/>
              <w:rPr>
                <w:rFonts w:cs="Segoe UI"/>
                <w:i/>
                <w:kern w:val="2"/>
                <w:sz w:val="17"/>
                <w:szCs w:val="17"/>
              </w:rPr>
            </w:pPr>
            <w:r w:rsidRPr="00D748CC">
              <w:rPr>
                <w:rFonts w:cs="Segoe UI"/>
                <w:i/>
                <w:kern w:val="2"/>
                <w:sz w:val="17"/>
                <w:szCs w:val="17"/>
              </w:rPr>
              <w:t>Free text</w:t>
            </w:r>
          </w:p>
        </w:tc>
      </w:tr>
      <w:tr w:rsidR="004251F0" w:rsidRPr="00813FAB" w14:paraId="6739A3C2" w14:textId="77777777" w:rsidTr="00321677">
        <w:tc>
          <w:tcPr>
            <w:tcW w:w="486" w:type="dxa"/>
            <w:shd w:val="clear" w:color="auto" w:fill="auto"/>
          </w:tcPr>
          <w:p w14:paraId="53721908" w14:textId="77777777" w:rsidR="004251F0" w:rsidRPr="00D748CC" w:rsidRDefault="004251F0" w:rsidP="00321677">
            <w:pPr>
              <w:rPr>
                <w:rFonts w:cs="Segoe UI"/>
                <w:sz w:val="17"/>
                <w:szCs w:val="17"/>
              </w:rPr>
            </w:pPr>
            <w:r w:rsidRPr="00D748CC">
              <w:rPr>
                <w:rFonts w:cs="Segoe UI"/>
                <w:sz w:val="17"/>
                <w:szCs w:val="17"/>
              </w:rPr>
              <w:t>36</w:t>
            </w:r>
          </w:p>
        </w:tc>
        <w:tc>
          <w:tcPr>
            <w:tcW w:w="8728" w:type="dxa"/>
            <w:shd w:val="clear" w:color="auto" w:fill="auto"/>
          </w:tcPr>
          <w:p w14:paraId="0AB5458B" w14:textId="77777777" w:rsidR="004251F0" w:rsidRPr="00D13019" w:rsidRDefault="004251F0" w:rsidP="00321677">
            <w:pPr>
              <w:jc w:val="both"/>
              <w:rPr>
                <w:rFonts w:cs="Segoe UI"/>
                <w:i/>
                <w:sz w:val="17"/>
                <w:szCs w:val="17"/>
              </w:rPr>
            </w:pPr>
            <w:r w:rsidRPr="00E62D6E">
              <w:rPr>
                <w:rFonts w:cs="Segoe UI"/>
                <w:kern w:val="2"/>
                <w:sz w:val="17"/>
                <w:szCs w:val="17"/>
              </w:rPr>
              <w:t>This row is obsolete and no longer applicable.</w:t>
            </w:r>
          </w:p>
        </w:tc>
      </w:tr>
      <w:tr w:rsidR="004251F0" w:rsidRPr="00813FAB" w14:paraId="25C91221" w14:textId="77777777" w:rsidTr="00321677">
        <w:tc>
          <w:tcPr>
            <w:tcW w:w="486" w:type="dxa"/>
            <w:shd w:val="clear" w:color="auto" w:fill="auto"/>
          </w:tcPr>
          <w:p w14:paraId="294C4782" w14:textId="77777777" w:rsidR="004251F0" w:rsidRPr="00D748CC" w:rsidRDefault="004251F0" w:rsidP="00321677">
            <w:pPr>
              <w:rPr>
                <w:rFonts w:cs="Segoe UI"/>
                <w:sz w:val="17"/>
                <w:szCs w:val="17"/>
              </w:rPr>
            </w:pPr>
            <w:r w:rsidRPr="00D748CC">
              <w:rPr>
                <w:rFonts w:cs="Segoe UI"/>
                <w:sz w:val="17"/>
                <w:szCs w:val="17"/>
              </w:rPr>
              <w:t>37</w:t>
            </w:r>
          </w:p>
        </w:tc>
        <w:tc>
          <w:tcPr>
            <w:tcW w:w="8728" w:type="dxa"/>
            <w:shd w:val="clear" w:color="auto" w:fill="auto"/>
          </w:tcPr>
          <w:p w14:paraId="40FF861E" w14:textId="77777777" w:rsidR="004251F0" w:rsidRPr="00D13019" w:rsidRDefault="004251F0" w:rsidP="00321677">
            <w:pPr>
              <w:jc w:val="both"/>
              <w:rPr>
                <w:rFonts w:cs="Segoe UI"/>
                <w:i/>
                <w:sz w:val="17"/>
                <w:szCs w:val="17"/>
              </w:rPr>
            </w:pPr>
            <w:r w:rsidRPr="00E62D6E">
              <w:rPr>
                <w:rFonts w:cs="Segoe UI"/>
                <w:kern w:val="2"/>
                <w:sz w:val="17"/>
                <w:szCs w:val="17"/>
              </w:rPr>
              <w:t>This row is obsolete and no longer applicable.</w:t>
            </w:r>
          </w:p>
        </w:tc>
      </w:tr>
    </w:tbl>
    <w:p w14:paraId="6F2B3D45" w14:textId="77777777" w:rsidR="00B033E6" w:rsidRPr="00297195" w:rsidRDefault="00B033E6" w:rsidP="00381F69">
      <w:pPr>
        <w:ind w:leftChars="-283" w:left="-566"/>
      </w:pPr>
    </w:p>
    <w:p w14:paraId="30AB9DF5" w14:textId="1E7ABCA6" w:rsidR="00381F69" w:rsidRDefault="00381F69" w:rsidP="0094779B">
      <w:pPr>
        <w:pStyle w:val="Heading1"/>
        <w:tabs>
          <w:tab w:val="left" w:pos="426"/>
        </w:tabs>
        <w:ind w:leftChars="-283" w:left="-566"/>
        <w:rPr>
          <w:color w:val="C00000"/>
          <w:szCs w:val="28"/>
        </w:rPr>
        <w:sectPr w:rsidR="00381F69" w:rsidSect="008D6C05">
          <w:footerReference w:type="default" r:id="rId28"/>
          <w:pgSz w:w="11906" w:h="16838"/>
          <w:pgMar w:top="1440" w:right="1800" w:bottom="1440" w:left="1800" w:header="851" w:footer="992" w:gutter="0"/>
          <w:cols w:space="425"/>
          <w:docGrid w:type="lines" w:linePitch="360"/>
        </w:sectPr>
      </w:pPr>
    </w:p>
    <w:p w14:paraId="0E1EFFA7" w14:textId="1F8E3D71" w:rsidR="00EB0646" w:rsidRDefault="00852117" w:rsidP="00181B31">
      <w:pPr>
        <w:pStyle w:val="Heading1"/>
        <w:ind w:left="-454"/>
      </w:pPr>
      <w:r>
        <w:lastRenderedPageBreak/>
        <w:t xml:space="preserve">Part IIB: </w:t>
      </w:r>
      <w:r w:rsidR="00EB0646" w:rsidRPr="00920901">
        <w:t>Macroprudential supervisory measures</w:t>
      </w:r>
    </w:p>
    <w:p w14:paraId="4365150F" w14:textId="25E103EA" w:rsidR="003D74AB" w:rsidRPr="00F854FE" w:rsidRDefault="003D74AB" w:rsidP="005F57C7">
      <w:pPr>
        <w:pStyle w:val="Heading2"/>
      </w:pPr>
      <w:r w:rsidRPr="0023654F">
        <w:t xml:space="preserve">Template </w:t>
      </w:r>
      <w:r>
        <w:t>GSIB1</w:t>
      </w:r>
      <w:r w:rsidRPr="0023654F">
        <w:t xml:space="preserve">: </w:t>
      </w:r>
      <w:r>
        <w:t>G-SIB indicators</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3848B8" w:rsidRPr="005B71C7" w14:paraId="7D7D393E" w14:textId="77777777" w:rsidTr="003848B8">
        <w:tc>
          <w:tcPr>
            <w:tcW w:w="2008" w:type="dxa"/>
          </w:tcPr>
          <w:p w14:paraId="56D4AC32" w14:textId="77777777" w:rsidR="003848B8" w:rsidRPr="0023654F" w:rsidRDefault="003848B8" w:rsidP="003848B8">
            <w:pPr>
              <w:spacing w:before="40" w:after="40"/>
              <w:rPr>
                <w:noProof/>
                <w:sz w:val="17"/>
                <w:lang w:eastAsia="en-GB"/>
              </w:rPr>
            </w:pPr>
            <w:r w:rsidRPr="0023654F">
              <w:rPr>
                <w:b/>
                <w:sz w:val="17"/>
                <w:lang w:eastAsia="en-GB"/>
              </w:rPr>
              <w:t>Purpose:</w:t>
            </w:r>
            <w:r w:rsidRPr="0023654F">
              <w:rPr>
                <w:sz w:val="17"/>
                <w:lang w:eastAsia="en-GB"/>
              </w:rPr>
              <w:t xml:space="preserve"> </w:t>
            </w:r>
          </w:p>
        </w:tc>
        <w:tc>
          <w:tcPr>
            <w:tcW w:w="7234" w:type="dxa"/>
          </w:tcPr>
          <w:p w14:paraId="37DEE829" w14:textId="77777777" w:rsidR="003848B8" w:rsidRPr="00E4585F" w:rsidRDefault="003848B8" w:rsidP="003848B8">
            <w:pPr>
              <w:spacing w:before="40" w:after="40"/>
              <w:jc w:val="both"/>
              <w:rPr>
                <w:sz w:val="17"/>
                <w:szCs w:val="17"/>
              </w:rPr>
            </w:pPr>
            <w:bookmarkStart w:id="4" w:name="_Toc404082833"/>
            <w:r w:rsidRPr="00A324A3">
              <w:rPr>
                <w:rFonts w:eastAsia="新細明體"/>
                <w:sz w:val="17"/>
                <w:lang w:eastAsia="en-GB"/>
              </w:rPr>
              <w:t>To p</w:t>
            </w:r>
            <w:r>
              <w:rPr>
                <w:sz w:val="17"/>
                <w:szCs w:val="17"/>
              </w:rPr>
              <w:t>rovide an overview of the indicators regarding G-SIBs.</w:t>
            </w:r>
            <w:bookmarkEnd w:id="4"/>
          </w:p>
        </w:tc>
      </w:tr>
      <w:tr w:rsidR="003848B8" w:rsidRPr="005B71C7" w14:paraId="7433D883" w14:textId="77777777" w:rsidTr="003848B8">
        <w:tc>
          <w:tcPr>
            <w:tcW w:w="2008" w:type="dxa"/>
          </w:tcPr>
          <w:p w14:paraId="480A033F" w14:textId="77777777" w:rsidR="003848B8" w:rsidRPr="0023654F" w:rsidRDefault="003848B8" w:rsidP="003848B8">
            <w:pPr>
              <w:spacing w:before="40" w:after="40"/>
              <w:rPr>
                <w:b/>
                <w:sz w:val="17"/>
                <w:lang w:eastAsia="en-GB"/>
              </w:rPr>
            </w:pPr>
            <w:r>
              <w:rPr>
                <w:b/>
                <w:sz w:val="17"/>
                <w:lang w:eastAsia="en-GB"/>
              </w:rPr>
              <w:t>Scope of application:</w:t>
            </w:r>
          </w:p>
        </w:tc>
        <w:tc>
          <w:tcPr>
            <w:tcW w:w="7234" w:type="dxa"/>
          </w:tcPr>
          <w:p w14:paraId="432B6E50" w14:textId="324D33A3" w:rsidR="003848B8" w:rsidRPr="00672214" w:rsidRDefault="003848B8" w:rsidP="003848B8">
            <w:pPr>
              <w:spacing w:before="40" w:after="40"/>
              <w:jc w:val="both"/>
              <w:rPr>
                <w:sz w:val="17"/>
                <w:szCs w:val="17"/>
              </w:rPr>
            </w:pPr>
            <w:r w:rsidRPr="00A324A3">
              <w:rPr>
                <w:rFonts w:eastAsia="新細明體"/>
                <w:sz w:val="17"/>
                <w:lang w:eastAsia="en-GB"/>
              </w:rPr>
              <w:t xml:space="preserve">The template is mandatory for AIs incorporated in Hong Kong </w:t>
            </w:r>
            <w:r>
              <w:rPr>
                <w:sz w:val="17"/>
                <w:szCs w:val="17"/>
              </w:rPr>
              <w:t>which are G-SIBs</w:t>
            </w:r>
            <w:r>
              <w:rPr>
                <w:rStyle w:val="FootnoteReference"/>
                <w:sz w:val="17"/>
                <w:szCs w:val="17"/>
              </w:rPr>
              <w:footnoteReference w:id="3"/>
            </w:r>
            <w:r>
              <w:rPr>
                <w:sz w:val="17"/>
                <w:szCs w:val="17"/>
              </w:rPr>
              <w:t xml:space="preserve"> in the current annual reporting period or in the annual reporting period immediately preceding the current annual reporting period, or otherwise directed by the MA to make such disclosure.  The MA may so direct where an AI or, if applicable, its consolidation group </w:t>
            </w:r>
            <w:r w:rsidRPr="00260369">
              <w:rPr>
                <w:sz w:val="17"/>
                <w:szCs w:val="17"/>
              </w:rPr>
              <w:t xml:space="preserve">and any </w:t>
            </w:r>
            <w:r>
              <w:rPr>
                <w:sz w:val="17"/>
                <w:szCs w:val="17"/>
              </w:rPr>
              <w:t xml:space="preserve">of its subsidiaries </w:t>
            </w:r>
            <w:r w:rsidRPr="00260369">
              <w:rPr>
                <w:sz w:val="17"/>
                <w:szCs w:val="17"/>
              </w:rPr>
              <w:t>that are not included in the consolidation group but are insurance fir</w:t>
            </w:r>
            <w:r>
              <w:rPr>
                <w:sz w:val="17"/>
                <w:szCs w:val="17"/>
              </w:rPr>
              <w:t>ms, have a leverage ratio exposure measure exceeding EUR200 billion or equivalent</w:t>
            </w:r>
            <w:r>
              <w:rPr>
                <w:rStyle w:val="FootnoteReference"/>
                <w:sz w:val="17"/>
                <w:szCs w:val="17"/>
              </w:rPr>
              <w:footnoteReference w:id="4"/>
            </w:r>
            <w:r>
              <w:rPr>
                <w:sz w:val="17"/>
                <w:szCs w:val="17"/>
              </w:rPr>
              <w:t xml:space="preserve"> </w:t>
            </w:r>
            <w:r w:rsidRPr="00AA0BB0">
              <w:rPr>
                <w:sz w:val="17"/>
                <w:szCs w:val="17"/>
              </w:rPr>
              <w:t>as at 31 December immediately preceding the current annual reporting period</w:t>
            </w:r>
            <w:r>
              <w:rPr>
                <w:sz w:val="17"/>
                <w:szCs w:val="17"/>
              </w:rPr>
              <w:t xml:space="preserve">, or the AI is being regarded as capable of having a significant impact on the effective working and stability of the global financial system were it to become non-viable. </w:t>
            </w:r>
          </w:p>
        </w:tc>
      </w:tr>
      <w:tr w:rsidR="003848B8" w:rsidRPr="0023654F" w14:paraId="48E12369" w14:textId="77777777" w:rsidTr="003848B8">
        <w:tc>
          <w:tcPr>
            <w:tcW w:w="2008" w:type="dxa"/>
          </w:tcPr>
          <w:p w14:paraId="0406178C" w14:textId="77777777" w:rsidR="003848B8" w:rsidRPr="0023654F" w:rsidRDefault="003848B8" w:rsidP="003848B8">
            <w:pPr>
              <w:spacing w:before="40" w:after="40"/>
              <w:rPr>
                <w:b/>
                <w:sz w:val="17"/>
                <w:lang w:eastAsia="en-GB"/>
              </w:rPr>
            </w:pPr>
            <w:r>
              <w:rPr>
                <w:b/>
                <w:sz w:val="17"/>
                <w:lang w:eastAsia="en-GB"/>
              </w:rPr>
              <w:t>Content:</w:t>
            </w:r>
          </w:p>
        </w:tc>
        <w:tc>
          <w:tcPr>
            <w:tcW w:w="7234" w:type="dxa"/>
          </w:tcPr>
          <w:p w14:paraId="78C2165F" w14:textId="56C2CDAE" w:rsidR="003848B8" w:rsidRPr="00517B07" w:rsidRDefault="003848B8" w:rsidP="003848B8">
            <w:pPr>
              <w:spacing w:before="40" w:after="40"/>
              <w:jc w:val="both"/>
              <w:rPr>
                <w:sz w:val="17"/>
                <w:szCs w:val="17"/>
              </w:rPr>
            </w:pPr>
            <w:r>
              <w:rPr>
                <w:sz w:val="17"/>
                <w:szCs w:val="17"/>
              </w:rPr>
              <w:t xml:space="preserve">At least the 13 indicators </w:t>
            </w:r>
            <w:r w:rsidRPr="000B1A85">
              <w:rPr>
                <w:sz w:val="17"/>
                <w:szCs w:val="17"/>
              </w:rPr>
              <w:t>(including the two sub-indicators for the trading v</w:t>
            </w:r>
            <w:r>
              <w:rPr>
                <w:sz w:val="17"/>
                <w:szCs w:val="17"/>
              </w:rPr>
              <w:t xml:space="preserve">olume indicator, i.e. (i) trading </w:t>
            </w:r>
            <w:r w:rsidRPr="000B1A85">
              <w:rPr>
                <w:sz w:val="17"/>
                <w:szCs w:val="17"/>
              </w:rPr>
              <w:t>volume of fixed income instruments, and (ii) trading volume of equities and other securities)</w:t>
            </w:r>
            <w:r>
              <w:rPr>
                <w:sz w:val="17"/>
                <w:szCs w:val="17"/>
              </w:rPr>
              <w:t xml:space="preserve"> used in the assessment methodology of the G-SIB framework</w:t>
            </w:r>
            <w:r w:rsidRPr="00517B07">
              <w:rPr>
                <w:sz w:val="17"/>
                <w:szCs w:val="17"/>
              </w:rPr>
              <w:t>.</w:t>
            </w:r>
          </w:p>
        </w:tc>
      </w:tr>
      <w:tr w:rsidR="003848B8" w:rsidRPr="0023654F" w14:paraId="2F91EA1E" w14:textId="77777777" w:rsidTr="003848B8">
        <w:tc>
          <w:tcPr>
            <w:tcW w:w="2008" w:type="dxa"/>
          </w:tcPr>
          <w:p w14:paraId="00185860" w14:textId="77777777" w:rsidR="003848B8" w:rsidRPr="0023654F" w:rsidRDefault="003848B8" w:rsidP="003848B8">
            <w:pPr>
              <w:spacing w:before="40" w:after="40"/>
              <w:rPr>
                <w:sz w:val="17"/>
                <w:lang w:eastAsia="en-GB"/>
              </w:rPr>
            </w:pPr>
            <w:r w:rsidRPr="0023654F">
              <w:rPr>
                <w:b/>
                <w:sz w:val="17"/>
                <w:lang w:eastAsia="en-GB"/>
              </w:rPr>
              <w:t>Frequency:</w:t>
            </w:r>
          </w:p>
        </w:tc>
        <w:tc>
          <w:tcPr>
            <w:tcW w:w="7234" w:type="dxa"/>
          </w:tcPr>
          <w:p w14:paraId="41031D90" w14:textId="77777777" w:rsidR="003848B8" w:rsidRPr="00517B07" w:rsidRDefault="003848B8" w:rsidP="003848B8">
            <w:pPr>
              <w:pStyle w:val="TableText"/>
              <w:jc w:val="both"/>
              <w:rPr>
                <w:szCs w:val="17"/>
              </w:rPr>
            </w:pPr>
            <w:r w:rsidRPr="00517B07">
              <w:rPr>
                <w:szCs w:val="17"/>
              </w:rPr>
              <w:t>Annual, o</w:t>
            </w:r>
            <w:r>
              <w:rPr>
                <w:szCs w:val="17"/>
              </w:rPr>
              <w:t xml:space="preserve">r in circumstances when the G-SIB restates figures to reflect final data submitted to the BCBS as considered necessary by the MA or on a voluntary basis. </w:t>
            </w:r>
            <w:r w:rsidRPr="00517B07">
              <w:rPr>
                <w:szCs w:val="17"/>
              </w:rPr>
              <w:t xml:space="preserve"> The MA may allow </w:t>
            </w:r>
            <w:r>
              <w:rPr>
                <w:szCs w:val="17"/>
              </w:rPr>
              <w:t>a</w:t>
            </w:r>
            <w:r w:rsidRPr="00517B07">
              <w:rPr>
                <w:szCs w:val="17"/>
              </w:rPr>
              <w:t xml:space="preserve"> G-SIB whose financial year ends otherwise than on 31 December to report indicator values based on its position as of 31 December, nevertheless t</w:t>
            </w:r>
            <w:r>
              <w:rPr>
                <w:szCs w:val="17"/>
              </w:rPr>
              <w:t>his template should be included in the G-SIB’s annual disclosure statement.</w:t>
            </w:r>
          </w:p>
        </w:tc>
      </w:tr>
      <w:tr w:rsidR="003848B8" w:rsidRPr="0023654F" w14:paraId="283E693D" w14:textId="77777777" w:rsidTr="003848B8">
        <w:tc>
          <w:tcPr>
            <w:tcW w:w="2008" w:type="dxa"/>
          </w:tcPr>
          <w:p w14:paraId="0BCF48FC" w14:textId="77777777" w:rsidR="003848B8" w:rsidRPr="0023654F" w:rsidRDefault="003848B8" w:rsidP="003848B8">
            <w:pPr>
              <w:spacing w:before="40" w:after="40"/>
              <w:rPr>
                <w:sz w:val="17"/>
                <w:lang w:eastAsia="en-GB"/>
              </w:rPr>
            </w:pPr>
            <w:r w:rsidRPr="0023654F">
              <w:rPr>
                <w:b/>
                <w:sz w:val="17"/>
                <w:lang w:eastAsia="en-GB"/>
              </w:rPr>
              <w:t>Format:</w:t>
            </w:r>
          </w:p>
        </w:tc>
        <w:tc>
          <w:tcPr>
            <w:tcW w:w="7234" w:type="dxa"/>
          </w:tcPr>
          <w:p w14:paraId="2A2F94FC" w14:textId="77777777" w:rsidR="003848B8" w:rsidRDefault="003848B8" w:rsidP="003848B8">
            <w:pPr>
              <w:pStyle w:val="TableText"/>
              <w:jc w:val="both"/>
              <w:rPr>
                <w:szCs w:val="17"/>
              </w:rPr>
            </w:pPr>
            <w:r>
              <w:rPr>
                <w:lang w:eastAsia="en-GB"/>
              </w:rPr>
              <w:t xml:space="preserve">Flexible.  </w:t>
            </w:r>
            <w:r>
              <w:rPr>
                <w:szCs w:val="17"/>
              </w:rPr>
              <w:t xml:space="preserve">The information disclosed should be fully consistent with the data submitted to the MA for subsequent remittance to the BCBS in the context of its annual data collection exercise for the assessment and identification of G-SIBs. </w:t>
            </w:r>
          </w:p>
          <w:p w14:paraId="7E734C2D" w14:textId="77777777" w:rsidR="003848B8" w:rsidRPr="0023654F" w:rsidRDefault="003848B8" w:rsidP="003848B8">
            <w:pPr>
              <w:pStyle w:val="TableText"/>
              <w:jc w:val="both"/>
              <w:rPr>
                <w:lang w:eastAsia="en-GB"/>
              </w:rPr>
            </w:pPr>
            <w:r>
              <w:rPr>
                <w:szCs w:val="17"/>
              </w:rPr>
              <w:t>The disclosure of each category item should follow the related instructions that the G-SIB uses to report its data to the BCBS’s data hub or as required by the MA.</w:t>
            </w:r>
            <w:r>
              <w:rPr>
                <w:rStyle w:val="FootnoteReference"/>
                <w:szCs w:val="17"/>
              </w:rPr>
              <w:footnoteReference w:id="5"/>
            </w:r>
          </w:p>
        </w:tc>
      </w:tr>
      <w:tr w:rsidR="003848B8" w:rsidRPr="0023654F" w14:paraId="13E43A5B" w14:textId="77777777" w:rsidTr="003848B8">
        <w:tc>
          <w:tcPr>
            <w:tcW w:w="2008" w:type="dxa"/>
          </w:tcPr>
          <w:p w14:paraId="7D580B9E" w14:textId="77777777" w:rsidR="003848B8" w:rsidRPr="0023654F" w:rsidRDefault="003848B8" w:rsidP="003848B8">
            <w:pPr>
              <w:spacing w:before="40" w:after="40"/>
              <w:rPr>
                <w:b/>
                <w:sz w:val="17"/>
                <w:lang w:eastAsia="en-GB"/>
              </w:rPr>
            </w:pPr>
            <w:r w:rsidRPr="00A324A3">
              <w:rPr>
                <w:rFonts w:eastAsia="新細明體"/>
                <w:b/>
                <w:sz w:val="17"/>
                <w:szCs w:val="17"/>
                <w:lang w:eastAsia="en-GB"/>
              </w:rPr>
              <w:t>Accompanying narrative</w:t>
            </w:r>
            <w:r w:rsidRPr="00A324A3">
              <w:rPr>
                <w:rFonts w:eastAsia="新細明體"/>
                <w:sz w:val="17"/>
                <w:szCs w:val="17"/>
                <w:lang w:eastAsia="en-GB"/>
              </w:rPr>
              <w:t>:</w:t>
            </w:r>
          </w:p>
        </w:tc>
        <w:tc>
          <w:tcPr>
            <w:tcW w:w="7234" w:type="dxa"/>
          </w:tcPr>
          <w:p w14:paraId="35C2B106" w14:textId="77777777" w:rsidR="003848B8" w:rsidRPr="002142EB" w:rsidRDefault="003848B8" w:rsidP="003848B8">
            <w:pPr>
              <w:spacing w:before="40" w:after="40"/>
              <w:jc w:val="both"/>
              <w:rPr>
                <w:sz w:val="17"/>
                <w:szCs w:val="17"/>
              </w:rPr>
            </w:pPr>
            <w:r>
              <w:rPr>
                <w:sz w:val="17"/>
                <w:szCs w:val="17"/>
              </w:rPr>
              <w:t>A G-SIB</w:t>
            </w:r>
            <w:r w:rsidRPr="002142EB">
              <w:rPr>
                <w:sz w:val="17"/>
                <w:szCs w:val="17"/>
              </w:rPr>
              <w:t xml:space="preserve"> should indicate the annual reference date of the information reported as well as the date of first public disclosure. </w:t>
            </w:r>
            <w:r>
              <w:rPr>
                <w:sz w:val="17"/>
                <w:szCs w:val="17"/>
              </w:rPr>
              <w:t xml:space="preserve"> A</w:t>
            </w:r>
            <w:r w:rsidRPr="002142EB">
              <w:rPr>
                <w:sz w:val="17"/>
                <w:szCs w:val="17"/>
              </w:rPr>
              <w:t xml:space="preserve"> web link to the </w:t>
            </w:r>
            <w:r>
              <w:rPr>
                <w:sz w:val="17"/>
                <w:szCs w:val="17"/>
              </w:rPr>
              <w:t xml:space="preserve">disclosure of the </w:t>
            </w:r>
            <w:r w:rsidRPr="002142EB">
              <w:rPr>
                <w:sz w:val="17"/>
                <w:szCs w:val="17"/>
              </w:rPr>
              <w:t xml:space="preserve">previous G-SIB assessment exercise </w:t>
            </w:r>
            <w:r>
              <w:rPr>
                <w:sz w:val="17"/>
                <w:szCs w:val="17"/>
              </w:rPr>
              <w:t>should also be included</w:t>
            </w:r>
            <w:r w:rsidRPr="002142EB">
              <w:rPr>
                <w:sz w:val="17"/>
                <w:szCs w:val="17"/>
              </w:rPr>
              <w:t>.</w:t>
            </w:r>
          </w:p>
          <w:p w14:paraId="090DFA24" w14:textId="77777777" w:rsidR="003848B8" w:rsidRPr="002142EB" w:rsidRDefault="003848B8" w:rsidP="003848B8">
            <w:pPr>
              <w:spacing w:before="40" w:after="40"/>
              <w:jc w:val="both"/>
              <w:rPr>
                <w:sz w:val="17"/>
                <w:szCs w:val="17"/>
              </w:rPr>
            </w:pPr>
            <w:r>
              <w:rPr>
                <w:sz w:val="17"/>
                <w:szCs w:val="17"/>
              </w:rPr>
              <w:t>A G-SIB</w:t>
            </w:r>
            <w:r w:rsidRPr="002142EB">
              <w:rPr>
                <w:sz w:val="17"/>
                <w:szCs w:val="17"/>
              </w:rPr>
              <w:t xml:space="preserve"> </w:t>
            </w:r>
            <w:r>
              <w:rPr>
                <w:sz w:val="17"/>
                <w:szCs w:val="17"/>
              </w:rPr>
              <w:t>should</w:t>
            </w:r>
            <w:r w:rsidRPr="002142EB">
              <w:rPr>
                <w:sz w:val="17"/>
                <w:szCs w:val="17"/>
              </w:rPr>
              <w:t xml:space="preserve"> supplement the template with a narrative commentary to explain any relevant qualitative characteristic deemed necessary for understanding the quantitative data. </w:t>
            </w:r>
            <w:r>
              <w:rPr>
                <w:sz w:val="17"/>
                <w:szCs w:val="17"/>
              </w:rPr>
              <w:t xml:space="preserve"> </w:t>
            </w:r>
            <w:r w:rsidRPr="002142EB">
              <w:rPr>
                <w:sz w:val="17"/>
                <w:szCs w:val="17"/>
              </w:rPr>
              <w:t xml:space="preserve">This information </w:t>
            </w:r>
            <w:r>
              <w:rPr>
                <w:sz w:val="17"/>
                <w:szCs w:val="17"/>
              </w:rPr>
              <w:t>should</w:t>
            </w:r>
            <w:r w:rsidRPr="002142EB">
              <w:rPr>
                <w:sz w:val="17"/>
                <w:szCs w:val="17"/>
              </w:rPr>
              <w:t xml:space="preserve"> include explanations about the use of estimates with a short explanation </w:t>
            </w:r>
            <w:r>
              <w:rPr>
                <w:sz w:val="17"/>
                <w:szCs w:val="17"/>
              </w:rPr>
              <w:t>in relation to</w:t>
            </w:r>
            <w:r w:rsidRPr="002142EB">
              <w:rPr>
                <w:sz w:val="17"/>
                <w:szCs w:val="17"/>
              </w:rPr>
              <w:t xml:space="preserve"> the method used, mergers or modifications of the legal structure of the entity </w:t>
            </w:r>
            <w:r w:rsidRPr="002142EB">
              <w:rPr>
                <w:sz w:val="17"/>
                <w:szCs w:val="17"/>
              </w:rPr>
              <w:lastRenderedPageBreak/>
              <w:t xml:space="preserve">subjected to the reported data, the bucket to which the </w:t>
            </w:r>
            <w:r>
              <w:rPr>
                <w:sz w:val="17"/>
                <w:szCs w:val="17"/>
              </w:rPr>
              <w:t>G-SIB</w:t>
            </w:r>
            <w:r w:rsidRPr="002142EB">
              <w:rPr>
                <w:sz w:val="17"/>
                <w:szCs w:val="17"/>
              </w:rPr>
              <w:t xml:space="preserve"> was allocated and changes in HLA requirements, or reference to the BCBS website for data on denominators, cut</w:t>
            </w:r>
            <w:r>
              <w:rPr>
                <w:sz w:val="17"/>
                <w:szCs w:val="17"/>
              </w:rPr>
              <w:t>-</w:t>
            </w:r>
            <w:r w:rsidRPr="002142EB">
              <w:rPr>
                <w:sz w:val="17"/>
                <w:szCs w:val="17"/>
              </w:rPr>
              <w:t>off scores and buckets.</w:t>
            </w:r>
          </w:p>
          <w:p w14:paraId="7841EB13" w14:textId="77777777" w:rsidR="003848B8" w:rsidRPr="00216B7E" w:rsidRDefault="003848B8" w:rsidP="003848B8">
            <w:pPr>
              <w:spacing w:before="40" w:after="40"/>
              <w:jc w:val="both"/>
              <w:rPr>
                <w:sz w:val="17"/>
                <w:szCs w:val="17"/>
              </w:rPr>
            </w:pPr>
            <w:r>
              <w:rPr>
                <w:sz w:val="17"/>
                <w:szCs w:val="17"/>
              </w:rPr>
              <w:t>Regardless of whether T</w:t>
            </w:r>
            <w:r w:rsidRPr="002142EB">
              <w:rPr>
                <w:sz w:val="17"/>
                <w:szCs w:val="17"/>
              </w:rPr>
              <w:t xml:space="preserve">emplate GSIB1 is included in the annual Pillar 3 report, a </w:t>
            </w:r>
            <w:r>
              <w:rPr>
                <w:sz w:val="17"/>
                <w:szCs w:val="17"/>
              </w:rPr>
              <w:t>G-SIB</w:t>
            </w:r>
            <w:r w:rsidRPr="002142EB">
              <w:rPr>
                <w:sz w:val="17"/>
                <w:szCs w:val="17"/>
              </w:rPr>
              <w:t xml:space="preserve">’s annual </w:t>
            </w:r>
            <w:r>
              <w:rPr>
                <w:sz w:val="17"/>
                <w:szCs w:val="17"/>
              </w:rPr>
              <w:t>and interim disclosure statements</w:t>
            </w:r>
            <w:r w:rsidRPr="002142EB">
              <w:rPr>
                <w:sz w:val="17"/>
                <w:szCs w:val="17"/>
              </w:rPr>
              <w:t xml:space="preserve"> should include a reference to the website where </w:t>
            </w:r>
            <w:r>
              <w:rPr>
                <w:sz w:val="17"/>
                <w:szCs w:val="17"/>
              </w:rPr>
              <w:t xml:space="preserve">its </w:t>
            </w:r>
            <w:r w:rsidRPr="002142EB">
              <w:rPr>
                <w:sz w:val="17"/>
                <w:szCs w:val="17"/>
              </w:rPr>
              <w:t>current and pre</w:t>
            </w:r>
            <w:r>
              <w:rPr>
                <w:sz w:val="17"/>
                <w:szCs w:val="17"/>
              </w:rPr>
              <w:t>vious disclosures of T</w:t>
            </w:r>
            <w:r w:rsidRPr="002142EB">
              <w:rPr>
                <w:sz w:val="17"/>
                <w:szCs w:val="17"/>
              </w:rPr>
              <w:t xml:space="preserve">emplate GSIB1 </w:t>
            </w:r>
            <w:r>
              <w:rPr>
                <w:sz w:val="17"/>
                <w:szCs w:val="17"/>
              </w:rPr>
              <w:t>are housed</w:t>
            </w:r>
            <w:r w:rsidRPr="002142EB">
              <w:rPr>
                <w:sz w:val="17"/>
                <w:szCs w:val="17"/>
              </w:rPr>
              <w:t>.</w:t>
            </w:r>
          </w:p>
        </w:tc>
      </w:tr>
      <w:tr w:rsidR="003848B8" w:rsidRPr="0023654F" w14:paraId="58F03C1A" w14:textId="77777777" w:rsidTr="003848B8">
        <w:tc>
          <w:tcPr>
            <w:tcW w:w="2008" w:type="dxa"/>
          </w:tcPr>
          <w:p w14:paraId="359F71AD" w14:textId="77777777" w:rsidR="003848B8" w:rsidRPr="00A324A3" w:rsidRDefault="003848B8" w:rsidP="003848B8">
            <w:pPr>
              <w:spacing w:before="40" w:after="40"/>
              <w:rPr>
                <w:rFonts w:eastAsia="新細明體"/>
                <w:b/>
                <w:sz w:val="17"/>
                <w:szCs w:val="17"/>
                <w:lang w:eastAsia="en-GB"/>
              </w:rPr>
            </w:pPr>
            <w:r w:rsidRPr="00A324A3">
              <w:rPr>
                <w:rFonts w:eastAsia="新細明體"/>
                <w:b/>
                <w:sz w:val="17"/>
                <w:szCs w:val="17"/>
                <w:lang w:eastAsia="en-GB"/>
              </w:rPr>
              <w:lastRenderedPageBreak/>
              <w:t>Corresponding BDR section:</w:t>
            </w:r>
          </w:p>
        </w:tc>
        <w:tc>
          <w:tcPr>
            <w:tcW w:w="7234" w:type="dxa"/>
          </w:tcPr>
          <w:p w14:paraId="40D8D1AA" w14:textId="77777777" w:rsidR="003848B8" w:rsidRDefault="003848B8" w:rsidP="003848B8">
            <w:pPr>
              <w:pStyle w:val="TableText"/>
              <w:jc w:val="both"/>
              <w:rPr>
                <w:szCs w:val="17"/>
                <w:lang w:eastAsia="en-GB"/>
              </w:rPr>
            </w:pPr>
            <w:r w:rsidRPr="001B530B">
              <w:rPr>
                <w:szCs w:val="17"/>
                <w:lang w:eastAsia="en-GB"/>
              </w:rPr>
              <w:t>16FF</w:t>
            </w:r>
          </w:p>
        </w:tc>
      </w:tr>
    </w:tbl>
    <w:p w14:paraId="133E8704" w14:textId="77777777" w:rsidR="003848B8" w:rsidRDefault="003848B8" w:rsidP="003848B8">
      <w:pPr>
        <w:spacing w:before="120" w:after="120"/>
        <w:rPr>
          <w:sz w:val="22"/>
        </w:rPr>
      </w:pPr>
    </w:p>
    <w:tbl>
      <w:tblPr>
        <w:tblW w:w="9214" w:type="dxa"/>
        <w:tblInd w:w="-459"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ayout w:type="fixed"/>
        <w:tblLook w:val="00A0" w:firstRow="1" w:lastRow="0" w:firstColumn="1" w:lastColumn="0" w:noHBand="0" w:noVBand="0"/>
      </w:tblPr>
      <w:tblGrid>
        <w:gridCol w:w="571"/>
        <w:gridCol w:w="2406"/>
        <w:gridCol w:w="4820"/>
        <w:gridCol w:w="1417"/>
      </w:tblGrid>
      <w:tr w:rsidR="003848B8" w:rsidRPr="0023654F" w14:paraId="32659DEC" w14:textId="77777777" w:rsidTr="003848B8">
        <w:trPr>
          <w:cantSplit/>
          <w:trHeight w:val="249"/>
          <w:tblHeader/>
        </w:trPr>
        <w:tc>
          <w:tcPr>
            <w:tcW w:w="571" w:type="dxa"/>
            <w:tcBorders>
              <w:top w:val="nil"/>
              <w:left w:val="nil"/>
              <w:bottom w:val="single" w:sz="4" w:space="0" w:color="auto"/>
              <w:right w:val="nil"/>
            </w:tcBorders>
          </w:tcPr>
          <w:p w14:paraId="60CE6890" w14:textId="77777777" w:rsidR="003848B8" w:rsidRPr="0023654F" w:rsidRDefault="003848B8" w:rsidP="003848B8">
            <w:pPr>
              <w:pStyle w:val="TableText"/>
              <w:snapToGrid w:val="0"/>
              <w:rPr>
                <w:lang w:eastAsia="en-GB"/>
              </w:rPr>
            </w:pPr>
          </w:p>
        </w:tc>
        <w:tc>
          <w:tcPr>
            <w:tcW w:w="2406" w:type="dxa"/>
            <w:tcBorders>
              <w:top w:val="nil"/>
              <w:left w:val="nil"/>
              <w:bottom w:val="single" w:sz="4" w:space="0" w:color="auto"/>
              <w:right w:val="nil"/>
            </w:tcBorders>
            <w:vAlign w:val="center"/>
          </w:tcPr>
          <w:p w14:paraId="698E3A6C" w14:textId="77777777" w:rsidR="003848B8" w:rsidRPr="0023654F" w:rsidRDefault="003848B8" w:rsidP="003848B8">
            <w:pPr>
              <w:pStyle w:val="TableText"/>
              <w:snapToGrid w:val="0"/>
              <w:rPr>
                <w:lang w:eastAsia="en-GB"/>
              </w:rPr>
            </w:pPr>
          </w:p>
        </w:tc>
        <w:tc>
          <w:tcPr>
            <w:tcW w:w="4820" w:type="dxa"/>
            <w:tcBorders>
              <w:top w:val="nil"/>
              <w:left w:val="nil"/>
              <w:bottom w:val="single" w:sz="4" w:space="0" w:color="auto"/>
              <w:right w:val="single" w:sz="4" w:space="0" w:color="auto"/>
            </w:tcBorders>
            <w:vAlign w:val="center"/>
          </w:tcPr>
          <w:p w14:paraId="10642079" w14:textId="77777777" w:rsidR="003848B8" w:rsidRPr="00A31647" w:rsidRDefault="003848B8" w:rsidP="003848B8">
            <w:pPr>
              <w:pStyle w:val="TableText"/>
              <w:snapToGrid w:val="0"/>
              <w:rPr>
                <w:lang w:eastAsia="en-GB"/>
              </w:rPr>
            </w:pPr>
          </w:p>
        </w:tc>
        <w:tc>
          <w:tcPr>
            <w:tcW w:w="1417" w:type="dxa"/>
            <w:tcBorders>
              <w:top w:val="single" w:sz="4" w:space="0" w:color="auto"/>
              <w:left w:val="single" w:sz="4" w:space="0" w:color="auto"/>
              <w:bottom w:val="single" w:sz="4" w:space="0" w:color="auto"/>
              <w:right w:val="single" w:sz="4" w:space="0" w:color="auto"/>
            </w:tcBorders>
            <w:vAlign w:val="center"/>
          </w:tcPr>
          <w:p w14:paraId="6C3E7043" w14:textId="77777777" w:rsidR="003848B8" w:rsidRPr="00701CEA" w:rsidRDefault="003848B8" w:rsidP="003848B8">
            <w:pPr>
              <w:pStyle w:val="TableText"/>
              <w:snapToGrid w:val="0"/>
              <w:jc w:val="center"/>
              <w:rPr>
                <w:bCs/>
                <w:szCs w:val="17"/>
                <w:lang w:eastAsia="it-IT"/>
              </w:rPr>
            </w:pPr>
            <w:r w:rsidRPr="00701CEA">
              <w:rPr>
                <w:bCs/>
                <w:szCs w:val="17"/>
                <w:lang w:eastAsia="it-IT"/>
              </w:rPr>
              <w:t>(a)</w:t>
            </w:r>
          </w:p>
        </w:tc>
      </w:tr>
      <w:tr w:rsidR="003848B8" w:rsidRPr="0023654F" w14:paraId="4E0ABCCC" w14:textId="77777777" w:rsidTr="003848B8">
        <w:trPr>
          <w:cantSplit/>
          <w:tblHeader/>
        </w:trPr>
        <w:tc>
          <w:tcPr>
            <w:tcW w:w="571" w:type="dxa"/>
            <w:tcBorders>
              <w:top w:val="single" w:sz="4" w:space="0" w:color="auto"/>
              <w:left w:val="nil"/>
              <w:bottom w:val="single" w:sz="4" w:space="0" w:color="auto"/>
              <w:right w:val="single" w:sz="4" w:space="0" w:color="auto"/>
            </w:tcBorders>
          </w:tcPr>
          <w:p w14:paraId="7F6829A4" w14:textId="77777777" w:rsidR="003848B8" w:rsidRPr="00665E29" w:rsidRDefault="003848B8" w:rsidP="003848B8">
            <w:pPr>
              <w:pStyle w:val="TableText"/>
              <w:snapToGrid w:val="0"/>
              <w:rPr>
                <w:b/>
                <w:lang w:eastAsia="en-GB"/>
              </w:rPr>
            </w:pPr>
          </w:p>
        </w:tc>
        <w:tc>
          <w:tcPr>
            <w:tcW w:w="2406" w:type="dxa"/>
            <w:tcBorders>
              <w:top w:val="single" w:sz="4" w:space="0" w:color="auto"/>
              <w:left w:val="single" w:sz="4" w:space="0" w:color="auto"/>
              <w:bottom w:val="single" w:sz="4" w:space="0" w:color="auto"/>
              <w:right w:val="single" w:sz="4" w:space="0" w:color="auto"/>
            </w:tcBorders>
          </w:tcPr>
          <w:p w14:paraId="5A1280A6" w14:textId="77777777" w:rsidR="003848B8" w:rsidRPr="00665E29" w:rsidRDefault="003848B8" w:rsidP="003848B8">
            <w:pPr>
              <w:pStyle w:val="TableText"/>
              <w:snapToGrid w:val="0"/>
              <w:rPr>
                <w:b/>
                <w:lang w:eastAsia="en-GB"/>
              </w:rPr>
            </w:pPr>
            <w:r w:rsidRPr="00665E29">
              <w:rPr>
                <w:b/>
                <w:lang w:eastAsia="en-GB"/>
              </w:rPr>
              <w:t>Category</w:t>
            </w:r>
          </w:p>
        </w:tc>
        <w:tc>
          <w:tcPr>
            <w:tcW w:w="4820" w:type="dxa"/>
            <w:tcBorders>
              <w:top w:val="single" w:sz="4" w:space="0" w:color="auto"/>
              <w:left w:val="nil"/>
              <w:bottom w:val="single" w:sz="4" w:space="0" w:color="auto"/>
              <w:right w:val="single" w:sz="4" w:space="0" w:color="auto"/>
            </w:tcBorders>
          </w:tcPr>
          <w:p w14:paraId="12DE34C1" w14:textId="77777777" w:rsidR="003848B8" w:rsidRPr="00665E29" w:rsidRDefault="003848B8" w:rsidP="003848B8">
            <w:pPr>
              <w:pStyle w:val="TableText"/>
              <w:snapToGrid w:val="0"/>
              <w:rPr>
                <w:b/>
                <w:szCs w:val="17"/>
                <w:lang w:val="en-US" w:eastAsia="en-GB"/>
              </w:rPr>
            </w:pPr>
            <w:r w:rsidRPr="00665E29">
              <w:rPr>
                <w:b/>
                <w:szCs w:val="17"/>
                <w:lang w:val="en-US" w:eastAsia="en-GB"/>
              </w:rPr>
              <w:t>Individual indicator</w:t>
            </w:r>
          </w:p>
        </w:tc>
        <w:tc>
          <w:tcPr>
            <w:tcW w:w="1417" w:type="dxa"/>
            <w:tcBorders>
              <w:top w:val="single" w:sz="4" w:space="0" w:color="auto"/>
              <w:left w:val="single" w:sz="4" w:space="0" w:color="auto"/>
              <w:bottom w:val="single" w:sz="4" w:space="0" w:color="auto"/>
              <w:right w:val="single" w:sz="4" w:space="0" w:color="auto"/>
            </w:tcBorders>
          </w:tcPr>
          <w:p w14:paraId="719A786C" w14:textId="77777777" w:rsidR="003848B8" w:rsidRPr="00665E29" w:rsidRDefault="003848B8" w:rsidP="003848B8">
            <w:pPr>
              <w:pStyle w:val="TableText"/>
              <w:snapToGrid w:val="0"/>
              <w:jc w:val="center"/>
              <w:rPr>
                <w:b/>
                <w:szCs w:val="17"/>
              </w:rPr>
            </w:pPr>
            <w:r w:rsidRPr="00665E29">
              <w:rPr>
                <w:b/>
                <w:szCs w:val="17"/>
              </w:rPr>
              <w:t>Value</w:t>
            </w:r>
            <w:r>
              <w:rPr>
                <w:b/>
                <w:szCs w:val="17"/>
              </w:rPr>
              <w:t>s</w:t>
            </w:r>
          </w:p>
        </w:tc>
      </w:tr>
      <w:tr w:rsidR="003848B8" w:rsidRPr="0023654F" w14:paraId="63D49258" w14:textId="77777777" w:rsidTr="003848B8">
        <w:trPr>
          <w:cantSplit/>
          <w:tblHeader/>
        </w:trPr>
        <w:tc>
          <w:tcPr>
            <w:tcW w:w="571" w:type="dxa"/>
            <w:tcBorders>
              <w:top w:val="single" w:sz="4" w:space="0" w:color="auto"/>
              <w:left w:val="nil"/>
              <w:bottom w:val="single" w:sz="4" w:space="0" w:color="D9D9D9"/>
              <w:right w:val="single" w:sz="4" w:space="0" w:color="auto"/>
            </w:tcBorders>
            <w:shd w:val="clear" w:color="auto" w:fill="auto"/>
          </w:tcPr>
          <w:p w14:paraId="0CF9B7CD" w14:textId="77777777" w:rsidR="003848B8" w:rsidRPr="00911851" w:rsidRDefault="003848B8" w:rsidP="003848B8">
            <w:pPr>
              <w:pStyle w:val="TableText"/>
              <w:snapToGrid w:val="0"/>
              <w:rPr>
                <w:lang w:eastAsia="en-GB"/>
              </w:rPr>
            </w:pPr>
            <w:r>
              <w:rPr>
                <w:lang w:eastAsia="en-GB"/>
              </w:rPr>
              <w:t>1</w:t>
            </w:r>
          </w:p>
        </w:tc>
        <w:tc>
          <w:tcPr>
            <w:tcW w:w="2406" w:type="dxa"/>
            <w:vMerge w:val="restart"/>
            <w:tcBorders>
              <w:top w:val="single" w:sz="4" w:space="0" w:color="auto"/>
              <w:left w:val="single" w:sz="4" w:space="0" w:color="auto"/>
              <w:right w:val="single" w:sz="4" w:space="0" w:color="auto"/>
            </w:tcBorders>
            <w:shd w:val="clear" w:color="auto" w:fill="auto"/>
          </w:tcPr>
          <w:p w14:paraId="630CF735" w14:textId="77777777" w:rsidR="003848B8" w:rsidRPr="00701CEA" w:rsidRDefault="003848B8" w:rsidP="003848B8">
            <w:pPr>
              <w:pStyle w:val="TableText"/>
              <w:snapToGrid w:val="0"/>
              <w:rPr>
                <w:szCs w:val="17"/>
                <w:lang w:eastAsia="en-GB"/>
              </w:rPr>
            </w:pPr>
            <w:r>
              <w:rPr>
                <w:szCs w:val="17"/>
                <w:lang w:eastAsia="en-GB"/>
              </w:rPr>
              <w:t>Cross-jurisdictional activities</w:t>
            </w:r>
          </w:p>
        </w:tc>
        <w:tc>
          <w:tcPr>
            <w:tcW w:w="4820" w:type="dxa"/>
            <w:tcBorders>
              <w:top w:val="single" w:sz="4" w:space="0" w:color="auto"/>
              <w:left w:val="single" w:sz="4" w:space="0" w:color="auto"/>
              <w:bottom w:val="single" w:sz="4" w:space="0" w:color="D9D9D9"/>
              <w:right w:val="single" w:sz="4" w:space="0" w:color="auto"/>
            </w:tcBorders>
            <w:shd w:val="clear" w:color="auto" w:fill="auto"/>
          </w:tcPr>
          <w:p w14:paraId="03748DE4" w14:textId="77777777" w:rsidR="003848B8" w:rsidRPr="00701CEA" w:rsidRDefault="003848B8" w:rsidP="003848B8">
            <w:pPr>
              <w:pStyle w:val="TableText"/>
              <w:snapToGrid w:val="0"/>
              <w:rPr>
                <w:szCs w:val="17"/>
                <w:lang w:eastAsia="en-GB"/>
              </w:rPr>
            </w:pPr>
            <w:r>
              <w:rPr>
                <w:szCs w:val="17"/>
                <w:lang w:eastAsia="en-GB"/>
              </w:rPr>
              <w:t>Cross-jurisdictional claims</w:t>
            </w:r>
          </w:p>
        </w:tc>
        <w:tc>
          <w:tcPr>
            <w:tcW w:w="1417" w:type="dxa"/>
            <w:tcBorders>
              <w:top w:val="single" w:sz="4" w:space="0" w:color="auto"/>
              <w:left w:val="single" w:sz="4" w:space="0" w:color="auto"/>
              <w:bottom w:val="single" w:sz="4" w:space="0" w:color="D9D9D9"/>
              <w:right w:val="single" w:sz="4" w:space="0" w:color="auto"/>
            </w:tcBorders>
            <w:shd w:val="clear" w:color="auto" w:fill="auto"/>
            <w:vAlign w:val="center"/>
          </w:tcPr>
          <w:p w14:paraId="29740AF1" w14:textId="77777777" w:rsidR="003848B8" w:rsidRPr="00701CEA" w:rsidRDefault="003848B8" w:rsidP="003848B8">
            <w:pPr>
              <w:pStyle w:val="TableText"/>
              <w:snapToGrid w:val="0"/>
              <w:rPr>
                <w:szCs w:val="17"/>
                <w:lang w:eastAsia="en-GB"/>
              </w:rPr>
            </w:pPr>
          </w:p>
        </w:tc>
      </w:tr>
      <w:tr w:rsidR="003848B8" w:rsidRPr="0023654F" w14:paraId="68853F44" w14:textId="77777777" w:rsidTr="00AB2BF4">
        <w:trPr>
          <w:cantSplit/>
          <w:tblHeader/>
        </w:trPr>
        <w:tc>
          <w:tcPr>
            <w:tcW w:w="571" w:type="dxa"/>
            <w:tcBorders>
              <w:top w:val="single" w:sz="4" w:space="0" w:color="D9D9D9"/>
              <w:left w:val="nil"/>
              <w:bottom w:val="single" w:sz="4" w:space="0" w:color="D9D9D9"/>
              <w:right w:val="single" w:sz="4" w:space="0" w:color="auto"/>
            </w:tcBorders>
            <w:shd w:val="clear" w:color="auto" w:fill="auto"/>
          </w:tcPr>
          <w:p w14:paraId="6CFF2F27" w14:textId="77777777" w:rsidR="003848B8" w:rsidRPr="0023654F" w:rsidRDefault="003848B8" w:rsidP="003848B8">
            <w:pPr>
              <w:pStyle w:val="TableText"/>
              <w:snapToGrid w:val="0"/>
              <w:rPr>
                <w:lang w:eastAsia="en-GB"/>
              </w:rPr>
            </w:pPr>
            <w:r w:rsidRPr="0023654F">
              <w:rPr>
                <w:lang w:eastAsia="en-GB"/>
              </w:rPr>
              <w:t>2</w:t>
            </w:r>
          </w:p>
        </w:tc>
        <w:tc>
          <w:tcPr>
            <w:tcW w:w="2406" w:type="dxa"/>
            <w:vMerge/>
            <w:tcBorders>
              <w:left w:val="single" w:sz="4" w:space="0" w:color="auto"/>
              <w:bottom w:val="single" w:sz="4" w:space="0" w:color="D9D9D9"/>
              <w:right w:val="single" w:sz="4" w:space="0" w:color="auto"/>
            </w:tcBorders>
            <w:shd w:val="clear" w:color="auto" w:fill="auto"/>
            <w:vAlign w:val="center"/>
          </w:tcPr>
          <w:p w14:paraId="14C0EEAC" w14:textId="77777777" w:rsidR="003848B8" w:rsidRDefault="003848B8" w:rsidP="003848B8">
            <w:pPr>
              <w:pStyle w:val="TableText"/>
              <w:snapToGrid w:val="0"/>
              <w:rPr>
                <w:szCs w:val="17"/>
                <w:lang w:eastAsia="en-GB"/>
              </w:rPr>
            </w:pPr>
          </w:p>
        </w:tc>
        <w:tc>
          <w:tcPr>
            <w:tcW w:w="4820" w:type="dxa"/>
            <w:tcBorders>
              <w:top w:val="single" w:sz="4" w:space="0" w:color="D9D9D9"/>
              <w:left w:val="single" w:sz="4" w:space="0" w:color="auto"/>
              <w:bottom w:val="single" w:sz="4" w:space="0" w:color="D9D9D9"/>
              <w:right w:val="single" w:sz="4" w:space="0" w:color="auto"/>
            </w:tcBorders>
            <w:shd w:val="clear" w:color="auto" w:fill="auto"/>
          </w:tcPr>
          <w:p w14:paraId="4890E791" w14:textId="77777777" w:rsidR="003848B8" w:rsidRPr="00701CEA" w:rsidRDefault="003848B8" w:rsidP="003848B8">
            <w:pPr>
              <w:pStyle w:val="TableText"/>
              <w:snapToGrid w:val="0"/>
              <w:rPr>
                <w:szCs w:val="17"/>
                <w:lang w:eastAsia="en-GB"/>
              </w:rPr>
            </w:pPr>
            <w:r w:rsidRPr="00920B4B">
              <w:rPr>
                <w:szCs w:val="17"/>
                <w:lang w:eastAsia="en-GB"/>
              </w:rPr>
              <w:t>Cross-jurisdictional liabilities</w:t>
            </w:r>
          </w:p>
        </w:tc>
        <w:tc>
          <w:tcPr>
            <w:tcW w:w="1417" w:type="dxa"/>
            <w:tcBorders>
              <w:top w:val="single" w:sz="4" w:space="0" w:color="D9D9D9"/>
              <w:left w:val="single" w:sz="4" w:space="0" w:color="auto"/>
              <w:bottom w:val="single" w:sz="4" w:space="0" w:color="D9D9D9"/>
              <w:right w:val="single" w:sz="4" w:space="0" w:color="auto"/>
            </w:tcBorders>
            <w:shd w:val="clear" w:color="auto" w:fill="auto"/>
            <w:vAlign w:val="center"/>
          </w:tcPr>
          <w:p w14:paraId="7A109085" w14:textId="77777777" w:rsidR="003848B8" w:rsidRPr="00701CEA" w:rsidRDefault="003848B8" w:rsidP="003848B8">
            <w:pPr>
              <w:pStyle w:val="TableText"/>
              <w:snapToGrid w:val="0"/>
              <w:rPr>
                <w:szCs w:val="17"/>
                <w:lang w:eastAsia="en-GB"/>
              </w:rPr>
            </w:pPr>
          </w:p>
        </w:tc>
      </w:tr>
      <w:tr w:rsidR="003848B8" w:rsidRPr="0023654F" w14:paraId="18A5F692" w14:textId="77777777" w:rsidTr="00AB2BF4">
        <w:trPr>
          <w:cantSplit/>
        </w:trPr>
        <w:tc>
          <w:tcPr>
            <w:tcW w:w="571" w:type="dxa"/>
            <w:tcBorders>
              <w:top w:val="single" w:sz="4" w:space="0" w:color="D9D9D9"/>
              <w:left w:val="nil"/>
              <w:bottom w:val="single" w:sz="4" w:space="0" w:color="D9D9D9"/>
              <w:right w:val="single" w:sz="4" w:space="0" w:color="auto"/>
            </w:tcBorders>
            <w:shd w:val="clear" w:color="auto" w:fill="auto"/>
          </w:tcPr>
          <w:p w14:paraId="5AD904C5" w14:textId="77777777" w:rsidR="003848B8" w:rsidRPr="0023654F" w:rsidRDefault="003848B8" w:rsidP="003848B8">
            <w:pPr>
              <w:pStyle w:val="TableText"/>
              <w:snapToGrid w:val="0"/>
              <w:rPr>
                <w:lang w:eastAsia="en-GB"/>
              </w:rPr>
            </w:pPr>
            <w:r>
              <w:rPr>
                <w:lang w:eastAsia="en-GB"/>
              </w:rPr>
              <w:t>3</w:t>
            </w:r>
          </w:p>
        </w:tc>
        <w:tc>
          <w:tcPr>
            <w:tcW w:w="2406" w:type="dxa"/>
            <w:tcBorders>
              <w:top w:val="single" w:sz="4" w:space="0" w:color="D9D9D9"/>
              <w:left w:val="single" w:sz="4" w:space="0" w:color="auto"/>
              <w:bottom w:val="single" w:sz="4" w:space="0" w:color="D9D9D9"/>
              <w:right w:val="single" w:sz="4" w:space="0" w:color="auto"/>
            </w:tcBorders>
            <w:shd w:val="clear" w:color="auto" w:fill="auto"/>
          </w:tcPr>
          <w:p w14:paraId="5298D713" w14:textId="77777777" w:rsidR="003848B8" w:rsidRPr="00701CEA" w:rsidRDefault="003848B8" w:rsidP="003848B8">
            <w:pPr>
              <w:pStyle w:val="TableText"/>
              <w:snapToGrid w:val="0"/>
              <w:ind w:left="177" w:hangingChars="104" w:hanging="177"/>
              <w:rPr>
                <w:szCs w:val="17"/>
              </w:rPr>
            </w:pPr>
            <w:r>
              <w:rPr>
                <w:szCs w:val="17"/>
              </w:rPr>
              <w:t>Size</w:t>
            </w:r>
          </w:p>
        </w:tc>
        <w:tc>
          <w:tcPr>
            <w:tcW w:w="4820" w:type="dxa"/>
            <w:tcBorders>
              <w:top w:val="single" w:sz="4" w:space="0" w:color="D9D9D9"/>
              <w:left w:val="single" w:sz="4" w:space="0" w:color="auto"/>
              <w:bottom w:val="single" w:sz="4" w:space="0" w:color="D9D9D9"/>
              <w:right w:val="single" w:sz="4" w:space="0" w:color="auto"/>
            </w:tcBorders>
            <w:shd w:val="clear" w:color="auto" w:fill="auto"/>
          </w:tcPr>
          <w:p w14:paraId="4C7FE81E" w14:textId="77777777" w:rsidR="003848B8" w:rsidRPr="00701CEA" w:rsidRDefault="003848B8" w:rsidP="003848B8">
            <w:pPr>
              <w:pStyle w:val="TableText"/>
              <w:snapToGrid w:val="0"/>
              <w:rPr>
                <w:szCs w:val="17"/>
                <w:lang w:eastAsia="en-GB"/>
              </w:rPr>
            </w:pPr>
            <w:r w:rsidRPr="00920B4B">
              <w:rPr>
                <w:szCs w:val="17"/>
                <w:lang w:eastAsia="en-GB"/>
              </w:rPr>
              <w:t>Total exposures</w:t>
            </w:r>
            <w:r w:rsidRPr="001523BE">
              <w:rPr>
                <w:szCs w:val="17"/>
                <w:lang w:eastAsia="en-GB"/>
              </w:rPr>
              <w:t>*</w:t>
            </w:r>
          </w:p>
        </w:tc>
        <w:tc>
          <w:tcPr>
            <w:tcW w:w="1417" w:type="dxa"/>
            <w:tcBorders>
              <w:top w:val="single" w:sz="4" w:space="0" w:color="D9D9D9"/>
              <w:left w:val="single" w:sz="4" w:space="0" w:color="auto"/>
              <w:bottom w:val="single" w:sz="4" w:space="0" w:color="D9D9D9"/>
              <w:right w:val="single" w:sz="4" w:space="0" w:color="auto"/>
            </w:tcBorders>
            <w:shd w:val="clear" w:color="auto" w:fill="auto"/>
          </w:tcPr>
          <w:p w14:paraId="61F8962C" w14:textId="77777777" w:rsidR="003848B8" w:rsidRPr="00701CEA" w:rsidRDefault="003848B8" w:rsidP="003848B8">
            <w:pPr>
              <w:pStyle w:val="TableText"/>
              <w:snapToGrid w:val="0"/>
              <w:rPr>
                <w:szCs w:val="17"/>
                <w:lang w:eastAsia="en-GB"/>
              </w:rPr>
            </w:pPr>
          </w:p>
        </w:tc>
      </w:tr>
      <w:tr w:rsidR="003848B8" w:rsidRPr="0023654F" w14:paraId="137774ED" w14:textId="77777777" w:rsidTr="00AB2BF4">
        <w:trPr>
          <w:cantSplit/>
        </w:trPr>
        <w:tc>
          <w:tcPr>
            <w:tcW w:w="571" w:type="dxa"/>
            <w:tcBorders>
              <w:top w:val="single" w:sz="4" w:space="0" w:color="D9D9D9"/>
              <w:left w:val="nil"/>
              <w:bottom w:val="single" w:sz="4" w:space="0" w:color="D9D9D9"/>
              <w:right w:val="single" w:sz="4" w:space="0" w:color="auto"/>
            </w:tcBorders>
            <w:shd w:val="clear" w:color="auto" w:fill="auto"/>
          </w:tcPr>
          <w:p w14:paraId="31F0F7B0" w14:textId="77777777" w:rsidR="003848B8" w:rsidRPr="0023654F" w:rsidRDefault="003848B8" w:rsidP="003848B8">
            <w:pPr>
              <w:pStyle w:val="TableText"/>
              <w:snapToGrid w:val="0"/>
              <w:rPr>
                <w:lang w:eastAsia="en-GB"/>
              </w:rPr>
            </w:pPr>
            <w:r>
              <w:rPr>
                <w:lang w:eastAsia="en-GB"/>
              </w:rPr>
              <w:t>4</w:t>
            </w:r>
          </w:p>
        </w:tc>
        <w:tc>
          <w:tcPr>
            <w:tcW w:w="2406" w:type="dxa"/>
            <w:vMerge w:val="restart"/>
            <w:tcBorders>
              <w:top w:val="single" w:sz="4" w:space="0" w:color="D9D9D9"/>
              <w:left w:val="single" w:sz="4" w:space="0" w:color="auto"/>
              <w:right w:val="single" w:sz="4" w:space="0" w:color="auto"/>
            </w:tcBorders>
            <w:shd w:val="clear" w:color="auto" w:fill="auto"/>
          </w:tcPr>
          <w:p w14:paraId="045ADAB5" w14:textId="77777777" w:rsidR="003848B8" w:rsidRPr="00701CEA" w:rsidRDefault="003848B8" w:rsidP="003848B8">
            <w:pPr>
              <w:pStyle w:val="TableText"/>
              <w:snapToGrid w:val="0"/>
              <w:rPr>
                <w:szCs w:val="17"/>
                <w:lang w:eastAsia="en-GB"/>
              </w:rPr>
            </w:pPr>
            <w:r>
              <w:rPr>
                <w:szCs w:val="17"/>
                <w:lang w:eastAsia="en-GB"/>
              </w:rPr>
              <w:t>Interconnectedness with other financial institutions</w:t>
            </w:r>
          </w:p>
        </w:tc>
        <w:tc>
          <w:tcPr>
            <w:tcW w:w="4820" w:type="dxa"/>
            <w:tcBorders>
              <w:top w:val="single" w:sz="4" w:space="0" w:color="D9D9D9"/>
              <w:left w:val="single" w:sz="4" w:space="0" w:color="auto"/>
              <w:bottom w:val="single" w:sz="4" w:space="0" w:color="D9D9D9"/>
              <w:right w:val="single" w:sz="4" w:space="0" w:color="auto"/>
            </w:tcBorders>
            <w:shd w:val="clear" w:color="auto" w:fill="auto"/>
          </w:tcPr>
          <w:p w14:paraId="2C84F4F9" w14:textId="77777777" w:rsidR="003848B8" w:rsidRPr="00701CEA" w:rsidRDefault="003848B8" w:rsidP="003848B8">
            <w:pPr>
              <w:pStyle w:val="TableText"/>
              <w:snapToGrid w:val="0"/>
              <w:rPr>
                <w:szCs w:val="17"/>
                <w:lang w:eastAsia="en-GB"/>
              </w:rPr>
            </w:pPr>
            <w:r>
              <w:rPr>
                <w:szCs w:val="17"/>
                <w:lang w:eastAsia="en-GB"/>
              </w:rPr>
              <w:t>Intra-financial system assets</w:t>
            </w:r>
            <w:r w:rsidRPr="00957B98">
              <w:rPr>
                <w:szCs w:val="17"/>
                <w:lang w:eastAsia="en-GB"/>
              </w:rPr>
              <w:t>*</w:t>
            </w:r>
          </w:p>
        </w:tc>
        <w:tc>
          <w:tcPr>
            <w:tcW w:w="1417" w:type="dxa"/>
            <w:tcBorders>
              <w:top w:val="single" w:sz="4" w:space="0" w:color="D9D9D9"/>
              <w:left w:val="single" w:sz="4" w:space="0" w:color="auto"/>
              <w:bottom w:val="single" w:sz="4" w:space="0" w:color="D9D9D9"/>
              <w:right w:val="single" w:sz="4" w:space="0" w:color="auto"/>
            </w:tcBorders>
            <w:shd w:val="clear" w:color="auto" w:fill="auto"/>
          </w:tcPr>
          <w:p w14:paraId="03B6B62C" w14:textId="77777777" w:rsidR="003848B8" w:rsidRPr="00701CEA" w:rsidRDefault="003848B8" w:rsidP="003848B8">
            <w:pPr>
              <w:pStyle w:val="TableText"/>
              <w:snapToGrid w:val="0"/>
              <w:rPr>
                <w:szCs w:val="17"/>
                <w:lang w:eastAsia="en-GB"/>
              </w:rPr>
            </w:pPr>
          </w:p>
        </w:tc>
      </w:tr>
      <w:tr w:rsidR="003848B8" w:rsidRPr="0023654F" w14:paraId="7DAD3BEE" w14:textId="77777777" w:rsidTr="003848B8">
        <w:trPr>
          <w:cantSplit/>
        </w:trPr>
        <w:tc>
          <w:tcPr>
            <w:tcW w:w="571" w:type="dxa"/>
            <w:tcBorders>
              <w:top w:val="single" w:sz="4" w:space="0" w:color="D9D9D9"/>
              <w:left w:val="nil"/>
              <w:bottom w:val="single" w:sz="4" w:space="0" w:color="D9D9D9"/>
              <w:right w:val="single" w:sz="4" w:space="0" w:color="auto"/>
            </w:tcBorders>
            <w:shd w:val="clear" w:color="auto" w:fill="auto"/>
          </w:tcPr>
          <w:p w14:paraId="68CD71C0" w14:textId="77777777" w:rsidR="003848B8" w:rsidRDefault="003848B8" w:rsidP="003848B8">
            <w:pPr>
              <w:pStyle w:val="TableText"/>
              <w:snapToGrid w:val="0"/>
              <w:rPr>
                <w:lang w:eastAsia="en-GB"/>
              </w:rPr>
            </w:pPr>
            <w:r>
              <w:rPr>
                <w:lang w:eastAsia="en-GB"/>
              </w:rPr>
              <w:t>5</w:t>
            </w:r>
          </w:p>
        </w:tc>
        <w:tc>
          <w:tcPr>
            <w:tcW w:w="2406" w:type="dxa"/>
            <w:vMerge/>
            <w:tcBorders>
              <w:left w:val="single" w:sz="4" w:space="0" w:color="auto"/>
              <w:right w:val="single" w:sz="4" w:space="0" w:color="auto"/>
            </w:tcBorders>
            <w:shd w:val="clear" w:color="auto" w:fill="auto"/>
          </w:tcPr>
          <w:p w14:paraId="2C91C1CC" w14:textId="77777777" w:rsidR="003848B8" w:rsidRDefault="003848B8" w:rsidP="003848B8">
            <w:pPr>
              <w:pStyle w:val="TableText"/>
              <w:snapToGrid w:val="0"/>
              <w:rPr>
                <w:szCs w:val="17"/>
                <w:lang w:eastAsia="en-GB"/>
              </w:rPr>
            </w:pPr>
          </w:p>
        </w:tc>
        <w:tc>
          <w:tcPr>
            <w:tcW w:w="4820" w:type="dxa"/>
            <w:tcBorders>
              <w:top w:val="single" w:sz="4" w:space="0" w:color="D9D9D9"/>
              <w:left w:val="single" w:sz="4" w:space="0" w:color="auto"/>
              <w:bottom w:val="single" w:sz="4" w:space="0" w:color="D9D9D9"/>
              <w:right w:val="single" w:sz="4" w:space="0" w:color="auto"/>
            </w:tcBorders>
            <w:shd w:val="clear" w:color="auto" w:fill="auto"/>
          </w:tcPr>
          <w:p w14:paraId="6EC469ED" w14:textId="77777777" w:rsidR="003848B8" w:rsidRPr="00701CEA" w:rsidRDefault="003848B8" w:rsidP="003848B8">
            <w:pPr>
              <w:pStyle w:val="TableText"/>
              <w:snapToGrid w:val="0"/>
              <w:rPr>
                <w:szCs w:val="17"/>
                <w:lang w:eastAsia="en-GB"/>
              </w:rPr>
            </w:pPr>
            <w:r w:rsidRPr="00920B4B">
              <w:rPr>
                <w:szCs w:val="17"/>
                <w:lang w:eastAsia="en-GB"/>
              </w:rPr>
              <w:t>Int</w:t>
            </w:r>
            <w:r>
              <w:rPr>
                <w:szCs w:val="17"/>
                <w:lang w:eastAsia="en-GB"/>
              </w:rPr>
              <w:t>ra-financial system liabilities</w:t>
            </w:r>
            <w:r w:rsidRPr="00957B98">
              <w:rPr>
                <w:szCs w:val="17"/>
                <w:lang w:eastAsia="en-GB"/>
              </w:rPr>
              <w:t>*</w:t>
            </w:r>
          </w:p>
        </w:tc>
        <w:tc>
          <w:tcPr>
            <w:tcW w:w="1417" w:type="dxa"/>
            <w:tcBorders>
              <w:top w:val="single" w:sz="4" w:space="0" w:color="D9D9D9"/>
              <w:left w:val="single" w:sz="4" w:space="0" w:color="auto"/>
              <w:bottom w:val="single" w:sz="4" w:space="0" w:color="D9D9D9"/>
              <w:right w:val="single" w:sz="4" w:space="0" w:color="auto"/>
            </w:tcBorders>
            <w:shd w:val="clear" w:color="auto" w:fill="auto"/>
          </w:tcPr>
          <w:p w14:paraId="0020997F" w14:textId="77777777" w:rsidR="003848B8" w:rsidRPr="00701CEA" w:rsidRDefault="003848B8" w:rsidP="003848B8">
            <w:pPr>
              <w:pStyle w:val="TableText"/>
              <w:snapToGrid w:val="0"/>
              <w:rPr>
                <w:szCs w:val="17"/>
                <w:lang w:eastAsia="en-GB"/>
              </w:rPr>
            </w:pPr>
          </w:p>
        </w:tc>
      </w:tr>
      <w:tr w:rsidR="003848B8" w:rsidRPr="0023654F" w14:paraId="7EFB50FE" w14:textId="77777777" w:rsidTr="00AB2BF4">
        <w:trPr>
          <w:cantSplit/>
        </w:trPr>
        <w:tc>
          <w:tcPr>
            <w:tcW w:w="571" w:type="dxa"/>
            <w:tcBorders>
              <w:top w:val="single" w:sz="4" w:space="0" w:color="D9D9D9"/>
              <w:left w:val="nil"/>
              <w:bottom w:val="single" w:sz="4" w:space="0" w:color="D9D9D9"/>
              <w:right w:val="single" w:sz="4" w:space="0" w:color="auto"/>
            </w:tcBorders>
            <w:shd w:val="clear" w:color="auto" w:fill="auto"/>
          </w:tcPr>
          <w:p w14:paraId="79E10C66" w14:textId="77777777" w:rsidR="003848B8" w:rsidRDefault="003848B8" w:rsidP="003848B8">
            <w:pPr>
              <w:pStyle w:val="TableText"/>
              <w:snapToGrid w:val="0"/>
              <w:rPr>
                <w:lang w:eastAsia="en-GB"/>
              </w:rPr>
            </w:pPr>
            <w:r>
              <w:rPr>
                <w:lang w:eastAsia="en-GB"/>
              </w:rPr>
              <w:t>6</w:t>
            </w:r>
          </w:p>
        </w:tc>
        <w:tc>
          <w:tcPr>
            <w:tcW w:w="2406" w:type="dxa"/>
            <w:vMerge/>
            <w:tcBorders>
              <w:left w:val="single" w:sz="4" w:space="0" w:color="auto"/>
              <w:bottom w:val="single" w:sz="4" w:space="0" w:color="D9D9D9"/>
              <w:right w:val="single" w:sz="4" w:space="0" w:color="auto"/>
            </w:tcBorders>
            <w:shd w:val="clear" w:color="auto" w:fill="auto"/>
          </w:tcPr>
          <w:p w14:paraId="49A5A5B5" w14:textId="77777777" w:rsidR="003848B8" w:rsidRDefault="003848B8" w:rsidP="003848B8">
            <w:pPr>
              <w:pStyle w:val="TableText"/>
              <w:snapToGrid w:val="0"/>
              <w:rPr>
                <w:szCs w:val="17"/>
                <w:lang w:eastAsia="en-GB"/>
              </w:rPr>
            </w:pPr>
          </w:p>
        </w:tc>
        <w:tc>
          <w:tcPr>
            <w:tcW w:w="4820" w:type="dxa"/>
            <w:tcBorders>
              <w:top w:val="single" w:sz="4" w:space="0" w:color="D9D9D9"/>
              <w:left w:val="single" w:sz="4" w:space="0" w:color="auto"/>
              <w:bottom w:val="single" w:sz="4" w:space="0" w:color="D9D9D9"/>
              <w:right w:val="single" w:sz="4" w:space="0" w:color="auto"/>
            </w:tcBorders>
            <w:shd w:val="clear" w:color="auto" w:fill="auto"/>
          </w:tcPr>
          <w:p w14:paraId="72D2E5F2" w14:textId="77777777" w:rsidR="003848B8" w:rsidRPr="00701CEA" w:rsidRDefault="003848B8" w:rsidP="003848B8">
            <w:pPr>
              <w:pStyle w:val="TableText"/>
              <w:snapToGrid w:val="0"/>
              <w:rPr>
                <w:szCs w:val="17"/>
                <w:lang w:eastAsia="en-GB"/>
              </w:rPr>
            </w:pPr>
            <w:r w:rsidRPr="00920B4B">
              <w:rPr>
                <w:szCs w:val="17"/>
                <w:lang w:eastAsia="en-GB"/>
              </w:rPr>
              <w:t>Securities outstanding</w:t>
            </w:r>
            <w:r w:rsidRPr="00957B98">
              <w:rPr>
                <w:szCs w:val="17"/>
                <w:lang w:eastAsia="en-GB"/>
              </w:rPr>
              <w:t>*</w:t>
            </w:r>
          </w:p>
        </w:tc>
        <w:tc>
          <w:tcPr>
            <w:tcW w:w="1417" w:type="dxa"/>
            <w:tcBorders>
              <w:top w:val="single" w:sz="4" w:space="0" w:color="D9D9D9"/>
              <w:left w:val="single" w:sz="4" w:space="0" w:color="auto"/>
              <w:bottom w:val="single" w:sz="4" w:space="0" w:color="D9D9D9"/>
              <w:right w:val="single" w:sz="4" w:space="0" w:color="auto"/>
            </w:tcBorders>
            <w:shd w:val="clear" w:color="auto" w:fill="auto"/>
          </w:tcPr>
          <w:p w14:paraId="1FCC62E9" w14:textId="77777777" w:rsidR="003848B8" w:rsidRPr="00701CEA" w:rsidRDefault="003848B8" w:rsidP="003848B8">
            <w:pPr>
              <w:pStyle w:val="TableText"/>
              <w:snapToGrid w:val="0"/>
              <w:rPr>
                <w:szCs w:val="17"/>
                <w:lang w:eastAsia="en-GB"/>
              </w:rPr>
            </w:pPr>
          </w:p>
        </w:tc>
      </w:tr>
      <w:tr w:rsidR="003848B8" w:rsidRPr="0023654F" w14:paraId="5874D2CA" w14:textId="77777777" w:rsidTr="00AB2BF4">
        <w:trPr>
          <w:cantSplit/>
        </w:trPr>
        <w:tc>
          <w:tcPr>
            <w:tcW w:w="571" w:type="dxa"/>
            <w:tcBorders>
              <w:top w:val="single" w:sz="4" w:space="0" w:color="D9D9D9"/>
              <w:left w:val="nil"/>
              <w:bottom w:val="single" w:sz="4" w:space="0" w:color="D9D9D9"/>
              <w:right w:val="single" w:sz="4" w:space="0" w:color="auto"/>
            </w:tcBorders>
            <w:shd w:val="clear" w:color="auto" w:fill="auto"/>
          </w:tcPr>
          <w:p w14:paraId="0A5F2400" w14:textId="77777777" w:rsidR="003848B8" w:rsidRPr="0023654F" w:rsidRDefault="003848B8" w:rsidP="003848B8">
            <w:pPr>
              <w:pStyle w:val="TableText"/>
              <w:snapToGrid w:val="0"/>
              <w:rPr>
                <w:lang w:eastAsia="en-GB"/>
              </w:rPr>
            </w:pPr>
            <w:r>
              <w:rPr>
                <w:lang w:eastAsia="en-GB"/>
              </w:rPr>
              <w:t>7</w:t>
            </w:r>
          </w:p>
        </w:tc>
        <w:tc>
          <w:tcPr>
            <w:tcW w:w="2406" w:type="dxa"/>
            <w:vMerge w:val="restart"/>
            <w:tcBorders>
              <w:top w:val="single" w:sz="4" w:space="0" w:color="D9D9D9"/>
              <w:left w:val="single" w:sz="4" w:space="0" w:color="auto"/>
              <w:right w:val="single" w:sz="4" w:space="0" w:color="auto"/>
            </w:tcBorders>
            <w:shd w:val="clear" w:color="auto" w:fill="auto"/>
          </w:tcPr>
          <w:p w14:paraId="7EF4D40F" w14:textId="77777777" w:rsidR="003848B8" w:rsidRPr="006E517F" w:rsidRDefault="003848B8" w:rsidP="003848B8">
            <w:pPr>
              <w:pStyle w:val="TableText"/>
              <w:snapToGrid w:val="0"/>
              <w:rPr>
                <w:szCs w:val="17"/>
                <w:lang w:eastAsia="en-GB"/>
              </w:rPr>
            </w:pPr>
            <w:r>
              <w:rPr>
                <w:szCs w:val="17"/>
              </w:rPr>
              <w:t>Substitutability / Financial institution infrastructure</w:t>
            </w:r>
          </w:p>
        </w:tc>
        <w:tc>
          <w:tcPr>
            <w:tcW w:w="4820" w:type="dxa"/>
            <w:tcBorders>
              <w:top w:val="single" w:sz="4" w:space="0" w:color="D9D9D9"/>
              <w:left w:val="single" w:sz="4" w:space="0" w:color="auto"/>
              <w:bottom w:val="single" w:sz="4" w:space="0" w:color="D9D9D9"/>
              <w:right w:val="single" w:sz="4" w:space="0" w:color="auto"/>
            </w:tcBorders>
            <w:shd w:val="clear" w:color="auto" w:fill="auto"/>
          </w:tcPr>
          <w:p w14:paraId="11784F45" w14:textId="77777777" w:rsidR="003848B8" w:rsidRPr="00701CEA" w:rsidRDefault="003848B8" w:rsidP="003848B8">
            <w:pPr>
              <w:pStyle w:val="TableText"/>
              <w:snapToGrid w:val="0"/>
              <w:rPr>
                <w:szCs w:val="17"/>
                <w:lang w:eastAsia="en-GB"/>
              </w:rPr>
            </w:pPr>
            <w:r w:rsidRPr="00920B4B">
              <w:rPr>
                <w:szCs w:val="17"/>
                <w:lang w:eastAsia="en-GB"/>
              </w:rPr>
              <w:t>Assets under custody</w:t>
            </w:r>
          </w:p>
        </w:tc>
        <w:tc>
          <w:tcPr>
            <w:tcW w:w="1417" w:type="dxa"/>
            <w:tcBorders>
              <w:top w:val="single" w:sz="4" w:space="0" w:color="D9D9D9"/>
              <w:left w:val="single" w:sz="4" w:space="0" w:color="auto"/>
              <w:bottom w:val="single" w:sz="4" w:space="0" w:color="D9D9D9"/>
              <w:right w:val="single" w:sz="4" w:space="0" w:color="auto"/>
            </w:tcBorders>
            <w:shd w:val="clear" w:color="auto" w:fill="auto"/>
          </w:tcPr>
          <w:p w14:paraId="4F85BB72" w14:textId="77777777" w:rsidR="003848B8" w:rsidRPr="00701CEA" w:rsidRDefault="003848B8" w:rsidP="003848B8">
            <w:pPr>
              <w:pStyle w:val="TableText"/>
              <w:snapToGrid w:val="0"/>
              <w:rPr>
                <w:szCs w:val="17"/>
                <w:lang w:eastAsia="en-GB"/>
              </w:rPr>
            </w:pPr>
          </w:p>
        </w:tc>
      </w:tr>
      <w:tr w:rsidR="003848B8" w:rsidRPr="0023654F" w14:paraId="60D5767E" w14:textId="77777777" w:rsidTr="003848B8">
        <w:trPr>
          <w:cantSplit/>
        </w:trPr>
        <w:tc>
          <w:tcPr>
            <w:tcW w:w="571" w:type="dxa"/>
            <w:tcBorders>
              <w:top w:val="single" w:sz="4" w:space="0" w:color="D9D9D9"/>
              <w:left w:val="nil"/>
              <w:bottom w:val="single" w:sz="4" w:space="0" w:color="D9D9D9"/>
              <w:right w:val="single" w:sz="4" w:space="0" w:color="auto"/>
            </w:tcBorders>
            <w:shd w:val="clear" w:color="auto" w:fill="auto"/>
          </w:tcPr>
          <w:p w14:paraId="14C76913" w14:textId="77777777" w:rsidR="003848B8" w:rsidRDefault="003848B8" w:rsidP="003848B8">
            <w:pPr>
              <w:pStyle w:val="TableText"/>
              <w:snapToGrid w:val="0"/>
              <w:rPr>
                <w:lang w:eastAsia="en-GB"/>
              </w:rPr>
            </w:pPr>
            <w:r>
              <w:rPr>
                <w:lang w:eastAsia="en-GB"/>
              </w:rPr>
              <w:t>8</w:t>
            </w:r>
          </w:p>
        </w:tc>
        <w:tc>
          <w:tcPr>
            <w:tcW w:w="2406" w:type="dxa"/>
            <w:vMerge/>
            <w:tcBorders>
              <w:left w:val="single" w:sz="4" w:space="0" w:color="auto"/>
              <w:right w:val="single" w:sz="4" w:space="0" w:color="auto"/>
            </w:tcBorders>
            <w:shd w:val="clear" w:color="auto" w:fill="auto"/>
          </w:tcPr>
          <w:p w14:paraId="4116C1A3" w14:textId="77777777" w:rsidR="003848B8" w:rsidRDefault="003848B8" w:rsidP="003848B8">
            <w:pPr>
              <w:pStyle w:val="TableText"/>
              <w:snapToGrid w:val="0"/>
              <w:rPr>
                <w:szCs w:val="17"/>
                <w:lang w:eastAsia="en-GB"/>
              </w:rPr>
            </w:pPr>
          </w:p>
        </w:tc>
        <w:tc>
          <w:tcPr>
            <w:tcW w:w="4820" w:type="dxa"/>
            <w:tcBorders>
              <w:top w:val="single" w:sz="4" w:space="0" w:color="D9D9D9"/>
              <w:left w:val="single" w:sz="4" w:space="0" w:color="auto"/>
              <w:bottom w:val="single" w:sz="4" w:space="0" w:color="D9D9D9"/>
              <w:right w:val="single" w:sz="4" w:space="0" w:color="auto"/>
            </w:tcBorders>
            <w:shd w:val="clear" w:color="auto" w:fill="auto"/>
          </w:tcPr>
          <w:p w14:paraId="210F6BD9" w14:textId="77777777" w:rsidR="003848B8" w:rsidRPr="00701CEA" w:rsidRDefault="003848B8" w:rsidP="003848B8">
            <w:pPr>
              <w:pStyle w:val="TableText"/>
              <w:snapToGrid w:val="0"/>
              <w:rPr>
                <w:szCs w:val="17"/>
                <w:lang w:eastAsia="en-GB"/>
              </w:rPr>
            </w:pPr>
            <w:r>
              <w:rPr>
                <w:szCs w:val="17"/>
                <w:lang w:eastAsia="en-GB"/>
              </w:rPr>
              <w:t>Payment activity</w:t>
            </w:r>
          </w:p>
        </w:tc>
        <w:tc>
          <w:tcPr>
            <w:tcW w:w="1417" w:type="dxa"/>
            <w:tcBorders>
              <w:top w:val="single" w:sz="4" w:space="0" w:color="D9D9D9"/>
              <w:left w:val="single" w:sz="4" w:space="0" w:color="auto"/>
              <w:bottom w:val="single" w:sz="4" w:space="0" w:color="D9D9D9"/>
              <w:right w:val="single" w:sz="4" w:space="0" w:color="auto"/>
            </w:tcBorders>
            <w:shd w:val="clear" w:color="auto" w:fill="auto"/>
          </w:tcPr>
          <w:p w14:paraId="67A9314E" w14:textId="77777777" w:rsidR="003848B8" w:rsidRPr="00701CEA" w:rsidRDefault="003848B8" w:rsidP="003848B8">
            <w:pPr>
              <w:pStyle w:val="TableText"/>
              <w:snapToGrid w:val="0"/>
              <w:rPr>
                <w:szCs w:val="17"/>
                <w:lang w:eastAsia="en-GB"/>
              </w:rPr>
            </w:pPr>
          </w:p>
        </w:tc>
      </w:tr>
      <w:tr w:rsidR="003848B8" w:rsidRPr="0023654F" w14:paraId="01B85E74" w14:textId="77777777" w:rsidTr="003848B8">
        <w:trPr>
          <w:cantSplit/>
        </w:trPr>
        <w:tc>
          <w:tcPr>
            <w:tcW w:w="571" w:type="dxa"/>
            <w:tcBorders>
              <w:top w:val="single" w:sz="4" w:space="0" w:color="D9D9D9"/>
              <w:left w:val="nil"/>
              <w:bottom w:val="single" w:sz="4" w:space="0" w:color="D9D9D9"/>
              <w:right w:val="single" w:sz="4" w:space="0" w:color="auto"/>
            </w:tcBorders>
            <w:shd w:val="clear" w:color="auto" w:fill="auto"/>
          </w:tcPr>
          <w:p w14:paraId="782FB4F5" w14:textId="77777777" w:rsidR="003848B8" w:rsidRDefault="003848B8" w:rsidP="003848B8">
            <w:pPr>
              <w:pStyle w:val="TableText"/>
              <w:snapToGrid w:val="0"/>
              <w:rPr>
                <w:lang w:eastAsia="en-GB"/>
              </w:rPr>
            </w:pPr>
            <w:r>
              <w:rPr>
                <w:lang w:eastAsia="en-GB"/>
              </w:rPr>
              <w:t>9</w:t>
            </w:r>
          </w:p>
        </w:tc>
        <w:tc>
          <w:tcPr>
            <w:tcW w:w="2406" w:type="dxa"/>
            <w:vMerge/>
            <w:tcBorders>
              <w:left w:val="single" w:sz="4" w:space="0" w:color="auto"/>
              <w:right w:val="single" w:sz="4" w:space="0" w:color="auto"/>
            </w:tcBorders>
            <w:shd w:val="clear" w:color="auto" w:fill="auto"/>
          </w:tcPr>
          <w:p w14:paraId="593E1E80" w14:textId="77777777" w:rsidR="003848B8" w:rsidRDefault="003848B8" w:rsidP="003848B8">
            <w:pPr>
              <w:pStyle w:val="TableText"/>
              <w:snapToGrid w:val="0"/>
              <w:rPr>
                <w:szCs w:val="17"/>
                <w:lang w:eastAsia="en-GB"/>
              </w:rPr>
            </w:pPr>
          </w:p>
        </w:tc>
        <w:tc>
          <w:tcPr>
            <w:tcW w:w="4820" w:type="dxa"/>
            <w:tcBorders>
              <w:top w:val="single" w:sz="4" w:space="0" w:color="D9D9D9"/>
              <w:left w:val="single" w:sz="4" w:space="0" w:color="auto"/>
              <w:bottom w:val="dotted" w:sz="4" w:space="0" w:color="auto"/>
              <w:right w:val="single" w:sz="4" w:space="0" w:color="auto"/>
            </w:tcBorders>
            <w:shd w:val="clear" w:color="auto" w:fill="auto"/>
          </w:tcPr>
          <w:p w14:paraId="3F250C50" w14:textId="77777777" w:rsidR="003848B8" w:rsidRPr="00701CEA" w:rsidRDefault="003848B8" w:rsidP="003848B8">
            <w:pPr>
              <w:pStyle w:val="TableText"/>
              <w:snapToGrid w:val="0"/>
              <w:rPr>
                <w:szCs w:val="17"/>
                <w:lang w:eastAsia="en-GB"/>
              </w:rPr>
            </w:pPr>
            <w:r w:rsidRPr="00920B4B">
              <w:rPr>
                <w:szCs w:val="17"/>
                <w:lang w:eastAsia="en-GB"/>
              </w:rPr>
              <w:t>Underwritten transactions in debt and equity markets</w:t>
            </w:r>
          </w:p>
        </w:tc>
        <w:tc>
          <w:tcPr>
            <w:tcW w:w="1417" w:type="dxa"/>
            <w:tcBorders>
              <w:top w:val="single" w:sz="4" w:space="0" w:color="D9D9D9"/>
              <w:left w:val="single" w:sz="4" w:space="0" w:color="auto"/>
              <w:bottom w:val="dotted" w:sz="4" w:space="0" w:color="auto"/>
              <w:right w:val="single" w:sz="4" w:space="0" w:color="auto"/>
            </w:tcBorders>
            <w:shd w:val="clear" w:color="auto" w:fill="auto"/>
          </w:tcPr>
          <w:p w14:paraId="0B561D8D" w14:textId="77777777" w:rsidR="003848B8" w:rsidRPr="00701CEA" w:rsidRDefault="003848B8" w:rsidP="003848B8">
            <w:pPr>
              <w:pStyle w:val="TableText"/>
              <w:snapToGrid w:val="0"/>
              <w:rPr>
                <w:szCs w:val="17"/>
                <w:lang w:eastAsia="en-GB"/>
              </w:rPr>
            </w:pPr>
          </w:p>
        </w:tc>
      </w:tr>
      <w:tr w:rsidR="003848B8" w:rsidRPr="0023654F" w14:paraId="0EF3D839" w14:textId="77777777" w:rsidTr="00AB2BF4">
        <w:trPr>
          <w:cantSplit/>
        </w:trPr>
        <w:tc>
          <w:tcPr>
            <w:tcW w:w="571" w:type="dxa"/>
            <w:tcBorders>
              <w:top w:val="single" w:sz="4" w:space="0" w:color="D9D9D9"/>
              <w:left w:val="nil"/>
              <w:bottom w:val="single" w:sz="4" w:space="0" w:color="D9D9D9"/>
              <w:right w:val="single" w:sz="4" w:space="0" w:color="auto"/>
            </w:tcBorders>
            <w:shd w:val="clear" w:color="auto" w:fill="auto"/>
          </w:tcPr>
          <w:p w14:paraId="190C2C69" w14:textId="77777777" w:rsidR="003848B8" w:rsidRDefault="003848B8" w:rsidP="003848B8">
            <w:pPr>
              <w:pStyle w:val="TableText"/>
              <w:snapToGrid w:val="0"/>
              <w:rPr>
                <w:lang w:eastAsia="en-GB"/>
              </w:rPr>
            </w:pPr>
            <w:r>
              <w:rPr>
                <w:lang w:eastAsia="en-GB"/>
              </w:rPr>
              <w:t>10a</w:t>
            </w:r>
          </w:p>
        </w:tc>
        <w:tc>
          <w:tcPr>
            <w:tcW w:w="2406" w:type="dxa"/>
            <w:vMerge/>
            <w:tcBorders>
              <w:left w:val="single" w:sz="4" w:space="0" w:color="auto"/>
              <w:right w:val="single" w:sz="4" w:space="0" w:color="auto"/>
            </w:tcBorders>
            <w:shd w:val="clear" w:color="auto" w:fill="auto"/>
          </w:tcPr>
          <w:p w14:paraId="03106854" w14:textId="77777777" w:rsidR="003848B8" w:rsidRDefault="003848B8" w:rsidP="003848B8">
            <w:pPr>
              <w:pStyle w:val="TableText"/>
              <w:snapToGrid w:val="0"/>
              <w:rPr>
                <w:szCs w:val="17"/>
                <w:lang w:eastAsia="en-GB"/>
              </w:rPr>
            </w:pPr>
          </w:p>
        </w:tc>
        <w:tc>
          <w:tcPr>
            <w:tcW w:w="4820" w:type="dxa"/>
            <w:tcBorders>
              <w:top w:val="single" w:sz="4" w:space="0" w:color="D9D9D9"/>
              <w:left w:val="single" w:sz="4" w:space="0" w:color="auto"/>
              <w:bottom w:val="single" w:sz="4" w:space="0" w:color="D9D9D9"/>
              <w:right w:val="single" w:sz="4" w:space="0" w:color="auto"/>
            </w:tcBorders>
            <w:shd w:val="clear" w:color="auto" w:fill="auto"/>
          </w:tcPr>
          <w:p w14:paraId="277F2121" w14:textId="77777777" w:rsidR="003848B8" w:rsidRPr="00920B4B" w:rsidRDefault="003848B8" w:rsidP="003848B8">
            <w:pPr>
              <w:pStyle w:val="TableText"/>
              <w:snapToGrid w:val="0"/>
              <w:rPr>
                <w:szCs w:val="17"/>
                <w:lang w:eastAsia="en-GB"/>
              </w:rPr>
            </w:pPr>
            <w:r w:rsidRPr="009C6DA6">
              <w:rPr>
                <w:szCs w:val="17"/>
                <w:lang w:eastAsia="en-GB"/>
              </w:rPr>
              <w:t>Trading volume of fixed income instruments</w:t>
            </w:r>
          </w:p>
        </w:tc>
        <w:tc>
          <w:tcPr>
            <w:tcW w:w="1417" w:type="dxa"/>
            <w:tcBorders>
              <w:top w:val="single" w:sz="4" w:space="0" w:color="D9D9D9"/>
              <w:left w:val="single" w:sz="4" w:space="0" w:color="auto"/>
              <w:bottom w:val="single" w:sz="4" w:space="0" w:color="D9D9D9"/>
              <w:right w:val="single" w:sz="4" w:space="0" w:color="auto"/>
            </w:tcBorders>
            <w:shd w:val="clear" w:color="auto" w:fill="auto"/>
          </w:tcPr>
          <w:p w14:paraId="5326B4D3" w14:textId="77777777" w:rsidR="003848B8" w:rsidRPr="00701CEA" w:rsidRDefault="003848B8" w:rsidP="003848B8">
            <w:pPr>
              <w:pStyle w:val="TableText"/>
              <w:snapToGrid w:val="0"/>
              <w:rPr>
                <w:szCs w:val="17"/>
                <w:lang w:eastAsia="en-GB"/>
              </w:rPr>
            </w:pPr>
          </w:p>
        </w:tc>
      </w:tr>
      <w:tr w:rsidR="003848B8" w:rsidRPr="0023654F" w14:paraId="07EAB7FD" w14:textId="77777777" w:rsidTr="00AB2BF4">
        <w:trPr>
          <w:cantSplit/>
        </w:trPr>
        <w:tc>
          <w:tcPr>
            <w:tcW w:w="571" w:type="dxa"/>
            <w:tcBorders>
              <w:top w:val="single" w:sz="4" w:space="0" w:color="D9D9D9"/>
              <w:left w:val="nil"/>
              <w:bottom w:val="single" w:sz="4" w:space="0" w:color="D9D9D9"/>
              <w:right w:val="single" w:sz="4" w:space="0" w:color="auto"/>
            </w:tcBorders>
            <w:shd w:val="clear" w:color="auto" w:fill="auto"/>
          </w:tcPr>
          <w:p w14:paraId="3BBAC6D1" w14:textId="77777777" w:rsidR="003848B8" w:rsidRDefault="003848B8" w:rsidP="003848B8">
            <w:pPr>
              <w:pStyle w:val="TableText"/>
              <w:snapToGrid w:val="0"/>
              <w:rPr>
                <w:lang w:eastAsia="en-GB"/>
              </w:rPr>
            </w:pPr>
            <w:r>
              <w:rPr>
                <w:lang w:eastAsia="en-GB"/>
              </w:rPr>
              <w:t>10b</w:t>
            </w:r>
          </w:p>
        </w:tc>
        <w:tc>
          <w:tcPr>
            <w:tcW w:w="2406" w:type="dxa"/>
            <w:vMerge/>
            <w:tcBorders>
              <w:left w:val="single" w:sz="4" w:space="0" w:color="auto"/>
              <w:right w:val="single" w:sz="4" w:space="0" w:color="auto"/>
            </w:tcBorders>
            <w:shd w:val="clear" w:color="auto" w:fill="auto"/>
          </w:tcPr>
          <w:p w14:paraId="076A1E0A" w14:textId="77777777" w:rsidR="003848B8" w:rsidRDefault="003848B8" w:rsidP="003848B8">
            <w:pPr>
              <w:pStyle w:val="TableText"/>
              <w:snapToGrid w:val="0"/>
              <w:rPr>
                <w:szCs w:val="17"/>
              </w:rPr>
            </w:pPr>
          </w:p>
        </w:tc>
        <w:tc>
          <w:tcPr>
            <w:tcW w:w="4820" w:type="dxa"/>
            <w:tcBorders>
              <w:top w:val="single" w:sz="4" w:space="0" w:color="D9D9D9"/>
              <w:left w:val="single" w:sz="4" w:space="0" w:color="auto"/>
              <w:bottom w:val="single" w:sz="4" w:space="0" w:color="D9D9D9"/>
              <w:right w:val="single" w:sz="4" w:space="0" w:color="auto"/>
            </w:tcBorders>
            <w:shd w:val="clear" w:color="auto" w:fill="auto"/>
          </w:tcPr>
          <w:p w14:paraId="0D0F1E82" w14:textId="77777777" w:rsidR="003848B8" w:rsidRPr="00920B4B" w:rsidRDefault="003848B8" w:rsidP="003848B8">
            <w:pPr>
              <w:pStyle w:val="TableText"/>
              <w:snapToGrid w:val="0"/>
              <w:rPr>
                <w:szCs w:val="17"/>
                <w:lang w:eastAsia="en-GB"/>
              </w:rPr>
            </w:pPr>
            <w:r w:rsidRPr="009C6DA6">
              <w:rPr>
                <w:szCs w:val="17"/>
                <w:lang w:eastAsia="en-GB"/>
              </w:rPr>
              <w:t>Trading volume of equities and other securities</w:t>
            </w:r>
          </w:p>
        </w:tc>
        <w:tc>
          <w:tcPr>
            <w:tcW w:w="1417" w:type="dxa"/>
            <w:tcBorders>
              <w:top w:val="single" w:sz="4" w:space="0" w:color="D9D9D9"/>
              <w:left w:val="single" w:sz="4" w:space="0" w:color="auto"/>
              <w:bottom w:val="single" w:sz="4" w:space="0" w:color="D9D9D9"/>
              <w:right w:val="single" w:sz="4" w:space="0" w:color="auto"/>
            </w:tcBorders>
            <w:shd w:val="clear" w:color="auto" w:fill="auto"/>
          </w:tcPr>
          <w:p w14:paraId="18120F89" w14:textId="77777777" w:rsidR="003848B8" w:rsidRPr="00701CEA" w:rsidRDefault="003848B8" w:rsidP="003848B8">
            <w:pPr>
              <w:pStyle w:val="TableText"/>
              <w:snapToGrid w:val="0"/>
              <w:rPr>
                <w:szCs w:val="17"/>
                <w:lang w:eastAsia="en-GB"/>
              </w:rPr>
            </w:pPr>
          </w:p>
        </w:tc>
      </w:tr>
      <w:tr w:rsidR="003848B8" w:rsidRPr="0023654F" w14:paraId="3B55832B" w14:textId="77777777" w:rsidTr="003848B8">
        <w:trPr>
          <w:cantSplit/>
        </w:trPr>
        <w:tc>
          <w:tcPr>
            <w:tcW w:w="571" w:type="dxa"/>
            <w:tcBorders>
              <w:top w:val="single" w:sz="4" w:space="0" w:color="D9D9D9"/>
              <w:left w:val="nil"/>
              <w:bottom w:val="single" w:sz="4" w:space="0" w:color="D9D9D9"/>
              <w:right w:val="single" w:sz="4" w:space="0" w:color="auto"/>
            </w:tcBorders>
            <w:shd w:val="clear" w:color="auto" w:fill="auto"/>
          </w:tcPr>
          <w:p w14:paraId="52A127BF" w14:textId="0A596168" w:rsidR="003848B8" w:rsidRDefault="003848B8" w:rsidP="003848B8">
            <w:pPr>
              <w:pStyle w:val="TableText"/>
              <w:snapToGrid w:val="0"/>
              <w:rPr>
                <w:lang w:eastAsia="en-GB"/>
              </w:rPr>
            </w:pPr>
            <w:r>
              <w:rPr>
                <w:lang w:eastAsia="en-GB"/>
              </w:rPr>
              <w:t>11</w:t>
            </w:r>
          </w:p>
        </w:tc>
        <w:tc>
          <w:tcPr>
            <w:tcW w:w="2406" w:type="dxa"/>
            <w:vMerge w:val="restart"/>
            <w:tcBorders>
              <w:top w:val="dotted" w:sz="4" w:space="0" w:color="auto"/>
              <w:left w:val="single" w:sz="4" w:space="0" w:color="auto"/>
              <w:right w:val="single" w:sz="4" w:space="0" w:color="auto"/>
            </w:tcBorders>
            <w:shd w:val="clear" w:color="auto" w:fill="auto"/>
          </w:tcPr>
          <w:p w14:paraId="0B7EA521" w14:textId="77777777" w:rsidR="003848B8" w:rsidRDefault="003848B8" w:rsidP="003848B8">
            <w:pPr>
              <w:pStyle w:val="TableText"/>
              <w:snapToGrid w:val="0"/>
              <w:rPr>
                <w:szCs w:val="17"/>
                <w:lang w:eastAsia="en-GB"/>
              </w:rPr>
            </w:pPr>
            <w:r>
              <w:rPr>
                <w:szCs w:val="17"/>
              </w:rPr>
              <w:t>Complexity</w:t>
            </w:r>
          </w:p>
        </w:tc>
        <w:tc>
          <w:tcPr>
            <w:tcW w:w="4820" w:type="dxa"/>
            <w:tcBorders>
              <w:top w:val="dotted" w:sz="4" w:space="0" w:color="auto"/>
              <w:left w:val="single" w:sz="4" w:space="0" w:color="auto"/>
              <w:bottom w:val="single" w:sz="4" w:space="0" w:color="D9D9D9"/>
              <w:right w:val="single" w:sz="4" w:space="0" w:color="auto"/>
            </w:tcBorders>
            <w:shd w:val="clear" w:color="auto" w:fill="auto"/>
          </w:tcPr>
          <w:p w14:paraId="14919531" w14:textId="77777777" w:rsidR="003848B8" w:rsidRPr="00701CEA" w:rsidRDefault="003848B8" w:rsidP="003848B8">
            <w:pPr>
              <w:pStyle w:val="TableText"/>
              <w:snapToGrid w:val="0"/>
              <w:rPr>
                <w:szCs w:val="17"/>
                <w:lang w:eastAsia="en-GB"/>
              </w:rPr>
            </w:pPr>
            <w:r w:rsidRPr="00920B4B">
              <w:rPr>
                <w:szCs w:val="17"/>
                <w:lang w:eastAsia="en-GB"/>
              </w:rPr>
              <w:t>Notional amount of ove</w:t>
            </w:r>
            <w:r>
              <w:rPr>
                <w:szCs w:val="17"/>
                <w:lang w:eastAsia="en-GB"/>
              </w:rPr>
              <w:t>r-the-counter (“OTC”) derivatives</w:t>
            </w:r>
            <w:r w:rsidRPr="00957B98">
              <w:rPr>
                <w:szCs w:val="17"/>
                <w:lang w:eastAsia="en-GB"/>
              </w:rPr>
              <w:t>*</w:t>
            </w:r>
          </w:p>
        </w:tc>
        <w:tc>
          <w:tcPr>
            <w:tcW w:w="1417" w:type="dxa"/>
            <w:tcBorders>
              <w:top w:val="dotted" w:sz="4" w:space="0" w:color="auto"/>
              <w:left w:val="single" w:sz="4" w:space="0" w:color="auto"/>
              <w:bottom w:val="single" w:sz="4" w:space="0" w:color="D9D9D9"/>
              <w:right w:val="single" w:sz="4" w:space="0" w:color="auto"/>
            </w:tcBorders>
            <w:shd w:val="clear" w:color="auto" w:fill="auto"/>
          </w:tcPr>
          <w:p w14:paraId="3015471A" w14:textId="77777777" w:rsidR="003848B8" w:rsidRPr="00701CEA" w:rsidRDefault="003848B8" w:rsidP="003848B8">
            <w:pPr>
              <w:pStyle w:val="TableText"/>
              <w:snapToGrid w:val="0"/>
              <w:rPr>
                <w:szCs w:val="17"/>
                <w:lang w:eastAsia="en-GB"/>
              </w:rPr>
            </w:pPr>
          </w:p>
        </w:tc>
      </w:tr>
      <w:tr w:rsidR="003848B8" w:rsidRPr="0023654F" w14:paraId="45C5C27A" w14:textId="77777777" w:rsidTr="003848B8">
        <w:trPr>
          <w:cantSplit/>
        </w:trPr>
        <w:tc>
          <w:tcPr>
            <w:tcW w:w="571" w:type="dxa"/>
            <w:tcBorders>
              <w:top w:val="single" w:sz="4" w:space="0" w:color="D9D9D9"/>
              <w:left w:val="nil"/>
              <w:bottom w:val="single" w:sz="4" w:space="0" w:color="D9D9D9"/>
              <w:right w:val="single" w:sz="4" w:space="0" w:color="auto"/>
            </w:tcBorders>
            <w:shd w:val="clear" w:color="auto" w:fill="auto"/>
          </w:tcPr>
          <w:p w14:paraId="5A95D07A" w14:textId="21FA9A6A" w:rsidR="003848B8" w:rsidRDefault="003848B8" w:rsidP="003848B8">
            <w:pPr>
              <w:pStyle w:val="TableText"/>
              <w:snapToGrid w:val="0"/>
              <w:rPr>
                <w:lang w:eastAsia="en-GB"/>
              </w:rPr>
            </w:pPr>
            <w:r>
              <w:rPr>
                <w:lang w:eastAsia="en-GB"/>
              </w:rPr>
              <w:t>12</w:t>
            </w:r>
          </w:p>
        </w:tc>
        <w:tc>
          <w:tcPr>
            <w:tcW w:w="2406" w:type="dxa"/>
            <w:vMerge/>
            <w:tcBorders>
              <w:left w:val="single" w:sz="4" w:space="0" w:color="auto"/>
              <w:right w:val="single" w:sz="4" w:space="0" w:color="auto"/>
            </w:tcBorders>
            <w:shd w:val="clear" w:color="auto" w:fill="auto"/>
          </w:tcPr>
          <w:p w14:paraId="406BB994" w14:textId="77777777" w:rsidR="003848B8" w:rsidRDefault="003848B8" w:rsidP="003848B8">
            <w:pPr>
              <w:pStyle w:val="TableText"/>
              <w:snapToGrid w:val="0"/>
              <w:rPr>
                <w:szCs w:val="17"/>
                <w:lang w:eastAsia="en-GB"/>
              </w:rPr>
            </w:pPr>
          </w:p>
        </w:tc>
        <w:tc>
          <w:tcPr>
            <w:tcW w:w="4820" w:type="dxa"/>
            <w:tcBorders>
              <w:top w:val="single" w:sz="4" w:space="0" w:color="D9D9D9"/>
              <w:left w:val="single" w:sz="4" w:space="0" w:color="auto"/>
              <w:bottom w:val="single" w:sz="4" w:space="0" w:color="D9D9D9"/>
              <w:right w:val="single" w:sz="4" w:space="0" w:color="auto"/>
            </w:tcBorders>
            <w:shd w:val="clear" w:color="auto" w:fill="auto"/>
          </w:tcPr>
          <w:p w14:paraId="7FBB33C2" w14:textId="77777777" w:rsidR="003848B8" w:rsidRPr="00701CEA" w:rsidRDefault="003848B8" w:rsidP="003848B8">
            <w:pPr>
              <w:pStyle w:val="TableText"/>
              <w:snapToGrid w:val="0"/>
              <w:rPr>
                <w:szCs w:val="17"/>
                <w:lang w:eastAsia="en-GB"/>
              </w:rPr>
            </w:pPr>
            <w:r>
              <w:rPr>
                <w:szCs w:val="17"/>
                <w:lang w:eastAsia="en-GB"/>
              </w:rPr>
              <w:t>Level 3 assets</w:t>
            </w:r>
            <w:r w:rsidRPr="00957B98">
              <w:rPr>
                <w:szCs w:val="17"/>
                <w:lang w:eastAsia="en-GB"/>
              </w:rPr>
              <w:t>*</w:t>
            </w:r>
          </w:p>
        </w:tc>
        <w:tc>
          <w:tcPr>
            <w:tcW w:w="1417" w:type="dxa"/>
            <w:tcBorders>
              <w:top w:val="single" w:sz="4" w:space="0" w:color="D9D9D9"/>
              <w:left w:val="single" w:sz="4" w:space="0" w:color="auto"/>
              <w:bottom w:val="single" w:sz="4" w:space="0" w:color="D9D9D9"/>
              <w:right w:val="single" w:sz="4" w:space="0" w:color="auto"/>
            </w:tcBorders>
            <w:shd w:val="clear" w:color="auto" w:fill="auto"/>
          </w:tcPr>
          <w:p w14:paraId="4BBDA73E" w14:textId="77777777" w:rsidR="003848B8" w:rsidRPr="00701CEA" w:rsidRDefault="003848B8" w:rsidP="003848B8">
            <w:pPr>
              <w:pStyle w:val="TableText"/>
              <w:snapToGrid w:val="0"/>
              <w:rPr>
                <w:szCs w:val="17"/>
                <w:lang w:eastAsia="en-GB"/>
              </w:rPr>
            </w:pPr>
          </w:p>
        </w:tc>
      </w:tr>
      <w:tr w:rsidR="003848B8" w:rsidRPr="0023654F" w14:paraId="23464632" w14:textId="77777777" w:rsidTr="003848B8">
        <w:trPr>
          <w:cantSplit/>
        </w:trPr>
        <w:tc>
          <w:tcPr>
            <w:tcW w:w="571" w:type="dxa"/>
            <w:tcBorders>
              <w:top w:val="single" w:sz="4" w:space="0" w:color="D9D9D9"/>
              <w:left w:val="nil"/>
              <w:bottom w:val="single" w:sz="4" w:space="0" w:color="auto"/>
              <w:right w:val="single" w:sz="4" w:space="0" w:color="auto"/>
            </w:tcBorders>
            <w:shd w:val="clear" w:color="auto" w:fill="auto"/>
          </w:tcPr>
          <w:p w14:paraId="4EC28AB3" w14:textId="2602A0DD" w:rsidR="003848B8" w:rsidRPr="0023654F" w:rsidRDefault="003848B8" w:rsidP="003848B8">
            <w:pPr>
              <w:pStyle w:val="TableText"/>
              <w:snapToGrid w:val="0"/>
              <w:rPr>
                <w:lang w:eastAsia="en-GB"/>
              </w:rPr>
            </w:pPr>
            <w:r>
              <w:rPr>
                <w:lang w:eastAsia="en-GB"/>
              </w:rPr>
              <w:t>13</w:t>
            </w:r>
          </w:p>
        </w:tc>
        <w:tc>
          <w:tcPr>
            <w:tcW w:w="2406" w:type="dxa"/>
            <w:vMerge/>
            <w:tcBorders>
              <w:left w:val="single" w:sz="4" w:space="0" w:color="auto"/>
              <w:bottom w:val="single" w:sz="4" w:space="0" w:color="auto"/>
              <w:right w:val="single" w:sz="4" w:space="0" w:color="auto"/>
            </w:tcBorders>
            <w:shd w:val="clear" w:color="auto" w:fill="auto"/>
          </w:tcPr>
          <w:p w14:paraId="184FE0B4" w14:textId="77777777" w:rsidR="003848B8" w:rsidRPr="00701CEA" w:rsidRDefault="003848B8" w:rsidP="003848B8">
            <w:pPr>
              <w:pStyle w:val="TableText"/>
              <w:snapToGrid w:val="0"/>
              <w:ind w:left="177" w:hangingChars="104" w:hanging="177"/>
              <w:rPr>
                <w:szCs w:val="17"/>
              </w:rPr>
            </w:pPr>
          </w:p>
        </w:tc>
        <w:tc>
          <w:tcPr>
            <w:tcW w:w="4820" w:type="dxa"/>
            <w:tcBorders>
              <w:top w:val="single" w:sz="4" w:space="0" w:color="D9D9D9"/>
              <w:left w:val="single" w:sz="4" w:space="0" w:color="auto"/>
              <w:bottom w:val="single" w:sz="4" w:space="0" w:color="auto"/>
              <w:right w:val="single" w:sz="4" w:space="0" w:color="auto"/>
            </w:tcBorders>
            <w:shd w:val="clear" w:color="auto" w:fill="auto"/>
          </w:tcPr>
          <w:p w14:paraId="4B6C0D8A" w14:textId="77777777" w:rsidR="003848B8" w:rsidRPr="00701CEA" w:rsidRDefault="003848B8" w:rsidP="003848B8">
            <w:pPr>
              <w:pStyle w:val="TableText"/>
              <w:snapToGrid w:val="0"/>
              <w:rPr>
                <w:szCs w:val="17"/>
                <w:lang w:eastAsia="en-GB"/>
              </w:rPr>
            </w:pPr>
            <w:r w:rsidRPr="00920B4B">
              <w:rPr>
                <w:szCs w:val="17"/>
                <w:lang w:eastAsia="en-GB"/>
              </w:rPr>
              <w:t xml:space="preserve">Trading </w:t>
            </w:r>
            <w:r>
              <w:rPr>
                <w:szCs w:val="17"/>
                <w:lang w:eastAsia="en-GB"/>
              </w:rPr>
              <w:t xml:space="preserve">securities </w:t>
            </w:r>
            <w:r w:rsidRPr="00920B4B">
              <w:rPr>
                <w:szCs w:val="17"/>
                <w:lang w:eastAsia="en-GB"/>
              </w:rPr>
              <w:t>and securities</w:t>
            </w:r>
            <w:r>
              <w:rPr>
                <w:szCs w:val="17"/>
                <w:lang w:eastAsia="en-GB"/>
              </w:rPr>
              <w:t xml:space="preserve"> measured at fair value through other comprehensive income</w:t>
            </w:r>
          </w:p>
        </w:tc>
        <w:tc>
          <w:tcPr>
            <w:tcW w:w="1417" w:type="dxa"/>
            <w:tcBorders>
              <w:top w:val="single" w:sz="4" w:space="0" w:color="D9D9D9"/>
              <w:left w:val="single" w:sz="4" w:space="0" w:color="auto"/>
              <w:bottom w:val="single" w:sz="4" w:space="0" w:color="auto"/>
              <w:right w:val="single" w:sz="4" w:space="0" w:color="auto"/>
            </w:tcBorders>
            <w:shd w:val="clear" w:color="auto" w:fill="auto"/>
          </w:tcPr>
          <w:p w14:paraId="0B505129" w14:textId="77777777" w:rsidR="003848B8" w:rsidRPr="00701CEA" w:rsidRDefault="003848B8" w:rsidP="003848B8">
            <w:pPr>
              <w:pStyle w:val="TableText"/>
              <w:snapToGrid w:val="0"/>
              <w:rPr>
                <w:szCs w:val="17"/>
                <w:lang w:eastAsia="en-GB"/>
              </w:rPr>
            </w:pPr>
          </w:p>
        </w:tc>
      </w:tr>
      <w:tr w:rsidR="003848B8" w:rsidRPr="0023654F" w14:paraId="325340B0" w14:textId="77777777" w:rsidTr="003848B8">
        <w:trPr>
          <w:cantSplit/>
        </w:trPr>
        <w:tc>
          <w:tcPr>
            <w:tcW w:w="9214" w:type="dxa"/>
            <w:gridSpan w:val="4"/>
            <w:tcBorders>
              <w:top w:val="single" w:sz="4" w:space="0" w:color="auto"/>
              <w:left w:val="nil"/>
              <w:bottom w:val="single" w:sz="4" w:space="0" w:color="auto"/>
              <w:right w:val="single" w:sz="4" w:space="0" w:color="auto"/>
            </w:tcBorders>
            <w:shd w:val="clear" w:color="auto" w:fill="auto"/>
          </w:tcPr>
          <w:p w14:paraId="59FFBDC2" w14:textId="77777777" w:rsidR="003848B8" w:rsidRPr="005A5B16" w:rsidRDefault="003848B8" w:rsidP="003848B8">
            <w:pPr>
              <w:keepLines/>
              <w:tabs>
                <w:tab w:val="left" w:pos="397"/>
                <w:tab w:val="left" w:pos="794"/>
                <w:tab w:val="left" w:pos="1191"/>
              </w:tabs>
              <w:snapToGrid w:val="0"/>
              <w:spacing w:before="20" w:after="20"/>
              <w:rPr>
                <w:rFonts w:cs="Segoe UI"/>
                <w:i/>
                <w:sz w:val="17"/>
                <w:szCs w:val="17"/>
                <w:lang w:eastAsia="en-GB"/>
              </w:rPr>
            </w:pPr>
            <w:r w:rsidRPr="005A5B16">
              <w:rPr>
                <w:rFonts w:cs="Segoe UI"/>
                <w:i/>
                <w:sz w:val="17"/>
                <w:szCs w:val="17"/>
                <w:lang w:eastAsia="en-GB"/>
              </w:rPr>
              <w:t>Point to note:</w:t>
            </w:r>
          </w:p>
          <w:p w14:paraId="431FB443" w14:textId="77777777" w:rsidR="003848B8" w:rsidRPr="005A5B16" w:rsidRDefault="003848B8" w:rsidP="0064132C">
            <w:pPr>
              <w:pStyle w:val="ListParagraph"/>
              <w:keepLines/>
              <w:widowControl w:val="0"/>
              <w:numPr>
                <w:ilvl w:val="0"/>
                <w:numId w:val="68"/>
              </w:numPr>
              <w:tabs>
                <w:tab w:val="left" w:pos="353"/>
              </w:tabs>
              <w:snapToGrid w:val="0"/>
              <w:spacing w:before="20" w:after="20"/>
              <w:ind w:leftChars="0" w:left="353" w:hanging="353"/>
              <w:jc w:val="both"/>
              <w:rPr>
                <w:sz w:val="17"/>
                <w:szCs w:val="17"/>
                <w:lang w:eastAsia="en-GB"/>
              </w:rPr>
            </w:pPr>
            <w:r>
              <w:rPr>
                <w:rFonts w:cs="Segoe UI"/>
                <w:i/>
                <w:sz w:val="17"/>
                <w:szCs w:val="17"/>
                <w:lang w:eastAsia="en-GB"/>
              </w:rPr>
              <w:t>For i</w:t>
            </w:r>
            <w:r w:rsidRPr="005A5B16">
              <w:rPr>
                <w:rFonts w:cs="Segoe UI"/>
                <w:i/>
                <w:sz w:val="17"/>
                <w:szCs w:val="17"/>
                <w:lang w:eastAsia="en-GB"/>
              </w:rPr>
              <w:t>tems marked with an asterisk (*)</w:t>
            </w:r>
            <w:r>
              <w:rPr>
                <w:rFonts w:cs="Segoe UI"/>
                <w:i/>
                <w:sz w:val="17"/>
                <w:szCs w:val="17"/>
                <w:lang w:eastAsia="en-GB"/>
              </w:rPr>
              <w:t>, the scope of consolidation are extended to include subsidiaries that are insurance firms.</w:t>
            </w:r>
          </w:p>
        </w:tc>
      </w:tr>
    </w:tbl>
    <w:p w14:paraId="483EE446" w14:textId="77777777" w:rsidR="002631E5" w:rsidRPr="00635481" w:rsidRDefault="002631E5" w:rsidP="003848B8">
      <w:pPr>
        <w:spacing w:before="120" w:after="120"/>
        <w:ind w:leftChars="-283" w:left="-566"/>
        <w:rPr>
          <w:rFonts w:eastAsia="SimSun"/>
          <w:sz w:val="17"/>
          <w:szCs w:val="17"/>
          <w:lang w:eastAsia="zh-CN"/>
        </w:rPr>
      </w:pPr>
    </w:p>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3848B8" w:rsidRPr="0072444B" w14:paraId="3E4C4039" w14:textId="77777777" w:rsidTr="003848B8">
        <w:trPr>
          <w:tblHeader/>
        </w:trPr>
        <w:tc>
          <w:tcPr>
            <w:tcW w:w="9214" w:type="dxa"/>
            <w:shd w:val="clear" w:color="auto" w:fill="BFBFBF"/>
          </w:tcPr>
          <w:p w14:paraId="0252D1EE" w14:textId="77777777" w:rsidR="003848B8" w:rsidRPr="00A324A3" w:rsidRDefault="003848B8" w:rsidP="003848B8">
            <w:pPr>
              <w:spacing w:before="40" w:after="40"/>
              <w:jc w:val="both"/>
              <w:rPr>
                <w:rFonts w:eastAsia="新細明體"/>
                <w:b/>
                <w:kern w:val="2"/>
                <w:sz w:val="17"/>
                <w:szCs w:val="17"/>
                <w:lang w:val="en-US" w:eastAsia="en-GB"/>
              </w:rPr>
            </w:pPr>
            <w:r w:rsidRPr="00A324A3">
              <w:rPr>
                <w:rFonts w:eastAsia="新細明體"/>
                <w:b/>
                <w:kern w:val="2"/>
                <w:sz w:val="17"/>
                <w:szCs w:val="17"/>
                <w:lang w:val="en-US" w:eastAsia="en-GB"/>
              </w:rPr>
              <w:t>Explanatory Note</w:t>
            </w:r>
          </w:p>
        </w:tc>
      </w:tr>
      <w:tr w:rsidR="003848B8" w:rsidRPr="0072444B" w14:paraId="12C983F4" w14:textId="77777777" w:rsidTr="003848B8">
        <w:trPr>
          <w:trHeight w:val="153"/>
        </w:trPr>
        <w:tc>
          <w:tcPr>
            <w:tcW w:w="9214" w:type="dxa"/>
            <w:shd w:val="clear" w:color="auto" w:fill="F2F2F2"/>
          </w:tcPr>
          <w:p w14:paraId="0E489D5C" w14:textId="77777777" w:rsidR="003848B8" w:rsidRPr="00A324A3" w:rsidRDefault="003848B8" w:rsidP="003848B8">
            <w:pPr>
              <w:spacing w:before="40" w:after="40"/>
              <w:jc w:val="both"/>
              <w:rPr>
                <w:rFonts w:eastAsia="新細明體"/>
                <w:b/>
                <w:kern w:val="2"/>
                <w:sz w:val="17"/>
                <w:szCs w:val="17"/>
                <w:lang w:val="en-US" w:eastAsia="en-GB"/>
              </w:rPr>
            </w:pPr>
            <w:r w:rsidRPr="00A324A3">
              <w:rPr>
                <w:rFonts w:eastAsia="新細明體"/>
                <w:b/>
                <w:kern w:val="2"/>
                <w:sz w:val="17"/>
                <w:szCs w:val="17"/>
                <w:lang w:val="en-US" w:eastAsia="en-GB"/>
              </w:rPr>
              <w:t>Columns &amp; rows</w:t>
            </w:r>
          </w:p>
        </w:tc>
      </w:tr>
      <w:tr w:rsidR="003848B8" w:rsidRPr="0072444B" w14:paraId="0F5CBB4E" w14:textId="77777777" w:rsidTr="003848B8">
        <w:tc>
          <w:tcPr>
            <w:tcW w:w="9214" w:type="dxa"/>
            <w:shd w:val="clear" w:color="auto" w:fill="auto"/>
          </w:tcPr>
          <w:p w14:paraId="57D7DD96" w14:textId="708BB16E" w:rsidR="003848B8" w:rsidRPr="00A324A3" w:rsidRDefault="003848B8" w:rsidP="003848B8">
            <w:pPr>
              <w:pStyle w:val="TableText"/>
              <w:keepNext/>
              <w:jc w:val="both"/>
              <w:rPr>
                <w:kern w:val="2"/>
                <w:szCs w:val="17"/>
                <w:lang w:val="en-US"/>
              </w:rPr>
            </w:pPr>
            <w:r w:rsidRPr="00A324A3">
              <w:rPr>
                <w:kern w:val="2"/>
                <w:szCs w:val="17"/>
                <w:lang w:val="en-US"/>
              </w:rPr>
              <w:t xml:space="preserve">The </w:t>
            </w:r>
            <w:r w:rsidRPr="00A324A3">
              <w:rPr>
                <w:rFonts w:eastAsia="新細明體" w:cs="Segoe UI"/>
                <w:color w:val="000000"/>
                <w:kern w:val="2"/>
                <w:szCs w:val="17"/>
                <w:lang w:val="en-US" w:eastAsia="zh-TW"/>
              </w:rPr>
              <w:t>template</w:t>
            </w:r>
            <w:r w:rsidRPr="00A324A3">
              <w:rPr>
                <w:kern w:val="2"/>
                <w:szCs w:val="17"/>
                <w:lang w:val="en-US"/>
              </w:rPr>
              <w:t xml:space="preserve"> should be completed in accordance with the instructions and definitions for the corresponding rows in force as of the disclosure’s reference date, which is based on the BCBS’s G-SIB identification exercise.  Details could be found </w:t>
            </w:r>
            <w:r>
              <w:rPr>
                <w:kern w:val="2"/>
                <w:szCs w:val="17"/>
                <w:lang w:val="en-US"/>
              </w:rPr>
              <w:t>on</w:t>
            </w:r>
            <w:r w:rsidRPr="00A324A3">
              <w:rPr>
                <w:kern w:val="2"/>
                <w:szCs w:val="17"/>
                <w:lang w:val="en-US"/>
              </w:rPr>
              <w:t xml:space="preserve"> the BIS website: </w:t>
            </w:r>
            <w:hyperlink r:id="rId29" w:history="1">
              <w:r w:rsidRPr="00A324A3">
                <w:rPr>
                  <w:rStyle w:val="Hyperlink"/>
                  <w:kern w:val="2"/>
                  <w:szCs w:val="17"/>
                  <w:lang w:val="en-US"/>
                </w:rPr>
                <w:t>http://www.bis.org/bcbs/gsib/reporting_instructions.htm</w:t>
              </w:r>
            </w:hyperlink>
            <w:r w:rsidRPr="00A324A3">
              <w:rPr>
                <w:kern w:val="2"/>
                <w:szCs w:val="17"/>
                <w:lang w:val="en-US"/>
              </w:rPr>
              <w:t>.</w:t>
            </w:r>
          </w:p>
        </w:tc>
      </w:tr>
    </w:tbl>
    <w:p w14:paraId="69643639" w14:textId="0F29CBED" w:rsidR="00721DC7" w:rsidRDefault="00721DC7" w:rsidP="00EF4A9B">
      <w:pPr>
        <w:spacing w:before="120" w:after="120"/>
        <w:rPr>
          <w:sz w:val="22"/>
        </w:rPr>
      </w:pPr>
    </w:p>
    <w:p w14:paraId="62EB118D" w14:textId="5BD63039" w:rsidR="003848B8" w:rsidRDefault="003848B8" w:rsidP="00647044">
      <w:pPr>
        <w:sectPr w:rsidR="003848B8" w:rsidSect="008B4370">
          <w:footerReference w:type="default" r:id="rId30"/>
          <w:pgSz w:w="11906" w:h="16838"/>
          <w:pgMar w:top="1440" w:right="1797" w:bottom="1440" w:left="1797" w:header="850" w:footer="964" w:gutter="0"/>
          <w:cols w:space="425"/>
          <w:docGrid w:type="lines" w:linePitch="360"/>
        </w:sectPr>
      </w:pPr>
    </w:p>
    <w:p w14:paraId="6F01FC22" w14:textId="0887F5BD" w:rsidR="003848B8" w:rsidRDefault="003848B8" w:rsidP="00647044"/>
    <w:p w14:paraId="720B0BD9" w14:textId="21165A74" w:rsidR="00EF4A9B" w:rsidRDefault="003C0DE6" w:rsidP="0098339E">
      <w:pPr>
        <w:pStyle w:val="Heading2"/>
        <w:ind w:left="-397" w:right="-454"/>
      </w:pPr>
      <w:r w:rsidRPr="0023654F">
        <w:t xml:space="preserve">Template </w:t>
      </w:r>
      <w:r>
        <w:t>CCyB1</w:t>
      </w:r>
      <w:r w:rsidRPr="0023654F">
        <w:t xml:space="preserve">: </w:t>
      </w:r>
      <w:r>
        <w:t xml:space="preserve">Geographical distribution of credit exposures used in </w:t>
      </w:r>
      <w:r w:rsidRPr="00E44D69">
        <w:t>countercyclical capital buffer</w:t>
      </w:r>
      <w:r>
        <w:t xml:space="preserve"> (“CCyB”)</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3C0DE6" w:rsidRPr="005B71C7" w14:paraId="4ECF2266" w14:textId="77777777" w:rsidTr="00826BF3">
        <w:tc>
          <w:tcPr>
            <w:tcW w:w="2008" w:type="dxa"/>
          </w:tcPr>
          <w:p w14:paraId="359CB2C3" w14:textId="77777777" w:rsidR="003C0DE6" w:rsidRPr="0023654F" w:rsidRDefault="003C0DE6" w:rsidP="00826BF3">
            <w:pPr>
              <w:spacing w:before="40" w:after="40"/>
              <w:rPr>
                <w:noProof/>
                <w:sz w:val="17"/>
                <w:lang w:eastAsia="en-GB"/>
              </w:rPr>
            </w:pPr>
            <w:r w:rsidRPr="0023654F">
              <w:rPr>
                <w:b/>
                <w:sz w:val="17"/>
                <w:lang w:eastAsia="en-GB"/>
              </w:rPr>
              <w:t>Purpose:</w:t>
            </w:r>
            <w:r w:rsidRPr="0023654F">
              <w:rPr>
                <w:sz w:val="17"/>
                <w:lang w:eastAsia="en-GB"/>
              </w:rPr>
              <w:t xml:space="preserve"> </w:t>
            </w:r>
          </w:p>
        </w:tc>
        <w:tc>
          <w:tcPr>
            <w:tcW w:w="7234" w:type="dxa"/>
          </w:tcPr>
          <w:p w14:paraId="5782C512" w14:textId="77777777" w:rsidR="003C0DE6" w:rsidRPr="00C979AC" w:rsidRDefault="003C0DE6" w:rsidP="00826BF3">
            <w:pPr>
              <w:spacing w:before="40" w:after="40"/>
              <w:jc w:val="both"/>
              <w:rPr>
                <w:sz w:val="17"/>
                <w:szCs w:val="17"/>
              </w:rPr>
            </w:pPr>
            <w:r w:rsidRPr="00CF3DCF">
              <w:rPr>
                <w:rFonts w:eastAsia="新細明體"/>
                <w:sz w:val="17"/>
                <w:lang w:eastAsia="en-GB"/>
              </w:rPr>
              <w:t>To p</w:t>
            </w:r>
            <w:r>
              <w:rPr>
                <w:sz w:val="17"/>
                <w:szCs w:val="17"/>
              </w:rPr>
              <w:t>rovide an overview of the geographical distribution of private sector credit exposures relevant for the calculation of an AI’s CCyB ratio.</w:t>
            </w:r>
          </w:p>
        </w:tc>
      </w:tr>
      <w:tr w:rsidR="003C0DE6" w:rsidRPr="005B71C7" w14:paraId="4F189414" w14:textId="77777777" w:rsidTr="00826BF3">
        <w:tc>
          <w:tcPr>
            <w:tcW w:w="2008" w:type="dxa"/>
          </w:tcPr>
          <w:p w14:paraId="7B677B3E" w14:textId="77777777" w:rsidR="003C0DE6" w:rsidRPr="0023654F" w:rsidRDefault="003C0DE6" w:rsidP="00826BF3">
            <w:pPr>
              <w:spacing w:before="40" w:after="40"/>
              <w:rPr>
                <w:b/>
                <w:sz w:val="17"/>
                <w:lang w:eastAsia="en-GB"/>
              </w:rPr>
            </w:pPr>
            <w:r>
              <w:rPr>
                <w:b/>
                <w:sz w:val="17"/>
                <w:lang w:eastAsia="en-GB"/>
              </w:rPr>
              <w:t>Scope of application:</w:t>
            </w:r>
          </w:p>
        </w:tc>
        <w:tc>
          <w:tcPr>
            <w:tcW w:w="7234" w:type="dxa"/>
          </w:tcPr>
          <w:p w14:paraId="4BEFF1B5" w14:textId="77777777" w:rsidR="003C0DE6" w:rsidRPr="00CF3DCF" w:rsidRDefault="003C0DE6" w:rsidP="00826BF3">
            <w:pPr>
              <w:spacing w:before="40" w:after="40"/>
              <w:jc w:val="both"/>
              <w:rPr>
                <w:rFonts w:eastAsia="新細明體"/>
                <w:sz w:val="17"/>
                <w:lang w:eastAsia="en-GB"/>
              </w:rPr>
            </w:pPr>
            <w:r w:rsidRPr="00CF3DCF">
              <w:rPr>
                <w:rFonts w:eastAsia="新細明體"/>
                <w:sz w:val="17"/>
                <w:lang w:eastAsia="en-GB"/>
              </w:rPr>
              <w:t>The template is mandatory for all AIs incorporated in Hong Kong which are subject to a CCyB requirement, based on the jurisdictions to which they have private sector credit exposures subject to a CCyB requirement compliant with the BCBS standards.  Only AIs with exposures to jurisdiction(s) in which the applicable JCCyB ratio is higher than zero should disclose this template.</w:t>
            </w:r>
          </w:p>
        </w:tc>
      </w:tr>
      <w:tr w:rsidR="003C0DE6" w:rsidRPr="0023654F" w14:paraId="6BBF0124" w14:textId="77777777" w:rsidTr="00826BF3">
        <w:tc>
          <w:tcPr>
            <w:tcW w:w="2008" w:type="dxa"/>
          </w:tcPr>
          <w:p w14:paraId="7CF5AF9C" w14:textId="77777777" w:rsidR="003C0DE6" w:rsidRPr="0023654F" w:rsidRDefault="003C0DE6" w:rsidP="00826BF3">
            <w:pPr>
              <w:spacing w:before="40" w:after="40"/>
              <w:rPr>
                <w:b/>
                <w:sz w:val="17"/>
                <w:lang w:eastAsia="en-GB"/>
              </w:rPr>
            </w:pPr>
            <w:r>
              <w:rPr>
                <w:b/>
                <w:sz w:val="17"/>
                <w:lang w:eastAsia="en-GB"/>
              </w:rPr>
              <w:t>Content:</w:t>
            </w:r>
          </w:p>
        </w:tc>
        <w:tc>
          <w:tcPr>
            <w:tcW w:w="7234" w:type="dxa"/>
          </w:tcPr>
          <w:p w14:paraId="785EE689" w14:textId="77777777" w:rsidR="003C0DE6" w:rsidRPr="00CF3DCF" w:rsidRDefault="003C0DE6" w:rsidP="00826BF3">
            <w:pPr>
              <w:spacing w:before="40" w:after="40"/>
              <w:jc w:val="both"/>
              <w:rPr>
                <w:rFonts w:eastAsia="新細明體"/>
                <w:sz w:val="17"/>
                <w:lang w:eastAsia="en-GB"/>
              </w:rPr>
            </w:pPr>
            <w:r w:rsidRPr="00CF3DCF">
              <w:rPr>
                <w:rFonts w:eastAsia="新細明體"/>
                <w:sz w:val="17"/>
                <w:lang w:eastAsia="en-GB"/>
              </w:rPr>
              <w:t>Private sector credit exposures and other relevant inputs necessary for the computation of the AI’s CCyB ratio.</w:t>
            </w:r>
            <w:r w:rsidRPr="0082631E">
              <w:rPr>
                <w:sz w:val="17"/>
                <w:szCs w:val="17"/>
              </w:rPr>
              <w:t xml:space="preserve">  Where an AI has a reporting date for disclosure (e.g. end-April, end-October) that does not fall on the same position date for the Quarterly Reporting on the Countercyclical Capital Buffer (MA(BS)25) (i.e. end-March, end-June, end-September, end-December), the AI should disclose this template based on its own reporting date.  In such circumstance, the calculation basis of values disclosed in this template should, however, follow the same calculation basis used for the </w:t>
            </w:r>
            <w:r>
              <w:rPr>
                <w:sz w:val="17"/>
                <w:szCs w:val="17"/>
              </w:rPr>
              <w:t>return</w:t>
            </w:r>
            <w:r w:rsidRPr="0082631E">
              <w:rPr>
                <w:sz w:val="17"/>
                <w:szCs w:val="17"/>
              </w:rPr>
              <w:t xml:space="preserve"> reporting.</w:t>
            </w:r>
          </w:p>
        </w:tc>
      </w:tr>
      <w:tr w:rsidR="003C0DE6" w:rsidRPr="0023654F" w14:paraId="5BB862DB" w14:textId="77777777" w:rsidTr="00826BF3">
        <w:tc>
          <w:tcPr>
            <w:tcW w:w="2008" w:type="dxa"/>
          </w:tcPr>
          <w:p w14:paraId="199BA729" w14:textId="77777777" w:rsidR="003C0DE6" w:rsidRPr="0023654F" w:rsidRDefault="003C0DE6" w:rsidP="00826BF3">
            <w:pPr>
              <w:spacing w:before="40" w:after="40"/>
              <w:rPr>
                <w:sz w:val="17"/>
                <w:lang w:eastAsia="en-GB"/>
              </w:rPr>
            </w:pPr>
            <w:r w:rsidRPr="0023654F">
              <w:rPr>
                <w:b/>
                <w:sz w:val="17"/>
                <w:lang w:eastAsia="en-GB"/>
              </w:rPr>
              <w:t>Frequency:</w:t>
            </w:r>
          </w:p>
        </w:tc>
        <w:tc>
          <w:tcPr>
            <w:tcW w:w="7234" w:type="dxa"/>
          </w:tcPr>
          <w:p w14:paraId="036884B9" w14:textId="77777777" w:rsidR="003C0DE6" w:rsidRPr="00CF3DCF" w:rsidRDefault="003C0DE6" w:rsidP="00826BF3">
            <w:pPr>
              <w:spacing w:before="40" w:after="40"/>
              <w:jc w:val="both"/>
              <w:rPr>
                <w:rFonts w:eastAsia="新細明體"/>
                <w:sz w:val="17"/>
                <w:lang w:eastAsia="en-GB"/>
              </w:rPr>
            </w:pPr>
            <w:r w:rsidRPr="00CF3DCF">
              <w:rPr>
                <w:rFonts w:eastAsia="新細明體"/>
                <w:sz w:val="17"/>
                <w:lang w:eastAsia="en-GB"/>
              </w:rPr>
              <w:t>Semi-annual.</w:t>
            </w:r>
          </w:p>
        </w:tc>
      </w:tr>
      <w:tr w:rsidR="003C0DE6" w:rsidRPr="0023654F" w14:paraId="7031ECE5" w14:textId="77777777" w:rsidTr="00826BF3">
        <w:tc>
          <w:tcPr>
            <w:tcW w:w="2008" w:type="dxa"/>
          </w:tcPr>
          <w:p w14:paraId="4BB5477F" w14:textId="77777777" w:rsidR="003C0DE6" w:rsidRPr="0023654F" w:rsidRDefault="003C0DE6" w:rsidP="00826BF3">
            <w:pPr>
              <w:spacing w:before="40" w:after="40"/>
              <w:rPr>
                <w:sz w:val="17"/>
                <w:lang w:eastAsia="en-GB"/>
              </w:rPr>
            </w:pPr>
            <w:r w:rsidRPr="0023654F">
              <w:rPr>
                <w:b/>
                <w:sz w:val="17"/>
                <w:lang w:eastAsia="en-GB"/>
              </w:rPr>
              <w:t>Format:</w:t>
            </w:r>
          </w:p>
        </w:tc>
        <w:tc>
          <w:tcPr>
            <w:tcW w:w="7234" w:type="dxa"/>
          </w:tcPr>
          <w:p w14:paraId="0484A81C" w14:textId="77777777" w:rsidR="003C0DE6" w:rsidRPr="00C979AC" w:rsidRDefault="003C0DE6" w:rsidP="00826BF3">
            <w:pPr>
              <w:spacing w:before="40" w:after="40"/>
              <w:jc w:val="both"/>
              <w:rPr>
                <w:sz w:val="17"/>
                <w:szCs w:val="17"/>
              </w:rPr>
            </w:pPr>
            <w:r w:rsidRPr="00CF3DCF">
              <w:rPr>
                <w:rFonts w:eastAsia="新細明體"/>
                <w:sz w:val="17"/>
                <w:lang w:eastAsia="en-GB"/>
              </w:rPr>
              <w:t xml:space="preserve">Flexible rows 1 to N (to cater for the number of jurisdictions to which the AI has private sector credit exposures and with a non-zero </w:t>
            </w:r>
            <w:r>
              <w:rPr>
                <w:sz w:val="17"/>
                <w:szCs w:val="17"/>
              </w:rPr>
              <w:t>applicable JCCyB ratio)</w:t>
            </w:r>
            <w:r w:rsidRPr="00CF3DCF">
              <w:rPr>
                <w:rFonts w:eastAsia="新細明體"/>
                <w:sz w:val="17"/>
                <w:lang w:eastAsia="en-GB"/>
              </w:rPr>
              <w:t xml:space="preserve">.  Fixed rows N+1, N+2 and columns. </w:t>
            </w:r>
          </w:p>
        </w:tc>
      </w:tr>
      <w:tr w:rsidR="003C0DE6" w:rsidRPr="0023654F" w14:paraId="0FA76DD1" w14:textId="77777777" w:rsidTr="00826BF3">
        <w:tc>
          <w:tcPr>
            <w:tcW w:w="2008" w:type="dxa"/>
          </w:tcPr>
          <w:p w14:paraId="465A0C45" w14:textId="77777777" w:rsidR="003C0DE6" w:rsidRPr="0023654F" w:rsidRDefault="003C0DE6" w:rsidP="00826BF3">
            <w:pPr>
              <w:spacing w:before="40" w:after="40"/>
              <w:rPr>
                <w:b/>
                <w:sz w:val="17"/>
                <w:lang w:eastAsia="en-GB"/>
              </w:rPr>
            </w:pPr>
            <w:r w:rsidRPr="00CF3DCF">
              <w:rPr>
                <w:rFonts w:eastAsia="新細明體"/>
                <w:b/>
                <w:sz w:val="17"/>
                <w:szCs w:val="17"/>
                <w:lang w:eastAsia="en-GB"/>
              </w:rPr>
              <w:t>Accompanying narrative</w:t>
            </w:r>
            <w:r w:rsidRPr="00CF3DCF">
              <w:rPr>
                <w:rFonts w:eastAsia="新細明體"/>
                <w:sz w:val="17"/>
                <w:szCs w:val="17"/>
                <w:lang w:eastAsia="en-GB"/>
              </w:rPr>
              <w:t>:</w:t>
            </w:r>
          </w:p>
        </w:tc>
        <w:tc>
          <w:tcPr>
            <w:tcW w:w="7234" w:type="dxa"/>
          </w:tcPr>
          <w:p w14:paraId="07958F4F" w14:textId="05D2128E" w:rsidR="003C0DE6" w:rsidRPr="00CF3DCF" w:rsidRDefault="003C0DE6" w:rsidP="008C17FF">
            <w:pPr>
              <w:spacing w:before="40" w:after="40"/>
              <w:jc w:val="both"/>
              <w:rPr>
                <w:rFonts w:eastAsia="新細明體"/>
                <w:sz w:val="17"/>
                <w:szCs w:val="17"/>
                <w:lang w:val="en-US" w:eastAsia="zh-TW"/>
              </w:rPr>
            </w:pPr>
            <w:r>
              <w:rPr>
                <w:sz w:val="17"/>
                <w:szCs w:val="17"/>
              </w:rPr>
              <w:t>For the purposes of the CCyB, an AI must use, where possible, exposures on an “ultimate risk” basis.  It should disclose the methodology for geographical allocation used, and explain the exceptional jurisdictions or types of exposures for which the ultimate risk method is not used as a basis for allocation.</w:t>
            </w:r>
            <w:r>
              <w:rPr>
                <w:rStyle w:val="FootnoteReference"/>
                <w:sz w:val="17"/>
                <w:szCs w:val="17"/>
              </w:rPr>
              <w:footnoteReference w:id="6"/>
            </w:r>
            <w:r>
              <w:rPr>
                <w:sz w:val="17"/>
                <w:szCs w:val="17"/>
              </w:rPr>
              <w:t xml:space="preserve">  Information about the key drivers for changes in the RWA (or exposure amounts) and the applicable JCCyB ratios should be summarised. </w:t>
            </w:r>
          </w:p>
        </w:tc>
      </w:tr>
      <w:tr w:rsidR="003C0DE6" w:rsidRPr="0023654F" w14:paraId="22389BEA" w14:textId="77777777" w:rsidTr="00826BF3">
        <w:tc>
          <w:tcPr>
            <w:tcW w:w="2008" w:type="dxa"/>
          </w:tcPr>
          <w:p w14:paraId="252CB389" w14:textId="77777777" w:rsidR="003C0DE6" w:rsidRPr="00CF3DCF" w:rsidRDefault="003C0DE6" w:rsidP="00826BF3">
            <w:pPr>
              <w:spacing w:before="40" w:after="40"/>
              <w:rPr>
                <w:rFonts w:eastAsia="新細明體"/>
                <w:b/>
                <w:sz w:val="17"/>
                <w:szCs w:val="17"/>
                <w:lang w:eastAsia="en-GB"/>
              </w:rPr>
            </w:pPr>
            <w:r w:rsidRPr="00CF3DCF">
              <w:rPr>
                <w:rFonts w:eastAsia="新細明體"/>
                <w:b/>
                <w:sz w:val="17"/>
                <w:szCs w:val="17"/>
                <w:lang w:eastAsia="en-GB"/>
              </w:rPr>
              <w:t>Corresponding BDR section:</w:t>
            </w:r>
          </w:p>
        </w:tc>
        <w:tc>
          <w:tcPr>
            <w:tcW w:w="7234" w:type="dxa"/>
          </w:tcPr>
          <w:p w14:paraId="3EF0429F" w14:textId="77777777" w:rsidR="003C0DE6" w:rsidRDefault="003C0DE6" w:rsidP="00826BF3">
            <w:pPr>
              <w:pStyle w:val="TableText"/>
              <w:jc w:val="both"/>
              <w:rPr>
                <w:szCs w:val="17"/>
                <w:lang w:eastAsia="en-GB"/>
              </w:rPr>
            </w:pPr>
            <w:r w:rsidRPr="001B530B">
              <w:rPr>
                <w:szCs w:val="17"/>
                <w:lang w:eastAsia="en-GB"/>
              </w:rPr>
              <w:t>16FG</w:t>
            </w:r>
          </w:p>
        </w:tc>
      </w:tr>
    </w:tbl>
    <w:p w14:paraId="4C78A63B" w14:textId="77777777" w:rsidR="003C0DE6" w:rsidRDefault="003C0DE6" w:rsidP="00A32DCC">
      <w:pPr>
        <w:spacing w:before="120" w:after="120"/>
        <w:rPr>
          <w:sz w:val="22"/>
        </w:rPr>
      </w:pPr>
    </w:p>
    <w:tbl>
      <w:tblPr>
        <w:tblW w:w="9214" w:type="dxa"/>
        <w:tblInd w:w="-459"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ayout w:type="fixed"/>
        <w:tblLook w:val="00A0" w:firstRow="1" w:lastRow="0" w:firstColumn="1" w:lastColumn="0" w:noHBand="0" w:noVBand="0"/>
      </w:tblPr>
      <w:tblGrid>
        <w:gridCol w:w="993"/>
        <w:gridCol w:w="2126"/>
        <w:gridCol w:w="1523"/>
        <w:gridCol w:w="1524"/>
        <w:gridCol w:w="1524"/>
        <w:gridCol w:w="1524"/>
      </w:tblGrid>
      <w:tr w:rsidR="000B5222" w:rsidRPr="0023654F" w14:paraId="473CFBBE" w14:textId="77777777" w:rsidTr="000026DD">
        <w:trPr>
          <w:cantSplit/>
          <w:trHeight w:val="107"/>
          <w:tblHeader/>
        </w:trPr>
        <w:tc>
          <w:tcPr>
            <w:tcW w:w="993" w:type="dxa"/>
            <w:tcBorders>
              <w:top w:val="nil"/>
              <w:left w:val="nil"/>
              <w:bottom w:val="single" w:sz="4" w:space="0" w:color="auto"/>
              <w:right w:val="single" w:sz="4" w:space="0" w:color="auto"/>
            </w:tcBorders>
          </w:tcPr>
          <w:p w14:paraId="471A1519" w14:textId="77777777" w:rsidR="000B5222" w:rsidRPr="0023654F" w:rsidRDefault="000B5222" w:rsidP="000026DD">
            <w:pPr>
              <w:pStyle w:val="TableText"/>
              <w:snapToGrid w:val="0"/>
              <w:rPr>
                <w:lang w:eastAsia="en-GB"/>
              </w:rPr>
            </w:pPr>
          </w:p>
        </w:tc>
        <w:tc>
          <w:tcPr>
            <w:tcW w:w="2126" w:type="dxa"/>
            <w:tcBorders>
              <w:top w:val="single" w:sz="4" w:space="0" w:color="auto"/>
              <w:left w:val="single" w:sz="4" w:space="0" w:color="auto"/>
              <w:bottom w:val="single" w:sz="4" w:space="0" w:color="auto"/>
              <w:right w:val="single" w:sz="4" w:space="0" w:color="auto"/>
            </w:tcBorders>
            <w:vAlign w:val="center"/>
          </w:tcPr>
          <w:p w14:paraId="4EA83A85" w14:textId="77777777" w:rsidR="000B5222" w:rsidRPr="0085469C" w:rsidRDefault="000B5222" w:rsidP="000026DD">
            <w:pPr>
              <w:pStyle w:val="TableText"/>
              <w:snapToGrid w:val="0"/>
              <w:rPr>
                <w:bCs/>
                <w:szCs w:val="17"/>
                <w:lang w:eastAsia="it-IT"/>
              </w:rPr>
            </w:pPr>
          </w:p>
        </w:tc>
        <w:tc>
          <w:tcPr>
            <w:tcW w:w="1523" w:type="dxa"/>
            <w:tcBorders>
              <w:top w:val="single" w:sz="4" w:space="0" w:color="auto"/>
              <w:left w:val="single" w:sz="4" w:space="0" w:color="auto"/>
              <w:bottom w:val="single" w:sz="4" w:space="0" w:color="auto"/>
              <w:right w:val="single" w:sz="4" w:space="0" w:color="auto"/>
            </w:tcBorders>
            <w:vAlign w:val="center"/>
          </w:tcPr>
          <w:p w14:paraId="26D9E360" w14:textId="77777777" w:rsidR="000B5222" w:rsidRPr="0085469C" w:rsidRDefault="000B5222" w:rsidP="000026DD">
            <w:pPr>
              <w:spacing w:before="120" w:after="60" w:line="100" w:lineRule="exact"/>
              <w:jc w:val="center"/>
              <w:rPr>
                <w:bCs/>
                <w:sz w:val="17"/>
                <w:szCs w:val="17"/>
                <w:lang w:eastAsia="it-IT"/>
              </w:rPr>
            </w:pPr>
            <w:r w:rsidRPr="0085469C">
              <w:rPr>
                <w:bCs/>
                <w:sz w:val="17"/>
                <w:szCs w:val="17"/>
                <w:lang w:eastAsia="it-IT"/>
              </w:rPr>
              <w:t>(a)</w:t>
            </w:r>
          </w:p>
        </w:tc>
        <w:tc>
          <w:tcPr>
            <w:tcW w:w="1524" w:type="dxa"/>
            <w:tcBorders>
              <w:top w:val="single" w:sz="4" w:space="0" w:color="auto"/>
              <w:left w:val="nil"/>
              <w:bottom w:val="single" w:sz="4" w:space="0" w:color="auto"/>
              <w:right w:val="single" w:sz="4" w:space="0" w:color="auto"/>
            </w:tcBorders>
            <w:vAlign w:val="center"/>
          </w:tcPr>
          <w:p w14:paraId="0FF4924D" w14:textId="77777777" w:rsidR="000B5222" w:rsidRPr="0085469C" w:rsidRDefault="000B5222" w:rsidP="000026DD">
            <w:pPr>
              <w:spacing w:before="120" w:after="60" w:line="100" w:lineRule="exact"/>
              <w:jc w:val="center"/>
              <w:rPr>
                <w:bCs/>
                <w:sz w:val="17"/>
                <w:szCs w:val="17"/>
                <w:lang w:eastAsia="it-IT"/>
              </w:rPr>
            </w:pPr>
            <w:r w:rsidRPr="0085469C">
              <w:rPr>
                <w:bCs/>
                <w:sz w:val="17"/>
                <w:szCs w:val="17"/>
                <w:lang w:eastAsia="it-IT"/>
              </w:rPr>
              <w:t>(</w:t>
            </w:r>
            <w:r>
              <w:rPr>
                <w:bCs/>
                <w:sz w:val="17"/>
                <w:szCs w:val="17"/>
                <w:lang w:eastAsia="it-IT"/>
              </w:rPr>
              <w:t>c</w:t>
            </w:r>
            <w:r w:rsidRPr="0085469C">
              <w:rPr>
                <w:bCs/>
                <w:sz w:val="17"/>
                <w:szCs w:val="17"/>
                <w:lang w:eastAsia="it-IT"/>
              </w:rPr>
              <w:t>)</w:t>
            </w:r>
          </w:p>
        </w:tc>
        <w:tc>
          <w:tcPr>
            <w:tcW w:w="1524" w:type="dxa"/>
            <w:tcBorders>
              <w:top w:val="single" w:sz="4" w:space="0" w:color="auto"/>
              <w:left w:val="nil"/>
              <w:bottom w:val="single" w:sz="4" w:space="0" w:color="auto"/>
              <w:right w:val="single" w:sz="4" w:space="0" w:color="auto"/>
            </w:tcBorders>
            <w:vAlign w:val="center"/>
          </w:tcPr>
          <w:p w14:paraId="349D3ED5" w14:textId="77777777" w:rsidR="000B5222" w:rsidRPr="0085469C" w:rsidRDefault="000B5222" w:rsidP="000026DD">
            <w:pPr>
              <w:spacing w:before="120" w:after="60" w:line="100" w:lineRule="exact"/>
              <w:jc w:val="center"/>
              <w:rPr>
                <w:bCs/>
                <w:sz w:val="17"/>
                <w:szCs w:val="17"/>
                <w:lang w:eastAsia="it-IT"/>
              </w:rPr>
            </w:pPr>
            <w:r w:rsidRPr="0085469C">
              <w:rPr>
                <w:bCs/>
                <w:sz w:val="17"/>
                <w:szCs w:val="17"/>
                <w:lang w:eastAsia="it-IT"/>
              </w:rPr>
              <w:t>(</w:t>
            </w:r>
            <w:r>
              <w:rPr>
                <w:bCs/>
                <w:sz w:val="17"/>
                <w:szCs w:val="17"/>
                <w:lang w:eastAsia="it-IT"/>
              </w:rPr>
              <w:t>d</w:t>
            </w:r>
            <w:r w:rsidRPr="0085469C">
              <w:rPr>
                <w:bCs/>
                <w:sz w:val="17"/>
                <w:szCs w:val="17"/>
                <w:lang w:eastAsia="it-IT"/>
              </w:rPr>
              <w:t>)</w:t>
            </w:r>
          </w:p>
        </w:tc>
        <w:tc>
          <w:tcPr>
            <w:tcW w:w="1524" w:type="dxa"/>
            <w:tcBorders>
              <w:top w:val="single" w:sz="4" w:space="0" w:color="auto"/>
              <w:left w:val="single" w:sz="4" w:space="0" w:color="auto"/>
              <w:bottom w:val="single" w:sz="4" w:space="0" w:color="auto"/>
              <w:right w:val="single" w:sz="4" w:space="0" w:color="auto"/>
            </w:tcBorders>
            <w:vAlign w:val="center"/>
          </w:tcPr>
          <w:p w14:paraId="0F804753" w14:textId="77777777" w:rsidR="000B5222" w:rsidRPr="0085469C" w:rsidRDefault="000B5222" w:rsidP="000026DD">
            <w:pPr>
              <w:pStyle w:val="TableText"/>
              <w:spacing w:before="120" w:after="60" w:line="100" w:lineRule="exact"/>
              <w:jc w:val="center"/>
              <w:rPr>
                <w:bCs/>
                <w:szCs w:val="17"/>
                <w:lang w:eastAsia="it-IT"/>
              </w:rPr>
            </w:pPr>
            <w:r w:rsidRPr="0085469C">
              <w:rPr>
                <w:bCs/>
                <w:szCs w:val="17"/>
                <w:lang w:eastAsia="it-IT"/>
              </w:rPr>
              <w:t>(</w:t>
            </w:r>
            <w:r>
              <w:rPr>
                <w:bCs/>
                <w:szCs w:val="17"/>
                <w:lang w:eastAsia="it-IT"/>
              </w:rPr>
              <w:t>e</w:t>
            </w:r>
            <w:r w:rsidRPr="0085469C">
              <w:rPr>
                <w:bCs/>
                <w:szCs w:val="17"/>
                <w:lang w:eastAsia="it-IT"/>
              </w:rPr>
              <w:t>)</w:t>
            </w:r>
          </w:p>
        </w:tc>
      </w:tr>
      <w:tr w:rsidR="000B5222" w:rsidRPr="0023654F" w14:paraId="68CAA527" w14:textId="77777777" w:rsidTr="000026DD">
        <w:trPr>
          <w:cantSplit/>
          <w:tblHeader/>
        </w:trPr>
        <w:tc>
          <w:tcPr>
            <w:tcW w:w="993" w:type="dxa"/>
            <w:tcBorders>
              <w:top w:val="single" w:sz="4" w:space="0" w:color="auto"/>
              <w:left w:val="nil"/>
              <w:bottom w:val="single" w:sz="4" w:space="0" w:color="auto"/>
              <w:right w:val="single" w:sz="4" w:space="0" w:color="auto"/>
            </w:tcBorders>
            <w:vAlign w:val="center"/>
          </w:tcPr>
          <w:p w14:paraId="09927188" w14:textId="77777777" w:rsidR="000B5222" w:rsidRPr="00665E29" w:rsidRDefault="000B5222" w:rsidP="000026DD">
            <w:pPr>
              <w:pStyle w:val="TableText"/>
              <w:snapToGrid w:val="0"/>
              <w:jc w:val="center"/>
              <w:rPr>
                <w:b/>
                <w:lang w:eastAsia="en-GB"/>
              </w:rPr>
            </w:pPr>
          </w:p>
        </w:tc>
        <w:tc>
          <w:tcPr>
            <w:tcW w:w="2126" w:type="dxa"/>
            <w:tcBorders>
              <w:top w:val="single" w:sz="4" w:space="0" w:color="auto"/>
              <w:left w:val="single" w:sz="4" w:space="0" w:color="auto"/>
              <w:bottom w:val="single" w:sz="4" w:space="0" w:color="auto"/>
              <w:right w:val="single" w:sz="4" w:space="0" w:color="auto"/>
            </w:tcBorders>
            <w:vAlign w:val="center"/>
          </w:tcPr>
          <w:p w14:paraId="521A2926" w14:textId="77777777" w:rsidR="000B5222" w:rsidRPr="00961CCB" w:rsidRDefault="000B5222" w:rsidP="000026DD">
            <w:pPr>
              <w:pStyle w:val="TableText"/>
              <w:snapToGrid w:val="0"/>
              <w:jc w:val="center"/>
              <w:rPr>
                <w:b/>
                <w:lang w:eastAsia="en-GB"/>
              </w:rPr>
            </w:pPr>
            <w:r w:rsidRPr="00961CCB">
              <w:rPr>
                <w:b/>
                <w:lang w:eastAsia="en-GB"/>
              </w:rPr>
              <w:t>Geographical breakdown by Jurisdiction (J)</w:t>
            </w:r>
          </w:p>
        </w:tc>
        <w:tc>
          <w:tcPr>
            <w:tcW w:w="1523" w:type="dxa"/>
            <w:tcBorders>
              <w:top w:val="single" w:sz="4" w:space="0" w:color="auto"/>
              <w:left w:val="nil"/>
              <w:bottom w:val="single" w:sz="4" w:space="0" w:color="auto"/>
              <w:right w:val="single" w:sz="4" w:space="0" w:color="auto"/>
            </w:tcBorders>
            <w:vAlign w:val="center"/>
          </w:tcPr>
          <w:p w14:paraId="50A9803A" w14:textId="77777777" w:rsidR="000B5222" w:rsidRPr="00961CCB" w:rsidRDefault="000B5222" w:rsidP="000026DD">
            <w:pPr>
              <w:pStyle w:val="TableText"/>
              <w:snapToGrid w:val="0"/>
              <w:jc w:val="center"/>
              <w:rPr>
                <w:b/>
                <w:szCs w:val="17"/>
                <w:lang w:val="en-US" w:eastAsia="en-GB"/>
              </w:rPr>
            </w:pPr>
            <w:r w:rsidRPr="00961CCB">
              <w:rPr>
                <w:b/>
                <w:szCs w:val="17"/>
                <w:lang w:val="en-US" w:eastAsia="en-GB"/>
              </w:rPr>
              <w:t>Applicable JCCyB ratio in effect (%)</w:t>
            </w:r>
          </w:p>
        </w:tc>
        <w:tc>
          <w:tcPr>
            <w:tcW w:w="1524" w:type="dxa"/>
            <w:tcBorders>
              <w:top w:val="single" w:sz="4" w:space="0" w:color="auto"/>
              <w:left w:val="nil"/>
              <w:bottom w:val="single" w:sz="4" w:space="0" w:color="auto"/>
              <w:right w:val="single" w:sz="4" w:space="0" w:color="auto"/>
            </w:tcBorders>
            <w:vAlign w:val="center"/>
          </w:tcPr>
          <w:p w14:paraId="11A920B7" w14:textId="77777777" w:rsidR="000B5222" w:rsidRPr="00961CCB" w:rsidRDefault="000B5222" w:rsidP="000026DD">
            <w:pPr>
              <w:pStyle w:val="TableText"/>
              <w:snapToGrid w:val="0"/>
              <w:jc w:val="center"/>
              <w:rPr>
                <w:b/>
                <w:szCs w:val="17"/>
                <w:lang w:val="en-US" w:eastAsia="en-GB"/>
              </w:rPr>
            </w:pPr>
            <w:r w:rsidRPr="00961CCB">
              <w:rPr>
                <w:b/>
                <w:szCs w:val="17"/>
                <w:lang w:val="en-US" w:eastAsia="en-GB"/>
              </w:rPr>
              <w:t>RWA used in computation of CCyB ratio</w:t>
            </w:r>
          </w:p>
        </w:tc>
        <w:tc>
          <w:tcPr>
            <w:tcW w:w="1524" w:type="dxa"/>
            <w:tcBorders>
              <w:top w:val="single" w:sz="4" w:space="0" w:color="auto"/>
              <w:left w:val="nil"/>
              <w:bottom w:val="single" w:sz="4" w:space="0" w:color="auto"/>
              <w:right w:val="single" w:sz="4" w:space="0" w:color="auto"/>
            </w:tcBorders>
            <w:vAlign w:val="center"/>
          </w:tcPr>
          <w:p w14:paraId="2058D8AF" w14:textId="77777777" w:rsidR="000B5222" w:rsidRPr="00961CCB" w:rsidRDefault="000B5222" w:rsidP="000026DD">
            <w:pPr>
              <w:pStyle w:val="TableText"/>
              <w:snapToGrid w:val="0"/>
              <w:jc w:val="center"/>
              <w:rPr>
                <w:b/>
                <w:szCs w:val="17"/>
                <w:lang w:val="en-US" w:eastAsia="en-GB"/>
              </w:rPr>
            </w:pPr>
            <w:r>
              <w:rPr>
                <w:b/>
                <w:szCs w:val="17"/>
                <w:lang w:val="en-US" w:eastAsia="en-GB"/>
              </w:rPr>
              <w:t xml:space="preserve">AI-specific </w:t>
            </w:r>
            <w:r w:rsidRPr="00961CCB">
              <w:rPr>
                <w:b/>
                <w:szCs w:val="17"/>
                <w:lang w:val="en-US" w:eastAsia="en-GB"/>
              </w:rPr>
              <w:t>CCyB ratio (%)</w:t>
            </w:r>
          </w:p>
        </w:tc>
        <w:tc>
          <w:tcPr>
            <w:tcW w:w="1524" w:type="dxa"/>
            <w:tcBorders>
              <w:top w:val="single" w:sz="4" w:space="0" w:color="auto"/>
              <w:left w:val="single" w:sz="4" w:space="0" w:color="auto"/>
              <w:bottom w:val="single" w:sz="4" w:space="0" w:color="auto"/>
              <w:right w:val="single" w:sz="4" w:space="0" w:color="auto"/>
            </w:tcBorders>
            <w:vAlign w:val="center"/>
          </w:tcPr>
          <w:p w14:paraId="0B7D8100" w14:textId="77777777" w:rsidR="000B5222" w:rsidRPr="00961CCB" w:rsidRDefault="000B5222" w:rsidP="000026DD">
            <w:pPr>
              <w:pStyle w:val="TableText"/>
              <w:snapToGrid w:val="0"/>
              <w:jc w:val="center"/>
              <w:rPr>
                <w:b/>
                <w:szCs w:val="17"/>
              </w:rPr>
            </w:pPr>
            <w:r w:rsidRPr="00961CCB">
              <w:rPr>
                <w:b/>
                <w:szCs w:val="17"/>
              </w:rPr>
              <w:t>CCyB amount</w:t>
            </w:r>
          </w:p>
        </w:tc>
      </w:tr>
      <w:tr w:rsidR="000B5222" w:rsidRPr="0023654F" w14:paraId="17508615" w14:textId="77777777" w:rsidTr="000026DD">
        <w:trPr>
          <w:cantSplit/>
        </w:trPr>
        <w:tc>
          <w:tcPr>
            <w:tcW w:w="993" w:type="dxa"/>
            <w:tcBorders>
              <w:top w:val="single" w:sz="4" w:space="0" w:color="auto"/>
              <w:left w:val="nil"/>
              <w:bottom w:val="single" w:sz="4" w:space="0" w:color="D9D9D9"/>
              <w:right w:val="single" w:sz="4" w:space="0" w:color="auto"/>
            </w:tcBorders>
            <w:shd w:val="clear" w:color="auto" w:fill="auto"/>
          </w:tcPr>
          <w:p w14:paraId="412EC64C" w14:textId="77777777" w:rsidR="000B5222" w:rsidRPr="00911851" w:rsidRDefault="000B5222" w:rsidP="000026DD">
            <w:pPr>
              <w:pStyle w:val="TableText"/>
              <w:snapToGrid w:val="0"/>
              <w:rPr>
                <w:lang w:eastAsia="en-GB"/>
              </w:rPr>
            </w:pPr>
            <w:r>
              <w:rPr>
                <w:lang w:eastAsia="en-GB"/>
              </w:rPr>
              <w:t>1</w:t>
            </w:r>
          </w:p>
        </w:tc>
        <w:tc>
          <w:tcPr>
            <w:tcW w:w="2126" w:type="dxa"/>
            <w:tcBorders>
              <w:top w:val="single" w:sz="4" w:space="0" w:color="auto"/>
              <w:left w:val="single" w:sz="4" w:space="0" w:color="auto"/>
              <w:bottom w:val="single" w:sz="4" w:space="0" w:color="D9D9D9"/>
              <w:right w:val="single" w:sz="4" w:space="0" w:color="auto"/>
            </w:tcBorders>
            <w:shd w:val="clear" w:color="auto" w:fill="auto"/>
          </w:tcPr>
          <w:p w14:paraId="3A7A387D" w14:textId="77777777" w:rsidR="000B5222" w:rsidRPr="00701CEA" w:rsidRDefault="000B5222" w:rsidP="000026DD">
            <w:pPr>
              <w:pStyle w:val="TableText"/>
              <w:snapToGrid w:val="0"/>
              <w:rPr>
                <w:szCs w:val="17"/>
                <w:lang w:eastAsia="en-GB"/>
              </w:rPr>
            </w:pPr>
            <w:r>
              <w:rPr>
                <w:szCs w:val="17"/>
                <w:lang w:eastAsia="en-GB"/>
              </w:rPr>
              <w:t>Hong Kong SAR</w:t>
            </w:r>
          </w:p>
        </w:tc>
        <w:tc>
          <w:tcPr>
            <w:tcW w:w="1523" w:type="dxa"/>
            <w:tcBorders>
              <w:top w:val="single" w:sz="4" w:space="0" w:color="auto"/>
              <w:left w:val="single" w:sz="4" w:space="0" w:color="auto"/>
              <w:bottom w:val="single" w:sz="4" w:space="0" w:color="D9D9D9"/>
              <w:right w:val="single" w:sz="4" w:space="0" w:color="auto"/>
            </w:tcBorders>
            <w:shd w:val="clear" w:color="auto" w:fill="auto"/>
          </w:tcPr>
          <w:p w14:paraId="7DD5D5F1" w14:textId="77777777" w:rsidR="000B5222" w:rsidRPr="00701CEA" w:rsidRDefault="000B5222" w:rsidP="000026DD">
            <w:pPr>
              <w:pStyle w:val="TableText"/>
              <w:snapToGrid w:val="0"/>
              <w:rPr>
                <w:szCs w:val="17"/>
                <w:lang w:eastAsia="en-GB"/>
              </w:rPr>
            </w:pPr>
          </w:p>
        </w:tc>
        <w:tc>
          <w:tcPr>
            <w:tcW w:w="1524" w:type="dxa"/>
            <w:tcBorders>
              <w:top w:val="single" w:sz="4" w:space="0" w:color="auto"/>
              <w:left w:val="single" w:sz="4" w:space="0" w:color="auto"/>
              <w:bottom w:val="single" w:sz="4" w:space="0" w:color="D9D9D9"/>
              <w:right w:val="single" w:sz="4" w:space="0" w:color="auto"/>
            </w:tcBorders>
            <w:shd w:val="clear" w:color="auto" w:fill="auto"/>
          </w:tcPr>
          <w:p w14:paraId="0F7D8A25" w14:textId="77777777" w:rsidR="000B5222" w:rsidRPr="00701CEA" w:rsidRDefault="000B5222" w:rsidP="000026DD">
            <w:pPr>
              <w:pStyle w:val="TableText"/>
              <w:snapToGrid w:val="0"/>
              <w:rPr>
                <w:szCs w:val="17"/>
                <w:lang w:eastAsia="en-GB"/>
              </w:rPr>
            </w:pPr>
          </w:p>
        </w:tc>
        <w:tc>
          <w:tcPr>
            <w:tcW w:w="1524" w:type="dxa"/>
            <w:tcBorders>
              <w:top w:val="single" w:sz="4" w:space="0" w:color="auto"/>
              <w:left w:val="single" w:sz="4" w:space="0" w:color="auto"/>
              <w:bottom w:val="single" w:sz="4" w:space="0" w:color="808080"/>
              <w:right w:val="single" w:sz="4" w:space="0" w:color="auto"/>
            </w:tcBorders>
            <w:shd w:val="clear" w:color="auto" w:fill="808080"/>
          </w:tcPr>
          <w:p w14:paraId="5E297033" w14:textId="77777777" w:rsidR="000B5222" w:rsidRPr="00701CEA" w:rsidRDefault="000B5222" w:rsidP="000026DD">
            <w:pPr>
              <w:pStyle w:val="TableText"/>
              <w:snapToGrid w:val="0"/>
              <w:rPr>
                <w:szCs w:val="17"/>
                <w:lang w:eastAsia="en-GB"/>
              </w:rPr>
            </w:pPr>
          </w:p>
        </w:tc>
        <w:tc>
          <w:tcPr>
            <w:tcW w:w="1524" w:type="dxa"/>
            <w:tcBorders>
              <w:top w:val="single" w:sz="4" w:space="0" w:color="auto"/>
              <w:left w:val="single" w:sz="4" w:space="0" w:color="auto"/>
              <w:bottom w:val="single" w:sz="4" w:space="0" w:color="808080"/>
              <w:right w:val="single" w:sz="4" w:space="0" w:color="auto"/>
            </w:tcBorders>
            <w:shd w:val="clear" w:color="auto" w:fill="808080"/>
            <w:vAlign w:val="center"/>
          </w:tcPr>
          <w:p w14:paraId="76C24EA8" w14:textId="77777777" w:rsidR="000B5222" w:rsidRPr="00701CEA" w:rsidRDefault="000B5222" w:rsidP="000026DD">
            <w:pPr>
              <w:pStyle w:val="TableText"/>
              <w:snapToGrid w:val="0"/>
              <w:rPr>
                <w:szCs w:val="17"/>
                <w:lang w:eastAsia="en-GB"/>
              </w:rPr>
            </w:pPr>
          </w:p>
        </w:tc>
      </w:tr>
      <w:tr w:rsidR="000B5222" w:rsidRPr="0023654F" w14:paraId="7572E08F" w14:textId="77777777" w:rsidTr="000026DD">
        <w:trPr>
          <w:cantSplit/>
        </w:trPr>
        <w:tc>
          <w:tcPr>
            <w:tcW w:w="993" w:type="dxa"/>
            <w:tcBorders>
              <w:top w:val="single" w:sz="4" w:space="0" w:color="D9D9D9"/>
              <w:left w:val="nil"/>
              <w:bottom w:val="single" w:sz="4" w:space="0" w:color="D9D9D9"/>
              <w:right w:val="single" w:sz="4" w:space="0" w:color="auto"/>
            </w:tcBorders>
            <w:shd w:val="clear" w:color="auto" w:fill="auto"/>
          </w:tcPr>
          <w:p w14:paraId="0734A1A2" w14:textId="77777777" w:rsidR="000B5222" w:rsidRPr="0023654F" w:rsidRDefault="000B5222" w:rsidP="000026DD">
            <w:pPr>
              <w:pStyle w:val="TableText"/>
              <w:snapToGrid w:val="0"/>
              <w:rPr>
                <w:lang w:eastAsia="en-GB"/>
              </w:rPr>
            </w:pPr>
            <w:r w:rsidRPr="0023654F">
              <w:rPr>
                <w:lang w:eastAsia="en-GB"/>
              </w:rPr>
              <w:t>2</w:t>
            </w:r>
          </w:p>
        </w:tc>
        <w:tc>
          <w:tcPr>
            <w:tcW w:w="2126" w:type="dxa"/>
            <w:tcBorders>
              <w:top w:val="single" w:sz="4" w:space="0" w:color="D9D9D9"/>
              <w:left w:val="single" w:sz="4" w:space="0" w:color="auto"/>
              <w:bottom w:val="single" w:sz="4" w:space="0" w:color="D9D9D9"/>
              <w:right w:val="single" w:sz="4" w:space="0" w:color="auto"/>
            </w:tcBorders>
            <w:shd w:val="clear" w:color="auto" w:fill="auto"/>
            <w:vAlign w:val="center"/>
          </w:tcPr>
          <w:p w14:paraId="09297AB4" w14:textId="77777777" w:rsidR="000B5222" w:rsidRDefault="000B5222" w:rsidP="000026DD">
            <w:pPr>
              <w:pStyle w:val="TableText"/>
              <w:snapToGrid w:val="0"/>
              <w:rPr>
                <w:szCs w:val="17"/>
                <w:lang w:eastAsia="en-GB"/>
              </w:rPr>
            </w:pPr>
            <w:r>
              <w:rPr>
                <w:szCs w:val="17"/>
                <w:lang w:eastAsia="en-GB"/>
              </w:rPr>
              <w:t>Mainland China</w:t>
            </w:r>
          </w:p>
        </w:tc>
        <w:tc>
          <w:tcPr>
            <w:tcW w:w="1523" w:type="dxa"/>
            <w:tcBorders>
              <w:top w:val="single" w:sz="4" w:space="0" w:color="D9D9D9"/>
              <w:left w:val="single" w:sz="4" w:space="0" w:color="auto"/>
              <w:bottom w:val="single" w:sz="4" w:space="0" w:color="D9D9D9"/>
              <w:right w:val="single" w:sz="4" w:space="0" w:color="auto"/>
            </w:tcBorders>
            <w:shd w:val="clear" w:color="auto" w:fill="auto"/>
          </w:tcPr>
          <w:p w14:paraId="1754FD5F" w14:textId="77777777" w:rsidR="000B5222" w:rsidRPr="00701CEA" w:rsidRDefault="000B5222" w:rsidP="000026DD">
            <w:pPr>
              <w:pStyle w:val="TableText"/>
              <w:snapToGrid w:val="0"/>
              <w:rPr>
                <w:szCs w:val="17"/>
                <w:lang w:eastAsia="en-GB"/>
              </w:rPr>
            </w:pPr>
          </w:p>
        </w:tc>
        <w:tc>
          <w:tcPr>
            <w:tcW w:w="1524" w:type="dxa"/>
            <w:tcBorders>
              <w:top w:val="single" w:sz="4" w:space="0" w:color="D9D9D9"/>
              <w:left w:val="single" w:sz="4" w:space="0" w:color="auto"/>
              <w:bottom w:val="single" w:sz="4" w:space="0" w:color="D9D9D9"/>
              <w:right w:val="single" w:sz="4" w:space="0" w:color="auto"/>
            </w:tcBorders>
            <w:shd w:val="clear" w:color="auto" w:fill="auto"/>
          </w:tcPr>
          <w:p w14:paraId="3288DEE8" w14:textId="77777777" w:rsidR="000B5222" w:rsidRPr="00701CEA" w:rsidRDefault="000B5222" w:rsidP="000026DD">
            <w:pPr>
              <w:pStyle w:val="TableText"/>
              <w:snapToGrid w:val="0"/>
              <w:rPr>
                <w:szCs w:val="17"/>
                <w:lang w:eastAsia="en-GB"/>
              </w:rPr>
            </w:pPr>
          </w:p>
        </w:tc>
        <w:tc>
          <w:tcPr>
            <w:tcW w:w="1524" w:type="dxa"/>
            <w:tcBorders>
              <w:top w:val="single" w:sz="4" w:space="0" w:color="808080"/>
              <w:left w:val="single" w:sz="4" w:space="0" w:color="auto"/>
              <w:bottom w:val="single" w:sz="4" w:space="0" w:color="808080"/>
              <w:right w:val="single" w:sz="4" w:space="0" w:color="auto"/>
            </w:tcBorders>
            <w:shd w:val="clear" w:color="auto" w:fill="808080"/>
          </w:tcPr>
          <w:p w14:paraId="47DC495D" w14:textId="77777777" w:rsidR="000B5222" w:rsidRPr="00701CEA" w:rsidRDefault="000B5222" w:rsidP="000026DD">
            <w:pPr>
              <w:pStyle w:val="TableText"/>
              <w:snapToGrid w:val="0"/>
              <w:rPr>
                <w:szCs w:val="17"/>
                <w:lang w:eastAsia="en-GB"/>
              </w:rPr>
            </w:pPr>
          </w:p>
        </w:tc>
        <w:tc>
          <w:tcPr>
            <w:tcW w:w="1524" w:type="dxa"/>
            <w:tcBorders>
              <w:top w:val="single" w:sz="4" w:space="0" w:color="808080"/>
              <w:left w:val="single" w:sz="4" w:space="0" w:color="auto"/>
              <w:bottom w:val="single" w:sz="4" w:space="0" w:color="808080"/>
              <w:right w:val="single" w:sz="4" w:space="0" w:color="auto"/>
            </w:tcBorders>
            <w:shd w:val="clear" w:color="auto" w:fill="808080"/>
            <w:vAlign w:val="center"/>
          </w:tcPr>
          <w:p w14:paraId="68F761E1" w14:textId="77777777" w:rsidR="000B5222" w:rsidRPr="00701CEA" w:rsidRDefault="000B5222" w:rsidP="000026DD">
            <w:pPr>
              <w:pStyle w:val="TableText"/>
              <w:snapToGrid w:val="0"/>
              <w:rPr>
                <w:szCs w:val="17"/>
                <w:lang w:eastAsia="en-GB"/>
              </w:rPr>
            </w:pPr>
          </w:p>
        </w:tc>
      </w:tr>
      <w:tr w:rsidR="000B5222" w:rsidRPr="0023654F" w14:paraId="57996EE7" w14:textId="77777777" w:rsidTr="000026DD">
        <w:trPr>
          <w:cantSplit/>
        </w:trPr>
        <w:tc>
          <w:tcPr>
            <w:tcW w:w="993" w:type="dxa"/>
            <w:tcBorders>
              <w:top w:val="single" w:sz="4" w:space="0" w:color="D9D9D9"/>
              <w:left w:val="nil"/>
              <w:bottom w:val="single" w:sz="4" w:space="0" w:color="D9D9D9"/>
              <w:right w:val="single" w:sz="4" w:space="0" w:color="auto"/>
            </w:tcBorders>
            <w:shd w:val="clear" w:color="auto" w:fill="auto"/>
          </w:tcPr>
          <w:p w14:paraId="531DB666" w14:textId="77777777" w:rsidR="000B5222" w:rsidRPr="0023654F" w:rsidRDefault="000B5222" w:rsidP="000026DD">
            <w:pPr>
              <w:pStyle w:val="TableText"/>
              <w:snapToGrid w:val="0"/>
              <w:rPr>
                <w:lang w:eastAsia="en-GB"/>
              </w:rPr>
            </w:pPr>
            <w:r>
              <w:rPr>
                <w:lang w:eastAsia="en-GB"/>
              </w:rPr>
              <w:lastRenderedPageBreak/>
              <w:t>3</w:t>
            </w:r>
          </w:p>
        </w:tc>
        <w:tc>
          <w:tcPr>
            <w:tcW w:w="2126" w:type="dxa"/>
            <w:tcBorders>
              <w:top w:val="single" w:sz="4" w:space="0" w:color="D9D9D9"/>
              <w:left w:val="single" w:sz="4" w:space="0" w:color="auto"/>
              <w:bottom w:val="single" w:sz="4" w:space="0" w:color="D9D9D9"/>
              <w:right w:val="single" w:sz="4" w:space="0" w:color="auto"/>
            </w:tcBorders>
            <w:shd w:val="clear" w:color="auto" w:fill="auto"/>
            <w:vAlign w:val="center"/>
          </w:tcPr>
          <w:p w14:paraId="35EB48FD" w14:textId="77777777" w:rsidR="000B5222" w:rsidRDefault="000B5222" w:rsidP="000026DD">
            <w:pPr>
              <w:pStyle w:val="TableText"/>
              <w:snapToGrid w:val="0"/>
              <w:rPr>
                <w:szCs w:val="17"/>
                <w:lang w:eastAsia="en-GB"/>
              </w:rPr>
            </w:pPr>
            <w:r>
              <w:rPr>
                <w:szCs w:val="17"/>
                <w:lang w:eastAsia="en-GB"/>
              </w:rPr>
              <w:t>Country / Jurisdiction 3</w:t>
            </w:r>
          </w:p>
        </w:tc>
        <w:tc>
          <w:tcPr>
            <w:tcW w:w="1523" w:type="dxa"/>
            <w:tcBorders>
              <w:top w:val="single" w:sz="4" w:space="0" w:color="D9D9D9"/>
              <w:left w:val="single" w:sz="4" w:space="0" w:color="auto"/>
              <w:bottom w:val="single" w:sz="4" w:space="0" w:color="D9D9D9"/>
              <w:right w:val="single" w:sz="4" w:space="0" w:color="auto"/>
            </w:tcBorders>
            <w:shd w:val="clear" w:color="auto" w:fill="auto"/>
          </w:tcPr>
          <w:p w14:paraId="1E5BD4E6" w14:textId="77777777" w:rsidR="000B5222" w:rsidRPr="00701CEA" w:rsidRDefault="000B5222" w:rsidP="000026DD">
            <w:pPr>
              <w:pStyle w:val="TableText"/>
              <w:snapToGrid w:val="0"/>
              <w:rPr>
                <w:szCs w:val="17"/>
                <w:lang w:eastAsia="en-GB"/>
              </w:rPr>
            </w:pPr>
          </w:p>
        </w:tc>
        <w:tc>
          <w:tcPr>
            <w:tcW w:w="1524" w:type="dxa"/>
            <w:tcBorders>
              <w:top w:val="single" w:sz="4" w:space="0" w:color="D9D9D9"/>
              <w:left w:val="single" w:sz="4" w:space="0" w:color="auto"/>
              <w:bottom w:val="single" w:sz="4" w:space="0" w:color="D9D9D9"/>
              <w:right w:val="single" w:sz="4" w:space="0" w:color="auto"/>
            </w:tcBorders>
            <w:shd w:val="clear" w:color="auto" w:fill="auto"/>
          </w:tcPr>
          <w:p w14:paraId="44033DDE" w14:textId="77777777" w:rsidR="000B5222" w:rsidRPr="00701CEA" w:rsidRDefault="000B5222" w:rsidP="000026DD">
            <w:pPr>
              <w:pStyle w:val="TableText"/>
              <w:snapToGrid w:val="0"/>
              <w:rPr>
                <w:szCs w:val="17"/>
                <w:lang w:eastAsia="en-GB"/>
              </w:rPr>
            </w:pPr>
          </w:p>
        </w:tc>
        <w:tc>
          <w:tcPr>
            <w:tcW w:w="1524" w:type="dxa"/>
            <w:tcBorders>
              <w:top w:val="single" w:sz="4" w:space="0" w:color="808080"/>
              <w:left w:val="single" w:sz="4" w:space="0" w:color="auto"/>
              <w:bottom w:val="single" w:sz="4" w:space="0" w:color="808080"/>
              <w:right w:val="single" w:sz="4" w:space="0" w:color="auto"/>
            </w:tcBorders>
            <w:shd w:val="clear" w:color="auto" w:fill="808080"/>
          </w:tcPr>
          <w:p w14:paraId="4B693DF9" w14:textId="77777777" w:rsidR="000B5222" w:rsidRPr="00701CEA" w:rsidRDefault="000B5222" w:rsidP="000026DD">
            <w:pPr>
              <w:pStyle w:val="TableText"/>
              <w:snapToGrid w:val="0"/>
              <w:rPr>
                <w:szCs w:val="17"/>
                <w:lang w:eastAsia="en-GB"/>
              </w:rPr>
            </w:pPr>
          </w:p>
        </w:tc>
        <w:tc>
          <w:tcPr>
            <w:tcW w:w="1524" w:type="dxa"/>
            <w:tcBorders>
              <w:top w:val="single" w:sz="4" w:space="0" w:color="808080"/>
              <w:left w:val="single" w:sz="4" w:space="0" w:color="auto"/>
              <w:bottom w:val="single" w:sz="4" w:space="0" w:color="808080"/>
              <w:right w:val="single" w:sz="4" w:space="0" w:color="auto"/>
            </w:tcBorders>
            <w:shd w:val="clear" w:color="auto" w:fill="808080"/>
            <w:vAlign w:val="center"/>
          </w:tcPr>
          <w:p w14:paraId="1F7B4882" w14:textId="77777777" w:rsidR="000B5222" w:rsidRPr="00701CEA" w:rsidRDefault="000B5222" w:rsidP="000026DD">
            <w:pPr>
              <w:pStyle w:val="TableText"/>
              <w:snapToGrid w:val="0"/>
              <w:rPr>
                <w:szCs w:val="17"/>
                <w:lang w:eastAsia="en-GB"/>
              </w:rPr>
            </w:pPr>
          </w:p>
        </w:tc>
      </w:tr>
      <w:tr w:rsidR="000B5222" w:rsidRPr="0023654F" w14:paraId="3E0D0456" w14:textId="77777777" w:rsidTr="000026DD">
        <w:trPr>
          <w:cantSplit/>
        </w:trPr>
        <w:tc>
          <w:tcPr>
            <w:tcW w:w="993" w:type="dxa"/>
            <w:tcBorders>
              <w:top w:val="single" w:sz="4" w:space="0" w:color="D9D9D9"/>
              <w:left w:val="nil"/>
              <w:bottom w:val="single" w:sz="4" w:space="0" w:color="D9D9D9"/>
              <w:right w:val="single" w:sz="4" w:space="0" w:color="auto"/>
            </w:tcBorders>
            <w:shd w:val="clear" w:color="auto" w:fill="auto"/>
            <w:vAlign w:val="center"/>
          </w:tcPr>
          <w:p w14:paraId="34407F4B" w14:textId="77777777" w:rsidR="000B5222" w:rsidRPr="0023654F" w:rsidRDefault="000B5222" w:rsidP="000026DD">
            <w:pPr>
              <w:snapToGrid w:val="0"/>
              <w:contextualSpacing/>
              <w:rPr>
                <w:rFonts w:cs="Segoe UI"/>
                <w:sz w:val="17"/>
                <w:lang w:eastAsia="en-GB"/>
              </w:rPr>
            </w:pPr>
            <w:r w:rsidRPr="0023654F">
              <w:rPr>
                <w:rFonts w:cs="Segoe UI"/>
                <w:sz w:val="17"/>
                <w:lang w:eastAsia="en-GB"/>
              </w:rPr>
              <w:t>⁞</w:t>
            </w:r>
          </w:p>
        </w:tc>
        <w:tc>
          <w:tcPr>
            <w:tcW w:w="2126" w:type="dxa"/>
            <w:tcBorders>
              <w:top w:val="single" w:sz="4" w:space="0" w:color="D9D9D9"/>
              <w:left w:val="single" w:sz="4" w:space="0" w:color="auto"/>
              <w:bottom w:val="single" w:sz="4" w:space="0" w:color="D9D9D9"/>
              <w:right w:val="single" w:sz="4" w:space="0" w:color="auto"/>
            </w:tcBorders>
            <w:shd w:val="clear" w:color="auto" w:fill="auto"/>
            <w:vAlign w:val="center"/>
          </w:tcPr>
          <w:p w14:paraId="29601EE3" w14:textId="77777777" w:rsidR="000B5222" w:rsidRPr="0023654F" w:rsidRDefault="000B5222" w:rsidP="000026DD">
            <w:pPr>
              <w:snapToGrid w:val="0"/>
              <w:contextualSpacing/>
              <w:rPr>
                <w:rFonts w:cs="Segoe UI"/>
                <w:sz w:val="17"/>
                <w:lang w:eastAsia="en-GB"/>
              </w:rPr>
            </w:pPr>
            <w:r w:rsidRPr="0023654F">
              <w:rPr>
                <w:rFonts w:cs="Segoe UI"/>
                <w:sz w:val="17"/>
                <w:lang w:eastAsia="en-GB"/>
              </w:rPr>
              <w:t xml:space="preserve">⁞ </w:t>
            </w:r>
          </w:p>
        </w:tc>
        <w:tc>
          <w:tcPr>
            <w:tcW w:w="1523" w:type="dxa"/>
            <w:tcBorders>
              <w:top w:val="single" w:sz="4" w:space="0" w:color="D9D9D9"/>
              <w:left w:val="single" w:sz="4" w:space="0" w:color="auto"/>
              <w:bottom w:val="single" w:sz="4" w:space="0" w:color="D9D9D9"/>
              <w:right w:val="single" w:sz="4" w:space="0" w:color="auto"/>
            </w:tcBorders>
            <w:shd w:val="clear" w:color="auto" w:fill="auto"/>
          </w:tcPr>
          <w:p w14:paraId="678DBE9B" w14:textId="77777777" w:rsidR="000B5222" w:rsidRPr="00701CEA" w:rsidRDefault="000B5222" w:rsidP="000026DD">
            <w:pPr>
              <w:pStyle w:val="TableText"/>
              <w:snapToGrid w:val="0"/>
              <w:rPr>
                <w:szCs w:val="17"/>
                <w:lang w:eastAsia="en-GB"/>
              </w:rPr>
            </w:pPr>
          </w:p>
        </w:tc>
        <w:tc>
          <w:tcPr>
            <w:tcW w:w="1524" w:type="dxa"/>
            <w:tcBorders>
              <w:top w:val="single" w:sz="4" w:space="0" w:color="D9D9D9"/>
              <w:left w:val="single" w:sz="4" w:space="0" w:color="auto"/>
              <w:bottom w:val="single" w:sz="4" w:space="0" w:color="D9D9D9"/>
              <w:right w:val="single" w:sz="4" w:space="0" w:color="auto"/>
            </w:tcBorders>
            <w:shd w:val="clear" w:color="auto" w:fill="auto"/>
          </w:tcPr>
          <w:p w14:paraId="43D63FD6" w14:textId="77777777" w:rsidR="000B5222" w:rsidRPr="00701CEA" w:rsidRDefault="000B5222" w:rsidP="000026DD">
            <w:pPr>
              <w:pStyle w:val="TableText"/>
              <w:snapToGrid w:val="0"/>
              <w:rPr>
                <w:szCs w:val="17"/>
                <w:lang w:eastAsia="en-GB"/>
              </w:rPr>
            </w:pPr>
          </w:p>
        </w:tc>
        <w:tc>
          <w:tcPr>
            <w:tcW w:w="1524" w:type="dxa"/>
            <w:tcBorders>
              <w:top w:val="single" w:sz="4" w:space="0" w:color="808080"/>
              <w:left w:val="single" w:sz="4" w:space="0" w:color="auto"/>
              <w:bottom w:val="single" w:sz="4" w:space="0" w:color="808080"/>
              <w:right w:val="single" w:sz="4" w:space="0" w:color="auto"/>
            </w:tcBorders>
            <w:shd w:val="clear" w:color="auto" w:fill="808080"/>
          </w:tcPr>
          <w:p w14:paraId="0D5BD46E" w14:textId="77777777" w:rsidR="000B5222" w:rsidRPr="00701CEA" w:rsidRDefault="000B5222" w:rsidP="000026DD">
            <w:pPr>
              <w:pStyle w:val="TableText"/>
              <w:snapToGrid w:val="0"/>
              <w:rPr>
                <w:szCs w:val="17"/>
                <w:lang w:eastAsia="en-GB"/>
              </w:rPr>
            </w:pPr>
          </w:p>
        </w:tc>
        <w:tc>
          <w:tcPr>
            <w:tcW w:w="1524" w:type="dxa"/>
            <w:tcBorders>
              <w:top w:val="single" w:sz="4" w:space="0" w:color="808080"/>
              <w:left w:val="single" w:sz="4" w:space="0" w:color="auto"/>
              <w:bottom w:val="single" w:sz="4" w:space="0" w:color="808080"/>
              <w:right w:val="single" w:sz="4" w:space="0" w:color="auto"/>
            </w:tcBorders>
            <w:shd w:val="clear" w:color="auto" w:fill="808080"/>
            <w:vAlign w:val="center"/>
          </w:tcPr>
          <w:p w14:paraId="16F131B7" w14:textId="77777777" w:rsidR="000B5222" w:rsidRPr="00701CEA" w:rsidRDefault="000B5222" w:rsidP="000026DD">
            <w:pPr>
              <w:pStyle w:val="TableText"/>
              <w:snapToGrid w:val="0"/>
              <w:rPr>
                <w:szCs w:val="17"/>
                <w:lang w:eastAsia="en-GB"/>
              </w:rPr>
            </w:pPr>
          </w:p>
        </w:tc>
      </w:tr>
      <w:tr w:rsidR="000B5222" w:rsidRPr="0023654F" w14:paraId="0F006268" w14:textId="77777777" w:rsidTr="000026DD">
        <w:trPr>
          <w:cantSplit/>
        </w:trPr>
        <w:tc>
          <w:tcPr>
            <w:tcW w:w="993" w:type="dxa"/>
            <w:tcBorders>
              <w:top w:val="single" w:sz="4" w:space="0" w:color="D9D9D9"/>
              <w:left w:val="nil"/>
              <w:bottom w:val="single" w:sz="4" w:space="0" w:color="auto"/>
              <w:right w:val="single" w:sz="4" w:space="0" w:color="auto"/>
            </w:tcBorders>
            <w:shd w:val="clear" w:color="auto" w:fill="auto"/>
          </w:tcPr>
          <w:p w14:paraId="146C1C54" w14:textId="77777777" w:rsidR="000B5222" w:rsidRDefault="000B5222" w:rsidP="000026DD">
            <w:pPr>
              <w:pStyle w:val="TableText"/>
              <w:snapToGrid w:val="0"/>
              <w:rPr>
                <w:lang w:eastAsia="en-GB"/>
              </w:rPr>
            </w:pPr>
            <w:r>
              <w:rPr>
                <w:lang w:eastAsia="en-GB"/>
              </w:rPr>
              <w:t>N</w:t>
            </w:r>
          </w:p>
        </w:tc>
        <w:tc>
          <w:tcPr>
            <w:tcW w:w="2126" w:type="dxa"/>
            <w:tcBorders>
              <w:top w:val="single" w:sz="4" w:space="0" w:color="D9D9D9"/>
              <w:left w:val="single" w:sz="4" w:space="0" w:color="auto"/>
              <w:bottom w:val="single" w:sz="4" w:space="0" w:color="auto"/>
              <w:right w:val="single" w:sz="4" w:space="0" w:color="auto"/>
            </w:tcBorders>
            <w:shd w:val="clear" w:color="auto" w:fill="auto"/>
            <w:vAlign w:val="center"/>
          </w:tcPr>
          <w:p w14:paraId="12878821" w14:textId="77777777" w:rsidR="000B5222" w:rsidRDefault="000B5222" w:rsidP="000026DD">
            <w:pPr>
              <w:pStyle w:val="TableText"/>
              <w:snapToGrid w:val="0"/>
              <w:rPr>
                <w:szCs w:val="17"/>
                <w:lang w:eastAsia="en-GB"/>
              </w:rPr>
            </w:pPr>
            <w:r>
              <w:rPr>
                <w:szCs w:val="17"/>
                <w:lang w:eastAsia="en-GB"/>
              </w:rPr>
              <w:t>Country / Jurisdiction N</w:t>
            </w:r>
          </w:p>
        </w:tc>
        <w:tc>
          <w:tcPr>
            <w:tcW w:w="1523" w:type="dxa"/>
            <w:tcBorders>
              <w:top w:val="single" w:sz="4" w:space="0" w:color="D9D9D9"/>
              <w:left w:val="single" w:sz="4" w:space="0" w:color="auto"/>
              <w:bottom w:val="single" w:sz="4" w:space="0" w:color="auto"/>
              <w:right w:val="single" w:sz="4" w:space="0" w:color="auto"/>
            </w:tcBorders>
            <w:shd w:val="clear" w:color="auto" w:fill="auto"/>
          </w:tcPr>
          <w:p w14:paraId="747E03A5" w14:textId="77777777" w:rsidR="000B5222" w:rsidRPr="00701CEA" w:rsidRDefault="000B5222" w:rsidP="000026DD">
            <w:pPr>
              <w:pStyle w:val="TableText"/>
              <w:snapToGrid w:val="0"/>
              <w:rPr>
                <w:szCs w:val="17"/>
                <w:lang w:eastAsia="en-GB"/>
              </w:rPr>
            </w:pPr>
          </w:p>
        </w:tc>
        <w:tc>
          <w:tcPr>
            <w:tcW w:w="1524" w:type="dxa"/>
            <w:tcBorders>
              <w:top w:val="single" w:sz="4" w:space="0" w:color="D9D9D9"/>
              <w:left w:val="single" w:sz="4" w:space="0" w:color="auto"/>
              <w:bottom w:val="single" w:sz="4" w:space="0" w:color="auto"/>
              <w:right w:val="single" w:sz="4" w:space="0" w:color="auto"/>
            </w:tcBorders>
            <w:shd w:val="clear" w:color="auto" w:fill="auto"/>
          </w:tcPr>
          <w:p w14:paraId="215ED0D9" w14:textId="77777777" w:rsidR="000B5222" w:rsidRPr="00701CEA" w:rsidRDefault="000B5222" w:rsidP="000026DD">
            <w:pPr>
              <w:pStyle w:val="TableText"/>
              <w:snapToGrid w:val="0"/>
              <w:rPr>
                <w:szCs w:val="17"/>
                <w:lang w:eastAsia="en-GB"/>
              </w:rPr>
            </w:pPr>
          </w:p>
        </w:tc>
        <w:tc>
          <w:tcPr>
            <w:tcW w:w="1524" w:type="dxa"/>
            <w:tcBorders>
              <w:top w:val="single" w:sz="4" w:space="0" w:color="808080"/>
              <w:left w:val="single" w:sz="4" w:space="0" w:color="auto"/>
              <w:bottom w:val="single" w:sz="4" w:space="0" w:color="auto"/>
              <w:right w:val="single" w:sz="4" w:space="0" w:color="auto"/>
            </w:tcBorders>
            <w:shd w:val="clear" w:color="auto" w:fill="808080"/>
          </w:tcPr>
          <w:p w14:paraId="4D7ECAB4" w14:textId="77777777" w:rsidR="000B5222" w:rsidRPr="00701CEA" w:rsidRDefault="000B5222" w:rsidP="000026DD">
            <w:pPr>
              <w:pStyle w:val="TableText"/>
              <w:snapToGrid w:val="0"/>
              <w:rPr>
                <w:szCs w:val="17"/>
                <w:lang w:eastAsia="en-GB"/>
              </w:rPr>
            </w:pPr>
          </w:p>
        </w:tc>
        <w:tc>
          <w:tcPr>
            <w:tcW w:w="1524" w:type="dxa"/>
            <w:tcBorders>
              <w:top w:val="single" w:sz="4" w:space="0" w:color="808080"/>
              <w:left w:val="single" w:sz="4" w:space="0" w:color="auto"/>
              <w:bottom w:val="single" w:sz="4" w:space="0" w:color="auto"/>
              <w:right w:val="single" w:sz="4" w:space="0" w:color="auto"/>
            </w:tcBorders>
            <w:shd w:val="clear" w:color="auto" w:fill="808080"/>
            <w:vAlign w:val="center"/>
          </w:tcPr>
          <w:p w14:paraId="14334C3C" w14:textId="77777777" w:rsidR="000B5222" w:rsidRPr="00701CEA" w:rsidRDefault="000B5222" w:rsidP="000026DD">
            <w:pPr>
              <w:pStyle w:val="TableText"/>
              <w:snapToGrid w:val="0"/>
              <w:rPr>
                <w:szCs w:val="17"/>
                <w:lang w:eastAsia="en-GB"/>
              </w:rPr>
            </w:pPr>
          </w:p>
        </w:tc>
      </w:tr>
      <w:tr w:rsidR="000B5222" w:rsidRPr="0023654F" w14:paraId="235A045B" w14:textId="77777777" w:rsidTr="000026DD">
        <w:trPr>
          <w:cantSplit/>
        </w:trPr>
        <w:tc>
          <w:tcPr>
            <w:tcW w:w="993" w:type="dxa"/>
            <w:tcBorders>
              <w:top w:val="single" w:sz="4" w:space="0" w:color="auto"/>
              <w:left w:val="nil"/>
              <w:bottom w:val="single" w:sz="4" w:space="0" w:color="auto"/>
              <w:right w:val="single" w:sz="4" w:space="0" w:color="auto"/>
            </w:tcBorders>
            <w:shd w:val="clear" w:color="auto" w:fill="F2F2F2"/>
          </w:tcPr>
          <w:p w14:paraId="1CCBE3A2" w14:textId="77777777" w:rsidR="000B5222" w:rsidRDefault="000B5222" w:rsidP="000026DD">
            <w:pPr>
              <w:pStyle w:val="TableText"/>
              <w:snapToGrid w:val="0"/>
              <w:rPr>
                <w:lang w:eastAsia="en-GB"/>
              </w:rPr>
            </w:pPr>
            <w:r>
              <w:rPr>
                <w:lang w:eastAsia="en-GB"/>
              </w:rPr>
              <w:t>N+1</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54E88C00" w14:textId="77777777" w:rsidR="000B5222" w:rsidRDefault="000B5222" w:rsidP="000026DD">
            <w:pPr>
              <w:pStyle w:val="TableText"/>
              <w:snapToGrid w:val="0"/>
              <w:rPr>
                <w:szCs w:val="17"/>
                <w:lang w:eastAsia="en-GB"/>
              </w:rPr>
            </w:pPr>
            <w:r>
              <w:rPr>
                <w:szCs w:val="17"/>
                <w:lang w:eastAsia="en-GB"/>
              </w:rPr>
              <w:t>Sum</w:t>
            </w:r>
          </w:p>
        </w:tc>
        <w:tc>
          <w:tcPr>
            <w:tcW w:w="1523" w:type="dxa"/>
            <w:tcBorders>
              <w:top w:val="single" w:sz="4" w:space="0" w:color="auto"/>
              <w:left w:val="single" w:sz="4" w:space="0" w:color="auto"/>
              <w:bottom w:val="single" w:sz="4" w:space="0" w:color="auto"/>
              <w:right w:val="single" w:sz="4" w:space="0" w:color="auto"/>
            </w:tcBorders>
            <w:shd w:val="clear" w:color="auto" w:fill="808080"/>
          </w:tcPr>
          <w:p w14:paraId="784FC725" w14:textId="77777777" w:rsidR="000B5222" w:rsidRPr="00701CEA" w:rsidRDefault="000B5222" w:rsidP="000026DD">
            <w:pPr>
              <w:pStyle w:val="TableText"/>
              <w:snapToGrid w:val="0"/>
              <w:rPr>
                <w:szCs w:val="17"/>
                <w:lang w:eastAsia="en-GB"/>
              </w:rPr>
            </w:pPr>
          </w:p>
        </w:tc>
        <w:tc>
          <w:tcPr>
            <w:tcW w:w="1524" w:type="dxa"/>
            <w:tcBorders>
              <w:top w:val="single" w:sz="4" w:space="0" w:color="auto"/>
              <w:left w:val="single" w:sz="4" w:space="0" w:color="auto"/>
              <w:bottom w:val="single" w:sz="4" w:space="0" w:color="auto"/>
              <w:right w:val="single" w:sz="4" w:space="0" w:color="auto"/>
            </w:tcBorders>
            <w:shd w:val="clear" w:color="auto" w:fill="auto"/>
          </w:tcPr>
          <w:p w14:paraId="2797CCE8" w14:textId="77777777" w:rsidR="000B5222" w:rsidRPr="00701CEA" w:rsidRDefault="000B5222" w:rsidP="000026DD">
            <w:pPr>
              <w:pStyle w:val="TableText"/>
              <w:snapToGrid w:val="0"/>
              <w:rPr>
                <w:szCs w:val="17"/>
                <w:lang w:eastAsia="en-GB"/>
              </w:rPr>
            </w:pPr>
          </w:p>
        </w:tc>
        <w:tc>
          <w:tcPr>
            <w:tcW w:w="1524" w:type="dxa"/>
            <w:tcBorders>
              <w:top w:val="single" w:sz="4" w:space="0" w:color="auto"/>
              <w:left w:val="single" w:sz="4" w:space="0" w:color="auto"/>
              <w:bottom w:val="single" w:sz="4" w:space="0" w:color="auto"/>
              <w:right w:val="single" w:sz="4" w:space="0" w:color="auto"/>
            </w:tcBorders>
            <w:shd w:val="clear" w:color="auto" w:fill="808080"/>
          </w:tcPr>
          <w:p w14:paraId="059C9A81" w14:textId="77777777" w:rsidR="000B5222" w:rsidRPr="00701CEA" w:rsidRDefault="000B5222" w:rsidP="000026DD">
            <w:pPr>
              <w:pStyle w:val="TableText"/>
              <w:snapToGrid w:val="0"/>
              <w:rPr>
                <w:szCs w:val="17"/>
                <w:lang w:eastAsia="en-GB"/>
              </w:rPr>
            </w:pPr>
          </w:p>
        </w:tc>
        <w:tc>
          <w:tcPr>
            <w:tcW w:w="1524" w:type="dxa"/>
            <w:tcBorders>
              <w:top w:val="single" w:sz="4" w:space="0" w:color="auto"/>
              <w:left w:val="single" w:sz="4" w:space="0" w:color="auto"/>
              <w:bottom w:val="single" w:sz="4" w:space="0" w:color="auto"/>
              <w:right w:val="single" w:sz="4" w:space="0" w:color="auto"/>
            </w:tcBorders>
            <w:shd w:val="clear" w:color="auto" w:fill="808080"/>
            <w:vAlign w:val="center"/>
          </w:tcPr>
          <w:p w14:paraId="63DFFF82" w14:textId="77777777" w:rsidR="000B5222" w:rsidRPr="00701CEA" w:rsidRDefault="000B5222" w:rsidP="000026DD">
            <w:pPr>
              <w:pStyle w:val="TableText"/>
              <w:snapToGrid w:val="0"/>
              <w:rPr>
                <w:szCs w:val="17"/>
                <w:lang w:eastAsia="en-GB"/>
              </w:rPr>
            </w:pPr>
          </w:p>
        </w:tc>
      </w:tr>
      <w:tr w:rsidR="000B5222" w:rsidRPr="0023654F" w14:paraId="5B698D43" w14:textId="77777777" w:rsidTr="000026DD">
        <w:trPr>
          <w:cantSplit/>
        </w:trPr>
        <w:tc>
          <w:tcPr>
            <w:tcW w:w="993" w:type="dxa"/>
            <w:tcBorders>
              <w:top w:val="single" w:sz="4" w:space="0" w:color="auto"/>
              <w:left w:val="nil"/>
              <w:bottom w:val="single" w:sz="4" w:space="0" w:color="auto"/>
              <w:right w:val="single" w:sz="4" w:space="0" w:color="auto"/>
            </w:tcBorders>
            <w:shd w:val="clear" w:color="auto" w:fill="F2F2F2"/>
          </w:tcPr>
          <w:p w14:paraId="4F65E0A3" w14:textId="77777777" w:rsidR="000B5222" w:rsidRDefault="000B5222" w:rsidP="000026DD">
            <w:pPr>
              <w:pStyle w:val="TableText"/>
              <w:snapToGrid w:val="0"/>
              <w:rPr>
                <w:lang w:eastAsia="en-GB"/>
              </w:rPr>
            </w:pPr>
            <w:r>
              <w:rPr>
                <w:lang w:eastAsia="en-GB"/>
              </w:rPr>
              <w:t>N+2</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1267B54B" w14:textId="77777777" w:rsidR="000B5222" w:rsidRDefault="000B5222" w:rsidP="000026DD">
            <w:pPr>
              <w:pStyle w:val="TableText"/>
              <w:snapToGrid w:val="0"/>
              <w:rPr>
                <w:szCs w:val="17"/>
                <w:lang w:eastAsia="en-GB"/>
              </w:rPr>
            </w:pPr>
            <w:r>
              <w:rPr>
                <w:szCs w:val="17"/>
                <w:lang w:eastAsia="en-GB"/>
              </w:rPr>
              <w:t>Total</w:t>
            </w:r>
          </w:p>
        </w:tc>
        <w:tc>
          <w:tcPr>
            <w:tcW w:w="1523" w:type="dxa"/>
            <w:tcBorders>
              <w:top w:val="single" w:sz="4" w:space="0" w:color="auto"/>
              <w:left w:val="single" w:sz="4" w:space="0" w:color="auto"/>
              <w:bottom w:val="single" w:sz="4" w:space="0" w:color="auto"/>
              <w:right w:val="single" w:sz="4" w:space="0" w:color="auto"/>
            </w:tcBorders>
            <w:shd w:val="clear" w:color="auto" w:fill="808080"/>
          </w:tcPr>
          <w:p w14:paraId="2FA2BD30" w14:textId="77777777" w:rsidR="000B5222" w:rsidRPr="00701CEA" w:rsidRDefault="000B5222" w:rsidP="000026DD">
            <w:pPr>
              <w:pStyle w:val="TableText"/>
              <w:snapToGrid w:val="0"/>
              <w:rPr>
                <w:szCs w:val="17"/>
                <w:lang w:eastAsia="en-GB"/>
              </w:rPr>
            </w:pPr>
          </w:p>
        </w:tc>
        <w:tc>
          <w:tcPr>
            <w:tcW w:w="1524" w:type="dxa"/>
            <w:tcBorders>
              <w:top w:val="single" w:sz="4" w:space="0" w:color="auto"/>
              <w:left w:val="single" w:sz="4" w:space="0" w:color="auto"/>
              <w:bottom w:val="single" w:sz="4" w:space="0" w:color="auto"/>
              <w:right w:val="single" w:sz="4" w:space="0" w:color="auto"/>
            </w:tcBorders>
            <w:shd w:val="clear" w:color="auto" w:fill="auto"/>
          </w:tcPr>
          <w:p w14:paraId="1140A418" w14:textId="77777777" w:rsidR="000B5222" w:rsidRPr="00701CEA" w:rsidRDefault="000B5222" w:rsidP="000026DD">
            <w:pPr>
              <w:pStyle w:val="TableText"/>
              <w:snapToGrid w:val="0"/>
              <w:rPr>
                <w:szCs w:val="17"/>
                <w:lang w:eastAsia="en-GB"/>
              </w:rPr>
            </w:pPr>
          </w:p>
        </w:tc>
        <w:tc>
          <w:tcPr>
            <w:tcW w:w="1524" w:type="dxa"/>
            <w:tcBorders>
              <w:top w:val="single" w:sz="4" w:space="0" w:color="auto"/>
              <w:left w:val="single" w:sz="4" w:space="0" w:color="auto"/>
              <w:bottom w:val="single" w:sz="4" w:space="0" w:color="auto"/>
              <w:right w:val="single" w:sz="4" w:space="0" w:color="auto"/>
            </w:tcBorders>
            <w:shd w:val="clear" w:color="auto" w:fill="auto"/>
          </w:tcPr>
          <w:p w14:paraId="77E3F565" w14:textId="77777777" w:rsidR="000B5222" w:rsidRPr="00701CEA" w:rsidRDefault="000B5222" w:rsidP="000026DD">
            <w:pPr>
              <w:pStyle w:val="TableText"/>
              <w:snapToGrid w:val="0"/>
              <w:rPr>
                <w:szCs w:val="17"/>
                <w:lang w:eastAsia="en-GB"/>
              </w:rPr>
            </w:pP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14:paraId="7F4A2B3C" w14:textId="77777777" w:rsidR="000B5222" w:rsidRPr="00701CEA" w:rsidRDefault="000B5222" w:rsidP="000026DD">
            <w:pPr>
              <w:pStyle w:val="TableText"/>
              <w:snapToGrid w:val="0"/>
              <w:rPr>
                <w:szCs w:val="17"/>
                <w:lang w:eastAsia="en-GB"/>
              </w:rPr>
            </w:pPr>
          </w:p>
        </w:tc>
      </w:tr>
      <w:tr w:rsidR="000B5222" w:rsidRPr="0023654F" w14:paraId="4291EBE9" w14:textId="77777777" w:rsidTr="000026DD">
        <w:trPr>
          <w:cantSplit/>
        </w:trPr>
        <w:tc>
          <w:tcPr>
            <w:tcW w:w="9214" w:type="dxa"/>
            <w:gridSpan w:val="6"/>
            <w:tcBorders>
              <w:top w:val="single" w:sz="4" w:space="0" w:color="auto"/>
              <w:left w:val="nil"/>
              <w:bottom w:val="single" w:sz="4" w:space="0" w:color="auto"/>
              <w:right w:val="single" w:sz="4" w:space="0" w:color="auto"/>
            </w:tcBorders>
            <w:shd w:val="clear" w:color="auto" w:fill="auto"/>
          </w:tcPr>
          <w:p w14:paraId="7B5D35E7" w14:textId="77777777" w:rsidR="000B5222" w:rsidRPr="00B529EF" w:rsidRDefault="000B5222" w:rsidP="005D4AEA">
            <w:pPr>
              <w:pStyle w:val="TableText"/>
              <w:snapToGrid w:val="0"/>
              <w:spacing w:line="240" w:lineRule="exact"/>
              <w:jc w:val="both"/>
              <w:rPr>
                <w:i/>
                <w:szCs w:val="17"/>
                <w:lang w:eastAsia="it-IT"/>
              </w:rPr>
            </w:pPr>
            <w:r>
              <w:rPr>
                <w:i/>
                <w:szCs w:val="17"/>
                <w:lang w:eastAsia="it-IT"/>
              </w:rPr>
              <w:t>Point to n</w:t>
            </w:r>
            <w:r w:rsidRPr="00B529EF">
              <w:rPr>
                <w:i/>
                <w:szCs w:val="17"/>
                <w:lang w:eastAsia="it-IT"/>
              </w:rPr>
              <w:t>ote:</w:t>
            </w:r>
          </w:p>
          <w:p w14:paraId="41E9D4B5" w14:textId="3A22C6D7" w:rsidR="000B5222" w:rsidRPr="00701CEA" w:rsidRDefault="000B5222" w:rsidP="00B855B0">
            <w:pPr>
              <w:pStyle w:val="TableText"/>
              <w:numPr>
                <w:ilvl w:val="0"/>
                <w:numId w:val="69"/>
              </w:numPr>
              <w:snapToGrid w:val="0"/>
              <w:jc w:val="both"/>
              <w:rPr>
                <w:szCs w:val="17"/>
                <w:lang w:eastAsia="en-GB"/>
              </w:rPr>
            </w:pPr>
            <w:r>
              <w:rPr>
                <w:i/>
                <w:szCs w:val="17"/>
                <w:lang w:eastAsia="it-IT"/>
              </w:rPr>
              <w:t xml:space="preserve">no disclosure is required for </w:t>
            </w:r>
            <w:r w:rsidRPr="00B529EF">
              <w:rPr>
                <w:i/>
                <w:szCs w:val="17"/>
                <w:lang w:eastAsia="it-IT"/>
              </w:rPr>
              <w:t>items shaded in dark grey (</w:t>
            </w:r>
            <w:r>
              <w:rPr>
                <w:i/>
                <w:szCs w:val="17"/>
                <w:lang w:eastAsia="it-IT"/>
              </w:rPr>
              <w:t>i.</w:t>
            </w:r>
            <w:r w:rsidRPr="00B529EF">
              <w:rPr>
                <w:i/>
                <w:szCs w:val="17"/>
                <w:lang w:eastAsia="it-IT"/>
              </w:rPr>
              <w:t xml:space="preserve">e. </w:t>
            </w:r>
            <w:r>
              <w:rPr>
                <w:i/>
                <w:szCs w:val="17"/>
                <w:lang w:eastAsia="it-IT"/>
              </w:rPr>
              <w:t xml:space="preserve">column (d) and (e) in rows </w:t>
            </w:r>
            <w:r w:rsidR="00556068">
              <w:rPr>
                <w:i/>
                <w:szCs w:val="17"/>
                <w:lang w:eastAsia="it-IT"/>
              </w:rPr>
              <w:t>1</w:t>
            </w:r>
            <w:r>
              <w:rPr>
                <w:i/>
                <w:szCs w:val="17"/>
                <w:lang w:eastAsia="it-IT"/>
              </w:rPr>
              <w:t xml:space="preserve"> to N+1, </w:t>
            </w:r>
            <w:r w:rsidRPr="00B529EF">
              <w:rPr>
                <w:i/>
                <w:szCs w:val="17"/>
                <w:lang w:eastAsia="it-IT"/>
              </w:rPr>
              <w:t>cell</w:t>
            </w:r>
            <w:r>
              <w:rPr>
                <w:i/>
                <w:szCs w:val="17"/>
                <w:lang w:eastAsia="it-IT"/>
              </w:rPr>
              <w:t>s</w:t>
            </w:r>
            <w:r w:rsidRPr="00B529EF">
              <w:rPr>
                <w:i/>
                <w:szCs w:val="17"/>
                <w:lang w:eastAsia="it-IT"/>
              </w:rPr>
              <w:t xml:space="preserve"> </w:t>
            </w:r>
            <w:r>
              <w:rPr>
                <w:i/>
                <w:szCs w:val="17"/>
                <w:lang w:eastAsia="it-IT"/>
              </w:rPr>
              <w:t>N+1</w:t>
            </w:r>
            <w:r w:rsidRPr="00B529EF">
              <w:rPr>
                <w:i/>
                <w:szCs w:val="17"/>
                <w:lang w:eastAsia="it-IT"/>
              </w:rPr>
              <w:t>/a</w:t>
            </w:r>
            <w:r>
              <w:rPr>
                <w:i/>
                <w:szCs w:val="17"/>
                <w:lang w:eastAsia="it-IT"/>
              </w:rPr>
              <w:t xml:space="preserve"> and N+2/a</w:t>
            </w:r>
            <w:r w:rsidRPr="00B529EF">
              <w:rPr>
                <w:i/>
                <w:szCs w:val="17"/>
                <w:lang w:eastAsia="it-IT"/>
              </w:rPr>
              <w:t>).</w:t>
            </w:r>
          </w:p>
        </w:tc>
      </w:tr>
    </w:tbl>
    <w:p w14:paraId="25FC0784" w14:textId="77777777" w:rsidR="000B5222" w:rsidRDefault="000B5222" w:rsidP="00A32DCC">
      <w:pPr>
        <w:spacing w:before="120" w:after="120"/>
        <w:rPr>
          <w:sz w:val="22"/>
        </w:rPr>
      </w:pPr>
    </w:p>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8221"/>
      </w:tblGrid>
      <w:tr w:rsidR="00EF4A9B" w:rsidRPr="00280717" w14:paraId="21BBAF0E" w14:textId="77777777" w:rsidTr="00647044">
        <w:trPr>
          <w:tblHeader/>
        </w:trPr>
        <w:tc>
          <w:tcPr>
            <w:tcW w:w="9214" w:type="dxa"/>
            <w:gridSpan w:val="2"/>
            <w:shd w:val="clear" w:color="auto" w:fill="BFBFBF"/>
          </w:tcPr>
          <w:p w14:paraId="2CD27ABF" w14:textId="77777777" w:rsidR="00EF4A9B" w:rsidRPr="00CF3DCF" w:rsidRDefault="00EF4A9B" w:rsidP="00647044">
            <w:pPr>
              <w:spacing w:before="40" w:after="40"/>
              <w:jc w:val="both"/>
              <w:rPr>
                <w:rFonts w:eastAsia="新細明體"/>
                <w:b/>
                <w:sz w:val="17"/>
                <w:szCs w:val="17"/>
                <w:lang w:eastAsia="en-GB"/>
              </w:rPr>
            </w:pPr>
            <w:r w:rsidRPr="00CF3DCF">
              <w:rPr>
                <w:rFonts w:eastAsia="新細明體"/>
                <w:b/>
                <w:sz w:val="17"/>
                <w:szCs w:val="17"/>
                <w:lang w:eastAsia="en-GB"/>
              </w:rPr>
              <w:t>Explanatory Note</w:t>
            </w:r>
          </w:p>
        </w:tc>
      </w:tr>
      <w:tr w:rsidR="00EF4A9B" w:rsidRPr="00280717" w14:paraId="422B6886" w14:textId="77777777" w:rsidTr="00647044">
        <w:trPr>
          <w:trHeight w:val="153"/>
        </w:trPr>
        <w:tc>
          <w:tcPr>
            <w:tcW w:w="9214" w:type="dxa"/>
            <w:gridSpan w:val="2"/>
            <w:shd w:val="clear" w:color="auto" w:fill="F2F2F2"/>
          </w:tcPr>
          <w:p w14:paraId="3837725F" w14:textId="77777777" w:rsidR="00EF4A9B" w:rsidRPr="00CF3DCF" w:rsidRDefault="00EF4A9B" w:rsidP="00647044">
            <w:pPr>
              <w:spacing w:before="40" w:after="40"/>
              <w:jc w:val="both"/>
              <w:rPr>
                <w:rFonts w:eastAsia="新細明體"/>
                <w:b/>
                <w:sz w:val="17"/>
                <w:szCs w:val="17"/>
                <w:lang w:eastAsia="en-GB"/>
              </w:rPr>
            </w:pPr>
            <w:r w:rsidRPr="00CF3DCF">
              <w:rPr>
                <w:rFonts w:eastAsia="新細明體"/>
                <w:b/>
                <w:sz w:val="17"/>
                <w:szCs w:val="17"/>
                <w:lang w:eastAsia="en-GB"/>
              </w:rPr>
              <w:t>Columns</w:t>
            </w:r>
          </w:p>
        </w:tc>
      </w:tr>
      <w:tr w:rsidR="00EF4A9B" w:rsidRPr="00A539ED" w14:paraId="06AF6CE2" w14:textId="77777777" w:rsidTr="00647044">
        <w:tc>
          <w:tcPr>
            <w:tcW w:w="993" w:type="dxa"/>
            <w:shd w:val="clear" w:color="auto" w:fill="auto"/>
          </w:tcPr>
          <w:p w14:paraId="1655B77F" w14:textId="77777777" w:rsidR="00EF4A9B" w:rsidRPr="00CF3DCF" w:rsidRDefault="00EF4A9B" w:rsidP="00647044">
            <w:pPr>
              <w:keepLines/>
              <w:widowControl w:val="0"/>
              <w:tabs>
                <w:tab w:val="left" w:pos="150"/>
                <w:tab w:val="left" w:pos="397"/>
                <w:tab w:val="left" w:pos="1191"/>
              </w:tabs>
              <w:spacing w:before="40" w:after="40"/>
              <w:ind w:rightChars="-54" w:right="-108"/>
              <w:rPr>
                <w:rFonts w:cs="Segoe UI"/>
                <w:sz w:val="17"/>
                <w:szCs w:val="17"/>
                <w:lang w:eastAsia="en-GB"/>
              </w:rPr>
            </w:pPr>
            <w:r w:rsidRPr="00CF3DCF">
              <w:rPr>
                <w:rFonts w:cs="Segoe UI"/>
                <w:sz w:val="17"/>
                <w:szCs w:val="17"/>
                <w:lang w:eastAsia="en-GB"/>
              </w:rPr>
              <w:t>Jurisdiction (J)</w:t>
            </w:r>
          </w:p>
        </w:tc>
        <w:tc>
          <w:tcPr>
            <w:tcW w:w="8221" w:type="dxa"/>
            <w:shd w:val="clear" w:color="auto" w:fill="auto"/>
          </w:tcPr>
          <w:p w14:paraId="716D3C4E" w14:textId="77777777" w:rsidR="00EF4A9B" w:rsidRPr="001F229B" w:rsidRDefault="00EF4A9B" w:rsidP="00647044">
            <w:pPr>
              <w:pStyle w:val="TableText"/>
              <w:keepNext/>
              <w:jc w:val="both"/>
              <w:rPr>
                <w:szCs w:val="17"/>
              </w:rPr>
            </w:pPr>
            <w:r w:rsidRPr="00CF3DCF">
              <w:rPr>
                <w:szCs w:val="17"/>
              </w:rPr>
              <w:t xml:space="preserve">Report in this column names of jurisdictions in which the AI has private sector credit exposures (as defined in the BCR </w:t>
            </w:r>
            <w:r w:rsidRPr="00CF3DCF">
              <w:rPr>
                <w:rFonts w:cs="Segoe UI"/>
                <w:szCs w:val="17"/>
              </w:rPr>
              <w:t>§</w:t>
            </w:r>
            <w:r w:rsidRPr="00CF3DCF">
              <w:rPr>
                <w:szCs w:val="17"/>
              </w:rPr>
              <w:t xml:space="preserve">3N), </w:t>
            </w:r>
            <w:r>
              <w:rPr>
                <w:szCs w:val="17"/>
              </w:rPr>
              <w:t xml:space="preserve">and </w:t>
            </w:r>
            <w:r w:rsidRPr="00147BF3">
              <w:rPr>
                <w:szCs w:val="17"/>
              </w:rPr>
              <w:t>which has an applicable JCCyB ratio (within the meaning of the BCR) greater than zero as of the end date of the reporting period</w:t>
            </w:r>
            <w:r>
              <w:rPr>
                <w:szCs w:val="17"/>
              </w:rPr>
              <w:t xml:space="preserve">.  An AI should report </w:t>
            </w:r>
            <w:r w:rsidRPr="00CF3DCF">
              <w:rPr>
                <w:szCs w:val="17"/>
              </w:rPr>
              <w:t>one jurisdiction for each row, beginning with Hong Kong SAR (row 1), followed by Mainland China (row 2), then by all other jurisdictions in alphabetical order.</w:t>
            </w:r>
          </w:p>
        </w:tc>
      </w:tr>
      <w:tr w:rsidR="00EF4A9B" w:rsidRPr="00A539ED" w14:paraId="59E3D3B3" w14:textId="77777777" w:rsidTr="00647044">
        <w:tc>
          <w:tcPr>
            <w:tcW w:w="993" w:type="dxa"/>
            <w:shd w:val="clear" w:color="auto" w:fill="auto"/>
          </w:tcPr>
          <w:p w14:paraId="12F0C6FD" w14:textId="77777777" w:rsidR="00EF4A9B" w:rsidRPr="00CF3DCF" w:rsidRDefault="00EF4A9B" w:rsidP="00647044">
            <w:pPr>
              <w:keepLines/>
              <w:widowControl w:val="0"/>
              <w:tabs>
                <w:tab w:val="left" w:pos="150"/>
                <w:tab w:val="left" w:pos="397"/>
                <w:tab w:val="left" w:pos="794"/>
                <w:tab w:val="left" w:pos="1191"/>
              </w:tabs>
              <w:spacing w:before="40" w:after="40"/>
              <w:rPr>
                <w:rFonts w:cs="Segoe UI"/>
                <w:sz w:val="17"/>
                <w:szCs w:val="17"/>
                <w:lang w:eastAsia="en-GB"/>
              </w:rPr>
            </w:pPr>
            <w:r w:rsidRPr="00CF3DCF">
              <w:rPr>
                <w:rFonts w:cs="Segoe UI"/>
                <w:sz w:val="17"/>
                <w:szCs w:val="17"/>
                <w:lang w:eastAsia="en-GB"/>
              </w:rPr>
              <w:t>(a)</w:t>
            </w:r>
          </w:p>
        </w:tc>
        <w:tc>
          <w:tcPr>
            <w:tcW w:w="8221" w:type="dxa"/>
            <w:shd w:val="clear" w:color="auto" w:fill="auto"/>
          </w:tcPr>
          <w:p w14:paraId="3A0E83D2" w14:textId="77777777" w:rsidR="00EF4A9B" w:rsidRPr="00CF3DCF" w:rsidRDefault="00EF4A9B" w:rsidP="00647044">
            <w:pPr>
              <w:pStyle w:val="TableText"/>
              <w:keepNext/>
              <w:jc w:val="both"/>
              <w:rPr>
                <w:szCs w:val="17"/>
              </w:rPr>
            </w:pPr>
            <w:r w:rsidRPr="00CF3DCF">
              <w:rPr>
                <w:i/>
                <w:szCs w:val="17"/>
                <w:lang w:val="en-US" w:eastAsia="en-GB"/>
              </w:rPr>
              <w:t>Applicable JCCyB ratio in effect (%)</w:t>
            </w:r>
            <w:r w:rsidRPr="00CF3DCF">
              <w:rPr>
                <w:szCs w:val="17"/>
                <w:lang w:val="en-US" w:eastAsia="en-GB"/>
              </w:rPr>
              <w:t>:</w:t>
            </w:r>
            <w:r w:rsidRPr="00CF3DCF">
              <w:rPr>
                <w:b/>
                <w:szCs w:val="17"/>
                <w:lang w:val="en-US" w:eastAsia="en-GB"/>
              </w:rPr>
              <w:t xml:space="preserve"> </w:t>
            </w:r>
            <w:r w:rsidRPr="00CF3DCF">
              <w:rPr>
                <w:szCs w:val="17"/>
              </w:rPr>
              <w:t xml:space="preserve">report in each row of this column the applicable JCCyB ratio in respect of each relevant jurisdiction named in the </w:t>
            </w:r>
            <w:r w:rsidRPr="00CF3DCF">
              <w:rPr>
                <w:rFonts w:hint="eastAsia"/>
                <w:szCs w:val="17"/>
              </w:rPr>
              <w:t>“</w:t>
            </w:r>
            <w:r w:rsidRPr="00CF3DCF">
              <w:rPr>
                <w:szCs w:val="17"/>
              </w:rPr>
              <w:t>Jurisdiction (J)” column</w:t>
            </w:r>
            <w:r>
              <w:rPr>
                <w:szCs w:val="17"/>
              </w:rPr>
              <w:t>.</w:t>
            </w:r>
            <w:r w:rsidRPr="00CF3DCF">
              <w:rPr>
                <w:szCs w:val="17"/>
              </w:rPr>
              <w:t xml:space="preserve">  JCCyB ratios that were set by the relevant national authority, but are not yet applicable in the jurisdiction concerned a</w:t>
            </w:r>
            <w:r>
              <w:rPr>
                <w:szCs w:val="17"/>
              </w:rPr>
              <w:t>s</w:t>
            </w:r>
            <w:r w:rsidRPr="00CF3DCF">
              <w:rPr>
                <w:szCs w:val="17"/>
              </w:rPr>
              <w:t xml:space="preserve"> </w:t>
            </w:r>
            <w:r>
              <w:rPr>
                <w:szCs w:val="17"/>
              </w:rPr>
              <w:t xml:space="preserve">of </w:t>
            </w:r>
            <w:r w:rsidRPr="00CF3DCF">
              <w:rPr>
                <w:szCs w:val="17"/>
              </w:rPr>
              <w:t xml:space="preserve">the </w:t>
            </w:r>
            <w:r>
              <w:rPr>
                <w:szCs w:val="17"/>
              </w:rPr>
              <w:t>reporting</w:t>
            </w:r>
            <w:r w:rsidRPr="00CF3DCF">
              <w:rPr>
                <w:szCs w:val="17"/>
              </w:rPr>
              <w:t xml:space="preserve"> date (pre-announced rates), should not be reported.</w:t>
            </w:r>
          </w:p>
        </w:tc>
      </w:tr>
      <w:tr w:rsidR="00EF4A9B" w:rsidRPr="00A539ED" w14:paraId="28B3F741" w14:textId="77777777" w:rsidTr="00647044">
        <w:tc>
          <w:tcPr>
            <w:tcW w:w="993" w:type="dxa"/>
            <w:shd w:val="clear" w:color="auto" w:fill="auto"/>
          </w:tcPr>
          <w:p w14:paraId="143D4DA6" w14:textId="77777777" w:rsidR="00EF4A9B" w:rsidRPr="00CF3DCF" w:rsidRDefault="00EF4A9B" w:rsidP="00647044">
            <w:pPr>
              <w:keepLines/>
              <w:widowControl w:val="0"/>
              <w:tabs>
                <w:tab w:val="left" w:pos="150"/>
                <w:tab w:val="left" w:pos="397"/>
                <w:tab w:val="left" w:pos="794"/>
                <w:tab w:val="left" w:pos="1191"/>
              </w:tabs>
              <w:spacing w:before="40" w:after="40"/>
              <w:rPr>
                <w:rFonts w:cs="Segoe UI"/>
                <w:sz w:val="17"/>
                <w:szCs w:val="17"/>
                <w:lang w:eastAsia="en-GB"/>
              </w:rPr>
            </w:pPr>
            <w:r w:rsidRPr="00CF3DCF">
              <w:rPr>
                <w:rFonts w:cs="Segoe UI"/>
                <w:sz w:val="17"/>
                <w:szCs w:val="17"/>
                <w:lang w:eastAsia="en-GB"/>
              </w:rPr>
              <w:t>(c)</w:t>
            </w:r>
          </w:p>
        </w:tc>
        <w:tc>
          <w:tcPr>
            <w:tcW w:w="8221" w:type="dxa"/>
            <w:shd w:val="clear" w:color="auto" w:fill="auto"/>
          </w:tcPr>
          <w:p w14:paraId="0ED8A80F" w14:textId="77777777" w:rsidR="00EF4A9B" w:rsidRPr="00310756" w:rsidRDefault="00EF4A9B" w:rsidP="00647044">
            <w:pPr>
              <w:pStyle w:val="TableNote"/>
              <w:spacing w:before="40" w:after="40"/>
              <w:rPr>
                <w:sz w:val="17"/>
                <w:szCs w:val="17"/>
              </w:rPr>
            </w:pPr>
            <w:r w:rsidRPr="00CF3DCF">
              <w:rPr>
                <w:i/>
                <w:sz w:val="17"/>
                <w:szCs w:val="17"/>
                <w:lang w:val="en-US" w:eastAsia="en-GB"/>
              </w:rPr>
              <w:t>RWA used in computation of CCyB ratio</w:t>
            </w:r>
            <w:r w:rsidRPr="00CF3DCF">
              <w:rPr>
                <w:sz w:val="17"/>
                <w:szCs w:val="17"/>
              </w:rPr>
              <w:t xml:space="preserve">: report in rows 1 to N of this column the sum of the RWA for the credit risk and the market risk relating to the AI’s private sector credit exposures to the jurisdiction listed in the </w:t>
            </w:r>
            <w:r w:rsidRPr="00CF3DCF">
              <w:rPr>
                <w:rFonts w:hint="eastAsia"/>
                <w:sz w:val="17"/>
                <w:szCs w:val="17"/>
              </w:rPr>
              <w:t>“</w:t>
            </w:r>
            <w:r w:rsidRPr="00CF3DCF">
              <w:rPr>
                <w:sz w:val="17"/>
                <w:szCs w:val="17"/>
              </w:rPr>
              <w:t xml:space="preserve">Jurisdiction (J)” column, calculated in the manner specified in the BCR </w:t>
            </w:r>
            <w:r w:rsidRPr="00CF3DCF">
              <w:rPr>
                <w:rFonts w:cs="Segoe UI"/>
                <w:sz w:val="17"/>
                <w:szCs w:val="17"/>
              </w:rPr>
              <w:t>§</w:t>
            </w:r>
            <w:r w:rsidRPr="00CF3DCF">
              <w:rPr>
                <w:sz w:val="17"/>
                <w:szCs w:val="17"/>
              </w:rPr>
              <w:t>3O(1) for calculating RWA</w:t>
            </w:r>
            <w:r w:rsidRPr="00CF3DCF">
              <w:rPr>
                <w:sz w:val="14"/>
                <w:szCs w:val="17"/>
              </w:rPr>
              <w:t>j</w:t>
            </w:r>
            <w:r w:rsidRPr="00CF3DCF">
              <w:rPr>
                <w:sz w:val="17"/>
                <w:szCs w:val="17"/>
              </w:rPr>
              <w:t xml:space="preserve">, having regard to the guidance provided in the HKMA’s Supervisory Policy Manual module CA-B-3 </w:t>
            </w:r>
            <w:r w:rsidRPr="00CF3DCF">
              <w:rPr>
                <w:i/>
                <w:sz w:val="17"/>
                <w:szCs w:val="17"/>
              </w:rPr>
              <w:t>Countercyclical Capital Buffer</w:t>
            </w:r>
            <w:r>
              <w:rPr>
                <w:i/>
                <w:sz w:val="17"/>
                <w:szCs w:val="17"/>
              </w:rPr>
              <w:t xml:space="preserve"> </w:t>
            </w:r>
            <w:r w:rsidRPr="00CF3DCF">
              <w:rPr>
                <w:i/>
                <w:sz w:val="17"/>
                <w:szCs w:val="17"/>
              </w:rPr>
              <w:t>– Geographic Allocation of Private Sector Credit Exposures</w:t>
            </w:r>
            <w:r w:rsidRPr="00CF3DCF">
              <w:rPr>
                <w:sz w:val="17"/>
                <w:szCs w:val="17"/>
              </w:rPr>
              <w:t xml:space="preserve"> for the purpose of determining the geographic location of the obligors for its private sector credit exposures.</w:t>
            </w:r>
          </w:p>
        </w:tc>
      </w:tr>
      <w:tr w:rsidR="00EF4A9B" w:rsidRPr="0044095C" w14:paraId="0975F04C" w14:textId="77777777" w:rsidTr="00647044">
        <w:trPr>
          <w:trHeight w:val="373"/>
        </w:trPr>
        <w:tc>
          <w:tcPr>
            <w:tcW w:w="993" w:type="dxa"/>
            <w:shd w:val="clear" w:color="auto" w:fill="auto"/>
          </w:tcPr>
          <w:p w14:paraId="1B214E1C" w14:textId="77777777" w:rsidR="00EF4A9B" w:rsidRPr="00CF3DCF" w:rsidRDefault="00EF4A9B" w:rsidP="00647044">
            <w:pPr>
              <w:keepLines/>
              <w:widowControl w:val="0"/>
              <w:tabs>
                <w:tab w:val="left" w:pos="150"/>
                <w:tab w:val="left" w:pos="397"/>
                <w:tab w:val="left" w:pos="794"/>
                <w:tab w:val="left" w:pos="1191"/>
              </w:tabs>
              <w:spacing w:before="40" w:after="40"/>
              <w:ind w:rightChars="-54" w:right="-108"/>
              <w:rPr>
                <w:rFonts w:cs="Segoe UI"/>
                <w:sz w:val="17"/>
                <w:szCs w:val="17"/>
                <w:lang w:eastAsia="en-GB"/>
              </w:rPr>
            </w:pPr>
            <w:r w:rsidRPr="00CF3DCF">
              <w:rPr>
                <w:rFonts w:cs="Segoe UI"/>
                <w:sz w:val="17"/>
                <w:szCs w:val="17"/>
                <w:lang w:eastAsia="en-GB"/>
              </w:rPr>
              <w:t>(d)</w:t>
            </w:r>
          </w:p>
        </w:tc>
        <w:tc>
          <w:tcPr>
            <w:tcW w:w="8221" w:type="dxa"/>
            <w:shd w:val="clear" w:color="auto" w:fill="auto"/>
          </w:tcPr>
          <w:p w14:paraId="67BE4550" w14:textId="77777777" w:rsidR="00EF4A9B" w:rsidRPr="008A499C" w:rsidRDefault="00EF4A9B" w:rsidP="00647044">
            <w:pPr>
              <w:keepLines/>
              <w:widowControl w:val="0"/>
              <w:tabs>
                <w:tab w:val="left" w:pos="150"/>
                <w:tab w:val="left" w:pos="397"/>
                <w:tab w:val="left" w:pos="794"/>
                <w:tab w:val="left" w:pos="1191"/>
              </w:tabs>
              <w:spacing w:before="40" w:after="40"/>
              <w:jc w:val="both"/>
              <w:rPr>
                <w:sz w:val="17"/>
                <w:szCs w:val="17"/>
              </w:rPr>
            </w:pPr>
            <w:r w:rsidRPr="008A499C">
              <w:rPr>
                <w:i/>
                <w:sz w:val="17"/>
                <w:szCs w:val="17"/>
                <w:lang w:val="en-US" w:eastAsia="en-GB"/>
              </w:rPr>
              <w:t>AI-specific CCyB ratio (%)</w:t>
            </w:r>
            <w:r w:rsidRPr="008A499C">
              <w:rPr>
                <w:sz w:val="17"/>
                <w:szCs w:val="17"/>
              </w:rPr>
              <w:t xml:space="preserve">: report in </w:t>
            </w:r>
            <w:r>
              <w:rPr>
                <w:sz w:val="17"/>
                <w:szCs w:val="17"/>
              </w:rPr>
              <w:t>[CCyB1:</w:t>
            </w:r>
            <w:r w:rsidRPr="008A499C">
              <w:rPr>
                <w:sz w:val="17"/>
                <w:szCs w:val="17"/>
              </w:rPr>
              <w:t xml:space="preserve"> N+2/d</w:t>
            </w:r>
            <w:r>
              <w:rPr>
                <w:sz w:val="17"/>
                <w:szCs w:val="17"/>
              </w:rPr>
              <w:t>]</w:t>
            </w:r>
            <w:r w:rsidRPr="008A499C">
              <w:rPr>
                <w:sz w:val="17"/>
                <w:szCs w:val="17"/>
              </w:rPr>
              <w:t xml:space="preserve"> the AI’s specific CCyB ratio (expressed as a percentage).  This is equal to the institution-specific CCyB requirement reported in</w:t>
            </w:r>
            <w:r>
              <w:rPr>
                <w:sz w:val="17"/>
                <w:szCs w:val="17"/>
              </w:rPr>
              <w:t xml:space="preserve"> [KM1: 9/a]</w:t>
            </w:r>
            <w:r w:rsidRPr="008A499C">
              <w:rPr>
                <w:sz w:val="17"/>
                <w:szCs w:val="17"/>
              </w:rPr>
              <w:t xml:space="preserve">, and corresponds to the CCyB ratio calculated in the BCR </w:t>
            </w:r>
            <w:r w:rsidRPr="008A499C">
              <w:rPr>
                <w:rFonts w:cs="Segoe UI"/>
                <w:sz w:val="17"/>
                <w:szCs w:val="17"/>
              </w:rPr>
              <w:t>§</w:t>
            </w:r>
            <w:r w:rsidRPr="008A499C">
              <w:rPr>
                <w:sz w:val="17"/>
                <w:szCs w:val="17"/>
              </w:rPr>
              <w:t>3O(1), Formula 1A.</w:t>
            </w:r>
          </w:p>
        </w:tc>
      </w:tr>
      <w:tr w:rsidR="00EF4A9B" w:rsidRPr="0044095C" w14:paraId="0B6F51D3" w14:textId="77777777" w:rsidTr="00647044">
        <w:trPr>
          <w:trHeight w:val="373"/>
        </w:trPr>
        <w:tc>
          <w:tcPr>
            <w:tcW w:w="993" w:type="dxa"/>
            <w:shd w:val="clear" w:color="auto" w:fill="auto"/>
          </w:tcPr>
          <w:p w14:paraId="0C904C1C" w14:textId="77777777" w:rsidR="00EF4A9B" w:rsidRPr="00CF3DCF" w:rsidRDefault="00EF4A9B" w:rsidP="00647044">
            <w:pPr>
              <w:keepLines/>
              <w:widowControl w:val="0"/>
              <w:tabs>
                <w:tab w:val="left" w:pos="150"/>
                <w:tab w:val="left" w:pos="397"/>
                <w:tab w:val="left" w:pos="794"/>
                <w:tab w:val="left" w:pos="1191"/>
              </w:tabs>
              <w:spacing w:before="40" w:after="40"/>
              <w:ind w:rightChars="-54" w:right="-108"/>
              <w:rPr>
                <w:rFonts w:cs="Segoe UI"/>
                <w:sz w:val="17"/>
                <w:szCs w:val="17"/>
                <w:lang w:eastAsia="en-GB"/>
              </w:rPr>
            </w:pPr>
            <w:r w:rsidRPr="00CF3DCF">
              <w:rPr>
                <w:rFonts w:cs="Segoe UI"/>
                <w:sz w:val="17"/>
                <w:szCs w:val="17"/>
                <w:lang w:eastAsia="en-GB"/>
              </w:rPr>
              <w:t>(e)</w:t>
            </w:r>
          </w:p>
        </w:tc>
        <w:tc>
          <w:tcPr>
            <w:tcW w:w="8221" w:type="dxa"/>
            <w:shd w:val="clear" w:color="auto" w:fill="auto"/>
          </w:tcPr>
          <w:p w14:paraId="16C48001" w14:textId="77777777" w:rsidR="00EF4A9B" w:rsidRPr="008A499C" w:rsidRDefault="00EF4A9B" w:rsidP="00647044">
            <w:pPr>
              <w:keepLines/>
              <w:widowControl w:val="0"/>
              <w:tabs>
                <w:tab w:val="left" w:pos="150"/>
                <w:tab w:val="left" w:pos="397"/>
                <w:tab w:val="left" w:pos="794"/>
                <w:tab w:val="left" w:pos="1191"/>
              </w:tabs>
              <w:spacing w:before="40" w:after="40"/>
              <w:jc w:val="both"/>
              <w:rPr>
                <w:sz w:val="17"/>
                <w:szCs w:val="17"/>
              </w:rPr>
            </w:pPr>
            <w:r w:rsidRPr="008A499C">
              <w:rPr>
                <w:i/>
                <w:sz w:val="17"/>
                <w:szCs w:val="17"/>
                <w:lang w:val="en-US" w:eastAsia="en-GB"/>
              </w:rPr>
              <w:t>CCyB amount</w:t>
            </w:r>
            <w:r w:rsidRPr="008A499C">
              <w:rPr>
                <w:sz w:val="17"/>
                <w:szCs w:val="17"/>
              </w:rPr>
              <w:t xml:space="preserve">: report in </w:t>
            </w:r>
            <w:r>
              <w:rPr>
                <w:sz w:val="17"/>
                <w:szCs w:val="17"/>
              </w:rPr>
              <w:t>[CCyB1:</w:t>
            </w:r>
            <w:r w:rsidRPr="008A499C">
              <w:rPr>
                <w:sz w:val="17"/>
                <w:szCs w:val="17"/>
              </w:rPr>
              <w:t xml:space="preserve"> N+2/e</w:t>
            </w:r>
            <w:r>
              <w:rPr>
                <w:sz w:val="17"/>
                <w:szCs w:val="17"/>
              </w:rPr>
              <w:t>]</w:t>
            </w:r>
            <w:r w:rsidRPr="008A499C">
              <w:rPr>
                <w:sz w:val="17"/>
                <w:szCs w:val="17"/>
              </w:rPr>
              <w:t xml:space="preserve"> the amount of the AI’s minimum CCyB requirement, calculated as the product of the value in </w:t>
            </w:r>
            <w:r>
              <w:rPr>
                <w:sz w:val="17"/>
                <w:szCs w:val="17"/>
              </w:rPr>
              <w:t>[CCyB1:</w:t>
            </w:r>
            <w:r w:rsidRPr="008A499C">
              <w:rPr>
                <w:sz w:val="17"/>
                <w:szCs w:val="17"/>
              </w:rPr>
              <w:t xml:space="preserve"> N+2/d</w:t>
            </w:r>
            <w:r>
              <w:rPr>
                <w:sz w:val="17"/>
                <w:szCs w:val="17"/>
              </w:rPr>
              <w:t>]</w:t>
            </w:r>
            <w:r w:rsidRPr="008A499C">
              <w:rPr>
                <w:sz w:val="17"/>
                <w:szCs w:val="17"/>
              </w:rPr>
              <w:t xml:space="preserve"> and the AI’s total RWA. </w:t>
            </w:r>
          </w:p>
        </w:tc>
      </w:tr>
      <w:tr w:rsidR="00EF4A9B" w:rsidRPr="00A539ED" w14:paraId="28908F62" w14:textId="77777777" w:rsidTr="00647044">
        <w:trPr>
          <w:trHeight w:val="373"/>
        </w:trPr>
        <w:tc>
          <w:tcPr>
            <w:tcW w:w="9214" w:type="dxa"/>
            <w:gridSpan w:val="2"/>
            <w:shd w:val="clear" w:color="auto" w:fill="F2F2F2"/>
          </w:tcPr>
          <w:p w14:paraId="48A2CC9D" w14:textId="77777777" w:rsidR="00EF4A9B" w:rsidRPr="00CF3DCF" w:rsidRDefault="00EF4A9B" w:rsidP="00647044">
            <w:pPr>
              <w:pStyle w:val="TableNote"/>
              <w:spacing w:before="40" w:after="40"/>
              <w:rPr>
                <w:i/>
                <w:sz w:val="17"/>
                <w:szCs w:val="17"/>
              </w:rPr>
            </w:pPr>
            <w:r w:rsidRPr="00CF3DCF">
              <w:rPr>
                <w:rFonts w:eastAsia="新細明體"/>
                <w:b/>
                <w:sz w:val="17"/>
                <w:szCs w:val="17"/>
                <w:lang w:eastAsia="en-GB"/>
              </w:rPr>
              <w:t>Rows</w:t>
            </w:r>
          </w:p>
        </w:tc>
      </w:tr>
      <w:tr w:rsidR="00EF4A9B" w:rsidRPr="00BE7677" w14:paraId="1DD00E10" w14:textId="77777777" w:rsidTr="00647044">
        <w:trPr>
          <w:trHeight w:val="373"/>
        </w:trPr>
        <w:tc>
          <w:tcPr>
            <w:tcW w:w="993" w:type="dxa"/>
            <w:shd w:val="clear" w:color="auto" w:fill="auto"/>
          </w:tcPr>
          <w:p w14:paraId="4CD96F1A" w14:textId="77777777" w:rsidR="00EF4A9B" w:rsidRPr="00CF3DCF" w:rsidRDefault="00EF4A9B" w:rsidP="00647044">
            <w:pPr>
              <w:keepLines/>
              <w:widowControl w:val="0"/>
              <w:tabs>
                <w:tab w:val="left" w:pos="150"/>
                <w:tab w:val="left" w:pos="397"/>
                <w:tab w:val="left" w:pos="794"/>
                <w:tab w:val="left" w:pos="1191"/>
              </w:tabs>
              <w:spacing w:before="40" w:after="40"/>
              <w:rPr>
                <w:rFonts w:cs="Segoe UI"/>
                <w:sz w:val="17"/>
                <w:szCs w:val="17"/>
                <w:lang w:eastAsia="en-GB"/>
              </w:rPr>
            </w:pPr>
            <w:r w:rsidRPr="00CF3DCF">
              <w:rPr>
                <w:rFonts w:cs="Segoe UI"/>
                <w:sz w:val="17"/>
                <w:szCs w:val="17"/>
                <w:lang w:eastAsia="en-GB"/>
              </w:rPr>
              <w:t>1 to N</w:t>
            </w:r>
          </w:p>
        </w:tc>
        <w:tc>
          <w:tcPr>
            <w:tcW w:w="8221" w:type="dxa"/>
            <w:shd w:val="clear" w:color="auto" w:fill="auto"/>
          </w:tcPr>
          <w:p w14:paraId="4C8823BE" w14:textId="77777777" w:rsidR="00EF4A9B" w:rsidRPr="00CF3DCF" w:rsidRDefault="00EF4A9B" w:rsidP="00647044">
            <w:pPr>
              <w:keepLines/>
              <w:widowControl w:val="0"/>
              <w:tabs>
                <w:tab w:val="left" w:pos="150"/>
                <w:tab w:val="left" w:pos="397"/>
                <w:tab w:val="left" w:pos="794"/>
                <w:tab w:val="left" w:pos="1191"/>
              </w:tabs>
              <w:spacing w:before="40" w:after="40"/>
              <w:jc w:val="both"/>
              <w:rPr>
                <w:sz w:val="17"/>
                <w:szCs w:val="17"/>
              </w:rPr>
            </w:pPr>
            <w:r w:rsidRPr="00CF3DCF">
              <w:rPr>
                <w:sz w:val="17"/>
                <w:szCs w:val="17"/>
              </w:rPr>
              <w:t xml:space="preserve">Enter only information of jurisdictions with a </w:t>
            </w:r>
            <w:r w:rsidRPr="00CF3DCF">
              <w:rPr>
                <w:sz w:val="17"/>
                <w:szCs w:val="17"/>
                <w:u w:val="single"/>
              </w:rPr>
              <w:t>non-zero</w:t>
            </w:r>
            <w:r w:rsidRPr="00CF3DCF">
              <w:rPr>
                <w:sz w:val="17"/>
                <w:szCs w:val="17"/>
              </w:rPr>
              <w:t xml:space="preserve"> applicable JCCyB ratio.</w:t>
            </w:r>
          </w:p>
        </w:tc>
      </w:tr>
      <w:tr w:rsidR="00EF4A9B" w:rsidRPr="00BE7677" w14:paraId="28CAA046" w14:textId="77777777" w:rsidTr="00647044">
        <w:trPr>
          <w:trHeight w:val="373"/>
        </w:trPr>
        <w:tc>
          <w:tcPr>
            <w:tcW w:w="993" w:type="dxa"/>
            <w:shd w:val="clear" w:color="auto" w:fill="auto"/>
          </w:tcPr>
          <w:p w14:paraId="51B82DB7" w14:textId="77777777" w:rsidR="00EF4A9B" w:rsidRPr="00CF3DCF" w:rsidRDefault="00EF4A9B" w:rsidP="00647044">
            <w:pPr>
              <w:keepLines/>
              <w:widowControl w:val="0"/>
              <w:tabs>
                <w:tab w:val="left" w:pos="150"/>
                <w:tab w:val="left" w:pos="397"/>
                <w:tab w:val="left" w:pos="794"/>
                <w:tab w:val="left" w:pos="1191"/>
              </w:tabs>
              <w:spacing w:before="40" w:after="40"/>
              <w:rPr>
                <w:rFonts w:cs="Segoe UI"/>
                <w:sz w:val="17"/>
                <w:szCs w:val="17"/>
                <w:lang w:eastAsia="en-GB"/>
              </w:rPr>
            </w:pPr>
            <w:r w:rsidRPr="00CF3DCF">
              <w:rPr>
                <w:rFonts w:cs="Segoe UI"/>
                <w:sz w:val="17"/>
                <w:szCs w:val="17"/>
                <w:lang w:eastAsia="en-GB"/>
              </w:rPr>
              <w:t>N+1</w:t>
            </w:r>
          </w:p>
        </w:tc>
        <w:tc>
          <w:tcPr>
            <w:tcW w:w="8221" w:type="dxa"/>
            <w:shd w:val="clear" w:color="auto" w:fill="auto"/>
          </w:tcPr>
          <w:p w14:paraId="21BE9E46" w14:textId="77777777" w:rsidR="00EF4A9B" w:rsidRPr="00CF3DCF" w:rsidRDefault="00EF4A9B" w:rsidP="00647044">
            <w:pPr>
              <w:keepLines/>
              <w:widowControl w:val="0"/>
              <w:tabs>
                <w:tab w:val="left" w:pos="150"/>
                <w:tab w:val="left" w:pos="397"/>
                <w:tab w:val="left" w:pos="794"/>
                <w:tab w:val="left" w:pos="1191"/>
              </w:tabs>
              <w:spacing w:before="40" w:after="40"/>
              <w:jc w:val="both"/>
              <w:rPr>
                <w:sz w:val="17"/>
                <w:szCs w:val="17"/>
              </w:rPr>
            </w:pPr>
            <w:r w:rsidRPr="00CF3DCF">
              <w:rPr>
                <w:i/>
                <w:sz w:val="17"/>
                <w:szCs w:val="17"/>
              </w:rPr>
              <w:t>Sum</w:t>
            </w:r>
            <w:r w:rsidRPr="00CF3DCF">
              <w:rPr>
                <w:sz w:val="17"/>
                <w:szCs w:val="17"/>
              </w:rPr>
              <w:t>: the sum of values in rows 1 to N of column (c).</w:t>
            </w:r>
          </w:p>
        </w:tc>
      </w:tr>
      <w:tr w:rsidR="00EF4A9B" w:rsidRPr="00BE7677" w14:paraId="4582977A" w14:textId="77777777" w:rsidTr="00647044">
        <w:trPr>
          <w:trHeight w:val="373"/>
        </w:trPr>
        <w:tc>
          <w:tcPr>
            <w:tcW w:w="993" w:type="dxa"/>
            <w:shd w:val="clear" w:color="auto" w:fill="auto"/>
          </w:tcPr>
          <w:p w14:paraId="007363CB" w14:textId="77777777" w:rsidR="00EF4A9B" w:rsidRPr="00CF3DCF" w:rsidRDefault="00EF4A9B" w:rsidP="00647044">
            <w:pPr>
              <w:keepLines/>
              <w:widowControl w:val="0"/>
              <w:tabs>
                <w:tab w:val="left" w:pos="150"/>
                <w:tab w:val="left" w:pos="397"/>
                <w:tab w:val="left" w:pos="794"/>
                <w:tab w:val="left" w:pos="1191"/>
              </w:tabs>
              <w:spacing w:before="40" w:after="40"/>
              <w:rPr>
                <w:rFonts w:cs="Segoe UI"/>
                <w:sz w:val="17"/>
                <w:szCs w:val="17"/>
                <w:lang w:eastAsia="en-GB"/>
              </w:rPr>
            </w:pPr>
            <w:r w:rsidRPr="00CF3DCF">
              <w:rPr>
                <w:rFonts w:cs="Segoe UI"/>
                <w:sz w:val="17"/>
                <w:szCs w:val="17"/>
                <w:lang w:eastAsia="en-GB"/>
              </w:rPr>
              <w:lastRenderedPageBreak/>
              <w:t>N+2</w:t>
            </w:r>
          </w:p>
        </w:tc>
        <w:tc>
          <w:tcPr>
            <w:tcW w:w="8221" w:type="dxa"/>
            <w:shd w:val="clear" w:color="auto" w:fill="auto"/>
          </w:tcPr>
          <w:p w14:paraId="65C8055C" w14:textId="77777777" w:rsidR="00EF4A9B" w:rsidRPr="00CF3DCF" w:rsidRDefault="00EF4A9B" w:rsidP="00647044">
            <w:pPr>
              <w:keepLines/>
              <w:widowControl w:val="0"/>
              <w:tabs>
                <w:tab w:val="left" w:pos="150"/>
                <w:tab w:val="left" w:pos="397"/>
                <w:tab w:val="left" w:pos="794"/>
                <w:tab w:val="left" w:pos="1191"/>
              </w:tabs>
              <w:spacing w:before="40" w:after="40"/>
              <w:jc w:val="both"/>
              <w:rPr>
                <w:sz w:val="17"/>
                <w:szCs w:val="17"/>
              </w:rPr>
            </w:pPr>
            <w:r w:rsidRPr="00CF3DCF">
              <w:rPr>
                <w:i/>
                <w:sz w:val="17"/>
                <w:szCs w:val="17"/>
              </w:rPr>
              <w:t>Total</w:t>
            </w:r>
            <w:r w:rsidRPr="00CF3DCF">
              <w:rPr>
                <w:sz w:val="17"/>
                <w:szCs w:val="17"/>
              </w:rPr>
              <w:t>: (for column (c)) total sum of the RWA for private sector credit exposures across all jurisdictions to which the AI is exposed, including jurisdictions with no applicable JCCyB ratio or with applicable JCCyB ratio set at zero</w:t>
            </w:r>
            <w:r>
              <w:rPr>
                <w:sz w:val="17"/>
                <w:szCs w:val="17"/>
              </w:rPr>
              <w:t>.</w:t>
            </w:r>
          </w:p>
        </w:tc>
      </w:tr>
    </w:tbl>
    <w:p w14:paraId="3DFA0EB1" w14:textId="77777777" w:rsidR="00C77BC4" w:rsidRDefault="00C77BC4" w:rsidP="005D4AEA">
      <w:pPr>
        <w:keepNext/>
        <w:keepLines/>
        <w:tabs>
          <w:tab w:val="left" w:pos="567"/>
        </w:tabs>
        <w:spacing w:after="360"/>
        <w:ind w:rightChars="-142" w:right="-284"/>
        <w:outlineLvl w:val="0"/>
        <w:rPr>
          <w:color w:val="C00000"/>
          <w:sz w:val="28"/>
          <w:szCs w:val="28"/>
        </w:rPr>
        <w:sectPr w:rsidR="00C77BC4" w:rsidSect="003848B8">
          <w:footerReference w:type="default" r:id="rId31"/>
          <w:pgSz w:w="11906" w:h="16838"/>
          <w:pgMar w:top="1440" w:right="1797" w:bottom="1440" w:left="1797" w:header="850" w:footer="964" w:gutter="0"/>
          <w:cols w:space="425"/>
          <w:docGrid w:type="lines" w:linePitch="360"/>
        </w:sectPr>
      </w:pPr>
    </w:p>
    <w:p w14:paraId="78AEBF52" w14:textId="7F71D5FC" w:rsidR="001C2984" w:rsidRDefault="0071518C" w:rsidP="005D4AEA">
      <w:pPr>
        <w:pStyle w:val="Heading1"/>
        <w:ind w:left="-454"/>
      </w:pPr>
      <w:r>
        <w:rPr>
          <w:color w:val="C00000"/>
          <w:szCs w:val="28"/>
        </w:rPr>
        <w:lastRenderedPageBreak/>
        <w:t xml:space="preserve">Part IIC: </w:t>
      </w:r>
      <w:r w:rsidR="001C2984" w:rsidRPr="001449B5">
        <w:rPr>
          <w:color w:val="C00000"/>
          <w:szCs w:val="28"/>
        </w:rPr>
        <w:t>Leverage ratio</w:t>
      </w:r>
    </w:p>
    <w:p w14:paraId="14DA0365" w14:textId="633305F0" w:rsidR="00970C90" w:rsidRPr="00944D7A" w:rsidRDefault="00970C90" w:rsidP="00970C90">
      <w:pPr>
        <w:pStyle w:val="Heading2"/>
        <w:tabs>
          <w:tab w:val="left" w:pos="7938"/>
        </w:tabs>
        <w:rPr>
          <w:sz w:val="28"/>
          <w:szCs w:val="28"/>
        </w:rPr>
      </w:pPr>
      <w:r w:rsidRPr="00D97E28">
        <w:t>Template LR1: Summary comparison of accounting assets against leverage ratio (“LR”)</w:t>
      </w:r>
      <w:r>
        <w:t xml:space="preserve"> </w:t>
      </w:r>
      <w:r w:rsidRPr="00D97E28">
        <w:t>exposure measure</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970C90" w:rsidRPr="00D97E28" w14:paraId="4B30A333" w14:textId="77777777" w:rsidTr="00CD4C06">
        <w:tc>
          <w:tcPr>
            <w:tcW w:w="2008" w:type="dxa"/>
          </w:tcPr>
          <w:p w14:paraId="0AC0F244" w14:textId="77777777" w:rsidR="00970C90" w:rsidRPr="00D97E28" w:rsidRDefault="00970C90" w:rsidP="00CD4C06">
            <w:pPr>
              <w:spacing w:before="40" w:after="40"/>
              <w:rPr>
                <w:noProof/>
                <w:sz w:val="17"/>
                <w:lang w:eastAsia="en-GB"/>
              </w:rPr>
            </w:pPr>
            <w:r w:rsidRPr="00D97E28">
              <w:rPr>
                <w:b/>
                <w:sz w:val="17"/>
                <w:lang w:eastAsia="en-GB"/>
              </w:rPr>
              <w:t>Purpose:</w:t>
            </w:r>
            <w:r w:rsidRPr="00D97E28">
              <w:rPr>
                <w:sz w:val="17"/>
                <w:lang w:eastAsia="en-GB"/>
              </w:rPr>
              <w:t xml:space="preserve"> </w:t>
            </w:r>
          </w:p>
        </w:tc>
        <w:tc>
          <w:tcPr>
            <w:tcW w:w="7234" w:type="dxa"/>
          </w:tcPr>
          <w:p w14:paraId="271AD380" w14:textId="77777777" w:rsidR="00970C90" w:rsidRPr="00E740B9" w:rsidRDefault="00970C90" w:rsidP="00CD4C06">
            <w:pPr>
              <w:spacing w:before="40" w:after="40"/>
              <w:jc w:val="both"/>
              <w:rPr>
                <w:rFonts w:eastAsia="新細明體"/>
                <w:sz w:val="17"/>
                <w:szCs w:val="17"/>
                <w:lang w:eastAsia="zh-TW"/>
              </w:rPr>
            </w:pPr>
            <w:r w:rsidRPr="00775124">
              <w:rPr>
                <w:rFonts w:eastAsia="新細明體"/>
                <w:sz w:val="17"/>
                <w:lang w:eastAsia="en-GB"/>
              </w:rPr>
              <w:t>To r</w:t>
            </w:r>
            <w:r w:rsidRPr="00D97E28">
              <w:rPr>
                <w:sz w:val="17"/>
                <w:szCs w:val="17"/>
              </w:rPr>
              <w:t>econcile the total assets in the published financial statements (if any) to the LR exposure measure.</w:t>
            </w:r>
          </w:p>
        </w:tc>
      </w:tr>
      <w:tr w:rsidR="00970C90" w:rsidRPr="00D97E28" w14:paraId="5986DF73" w14:textId="77777777" w:rsidTr="00CD4C06">
        <w:tc>
          <w:tcPr>
            <w:tcW w:w="2008" w:type="dxa"/>
          </w:tcPr>
          <w:p w14:paraId="23F1C33B" w14:textId="77777777" w:rsidR="00970C90" w:rsidRPr="00D97E28" w:rsidRDefault="00970C90" w:rsidP="00CD4C06">
            <w:pPr>
              <w:spacing w:before="40" w:after="40"/>
              <w:rPr>
                <w:b/>
                <w:sz w:val="17"/>
                <w:lang w:eastAsia="en-GB"/>
              </w:rPr>
            </w:pPr>
            <w:r w:rsidRPr="00D97E28">
              <w:rPr>
                <w:b/>
                <w:sz w:val="17"/>
                <w:lang w:eastAsia="en-GB"/>
              </w:rPr>
              <w:t>Scope of application:</w:t>
            </w:r>
          </w:p>
        </w:tc>
        <w:tc>
          <w:tcPr>
            <w:tcW w:w="7234" w:type="dxa"/>
          </w:tcPr>
          <w:p w14:paraId="0CDB70E6" w14:textId="05644323" w:rsidR="00970C90" w:rsidRPr="00D97E28" w:rsidRDefault="00970C90" w:rsidP="00CD4C06">
            <w:pPr>
              <w:spacing w:before="40" w:after="40"/>
              <w:jc w:val="both"/>
              <w:rPr>
                <w:sz w:val="17"/>
                <w:szCs w:val="17"/>
              </w:rPr>
            </w:pPr>
            <w:r w:rsidRPr="00775124">
              <w:rPr>
                <w:rFonts w:eastAsia="新細明體"/>
                <w:sz w:val="17"/>
                <w:lang w:eastAsia="en-GB"/>
              </w:rPr>
              <w:t>The template is mandatory for all AIs incorporated in Hong Kong</w:t>
            </w:r>
            <w:r w:rsidRPr="00D97E28">
              <w:rPr>
                <w:sz w:val="17"/>
                <w:szCs w:val="17"/>
              </w:rPr>
              <w:t xml:space="preserve">.  The LR framework should follow the same scope of regulatory consolidation as the capital </w:t>
            </w:r>
            <w:r>
              <w:rPr>
                <w:sz w:val="17"/>
                <w:szCs w:val="17"/>
              </w:rPr>
              <w:t xml:space="preserve">adequacy </w:t>
            </w:r>
            <w:r w:rsidRPr="00D97E28">
              <w:rPr>
                <w:sz w:val="17"/>
                <w:szCs w:val="17"/>
              </w:rPr>
              <w:t xml:space="preserve">framework (i.e. solo basis, solo-consolidated basis, and/or consolidated basis as specified by the MA </w:t>
            </w:r>
            <w:r w:rsidRPr="0020767D">
              <w:rPr>
                <w:sz w:val="17"/>
                <w:szCs w:val="17"/>
              </w:rPr>
              <w:t xml:space="preserve">under BCR </w:t>
            </w:r>
            <w:r w:rsidRPr="0020767D">
              <w:rPr>
                <w:rFonts w:cs="Segoe UI"/>
                <w:sz w:val="17"/>
                <w:szCs w:val="17"/>
              </w:rPr>
              <w:t>§</w:t>
            </w:r>
            <w:r w:rsidRPr="0020767D">
              <w:rPr>
                <w:sz w:val="17"/>
                <w:szCs w:val="17"/>
              </w:rPr>
              <w:t>3C).</w:t>
            </w:r>
          </w:p>
        </w:tc>
      </w:tr>
      <w:tr w:rsidR="00970C90" w:rsidRPr="00D97E28" w14:paraId="1B1C3EB9" w14:textId="77777777" w:rsidTr="00CD4C06">
        <w:tc>
          <w:tcPr>
            <w:tcW w:w="2008" w:type="dxa"/>
          </w:tcPr>
          <w:p w14:paraId="26372BF3" w14:textId="77777777" w:rsidR="00970C90" w:rsidRPr="00D97E28" w:rsidRDefault="00970C90" w:rsidP="00CD4C06">
            <w:pPr>
              <w:spacing w:before="40" w:after="40"/>
              <w:rPr>
                <w:b/>
                <w:sz w:val="17"/>
                <w:lang w:eastAsia="en-GB"/>
              </w:rPr>
            </w:pPr>
            <w:r w:rsidRPr="00D97E28">
              <w:rPr>
                <w:b/>
                <w:sz w:val="17"/>
                <w:lang w:eastAsia="en-GB"/>
              </w:rPr>
              <w:t>Content:</w:t>
            </w:r>
          </w:p>
        </w:tc>
        <w:tc>
          <w:tcPr>
            <w:tcW w:w="7234" w:type="dxa"/>
          </w:tcPr>
          <w:p w14:paraId="2D9DD5B5" w14:textId="77777777" w:rsidR="00970C90" w:rsidRPr="00D97E28" w:rsidRDefault="00970C90" w:rsidP="00CD4C06">
            <w:pPr>
              <w:spacing w:before="40" w:after="40"/>
              <w:jc w:val="both"/>
              <w:rPr>
                <w:sz w:val="17"/>
                <w:szCs w:val="17"/>
              </w:rPr>
            </w:pPr>
            <w:r w:rsidRPr="00D97E28">
              <w:rPr>
                <w:sz w:val="17"/>
                <w:szCs w:val="17"/>
              </w:rPr>
              <w:t>Quantitative information.  Where an AI has a reporting date for disclosure (e.g. end-April, end-October) that does not fall on the same position date for the Return of Leverage Ratio (MA(BS)27) (i.e. end-March, end-June, end-September, end-December), the AI should disclose this template based on its own reporting date.  In such circumstance, the calculation basis of values disclosed in this template should, however, follow the same calculation basis used for the return.</w:t>
            </w:r>
          </w:p>
        </w:tc>
      </w:tr>
      <w:tr w:rsidR="00970C90" w:rsidRPr="00761AA6" w14:paraId="04E53525" w14:textId="77777777" w:rsidTr="00CD4C06">
        <w:tc>
          <w:tcPr>
            <w:tcW w:w="2008" w:type="dxa"/>
          </w:tcPr>
          <w:p w14:paraId="259EFB00" w14:textId="77777777" w:rsidR="00970C90" w:rsidRPr="00D97E28" w:rsidRDefault="00970C90" w:rsidP="00CD4C06">
            <w:pPr>
              <w:spacing w:before="40" w:after="40"/>
              <w:rPr>
                <w:sz w:val="17"/>
                <w:lang w:eastAsia="en-GB"/>
              </w:rPr>
            </w:pPr>
            <w:r w:rsidRPr="00D97E28">
              <w:rPr>
                <w:b/>
                <w:sz w:val="17"/>
                <w:lang w:eastAsia="en-GB"/>
              </w:rPr>
              <w:t>Frequency:</w:t>
            </w:r>
          </w:p>
        </w:tc>
        <w:tc>
          <w:tcPr>
            <w:tcW w:w="7234" w:type="dxa"/>
          </w:tcPr>
          <w:p w14:paraId="5F1006E4" w14:textId="77777777" w:rsidR="00970C90" w:rsidRPr="00D97E28" w:rsidRDefault="00970C90" w:rsidP="00CD4C06">
            <w:pPr>
              <w:pStyle w:val="TableText"/>
              <w:jc w:val="both"/>
              <w:rPr>
                <w:szCs w:val="17"/>
              </w:rPr>
            </w:pPr>
            <w:r w:rsidRPr="00D97E28">
              <w:rPr>
                <w:szCs w:val="17"/>
              </w:rPr>
              <w:t>Semi-annually.</w:t>
            </w:r>
          </w:p>
        </w:tc>
      </w:tr>
      <w:tr w:rsidR="00970C90" w:rsidRPr="00D97E28" w14:paraId="320427A2" w14:textId="77777777" w:rsidTr="00CD4C06">
        <w:tc>
          <w:tcPr>
            <w:tcW w:w="2008" w:type="dxa"/>
          </w:tcPr>
          <w:p w14:paraId="68347786" w14:textId="77777777" w:rsidR="00970C90" w:rsidRPr="00D97E28" w:rsidRDefault="00970C90" w:rsidP="00CD4C06">
            <w:pPr>
              <w:spacing w:before="40" w:after="40"/>
              <w:rPr>
                <w:sz w:val="17"/>
                <w:lang w:eastAsia="en-GB"/>
              </w:rPr>
            </w:pPr>
            <w:r w:rsidRPr="00D97E28">
              <w:rPr>
                <w:b/>
                <w:sz w:val="17"/>
                <w:lang w:eastAsia="en-GB"/>
              </w:rPr>
              <w:t>Format:</w:t>
            </w:r>
          </w:p>
        </w:tc>
        <w:tc>
          <w:tcPr>
            <w:tcW w:w="7234" w:type="dxa"/>
          </w:tcPr>
          <w:p w14:paraId="3FDA3A87" w14:textId="77777777" w:rsidR="00970C90" w:rsidRPr="00D97E28" w:rsidRDefault="00970C90" w:rsidP="00CD4C06">
            <w:pPr>
              <w:pStyle w:val="TableText"/>
              <w:jc w:val="both"/>
              <w:rPr>
                <w:lang w:eastAsia="en-GB"/>
              </w:rPr>
            </w:pPr>
            <w:r w:rsidRPr="00D97E28">
              <w:rPr>
                <w:lang w:eastAsia="en-GB"/>
              </w:rPr>
              <w:t>Fixed.</w:t>
            </w:r>
          </w:p>
        </w:tc>
      </w:tr>
      <w:tr w:rsidR="00970C90" w:rsidRPr="00D97E28" w14:paraId="53E3B00A" w14:textId="77777777" w:rsidTr="00CD4C06">
        <w:tc>
          <w:tcPr>
            <w:tcW w:w="2008" w:type="dxa"/>
          </w:tcPr>
          <w:p w14:paraId="64713C7A" w14:textId="77777777" w:rsidR="00970C90" w:rsidRPr="00D97E28" w:rsidRDefault="00970C90" w:rsidP="00CD4C06">
            <w:pPr>
              <w:spacing w:before="40" w:after="40"/>
              <w:rPr>
                <w:b/>
                <w:sz w:val="17"/>
                <w:lang w:eastAsia="en-GB"/>
              </w:rPr>
            </w:pPr>
            <w:r w:rsidRPr="00775124">
              <w:rPr>
                <w:rFonts w:eastAsia="新細明體"/>
                <w:b/>
                <w:sz w:val="17"/>
                <w:szCs w:val="17"/>
                <w:lang w:eastAsia="en-GB"/>
              </w:rPr>
              <w:t>Accompanying narrative</w:t>
            </w:r>
            <w:r w:rsidRPr="00775124">
              <w:rPr>
                <w:rFonts w:eastAsia="新細明體"/>
                <w:sz w:val="17"/>
                <w:szCs w:val="17"/>
                <w:lang w:eastAsia="en-GB"/>
              </w:rPr>
              <w:t>:</w:t>
            </w:r>
          </w:p>
        </w:tc>
        <w:tc>
          <w:tcPr>
            <w:tcW w:w="7234" w:type="dxa"/>
          </w:tcPr>
          <w:p w14:paraId="672A1139" w14:textId="2FF988A3" w:rsidR="00970C90" w:rsidRPr="00D97E28" w:rsidRDefault="00970C90" w:rsidP="00CD4C06">
            <w:pPr>
              <w:pStyle w:val="TableText"/>
              <w:jc w:val="both"/>
              <w:rPr>
                <w:szCs w:val="17"/>
              </w:rPr>
            </w:pPr>
            <w:r w:rsidRPr="00D97E28">
              <w:rPr>
                <w:szCs w:val="17"/>
              </w:rPr>
              <w:t>An AI should disclose and detail the source of material differences between its total balance sheet assets</w:t>
            </w:r>
            <w:r>
              <w:rPr>
                <w:szCs w:val="17"/>
              </w:rPr>
              <w:t>,</w:t>
            </w:r>
            <w:r w:rsidRPr="00D97E28">
              <w:rPr>
                <w:szCs w:val="17"/>
              </w:rPr>
              <w:t xml:space="preserve"> as reported in its financial statement</w:t>
            </w:r>
            <w:r>
              <w:rPr>
                <w:szCs w:val="17"/>
              </w:rPr>
              <w:t>,</w:t>
            </w:r>
            <w:r w:rsidRPr="00D97E28">
              <w:rPr>
                <w:szCs w:val="17"/>
              </w:rPr>
              <w:t xml:space="preserve"> and its</w:t>
            </w:r>
            <w:r>
              <w:rPr>
                <w:szCs w:val="17"/>
              </w:rPr>
              <w:t xml:space="preserve"> </w:t>
            </w:r>
            <w:r w:rsidRPr="00650B49">
              <w:rPr>
                <w:szCs w:val="17"/>
              </w:rPr>
              <w:t>LR exposure measure.</w:t>
            </w:r>
            <w:r w:rsidRPr="00650B49" w:rsidDel="00652489">
              <w:rPr>
                <w:szCs w:val="17"/>
              </w:rPr>
              <w:t xml:space="preserve"> </w:t>
            </w:r>
          </w:p>
        </w:tc>
      </w:tr>
      <w:tr w:rsidR="00970C90" w:rsidRPr="00D97E28" w14:paraId="080BF5DD" w14:textId="77777777" w:rsidTr="00CD4C06">
        <w:tc>
          <w:tcPr>
            <w:tcW w:w="2008" w:type="dxa"/>
          </w:tcPr>
          <w:p w14:paraId="60E564E5" w14:textId="77777777" w:rsidR="00970C90" w:rsidRPr="00775124" w:rsidRDefault="00970C90" w:rsidP="00CD4C06">
            <w:pPr>
              <w:spacing w:before="40" w:after="40"/>
              <w:rPr>
                <w:rFonts w:eastAsia="新細明體"/>
                <w:b/>
                <w:sz w:val="17"/>
                <w:szCs w:val="17"/>
                <w:lang w:eastAsia="en-GB"/>
              </w:rPr>
            </w:pPr>
            <w:r w:rsidRPr="00775124">
              <w:rPr>
                <w:rFonts w:eastAsia="新細明體"/>
                <w:b/>
                <w:sz w:val="17"/>
                <w:szCs w:val="17"/>
                <w:lang w:eastAsia="en-GB"/>
              </w:rPr>
              <w:t>Corresponding BDR section:</w:t>
            </w:r>
          </w:p>
        </w:tc>
        <w:tc>
          <w:tcPr>
            <w:tcW w:w="7234" w:type="dxa"/>
          </w:tcPr>
          <w:p w14:paraId="5B5C894B" w14:textId="77777777" w:rsidR="00970C90" w:rsidRPr="00D97E28" w:rsidRDefault="00970C90" w:rsidP="00CD4C06">
            <w:pPr>
              <w:pStyle w:val="TableText"/>
              <w:jc w:val="both"/>
              <w:rPr>
                <w:szCs w:val="17"/>
                <w:lang w:eastAsia="en-GB"/>
              </w:rPr>
            </w:pPr>
            <w:r w:rsidRPr="00D97E28">
              <w:rPr>
                <w:szCs w:val="17"/>
                <w:lang w:eastAsia="en-GB"/>
              </w:rPr>
              <w:t>16FH</w:t>
            </w:r>
          </w:p>
        </w:tc>
      </w:tr>
    </w:tbl>
    <w:p w14:paraId="4DE3DD2D" w14:textId="77777777" w:rsidR="00970C90" w:rsidRPr="00D97E28" w:rsidRDefault="00970C90" w:rsidP="00970C90">
      <w:pPr>
        <w:spacing w:before="120" w:after="120"/>
        <w:rPr>
          <w:sz w:val="22"/>
        </w:rPr>
      </w:pPr>
    </w:p>
    <w:tbl>
      <w:tblPr>
        <w:tblW w:w="9214" w:type="dxa"/>
        <w:tblInd w:w="-459"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ayout w:type="fixed"/>
        <w:tblLook w:val="00A0" w:firstRow="1" w:lastRow="0" w:firstColumn="1" w:lastColumn="0" w:noHBand="0" w:noVBand="0"/>
      </w:tblPr>
      <w:tblGrid>
        <w:gridCol w:w="571"/>
        <w:gridCol w:w="7084"/>
        <w:gridCol w:w="1559"/>
      </w:tblGrid>
      <w:tr w:rsidR="00970C90" w:rsidRPr="00D97E28" w14:paraId="7C54C52F" w14:textId="77777777" w:rsidTr="00CD4C06">
        <w:trPr>
          <w:cantSplit/>
          <w:trHeight w:val="249"/>
          <w:tblHeader/>
        </w:trPr>
        <w:tc>
          <w:tcPr>
            <w:tcW w:w="571" w:type="dxa"/>
            <w:tcBorders>
              <w:top w:val="nil"/>
              <w:left w:val="nil"/>
              <w:bottom w:val="single" w:sz="4" w:space="0" w:color="auto"/>
              <w:right w:val="nil"/>
            </w:tcBorders>
          </w:tcPr>
          <w:p w14:paraId="39A8E289" w14:textId="77777777" w:rsidR="00970C90" w:rsidRPr="00D97E28" w:rsidRDefault="00970C90" w:rsidP="00CD4C06">
            <w:pPr>
              <w:pStyle w:val="TableText"/>
              <w:snapToGrid w:val="0"/>
              <w:rPr>
                <w:lang w:eastAsia="en-GB"/>
              </w:rPr>
            </w:pPr>
          </w:p>
        </w:tc>
        <w:tc>
          <w:tcPr>
            <w:tcW w:w="7084" w:type="dxa"/>
            <w:tcBorders>
              <w:top w:val="nil"/>
              <w:left w:val="nil"/>
              <w:bottom w:val="single" w:sz="4" w:space="0" w:color="auto"/>
              <w:right w:val="single" w:sz="4" w:space="0" w:color="auto"/>
            </w:tcBorders>
            <w:vAlign w:val="center"/>
          </w:tcPr>
          <w:p w14:paraId="1F077DC9" w14:textId="77777777" w:rsidR="00970C90" w:rsidRPr="00D97E28" w:rsidRDefault="00970C90" w:rsidP="00CD4C06">
            <w:pPr>
              <w:pStyle w:val="TableText"/>
              <w:snapToGrid w:val="0"/>
              <w:rPr>
                <w:lang w:eastAsia="en-GB"/>
              </w:rPr>
            </w:pPr>
          </w:p>
        </w:tc>
        <w:tc>
          <w:tcPr>
            <w:tcW w:w="1559" w:type="dxa"/>
            <w:tcBorders>
              <w:top w:val="single" w:sz="4" w:space="0" w:color="auto"/>
              <w:left w:val="single" w:sz="4" w:space="0" w:color="auto"/>
              <w:bottom w:val="single" w:sz="4" w:space="0" w:color="auto"/>
              <w:right w:val="single" w:sz="4" w:space="0" w:color="auto"/>
            </w:tcBorders>
            <w:vAlign w:val="center"/>
          </w:tcPr>
          <w:p w14:paraId="7D713D97" w14:textId="77777777" w:rsidR="00970C90" w:rsidRPr="00D97E28" w:rsidRDefault="00970C90" w:rsidP="00CD4C06">
            <w:pPr>
              <w:pStyle w:val="TableText"/>
              <w:snapToGrid w:val="0"/>
              <w:jc w:val="center"/>
              <w:rPr>
                <w:bCs/>
                <w:szCs w:val="17"/>
                <w:lang w:eastAsia="it-IT"/>
              </w:rPr>
            </w:pPr>
            <w:r w:rsidRPr="00D97E28">
              <w:rPr>
                <w:bCs/>
                <w:szCs w:val="17"/>
                <w:lang w:eastAsia="it-IT"/>
              </w:rPr>
              <w:t>(a)</w:t>
            </w:r>
          </w:p>
        </w:tc>
      </w:tr>
      <w:tr w:rsidR="00970C90" w:rsidRPr="00D97E28" w14:paraId="10070AEB" w14:textId="77777777" w:rsidTr="00CD4C06">
        <w:trPr>
          <w:cantSplit/>
          <w:tblHeader/>
        </w:trPr>
        <w:tc>
          <w:tcPr>
            <w:tcW w:w="571" w:type="dxa"/>
            <w:tcBorders>
              <w:top w:val="single" w:sz="4" w:space="0" w:color="auto"/>
              <w:left w:val="nil"/>
              <w:bottom w:val="single" w:sz="4" w:space="0" w:color="auto"/>
              <w:right w:val="single" w:sz="4" w:space="0" w:color="auto"/>
            </w:tcBorders>
          </w:tcPr>
          <w:p w14:paraId="5B1D9BAD" w14:textId="77777777" w:rsidR="00970C90" w:rsidRPr="00D97E28" w:rsidRDefault="00970C90" w:rsidP="00CD4C06">
            <w:pPr>
              <w:pStyle w:val="TableText"/>
              <w:snapToGrid w:val="0"/>
              <w:rPr>
                <w:b/>
                <w:lang w:eastAsia="en-GB"/>
              </w:rPr>
            </w:pPr>
          </w:p>
        </w:tc>
        <w:tc>
          <w:tcPr>
            <w:tcW w:w="7084" w:type="dxa"/>
            <w:tcBorders>
              <w:top w:val="single" w:sz="4" w:space="0" w:color="auto"/>
              <w:left w:val="nil"/>
              <w:bottom w:val="single" w:sz="4" w:space="0" w:color="auto"/>
              <w:right w:val="single" w:sz="4" w:space="0" w:color="auto"/>
            </w:tcBorders>
          </w:tcPr>
          <w:p w14:paraId="19EA2294" w14:textId="77777777" w:rsidR="00970C90" w:rsidRPr="00D97E28" w:rsidRDefault="00970C90" w:rsidP="00CD4C06">
            <w:pPr>
              <w:pStyle w:val="TableText"/>
              <w:snapToGrid w:val="0"/>
              <w:rPr>
                <w:b/>
                <w:szCs w:val="17"/>
                <w:lang w:val="en-US" w:eastAsia="en-GB"/>
              </w:rPr>
            </w:pPr>
            <w:r w:rsidRPr="00D97E28">
              <w:rPr>
                <w:b/>
                <w:szCs w:val="17"/>
                <w:lang w:val="en-US" w:eastAsia="en-GB"/>
              </w:rPr>
              <w:t>Item</w:t>
            </w:r>
          </w:p>
        </w:tc>
        <w:tc>
          <w:tcPr>
            <w:tcW w:w="1559" w:type="dxa"/>
            <w:tcBorders>
              <w:top w:val="single" w:sz="4" w:space="0" w:color="auto"/>
              <w:left w:val="single" w:sz="4" w:space="0" w:color="auto"/>
              <w:bottom w:val="single" w:sz="4" w:space="0" w:color="auto"/>
              <w:right w:val="single" w:sz="4" w:space="0" w:color="auto"/>
            </w:tcBorders>
          </w:tcPr>
          <w:p w14:paraId="463D3C5E" w14:textId="77777777" w:rsidR="00970C90" w:rsidRPr="00D97E28" w:rsidRDefault="00970C90" w:rsidP="00CD4C06">
            <w:pPr>
              <w:pStyle w:val="TableText"/>
              <w:snapToGrid w:val="0"/>
              <w:jc w:val="center"/>
              <w:rPr>
                <w:b/>
                <w:szCs w:val="17"/>
              </w:rPr>
            </w:pPr>
            <w:r w:rsidRPr="00D97E28">
              <w:rPr>
                <w:b/>
                <w:szCs w:val="17"/>
              </w:rPr>
              <w:t>Value under the LR framework</w:t>
            </w:r>
          </w:p>
          <w:p w14:paraId="3641A942" w14:textId="77777777" w:rsidR="00970C90" w:rsidRPr="00D97E28" w:rsidRDefault="00970C90" w:rsidP="00CD4C06">
            <w:pPr>
              <w:pStyle w:val="TableText"/>
              <w:snapToGrid w:val="0"/>
              <w:jc w:val="center"/>
              <w:rPr>
                <w:szCs w:val="17"/>
              </w:rPr>
            </w:pPr>
            <w:r w:rsidRPr="00D97E28">
              <w:rPr>
                <w:szCs w:val="17"/>
              </w:rPr>
              <w:t>(HK$ equivalent)</w:t>
            </w:r>
          </w:p>
        </w:tc>
      </w:tr>
      <w:tr w:rsidR="00970C90" w:rsidRPr="00D97E28" w14:paraId="2D63335C" w14:textId="77777777" w:rsidTr="00CD4C06">
        <w:trPr>
          <w:cantSplit/>
        </w:trPr>
        <w:tc>
          <w:tcPr>
            <w:tcW w:w="571" w:type="dxa"/>
            <w:tcBorders>
              <w:top w:val="single" w:sz="4" w:space="0" w:color="auto"/>
              <w:left w:val="nil"/>
              <w:bottom w:val="single" w:sz="4" w:space="0" w:color="D9D9D9"/>
              <w:right w:val="single" w:sz="4" w:space="0" w:color="auto"/>
            </w:tcBorders>
            <w:shd w:val="clear" w:color="auto" w:fill="auto"/>
          </w:tcPr>
          <w:p w14:paraId="793A86D9" w14:textId="77777777" w:rsidR="00970C90" w:rsidRPr="00D97E28" w:rsidRDefault="00970C90" w:rsidP="00CD4C06">
            <w:pPr>
              <w:pStyle w:val="TableText"/>
              <w:numPr>
                <w:ilvl w:val="0"/>
                <w:numId w:val="42"/>
              </w:numPr>
              <w:snapToGrid w:val="0"/>
              <w:rPr>
                <w:lang w:eastAsia="en-GB"/>
              </w:rPr>
            </w:pPr>
          </w:p>
        </w:tc>
        <w:tc>
          <w:tcPr>
            <w:tcW w:w="7084" w:type="dxa"/>
            <w:tcBorders>
              <w:top w:val="single" w:sz="4" w:space="0" w:color="auto"/>
              <w:left w:val="single" w:sz="4" w:space="0" w:color="auto"/>
              <w:bottom w:val="single" w:sz="4" w:space="0" w:color="D9D9D9"/>
              <w:right w:val="single" w:sz="4" w:space="0" w:color="auto"/>
            </w:tcBorders>
            <w:shd w:val="clear" w:color="auto" w:fill="auto"/>
          </w:tcPr>
          <w:p w14:paraId="55543CD9" w14:textId="77777777" w:rsidR="00970C90" w:rsidRPr="008D6C05" w:rsidRDefault="00970C90" w:rsidP="00CD4C06">
            <w:pPr>
              <w:pStyle w:val="TableText"/>
              <w:snapToGrid w:val="0"/>
              <w:rPr>
                <w:lang w:eastAsia="en-GB"/>
              </w:rPr>
            </w:pPr>
            <w:r w:rsidRPr="00D97E28">
              <w:rPr>
                <w:szCs w:val="17"/>
                <w:lang w:eastAsia="en-GB"/>
              </w:rPr>
              <w:t>Total consolidated assets as per published financial statements</w:t>
            </w:r>
          </w:p>
        </w:tc>
        <w:tc>
          <w:tcPr>
            <w:tcW w:w="1559" w:type="dxa"/>
            <w:tcBorders>
              <w:top w:val="single" w:sz="4" w:space="0" w:color="auto"/>
              <w:left w:val="single" w:sz="4" w:space="0" w:color="auto"/>
              <w:bottom w:val="single" w:sz="4" w:space="0" w:color="D9D9D9"/>
              <w:right w:val="single" w:sz="4" w:space="0" w:color="auto"/>
            </w:tcBorders>
            <w:shd w:val="clear" w:color="auto" w:fill="auto"/>
            <w:vAlign w:val="center"/>
          </w:tcPr>
          <w:p w14:paraId="1BAF4127" w14:textId="77777777" w:rsidR="00970C90" w:rsidRPr="00D97E28" w:rsidRDefault="00970C90" w:rsidP="00CD4C06">
            <w:pPr>
              <w:pStyle w:val="TableText"/>
              <w:snapToGrid w:val="0"/>
              <w:rPr>
                <w:szCs w:val="17"/>
                <w:lang w:eastAsia="en-GB"/>
              </w:rPr>
            </w:pPr>
          </w:p>
        </w:tc>
      </w:tr>
      <w:tr w:rsidR="00970C90" w:rsidRPr="00D97E28" w14:paraId="269B2E2C" w14:textId="77777777" w:rsidTr="00CD4C06">
        <w:trPr>
          <w:cantSplit/>
        </w:trPr>
        <w:tc>
          <w:tcPr>
            <w:tcW w:w="571" w:type="dxa"/>
            <w:tcBorders>
              <w:top w:val="single" w:sz="4" w:space="0" w:color="D9D9D9"/>
              <w:left w:val="nil"/>
              <w:bottom w:val="single" w:sz="4" w:space="0" w:color="D9D9D9"/>
              <w:right w:val="single" w:sz="4" w:space="0" w:color="auto"/>
            </w:tcBorders>
            <w:shd w:val="clear" w:color="auto" w:fill="auto"/>
          </w:tcPr>
          <w:p w14:paraId="51B6211E" w14:textId="77777777" w:rsidR="00970C90" w:rsidRPr="00D97E28" w:rsidRDefault="00970C90" w:rsidP="00CD4C06">
            <w:pPr>
              <w:pStyle w:val="TableText"/>
              <w:numPr>
                <w:ilvl w:val="0"/>
                <w:numId w:val="42"/>
              </w:numPr>
              <w:snapToGrid w:val="0"/>
              <w:rPr>
                <w:lang w:eastAsia="en-GB"/>
              </w:rPr>
            </w:pPr>
          </w:p>
        </w:tc>
        <w:tc>
          <w:tcPr>
            <w:tcW w:w="7084" w:type="dxa"/>
            <w:tcBorders>
              <w:top w:val="single" w:sz="4" w:space="0" w:color="D9D9D9"/>
              <w:left w:val="single" w:sz="4" w:space="0" w:color="auto"/>
              <w:bottom w:val="single" w:sz="4" w:space="0" w:color="D9D9D9"/>
              <w:right w:val="single" w:sz="4" w:space="0" w:color="auto"/>
            </w:tcBorders>
            <w:shd w:val="clear" w:color="auto" w:fill="auto"/>
          </w:tcPr>
          <w:p w14:paraId="53216DCA" w14:textId="77777777" w:rsidR="00970C90" w:rsidRPr="008D6C05" w:rsidRDefault="00970C90" w:rsidP="00CD4C06">
            <w:pPr>
              <w:pStyle w:val="TableText"/>
              <w:snapToGrid w:val="0"/>
              <w:rPr>
                <w:szCs w:val="17"/>
                <w:lang w:eastAsia="en-GB"/>
              </w:rPr>
            </w:pPr>
            <w:r w:rsidRPr="00D97E28">
              <w:rPr>
                <w:szCs w:val="17"/>
                <w:lang w:eastAsia="en-GB"/>
              </w:rPr>
              <w:t>Adjustment for investments in banking, financial, insurance or commercial entities that are consolidated for accounting purposes but outside the scope of regulatory consolidation</w:t>
            </w:r>
          </w:p>
        </w:tc>
        <w:tc>
          <w:tcPr>
            <w:tcW w:w="1559" w:type="dxa"/>
            <w:tcBorders>
              <w:top w:val="single" w:sz="4" w:space="0" w:color="D9D9D9"/>
              <w:left w:val="single" w:sz="4" w:space="0" w:color="auto"/>
              <w:bottom w:val="single" w:sz="4" w:space="0" w:color="D9D9D9"/>
              <w:right w:val="single" w:sz="4" w:space="0" w:color="auto"/>
            </w:tcBorders>
            <w:shd w:val="clear" w:color="auto" w:fill="auto"/>
            <w:vAlign w:val="center"/>
          </w:tcPr>
          <w:p w14:paraId="447DBBD2" w14:textId="77777777" w:rsidR="00970C90" w:rsidRPr="00D97E28" w:rsidRDefault="00970C90" w:rsidP="00CD4C06">
            <w:pPr>
              <w:pStyle w:val="TableText"/>
              <w:snapToGrid w:val="0"/>
              <w:rPr>
                <w:szCs w:val="17"/>
                <w:lang w:eastAsia="en-GB"/>
              </w:rPr>
            </w:pPr>
          </w:p>
        </w:tc>
      </w:tr>
      <w:tr w:rsidR="00970C90" w:rsidRPr="00D97E28" w14:paraId="5BF3E948" w14:textId="77777777" w:rsidTr="00CD4C06">
        <w:trPr>
          <w:cantSplit/>
        </w:trPr>
        <w:tc>
          <w:tcPr>
            <w:tcW w:w="571" w:type="dxa"/>
            <w:tcBorders>
              <w:top w:val="single" w:sz="4" w:space="0" w:color="D9D9D9"/>
              <w:left w:val="nil"/>
              <w:bottom w:val="single" w:sz="4" w:space="0" w:color="D9D9D9"/>
              <w:right w:val="single" w:sz="4" w:space="0" w:color="auto"/>
            </w:tcBorders>
            <w:shd w:val="clear" w:color="auto" w:fill="auto"/>
          </w:tcPr>
          <w:p w14:paraId="2A472162" w14:textId="12FB931C" w:rsidR="00970C90" w:rsidRPr="00D97E28" w:rsidRDefault="00970C90" w:rsidP="00CD4C06">
            <w:pPr>
              <w:pStyle w:val="TableText"/>
              <w:snapToGrid w:val="0"/>
              <w:rPr>
                <w:lang w:eastAsia="en-GB"/>
              </w:rPr>
            </w:pPr>
            <w:r>
              <w:rPr>
                <w:lang w:eastAsia="en-GB"/>
              </w:rPr>
              <w:t>3</w:t>
            </w:r>
          </w:p>
        </w:tc>
        <w:tc>
          <w:tcPr>
            <w:tcW w:w="7084" w:type="dxa"/>
            <w:tcBorders>
              <w:top w:val="single" w:sz="4" w:space="0" w:color="D9D9D9"/>
              <w:left w:val="single" w:sz="4" w:space="0" w:color="auto"/>
              <w:bottom w:val="single" w:sz="4" w:space="0" w:color="D9D9D9"/>
              <w:right w:val="single" w:sz="4" w:space="0" w:color="auto"/>
            </w:tcBorders>
            <w:shd w:val="clear" w:color="auto" w:fill="auto"/>
          </w:tcPr>
          <w:p w14:paraId="05D86673" w14:textId="77777777" w:rsidR="00970C90" w:rsidRPr="008D6C05" w:rsidRDefault="00970C90" w:rsidP="00CD4C06">
            <w:pPr>
              <w:pStyle w:val="TableText"/>
              <w:snapToGrid w:val="0"/>
              <w:rPr>
                <w:lang w:eastAsia="en-GB"/>
              </w:rPr>
            </w:pPr>
            <w:r>
              <w:t>Adjustment for securitised exposures that meet the operational requirements for the recognition of risk transference</w:t>
            </w:r>
          </w:p>
        </w:tc>
        <w:tc>
          <w:tcPr>
            <w:tcW w:w="1559" w:type="dxa"/>
            <w:tcBorders>
              <w:top w:val="single" w:sz="4" w:space="0" w:color="D9D9D9"/>
              <w:left w:val="single" w:sz="4" w:space="0" w:color="auto"/>
              <w:bottom w:val="single" w:sz="4" w:space="0" w:color="D9D9D9"/>
              <w:right w:val="single" w:sz="4" w:space="0" w:color="auto"/>
            </w:tcBorders>
            <w:shd w:val="clear" w:color="auto" w:fill="auto"/>
          </w:tcPr>
          <w:p w14:paraId="59DF05F2" w14:textId="77777777" w:rsidR="00970C90" w:rsidRPr="00D97E28" w:rsidRDefault="00970C90" w:rsidP="00CD4C06">
            <w:pPr>
              <w:pStyle w:val="TableText"/>
              <w:snapToGrid w:val="0"/>
              <w:rPr>
                <w:szCs w:val="17"/>
                <w:lang w:eastAsia="en-GB"/>
              </w:rPr>
            </w:pPr>
          </w:p>
        </w:tc>
      </w:tr>
      <w:tr w:rsidR="00970C90" w:rsidRPr="00D97E28" w14:paraId="444C7754" w14:textId="77777777" w:rsidTr="00CD4C06">
        <w:trPr>
          <w:cantSplit/>
        </w:trPr>
        <w:tc>
          <w:tcPr>
            <w:tcW w:w="571" w:type="dxa"/>
            <w:tcBorders>
              <w:top w:val="single" w:sz="4" w:space="0" w:color="D9D9D9"/>
              <w:left w:val="nil"/>
              <w:bottom w:val="single" w:sz="4" w:space="0" w:color="D9D9D9"/>
              <w:right w:val="single" w:sz="4" w:space="0" w:color="auto"/>
            </w:tcBorders>
            <w:shd w:val="clear" w:color="auto" w:fill="auto"/>
          </w:tcPr>
          <w:p w14:paraId="37495D3A" w14:textId="77777777" w:rsidR="00970C90" w:rsidDel="007D456B" w:rsidRDefault="00970C90" w:rsidP="00CD4C06">
            <w:pPr>
              <w:pStyle w:val="TableText"/>
              <w:snapToGrid w:val="0"/>
              <w:rPr>
                <w:lang w:eastAsia="en-GB"/>
              </w:rPr>
            </w:pPr>
            <w:r>
              <w:rPr>
                <w:lang w:eastAsia="en-GB"/>
              </w:rPr>
              <w:t>4</w:t>
            </w:r>
          </w:p>
        </w:tc>
        <w:tc>
          <w:tcPr>
            <w:tcW w:w="7084" w:type="dxa"/>
            <w:tcBorders>
              <w:top w:val="single" w:sz="4" w:space="0" w:color="D9D9D9"/>
              <w:left w:val="single" w:sz="4" w:space="0" w:color="auto"/>
              <w:bottom w:val="single" w:sz="4" w:space="0" w:color="D9D9D9"/>
              <w:right w:val="single" w:sz="4" w:space="0" w:color="auto"/>
            </w:tcBorders>
            <w:shd w:val="clear" w:color="auto" w:fill="FFFF00"/>
          </w:tcPr>
          <w:p w14:paraId="148A4D65" w14:textId="77777777" w:rsidR="00970C90" w:rsidRDefault="00970C90" w:rsidP="00CD4C06">
            <w:pPr>
              <w:pStyle w:val="TableText"/>
              <w:snapToGrid w:val="0"/>
            </w:pPr>
            <w:r w:rsidRPr="007D456B">
              <w:t>Adjustments for temporary exemption of central bank reserves</w:t>
            </w:r>
          </w:p>
        </w:tc>
        <w:tc>
          <w:tcPr>
            <w:tcW w:w="1559" w:type="dxa"/>
            <w:tcBorders>
              <w:top w:val="single" w:sz="4" w:space="0" w:color="D9D9D9"/>
              <w:left w:val="single" w:sz="4" w:space="0" w:color="auto"/>
              <w:bottom w:val="single" w:sz="4" w:space="0" w:color="D9D9D9"/>
              <w:right w:val="single" w:sz="4" w:space="0" w:color="auto"/>
            </w:tcBorders>
            <w:shd w:val="clear" w:color="auto" w:fill="FFFF00"/>
          </w:tcPr>
          <w:p w14:paraId="18C7CE92" w14:textId="77777777" w:rsidR="00970C90" w:rsidRPr="00D97E28" w:rsidRDefault="00970C90" w:rsidP="00CD4C06">
            <w:pPr>
              <w:pStyle w:val="TableText"/>
              <w:snapToGrid w:val="0"/>
              <w:rPr>
                <w:szCs w:val="17"/>
                <w:lang w:eastAsia="en-GB"/>
              </w:rPr>
            </w:pPr>
            <w:r>
              <w:rPr>
                <w:szCs w:val="17"/>
                <w:lang w:eastAsia="en-GB"/>
              </w:rPr>
              <w:t>Not applicable</w:t>
            </w:r>
          </w:p>
        </w:tc>
      </w:tr>
      <w:tr w:rsidR="00970C90" w:rsidRPr="00D97E28" w14:paraId="01823C91" w14:textId="77777777" w:rsidTr="00CD4C06">
        <w:trPr>
          <w:cantSplit/>
        </w:trPr>
        <w:tc>
          <w:tcPr>
            <w:tcW w:w="571" w:type="dxa"/>
            <w:tcBorders>
              <w:top w:val="single" w:sz="4" w:space="0" w:color="D9D9D9"/>
              <w:left w:val="nil"/>
              <w:bottom w:val="single" w:sz="4" w:space="0" w:color="D9D9D9"/>
              <w:right w:val="single" w:sz="4" w:space="0" w:color="auto"/>
            </w:tcBorders>
            <w:shd w:val="clear" w:color="auto" w:fill="auto"/>
          </w:tcPr>
          <w:p w14:paraId="448AA583" w14:textId="58474DFF" w:rsidR="00970C90" w:rsidRPr="00D97E28" w:rsidRDefault="00970C90" w:rsidP="00CD4C06">
            <w:pPr>
              <w:pStyle w:val="TableText"/>
              <w:tabs>
                <w:tab w:val="left" w:pos="362"/>
              </w:tabs>
              <w:snapToGrid w:val="0"/>
              <w:rPr>
                <w:lang w:eastAsia="en-GB"/>
              </w:rPr>
            </w:pPr>
            <w:r>
              <w:rPr>
                <w:lang w:eastAsia="en-GB"/>
              </w:rPr>
              <w:t>5</w:t>
            </w:r>
          </w:p>
        </w:tc>
        <w:tc>
          <w:tcPr>
            <w:tcW w:w="7084" w:type="dxa"/>
            <w:tcBorders>
              <w:top w:val="single" w:sz="4" w:space="0" w:color="D9D9D9"/>
              <w:left w:val="single" w:sz="4" w:space="0" w:color="auto"/>
              <w:bottom w:val="single" w:sz="4" w:space="0" w:color="D9D9D9"/>
              <w:right w:val="single" w:sz="4" w:space="0" w:color="auto"/>
            </w:tcBorders>
            <w:shd w:val="clear" w:color="auto" w:fill="auto"/>
          </w:tcPr>
          <w:p w14:paraId="15FC5DD2" w14:textId="77777777" w:rsidR="00970C90" w:rsidRPr="008D6C05" w:rsidRDefault="00970C90" w:rsidP="00CD4C06">
            <w:pPr>
              <w:pStyle w:val="TableText"/>
              <w:snapToGrid w:val="0"/>
              <w:rPr>
                <w:lang w:eastAsia="en-GB"/>
              </w:rPr>
            </w:pPr>
            <w:r w:rsidRPr="00D97E28">
              <w:rPr>
                <w:szCs w:val="17"/>
                <w:lang w:eastAsia="en-GB"/>
              </w:rPr>
              <w:t>Adjustment for fiduciary assets recognised on the balance sheet pursuant to the applicable accounting standard but excluded from the LR exposure measure</w:t>
            </w:r>
          </w:p>
        </w:tc>
        <w:tc>
          <w:tcPr>
            <w:tcW w:w="1559" w:type="dxa"/>
            <w:tcBorders>
              <w:top w:val="single" w:sz="4" w:space="0" w:color="D9D9D9"/>
              <w:left w:val="single" w:sz="4" w:space="0" w:color="auto"/>
              <w:bottom w:val="single" w:sz="4" w:space="0" w:color="D9D9D9"/>
              <w:right w:val="single" w:sz="4" w:space="0" w:color="auto"/>
            </w:tcBorders>
            <w:shd w:val="clear" w:color="auto" w:fill="auto"/>
          </w:tcPr>
          <w:p w14:paraId="0DA802DB" w14:textId="77777777" w:rsidR="00970C90" w:rsidRPr="00D97E28" w:rsidRDefault="00970C90" w:rsidP="00CD4C06">
            <w:pPr>
              <w:pStyle w:val="TableText"/>
              <w:snapToGrid w:val="0"/>
              <w:rPr>
                <w:szCs w:val="17"/>
                <w:lang w:eastAsia="en-GB"/>
              </w:rPr>
            </w:pPr>
          </w:p>
        </w:tc>
      </w:tr>
      <w:tr w:rsidR="00970C90" w:rsidRPr="00D97E28" w14:paraId="27A54CF4" w14:textId="77777777" w:rsidTr="00CD4C06">
        <w:trPr>
          <w:cantSplit/>
        </w:trPr>
        <w:tc>
          <w:tcPr>
            <w:tcW w:w="571" w:type="dxa"/>
            <w:tcBorders>
              <w:top w:val="single" w:sz="4" w:space="0" w:color="D9D9D9"/>
              <w:left w:val="nil"/>
              <w:bottom w:val="single" w:sz="4" w:space="0" w:color="D9D9D9"/>
              <w:right w:val="single" w:sz="4" w:space="0" w:color="auto"/>
            </w:tcBorders>
            <w:shd w:val="clear" w:color="auto" w:fill="auto"/>
          </w:tcPr>
          <w:p w14:paraId="7C5A3235" w14:textId="77777777" w:rsidR="00970C90" w:rsidDel="00EC74C6" w:rsidRDefault="00970C90" w:rsidP="00CD4C06">
            <w:pPr>
              <w:pStyle w:val="TableText"/>
              <w:tabs>
                <w:tab w:val="left" w:pos="362"/>
              </w:tabs>
              <w:snapToGrid w:val="0"/>
              <w:rPr>
                <w:lang w:eastAsia="en-GB"/>
              </w:rPr>
            </w:pPr>
            <w:r>
              <w:rPr>
                <w:lang w:eastAsia="en-GB"/>
              </w:rPr>
              <w:t>6</w:t>
            </w:r>
          </w:p>
        </w:tc>
        <w:tc>
          <w:tcPr>
            <w:tcW w:w="7084" w:type="dxa"/>
            <w:tcBorders>
              <w:top w:val="single" w:sz="4" w:space="0" w:color="D9D9D9"/>
              <w:left w:val="single" w:sz="4" w:space="0" w:color="auto"/>
              <w:bottom w:val="single" w:sz="4" w:space="0" w:color="D9D9D9"/>
              <w:right w:val="single" w:sz="4" w:space="0" w:color="auto"/>
            </w:tcBorders>
            <w:shd w:val="clear" w:color="auto" w:fill="auto"/>
          </w:tcPr>
          <w:p w14:paraId="2B45098D" w14:textId="77777777" w:rsidR="00970C90" w:rsidRPr="00D97E28" w:rsidRDefault="00970C90" w:rsidP="00CD4C06">
            <w:pPr>
              <w:pStyle w:val="TableText"/>
              <w:snapToGrid w:val="0"/>
              <w:rPr>
                <w:szCs w:val="17"/>
                <w:lang w:eastAsia="en-GB"/>
              </w:rPr>
            </w:pPr>
            <w:r w:rsidRPr="00D42514">
              <w:rPr>
                <w:szCs w:val="17"/>
                <w:lang w:eastAsia="en-GB"/>
              </w:rPr>
              <w:t>Adjustments for regular-way purchases and sales of financial assets subject to trade date accounting</w:t>
            </w:r>
          </w:p>
        </w:tc>
        <w:tc>
          <w:tcPr>
            <w:tcW w:w="1559" w:type="dxa"/>
            <w:tcBorders>
              <w:top w:val="single" w:sz="4" w:space="0" w:color="D9D9D9"/>
              <w:left w:val="single" w:sz="4" w:space="0" w:color="auto"/>
              <w:bottom w:val="single" w:sz="4" w:space="0" w:color="D9D9D9"/>
              <w:right w:val="single" w:sz="4" w:space="0" w:color="auto"/>
            </w:tcBorders>
            <w:shd w:val="clear" w:color="auto" w:fill="auto"/>
          </w:tcPr>
          <w:p w14:paraId="128C33A0" w14:textId="77777777" w:rsidR="00970C90" w:rsidRPr="00D97E28" w:rsidRDefault="00970C90" w:rsidP="00CD4C06">
            <w:pPr>
              <w:pStyle w:val="TableText"/>
              <w:snapToGrid w:val="0"/>
              <w:rPr>
                <w:szCs w:val="17"/>
                <w:lang w:eastAsia="en-GB"/>
              </w:rPr>
            </w:pPr>
          </w:p>
        </w:tc>
      </w:tr>
      <w:tr w:rsidR="00970C90" w:rsidRPr="00D97E28" w14:paraId="30CFA159" w14:textId="77777777" w:rsidTr="00CD4C06">
        <w:trPr>
          <w:cantSplit/>
          <w:trHeight w:val="418"/>
        </w:trPr>
        <w:tc>
          <w:tcPr>
            <w:tcW w:w="571" w:type="dxa"/>
            <w:tcBorders>
              <w:top w:val="single" w:sz="4" w:space="0" w:color="D9D9D9"/>
              <w:left w:val="nil"/>
              <w:bottom w:val="single" w:sz="4" w:space="0" w:color="D9D9D9"/>
              <w:right w:val="single" w:sz="4" w:space="0" w:color="auto"/>
            </w:tcBorders>
            <w:shd w:val="clear" w:color="auto" w:fill="auto"/>
          </w:tcPr>
          <w:p w14:paraId="0B85FF97" w14:textId="42880BA6" w:rsidR="00970C90" w:rsidRPr="00D97E28" w:rsidRDefault="00970C90" w:rsidP="00CD4C06">
            <w:pPr>
              <w:pStyle w:val="TableText"/>
              <w:snapToGrid w:val="0"/>
              <w:rPr>
                <w:lang w:eastAsia="en-GB"/>
              </w:rPr>
            </w:pPr>
            <w:r>
              <w:rPr>
                <w:lang w:eastAsia="en-GB"/>
              </w:rPr>
              <w:t>7</w:t>
            </w:r>
          </w:p>
        </w:tc>
        <w:tc>
          <w:tcPr>
            <w:tcW w:w="7084" w:type="dxa"/>
            <w:tcBorders>
              <w:top w:val="single" w:sz="4" w:space="0" w:color="D9D9D9"/>
              <w:left w:val="single" w:sz="4" w:space="0" w:color="auto"/>
              <w:bottom w:val="single" w:sz="4" w:space="0" w:color="D9D9D9"/>
              <w:right w:val="single" w:sz="4" w:space="0" w:color="auto"/>
            </w:tcBorders>
            <w:shd w:val="clear" w:color="auto" w:fill="auto"/>
          </w:tcPr>
          <w:p w14:paraId="2EAAFA41" w14:textId="77777777" w:rsidR="00970C90" w:rsidRPr="008D6C05" w:rsidRDefault="00970C90" w:rsidP="00CD4C06">
            <w:pPr>
              <w:pStyle w:val="TableText"/>
              <w:snapToGrid w:val="0"/>
              <w:rPr>
                <w:lang w:eastAsia="en-GB"/>
              </w:rPr>
            </w:pPr>
            <w:r w:rsidRPr="00AC6DA4">
              <w:rPr>
                <w:rFonts w:eastAsia="SimSun" w:cs="Segoe UI"/>
                <w:kern w:val="2"/>
                <w:szCs w:val="17"/>
                <w:lang w:eastAsia="zh-CN"/>
              </w:rPr>
              <w:t>Adjustments for eligible cash pooling transactions</w:t>
            </w:r>
          </w:p>
        </w:tc>
        <w:tc>
          <w:tcPr>
            <w:tcW w:w="1559" w:type="dxa"/>
            <w:tcBorders>
              <w:top w:val="single" w:sz="4" w:space="0" w:color="D9D9D9"/>
              <w:left w:val="single" w:sz="4" w:space="0" w:color="auto"/>
              <w:bottom w:val="single" w:sz="4" w:space="0" w:color="D9D9D9"/>
              <w:right w:val="single" w:sz="4" w:space="0" w:color="auto"/>
            </w:tcBorders>
            <w:shd w:val="clear" w:color="auto" w:fill="auto"/>
          </w:tcPr>
          <w:p w14:paraId="704F6481" w14:textId="77777777" w:rsidR="00970C90" w:rsidRPr="00D97E28" w:rsidRDefault="00970C90" w:rsidP="00CD4C06">
            <w:pPr>
              <w:pStyle w:val="TableText"/>
              <w:snapToGrid w:val="0"/>
              <w:rPr>
                <w:szCs w:val="17"/>
                <w:lang w:eastAsia="en-GB"/>
              </w:rPr>
            </w:pPr>
          </w:p>
        </w:tc>
      </w:tr>
      <w:tr w:rsidR="00970C90" w:rsidRPr="00D97E28" w14:paraId="1ECC8593" w14:textId="77777777" w:rsidTr="00CD4C06">
        <w:trPr>
          <w:cantSplit/>
        </w:trPr>
        <w:tc>
          <w:tcPr>
            <w:tcW w:w="571" w:type="dxa"/>
            <w:tcBorders>
              <w:top w:val="single" w:sz="4" w:space="0" w:color="D9D9D9"/>
              <w:left w:val="nil"/>
              <w:bottom w:val="single" w:sz="4" w:space="0" w:color="D9D9D9"/>
              <w:right w:val="single" w:sz="4" w:space="0" w:color="auto"/>
            </w:tcBorders>
            <w:shd w:val="clear" w:color="auto" w:fill="auto"/>
          </w:tcPr>
          <w:p w14:paraId="286DB02C" w14:textId="7833BB3D" w:rsidR="00970C90" w:rsidRPr="00D97E28" w:rsidRDefault="00970C90" w:rsidP="00CD4C06">
            <w:pPr>
              <w:pStyle w:val="TableText"/>
              <w:snapToGrid w:val="0"/>
              <w:rPr>
                <w:lang w:eastAsia="en-GB"/>
              </w:rPr>
            </w:pPr>
            <w:r>
              <w:rPr>
                <w:lang w:eastAsia="en-GB"/>
              </w:rPr>
              <w:t>8</w:t>
            </w:r>
          </w:p>
        </w:tc>
        <w:tc>
          <w:tcPr>
            <w:tcW w:w="7084" w:type="dxa"/>
            <w:tcBorders>
              <w:top w:val="single" w:sz="4" w:space="0" w:color="D9D9D9"/>
              <w:left w:val="single" w:sz="4" w:space="0" w:color="auto"/>
              <w:bottom w:val="single" w:sz="4" w:space="0" w:color="D9D9D9"/>
              <w:right w:val="single" w:sz="4" w:space="0" w:color="auto"/>
            </w:tcBorders>
            <w:shd w:val="clear" w:color="auto" w:fill="auto"/>
          </w:tcPr>
          <w:p w14:paraId="130C3D7C" w14:textId="77777777" w:rsidR="00970C90" w:rsidRPr="00D97E28" w:rsidRDefault="00970C90" w:rsidP="00CD4C06">
            <w:pPr>
              <w:pStyle w:val="TableText"/>
              <w:snapToGrid w:val="0"/>
              <w:rPr>
                <w:szCs w:val="17"/>
                <w:lang w:eastAsia="en-GB"/>
              </w:rPr>
            </w:pPr>
            <w:r w:rsidRPr="00D97E28">
              <w:rPr>
                <w:szCs w:val="17"/>
                <w:lang w:eastAsia="en-GB"/>
              </w:rPr>
              <w:t>Adjustments for derivative contracts</w:t>
            </w:r>
          </w:p>
        </w:tc>
        <w:tc>
          <w:tcPr>
            <w:tcW w:w="1559" w:type="dxa"/>
            <w:tcBorders>
              <w:top w:val="single" w:sz="4" w:space="0" w:color="D9D9D9"/>
              <w:left w:val="single" w:sz="4" w:space="0" w:color="auto"/>
              <w:bottom w:val="single" w:sz="4" w:space="0" w:color="D9D9D9"/>
              <w:right w:val="single" w:sz="4" w:space="0" w:color="auto"/>
            </w:tcBorders>
            <w:shd w:val="clear" w:color="auto" w:fill="auto"/>
          </w:tcPr>
          <w:p w14:paraId="579F8C0C" w14:textId="77777777" w:rsidR="00970C90" w:rsidRPr="00D97E28" w:rsidRDefault="00970C90" w:rsidP="00CD4C06">
            <w:pPr>
              <w:pStyle w:val="TableText"/>
              <w:snapToGrid w:val="0"/>
              <w:rPr>
                <w:szCs w:val="17"/>
                <w:lang w:eastAsia="en-GB"/>
              </w:rPr>
            </w:pPr>
          </w:p>
        </w:tc>
      </w:tr>
      <w:tr w:rsidR="00970C90" w:rsidRPr="00D97E28" w14:paraId="5FD2FAF0" w14:textId="77777777" w:rsidTr="00CD4C06">
        <w:trPr>
          <w:cantSplit/>
          <w:trHeight w:val="131"/>
        </w:trPr>
        <w:tc>
          <w:tcPr>
            <w:tcW w:w="571" w:type="dxa"/>
            <w:tcBorders>
              <w:top w:val="single" w:sz="4" w:space="0" w:color="D9D9D9"/>
              <w:left w:val="nil"/>
              <w:bottom w:val="single" w:sz="4" w:space="0" w:color="D9D9D9"/>
              <w:right w:val="single" w:sz="4" w:space="0" w:color="auto"/>
            </w:tcBorders>
            <w:shd w:val="clear" w:color="auto" w:fill="auto"/>
          </w:tcPr>
          <w:p w14:paraId="272D0A62" w14:textId="73A30E7D" w:rsidR="00970C90" w:rsidRPr="00D97E28" w:rsidRDefault="00970C90" w:rsidP="00CD4C06">
            <w:pPr>
              <w:pStyle w:val="TableText"/>
              <w:snapToGrid w:val="0"/>
              <w:rPr>
                <w:lang w:eastAsia="en-GB"/>
              </w:rPr>
            </w:pPr>
            <w:r>
              <w:rPr>
                <w:lang w:eastAsia="en-GB"/>
              </w:rPr>
              <w:lastRenderedPageBreak/>
              <w:t>9</w:t>
            </w:r>
          </w:p>
        </w:tc>
        <w:tc>
          <w:tcPr>
            <w:tcW w:w="7084" w:type="dxa"/>
            <w:tcBorders>
              <w:top w:val="single" w:sz="4" w:space="0" w:color="D9D9D9"/>
              <w:left w:val="single" w:sz="4" w:space="0" w:color="auto"/>
              <w:bottom w:val="single" w:sz="4" w:space="0" w:color="D9D9D9"/>
              <w:right w:val="single" w:sz="4" w:space="0" w:color="auto"/>
            </w:tcBorders>
            <w:shd w:val="clear" w:color="auto" w:fill="auto"/>
          </w:tcPr>
          <w:p w14:paraId="05F40B00" w14:textId="77777777" w:rsidR="00970C90" w:rsidRPr="00D97E28" w:rsidRDefault="00970C90" w:rsidP="00CD4C06">
            <w:pPr>
              <w:pStyle w:val="TableText"/>
              <w:snapToGrid w:val="0"/>
              <w:rPr>
                <w:szCs w:val="17"/>
                <w:lang w:eastAsia="en-GB"/>
              </w:rPr>
            </w:pPr>
            <w:r w:rsidRPr="00D97E28">
              <w:rPr>
                <w:szCs w:val="17"/>
                <w:lang w:eastAsia="en-GB"/>
              </w:rPr>
              <w:t>Adjustment for SFTs (i.e. repos and similar secured lending)</w:t>
            </w:r>
          </w:p>
        </w:tc>
        <w:tc>
          <w:tcPr>
            <w:tcW w:w="1559" w:type="dxa"/>
            <w:tcBorders>
              <w:top w:val="single" w:sz="4" w:space="0" w:color="D9D9D9"/>
              <w:left w:val="single" w:sz="4" w:space="0" w:color="auto"/>
              <w:bottom w:val="single" w:sz="4" w:space="0" w:color="D9D9D9"/>
              <w:right w:val="single" w:sz="4" w:space="0" w:color="auto"/>
            </w:tcBorders>
            <w:shd w:val="clear" w:color="auto" w:fill="auto"/>
          </w:tcPr>
          <w:p w14:paraId="7E56B7B8" w14:textId="77777777" w:rsidR="00970C90" w:rsidRPr="00D97E28" w:rsidRDefault="00970C90" w:rsidP="00CD4C06">
            <w:pPr>
              <w:pStyle w:val="TableText"/>
              <w:snapToGrid w:val="0"/>
              <w:rPr>
                <w:szCs w:val="17"/>
                <w:lang w:eastAsia="en-GB"/>
              </w:rPr>
            </w:pPr>
          </w:p>
        </w:tc>
      </w:tr>
      <w:tr w:rsidR="00970C90" w:rsidRPr="00D97E28" w14:paraId="13931367" w14:textId="77777777" w:rsidTr="00CD4C06">
        <w:trPr>
          <w:cantSplit/>
        </w:trPr>
        <w:tc>
          <w:tcPr>
            <w:tcW w:w="571" w:type="dxa"/>
            <w:tcBorders>
              <w:top w:val="single" w:sz="4" w:space="0" w:color="D9D9D9"/>
              <w:left w:val="nil"/>
              <w:bottom w:val="single" w:sz="4" w:space="0" w:color="D9D9D9"/>
              <w:right w:val="single" w:sz="4" w:space="0" w:color="auto"/>
            </w:tcBorders>
            <w:shd w:val="clear" w:color="auto" w:fill="auto"/>
          </w:tcPr>
          <w:p w14:paraId="3BF1B503" w14:textId="516FD103" w:rsidR="00970C90" w:rsidRPr="00D97E28" w:rsidRDefault="00970C90" w:rsidP="00CD4C06">
            <w:pPr>
              <w:pStyle w:val="TableText"/>
              <w:snapToGrid w:val="0"/>
              <w:rPr>
                <w:lang w:eastAsia="en-GB"/>
              </w:rPr>
            </w:pPr>
            <w:r>
              <w:rPr>
                <w:lang w:eastAsia="en-GB"/>
              </w:rPr>
              <w:t>10</w:t>
            </w:r>
          </w:p>
        </w:tc>
        <w:tc>
          <w:tcPr>
            <w:tcW w:w="7084" w:type="dxa"/>
            <w:tcBorders>
              <w:top w:val="single" w:sz="4" w:space="0" w:color="D9D9D9"/>
              <w:left w:val="single" w:sz="4" w:space="0" w:color="auto"/>
              <w:bottom w:val="single" w:sz="4" w:space="0" w:color="D9D9D9"/>
              <w:right w:val="single" w:sz="4" w:space="0" w:color="auto"/>
            </w:tcBorders>
            <w:shd w:val="clear" w:color="auto" w:fill="auto"/>
          </w:tcPr>
          <w:p w14:paraId="42B9F62D" w14:textId="77777777" w:rsidR="00970C90" w:rsidRPr="00D97E28" w:rsidRDefault="00970C90" w:rsidP="00CD4C06">
            <w:pPr>
              <w:pStyle w:val="TableText"/>
              <w:snapToGrid w:val="0"/>
              <w:rPr>
                <w:szCs w:val="17"/>
                <w:lang w:eastAsia="en-GB"/>
              </w:rPr>
            </w:pPr>
            <w:r w:rsidRPr="00D97E28">
              <w:rPr>
                <w:szCs w:val="17"/>
                <w:lang w:eastAsia="en-GB"/>
              </w:rPr>
              <w:t>Adjustment for off-balance sheet (“OBS”) items (i.e. conversion to credit equivalent amounts of OBS exposures)</w:t>
            </w:r>
          </w:p>
        </w:tc>
        <w:tc>
          <w:tcPr>
            <w:tcW w:w="1559" w:type="dxa"/>
            <w:tcBorders>
              <w:top w:val="single" w:sz="4" w:space="0" w:color="D9D9D9"/>
              <w:left w:val="single" w:sz="4" w:space="0" w:color="auto"/>
              <w:bottom w:val="single" w:sz="4" w:space="0" w:color="D9D9D9"/>
              <w:right w:val="single" w:sz="4" w:space="0" w:color="auto"/>
            </w:tcBorders>
            <w:shd w:val="clear" w:color="auto" w:fill="auto"/>
          </w:tcPr>
          <w:p w14:paraId="7325FE20" w14:textId="77777777" w:rsidR="00970C90" w:rsidRPr="00D97E28" w:rsidRDefault="00970C90" w:rsidP="00CD4C06">
            <w:pPr>
              <w:pStyle w:val="TableText"/>
              <w:snapToGrid w:val="0"/>
              <w:rPr>
                <w:szCs w:val="17"/>
                <w:lang w:eastAsia="en-GB"/>
              </w:rPr>
            </w:pPr>
          </w:p>
        </w:tc>
      </w:tr>
      <w:tr w:rsidR="00970C90" w:rsidRPr="00D97E28" w14:paraId="5743D386" w14:textId="77777777" w:rsidTr="00CD4C06">
        <w:trPr>
          <w:cantSplit/>
        </w:trPr>
        <w:tc>
          <w:tcPr>
            <w:tcW w:w="571" w:type="dxa"/>
            <w:tcBorders>
              <w:top w:val="single" w:sz="4" w:space="0" w:color="D9D9D9"/>
              <w:left w:val="nil"/>
              <w:bottom w:val="single" w:sz="4" w:space="0" w:color="D9D9D9"/>
              <w:right w:val="single" w:sz="4" w:space="0" w:color="auto"/>
            </w:tcBorders>
            <w:shd w:val="clear" w:color="auto" w:fill="auto"/>
          </w:tcPr>
          <w:p w14:paraId="0C5C20FA" w14:textId="49B246D1" w:rsidR="00970C90" w:rsidRPr="00D97E28" w:rsidRDefault="00970C90" w:rsidP="00CD4C06">
            <w:pPr>
              <w:pStyle w:val="TableText"/>
              <w:snapToGrid w:val="0"/>
              <w:rPr>
                <w:lang w:eastAsia="en-GB"/>
              </w:rPr>
            </w:pPr>
            <w:r>
              <w:rPr>
                <w:lang w:eastAsia="en-GB"/>
              </w:rPr>
              <w:t>11</w:t>
            </w:r>
          </w:p>
        </w:tc>
        <w:tc>
          <w:tcPr>
            <w:tcW w:w="7084" w:type="dxa"/>
            <w:tcBorders>
              <w:top w:val="single" w:sz="4" w:space="0" w:color="D9D9D9"/>
              <w:left w:val="single" w:sz="4" w:space="0" w:color="auto"/>
              <w:bottom w:val="single" w:sz="4" w:space="0" w:color="D9D9D9"/>
              <w:right w:val="single" w:sz="4" w:space="0" w:color="auto"/>
            </w:tcBorders>
            <w:shd w:val="clear" w:color="auto" w:fill="auto"/>
          </w:tcPr>
          <w:p w14:paraId="4569C008" w14:textId="77777777" w:rsidR="00970C90" w:rsidRPr="00266F56" w:rsidRDefault="00970C90" w:rsidP="00CD4C06">
            <w:pPr>
              <w:pStyle w:val="TableText"/>
              <w:snapToGrid w:val="0"/>
              <w:rPr>
                <w:szCs w:val="17"/>
                <w:lang w:eastAsia="en-GB"/>
              </w:rPr>
            </w:pPr>
            <w:r w:rsidRPr="00266F56">
              <w:rPr>
                <w:szCs w:val="17"/>
                <w:lang w:eastAsia="en-GB"/>
              </w:rPr>
              <w:t xml:space="preserve">Adjustments for prudent valuation adjustments and specific and collective provisions that are allowed to be excluded </w:t>
            </w:r>
            <w:r w:rsidRPr="00650B49">
              <w:rPr>
                <w:szCs w:val="17"/>
                <w:lang w:eastAsia="en-GB"/>
              </w:rPr>
              <w:t xml:space="preserve">from </w:t>
            </w:r>
            <w:r>
              <w:rPr>
                <w:szCs w:val="17"/>
                <w:lang w:eastAsia="en-GB"/>
              </w:rPr>
              <w:t>LR</w:t>
            </w:r>
            <w:r w:rsidRPr="00650B49">
              <w:rPr>
                <w:szCs w:val="17"/>
                <w:lang w:eastAsia="en-GB"/>
              </w:rPr>
              <w:t xml:space="preserve"> ex</w:t>
            </w:r>
            <w:r w:rsidRPr="00266F56">
              <w:rPr>
                <w:szCs w:val="17"/>
                <w:lang w:eastAsia="en-GB"/>
              </w:rPr>
              <w:t>posure measure</w:t>
            </w:r>
          </w:p>
        </w:tc>
        <w:tc>
          <w:tcPr>
            <w:tcW w:w="1559" w:type="dxa"/>
            <w:tcBorders>
              <w:top w:val="single" w:sz="4" w:space="0" w:color="D9D9D9"/>
              <w:left w:val="single" w:sz="4" w:space="0" w:color="auto"/>
              <w:bottom w:val="single" w:sz="4" w:space="0" w:color="D9D9D9"/>
              <w:right w:val="single" w:sz="4" w:space="0" w:color="auto"/>
            </w:tcBorders>
            <w:shd w:val="clear" w:color="auto" w:fill="auto"/>
          </w:tcPr>
          <w:p w14:paraId="04F8C901" w14:textId="77777777" w:rsidR="00970C90" w:rsidRPr="00D97E28" w:rsidRDefault="00970C90" w:rsidP="00CD4C06">
            <w:pPr>
              <w:pStyle w:val="TableText"/>
              <w:snapToGrid w:val="0"/>
              <w:rPr>
                <w:szCs w:val="17"/>
                <w:lang w:eastAsia="en-GB"/>
              </w:rPr>
            </w:pPr>
          </w:p>
        </w:tc>
      </w:tr>
      <w:tr w:rsidR="00970C90" w:rsidRPr="00D97E28" w14:paraId="32E6B482" w14:textId="77777777" w:rsidTr="00CD4C06">
        <w:trPr>
          <w:cantSplit/>
        </w:trPr>
        <w:tc>
          <w:tcPr>
            <w:tcW w:w="571" w:type="dxa"/>
            <w:tcBorders>
              <w:top w:val="single" w:sz="4" w:space="0" w:color="D9D9D9"/>
              <w:left w:val="nil"/>
              <w:bottom w:val="single" w:sz="4" w:space="0" w:color="D9D9D9"/>
              <w:right w:val="single" w:sz="4" w:space="0" w:color="auto"/>
            </w:tcBorders>
            <w:shd w:val="clear" w:color="auto" w:fill="auto"/>
          </w:tcPr>
          <w:p w14:paraId="6016A34E" w14:textId="57539AE3" w:rsidR="00970C90" w:rsidRPr="00D97E28" w:rsidRDefault="00970C90" w:rsidP="00CD4C06">
            <w:pPr>
              <w:pStyle w:val="TableText"/>
              <w:snapToGrid w:val="0"/>
              <w:rPr>
                <w:lang w:eastAsia="en-GB"/>
              </w:rPr>
            </w:pPr>
            <w:r>
              <w:rPr>
                <w:lang w:eastAsia="en-GB"/>
              </w:rPr>
              <w:t>12</w:t>
            </w:r>
          </w:p>
        </w:tc>
        <w:tc>
          <w:tcPr>
            <w:tcW w:w="7084" w:type="dxa"/>
            <w:tcBorders>
              <w:top w:val="single" w:sz="4" w:space="0" w:color="D9D9D9"/>
              <w:left w:val="single" w:sz="4" w:space="0" w:color="auto"/>
              <w:bottom w:val="single" w:sz="4" w:space="0" w:color="D9D9D9"/>
              <w:right w:val="single" w:sz="4" w:space="0" w:color="auto"/>
            </w:tcBorders>
            <w:shd w:val="clear" w:color="auto" w:fill="auto"/>
          </w:tcPr>
          <w:p w14:paraId="5F83C931" w14:textId="77777777" w:rsidR="00970C90" w:rsidRPr="00D97E28" w:rsidRDefault="00970C90" w:rsidP="00CD4C06">
            <w:pPr>
              <w:pStyle w:val="TableText"/>
              <w:snapToGrid w:val="0"/>
              <w:rPr>
                <w:szCs w:val="17"/>
                <w:lang w:eastAsia="en-GB"/>
              </w:rPr>
            </w:pPr>
            <w:r w:rsidRPr="00D97E28">
              <w:rPr>
                <w:szCs w:val="17"/>
                <w:lang w:eastAsia="en-GB"/>
              </w:rPr>
              <w:t>Other adjustments</w:t>
            </w:r>
          </w:p>
        </w:tc>
        <w:tc>
          <w:tcPr>
            <w:tcW w:w="1559" w:type="dxa"/>
            <w:tcBorders>
              <w:top w:val="single" w:sz="4" w:space="0" w:color="D9D9D9"/>
              <w:left w:val="single" w:sz="4" w:space="0" w:color="auto"/>
              <w:bottom w:val="single" w:sz="4" w:space="0" w:color="D9D9D9"/>
              <w:right w:val="single" w:sz="4" w:space="0" w:color="auto"/>
            </w:tcBorders>
            <w:shd w:val="clear" w:color="auto" w:fill="auto"/>
          </w:tcPr>
          <w:p w14:paraId="5DCA3F2E" w14:textId="77777777" w:rsidR="00970C90" w:rsidRPr="00D97E28" w:rsidRDefault="00970C90" w:rsidP="00CD4C06">
            <w:pPr>
              <w:pStyle w:val="TableText"/>
              <w:snapToGrid w:val="0"/>
              <w:rPr>
                <w:szCs w:val="17"/>
                <w:lang w:eastAsia="en-GB"/>
              </w:rPr>
            </w:pPr>
          </w:p>
        </w:tc>
      </w:tr>
      <w:tr w:rsidR="00970C90" w:rsidRPr="00D97E28" w14:paraId="36B2C62B" w14:textId="77777777" w:rsidTr="00CD4C06">
        <w:trPr>
          <w:cantSplit/>
        </w:trPr>
        <w:tc>
          <w:tcPr>
            <w:tcW w:w="571" w:type="dxa"/>
            <w:tcBorders>
              <w:top w:val="single" w:sz="4" w:space="0" w:color="D9D9D9"/>
              <w:left w:val="nil"/>
              <w:bottom w:val="single" w:sz="4" w:space="0" w:color="auto"/>
              <w:right w:val="single" w:sz="4" w:space="0" w:color="auto"/>
            </w:tcBorders>
            <w:shd w:val="clear" w:color="auto" w:fill="auto"/>
          </w:tcPr>
          <w:p w14:paraId="57A7AF2D" w14:textId="3D69E3F0" w:rsidR="00970C90" w:rsidRPr="00D97E28" w:rsidRDefault="00970C90" w:rsidP="00CD4C06">
            <w:pPr>
              <w:pStyle w:val="TableText"/>
              <w:snapToGrid w:val="0"/>
              <w:rPr>
                <w:b/>
                <w:lang w:eastAsia="en-GB"/>
              </w:rPr>
            </w:pPr>
            <w:r>
              <w:rPr>
                <w:b/>
                <w:lang w:eastAsia="en-GB"/>
              </w:rPr>
              <w:t>13</w:t>
            </w:r>
          </w:p>
        </w:tc>
        <w:tc>
          <w:tcPr>
            <w:tcW w:w="7084" w:type="dxa"/>
            <w:tcBorders>
              <w:top w:val="single" w:sz="4" w:space="0" w:color="D9D9D9"/>
              <w:left w:val="single" w:sz="4" w:space="0" w:color="auto"/>
              <w:bottom w:val="single" w:sz="4" w:space="0" w:color="auto"/>
              <w:right w:val="single" w:sz="4" w:space="0" w:color="auto"/>
            </w:tcBorders>
            <w:shd w:val="clear" w:color="auto" w:fill="auto"/>
          </w:tcPr>
          <w:p w14:paraId="56F823EB" w14:textId="77777777" w:rsidR="00970C90" w:rsidRPr="00D97E28" w:rsidRDefault="00970C90" w:rsidP="00CD4C06">
            <w:pPr>
              <w:pStyle w:val="TableText"/>
              <w:snapToGrid w:val="0"/>
              <w:rPr>
                <w:b/>
                <w:szCs w:val="17"/>
                <w:lang w:eastAsia="en-GB"/>
              </w:rPr>
            </w:pPr>
            <w:r w:rsidRPr="00D97E28">
              <w:rPr>
                <w:b/>
                <w:szCs w:val="17"/>
                <w:lang w:eastAsia="en-GB"/>
              </w:rPr>
              <w:t>Leverage ratio exposure measure</w:t>
            </w:r>
          </w:p>
        </w:tc>
        <w:tc>
          <w:tcPr>
            <w:tcW w:w="1559" w:type="dxa"/>
            <w:tcBorders>
              <w:top w:val="single" w:sz="4" w:space="0" w:color="D9D9D9"/>
              <w:left w:val="single" w:sz="4" w:space="0" w:color="auto"/>
              <w:bottom w:val="single" w:sz="4" w:space="0" w:color="auto"/>
              <w:right w:val="single" w:sz="4" w:space="0" w:color="auto"/>
            </w:tcBorders>
            <w:shd w:val="clear" w:color="auto" w:fill="auto"/>
          </w:tcPr>
          <w:p w14:paraId="0886CEA8" w14:textId="77777777" w:rsidR="00970C90" w:rsidRPr="00D97E28" w:rsidRDefault="00970C90" w:rsidP="00CD4C06">
            <w:pPr>
              <w:pStyle w:val="TableText"/>
              <w:snapToGrid w:val="0"/>
              <w:rPr>
                <w:szCs w:val="17"/>
                <w:lang w:eastAsia="en-GB"/>
              </w:rPr>
            </w:pPr>
          </w:p>
        </w:tc>
      </w:tr>
      <w:tr w:rsidR="00970C90" w:rsidRPr="00D97E28" w14:paraId="3CB3D685" w14:textId="77777777" w:rsidTr="00CD4C06">
        <w:trPr>
          <w:cantSplit/>
        </w:trPr>
        <w:tc>
          <w:tcPr>
            <w:tcW w:w="9214" w:type="dxa"/>
            <w:gridSpan w:val="3"/>
            <w:tcBorders>
              <w:top w:val="single" w:sz="4" w:space="0" w:color="auto"/>
              <w:left w:val="nil"/>
              <w:bottom w:val="single" w:sz="4" w:space="0" w:color="auto"/>
              <w:right w:val="single" w:sz="4" w:space="0" w:color="auto"/>
            </w:tcBorders>
            <w:shd w:val="clear" w:color="auto" w:fill="auto"/>
          </w:tcPr>
          <w:p w14:paraId="03692FE0" w14:textId="04EB05A7" w:rsidR="00970C90" w:rsidRPr="008F7B62" w:rsidRDefault="004E349F" w:rsidP="00CD4C06">
            <w:pPr>
              <w:pStyle w:val="TableText"/>
              <w:snapToGrid w:val="0"/>
              <w:rPr>
                <w:i/>
                <w:szCs w:val="17"/>
                <w:lang w:eastAsia="it-IT"/>
              </w:rPr>
            </w:pPr>
            <w:r>
              <w:rPr>
                <w:i/>
                <w:szCs w:val="17"/>
                <w:lang w:eastAsia="it-IT"/>
              </w:rPr>
              <w:t>Point</w:t>
            </w:r>
            <w:r w:rsidR="00970C90" w:rsidRPr="008F7B62">
              <w:rPr>
                <w:i/>
                <w:szCs w:val="17"/>
                <w:lang w:eastAsia="it-IT"/>
              </w:rPr>
              <w:t xml:space="preserve"> to note:</w:t>
            </w:r>
          </w:p>
          <w:p w14:paraId="755E4617" w14:textId="77777777" w:rsidR="00970C90" w:rsidRPr="008F7B62" w:rsidRDefault="00970C90" w:rsidP="00CD4C06">
            <w:pPr>
              <w:pStyle w:val="TableText"/>
              <w:snapToGrid w:val="0"/>
              <w:rPr>
                <w:i/>
                <w:szCs w:val="17"/>
                <w:lang w:eastAsia="it-IT"/>
              </w:rPr>
            </w:pPr>
            <w:r w:rsidRPr="008F7B62">
              <w:rPr>
                <w:i/>
                <w:szCs w:val="17"/>
                <w:lang w:eastAsia="it-IT"/>
              </w:rPr>
              <w:t>(i)</w:t>
            </w:r>
            <w:r w:rsidRPr="008F7B62">
              <w:rPr>
                <w:i/>
                <w:szCs w:val="17"/>
                <w:lang w:eastAsia="it-IT"/>
              </w:rPr>
              <w:tab/>
              <w:t>a row shaded yellow represents an item that is not applicable to Hong Kong.</w:t>
            </w:r>
          </w:p>
        </w:tc>
      </w:tr>
    </w:tbl>
    <w:p w14:paraId="5A397106" w14:textId="77777777" w:rsidR="00970C90" w:rsidRDefault="00970C90" w:rsidP="00970C90"/>
    <w:tbl>
      <w:tblPr>
        <w:tblW w:w="897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8402"/>
      </w:tblGrid>
      <w:tr w:rsidR="00970C90" w:rsidRPr="00D97E28" w14:paraId="0B51C51E" w14:textId="77777777" w:rsidTr="00CD4C06">
        <w:trPr>
          <w:tblHeader/>
        </w:trPr>
        <w:tc>
          <w:tcPr>
            <w:tcW w:w="8975" w:type="dxa"/>
            <w:gridSpan w:val="2"/>
            <w:shd w:val="clear" w:color="auto" w:fill="BFBFBF"/>
          </w:tcPr>
          <w:p w14:paraId="68B1E2AC" w14:textId="77777777" w:rsidR="00970C90" w:rsidRPr="000C1DC0" w:rsidRDefault="00970C90" w:rsidP="00CD4C06">
            <w:pPr>
              <w:spacing w:before="40" w:after="40"/>
              <w:jc w:val="both"/>
              <w:rPr>
                <w:rFonts w:eastAsia="新細明體"/>
                <w:b/>
                <w:kern w:val="2"/>
                <w:sz w:val="17"/>
                <w:szCs w:val="17"/>
                <w:lang w:eastAsia="en-GB"/>
              </w:rPr>
            </w:pPr>
            <w:r w:rsidRPr="000C1DC0">
              <w:rPr>
                <w:rFonts w:eastAsia="新細明體"/>
                <w:b/>
                <w:kern w:val="2"/>
                <w:sz w:val="17"/>
                <w:szCs w:val="17"/>
                <w:lang w:eastAsia="en-GB"/>
              </w:rPr>
              <w:t>Explanatory Note</w:t>
            </w:r>
          </w:p>
        </w:tc>
      </w:tr>
      <w:tr w:rsidR="00970C90" w:rsidRPr="00D97E28" w14:paraId="3A17AF4C" w14:textId="77777777" w:rsidTr="00CD4C06">
        <w:trPr>
          <w:trHeight w:val="373"/>
        </w:trPr>
        <w:tc>
          <w:tcPr>
            <w:tcW w:w="8975" w:type="dxa"/>
            <w:gridSpan w:val="2"/>
            <w:shd w:val="clear" w:color="auto" w:fill="F2F2F2"/>
          </w:tcPr>
          <w:p w14:paraId="5B03C133" w14:textId="77777777" w:rsidR="00970C90" w:rsidRPr="000C1DC0" w:rsidRDefault="00970C90" w:rsidP="00CD4C06">
            <w:pPr>
              <w:pStyle w:val="TableNote"/>
              <w:spacing w:before="40" w:after="40"/>
              <w:rPr>
                <w:i/>
                <w:kern w:val="2"/>
                <w:sz w:val="17"/>
                <w:szCs w:val="17"/>
              </w:rPr>
            </w:pPr>
            <w:r w:rsidRPr="000C1DC0">
              <w:rPr>
                <w:rFonts w:eastAsia="新細明體"/>
                <w:b/>
                <w:kern w:val="2"/>
                <w:sz w:val="17"/>
                <w:szCs w:val="17"/>
                <w:lang w:eastAsia="en-GB"/>
              </w:rPr>
              <w:t>Rows</w:t>
            </w:r>
          </w:p>
        </w:tc>
      </w:tr>
      <w:tr w:rsidR="00970C90" w:rsidRPr="00D97E28" w14:paraId="4DCA0A5F" w14:textId="77777777" w:rsidTr="00CD4C06">
        <w:trPr>
          <w:trHeight w:val="373"/>
        </w:trPr>
        <w:tc>
          <w:tcPr>
            <w:tcW w:w="573" w:type="dxa"/>
            <w:shd w:val="clear" w:color="auto" w:fill="auto"/>
          </w:tcPr>
          <w:p w14:paraId="39ACD46C" w14:textId="77777777" w:rsidR="00970C90" w:rsidRPr="000C1DC0" w:rsidRDefault="00970C90" w:rsidP="00CD4C06">
            <w:pPr>
              <w:pStyle w:val="ListParagraph"/>
              <w:keepLines/>
              <w:widowControl w:val="0"/>
              <w:numPr>
                <w:ilvl w:val="0"/>
                <w:numId w:val="56"/>
              </w:numPr>
              <w:tabs>
                <w:tab w:val="left" w:pos="150"/>
                <w:tab w:val="left" w:pos="397"/>
                <w:tab w:val="left" w:pos="794"/>
                <w:tab w:val="left" w:pos="1191"/>
              </w:tabs>
              <w:spacing w:before="40" w:after="40"/>
              <w:ind w:leftChars="0"/>
              <w:contextualSpacing/>
              <w:rPr>
                <w:rFonts w:cs="Segoe UI"/>
                <w:kern w:val="2"/>
                <w:sz w:val="17"/>
                <w:szCs w:val="17"/>
                <w:lang w:eastAsia="en-GB"/>
              </w:rPr>
            </w:pPr>
          </w:p>
        </w:tc>
        <w:tc>
          <w:tcPr>
            <w:tcW w:w="8402" w:type="dxa"/>
            <w:shd w:val="clear" w:color="auto" w:fill="auto"/>
          </w:tcPr>
          <w:p w14:paraId="365DF699" w14:textId="77777777" w:rsidR="00970C90" w:rsidRPr="000C1DC0" w:rsidRDefault="00970C90" w:rsidP="00CD4C06">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The AI’s total consolidated assets as per published financial statements.</w:t>
            </w:r>
          </w:p>
        </w:tc>
      </w:tr>
      <w:tr w:rsidR="00970C90" w:rsidRPr="00D97E28" w14:paraId="09C33D84" w14:textId="77777777" w:rsidTr="00CD4C06">
        <w:trPr>
          <w:trHeight w:val="373"/>
        </w:trPr>
        <w:tc>
          <w:tcPr>
            <w:tcW w:w="573" w:type="dxa"/>
            <w:shd w:val="clear" w:color="auto" w:fill="auto"/>
          </w:tcPr>
          <w:p w14:paraId="5AFCC097" w14:textId="77777777" w:rsidR="00970C90" w:rsidRPr="000C1DC0" w:rsidRDefault="00970C90" w:rsidP="00CD4C06">
            <w:pPr>
              <w:pStyle w:val="ListParagraph"/>
              <w:keepLines/>
              <w:widowControl w:val="0"/>
              <w:numPr>
                <w:ilvl w:val="0"/>
                <w:numId w:val="56"/>
              </w:numPr>
              <w:tabs>
                <w:tab w:val="left" w:pos="150"/>
                <w:tab w:val="left" w:pos="397"/>
                <w:tab w:val="left" w:pos="794"/>
                <w:tab w:val="left" w:pos="1191"/>
              </w:tabs>
              <w:spacing w:before="40" w:after="40"/>
              <w:ind w:leftChars="0"/>
              <w:contextualSpacing/>
              <w:rPr>
                <w:rFonts w:cs="Segoe UI"/>
                <w:kern w:val="2"/>
                <w:sz w:val="17"/>
                <w:szCs w:val="17"/>
                <w:lang w:eastAsia="en-GB"/>
              </w:rPr>
            </w:pPr>
          </w:p>
        </w:tc>
        <w:tc>
          <w:tcPr>
            <w:tcW w:w="8402" w:type="dxa"/>
            <w:shd w:val="clear" w:color="auto" w:fill="auto"/>
          </w:tcPr>
          <w:p w14:paraId="2D755825" w14:textId="225A3020" w:rsidR="00970C90" w:rsidRPr="000C1DC0" w:rsidRDefault="00970C90" w:rsidP="00CD4C06">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Adjustments in relation to the AI’s investments in financial sector entities or commercial entities as defined in BCR §35 that are consolidated for accounting purposes, but outside the scope of regulatory consolidation.  As these adjustments reduce the total LR exposure measure, they should be reported as a negative amount.</w:t>
            </w:r>
          </w:p>
        </w:tc>
      </w:tr>
      <w:tr w:rsidR="00970C90" w:rsidRPr="00D97E28" w14:paraId="73D17808" w14:textId="77777777" w:rsidTr="00CD4C06">
        <w:trPr>
          <w:trHeight w:val="373"/>
        </w:trPr>
        <w:tc>
          <w:tcPr>
            <w:tcW w:w="573" w:type="dxa"/>
            <w:shd w:val="clear" w:color="auto" w:fill="auto"/>
          </w:tcPr>
          <w:p w14:paraId="221B9BAA" w14:textId="78F50F77" w:rsidR="00970C90" w:rsidRPr="000C1DC0" w:rsidRDefault="00970C90" w:rsidP="00CD4C06">
            <w:pPr>
              <w:pStyle w:val="ListParagraph"/>
              <w:keepLines/>
              <w:widowControl w:val="0"/>
              <w:tabs>
                <w:tab w:val="left" w:pos="150"/>
                <w:tab w:val="left" w:pos="397"/>
                <w:tab w:val="left" w:pos="794"/>
                <w:tab w:val="left" w:pos="1191"/>
              </w:tabs>
              <w:spacing w:before="40" w:after="40"/>
              <w:ind w:leftChars="0" w:left="0"/>
              <w:contextualSpacing/>
              <w:rPr>
                <w:rFonts w:cs="Segoe UI"/>
                <w:kern w:val="2"/>
                <w:sz w:val="17"/>
                <w:szCs w:val="17"/>
                <w:lang w:eastAsia="en-GB"/>
              </w:rPr>
            </w:pPr>
            <w:r>
              <w:rPr>
                <w:rFonts w:cs="Segoe UI"/>
                <w:kern w:val="2"/>
                <w:sz w:val="17"/>
                <w:szCs w:val="17"/>
                <w:lang w:eastAsia="en-GB"/>
              </w:rPr>
              <w:t>3</w:t>
            </w:r>
          </w:p>
        </w:tc>
        <w:tc>
          <w:tcPr>
            <w:tcW w:w="8402" w:type="dxa"/>
            <w:shd w:val="clear" w:color="auto" w:fill="auto"/>
          </w:tcPr>
          <w:p w14:paraId="182F90C4" w14:textId="6C5F523F" w:rsidR="00970C90" w:rsidRPr="000C1DC0" w:rsidRDefault="00970C90" w:rsidP="00CD4C06">
            <w:pPr>
              <w:keepLines/>
              <w:widowControl w:val="0"/>
              <w:tabs>
                <w:tab w:val="left" w:pos="150"/>
                <w:tab w:val="left" w:pos="397"/>
                <w:tab w:val="left" w:pos="794"/>
                <w:tab w:val="left" w:pos="1191"/>
              </w:tabs>
              <w:spacing w:before="40" w:after="40"/>
              <w:jc w:val="both"/>
              <w:rPr>
                <w:kern w:val="2"/>
                <w:sz w:val="17"/>
                <w:szCs w:val="17"/>
              </w:rPr>
            </w:pPr>
            <w:r w:rsidRPr="000C1DC0">
              <w:rPr>
                <w:rFonts w:cs="Segoe UI"/>
                <w:kern w:val="2"/>
                <w:sz w:val="17"/>
                <w:szCs w:val="17"/>
              </w:rPr>
              <w:t>Adjustment related to securitised exposures that meet the operational requirements for the recognition of risk transference.  As the adjustment reduces the total LR exposure measure, it shall be reported as a negative amount.</w:t>
            </w:r>
          </w:p>
        </w:tc>
      </w:tr>
      <w:tr w:rsidR="00970C90" w:rsidRPr="004C05A2" w14:paraId="57BE42A8" w14:textId="77777777" w:rsidTr="00CD4C06">
        <w:trPr>
          <w:trHeight w:val="373"/>
        </w:trPr>
        <w:tc>
          <w:tcPr>
            <w:tcW w:w="573" w:type="dxa"/>
            <w:shd w:val="clear" w:color="auto" w:fill="auto"/>
          </w:tcPr>
          <w:p w14:paraId="45F6BA06" w14:textId="77777777" w:rsidR="00970C90" w:rsidRPr="000C1DC0" w:rsidDel="004C05A2" w:rsidRDefault="00970C90" w:rsidP="00CD4C06">
            <w:pPr>
              <w:pStyle w:val="ListParagraph"/>
              <w:keepLines/>
              <w:widowControl w:val="0"/>
              <w:tabs>
                <w:tab w:val="left" w:pos="150"/>
                <w:tab w:val="left" w:pos="397"/>
                <w:tab w:val="left" w:pos="794"/>
                <w:tab w:val="left" w:pos="1191"/>
              </w:tabs>
              <w:spacing w:before="40" w:after="40"/>
              <w:ind w:leftChars="0" w:left="0"/>
              <w:contextualSpacing/>
              <w:rPr>
                <w:rFonts w:cs="Segoe UI"/>
                <w:kern w:val="2"/>
                <w:sz w:val="17"/>
                <w:szCs w:val="17"/>
                <w:lang w:eastAsia="en-GB"/>
              </w:rPr>
            </w:pPr>
            <w:r>
              <w:rPr>
                <w:rFonts w:cs="Segoe UI"/>
                <w:kern w:val="2"/>
                <w:sz w:val="17"/>
                <w:szCs w:val="17"/>
                <w:lang w:eastAsia="en-GB"/>
              </w:rPr>
              <w:t>4</w:t>
            </w:r>
          </w:p>
        </w:tc>
        <w:tc>
          <w:tcPr>
            <w:tcW w:w="8402" w:type="dxa"/>
            <w:shd w:val="clear" w:color="auto" w:fill="FFFF00"/>
          </w:tcPr>
          <w:p w14:paraId="254B6068" w14:textId="77777777" w:rsidR="00970C90" w:rsidRPr="000C1DC0" w:rsidRDefault="00970C90" w:rsidP="00CD4C06">
            <w:pPr>
              <w:keepLines/>
              <w:widowControl w:val="0"/>
              <w:tabs>
                <w:tab w:val="left" w:pos="150"/>
                <w:tab w:val="left" w:pos="397"/>
                <w:tab w:val="left" w:pos="794"/>
                <w:tab w:val="left" w:pos="1191"/>
              </w:tabs>
              <w:spacing w:before="40" w:after="40"/>
              <w:jc w:val="both"/>
              <w:rPr>
                <w:rFonts w:cs="Segoe UI"/>
                <w:kern w:val="2"/>
                <w:sz w:val="17"/>
                <w:szCs w:val="17"/>
                <w:lang w:eastAsia="en-GB"/>
              </w:rPr>
            </w:pPr>
            <w:r w:rsidRPr="000C1DC0">
              <w:rPr>
                <w:rFonts w:cs="Segoe UI"/>
                <w:kern w:val="2"/>
                <w:sz w:val="17"/>
                <w:szCs w:val="17"/>
              </w:rPr>
              <w:t xml:space="preserve">This row is not applicable as Hong Kong does not </w:t>
            </w:r>
            <w:r>
              <w:rPr>
                <w:rFonts w:cs="Segoe UI"/>
                <w:kern w:val="2"/>
                <w:sz w:val="17"/>
                <w:szCs w:val="17"/>
              </w:rPr>
              <w:t xml:space="preserve">exercise the discretion to allow for </w:t>
            </w:r>
            <w:r w:rsidRPr="000C1DC0">
              <w:rPr>
                <w:rFonts w:cs="Segoe UI"/>
                <w:kern w:val="2"/>
                <w:sz w:val="17"/>
                <w:szCs w:val="17"/>
              </w:rPr>
              <w:t xml:space="preserve">the temporary exemption of central bank reserves from the LR exposure measure. </w:t>
            </w:r>
          </w:p>
        </w:tc>
      </w:tr>
      <w:tr w:rsidR="00970C90" w:rsidRPr="00D97E28" w14:paraId="1493CEA1" w14:textId="77777777" w:rsidTr="00CD4C06">
        <w:trPr>
          <w:trHeight w:val="373"/>
        </w:trPr>
        <w:tc>
          <w:tcPr>
            <w:tcW w:w="573" w:type="dxa"/>
            <w:shd w:val="clear" w:color="auto" w:fill="auto"/>
          </w:tcPr>
          <w:p w14:paraId="39100ECF" w14:textId="1FE32B35" w:rsidR="00970C90" w:rsidRPr="000C1DC0" w:rsidRDefault="00970C90" w:rsidP="00CD4C06">
            <w:pPr>
              <w:pStyle w:val="ListParagraph"/>
              <w:keepLines/>
              <w:widowControl w:val="0"/>
              <w:tabs>
                <w:tab w:val="left" w:pos="150"/>
                <w:tab w:val="left" w:pos="397"/>
                <w:tab w:val="left" w:pos="794"/>
                <w:tab w:val="left" w:pos="1191"/>
              </w:tabs>
              <w:spacing w:before="40" w:after="40"/>
              <w:ind w:leftChars="0" w:left="0"/>
              <w:contextualSpacing/>
              <w:rPr>
                <w:rFonts w:cs="Segoe UI"/>
                <w:kern w:val="2"/>
                <w:sz w:val="17"/>
                <w:szCs w:val="17"/>
                <w:lang w:eastAsia="en-GB"/>
              </w:rPr>
            </w:pPr>
            <w:r>
              <w:rPr>
                <w:rFonts w:cs="Segoe UI"/>
                <w:kern w:val="2"/>
                <w:sz w:val="17"/>
                <w:szCs w:val="17"/>
                <w:lang w:eastAsia="en-GB"/>
              </w:rPr>
              <w:t>5</w:t>
            </w:r>
          </w:p>
        </w:tc>
        <w:tc>
          <w:tcPr>
            <w:tcW w:w="8402" w:type="dxa"/>
            <w:shd w:val="clear" w:color="auto" w:fill="auto"/>
          </w:tcPr>
          <w:p w14:paraId="3814E4A1" w14:textId="3217C374" w:rsidR="00970C90" w:rsidRPr="000C1DC0" w:rsidRDefault="00970C90" w:rsidP="00CD4C06">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Adjustments related to any fiduciary assets recognised on the balance sheet pursuant to the AI’s applicable accounting standard but excluded from the LR exposure measure, provided that the assets meet the IFRS 9 (or HKFRS 9) criteria for derecognition and, where applicable, IFRS 10 (or HKFRS 10) for deconsolidation.  As these adjustments reduce the total LR exposure measure, they should be reported as a negative amount.</w:t>
            </w:r>
          </w:p>
        </w:tc>
      </w:tr>
      <w:tr w:rsidR="00970C90" w:rsidRPr="00D97E28" w14:paraId="42AF240D" w14:textId="77777777" w:rsidTr="00CD4C06">
        <w:trPr>
          <w:trHeight w:val="373"/>
        </w:trPr>
        <w:tc>
          <w:tcPr>
            <w:tcW w:w="573" w:type="dxa"/>
            <w:shd w:val="clear" w:color="auto" w:fill="auto"/>
          </w:tcPr>
          <w:p w14:paraId="056ABDAD" w14:textId="77777777" w:rsidR="00970C90" w:rsidRPr="006C7077" w:rsidRDefault="00970C90" w:rsidP="00CD4C06">
            <w:pPr>
              <w:pStyle w:val="ListParagraph"/>
              <w:keepLines/>
              <w:widowControl w:val="0"/>
              <w:tabs>
                <w:tab w:val="left" w:pos="150"/>
                <w:tab w:val="left" w:pos="397"/>
                <w:tab w:val="left" w:pos="794"/>
                <w:tab w:val="left" w:pos="1191"/>
              </w:tabs>
              <w:spacing w:before="40" w:after="40"/>
              <w:ind w:leftChars="0" w:left="0"/>
              <w:rPr>
                <w:rFonts w:cs="Segoe UI"/>
                <w:kern w:val="2"/>
                <w:sz w:val="17"/>
                <w:szCs w:val="17"/>
                <w:lang w:eastAsia="en-GB"/>
              </w:rPr>
            </w:pPr>
            <w:r>
              <w:rPr>
                <w:rFonts w:cs="Segoe UI"/>
                <w:kern w:val="2"/>
                <w:sz w:val="17"/>
                <w:szCs w:val="17"/>
                <w:lang w:eastAsia="en-GB"/>
              </w:rPr>
              <w:t>6</w:t>
            </w:r>
          </w:p>
        </w:tc>
        <w:tc>
          <w:tcPr>
            <w:tcW w:w="8402" w:type="dxa"/>
            <w:shd w:val="clear" w:color="auto" w:fill="auto"/>
          </w:tcPr>
          <w:p w14:paraId="6AFB3863" w14:textId="77777777" w:rsidR="00970C90" w:rsidRPr="000C1DC0" w:rsidRDefault="00970C90" w:rsidP="00CD4C06">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Adjustments for regular-way purchases and sales of financial assets subject to trade date accounting.  The adjustment reflects (i) the reverse-out of any offsetting between cash receivables for unsettled sales and cash payables for unsettled purchases of financial assets that may be recognised under the applicable accounting standard, and (ii) the offset</w:t>
            </w:r>
            <w:r>
              <w:rPr>
                <w:kern w:val="2"/>
                <w:sz w:val="17"/>
                <w:szCs w:val="17"/>
              </w:rPr>
              <w:t>ting</w:t>
            </w:r>
            <w:r w:rsidRPr="000C1DC0">
              <w:rPr>
                <w:kern w:val="2"/>
                <w:sz w:val="17"/>
                <w:szCs w:val="17"/>
              </w:rPr>
              <w:t xml:space="preserve"> between those cash receivables and cash payables that are eligible per the criteria specified in </w:t>
            </w:r>
            <w:r w:rsidRPr="000C1DC0">
              <w:rPr>
                <w:rFonts w:cs="Segoe UI"/>
                <w:kern w:val="2"/>
                <w:sz w:val="17"/>
                <w:szCs w:val="17"/>
              </w:rPr>
              <w:t>the LR framework</w:t>
            </w:r>
            <w:r w:rsidRPr="000C1DC0">
              <w:rPr>
                <w:kern w:val="2"/>
                <w:sz w:val="17"/>
                <w:szCs w:val="17"/>
              </w:rPr>
              <w:t>.  If this adjustment leads to an increase in exposure, it shall be reported as a positive amount.  If this adjustment leads to a decrease in exposure, it shall be reported as a negative amount.</w:t>
            </w:r>
          </w:p>
        </w:tc>
      </w:tr>
      <w:tr w:rsidR="00970C90" w:rsidRPr="00D97E28" w14:paraId="53DD6F11" w14:textId="77777777" w:rsidTr="00CD4C06">
        <w:trPr>
          <w:trHeight w:val="373"/>
        </w:trPr>
        <w:tc>
          <w:tcPr>
            <w:tcW w:w="573" w:type="dxa"/>
            <w:shd w:val="clear" w:color="auto" w:fill="auto"/>
          </w:tcPr>
          <w:p w14:paraId="5406EAC0" w14:textId="54B1FC80" w:rsidR="00970C90" w:rsidRPr="006C7077" w:rsidRDefault="00970C90" w:rsidP="00CD4C06">
            <w:pPr>
              <w:pStyle w:val="ListParagraph"/>
              <w:keepLines/>
              <w:widowControl w:val="0"/>
              <w:tabs>
                <w:tab w:val="left" w:pos="150"/>
                <w:tab w:val="left" w:pos="397"/>
                <w:tab w:val="left" w:pos="794"/>
                <w:tab w:val="left" w:pos="1191"/>
              </w:tabs>
              <w:spacing w:before="40" w:after="40"/>
              <w:ind w:leftChars="0" w:left="0"/>
              <w:rPr>
                <w:rFonts w:cs="Segoe UI"/>
                <w:kern w:val="2"/>
                <w:sz w:val="17"/>
                <w:szCs w:val="17"/>
                <w:lang w:eastAsia="en-GB"/>
              </w:rPr>
            </w:pPr>
            <w:r>
              <w:rPr>
                <w:rFonts w:cs="Segoe UI"/>
                <w:kern w:val="2"/>
                <w:sz w:val="17"/>
                <w:szCs w:val="17"/>
                <w:lang w:eastAsia="en-GB"/>
              </w:rPr>
              <w:lastRenderedPageBreak/>
              <w:t>7</w:t>
            </w:r>
          </w:p>
        </w:tc>
        <w:tc>
          <w:tcPr>
            <w:tcW w:w="8402" w:type="dxa"/>
            <w:shd w:val="clear" w:color="auto" w:fill="auto"/>
          </w:tcPr>
          <w:p w14:paraId="2868B466" w14:textId="27EEB5AD" w:rsidR="00970C90" w:rsidRPr="000C1DC0" w:rsidRDefault="00970C90" w:rsidP="00CE7B49">
            <w:pPr>
              <w:keepLines/>
              <w:widowControl w:val="0"/>
              <w:tabs>
                <w:tab w:val="left" w:pos="150"/>
                <w:tab w:val="left" w:pos="397"/>
                <w:tab w:val="left" w:pos="794"/>
                <w:tab w:val="left" w:pos="1191"/>
              </w:tabs>
              <w:spacing w:before="40" w:after="40"/>
              <w:jc w:val="both"/>
              <w:rPr>
                <w:kern w:val="2"/>
                <w:sz w:val="17"/>
                <w:szCs w:val="17"/>
              </w:rPr>
            </w:pPr>
            <w:r w:rsidRPr="000C1DC0">
              <w:rPr>
                <w:rFonts w:cs="Segoe UI"/>
                <w:kern w:val="2"/>
                <w:sz w:val="17"/>
                <w:szCs w:val="17"/>
              </w:rPr>
              <w:t>Adjustments for eligible cash-pooling transactions.  An adjustment is for the difference between the accounting value of cash-pooling transactions and the treatments specified in the LR framework.  If this adjustment leads to an increase in exposure, it shall be reported as a positive amount.  If this adjustment leads to a decrease in exposure, it shall be reported as a negative amount.</w:t>
            </w:r>
          </w:p>
        </w:tc>
      </w:tr>
      <w:tr w:rsidR="00970C90" w:rsidRPr="00D97E28" w14:paraId="5CD725AB" w14:textId="77777777" w:rsidTr="00CD4C06">
        <w:trPr>
          <w:trHeight w:val="373"/>
        </w:trPr>
        <w:tc>
          <w:tcPr>
            <w:tcW w:w="573" w:type="dxa"/>
            <w:shd w:val="clear" w:color="auto" w:fill="auto"/>
          </w:tcPr>
          <w:p w14:paraId="70FAB9FC" w14:textId="0BBC67EC" w:rsidR="00970C90" w:rsidRPr="000C1DC0" w:rsidRDefault="00970C90" w:rsidP="00CD4C06">
            <w:pPr>
              <w:pStyle w:val="ListParagraph"/>
              <w:keepLines/>
              <w:widowControl w:val="0"/>
              <w:tabs>
                <w:tab w:val="left" w:pos="150"/>
                <w:tab w:val="left" w:pos="397"/>
                <w:tab w:val="left" w:pos="794"/>
                <w:tab w:val="left" w:pos="1191"/>
              </w:tabs>
              <w:spacing w:before="40" w:after="40"/>
              <w:ind w:leftChars="0" w:left="0"/>
              <w:contextualSpacing/>
              <w:rPr>
                <w:rFonts w:cs="Segoe UI"/>
                <w:kern w:val="2"/>
                <w:sz w:val="17"/>
                <w:szCs w:val="17"/>
                <w:lang w:eastAsia="en-GB"/>
              </w:rPr>
            </w:pPr>
            <w:r>
              <w:rPr>
                <w:rFonts w:cs="Segoe UI"/>
                <w:kern w:val="2"/>
                <w:sz w:val="17"/>
                <w:szCs w:val="17"/>
                <w:lang w:eastAsia="en-GB"/>
              </w:rPr>
              <w:t>8</w:t>
            </w:r>
          </w:p>
        </w:tc>
        <w:tc>
          <w:tcPr>
            <w:tcW w:w="8402" w:type="dxa"/>
            <w:shd w:val="clear" w:color="auto" w:fill="auto"/>
          </w:tcPr>
          <w:p w14:paraId="5DBDFE71" w14:textId="77777777" w:rsidR="00970C90" w:rsidRPr="000C1DC0" w:rsidRDefault="00970C90" w:rsidP="00CD4C06">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Any adjustments in relation to derivative contracts should be in line with the LR calculation methodology under Part 1C of the BCR.  If this adjustment leads to an increase in exposure, an AI should disclose this as a positive amount.  If this adjustment leads to a decrease in exposure, the AI should disclose this as a negative amount.</w:t>
            </w:r>
          </w:p>
        </w:tc>
      </w:tr>
      <w:tr w:rsidR="00970C90" w:rsidRPr="00D97E28" w14:paraId="0A8DE3B3" w14:textId="77777777" w:rsidTr="00CD4C06">
        <w:trPr>
          <w:trHeight w:val="373"/>
        </w:trPr>
        <w:tc>
          <w:tcPr>
            <w:tcW w:w="573" w:type="dxa"/>
            <w:shd w:val="clear" w:color="auto" w:fill="auto"/>
          </w:tcPr>
          <w:p w14:paraId="44CCEB2F" w14:textId="55EB7371" w:rsidR="00970C90" w:rsidRPr="000C1DC0" w:rsidRDefault="00970C90" w:rsidP="00CD4C06">
            <w:pPr>
              <w:pStyle w:val="ListParagraph"/>
              <w:keepLines/>
              <w:widowControl w:val="0"/>
              <w:tabs>
                <w:tab w:val="left" w:pos="150"/>
                <w:tab w:val="left" w:pos="397"/>
                <w:tab w:val="left" w:pos="794"/>
                <w:tab w:val="left" w:pos="1191"/>
              </w:tabs>
              <w:spacing w:before="40" w:after="40"/>
              <w:ind w:leftChars="0" w:left="0"/>
              <w:contextualSpacing/>
              <w:rPr>
                <w:rFonts w:cs="Segoe UI"/>
                <w:kern w:val="2"/>
                <w:sz w:val="17"/>
                <w:szCs w:val="17"/>
                <w:lang w:eastAsia="en-GB"/>
              </w:rPr>
            </w:pPr>
            <w:r>
              <w:rPr>
                <w:rFonts w:cs="Segoe UI"/>
                <w:kern w:val="2"/>
                <w:sz w:val="17"/>
                <w:szCs w:val="17"/>
                <w:lang w:eastAsia="en-GB"/>
              </w:rPr>
              <w:t>9</w:t>
            </w:r>
          </w:p>
        </w:tc>
        <w:tc>
          <w:tcPr>
            <w:tcW w:w="8402" w:type="dxa"/>
            <w:shd w:val="clear" w:color="auto" w:fill="auto"/>
          </w:tcPr>
          <w:p w14:paraId="046750A8" w14:textId="77777777" w:rsidR="00970C90" w:rsidRPr="000C1DC0" w:rsidRDefault="00970C90" w:rsidP="00CD4C06">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 xml:space="preserve">Any adjustments in relation to SFTs (i.e. repos and other similar secured lending) should be in line with the LR calculation methodology under Part 1C of the BCR. </w:t>
            </w:r>
            <w:r w:rsidRPr="000C1DC0">
              <w:rPr>
                <w:kern w:val="2"/>
                <w:sz w:val="24"/>
                <w:szCs w:val="22"/>
              </w:rPr>
              <w:t xml:space="preserve"> </w:t>
            </w:r>
            <w:r w:rsidRPr="000C1DC0">
              <w:rPr>
                <w:kern w:val="2"/>
                <w:sz w:val="17"/>
                <w:szCs w:val="17"/>
              </w:rPr>
              <w:t>If this adjustment leads to an increase in the exposure, an AI should disclose this as a positive amount.  If this adjustment leads to a decrease in exposure, the AI should disclose this as a negative amount.</w:t>
            </w:r>
          </w:p>
        </w:tc>
      </w:tr>
      <w:tr w:rsidR="00970C90" w:rsidRPr="00D97E28" w14:paraId="0E04EB79" w14:textId="77777777" w:rsidTr="00CD4C06">
        <w:trPr>
          <w:trHeight w:val="373"/>
        </w:trPr>
        <w:tc>
          <w:tcPr>
            <w:tcW w:w="573" w:type="dxa"/>
            <w:shd w:val="clear" w:color="auto" w:fill="auto"/>
          </w:tcPr>
          <w:p w14:paraId="0064F304" w14:textId="44B8A46C" w:rsidR="00970C90" w:rsidRPr="000C1DC0" w:rsidRDefault="00970C90" w:rsidP="00CD4C06">
            <w:pPr>
              <w:pStyle w:val="ListParagraph"/>
              <w:keepLines/>
              <w:widowControl w:val="0"/>
              <w:tabs>
                <w:tab w:val="left" w:pos="150"/>
                <w:tab w:val="left" w:pos="397"/>
                <w:tab w:val="left" w:pos="794"/>
                <w:tab w:val="left" w:pos="1191"/>
              </w:tabs>
              <w:spacing w:before="40" w:after="40"/>
              <w:ind w:leftChars="0" w:left="0"/>
              <w:contextualSpacing/>
              <w:rPr>
                <w:rFonts w:cs="Segoe UI"/>
                <w:kern w:val="2"/>
                <w:sz w:val="17"/>
                <w:szCs w:val="17"/>
                <w:lang w:eastAsia="en-GB"/>
              </w:rPr>
            </w:pPr>
            <w:r>
              <w:rPr>
                <w:rFonts w:cs="Segoe UI"/>
                <w:kern w:val="2"/>
                <w:sz w:val="17"/>
                <w:szCs w:val="17"/>
                <w:lang w:eastAsia="en-GB"/>
              </w:rPr>
              <w:t>10</w:t>
            </w:r>
          </w:p>
        </w:tc>
        <w:tc>
          <w:tcPr>
            <w:tcW w:w="8402" w:type="dxa"/>
            <w:shd w:val="clear" w:color="auto" w:fill="auto"/>
          </w:tcPr>
          <w:p w14:paraId="3BCBA1A4" w14:textId="2ECC02B0" w:rsidR="00970C90" w:rsidRPr="000C1DC0" w:rsidRDefault="00970C90" w:rsidP="00CD4C06">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Aggregates of the credit equivalent amount of OBS exposures through the use of credit conversion factors (“CCFs”).  For details of the OBS exposures and their applicable CCFs, please refer to the LR calculation methodology under Part 1C of the BCR.  As these amounts increase the total LR exposure measure, they shall be reported as a positive amount.</w:t>
            </w:r>
          </w:p>
        </w:tc>
      </w:tr>
      <w:tr w:rsidR="00970C90" w:rsidRPr="00D97E28" w14:paraId="6D938B18" w14:textId="77777777" w:rsidTr="00CD4C06">
        <w:trPr>
          <w:trHeight w:val="373"/>
        </w:trPr>
        <w:tc>
          <w:tcPr>
            <w:tcW w:w="573" w:type="dxa"/>
            <w:shd w:val="clear" w:color="auto" w:fill="auto"/>
          </w:tcPr>
          <w:p w14:paraId="6DCA291E" w14:textId="638FE6D0" w:rsidR="00970C90" w:rsidRPr="00D82C94" w:rsidRDefault="00970C90" w:rsidP="00CD4C06">
            <w:pPr>
              <w:pStyle w:val="ListParagraph"/>
              <w:keepLines/>
              <w:widowControl w:val="0"/>
              <w:tabs>
                <w:tab w:val="left" w:pos="150"/>
                <w:tab w:val="left" w:pos="397"/>
                <w:tab w:val="left" w:pos="794"/>
                <w:tab w:val="left" w:pos="1191"/>
              </w:tabs>
              <w:spacing w:before="40" w:after="40"/>
              <w:ind w:leftChars="0" w:left="0"/>
              <w:rPr>
                <w:rFonts w:cs="Segoe UI"/>
                <w:kern w:val="2"/>
                <w:sz w:val="17"/>
                <w:szCs w:val="17"/>
                <w:lang w:eastAsia="en-GB"/>
              </w:rPr>
            </w:pPr>
            <w:r>
              <w:rPr>
                <w:rFonts w:cs="Segoe UI"/>
                <w:kern w:val="2"/>
                <w:sz w:val="17"/>
                <w:szCs w:val="17"/>
                <w:lang w:eastAsia="en-GB"/>
              </w:rPr>
              <w:t>11</w:t>
            </w:r>
          </w:p>
        </w:tc>
        <w:tc>
          <w:tcPr>
            <w:tcW w:w="8402" w:type="dxa"/>
            <w:shd w:val="clear" w:color="auto" w:fill="auto"/>
          </w:tcPr>
          <w:p w14:paraId="7F984B85" w14:textId="77777777" w:rsidR="00970C90" w:rsidRPr="000C1DC0" w:rsidRDefault="00970C90" w:rsidP="00CD4C06">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Adjustments for prudent valuation adjustments and specific and collective provisions which have reduced Tier 1 capital.  This adjustment reduces the LR exposure measure by the amount of prudent valuation adjustments and provisions that have reduced Tier 1 capital, which should be reported as a negative amount.</w:t>
            </w:r>
          </w:p>
          <w:p w14:paraId="1096359D" w14:textId="77777777" w:rsidR="00970C90" w:rsidRPr="000C1DC0" w:rsidRDefault="00970C90" w:rsidP="00CD4C06">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Where specific and collective provisions are set aside against OBS exposures that have an effect to decrease Tier 1 capital, such provision amounts may be deducted from the credit equivalent amount of the exposures and in turn reported in this row.  However, the resulting total credit equivalent amount for OBS exposures cannot be less than zero.</w:t>
            </w:r>
          </w:p>
        </w:tc>
      </w:tr>
      <w:tr w:rsidR="00970C90" w:rsidRPr="00D97E28" w14:paraId="518CE713" w14:textId="77777777" w:rsidTr="00CD4C06">
        <w:trPr>
          <w:trHeight w:val="373"/>
        </w:trPr>
        <w:tc>
          <w:tcPr>
            <w:tcW w:w="573" w:type="dxa"/>
            <w:shd w:val="clear" w:color="auto" w:fill="auto"/>
          </w:tcPr>
          <w:p w14:paraId="504C075C" w14:textId="2296A157" w:rsidR="00970C90" w:rsidRPr="000C1DC0" w:rsidRDefault="00970C90" w:rsidP="00CD4C06">
            <w:pPr>
              <w:pStyle w:val="ListParagraph"/>
              <w:keepLines/>
              <w:widowControl w:val="0"/>
              <w:tabs>
                <w:tab w:val="left" w:pos="150"/>
                <w:tab w:val="left" w:pos="397"/>
                <w:tab w:val="left" w:pos="794"/>
                <w:tab w:val="left" w:pos="1191"/>
              </w:tabs>
              <w:spacing w:before="40" w:after="40"/>
              <w:ind w:leftChars="0" w:left="0"/>
              <w:contextualSpacing/>
              <w:rPr>
                <w:rFonts w:cs="Segoe UI"/>
                <w:kern w:val="2"/>
                <w:sz w:val="17"/>
                <w:szCs w:val="17"/>
                <w:lang w:eastAsia="en-GB"/>
              </w:rPr>
            </w:pPr>
            <w:r>
              <w:rPr>
                <w:rFonts w:cs="Segoe UI"/>
                <w:kern w:val="2"/>
                <w:sz w:val="17"/>
                <w:szCs w:val="17"/>
                <w:lang w:eastAsia="en-GB"/>
              </w:rPr>
              <w:t>12</w:t>
            </w:r>
          </w:p>
        </w:tc>
        <w:tc>
          <w:tcPr>
            <w:tcW w:w="8402" w:type="dxa"/>
            <w:shd w:val="clear" w:color="auto" w:fill="auto"/>
          </w:tcPr>
          <w:p w14:paraId="0FC34724" w14:textId="44E34369" w:rsidR="00970C90" w:rsidRPr="000C1DC0" w:rsidRDefault="00970C90" w:rsidP="00CD4C06">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 xml:space="preserve">Any other adjustments that are necessary for the reconciliation but not included in rows 1 to 11 above.  These may include adjustments in relation to any items that are deducted from Tier 1 capital under the capital </w:t>
            </w:r>
            <w:r>
              <w:rPr>
                <w:kern w:val="2"/>
                <w:sz w:val="17"/>
                <w:szCs w:val="17"/>
              </w:rPr>
              <w:t xml:space="preserve">adequacy </w:t>
            </w:r>
            <w:r w:rsidRPr="000C1DC0">
              <w:rPr>
                <w:kern w:val="2"/>
                <w:sz w:val="17"/>
                <w:szCs w:val="17"/>
              </w:rPr>
              <w:t>framework in accordance with BCR §38(2), §43 and §47, but are not already excluded from the calculation of the LR exposure measure.  For a note-issuing bank as defined under the Legal Tender Notes Issue Ordinance (Cap. 65), the adjustments should also include any certificates of indebtedness issued under the Exchange Fund Ordinance (Cap. 66) and held by it as cover for legal tender notes issued.</w:t>
            </w:r>
          </w:p>
        </w:tc>
      </w:tr>
      <w:tr w:rsidR="00970C90" w:rsidRPr="003E1934" w14:paraId="50C156E7" w14:textId="77777777" w:rsidTr="00CD4C06">
        <w:trPr>
          <w:trHeight w:val="373"/>
        </w:trPr>
        <w:tc>
          <w:tcPr>
            <w:tcW w:w="573" w:type="dxa"/>
            <w:shd w:val="clear" w:color="auto" w:fill="auto"/>
          </w:tcPr>
          <w:p w14:paraId="2589AA2E" w14:textId="5D9DDA53" w:rsidR="00970C90" w:rsidRPr="000C1DC0" w:rsidRDefault="00970C90" w:rsidP="00CD4C06">
            <w:pPr>
              <w:pStyle w:val="ListParagraph"/>
              <w:keepLines/>
              <w:widowControl w:val="0"/>
              <w:tabs>
                <w:tab w:val="left" w:pos="150"/>
                <w:tab w:val="left" w:pos="397"/>
                <w:tab w:val="left" w:pos="794"/>
                <w:tab w:val="left" w:pos="1191"/>
              </w:tabs>
              <w:spacing w:before="40" w:after="40"/>
              <w:ind w:leftChars="0" w:left="0"/>
              <w:contextualSpacing/>
              <w:rPr>
                <w:rFonts w:cs="Segoe UI"/>
                <w:kern w:val="2"/>
                <w:sz w:val="17"/>
                <w:szCs w:val="17"/>
                <w:lang w:eastAsia="en-GB"/>
              </w:rPr>
            </w:pPr>
            <w:r>
              <w:rPr>
                <w:rFonts w:cs="Segoe UI"/>
                <w:kern w:val="2"/>
                <w:sz w:val="17"/>
                <w:szCs w:val="17"/>
                <w:lang w:eastAsia="en-GB"/>
              </w:rPr>
              <w:t>13</w:t>
            </w:r>
          </w:p>
        </w:tc>
        <w:tc>
          <w:tcPr>
            <w:tcW w:w="8402" w:type="dxa"/>
            <w:shd w:val="clear" w:color="auto" w:fill="auto"/>
          </w:tcPr>
          <w:p w14:paraId="2D527E3B" w14:textId="6850ABF5" w:rsidR="00970C90" w:rsidRPr="000C1DC0" w:rsidRDefault="00970C90" w:rsidP="00CD4C06">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 xml:space="preserve">The LR exposure measure, which should be the sum of rows 1 to 12 above, should be consistent with the total exposures amount reported in [LR2: 24/a]. </w:t>
            </w:r>
          </w:p>
        </w:tc>
      </w:tr>
    </w:tbl>
    <w:p w14:paraId="2356BEC6" w14:textId="502E5A2E" w:rsidR="008E180A" w:rsidRDefault="008E180A" w:rsidP="008E180A">
      <w:pPr>
        <w:spacing w:before="120" w:after="120"/>
        <w:rPr>
          <w:sz w:val="22"/>
        </w:rPr>
      </w:pPr>
    </w:p>
    <w:p w14:paraId="1D46714D" w14:textId="530E50AE" w:rsidR="008E180A" w:rsidRDefault="008E180A" w:rsidP="008E180A">
      <w:pPr>
        <w:spacing w:before="120" w:after="120"/>
        <w:rPr>
          <w:sz w:val="22"/>
        </w:rPr>
      </w:pPr>
    </w:p>
    <w:p w14:paraId="738D5256" w14:textId="77777777" w:rsidR="00970C90" w:rsidRDefault="00970C90" w:rsidP="008E180A">
      <w:pPr>
        <w:spacing w:before="120" w:after="120"/>
        <w:rPr>
          <w:sz w:val="22"/>
        </w:rPr>
        <w:sectPr w:rsidR="00970C90" w:rsidSect="001929CC">
          <w:footerReference w:type="default" r:id="rId32"/>
          <w:pgSz w:w="11906" w:h="16838" w:code="9"/>
          <w:pgMar w:top="1440" w:right="1559" w:bottom="1440" w:left="1797" w:header="851" w:footer="737" w:gutter="0"/>
          <w:cols w:space="425"/>
          <w:docGrid w:type="linesAndChars" w:linePitch="360"/>
        </w:sectPr>
      </w:pPr>
    </w:p>
    <w:p w14:paraId="656E0860" w14:textId="77777777" w:rsidR="006E3FEB" w:rsidRDefault="006E3FEB" w:rsidP="009F6639">
      <w:pPr>
        <w:pStyle w:val="Heading2"/>
        <w:ind w:firstLine="170"/>
      </w:pPr>
      <w:r w:rsidRPr="00E30DEC">
        <w:lastRenderedPageBreak/>
        <w:t>Template LR2: Leverage ratio (“LR”)</w:t>
      </w:r>
    </w:p>
    <w:tbl>
      <w:tblPr>
        <w:tblpPr w:leftFromText="180" w:rightFromText="180" w:vertAnchor="text" w:horzAnchor="margin" w:tblpXSpec="center" w:tblpY="137"/>
        <w:tblW w:w="9242"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6E3FEB" w:rsidRPr="00E30DEC" w14:paraId="2DE65F84" w14:textId="77777777" w:rsidTr="00E72AD3">
        <w:tc>
          <w:tcPr>
            <w:tcW w:w="2008" w:type="dxa"/>
          </w:tcPr>
          <w:p w14:paraId="49444861" w14:textId="77777777" w:rsidR="006E3FEB" w:rsidRPr="00E30DEC" w:rsidRDefault="006E3FEB" w:rsidP="00E72AD3">
            <w:pPr>
              <w:spacing w:before="40" w:after="40"/>
              <w:rPr>
                <w:noProof/>
                <w:sz w:val="17"/>
                <w:lang w:eastAsia="en-GB"/>
              </w:rPr>
            </w:pPr>
            <w:r w:rsidRPr="00E30DEC">
              <w:rPr>
                <w:b/>
                <w:sz w:val="17"/>
                <w:lang w:eastAsia="en-GB"/>
              </w:rPr>
              <w:t>Purpose:</w:t>
            </w:r>
          </w:p>
        </w:tc>
        <w:tc>
          <w:tcPr>
            <w:tcW w:w="7234" w:type="dxa"/>
          </w:tcPr>
          <w:p w14:paraId="5B999498" w14:textId="77777777" w:rsidR="006E3FEB" w:rsidRPr="00E30DEC" w:rsidRDefault="006E3FEB" w:rsidP="00E72AD3">
            <w:pPr>
              <w:pStyle w:val="TableText"/>
              <w:jc w:val="both"/>
              <w:rPr>
                <w:szCs w:val="17"/>
              </w:rPr>
            </w:pPr>
            <w:r w:rsidRPr="00E30DEC">
              <w:rPr>
                <w:lang w:eastAsia="en-GB"/>
              </w:rPr>
              <w:t>To p</w:t>
            </w:r>
            <w:r w:rsidRPr="00E30DEC">
              <w:rPr>
                <w:szCs w:val="17"/>
              </w:rPr>
              <w:t>rovide a detailed breakdown of the components of the LR denominator</w:t>
            </w:r>
            <w:r w:rsidRPr="00EB5756">
              <w:rPr>
                <w:szCs w:val="17"/>
              </w:rPr>
              <w:t>,</w:t>
            </w:r>
            <w:r>
              <w:rPr>
                <w:szCs w:val="17"/>
              </w:rPr>
              <w:t xml:space="preserve"> as well as information on LR, minimum applicable LR and</w:t>
            </w:r>
            <w:r w:rsidRPr="00E30DEC">
              <w:rPr>
                <w:szCs w:val="17"/>
              </w:rPr>
              <w:t xml:space="preserve"> </w:t>
            </w:r>
            <w:r>
              <w:rPr>
                <w:szCs w:val="17"/>
              </w:rPr>
              <w:t>mean-SFT adjusted LR</w:t>
            </w:r>
            <w:r w:rsidRPr="00E30DEC">
              <w:rPr>
                <w:szCs w:val="17"/>
              </w:rPr>
              <w:t>.</w:t>
            </w:r>
          </w:p>
        </w:tc>
      </w:tr>
      <w:tr w:rsidR="006E3FEB" w:rsidRPr="00E30DEC" w14:paraId="45EEBDF7" w14:textId="77777777" w:rsidTr="00E72AD3">
        <w:tc>
          <w:tcPr>
            <w:tcW w:w="2008" w:type="dxa"/>
          </w:tcPr>
          <w:p w14:paraId="79EB0BB0" w14:textId="77777777" w:rsidR="006E3FEB" w:rsidRPr="00E30DEC" w:rsidRDefault="006E3FEB" w:rsidP="00E72AD3">
            <w:pPr>
              <w:spacing w:before="40" w:after="40"/>
              <w:rPr>
                <w:b/>
                <w:sz w:val="17"/>
                <w:lang w:eastAsia="en-GB"/>
              </w:rPr>
            </w:pPr>
            <w:r w:rsidRPr="00E30DEC">
              <w:rPr>
                <w:b/>
                <w:sz w:val="17"/>
                <w:lang w:eastAsia="en-GB"/>
              </w:rPr>
              <w:t>Scope of application:</w:t>
            </w:r>
          </w:p>
        </w:tc>
        <w:tc>
          <w:tcPr>
            <w:tcW w:w="7234" w:type="dxa"/>
          </w:tcPr>
          <w:p w14:paraId="492C5CBE" w14:textId="79E1BA08" w:rsidR="006E3FEB" w:rsidRPr="00244B53" w:rsidRDefault="006E3FEB" w:rsidP="00E72AD3">
            <w:pPr>
              <w:pStyle w:val="TableText"/>
              <w:jc w:val="both"/>
              <w:rPr>
                <w:b/>
                <w:lang w:val="en-US" w:eastAsia="en-GB"/>
              </w:rPr>
            </w:pPr>
            <w:r w:rsidRPr="00244B53">
              <w:rPr>
                <w:szCs w:val="17"/>
              </w:rPr>
              <w:t xml:space="preserve">The template is mandatory for all AIs incorporated in Hong Kong.  The LR framework should follow the same scope of regulatory consolidation as the capital </w:t>
            </w:r>
            <w:r>
              <w:rPr>
                <w:szCs w:val="17"/>
              </w:rPr>
              <w:t xml:space="preserve">adequacy </w:t>
            </w:r>
            <w:r w:rsidRPr="00244B53">
              <w:rPr>
                <w:szCs w:val="17"/>
              </w:rPr>
              <w:t xml:space="preserve">framework (i.e. solo basis, solo-consolidated basis, and/or consolidated basis as specified by the MA under BCR </w:t>
            </w:r>
            <w:r w:rsidRPr="00244B53">
              <w:rPr>
                <w:rFonts w:cs="Segoe UI"/>
                <w:szCs w:val="17"/>
              </w:rPr>
              <w:t>§</w:t>
            </w:r>
            <w:r w:rsidRPr="00244B53">
              <w:rPr>
                <w:szCs w:val="17"/>
              </w:rPr>
              <w:t>3C).</w:t>
            </w:r>
          </w:p>
        </w:tc>
      </w:tr>
      <w:tr w:rsidR="006E3FEB" w:rsidRPr="00E30DEC" w14:paraId="3D86DB8F" w14:textId="77777777" w:rsidTr="00E72AD3">
        <w:tc>
          <w:tcPr>
            <w:tcW w:w="2008" w:type="dxa"/>
          </w:tcPr>
          <w:p w14:paraId="72FA7782" w14:textId="77777777" w:rsidR="006E3FEB" w:rsidRPr="00E30DEC" w:rsidRDefault="006E3FEB" w:rsidP="00E72AD3">
            <w:pPr>
              <w:spacing w:before="40" w:after="40"/>
              <w:rPr>
                <w:b/>
                <w:sz w:val="17"/>
                <w:lang w:eastAsia="en-GB"/>
              </w:rPr>
            </w:pPr>
            <w:r w:rsidRPr="00E30DEC">
              <w:rPr>
                <w:b/>
                <w:sz w:val="17"/>
                <w:lang w:eastAsia="en-GB"/>
              </w:rPr>
              <w:t>Content:</w:t>
            </w:r>
          </w:p>
        </w:tc>
        <w:tc>
          <w:tcPr>
            <w:tcW w:w="7234" w:type="dxa"/>
          </w:tcPr>
          <w:p w14:paraId="0DC79AB5" w14:textId="63AAB18D" w:rsidR="006E3FEB" w:rsidRPr="00244B53" w:rsidRDefault="006E3FEB" w:rsidP="00EA158F">
            <w:pPr>
              <w:pStyle w:val="TableText"/>
              <w:jc w:val="both"/>
              <w:rPr>
                <w:szCs w:val="17"/>
              </w:rPr>
            </w:pPr>
            <w:r w:rsidRPr="00244B53">
              <w:rPr>
                <w:szCs w:val="17"/>
              </w:rPr>
              <w:t xml:space="preserve">Quantitative information.  Where an AI has a reporting date for disclosure (e.g. end-April, end-October) that does not fall on the same position date for the Return of Leverage Ratio (MA(BS)27) (i.e. end-March, end-June, end-September, end-December), the AI should disclose this template based on its own reporting date.  In such circumstance, the calculation basis of values disclosed in this template should, however, follow the same calculation basis used for the return, </w:t>
            </w:r>
            <w:r w:rsidRPr="00244B53">
              <w:t>unles</w:t>
            </w:r>
            <w:r>
              <w:t xml:space="preserve">s otherwise provided in the </w:t>
            </w:r>
            <w:r w:rsidRPr="005D7E84">
              <w:t>explanatory notes</w:t>
            </w:r>
            <w:r w:rsidRPr="00244B53">
              <w:t xml:space="preserve"> for </w:t>
            </w:r>
            <w:r>
              <w:t xml:space="preserve">the </w:t>
            </w:r>
            <w:r w:rsidRPr="00244B53">
              <w:t>relevant rows</w:t>
            </w:r>
            <w:r w:rsidRPr="00244B53">
              <w:rPr>
                <w:szCs w:val="17"/>
              </w:rPr>
              <w:t>.</w:t>
            </w:r>
          </w:p>
        </w:tc>
      </w:tr>
      <w:tr w:rsidR="006E3FEB" w:rsidRPr="00E30DEC" w14:paraId="7E5B8A40" w14:textId="77777777" w:rsidTr="00E72AD3">
        <w:tc>
          <w:tcPr>
            <w:tcW w:w="2008" w:type="dxa"/>
          </w:tcPr>
          <w:p w14:paraId="79A1D390" w14:textId="77777777" w:rsidR="006E3FEB" w:rsidRPr="00E30DEC" w:rsidRDefault="006E3FEB" w:rsidP="00E72AD3">
            <w:pPr>
              <w:spacing w:before="40" w:after="40"/>
              <w:rPr>
                <w:sz w:val="17"/>
                <w:lang w:eastAsia="en-GB"/>
              </w:rPr>
            </w:pPr>
            <w:r w:rsidRPr="00E30DEC">
              <w:rPr>
                <w:b/>
                <w:sz w:val="17"/>
                <w:lang w:eastAsia="en-GB"/>
              </w:rPr>
              <w:t>Frequency:</w:t>
            </w:r>
          </w:p>
        </w:tc>
        <w:tc>
          <w:tcPr>
            <w:tcW w:w="7234" w:type="dxa"/>
          </w:tcPr>
          <w:p w14:paraId="503E3A9D" w14:textId="77777777" w:rsidR="006E3FEB" w:rsidRPr="00E30DEC" w:rsidRDefault="006E3FEB" w:rsidP="00E72AD3">
            <w:pPr>
              <w:pStyle w:val="TableText"/>
              <w:jc w:val="both"/>
              <w:rPr>
                <w:lang w:eastAsia="en-GB"/>
              </w:rPr>
            </w:pPr>
            <w:r w:rsidRPr="00E30DEC">
              <w:rPr>
                <w:lang w:eastAsia="en-GB"/>
              </w:rPr>
              <w:t>Quarterly.</w:t>
            </w:r>
          </w:p>
        </w:tc>
      </w:tr>
      <w:tr w:rsidR="006E3FEB" w:rsidRPr="00E30DEC" w14:paraId="735CF8FA" w14:textId="77777777" w:rsidTr="00E72AD3">
        <w:tc>
          <w:tcPr>
            <w:tcW w:w="2008" w:type="dxa"/>
          </w:tcPr>
          <w:p w14:paraId="18D3A4B3" w14:textId="77777777" w:rsidR="006E3FEB" w:rsidRPr="00E30DEC" w:rsidRDefault="006E3FEB" w:rsidP="00E72AD3">
            <w:pPr>
              <w:spacing w:before="40" w:after="40"/>
              <w:rPr>
                <w:sz w:val="17"/>
                <w:lang w:eastAsia="en-GB"/>
              </w:rPr>
            </w:pPr>
            <w:r w:rsidRPr="00E30DEC">
              <w:rPr>
                <w:b/>
                <w:sz w:val="17"/>
                <w:lang w:eastAsia="en-GB"/>
              </w:rPr>
              <w:t>Format:</w:t>
            </w:r>
          </w:p>
        </w:tc>
        <w:tc>
          <w:tcPr>
            <w:tcW w:w="7234" w:type="dxa"/>
          </w:tcPr>
          <w:p w14:paraId="0A622CCA" w14:textId="77777777" w:rsidR="006E3FEB" w:rsidRPr="00E30DEC" w:rsidRDefault="006E3FEB" w:rsidP="00E72AD3">
            <w:pPr>
              <w:pStyle w:val="TableText"/>
              <w:jc w:val="both"/>
              <w:rPr>
                <w:lang w:eastAsia="en-GB"/>
              </w:rPr>
            </w:pPr>
            <w:r w:rsidRPr="00E30DEC">
              <w:rPr>
                <w:lang w:eastAsia="en-GB"/>
              </w:rPr>
              <w:t>Fixed.</w:t>
            </w:r>
          </w:p>
        </w:tc>
      </w:tr>
      <w:tr w:rsidR="006E3FEB" w:rsidRPr="00E30DEC" w14:paraId="0D05FEEC" w14:textId="77777777" w:rsidTr="00E72AD3">
        <w:tc>
          <w:tcPr>
            <w:tcW w:w="2008" w:type="dxa"/>
          </w:tcPr>
          <w:p w14:paraId="50C8867B" w14:textId="77777777" w:rsidR="006E3FEB" w:rsidRPr="00E30DEC" w:rsidRDefault="006E3FEB" w:rsidP="00E72AD3">
            <w:pPr>
              <w:spacing w:before="40" w:after="40"/>
              <w:rPr>
                <w:b/>
                <w:sz w:val="17"/>
                <w:lang w:eastAsia="en-GB"/>
              </w:rPr>
            </w:pPr>
            <w:r w:rsidRPr="00E30DEC">
              <w:rPr>
                <w:b/>
                <w:sz w:val="17"/>
                <w:szCs w:val="17"/>
                <w:lang w:eastAsia="en-GB"/>
              </w:rPr>
              <w:t>Accompanying narrative</w:t>
            </w:r>
            <w:r w:rsidRPr="00E30DEC">
              <w:rPr>
                <w:sz w:val="17"/>
                <w:szCs w:val="17"/>
                <w:lang w:eastAsia="en-GB"/>
              </w:rPr>
              <w:t>:</w:t>
            </w:r>
          </w:p>
        </w:tc>
        <w:tc>
          <w:tcPr>
            <w:tcW w:w="7234" w:type="dxa"/>
          </w:tcPr>
          <w:p w14:paraId="37DBF9AC" w14:textId="10CB8F62" w:rsidR="006E3FEB" w:rsidRPr="00E30DEC" w:rsidRDefault="006E3FEB" w:rsidP="007B3949">
            <w:pPr>
              <w:pStyle w:val="TableText"/>
              <w:jc w:val="both"/>
              <w:rPr>
                <w:noProof/>
                <w:szCs w:val="17"/>
                <w:lang w:eastAsia="en-GB"/>
              </w:rPr>
            </w:pPr>
            <w:r w:rsidRPr="00E30DEC">
              <w:rPr>
                <w:szCs w:val="17"/>
                <w:lang w:eastAsia="en-GB"/>
              </w:rPr>
              <w:t>An AI s</w:t>
            </w:r>
            <w:r w:rsidRPr="00E30DEC">
              <w:rPr>
                <w:szCs w:val="17"/>
              </w:rPr>
              <w:t xml:space="preserve">hould describe the key factors that have had a material impact on the LR </w:t>
            </w:r>
            <w:r>
              <w:rPr>
                <w:szCs w:val="17"/>
              </w:rPr>
              <w:t>for</w:t>
            </w:r>
            <w:r w:rsidRPr="00E30DEC">
              <w:rPr>
                <w:szCs w:val="17"/>
              </w:rPr>
              <w:t xml:space="preserve"> the current reporting period compared </w:t>
            </w:r>
            <w:r>
              <w:rPr>
                <w:szCs w:val="17"/>
              </w:rPr>
              <w:t>with</w:t>
            </w:r>
            <w:r w:rsidRPr="00E30DEC">
              <w:rPr>
                <w:szCs w:val="17"/>
              </w:rPr>
              <w:t xml:space="preserve"> the preceding reporting period.</w:t>
            </w:r>
            <w:r>
              <w:rPr>
                <w:szCs w:val="17"/>
              </w:rPr>
              <w:t xml:space="preserve">  An AI should also </w:t>
            </w:r>
            <w:r w:rsidRPr="00A81163">
              <w:rPr>
                <w:szCs w:val="17"/>
              </w:rPr>
              <w:t>describe the key factors that explain</w:t>
            </w:r>
            <w:r>
              <w:rPr>
                <w:szCs w:val="17"/>
              </w:rPr>
              <w:t xml:space="preserve"> </w:t>
            </w:r>
            <w:r w:rsidRPr="00A81163">
              <w:rPr>
                <w:szCs w:val="17"/>
              </w:rPr>
              <w:t xml:space="preserve">any material differences between the </w:t>
            </w:r>
            <w:r>
              <w:rPr>
                <w:szCs w:val="17"/>
              </w:rPr>
              <w:t xml:space="preserve">gross </w:t>
            </w:r>
            <w:r w:rsidRPr="00A81163">
              <w:rPr>
                <w:szCs w:val="17"/>
              </w:rPr>
              <w:t>amount of SFT</w:t>
            </w:r>
            <w:r>
              <w:rPr>
                <w:szCs w:val="17"/>
              </w:rPr>
              <w:t xml:space="preserve"> assets that are disclosed in row 29</w:t>
            </w:r>
            <w:r w:rsidRPr="00A81163">
              <w:rPr>
                <w:szCs w:val="17"/>
              </w:rPr>
              <w:t xml:space="preserve"> and the mean values of </w:t>
            </w:r>
            <w:r>
              <w:rPr>
                <w:szCs w:val="17"/>
              </w:rPr>
              <w:t xml:space="preserve">gross assets of </w:t>
            </w:r>
            <w:r w:rsidRPr="00A81163">
              <w:rPr>
                <w:szCs w:val="17"/>
              </w:rPr>
              <w:t>SFTs that are disclosed in row 28</w:t>
            </w:r>
            <w:r>
              <w:rPr>
                <w:szCs w:val="17"/>
              </w:rPr>
              <w:t>.</w:t>
            </w:r>
          </w:p>
        </w:tc>
      </w:tr>
      <w:tr w:rsidR="006E3FEB" w:rsidRPr="00E30DEC" w14:paraId="753BD197" w14:textId="77777777" w:rsidTr="00E72AD3">
        <w:tc>
          <w:tcPr>
            <w:tcW w:w="2008" w:type="dxa"/>
          </w:tcPr>
          <w:p w14:paraId="3A11697E" w14:textId="77777777" w:rsidR="006E3FEB" w:rsidRPr="00E30DEC" w:rsidRDefault="006E3FEB" w:rsidP="00E72AD3">
            <w:pPr>
              <w:spacing w:before="40" w:after="40"/>
              <w:rPr>
                <w:b/>
                <w:sz w:val="17"/>
                <w:szCs w:val="17"/>
                <w:lang w:eastAsia="en-GB"/>
              </w:rPr>
            </w:pPr>
            <w:r w:rsidRPr="00E30DEC">
              <w:rPr>
                <w:b/>
                <w:sz w:val="17"/>
                <w:szCs w:val="17"/>
                <w:lang w:eastAsia="en-GB"/>
              </w:rPr>
              <w:t>Corresponding BDR section:</w:t>
            </w:r>
          </w:p>
        </w:tc>
        <w:tc>
          <w:tcPr>
            <w:tcW w:w="7234" w:type="dxa"/>
          </w:tcPr>
          <w:p w14:paraId="4908E4BC" w14:textId="77777777" w:rsidR="006E3FEB" w:rsidRPr="00E30DEC" w:rsidRDefault="006E3FEB" w:rsidP="00E72AD3">
            <w:pPr>
              <w:pStyle w:val="TableText"/>
              <w:jc w:val="both"/>
              <w:rPr>
                <w:szCs w:val="17"/>
                <w:lang w:eastAsia="en-GB"/>
              </w:rPr>
            </w:pPr>
            <w:r w:rsidRPr="00E30DEC">
              <w:rPr>
                <w:szCs w:val="17"/>
                <w:lang w:eastAsia="en-GB"/>
              </w:rPr>
              <w:t>16FI</w:t>
            </w:r>
          </w:p>
        </w:tc>
      </w:tr>
    </w:tbl>
    <w:p w14:paraId="12E49122" w14:textId="77777777" w:rsidR="006E3FEB" w:rsidRPr="00126350" w:rsidRDefault="006E3FEB" w:rsidP="006E3FEB">
      <w:pPr>
        <w:rPr>
          <w:sz w:val="22"/>
        </w:rPr>
      </w:pPr>
    </w:p>
    <w:tbl>
      <w:tblPr>
        <w:tblW w:w="9214" w:type="dxa"/>
        <w:tblInd w:w="-567" w:type="dxa"/>
        <w:tblBorders>
          <w:top w:val="single" w:sz="8" w:space="0" w:color="BCBDBC"/>
          <w:left w:val="single" w:sz="8" w:space="0" w:color="BCBDBC"/>
          <w:bottom w:val="single" w:sz="8" w:space="0" w:color="BCBDBC"/>
          <w:right w:val="single" w:sz="8" w:space="0" w:color="BCBDBC"/>
          <w:insideH w:val="single" w:sz="6" w:space="0" w:color="BCBDBC"/>
          <w:insideV w:val="single" w:sz="6" w:space="0" w:color="BCBDBC"/>
        </w:tblBorders>
        <w:tblLayout w:type="fixed"/>
        <w:tblCellMar>
          <w:left w:w="0" w:type="dxa"/>
          <w:right w:w="0" w:type="dxa"/>
        </w:tblCellMar>
        <w:tblLook w:val="00A0" w:firstRow="1" w:lastRow="0" w:firstColumn="1" w:lastColumn="0" w:noHBand="0" w:noVBand="0"/>
      </w:tblPr>
      <w:tblGrid>
        <w:gridCol w:w="567"/>
        <w:gridCol w:w="6237"/>
        <w:gridCol w:w="1205"/>
        <w:gridCol w:w="1205"/>
      </w:tblGrid>
      <w:tr w:rsidR="006E3FEB" w:rsidRPr="00E30DEC" w14:paraId="4336D013" w14:textId="77777777" w:rsidTr="00E72AD3">
        <w:trPr>
          <w:trHeight w:val="150"/>
          <w:tblHeader/>
        </w:trPr>
        <w:tc>
          <w:tcPr>
            <w:tcW w:w="6804" w:type="dxa"/>
            <w:gridSpan w:val="2"/>
            <w:tcBorders>
              <w:top w:val="nil"/>
              <w:left w:val="nil"/>
              <w:bottom w:val="nil"/>
              <w:right w:val="single" w:sz="4" w:space="0" w:color="auto"/>
            </w:tcBorders>
            <w:shd w:val="clear" w:color="auto" w:fill="auto"/>
            <w:vAlign w:val="center"/>
          </w:tcPr>
          <w:p w14:paraId="65A081D1" w14:textId="77777777" w:rsidR="006E3FEB" w:rsidRPr="00E30DEC" w:rsidRDefault="006E3FEB" w:rsidP="00E72AD3">
            <w:pPr>
              <w:pStyle w:val="Default"/>
              <w:rPr>
                <w:b/>
                <w:bCs/>
                <w:sz w:val="20"/>
                <w:szCs w:val="20"/>
              </w:rPr>
            </w:pPr>
          </w:p>
        </w:tc>
        <w:tc>
          <w:tcPr>
            <w:tcW w:w="1205" w:type="dxa"/>
            <w:tcBorders>
              <w:top w:val="single" w:sz="6" w:space="0" w:color="auto"/>
              <w:left w:val="single" w:sz="6" w:space="0" w:color="auto"/>
              <w:bottom w:val="single" w:sz="6" w:space="0" w:color="auto"/>
              <w:right w:val="single" w:sz="6" w:space="0" w:color="auto"/>
            </w:tcBorders>
            <w:shd w:val="clear" w:color="auto" w:fill="auto"/>
            <w:vAlign w:val="center"/>
          </w:tcPr>
          <w:p w14:paraId="59A11F2B" w14:textId="77777777" w:rsidR="006E3FEB" w:rsidRPr="00E30DEC" w:rsidRDefault="006E3FEB" w:rsidP="00E72AD3">
            <w:pPr>
              <w:pStyle w:val="TableText"/>
              <w:snapToGrid w:val="0"/>
              <w:jc w:val="center"/>
              <w:rPr>
                <w:bCs/>
                <w:lang w:eastAsia="it-IT"/>
              </w:rPr>
            </w:pPr>
            <w:r w:rsidRPr="00E30DEC">
              <w:rPr>
                <w:bCs/>
                <w:lang w:eastAsia="it-IT"/>
              </w:rPr>
              <w:t>(a)</w:t>
            </w:r>
          </w:p>
        </w:tc>
        <w:tc>
          <w:tcPr>
            <w:tcW w:w="1205" w:type="dxa"/>
            <w:tcBorders>
              <w:top w:val="single" w:sz="6" w:space="0" w:color="auto"/>
              <w:left w:val="single" w:sz="6" w:space="0" w:color="auto"/>
              <w:bottom w:val="single" w:sz="6" w:space="0" w:color="auto"/>
              <w:right w:val="single" w:sz="4" w:space="0" w:color="auto"/>
            </w:tcBorders>
            <w:shd w:val="clear" w:color="auto" w:fill="auto"/>
            <w:vAlign w:val="center"/>
          </w:tcPr>
          <w:p w14:paraId="15359236" w14:textId="77777777" w:rsidR="006E3FEB" w:rsidRPr="00E30DEC" w:rsidRDefault="006E3FEB" w:rsidP="00E72AD3">
            <w:pPr>
              <w:pStyle w:val="TableText"/>
              <w:snapToGrid w:val="0"/>
              <w:jc w:val="center"/>
              <w:rPr>
                <w:bCs/>
                <w:lang w:eastAsia="it-IT"/>
              </w:rPr>
            </w:pPr>
            <w:r w:rsidRPr="00E30DEC">
              <w:rPr>
                <w:bCs/>
                <w:lang w:eastAsia="it-IT"/>
              </w:rPr>
              <w:t>(b)</w:t>
            </w:r>
          </w:p>
        </w:tc>
      </w:tr>
      <w:tr w:rsidR="006E3FEB" w:rsidRPr="00E30DEC" w14:paraId="6289277B" w14:textId="77777777" w:rsidTr="00E72AD3">
        <w:trPr>
          <w:trHeight w:val="150"/>
          <w:tblHeader/>
        </w:trPr>
        <w:tc>
          <w:tcPr>
            <w:tcW w:w="6804" w:type="dxa"/>
            <w:gridSpan w:val="2"/>
            <w:tcBorders>
              <w:top w:val="nil"/>
              <w:left w:val="nil"/>
              <w:bottom w:val="nil"/>
              <w:right w:val="single" w:sz="4" w:space="0" w:color="auto"/>
            </w:tcBorders>
            <w:shd w:val="clear" w:color="auto" w:fill="auto"/>
            <w:vAlign w:val="center"/>
          </w:tcPr>
          <w:p w14:paraId="28D9340F" w14:textId="77777777" w:rsidR="006E3FEB" w:rsidRPr="00E30DEC" w:rsidRDefault="006E3FEB" w:rsidP="00E72AD3">
            <w:pPr>
              <w:pStyle w:val="Default"/>
              <w:rPr>
                <w:b/>
                <w:bCs/>
                <w:sz w:val="20"/>
                <w:szCs w:val="20"/>
              </w:rPr>
            </w:pPr>
          </w:p>
        </w:tc>
        <w:tc>
          <w:tcPr>
            <w:tcW w:w="2410" w:type="dxa"/>
            <w:gridSpan w:val="2"/>
            <w:tcBorders>
              <w:top w:val="single" w:sz="6" w:space="0" w:color="auto"/>
              <w:left w:val="single" w:sz="6" w:space="0" w:color="auto"/>
              <w:bottom w:val="single" w:sz="6" w:space="0" w:color="auto"/>
              <w:right w:val="single" w:sz="4" w:space="0" w:color="auto"/>
            </w:tcBorders>
            <w:shd w:val="clear" w:color="auto" w:fill="auto"/>
            <w:vAlign w:val="center"/>
          </w:tcPr>
          <w:p w14:paraId="2FAEDE0B" w14:textId="77777777" w:rsidR="006E3FEB" w:rsidRPr="00E30DEC" w:rsidRDefault="006E3FEB" w:rsidP="00E72AD3">
            <w:pPr>
              <w:pStyle w:val="TableText"/>
              <w:snapToGrid w:val="0"/>
              <w:jc w:val="center"/>
              <w:rPr>
                <w:bCs/>
                <w:lang w:eastAsia="it-IT"/>
              </w:rPr>
            </w:pPr>
            <w:r w:rsidRPr="00E30DEC">
              <w:rPr>
                <w:bCs/>
                <w:lang w:eastAsia="it-IT"/>
              </w:rPr>
              <w:t>HK$ equivalent</w:t>
            </w:r>
          </w:p>
        </w:tc>
      </w:tr>
      <w:tr w:rsidR="006E3FEB" w:rsidRPr="00E30DEC" w14:paraId="0817CE88" w14:textId="77777777" w:rsidTr="00E72AD3">
        <w:trPr>
          <w:trHeight w:val="48"/>
          <w:tblHeader/>
        </w:trPr>
        <w:tc>
          <w:tcPr>
            <w:tcW w:w="6804" w:type="dxa"/>
            <w:gridSpan w:val="2"/>
            <w:tcBorders>
              <w:top w:val="nil"/>
              <w:left w:val="nil"/>
              <w:bottom w:val="single" w:sz="6" w:space="0" w:color="auto"/>
              <w:right w:val="single" w:sz="6" w:space="0" w:color="auto"/>
            </w:tcBorders>
            <w:shd w:val="clear" w:color="auto" w:fill="auto"/>
            <w:vAlign w:val="center"/>
          </w:tcPr>
          <w:p w14:paraId="42BC9192" w14:textId="77777777" w:rsidR="006E3FEB" w:rsidRPr="00E30DEC" w:rsidRDefault="006E3FEB" w:rsidP="00E72AD3">
            <w:pPr>
              <w:pStyle w:val="TableText"/>
              <w:snapToGrid w:val="0"/>
              <w:rPr>
                <w:lang w:val="en-US" w:eastAsia="it-IT"/>
              </w:rPr>
            </w:pPr>
          </w:p>
        </w:tc>
        <w:tc>
          <w:tcPr>
            <w:tcW w:w="1205" w:type="dxa"/>
            <w:tcBorders>
              <w:top w:val="single" w:sz="6" w:space="0" w:color="auto"/>
              <w:left w:val="single" w:sz="6" w:space="0" w:color="auto"/>
              <w:bottom w:val="single" w:sz="6" w:space="0" w:color="auto"/>
              <w:right w:val="single" w:sz="6" w:space="0" w:color="auto"/>
            </w:tcBorders>
            <w:shd w:val="clear" w:color="auto" w:fill="auto"/>
            <w:vAlign w:val="center"/>
          </w:tcPr>
          <w:p w14:paraId="5729597E" w14:textId="77777777" w:rsidR="006E3FEB" w:rsidRPr="00E30DEC" w:rsidRDefault="006E3FEB" w:rsidP="00E72AD3">
            <w:pPr>
              <w:pStyle w:val="TableText"/>
              <w:snapToGrid w:val="0"/>
              <w:jc w:val="center"/>
              <w:rPr>
                <w:bCs/>
                <w:lang w:eastAsia="it-IT"/>
              </w:rPr>
            </w:pPr>
            <w:r w:rsidRPr="00E30DEC">
              <w:rPr>
                <w:bCs/>
                <w:lang w:eastAsia="it-IT"/>
              </w:rPr>
              <w:t>T</w:t>
            </w:r>
          </w:p>
        </w:tc>
        <w:tc>
          <w:tcPr>
            <w:tcW w:w="1205" w:type="dxa"/>
            <w:tcBorders>
              <w:top w:val="single" w:sz="6" w:space="0" w:color="auto"/>
              <w:left w:val="single" w:sz="6" w:space="0" w:color="auto"/>
              <w:bottom w:val="single" w:sz="6" w:space="0" w:color="auto"/>
              <w:right w:val="single" w:sz="4" w:space="0" w:color="auto"/>
            </w:tcBorders>
            <w:shd w:val="clear" w:color="auto" w:fill="auto"/>
            <w:vAlign w:val="center"/>
          </w:tcPr>
          <w:p w14:paraId="685B0D3D" w14:textId="77777777" w:rsidR="006E3FEB" w:rsidRPr="00E30DEC" w:rsidRDefault="006E3FEB" w:rsidP="00E72AD3">
            <w:pPr>
              <w:pStyle w:val="TableText"/>
              <w:snapToGrid w:val="0"/>
              <w:jc w:val="center"/>
              <w:rPr>
                <w:bCs/>
                <w:lang w:eastAsia="it-IT"/>
              </w:rPr>
            </w:pPr>
            <w:r w:rsidRPr="00E30DEC">
              <w:rPr>
                <w:bCs/>
                <w:lang w:eastAsia="it-IT"/>
              </w:rPr>
              <w:t>T-1</w:t>
            </w:r>
          </w:p>
        </w:tc>
      </w:tr>
      <w:tr w:rsidR="006E3FEB" w:rsidRPr="00E30DEC" w14:paraId="4799DFB6" w14:textId="77777777" w:rsidTr="00E72AD3">
        <w:trPr>
          <w:cantSplit/>
          <w:trHeight w:val="285"/>
        </w:trPr>
        <w:tc>
          <w:tcPr>
            <w:tcW w:w="6804" w:type="dxa"/>
            <w:gridSpan w:val="2"/>
            <w:tcBorders>
              <w:top w:val="single" w:sz="6" w:space="0" w:color="auto"/>
              <w:left w:val="nil"/>
              <w:bottom w:val="single" w:sz="6" w:space="0" w:color="BCBDBC"/>
              <w:right w:val="nil"/>
            </w:tcBorders>
            <w:shd w:val="clear" w:color="auto" w:fill="D9D9D9"/>
          </w:tcPr>
          <w:p w14:paraId="145AE411" w14:textId="77777777" w:rsidR="006E3FEB" w:rsidRPr="00E30DEC" w:rsidRDefault="006E3FEB" w:rsidP="00E72AD3">
            <w:pPr>
              <w:pStyle w:val="Default"/>
              <w:ind w:firstLineChars="50" w:firstLine="85"/>
              <w:rPr>
                <w:rFonts w:eastAsia="Times New Roman" w:cs="Times New Roman"/>
                <w:b/>
                <w:color w:val="auto"/>
                <w:sz w:val="17"/>
                <w:szCs w:val="20"/>
                <w:lang w:val="en-GB" w:eastAsia="it-IT"/>
              </w:rPr>
            </w:pPr>
            <w:r w:rsidRPr="00E30DEC">
              <w:rPr>
                <w:rFonts w:eastAsia="Times New Roman" w:cs="Times New Roman"/>
                <w:b/>
                <w:color w:val="auto"/>
                <w:sz w:val="17"/>
                <w:szCs w:val="20"/>
                <w:lang w:val="en-GB" w:eastAsia="it-IT"/>
              </w:rPr>
              <w:t>On-balance sheet exposures</w:t>
            </w:r>
          </w:p>
        </w:tc>
        <w:tc>
          <w:tcPr>
            <w:tcW w:w="1205" w:type="dxa"/>
            <w:tcBorders>
              <w:top w:val="single" w:sz="6" w:space="0" w:color="auto"/>
              <w:left w:val="nil"/>
              <w:bottom w:val="single" w:sz="6" w:space="0" w:color="BCBDBC"/>
              <w:right w:val="nil"/>
            </w:tcBorders>
            <w:shd w:val="clear" w:color="auto" w:fill="D9D9D9"/>
          </w:tcPr>
          <w:p w14:paraId="7DEC1D8A" w14:textId="77777777" w:rsidR="006E3FEB" w:rsidRPr="00E30DEC" w:rsidRDefault="006E3FEB" w:rsidP="00E72AD3">
            <w:pPr>
              <w:pStyle w:val="TableText"/>
              <w:snapToGrid w:val="0"/>
              <w:rPr>
                <w:lang w:eastAsia="it-IT"/>
              </w:rPr>
            </w:pPr>
          </w:p>
        </w:tc>
        <w:tc>
          <w:tcPr>
            <w:tcW w:w="1205" w:type="dxa"/>
            <w:tcBorders>
              <w:top w:val="single" w:sz="6" w:space="0" w:color="auto"/>
              <w:left w:val="nil"/>
              <w:bottom w:val="single" w:sz="6" w:space="0" w:color="BCBDBC"/>
              <w:right w:val="single" w:sz="4" w:space="0" w:color="auto"/>
            </w:tcBorders>
            <w:shd w:val="clear" w:color="auto" w:fill="D9D9D9"/>
          </w:tcPr>
          <w:p w14:paraId="66362E44" w14:textId="77777777" w:rsidR="006E3FEB" w:rsidRPr="00E30DEC" w:rsidRDefault="006E3FEB" w:rsidP="00E72AD3">
            <w:pPr>
              <w:pStyle w:val="TableText"/>
              <w:snapToGrid w:val="0"/>
              <w:rPr>
                <w:lang w:eastAsia="it-IT"/>
              </w:rPr>
            </w:pPr>
          </w:p>
        </w:tc>
      </w:tr>
      <w:tr w:rsidR="006E3FEB" w:rsidRPr="00E30DEC" w14:paraId="4E066CA8" w14:textId="77777777" w:rsidTr="00E72AD3">
        <w:trPr>
          <w:cantSplit/>
          <w:trHeight w:val="285"/>
        </w:trPr>
        <w:tc>
          <w:tcPr>
            <w:tcW w:w="567" w:type="dxa"/>
            <w:tcBorders>
              <w:top w:val="single" w:sz="6" w:space="0" w:color="auto"/>
              <w:left w:val="nil"/>
              <w:bottom w:val="single" w:sz="6" w:space="0" w:color="auto"/>
              <w:right w:val="single" w:sz="6" w:space="0" w:color="auto"/>
            </w:tcBorders>
            <w:shd w:val="clear" w:color="auto" w:fill="auto"/>
          </w:tcPr>
          <w:p w14:paraId="7528305E" w14:textId="77777777" w:rsidR="006E3FEB" w:rsidRPr="00E30DEC" w:rsidRDefault="006E3FEB" w:rsidP="00E72AD3">
            <w:pPr>
              <w:pStyle w:val="TableText"/>
              <w:numPr>
                <w:ilvl w:val="0"/>
                <w:numId w:val="45"/>
              </w:numPr>
              <w:snapToGrid w:val="0"/>
              <w:spacing w:line="288" w:lineRule="auto"/>
              <w:ind w:left="286" w:hanging="282"/>
              <w:rPr>
                <w:szCs w:val="17"/>
                <w:lang w:eastAsia="en-GB"/>
              </w:rPr>
            </w:pPr>
          </w:p>
        </w:tc>
        <w:tc>
          <w:tcPr>
            <w:tcW w:w="6237" w:type="dxa"/>
            <w:tcBorders>
              <w:top w:val="single" w:sz="6" w:space="0" w:color="auto"/>
              <w:left w:val="single" w:sz="6" w:space="0" w:color="auto"/>
              <w:bottom w:val="single" w:sz="6" w:space="0" w:color="auto"/>
              <w:right w:val="single" w:sz="6" w:space="0" w:color="auto"/>
            </w:tcBorders>
            <w:shd w:val="clear" w:color="auto" w:fill="auto"/>
          </w:tcPr>
          <w:p w14:paraId="21D46B87" w14:textId="4A2A8BA8" w:rsidR="006E3FEB" w:rsidRPr="00E30DEC" w:rsidRDefault="006E3FEB" w:rsidP="00E72AD3">
            <w:pPr>
              <w:pStyle w:val="TableText"/>
              <w:snapToGrid w:val="0"/>
              <w:ind w:left="57" w:rightChars="71" w:right="142"/>
              <w:rPr>
                <w:lang w:eastAsia="it-IT"/>
              </w:rPr>
            </w:pPr>
            <w:r w:rsidRPr="00E30DEC">
              <w:rPr>
                <w:lang w:eastAsia="it-IT"/>
              </w:rPr>
              <w:t xml:space="preserve">On-balance sheet exposures (excluding derivative contracts and SFTs, but including </w:t>
            </w:r>
            <w:r>
              <w:rPr>
                <w:lang w:eastAsia="it-IT"/>
              </w:rPr>
              <w:t xml:space="preserve">related on-balance sheet </w:t>
            </w:r>
            <w:r w:rsidRPr="00E30DEC">
              <w:rPr>
                <w:lang w:eastAsia="it-IT"/>
              </w:rPr>
              <w:t>collateral)</w:t>
            </w:r>
          </w:p>
        </w:tc>
        <w:tc>
          <w:tcPr>
            <w:tcW w:w="1205" w:type="dxa"/>
            <w:tcBorders>
              <w:top w:val="single" w:sz="6" w:space="0" w:color="auto"/>
              <w:left w:val="single" w:sz="6" w:space="0" w:color="auto"/>
              <w:bottom w:val="single" w:sz="6" w:space="0" w:color="auto"/>
              <w:right w:val="single" w:sz="6" w:space="0" w:color="auto"/>
            </w:tcBorders>
            <w:shd w:val="clear" w:color="auto" w:fill="auto"/>
          </w:tcPr>
          <w:p w14:paraId="6D2DEABD" w14:textId="77777777" w:rsidR="006E3FEB" w:rsidRPr="00E30DEC" w:rsidRDefault="006E3FEB" w:rsidP="00E72AD3">
            <w:pPr>
              <w:pStyle w:val="TableText"/>
              <w:snapToGrid w:val="0"/>
              <w:rPr>
                <w:lang w:eastAsia="it-IT"/>
              </w:rPr>
            </w:pPr>
          </w:p>
        </w:tc>
        <w:tc>
          <w:tcPr>
            <w:tcW w:w="1205" w:type="dxa"/>
            <w:tcBorders>
              <w:top w:val="single" w:sz="6" w:space="0" w:color="auto"/>
              <w:left w:val="single" w:sz="6" w:space="0" w:color="auto"/>
              <w:bottom w:val="single" w:sz="6" w:space="0" w:color="auto"/>
              <w:right w:val="single" w:sz="4" w:space="0" w:color="auto"/>
            </w:tcBorders>
            <w:shd w:val="clear" w:color="auto" w:fill="auto"/>
          </w:tcPr>
          <w:p w14:paraId="1593468E" w14:textId="77777777" w:rsidR="006E3FEB" w:rsidRPr="00E30DEC" w:rsidRDefault="006E3FEB" w:rsidP="00E72AD3">
            <w:pPr>
              <w:pStyle w:val="TableText"/>
              <w:snapToGrid w:val="0"/>
              <w:rPr>
                <w:lang w:eastAsia="it-IT"/>
              </w:rPr>
            </w:pPr>
          </w:p>
        </w:tc>
      </w:tr>
      <w:tr w:rsidR="006E3FEB" w:rsidRPr="00E30DEC" w14:paraId="5A7F8453" w14:textId="77777777" w:rsidTr="00E72AD3">
        <w:trPr>
          <w:cantSplit/>
          <w:trHeight w:val="285"/>
        </w:trPr>
        <w:tc>
          <w:tcPr>
            <w:tcW w:w="567" w:type="dxa"/>
            <w:tcBorders>
              <w:top w:val="single" w:sz="6" w:space="0" w:color="auto"/>
              <w:left w:val="nil"/>
              <w:bottom w:val="single" w:sz="6" w:space="0" w:color="auto"/>
              <w:right w:val="single" w:sz="6" w:space="0" w:color="auto"/>
            </w:tcBorders>
            <w:shd w:val="clear" w:color="auto" w:fill="auto"/>
          </w:tcPr>
          <w:p w14:paraId="67835646" w14:textId="77777777" w:rsidR="006E3FEB" w:rsidRPr="00E30DEC" w:rsidRDefault="006E3FEB" w:rsidP="00E72AD3">
            <w:pPr>
              <w:pStyle w:val="TableText"/>
              <w:snapToGrid w:val="0"/>
              <w:spacing w:line="288" w:lineRule="auto"/>
              <w:rPr>
                <w:szCs w:val="17"/>
                <w:lang w:eastAsia="en-GB"/>
              </w:rPr>
            </w:pPr>
            <w:r>
              <w:rPr>
                <w:szCs w:val="17"/>
                <w:lang w:eastAsia="en-GB"/>
              </w:rPr>
              <w:t>2</w:t>
            </w:r>
          </w:p>
        </w:tc>
        <w:tc>
          <w:tcPr>
            <w:tcW w:w="6237" w:type="dxa"/>
            <w:tcBorders>
              <w:top w:val="single" w:sz="6" w:space="0" w:color="auto"/>
              <w:left w:val="single" w:sz="6" w:space="0" w:color="auto"/>
              <w:bottom w:val="single" w:sz="6" w:space="0" w:color="auto"/>
              <w:right w:val="single" w:sz="6" w:space="0" w:color="auto"/>
            </w:tcBorders>
            <w:shd w:val="clear" w:color="auto" w:fill="auto"/>
          </w:tcPr>
          <w:p w14:paraId="3491B530" w14:textId="77777777" w:rsidR="006E3FEB" w:rsidRPr="008366D6" w:rsidRDefault="006E3FEB" w:rsidP="00E72AD3">
            <w:pPr>
              <w:pStyle w:val="TableText"/>
              <w:snapToGrid w:val="0"/>
              <w:ind w:left="57" w:rightChars="71" w:right="142"/>
              <w:rPr>
                <w:lang w:eastAsia="it-IT"/>
              </w:rPr>
            </w:pPr>
            <w:r>
              <w:rPr>
                <w:lang w:eastAsia="it-IT"/>
              </w:rPr>
              <w:t xml:space="preserve">Gross-up </w:t>
            </w:r>
            <w:r w:rsidRPr="0066729B">
              <w:rPr>
                <w:lang w:val="en-US" w:eastAsia="it-IT"/>
              </w:rPr>
              <w:t>for derivative contract</w:t>
            </w:r>
            <w:r>
              <w:rPr>
                <w:lang w:val="en-US" w:eastAsia="it-IT"/>
              </w:rPr>
              <w:t>s collateral provided where deducted from</w:t>
            </w:r>
            <w:r w:rsidRPr="0066729B">
              <w:rPr>
                <w:lang w:val="en-US" w:eastAsia="it-IT"/>
              </w:rPr>
              <w:t xml:space="preserve"> balance sheet assets pursuant to the applicable accounting </w:t>
            </w:r>
            <w:r>
              <w:rPr>
                <w:lang w:val="en-US" w:eastAsia="it-IT"/>
              </w:rPr>
              <w:t>standard</w:t>
            </w:r>
          </w:p>
        </w:tc>
        <w:tc>
          <w:tcPr>
            <w:tcW w:w="1205" w:type="dxa"/>
            <w:tcBorders>
              <w:top w:val="single" w:sz="6" w:space="0" w:color="auto"/>
              <w:left w:val="single" w:sz="6" w:space="0" w:color="auto"/>
              <w:bottom w:val="single" w:sz="6" w:space="0" w:color="auto"/>
              <w:right w:val="single" w:sz="6" w:space="0" w:color="auto"/>
            </w:tcBorders>
            <w:shd w:val="clear" w:color="auto" w:fill="auto"/>
          </w:tcPr>
          <w:p w14:paraId="54E0D2A5" w14:textId="77777777" w:rsidR="006E3FEB" w:rsidRPr="00E30DEC" w:rsidRDefault="006E3FEB" w:rsidP="00E72AD3">
            <w:pPr>
              <w:pStyle w:val="TableText"/>
              <w:snapToGrid w:val="0"/>
              <w:rPr>
                <w:lang w:eastAsia="it-IT"/>
              </w:rPr>
            </w:pPr>
          </w:p>
        </w:tc>
        <w:tc>
          <w:tcPr>
            <w:tcW w:w="1205" w:type="dxa"/>
            <w:tcBorders>
              <w:top w:val="single" w:sz="6" w:space="0" w:color="auto"/>
              <w:left w:val="single" w:sz="6" w:space="0" w:color="auto"/>
              <w:bottom w:val="single" w:sz="6" w:space="0" w:color="auto"/>
              <w:right w:val="single" w:sz="4" w:space="0" w:color="auto"/>
            </w:tcBorders>
            <w:shd w:val="clear" w:color="auto" w:fill="auto"/>
          </w:tcPr>
          <w:p w14:paraId="4FFDE679" w14:textId="77777777" w:rsidR="006E3FEB" w:rsidRPr="00E30DEC" w:rsidRDefault="006E3FEB" w:rsidP="00E72AD3">
            <w:pPr>
              <w:pStyle w:val="TableText"/>
              <w:snapToGrid w:val="0"/>
              <w:rPr>
                <w:lang w:eastAsia="it-IT"/>
              </w:rPr>
            </w:pPr>
          </w:p>
        </w:tc>
      </w:tr>
      <w:tr w:rsidR="006E3FEB" w:rsidRPr="00E30DEC" w14:paraId="1E1F42D9" w14:textId="77777777" w:rsidTr="00E72AD3">
        <w:trPr>
          <w:cantSplit/>
          <w:trHeight w:val="285"/>
        </w:trPr>
        <w:tc>
          <w:tcPr>
            <w:tcW w:w="567" w:type="dxa"/>
            <w:tcBorders>
              <w:top w:val="single" w:sz="6" w:space="0" w:color="auto"/>
              <w:left w:val="nil"/>
              <w:bottom w:val="single" w:sz="6" w:space="0" w:color="auto"/>
              <w:right w:val="single" w:sz="6" w:space="0" w:color="auto"/>
            </w:tcBorders>
            <w:shd w:val="clear" w:color="auto" w:fill="auto"/>
          </w:tcPr>
          <w:p w14:paraId="69045238" w14:textId="77777777" w:rsidR="006E3FEB" w:rsidRPr="00E30DEC" w:rsidRDefault="006E3FEB" w:rsidP="00E72AD3">
            <w:pPr>
              <w:pStyle w:val="TableText"/>
              <w:snapToGrid w:val="0"/>
              <w:spacing w:line="288" w:lineRule="auto"/>
              <w:rPr>
                <w:szCs w:val="17"/>
                <w:lang w:eastAsia="en-GB"/>
              </w:rPr>
            </w:pPr>
            <w:r>
              <w:rPr>
                <w:szCs w:val="17"/>
                <w:lang w:eastAsia="en-GB"/>
              </w:rPr>
              <w:t>3</w:t>
            </w:r>
          </w:p>
        </w:tc>
        <w:tc>
          <w:tcPr>
            <w:tcW w:w="6237" w:type="dxa"/>
            <w:tcBorders>
              <w:top w:val="single" w:sz="6" w:space="0" w:color="auto"/>
              <w:left w:val="single" w:sz="6" w:space="0" w:color="auto"/>
              <w:bottom w:val="single" w:sz="6" w:space="0" w:color="auto"/>
              <w:right w:val="single" w:sz="6" w:space="0" w:color="auto"/>
            </w:tcBorders>
            <w:shd w:val="clear" w:color="auto" w:fill="auto"/>
          </w:tcPr>
          <w:p w14:paraId="65D32806" w14:textId="77777777" w:rsidR="006E3FEB" w:rsidRPr="00E30DEC" w:rsidRDefault="006E3FEB" w:rsidP="00E72AD3">
            <w:pPr>
              <w:pStyle w:val="TableText"/>
              <w:snapToGrid w:val="0"/>
              <w:ind w:left="57" w:rightChars="71" w:right="142"/>
              <w:rPr>
                <w:lang w:eastAsia="it-IT"/>
              </w:rPr>
            </w:pPr>
            <w:r>
              <w:t xml:space="preserve">Less: </w:t>
            </w:r>
            <w:r w:rsidRPr="00AA16E8">
              <w:t>Deductions of receivable</w:t>
            </w:r>
            <w:r>
              <w:t>s asset</w:t>
            </w:r>
            <w:r w:rsidRPr="00AA16E8">
              <w:t>s for cash</w:t>
            </w:r>
            <w:r>
              <w:t xml:space="preserve"> variation margin provided under</w:t>
            </w:r>
            <w:r w:rsidRPr="00AA16E8">
              <w:t xml:space="preserve"> derivative contracts</w:t>
            </w:r>
          </w:p>
        </w:tc>
        <w:tc>
          <w:tcPr>
            <w:tcW w:w="1205" w:type="dxa"/>
            <w:tcBorders>
              <w:top w:val="single" w:sz="6" w:space="0" w:color="auto"/>
              <w:left w:val="single" w:sz="6" w:space="0" w:color="auto"/>
              <w:bottom w:val="single" w:sz="6" w:space="0" w:color="auto"/>
              <w:right w:val="single" w:sz="6" w:space="0" w:color="auto"/>
            </w:tcBorders>
            <w:shd w:val="clear" w:color="auto" w:fill="auto"/>
          </w:tcPr>
          <w:p w14:paraId="70B36DC8" w14:textId="77777777" w:rsidR="006E3FEB" w:rsidRPr="00E30DEC" w:rsidRDefault="006E3FEB" w:rsidP="00E72AD3">
            <w:pPr>
              <w:pStyle w:val="TableText"/>
              <w:snapToGrid w:val="0"/>
              <w:rPr>
                <w:lang w:eastAsia="it-IT"/>
              </w:rPr>
            </w:pPr>
          </w:p>
        </w:tc>
        <w:tc>
          <w:tcPr>
            <w:tcW w:w="1205" w:type="dxa"/>
            <w:tcBorders>
              <w:top w:val="single" w:sz="6" w:space="0" w:color="auto"/>
              <w:left w:val="single" w:sz="6" w:space="0" w:color="auto"/>
              <w:bottom w:val="single" w:sz="6" w:space="0" w:color="auto"/>
              <w:right w:val="single" w:sz="4" w:space="0" w:color="auto"/>
            </w:tcBorders>
            <w:shd w:val="clear" w:color="auto" w:fill="auto"/>
          </w:tcPr>
          <w:p w14:paraId="2E87784F" w14:textId="77777777" w:rsidR="006E3FEB" w:rsidRPr="00E30DEC" w:rsidRDefault="006E3FEB" w:rsidP="00E72AD3">
            <w:pPr>
              <w:pStyle w:val="TableText"/>
              <w:snapToGrid w:val="0"/>
              <w:rPr>
                <w:lang w:eastAsia="it-IT"/>
              </w:rPr>
            </w:pPr>
          </w:p>
        </w:tc>
      </w:tr>
      <w:tr w:rsidR="006E3FEB" w:rsidRPr="00E30DEC" w14:paraId="130797E0" w14:textId="77777777" w:rsidTr="00E72AD3">
        <w:trPr>
          <w:cantSplit/>
          <w:trHeight w:val="285"/>
        </w:trPr>
        <w:tc>
          <w:tcPr>
            <w:tcW w:w="567" w:type="dxa"/>
            <w:tcBorders>
              <w:top w:val="single" w:sz="6" w:space="0" w:color="auto"/>
              <w:left w:val="nil"/>
              <w:bottom w:val="single" w:sz="6" w:space="0" w:color="auto"/>
              <w:right w:val="single" w:sz="6" w:space="0" w:color="auto"/>
            </w:tcBorders>
            <w:shd w:val="clear" w:color="auto" w:fill="auto"/>
          </w:tcPr>
          <w:p w14:paraId="305431A2" w14:textId="77777777" w:rsidR="006E3FEB" w:rsidRPr="00E30DEC" w:rsidRDefault="006E3FEB" w:rsidP="00E72AD3">
            <w:pPr>
              <w:pStyle w:val="TableText"/>
              <w:snapToGrid w:val="0"/>
              <w:spacing w:line="288" w:lineRule="auto"/>
              <w:rPr>
                <w:szCs w:val="17"/>
                <w:lang w:eastAsia="en-GB"/>
              </w:rPr>
            </w:pPr>
            <w:r>
              <w:rPr>
                <w:szCs w:val="17"/>
                <w:lang w:eastAsia="en-GB"/>
              </w:rPr>
              <w:t>4</w:t>
            </w:r>
          </w:p>
        </w:tc>
        <w:tc>
          <w:tcPr>
            <w:tcW w:w="6237" w:type="dxa"/>
            <w:tcBorders>
              <w:top w:val="single" w:sz="6" w:space="0" w:color="auto"/>
              <w:left w:val="single" w:sz="6" w:space="0" w:color="auto"/>
              <w:bottom w:val="single" w:sz="6" w:space="0" w:color="auto"/>
              <w:right w:val="single" w:sz="6" w:space="0" w:color="auto"/>
            </w:tcBorders>
            <w:shd w:val="clear" w:color="auto" w:fill="auto"/>
          </w:tcPr>
          <w:p w14:paraId="2900F389" w14:textId="77777777" w:rsidR="006E3FEB" w:rsidRDefault="006E3FEB" w:rsidP="00E72AD3">
            <w:pPr>
              <w:pStyle w:val="TableText"/>
              <w:snapToGrid w:val="0"/>
              <w:ind w:left="57" w:rightChars="71" w:right="142"/>
            </w:pPr>
            <w:r>
              <w:t>Less: Adjustment for securities received under SFTs that are recognised as an asset</w:t>
            </w:r>
          </w:p>
        </w:tc>
        <w:tc>
          <w:tcPr>
            <w:tcW w:w="1205" w:type="dxa"/>
            <w:tcBorders>
              <w:top w:val="single" w:sz="6" w:space="0" w:color="auto"/>
              <w:left w:val="single" w:sz="6" w:space="0" w:color="auto"/>
              <w:bottom w:val="single" w:sz="6" w:space="0" w:color="auto"/>
              <w:right w:val="single" w:sz="6" w:space="0" w:color="auto"/>
            </w:tcBorders>
            <w:shd w:val="clear" w:color="auto" w:fill="auto"/>
          </w:tcPr>
          <w:p w14:paraId="248BA6E3" w14:textId="77777777" w:rsidR="006E3FEB" w:rsidRPr="00E30DEC" w:rsidRDefault="006E3FEB" w:rsidP="00E72AD3">
            <w:pPr>
              <w:pStyle w:val="TableText"/>
              <w:snapToGrid w:val="0"/>
              <w:rPr>
                <w:lang w:eastAsia="it-IT"/>
              </w:rPr>
            </w:pPr>
          </w:p>
        </w:tc>
        <w:tc>
          <w:tcPr>
            <w:tcW w:w="1205" w:type="dxa"/>
            <w:tcBorders>
              <w:top w:val="single" w:sz="6" w:space="0" w:color="auto"/>
              <w:left w:val="single" w:sz="6" w:space="0" w:color="auto"/>
              <w:bottom w:val="single" w:sz="6" w:space="0" w:color="auto"/>
              <w:right w:val="single" w:sz="4" w:space="0" w:color="auto"/>
            </w:tcBorders>
            <w:shd w:val="clear" w:color="auto" w:fill="auto"/>
          </w:tcPr>
          <w:p w14:paraId="1C8E1D52" w14:textId="77777777" w:rsidR="006E3FEB" w:rsidRPr="00E30DEC" w:rsidRDefault="006E3FEB" w:rsidP="00E72AD3">
            <w:pPr>
              <w:pStyle w:val="TableText"/>
              <w:snapToGrid w:val="0"/>
              <w:rPr>
                <w:lang w:eastAsia="it-IT"/>
              </w:rPr>
            </w:pPr>
          </w:p>
        </w:tc>
      </w:tr>
      <w:tr w:rsidR="006E3FEB" w:rsidRPr="00E30DEC" w14:paraId="7E049D1E" w14:textId="77777777" w:rsidTr="00E72AD3">
        <w:trPr>
          <w:cantSplit/>
          <w:trHeight w:val="285"/>
        </w:trPr>
        <w:tc>
          <w:tcPr>
            <w:tcW w:w="567" w:type="dxa"/>
            <w:tcBorders>
              <w:top w:val="single" w:sz="6" w:space="0" w:color="auto"/>
              <w:left w:val="nil"/>
              <w:bottom w:val="single" w:sz="6" w:space="0" w:color="auto"/>
              <w:right w:val="single" w:sz="6" w:space="0" w:color="auto"/>
            </w:tcBorders>
            <w:shd w:val="clear" w:color="auto" w:fill="auto"/>
          </w:tcPr>
          <w:p w14:paraId="255A31FC" w14:textId="77777777" w:rsidR="006E3FEB" w:rsidRPr="00E30DEC" w:rsidRDefault="006E3FEB" w:rsidP="00E72AD3">
            <w:pPr>
              <w:pStyle w:val="TableText"/>
              <w:snapToGrid w:val="0"/>
              <w:spacing w:line="288" w:lineRule="auto"/>
              <w:rPr>
                <w:szCs w:val="17"/>
                <w:lang w:eastAsia="en-GB"/>
              </w:rPr>
            </w:pPr>
            <w:r>
              <w:rPr>
                <w:szCs w:val="17"/>
                <w:lang w:eastAsia="en-GB"/>
              </w:rPr>
              <w:t>5</w:t>
            </w:r>
          </w:p>
        </w:tc>
        <w:tc>
          <w:tcPr>
            <w:tcW w:w="6237" w:type="dxa"/>
            <w:tcBorders>
              <w:top w:val="single" w:sz="6" w:space="0" w:color="auto"/>
              <w:left w:val="single" w:sz="6" w:space="0" w:color="auto"/>
              <w:bottom w:val="single" w:sz="6" w:space="0" w:color="auto"/>
              <w:right w:val="single" w:sz="6" w:space="0" w:color="auto"/>
            </w:tcBorders>
            <w:shd w:val="clear" w:color="auto" w:fill="auto"/>
          </w:tcPr>
          <w:p w14:paraId="103C6093" w14:textId="77777777" w:rsidR="006E3FEB" w:rsidRDefault="006E3FEB" w:rsidP="00E72AD3">
            <w:pPr>
              <w:pStyle w:val="TableText"/>
              <w:snapToGrid w:val="0"/>
              <w:ind w:left="57" w:rightChars="71" w:right="142"/>
            </w:pPr>
            <w:r>
              <w:t xml:space="preserve">Less: </w:t>
            </w:r>
            <w:r>
              <w:rPr>
                <w:szCs w:val="17"/>
                <w:lang w:eastAsia="it-IT"/>
              </w:rPr>
              <w:t>Specific and collective</w:t>
            </w:r>
            <w:r w:rsidRPr="00186F8C">
              <w:rPr>
                <w:szCs w:val="17"/>
                <w:lang w:eastAsia="it-IT"/>
              </w:rPr>
              <w:t xml:space="preserve"> provisions </w:t>
            </w:r>
            <w:r w:rsidRPr="00322B58">
              <w:t>associated with on-balance sheet exposures that are deducted from Tier 1 capital</w:t>
            </w:r>
            <w:r>
              <w:t xml:space="preserve"> </w:t>
            </w:r>
          </w:p>
        </w:tc>
        <w:tc>
          <w:tcPr>
            <w:tcW w:w="1205" w:type="dxa"/>
            <w:tcBorders>
              <w:top w:val="single" w:sz="6" w:space="0" w:color="auto"/>
              <w:left w:val="single" w:sz="6" w:space="0" w:color="auto"/>
              <w:bottom w:val="single" w:sz="6" w:space="0" w:color="auto"/>
              <w:right w:val="single" w:sz="6" w:space="0" w:color="auto"/>
            </w:tcBorders>
            <w:shd w:val="clear" w:color="auto" w:fill="auto"/>
          </w:tcPr>
          <w:p w14:paraId="77519A93" w14:textId="77777777" w:rsidR="006E3FEB" w:rsidRPr="00E30DEC" w:rsidRDefault="006E3FEB" w:rsidP="00E72AD3">
            <w:pPr>
              <w:pStyle w:val="TableText"/>
              <w:snapToGrid w:val="0"/>
              <w:rPr>
                <w:lang w:eastAsia="it-IT"/>
              </w:rPr>
            </w:pPr>
          </w:p>
        </w:tc>
        <w:tc>
          <w:tcPr>
            <w:tcW w:w="1205" w:type="dxa"/>
            <w:tcBorders>
              <w:top w:val="single" w:sz="6" w:space="0" w:color="auto"/>
              <w:left w:val="single" w:sz="6" w:space="0" w:color="auto"/>
              <w:bottom w:val="single" w:sz="6" w:space="0" w:color="auto"/>
              <w:right w:val="single" w:sz="4" w:space="0" w:color="auto"/>
            </w:tcBorders>
            <w:shd w:val="clear" w:color="auto" w:fill="auto"/>
          </w:tcPr>
          <w:p w14:paraId="10A3FBEE" w14:textId="77777777" w:rsidR="006E3FEB" w:rsidRPr="00E30DEC" w:rsidRDefault="006E3FEB" w:rsidP="00E72AD3">
            <w:pPr>
              <w:pStyle w:val="TableText"/>
              <w:snapToGrid w:val="0"/>
              <w:rPr>
                <w:lang w:eastAsia="it-IT"/>
              </w:rPr>
            </w:pPr>
          </w:p>
        </w:tc>
      </w:tr>
      <w:tr w:rsidR="006E3FEB" w:rsidRPr="00E30DEC" w14:paraId="3713C364" w14:textId="77777777" w:rsidTr="00E72AD3">
        <w:trPr>
          <w:cantSplit/>
          <w:trHeight w:val="285"/>
        </w:trPr>
        <w:tc>
          <w:tcPr>
            <w:tcW w:w="567" w:type="dxa"/>
            <w:tcBorders>
              <w:top w:val="single" w:sz="6" w:space="0" w:color="auto"/>
              <w:left w:val="nil"/>
              <w:bottom w:val="single" w:sz="6" w:space="0" w:color="auto"/>
              <w:right w:val="single" w:sz="6" w:space="0" w:color="auto"/>
            </w:tcBorders>
            <w:shd w:val="clear" w:color="auto" w:fill="auto"/>
          </w:tcPr>
          <w:p w14:paraId="120C88EE" w14:textId="5D3C7815" w:rsidR="006E3FEB" w:rsidRPr="00E30DEC" w:rsidRDefault="006E3FEB" w:rsidP="00E72AD3">
            <w:pPr>
              <w:pStyle w:val="TableText"/>
              <w:snapToGrid w:val="0"/>
              <w:spacing w:line="288" w:lineRule="auto"/>
              <w:rPr>
                <w:szCs w:val="17"/>
                <w:lang w:eastAsia="en-GB"/>
              </w:rPr>
            </w:pPr>
            <w:r>
              <w:rPr>
                <w:szCs w:val="17"/>
                <w:lang w:eastAsia="en-GB"/>
              </w:rPr>
              <w:t>6</w:t>
            </w:r>
          </w:p>
        </w:tc>
        <w:tc>
          <w:tcPr>
            <w:tcW w:w="6237" w:type="dxa"/>
            <w:tcBorders>
              <w:top w:val="single" w:sz="6" w:space="0" w:color="auto"/>
              <w:left w:val="single" w:sz="6" w:space="0" w:color="auto"/>
              <w:bottom w:val="single" w:sz="6" w:space="0" w:color="auto"/>
              <w:right w:val="single" w:sz="6" w:space="0" w:color="auto"/>
            </w:tcBorders>
            <w:shd w:val="clear" w:color="auto" w:fill="auto"/>
          </w:tcPr>
          <w:p w14:paraId="05EDBDD9" w14:textId="77777777" w:rsidR="006E3FEB" w:rsidRPr="00E30DEC" w:rsidRDefault="006E3FEB" w:rsidP="00E72AD3">
            <w:pPr>
              <w:pStyle w:val="TableText"/>
              <w:snapToGrid w:val="0"/>
              <w:ind w:left="57" w:rightChars="71" w:right="142"/>
              <w:rPr>
                <w:lang w:eastAsia="it-IT"/>
              </w:rPr>
            </w:pPr>
            <w:r w:rsidRPr="00E30DEC">
              <w:rPr>
                <w:lang w:eastAsia="it-IT"/>
              </w:rPr>
              <w:t>Less: Asset amounts deducted in determining Tier 1 capital</w:t>
            </w:r>
          </w:p>
        </w:tc>
        <w:tc>
          <w:tcPr>
            <w:tcW w:w="1205" w:type="dxa"/>
            <w:tcBorders>
              <w:top w:val="single" w:sz="6" w:space="0" w:color="auto"/>
              <w:left w:val="single" w:sz="6" w:space="0" w:color="auto"/>
              <w:bottom w:val="single" w:sz="6" w:space="0" w:color="auto"/>
              <w:right w:val="single" w:sz="6" w:space="0" w:color="auto"/>
            </w:tcBorders>
            <w:shd w:val="clear" w:color="auto" w:fill="auto"/>
          </w:tcPr>
          <w:p w14:paraId="0C98E7D4" w14:textId="77777777" w:rsidR="006E3FEB" w:rsidRPr="00E30DEC" w:rsidRDefault="006E3FEB" w:rsidP="00E72AD3">
            <w:pPr>
              <w:pStyle w:val="TableText"/>
              <w:snapToGrid w:val="0"/>
              <w:rPr>
                <w:lang w:eastAsia="it-IT"/>
              </w:rPr>
            </w:pPr>
          </w:p>
        </w:tc>
        <w:tc>
          <w:tcPr>
            <w:tcW w:w="1205" w:type="dxa"/>
            <w:tcBorders>
              <w:top w:val="single" w:sz="6" w:space="0" w:color="auto"/>
              <w:left w:val="single" w:sz="6" w:space="0" w:color="auto"/>
              <w:bottom w:val="single" w:sz="6" w:space="0" w:color="auto"/>
              <w:right w:val="single" w:sz="4" w:space="0" w:color="auto"/>
            </w:tcBorders>
            <w:shd w:val="clear" w:color="auto" w:fill="auto"/>
          </w:tcPr>
          <w:p w14:paraId="61027A1E" w14:textId="77777777" w:rsidR="006E3FEB" w:rsidRPr="00E30DEC" w:rsidRDefault="006E3FEB" w:rsidP="00E72AD3">
            <w:pPr>
              <w:pStyle w:val="TableText"/>
              <w:snapToGrid w:val="0"/>
              <w:rPr>
                <w:lang w:eastAsia="it-IT"/>
              </w:rPr>
            </w:pPr>
          </w:p>
        </w:tc>
      </w:tr>
      <w:tr w:rsidR="006E3FEB" w:rsidRPr="00E30DEC" w14:paraId="05543799" w14:textId="77777777" w:rsidTr="00E72AD3">
        <w:trPr>
          <w:cantSplit/>
          <w:trHeight w:val="285"/>
        </w:trPr>
        <w:tc>
          <w:tcPr>
            <w:tcW w:w="567" w:type="dxa"/>
            <w:tcBorders>
              <w:top w:val="single" w:sz="6" w:space="0" w:color="auto"/>
              <w:left w:val="nil"/>
              <w:bottom w:val="single" w:sz="6" w:space="0" w:color="auto"/>
              <w:right w:val="single" w:sz="6" w:space="0" w:color="auto"/>
            </w:tcBorders>
            <w:shd w:val="clear" w:color="auto" w:fill="auto"/>
          </w:tcPr>
          <w:p w14:paraId="0C3B9BCA" w14:textId="73D7A57A" w:rsidR="006E3FEB" w:rsidRPr="00E30DEC" w:rsidRDefault="006E3FEB" w:rsidP="00E72AD3">
            <w:pPr>
              <w:pStyle w:val="TableText"/>
              <w:snapToGrid w:val="0"/>
              <w:spacing w:line="288" w:lineRule="auto"/>
              <w:rPr>
                <w:szCs w:val="17"/>
                <w:lang w:eastAsia="en-GB"/>
              </w:rPr>
            </w:pPr>
            <w:r>
              <w:rPr>
                <w:szCs w:val="17"/>
                <w:lang w:eastAsia="en-GB"/>
              </w:rPr>
              <w:lastRenderedPageBreak/>
              <w:t>7</w:t>
            </w:r>
          </w:p>
        </w:tc>
        <w:tc>
          <w:tcPr>
            <w:tcW w:w="6237" w:type="dxa"/>
            <w:tcBorders>
              <w:top w:val="single" w:sz="6" w:space="0" w:color="auto"/>
              <w:left w:val="single" w:sz="6" w:space="0" w:color="auto"/>
              <w:bottom w:val="single" w:sz="6" w:space="0" w:color="auto"/>
              <w:right w:val="single" w:sz="6" w:space="0" w:color="auto"/>
            </w:tcBorders>
            <w:shd w:val="clear" w:color="auto" w:fill="F2F2F2"/>
          </w:tcPr>
          <w:p w14:paraId="65D43A4B" w14:textId="77777777" w:rsidR="006E3FEB" w:rsidRDefault="006E3FEB" w:rsidP="00E72AD3">
            <w:pPr>
              <w:pStyle w:val="TableText"/>
              <w:snapToGrid w:val="0"/>
              <w:ind w:left="57" w:rightChars="71" w:right="142"/>
              <w:rPr>
                <w:b/>
                <w:lang w:eastAsia="it-IT"/>
              </w:rPr>
            </w:pPr>
            <w:r w:rsidRPr="00E30DEC">
              <w:rPr>
                <w:b/>
                <w:lang w:eastAsia="it-IT"/>
              </w:rPr>
              <w:t>Total on-balance sheet exposures (excluding derivative contracts and SFTs)</w:t>
            </w:r>
          </w:p>
          <w:p w14:paraId="19CD4C01" w14:textId="77777777" w:rsidR="006E3FEB" w:rsidRPr="00E30DEC" w:rsidRDefault="006E3FEB" w:rsidP="00E72AD3">
            <w:pPr>
              <w:pStyle w:val="TableText"/>
              <w:snapToGrid w:val="0"/>
              <w:ind w:left="57" w:rightChars="71" w:right="142"/>
              <w:rPr>
                <w:b/>
                <w:lang w:eastAsia="it-IT"/>
              </w:rPr>
            </w:pPr>
            <w:r>
              <w:rPr>
                <w:b/>
                <w:lang w:eastAsia="it-IT"/>
              </w:rPr>
              <w:t>(sum of rows 1 to 6)</w:t>
            </w:r>
          </w:p>
        </w:tc>
        <w:tc>
          <w:tcPr>
            <w:tcW w:w="1205" w:type="dxa"/>
            <w:tcBorders>
              <w:top w:val="single" w:sz="6" w:space="0" w:color="auto"/>
              <w:left w:val="single" w:sz="6" w:space="0" w:color="auto"/>
              <w:bottom w:val="single" w:sz="6" w:space="0" w:color="auto"/>
              <w:right w:val="single" w:sz="6" w:space="0" w:color="auto"/>
            </w:tcBorders>
            <w:shd w:val="clear" w:color="auto" w:fill="F2F2F2"/>
          </w:tcPr>
          <w:p w14:paraId="73E98665" w14:textId="77777777" w:rsidR="006E3FEB" w:rsidRPr="00E30DEC" w:rsidRDefault="006E3FEB" w:rsidP="00E72AD3">
            <w:pPr>
              <w:pStyle w:val="TableText"/>
              <w:snapToGrid w:val="0"/>
              <w:rPr>
                <w:lang w:eastAsia="it-IT"/>
              </w:rPr>
            </w:pPr>
          </w:p>
        </w:tc>
        <w:tc>
          <w:tcPr>
            <w:tcW w:w="1205" w:type="dxa"/>
            <w:tcBorders>
              <w:top w:val="single" w:sz="6" w:space="0" w:color="auto"/>
              <w:left w:val="single" w:sz="6" w:space="0" w:color="auto"/>
              <w:bottom w:val="single" w:sz="6" w:space="0" w:color="auto"/>
              <w:right w:val="single" w:sz="4" w:space="0" w:color="auto"/>
            </w:tcBorders>
            <w:shd w:val="clear" w:color="auto" w:fill="F2F2F2"/>
          </w:tcPr>
          <w:p w14:paraId="60D5CE32" w14:textId="77777777" w:rsidR="006E3FEB" w:rsidRPr="00E30DEC" w:rsidRDefault="006E3FEB" w:rsidP="00E72AD3">
            <w:pPr>
              <w:pStyle w:val="TableText"/>
              <w:snapToGrid w:val="0"/>
              <w:rPr>
                <w:lang w:eastAsia="it-IT"/>
              </w:rPr>
            </w:pPr>
          </w:p>
        </w:tc>
      </w:tr>
      <w:tr w:rsidR="006E3FEB" w:rsidRPr="00E30DEC" w14:paraId="019BF3C0" w14:textId="77777777" w:rsidTr="00E72AD3">
        <w:trPr>
          <w:cantSplit/>
          <w:trHeight w:val="285"/>
        </w:trPr>
        <w:tc>
          <w:tcPr>
            <w:tcW w:w="6804" w:type="dxa"/>
            <w:gridSpan w:val="2"/>
            <w:tcBorders>
              <w:top w:val="single" w:sz="6" w:space="0" w:color="auto"/>
              <w:left w:val="nil"/>
              <w:bottom w:val="single" w:sz="4" w:space="0" w:color="auto"/>
              <w:right w:val="nil"/>
            </w:tcBorders>
            <w:shd w:val="clear" w:color="auto" w:fill="D9D9D9"/>
          </w:tcPr>
          <w:p w14:paraId="0AE59D7C" w14:textId="77777777" w:rsidR="006E3FEB" w:rsidRPr="00E30DEC" w:rsidRDefault="006E3FEB" w:rsidP="00E72AD3">
            <w:pPr>
              <w:pStyle w:val="Default"/>
              <w:ind w:firstLineChars="50" w:firstLine="85"/>
              <w:rPr>
                <w:b/>
                <w:sz w:val="17"/>
                <w:szCs w:val="17"/>
                <w:lang w:eastAsia="it-IT"/>
              </w:rPr>
            </w:pPr>
            <w:r w:rsidRPr="00E30DEC">
              <w:rPr>
                <w:b/>
                <w:sz w:val="17"/>
                <w:szCs w:val="17"/>
                <w:lang w:eastAsia="it-IT"/>
              </w:rPr>
              <w:t>Exposures arising from derivative contracts</w:t>
            </w:r>
          </w:p>
        </w:tc>
        <w:tc>
          <w:tcPr>
            <w:tcW w:w="1205" w:type="dxa"/>
            <w:tcBorders>
              <w:top w:val="single" w:sz="6" w:space="0" w:color="auto"/>
              <w:left w:val="nil"/>
              <w:bottom w:val="single" w:sz="4" w:space="0" w:color="auto"/>
              <w:right w:val="nil"/>
            </w:tcBorders>
            <w:shd w:val="clear" w:color="auto" w:fill="D9D9D9"/>
          </w:tcPr>
          <w:p w14:paraId="25D75AAA" w14:textId="77777777" w:rsidR="006E3FEB" w:rsidRPr="00E30DEC" w:rsidRDefault="006E3FEB" w:rsidP="00E72AD3">
            <w:pPr>
              <w:pStyle w:val="TableText"/>
              <w:snapToGrid w:val="0"/>
              <w:rPr>
                <w:lang w:eastAsia="it-IT"/>
              </w:rPr>
            </w:pPr>
          </w:p>
        </w:tc>
        <w:tc>
          <w:tcPr>
            <w:tcW w:w="1205" w:type="dxa"/>
            <w:tcBorders>
              <w:top w:val="single" w:sz="6" w:space="0" w:color="auto"/>
              <w:left w:val="nil"/>
              <w:bottom w:val="single" w:sz="4" w:space="0" w:color="auto"/>
              <w:right w:val="single" w:sz="4" w:space="0" w:color="auto"/>
            </w:tcBorders>
            <w:shd w:val="clear" w:color="auto" w:fill="D9D9D9"/>
          </w:tcPr>
          <w:p w14:paraId="51BE0393" w14:textId="77777777" w:rsidR="006E3FEB" w:rsidRPr="00E30DEC" w:rsidRDefault="006E3FEB" w:rsidP="00E72AD3">
            <w:pPr>
              <w:pStyle w:val="TableText"/>
              <w:snapToGrid w:val="0"/>
              <w:rPr>
                <w:lang w:eastAsia="it-IT"/>
              </w:rPr>
            </w:pPr>
          </w:p>
        </w:tc>
      </w:tr>
      <w:tr w:rsidR="006E3FEB" w:rsidRPr="00E30DEC" w14:paraId="4D4FE94A" w14:textId="77777777" w:rsidTr="00E72AD3">
        <w:trPr>
          <w:cantSplit/>
          <w:trHeight w:val="270"/>
        </w:trPr>
        <w:tc>
          <w:tcPr>
            <w:tcW w:w="567" w:type="dxa"/>
            <w:tcBorders>
              <w:top w:val="single" w:sz="4" w:space="0" w:color="auto"/>
              <w:left w:val="nil"/>
              <w:bottom w:val="single" w:sz="4" w:space="0" w:color="auto"/>
              <w:right w:val="single" w:sz="4" w:space="0" w:color="auto"/>
            </w:tcBorders>
            <w:shd w:val="clear" w:color="auto" w:fill="auto"/>
          </w:tcPr>
          <w:p w14:paraId="56E2BBF4" w14:textId="32F43015" w:rsidR="006E3FEB" w:rsidRPr="00E30DEC" w:rsidRDefault="006E3FEB" w:rsidP="00E72AD3">
            <w:pPr>
              <w:pStyle w:val="TableText"/>
              <w:snapToGrid w:val="0"/>
              <w:spacing w:line="288" w:lineRule="auto"/>
              <w:rPr>
                <w:szCs w:val="17"/>
                <w:lang w:eastAsia="en-GB"/>
              </w:rPr>
            </w:pPr>
            <w:r>
              <w:rPr>
                <w:szCs w:val="17"/>
                <w:lang w:eastAsia="en-GB"/>
              </w:rPr>
              <w:t>8</w:t>
            </w:r>
          </w:p>
        </w:tc>
        <w:tc>
          <w:tcPr>
            <w:tcW w:w="6237" w:type="dxa"/>
            <w:tcBorders>
              <w:top w:val="single" w:sz="4" w:space="0" w:color="auto"/>
              <w:left w:val="single" w:sz="4" w:space="0" w:color="auto"/>
              <w:bottom w:val="single" w:sz="4" w:space="0" w:color="auto"/>
              <w:right w:val="single" w:sz="4" w:space="0" w:color="auto"/>
            </w:tcBorders>
            <w:shd w:val="clear" w:color="auto" w:fill="auto"/>
          </w:tcPr>
          <w:p w14:paraId="53516A1D" w14:textId="77777777" w:rsidR="006E3FEB" w:rsidRPr="00026C11" w:rsidRDefault="006E3FEB" w:rsidP="00E72AD3">
            <w:pPr>
              <w:pStyle w:val="TableText"/>
              <w:snapToGrid w:val="0"/>
              <w:ind w:left="57" w:rightChars="71" w:right="142"/>
              <w:rPr>
                <w:rFonts w:eastAsia="新細明體"/>
                <w:szCs w:val="17"/>
                <w:lang w:eastAsia="zh-TW"/>
              </w:rPr>
            </w:pPr>
            <w:r w:rsidRPr="00E30DEC">
              <w:rPr>
                <w:szCs w:val="17"/>
                <w:lang w:eastAsia="it-IT"/>
              </w:rPr>
              <w:t>Replacement cost associated with all derivative contracts (where applicable net of eligible cash variation margin and/or with bilateral netting)</w:t>
            </w:r>
          </w:p>
        </w:tc>
        <w:tc>
          <w:tcPr>
            <w:tcW w:w="1205" w:type="dxa"/>
            <w:tcBorders>
              <w:top w:val="single" w:sz="4" w:space="0" w:color="auto"/>
              <w:left w:val="single" w:sz="4" w:space="0" w:color="auto"/>
              <w:bottom w:val="single" w:sz="4" w:space="0" w:color="auto"/>
              <w:right w:val="single" w:sz="4" w:space="0" w:color="auto"/>
            </w:tcBorders>
            <w:shd w:val="clear" w:color="auto" w:fill="auto"/>
          </w:tcPr>
          <w:p w14:paraId="7560C41B" w14:textId="77777777" w:rsidR="006E3FEB" w:rsidRPr="00E30DEC" w:rsidRDefault="006E3FEB" w:rsidP="00E72AD3">
            <w:pPr>
              <w:pStyle w:val="TableText"/>
              <w:snapToGrid w:val="0"/>
              <w:rPr>
                <w:szCs w:val="17"/>
                <w:lang w:eastAsia="it-IT"/>
              </w:rPr>
            </w:pPr>
          </w:p>
        </w:tc>
        <w:tc>
          <w:tcPr>
            <w:tcW w:w="1205" w:type="dxa"/>
            <w:tcBorders>
              <w:top w:val="single" w:sz="4" w:space="0" w:color="auto"/>
              <w:left w:val="single" w:sz="4" w:space="0" w:color="auto"/>
              <w:bottom w:val="single" w:sz="4" w:space="0" w:color="auto"/>
              <w:right w:val="single" w:sz="4" w:space="0" w:color="auto"/>
            </w:tcBorders>
            <w:shd w:val="clear" w:color="auto" w:fill="auto"/>
          </w:tcPr>
          <w:p w14:paraId="1C503D64" w14:textId="77777777" w:rsidR="006E3FEB" w:rsidRPr="00E30DEC" w:rsidRDefault="006E3FEB" w:rsidP="00E72AD3">
            <w:pPr>
              <w:pStyle w:val="TableText"/>
              <w:snapToGrid w:val="0"/>
              <w:rPr>
                <w:szCs w:val="17"/>
                <w:lang w:eastAsia="it-IT"/>
              </w:rPr>
            </w:pPr>
          </w:p>
        </w:tc>
      </w:tr>
      <w:tr w:rsidR="006E3FEB" w:rsidRPr="00E30DEC" w14:paraId="75647321" w14:textId="77777777" w:rsidTr="00E72AD3">
        <w:trPr>
          <w:cantSplit/>
          <w:trHeight w:val="270"/>
        </w:trPr>
        <w:tc>
          <w:tcPr>
            <w:tcW w:w="567" w:type="dxa"/>
            <w:tcBorders>
              <w:top w:val="single" w:sz="4" w:space="0" w:color="auto"/>
              <w:left w:val="nil"/>
              <w:bottom w:val="single" w:sz="4" w:space="0" w:color="auto"/>
              <w:right w:val="single" w:sz="4" w:space="0" w:color="auto"/>
            </w:tcBorders>
            <w:shd w:val="clear" w:color="auto" w:fill="auto"/>
          </w:tcPr>
          <w:p w14:paraId="0DB58C0F" w14:textId="5CE56BB8" w:rsidR="006E3FEB" w:rsidRPr="00E30DEC" w:rsidRDefault="006E3FEB" w:rsidP="00E72AD3">
            <w:pPr>
              <w:pStyle w:val="TableText"/>
              <w:snapToGrid w:val="0"/>
              <w:spacing w:line="288" w:lineRule="auto"/>
              <w:rPr>
                <w:szCs w:val="17"/>
                <w:lang w:eastAsia="en-GB"/>
              </w:rPr>
            </w:pPr>
            <w:r>
              <w:rPr>
                <w:szCs w:val="17"/>
                <w:lang w:eastAsia="en-GB"/>
              </w:rPr>
              <w:t>9</w:t>
            </w:r>
          </w:p>
        </w:tc>
        <w:tc>
          <w:tcPr>
            <w:tcW w:w="6237" w:type="dxa"/>
            <w:tcBorders>
              <w:top w:val="single" w:sz="4" w:space="0" w:color="auto"/>
              <w:left w:val="single" w:sz="4" w:space="0" w:color="auto"/>
              <w:bottom w:val="single" w:sz="4" w:space="0" w:color="auto"/>
              <w:right w:val="single" w:sz="4" w:space="0" w:color="auto"/>
            </w:tcBorders>
            <w:shd w:val="clear" w:color="auto" w:fill="auto"/>
          </w:tcPr>
          <w:p w14:paraId="08CADC91" w14:textId="77777777" w:rsidR="006E3FEB" w:rsidRPr="00E30DEC" w:rsidRDefault="006E3FEB" w:rsidP="00E72AD3">
            <w:pPr>
              <w:pStyle w:val="TableText"/>
              <w:snapToGrid w:val="0"/>
              <w:ind w:left="57" w:rightChars="71" w:right="142"/>
              <w:rPr>
                <w:szCs w:val="17"/>
                <w:lang w:eastAsia="it-IT"/>
              </w:rPr>
            </w:pPr>
            <w:r w:rsidRPr="00E30DEC">
              <w:rPr>
                <w:szCs w:val="17"/>
                <w:lang w:eastAsia="it-IT"/>
              </w:rPr>
              <w:t>Add-on amounts for PFE associated with all derivative contracts</w:t>
            </w:r>
          </w:p>
        </w:tc>
        <w:tc>
          <w:tcPr>
            <w:tcW w:w="1205" w:type="dxa"/>
            <w:tcBorders>
              <w:top w:val="single" w:sz="4" w:space="0" w:color="auto"/>
              <w:left w:val="single" w:sz="4" w:space="0" w:color="auto"/>
              <w:bottom w:val="single" w:sz="4" w:space="0" w:color="auto"/>
              <w:right w:val="single" w:sz="4" w:space="0" w:color="auto"/>
            </w:tcBorders>
            <w:shd w:val="clear" w:color="auto" w:fill="auto"/>
          </w:tcPr>
          <w:p w14:paraId="697C543B" w14:textId="77777777" w:rsidR="006E3FEB" w:rsidRPr="00E30DEC" w:rsidRDefault="006E3FEB" w:rsidP="00E72AD3">
            <w:pPr>
              <w:pStyle w:val="TableText"/>
              <w:snapToGrid w:val="0"/>
              <w:rPr>
                <w:szCs w:val="17"/>
                <w:lang w:eastAsia="it-IT"/>
              </w:rPr>
            </w:pPr>
          </w:p>
        </w:tc>
        <w:tc>
          <w:tcPr>
            <w:tcW w:w="1205" w:type="dxa"/>
            <w:tcBorders>
              <w:top w:val="single" w:sz="4" w:space="0" w:color="auto"/>
              <w:left w:val="single" w:sz="4" w:space="0" w:color="auto"/>
              <w:bottom w:val="single" w:sz="4" w:space="0" w:color="auto"/>
              <w:right w:val="single" w:sz="4" w:space="0" w:color="auto"/>
            </w:tcBorders>
            <w:shd w:val="clear" w:color="auto" w:fill="auto"/>
          </w:tcPr>
          <w:p w14:paraId="61B8460E" w14:textId="77777777" w:rsidR="006E3FEB" w:rsidRPr="00E30DEC" w:rsidRDefault="006E3FEB" w:rsidP="00E72AD3">
            <w:pPr>
              <w:pStyle w:val="TableText"/>
              <w:snapToGrid w:val="0"/>
              <w:rPr>
                <w:szCs w:val="17"/>
                <w:lang w:eastAsia="it-IT"/>
              </w:rPr>
            </w:pPr>
          </w:p>
        </w:tc>
      </w:tr>
      <w:tr w:rsidR="006E3FEB" w:rsidRPr="00E30DEC" w14:paraId="66906EB4" w14:textId="77777777" w:rsidTr="00E72AD3">
        <w:trPr>
          <w:cantSplit/>
          <w:trHeight w:val="270"/>
        </w:trPr>
        <w:tc>
          <w:tcPr>
            <w:tcW w:w="567" w:type="dxa"/>
            <w:tcBorders>
              <w:top w:val="single" w:sz="4" w:space="0" w:color="auto"/>
              <w:left w:val="nil"/>
              <w:bottom w:val="single" w:sz="4" w:space="0" w:color="auto"/>
              <w:right w:val="single" w:sz="4" w:space="0" w:color="auto"/>
            </w:tcBorders>
            <w:shd w:val="clear" w:color="auto" w:fill="auto"/>
          </w:tcPr>
          <w:p w14:paraId="411C18EB" w14:textId="686266BB" w:rsidR="006E3FEB" w:rsidRPr="00E30DEC" w:rsidRDefault="006E3FEB" w:rsidP="00E72AD3">
            <w:pPr>
              <w:pStyle w:val="TableText"/>
              <w:snapToGrid w:val="0"/>
              <w:spacing w:line="288" w:lineRule="auto"/>
              <w:rPr>
                <w:szCs w:val="17"/>
                <w:lang w:eastAsia="en-GB"/>
              </w:rPr>
            </w:pPr>
            <w:r>
              <w:rPr>
                <w:szCs w:val="17"/>
                <w:lang w:eastAsia="en-GB"/>
              </w:rPr>
              <w:t>10</w:t>
            </w:r>
          </w:p>
        </w:tc>
        <w:tc>
          <w:tcPr>
            <w:tcW w:w="6237" w:type="dxa"/>
            <w:tcBorders>
              <w:top w:val="single" w:sz="4" w:space="0" w:color="auto"/>
              <w:left w:val="single" w:sz="4" w:space="0" w:color="auto"/>
              <w:bottom w:val="single" w:sz="4" w:space="0" w:color="auto"/>
              <w:right w:val="single" w:sz="4" w:space="0" w:color="auto"/>
            </w:tcBorders>
            <w:shd w:val="clear" w:color="auto" w:fill="auto"/>
          </w:tcPr>
          <w:p w14:paraId="6DF4C529" w14:textId="77777777" w:rsidR="006E3FEB" w:rsidRPr="00E30DEC" w:rsidRDefault="006E3FEB" w:rsidP="00E72AD3">
            <w:pPr>
              <w:pStyle w:val="TableText"/>
              <w:snapToGrid w:val="0"/>
              <w:ind w:left="57" w:rightChars="71" w:right="142"/>
              <w:rPr>
                <w:szCs w:val="17"/>
                <w:lang w:eastAsia="it-IT"/>
              </w:rPr>
            </w:pPr>
            <w:r w:rsidRPr="00E30DEC">
              <w:rPr>
                <w:szCs w:val="17"/>
                <w:lang w:eastAsia="it-IT"/>
              </w:rPr>
              <w:t>Less: Exempted CCP leg of client-cleared trade exposures</w:t>
            </w:r>
          </w:p>
        </w:tc>
        <w:tc>
          <w:tcPr>
            <w:tcW w:w="1205" w:type="dxa"/>
            <w:tcBorders>
              <w:top w:val="single" w:sz="4" w:space="0" w:color="auto"/>
              <w:left w:val="single" w:sz="4" w:space="0" w:color="auto"/>
              <w:bottom w:val="single" w:sz="4" w:space="0" w:color="auto"/>
              <w:right w:val="single" w:sz="4" w:space="0" w:color="auto"/>
            </w:tcBorders>
            <w:shd w:val="clear" w:color="auto" w:fill="auto"/>
          </w:tcPr>
          <w:p w14:paraId="623CB545" w14:textId="77777777" w:rsidR="006E3FEB" w:rsidRPr="00E30DEC" w:rsidRDefault="006E3FEB" w:rsidP="00E72AD3">
            <w:pPr>
              <w:pStyle w:val="TableText"/>
              <w:snapToGrid w:val="0"/>
              <w:rPr>
                <w:szCs w:val="17"/>
                <w:lang w:eastAsia="it-IT"/>
              </w:rPr>
            </w:pPr>
          </w:p>
        </w:tc>
        <w:tc>
          <w:tcPr>
            <w:tcW w:w="1205" w:type="dxa"/>
            <w:tcBorders>
              <w:top w:val="single" w:sz="4" w:space="0" w:color="auto"/>
              <w:left w:val="single" w:sz="4" w:space="0" w:color="auto"/>
              <w:bottom w:val="single" w:sz="4" w:space="0" w:color="auto"/>
              <w:right w:val="single" w:sz="4" w:space="0" w:color="auto"/>
            </w:tcBorders>
            <w:shd w:val="clear" w:color="auto" w:fill="auto"/>
          </w:tcPr>
          <w:p w14:paraId="4E03102D" w14:textId="77777777" w:rsidR="006E3FEB" w:rsidRPr="00E30DEC" w:rsidRDefault="006E3FEB" w:rsidP="00E72AD3">
            <w:pPr>
              <w:pStyle w:val="TableText"/>
              <w:snapToGrid w:val="0"/>
              <w:rPr>
                <w:szCs w:val="17"/>
                <w:lang w:eastAsia="it-IT"/>
              </w:rPr>
            </w:pPr>
          </w:p>
        </w:tc>
      </w:tr>
      <w:tr w:rsidR="006E3FEB" w:rsidRPr="00E30DEC" w14:paraId="78F0664D" w14:textId="77777777" w:rsidTr="00E72AD3">
        <w:trPr>
          <w:cantSplit/>
          <w:trHeight w:val="270"/>
        </w:trPr>
        <w:tc>
          <w:tcPr>
            <w:tcW w:w="567" w:type="dxa"/>
            <w:tcBorders>
              <w:top w:val="single" w:sz="4" w:space="0" w:color="auto"/>
              <w:left w:val="nil"/>
              <w:bottom w:val="single" w:sz="4" w:space="0" w:color="auto"/>
              <w:right w:val="single" w:sz="4" w:space="0" w:color="auto"/>
            </w:tcBorders>
            <w:shd w:val="clear" w:color="auto" w:fill="auto"/>
          </w:tcPr>
          <w:p w14:paraId="4DF3DFDC" w14:textId="220BFB90" w:rsidR="006E3FEB" w:rsidRPr="00E30DEC" w:rsidRDefault="006E3FEB" w:rsidP="00E72AD3">
            <w:pPr>
              <w:pStyle w:val="TableText"/>
              <w:snapToGrid w:val="0"/>
              <w:spacing w:line="288" w:lineRule="auto"/>
              <w:rPr>
                <w:szCs w:val="17"/>
                <w:lang w:eastAsia="en-GB"/>
              </w:rPr>
            </w:pPr>
            <w:r>
              <w:rPr>
                <w:szCs w:val="17"/>
                <w:lang w:eastAsia="en-GB"/>
              </w:rPr>
              <w:t>11</w:t>
            </w:r>
          </w:p>
        </w:tc>
        <w:tc>
          <w:tcPr>
            <w:tcW w:w="6237" w:type="dxa"/>
            <w:tcBorders>
              <w:top w:val="single" w:sz="4" w:space="0" w:color="auto"/>
              <w:left w:val="single" w:sz="4" w:space="0" w:color="auto"/>
              <w:bottom w:val="single" w:sz="4" w:space="0" w:color="auto"/>
              <w:right w:val="single" w:sz="4" w:space="0" w:color="auto"/>
            </w:tcBorders>
            <w:shd w:val="clear" w:color="auto" w:fill="auto"/>
          </w:tcPr>
          <w:p w14:paraId="1FDFC70D" w14:textId="77777777" w:rsidR="006E3FEB" w:rsidRPr="00E30DEC" w:rsidRDefault="006E3FEB" w:rsidP="00E72AD3">
            <w:pPr>
              <w:pStyle w:val="TableText"/>
              <w:snapToGrid w:val="0"/>
              <w:ind w:left="57" w:rightChars="71" w:right="142"/>
              <w:rPr>
                <w:szCs w:val="17"/>
                <w:lang w:eastAsia="it-IT"/>
              </w:rPr>
            </w:pPr>
            <w:r w:rsidRPr="00E30DEC">
              <w:rPr>
                <w:szCs w:val="17"/>
                <w:lang w:eastAsia="it-IT"/>
              </w:rPr>
              <w:t xml:space="preserve">Adjusted effective notional amount of written </w:t>
            </w:r>
            <w:r>
              <w:rPr>
                <w:szCs w:val="17"/>
                <w:lang w:eastAsia="it-IT"/>
              </w:rPr>
              <w:t>credit-related derivative</w:t>
            </w:r>
            <w:r w:rsidRPr="00E30DEC">
              <w:rPr>
                <w:szCs w:val="17"/>
                <w:lang w:eastAsia="it-IT"/>
              </w:rPr>
              <w:t xml:space="preserve"> contracts</w:t>
            </w:r>
          </w:p>
        </w:tc>
        <w:tc>
          <w:tcPr>
            <w:tcW w:w="1205" w:type="dxa"/>
            <w:tcBorders>
              <w:top w:val="single" w:sz="4" w:space="0" w:color="auto"/>
              <w:left w:val="single" w:sz="4" w:space="0" w:color="auto"/>
              <w:bottom w:val="single" w:sz="4" w:space="0" w:color="auto"/>
              <w:right w:val="single" w:sz="4" w:space="0" w:color="auto"/>
            </w:tcBorders>
            <w:shd w:val="clear" w:color="auto" w:fill="auto"/>
          </w:tcPr>
          <w:p w14:paraId="66E4062D" w14:textId="77777777" w:rsidR="006E3FEB" w:rsidRPr="00E30DEC" w:rsidRDefault="006E3FEB" w:rsidP="00E72AD3">
            <w:pPr>
              <w:pStyle w:val="TableText"/>
              <w:snapToGrid w:val="0"/>
              <w:rPr>
                <w:szCs w:val="17"/>
                <w:lang w:eastAsia="it-IT"/>
              </w:rPr>
            </w:pPr>
          </w:p>
        </w:tc>
        <w:tc>
          <w:tcPr>
            <w:tcW w:w="1205" w:type="dxa"/>
            <w:tcBorders>
              <w:top w:val="single" w:sz="4" w:space="0" w:color="auto"/>
              <w:left w:val="single" w:sz="4" w:space="0" w:color="auto"/>
              <w:bottom w:val="single" w:sz="4" w:space="0" w:color="auto"/>
              <w:right w:val="single" w:sz="4" w:space="0" w:color="auto"/>
            </w:tcBorders>
            <w:shd w:val="clear" w:color="auto" w:fill="auto"/>
          </w:tcPr>
          <w:p w14:paraId="54CDDEFD" w14:textId="77777777" w:rsidR="006E3FEB" w:rsidRPr="00E30DEC" w:rsidRDefault="006E3FEB" w:rsidP="00E72AD3">
            <w:pPr>
              <w:pStyle w:val="TableText"/>
              <w:snapToGrid w:val="0"/>
              <w:rPr>
                <w:szCs w:val="17"/>
                <w:lang w:eastAsia="it-IT"/>
              </w:rPr>
            </w:pPr>
          </w:p>
        </w:tc>
      </w:tr>
      <w:tr w:rsidR="006E3FEB" w:rsidRPr="00E30DEC" w14:paraId="7FB6D60E" w14:textId="77777777" w:rsidTr="00E72AD3">
        <w:trPr>
          <w:cantSplit/>
          <w:trHeight w:val="270"/>
        </w:trPr>
        <w:tc>
          <w:tcPr>
            <w:tcW w:w="567" w:type="dxa"/>
            <w:tcBorders>
              <w:top w:val="single" w:sz="4" w:space="0" w:color="auto"/>
              <w:left w:val="nil"/>
              <w:bottom w:val="single" w:sz="4" w:space="0" w:color="auto"/>
              <w:right w:val="single" w:sz="4" w:space="0" w:color="auto"/>
            </w:tcBorders>
            <w:shd w:val="clear" w:color="auto" w:fill="auto"/>
          </w:tcPr>
          <w:p w14:paraId="3991825F" w14:textId="40BE7ECE" w:rsidR="006E3FEB" w:rsidRPr="00E30DEC" w:rsidRDefault="006E3FEB" w:rsidP="00E72AD3">
            <w:pPr>
              <w:pStyle w:val="TableText"/>
              <w:snapToGrid w:val="0"/>
              <w:spacing w:line="288" w:lineRule="auto"/>
              <w:rPr>
                <w:szCs w:val="17"/>
                <w:lang w:eastAsia="en-GB"/>
              </w:rPr>
            </w:pPr>
            <w:r>
              <w:rPr>
                <w:szCs w:val="17"/>
                <w:lang w:eastAsia="en-GB"/>
              </w:rPr>
              <w:t>12</w:t>
            </w:r>
          </w:p>
        </w:tc>
        <w:tc>
          <w:tcPr>
            <w:tcW w:w="6237" w:type="dxa"/>
            <w:tcBorders>
              <w:top w:val="single" w:sz="4" w:space="0" w:color="auto"/>
              <w:left w:val="single" w:sz="4" w:space="0" w:color="auto"/>
              <w:bottom w:val="single" w:sz="4" w:space="0" w:color="auto"/>
              <w:right w:val="single" w:sz="4" w:space="0" w:color="auto"/>
            </w:tcBorders>
            <w:shd w:val="clear" w:color="auto" w:fill="auto"/>
          </w:tcPr>
          <w:p w14:paraId="1E434DA8" w14:textId="1118942C" w:rsidR="006E3FEB" w:rsidRPr="00E30DEC" w:rsidRDefault="006E3FEB" w:rsidP="00E72AD3">
            <w:pPr>
              <w:pStyle w:val="TableText"/>
              <w:snapToGrid w:val="0"/>
              <w:ind w:left="57" w:rightChars="71" w:right="142"/>
              <w:rPr>
                <w:szCs w:val="17"/>
                <w:lang w:eastAsia="it-IT"/>
              </w:rPr>
            </w:pPr>
            <w:r w:rsidRPr="00E30DEC">
              <w:rPr>
                <w:szCs w:val="17"/>
                <w:lang w:eastAsia="it-IT"/>
              </w:rPr>
              <w:t xml:space="preserve">Less: </w:t>
            </w:r>
            <w:r>
              <w:rPr>
                <w:szCs w:val="17"/>
                <w:lang w:eastAsia="it-IT"/>
              </w:rPr>
              <w:t>Permitted reductions in</w:t>
            </w:r>
            <w:r w:rsidRPr="00E30DEC">
              <w:rPr>
                <w:szCs w:val="17"/>
                <w:lang w:eastAsia="it-IT"/>
              </w:rPr>
              <w:t xml:space="preserve"> effective notional </w:t>
            </w:r>
            <w:r>
              <w:rPr>
                <w:szCs w:val="17"/>
                <w:lang w:eastAsia="it-IT"/>
              </w:rPr>
              <w:t>amount</w:t>
            </w:r>
            <w:r w:rsidRPr="00E30DEC">
              <w:rPr>
                <w:szCs w:val="17"/>
                <w:lang w:eastAsia="it-IT"/>
              </w:rPr>
              <w:t xml:space="preserve"> and </w:t>
            </w:r>
            <w:r>
              <w:rPr>
                <w:szCs w:val="17"/>
                <w:lang w:eastAsia="it-IT"/>
              </w:rPr>
              <w:t xml:space="preserve">permitted deductions from </w:t>
            </w:r>
            <w:r w:rsidRPr="00E30DEC">
              <w:rPr>
                <w:szCs w:val="17"/>
                <w:lang w:eastAsia="it-IT"/>
              </w:rPr>
              <w:t xml:space="preserve">add-on </w:t>
            </w:r>
            <w:r>
              <w:rPr>
                <w:szCs w:val="17"/>
                <w:lang w:eastAsia="it-IT"/>
              </w:rPr>
              <w:t>amounts for PFE of</w:t>
            </w:r>
            <w:r w:rsidRPr="00E30DEC">
              <w:rPr>
                <w:szCs w:val="17"/>
                <w:lang w:eastAsia="it-IT"/>
              </w:rPr>
              <w:t xml:space="preserve"> written </w:t>
            </w:r>
            <w:r>
              <w:rPr>
                <w:szCs w:val="17"/>
                <w:lang w:eastAsia="it-IT"/>
              </w:rPr>
              <w:t>credit-related derivative</w:t>
            </w:r>
            <w:r w:rsidRPr="00E30DEC">
              <w:rPr>
                <w:szCs w:val="17"/>
                <w:lang w:eastAsia="it-IT"/>
              </w:rPr>
              <w:t xml:space="preserve"> contracts</w:t>
            </w:r>
          </w:p>
        </w:tc>
        <w:tc>
          <w:tcPr>
            <w:tcW w:w="1205" w:type="dxa"/>
            <w:tcBorders>
              <w:top w:val="single" w:sz="4" w:space="0" w:color="auto"/>
              <w:left w:val="single" w:sz="4" w:space="0" w:color="auto"/>
              <w:bottom w:val="single" w:sz="4" w:space="0" w:color="auto"/>
              <w:right w:val="single" w:sz="4" w:space="0" w:color="auto"/>
            </w:tcBorders>
            <w:shd w:val="clear" w:color="auto" w:fill="auto"/>
          </w:tcPr>
          <w:p w14:paraId="1706E307" w14:textId="77777777" w:rsidR="006E3FEB" w:rsidRPr="00E30DEC" w:rsidRDefault="006E3FEB" w:rsidP="00E72AD3">
            <w:pPr>
              <w:pStyle w:val="TableText"/>
              <w:snapToGrid w:val="0"/>
              <w:rPr>
                <w:szCs w:val="17"/>
                <w:lang w:eastAsia="it-IT"/>
              </w:rPr>
            </w:pPr>
          </w:p>
        </w:tc>
        <w:tc>
          <w:tcPr>
            <w:tcW w:w="1205" w:type="dxa"/>
            <w:tcBorders>
              <w:top w:val="single" w:sz="4" w:space="0" w:color="auto"/>
              <w:left w:val="single" w:sz="4" w:space="0" w:color="auto"/>
              <w:bottom w:val="single" w:sz="4" w:space="0" w:color="auto"/>
              <w:right w:val="single" w:sz="4" w:space="0" w:color="auto"/>
            </w:tcBorders>
            <w:shd w:val="clear" w:color="auto" w:fill="auto"/>
          </w:tcPr>
          <w:p w14:paraId="7E403178" w14:textId="77777777" w:rsidR="006E3FEB" w:rsidRPr="00E30DEC" w:rsidRDefault="006E3FEB" w:rsidP="00E72AD3">
            <w:pPr>
              <w:pStyle w:val="TableText"/>
              <w:snapToGrid w:val="0"/>
              <w:rPr>
                <w:szCs w:val="17"/>
                <w:lang w:eastAsia="it-IT"/>
              </w:rPr>
            </w:pPr>
          </w:p>
        </w:tc>
      </w:tr>
      <w:tr w:rsidR="006E3FEB" w:rsidRPr="00E30DEC" w14:paraId="2DB23C95" w14:textId="77777777" w:rsidTr="00E72AD3">
        <w:trPr>
          <w:cantSplit/>
          <w:trHeight w:val="270"/>
        </w:trPr>
        <w:tc>
          <w:tcPr>
            <w:tcW w:w="567" w:type="dxa"/>
            <w:tcBorders>
              <w:top w:val="single" w:sz="4" w:space="0" w:color="auto"/>
              <w:left w:val="nil"/>
              <w:bottom w:val="single" w:sz="4" w:space="0" w:color="auto"/>
              <w:right w:val="single" w:sz="4" w:space="0" w:color="auto"/>
            </w:tcBorders>
            <w:shd w:val="clear" w:color="auto" w:fill="auto"/>
          </w:tcPr>
          <w:p w14:paraId="243ED4E4" w14:textId="76F91CDF" w:rsidR="006E3FEB" w:rsidRPr="00E30DEC" w:rsidRDefault="006E3FEB" w:rsidP="00E72AD3">
            <w:pPr>
              <w:pStyle w:val="TableText"/>
              <w:snapToGrid w:val="0"/>
              <w:spacing w:line="288" w:lineRule="auto"/>
              <w:rPr>
                <w:szCs w:val="17"/>
                <w:lang w:eastAsia="en-GB"/>
              </w:rPr>
            </w:pPr>
            <w:r>
              <w:rPr>
                <w:szCs w:val="17"/>
                <w:lang w:eastAsia="en-GB"/>
              </w:rPr>
              <w:t>13</w:t>
            </w:r>
          </w:p>
        </w:tc>
        <w:tc>
          <w:tcPr>
            <w:tcW w:w="6237" w:type="dxa"/>
            <w:tcBorders>
              <w:top w:val="single" w:sz="4" w:space="0" w:color="auto"/>
              <w:left w:val="single" w:sz="4" w:space="0" w:color="auto"/>
              <w:bottom w:val="single" w:sz="4" w:space="0" w:color="auto"/>
              <w:right w:val="single" w:sz="4" w:space="0" w:color="auto"/>
            </w:tcBorders>
            <w:shd w:val="clear" w:color="auto" w:fill="F2F2F2"/>
          </w:tcPr>
          <w:p w14:paraId="197A07C5" w14:textId="77777777" w:rsidR="006E3FEB" w:rsidRPr="00E30DEC" w:rsidRDefault="006E3FEB" w:rsidP="00E72AD3">
            <w:pPr>
              <w:pStyle w:val="TableText"/>
              <w:snapToGrid w:val="0"/>
              <w:ind w:left="57" w:rightChars="71" w:right="142"/>
              <w:rPr>
                <w:b/>
                <w:szCs w:val="17"/>
                <w:lang w:eastAsia="it-IT"/>
              </w:rPr>
            </w:pPr>
            <w:r w:rsidRPr="00E30DEC">
              <w:rPr>
                <w:b/>
                <w:szCs w:val="17"/>
                <w:lang w:eastAsia="it-IT"/>
              </w:rPr>
              <w:t>Total exposures arising from derivative contracts</w:t>
            </w:r>
            <w:r>
              <w:rPr>
                <w:b/>
                <w:szCs w:val="17"/>
                <w:lang w:eastAsia="it-IT"/>
              </w:rPr>
              <w:t xml:space="preserve"> (sum of rows 8 to 12)</w:t>
            </w:r>
          </w:p>
        </w:tc>
        <w:tc>
          <w:tcPr>
            <w:tcW w:w="1205" w:type="dxa"/>
            <w:tcBorders>
              <w:top w:val="single" w:sz="4" w:space="0" w:color="auto"/>
              <w:left w:val="single" w:sz="4" w:space="0" w:color="auto"/>
              <w:bottom w:val="single" w:sz="4" w:space="0" w:color="auto"/>
              <w:right w:val="single" w:sz="4" w:space="0" w:color="auto"/>
            </w:tcBorders>
            <w:shd w:val="clear" w:color="auto" w:fill="F2F2F2"/>
          </w:tcPr>
          <w:p w14:paraId="7988DB57" w14:textId="77777777" w:rsidR="006E3FEB" w:rsidRPr="00E30DEC" w:rsidRDefault="006E3FEB" w:rsidP="00E72AD3">
            <w:pPr>
              <w:pStyle w:val="TableText"/>
              <w:snapToGrid w:val="0"/>
              <w:rPr>
                <w:szCs w:val="17"/>
                <w:lang w:eastAsia="it-IT"/>
              </w:rPr>
            </w:pPr>
          </w:p>
        </w:tc>
        <w:tc>
          <w:tcPr>
            <w:tcW w:w="1205" w:type="dxa"/>
            <w:tcBorders>
              <w:top w:val="single" w:sz="4" w:space="0" w:color="auto"/>
              <w:left w:val="single" w:sz="4" w:space="0" w:color="auto"/>
              <w:bottom w:val="single" w:sz="4" w:space="0" w:color="auto"/>
              <w:right w:val="single" w:sz="4" w:space="0" w:color="auto"/>
            </w:tcBorders>
            <w:shd w:val="clear" w:color="auto" w:fill="F2F2F2"/>
          </w:tcPr>
          <w:p w14:paraId="1253A373" w14:textId="77777777" w:rsidR="006E3FEB" w:rsidRPr="00E30DEC" w:rsidRDefault="006E3FEB" w:rsidP="00E72AD3">
            <w:pPr>
              <w:pStyle w:val="TableText"/>
              <w:snapToGrid w:val="0"/>
              <w:rPr>
                <w:szCs w:val="17"/>
                <w:lang w:eastAsia="it-IT"/>
              </w:rPr>
            </w:pPr>
          </w:p>
        </w:tc>
      </w:tr>
      <w:tr w:rsidR="006E3FEB" w:rsidRPr="00E30DEC" w14:paraId="540464B9" w14:textId="77777777" w:rsidTr="00E72AD3">
        <w:trPr>
          <w:cantSplit/>
          <w:trHeight w:val="270"/>
        </w:trPr>
        <w:tc>
          <w:tcPr>
            <w:tcW w:w="6804" w:type="dxa"/>
            <w:gridSpan w:val="2"/>
            <w:tcBorders>
              <w:top w:val="single" w:sz="6" w:space="0" w:color="auto"/>
              <w:left w:val="nil"/>
              <w:bottom w:val="single" w:sz="6" w:space="0" w:color="auto"/>
              <w:right w:val="nil"/>
            </w:tcBorders>
            <w:shd w:val="clear" w:color="auto" w:fill="D9D9D9"/>
          </w:tcPr>
          <w:p w14:paraId="29CAF6BF" w14:textId="77777777" w:rsidR="006E3FEB" w:rsidRPr="00E30DEC" w:rsidRDefault="006E3FEB" w:rsidP="00E72AD3">
            <w:pPr>
              <w:pStyle w:val="Default"/>
              <w:ind w:firstLineChars="50" w:firstLine="85"/>
              <w:rPr>
                <w:b/>
                <w:bCs/>
                <w:sz w:val="17"/>
                <w:szCs w:val="17"/>
              </w:rPr>
            </w:pPr>
            <w:r w:rsidRPr="00E30DEC">
              <w:rPr>
                <w:b/>
                <w:sz w:val="17"/>
                <w:szCs w:val="17"/>
                <w:lang w:eastAsia="it-IT"/>
              </w:rPr>
              <w:t>Exposures arising from SFTs</w:t>
            </w:r>
          </w:p>
        </w:tc>
        <w:tc>
          <w:tcPr>
            <w:tcW w:w="1205" w:type="dxa"/>
            <w:tcBorders>
              <w:top w:val="single" w:sz="6" w:space="0" w:color="auto"/>
              <w:left w:val="nil"/>
              <w:bottom w:val="single" w:sz="6" w:space="0" w:color="auto"/>
              <w:right w:val="nil"/>
            </w:tcBorders>
            <w:shd w:val="clear" w:color="auto" w:fill="D9D9D9"/>
          </w:tcPr>
          <w:p w14:paraId="6A68D653" w14:textId="77777777" w:rsidR="006E3FEB" w:rsidRPr="00E30DEC" w:rsidRDefault="006E3FEB" w:rsidP="00E72AD3">
            <w:pPr>
              <w:pStyle w:val="TableText"/>
              <w:snapToGrid w:val="0"/>
              <w:rPr>
                <w:lang w:eastAsia="it-IT"/>
              </w:rPr>
            </w:pPr>
          </w:p>
        </w:tc>
        <w:tc>
          <w:tcPr>
            <w:tcW w:w="1205" w:type="dxa"/>
            <w:tcBorders>
              <w:top w:val="single" w:sz="6" w:space="0" w:color="auto"/>
              <w:left w:val="nil"/>
              <w:bottom w:val="single" w:sz="6" w:space="0" w:color="auto"/>
              <w:right w:val="single" w:sz="4" w:space="0" w:color="auto"/>
            </w:tcBorders>
            <w:shd w:val="clear" w:color="auto" w:fill="D9D9D9"/>
          </w:tcPr>
          <w:p w14:paraId="52F31F4B" w14:textId="77777777" w:rsidR="006E3FEB" w:rsidRPr="00E30DEC" w:rsidRDefault="006E3FEB" w:rsidP="00E72AD3">
            <w:pPr>
              <w:pStyle w:val="TableText"/>
              <w:snapToGrid w:val="0"/>
              <w:rPr>
                <w:lang w:eastAsia="it-IT"/>
              </w:rPr>
            </w:pPr>
          </w:p>
        </w:tc>
      </w:tr>
      <w:tr w:rsidR="006E3FEB" w:rsidRPr="00E30DEC" w14:paraId="5138A029" w14:textId="77777777" w:rsidTr="00E72AD3">
        <w:trPr>
          <w:cantSplit/>
          <w:trHeight w:val="270"/>
        </w:trPr>
        <w:tc>
          <w:tcPr>
            <w:tcW w:w="567" w:type="dxa"/>
            <w:tcBorders>
              <w:top w:val="single" w:sz="6" w:space="0" w:color="auto"/>
              <w:left w:val="nil"/>
              <w:bottom w:val="single" w:sz="4" w:space="0" w:color="auto"/>
              <w:right w:val="single" w:sz="6" w:space="0" w:color="auto"/>
            </w:tcBorders>
            <w:shd w:val="clear" w:color="auto" w:fill="auto"/>
          </w:tcPr>
          <w:p w14:paraId="4798FD4D" w14:textId="4DD57C64" w:rsidR="006E3FEB" w:rsidRPr="00E30DEC" w:rsidRDefault="006E3FEB" w:rsidP="00E72AD3">
            <w:pPr>
              <w:pStyle w:val="TableText"/>
              <w:snapToGrid w:val="0"/>
              <w:spacing w:line="288" w:lineRule="auto"/>
              <w:rPr>
                <w:szCs w:val="17"/>
                <w:lang w:eastAsia="en-GB"/>
              </w:rPr>
            </w:pPr>
            <w:r>
              <w:rPr>
                <w:szCs w:val="17"/>
                <w:lang w:eastAsia="en-GB"/>
              </w:rPr>
              <w:t>14</w:t>
            </w:r>
          </w:p>
        </w:tc>
        <w:tc>
          <w:tcPr>
            <w:tcW w:w="6237" w:type="dxa"/>
            <w:tcBorders>
              <w:top w:val="single" w:sz="6" w:space="0" w:color="auto"/>
              <w:left w:val="single" w:sz="6" w:space="0" w:color="auto"/>
              <w:bottom w:val="single" w:sz="4" w:space="0" w:color="auto"/>
              <w:right w:val="single" w:sz="6" w:space="0" w:color="auto"/>
            </w:tcBorders>
            <w:shd w:val="clear" w:color="auto" w:fill="auto"/>
          </w:tcPr>
          <w:p w14:paraId="533A429F" w14:textId="77777777" w:rsidR="006E3FEB" w:rsidRPr="00E30DEC" w:rsidRDefault="006E3FEB" w:rsidP="00E72AD3">
            <w:pPr>
              <w:pStyle w:val="TableText"/>
              <w:snapToGrid w:val="0"/>
              <w:ind w:left="57" w:rightChars="71" w:right="142"/>
              <w:rPr>
                <w:szCs w:val="17"/>
                <w:lang w:eastAsia="it-IT"/>
              </w:rPr>
            </w:pPr>
            <w:r w:rsidRPr="00E30DEC">
              <w:rPr>
                <w:szCs w:val="17"/>
                <w:lang w:eastAsia="it-IT"/>
              </w:rPr>
              <w:t xml:space="preserve">Gross </w:t>
            </w:r>
            <w:r>
              <w:rPr>
                <w:szCs w:val="17"/>
                <w:lang w:eastAsia="it-IT"/>
              </w:rPr>
              <w:t xml:space="preserve">amount of </w:t>
            </w:r>
            <w:r w:rsidRPr="00E30DEC">
              <w:rPr>
                <w:szCs w:val="17"/>
                <w:lang w:eastAsia="it-IT"/>
              </w:rPr>
              <w:t>SFT assets (with no recognition of netting), after adjusting for sale accounting transactions</w:t>
            </w:r>
          </w:p>
        </w:tc>
        <w:tc>
          <w:tcPr>
            <w:tcW w:w="1205" w:type="dxa"/>
            <w:tcBorders>
              <w:top w:val="single" w:sz="6" w:space="0" w:color="auto"/>
              <w:left w:val="single" w:sz="6" w:space="0" w:color="auto"/>
              <w:bottom w:val="single" w:sz="4" w:space="0" w:color="auto"/>
              <w:right w:val="single" w:sz="6" w:space="0" w:color="auto"/>
            </w:tcBorders>
            <w:shd w:val="clear" w:color="auto" w:fill="auto"/>
          </w:tcPr>
          <w:p w14:paraId="7D1AAAD2" w14:textId="77777777" w:rsidR="006E3FEB" w:rsidRPr="00E30DEC" w:rsidRDefault="006E3FEB" w:rsidP="00E72AD3">
            <w:pPr>
              <w:pStyle w:val="TableText"/>
              <w:snapToGrid w:val="0"/>
              <w:rPr>
                <w:lang w:eastAsia="it-IT"/>
              </w:rPr>
            </w:pPr>
          </w:p>
        </w:tc>
        <w:tc>
          <w:tcPr>
            <w:tcW w:w="1205" w:type="dxa"/>
            <w:tcBorders>
              <w:top w:val="single" w:sz="6" w:space="0" w:color="auto"/>
              <w:left w:val="single" w:sz="6" w:space="0" w:color="auto"/>
              <w:bottom w:val="single" w:sz="4" w:space="0" w:color="auto"/>
              <w:right w:val="single" w:sz="4" w:space="0" w:color="auto"/>
            </w:tcBorders>
            <w:shd w:val="clear" w:color="auto" w:fill="auto"/>
          </w:tcPr>
          <w:p w14:paraId="03182B0F" w14:textId="77777777" w:rsidR="006E3FEB" w:rsidRPr="00E30DEC" w:rsidRDefault="006E3FEB" w:rsidP="00E72AD3">
            <w:pPr>
              <w:pStyle w:val="TableText"/>
              <w:snapToGrid w:val="0"/>
              <w:rPr>
                <w:lang w:eastAsia="it-IT"/>
              </w:rPr>
            </w:pPr>
          </w:p>
        </w:tc>
      </w:tr>
      <w:tr w:rsidR="006E3FEB" w:rsidRPr="00E30DEC" w14:paraId="2664EFE4" w14:textId="77777777" w:rsidTr="00E72AD3">
        <w:trPr>
          <w:cantSplit/>
          <w:trHeight w:val="354"/>
        </w:trPr>
        <w:tc>
          <w:tcPr>
            <w:tcW w:w="567" w:type="dxa"/>
            <w:tcBorders>
              <w:top w:val="single" w:sz="4" w:space="0" w:color="auto"/>
              <w:left w:val="nil"/>
              <w:bottom w:val="single" w:sz="4" w:space="0" w:color="auto"/>
              <w:right w:val="single" w:sz="6" w:space="0" w:color="auto"/>
            </w:tcBorders>
            <w:shd w:val="clear" w:color="auto" w:fill="auto"/>
          </w:tcPr>
          <w:p w14:paraId="04652A34" w14:textId="1211D907" w:rsidR="006E3FEB" w:rsidRPr="00E30DEC" w:rsidRDefault="006E3FEB" w:rsidP="00E72AD3">
            <w:pPr>
              <w:pStyle w:val="TableText"/>
              <w:snapToGrid w:val="0"/>
              <w:spacing w:line="288" w:lineRule="auto"/>
              <w:rPr>
                <w:szCs w:val="17"/>
                <w:lang w:eastAsia="en-GB"/>
              </w:rPr>
            </w:pPr>
            <w:r>
              <w:rPr>
                <w:szCs w:val="17"/>
                <w:lang w:eastAsia="en-GB"/>
              </w:rPr>
              <w:t>15</w:t>
            </w:r>
          </w:p>
        </w:tc>
        <w:tc>
          <w:tcPr>
            <w:tcW w:w="6237" w:type="dxa"/>
            <w:tcBorders>
              <w:top w:val="single" w:sz="4" w:space="0" w:color="auto"/>
              <w:left w:val="single" w:sz="6" w:space="0" w:color="auto"/>
              <w:bottom w:val="single" w:sz="4" w:space="0" w:color="auto"/>
              <w:right w:val="single" w:sz="6" w:space="0" w:color="auto"/>
            </w:tcBorders>
            <w:shd w:val="clear" w:color="auto" w:fill="auto"/>
          </w:tcPr>
          <w:p w14:paraId="3810C730" w14:textId="77777777" w:rsidR="006E3FEB" w:rsidRPr="00E30DEC" w:rsidRDefault="006E3FEB" w:rsidP="00E72AD3">
            <w:pPr>
              <w:pStyle w:val="TableText"/>
              <w:snapToGrid w:val="0"/>
              <w:ind w:left="57" w:rightChars="71" w:right="142"/>
              <w:rPr>
                <w:szCs w:val="17"/>
                <w:lang w:eastAsia="it-IT"/>
              </w:rPr>
            </w:pPr>
            <w:r w:rsidRPr="00E30DEC">
              <w:rPr>
                <w:szCs w:val="17"/>
                <w:lang w:eastAsia="it-IT"/>
              </w:rPr>
              <w:t>Less: Netted amounts of cash payables and cash receivables of gross SFT assets</w:t>
            </w:r>
          </w:p>
        </w:tc>
        <w:tc>
          <w:tcPr>
            <w:tcW w:w="1205" w:type="dxa"/>
            <w:tcBorders>
              <w:top w:val="single" w:sz="4" w:space="0" w:color="auto"/>
              <w:left w:val="single" w:sz="6" w:space="0" w:color="auto"/>
              <w:bottom w:val="single" w:sz="4" w:space="0" w:color="auto"/>
              <w:right w:val="single" w:sz="6" w:space="0" w:color="auto"/>
            </w:tcBorders>
            <w:shd w:val="clear" w:color="auto" w:fill="auto"/>
          </w:tcPr>
          <w:p w14:paraId="76B63C0C" w14:textId="77777777" w:rsidR="006E3FEB" w:rsidRPr="00E30DEC" w:rsidRDefault="006E3FEB" w:rsidP="00E72AD3">
            <w:pPr>
              <w:pStyle w:val="TableText"/>
              <w:snapToGrid w:val="0"/>
              <w:rPr>
                <w:lang w:eastAsia="it-IT"/>
              </w:rPr>
            </w:pPr>
          </w:p>
        </w:tc>
        <w:tc>
          <w:tcPr>
            <w:tcW w:w="1205" w:type="dxa"/>
            <w:tcBorders>
              <w:top w:val="single" w:sz="4" w:space="0" w:color="auto"/>
              <w:left w:val="single" w:sz="6" w:space="0" w:color="auto"/>
              <w:bottom w:val="single" w:sz="4" w:space="0" w:color="auto"/>
              <w:right w:val="single" w:sz="4" w:space="0" w:color="auto"/>
            </w:tcBorders>
            <w:shd w:val="clear" w:color="auto" w:fill="auto"/>
          </w:tcPr>
          <w:p w14:paraId="482AA0BB" w14:textId="77777777" w:rsidR="006E3FEB" w:rsidRPr="00E30DEC" w:rsidRDefault="006E3FEB" w:rsidP="00E72AD3">
            <w:pPr>
              <w:pStyle w:val="TableText"/>
              <w:snapToGrid w:val="0"/>
              <w:rPr>
                <w:lang w:eastAsia="it-IT"/>
              </w:rPr>
            </w:pPr>
          </w:p>
        </w:tc>
      </w:tr>
      <w:tr w:rsidR="006E3FEB" w:rsidRPr="00E30DEC" w14:paraId="3E96BF25" w14:textId="77777777" w:rsidTr="00E72AD3">
        <w:trPr>
          <w:cantSplit/>
        </w:trPr>
        <w:tc>
          <w:tcPr>
            <w:tcW w:w="567" w:type="dxa"/>
            <w:tcBorders>
              <w:top w:val="single" w:sz="4" w:space="0" w:color="auto"/>
              <w:left w:val="nil"/>
              <w:bottom w:val="single" w:sz="6" w:space="0" w:color="BCBDBC"/>
              <w:right w:val="single" w:sz="6" w:space="0" w:color="auto"/>
            </w:tcBorders>
            <w:shd w:val="clear" w:color="auto" w:fill="auto"/>
          </w:tcPr>
          <w:p w14:paraId="0953BC06" w14:textId="51BFAD12" w:rsidR="006E3FEB" w:rsidRPr="00E30DEC" w:rsidRDefault="006E3FEB" w:rsidP="00E72AD3">
            <w:pPr>
              <w:pStyle w:val="TableText"/>
              <w:snapToGrid w:val="0"/>
              <w:spacing w:line="288" w:lineRule="auto"/>
              <w:rPr>
                <w:szCs w:val="17"/>
                <w:lang w:eastAsia="en-GB"/>
              </w:rPr>
            </w:pPr>
            <w:r>
              <w:rPr>
                <w:szCs w:val="17"/>
                <w:lang w:eastAsia="en-GB"/>
              </w:rPr>
              <w:t>16</w:t>
            </w:r>
          </w:p>
        </w:tc>
        <w:tc>
          <w:tcPr>
            <w:tcW w:w="6237" w:type="dxa"/>
            <w:tcBorders>
              <w:top w:val="single" w:sz="4" w:space="0" w:color="auto"/>
              <w:left w:val="single" w:sz="6" w:space="0" w:color="auto"/>
              <w:bottom w:val="single" w:sz="6" w:space="0" w:color="auto"/>
              <w:right w:val="single" w:sz="6" w:space="0" w:color="auto"/>
            </w:tcBorders>
            <w:shd w:val="clear" w:color="auto" w:fill="auto"/>
          </w:tcPr>
          <w:p w14:paraId="6C60DC83" w14:textId="77777777" w:rsidR="006E3FEB" w:rsidRPr="00E30DEC" w:rsidRDefault="006E3FEB" w:rsidP="00E72AD3">
            <w:pPr>
              <w:pStyle w:val="TableText"/>
              <w:snapToGrid w:val="0"/>
              <w:ind w:left="57" w:rightChars="71" w:right="142"/>
              <w:rPr>
                <w:szCs w:val="17"/>
                <w:lang w:eastAsia="it-IT"/>
              </w:rPr>
            </w:pPr>
            <w:r w:rsidRPr="00E30DEC">
              <w:rPr>
                <w:szCs w:val="17"/>
                <w:lang w:eastAsia="it-IT"/>
              </w:rPr>
              <w:t>CCR exposure for SFT assets</w:t>
            </w:r>
          </w:p>
        </w:tc>
        <w:tc>
          <w:tcPr>
            <w:tcW w:w="1205" w:type="dxa"/>
            <w:tcBorders>
              <w:top w:val="single" w:sz="4" w:space="0" w:color="auto"/>
              <w:left w:val="single" w:sz="6" w:space="0" w:color="auto"/>
              <w:bottom w:val="single" w:sz="6" w:space="0" w:color="auto"/>
              <w:right w:val="single" w:sz="6" w:space="0" w:color="auto"/>
            </w:tcBorders>
            <w:shd w:val="clear" w:color="auto" w:fill="auto"/>
          </w:tcPr>
          <w:p w14:paraId="5AF87F7B" w14:textId="77777777" w:rsidR="006E3FEB" w:rsidRPr="00E30DEC" w:rsidRDefault="006E3FEB" w:rsidP="00E72AD3">
            <w:pPr>
              <w:pStyle w:val="TableText"/>
              <w:snapToGrid w:val="0"/>
              <w:rPr>
                <w:lang w:eastAsia="it-IT"/>
              </w:rPr>
            </w:pPr>
          </w:p>
        </w:tc>
        <w:tc>
          <w:tcPr>
            <w:tcW w:w="1205" w:type="dxa"/>
            <w:tcBorders>
              <w:top w:val="single" w:sz="4" w:space="0" w:color="auto"/>
              <w:left w:val="single" w:sz="6" w:space="0" w:color="auto"/>
              <w:bottom w:val="single" w:sz="6" w:space="0" w:color="auto"/>
              <w:right w:val="single" w:sz="4" w:space="0" w:color="auto"/>
            </w:tcBorders>
            <w:shd w:val="clear" w:color="auto" w:fill="auto"/>
          </w:tcPr>
          <w:p w14:paraId="0A3F6F1F" w14:textId="77777777" w:rsidR="006E3FEB" w:rsidRPr="00E30DEC" w:rsidRDefault="006E3FEB" w:rsidP="00E72AD3">
            <w:pPr>
              <w:pStyle w:val="TableText"/>
              <w:snapToGrid w:val="0"/>
              <w:rPr>
                <w:lang w:eastAsia="it-IT"/>
              </w:rPr>
            </w:pPr>
          </w:p>
        </w:tc>
      </w:tr>
      <w:tr w:rsidR="006E3FEB" w:rsidRPr="00E30DEC" w14:paraId="6BE36FBE" w14:textId="77777777" w:rsidTr="00E72AD3">
        <w:trPr>
          <w:cantSplit/>
          <w:trHeight w:val="270"/>
        </w:trPr>
        <w:tc>
          <w:tcPr>
            <w:tcW w:w="567" w:type="dxa"/>
            <w:tcBorders>
              <w:top w:val="single" w:sz="6" w:space="0" w:color="auto"/>
              <w:left w:val="nil"/>
              <w:bottom w:val="single" w:sz="4" w:space="0" w:color="auto"/>
              <w:right w:val="single" w:sz="6" w:space="0" w:color="auto"/>
            </w:tcBorders>
            <w:shd w:val="clear" w:color="auto" w:fill="auto"/>
          </w:tcPr>
          <w:p w14:paraId="382FC1D6" w14:textId="415F68FA" w:rsidR="006E3FEB" w:rsidRPr="00E30DEC" w:rsidRDefault="006E3FEB" w:rsidP="00E72AD3">
            <w:pPr>
              <w:pStyle w:val="TableText"/>
              <w:snapToGrid w:val="0"/>
              <w:spacing w:line="288" w:lineRule="auto"/>
              <w:rPr>
                <w:szCs w:val="17"/>
                <w:lang w:eastAsia="en-GB"/>
              </w:rPr>
            </w:pPr>
            <w:r>
              <w:rPr>
                <w:szCs w:val="17"/>
                <w:lang w:eastAsia="en-GB"/>
              </w:rPr>
              <w:t>17</w:t>
            </w:r>
          </w:p>
        </w:tc>
        <w:tc>
          <w:tcPr>
            <w:tcW w:w="6237" w:type="dxa"/>
            <w:tcBorders>
              <w:top w:val="single" w:sz="6" w:space="0" w:color="auto"/>
              <w:left w:val="single" w:sz="6" w:space="0" w:color="auto"/>
              <w:bottom w:val="single" w:sz="6" w:space="0" w:color="auto"/>
              <w:right w:val="single" w:sz="6" w:space="0" w:color="auto"/>
            </w:tcBorders>
            <w:shd w:val="clear" w:color="auto" w:fill="auto"/>
          </w:tcPr>
          <w:p w14:paraId="1B2C0EF4" w14:textId="77777777" w:rsidR="006E3FEB" w:rsidRPr="00E30DEC" w:rsidRDefault="006E3FEB" w:rsidP="00E72AD3">
            <w:pPr>
              <w:pStyle w:val="TableText"/>
              <w:snapToGrid w:val="0"/>
              <w:ind w:left="57" w:rightChars="71" w:right="142"/>
              <w:rPr>
                <w:szCs w:val="17"/>
                <w:lang w:eastAsia="it-IT"/>
              </w:rPr>
            </w:pPr>
            <w:r w:rsidRPr="00E30DEC">
              <w:rPr>
                <w:szCs w:val="17"/>
                <w:lang w:eastAsia="it-IT"/>
              </w:rPr>
              <w:t>Agent transaction exposures</w:t>
            </w:r>
          </w:p>
        </w:tc>
        <w:tc>
          <w:tcPr>
            <w:tcW w:w="1205" w:type="dxa"/>
            <w:tcBorders>
              <w:top w:val="single" w:sz="6" w:space="0" w:color="auto"/>
              <w:left w:val="single" w:sz="6" w:space="0" w:color="auto"/>
              <w:bottom w:val="single" w:sz="6" w:space="0" w:color="auto"/>
              <w:right w:val="single" w:sz="6" w:space="0" w:color="auto"/>
            </w:tcBorders>
            <w:shd w:val="clear" w:color="auto" w:fill="auto"/>
          </w:tcPr>
          <w:p w14:paraId="044662D0" w14:textId="77777777" w:rsidR="006E3FEB" w:rsidRPr="00E30DEC" w:rsidRDefault="006E3FEB" w:rsidP="00E72AD3">
            <w:pPr>
              <w:pStyle w:val="TableText"/>
              <w:snapToGrid w:val="0"/>
              <w:rPr>
                <w:lang w:eastAsia="it-IT"/>
              </w:rPr>
            </w:pPr>
          </w:p>
        </w:tc>
        <w:tc>
          <w:tcPr>
            <w:tcW w:w="1205" w:type="dxa"/>
            <w:tcBorders>
              <w:top w:val="single" w:sz="6" w:space="0" w:color="auto"/>
              <w:left w:val="single" w:sz="6" w:space="0" w:color="auto"/>
              <w:bottom w:val="single" w:sz="6" w:space="0" w:color="auto"/>
              <w:right w:val="single" w:sz="4" w:space="0" w:color="auto"/>
            </w:tcBorders>
            <w:shd w:val="clear" w:color="auto" w:fill="auto"/>
          </w:tcPr>
          <w:p w14:paraId="1B497392" w14:textId="77777777" w:rsidR="006E3FEB" w:rsidRPr="00E30DEC" w:rsidRDefault="006E3FEB" w:rsidP="00E72AD3">
            <w:pPr>
              <w:pStyle w:val="TableText"/>
              <w:snapToGrid w:val="0"/>
              <w:rPr>
                <w:lang w:eastAsia="it-IT"/>
              </w:rPr>
            </w:pPr>
          </w:p>
        </w:tc>
      </w:tr>
      <w:tr w:rsidR="006E3FEB" w:rsidRPr="00E30DEC" w14:paraId="499F2EF2" w14:textId="77777777" w:rsidTr="00E72AD3">
        <w:trPr>
          <w:cantSplit/>
          <w:trHeight w:val="270"/>
        </w:trPr>
        <w:tc>
          <w:tcPr>
            <w:tcW w:w="567" w:type="dxa"/>
            <w:tcBorders>
              <w:top w:val="single" w:sz="4" w:space="0" w:color="auto"/>
              <w:left w:val="nil"/>
              <w:bottom w:val="single" w:sz="4" w:space="0" w:color="auto"/>
              <w:right w:val="single" w:sz="6" w:space="0" w:color="auto"/>
            </w:tcBorders>
            <w:shd w:val="clear" w:color="auto" w:fill="auto"/>
          </w:tcPr>
          <w:p w14:paraId="0F42C5B6" w14:textId="044B05B5" w:rsidR="006E3FEB" w:rsidRPr="00E30DEC" w:rsidRDefault="006E3FEB" w:rsidP="00E72AD3">
            <w:pPr>
              <w:pStyle w:val="TableText"/>
              <w:snapToGrid w:val="0"/>
              <w:spacing w:line="288" w:lineRule="auto"/>
              <w:rPr>
                <w:szCs w:val="17"/>
                <w:lang w:eastAsia="en-GB"/>
              </w:rPr>
            </w:pPr>
            <w:r>
              <w:rPr>
                <w:szCs w:val="17"/>
                <w:lang w:eastAsia="en-GB"/>
              </w:rPr>
              <w:t>18</w:t>
            </w:r>
          </w:p>
        </w:tc>
        <w:tc>
          <w:tcPr>
            <w:tcW w:w="6237" w:type="dxa"/>
            <w:tcBorders>
              <w:top w:val="single" w:sz="6" w:space="0" w:color="auto"/>
              <w:left w:val="single" w:sz="6" w:space="0" w:color="auto"/>
              <w:bottom w:val="single" w:sz="6" w:space="0" w:color="auto"/>
              <w:right w:val="single" w:sz="6" w:space="0" w:color="auto"/>
            </w:tcBorders>
            <w:shd w:val="clear" w:color="auto" w:fill="F2F2F2"/>
          </w:tcPr>
          <w:p w14:paraId="0FA789FF" w14:textId="77777777" w:rsidR="006E3FEB" w:rsidRPr="00E30DEC" w:rsidRDefault="006E3FEB" w:rsidP="00E72AD3">
            <w:pPr>
              <w:pStyle w:val="TableText"/>
              <w:snapToGrid w:val="0"/>
              <w:ind w:left="57" w:rightChars="71" w:right="142"/>
              <w:rPr>
                <w:b/>
                <w:szCs w:val="17"/>
                <w:lang w:eastAsia="it-IT"/>
              </w:rPr>
            </w:pPr>
            <w:r w:rsidRPr="00E30DEC">
              <w:rPr>
                <w:b/>
                <w:szCs w:val="17"/>
                <w:lang w:eastAsia="it-IT"/>
              </w:rPr>
              <w:t>Total exposures arising from SFTs</w:t>
            </w:r>
            <w:r>
              <w:rPr>
                <w:b/>
                <w:szCs w:val="17"/>
                <w:lang w:eastAsia="it-IT"/>
              </w:rPr>
              <w:t xml:space="preserve"> (sum of rows 14 to 17)</w:t>
            </w:r>
          </w:p>
        </w:tc>
        <w:tc>
          <w:tcPr>
            <w:tcW w:w="1205" w:type="dxa"/>
            <w:tcBorders>
              <w:top w:val="single" w:sz="6" w:space="0" w:color="auto"/>
              <w:left w:val="single" w:sz="6" w:space="0" w:color="auto"/>
              <w:bottom w:val="single" w:sz="6" w:space="0" w:color="auto"/>
              <w:right w:val="single" w:sz="6" w:space="0" w:color="auto"/>
            </w:tcBorders>
            <w:shd w:val="clear" w:color="auto" w:fill="F2F2F2"/>
          </w:tcPr>
          <w:p w14:paraId="2965BBED" w14:textId="77777777" w:rsidR="006E3FEB" w:rsidRPr="00E30DEC" w:rsidRDefault="006E3FEB" w:rsidP="00E72AD3">
            <w:pPr>
              <w:pStyle w:val="TableText"/>
              <w:snapToGrid w:val="0"/>
              <w:ind w:left="57"/>
              <w:rPr>
                <w:lang w:eastAsia="it-IT"/>
              </w:rPr>
            </w:pPr>
          </w:p>
        </w:tc>
        <w:tc>
          <w:tcPr>
            <w:tcW w:w="1205" w:type="dxa"/>
            <w:tcBorders>
              <w:top w:val="single" w:sz="6" w:space="0" w:color="auto"/>
              <w:left w:val="single" w:sz="6" w:space="0" w:color="auto"/>
              <w:bottom w:val="single" w:sz="6" w:space="0" w:color="auto"/>
              <w:right w:val="single" w:sz="4" w:space="0" w:color="auto"/>
            </w:tcBorders>
            <w:shd w:val="clear" w:color="auto" w:fill="F2F2F2"/>
          </w:tcPr>
          <w:p w14:paraId="3EE74718" w14:textId="77777777" w:rsidR="006E3FEB" w:rsidRPr="00E30DEC" w:rsidRDefault="006E3FEB" w:rsidP="00E72AD3">
            <w:pPr>
              <w:pStyle w:val="TableText"/>
              <w:snapToGrid w:val="0"/>
              <w:rPr>
                <w:lang w:eastAsia="it-IT"/>
              </w:rPr>
            </w:pPr>
          </w:p>
        </w:tc>
      </w:tr>
      <w:tr w:rsidR="006E3FEB" w:rsidRPr="00E30DEC" w14:paraId="21FBCC4F" w14:textId="77777777" w:rsidTr="00E72AD3">
        <w:trPr>
          <w:cantSplit/>
          <w:trHeight w:val="270"/>
        </w:trPr>
        <w:tc>
          <w:tcPr>
            <w:tcW w:w="6804" w:type="dxa"/>
            <w:gridSpan w:val="2"/>
            <w:tcBorders>
              <w:top w:val="single" w:sz="4" w:space="0" w:color="auto"/>
              <w:left w:val="nil"/>
              <w:bottom w:val="single" w:sz="4" w:space="0" w:color="auto"/>
              <w:right w:val="nil"/>
            </w:tcBorders>
            <w:shd w:val="clear" w:color="auto" w:fill="D9D9D9"/>
          </w:tcPr>
          <w:p w14:paraId="7AD8E1D6" w14:textId="77777777" w:rsidR="006E3FEB" w:rsidRPr="00E30DEC" w:rsidRDefault="006E3FEB" w:rsidP="00E72AD3">
            <w:pPr>
              <w:pStyle w:val="Default"/>
              <w:ind w:firstLineChars="50" w:firstLine="85"/>
              <w:rPr>
                <w:szCs w:val="17"/>
                <w:lang w:eastAsia="it-IT"/>
              </w:rPr>
            </w:pPr>
            <w:r w:rsidRPr="00E30DEC">
              <w:rPr>
                <w:rFonts w:eastAsia="Times New Roman" w:cs="Times New Roman"/>
                <w:b/>
                <w:color w:val="auto"/>
                <w:sz w:val="17"/>
                <w:szCs w:val="20"/>
                <w:lang w:val="en-GB" w:eastAsia="it-IT"/>
              </w:rPr>
              <w:t>Other off-balance sheet exposures</w:t>
            </w:r>
          </w:p>
        </w:tc>
        <w:tc>
          <w:tcPr>
            <w:tcW w:w="1205" w:type="dxa"/>
            <w:tcBorders>
              <w:top w:val="single" w:sz="6" w:space="0" w:color="auto"/>
              <w:left w:val="nil"/>
              <w:bottom w:val="single" w:sz="6" w:space="0" w:color="auto"/>
              <w:right w:val="nil"/>
            </w:tcBorders>
            <w:shd w:val="clear" w:color="auto" w:fill="D9D9D9"/>
          </w:tcPr>
          <w:p w14:paraId="6D5CCC78" w14:textId="77777777" w:rsidR="006E3FEB" w:rsidRPr="00E30DEC" w:rsidRDefault="006E3FEB" w:rsidP="00E72AD3">
            <w:pPr>
              <w:pStyle w:val="TableText"/>
              <w:snapToGrid w:val="0"/>
              <w:ind w:left="57"/>
              <w:rPr>
                <w:lang w:eastAsia="it-IT"/>
              </w:rPr>
            </w:pPr>
          </w:p>
        </w:tc>
        <w:tc>
          <w:tcPr>
            <w:tcW w:w="1205" w:type="dxa"/>
            <w:tcBorders>
              <w:top w:val="single" w:sz="6" w:space="0" w:color="auto"/>
              <w:left w:val="nil"/>
              <w:bottom w:val="single" w:sz="6" w:space="0" w:color="auto"/>
              <w:right w:val="single" w:sz="4" w:space="0" w:color="auto"/>
            </w:tcBorders>
            <w:shd w:val="clear" w:color="auto" w:fill="D9D9D9"/>
          </w:tcPr>
          <w:p w14:paraId="1C1D1002" w14:textId="77777777" w:rsidR="006E3FEB" w:rsidRPr="00E30DEC" w:rsidRDefault="006E3FEB" w:rsidP="00E72AD3">
            <w:pPr>
              <w:pStyle w:val="TableText"/>
              <w:snapToGrid w:val="0"/>
              <w:rPr>
                <w:lang w:eastAsia="it-IT"/>
              </w:rPr>
            </w:pPr>
          </w:p>
        </w:tc>
      </w:tr>
      <w:tr w:rsidR="006E3FEB" w:rsidRPr="00E30DEC" w14:paraId="42F44E03" w14:textId="77777777" w:rsidTr="00E72AD3">
        <w:trPr>
          <w:cantSplit/>
          <w:trHeight w:val="270"/>
        </w:trPr>
        <w:tc>
          <w:tcPr>
            <w:tcW w:w="567" w:type="dxa"/>
            <w:tcBorders>
              <w:top w:val="single" w:sz="4" w:space="0" w:color="auto"/>
              <w:left w:val="nil"/>
              <w:bottom w:val="single" w:sz="4" w:space="0" w:color="auto"/>
              <w:right w:val="single" w:sz="6" w:space="0" w:color="auto"/>
            </w:tcBorders>
            <w:shd w:val="clear" w:color="auto" w:fill="auto"/>
          </w:tcPr>
          <w:p w14:paraId="53D9B349" w14:textId="4D269DC9" w:rsidR="006E3FEB" w:rsidRPr="00B01815" w:rsidRDefault="006E3FEB" w:rsidP="00E72AD3">
            <w:pPr>
              <w:pStyle w:val="TableText"/>
              <w:snapToGrid w:val="0"/>
              <w:spacing w:line="288" w:lineRule="auto"/>
            </w:pPr>
            <w:r>
              <w:t>19</w:t>
            </w:r>
          </w:p>
        </w:tc>
        <w:tc>
          <w:tcPr>
            <w:tcW w:w="6237" w:type="dxa"/>
            <w:tcBorders>
              <w:top w:val="single" w:sz="6" w:space="0" w:color="auto"/>
              <w:left w:val="single" w:sz="6" w:space="0" w:color="auto"/>
              <w:bottom w:val="single" w:sz="6" w:space="0" w:color="auto"/>
              <w:right w:val="single" w:sz="6" w:space="0" w:color="auto"/>
            </w:tcBorders>
            <w:shd w:val="clear" w:color="auto" w:fill="auto"/>
          </w:tcPr>
          <w:p w14:paraId="61BFE763" w14:textId="77777777" w:rsidR="006E3FEB" w:rsidRPr="00E30DEC" w:rsidRDefault="006E3FEB" w:rsidP="00E72AD3">
            <w:pPr>
              <w:pStyle w:val="TableText"/>
              <w:snapToGrid w:val="0"/>
              <w:ind w:left="57" w:rightChars="71" w:right="142"/>
              <w:rPr>
                <w:szCs w:val="17"/>
                <w:lang w:eastAsia="it-IT"/>
              </w:rPr>
            </w:pPr>
            <w:r w:rsidRPr="00E30DEC">
              <w:rPr>
                <w:szCs w:val="17"/>
                <w:lang w:eastAsia="it-IT"/>
              </w:rPr>
              <w:t>Off-balance sheet exposure at gross notional amount</w:t>
            </w:r>
          </w:p>
        </w:tc>
        <w:tc>
          <w:tcPr>
            <w:tcW w:w="1205" w:type="dxa"/>
            <w:tcBorders>
              <w:top w:val="single" w:sz="6" w:space="0" w:color="auto"/>
              <w:left w:val="single" w:sz="6" w:space="0" w:color="auto"/>
              <w:bottom w:val="single" w:sz="6" w:space="0" w:color="auto"/>
              <w:right w:val="single" w:sz="6" w:space="0" w:color="auto"/>
            </w:tcBorders>
            <w:shd w:val="clear" w:color="auto" w:fill="auto"/>
          </w:tcPr>
          <w:p w14:paraId="1A1CA213" w14:textId="77777777" w:rsidR="006E3FEB" w:rsidRPr="00E30DEC" w:rsidRDefault="006E3FEB" w:rsidP="00E72AD3">
            <w:pPr>
              <w:pStyle w:val="TableText"/>
              <w:snapToGrid w:val="0"/>
              <w:ind w:left="57"/>
              <w:rPr>
                <w:lang w:eastAsia="it-IT"/>
              </w:rPr>
            </w:pPr>
          </w:p>
        </w:tc>
        <w:tc>
          <w:tcPr>
            <w:tcW w:w="1205" w:type="dxa"/>
            <w:tcBorders>
              <w:top w:val="single" w:sz="6" w:space="0" w:color="auto"/>
              <w:left w:val="single" w:sz="6" w:space="0" w:color="auto"/>
              <w:bottom w:val="single" w:sz="6" w:space="0" w:color="auto"/>
              <w:right w:val="single" w:sz="4" w:space="0" w:color="auto"/>
            </w:tcBorders>
            <w:shd w:val="clear" w:color="auto" w:fill="auto"/>
          </w:tcPr>
          <w:p w14:paraId="578275F6" w14:textId="77777777" w:rsidR="006E3FEB" w:rsidRPr="00E30DEC" w:rsidRDefault="006E3FEB" w:rsidP="00E72AD3">
            <w:pPr>
              <w:pStyle w:val="TableText"/>
              <w:snapToGrid w:val="0"/>
              <w:rPr>
                <w:lang w:eastAsia="it-IT"/>
              </w:rPr>
            </w:pPr>
          </w:p>
        </w:tc>
      </w:tr>
      <w:tr w:rsidR="006E3FEB" w:rsidRPr="00E30DEC" w14:paraId="27FEF7D9" w14:textId="77777777" w:rsidTr="00E72AD3">
        <w:trPr>
          <w:cantSplit/>
          <w:trHeight w:val="270"/>
        </w:trPr>
        <w:tc>
          <w:tcPr>
            <w:tcW w:w="567" w:type="dxa"/>
            <w:tcBorders>
              <w:top w:val="single" w:sz="4" w:space="0" w:color="auto"/>
              <w:left w:val="nil"/>
              <w:bottom w:val="single" w:sz="4" w:space="0" w:color="auto"/>
              <w:right w:val="single" w:sz="6" w:space="0" w:color="auto"/>
            </w:tcBorders>
            <w:shd w:val="clear" w:color="auto" w:fill="auto"/>
          </w:tcPr>
          <w:p w14:paraId="3161954B" w14:textId="5D80083A" w:rsidR="006E3FEB" w:rsidRPr="00B01815" w:rsidRDefault="006E3FEB" w:rsidP="00E72AD3">
            <w:pPr>
              <w:pStyle w:val="TableText"/>
              <w:snapToGrid w:val="0"/>
              <w:spacing w:line="288" w:lineRule="auto"/>
            </w:pPr>
            <w:r>
              <w:t>20</w:t>
            </w:r>
          </w:p>
        </w:tc>
        <w:tc>
          <w:tcPr>
            <w:tcW w:w="6237" w:type="dxa"/>
            <w:tcBorders>
              <w:top w:val="single" w:sz="6" w:space="0" w:color="auto"/>
              <w:left w:val="single" w:sz="6" w:space="0" w:color="auto"/>
              <w:bottom w:val="single" w:sz="6" w:space="0" w:color="auto"/>
              <w:right w:val="single" w:sz="6" w:space="0" w:color="auto"/>
            </w:tcBorders>
            <w:shd w:val="clear" w:color="auto" w:fill="auto"/>
          </w:tcPr>
          <w:p w14:paraId="07A92DAD" w14:textId="77777777" w:rsidR="006E3FEB" w:rsidRPr="00E30DEC" w:rsidRDefault="006E3FEB" w:rsidP="00E72AD3">
            <w:pPr>
              <w:pStyle w:val="TableText"/>
              <w:snapToGrid w:val="0"/>
              <w:ind w:left="57" w:rightChars="71" w:right="142"/>
              <w:rPr>
                <w:szCs w:val="17"/>
                <w:lang w:eastAsia="it-IT"/>
              </w:rPr>
            </w:pPr>
            <w:r w:rsidRPr="00E30DEC">
              <w:rPr>
                <w:szCs w:val="17"/>
                <w:lang w:eastAsia="it-IT"/>
              </w:rPr>
              <w:t>Less: Adjustments for conversion to credit equivalent amounts</w:t>
            </w:r>
          </w:p>
        </w:tc>
        <w:tc>
          <w:tcPr>
            <w:tcW w:w="1205" w:type="dxa"/>
            <w:tcBorders>
              <w:top w:val="single" w:sz="6" w:space="0" w:color="auto"/>
              <w:left w:val="single" w:sz="6" w:space="0" w:color="auto"/>
              <w:bottom w:val="single" w:sz="6" w:space="0" w:color="auto"/>
              <w:right w:val="single" w:sz="6" w:space="0" w:color="auto"/>
            </w:tcBorders>
            <w:shd w:val="clear" w:color="auto" w:fill="auto"/>
          </w:tcPr>
          <w:p w14:paraId="0049E7A5" w14:textId="77777777" w:rsidR="006E3FEB" w:rsidRPr="00E30DEC" w:rsidRDefault="006E3FEB" w:rsidP="00E72AD3">
            <w:pPr>
              <w:pStyle w:val="TableText"/>
              <w:snapToGrid w:val="0"/>
              <w:ind w:left="57"/>
              <w:rPr>
                <w:lang w:eastAsia="it-IT"/>
              </w:rPr>
            </w:pPr>
          </w:p>
        </w:tc>
        <w:tc>
          <w:tcPr>
            <w:tcW w:w="1205" w:type="dxa"/>
            <w:tcBorders>
              <w:top w:val="single" w:sz="6" w:space="0" w:color="auto"/>
              <w:left w:val="single" w:sz="6" w:space="0" w:color="auto"/>
              <w:bottom w:val="single" w:sz="6" w:space="0" w:color="auto"/>
              <w:right w:val="single" w:sz="4" w:space="0" w:color="auto"/>
            </w:tcBorders>
            <w:shd w:val="clear" w:color="auto" w:fill="auto"/>
          </w:tcPr>
          <w:p w14:paraId="2E485559" w14:textId="77777777" w:rsidR="006E3FEB" w:rsidRPr="00E30DEC" w:rsidRDefault="006E3FEB" w:rsidP="00E72AD3">
            <w:pPr>
              <w:pStyle w:val="TableText"/>
              <w:snapToGrid w:val="0"/>
              <w:rPr>
                <w:lang w:eastAsia="it-IT"/>
              </w:rPr>
            </w:pPr>
          </w:p>
        </w:tc>
      </w:tr>
      <w:tr w:rsidR="006E3FEB" w:rsidRPr="00E30DEC" w14:paraId="5CE6C540" w14:textId="77777777" w:rsidTr="00E72AD3">
        <w:trPr>
          <w:cantSplit/>
          <w:trHeight w:val="270"/>
        </w:trPr>
        <w:tc>
          <w:tcPr>
            <w:tcW w:w="567" w:type="dxa"/>
            <w:tcBorders>
              <w:top w:val="single" w:sz="4" w:space="0" w:color="auto"/>
              <w:left w:val="nil"/>
              <w:bottom w:val="single" w:sz="4" w:space="0" w:color="auto"/>
              <w:right w:val="single" w:sz="6" w:space="0" w:color="auto"/>
            </w:tcBorders>
            <w:shd w:val="clear" w:color="auto" w:fill="auto"/>
          </w:tcPr>
          <w:p w14:paraId="7B7710C0" w14:textId="77777777" w:rsidR="006E3FEB" w:rsidRPr="00B01815" w:rsidRDefault="006E3FEB" w:rsidP="00E72AD3">
            <w:pPr>
              <w:pStyle w:val="TableText"/>
              <w:snapToGrid w:val="0"/>
              <w:spacing w:line="288" w:lineRule="auto"/>
            </w:pPr>
            <w:r>
              <w:t>21</w:t>
            </w:r>
          </w:p>
        </w:tc>
        <w:tc>
          <w:tcPr>
            <w:tcW w:w="6237" w:type="dxa"/>
            <w:tcBorders>
              <w:top w:val="single" w:sz="6" w:space="0" w:color="auto"/>
              <w:left w:val="single" w:sz="6" w:space="0" w:color="auto"/>
              <w:bottom w:val="single" w:sz="6" w:space="0" w:color="auto"/>
              <w:right w:val="single" w:sz="6" w:space="0" w:color="auto"/>
            </w:tcBorders>
            <w:shd w:val="clear" w:color="auto" w:fill="auto"/>
          </w:tcPr>
          <w:p w14:paraId="21CA9C8C" w14:textId="77777777" w:rsidR="006E3FEB" w:rsidRPr="00E30DEC" w:rsidRDefault="006E3FEB" w:rsidP="00E72AD3">
            <w:pPr>
              <w:pStyle w:val="TableText"/>
              <w:snapToGrid w:val="0"/>
              <w:ind w:left="57" w:rightChars="71" w:right="142"/>
              <w:rPr>
                <w:szCs w:val="17"/>
                <w:lang w:eastAsia="it-IT"/>
              </w:rPr>
            </w:pPr>
            <w:r>
              <w:rPr>
                <w:szCs w:val="17"/>
                <w:lang w:eastAsia="it-IT"/>
              </w:rPr>
              <w:t>Less: Specific and collective</w:t>
            </w:r>
            <w:r w:rsidRPr="00186F8C">
              <w:rPr>
                <w:szCs w:val="17"/>
                <w:lang w:eastAsia="it-IT"/>
              </w:rPr>
              <w:t xml:space="preserve"> provisions associated with off-balance sheet exposures </w:t>
            </w:r>
            <w:r>
              <w:t xml:space="preserve">that are deducted from </w:t>
            </w:r>
            <w:r w:rsidRPr="001536AF">
              <w:t xml:space="preserve">Tier 1 capital </w:t>
            </w:r>
          </w:p>
        </w:tc>
        <w:tc>
          <w:tcPr>
            <w:tcW w:w="1205" w:type="dxa"/>
            <w:tcBorders>
              <w:top w:val="single" w:sz="6" w:space="0" w:color="auto"/>
              <w:left w:val="single" w:sz="6" w:space="0" w:color="auto"/>
              <w:bottom w:val="single" w:sz="6" w:space="0" w:color="auto"/>
              <w:right w:val="single" w:sz="6" w:space="0" w:color="auto"/>
            </w:tcBorders>
            <w:shd w:val="clear" w:color="auto" w:fill="auto"/>
          </w:tcPr>
          <w:p w14:paraId="74E47801" w14:textId="77777777" w:rsidR="006E3FEB" w:rsidRPr="00E30DEC" w:rsidRDefault="006E3FEB" w:rsidP="00E72AD3">
            <w:pPr>
              <w:pStyle w:val="TableText"/>
              <w:snapToGrid w:val="0"/>
              <w:ind w:left="57"/>
              <w:rPr>
                <w:lang w:eastAsia="it-IT"/>
              </w:rPr>
            </w:pPr>
          </w:p>
        </w:tc>
        <w:tc>
          <w:tcPr>
            <w:tcW w:w="1205" w:type="dxa"/>
            <w:tcBorders>
              <w:top w:val="single" w:sz="6" w:space="0" w:color="auto"/>
              <w:left w:val="single" w:sz="6" w:space="0" w:color="auto"/>
              <w:bottom w:val="single" w:sz="6" w:space="0" w:color="auto"/>
              <w:right w:val="single" w:sz="4" w:space="0" w:color="auto"/>
            </w:tcBorders>
            <w:shd w:val="clear" w:color="auto" w:fill="auto"/>
          </w:tcPr>
          <w:p w14:paraId="7BDCB3B3" w14:textId="77777777" w:rsidR="006E3FEB" w:rsidRPr="00E30DEC" w:rsidRDefault="006E3FEB" w:rsidP="00E72AD3">
            <w:pPr>
              <w:pStyle w:val="TableText"/>
              <w:snapToGrid w:val="0"/>
              <w:rPr>
                <w:lang w:eastAsia="it-IT"/>
              </w:rPr>
            </w:pPr>
          </w:p>
        </w:tc>
      </w:tr>
      <w:tr w:rsidR="006E3FEB" w:rsidRPr="00E30DEC" w14:paraId="0D38FB32" w14:textId="77777777" w:rsidTr="00E72AD3">
        <w:trPr>
          <w:cantSplit/>
          <w:trHeight w:val="270"/>
        </w:trPr>
        <w:tc>
          <w:tcPr>
            <w:tcW w:w="567" w:type="dxa"/>
            <w:tcBorders>
              <w:top w:val="single" w:sz="4" w:space="0" w:color="auto"/>
              <w:left w:val="nil"/>
              <w:bottom w:val="single" w:sz="4" w:space="0" w:color="auto"/>
              <w:right w:val="single" w:sz="6" w:space="0" w:color="auto"/>
            </w:tcBorders>
            <w:shd w:val="clear" w:color="auto" w:fill="auto"/>
          </w:tcPr>
          <w:p w14:paraId="1C29FF65" w14:textId="13C87B9B" w:rsidR="006E3FEB" w:rsidRPr="00B01815" w:rsidRDefault="006E3FEB" w:rsidP="00E72AD3">
            <w:pPr>
              <w:pStyle w:val="TableText"/>
              <w:snapToGrid w:val="0"/>
              <w:spacing w:line="288" w:lineRule="auto"/>
            </w:pPr>
            <w:r>
              <w:t>22</w:t>
            </w:r>
          </w:p>
        </w:tc>
        <w:tc>
          <w:tcPr>
            <w:tcW w:w="6237" w:type="dxa"/>
            <w:tcBorders>
              <w:top w:val="single" w:sz="6" w:space="0" w:color="auto"/>
              <w:left w:val="single" w:sz="6" w:space="0" w:color="auto"/>
              <w:bottom w:val="single" w:sz="6" w:space="0" w:color="auto"/>
              <w:right w:val="single" w:sz="6" w:space="0" w:color="auto"/>
            </w:tcBorders>
            <w:shd w:val="clear" w:color="auto" w:fill="F2F2F2"/>
          </w:tcPr>
          <w:p w14:paraId="123782B0" w14:textId="77777777" w:rsidR="006E3FEB" w:rsidRPr="00E30DEC" w:rsidRDefault="006E3FEB" w:rsidP="00E72AD3">
            <w:pPr>
              <w:pStyle w:val="TableText"/>
              <w:snapToGrid w:val="0"/>
              <w:ind w:left="57" w:rightChars="71" w:right="142"/>
              <w:rPr>
                <w:b/>
                <w:szCs w:val="17"/>
                <w:lang w:eastAsia="it-IT"/>
              </w:rPr>
            </w:pPr>
            <w:r w:rsidRPr="00E30DEC">
              <w:rPr>
                <w:b/>
                <w:szCs w:val="17"/>
                <w:lang w:eastAsia="it-IT"/>
              </w:rPr>
              <w:t>Off-balance sheet items</w:t>
            </w:r>
            <w:r>
              <w:rPr>
                <w:b/>
                <w:szCs w:val="17"/>
                <w:lang w:eastAsia="it-IT"/>
              </w:rPr>
              <w:t xml:space="preserve"> (sum of rows 19 to 21)</w:t>
            </w:r>
          </w:p>
        </w:tc>
        <w:tc>
          <w:tcPr>
            <w:tcW w:w="1205" w:type="dxa"/>
            <w:tcBorders>
              <w:top w:val="single" w:sz="6" w:space="0" w:color="auto"/>
              <w:left w:val="single" w:sz="6" w:space="0" w:color="auto"/>
              <w:bottom w:val="single" w:sz="6" w:space="0" w:color="auto"/>
              <w:right w:val="single" w:sz="6" w:space="0" w:color="auto"/>
            </w:tcBorders>
            <w:shd w:val="clear" w:color="auto" w:fill="F2F2F2"/>
          </w:tcPr>
          <w:p w14:paraId="769D47DE" w14:textId="77777777" w:rsidR="006E3FEB" w:rsidRPr="00E30DEC" w:rsidRDefault="006E3FEB" w:rsidP="00E72AD3">
            <w:pPr>
              <w:pStyle w:val="TableText"/>
              <w:snapToGrid w:val="0"/>
              <w:ind w:left="57"/>
              <w:rPr>
                <w:lang w:eastAsia="it-IT"/>
              </w:rPr>
            </w:pPr>
          </w:p>
        </w:tc>
        <w:tc>
          <w:tcPr>
            <w:tcW w:w="1205" w:type="dxa"/>
            <w:tcBorders>
              <w:top w:val="single" w:sz="6" w:space="0" w:color="auto"/>
              <w:left w:val="single" w:sz="6" w:space="0" w:color="auto"/>
              <w:bottom w:val="single" w:sz="6" w:space="0" w:color="auto"/>
              <w:right w:val="single" w:sz="4" w:space="0" w:color="auto"/>
            </w:tcBorders>
            <w:shd w:val="clear" w:color="auto" w:fill="F2F2F2"/>
          </w:tcPr>
          <w:p w14:paraId="0ADAF6C1" w14:textId="77777777" w:rsidR="006E3FEB" w:rsidRPr="00E30DEC" w:rsidRDefault="006E3FEB" w:rsidP="00E72AD3">
            <w:pPr>
              <w:pStyle w:val="TableText"/>
              <w:snapToGrid w:val="0"/>
              <w:rPr>
                <w:lang w:eastAsia="it-IT"/>
              </w:rPr>
            </w:pPr>
          </w:p>
        </w:tc>
      </w:tr>
      <w:tr w:rsidR="006E3FEB" w:rsidRPr="00E30DEC" w14:paraId="2C282C2B" w14:textId="77777777" w:rsidTr="00E72AD3">
        <w:trPr>
          <w:cantSplit/>
          <w:trHeight w:val="270"/>
        </w:trPr>
        <w:tc>
          <w:tcPr>
            <w:tcW w:w="6804" w:type="dxa"/>
            <w:gridSpan w:val="2"/>
            <w:tcBorders>
              <w:top w:val="single" w:sz="4" w:space="0" w:color="auto"/>
              <w:left w:val="nil"/>
              <w:bottom w:val="single" w:sz="4" w:space="0" w:color="auto"/>
              <w:right w:val="nil"/>
            </w:tcBorders>
            <w:shd w:val="clear" w:color="auto" w:fill="D9D9D9"/>
          </w:tcPr>
          <w:p w14:paraId="5E095FAA" w14:textId="77777777" w:rsidR="006E3FEB" w:rsidRPr="00E30DEC" w:rsidRDefault="006E3FEB" w:rsidP="00E72AD3">
            <w:pPr>
              <w:pStyle w:val="Default"/>
              <w:ind w:firstLineChars="50" w:firstLine="85"/>
              <w:rPr>
                <w:szCs w:val="17"/>
                <w:lang w:eastAsia="it-IT"/>
              </w:rPr>
            </w:pPr>
            <w:r w:rsidRPr="00E30DEC">
              <w:rPr>
                <w:rFonts w:eastAsia="Times New Roman" w:cs="Times New Roman"/>
                <w:b/>
                <w:color w:val="auto"/>
                <w:sz w:val="17"/>
                <w:szCs w:val="20"/>
                <w:lang w:val="en-GB" w:eastAsia="it-IT"/>
              </w:rPr>
              <w:t>Capital and total exposures</w:t>
            </w:r>
          </w:p>
        </w:tc>
        <w:tc>
          <w:tcPr>
            <w:tcW w:w="1205" w:type="dxa"/>
            <w:tcBorders>
              <w:top w:val="single" w:sz="6" w:space="0" w:color="auto"/>
              <w:left w:val="nil"/>
              <w:bottom w:val="single" w:sz="6" w:space="0" w:color="auto"/>
              <w:right w:val="nil"/>
            </w:tcBorders>
            <w:shd w:val="clear" w:color="auto" w:fill="D9D9D9"/>
          </w:tcPr>
          <w:p w14:paraId="28A7E6EF" w14:textId="77777777" w:rsidR="006E3FEB" w:rsidRPr="00E30DEC" w:rsidRDefault="006E3FEB" w:rsidP="00E72AD3">
            <w:pPr>
              <w:pStyle w:val="TableText"/>
              <w:snapToGrid w:val="0"/>
              <w:ind w:left="57"/>
              <w:rPr>
                <w:lang w:eastAsia="it-IT"/>
              </w:rPr>
            </w:pPr>
          </w:p>
        </w:tc>
        <w:tc>
          <w:tcPr>
            <w:tcW w:w="1205" w:type="dxa"/>
            <w:tcBorders>
              <w:top w:val="single" w:sz="6" w:space="0" w:color="auto"/>
              <w:left w:val="nil"/>
              <w:bottom w:val="single" w:sz="6" w:space="0" w:color="auto"/>
              <w:right w:val="single" w:sz="4" w:space="0" w:color="auto"/>
            </w:tcBorders>
            <w:shd w:val="clear" w:color="auto" w:fill="D9D9D9"/>
          </w:tcPr>
          <w:p w14:paraId="4C53210F" w14:textId="77777777" w:rsidR="006E3FEB" w:rsidRPr="00E30DEC" w:rsidRDefault="006E3FEB" w:rsidP="00E72AD3">
            <w:pPr>
              <w:pStyle w:val="TableText"/>
              <w:snapToGrid w:val="0"/>
              <w:rPr>
                <w:lang w:eastAsia="it-IT"/>
              </w:rPr>
            </w:pPr>
          </w:p>
        </w:tc>
      </w:tr>
      <w:tr w:rsidR="006E3FEB" w:rsidRPr="00E30DEC" w14:paraId="33C74032" w14:textId="77777777" w:rsidTr="00E72AD3">
        <w:trPr>
          <w:cantSplit/>
          <w:trHeight w:val="270"/>
        </w:trPr>
        <w:tc>
          <w:tcPr>
            <w:tcW w:w="567" w:type="dxa"/>
            <w:tcBorders>
              <w:top w:val="single" w:sz="4" w:space="0" w:color="auto"/>
              <w:left w:val="nil"/>
              <w:bottom w:val="single" w:sz="4" w:space="0" w:color="auto"/>
              <w:right w:val="single" w:sz="6" w:space="0" w:color="auto"/>
            </w:tcBorders>
            <w:shd w:val="clear" w:color="auto" w:fill="auto"/>
          </w:tcPr>
          <w:p w14:paraId="1C3340CB" w14:textId="0D3A9751" w:rsidR="006E3FEB" w:rsidRPr="00E30DEC" w:rsidRDefault="006E3FEB" w:rsidP="00E72AD3">
            <w:pPr>
              <w:pStyle w:val="TableText"/>
              <w:snapToGrid w:val="0"/>
              <w:spacing w:line="288" w:lineRule="auto"/>
              <w:rPr>
                <w:sz w:val="16"/>
                <w:szCs w:val="16"/>
                <w:lang w:eastAsia="en-GB"/>
              </w:rPr>
            </w:pPr>
            <w:r>
              <w:rPr>
                <w:sz w:val="16"/>
                <w:szCs w:val="16"/>
                <w:lang w:eastAsia="en-GB"/>
              </w:rPr>
              <w:t>23</w:t>
            </w:r>
          </w:p>
        </w:tc>
        <w:tc>
          <w:tcPr>
            <w:tcW w:w="6237" w:type="dxa"/>
            <w:tcBorders>
              <w:top w:val="single" w:sz="6" w:space="0" w:color="auto"/>
              <w:left w:val="single" w:sz="6" w:space="0" w:color="auto"/>
              <w:bottom w:val="single" w:sz="6" w:space="0" w:color="auto"/>
              <w:right w:val="single" w:sz="6" w:space="0" w:color="auto"/>
            </w:tcBorders>
            <w:shd w:val="clear" w:color="auto" w:fill="F2F2F2"/>
          </w:tcPr>
          <w:p w14:paraId="7549770C" w14:textId="77777777" w:rsidR="006E3FEB" w:rsidRPr="00E30DEC" w:rsidRDefault="006E3FEB" w:rsidP="00E72AD3">
            <w:pPr>
              <w:pStyle w:val="TableText"/>
              <w:snapToGrid w:val="0"/>
              <w:ind w:left="57" w:rightChars="71" w:right="142"/>
              <w:rPr>
                <w:b/>
                <w:szCs w:val="17"/>
                <w:lang w:eastAsia="it-IT"/>
              </w:rPr>
            </w:pPr>
            <w:r w:rsidRPr="00E30DEC">
              <w:rPr>
                <w:b/>
                <w:szCs w:val="17"/>
                <w:lang w:eastAsia="it-IT"/>
              </w:rPr>
              <w:t>Tier 1 capital</w:t>
            </w:r>
          </w:p>
        </w:tc>
        <w:tc>
          <w:tcPr>
            <w:tcW w:w="1205" w:type="dxa"/>
            <w:tcBorders>
              <w:top w:val="single" w:sz="6" w:space="0" w:color="auto"/>
              <w:left w:val="single" w:sz="6" w:space="0" w:color="auto"/>
              <w:bottom w:val="single" w:sz="6" w:space="0" w:color="auto"/>
              <w:right w:val="single" w:sz="6" w:space="0" w:color="auto"/>
            </w:tcBorders>
            <w:shd w:val="clear" w:color="auto" w:fill="F2F2F2"/>
          </w:tcPr>
          <w:p w14:paraId="1E68F641" w14:textId="77777777" w:rsidR="006E3FEB" w:rsidRPr="00E30DEC" w:rsidRDefault="006E3FEB" w:rsidP="00E72AD3">
            <w:pPr>
              <w:pStyle w:val="TableText"/>
              <w:snapToGrid w:val="0"/>
              <w:ind w:left="57"/>
              <w:rPr>
                <w:lang w:eastAsia="it-IT"/>
              </w:rPr>
            </w:pPr>
          </w:p>
        </w:tc>
        <w:tc>
          <w:tcPr>
            <w:tcW w:w="1205" w:type="dxa"/>
            <w:tcBorders>
              <w:top w:val="single" w:sz="6" w:space="0" w:color="auto"/>
              <w:left w:val="single" w:sz="6" w:space="0" w:color="auto"/>
              <w:bottom w:val="single" w:sz="6" w:space="0" w:color="auto"/>
              <w:right w:val="single" w:sz="4" w:space="0" w:color="auto"/>
            </w:tcBorders>
            <w:shd w:val="clear" w:color="auto" w:fill="F2F2F2"/>
          </w:tcPr>
          <w:p w14:paraId="3BBBEEDC" w14:textId="77777777" w:rsidR="006E3FEB" w:rsidRPr="00E30DEC" w:rsidRDefault="006E3FEB" w:rsidP="00E72AD3">
            <w:pPr>
              <w:pStyle w:val="TableText"/>
              <w:snapToGrid w:val="0"/>
              <w:rPr>
                <w:lang w:eastAsia="it-IT"/>
              </w:rPr>
            </w:pPr>
          </w:p>
        </w:tc>
      </w:tr>
      <w:tr w:rsidR="006E3FEB" w:rsidRPr="00E30DEC" w14:paraId="28481F41" w14:textId="77777777" w:rsidTr="00E72AD3">
        <w:trPr>
          <w:cantSplit/>
          <w:trHeight w:val="270"/>
        </w:trPr>
        <w:tc>
          <w:tcPr>
            <w:tcW w:w="567" w:type="dxa"/>
            <w:tcBorders>
              <w:top w:val="single" w:sz="4" w:space="0" w:color="auto"/>
              <w:left w:val="nil"/>
              <w:bottom w:val="single" w:sz="4" w:space="0" w:color="auto"/>
              <w:right w:val="single" w:sz="6" w:space="0" w:color="auto"/>
            </w:tcBorders>
            <w:shd w:val="clear" w:color="auto" w:fill="auto"/>
          </w:tcPr>
          <w:p w14:paraId="105AD36B" w14:textId="1BCBC622" w:rsidR="006E3FEB" w:rsidRPr="00E30DEC" w:rsidRDefault="006E3FEB" w:rsidP="00E72AD3">
            <w:pPr>
              <w:pStyle w:val="TableText"/>
              <w:snapToGrid w:val="0"/>
              <w:spacing w:line="288" w:lineRule="auto"/>
              <w:rPr>
                <w:sz w:val="16"/>
                <w:szCs w:val="16"/>
                <w:lang w:eastAsia="en-GB"/>
              </w:rPr>
            </w:pPr>
            <w:r>
              <w:rPr>
                <w:sz w:val="16"/>
                <w:szCs w:val="16"/>
                <w:lang w:eastAsia="en-GB"/>
              </w:rPr>
              <w:t>24</w:t>
            </w:r>
          </w:p>
        </w:tc>
        <w:tc>
          <w:tcPr>
            <w:tcW w:w="6237" w:type="dxa"/>
            <w:tcBorders>
              <w:top w:val="single" w:sz="6" w:space="0" w:color="auto"/>
              <w:left w:val="single" w:sz="6" w:space="0" w:color="auto"/>
              <w:bottom w:val="single" w:sz="6" w:space="0" w:color="auto"/>
              <w:right w:val="single" w:sz="6" w:space="0" w:color="auto"/>
            </w:tcBorders>
            <w:shd w:val="clear" w:color="auto" w:fill="F2F2F2"/>
          </w:tcPr>
          <w:p w14:paraId="076D5B8F" w14:textId="737CD9AB" w:rsidR="006E3FEB" w:rsidRPr="00E30DEC" w:rsidRDefault="006E3FEB" w:rsidP="00E72AD3">
            <w:pPr>
              <w:pStyle w:val="TableText"/>
              <w:snapToGrid w:val="0"/>
              <w:ind w:left="57" w:rightChars="71" w:right="142"/>
              <w:rPr>
                <w:b/>
                <w:szCs w:val="17"/>
                <w:lang w:eastAsia="it-IT"/>
              </w:rPr>
            </w:pPr>
            <w:r w:rsidRPr="00E30DEC">
              <w:rPr>
                <w:b/>
                <w:szCs w:val="17"/>
                <w:lang w:eastAsia="it-IT"/>
              </w:rPr>
              <w:t xml:space="preserve">Total exposures </w:t>
            </w:r>
            <w:r>
              <w:rPr>
                <w:b/>
                <w:szCs w:val="17"/>
                <w:lang w:eastAsia="it-IT"/>
              </w:rPr>
              <w:t>(sum of rows 7, 13, 18 and 22)</w:t>
            </w:r>
          </w:p>
        </w:tc>
        <w:tc>
          <w:tcPr>
            <w:tcW w:w="1205" w:type="dxa"/>
            <w:tcBorders>
              <w:top w:val="single" w:sz="6" w:space="0" w:color="auto"/>
              <w:left w:val="single" w:sz="6" w:space="0" w:color="auto"/>
              <w:bottom w:val="single" w:sz="6" w:space="0" w:color="auto"/>
              <w:right w:val="single" w:sz="6" w:space="0" w:color="auto"/>
            </w:tcBorders>
            <w:shd w:val="clear" w:color="auto" w:fill="F2F2F2"/>
          </w:tcPr>
          <w:p w14:paraId="095E2C75" w14:textId="77777777" w:rsidR="006E3FEB" w:rsidRPr="00E30DEC" w:rsidRDefault="006E3FEB" w:rsidP="00E72AD3">
            <w:pPr>
              <w:pStyle w:val="TableText"/>
              <w:snapToGrid w:val="0"/>
              <w:ind w:left="57"/>
              <w:rPr>
                <w:lang w:eastAsia="it-IT"/>
              </w:rPr>
            </w:pPr>
          </w:p>
        </w:tc>
        <w:tc>
          <w:tcPr>
            <w:tcW w:w="1205" w:type="dxa"/>
            <w:tcBorders>
              <w:top w:val="single" w:sz="6" w:space="0" w:color="auto"/>
              <w:left w:val="single" w:sz="6" w:space="0" w:color="auto"/>
              <w:bottom w:val="single" w:sz="6" w:space="0" w:color="auto"/>
              <w:right w:val="single" w:sz="4" w:space="0" w:color="auto"/>
            </w:tcBorders>
            <w:shd w:val="clear" w:color="auto" w:fill="F2F2F2"/>
          </w:tcPr>
          <w:p w14:paraId="7CDC3E1F" w14:textId="77777777" w:rsidR="006E3FEB" w:rsidRPr="00E30DEC" w:rsidRDefault="006E3FEB" w:rsidP="00E72AD3">
            <w:pPr>
              <w:pStyle w:val="TableText"/>
              <w:snapToGrid w:val="0"/>
              <w:rPr>
                <w:lang w:eastAsia="it-IT"/>
              </w:rPr>
            </w:pPr>
          </w:p>
        </w:tc>
      </w:tr>
      <w:tr w:rsidR="006E3FEB" w:rsidRPr="00E30DEC" w14:paraId="26B94A72" w14:textId="77777777" w:rsidTr="00E72AD3">
        <w:trPr>
          <w:cantSplit/>
          <w:trHeight w:val="270"/>
        </w:trPr>
        <w:tc>
          <w:tcPr>
            <w:tcW w:w="6804" w:type="dxa"/>
            <w:gridSpan w:val="2"/>
            <w:tcBorders>
              <w:top w:val="single" w:sz="6" w:space="0" w:color="auto"/>
              <w:left w:val="nil"/>
              <w:bottom w:val="single" w:sz="6" w:space="0" w:color="auto"/>
              <w:right w:val="nil"/>
            </w:tcBorders>
            <w:shd w:val="clear" w:color="auto" w:fill="D9D9D9"/>
          </w:tcPr>
          <w:p w14:paraId="71E3BAFB" w14:textId="77777777" w:rsidR="006E3FEB" w:rsidRPr="00E30DEC" w:rsidRDefault="006E3FEB" w:rsidP="00E72AD3">
            <w:pPr>
              <w:pStyle w:val="Default"/>
              <w:ind w:firstLineChars="50" w:firstLine="85"/>
              <w:rPr>
                <w:b/>
                <w:sz w:val="17"/>
                <w:szCs w:val="17"/>
                <w:lang w:eastAsia="it-IT"/>
              </w:rPr>
            </w:pPr>
            <w:r w:rsidRPr="00E30DEC">
              <w:rPr>
                <w:b/>
                <w:sz w:val="17"/>
                <w:szCs w:val="17"/>
                <w:lang w:eastAsia="it-IT"/>
              </w:rPr>
              <w:t>Leverage ratio</w:t>
            </w:r>
          </w:p>
        </w:tc>
        <w:tc>
          <w:tcPr>
            <w:tcW w:w="1205" w:type="dxa"/>
            <w:tcBorders>
              <w:top w:val="single" w:sz="6" w:space="0" w:color="auto"/>
              <w:left w:val="nil"/>
              <w:bottom w:val="single" w:sz="6" w:space="0" w:color="auto"/>
              <w:right w:val="nil"/>
            </w:tcBorders>
            <w:shd w:val="clear" w:color="auto" w:fill="D9D9D9"/>
          </w:tcPr>
          <w:p w14:paraId="48891C21" w14:textId="77777777" w:rsidR="006E3FEB" w:rsidRPr="00E30DEC" w:rsidRDefault="006E3FEB" w:rsidP="00E72AD3">
            <w:pPr>
              <w:pStyle w:val="TableText"/>
              <w:snapToGrid w:val="0"/>
              <w:ind w:left="57"/>
              <w:rPr>
                <w:lang w:eastAsia="it-IT"/>
              </w:rPr>
            </w:pPr>
          </w:p>
        </w:tc>
        <w:tc>
          <w:tcPr>
            <w:tcW w:w="1205" w:type="dxa"/>
            <w:tcBorders>
              <w:top w:val="single" w:sz="6" w:space="0" w:color="auto"/>
              <w:left w:val="nil"/>
              <w:bottom w:val="single" w:sz="6" w:space="0" w:color="auto"/>
              <w:right w:val="single" w:sz="6" w:space="0" w:color="auto"/>
            </w:tcBorders>
            <w:shd w:val="clear" w:color="auto" w:fill="D9D9D9"/>
          </w:tcPr>
          <w:p w14:paraId="4F08FC06" w14:textId="77777777" w:rsidR="006E3FEB" w:rsidRPr="00E30DEC" w:rsidRDefault="006E3FEB" w:rsidP="00E72AD3">
            <w:pPr>
              <w:pStyle w:val="TableText"/>
              <w:snapToGrid w:val="0"/>
              <w:rPr>
                <w:lang w:eastAsia="it-IT"/>
              </w:rPr>
            </w:pPr>
          </w:p>
        </w:tc>
      </w:tr>
      <w:tr w:rsidR="006E3FEB" w:rsidRPr="00E30DEC" w14:paraId="4ABD84BF" w14:textId="77777777" w:rsidTr="00E72AD3">
        <w:trPr>
          <w:cantSplit/>
          <w:trHeight w:val="230"/>
        </w:trPr>
        <w:tc>
          <w:tcPr>
            <w:tcW w:w="567" w:type="dxa"/>
            <w:tcBorders>
              <w:top w:val="single" w:sz="6" w:space="0" w:color="auto"/>
              <w:left w:val="nil"/>
              <w:bottom w:val="single" w:sz="6" w:space="0" w:color="auto"/>
              <w:right w:val="single" w:sz="6" w:space="0" w:color="auto"/>
            </w:tcBorders>
            <w:shd w:val="clear" w:color="auto" w:fill="auto"/>
          </w:tcPr>
          <w:p w14:paraId="2D69D035" w14:textId="17B774BA" w:rsidR="006E3FEB" w:rsidRPr="00E30DEC" w:rsidRDefault="006E3FEB" w:rsidP="00E72AD3">
            <w:pPr>
              <w:pStyle w:val="TableText"/>
              <w:snapToGrid w:val="0"/>
              <w:rPr>
                <w:sz w:val="16"/>
                <w:szCs w:val="16"/>
                <w:lang w:eastAsia="en-GB"/>
              </w:rPr>
            </w:pPr>
            <w:r>
              <w:rPr>
                <w:sz w:val="16"/>
                <w:szCs w:val="16"/>
                <w:lang w:eastAsia="en-GB"/>
              </w:rPr>
              <w:t>25 &amp; 25a</w:t>
            </w:r>
          </w:p>
        </w:tc>
        <w:tc>
          <w:tcPr>
            <w:tcW w:w="6237" w:type="dxa"/>
            <w:tcBorders>
              <w:top w:val="single" w:sz="6" w:space="0" w:color="auto"/>
              <w:left w:val="single" w:sz="6" w:space="0" w:color="auto"/>
              <w:bottom w:val="single" w:sz="6" w:space="0" w:color="auto"/>
              <w:right w:val="single" w:sz="6" w:space="0" w:color="auto"/>
            </w:tcBorders>
            <w:shd w:val="clear" w:color="auto" w:fill="F2F2F2"/>
          </w:tcPr>
          <w:p w14:paraId="4F653E18" w14:textId="77777777" w:rsidR="006E3FEB" w:rsidRPr="00E30DEC" w:rsidRDefault="006E3FEB" w:rsidP="00E72AD3">
            <w:pPr>
              <w:pStyle w:val="TableText"/>
              <w:snapToGrid w:val="0"/>
              <w:ind w:left="57" w:rightChars="71" w:right="142"/>
              <w:rPr>
                <w:b/>
                <w:szCs w:val="17"/>
                <w:lang w:eastAsia="it-IT"/>
              </w:rPr>
            </w:pPr>
            <w:r w:rsidRPr="00E30DEC">
              <w:rPr>
                <w:b/>
                <w:szCs w:val="17"/>
                <w:lang w:eastAsia="it-IT"/>
              </w:rPr>
              <w:t>Leverage ratio</w:t>
            </w:r>
          </w:p>
        </w:tc>
        <w:tc>
          <w:tcPr>
            <w:tcW w:w="1205" w:type="dxa"/>
            <w:tcBorders>
              <w:top w:val="single" w:sz="6" w:space="0" w:color="auto"/>
              <w:left w:val="single" w:sz="6" w:space="0" w:color="auto"/>
              <w:bottom w:val="single" w:sz="6" w:space="0" w:color="auto"/>
              <w:right w:val="single" w:sz="6" w:space="0" w:color="auto"/>
            </w:tcBorders>
            <w:shd w:val="clear" w:color="auto" w:fill="F2F2F2"/>
          </w:tcPr>
          <w:p w14:paraId="7A0C0B70" w14:textId="77777777" w:rsidR="006E3FEB" w:rsidRPr="00E30DEC" w:rsidRDefault="006E3FEB" w:rsidP="00E72AD3">
            <w:pPr>
              <w:pStyle w:val="TableText"/>
              <w:snapToGrid w:val="0"/>
              <w:ind w:left="57"/>
              <w:rPr>
                <w:lang w:eastAsia="it-IT"/>
              </w:rPr>
            </w:pPr>
          </w:p>
        </w:tc>
        <w:tc>
          <w:tcPr>
            <w:tcW w:w="1205" w:type="dxa"/>
            <w:tcBorders>
              <w:top w:val="single" w:sz="6" w:space="0" w:color="auto"/>
              <w:left w:val="single" w:sz="6" w:space="0" w:color="auto"/>
              <w:bottom w:val="single" w:sz="6" w:space="0" w:color="auto"/>
              <w:right w:val="single" w:sz="6" w:space="0" w:color="auto"/>
            </w:tcBorders>
            <w:shd w:val="clear" w:color="auto" w:fill="F2F2F2"/>
          </w:tcPr>
          <w:p w14:paraId="3B1FB708" w14:textId="77777777" w:rsidR="006E3FEB" w:rsidRPr="00E30DEC" w:rsidRDefault="006E3FEB" w:rsidP="00E72AD3">
            <w:pPr>
              <w:pStyle w:val="TableText"/>
              <w:snapToGrid w:val="0"/>
              <w:rPr>
                <w:lang w:eastAsia="it-IT"/>
              </w:rPr>
            </w:pPr>
          </w:p>
        </w:tc>
      </w:tr>
      <w:tr w:rsidR="006E3FEB" w:rsidRPr="00E30DEC" w14:paraId="315A7093" w14:textId="77777777" w:rsidTr="00E72AD3">
        <w:trPr>
          <w:cantSplit/>
          <w:trHeight w:val="230"/>
        </w:trPr>
        <w:tc>
          <w:tcPr>
            <w:tcW w:w="567" w:type="dxa"/>
            <w:tcBorders>
              <w:top w:val="single" w:sz="6" w:space="0" w:color="auto"/>
              <w:left w:val="nil"/>
              <w:bottom w:val="single" w:sz="6" w:space="0" w:color="auto"/>
              <w:right w:val="single" w:sz="6" w:space="0" w:color="auto"/>
            </w:tcBorders>
            <w:shd w:val="clear" w:color="auto" w:fill="auto"/>
          </w:tcPr>
          <w:p w14:paraId="639A813B" w14:textId="77777777" w:rsidR="006E3FEB" w:rsidRDefault="006E3FEB" w:rsidP="00E72AD3">
            <w:pPr>
              <w:pStyle w:val="TableText"/>
              <w:snapToGrid w:val="0"/>
              <w:spacing w:line="288" w:lineRule="auto"/>
              <w:rPr>
                <w:sz w:val="16"/>
                <w:szCs w:val="16"/>
                <w:lang w:eastAsia="en-GB"/>
              </w:rPr>
            </w:pPr>
            <w:r>
              <w:rPr>
                <w:sz w:val="16"/>
                <w:szCs w:val="16"/>
                <w:lang w:eastAsia="en-GB"/>
              </w:rPr>
              <w:t>26</w:t>
            </w:r>
          </w:p>
        </w:tc>
        <w:tc>
          <w:tcPr>
            <w:tcW w:w="6237" w:type="dxa"/>
            <w:tcBorders>
              <w:top w:val="single" w:sz="6" w:space="0" w:color="auto"/>
              <w:left w:val="single" w:sz="6" w:space="0" w:color="auto"/>
              <w:bottom w:val="single" w:sz="6" w:space="0" w:color="auto"/>
              <w:right w:val="single" w:sz="6" w:space="0" w:color="auto"/>
            </w:tcBorders>
            <w:shd w:val="clear" w:color="auto" w:fill="F2F2F2"/>
          </w:tcPr>
          <w:p w14:paraId="395C9936" w14:textId="77777777" w:rsidR="006E3FEB" w:rsidRPr="00E30DEC" w:rsidRDefault="006E3FEB" w:rsidP="00E72AD3">
            <w:pPr>
              <w:pStyle w:val="TableText"/>
              <w:snapToGrid w:val="0"/>
              <w:ind w:left="57" w:rightChars="71" w:right="142"/>
              <w:rPr>
                <w:b/>
                <w:szCs w:val="17"/>
                <w:lang w:eastAsia="it-IT"/>
              </w:rPr>
            </w:pPr>
            <w:r>
              <w:rPr>
                <w:b/>
              </w:rPr>
              <w:t>M</w:t>
            </w:r>
            <w:r w:rsidRPr="00F82B84">
              <w:rPr>
                <w:b/>
              </w:rPr>
              <w:t>inimum leverage ratio requirement</w:t>
            </w:r>
          </w:p>
        </w:tc>
        <w:tc>
          <w:tcPr>
            <w:tcW w:w="1205" w:type="dxa"/>
            <w:tcBorders>
              <w:top w:val="single" w:sz="6" w:space="0" w:color="auto"/>
              <w:left w:val="single" w:sz="6" w:space="0" w:color="auto"/>
              <w:bottom w:val="single" w:sz="6" w:space="0" w:color="auto"/>
              <w:right w:val="single" w:sz="6" w:space="0" w:color="auto"/>
            </w:tcBorders>
            <w:shd w:val="clear" w:color="auto" w:fill="F2F2F2"/>
          </w:tcPr>
          <w:p w14:paraId="306E9239" w14:textId="77777777" w:rsidR="006E3FEB" w:rsidRPr="00E30DEC" w:rsidRDefault="006E3FEB" w:rsidP="00E72AD3">
            <w:pPr>
              <w:pStyle w:val="TableText"/>
              <w:snapToGrid w:val="0"/>
              <w:ind w:left="57"/>
              <w:rPr>
                <w:lang w:eastAsia="it-IT"/>
              </w:rPr>
            </w:pPr>
          </w:p>
        </w:tc>
        <w:tc>
          <w:tcPr>
            <w:tcW w:w="1205" w:type="dxa"/>
            <w:tcBorders>
              <w:top w:val="single" w:sz="6" w:space="0" w:color="auto"/>
              <w:left w:val="single" w:sz="6" w:space="0" w:color="auto"/>
              <w:bottom w:val="single" w:sz="6" w:space="0" w:color="auto"/>
              <w:right w:val="single" w:sz="6" w:space="0" w:color="auto"/>
            </w:tcBorders>
            <w:shd w:val="clear" w:color="auto" w:fill="F2F2F2"/>
          </w:tcPr>
          <w:p w14:paraId="1CEC53E0" w14:textId="77777777" w:rsidR="006E3FEB" w:rsidRPr="00E30DEC" w:rsidRDefault="006E3FEB" w:rsidP="00E72AD3">
            <w:pPr>
              <w:pStyle w:val="TableText"/>
              <w:snapToGrid w:val="0"/>
              <w:rPr>
                <w:lang w:eastAsia="it-IT"/>
              </w:rPr>
            </w:pPr>
          </w:p>
        </w:tc>
      </w:tr>
      <w:tr w:rsidR="006E3FEB" w:rsidRPr="00E30DEC" w14:paraId="6E9C5CEE" w14:textId="77777777" w:rsidTr="004E104C">
        <w:trPr>
          <w:cantSplit/>
          <w:trHeight w:val="230"/>
        </w:trPr>
        <w:tc>
          <w:tcPr>
            <w:tcW w:w="567" w:type="dxa"/>
            <w:tcBorders>
              <w:top w:val="single" w:sz="6" w:space="0" w:color="auto"/>
              <w:left w:val="nil"/>
              <w:bottom w:val="single" w:sz="6" w:space="0" w:color="auto"/>
              <w:right w:val="single" w:sz="6" w:space="0" w:color="auto"/>
            </w:tcBorders>
            <w:shd w:val="clear" w:color="auto" w:fill="auto"/>
          </w:tcPr>
          <w:p w14:paraId="759D73B7" w14:textId="77777777" w:rsidR="006E3FEB" w:rsidRDefault="006E3FEB" w:rsidP="00E72AD3">
            <w:pPr>
              <w:pStyle w:val="TableText"/>
              <w:snapToGrid w:val="0"/>
              <w:spacing w:line="288" w:lineRule="auto"/>
              <w:rPr>
                <w:sz w:val="16"/>
                <w:szCs w:val="16"/>
                <w:lang w:eastAsia="en-GB"/>
              </w:rPr>
            </w:pPr>
            <w:r>
              <w:rPr>
                <w:sz w:val="16"/>
                <w:szCs w:val="16"/>
                <w:lang w:eastAsia="en-GB"/>
              </w:rPr>
              <w:t>27</w:t>
            </w:r>
          </w:p>
        </w:tc>
        <w:tc>
          <w:tcPr>
            <w:tcW w:w="6237" w:type="dxa"/>
            <w:tcBorders>
              <w:top w:val="single" w:sz="6" w:space="0" w:color="auto"/>
              <w:left w:val="single" w:sz="6" w:space="0" w:color="auto"/>
              <w:bottom w:val="single" w:sz="6" w:space="0" w:color="auto"/>
              <w:right w:val="single" w:sz="6" w:space="0" w:color="auto"/>
            </w:tcBorders>
            <w:shd w:val="clear" w:color="auto" w:fill="FFFF00"/>
          </w:tcPr>
          <w:p w14:paraId="346D3C27" w14:textId="77777777" w:rsidR="006E3FEB" w:rsidRPr="00DF0029" w:rsidRDefault="006E3FEB" w:rsidP="00E72AD3">
            <w:pPr>
              <w:pStyle w:val="TableText"/>
              <w:snapToGrid w:val="0"/>
              <w:ind w:left="57" w:rightChars="71" w:right="142"/>
              <w:rPr>
                <w:b/>
              </w:rPr>
            </w:pPr>
            <w:r w:rsidRPr="00F82B84">
              <w:rPr>
                <w:b/>
              </w:rPr>
              <w:t>Applicable leverage buffers</w:t>
            </w:r>
          </w:p>
        </w:tc>
        <w:tc>
          <w:tcPr>
            <w:tcW w:w="1205" w:type="dxa"/>
            <w:tcBorders>
              <w:top w:val="single" w:sz="6" w:space="0" w:color="auto"/>
              <w:left w:val="single" w:sz="6" w:space="0" w:color="auto"/>
              <w:bottom w:val="single" w:sz="6" w:space="0" w:color="auto"/>
              <w:right w:val="single" w:sz="6" w:space="0" w:color="auto"/>
            </w:tcBorders>
            <w:shd w:val="clear" w:color="auto" w:fill="FFFF00"/>
          </w:tcPr>
          <w:p w14:paraId="5DA963A1" w14:textId="77777777" w:rsidR="006E3FEB" w:rsidRPr="00E30DEC" w:rsidRDefault="006E3FEB" w:rsidP="004E104C">
            <w:pPr>
              <w:pStyle w:val="TableText"/>
              <w:snapToGrid w:val="0"/>
              <w:jc w:val="center"/>
              <w:rPr>
                <w:lang w:eastAsia="it-IT"/>
              </w:rPr>
            </w:pPr>
            <w:r>
              <w:rPr>
                <w:lang w:eastAsia="it-IT"/>
              </w:rPr>
              <w:t>Not applicable</w:t>
            </w:r>
          </w:p>
        </w:tc>
        <w:tc>
          <w:tcPr>
            <w:tcW w:w="1205" w:type="dxa"/>
            <w:tcBorders>
              <w:top w:val="single" w:sz="6" w:space="0" w:color="auto"/>
              <w:left w:val="single" w:sz="6" w:space="0" w:color="auto"/>
              <w:bottom w:val="single" w:sz="6" w:space="0" w:color="auto"/>
              <w:right w:val="single" w:sz="6" w:space="0" w:color="auto"/>
            </w:tcBorders>
            <w:shd w:val="clear" w:color="auto" w:fill="FFFF00"/>
          </w:tcPr>
          <w:p w14:paraId="466011EC" w14:textId="77777777" w:rsidR="006E3FEB" w:rsidRPr="00E30DEC" w:rsidRDefault="006E3FEB" w:rsidP="004E104C">
            <w:pPr>
              <w:pStyle w:val="TableText"/>
              <w:snapToGrid w:val="0"/>
              <w:jc w:val="center"/>
              <w:rPr>
                <w:lang w:eastAsia="it-IT"/>
              </w:rPr>
            </w:pPr>
            <w:r>
              <w:rPr>
                <w:lang w:eastAsia="it-IT"/>
              </w:rPr>
              <w:t>Not applicable</w:t>
            </w:r>
          </w:p>
        </w:tc>
      </w:tr>
      <w:tr w:rsidR="006E3FEB" w:rsidRPr="00E30DEC" w14:paraId="5A469FF1" w14:textId="77777777" w:rsidTr="00E72AD3">
        <w:trPr>
          <w:cantSplit/>
          <w:trHeight w:val="270"/>
        </w:trPr>
        <w:tc>
          <w:tcPr>
            <w:tcW w:w="6804" w:type="dxa"/>
            <w:gridSpan w:val="2"/>
            <w:tcBorders>
              <w:top w:val="single" w:sz="4" w:space="0" w:color="auto"/>
              <w:left w:val="nil"/>
              <w:bottom w:val="single" w:sz="4" w:space="0" w:color="auto"/>
              <w:right w:val="nil"/>
            </w:tcBorders>
            <w:shd w:val="clear" w:color="auto" w:fill="D9D9D9"/>
          </w:tcPr>
          <w:p w14:paraId="7FA5FA43" w14:textId="77777777" w:rsidR="006E3FEB" w:rsidRPr="00E30DEC" w:rsidRDefault="006E3FEB" w:rsidP="00E72AD3">
            <w:pPr>
              <w:pStyle w:val="Default"/>
              <w:ind w:firstLineChars="50" w:firstLine="85"/>
              <w:rPr>
                <w:szCs w:val="17"/>
                <w:lang w:eastAsia="it-IT"/>
              </w:rPr>
            </w:pPr>
            <w:r>
              <w:rPr>
                <w:rFonts w:eastAsia="Times New Roman" w:cs="Times New Roman"/>
                <w:b/>
                <w:color w:val="auto"/>
                <w:sz w:val="17"/>
                <w:szCs w:val="20"/>
                <w:lang w:val="en-GB" w:eastAsia="it-IT"/>
              </w:rPr>
              <w:t>Disclosure of mean values</w:t>
            </w:r>
          </w:p>
        </w:tc>
        <w:tc>
          <w:tcPr>
            <w:tcW w:w="1205" w:type="dxa"/>
            <w:tcBorders>
              <w:top w:val="single" w:sz="6" w:space="0" w:color="auto"/>
              <w:left w:val="nil"/>
              <w:bottom w:val="single" w:sz="6" w:space="0" w:color="auto"/>
              <w:right w:val="nil"/>
            </w:tcBorders>
            <w:shd w:val="clear" w:color="auto" w:fill="D9D9D9"/>
          </w:tcPr>
          <w:p w14:paraId="1D7EDA72" w14:textId="77777777" w:rsidR="006E3FEB" w:rsidRPr="00E30DEC" w:rsidRDefault="006E3FEB" w:rsidP="00E72AD3">
            <w:pPr>
              <w:pStyle w:val="TableText"/>
              <w:snapToGrid w:val="0"/>
              <w:ind w:left="57"/>
              <w:rPr>
                <w:lang w:eastAsia="it-IT"/>
              </w:rPr>
            </w:pPr>
          </w:p>
        </w:tc>
        <w:tc>
          <w:tcPr>
            <w:tcW w:w="1205" w:type="dxa"/>
            <w:tcBorders>
              <w:top w:val="single" w:sz="6" w:space="0" w:color="auto"/>
              <w:left w:val="nil"/>
              <w:bottom w:val="single" w:sz="6" w:space="0" w:color="auto"/>
              <w:right w:val="single" w:sz="4" w:space="0" w:color="auto"/>
            </w:tcBorders>
            <w:shd w:val="clear" w:color="auto" w:fill="D9D9D9"/>
          </w:tcPr>
          <w:p w14:paraId="268F15DE" w14:textId="77777777" w:rsidR="006E3FEB" w:rsidRPr="00E30DEC" w:rsidRDefault="006E3FEB" w:rsidP="00E72AD3">
            <w:pPr>
              <w:pStyle w:val="TableText"/>
              <w:snapToGrid w:val="0"/>
              <w:rPr>
                <w:lang w:eastAsia="it-IT"/>
              </w:rPr>
            </w:pPr>
          </w:p>
        </w:tc>
      </w:tr>
      <w:tr w:rsidR="006E3FEB" w:rsidRPr="00E30DEC" w14:paraId="3945001E" w14:textId="77777777" w:rsidTr="00E72AD3">
        <w:trPr>
          <w:cantSplit/>
          <w:trHeight w:val="270"/>
        </w:trPr>
        <w:tc>
          <w:tcPr>
            <w:tcW w:w="567" w:type="dxa"/>
            <w:tcBorders>
              <w:top w:val="single" w:sz="4" w:space="0" w:color="auto"/>
              <w:left w:val="nil"/>
              <w:bottom w:val="single" w:sz="4" w:space="0" w:color="auto"/>
              <w:right w:val="single" w:sz="6" w:space="0" w:color="auto"/>
            </w:tcBorders>
            <w:shd w:val="clear" w:color="auto" w:fill="auto"/>
          </w:tcPr>
          <w:p w14:paraId="6272C687" w14:textId="77777777" w:rsidR="006E3FEB" w:rsidRPr="00E30DEC" w:rsidRDefault="006E3FEB" w:rsidP="00E72AD3">
            <w:pPr>
              <w:pStyle w:val="TableText"/>
              <w:snapToGrid w:val="0"/>
              <w:spacing w:line="288" w:lineRule="auto"/>
              <w:rPr>
                <w:sz w:val="16"/>
                <w:szCs w:val="16"/>
                <w:lang w:eastAsia="en-GB"/>
              </w:rPr>
            </w:pPr>
            <w:r>
              <w:rPr>
                <w:sz w:val="16"/>
                <w:szCs w:val="16"/>
                <w:lang w:eastAsia="en-GB"/>
              </w:rPr>
              <w:t>28</w:t>
            </w:r>
          </w:p>
        </w:tc>
        <w:tc>
          <w:tcPr>
            <w:tcW w:w="6237" w:type="dxa"/>
            <w:tcBorders>
              <w:top w:val="single" w:sz="6" w:space="0" w:color="auto"/>
              <w:left w:val="single" w:sz="6" w:space="0" w:color="auto"/>
              <w:bottom w:val="single" w:sz="6" w:space="0" w:color="auto"/>
              <w:right w:val="single" w:sz="6" w:space="0" w:color="auto"/>
            </w:tcBorders>
            <w:shd w:val="clear" w:color="auto" w:fill="auto"/>
          </w:tcPr>
          <w:p w14:paraId="68370B0C" w14:textId="1C3A82CA" w:rsidR="006E3FEB" w:rsidRPr="00F82B84" w:rsidRDefault="006E3FEB" w:rsidP="00B06C8A">
            <w:pPr>
              <w:pStyle w:val="TableText"/>
              <w:snapToGrid w:val="0"/>
              <w:ind w:left="57" w:rightChars="71" w:right="142"/>
              <w:rPr>
                <w:szCs w:val="17"/>
                <w:lang w:eastAsia="it-IT"/>
              </w:rPr>
            </w:pPr>
            <w:r w:rsidRPr="00F82B84">
              <w:rPr>
                <w:szCs w:val="17"/>
                <w:lang w:eastAsia="it-IT"/>
              </w:rPr>
              <w:t xml:space="preserve">Mean value of gross </w:t>
            </w:r>
            <w:r>
              <w:rPr>
                <w:szCs w:val="17"/>
                <w:lang w:eastAsia="it-IT"/>
              </w:rPr>
              <w:t xml:space="preserve">assets </w:t>
            </w:r>
            <w:r w:rsidR="00FB5C20">
              <w:rPr>
                <w:szCs w:val="17"/>
                <w:lang w:eastAsia="it-IT"/>
              </w:rPr>
              <w:t>of SFTs</w:t>
            </w:r>
            <w:r w:rsidRPr="00F82B84">
              <w:rPr>
                <w:szCs w:val="17"/>
                <w:lang w:eastAsia="it-IT"/>
              </w:rPr>
              <w:t xml:space="preserve">, after adjustment for sale </w:t>
            </w:r>
            <w:r>
              <w:rPr>
                <w:szCs w:val="17"/>
                <w:lang w:eastAsia="it-IT"/>
              </w:rPr>
              <w:t xml:space="preserve">accounting </w:t>
            </w:r>
            <w:r w:rsidRPr="00F82B84">
              <w:rPr>
                <w:szCs w:val="17"/>
                <w:lang w:eastAsia="it-IT"/>
              </w:rPr>
              <w:t>transactions and netted of amounts of associated cash payables and cash receivables</w:t>
            </w:r>
          </w:p>
        </w:tc>
        <w:tc>
          <w:tcPr>
            <w:tcW w:w="1205" w:type="dxa"/>
            <w:tcBorders>
              <w:top w:val="single" w:sz="6" w:space="0" w:color="auto"/>
              <w:left w:val="single" w:sz="6" w:space="0" w:color="auto"/>
              <w:bottom w:val="single" w:sz="6" w:space="0" w:color="auto"/>
              <w:right w:val="single" w:sz="6" w:space="0" w:color="auto"/>
            </w:tcBorders>
            <w:shd w:val="clear" w:color="auto" w:fill="auto"/>
          </w:tcPr>
          <w:p w14:paraId="22AFBBAE" w14:textId="77777777" w:rsidR="006E3FEB" w:rsidRPr="00E30DEC" w:rsidRDefault="006E3FEB" w:rsidP="00E72AD3">
            <w:pPr>
              <w:pStyle w:val="TableText"/>
              <w:snapToGrid w:val="0"/>
              <w:ind w:left="57"/>
              <w:rPr>
                <w:lang w:eastAsia="it-IT"/>
              </w:rPr>
            </w:pPr>
          </w:p>
        </w:tc>
        <w:tc>
          <w:tcPr>
            <w:tcW w:w="1205" w:type="dxa"/>
            <w:tcBorders>
              <w:top w:val="single" w:sz="6" w:space="0" w:color="auto"/>
              <w:left w:val="single" w:sz="6" w:space="0" w:color="auto"/>
              <w:bottom w:val="single" w:sz="6" w:space="0" w:color="auto"/>
              <w:right w:val="single" w:sz="4" w:space="0" w:color="auto"/>
            </w:tcBorders>
            <w:shd w:val="clear" w:color="auto" w:fill="auto"/>
          </w:tcPr>
          <w:p w14:paraId="4ABFC067" w14:textId="77777777" w:rsidR="006E3FEB" w:rsidRPr="00E30DEC" w:rsidRDefault="006E3FEB" w:rsidP="00E72AD3">
            <w:pPr>
              <w:pStyle w:val="TableText"/>
              <w:snapToGrid w:val="0"/>
              <w:rPr>
                <w:lang w:eastAsia="it-IT"/>
              </w:rPr>
            </w:pPr>
          </w:p>
        </w:tc>
      </w:tr>
      <w:tr w:rsidR="006E3FEB" w:rsidRPr="00E30DEC" w14:paraId="21321C86" w14:textId="77777777" w:rsidTr="00E72AD3">
        <w:trPr>
          <w:cantSplit/>
          <w:trHeight w:val="270"/>
        </w:trPr>
        <w:tc>
          <w:tcPr>
            <w:tcW w:w="567" w:type="dxa"/>
            <w:tcBorders>
              <w:top w:val="single" w:sz="4" w:space="0" w:color="auto"/>
              <w:left w:val="nil"/>
              <w:bottom w:val="single" w:sz="4" w:space="0" w:color="auto"/>
              <w:right w:val="single" w:sz="6" w:space="0" w:color="auto"/>
            </w:tcBorders>
            <w:shd w:val="clear" w:color="auto" w:fill="auto"/>
          </w:tcPr>
          <w:p w14:paraId="27224A6E" w14:textId="77777777" w:rsidR="006E3FEB" w:rsidRPr="00E30DEC" w:rsidRDefault="006E3FEB" w:rsidP="00E72AD3">
            <w:pPr>
              <w:pStyle w:val="TableText"/>
              <w:snapToGrid w:val="0"/>
              <w:spacing w:line="288" w:lineRule="auto"/>
              <w:rPr>
                <w:sz w:val="16"/>
                <w:szCs w:val="16"/>
                <w:lang w:eastAsia="en-GB"/>
              </w:rPr>
            </w:pPr>
            <w:r>
              <w:rPr>
                <w:sz w:val="16"/>
                <w:szCs w:val="16"/>
                <w:lang w:eastAsia="en-GB"/>
              </w:rPr>
              <w:t>29</w:t>
            </w:r>
          </w:p>
        </w:tc>
        <w:tc>
          <w:tcPr>
            <w:tcW w:w="6237" w:type="dxa"/>
            <w:tcBorders>
              <w:top w:val="single" w:sz="6" w:space="0" w:color="auto"/>
              <w:left w:val="single" w:sz="6" w:space="0" w:color="auto"/>
              <w:bottom w:val="single" w:sz="6" w:space="0" w:color="auto"/>
              <w:right w:val="single" w:sz="6" w:space="0" w:color="auto"/>
            </w:tcBorders>
            <w:shd w:val="clear" w:color="auto" w:fill="auto"/>
          </w:tcPr>
          <w:p w14:paraId="698E1508" w14:textId="77777777" w:rsidR="006E3FEB" w:rsidRPr="00F82B84" w:rsidRDefault="006E3FEB" w:rsidP="00E72AD3">
            <w:pPr>
              <w:pStyle w:val="TableText"/>
              <w:snapToGrid w:val="0"/>
              <w:ind w:left="57" w:rightChars="71" w:right="142"/>
              <w:rPr>
                <w:szCs w:val="17"/>
                <w:lang w:eastAsia="it-IT"/>
              </w:rPr>
            </w:pPr>
            <w:r w:rsidRPr="00163353">
              <w:rPr>
                <w:szCs w:val="17"/>
                <w:lang w:eastAsia="it-IT"/>
              </w:rPr>
              <w:t>Quarter-end value of gross</w:t>
            </w:r>
            <w:r>
              <w:rPr>
                <w:szCs w:val="17"/>
                <w:lang w:eastAsia="it-IT"/>
              </w:rPr>
              <w:t xml:space="preserve"> amount of</w:t>
            </w:r>
            <w:r w:rsidRPr="00163353">
              <w:rPr>
                <w:szCs w:val="17"/>
                <w:lang w:eastAsia="it-IT"/>
              </w:rPr>
              <w:t xml:space="preserve"> SFT as</w:t>
            </w:r>
            <w:r>
              <w:rPr>
                <w:szCs w:val="17"/>
                <w:lang w:eastAsia="it-IT"/>
              </w:rPr>
              <w:t xml:space="preserve">sets, after adjustment for sale </w:t>
            </w:r>
            <w:r w:rsidRPr="00163353">
              <w:rPr>
                <w:szCs w:val="17"/>
                <w:lang w:eastAsia="it-IT"/>
              </w:rPr>
              <w:t>accounting transactions and nette</w:t>
            </w:r>
            <w:r>
              <w:rPr>
                <w:szCs w:val="17"/>
                <w:lang w:eastAsia="it-IT"/>
              </w:rPr>
              <w:t xml:space="preserve">d of amounts of associated cash </w:t>
            </w:r>
            <w:r w:rsidRPr="00163353">
              <w:rPr>
                <w:szCs w:val="17"/>
                <w:lang w:eastAsia="it-IT"/>
              </w:rPr>
              <w:t>payables and cash receivables</w:t>
            </w:r>
          </w:p>
        </w:tc>
        <w:tc>
          <w:tcPr>
            <w:tcW w:w="1205" w:type="dxa"/>
            <w:tcBorders>
              <w:top w:val="single" w:sz="6" w:space="0" w:color="auto"/>
              <w:left w:val="single" w:sz="6" w:space="0" w:color="auto"/>
              <w:bottom w:val="single" w:sz="6" w:space="0" w:color="auto"/>
              <w:right w:val="single" w:sz="6" w:space="0" w:color="auto"/>
            </w:tcBorders>
            <w:shd w:val="clear" w:color="auto" w:fill="auto"/>
          </w:tcPr>
          <w:p w14:paraId="0AC9C128" w14:textId="77777777" w:rsidR="006E3FEB" w:rsidRPr="00E30DEC" w:rsidRDefault="006E3FEB" w:rsidP="00E72AD3">
            <w:pPr>
              <w:pStyle w:val="TableText"/>
              <w:snapToGrid w:val="0"/>
              <w:ind w:left="57"/>
              <w:rPr>
                <w:lang w:eastAsia="it-IT"/>
              </w:rPr>
            </w:pPr>
          </w:p>
        </w:tc>
        <w:tc>
          <w:tcPr>
            <w:tcW w:w="1205" w:type="dxa"/>
            <w:tcBorders>
              <w:top w:val="single" w:sz="6" w:space="0" w:color="auto"/>
              <w:left w:val="single" w:sz="6" w:space="0" w:color="auto"/>
              <w:bottom w:val="single" w:sz="6" w:space="0" w:color="auto"/>
              <w:right w:val="single" w:sz="4" w:space="0" w:color="auto"/>
            </w:tcBorders>
            <w:shd w:val="clear" w:color="auto" w:fill="auto"/>
          </w:tcPr>
          <w:p w14:paraId="7903C88F" w14:textId="77777777" w:rsidR="006E3FEB" w:rsidRPr="00E30DEC" w:rsidRDefault="006E3FEB" w:rsidP="00E72AD3">
            <w:pPr>
              <w:pStyle w:val="TableText"/>
              <w:snapToGrid w:val="0"/>
              <w:rPr>
                <w:lang w:eastAsia="it-IT"/>
              </w:rPr>
            </w:pPr>
          </w:p>
        </w:tc>
      </w:tr>
      <w:tr w:rsidR="006E3FEB" w:rsidRPr="00E30DEC" w14:paraId="60755228" w14:textId="77777777" w:rsidTr="00E72AD3">
        <w:trPr>
          <w:cantSplit/>
          <w:trHeight w:val="270"/>
        </w:trPr>
        <w:tc>
          <w:tcPr>
            <w:tcW w:w="567" w:type="dxa"/>
            <w:tcBorders>
              <w:top w:val="single" w:sz="4" w:space="0" w:color="auto"/>
              <w:left w:val="nil"/>
              <w:bottom w:val="single" w:sz="4" w:space="0" w:color="auto"/>
              <w:right w:val="single" w:sz="6" w:space="0" w:color="auto"/>
            </w:tcBorders>
            <w:shd w:val="clear" w:color="auto" w:fill="auto"/>
          </w:tcPr>
          <w:p w14:paraId="1A7CFCDA" w14:textId="77777777" w:rsidR="006E3FEB" w:rsidRPr="00EF4ECD" w:rsidRDefault="006E3FEB" w:rsidP="00E72AD3">
            <w:pPr>
              <w:pStyle w:val="TableText"/>
              <w:tabs>
                <w:tab w:val="left" w:pos="264"/>
              </w:tabs>
              <w:snapToGrid w:val="0"/>
              <w:spacing w:line="288" w:lineRule="auto"/>
              <w:rPr>
                <w:sz w:val="16"/>
                <w:szCs w:val="16"/>
                <w:lang w:eastAsia="en-GB"/>
              </w:rPr>
            </w:pPr>
            <w:r>
              <w:rPr>
                <w:sz w:val="16"/>
                <w:szCs w:val="16"/>
                <w:lang w:eastAsia="en-GB"/>
              </w:rPr>
              <w:lastRenderedPageBreak/>
              <w:t>30 &amp; 30a</w:t>
            </w:r>
          </w:p>
        </w:tc>
        <w:tc>
          <w:tcPr>
            <w:tcW w:w="6237" w:type="dxa"/>
            <w:tcBorders>
              <w:top w:val="single" w:sz="6" w:space="0" w:color="auto"/>
              <w:left w:val="single" w:sz="6" w:space="0" w:color="auto"/>
              <w:bottom w:val="single" w:sz="6" w:space="0" w:color="auto"/>
              <w:right w:val="single" w:sz="6" w:space="0" w:color="auto"/>
            </w:tcBorders>
            <w:shd w:val="clear" w:color="auto" w:fill="auto"/>
          </w:tcPr>
          <w:p w14:paraId="47FCE533" w14:textId="0BB846A5" w:rsidR="006E3FEB" w:rsidRPr="00163353" w:rsidRDefault="006E3FEB" w:rsidP="00E72AD3">
            <w:pPr>
              <w:pStyle w:val="TableText"/>
              <w:snapToGrid w:val="0"/>
              <w:ind w:left="57" w:rightChars="71" w:right="142"/>
              <w:rPr>
                <w:szCs w:val="17"/>
                <w:lang w:eastAsia="it-IT"/>
              </w:rPr>
            </w:pPr>
            <w:r>
              <w:rPr>
                <w:szCs w:val="17"/>
                <w:lang w:eastAsia="it-IT"/>
              </w:rPr>
              <w:t xml:space="preserve">Total exposures based on mean values </w:t>
            </w:r>
            <w:r w:rsidRPr="00163353">
              <w:rPr>
                <w:szCs w:val="17"/>
                <w:lang w:eastAsia="it-IT"/>
              </w:rPr>
              <w:t>from row 28 of gross as</w:t>
            </w:r>
            <w:r>
              <w:rPr>
                <w:szCs w:val="17"/>
                <w:lang w:eastAsia="it-IT"/>
              </w:rPr>
              <w:t xml:space="preserve">sets of SFTs (after adjustment for sale </w:t>
            </w:r>
            <w:r w:rsidRPr="00163353">
              <w:rPr>
                <w:szCs w:val="17"/>
                <w:lang w:eastAsia="it-IT"/>
              </w:rPr>
              <w:t>acco</w:t>
            </w:r>
            <w:r>
              <w:rPr>
                <w:szCs w:val="17"/>
                <w:lang w:eastAsia="it-IT"/>
              </w:rPr>
              <w:t>unting transactions and netted</w:t>
            </w:r>
            <w:r w:rsidRPr="00163353">
              <w:rPr>
                <w:szCs w:val="17"/>
                <w:lang w:eastAsia="it-IT"/>
              </w:rPr>
              <w:t xml:space="preserve"> amounts of associated ca</w:t>
            </w:r>
            <w:r>
              <w:rPr>
                <w:szCs w:val="17"/>
                <w:lang w:eastAsia="it-IT"/>
              </w:rPr>
              <w:t xml:space="preserve">sh </w:t>
            </w:r>
            <w:r w:rsidRPr="00163353">
              <w:rPr>
                <w:szCs w:val="17"/>
                <w:lang w:eastAsia="it-IT"/>
              </w:rPr>
              <w:t>payables and cash receivables)</w:t>
            </w:r>
          </w:p>
        </w:tc>
        <w:tc>
          <w:tcPr>
            <w:tcW w:w="1205" w:type="dxa"/>
            <w:tcBorders>
              <w:top w:val="single" w:sz="6" w:space="0" w:color="auto"/>
              <w:left w:val="single" w:sz="6" w:space="0" w:color="auto"/>
              <w:bottom w:val="single" w:sz="6" w:space="0" w:color="auto"/>
              <w:right w:val="single" w:sz="6" w:space="0" w:color="auto"/>
            </w:tcBorders>
            <w:shd w:val="clear" w:color="auto" w:fill="auto"/>
          </w:tcPr>
          <w:p w14:paraId="4BF1C399" w14:textId="77777777" w:rsidR="006E3FEB" w:rsidRPr="00E30DEC" w:rsidRDefault="006E3FEB" w:rsidP="00E72AD3">
            <w:pPr>
              <w:pStyle w:val="TableText"/>
              <w:snapToGrid w:val="0"/>
              <w:ind w:left="57"/>
              <w:rPr>
                <w:lang w:eastAsia="it-IT"/>
              </w:rPr>
            </w:pPr>
          </w:p>
        </w:tc>
        <w:tc>
          <w:tcPr>
            <w:tcW w:w="1205" w:type="dxa"/>
            <w:tcBorders>
              <w:top w:val="single" w:sz="6" w:space="0" w:color="auto"/>
              <w:left w:val="single" w:sz="6" w:space="0" w:color="auto"/>
              <w:bottom w:val="single" w:sz="6" w:space="0" w:color="auto"/>
              <w:right w:val="single" w:sz="4" w:space="0" w:color="auto"/>
            </w:tcBorders>
            <w:shd w:val="clear" w:color="auto" w:fill="auto"/>
          </w:tcPr>
          <w:p w14:paraId="14E997E8" w14:textId="77777777" w:rsidR="006E3FEB" w:rsidRPr="00E30DEC" w:rsidRDefault="006E3FEB" w:rsidP="00E72AD3">
            <w:pPr>
              <w:pStyle w:val="TableText"/>
              <w:snapToGrid w:val="0"/>
              <w:rPr>
                <w:lang w:eastAsia="it-IT"/>
              </w:rPr>
            </w:pPr>
          </w:p>
        </w:tc>
      </w:tr>
      <w:tr w:rsidR="006E3FEB" w:rsidRPr="00E30DEC" w14:paraId="1169F35C" w14:textId="77777777" w:rsidTr="00E72AD3">
        <w:trPr>
          <w:cantSplit/>
          <w:trHeight w:val="270"/>
        </w:trPr>
        <w:tc>
          <w:tcPr>
            <w:tcW w:w="567" w:type="dxa"/>
            <w:tcBorders>
              <w:top w:val="single" w:sz="4" w:space="0" w:color="auto"/>
              <w:left w:val="nil"/>
              <w:bottom w:val="single" w:sz="4" w:space="0" w:color="auto"/>
              <w:right w:val="single" w:sz="6" w:space="0" w:color="auto"/>
            </w:tcBorders>
            <w:shd w:val="clear" w:color="auto" w:fill="auto"/>
          </w:tcPr>
          <w:p w14:paraId="0FDDAF30" w14:textId="77777777" w:rsidR="006E3FEB" w:rsidRPr="00EB5863" w:rsidRDefault="006E3FEB" w:rsidP="00E72AD3">
            <w:pPr>
              <w:pStyle w:val="TableText"/>
              <w:tabs>
                <w:tab w:val="left" w:pos="254"/>
              </w:tabs>
              <w:snapToGrid w:val="0"/>
              <w:spacing w:line="288" w:lineRule="auto"/>
              <w:rPr>
                <w:sz w:val="16"/>
                <w:szCs w:val="16"/>
                <w:lang w:eastAsia="en-GB"/>
              </w:rPr>
            </w:pPr>
            <w:r>
              <w:rPr>
                <w:sz w:val="16"/>
                <w:szCs w:val="16"/>
                <w:lang w:eastAsia="en-GB"/>
              </w:rPr>
              <w:t>31 &amp; 31a</w:t>
            </w:r>
          </w:p>
        </w:tc>
        <w:tc>
          <w:tcPr>
            <w:tcW w:w="6237" w:type="dxa"/>
            <w:tcBorders>
              <w:top w:val="single" w:sz="6" w:space="0" w:color="auto"/>
              <w:left w:val="single" w:sz="6" w:space="0" w:color="auto"/>
              <w:bottom w:val="single" w:sz="6" w:space="0" w:color="auto"/>
              <w:right w:val="single" w:sz="6" w:space="0" w:color="auto"/>
            </w:tcBorders>
            <w:shd w:val="clear" w:color="auto" w:fill="auto"/>
          </w:tcPr>
          <w:p w14:paraId="46967212" w14:textId="7DC21ABD" w:rsidR="006E3FEB" w:rsidRPr="00163353" w:rsidRDefault="006E3FEB" w:rsidP="00E72AD3">
            <w:pPr>
              <w:pStyle w:val="TableText"/>
              <w:snapToGrid w:val="0"/>
              <w:ind w:left="57" w:rightChars="71" w:right="142"/>
              <w:rPr>
                <w:szCs w:val="17"/>
                <w:lang w:eastAsia="it-IT"/>
              </w:rPr>
            </w:pPr>
            <w:r>
              <w:rPr>
                <w:szCs w:val="17"/>
                <w:lang w:eastAsia="it-IT"/>
              </w:rPr>
              <w:t>L</w:t>
            </w:r>
            <w:r w:rsidRPr="00741274">
              <w:rPr>
                <w:szCs w:val="17"/>
                <w:lang w:eastAsia="it-IT"/>
              </w:rPr>
              <w:t xml:space="preserve">everage ratio </w:t>
            </w:r>
            <w:r>
              <w:rPr>
                <w:szCs w:val="17"/>
                <w:lang w:eastAsia="it-IT"/>
              </w:rPr>
              <w:t xml:space="preserve">based on </w:t>
            </w:r>
            <w:r w:rsidRPr="00741274">
              <w:rPr>
                <w:szCs w:val="17"/>
                <w:lang w:eastAsia="it-IT"/>
              </w:rPr>
              <w:t xml:space="preserve">mean values from row 28 of gross </w:t>
            </w:r>
            <w:r>
              <w:rPr>
                <w:szCs w:val="17"/>
                <w:lang w:eastAsia="it-IT"/>
              </w:rPr>
              <w:t xml:space="preserve">assets of SFTs (after adjustment for </w:t>
            </w:r>
            <w:r w:rsidRPr="00741274">
              <w:rPr>
                <w:szCs w:val="17"/>
                <w:lang w:eastAsia="it-IT"/>
              </w:rPr>
              <w:t xml:space="preserve">sale accounting transactions and </w:t>
            </w:r>
            <w:r>
              <w:rPr>
                <w:szCs w:val="17"/>
                <w:lang w:eastAsia="it-IT"/>
              </w:rPr>
              <w:t xml:space="preserve">netted amounts of associated </w:t>
            </w:r>
            <w:r w:rsidRPr="00741274">
              <w:rPr>
                <w:szCs w:val="17"/>
                <w:lang w:eastAsia="it-IT"/>
              </w:rPr>
              <w:t>cash payables and cash receivables)</w:t>
            </w:r>
          </w:p>
        </w:tc>
        <w:tc>
          <w:tcPr>
            <w:tcW w:w="1205" w:type="dxa"/>
            <w:tcBorders>
              <w:top w:val="single" w:sz="6" w:space="0" w:color="auto"/>
              <w:left w:val="single" w:sz="6" w:space="0" w:color="auto"/>
              <w:bottom w:val="single" w:sz="6" w:space="0" w:color="auto"/>
              <w:right w:val="single" w:sz="6" w:space="0" w:color="auto"/>
            </w:tcBorders>
            <w:shd w:val="clear" w:color="auto" w:fill="auto"/>
          </w:tcPr>
          <w:p w14:paraId="14A2E7C5" w14:textId="77777777" w:rsidR="006E3FEB" w:rsidRPr="00E30DEC" w:rsidRDefault="006E3FEB" w:rsidP="00E72AD3">
            <w:pPr>
              <w:pStyle w:val="TableText"/>
              <w:snapToGrid w:val="0"/>
              <w:ind w:left="57"/>
              <w:rPr>
                <w:lang w:eastAsia="it-IT"/>
              </w:rPr>
            </w:pPr>
          </w:p>
        </w:tc>
        <w:tc>
          <w:tcPr>
            <w:tcW w:w="1205" w:type="dxa"/>
            <w:tcBorders>
              <w:top w:val="single" w:sz="6" w:space="0" w:color="auto"/>
              <w:left w:val="single" w:sz="6" w:space="0" w:color="auto"/>
              <w:bottom w:val="single" w:sz="6" w:space="0" w:color="auto"/>
              <w:right w:val="single" w:sz="4" w:space="0" w:color="auto"/>
            </w:tcBorders>
            <w:shd w:val="clear" w:color="auto" w:fill="auto"/>
          </w:tcPr>
          <w:p w14:paraId="48A23221" w14:textId="77777777" w:rsidR="006E3FEB" w:rsidRPr="00E30DEC" w:rsidRDefault="006E3FEB" w:rsidP="00E72AD3">
            <w:pPr>
              <w:pStyle w:val="TableText"/>
              <w:snapToGrid w:val="0"/>
              <w:rPr>
                <w:lang w:eastAsia="it-IT"/>
              </w:rPr>
            </w:pPr>
          </w:p>
        </w:tc>
      </w:tr>
      <w:tr w:rsidR="006E3FEB" w:rsidRPr="00E30DEC" w14:paraId="1632520D" w14:textId="77777777" w:rsidTr="00E72AD3">
        <w:trPr>
          <w:cantSplit/>
          <w:trHeight w:val="270"/>
        </w:trPr>
        <w:tc>
          <w:tcPr>
            <w:tcW w:w="9214" w:type="dxa"/>
            <w:gridSpan w:val="4"/>
            <w:tcBorders>
              <w:top w:val="single" w:sz="4" w:space="0" w:color="auto"/>
              <w:left w:val="nil"/>
              <w:bottom w:val="single" w:sz="4" w:space="0" w:color="auto"/>
              <w:right w:val="single" w:sz="4" w:space="0" w:color="auto"/>
            </w:tcBorders>
            <w:shd w:val="clear" w:color="auto" w:fill="auto"/>
          </w:tcPr>
          <w:p w14:paraId="28A9BBF5" w14:textId="20DB7082" w:rsidR="006E3FEB" w:rsidRPr="008F7B62" w:rsidRDefault="008608C1" w:rsidP="00E72AD3">
            <w:pPr>
              <w:pStyle w:val="TableText"/>
              <w:snapToGrid w:val="0"/>
              <w:rPr>
                <w:i/>
                <w:szCs w:val="17"/>
                <w:lang w:eastAsia="it-IT"/>
              </w:rPr>
            </w:pPr>
            <w:r>
              <w:rPr>
                <w:i/>
                <w:szCs w:val="17"/>
                <w:lang w:eastAsia="it-IT"/>
              </w:rPr>
              <w:t>Point</w:t>
            </w:r>
            <w:r w:rsidR="006E3FEB" w:rsidRPr="008F7B62">
              <w:rPr>
                <w:i/>
                <w:szCs w:val="17"/>
                <w:lang w:eastAsia="it-IT"/>
              </w:rPr>
              <w:t xml:space="preserve"> to note:</w:t>
            </w:r>
          </w:p>
          <w:p w14:paraId="129C6DF0" w14:textId="77777777" w:rsidR="006E3FEB" w:rsidRPr="00E30DEC" w:rsidRDefault="006E3FEB" w:rsidP="00E72AD3">
            <w:pPr>
              <w:pStyle w:val="TableText"/>
              <w:snapToGrid w:val="0"/>
              <w:rPr>
                <w:lang w:eastAsia="it-IT"/>
              </w:rPr>
            </w:pPr>
            <w:r w:rsidRPr="008F7B62">
              <w:rPr>
                <w:i/>
                <w:szCs w:val="17"/>
                <w:lang w:eastAsia="it-IT"/>
              </w:rPr>
              <w:t>(i)</w:t>
            </w:r>
            <w:r w:rsidRPr="008F7B62">
              <w:rPr>
                <w:i/>
                <w:szCs w:val="17"/>
                <w:lang w:eastAsia="it-IT"/>
              </w:rPr>
              <w:tab/>
              <w:t>a row shaded yellow represents an item that is not applicable to Hong Kong.</w:t>
            </w:r>
          </w:p>
        </w:tc>
      </w:tr>
    </w:tbl>
    <w:p w14:paraId="2382899A" w14:textId="77777777" w:rsidR="006E3FEB" w:rsidRPr="00E30DEC" w:rsidRDefault="006E3FEB" w:rsidP="006E3FEB">
      <w:pPr>
        <w:spacing w:before="120" w:after="120"/>
        <w:ind w:leftChars="-283" w:left="-566"/>
        <w:rPr>
          <w:sz w:val="22"/>
        </w:rPr>
      </w:pPr>
    </w:p>
    <w:tbl>
      <w:tblPr>
        <w:tblW w:w="88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118"/>
        <w:gridCol w:w="13"/>
      </w:tblGrid>
      <w:tr w:rsidR="006E3FEB" w:rsidRPr="00E30DEC" w14:paraId="405F84DA" w14:textId="77777777" w:rsidTr="00E72AD3">
        <w:trPr>
          <w:tblHeader/>
        </w:trPr>
        <w:tc>
          <w:tcPr>
            <w:tcW w:w="8840" w:type="dxa"/>
            <w:gridSpan w:val="3"/>
            <w:shd w:val="clear" w:color="auto" w:fill="BFBFBF"/>
          </w:tcPr>
          <w:p w14:paraId="61E59A5B" w14:textId="77777777" w:rsidR="006E3FEB" w:rsidRPr="000C1DC0" w:rsidRDefault="006E3FEB" w:rsidP="00E72AD3">
            <w:pPr>
              <w:spacing w:before="40" w:after="40"/>
              <w:jc w:val="both"/>
              <w:rPr>
                <w:b/>
                <w:kern w:val="2"/>
                <w:sz w:val="17"/>
                <w:szCs w:val="17"/>
                <w:lang w:eastAsia="en-GB"/>
              </w:rPr>
            </w:pPr>
            <w:r w:rsidRPr="000C1DC0">
              <w:rPr>
                <w:b/>
                <w:kern w:val="2"/>
                <w:sz w:val="17"/>
                <w:szCs w:val="17"/>
                <w:lang w:eastAsia="en-GB"/>
              </w:rPr>
              <w:t>Explanatory Note</w:t>
            </w:r>
          </w:p>
        </w:tc>
      </w:tr>
      <w:tr w:rsidR="006E3FEB" w:rsidRPr="00E30DEC" w14:paraId="47D39F6D" w14:textId="77777777" w:rsidTr="00E72AD3">
        <w:trPr>
          <w:trHeight w:val="373"/>
        </w:trPr>
        <w:tc>
          <w:tcPr>
            <w:tcW w:w="8840" w:type="dxa"/>
            <w:gridSpan w:val="3"/>
            <w:shd w:val="clear" w:color="auto" w:fill="F2F2F2"/>
          </w:tcPr>
          <w:p w14:paraId="2B787956" w14:textId="77777777" w:rsidR="006E3FEB" w:rsidRPr="000C1DC0" w:rsidRDefault="006E3FEB" w:rsidP="00E72AD3">
            <w:pPr>
              <w:pStyle w:val="TableNote"/>
              <w:spacing w:before="40" w:after="40"/>
              <w:rPr>
                <w:i/>
                <w:kern w:val="2"/>
                <w:sz w:val="17"/>
                <w:szCs w:val="17"/>
              </w:rPr>
            </w:pPr>
            <w:r w:rsidRPr="000C1DC0">
              <w:rPr>
                <w:b/>
                <w:kern w:val="2"/>
                <w:sz w:val="17"/>
                <w:szCs w:val="17"/>
                <w:lang w:eastAsia="en-GB"/>
              </w:rPr>
              <w:t>Rows</w:t>
            </w:r>
          </w:p>
        </w:tc>
      </w:tr>
      <w:tr w:rsidR="006E3FEB" w:rsidRPr="00526CD5" w14:paraId="2E851B86" w14:textId="77777777" w:rsidTr="00E72AD3">
        <w:trPr>
          <w:gridAfter w:val="1"/>
          <w:wAfter w:w="13" w:type="dxa"/>
          <w:trHeight w:val="373"/>
        </w:trPr>
        <w:tc>
          <w:tcPr>
            <w:tcW w:w="709" w:type="dxa"/>
            <w:shd w:val="clear" w:color="auto" w:fill="auto"/>
          </w:tcPr>
          <w:p w14:paraId="1C97E181" w14:textId="77777777" w:rsidR="006E3FEB" w:rsidRPr="00E172EB" w:rsidRDefault="006E3FEB" w:rsidP="00E72AD3">
            <w:pPr>
              <w:keepLines/>
              <w:widowControl w:val="0"/>
              <w:tabs>
                <w:tab w:val="left" w:pos="0"/>
                <w:tab w:val="left" w:pos="397"/>
                <w:tab w:val="left" w:pos="794"/>
                <w:tab w:val="left" w:pos="1191"/>
              </w:tabs>
              <w:spacing w:before="40" w:after="40" w:line="288" w:lineRule="auto"/>
              <w:contextualSpacing/>
              <w:rPr>
                <w:rFonts w:cs="Segoe UI"/>
                <w:kern w:val="2"/>
                <w:sz w:val="17"/>
                <w:szCs w:val="17"/>
                <w:lang w:eastAsia="en-GB"/>
              </w:rPr>
            </w:pPr>
            <w:r w:rsidRPr="00E172EB">
              <w:rPr>
                <w:rFonts w:cs="Segoe UI"/>
                <w:kern w:val="2"/>
                <w:sz w:val="17"/>
                <w:szCs w:val="17"/>
                <w:lang w:eastAsia="en-GB"/>
              </w:rPr>
              <w:t>1</w:t>
            </w:r>
          </w:p>
        </w:tc>
        <w:tc>
          <w:tcPr>
            <w:tcW w:w="8118" w:type="dxa"/>
            <w:shd w:val="clear" w:color="auto" w:fill="auto"/>
          </w:tcPr>
          <w:p w14:paraId="09B2E197" w14:textId="23289CE9" w:rsidR="006E3FEB" w:rsidRPr="000C1DC0" w:rsidRDefault="006E3FEB" w:rsidP="00E72AD3">
            <w:pPr>
              <w:pStyle w:val="TableNote"/>
              <w:spacing w:before="40" w:after="40"/>
              <w:rPr>
                <w:kern w:val="2"/>
                <w:sz w:val="17"/>
                <w:szCs w:val="17"/>
              </w:rPr>
            </w:pPr>
            <w:r w:rsidRPr="000C1DC0">
              <w:rPr>
                <w:kern w:val="2"/>
                <w:sz w:val="17"/>
                <w:szCs w:val="17"/>
              </w:rPr>
              <w:t>An AI should include all consolidated assets on balance sheet as per its financial statements, including collateral for on-balance sheet derivative contracts and for SFTs, with the exception of on-balance sheet derivative contracts and SFT assets that are included in rows 8 to 18.</w:t>
            </w:r>
            <w:r w:rsidRPr="000C1DC0">
              <w:rPr>
                <w:kern w:val="2"/>
                <w:szCs w:val="22"/>
              </w:rPr>
              <w:t xml:space="preserve">  </w:t>
            </w:r>
            <w:r w:rsidRPr="000C1DC0">
              <w:rPr>
                <w:kern w:val="2"/>
                <w:sz w:val="17"/>
                <w:szCs w:val="17"/>
              </w:rPr>
              <w:t xml:space="preserve">Collateral for derivative contracts </w:t>
            </w:r>
            <w:r w:rsidRPr="006C7077">
              <w:rPr>
                <w:kern w:val="2"/>
                <w:sz w:val="17"/>
                <w:szCs w:val="17"/>
              </w:rPr>
              <w:t>and SFTs refer to either collateral received</w:t>
            </w:r>
            <w:r w:rsidRPr="000C1DC0">
              <w:rPr>
                <w:kern w:val="2"/>
                <w:sz w:val="17"/>
                <w:szCs w:val="17"/>
              </w:rPr>
              <w:t xml:space="preserve"> or collateral provided (or any </w:t>
            </w:r>
            <w:r w:rsidRPr="006C7077">
              <w:rPr>
                <w:kern w:val="2"/>
                <w:sz w:val="17"/>
                <w:szCs w:val="17"/>
              </w:rPr>
              <w:t xml:space="preserve">associated receivable asset) </w:t>
            </w:r>
            <w:r>
              <w:rPr>
                <w:kern w:val="2"/>
                <w:sz w:val="17"/>
                <w:szCs w:val="17"/>
              </w:rPr>
              <w:t xml:space="preserve">included </w:t>
            </w:r>
            <w:r w:rsidRPr="006C7077">
              <w:rPr>
                <w:kern w:val="2"/>
                <w:sz w:val="17"/>
                <w:szCs w:val="17"/>
              </w:rPr>
              <w:t xml:space="preserve">as a balance sheet asset. </w:t>
            </w:r>
            <w:r w:rsidRPr="000C1DC0">
              <w:rPr>
                <w:kern w:val="2"/>
                <w:sz w:val="17"/>
                <w:szCs w:val="17"/>
              </w:rPr>
              <w:t xml:space="preserve"> Where an AI is a note-issuing bank as defined under the Legal Tender Notes Issue Ordinance (Cap. 65), the AI’s on-balance sheet exposure should not include, for the purpose of this template, any certificates of indebtedness issued under the Exchange Fund Ordinance (Cap. 66) and held by the AI as cover for legal tender notes issued.</w:t>
            </w:r>
            <w:r>
              <w:rPr>
                <w:kern w:val="2"/>
                <w:sz w:val="17"/>
                <w:szCs w:val="17"/>
              </w:rPr>
              <w:t xml:space="preserve">  </w:t>
            </w:r>
            <w:r w:rsidRPr="006C7077">
              <w:rPr>
                <w:kern w:val="2"/>
                <w:sz w:val="17"/>
                <w:szCs w:val="17"/>
              </w:rPr>
              <w:t>Amounts are to be</w:t>
            </w:r>
            <w:r w:rsidRPr="000C1DC0">
              <w:rPr>
                <w:kern w:val="2"/>
                <w:sz w:val="17"/>
                <w:szCs w:val="17"/>
              </w:rPr>
              <w:t xml:space="preserve"> </w:t>
            </w:r>
            <w:r w:rsidRPr="006C7077">
              <w:rPr>
                <w:kern w:val="2"/>
                <w:sz w:val="17"/>
                <w:szCs w:val="17"/>
              </w:rPr>
              <w:t xml:space="preserve">reported in accordance with </w:t>
            </w:r>
            <w:r w:rsidRPr="000C1DC0">
              <w:rPr>
                <w:kern w:val="2"/>
                <w:sz w:val="17"/>
                <w:szCs w:val="17"/>
              </w:rPr>
              <w:t>the LR framework</w:t>
            </w:r>
            <w:r w:rsidRPr="006C7077">
              <w:rPr>
                <w:kern w:val="2"/>
                <w:sz w:val="17"/>
                <w:szCs w:val="17"/>
              </w:rPr>
              <w:t>.</w:t>
            </w:r>
            <w:r w:rsidRPr="000C1DC0">
              <w:rPr>
                <w:kern w:val="2"/>
                <w:sz w:val="17"/>
                <w:szCs w:val="17"/>
              </w:rPr>
              <w:t xml:space="preserve">  </w:t>
            </w:r>
          </w:p>
        </w:tc>
      </w:tr>
      <w:tr w:rsidR="006E3FEB" w:rsidRPr="00E30DEC" w14:paraId="39EA95D6" w14:textId="77777777" w:rsidTr="00E72AD3">
        <w:trPr>
          <w:gridAfter w:val="1"/>
          <w:wAfter w:w="13" w:type="dxa"/>
          <w:trHeight w:val="373"/>
        </w:trPr>
        <w:tc>
          <w:tcPr>
            <w:tcW w:w="709" w:type="dxa"/>
            <w:shd w:val="clear" w:color="auto" w:fill="auto"/>
          </w:tcPr>
          <w:p w14:paraId="437DA9F6" w14:textId="77777777" w:rsidR="006E3FEB" w:rsidRPr="000C1DC0" w:rsidRDefault="006E3FEB" w:rsidP="00E72AD3">
            <w:pPr>
              <w:pStyle w:val="ListParagraph"/>
              <w:keepLines/>
              <w:widowControl w:val="0"/>
              <w:tabs>
                <w:tab w:val="left" w:pos="150"/>
                <w:tab w:val="left" w:pos="397"/>
                <w:tab w:val="left" w:pos="794"/>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2</w:t>
            </w:r>
          </w:p>
        </w:tc>
        <w:tc>
          <w:tcPr>
            <w:tcW w:w="8118" w:type="dxa"/>
            <w:shd w:val="clear" w:color="auto" w:fill="auto"/>
          </w:tcPr>
          <w:p w14:paraId="46EE2ABE" w14:textId="77777777" w:rsidR="006E3FEB" w:rsidRPr="000C1DC0" w:rsidRDefault="006E3FEB" w:rsidP="00E72AD3">
            <w:pPr>
              <w:pStyle w:val="TableNote"/>
              <w:spacing w:before="40" w:after="40"/>
              <w:rPr>
                <w:kern w:val="2"/>
                <w:sz w:val="17"/>
                <w:szCs w:val="17"/>
              </w:rPr>
            </w:pPr>
            <w:r w:rsidRPr="000C1DC0">
              <w:rPr>
                <w:kern w:val="2"/>
                <w:sz w:val="17"/>
                <w:szCs w:val="17"/>
              </w:rPr>
              <w:t>Grossed-up amount of any collateral provided in relation to exposures arising from derivative contracts where the provision of that collateral has reduced the value of the balance sheet assets under the AI’s applicable accounting standard.</w:t>
            </w:r>
          </w:p>
        </w:tc>
      </w:tr>
      <w:tr w:rsidR="006E3FEB" w:rsidRPr="00E30DEC" w14:paraId="7515DEB3" w14:textId="77777777" w:rsidTr="00E72AD3">
        <w:trPr>
          <w:gridAfter w:val="1"/>
          <w:wAfter w:w="13" w:type="dxa"/>
          <w:trHeight w:val="373"/>
        </w:trPr>
        <w:tc>
          <w:tcPr>
            <w:tcW w:w="709" w:type="dxa"/>
            <w:shd w:val="clear" w:color="auto" w:fill="auto"/>
          </w:tcPr>
          <w:p w14:paraId="77831246" w14:textId="77777777" w:rsidR="006E3FEB" w:rsidRPr="000C1DC0" w:rsidRDefault="006E3FEB" w:rsidP="00E72AD3">
            <w:pPr>
              <w:pStyle w:val="ListParagraph"/>
              <w:keepLines/>
              <w:widowControl w:val="0"/>
              <w:tabs>
                <w:tab w:val="left" w:pos="150"/>
                <w:tab w:val="left" w:pos="397"/>
                <w:tab w:val="left" w:pos="794"/>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3</w:t>
            </w:r>
          </w:p>
        </w:tc>
        <w:tc>
          <w:tcPr>
            <w:tcW w:w="8118" w:type="dxa"/>
            <w:shd w:val="clear" w:color="auto" w:fill="auto"/>
          </w:tcPr>
          <w:p w14:paraId="7A60F7F8" w14:textId="77777777" w:rsidR="006E3FEB" w:rsidRPr="000C1DC0" w:rsidRDefault="006E3FEB" w:rsidP="00E72AD3">
            <w:pPr>
              <w:pStyle w:val="TableNote"/>
              <w:spacing w:before="40" w:after="40"/>
              <w:rPr>
                <w:kern w:val="2"/>
                <w:sz w:val="17"/>
                <w:szCs w:val="17"/>
              </w:rPr>
            </w:pPr>
            <w:r w:rsidRPr="000C1DC0">
              <w:rPr>
                <w:kern w:val="2"/>
                <w:sz w:val="17"/>
                <w:szCs w:val="17"/>
              </w:rPr>
              <w:t>Deductions of receivable assets in respect of cash variation margin provided under derivative contracts where the posting of cash variation margin has resulted in the recognition of a receivable asset under the AI’s applicable accounting standard.  As the adjustments in row 3 reduce the exposure measure, they should be reported as negative figures.</w:t>
            </w:r>
          </w:p>
        </w:tc>
      </w:tr>
      <w:tr w:rsidR="006E3FEB" w:rsidRPr="00E30DEC" w14:paraId="146FCE01" w14:textId="77777777" w:rsidTr="00E72AD3">
        <w:trPr>
          <w:gridAfter w:val="1"/>
          <w:wAfter w:w="13" w:type="dxa"/>
          <w:trHeight w:val="373"/>
        </w:trPr>
        <w:tc>
          <w:tcPr>
            <w:tcW w:w="709" w:type="dxa"/>
            <w:shd w:val="clear" w:color="auto" w:fill="auto"/>
          </w:tcPr>
          <w:p w14:paraId="630D71BC" w14:textId="77777777" w:rsidR="006E3FEB" w:rsidRPr="000C1DC0" w:rsidRDefault="006E3FEB" w:rsidP="00E72AD3">
            <w:pPr>
              <w:pStyle w:val="ListParagraph"/>
              <w:keepLines/>
              <w:widowControl w:val="0"/>
              <w:tabs>
                <w:tab w:val="left" w:pos="150"/>
                <w:tab w:val="left" w:pos="397"/>
                <w:tab w:val="left" w:pos="794"/>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4</w:t>
            </w:r>
          </w:p>
        </w:tc>
        <w:tc>
          <w:tcPr>
            <w:tcW w:w="8118" w:type="dxa"/>
            <w:shd w:val="clear" w:color="auto" w:fill="auto"/>
          </w:tcPr>
          <w:p w14:paraId="15D12B1E" w14:textId="77777777" w:rsidR="006E3FEB" w:rsidRPr="000C1DC0" w:rsidRDefault="006E3FEB" w:rsidP="00E72AD3">
            <w:pPr>
              <w:pStyle w:val="TableNote"/>
              <w:spacing w:before="40" w:after="40"/>
              <w:rPr>
                <w:kern w:val="2"/>
                <w:sz w:val="17"/>
                <w:szCs w:val="17"/>
              </w:rPr>
            </w:pPr>
            <w:r w:rsidRPr="000C1DC0">
              <w:rPr>
                <w:kern w:val="2"/>
                <w:sz w:val="17"/>
                <w:szCs w:val="17"/>
              </w:rPr>
              <w:t>Adjustment for securities received under a SFT where an AI has recognised the securities as an asset on its balance sheet.  These amounts are to be excluded from the exposure measure in accordance with the LR framework in respect of SFT exposures.  As the adjustments in row 4 reduce the exposure measure, they shall be reported as negative figures.</w:t>
            </w:r>
          </w:p>
        </w:tc>
      </w:tr>
      <w:tr w:rsidR="006E3FEB" w:rsidRPr="00E30DEC" w14:paraId="15A5395B" w14:textId="77777777" w:rsidTr="00E72AD3">
        <w:trPr>
          <w:gridAfter w:val="1"/>
          <w:wAfter w:w="13" w:type="dxa"/>
          <w:trHeight w:val="373"/>
        </w:trPr>
        <w:tc>
          <w:tcPr>
            <w:tcW w:w="709" w:type="dxa"/>
            <w:shd w:val="clear" w:color="auto" w:fill="auto"/>
          </w:tcPr>
          <w:p w14:paraId="203EC75E" w14:textId="77777777" w:rsidR="006E3FEB" w:rsidRPr="000C1DC0" w:rsidRDefault="006E3FEB" w:rsidP="00E72AD3">
            <w:pPr>
              <w:pStyle w:val="ListParagraph"/>
              <w:keepLines/>
              <w:widowControl w:val="0"/>
              <w:tabs>
                <w:tab w:val="left" w:pos="150"/>
                <w:tab w:val="left" w:pos="397"/>
                <w:tab w:val="left" w:pos="794"/>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5</w:t>
            </w:r>
          </w:p>
        </w:tc>
        <w:tc>
          <w:tcPr>
            <w:tcW w:w="8118" w:type="dxa"/>
            <w:shd w:val="clear" w:color="auto" w:fill="auto"/>
          </w:tcPr>
          <w:p w14:paraId="2373342C" w14:textId="77777777" w:rsidR="006E3FEB" w:rsidRPr="000C1DC0" w:rsidRDefault="006E3FEB" w:rsidP="00E72AD3">
            <w:pPr>
              <w:pStyle w:val="TableNote"/>
              <w:spacing w:before="40" w:after="40"/>
              <w:rPr>
                <w:kern w:val="2"/>
                <w:sz w:val="17"/>
                <w:szCs w:val="17"/>
              </w:rPr>
            </w:pPr>
            <w:r w:rsidRPr="000C1DC0">
              <w:rPr>
                <w:kern w:val="2"/>
                <w:sz w:val="17"/>
                <w:szCs w:val="17"/>
              </w:rPr>
              <w:t xml:space="preserve">Specific and collective provisions, if any, that reduce the on-balance sheet exposure measures may be presented in this row, provided that such reductions from exposure measures are allowable under </w:t>
            </w:r>
            <w:r>
              <w:rPr>
                <w:kern w:val="2"/>
                <w:sz w:val="17"/>
                <w:szCs w:val="17"/>
              </w:rPr>
              <w:t>Part 1C of the BCR</w:t>
            </w:r>
            <w:r w:rsidRPr="000C1DC0">
              <w:rPr>
                <w:kern w:val="2"/>
                <w:sz w:val="17"/>
                <w:szCs w:val="17"/>
              </w:rPr>
              <w:t>.  As these adjustments reduce the exposure measure, they should be reported as negative figures.</w:t>
            </w:r>
          </w:p>
        </w:tc>
      </w:tr>
      <w:tr w:rsidR="006E3FEB" w:rsidRPr="00E30DEC" w14:paraId="29D1EF5D" w14:textId="77777777" w:rsidTr="00E72AD3">
        <w:trPr>
          <w:gridAfter w:val="1"/>
          <w:wAfter w:w="13" w:type="dxa"/>
          <w:trHeight w:val="373"/>
        </w:trPr>
        <w:tc>
          <w:tcPr>
            <w:tcW w:w="709" w:type="dxa"/>
            <w:shd w:val="clear" w:color="auto" w:fill="auto"/>
          </w:tcPr>
          <w:p w14:paraId="7E960277" w14:textId="68184B9E" w:rsidR="006E3FEB" w:rsidRPr="000C1DC0" w:rsidRDefault="006E3FEB" w:rsidP="00E72AD3">
            <w:pPr>
              <w:pStyle w:val="ListParagraph"/>
              <w:keepLines/>
              <w:widowControl w:val="0"/>
              <w:tabs>
                <w:tab w:val="left" w:pos="150"/>
                <w:tab w:val="left" w:pos="397"/>
                <w:tab w:val="left" w:pos="794"/>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lastRenderedPageBreak/>
              <w:t>6</w:t>
            </w:r>
          </w:p>
        </w:tc>
        <w:tc>
          <w:tcPr>
            <w:tcW w:w="8118" w:type="dxa"/>
            <w:shd w:val="clear" w:color="auto" w:fill="auto"/>
          </w:tcPr>
          <w:p w14:paraId="5BE98817" w14:textId="77777777" w:rsidR="006E3FEB" w:rsidRPr="000C1DC0" w:rsidRDefault="006E3FEB" w:rsidP="00E72AD3">
            <w:pPr>
              <w:keepLines/>
              <w:widowControl w:val="0"/>
              <w:tabs>
                <w:tab w:val="left" w:pos="150"/>
                <w:tab w:val="left" w:pos="397"/>
                <w:tab w:val="left" w:pos="794"/>
                <w:tab w:val="left" w:pos="1191"/>
              </w:tabs>
              <w:spacing w:before="40" w:after="40"/>
              <w:jc w:val="both"/>
              <w:rPr>
                <w:rFonts w:cs="Segoe UI"/>
                <w:kern w:val="2"/>
                <w:sz w:val="17"/>
                <w:szCs w:val="17"/>
              </w:rPr>
            </w:pPr>
            <w:r w:rsidRPr="000C1DC0">
              <w:rPr>
                <w:kern w:val="2"/>
                <w:sz w:val="17"/>
                <w:szCs w:val="17"/>
              </w:rPr>
              <w:t>Adjustments to balance sheet assets due to deductions from Tier 1 capital in accordance with BCR §3ZB(4).  For example:</w:t>
            </w:r>
          </w:p>
          <w:p w14:paraId="2916B3BF" w14:textId="0719D65A" w:rsidR="006E3FEB" w:rsidRPr="005B71E2" w:rsidRDefault="006E3FEB" w:rsidP="00E72AD3">
            <w:pPr>
              <w:pStyle w:val="ListParagraph"/>
              <w:keepLines/>
              <w:widowControl w:val="0"/>
              <w:numPr>
                <w:ilvl w:val="0"/>
                <w:numId w:val="48"/>
              </w:numPr>
              <w:spacing w:before="40" w:after="40"/>
              <w:ind w:leftChars="0" w:left="321" w:hanging="321"/>
              <w:jc w:val="both"/>
              <w:rPr>
                <w:rFonts w:cs="Segoe UI"/>
                <w:kern w:val="2"/>
                <w:sz w:val="17"/>
                <w:szCs w:val="22"/>
                <w:lang w:val="en-US"/>
              </w:rPr>
            </w:pPr>
            <w:r w:rsidRPr="005B71E2">
              <w:rPr>
                <w:rFonts w:cs="Segoe UI"/>
                <w:kern w:val="2"/>
                <w:sz w:val="17"/>
                <w:szCs w:val="22"/>
                <w:lang w:val="en-US"/>
              </w:rPr>
              <w:t xml:space="preserve">Where a financial sector entity is not included in the regulatory scope of consolidation, the amount of any investment in the capital of that entity that is totally or partially deducted from CET1 capital or from additional Tier 1 capital of the </w:t>
            </w:r>
            <w:r>
              <w:rPr>
                <w:rFonts w:cs="Segoe UI"/>
                <w:kern w:val="2"/>
                <w:sz w:val="17"/>
                <w:szCs w:val="22"/>
                <w:lang w:val="en-US"/>
              </w:rPr>
              <w:t>AI</w:t>
            </w:r>
            <w:r w:rsidRPr="005B71E2">
              <w:rPr>
                <w:rFonts w:cs="Segoe UI"/>
                <w:kern w:val="2"/>
                <w:sz w:val="17"/>
                <w:szCs w:val="22"/>
                <w:lang w:val="en-US"/>
              </w:rPr>
              <w:t xml:space="preserve"> following the corresponding deduction approach, may be deducted from the exposure measure.</w:t>
            </w:r>
          </w:p>
          <w:p w14:paraId="66FA749C" w14:textId="77777777" w:rsidR="006E3FEB" w:rsidRPr="005B71E2" w:rsidRDefault="006E3FEB" w:rsidP="00E72AD3">
            <w:pPr>
              <w:pStyle w:val="ListParagraph"/>
              <w:keepLines/>
              <w:widowControl w:val="0"/>
              <w:numPr>
                <w:ilvl w:val="0"/>
                <w:numId w:val="48"/>
              </w:numPr>
              <w:spacing w:before="40" w:after="40"/>
              <w:ind w:leftChars="0" w:left="321" w:hanging="321"/>
              <w:jc w:val="both"/>
              <w:rPr>
                <w:rFonts w:cs="Segoe UI"/>
                <w:kern w:val="2"/>
                <w:sz w:val="17"/>
                <w:szCs w:val="22"/>
                <w:lang w:val="en-US"/>
              </w:rPr>
            </w:pPr>
            <w:r w:rsidRPr="005B71E2">
              <w:rPr>
                <w:rFonts w:cs="Segoe UI"/>
                <w:kern w:val="2"/>
                <w:sz w:val="17"/>
                <w:szCs w:val="22"/>
                <w:lang w:val="en-US"/>
              </w:rPr>
              <w:t>For an AI using the IRB approach to determining capital requirements for credit risk, it is required any excess of the total expected loss over the total eligible provisions be deducted from CET1 capital.  The same amount may be deducted from the exposure measure.</w:t>
            </w:r>
          </w:p>
          <w:p w14:paraId="315876CA" w14:textId="0540E808" w:rsidR="006E3FEB" w:rsidRPr="000C1DC0" w:rsidRDefault="006E3FEB" w:rsidP="00E72AD3">
            <w:pPr>
              <w:keepLines/>
              <w:widowControl w:val="0"/>
              <w:tabs>
                <w:tab w:val="left" w:pos="150"/>
                <w:tab w:val="left" w:pos="397"/>
                <w:tab w:val="left" w:pos="794"/>
                <w:tab w:val="left" w:pos="1191"/>
              </w:tabs>
              <w:spacing w:before="40" w:after="40"/>
              <w:jc w:val="both"/>
              <w:rPr>
                <w:kern w:val="2"/>
                <w:sz w:val="17"/>
                <w:szCs w:val="17"/>
              </w:rPr>
            </w:pPr>
            <w:r w:rsidRPr="000C1DC0">
              <w:rPr>
                <w:rFonts w:cs="Segoe UI"/>
                <w:kern w:val="2"/>
                <w:sz w:val="17"/>
                <w:szCs w:val="17"/>
              </w:rPr>
              <w:t xml:space="preserve">As the adjustments in row 6 reduce </w:t>
            </w:r>
            <w:r w:rsidRPr="000C1DC0">
              <w:rPr>
                <w:kern w:val="2"/>
                <w:sz w:val="17"/>
                <w:szCs w:val="17"/>
              </w:rPr>
              <w:t>the exposure measure, they should be reported as negative figures.</w:t>
            </w:r>
          </w:p>
        </w:tc>
      </w:tr>
      <w:tr w:rsidR="006E3FEB" w:rsidRPr="00E30DEC" w14:paraId="34F0C034" w14:textId="77777777" w:rsidTr="00E72AD3">
        <w:trPr>
          <w:gridAfter w:val="1"/>
          <w:wAfter w:w="13" w:type="dxa"/>
          <w:trHeight w:val="373"/>
        </w:trPr>
        <w:tc>
          <w:tcPr>
            <w:tcW w:w="709" w:type="dxa"/>
            <w:shd w:val="clear" w:color="auto" w:fill="auto"/>
          </w:tcPr>
          <w:p w14:paraId="75D87D4D" w14:textId="26122A43" w:rsidR="006E3FEB" w:rsidRPr="000C1DC0" w:rsidRDefault="006E3FEB" w:rsidP="00E72AD3">
            <w:pPr>
              <w:pStyle w:val="ListParagraph"/>
              <w:keepLines/>
              <w:widowControl w:val="0"/>
              <w:tabs>
                <w:tab w:val="left" w:pos="150"/>
                <w:tab w:val="left" w:pos="397"/>
                <w:tab w:val="left" w:pos="794"/>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7</w:t>
            </w:r>
          </w:p>
        </w:tc>
        <w:tc>
          <w:tcPr>
            <w:tcW w:w="8118" w:type="dxa"/>
            <w:shd w:val="clear" w:color="auto" w:fill="auto"/>
          </w:tcPr>
          <w:p w14:paraId="0D4BEDDC" w14:textId="7A5691D4" w:rsidR="006E3FEB" w:rsidRPr="000C1DC0" w:rsidRDefault="006E3FEB" w:rsidP="00E72AD3">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Sum of values in rows 1 to 6.</w:t>
            </w:r>
          </w:p>
        </w:tc>
      </w:tr>
      <w:tr w:rsidR="006E3FEB" w:rsidRPr="00E30DEC" w14:paraId="67B1363C" w14:textId="77777777" w:rsidTr="00E72AD3">
        <w:trPr>
          <w:gridAfter w:val="1"/>
          <w:wAfter w:w="13" w:type="dxa"/>
          <w:trHeight w:val="373"/>
        </w:trPr>
        <w:tc>
          <w:tcPr>
            <w:tcW w:w="709" w:type="dxa"/>
            <w:shd w:val="clear" w:color="auto" w:fill="auto"/>
          </w:tcPr>
          <w:p w14:paraId="130A55F9" w14:textId="6625785C" w:rsidR="006E3FEB" w:rsidRPr="000C1DC0" w:rsidRDefault="006E3FEB" w:rsidP="00E72AD3">
            <w:pPr>
              <w:pStyle w:val="ListParagraph"/>
              <w:keepLines/>
              <w:widowControl w:val="0"/>
              <w:tabs>
                <w:tab w:val="left" w:pos="150"/>
                <w:tab w:val="left" w:pos="397"/>
                <w:tab w:val="left" w:pos="794"/>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8</w:t>
            </w:r>
          </w:p>
        </w:tc>
        <w:tc>
          <w:tcPr>
            <w:tcW w:w="8118" w:type="dxa"/>
            <w:shd w:val="clear" w:color="auto" w:fill="auto"/>
          </w:tcPr>
          <w:p w14:paraId="0E90E516" w14:textId="4687557C" w:rsidR="006E3FEB" w:rsidRPr="000C1DC0" w:rsidRDefault="006E3FEB" w:rsidP="00E72AD3">
            <w:pPr>
              <w:rPr>
                <w:kern w:val="2"/>
                <w:sz w:val="17"/>
                <w:szCs w:val="17"/>
              </w:rPr>
            </w:pPr>
            <w:r w:rsidRPr="000C1DC0">
              <w:rPr>
                <w:kern w:val="2"/>
                <w:sz w:val="17"/>
                <w:szCs w:val="17"/>
              </w:rPr>
              <w:t>Replacement cost (“RC”) associated with all derivative contracts (including exposures resulting from direct transactions between a client and a CCP where the AI guarantees the performance of its clients’ derivative trade exposures to the CCP), net of cash variation margin received and with, where applicable, bilateral netting under a qualifying bilateral netting agreement.  This amount should be reported after applying the 1.4 alpha factor.</w:t>
            </w:r>
          </w:p>
        </w:tc>
      </w:tr>
      <w:tr w:rsidR="006E3FEB" w:rsidRPr="00E30DEC" w14:paraId="5B5D0D8E" w14:textId="77777777" w:rsidTr="00E72AD3">
        <w:trPr>
          <w:gridAfter w:val="1"/>
          <w:wAfter w:w="13" w:type="dxa"/>
          <w:trHeight w:val="373"/>
        </w:trPr>
        <w:tc>
          <w:tcPr>
            <w:tcW w:w="709" w:type="dxa"/>
            <w:shd w:val="clear" w:color="auto" w:fill="auto"/>
          </w:tcPr>
          <w:p w14:paraId="147A934F" w14:textId="50E75DBF" w:rsidR="006E3FEB" w:rsidRPr="000C1DC0" w:rsidRDefault="006E3FEB" w:rsidP="00E72AD3">
            <w:pPr>
              <w:pStyle w:val="ListParagraph"/>
              <w:keepLines/>
              <w:widowControl w:val="0"/>
              <w:tabs>
                <w:tab w:val="left" w:pos="150"/>
                <w:tab w:val="left" w:pos="397"/>
                <w:tab w:val="left" w:pos="794"/>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9</w:t>
            </w:r>
          </w:p>
        </w:tc>
        <w:tc>
          <w:tcPr>
            <w:tcW w:w="8118" w:type="dxa"/>
            <w:shd w:val="clear" w:color="auto" w:fill="auto"/>
          </w:tcPr>
          <w:p w14:paraId="3D720CAD" w14:textId="77777777" w:rsidR="006E3FEB" w:rsidRPr="000C1DC0" w:rsidRDefault="006E3FEB" w:rsidP="00E72AD3">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 xml:space="preserve">Add-on amount for the potential future exposure (“PFE”) of all exposures arising from derivative contracts.  This amount should be reported after applying the 1.4 alpha factor. </w:t>
            </w:r>
          </w:p>
        </w:tc>
      </w:tr>
      <w:tr w:rsidR="006E3FEB" w:rsidRPr="00E30DEC" w14:paraId="48A7465D" w14:textId="77777777" w:rsidTr="00E72AD3">
        <w:trPr>
          <w:gridAfter w:val="1"/>
          <w:wAfter w:w="13" w:type="dxa"/>
          <w:trHeight w:val="373"/>
        </w:trPr>
        <w:tc>
          <w:tcPr>
            <w:tcW w:w="709" w:type="dxa"/>
            <w:shd w:val="clear" w:color="auto" w:fill="auto"/>
          </w:tcPr>
          <w:p w14:paraId="6F03D987" w14:textId="57045136" w:rsidR="006E3FEB" w:rsidRPr="000C1DC0" w:rsidRDefault="006E3FEB" w:rsidP="00E72AD3">
            <w:pPr>
              <w:pStyle w:val="ListParagraph"/>
              <w:keepLines/>
              <w:widowControl w:val="0"/>
              <w:tabs>
                <w:tab w:val="left" w:pos="150"/>
                <w:tab w:val="left" w:pos="397"/>
                <w:tab w:val="left" w:pos="794"/>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10</w:t>
            </w:r>
          </w:p>
        </w:tc>
        <w:tc>
          <w:tcPr>
            <w:tcW w:w="8118" w:type="dxa"/>
            <w:shd w:val="clear" w:color="auto" w:fill="auto"/>
          </w:tcPr>
          <w:p w14:paraId="01BCF247" w14:textId="5BAC62E0" w:rsidR="006E3FEB" w:rsidRPr="000C1DC0" w:rsidRDefault="006E3FEB" w:rsidP="00E72AD3">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Exempted trade exposures associated with the CCP leg of derivative contracts resulting from client-cleared transactions or which the clearing member, based on the contractual arrangements with the client, is not obligated to reimburse the client for any losses suffered due to changes in the value of its transactions in the event that a QCCP defaults.  As the adjustments in row 10 reduce the exposure measure, they should be reported as negative figures.</w:t>
            </w:r>
          </w:p>
        </w:tc>
      </w:tr>
      <w:tr w:rsidR="006E3FEB" w:rsidRPr="00E30DEC" w14:paraId="58063008" w14:textId="77777777" w:rsidTr="00E72AD3">
        <w:trPr>
          <w:gridAfter w:val="1"/>
          <w:wAfter w:w="13" w:type="dxa"/>
          <w:trHeight w:val="373"/>
        </w:trPr>
        <w:tc>
          <w:tcPr>
            <w:tcW w:w="709" w:type="dxa"/>
            <w:shd w:val="clear" w:color="auto" w:fill="auto"/>
          </w:tcPr>
          <w:p w14:paraId="54433CF2" w14:textId="7F5A188B" w:rsidR="006E3FEB" w:rsidRPr="000C1DC0" w:rsidRDefault="006E3FEB" w:rsidP="00E72AD3">
            <w:pPr>
              <w:pStyle w:val="ListParagraph"/>
              <w:keepLines/>
              <w:widowControl w:val="0"/>
              <w:tabs>
                <w:tab w:val="left" w:pos="150"/>
                <w:tab w:val="left" w:pos="397"/>
                <w:tab w:val="left" w:pos="794"/>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11</w:t>
            </w:r>
          </w:p>
        </w:tc>
        <w:tc>
          <w:tcPr>
            <w:tcW w:w="8118" w:type="dxa"/>
            <w:shd w:val="clear" w:color="auto" w:fill="auto"/>
          </w:tcPr>
          <w:p w14:paraId="3285F49E" w14:textId="635BF7D9" w:rsidR="006E3FEB" w:rsidRPr="000C1DC0" w:rsidRDefault="006E3FEB" w:rsidP="00E72AD3">
            <w:pPr>
              <w:keepLines/>
              <w:widowControl w:val="0"/>
              <w:tabs>
                <w:tab w:val="left" w:pos="150"/>
                <w:tab w:val="left" w:pos="397"/>
                <w:tab w:val="left" w:pos="794"/>
                <w:tab w:val="left" w:pos="1191"/>
              </w:tabs>
              <w:spacing w:before="40" w:after="40"/>
              <w:jc w:val="both"/>
              <w:rPr>
                <w:kern w:val="2"/>
                <w:sz w:val="17"/>
                <w:szCs w:val="17"/>
              </w:rPr>
            </w:pPr>
            <w:r>
              <w:rPr>
                <w:kern w:val="2"/>
                <w:sz w:val="17"/>
                <w:szCs w:val="17"/>
              </w:rPr>
              <w:t>T</w:t>
            </w:r>
            <w:r w:rsidRPr="000C1DC0">
              <w:rPr>
                <w:kern w:val="2"/>
                <w:sz w:val="17"/>
                <w:szCs w:val="17"/>
              </w:rPr>
              <w:t>he effective notional amount of written credit-related derivative contracts, which may be reduced by the total amount of negative changes in fair value amounts that have been incorporated into the calculation of Tier 1 capital with respect to written credit-related derivative contracts.</w:t>
            </w:r>
          </w:p>
        </w:tc>
      </w:tr>
      <w:tr w:rsidR="006E3FEB" w:rsidRPr="00E30DEC" w14:paraId="37C368AD" w14:textId="77777777" w:rsidTr="00E72AD3">
        <w:trPr>
          <w:gridAfter w:val="1"/>
          <w:wAfter w:w="13" w:type="dxa"/>
          <w:trHeight w:val="373"/>
        </w:trPr>
        <w:tc>
          <w:tcPr>
            <w:tcW w:w="709" w:type="dxa"/>
            <w:shd w:val="clear" w:color="auto" w:fill="auto"/>
          </w:tcPr>
          <w:p w14:paraId="006D8C8F" w14:textId="5A4021FD" w:rsidR="006E3FEB" w:rsidRPr="000C1DC0" w:rsidRDefault="006E3FEB" w:rsidP="00E72AD3">
            <w:pPr>
              <w:pStyle w:val="ListParagraph"/>
              <w:keepLines/>
              <w:widowControl w:val="0"/>
              <w:tabs>
                <w:tab w:val="left" w:pos="150"/>
                <w:tab w:val="left" w:pos="397"/>
                <w:tab w:val="left" w:pos="794"/>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12</w:t>
            </w:r>
          </w:p>
        </w:tc>
        <w:tc>
          <w:tcPr>
            <w:tcW w:w="8118" w:type="dxa"/>
            <w:shd w:val="clear" w:color="auto" w:fill="auto"/>
          </w:tcPr>
          <w:p w14:paraId="05B601C6" w14:textId="77777777" w:rsidR="006E3FEB" w:rsidRPr="000C1DC0" w:rsidRDefault="006E3FEB" w:rsidP="00E72AD3">
            <w:pPr>
              <w:keepLines/>
              <w:widowControl w:val="0"/>
              <w:tabs>
                <w:tab w:val="left" w:pos="150"/>
                <w:tab w:val="left" w:pos="397"/>
                <w:tab w:val="left" w:pos="794"/>
                <w:tab w:val="left" w:pos="1191"/>
              </w:tabs>
              <w:spacing w:before="40" w:after="40"/>
              <w:jc w:val="both"/>
              <w:rPr>
                <w:rFonts w:cs="Segoe UI"/>
                <w:kern w:val="2"/>
                <w:sz w:val="17"/>
                <w:szCs w:val="17"/>
              </w:rPr>
            </w:pPr>
            <w:r w:rsidRPr="000C1DC0">
              <w:rPr>
                <w:kern w:val="2"/>
                <w:sz w:val="17"/>
                <w:szCs w:val="17"/>
              </w:rPr>
              <w:t>Adjustments relatin</w:t>
            </w:r>
            <w:r w:rsidRPr="000C1DC0">
              <w:rPr>
                <w:rFonts w:cs="Segoe UI"/>
                <w:kern w:val="2"/>
                <w:sz w:val="17"/>
                <w:szCs w:val="17"/>
              </w:rPr>
              <w:t>g to:</w:t>
            </w:r>
          </w:p>
          <w:p w14:paraId="326EC8C5" w14:textId="77777777" w:rsidR="006E3FEB" w:rsidRPr="000C1DC0" w:rsidRDefault="006E3FEB" w:rsidP="00E72AD3">
            <w:pPr>
              <w:pStyle w:val="ListParagraph"/>
              <w:keepLines/>
              <w:widowControl w:val="0"/>
              <w:numPr>
                <w:ilvl w:val="0"/>
                <w:numId w:val="57"/>
              </w:numPr>
              <w:tabs>
                <w:tab w:val="left" w:pos="341"/>
              </w:tabs>
              <w:spacing w:before="40" w:after="40" w:line="288" w:lineRule="auto"/>
              <w:ind w:leftChars="0" w:left="341" w:hanging="283"/>
              <w:contextualSpacing/>
              <w:jc w:val="both"/>
              <w:rPr>
                <w:rFonts w:cs="Segoe UI"/>
                <w:kern w:val="2"/>
                <w:sz w:val="17"/>
                <w:szCs w:val="22"/>
              </w:rPr>
            </w:pPr>
            <w:r w:rsidRPr="000C1DC0">
              <w:rPr>
                <w:rFonts w:cs="Segoe UI"/>
                <w:kern w:val="2"/>
                <w:sz w:val="17"/>
                <w:szCs w:val="22"/>
              </w:rPr>
              <w:t>The amount by which the notional amount of a written credit</w:t>
            </w:r>
            <w:r w:rsidRPr="000C1DC0">
              <w:rPr>
                <w:rFonts w:cs="Segoe UI"/>
                <w:kern w:val="2"/>
                <w:sz w:val="17"/>
                <w:szCs w:val="17"/>
              </w:rPr>
              <w:t>-related</w:t>
            </w:r>
            <w:r w:rsidRPr="000C1DC0">
              <w:rPr>
                <w:rFonts w:cs="Segoe UI"/>
                <w:kern w:val="2"/>
                <w:sz w:val="17"/>
                <w:szCs w:val="22"/>
              </w:rPr>
              <w:t xml:space="preserve"> derivative is reduced by a purchased credit</w:t>
            </w:r>
            <w:r w:rsidRPr="000C1DC0">
              <w:rPr>
                <w:rFonts w:cs="Segoe UI"/>
                <w:kern w:val="2"/>
                <w:sz w:val="17"/>
                <w:szCs w:val="17"/>
              </w:rPr>
              <w:t>-related</w:t>
            </w:r>
            <w:r w:rsidRPr="000C1DC0">
              <w:rPr>
                <w:rFonts w:cs="Segoe UI"/>
                <w:kern w:val="2"/>
                <w:sz w:val="17"/>
                <w:szCs w:val="22"/>
              </w:rPr>
              <w:t xml:space="preserve"> derivative contract on the same reference name; and</w:t>
            </w:r>
          </w:p>
          <w:p w14:paraId="5F19099C" w14:textId="77777777" w:rsidR="006E3FEB" w:rsidRPr="000C1DC0" w:rsidRDefault="006E3FEB" w:rsidP="00E72AD3">
            <w:pPr>
              <w:pStyle w:val="ListParagraph"/>
              <w:keepLines/>
              <w:widowControl w:val="0"/>
              <w:numPr>
                <w:ilvl w:val="0"/>
                <w:numId w:val="57"/>
              </w:numPr>
              <w:tabs>
                <w:tab w:val="left" w:pos="341"/>
              </w:tabs>
              <w:spacing w:before="40" w:after="40" w:line="288" w:lineRule="auto"/>
              <w:ind w:leftChars="0" w:left="341" w:hanging="283"/>
              <w:contextualSpacing/>
              <w:jc w:val="both"/>
              <w:rPr>
                <w:kern w:val="2"/>
                <w:sz w:val="17"/>
                <w:szCs w:val="22"/>
              </w:rPr>
            </w:pPr>
            <w:r w:rsidRPr="000C1DC0">
              <w:rPr>
                <w:rFonts w:cs="Segoe UI"/>
                <w:kern w:val="2"/>
                <w:sz w:val="17"/>
                <w:szCs w:val="22"/>
              </w:rPr>
              <w:t>The deduction of add-on amounts for PFE in relation to written credit</w:t>
            </w:r>
            <w:r w:rsidRPr="000C1DC0">
              <w:rPr>
                <w:rFonts w:cs="Segoe UI"/>
                <w:kern w:val="2"/>
                <w:sz w:val="17"/>
                <w:szCs w:val="17"/>
              </w:rPr>
              <w:t>-related</w:t>
            </w:r>
            <w:r w:rsidRPr="000C1DC0">
              <w:rPr>
                <w:rFonts w:cs="Segoe UI"/>
                <w:kern w:val="2"/>
                <w:sz w:val="17"/>
                <w:szCs w:val="22"/>
              </w:rPr>
              <w:t xml:space="preserve"> derivative contracts.</w:t>
            </w:r>
          </w:p>
          <w:p w14:paraId="5E9290A1" w14:textId="58F89AC8" w:rsidR="006E3FEB" w:rsidRPr="000C1DC0" w:rsidRDefault="006E3FEB" w:rsidP="00E72AD3">
            <w:pPr>
              <w:keepLines/>
              <w:widowControl w:val="0"/>
              <w:tabs>
                <w:tab w:val="left" w:pos="150"/>
                <w:tab w:val="left" w:pos="397"/>
                <w:tab w:val="left" w:pos="794"/>
                <w:tab w:val="left" w:pos="1191"/>
              </w:tabs>
              <w:spacing w:before="40" w:after="40"/>
              <w:jc w:val="both"/>
              <w:rPr>
                <w:kern w:val="2"/>
                <w:sz w:val="17"/>
                <w:szCs w:val="17"/>
              </w:rPr>
            </w:pPr>
            <w:r w:rsidRPr="000C1DC0">
              <w:rPr>
                <w:rFonts w:cs="Segoe UI"/>
                <w:kern w:val="2"/>
                <w:sz w:val="17"/>
                <w:szCs w:val="17"/>
              </w:rPr>
              <w:t xml:space="preserve">As the adjustments in row </w:t>
            </w:r>
            <w:r w:rsidRPr="000C1DC0">
              <w:rPr>
                <w:kern w:val="2"/>
                <w:sz w:val="17"/>
                <w:szCs w:val="17"/>
              </w:rPr>
              <w:t>12 reduce the exposure measure, they should be reported as negative figures.</w:t>
            </w:r>
          </w:p>
        </w:tc>
      </w:tr>
      <w:tr w:rsidR="006E3FEB" w:rsidRPr="00E30DEC" w14:paraId="6A06315C" w14:textId="77777777" w:rsidTr="00E72AD3">
        <w:trPr>
          <w:gridAfter w:val="1"/>
          <w:wAfter w:w="13" w:type="dxa"/>
          <w:trHeight w:val="373"/>
        </w:trPr>
        <w:tc>
          <w:tcPr>
            <w:tcW w:w="709" w:type="dxa"/>
            <w:shd w:val="clear" w:color="auto" w:fill="auto"/>
          </w:tcPr>
          <w:p w14:paraId="5E9375CF" w14:textId="5456E277" w:rsidR="006E3FEB" w:rsidRPr="000C1DC0" w:rsidRDefault="006E3FEB" w:rsidP="00E72AD3">
            <w:pPr>
              <w:pStyle w:val="ListParagraph"/>
              <w:keepLines/>
              <w:widowControl w:val="0"/>
              <w:tabs>
                <w:tab w:val="left" w:pos="150"/>
                <w:tab w:val="left" w:pos="397"/>
                <w:tab w:val="left" w:pos="794"/>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13</w:t>
            </w:r>
          </w:p>
        </w:tc>
        <w:tc>
          <w:tcPr>
            <w:tcW w:w="8118" w:type="dxa"/>
            <w:shd w:val="clear" w:color="auto" w:fill="auto"/>
          </w:tcPr>
          <w:p w14:paraId="5A1B728B" w14:textId="00CD0BDC" w:rsidR="006E3FEB" w:rsidRPr="000C1DC0" w:rsidRDefault="006E3FEB" w:rsidP="00E72AD3">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Sum of values in rows 8 to 12.</w:t>
            </w:r>
          </w:p>
        </w:tc>
      </w:tr>
      <w:tr w:rsidR="006E3FEB" w:rsidRPr="00E30DEC" w14:paraId="0FC18902" w14:textId="77777777" w:rsidTr="00E72AD3">
        <w:trPr>
          <w:gridAfter w:val="1"/>
          <w:wAfter w:w="13" w:type="dxa"/>
          <w:trHeight w:val="373"/>
        </w:trPr>
        <w:tc>
          <w:tcPr>
            <w:tcW w:w="709" w:type="dxa"/>
            <w:shd w:val="clear" w:color="auto" w:fill="auto"/>
          </w:tcPr>
          <w:p w14:paraId="0AA081B9" w14:textId="554C9B30" w:rsidR="006E3FEB" w:rsidRPr="000C1DC0" w:rsidRDefault="006E3FEB" w:rsidP="00E72AD3">
            <w:pPr>
              <w:pStyle w:val="ListParagraph"/>
              <w:keepLines/>
              <w:widowControl w:val="0"/>
              <w:tabs>
                <w:tab w:val="left" w:pos="150"/>
                <w:tab w:val="left" w:pos="397"/>
                <w:tab w:val="left" w:pos="465"/>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lastRenderedPageBreak/>
              <w:t>14</w:t>
            </w:r>
          </w:p>
        </w:tc>
        <w:tc>
          <w:tcPr>
            <w:tcW w:w="8118" w:type="dxa"/>
            <w:shd w:val="clear" w:color="auto" w:fill="auto"/>
          </w:tcPr>
          <w:p w14:paraId="4A9D4DE1" w14:textId="1717B89F" w:rsidR="006E3FEB" w:rsidRPr="000C1DC0" w:rsidRDefault="006E3FEB" w:rsidP="002A68CB">
            <w:pPr>
              <w:keepLines/>
              <w:widowControl w:val="0"/>
              <w:spacing w:before="40" w:after="40"/>
              <w:jc w:val="both"/>
              <w:rPr>
                <w:kern w:val="2"/>
                <w:sz w:val="17"/>
                <w:szCs w:val="17"/>
              </w:rPr>
            </w:pPr>
            <w:r w:rsidRPr="000C1DC0">
              <w:rPr>
                <w:kern w:val="2"/>
                <w:sz w:val="17"/>
                <w:szCs w:val="17"/>
              </w:rPr>
              <w:t>The gross amount of SFT assets without recognition of netting, other than novation with QCCPs (in which case the final contractual exposure is to replace the gross</w:t>
            </w:r>
            <w:r>
              <w:rPr>
                <w:kern w:val="2"/>
                <w:sz w:val="17"/>
                <w:szCs w:val="17"/>
              </w:rPr>
              <w:t xml:space="preserve"> amount of</w:t>
            </w:r>
            <w:r w:rsidRPr="000C1DC0">
              <w:rPr>
                <w:kern w:val="2"/>
                <w:sz w:val="17"/>
                <w:szCs w:val="17"/>
              </w:rPr>
              <w:t xml:space="preserve"> SFT assets), determined in accordance with the LR framework in respect of SFT exposures (e.g. excluding any securities received under an SFT where the AI has recognised the securities as an asset on its balance sheet), and adjusting for any sale accounting transactions.</w:t>
            </w:r>
          </w:p>
        </w:tc>
      </w:tr>
      <w:tr w:rsidR="006E3FEB" w:rsidRPr="00E30DEC" w14:paraId="3BF1FC3C" w14:textId="77777777" w:rsidTr="00E72AD3">
        <w:trPr>
          <w:gridAfter w:val="1"/>
          <w:wAfter w:w="13" w:type="dxa"/>
          <w:trHeight w:val="373"/>
        </w:trPr>
        <w:tc>
          <w:tcPr>
            <w:tcW w:w="709" w:type="dxa"/>
            <w:shd w:val="clear" w:color="auto" w:fill="auto"/>
          </w:tcPr>
          <w:p w14:paraId="0EB1C428" w14:textId="041272B9" w:rsidR="006E3FEB" w:rsidRPr="000C1DC0" w:rsidRDefault="006E3FEB" w:rsidP="00E72AD3">
            <w:pPr>
              <w:pStyle w:val="ListParagraph"/>
              <w:keepLines/>
              <w:widowControl w:val="0"/>
              <w:tabs>
                <w:tab w:val="left" w:pos="150"/>
                <w:tab w:val="left" w:pos="397"/>
                <w:tab w:val="left" w:pos="465"/>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15</w:t>
            </w:r>
          </w:p>
        </w:tc>
        <w:tc>
          <w:tcPr>
            <w:tcW w:w="8118" w:type="dxa"/>
            <w:shd w:val="clear" w:color="auto" w:fill="auto"/>
          </w:tcPr>
          <w:p w14:paraId="54BEEF5F" w14:textId="77777777" w:rsidR="006E3FEB" w:rsidRPr="000C1DC0" w:rsidRDefault="006E3FEB" w:rsidP="00E72AD3">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Adjustments for cash payables and cash receivables of gross SFT assets with netting determined in accordance with the LR framework in respect of SFT exposures.  As these adjustments reduce the exposure measure, they should be reported as a negative figure.</w:t>
            </w:r>
          </w:p>
        </w:tc>
      </w:tr>
      <w:tr w:rsidR="006E3FEB" w:rsidRPr="00E30DEC" w14:paraId="4C820D74" w14:textId="77777777" w:rsidTr="00E72AD3">
        <w:trPr>
          <w:gridAfter w:val="1"/>
          <w:wAfter w:w="13" w:type="dxa"/>
          <w:trHeight w:val="373"/>
        </w:trPr>
        <w:tc>
          <w:tcPr>
            <w:tcW w:w="709" w:type="dxa"/>
            <w:shd w:val="clear" w:color="auto" w:fill="auto"/>
          </w:tcPr>
          <w:p w14:paraId="4D6652C7" w14:textId="52C7D735" w:rsidR="006E3FEB" w:rsidRPr="000C1DC0" w:rsidRDefault="006E3FEB" w:rsidP="00E72AD3">
            <w:pPr>
              <w:pStyle w:val="ListParagraph"/>
              <w:keepLines/>
              <w:widowControl w:val="0"/>
              <w:tabs>
                <w:tab w:val="left" w:pos="150"/>
                <w:tab w:val="left" w:pos="397"/>
                <w:tab w:val="left" w:pos="465"/>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16</w:t>
            </w:r>
          </w:p>
        </w:tc>
        <w:tc>
          <w:tcPr>
            <w:tcW w:w="8118" w:type="dxa"/>
            <w:shd w:val="clear" w:color="auto" w:fill="auto"/>
          </w:tcPr>
          <w:p w14:paraId="698272FC" w14:textId="77777777" w:rsidR="006E3FEB" w:rsidRPr="000C1DC0" w:rsidRDefault="006E3FEB" w:rsidP="00E72AD3">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The amount of the counterparty credit risk add-on for SFTs determined in accordance with the LR framework in respect of SFT exposures.</w:t>
            </w:r>
          </w:p>
        </w:tc>
      </w:tr>
      <w:tr w:rsidR="006E3FEB" w:rsidRPr="00E30DEC" w14:paraId="303B18F6" w14:textId="77777777" w:rsidTr="00E72AD3">
        <w:trPr>
          <w:gridAfter w:val="1"/>
          <w:wAfter w:w="13" w:type="dxa"/>
          <w:trHeight w:val="373"/>
        </w:trPr>
        <w:tc>
          <w:tcPr>
            <w:tcW w:w="709" w:type="dxa"/>
            <w:shd w:val="clear" w:color="auto" w:fill="auto"/>
          </w:tcPr>
          <w:p w14:paraId="344B082A" w14:textId="5797E857" w:rsidR="006E3FEB" w:rsidRPr="000C1DC0" w:rsidRDefault="006E3FEB" w:rsidP="00E72AD3">
            <w:pPr>
              <w:pStyle w:val="ListParagraph"/>
              <w:keepLines/>
              <w:widowControl w:val="0"/>
              <w:tabs>
                <w:tab w:val="left" w:pos="150"/>
                <w:tab w:val="left" w:pos="397"/>
                <w:tab w:val="left" w:pos="465"/>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17</w:t>
            </w:r>
          </w:p>
        </w:tc>
        <w:tc>
          <w:tcPr>
            <w:tcW w:w="8118" w:type="dxa"/>
            <w:shd w:val="clear" w:color="auto" w:fill="auto"/>
          </w:tcPr>
          <w:p w14:paraId="3D84F1C0" w14:textId="77777777" w:rsidR="006E3FEB" w:rsidRPr="000C1DC0" w:rsidRDefault="006E3FEB" w:rsidP="00E72AD3">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The amount for which the AI acting as an agent in an SFT has provided an indemnity or guarantee determined in accordance with the LR framework in respect of SFT exposures.</w:t>
            </w:r>
          </w:p>
        </w:tc>
      </w:tr>
      <w:tr w:rsidR="006E3FEB" w:rsidRPr="00E30DEC" w14:paraId="7685FD6C" w14:textId="77777777" w:rsidTr="00E72AD3">
        <w:trPr>
          <w:gridAfter w:val="1"/>
          <w:wAfter w:w="13" w:type="dxa"/>
          <w:trHeight w:val="373"/>
        </w:trPr>
        <w:tc>
          <w:tcPr>
            <w:tcW w:w="709" w:type="dxa"/>
            <w:shd w:val="clear" w:color="auto" w:fill="auto"/>
          </w:tcPr>
          <w:p w14:paraId="66395069" w14:textId="79B93482" w:rsidR="006E3FEB" w:rsidRPr="000C1DC0" w:rsidRDefault="006E3FEB" w:rsidP="00E72AD3">
            <w:pPr>
              <w:pStyle w:val="ListParagraph"/>
              <w:keepLines/>
              <w:widowControl w:val="0"/>
              <w:tabs>
                <w:tab w:val="left" w:pos="150"/>
                <w:tab w:val="left" w:pos="397"/>
                <w:tab w:val="left" w:pos="465"/>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18</w:t>
            </w:r>
          </w:p>
        </w:tc>
        <w:tc>
          <w:tcPr>
            <w:tcW w:w="8118" w:type="dxa"/>
            <w:shd w:val="clear" w:color="auto" w:fill="auto"/>
          </w:tcPr>
          <w:p w14:paraId="3FCEAB14" w14:textId="60A0E03A" w:rsidR="006E3FEB" w:rsidRPr="000C1DC0" w:rsidRDefault="006E3FEB" w:rsidP="00E72AD3">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Sum of values in rows 14 to 17.</w:t>
            </w:r>
          </w:p>
        </w:tc>
      </w:tr>
      <w:tr w:rsidR="006E3FEB" w:rsidRPr="00E30DEC" w14:paraId="7D0E4A64" w14:textId="77777777" w:rsidTr="00E72AD3">
        <w:trPr>
          <w:gridAfter w:val="1"/>
          <w:wAfter w:w="13" w:type="dxa"/>
          <w:trHeight w:val="373"/>
        </w:trPr>
        <w:tc>
          <w:tcPr>
            <w:tcW w:w="709" w:type="dxa"/>
            <w:shd w:val="clear" w:color="auto" w:fill="auto"/>
          </w:tcPr>
          <w:p w14:paraId="0D580C4D" w14:textId="16C6ED3C" w:rsidR="006E3FEB" w:rsidRPr="000C1DC0" w:rsidRDefault="006E3FEB" w:rsidP="00E72AD3">
            <w:pPr>
              <w:pStyle w:val="ListParagraph"/>
              <w:keepLines/>
              <w:widowControl w:val="0"/>
              <w:tabs>
                <w:tab w:val="left" w:pos="150"/>
                <w:tab w:val="left" w:pos="397"/>
                <w:tab w:val="left" w:pos="465"/>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19</w:t>
            </w:r>
          </w:p>
        </w:tc>
        <w:tc>
          <w:tcPr>
            <w:tcW w:w="8118" w:type="dxa"/>
            <w:shd w:val="clear" w:color="auto" w:fill="auto"/>
          </w:tcPr>
          <w:p w14:paraId="05DCA764" w14:textId="77777777" w:rsidR="006E3FEB" w:rsidRPr="000C1DC0" w:rsidRDefault="006E3FEB" w:rsidP="00E72AD3">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Total off-balance sheet exposure amounts (excluding off-balance sheet exposure amounts associated with SFT and derivative contracts) on a gross notional basis, before any adjustment for credit conversion factors (“CCFs”).</w:t>
            </w:r>
          </w:p>
        </w:tc>
      </w:tr>
      <w:tr w:rsidR="006E3FEB" w:rsidRPr="00E30DEC" w14:paraId="2BEA3517" w14:textId="77777777" w:rsidTr="00E72AD3">
        <w:trPr>
          <w:gridAfter w:val="1"/>
          <w:wAfter w:w="13" w:type="dxa"/>
          <w:trHeight w:val="373"/>
        </w:trPr>
        <w:tc>
          <w:tcPr>
            <w:tcW w:w="709" w:type="dxa"/>
            <w:shd w:val="clear" w:color="auto" w:fill="auto"/>
          </w:tcPr>
          <w:p w14:paraId="2848DED5" w14:textId="6887DA4E" w:rsidR="006E3FEB" w:rsidRPr="000C1DC0" w:rsidRDefault="006E3FEB" w:rsidP="00E72AD3">
            <w:pPr>
              <w:pStyle w:val="ListParagraph"/>
              <w:keepLines/>
              <w:widowControl w:val="0"/>
              <w:tabs>
                <w:tab w:val="left" w:pos="150"/>
                <w:tab w:val="left" w:pos="397"/>
                <w:tab w:val="left" w:pos="465"/>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20</w:t>
            </w:r>
          </w:p>
        </w:tc>
        <w:tc>
          <w:tcPr>
            <w:tcW w:w="8118" w:type="dxa"/>
            <w:shd w:val="clear" w:color="auto" w:fill="auto"/>
          </w:tcPr>
          <w:p w14:paraId="0E9958A4" w14:textId="1FDE9070" w:rsidR="006E3FEB" w:rsidRPr="000C1DC0" w:rsidRDefault="006E3FEB" w:rsidP="00E72AD3">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Reduction in gross amount of off-balance sheet exposures due to the application of CCFs.  As these adjustments reduce the exposure measure, they should be reported as negative figures.</w:t>
            </w:r>
          </w:p>
        </w:tc>
      </w:tr>
      <w:tr w:rsidR="006E3FEB" w:rsidRPr="00E30DEC" w14:paraId="1CE7BBE8" w14:textId="77777777" w:rsidTr="00E72AD3">
        <w:trPr>
          <w:gridAfter w:val="1"/>
          <w:wAfter w:w="13" w:type="dxa"/>
          <w:trHeight w:val="373"/>
        </w:trPr>
        <w:tc>
          <w:tcPr>
            <w:tcW w:w="709" w:type="dxa"/>
            <w:shd w:val="clear" w:color="auto" w:fill="auto"/>
          </w:tcPr>
          <w:p w14:paraId="53037EF5" w14:textId="77777777" w:rsidR="006E3FEB" w:rsidRPr="000C1DC0" w:rsidRDefault="006E3FEB" w:rsidP="00E72AD3">
            <w:pPr>
              <w:pStyle w:val="ListParagraph"/>
              <w:keepLines/>
              <w:widowControl w:val="0"/>
              <w:tabs>
                <w:tab w:val="left" w:pos="150"/>
                <w:tab w:val="left" w:pos="397"/>
                <w:tab w:val="left" w:pos="465"/>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21</w:t>
            </w:r>
          </w:p>
        </w:tc>
        <w:tc>
          <w:tcPr>
            <w:tcW w:w="8118" w:type="dxa"/>
            <w:shd w:val="clear" w:color="auto" w:fill="auto"/>
          </w:tcPr>
          <w:p w14:paraId="482A6168" w14:textId="77777777" w:rsidR="006E3FEB" w:rsidRPr="000C1DC0" w:rsidRDefault="006E3FEB" w:rsidP="00E72AD3">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 xml:space="preserve">Amounts of specific and collective provisions associated with off-balance sheet exposures </w:t>
            </w:r>
            <w:r w:rsidRPr="006C7077">
              <w:rPr>
                <w:kern w:val="2"/>
                <w:sz w:val="17"/>
                <w:szCs w:val="17"/>
              </w:rPr>
              <w:t xml:space="preserve">that </w:t>
            </w:r>
            <w:r w:rsidRPr="000C1DC0">
              <w:rPr>
                <w:kern w:val="2"/>
                <w:sz w:val="17"/>
                <w:szCs w:val="17"/>
              </w:rPr>
              <w:t>have decreased Tier 1 capital, the absolute value of which is not to exceed the sum of rows 19 and 20.  As these adjustments reduce the exposure measure, they shall be reported as negative figures.</w:t>
            </w:r>
          </w:p>
        </w:tc>
      </w:tr>
      <w:tr w:rsidR="006E3FEB" w:rsidRPr="00E30DEC" w14:paraId="416CBC12" w14:textId="77777777" w:rsidTr="00E72AD3">
        <w:trPr>
          <w:gridAfter w:val="1"/>
          <w:wAfter w:w="13" w:type="dxa"/>
          <w:trHeight w:val="373"/>
        </w:trPr>
        <w:tc>
          <w:tcPr>
            <w:tcW w:w="709" w:type="dxa"/>
            <w:shd w:val="clear" w:color="auto" w:fill="auto"/>
          </w:tcPr>
          <w:p w14:paraId="0120870E" w14:textId="3857EA5C" w:rsidR="006E3FEB" w:rsidRPr="000C1DC0" w:rsidRDefault="006E3FEB" w:rsidP="00E72AD3">
            <w:pPr>
              <w:pStyle w:val="ListParagraph"/>
              <w:keepLines/>
              <w:widowControl w:val="0"/>
              <w:tabs>
                <w:tab w:val="left" w:pos="150"/>
                <w:tab w:val="left" w:pos="397"/>
                <w:tab w:val="left" w:pos="465"/>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22</w:t>
            </w:r>
          </w:p>
        </w:tc>
        <w:tc>
          <w:tcPr>
            <w:tcW w:w="8118" w:type="dxa"/>
            <w:shd w:val="clear" w:color="auto" w:fill="auto"/>
          </w:tcPr>
          <w:p w14:paraId="57E9DA68" w14:textId="77254A22" w:rsidR="006E3FEB" w:rsidRPr="000C1DC0" w:rsidRDefault="006E3FEB" w:rsidP="00E72AD3">
            <w:pPr>
              <w:keepLines/>
              <w:widowControl w:val="0"/>
              <w:spacing w:before="40" w:after="40"/>
              <w:jc w:val="both"/>
              <w:rPr>
                <w:kern w:val="2"/>
                <w:sz w:val="17"/>
                <w:szCs w:val="17"/>
              </w:rPr>
            </w:pPr>
            <w:r w:rsidRPr="000C1DC0">
              <w:rPr>
                <w:kern w:val="2"/>
                <w:sz w:val="17"/>
                <w:szCs w:val="17"/>
              </w:rPr>
              <w:t>Sum of values in rows 19 to 21.</w:t>
            </w:r>
          </w:p>
        </w:tc>
      </w:tr>
      <w:tr w:rsidR="006E3FEB" w:rsidRPr="00E30DEC" w14:paraId="19ED7C8E" w14:textId="77777777" w:rsidTr="00E72AD3">
        <w:trPr>
          <w:gridAfter w:val="1"/>
          <w:wAfter w:w="13" w:type="dxa"/>
          <w:trHeight w:val="373"/>
        </w:trPr>
        <w:tc>
          <w:tcPr>
            <w:tcW w:w="709" w:type="dxa"/>
            <w:shd w:val="clear" w:color="auto" w:fill="auto"/>
          </w:tcPr>
          <w:p w14:paraId="0377E040" w14:textId="6C99ECB1" w:rsidR="006E3FEB" w:rsidRPr="000C1DC0" w:rsidRDefault="006E3FEB" w:rsidP="00E72AD3">
            <w:pPr>
              <w:pStyle w:val="ListParagraph"/>
              <w:keepLines/>
              <w:widowControl w:val="0"/>
              <w:tabs>
                <w:tab w:val="left" w:pos="150"/>
                <w:tab w:val="left" w:pos="397"/>
                <w:tab w:val="left" w:pos="465"/>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23</w:t>
            </w:r>
          </w:p>
        </w:tc>
        <w:tc>
          <w:tcPr>
            <w:tcW w:w="8118" w:type="dxa"/>
            <w:shd w:val="clear" w:color="auto" w:fill="auto"/>
          </w:tcPr>
          <w:p w14:paraId="28E2A555" w14:textId="4DCA5669" w:rsidR="006E3FEB" w:rsidRPr="000C1DC0" w:rsidRDefault="006E3FEB" w:rsidP="00E72AD3">
            <w:pPr>
              <w:keepLines/>
              <w:widowControl w:val="0"/>
              <w:tabs>
                <w:tab w:val="left" w:pos="150"/>
                <w:tab w:val="left" w:pos="397"/>
                <w:tab w:val="left" w:pos="794"/>
                <w:tab w:val="left" w:pos="1191"/>
              </w:tabs>
              <w:spacing w:before="40" w:after="40"/>
              <w:jc w:val="both"/>
              <w:rPr>
                <w:kern w:val="2"/>
                <w:sz w:val="17"/>
                <w:szCs w:val="17"/>
              </w:rPr>
            </w:pPr>
            <w:r w:rsidRPr="000C1DC0">
              <w:rPr>
                <w:kern w:val="2"/>
                <w:sz w:val="17"/>
                <w:szCs w:val="17"/>
              </w:rPr>
              <w:t>The amount of Tier 1 capital as determined under the BCR.  The value in [LR2:23/a] is equal to the value in [KM1:2 &amp; 2a/a].</w:t>
            </w:r>
          </w:p>
        </w:tc>
      </w:tr>
      <w:tr w:rsidR="006E3FEB" w:rsidRPr="00E30DEC" w14:paraId="24EA856C" w14:textId="77777777" w:rsidTr="00E72AD3">
        <w:trPr>
          <w:gridAfter w:val="1"/>
          <w:wAfter w:w="13" w:type="dxa"/>
          <w:trHeight w:val="373"/>
        </w:trPr>
        <w:tc>
          <w:tcPr>
            <w:tcW w:w="709" w:type="dxa"/>
            <w:shd w:val="clear" w:color="auto" w:fill="auto"/>
          </w:tcPr>
          <w:p w14:paraId="47BB45BD" w14:textId="6661CE83" w:rsidR="006E3FEB" w:rsidRPr="000C1DC0" w:rsidRDefault="006E3FEB" w:rsidP="00E72AD3">
            <w:pPr>
              <w:pStyle w:val="ListParagraph"/>
              <w:keepLines/>
              <w:widowControl w:val="0"/>
              <w:tabs>
                <w:tab w:val="left" w:pos="150"/>
                <w:tab w:val="left" w:pos="397"/>
                <w:tab w:val="left" w:pos="465"/>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24</w:t>
            </w:r>
          </w:p>
        </w:tc>
        <w:tc>
          <w:tcPr>
            <w:tcW w:w="8118" w:type="dxa"/>
            <w:shd w:val="clear" w:color="auto" w:fill="auto"/>
          </w:tcPr>
          <w:p w14:paraId="766F3FAB" w14:textId="5BA460B8" w:rsidR="006E3FEB" w:rsidRPr="000C1DC0" w:rsidRDefault="006E3FEB" w:rsidP="00E72AD3">
            <w:pPr>
              <w:pStyle w:val="TableNote"/>
              <w:spacing w:before="40" w:after="40"/>
              <w:rPr>
                <w:kern w:val="2"/>
                <w:sz w:val="17"/>
                <w:szCs w:val="17"/>
              </w:rPr>
            </w:pPr>
            <w:r w:rsidRPr="000C1DC0">
              <w:rPr>
                <w:kern w:val="2"/>
                <w:sz w:val="17"/>
                <w:szCs w:val="17"/>
              </w:rPr>
              <w:t>Sum of values in rows 7, 13, 18 and 22.  The value in [LR2:24/a] is equal to the value in [KM1:13/a] and in [LR1: 13/a].</w:t>
            </w:r>
          </w:p>
        </w:tc>
      </w:tr>
      <w:tr w:rsidR="006E3FEB" w:rsidRPr="00280717" w14:paraId="3162D3CA" w14:textId="77777777" w:rsidTr="00E72AD3">
        <w:trPr>
          <w:gridAfter w:val="1"/>
          <w:wAfter w:w="13" w:type="dxa"/>
          <w:trHeight w:val="373"/>
        </w:trPr>
        <w:tc>
          <w:tcPr>
            <w:tcW w:w="709" w:type="dxa"/>
            <w:shd w:val="clear" w:color="auto" w:fill="auto"/>
          </w:tcPr>
          <w:p w14:paraId="540D5547" w14:textId="4C1F597F" w:rsidR="006E3FEB" w:rsidRPr="006C7077" w:rsidRDefault="006E3FEB" w:rsidP="00E72AD3">
            <w:pPr>
              <w:keepLines/>
              <w:widowControl w:val="0"/>
              <w:tabs>
                <w:tab w:val="left" w:pos="150"/>
                <w:tab w:val="left" w:pos="397"/>
                <w:tab w:val="left" w:pos="465"/>
                <w:tab w:val="left" w:pos="1191"/>
              </w:tabs>
              <w:spacing w:before="40" w:after="40"/>
              <w:rPr>
                <w:rFonts w:cs="Segoe UI"/>
                <w:kern w:val="2"/>
                <w:sz w:val="17"/>
                <w:szCs w:val="17"/>
                <w:lang w:eastAsia="en-GB"/>
              </w:rPr>
            </w:pPr>
            <w:r>
              <w:rPr>
                <w:rFonts w:cs="Segoe UI"/>
                <w:kern w:val="2"/>
                <w:sz w:val="17"/>
                <w:szCs w:val="17"/>
                <w:lang w:eastAsia="en-GB"/>
              </w:rPr>
              <w:t>25 &amp; 25a</w:t>
            </w:r>
          </w:p>
        </w:tc>
        <w:tc>
          <w:tcPr>
            <w:tcW w:w="8118" w:type="dxa"/>
            <w:shd w:val="clear" w:color="auto" w:fill="auto"/>
          </w:tcPr>
          <w:p w14:paraId="1E8D64DA" w14:textId="62E905B0" w:rsidR="006E3FEB" w:rsidRPr="000C1DC0" w:rsidRDefault="006E3FEB" w:rsidP="00E72AD3">
            <w:pPr>
              <w:pStyle w:val="TableNote"/>
              <w:spacing w:before="40" w:after="40"/>
              <w:rPr>
                <w:kern w:val="2"/>
                <w:sz w:val="17"/>
                <w:szCs w:val="17"/>
              </w:rPr>
            </w:pPr>
            <w:r w:rsidRPr="000C1DC0">
              <w:rPr>
                <w:kern w:val="2"/>
                <w:sz w:val="17"/>
                <w:szCs w:val="17"/>
              </w:rPr>
              <w:t xml:space="preserve">Leverage ratio is defined as the Tier 1 capital measure of row 23 (the numerator) divided by the exposure measure of row 24 (the denominator), where the resultant quotient be expressed as a percentage.  </w:t>
            </w:r>
            <w:r w:rsidRPr="000C1DC0">
              <w:rPr>
                <w:rFonts w:cs="Segoe UI"/>
                <w:iCs/>
                <w:color w:val="000000"/>
                <w:kern w:val="2"/>
                <w:sz w:val="17"/>
                <w:szCs w:val="17"/>
              </w:rPr>
              <w:t xml:space="preserve">Hong Kong does not </w:t>
            </w:r>
            <w:r>
              <w:rPr>
                <w:rFonts w:cs="Segoe UI"/>
                <w:iCs/>
                <w:color w:val="000000"/>
                <w:kern w:val="2"/>
                <w:sz w:val="17"/>
                <w:szCs w:val="17"/>
              </w:rPr>
              <w:t xml:space="preserve">exercise the discretion to allow for </w:t>
            </w:r>
            <w:r w:rsidRPr="000C1DC0">
              <w:rPr>
                <w:rFonts w:cs="Segoe UI"/>
                <w:iCs/>
                <w:color w:val="000000"/>
                <w:kern w:val="2"/>
                <w:sz w:val="17"/>
                <w:szCs w:val="17"/>
              </w:rPr>
              <w:t xml:space="preserve">the temporary exemption of central bank reserves from the LR exposure measure.  </w:t>
            </w:r>
            <w:r w:rsidRPr="000C1DC0">
              <w:rPr>
                <w:kern w:val="2"/>
                <w:sz w:val="17"/>
                <w:szCs w:val="17"/>
              </w:rPr>
              <w:t>The value in [LR2:25 &amp; 25a/a] is equal to the value in [KM1:14, 14a &amp; 14b/a].</w:t>
            </w:r>
          </w:p>
        </w:tc>
      </w:tr>
      <w:tr w:rsidR="006E3FEB" w:rsidRPr="00280717" w14:paraId="6E379294" w14:textId="77777777" w:rsidTr="00E72AD3">
        <w:trPr>
          <w:gridAfter w:val="1"/>
          <w:wAfter w:w="13" w:type="dxa"/>
          <w:trHeight w:val="373"/>
        </w:trPr>
        <w:tc>
          <w:tcPr>
            <w:tcW w:w="709" w:type="dxa"/>
            <w:shd w:val="clear" w:color="auto" w:fill="auto"/>
          </w:tcPr>
          <w:p w14:paraId="3763C8FF" w14:textId="77777777" w:rsidR="006E3FEB" w:rsidRPr="000C1DC0" w:rsidRDefault="006E3FEB" w:rsidP="00E72AD3">
            <w:pPr>
              <w:pStyle w:val="ListParagraph"/>
              <w:keepLines/>
              <w:widowControl w:val="0"/>
              <w:tabs>
                <w:tab w:val="left" w:pos="150"/>
                <w:tab w:val="left" w:pos="397"/>
                <w:tab w:val="left" w:pos="465"/>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26</w:t>
            </w:r>
          </w:p>
        </w:tc>
        <w:tc>
          <w:tcPr>
            <w:tcW w:w="8118" w:type="dxa"/>
            <w:shd w:val="clear" w:color="auto" w:fill="auto"/>
          </w:tcPr>
          <w:p w14:paraId="0A22A599" w14:textId="77777777" w:rsidR="006E3FEB" w:rsidRPr="000C1DC0" w:rsidRDefault="006E3FEB" w:rsidP="00E72AD3">
            <w:pPr>
              <w:pStyle w:val="TableNote"/>
              <w:spacing w:before="40" w:after="40"/>
              <w:rPr>
                <w:kern w:val="2"/>
                <w:sz w:val="17"/>
                <w:szCs w:val="17"/>
              </w:rPr>
            </w:pPr>
            <w:r w:rsidRPr="000C1DC0">
              <w:rPr>
                <w:kern w:val="2"/>
                <w:sz w:val="17"/>
                <w:szCs w:val="17"/>
              </w:rPr>
              <w:t xml:space="preserve">The minimum leverage ratio requirement applicable to an AI as specified in BCR </w:t>
            </w:r>
            <w:r w:rsidRPr="006C7077">
              <w:rPr>
                <w:kern w:val="2"/>
                <w:sz w:val="17"/>
                <w:szCs w:val="17"/>
              </w:rPr>
              <w:t>§3Z</w:t>
            </w:r>
            <w:r w:rsidRPr="000C1DC0">
              <w:rPr>
                <w:kern w:val="2"/>
                <w:sz w:val="17"/>
                <w:szCs w:val="17"/>
              </w:rPr>
              <w:t>.</w:t>
            </w:r>
          </w:p>
        </w:tc>
      </w:tr>
      <w:tr w:rsidR="006E3FEB" w:rsidRPr="002852C1" w14:paraId="14D4DF30" w14:textId="77777777" w:rsidTr="00E72AD3">
        <w:trPr>
          <w:gridAfter w:val="1"/>
          <w:wAfter w:w="13" w:type="dxa"/>
          <w:trHeight w:val="373"/>
        </w:trPr>
        <w:tc>
          <w:tcPr>
            <w:tcW w:w="709" w:type="dxa"/>
            <w:shd w:val="clear" w:color="auto" w:fill="auto"/>
          </w:tcPr>
          <w:p w14:paraId="64FF3A37" w14:textId="77777777" w:rsidR="006E3FEB" w:rsidRPr="000C1DC0" w:rsidRDefault="006E3FEB" w:rsidP="00E72AD3">
            <w:pPr>
              <w:pStyle w:val="ListParagraph"/>
              <w:keepLines/>
              <w:widowControl w:val="0"/>
              <w:tabs>
                <w:tab w:val="left" w:pos="150"/>
                <w:tab w:val="left" w:pos="397"/>
                <w:tab w:val="left" w:pos="465"/>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27</w:t>
            </w:r>
          </w:p>
        </w:tc>
        <w:tc>
          <w:tcPr>
            <w:tcW w:w="8118" w:type="dxa"/>
            <w:shd w:val="clear" w:color="auto" w:fill="FFFF00"/>
          </w:tcPr>
          <w:p w14:paraId="2E6932F6" w14:textId="208C2EAC" w:rsidR="006E3FEB" w:rsidRPr="000C1DC0" w:rsidRDefault="006E3FEB" w:rsidP="00E72AD3">
            <w:pPr>
              <w:pStyle w:val="TableNote"/>
              <w:spacing w:before="40" w:after="40"/>
              <w:rPr>
                <w:kern w:val="2"/>
                <w:sz w:val="17"/>
                <w:szCs w:val="17"/>
              </w:rPr>
            </w:pPr>
            <w:r w:rsidRPr="000C1DC0">
              <w:rPr>
                <w:kern w:val="2"/>
                <w:sz w:val="17"/>
                <w:szCs w:val="17"/>
              </w:rPr>
              <w:t>This row is not applicable as Hong Kong does not adopt leverage buffers.</w:t>
            </w:r>
          </w:p>
        </w:tc>
      </w:tr>
      <w:tr w:rsidR="006E3FEB" w:rsidRPr="002852C1" w14:paraId="4FE99429" w14:textId="77777777" w:rsidTr="00E72AD3">
        <w:trPr>
          <w:gridAfter w:val="1"/>
          <w:wAfter w:w="13" w:type="dxa"/>
          <w:trHeight w:val="373"/>
        </w:trPr>
        <w:tc>
          <w:tcPr>
            <w:tcW w:w="709" w:type="dxa"/>
            <w:shd w:val="clear" w:color="auto" w:fill="auto"/>
          </w:tcPr>
          <w:p w14:paraId="4582E36B" w14:textId="77777777" w:rsidR="006E3FEB" w:rsidRPr="000C1DC0" w:rsidRDefault="006E3FEB" w:rsidP="00E72AD3">
            <w:pPr>
              <w:pStyle w:val="ListParagraph"/>
              <w:keepLines/>
              <w:widowControl w:val="0"/>
              <w:tabs>
                <w:tab w:val="left" w:pos="150"/>
                <w:tab w:val="left" w:pos="397"/>
                <w:tab w:val="left" w:pos="465"/>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lastRenderedPageBreak/>
              <w:t>28</w:t>
            </w:r>
          </w:p>
        </w:tc>
        <w:tc>
          <w:tcPr>
            <w:tcW w:w="8118" w:type="dxa"/>
            <w:shd w:val="clear" w:color="auto" w:fill="auto"/>
          </w:tcPr>
          <w:p w14:paraId="495B5570" w14:textId="77777777" w:rsidR="006E3FEB" w:rsidRPr="000C1DC0" w:rsidRDefault="006E3FEB" w:rsidP="00E72AD3">
            <w:pPr>
              <w:pStyle w:val="TableNote"/>
              <w:spacing w:before="40" w:after="40"/>
              <w:rPr>
                <w:kern w:val="2"/>
                <w:sz w:val="17"/>
                <w:szCs w:val="17"/>
              </w:rPr>
            </w:pPr>
            <w:r w:rsidRPr="000C1DC0">
              <w:rPr>
                <w:kern w:val="2"/>
                <w:sz w:val="17"/>
                <w:szCs w:val="17"/>
              </w:rPr>
              <w:t xml:space="preserve">Mean of the sums of rows 14 and 15, based on the sums calculated as of each </w:t>
            </w:r>
            <w:r>
              <w:rPr>
                <w:kern w:val="2"/>
                <w:sz w:val="17"/>
                <w:szCs w:val="17"/>
              </w:rPr>
              <w:t xml:space="preserve">calendar </w:t>
            </w:r>
            <w:r w:rsidRPr="000C1DC0">
              <w:rPr>
                <w:kern w:val="2"/>
                <w:sz w:val="17"/>
                <w:szCs w:val="17"/>
              </w:rPr>
              <w:t>day of the reporting quarter.</w:t>
            </w:r>
          </w:p>
        </w:tc>
      </w:tr>
      <w:tr w:rsidR="006E3FEB" w:rsidRPr="00BF06AF" w14:paraId="6CF0D240" w14:textId="77777777" w:rsidTr="00E72AD3">
        <w:trPr>
          <w:gridAfter w:val="1"/>
          <w:wAfter w:w="13" w:type="dxa"/>
          <w:trHeight w:val="413"/>
        </w:trPr>
        <w:tc>
          <w:tcPr>
            <w:tcW w:w="709" w:type="dxa"/>
            <w:shd w:val="clear" w:color="auto" w:fill="auto"/>
          </w:tcPr>
          <w:p w14:paraId="4EE5C701" w14:textId="77777777" w:rsidR="006E3FEB" w:rsidRPr="000C1DC0" w:rsidRDefault="006E3FEB" w:rsidP="00E72AD3">
            <w:pPr>
              <w:pStyle w:val="ListParagraph"/>
              <w:keepLines/>
              <w:widowControl w:val="0"/>
              <w:tabs>
                <w:tab w:val="left" w:pos="150"/>
                <w:tab w:val="left" w:pos="397"/>
                <w:tab w:val="left" w:pos="465"/>
                <w:tab w:val="left" w:pos="1191"/>
              </w:tabs>
              <w:spacing w:before="40" w:after="40" w:line="288" w:lineRule="auto"/>
              <w:ind w:leftChars="0" w:left="0"/>
              <w:contextualSpacing/>
              <w:rPr>
                <w:rFonts w:cs="Segoe UI"/>
                <w:kern w:val="2"/>
                <w:sz w:val="17"/>
                <w:szCs w:val="17"/>
                <w:lang w:eastAsia="en-GB"/>
              </w:rPr>
            </w:pPr>
            <w:r>
              <w:rPr>
                <w:rFonts w:cs="Segoe UI"/>
                <w:kern w:val="2"/>
                <w:sz w:val="17"/>
                <w:szCs w:val="17"/>
                <w:lang w:eastAsia="en-GB"/>
              </w:rPr>
              <w:t>29</w:t>
            </w:r>
          </w:p>
        </w:tc>
        <w:tc>
          <w:tcPr>
            <w:tcW w:w="8118" w:type="dxa"/>
            <w:shd w:val="clear" w:color="auto" w:fill="auto"/>
          </w:tcPr>
          <w:p w14:paraId="60105098" w14:textId="77777777" w:rsidR="006E3FEB" w:rsidRPr="000C1DC0" w:rsidRDefault="006E3FEB" w:rsidP="00E72AD3">
            <w:pPr>
              <w:pStyle w:val="TableNote"/>
              <w:spacing w:before="40" w:after="40"/>
              <w:rPr>
                <w:kern w:val="2"/>
                <w:sz w:val="17"/>
                <w:szCs w:val="17"/>
              </w:rPr>
            </w:pPr>
            <w:r w:rsidRPr="000C1DC0">
              <w:rPr>
                <w:kern w:val="2"/>
                <w:sz w:val="17"/>
                <w:szCs w:val="17"/>
              </w:rPr>
              <w:t>If rows 14 and 15 are based on quarter-end values, this amount is the sum of rows 14 and 15.</w:t>
            </w:r>
          </w:p>
        </w:tc>
      </w:tr>
      <w:tr w:rsidR="006E3FEB" w:rsidRPr="00BF06AF" w14:paraId="59A312AA" w14:textId="77777777" w:rsidTr="00E72AD3">
        <w:trPr>
          <w:gridAfter w:val="1"/>
          <w:wAfter w:w="13" w:type="dxa"/>
          <w:trHeight w:val="373"/>
        </w:trPr>
        <w:tc>
          <w:tcPr>
            <w:tcW w:w="709" w:type="dxa"/>
            <w:shd w:val="clear" w:color="auto" w:fill="auto"/>
          </w:tcPr>
          <w:p w14:paraId="6DBEC4D4" w14:textId="77777777" w:rsidR="006E3FEB" w:rsidRPr="000C1DC0" w:rsidRDefault="006E3FEB" w:rsidP="00E72AD3">
            <w:pPr>
              <w:keepLines/>
              <w:widowControl w:val="0"/>
              <w:tabs>
                <w:tab w:val="left" w:pos="150"/>
                <w:tab w:val="left" w:pos="397"/>
                <w:tab w:val="left" w:pos="465"/>
                <w:tab w:val="left" w:pos="1191"/>
              </w:tabs>
              <w:spacing w:before="40" w:after="40"/>
              <w:rPr>
                <w:rFonts w:cs="Segoe UI"/>
                <w:kern w:val="2"/>
                <w:sz w:val="17"/>
                <w:szCs w:val="17"/>
                <w:lang w:eastAsia="en-GB"/>
              </w:rPr>
            </w:pPr>
            <w:r>
              <w:rPr>
                <w:rFonts w:cs="Segoe UI"/>
                <w:kern w:val="2"/>
                <w:sz w:val="17"/>
                <w:szCs w:val="17"/>
                <w:lang w:eastAsia="en-GB"/>
              </w:rPr>
              <w:t>30 &amp; 30a</w:t>
            </w:r>
          </w:p>
        </w:tc>
        <w:tc>
          <w:tcPr>
            <w:tcW w:w="8118" w:type="dxa"/>
            <w:shd w:val="clear" w:color="auto" w:fill="auto"/>
          </w:tcPr>
          <w:p w14:paraId="4A91E24A" w14:textId="3CE7337B" w:rsidR="006E3FEB" w:rsidRPr="000C1DC0" w:rsidRDefault="006E3FEB" w:rsidP="00E72AD3">
            <w:pPr>
              <w:pStyle w:val="TableNote"/>
              <w:spacing w:before="40" w:after="40"/>
              <w:rPr>
                <w:kern w:val="2"/>
                <w:sz w:val="17"/>
                <w:szCs w:val="17"/>
              </w:rPr>
            </w:pPr>
            <w:r w:rsidRPr="000C1DC0">
              <w:rPr>
                <w:kern w:val="2"/>
                <w:sz w:val="17"/>
                <w:szCs w:val="17"/>
              </w:rPr>
              <w:t xml:space="preserve">Total exposure measure, using mean values calculated as of each </w:t>
            </w:r>
            <w:r>
              <w:rPr>
                <w:kern w:val="2"/>
                <w:sz w:val="17"/>
                <w:szCs w:val="17"/>
              </w:rPr>
              <w:t xml:space="preserve">calendar </w:t>
            </w:r>
            <w:r w:rsidRPr="000C1DC0">
              <w:rPr>
                <w:kern w:val="2"/>
                <w:sz w:val="17"/>
                <w:szCs w:val="17"/>
              </w:rPr>
              <w:t xml:space="preserve">day of the reporting quarter for the amounts of the exposure measure associated with gross assets </w:t>
            </w:r>
            <w:r>
              <w:rPr>
                <w:kern w:val="2"/>
                <w:sz w:val="17"/>
                <w:szCs w:val="17"/>
              </w:rPr>
              <w:t xml:space="preserve">of SFTs </w:t>
            </w:r>
            <w:r w:rsidRPr="000C1DC0">
              <w:rPr>
                <w:kern w:val="2"/>
                <w:sz w:val="17"/>
                <w:szCs w:val="17"/>
              </w:rPr>
              <w:t xml:space="preserve">(after adjustment for sale accounting transactions and netted amounts of associated cash payables and cash receivables).  </w:t>
            </w:r>
            <w:r w:rsidRPr="000C1DC0">
              <w:rPr>
                <w:rFonts w:cs="Segoe UI"/>
                <w:iCs/>
                <w:color w:val="000000"/>
                <w:kern w:val="2"/>
                <w:sz w:val="17"/>
                <w:szCs w:val="17"/>
              </w:rPr>
              <w:t xml:space="preserve">Hong Kong does not </w:t>
            </w:r>
            <w:r>
              <w:rPr>
                <w:rFonts w:cs="Segoe UI"/>
                <w:iCs/>
                <w:color w:val="000000"/>
                <w:kern w:val="2"/>
                <w:sz w:val="17"/>
                <w:szCs w:val="17"/>
              </w:rPr>
              <w:t xml:space="preserve">exercise the discretion to allow for </w:t>
            </w:r>
            <w:r w:rsidRPr="000C1DC0">
              <w:rPr>
                <w:rFonts w:cs="Segoe UI"/>
                <w:iCs/>
                <w:color w:val="000000"/>
                <w:kern w:val="2"/>
                <w:sz w:val="17"/>
                <w:szCs w:val="17"/>
              </w:rPr>
              <w:t xml:space="preserve">the temporary exemption of central bank reserves from the LR exposure measure.  </w:t>
            </w:r>
            <w:r w:rsidRPr="000C1DC0">
              <w:rPr>
                <w:rFonts w:cs="Segoe UI"/>
                <w:color w:val="000000"/>
                <w:kern w:val="2"/>
                <w:sz w:val="17"/>
                <w:szCs w:val="17"/>
              </w:rPr>
              <w:t>The value in [LR2:30 &amp; 30a/a] should be equal to the value in [KM1:13a/a].</w:t>
            </w:r>
          </w:p>
        </w:tc>
      </w:tr>
      <w:tr w:rsidR="006E3FEB" w:rsidRPr="00BF06AF" w14:paraId="56D12EB5" w14:textId="77777777" w:rsidTr="00E72AD3">
        <w:trPr>
          <w:gridAfter w:val="1"/>
          <w:wAfter w:w="13" w:type="dxa"/>
          <w:trHeight w:val="373"/>
        </w:trPr>
        <w:tc>
          <w:tcPr>
            <w:tcW w:w="709" w:type="dxa"/>
            <w:shd w:val="clear" w:color="auto" w:fill="auto"/>
          </w:tcPr>
          <w:p w14:paraId="600FDF2B" w14:textId="77777777" w:rsidR="006E3FEB" w:rsidRPr="006C7077" w:rsidRDefault="006E3FEB" w:rsidP="00E72AD3">
            <w:pPr>
              <w:keepLines/>
              <w:widowControl w:val="0"/>
              <w:tabs>
                <w:tab w:val="left" w:pos="150"/>
                <w:tab w:val="left" w:pos="397"/>
                <w:tab w:val="left" w:pos="465"/>
                <w:tab w:val="left" w:pos="1191"/>
              </w:tabs>
              <w:spacing w:before="40" w:after="40"/>
              <w:rPr>
                <w:rFonts w:cs="Segoe UI"/>
                <w:kern w:val="2"/>
                <w:sz w:val="17"/>
                <w:szCs w:val="17"/>
                <w:lang w:eastAsia="en-GB"/>
              </w:rPr>
            </w:pPr>
            <w:r>
              <w:rPr>
                <w:rFonts w:cs="Segoe UI"/>
                <w:kern w:val="2"/>
                <w:sz w:val="17"/>
                <w:szCs w:val="17"/>
                <w:lang w:eastAsia="en-GB"/>
              </w:rPr>
              <w:t>31 &amp; 31a</w:t>
            </w:r>
          </w:p>
        </w:tc>
        <w:tc>
          <w:tcPr>
            <w:tcW w:w="8118" w:type="dxa"/>
            <w:shd w:val="clear" w:color="auto" w:fill="auto"/>
          </w:tcPr>
          <w:p w14:paraId="5BF16589" w14:textId="0CAEDBF7" w:rsidR="006E3FEB" w:rsidRPr="000C1DC0" w:rsidRDefault="006E3FEB" w:rsidP="00E72AD3">
            <w:pPr>
              <w:pStyle w:val="TableNote"/>
              <w:spacing w:before="40" w:after="40"/>
              <w:rPr>
                <w:kern w:val="2"/>
                <w:sz w:val="17"/>
                <w:szCs w:val="17"/>
              </w:rPr>
            </w:pPr>
            <w:r w:rsidRPr="000C1DC0">
              <w:rPr>
                <w:kern w:val="2"/>
                <w:sz w:val="17"/>
                <w:szCs w:val="17"/>
              </w:rPr>
              <w:t xml:space="preserve">Tier 1 capital measure divided by the exposure measure, using mean values calculated as of each </w:t>
            </w:r>
            <w:r>
              <w:rPr>
                <w:kern w:val="2"/>
                <w:sz w:val="17"/>
                <w:szCs w:val="17"/>
              </w:rPr>
              <w:t xml:space="preserve">calendar </w:t>
            </w:r>
            <w:r w:rsidRPr="000C1DC0">
              <w:rPr>
                <w:kern w:val="2"/>
                <w:sz w:val="17"/>
                <w:szCs w:val="17"/>
              </w:rPr>
              <w:t>day of the reporting quarter for the amounts of the exposure measure associated with gross assets</w:t>
            </w:r>
            <w:r>
              <w:rPr>
                <w:kern w:val="2"/>
                <w:sz w:val="17"/>
                <w:szCs w:val="17"/>
              </w:rPr>
              <w:t xml:space="preserve"> of SFTs</w:t>
            </w:r>
            <w:r w:rsidRPr="000C1DC0">
              <w:rPr>
                <w:kern w:val="2"/>
                <w:sz w:val="17"/>
                <w:szCs w:val="17"/>
              </w:rPr>
              <w:t xml:space="preserve"> (after adjustment for sale accounting transactions and netted amounts of associated cash payables and cash receivables).  </w:t>
            </w:r>
            <w:r w:rsidRPr="000C1DC0">
              <w:rPr>
                <w:rFonts w:cs="Segoe UI"/>
                <w:iCs/>
                <w:color w:val="000000"/>
                <w:kern w:val="2"/>
                <w:sz w:val="17"/>
                <w:szCs w:val="17"/>
              </w:rPr>
              <w:t xml:space="preserve">Hong Kong does not </w:t>
            </w:r>
            <w:r>
              <w:rPr>
                <w:rFonts w:cs="Segoe UI"/>
                <w:iCs/>
                <w:color w:val="000000"/>
                <w:kern w:val="2"/>
                <w:sz w:val="17"/>
                <w:szCs w:val="17"/>
              </w:rPr>
              <w:t>exercise the discretion to allow for the temporary</w:t>
            </w:r>
            <w:r w:rsidRPr="000C1DC0">
              <w:rPr>
                <w:rFonts w:cs="Segoe UI"/>
                <w:iCs/>
                <w:color w:val="000000"/>
                <w:kern w:val="2"/>
                <w:sz w:val="17"/>
                <w:szCs w:val="17"/>
              </w:rPr>
              <w:t xml:space="preserve"> exemption of central bank reserves from the LR exposure measure.  </w:t>
            </w:r>
            <w:r w:rsidRPr="000C1DC0">
              <w:rPr>
                <w:kern w:val="2"/>
                <w:sz w:val="17"/>
                <w:szCs w:val="17"/>
              </w:rPr>
              <w:t>The value in [LR2:31 &amp; 31a/a] is equal to the value in [KM1:14c &amp; 14d/a].</w:t>
            </w:r>
          </w:p>
        </w:tc>
      </w:tr>
    </w:tbl>
    <w:p w14:paraId="31F9ABD9" w14:textId="77777777" w:rsidR="006E3FEB" w:rsidRDefault="006E3FEB" w:rsidP="006E3FEB"/>
    <w:p w14:paraId="4D9BAC50" w14:textId="77777777" w:rsidR="00A52D4B" w:rsidRDefault="00A52D4B" w:rsidP="00A52D4B"/>
    <w:p w14:paraId="682E6961" w14:textId="77777777" w:rsidR="00A52D4B" w:rsidRDefault="00A52D4B" w:rsidP="00A52D4B"/>
    <w:p w14:paraId="50174099" w14:textId="77777777" w:rsidR="00A52D4B" w:rsidRDefault="00A52D4B" w:rsidP="008E180A">
      <w:pPr>
        <w:spacing w:before="120" w:after="120"/>
        <w:rPr>
          <w:sz w:val="22"/>
        </w:rPr>
        <w:sectPr w:rsidR="00A52D4B" w:rsidSect="001929CC">
          <w:footerReference w:type="default" r:id="rId33"/>
          <w:pgSz w:w="11906" w:h="16838" w:code="9"/>
          <w:pgMar w:top="1440" w:right="1559" w:bottom="1440" w:left="1797" w:header="851" w:footer="737" w:gutter="0"/>
          <w:cols w:space="425"/>
          <w:docGrid w:type="linesAndChars" w:linePitch="360"/>
        </w:sectPr>
      </w:pPr>
    </w:p>
    <w:p w14:paraId="5A14D191" w14:textId="0D7C92B7" w:rsidR="00CA07DF" w:rsidRDefault="002A0515" w:rsidP="00530CC9">
      <w:pPr>
        <w:keepNext/>
        <w:keepLines/>
        <w:tabs>
          <w:tab w:val="left" w:pos="567"/>
        </w:tabs>
        <w:ind w:leftChars="-283" w:left="-566" w:rightChars="-142" w:right="-284"/>
        <w:outlineLvl w:val="0"/>
        <w:rPr>
          <w:color w:val="C00000"/>
          <w:sz w:val="28"/>
          <w:szCs w:val="28"/>
        </w:rPr>
      </w:pPr>
      <w:r w:rsidRPr="001449B5">
        <w:rPr>
          <w:color w:val="C00000"/>
          <w:sz w:val="28"/>
          <w:szCs w:val="28"/>
        </w:rPr>
        <w:lastRenderedPageBreak/>
        <w:t>Part IID:</w:t>
      </w:r>
      <w:r w:rsidR="0053577C">
        <w:rPr>
          <w:color w:val="C00000"/>
          <w:sz w:val="28"/>
          <w:szCs w:val="28"/>
        </w:rPr>
        <w:tab/>
      </w:r>
      <w:r w:rsidRPr="001449B5">
        <w:rPr>
          <w:color w:val="C00000"/>
          <w:sz w:val="28"/>
          <w:szCs w:val="28"/>
        </w:rPr>
        <w:t>Liquidity</w:t>
      </w:r>
    </w:p>
    <w:p w14:paraId="5E4D88A0" w14:textId="6A8E2108" w:rsidR="00F84C37" w:rsidRPr="00F84C37" w:rsidRDefault="00F84C37" w:rsidP="00A95483">
      <w:pPr>
        <w:pStyle w:val="Heading2"/>
        <w:rPr>
          <w:sz w:val="20"/>
        </w:rPr>
      </w:pPr>
      <w:r w:rsidRPr="0023654F">
        <w:t xml:space="preserve">Table </w:t>
      </w:r>
      <w:r>
        <w:t>LIQ</w:t>
      </w:r>
      <w:r w:rsidRPr="0023654F">
        <w:t xml:space="preserve">A: </w:t>
      </w:r>
      <w:r>
        <w:t>Liquidity</w:t>
      </w:r>
      <w:r w:rsidRPr="0023654F">
        <w:t xml:space="preserve"> risk management</w:t>
      </w:r>
    </w:p>
    <w:tbl>
      <w:tblPr>
        <w:tblW w:w="9350" w:type="dxa"/>
        <w:tblInd w:w="-567"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116"/>
        <w:gridCol w:w="7234"/>
      </w:tblGrid>
      <w:tr w:rsidR="00F84C37" w:rsidRPr="0023654F" w14:paraId="61739CDF" w14:textId="77777777" w:rsidTr="005D4AEA">
        <w:tc>
          <w:tcPr>
            <w:tcW w:w="2116" w:type="dxa"/>
          </w:tcPr>
          <w:p w14:paraId="19C4DDF9" w14:textId="77777777" w:rsidR="00F84C37" w:rsidRPr="0023654F" w:rsidRDefault="00F84C37" w:rsidP="00826BF3">
            <w:pPr>
              <w:spacing w:before="40" w:after="40"/>
              <w:rPr>
                <w:noProof/>
                <w:sz w:val="17"/>
                <w:lang w:eastAsia="en-GB"/>
              </w:rPr>
            </w:pPr>
            <w:r w:rsidRPr="0023654F">
              <w:rPr>
                <w:b/>
                <w:sz w:val="17"/>
                <w:lang w:eastAsia="en-GB"/>
              </w:rPr>
              <w:t>Purpose:</w:t>
            </w:r>
          </w:p>
        </w:tc>
        <w:tc>
          <w:tcPr>
            <w:tcW w:w="7234" w:type="dxa"/>
          </w:tcPr>
          <w:p w14:paraId="3084606A" w14:textId="77777777" w:rsidR="00F84C37" w:rsidRPr="00995A5E" w:rsidRDefault="00F84C37" w:rsidP="00826BF3">
            <w:pPr>
              <w:spacing w:before="40" w:after="40"/>
              <w:jc w:val="both"/>
              <w:rPr>
                <w:noProof/>
                <w:sz w:val="17"/>
                <w:lang w:val="en-US" w:eastAsia="en-GB"/>
              </w:rPr>
            </w:pPr>
            <w:r>
              <w:rPr>
                <w:sz w:val="17"/>
                <w:lang w:eastAsia="en-GB"/>
              </w:rPr>
              <w:t>To e</w:t>
            </w:r>
            <w:r w:rsidRPr="00995A5E">
              <w:rPr>
                <w:sz w:val="17"/>
                <w:lang w:eastAsia="en-GB"/>
              </w:rPr>
              <w:t>nable Pillar 3 data users to make an informed judgment about the soundness of a</w:t>
            </w:r>
            <w:r>
              <w:rPr>
                <w:sz w:val="17"/>
                <w:lang w:eastAsia="en-GB"/>
              </w:rPr>
              <w:t>n</w:t>
            </w:r>
            <w:r w:rsidRPr="00995A5E">
              <w:rPr>
                <w:sz w:val="17"/>
                <w:lang w:eastAsia="en-GB"/>
              </w:rPr>
              <w:t xml:space="preserve"> </w:t>
            </w:r>
            <w:r>
              <w:rPr>
                <w:sz w:val="17"/>
                <w:lang w:eastAsia="en-GB"/>
              </w:rPr>
              <w:t>AI’</w:t>
            </w:r>
            <w:r w:rsidRPr="00995A5E">
              <w:rPr>
                <w:sz w:val="17"/>
                <w:lang w:eastAsia="en-GB"/>
              </w:rPr>
              <w:t>s liquidity risk management framework and liquidity position.</w:t>
            </w:r>
          </w:p>
        </w:tc>
      </w:tr>
      <w:tr w:rsidR="00F84C37" w:rsidRPr="0023654F" w14:paraId="300602C2" w14:textId="77777777" w:rsidTr="005D4AEA">
        <w:tc>
          <w:tcPr>
            <w:tcW w:w="2116" w:type="dxa"/>
          </w:tcPr>
          <w:p w14:paraId="2B55F31A" w14:textId="77777777" w:rsidR="00F84C37" w:rsidRPr="0023654F" w:rsidRDefault="00F84C37" w:rsidP="00826BF3">
            <w:pPr>
              <w:spacing w:before="40" w:after="40"/>
              <w:rPr>
                <w:b/>
                <w:sz w:val="17"/>
                <w:lang w:eastAsia="en-GB"/>
              </w:rPr>
            </w:pPr>
            <w:r>
              <w:rPr>
                <w:b/>
                <w:sz w:val="17"/>
                <w:lang w:eastAsia="en-GB"/>
              </w:rPr>
              <w:t>Scope of application:</w:t>
            </w:r>
          </w:p>
        </w:tc>
        <w:tc>
          <w:tcPr>
            <w:tcW w:w="7234" w:type="dxa"/>
          </w:tcPr>
          <w:p w14:paraId="1B5BE8FD" w14:textId="75F6FD7C" w:rsidR="00F84C37" w:rsidRPr="0023654F" w:rsidRDefault="00F84C37" w:rsidP="00826BF3">
            <w:pPr>
              <w:spacing w:before="40" w:after="40"/>
              <w:jc w:val="both"/>
              <w:rPr>
                <w:b/>
                <w:sz w:val="17"/>
                <w:lang w:eastAsia="en-GB"/>
              </w:rPr>
            </w:pPr>
            <w:r w:rsidRPr="0023654F">
              <w:rPr>
                <w:rFonts w:eastAsiaTheme="minorEastAsia"/>
                <w:sz w:val="17"/>
                <w:lang w:eastAsia="en-GB"/>
              </w:rPr>
              <w:t xml:space="preserve">The </w:t>
            </w:r>
            <w:r>
              <w:rPr>
                <w:rFonts w:eastAsiaTheme="minorEastAsia"/>
                <w:sz w:val="17"/>
                <w:lang w:eastAsia="en-GB"/>
              </w:rPr>
              <w:t>table</w:t>
            </w:r>
            <w:r w:rsidRPr="0023654F">
              <w:rPr>
                <w:rFonts w:eastAsiaTheme="minorEastAsia"/>
                <w:sz w:val="17"/>
                <w:lang w:eastAsia="en-GB"/>
              </w:rPr>
              <w:t xml:space="preserve"> is mandatory for </w:t>
            </w:r>
            <w:r>
              <w:rPr>
                <w:rFonts w:eastAsiaTheme="minorEastAsia"/>
                <w:sz w:val="17"/>
                <w:lang w:eastAsia="en-GB"/>
              </w:rPr>
              <w:t>all AI</w:t>
            </w:r>
            <w:r w:rsidRPr="0023654F">
              <w:rPr>
                <w:rFonts w:eastAsiaTheme="minorEastAsia"/>
                <w:sz w:val="17"/>
                <w:lang w:eastAsia="en-GB"/>
              </w:rPr>
              <w:t>s</w:t>
            </w:r>
            <w:r>
              <w:rPr>
                <w:rFonts w:eastAsiaTheme="minorEastAsia"/>
                <w:sz w:val="17"/>
                <w:lang w:eastAsia="en-GB"/>
              </w:rPr>
              <w:t xml:space="preserve"> incorporated in </w:t>
            </w:r>
            <w:r w:rsidR="00771147">
              <w:rPr>
                <w:rFonts w:eastAsiaTheme="minorEastAsia"/>
                <w:sz w:val="17"/>
                <w:lang w:eastAsia="en-GB"/>
              </w:rPr>
              <w:t xml:space="preserve">Hong Kong </w:t>
            </w:r>
            <w:r>
              <w:rPr>
                <w:rFonts w:eastAsiaTheme="minorEastAsia"/>
                <w:sz w:val="17"/>
                <w:lang w:eastAsia="en-GB"/>
              </w:rPr>
              <w:t xml:space="preserve">and </w:t>
            </w:r>
            <w:r w:rsidR="00771147">
              <w:rPr>
                <w:rFonts w:eastAsiaTheme="minorEastAsia"/>
                <w:sz w:val="17"/>
                <w:lang w:eastAsia="en-GB"/>
              </w:rPr>
              <w:t xml:space="preserve">AIs incorporated </w:t>
            </w:r>
            <w:r>
              <w:rPr>
                <w:rFonts w:eastAsiaTheme="minorEastAsia"/>
                <w:sz w:val="17"/>
                <w:lang w:eastAsia="en-GB"/>
              </w:rPr>
              <w:t>outside Hong Kong</w:t>
            </w:r>
            <w:r w:rsidRPr="0023654F">
              <w:rPr>
                <w:rFonts w:eastAsiaTheme="minorEastAsia"/>
                <w:sz w:val="17"/>
                <w:lang w:eastAsia="en-GB"/>
              </w:rPr>
              <w:t>.</w:t>
            </w:r>
          </w:p>
        </w:tc>
      </w:tr>
      <w:tr w:rsidR="00F84C37" w:rsidRPr="0023654F" w14:paraId="22F3DE18" w14:textId="77777777" w:rsidTr="005D4AEA">
        <w:tc>
          <w:tcPr>
            <w:tcW w:w="2116" w:type="dxa"/>
          </w:tcPr>
          <w:p w14:paraId="71A4A5F0" w14:textId="77777777" w:rsidR="00F84C37" w:rsidRPr="0023654F" w:rsidRDefault="00F84C37" w:rsidP="00826BF3">
            <w:pPr>
              <w:spacing w:before="40" w:after="40"/>
              <w:rPr>
                <w:b/>
                <w:sz w:val="17"/>
                <w:lang w:eastAsia="en-GB"/>
              </w:rPr>
            </w:pPr>
            <w:r>
              <w:rPr>
                <w:b/>
                <w:sz w:val="17"/>
                <w:lang w:eastAsia="en-GB"/>
              </w:rPr>
              <w:t>Content:</w:t>
            </w:r>
          </w:p>
        </w:tc>
        <w:tc>
          <w:tcPr>
            <w:tcW w:w="7234" w:type="dxa"/>
          </w:tcPr>
          <w:p w14:paraId="547EE3BE" w14:textId="77777777" w:rsidR="00F84C37" w:rsidRPr="0023654F" w:rsidRDefault="00F84C37" w:rsidP="00826BF3">
            <w:pPr>
              <w:spacing w:before="40" w:after="40"/>
              <w:jc w:val="both"/>
              <w:rPr>
                <w:b/>
                <w:sz w:val="17"/>
                <w:lang w:eastAsia="en-GB"/>
              </w:rPr>
            </w:pPr>
            <w:r w:rsidRPr="0023654F">
              <w:rPr>
                <w:sz w:val="17"/>
                <w:lang w:eastAsia="en-GB"/>
              </w:rPr>
              <w:t xml:space="preserve">Qualitative </w:t>
            </w:r>
            <w:r>
              <w:rPr>
                <w:sz w:val="17"/>
                <w:szCs w:val="17"/>
              </w:rPr>
              <w:t xml:space="preserve">and quantitative </w:t>
            </w:r>
            <w:r w:rsidRPr="0023654F">
              <w:rPr>
                <w:sz w:val="17"/>
                <w:lang w:eastAsia="en-GB"/>
              </w:rPr>
              <w:t>information.</w:t>
            </w:r>
          </w:p>
        </w:tc>
      </w:tr>
      <w:tr w:rsidR="00F84C37" w:rsidRPr="0023654F" w14:paraId="32486BAA" w14:textId="77777777" w:rsidTr="005D4AEA">
        <w:tc>
          <w:tcPr>
            <w:tcW w:w="2116" w:type="dxa"/>
          </w:tcPr>
          <w:p w14:paraId="009C120B" w14:textId="77777777" w:rsidR="00F84C37" w:rsidRPr="0023654F" w:rsidRDefault="00F84C37" w:rsidP="00826BF3">
            <w:pPr>
              <w:spacing w:before="40" w:after="40"/>
              <w:rPr>
                <w:sz w:val="17"/>
                <w:lang w:eastAsia="en-GB"/>
              </w:rPr>
            </w:pPr>
            <w:r w:rsidRPr="0023654F">
              <w:rPr>
                <w:b/>
                <w:sz w:val="17"/>
                <w:lang w:eastAsia="en-GB"/>
              </w:rPr>
              <w:t>Frequency:</w:t>
            </w:r>
          </w:p>
        </w:tc>
        <w:tc>
          <w:tcPr>
            <w:tcW w:w="7234" w:type="dxa"/>
          </w:tcPr>
          <w:p w14:paraId="7E6CE2DE" w14:textId="77777777" w:rsidR="00F84C37" w:rsidRPr="0023654F" w:rsidRDefault="00F84C37" w:rsidP="00826BF3">
            <w:pPr>
              <w:spacing w:before="40" w:after="40"/>
              <w:jc w:val="both"/>
              <w:rPr>
                <w:sz w:val="17"/>
                <w:lang w:eastAsia="en-GB"/>
              </w:rPr>
            </w:pPr>
            <w:r w:rsidRPr="0023654F">
              <w:rPr>
                <w:sz w:val="17"/>
                <w:lang w:eastAsia="en-GB"/>
              </w:rPr>
              <w:t>Annual</w:t>
            </w:r>
            <w:r>
              <w:rPr>
                <w:sz w:val="17"/>
                <w:lang w:eastAsia="en-GB"/>
              </w:rPr>
              <w:t>.</w:t>
            </w:r>
          </w:p>
        </w:tc>
      </w:tr>
      <w:tr w:rsidR="00F84C37" w:rsidRPr="0023654F" w14:paraId="4BB4ABB1" w14:textId="77777777" w:rsidTr="005D4AEA">
        <w:tc>
          <w:tcPr>
            <w:tcW w:w="2116" w:type="dxa"/>
          </w:tcPr>
          <w:p w14:paraId="1F57384B" w14:textId="77777777" w:rsidR="00F84C37" w:rsidRPr="0023654F" w:rsidRDefault="00F84C37" w:rsidP="00826BF3">
            <w:pPr>
              <w:spacing w:before="40" w:after="40"/>
              <w:rPr>
                <w:sz w:val="17"/>
                <w:lang w:eastAsia="en-GB"/>
              </w:rPr>
            </w:pPr>
            <w:r w:rsidRPr="0023654F">
              <w:rPr>
                <w:b/>
                <w:sz w:val="17"/>
                <w:lang w:eastAsia="en-GB"/>
              </w:rPr>
              <w:t>Format:</w:t>
            </w:r>
          </w:p>
        </w:tc>
        <w:tc>
          <w:tcPr>
            <w:tcW w:w="7234" w:type="dxa"/>
          </w:tcPr>
          <w:p w14:paraId="70175F6C" w14:textId="77777777" w:rsidR="00F84C37" w:rsidRPr="00995A5E" w:rsidRDefault="00F84C37" w:rsidP="00826BF3">
            <w:pPr>
              <w:spacing w:before="40" w:after="40"/>
              <w:jc w:val="both"/>
              <w:rPr>
                <w:sz w:val="17"/>
                <w:lang w:val="en-US" w:eastAsia="en-GB"/>
              </w:rPr>
            </w:pPr>
            <w:r w:rsidRPr="0023654F">
              <w:rPr>
                <w:sz w:val="17"/>
                <w:lang w:eastAsia="en-GB"/>
              </w:rPr>
              <w:t>Flexible</w:t>
            </w:r>
            <w:r>
              <w:rPr>
                <w:sz w:val="17"/>
                <w:lang w:eastAsia="en-GB"/>
              </w:rPr>
              <w:t>.  An AI</w:t>
            </w:r>
            <w:r>
              <w:rPr>
                <w:sz w:val="17"/>
                <w:szCs w:val="17"/>
              </w:rPr>
              <w:t xml:space="preserve"> may choose the relevant information to be provided depending upon its business m</w:t>
            </w:r>
            <w:r w:rsidRPr="00910143">
              <w:rPr>
                <w:sz w:val="17"/>
                <w:szCs w:val="17"/>
              </w:rPr>
              <w:t>odel, liq</w:t>
            </w:r>
            <w:r>
              <w:rPr>
                <w:sz w:val="17"/>
                <w:szCs w:val="17"/>
              </w:rPr>
              <w:t>uidity risk profile, organisation structure and functions involved in liquidity risk management.</w:t>
            </w:r>
          </w:p>
        </w:tc>
      </w:tr>
      <w:tr w:rsidR="00F84C37" w:rsidRPr="0023654F" w14:paraId="13DE6F6F" w14:textId="77777777" w:rsidTr="005D4AEA">
        <w:tc>
          <w:tcPr>
            <w:tcW w:w="2116" w:type="dxa"/>
          </w:tcPr>
          <w:p w14:paraId="6D2B9012" w14:textId="77777777" w:rsidR="00F84C37" w:rsidRPr="0023654F" w:rsidRDefault="00F84C37" w:rsidP="00826BF3">
            <w:pPr>
              <w:spacing w:before="40" w:after="40"/>
              <w:rPr>
                <w:b/>
                <w:sz w:val="17"/>
                <w:lang w:eastAsia="en-GB"/>
              </w:rPr>
            </w:pPr>
            <w:r>
              <w:rPr>
                <w:b/>
                <w:sz w:val="17"/>
                <w:lang w:eastAsia="en-GB"/>
              </w:rPr>
              <w:t>Corresponding BDR section:</w:t>
            </w:r>
          </w:p>
        </w:tc>
        <w:tc>
          <w:tcPr>
            <w:tcW w:w="7234" w:type="dxa"/>
          </w:tcPr>
          <w:p w14:paraId="3B42FC86" w14:textId="77777777" w:rsidR="00F84C37" w:rsidRPr="0023654F" w:rsidRDefault="00F84C37" w:rsidP="00826BF3">
            <w:pPr>
              <w:spacing w:before="40" w:after="40"/>
              <w:jc w:val="both"/>
              <w:rPr>
                <w:sz w:val="17"/>
                <w:lang w:eastAsia="en-GB"/>
              </w:rPr>
            </w:pPr>
            <w:r w:rsidRPr="001B530B">
              <w:rPr>
                <w:sz w:val="17"/>
                <w:lang w:eastAsia="en-GB"/>
              </w:rPr>
              <w:t>16FJ and 103(4A)</w:t>
            </w:r>
          </w:p>
        </w:tc>
      </w:tr>
    </w:tbl>
    <w:p w14:paraId="1F48FBC5" w14:textId="77777777" w:rsidR="00F84C37" w:rsidRPr="0023654F" w:rsidRDefault="00F84C37" w:rsidP="00CA07DF">
      <w:pPr>
        <w:spacing w:before="120" w:after="120"/>
        <w:rPr>
          <w:sz w:val="22"/>
        </w:rPr>
      </w:pPr>
    </w:p>
    <w:tbl>
      <w:tblPr>
        <w:tblW w:w="9242" w:type="dxa"/>
        <w:jc w:val="center"/>
        <w:tblCellMar>
          <w:left w:w="70" w:type="dxa"/>
          <w:right w:w="70" w:type="dxa"/>
        </w:tblCellMar>
        <w:tblLook w:val="00A0" w:firstRow="1" w:lastRow="0" w:firstColumn="1" w:lastColumn="0" w:noHBand="0" w:noVBand="0"/>
      </w:tblPr>
      <w:tblGrid>
        <w:gridCol w:w="370"/>
        <w:gridCol w:w="8872"/>
      </w:tblGrid>
      <w:tr w:rsidR="00CA07DF" w:rsidRPr="0082599A" w14:paraId="43BD6B97" w14:textId="77777777" w:rsidTr="00647044">
        <w:trPr>
          <w:trHeight w:val="448"/>
          <w:jc w:val="center"/>
        </w:trPr>
        <w:tc>
          <w:tcPr>
            <w:tcW w:w="9242" w:type="dxa"/>
            <w:gridSpan w:val="2"/>
            <w:tcBorders>
              <w:top w:val="single" w:sz="4" w:space="0" w:color="auto"/>
              <w:bottom w:val="single" w:sz="4" w:space="0" w:color="auto"/>
            </w:tcBorders>
            <w:vAlign w:val="center"/>
          </w:tcPr>
          <w:p w14:paraId="7D6FC3F4" w14:textId="77777777" w:rsidR="00CA07DF" w:rsidRPr="0082599A" w:rsidRDefault="00CA07DF" w:rsidP="00647044">
            <w:pPr>
              <w:widowControl w:val="0"/>
              <w:spacing w:before="40" w:after="40"/>
              <w:jc w:val="both"/>
              <w:rPr>
                <w:rFonts w:cs="Segoe UI"/>
                <w:sz w:val="17"/>
                <w:szCs w:val="17"/>
              </w:rPr>
            </w:pPr>
            <w:r w:rsidRPr="0082599A">
              <w:rPr>
                <w:rFonts w:cs="Segoe UI"/>
                <w:sz w:val="17"/>
                <w:szCs w:val="17"/>
              </w:rPr>
              <w:t>An AI should describe the following elements of liquidity risk management, where relevant:</w:t>
            </w:r>
          </w:p>
        </w:tc>
      </w:tr>
      <w:tr w:rsidR="00CA07DF" w:rsidRPr="0082599A" w14:paraId="17211BE0" w14:textId="77777777" w:rsidTr="00647044">
        <w:trPr>
          <w:trHeight w:val="355"/>
          <w:jc w:val="center"/>
        </w:trPr>
        <w:tc>
          <w:tcPr>
            <w:tcW w:w="9242" w:type="dxa"/>
            <w:gridSpan w:val="2"/>
            <w:tcBorders>
              <w:top w:val="single" w:sz="4" w:space="0" w:color="auto"/>
              <w:bottom w:val="single" w:sz="4" w:space="0" w:color="auto"/>
            </w:tcBorders>
            <w:shd w:val="clear" w:color="auto" w:fill="D9D9D9" w:themeFill="background1" w:themeFillShade="D9"/>
            <w:vAlign w:val="center"/>
          </w:tcPr>
          <w:p w14:paraId="54D554C0" w14:textId="77777777" w:rsidR="00CA07DF" w:rsidRPr="0082599A" w:rsidRDefault="00CA07DF" w:rsidP="00647044">
            <w:pPr>
              <w:pStyle w:val="Default"/>
              <w:jc w:val="both"/>
              <w:rPr>
                <w:sz w:val="17"/>
                <w:szCs w:val="17"/>
              </w:rPr>
            </w:pPr>
            <w:r w:rsidRPr="0082599A">
              <w:rPr>
                <w:sz w:val="17"/>
                <w:szCs w:val="17"/>
              </w:rPr>
              <w:t>Qualitative disclosures</w:t>
            </w:r>
          </w:p>
        </w:tc>
      </w:tr>
      <w:tr w:rsidR="00CA07DF" w:rsidRPr="0082599A" w14:paraId="4E16CD73" w14:textId="77777777" w:rsidTr="00647044">
        <w:trPr>
          <w:trHeight w:val="318"/>
          <w:jc w:val="center"/>
        </w:trPr>
        <w:tc>
          <w:tcPr>
            <w:tcW w:w="370" w:type="dxa"/>
            <w:tcBorders>
              <w:top w:val="single" w:sz="4" w:space="0" w:color="auto"/>
              <w:bottom w:val="single" w:sz="4" w:space="0" w:color="auto"/>
            </w:tcBorders>
            <w:noWrap/>
          </w:tcPr>
          <w:p w14:paraId="6C3716D8" w14:textId="77777777" w:rsidR="00CA07DF" w:rsidRPr="0082599A" w:rsidRDefault="00CA07DF" w:rsidP="00647044">
            <w:pPr>
              <w:widowControl w:val="0"/>
              <w:spacing w:before="40" w:after="40"/>
              <w:jc w:val="both"/>
              <w:rPr>
                <w:rFonts w:cs="Segoe UI"/>
                <w:sz w:val="17"/>
                <w:szCs w:val="17"/>
              </w:rPr>
            </w:pPr>
            <w:r w:rsidRPr="0082599A">
              <w:rPr>
                <w:rFonts w:cs="Segoe UI"/>
                <w:sz w:val="17"/>
                <w:szCs w:val="17"/>
              </w:rPr>
              <w:t>(a)</w:t>
            </w:r>
          </w:p>
        </w:tc>
        <w:tc>
          <w:tcPr>
            <w:tcW w:w="8872" w:type="dxa"/>
            <w:tcBorders>
              <w:top w:val="single" w:sz="4" w:space="0" w:color="auto"/>
              <w:bottom w:val="single" w:sz="4" w:space="0" w:color="auto"/>
            </w:tcBorders>
            <w:noWrap/>
          </w:tcPr>
          <w:p w14:paraId="18745EB2" w14:textId="77777777" w:rsidR="00CA07DF" w:rsidRPr="0082599A" w:rsidRDefault="00CA07DF" w:rsidP="00647044">
            <w:pPr>
              <w:widowControl w:val="0"/>
              <w:spacing w:before="40" w:after="40"/>
              <w:jc w:val="both"/>
              <w:rPr>
                <w:rFonts w:cs="Segoe UI"/>
                <w:sz w:val="17"/>
                <w:szCs w:val="17"/>
              </w:rPr>
            </w:pPr>
            <w:r w:rsidRPr="0082599A">
              <w:rPr>
                <w:rFonts w:cs="Segoe UI"/>
                <w:sz w:val="17"/>
                <w:szCs w:val="17"/>
              </w:rPr>
              <w:t>Governance of liquidity risk management, including:</w:t>
            </w:r>
          </w:p>
          <w:p w14:paraId="4361A0D0" w14:textId="77777777" w:rsidR="00CA07DF" w:rsidRPr="0082599A" w:rsidRDefault="00CA07DF" w:rsidP="008D652E">
            <w:pPr>
              <w:pStyle w:val="ListParagraph"/>
              <w:widowControl w:val="0"/>
              <w:numPr>
                <w:ilvl w:val="0"/>
                <w:numId w:val="30"/>
              </w:numPr>
              <w:tabs>
                <w:tab w:val="left" w:pos="454"/>
              </w:tabs>
              <w:spacing w:before="40" w:after="40"/>
              <w:ind w:leftChars="0" w:left="454" w:hanging="454"/>
              <w:jc w:val="both"/>
              <w:rPr>
                <w:rFonts w:cs="Segoe UI"/>
                <w:sz w:val="17"/>
                <w:szCs w:val="17"/>
              </w:rPr>
            </w:pPr>
            <w:r w:rsidRPr="0082599A">
              <w:rPr>
                <w:rFonts w:cs="Segoe UI"/>
                <w:sz w:val="17"/>
                <w:szCs w:val="17"/>
              </w:rPr>
              <w:t>risk tolerance;</w:t>
            </w:r>
          </w:p>
          <w:p w14:paraId="136336B7" w14:textId="77777777" w:rsidR="00CA07DF" w:rsidRPr="0082599A" w:rsidRDefault="00CA07DF" w:rsidP="008D652E">
            <w:pPr>
              <w:pStyle w:val="ListParagraph"/>
              <w:widowControl w:val="0"/>
              <w:numPr>
                <w:ilvl w:val="0"/>
                <w:numId w:val="30"/>
              </w:numPr>
              <w:tabs>
                <w:tab w:val="left" w:pos="454"/>
              </w:tabs>
              <w:spacing w:before="40" w:after="40"/>
              <w:ind w:leftChars="0" w:left="454" w:hanging="454"/>
              <w:jc w:val="both"/>
              <w:rPr>
                <w:rFonts w:cs="Segoe UI"/>
                <w:sz w:val="17"/>
                <w:szCs w:val="17"/>
              </w:rPr>
            </w:pPr>
            <w:r w:rsidRPr="0082599A">
              <w:rPr>
                <w:rFonts w:cs="Segoe UI"/>
                <w:sz w:val="17"/>
                <w:szCs w:val="17"/>
              </w:rPr>
              <w:t>structure and responsibilities for liquidity risk management;</w:t>
            </w:r>
          </w:p>
          <w:p w14:paraId="6036B437" w14:textId="77777777" w:rsidR="00CA07DF" w:rsidRPr="0082599A" w:rsidRDefault="00CA07DF" w:rsidP="008D652E">
            <w:pPr>
              <w:pStyle w:val="ListParagraph"/>
              <w:widowControl w:val="0"/>
              <w:numPr>
                <w:ilvl w:val="0"/>
                <w:numId w:val="30"/>
              </w:numPr>
              <w:tabs>
                <w:tab w:val="left" w:pos="454"/>
              </w:tabs>
              <w:spacing w:before="40" w:after="40"/>
              <w:ind w:leftChars="0" w:left="454" w:hanging="454"/>
              <w:jc w:val="both"/>
              <w:rPr>
                <w:rFonts w:cs="Segoe UI"/>
                <w:sz w:val="17"/>
                <w:szCs w:val="17"/>
              </w:rPr>
            </w:pPr>
            <w:r w:rsidRPr="0082599A">
              <w:rPr>
                <w:rFonts w:cs="Segoe UI"/>
                <w:sz w:val="17"/>
                <w:szCs w:val="17"/>
              </w:rPr>
              <w:t>internal liquidity reporting; and</w:t>
            </w:r>
          </w:p>
          <w:p w14:paraId="2DAC827D" w14:textId="77777777" w:rsidR="00CA07DF" w:rsidRPr="0082599A" w:rsidRDefault="00CA07DF" w:rsidP="008D652E">
            <w:pPr>
              <w:pStyle w:val="ListParagraph"/>
              <w:widowControl w:val="0"/>
              <w:numPr>
                <w:ilvl w:val="0"/>
                <w:numId w:val="30"/>
              </w:numPr>
              <w:tabs>
                <w:tab w:val="left" w:pos="454"/>
              </w:tabs>
              <w:spacing w:before="40" w:after="40"/>
              <w:ind w:leftChars="0" w:left="454" w:hanging="454"/>
              <w:jc w:val="both"/>
              <w:rPr>
                <w:rFonts w:cs="Segoe UI"/>
                <w:sz w:val="17"/>
                <w:szCs w:val="17"/>
              </w:rPr>
            </w:pPr>
            <w:r w:rsidRPr="0082599A">
              <w:rPr>
                <w:rFonts w:cs="Segoe UI"/>
                <w:sz w:val="17"/>
                <w:szCs w:val="17"/>
              </w:rPr>
              <w:t>communication of liquidity risk strategy, policies and practices across business lines and with the board of directors.</w:t>
            </w:r>
          </w:p>
        </w:tc>
      </w:tr>
      <w:tr w:rsidR="00CA07DF" w:rsidRPr="0082599A" w14:paraId="3C968D80" w14:textId="77777777" w:rsidTr="00647044">
        <w:trPr>
          <w:trHeight w:val="318"/>
          <w:jc w:val="center"/>
        </w:trPr>
        <w:tc>
          <w:tcPr>
            <w:tcW w:w="370" w:type="dxa"/>
            <w:tcBorders>
              <w:top w:val="single" w:sz="4" w:space="0" w:color="auto"/>
              <w:bottom w:val="single" w:sz="4" w:space="0" w:color="auto"/>
            </w:tcBorders>
            <w:noWrap/>
          </w:tcPr>
          <w:p w14:paraId="5BD49F06" w14:textId="77777777" w:rsidR="00CA07DF" w:rsidRPr="0082599A" w:rsidRDefault="00CA07DF" w:rsidP="00647044">
            <w:pPr>
              <w:widowControl w:val="0"/>
              <w:spacing w:before="40" w:after="40"/>
              <w:jc w:val="both"/>
              <w:rPr>
                <w:rFonts w:cs="Segoe UI"/>
                <w:sz w:val="17"/>
                <w:szCs w:val="17"/>
              </w:rPr>
            </w:pPr>
            <w:r w:rsidRPr="0082599A">
              <w:rPr>
                <w:rFonts w:cs="Segoe UI"/>
                <w:sz w:val="17"/>
                <w:szCs w:val="17"/>
              </w:rPr>
              <w:t>(b)</w:t>
            </w:r>
          </w:p>
        </w:tc>
        <w:tc>
          <w:tcPr>
            <w:tcW w:w="8872" w:type="dxa"/>
            <w:tcBorders>
              <w:top w:val="single" w:sz="4" w:space="0" w:color="auto"/>
              <w:bottom w:val="single" w:sz="4" w:space="0" w:color="auto"/>
            </w:tcBorders>
            <w:noWrap/>
          </w:tcPr>
          <w:p w14:paraId="06E598C0" w14:textId="77777777" w:rsidR="00CA07DF" w:rsidRPr="0082599A" w:rsidRDefault="00CA07DF" w:rsidP="00647044">
            <w:pPr>
              <w:widowControl w:val="0"/>
              <w:spacing w:before="40" w:after="40"/>
              <w:jc w:val="both"/>
              <w:rPr>
                <w:rFonts w:cs="Segoe UI"/>
                <w:sz w:val="17"/>
                <w:szCs w:val="17"/>
              </w:rPr>
            </w:pPr>
            <w:r w:rsidRPr="0082599A">
              <w:rPr>
                <w:rFonts w:cs="Segoe UI"/>
                <w:sz w:val="17"/>
                <w:szCs w:val="17"/>
              </w:rPr>
              <w:t>Funding strategy, including:</w:t>
            </w:r>
          </w:p>
          <w:p w14:paraId="3121C2FC" w14:textId="77777777" w:rsidR="00CA07DF" w:rsidRPr="0082599A" w:rsidRDefault="00CA07DF" w:rsidP="008D652E">
            <w:pPr>
              <w:pStyle w:val="ListParagraph"/>
              <w:widowControl w:val="0"/>
              <w:numPr>
                <w:ilvl w:val="0"/>
                <w:numId w:val="31"/>
              </w:numPr>
              <w:tabs>
                <w:tab w:val="left" w:pos="454"/>
              </w:tabs>
              <w:spacing w:before="40" w:after="40"/>
              <w:ind w:leftChars="0" w:left="454" w:hanging="454"/>
              <w:jc w:val="both"/>
              <w:rPr>
                <w:rFonts w:cs="Segoe UI"/>
                <w:sz w:val="17"/>
                <w:szCs w:val="17"/>
              </w:rPr>
            </w:pPr>
            <w:r w:rsidRPr="0082599A">
              <w:rPr>
                <w:rFonts w:cs="Segoe UI"/>
                <w:sz w:val="17"/>
                <w:szCs w:val="17"/>
              </w:rPr>
              <w:t>policies on diversification in the sources and tenors of funding; and</w:t>
            </w:r>
          </w:p>
          <w:p w14:paraId="77421117" w14:textId="77777777" w:rsidR="00CA07DF" w:rsidRPr="0082599A" w:rsidRDefault="00CA07DF" w:rsidP="008D652E">
            <w:pPr>
              <w:pStyle w:val="ListParagraph"/>
              <w:widowControl w:val="0"/>
              <w:numPr>
                <w:ilvl w:val="0"/>
                <w:numId w:val="31"/>
              </w:numPr>
              <w:tabs>
                <w:tab w:val="left" w:pos="454"/>
              </w:tabs>
              <w:spacing w:before="40" w:after="40"/>
              <w:ind w:leftChars="0" w:left="454" w:hanging="454"/>
              <w:jc w:val="both"/>
              <w:rPr>
                <w:rFonts w:cs="Segoe UI"/>
                <w:sz w:val="17"/>
                <w:szCs w:val="17"/>
              </w:rPr>
            </w:pPr>
            <w:r w:rsidRPr="0082599A">
              <w:rPr>
                <w:rFonts w:cs="Segoe UI"/>
                <w:sz w:val="17"/>
                <w:szCs w:val="17"/>
              </w:rPr>
              <w:t>whether the funding strategy is centralised or decentralised.</w:t>
            </w:r>
          </w:p>
        </w:tc>
      </w:tr>
      <w:tr w:rsidR="00CA07DF" w:rsidRPr="0082599A" w14:paraId="2A586476" w14:textId="77777777" w:rsidTr="00647044">
        <w:trPr>
          <w:trHeight w:val="318"/>
          <w:jc w:val="center"/>
        </w:trPr>
        <w:tc>
          <w:tcPr>
            <w:tcW w:w="370" w:type="dxa"/>
            <w:tcBorders>
              <w:top w:val="single" w:sz="4" w:space="0" w:color="auto"/>
              <w:bottom w:val="single" w:sz="4" w:space="0" w:color="auto"/>
            </w:tcBorders>
            <w:noWrap/>
          </w:tcPr>
          <w:p w14:paraId="76BF41EF" w14:textId="77777777" w:rsidR="00CA07DF" w:rsidRPr="0082599A" w:rsidRDefault="00CA07DF" w:rsidP="00647044">
            <w:pPr>
              <w:widowControl w:val="0"/>
              <w:spacing w:before="40" w:after="40"/>
              <w:jc w:val="both"/>
              <w:rPr>
                <w:rFonts w:cs="Segoe UI"/>
                <w:sz w:val="17"/>
                <w:szCs w:val="17"/>
              </w:rPr>
            </w:pPr>
            <w:r w:rsidRPr="0082599A">
              <w:rPr>
                <w:rFonts w:cs="Segoe UI"/>
                <w:sz w:val="17"/>
                <w:szCs w:val="17"/>
              </w:rPr>
              <w:t>(c)</w:t>
            </w:r>
          </w:p>
        </w:tc>
        <w:tc>
          <w:tcPr>
            <w:tcW w:w="8872" w:type="dxa"/>
            <w:tcBorders>
              <w:top w:val="single" w:sz="4" w:space="0" w:color="auto"/>
              <w:bottom w:val="single" w:sz="4" w:space="0" w:color="auto"/>
            </w:tcBorders>
            <w:noWrap/>
          </w:tcPr>
          <w:p w14:paraId="2251773F" w14:textId="77777777" w:rsidR="00CA07DF" w:rsidRPr="0082599A" w:rsidRDefault="00CA07DF" w:rsidP="00647044">
            <w:pPr>
              <w:widowControl w:val="0"/>
              <w:spacing w:before="40" w:after="40"/>
              <w:jc w:val="both"/>
              <w:rPr>
                <w:rFonts w:cs="Segoe UI"/>
                <w:sz w:val="17"/>
                <w:szCs w:val="17"/>
              </w:rPr>
            </w:pPr>
            <w:r w:rsidRPr="0082599A">
              <w:rPr>
                <w:rFonts w:cs="Segoe UI"/>
                <w:sz w:val="17"/>
                <w:szCs w:val="17"/>
              </w:rPr>
              <w:t>Liquidity risk mitigation techniques.</w:t>
            </w:r>
          </w:p>
        </w:tc>
      </w:tr>
      <w:tr w:rsidR="00CA07DF" w:rsidRPr="0082599A" w14:paraId="0A540E35" w14:textId="77777777" w:rsidTr="00647044">
        <w:trPr>
          <w:trHeight w:val="318"/>
          <w:jc w:val="center"/>
        </w:trPr>
        <w:tc>
          <w:tcPr>
            <w:tcW w:w="370" w:type="dxa"/>
            <w:tcBorders>
              <w:top w:val="single" w:sz="4" w:space="0" w:color="auto"/>
              <w:bottom w:val="single" w:sz="4" w:space="0" w:color="auto"/>
            </w:tcBorders>
            <w:noWrap/>
          </w:tcPr>
          <w:p w14:paraId="1C12BBAA" w14:textId="77777777" w:rsidR="00CA07DF" w:rsidRPr="0082599A" w:rsidRDefault="00CA07DF" w:rsidP="00647044">
            <w:pPr>
              <w:widowControl w:val="0"/>
              <w:spacing w:before="40" w:after="40"/>
              <w:jc w:val="both"/>
              <w:rPr>
                <w:rFonts w:cs="Segoe UI"/>
                <w:sz w:val="17"/>
                <w:szCs w:val="17"/>
              </w:rPr>
            </w:pPr>
            <w:r w:rsidRPr="0082599A">
              <w:rPr>
                <w:rFonts w:cs="Segoe UI"/>
                <w:sz w:val="17"/>
                <w:szCs w:val="17"/>
              </w:rPr>
              <w:t>(d)</w:t>
            </w:r>
          </w:p>
        </w:tc>
        <w:tc>
          <w:tcPr>
            <w:tcW w:w="8872" w:type="dxa"/>
            <w:tcBorders>
              <w:top w:val="single" w:sz="4" w:space="0" w:color="auto"/>
              <w:bottom w:val="single" w:sz="4" w:space="0" w:color="auto"/>
            </w:tcBorders>
            <w:noWrap/>
          </w:tcPr>
          <w:p w14:paraId="15B63676" w14:textId="77777777" w:rsidR="00CA07DF" w:rsidRPr="0082599A" w:rsidRDefault="00CA07DF" w:rsidP="00647044">
            <w:pPr>
              <w:widowControl w:val="0"/>
              <w:spacing w:before="40" w:after="40"/>
              <w:jc w:val="both"/>
              <w:rPr>
                <w:rFonts w:cs="Segoe UI"/>
                <w:sz w:val="17"/>
                <w:szCs w:val="17"/>
              </w:rPr>
            </w:pPr>
            <w:r w:rsidRPr="0082599A">
              <w:rPr>
                <w:rFonts w:cs="Segoe UI"/>
                <w:sz w:val="17"/>
                <w:szCs w:val="17"/>
              </w:rPr>
              <w:t>An explanation of how stress testing is used.</w:t>
            </w:r>
          </w:p>
        </w:tc>
      </w:tr>
      <w:tr w:rsidR="00CA07DF" w:rsidRPr="0082599A" w14:paraId="74C3F2D4" w14:textId="77777777" w:rsidTr="00647044">
        <w:trPr>
          <w:trHeight w:val="318"/>
          <w:jc w:val="center"/>
        </w:trPr>
        <w:tc>
          <w:tcPr>
            <w:tcW w:w="370" w:type="dxa"/>
            <w:tcBorders>
              <w:top w:val="single" w:sz="4" w:space="0" w:color="auto"/>
              <w:bottom w:val="single" w:sz="4" w:space="0" w:color="auto"/>
            </w:tcBorders>
            <w:noWrap/>
          </w:tcPr>
          <w:p w14:paraId="55B1C9B7" w14:textId="77777777" w:rsidR="00CA07DF" w:rsidRPr="0082599A" w:rsidRDefault="00CA07DF" w:rsidP="00647044">
            <w:pPr>
              <w:widowControl w:val="0"/>
              <w:spacing w:before="40" w:after="40"/>
              <w:jc w:val="both"/>
              <w:rPr>
                <w:rFonts w:cs="Segoe UI"/>
                <w:sz w:val="17"/>
                <w:szCs w:val="17"/>
              </w:rPr>
            </w:pPr>
            <w:r w:rsidRPr="0082599A">
              <w:rPr>
                <w:rFonts w:cs="Segoe UI"/>
                <w:sz w:val="17"/>
                <w:szCs w:val="17"/>
              </w:rPr>
              <w:t>(e)</w:t>
            </w:r>
          </w:p>
        </w:tc>
        <w:tc>
          <w:tcPr>
            <w:tcW w:w="8872" w:type="dxa"/>
            <w:tcBorders>
              <w:top w:val="single" w:sz="4" w:space="0" w:color="auto"/>
              <w:bottom w:val="single" w:sz="4" w:space="0" w:color="auto"/>
            </w:tcBorders>
            <w:noWrap/>
          </w:tcPr>
          <w:p w14:paraId="20944FBE" w14:textId="77777777" w:rsidR="00CA07DF" w:rsidRPr="0082599A" w:rsidRDefault="00CA07DF" w:rsidP="00647044">
            <w:pPr>
              <w:widowControl w:val="0"/>
              <w:spacing w:before="40" w:after="40"/>
              <w:jc w:val="both"/>
              <w:rPr>
                <w:rFonts w:cs="Segoe UI"/>
                <w:sz w:val="17"/>
                <w:szCs w:val="17"/>
              </w:rPr>
            </w:pPr>
            <w:r w:rsidRPr="0082599A">
              <w:rPr>
                <w:rFonts w:cs="Segoe UI"/>
                <w:sz w:val="17"/>
                <w:szCs w:val="17"/>
              </w:rPr>
              <w:t>An outline of the AI’s contingency funding plan.</w:t>
            </w:r>
          </w:p>
        </w:tc>
      </w:tr>
      <w:tr w:rsidR="00CA07DF" w:rsidRPr="0082599A" w14:paraId="0317402B" w14:textId="77777777" w:rsidTr="00647044">
        <w:trPr>
          <w:trHeight w:val="195"/>
          <w:jc w:val="center"/>
        </w:trPr>
        <w:tc>
          <w:tcPr>
            <w:tcW w:w="9242" w:type="dxa"/>
            <w:gridSpan w:val="2"/>
            <w:tcBorders>
              <w:top w:val="single" w:sz="4" w:space="0" w:color="auto"/>
              <w:bottom w:val="single" w:sz="4" w:space="0" w:color="auto"/>
            </w:tcBorders>
            <w:shd w:val="clear" w:color="auto" w:fill="D9D9D9" w:themeFill="background1" w:themeFillShade="D9"/>
            <w:noWrap/>
          </w:tcPr>
          <w:p w14:paraId="1C47A1CF" w14:textId="77777777" w:rsidR="00CA07DF" w:rsidRPr="0082599A" w:rsidRDefault="00CA07DF" w:rsidP="00647044">
            <w:pPr>
              <w:pStyle w:val="Default"/>
              <w:jc w:val="both"/>
              <w:rPr>
                <w:sz w:val="17"/>
                <w:szCs w:val="17"/>
                <w:lang w:val="en-GB"/>
              </w:rPr>
            </w:pPr>
            <w:r w:rsidRPr="0082599A">
              <w:rPr>
                <w:sz w:val="17"/>
                <w:szCs w:val="17"/>
              </w:rPr>
              <w:t xml:space="preserve">Quantitative disclosures </w:t>
            </w:r>
          </w:p>
        </w:tc>
      </w:tr>
      <w:tr w:rsidR="00CA07DF" w:rsidRPr="0082599A" w14:paraId="2EE3635F" w14:textId="77777777" w:rsidTr="00647044">
        <w:trPr>
          <w:trHeight w:val="318"/>
          <w:jc w:val="center"/>
        </w:trPr>
        <w:tc>
          <w:tcPr>
            <w:tcW w:w="370" w:type="dxa"/>
            <w:tcBorders>
              <w:top w:val="single" w:sz="4" w:space="0" w:color="auto"/>
              <w:bottom w:val="single" w:sz="4" w:space="0" w:color="auto"/>
            </w:tcBorders>
            <w:noWrap/>
          </w:tcPr>
          <w:p w14:paraId="2E056D6A" w14:textId="77777777" w:rsidR="00CA07DF" w:rsidRPr="0082599A" w:rsidRDefault="00CA07DF" w:rsidP="00647044">
            <w:pPr>
              <w:widowControl w:val="0"/>
              <w:spacing w:before="40" w:after="40"/>
              <w:jc w:val="both"/>
              <w:rPr>
                <w:rFonts w:cs="Segoe UI"/>
                <w:sz w:val="17"/>
                <w:szCs w:val="17"/>
              </w:rPr>
            </w:pPr>
            <w:r w:rsidRPr="0082599A">
              <w:rPr>
                <w:rFonts w:cs="Segoe UI"/>
                <w:sz w:val="17"/>
                <w:szCs w:val="17"/>
              </w:rPr>
              <w:t>(f)</w:t>
            </w:r>
          </w:p>
        </w:tc>
        <w:tc>
          <w:tcPr>
            <w:tcW w:w="8872" w:type="dxa"/>
            <w:tcBorders>
              <w:top w:val="single" w:sz="4" w:space="0" w:color="auto"/>
              <w:bottom w:val="single" w:sz="4" w:space="0" w:color="auto"/>
            </w:tcBorders>
            <w:noWrap/>
          </w:tcPr>
          <w:p w14:paraId="21435367" w14:textId="77777777" w:rsidR="00CA07DF" w:rsidRPr="0082599A" w:rsidRDefault="00CA07DF" w:rsidP="00647044">
            <w:pPr>
              <w:widowControl w:val="0"/>
              <w:spacing w:before="40" w:after="40"/>
              <w:jc w:val="both"/>
              <w:rPr>
                <w:rFonts w:cs="Segoe UI"/>
                <w:sz w:val="17"/>
                <w:szCs w:val="17"/>
              </w:rPr>
            </w:pPr>
            <w:r w:rsidRPr="0082599A">
              <w:rPr>
                <w:rFonts w:cs="Segoe UI"/>
                <w:sz w:val="17"/>
                <w:szCs w:val="17"/>
              </w:rPr>
              <w:t>Customised measurement tools or metrics that assess the structure of the AI’s balance sheet or that project cash flows and future liquidity positions, taking into account off-balance sheet risks which are specific to the AI.</w:t>
            </w:r>
          </w:p>
        </w:tc>
      </w:tr>
      <w:tr w:rsidR="00CA07DF" w:rsidRPr="0082599A" w14:paraId="57721A03" w14:textId="77777777" w:rsidTr="00647044">
        <w:trPr>
          <w:trHeight w:val="318"/>
          <w:jc w:val="center"/>
        </w:trPr>
        <w:tc>
          <w:tcPr>
            <w:tcW w:w="370" w:type="dxa"/>
            <w:tcBorders>
              <w:top w:val="single" w:sz="4" w:space="0" w:color="auto"/>
              <w:bottom w:val="single" w:sz="4" w:space="0" w:color="auto"/>
            </w:tcBorders>
            <w:noWrap/>
          </w:tcPr>
          <w:p w14:paraId="6467FBE4" w14:textId="77777777" w:rsidR="00CA07DF" w:rsidRPr="0082599A" w:rsidRDefault="00CA07DF" w:rsidP="00647044">
            <w:pPr>
              <w:widowControl w:val="0"/>
              <w:spacing w:before="40" w:after="40"/>
              <w:jc w:val="both"/>
              <w:rPr>
                <w:rFonts w:cs="Segoe UI"/>
                <w:sz w:val="17"/>
                <w:szCs w:val="17"/>
              </w:rPr>
            </w:pPr>
            <w:r w:rsidRPr="0082599A">
              <w:rPr>
                <w:rFonts w:cs="Segoe UI"/>
                <w:sz w:val="17"/>
                <w:szCs w:val="17"/>
              </w:rPr>
              <w:t>(g)</w:t>
            </w:r>
          </w:p>
        </w:tc>
        <w:tc>
          <w:tcPr>
            <w:tcW w:w="8872" w:type="dxa"/>
            <w:tcBorders>
              <w:top w:val="single" w:sz="4" w:space="0" w:color="auto"/>
              <w:bottom w:val="single" w:sz="4" w:space="0" w:color="auto"/>
            </w:tcBorders>
            <w:noWrap/>
          </w:tcPr>
          <w:p w14:paraId="04374581" w14:textId="77777777" w:rsidR="00CA07DF" w:rsidRPr="0082599A" w:rsidRDefault="00CA07DF" w:rsidP="00647044">
            <w:pPr>
              <w:widowControl w:val="0"/>
              <w:spacing w:before="40" w:after="40"/>
              <w:jc w:val="both"/>
              <w:rPr>
                <w:rFonts w:cs="Segoe UI"/>
                <w:sz w:val="17"/>
                <w:szCs w:val="17"/>
              </w:rPr>
            </w:pPr>
            <w:r w:rsidRPr="0082599A">
              <w:rPr>
                <w:rFonts w:cs="Segoe UI"/>
                <w:sz w:val="17"/>
                <w:szCs w:val="17"/>
              </w:rPr>
              <w:t>Concentration limits on collateral pools and sources of funding (both products and counterparties).</w:t>
            </w:r>
          </w:p>
        </w:tc>
      </w:tr>
      <w:tr w:rsidR="00CA07DF" w:rsidRPr="0082599A" w14:paraId="43978420" w14:textId="77777777" w:rsidTr="00647044">
        <w:trPr>
          <w:trHeight w:val="318"/>
          <w:jc w:val="center"/>
        </w:trPr>
        <w:tc>
          <w:tcPr>
            <w:tcW w:w="370" w:type="dxa"/>
            <w:tcBorders>
              <w:top w:val="single" w:sz="4" w:space="0" w:color="auto"/>
              <w:bottom w:val="single" w:sz="4" w:space="0" w:color="auto"/>
            </w:tcBorders>
            <w:noWrap/>
          </w:tcPr>
          <w:p w14:paraId="4F5CCF1D" w14:textId="77777777" w:rsidR="00CA07DF" w:rsidRPr="0082599A" w:rsidRDefault="00CA07DF" w:rsidP="00647044">
            <w:pPr>
              <w:widowControl w:val="0"/>
              <w:spacing w:before="40" w:after="40"/>
              <w:jc w:val="both"/>
              <w:rPr>
                <w:rFonts w:cs="Segoe UI"/>
                <w:sz w:val="17"/>
                <w:szCs w:val="17"/>
              </w:rPr>
            </w:pPr>
            <w:r w:rsidRPr="0082599A">
              <w:rPr>
                <w:rFonts w:cs="Segoe UI"/>
                <w:sz w:val="17"/>
                <w:szCs w:val="17"/>
              </w:rPr>
              <w:lastRenderedPageBreak/>
              <w:t>(h)</w:t>
            </w:r>
          </w:p>
        </w:tc>
        <w:tc>
          <w:tcPr>
            <w:tcW w:w="8872" w:type="dxa"/>
            <w:tcBorders>
              <w:top w:val="single" w:sz="4" w:space="0" w:color="auto"/>
              <w:bottom w:val="single" w:sz="4" w:space="0" w:color="auto"/>
            </w:tcBorders>
            <w:noWrap/>
          </w:tcPr>
          <w:p w14:paraId="36826633" w14:textId="77777777" w:rsidR="00CA07DF" w:rsidRPr="0082599A" w:rsidRDefault="00CA07DF" w:rsidP="00647044">
            <w:pPr>
              <w:widowControl w:val="0"/>
              <w:spacing w:before="40" w:after="40"/>
              <w:jc w:val="both"/>
              <w:rPr>
                <w:rFonts w:cs="Segoe UI"/>
                <w:sz w:val="17"/>
                <w:szCs w:val="17"/>
              </w:rPr>
            </w:pPr>
            <w:r w:rsidRPr="0082599A">
              <w:rPr>
                <w:rFonts w:cs="Segoe UI"/>
                <w:sz w:val="17"/>
                <w:szCs w:val="17"/>
              </w:rPr>
              <w:t>Liquidity exposures and funding needs at the level of individual legal entities, foreign branches and subsidiaries, taking into account legal, regulatory and operational limitations on the transferability of liquidity.</w:t>
            </w:r>
          </w:p>
        </w:tc>
      </w:tr>
      <w:tr w:rsidR="00CA07DF" w:rsidRPr="0082599A" w14:paraId="3C7BF322" w14:textId="77777777" w:rsidTr="00647044">
        <w:trPr>
          <w:trHeight w:val="318"/>
          <w:jc w:val="center"/>
        </w:trPr>
        <w:tc>
          <w:tcPr>
            <w:tcW w:w="370" w:type="dxa"/>
            <w:tcBorders>
              <w:top w:val="single" w:sz="4" w:space="0" w:color="auto"/>
              <w:bottom w:val="single" w:sz="4" w:space="0" w:color="auto"/>
            </w:tcBorders>
            <w:noWrap/>
          </w:tcPr>
          <w:p w14:paraId="26B4920C" w14:textId="77777777" w:rsidR="00CA07DF" w:rsidRPr="0082599A" w:rsidRDefault="00CA07DF" w:rsidP="00647044">
            <w:pPr>
              <w:widowControl w:val="0"/>
              <w:spacing w:before="40" w:after="40"/>
              <w:jc w:val="both"/>
              <w:rPr>
                <w:rFonts w:cs="Segoe UI"/>
                <w:sz w:val="17"/>
                <w:szCs w:val="17"/>
              </w:rPr>
            </w:pPr>
            <w:r w:rsidRPr="0082599A">
              <w:rPr>
                <w:rFonts w:cs="Segoe UI"/>
                <w:sz w:val="17"/>
                <w:szCs w:val="17"/>
              </w:rPr>
              <w:t>(i)</w:t>
            </w:r>
          </w:p>
        </w:tc>
        <w:tc>
          <w:tcPr>
            <w:tcW w:w="8872" w:type="dxa"/>
            <w:tcBorders>
              <w:top w:val="single" w:sz="4" w:space="0" w:color="auto"/>
              <w:bottom w:val="single" w:sz="4" w:space="0" w:color="auto"/>
            </w:tcBorders>
            <w:noWrap/>
          </w:tcPr>
          <w:p w14:paraId="7853A8B4" w14:textId="77777777" w:rsidR="00CA07DF" w:rsidRPr="0082599A" w:rsidRDefault="00CA07DF" w:rsidP="00647044">
            <w:pPr>
              <w:widowControl w:val="0"/>
              <w:spacing w:before="40" w:after="40"/>
              <w:jc w:val="both"/>
              <w:rPr>
                <w:rFonts w:cs="Segoe UI"/>
                <w:sz w:val="17"/>
                <w:szCs w:val="17"/>
              </w:rPr>
            </w:pPr>
            <w:r w:rsidRPr="0082599A">
              <w:rPr>
                <w:rFonts w:cs="Segoe UI"/>
                <w:sz w:val="17"/>
                <w:szCs w:val="17"/>
              </w:rPr>
              <w:t>On- and off-balance sheet items, broken down into maturity buckets and the resultant liquidity gaps.</w:t>
            </w:r>
          </w:p>
        </w:tc>
      </w:tr>
    </w:tbl>
    <w:p w14:paraId="7A2B2EFF" w14:textId="77777777" w:rsidR="00CA07DF" w:rsidRDefault="00CA07DF" w:rsidP="00CA07DF"/>
    <w:p w14:paraId="65B6F00F" w14:textId="77777777" w:rsidR="00CA07DF" w:rsidRDefault="00CA07DF" w:rsidP="00CA07DF">
      <w:pPr>
        <w:pStyle w:val="Heading1"/>
        <w:tabs>
          <w:tab w:val="left" w:pos="426"/>
        </w:tabs>
        <w:ind w:leftChars="-283" w:left="-566"/>
        <w:sectPr w:rsidR="00CA07DF">
          <w:headerReference w:type="even" r:id="rId34"/>
          <w:headerReference w:type="default" r:id="rId35"/>
          <w:footerReference w:type="even" r:id="rId36"/>
          <w:footerReference w:type="default" r:id="rId37"/>
          <w:headerReference w:type="first" r:id="rId38"/>
          <w:footerReference w:type="first" r:id="rId39"/>
          <w:pgSz w:w="11906" w:h="16838"/>
          <w:pgMar w:top="1440" w:right="1800" w:bottom="1440" w:left="1800" w:header="851" w:footer="992" w:gutter="0"/>
          <w:cols w:space="425"/>
          <w:docGrid w:type="lines" w:linePitch="360"/>
        </w:sectPr>
      </w:pPr>
    </w:p>
    <w:p w14:paraId="3C0A2927" w14:textId="6E3F0AFC" w:rsidR="00EF6BE2" w:rsidRPr="00BB5D72" w:rsidRDefault="00BB5D72" w:rsidP="0030061A">
      <w:pPr>
        <w:pStyle w:val="Heading2"/>
        <w:ind w:left="-397"/>
      </w:pPr>
      <w:r w:rsidRPr="0023654F">
        <w:lastRenderedPageBreak/>
        <w:t xml:space="preserve">Template </w:t>
      </w:r>
      <w:r>
        <w:t>LIQ1</w:t>
      </w:r>
      <w:r w:rsidRPr="0023654F">
        <w:t xml:space="preserve">: </w:t>
      </w:r>
      <w:r>
        <w:t>Liquidity Coverage Ra</w:t>
      </w:r>
      <w:r w:rsidRPr="004529C6">
        <w:t>tio(“LCR”) – for ca</w:t>
      </w:r>
      <w:r>
        <w:t>tegory 1 institution</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BB5D72" w:rsidRPr="0046600C" w14:paraId="00B7C3FC" w14:textId="77777777" w:rsidTr="00051DA6">
        <w:tc>
          <w:tcPr>
            <w:tcW w:w="2008" w:type="dxa"/>
          </w:tcPr>
          <w:p w14:paraId="3A0C3266" w14:textId="77777777" w:rsidR="00BB5D72" w:rsidRPr="0023654F" w:rsidRDefault="00BB5D72" w:rsidP="00826BF3">
            <w:pPr>
              <w:spacing w:before="40" w:after="40"/>
              <w:rPr>
                <w:noProof/>
                <w:sz w:val="17"/>
                <w:lang w:eastAsia="en-GB"/>
              </w:rPr>
            </w:pPr>
            <w:r w:rsidRPr="0023654F">
              <w:rPr>
                <w:b/>
                <w:sz w:val="17"/>
                <w:lang w:eastAsia="en-GB"/>
              </w:rPr>
              <w:t>Purpose:</w:t>
            </w:r>
          </w:p>
        </w:tc>
        <w:tc>
          <w:tcPr>
            <w:tcW w:w="7234" w:type="dxa"/>
          </w:tcPr>
          <w:p w14:paraId="00F63765" w14:textId="77777777" w:rsidR="00BB5D72" w:rsidRPr="0023654F" w:rsidRDefault="00BB5D72" w:rsidP="00826BF3">
            <w:pPr>
              <w:pStyle w:val="TableText"/>
              <w:jc w:val="both"/>
              <w:rPr>
                <w:lang w:eastAsia="en-GB"/>
              </w:rPr>
            </w:pPr>
            <w:r w:rsidRPr="0023654F">
              <w:rPr>
                <w:lang w:eastAsia="en-GB"/>
              </w:rPr>
              <w:t>T</w:t>
            </w:r>
            <w:r>
              <w:rPr>
                <w:lang w:eastAsia="en-GB"/>
              </w:rPr>
              <w:t>o</w:t>
            </w:r>
            <w:r w:rsidRPr="0023654F">
              <w:rPr>
                <w:lang w:eastAsia="en-GB"/>
              </w:rPr>
              <w:t xml:space="preserve"> </w:t>
            </w:r>
            <w:r>
              <w:rPr>
                <w:lang w:eastAsia="en-GB"/>
              </w:rPr>
              <w:t>p</w:t>
            </w:r>
            <w:r>
              <w:rPr>
                <w:szCs w:val="17"/>
              </w:rPr>
              <w:t>resent the det</w:t>
            </w:r>
            <w:r w:rsidRPr="004529C6">
              <w:rPr>
                <w:szCs w:val="17"/>
              </w:rPr>
              <w:t>ails of LCR, high quality liquid assets (“HQLA”), and a breakdown</w:t>
            </w:r>
            <w:r>
              <w:rPr>
                <w:szCs w:val="17"/>
              </w:rPr>
              <w:t xml:space="preserve"> of cash outflows and inflows.</w:t>
            </w:r>
          </w:p>
        </w:tc>
      </w:tr>
      <w:tr w:rsidR="00BB5D72" w:rsidRPr="005B71C7" w14:paraId="6203A3A8" w14:textId="77777777" w:rsidTr="00051DA6">
        <w:tc>
          <w:tcPr>
            <w:tcW w:w="2008" w:type="dxa"/>
          </w:tcPr>
          <w:p w14:paraId="24E6470F" w14:textId="77777777" w:rsidR="00BB5D72" w:rsidRPr="0023654F" w:rsidRDefault="00BB5D72" w:rsidP="00826BF3">
            <w:pPr>
              <w:spacing w:before="40" w:after="40"/>
              <w:rPr>
                <w:b/>
                <w:sz w:val="17"/>
                <w:lang w:eastAsia="en-GB"/>
              </w:rPr>
            </w:pPr>
            <w:r>
              <w:rPr>
                <w:b/>
                <w:sz w:val="17"/>
                <w:lang w:eastAsia="en-GB"/>
              </w:rPr>
              <w:t>Scope of application:</w:t>
            </w:r>
          </w:p>
        </w:tc>
        <w:tc>
          <w:tcPr>
            <w:tcW w:w="7234" w:type="dxa"/>
          </w:tcPr>
          <w:p w14:paraId="3140C561" w14:textId="2B3943E3" w:rsidR="00BB5D72" w:rsidRPr="001F60AE" w:rsidRDefault="00BB5D72" w:rsidP="00826BF3">
            <w:pPr>
              <w:pStyle w:val="TableText"/>
              <w:jc w:val="both"/>
              <w:rPr>
                <w:szCs w:val="17"/>
              </w:rPr>
            </w:pPr>
            <w:r>
              <w:rPr>
                <w:szCs w:val="17"/>
              </w:rPr>
              <w:t xml:space="preserve">The template is mandatory for </w:t>
            </w:r>
            <w:r w:rsidR="004052BD" w:rsidRPr="005D7E84">
              <w:rPr>
                <w:szCs w:val="17"/>
              </w:rPr>
              <w:t>both AIs incorporated in Hong Kong and AIs incorporated outside Hong Kong</w:t>
            </w:r>
            <w:r>
              <w:rPr>
                <w:szCs w:val="17"/>
              </w:rPr>
              <w:t xml:space="preserve"> that are designated as category 1 institution.  </w:t>
            </w:r>
            <w:r w:rsidRPr="001F60AE">
              <w:rPr>
                <w:szCs w:val="17"/>
              </w:rPr>
              <w:t xml:space="preserve">A category 1 institution </w:t>
            </w:r>
            <w:r>
              <w:rPr>
                <w:szCs w:val="17"/>
              </w:rPr>
              <w:t>should</w:t>
            </w:r>
            <w:r w:rsidRPr="001F60AE">
              <w:rPr>
                <w:szCs w:val="17"/>
              </w:rPr>
              <w:t xml:space="preserve"> disclose the required disclosure items in th</w:t>
            </w:r>
            <w:r>
              <w:rPr>
                <w:szCs w:val="17"/>
              </w:rPr>
              <w:t>is</w:t>
            </w:r>
            <w:r w:rsidRPr="001F60AE">
              <w:rPr>
                <w:szCs w:val="17"/>
              </w:rPr>
              <w:t xml:space="preserve"> </w:t>
            </w:r>
            <w:r>
              <w:rPr>
                <w:szCs w:val="17"/>
              </w:rPr>
              <w:t>t</w:t>
            </w:r>
            <w:r w:rsidRPr="001F60AE">
              <w:rPr>
                <w:szCs w:val="17"/>
              </w:rPr>
              <w:t>emplate on</w:t>
            </w:r>
            <w:r>
              <w:rPr>
                <w:szCs w:val="17"/>
              </w:rPr>
              <w:t>:</w:t>
            </w:r>
            <w:r w:rsidRPr="001F60AE">
              <w:rPr>
                <w:szCs w:val="17"/>
              </w:rPr>
              <w:t>-</w:t>
            </w:r>
          </w:p>
          <w:p w14:paraId="1CE0EAE7" w14:textId="77777777" w:rsidR="00BB5D72" w:rsidRPr="004529C6" w:rsidRDefault="00BB5D72" w:rsidP="008D652E">
            <w:pPr>
              <w:pStyle w:val="TableText"/>
              <w:numPr>
                <w:ilvl w:val="0"/>
                <w:numId w:val="22"/>
              </w:numPr>
              <w:tabs>
                <w:tab w:val="left" w:pos="436"/>
              </w:tabs>
              <w:ind w:left="436" w:hanging="436"/>
              <w:jc w:val="both"/>
              <w:rPr>
                <w:szCs w:val="17"/>
              </w:rPr>
            </w:pPr>
            <w:r w:rsidRPr="001F60AE">
              <w:rPr>
                <w:szCs w:val="17"/>
              </w:rPr>
              <w:t xml:space="preserve">a consolidated basis </w:t>
            </w:r>
            <w:r>
              <w:rPr>
                <w:szCs w:val="17"/>
              </w:rPr>
              <w:t>–</w:t>
            </w:r>
            <w:r w:rsidRPr="001F60AE">
              <w:rPr>
                <w:szCs w:val="17"/>
              </w:rPr>
              <w:t xml:space="preserve"> applicable to a category 1 institution incorporated in Hong Kong that is sub</w:t>
            </w:r>
            <w:r w:rsidRPr="004529C6">
              <w:rPr>
                <w:szCs w:val="17"/>
              </w:rPr>
              <w:t>ject to Banking (Liquidity) Rules (“BLR”) rule 11(1);</w:t>
            </w:r>
          </w:p>
          <w:p w14:paraId="7BA054C7" w14:textId="77777777" w:rsidR="00BB5D72" w:rsidRDefault="00BB5D72" w:rsidP="008D652E">
            <w:pPr>
              <w:pStyle w:val="TableText"/>
              <w:numPr>
                <w:ilvl w:val="0"/>
                <w:numId w:val="22"/>
              </w:numPr>
              <w:tabs>
                <w:tab w:val="left" w:pos="436"/>
              </w:tabs>
              <w:ind w:left="436" w:hanging="436"/>
              <w:jc w:val="both"/>
              <w:rPr>
                <w:szCs w:val="17"/>
              </w:rPr>
            </w:pPr>
            <w:r w:rsidRPr="001F60AE">
              <w:rPr>
                <w:szCs w:val="17"/>
              </w:rPr>
              <w:t xml:space="preserve">an unconsolidated basis – applicable to a category 1 institution incorporated in Hong Kong that is </w:t>
            </w:r>
            <w:r>
              <w:rPr>
                <w:szCs w:val="17"/>
              </w:rPr>
              <w:t xml:space="preserve">not subject to BLR rule 11(1) but </w:t>
            </w:r>
            <w:r w:rsidRPr="001F60AE">
              <w:rPr>
                <w:szCs w:val="17"/>
              </w:rPr>
              <w:t xml:space="preserve">subject to </w:t>
            </w:r>
            <w:r>
              <w:rPr>
                <w:szCs w:val="17"/>
              </w:rPr>
              <w:t xml:space="preserve">BLR </w:t>
            </w:r>
            <w:r w:rsidRPr="001F60AE">
              <w:rPr>
                <w:szCs w:val="17"/>
              </w:rPr>
              <w:t>rule 10(1)(b); or</w:t>
            </w:r>
          </w:p>
          <w:p w14:paraId="50E148F8" w14:textId="77777777" w:rsidR="00BB5D72" w:rsidRPr="00D039E9" w:rsidRDefault="00BB5D72" w:rsidP="008D652E">
            <w:pPr>
              <w:pStyle w:val="TableText"/>
              <w:numPr>
                <w:ilvl w:val="0"/>
                <w:numId w:val="22"/>
              </w:numPr>
              <w:tabs>
                <w:tab w:val="left" w:pos="436"/>
              </w:tabs>
              <w:ind w:left="436" w:hanging="436"/>
              <w:jc w:val="both"/>
              <w:rPr>
                <w:szCs w:val="17"/>
              </w:rPr>
            </w:pPr>
            <w:r w:rsidRPr="001F60AE">
              <w:rPr>
                <w:szCs w:val="17"/>
              </w:rPr>
              <w:t>a Hong Kon</w:t>
            </w:r>
            <w:r w:rsidRPr="00D039E9">
              <w:rPr>
                <w:szCs w:val="17"/>
              </w:rPr>
              <w:t>g office basis – applicable to a category 1 institution:-</w:t>
            </w:r>
          </w:p>
          <w:p w14:paraId="6DB93F43" w14:textId="77777777" w:rsidR="00BB5D72" w:rsidRPr="00D039E9" w:rsidRDefault="00BB5D72" w:rsidP="008D652E">
            <w:pPr>
              <w:pStyle w:val="TableText"/>
              <w:numPr>
                <w:ilvl w:val="1"/>
                <w:numId w:val="32"/>
              </w:numPr>
              <w:tabs>
                <w:tab w:val="left" w:pos="861"/>
              </w:tabs>
              <w:ind w:left="861" w:hanging="425"/>
              <w:jc w:val="both"/>
              <w:rPr>
                <w:szCs w:val="17"/>
              </w:rPr>
            </w:pPr>
            <w:r w:rsidRPr="00D039E9">
              <w:rPr>
                <w:szCs w:val="17"/>
              </w:rPr>
              <w:t>incorporated in Hong Kong that is not subject to BLR rule 10(1)(b) or 11 but subject to BLR rule 10(1)(a); and</w:t>
            </w:r>
          </w:p>
          <w:p w14:paraId="76BCE021" w14:textId="77777777" w:rsidR="00BB5D72" w:rsidRPr="00D039E9" w:rsidRDefault="00BB5D72" w:rsidP="008D652E">
            <w:pPr>
              <w:pStyle w:val="TableText"/>
              <w:numPr>
                <w:ilvl w:val="1"/>
                <w:numId w:val="32"/>
              </w:numPr>
              <w:tabs>
                <w:tab w:val="left" w:pos="861"/>
              </w:tabs>
              <w:ind w:left="861" w:hanging="425"/>
              <w:jc w:val="both"/>
              <w:rPr>
                <w:szCs w:val="17"/>
              </w:rPr>
            </w:pPr>
            <w:r w:rsidRPr="00D039E9">
              <w:rPr>
                <w:szCs w:val="17"/>
              </w:rPr>
              <w:t xml:space="preserve">incorporated outside Hong Kong that is subject to BLR rule 10(1)(a). </w:t>
            </w:r>
          </w:p>
          <w:p w14:paraId="46EF3651" w14:textId="77777777" w:rsidR="00BB5D72" w:rsidRPr="0046600C" w:rsidRDefault="00BB5D72" w:rsidP="00826BF3">
            <w:pPr>
              <w:pStyle w:val="TableText"/>
              <w:jc w:val="both"/>
              <w:rPr>
                <w:rFonts w:eastAsiaTheme="minorEastAsia"/>
                <w:b/>
                <w:lang w:val="en-US" w:eastAsia="en-GB"/>
              </w:rPr>
            </w:pPr>
            <w:r w:rsidRPr="001F60AE">
              <w:rPr>
                <w:szCs w:val="17"/>
              </w:rPr>
              <w:t xml:space="preserve">A category 1 institution </w:t>
            </w:r>
            <w:r>
              <w:rPr>
                <w:szCs w:val="17"/>
              </w:rPr>
              <w:t>should</w:t>
            </w:r>
            <w:r w:rsidRPr="001F60AE">
              <w:rPr>
                <w:szCs w:val="17"/>
              </w:rPr>
              <w:t xml:space="preserve"> indicate the basis on which the required disclosure items in th</w:t>
            </w:r>
            <w:r>
              <w:rPr>
                <w:szCs w:val="17"/>
              </w:rPr>
              <w:t>is</w:t>
            </w:r>
            <w:r w:rsidRPr="001F60AE">
              <w:rPr>
                <w:szCs w:val="17"/>
              </w:rPr>
              <w:t xml:space="preserve"> </w:t>
            </w:r>
            <w:r>
              <w:rPr>
                <w:szCs w:val="17"/>
              </w:rPr>
              <w:t>t</w:t>
            </w:r>
            <w:r w:rsidRPr="001F60AE">
              <w:rPr>
                <w:szCs w:val="17"/>
              </w:rPr>
              <w:t>emplate are disclosed.</w:t>
            </w:r>
          </w:p>
        </w:tc>
      </w:tr>
      <w:tr w:rsidR="00BB5D72" w:rsidRPr="004B58B9" w14:paraId="2BFB7AA4" w14:textId="77777777" w:rsidTr="00051DA6">
        <w:tc>
          <w:tcPr>
            <w:tcW w:w="2008" w:type="dxa"/>
          </w:tcPr>
          <w:p w14:paraId="40AA42E4" w14:textId="77777777" w:rsidR="00BB5D72" w:rsidRPr="0023654F" w:rsidRDefault="00BB5D72" w:rsidP="00826BF3">
            <w:pPr>
              <w:spacing w:before="40" w:after="40"/>
              <w:rPr>
                <w:b/>
                <w:sz w:val="17"/>
                <w:lang w:eastAsia="en-GB"/>
              </w:rPr>
            </w:pPr>
            <w:r>
              <w:rPr>
                <w:b/>
                <w:sz w:val="17"/>
                <w:lang w:eastAsia="en-GB"/>
              </w:rPr>
              <w:t>Content:</w:t>
            </w:r>
          </w:p>
        </w:tc>
        <w:tc>
          <w:tcPr>
            <w:tcW w:w="7234" w:type="dxa"/>
          </w:tcPr>
          <w:p w14:paraId="5ED4FD04" w14:textId="77777777" w:rsidR="00BB5D72" w:rsidRPr="0046600C" w:rsidRDefault="00BB5D72" w:rsidP="00826BF3">
            <w:pPr>
              <w:pStyle w:val="TableText"/>
              <w:jc w:val="both"/>
              <w:rPr>
                <w:rFonts w:eastAsiaTheme="minorEastAsia"/>
                <w:b/>
                <w:lang w:val="en-US" w:eastAsia="en-GB"/>
              </w:rPr>
            </w:pPr>
            <w:r w:rsidRPr="004529C6">
              <w:rPr>
                <w:szCs w:val="17"/>
              </w:rPr>
              <w:t>Simple average values of all working days in the quarter.</w:t>
            </w:r>
            <w:r>
              <w:rPr>
                <w:szCs w:val="17"/>
              </w:rPr>
              <w:t xml:space="preserve">  Data should be presented in Hong Kong do</w:t>
            </w:r>
            <w:r w:rsidRPr="004529C6">
              <w:rPr>
                <w:szCs w:val="17"/>
              </w:rPr>
              <w:t xml:space="preserve">llars </w:t>
            </w:r>
            <w:r>
              <w:rPr>
                <w:szCs w:val="17"/>
              </w:rPr>
              <w:t>or the equivalent amounts in Hong Kong dollars</w:t>
            </w:r>
            <w:r w:rsidRPr="004529C6">
              <w:rPr>
                <w:szCs w:val="17"/>
              </w:rPr>
              <w:t>.</w:t>
            </w:r>
            <w:r>
              <w:rPr>
                <w:szCs w:val="17"/>
              </w:rPr>
              <w:t xml:space="preserve">  A</w:t>
            </w:r>
            <w:r w:rsidRPr="004529C6">
              <w:rPr>
                <w:szCs w:val="17"/>
              </w:rPr>
              <w:t>n AI should also specify the number of data points used in calculating the average values in the template</w:t>
            </w:r>
            <w:r>
              <w:rPr>
                <w:szCs w:val="17"/>
              </w:rPr>
              <w:t xml:space="preserve"> and the currency used for presentation.</w:t>
            </w:r>
          </w:p>
        </w:tc>
      </w:tr>
      <w:tr w:rsidR="00BB5D72" w:rsidRPr="0023654F" w14:paraId="5FBC832F" w14:textId="77777777" w:rsidTr="00051DA6">
        <w:tc>
          <w:tcPr>
            <w:tcW w:w="2008" w:type="dxa"/>
          </w:tcPr>
          <w:p w14:paraId="699CA68A" w14:textId="77777777" w:rsidR="00BB5D72" w:rsidRPr="0023654F" w:rsidRDefault="00BB5D72" w:rsidP="00826BF3">
            <w:pPr>
              <w:spacing w:before="40" w:after="40"/>
              <w:rPr>
                <w:sz w:val="17"/>
                <w:lang w:eastAsia="en-GB"/>
              </w:rPr>
            </w:pPr>
            <w:r w:rsidRPr="0023654F">
              <w:rPr>
                <w:b/>
                <w:sz w:val="17"/>
                <w:lang w:eastAsia="en-GB"/>
              </w:rPr>
              <w:t>Frequency:</w:t>
            </w:r>
          </w:p>
        </w:tc>
        <w:tc>
          <w:tcPr>
            <w:tcW w:w="7234" w:type="dxa"/>
          </w:tcPr>
          <w:p w14:paraId="39ADE87B" w14:textId="10BAB6A3" w:rsidR="00BB5D72" w:rsidRPr="0023654F" w:rsidRDefault="00BB5D72" w:rsidP="0010436E">
            <w:pPr>
              <w:pStyle w:val="TableText"/>
              <w:jc w:val="both"/>
              <w:rPr>
                <w:lang w:eastAsia="en-GB"/>
              </w:rPr>
            </w:pPr>
            <w:r>
              <w:rPr>
                <w:lang w:eastAsia="en-GB"/>
              </w:rPr>
              <w:t>Quarterly.</w:t>
            </w:r>
            <w:r w:rsidRPr="003B7769">
              <w:rPr>
                <w:lang w:eastAsia="en-GB"/>
              </w:rPr>
              <w:t xml:space="preserve">  </w:t>
            </w:r>
          </w:p>
        </w:tc>
      </w:tr>
      <w:tr w:rsidR="00BB5D72" w:rsidRPr="0023654F" w14:paraId="2126FA21" w14:textId="77777777" w:rsidTr="00051DA6">
        <w:tc>
          <w:tcPr>
            <w:tcW w:w="2008" w:type="dxa"/>
          </w:tcPr>
          <w:p w14:paraId="5E018D5F" w14:textId="77777777" w:rsidR="00BB5D72" w:rsidRPr="0023654F" w:rsidRDefault="00BB5D72" w:rsidP="00826BF3">
            <w:pPr>
              <w:spacing w:before="40" w:after="40"/>
              <w:rPr>
                <w:sz w:val="17"/>
                <w:lang w:eastAsia="en-GB"/>
              </w:rPr>
            </w:pPr>
            <w:r w:rsidRPr="0023654F">
              <w:rPr>
                <w:b/>
                <w:sz w:val="17"/>
                <w:lang w:eastAsia="en-GB"/>
              </w:rPr>
              <w:t>Format:</w:t>
            </w:r>
          </w:p>
        </w:tc>
        <w:tc>
          <w:tcPr>
            <w:tcW w:w="7234" w:type="dxa"/>
          </w:tcPr>
          <w:p w14:paraId="7C99538B" w14:textId="77777777" w:rsidR="00BB5D72" w:rsidRPr="0023654F" w:rsidRDefault="00BB5D72" w:rsidP="00826BF3">
            <w:pPr>
              <w:pStyle w:val="TableText"/>
              <w:jc w:val="both"/>
              <w:rPr>
                <w:lang w:eastAsia="en-GB"/>
              </w:rPr>
            </w:pPr>
            <w:r w:rsidRPr="0023654F">
              <w:rPr>
                <w:lang w:eastAsia="en-GB"/>
              </w:rPr>
              <w:t>Fixed.</w:t>
            </w:r>
          </w:p>
        </w:tc>
      </w:tr>
      <w:tr w:rsidR="00BB5D72" w:rsidRPr="0023654F" w14:paraId="3ECC2314" w14:textId="77777777" w:rsidTr="00051DA6">
        <w:tc>
          <w:tcPr>
            <w:tcW w:w="2008" w:type="dxa"/>
          </w:tcPr>
          <w:p w14:paraId="6F567690" w14:textId="77777777" w:rsidR="00BB5D72" w:rsidRDefault="00BB5D72" w:rsidP="00826BF3">
            <w:pPr>
              <w:spacing w:before="40" w:after="40"/>
              <w:rPr>
                <w:b/>
                <w:sz w:val="17"/>
                <w:lang w:eastAsia="en-GB"/>
              </w:rPr>
            </w:pPr>
            <w:r w:rsidRPr="0023654F">
              <w:rPr>
                <w:rFonts w:eastAsiaTheme="minorEastAsia"/>
                <w:b/>
                <w:sz w:val="17"/>
                <w:szCs w:val="17"/>
                <w:lang w:eastAsia="en-GB"/>
              </w:rPr>
              <w:t>Accompanying narrative</w:t>
            </w:r>
            <w:r w:rsidRPr="0023654F">
              <w:rPr>
                <w:rFonts w:eastAsiaTheme="minorEastAsia"/>
                <w:sz w:val="17"/>
                <w:szCs w:val="17"/>
                <w:lang w:eastAsia="en-GB"/>
              </w:rPr>
              <w:t>:</w:t>
            </w:r>
          </w:p>
          <w:p w14:paraId="630F6374" w14:textId="77777777" w:rsidR="00BB5D72" w:rsidRPr="007F79F8" w:rsidRDefault="00BB5D72" w:rsidP="00826BF3">
            <w:pPr>
              <w:rPr>
                <w:sz w:val="17"/>
                <w:lang w:eastAsia="en-GB"/>
              </w:rPr>
            </w:pPr>
          </w:p>
          <w:p w14:paraId="60673DC5" w14:textId="77777777" w:rsidR="00BB5D72" w:rsidRPr="007F79F8" w:rsidRDefault="00BB5D72" w:rsidP="00826BF3">
            <w:pPr>
              <w:rPr>
                <w:sz w:val="17"/>
                <w:lang w:eastAsia="en-GB"/>
              </w:rPr>
            </w:pPr>
          </w:p>
          <w:p w14:paraId="73B9863B" w14:textId="77777777" w:rsidR="00BB5D72" w:rsidRPr="007F79F8" w:rsidRDefault="00BB5D72" w:rsidP="00826BF3">
            <w:pPr>
              <w:rPr>
                <w:sz w:val="17"/>
                <w:lang w:eastAsia="en-GB"/>
              </w:rPr>
            </w:pPr>
          </w:p>
          <w:p w14:paraId="2F5F7334" w14:textId="77777777" w:rsidR="00BB5D72" w:rsidRPr="007F79F8" w:rsidRDefault="00BB5D72" w:rsidP="00826BF3">
            <w:pPr>
              <w:rPr>
                <w:sz w:val="17"/>
                <w:lang w:eastAsia="en-GB"/>
              </w:rPr>
            </w:pPr>
          </w:p>
          <w:p w14:paraId="7BD36FC6" w14:textId="77777777" w:rsidR="00BB5D72" w:rsidRPr="007F79F8" w:rsidRDefault="00BB5D72" w:rsidP="00826BF3">
            <w:pPr>
              <w:rPr>
                <w:sz w:val="17"/>
                <w:lang w:eastAsia="en-GB"/>
              </w:rPr>
            </w:pPr>
          </w:p>
          <w:p w14:paraId="7973EF9E" w14:textId="77777777" w:rsidR="00BB5D72" w:rsidRPr="007F79F8" w:rsidRDefault="00BB5D72" w:rsidP="00826BF3">
            <w:pPr>
              <w:rPr>
                <w:sz w:val="17"/>
                <w:lang w:eastAsia="en-GB"/>
              </w:rPr>
            </w:pPr>
          </w:p>
          <w:p w14:paraId="6FBC87CB" w14:textId="77777777" w:rsidR="00BB5D72" w:rsidRPr="007F79F8" w:rsidRDefault="00BB5D72" w:rsidP="00826BF3">
            <w:pPr>
              <w:rPr>
                <w:sz w:val="17"/>
                <w:lang w:eastAsia="en-GB"/>
              </w:rPr>
            </w:pPr>
          </w:p>
          <w:p w14:paraId="2EB25947" w14:textId="77777777" w:rsidR="00BB5D72" w:rsidRPr="007F79F8" w:rsidRDefault="00BB5D72" w:rsidP="00826BF3">
            <w:pPr>
              <w:rPr>
                <w:sz w:val="17"/>
                <w:lang w:eastAsia="en-GB"/>
              </w:rPr>
            </w:pPr>
          </w:p>
          <w:p w14:paraId="0B17CD3E" w14:textId="77777777" w:rsidR="00BB5D72" w:rsidRPr="007F79F8" w:rsidRDefault="00BB5D72" w:rsidP="00826BF3">
            <w:pPr>
              <w:rPr>
                <w:sz w:val="17"/>
                <w:lang w:eastAsia="en-GB"/>
              </w:rPr>
            </w:pPr>
          </w:p>
          <w:p w14:paraId="2B296BD6" w14:textId="77777777" w:rsidR="00BB5D72" w:rsidRPr="007F79F8" w:rsidRDefault="00BB5D72" w:rsidP="00826BF3">
            <w:pPr>
              <w:jc w:val="right"/>
              <w:rPr>
                <w:sz w:val="17"/>
                <w:lang w:eastAsia="en-GB"/>
              </w:rPr>
            </w:pPr>
          </w:p>
        </w:tc>
        <w:tc>
          <w:tcPr>
            <w:tcW w:w="7234" w:type="dxa"/>
          </w:tcPr>
          <w:p w14:paraId="6F1ABFF0" w14:textId="77777777" w:rsidR="00BB5D72" w:rsidRPr="00AC37F2" w:rsidRDefault="00BB5D72" w:rsidP="00826BF3">
            <w:pPr>
              <w:pStyle w:val="TableText"/>
              <w:jc w:val="both"/>
              <w:rPr>
                <w:szCs w:val="17"/>
              </w:rPr>
            </w:pPr>
            <w:r w:rsidRPr="004529C6">
              <w:rPr>
                <w:szCs w:val="17"/>
                <w:lang w:eastAsia="en-GB"/>
              </w:rPr>
              <w:t xml:space="preserve">An </w:t>
            </w:r>
            <w:r w:rsidRPr="00AC37F2">
              <w:rPr>
                <w:szCs w:val="17"/>
              </w:rPr>
              <w:t xml:space="preserve">AI should provide sufficient qualitative discussion to facilitate </w:t>
            </w:r>
            <w:r>
              <w:rPr>
                <w:szCs w:val="17"/>
              </w:rPr>
              <w:t xml:space="preserve">Pillar 3 data </w:t>
            </w:r>
            <w:r w:rsidRPr="00AC37F2">
              <w:rPr>
                <w:szCs w:val="17"/>
              </w:rPr>
              <w:t xml:space="preserve">users’ understanding of its LCR calculation.  For example, where significant to the LCR, the AI </w:t>
            </w:r>
            <w:r>
              <w:rPr>
                <w:szCs w:val="17"/>
              </w:rPr>
              <w:t>sh</w:t>
            </w:r>
            <w:r w:rsidRPr="00AC37F2">
              <w:rPr>
                <w:szCs w:val="17"/>
              </w:rPr>
              <w:t>ould discuss:</w:t>
            </w:r>
          </w:p>
          <w:p w14:paraId="70425A2A" w14:textId="77777777" w:rsidR="00BB5D72" w:rsidRPr="00AC37F2" w:rsidRDefault="00BB5D72" w:rsidP="008D652E">
            <w:pPr>
              <w:pStyle w:val="Default"/>
              <w:numPr>
                <w:ilvl w:val="0"/>
                <w:numId w:val="20"/>
              </w:numPr>
              <w:tabs>
                <w:tab w:val="left" w:pos="294"/>
              </w:tabs>
              <w:ind w:left="294" w:hanging="294"/>
              <w:jc w:val="both"/>
              <w:rPr>
                <w:sz w:val="17"/>
                <w:szCs w:val="17"/>
              </w:rPr>
            </w:pPr>
            <w:r w:rsidRPr="00AC37F2">
              <w:rPr>
                <w:sz w:val="17"/>
                <w:szCs w:val="17"/>
              </w:rPr>
              <w:t xml:space="preserve">the main drivers of </w:t>
            </w:r>
            <w:r>
              <w:rPr>
                <w:sz w:val="17"/>
                <w:szCs w:val="17"/>
              </w:rPr>
              <w:t>its</w:t>
            </w:r>
            <w:r w:rsidRPr="00AC37F2">
              <w:rPr>
                <w:sz w:val="17"/>
                <w:szCs w:val="17"/>
              </w:rPr>
              <w:t xml:space="preserve"> LCR results and the evolution of the contribution of inputs to t</w:t>
            </w:r>
            <w:r>
              <w:rPr>
                <w:sz w:val="17"/>
                <w:szCs w:val="17"/>
              </w:rPr>
              <w:t>he LCR’s calculation over time;</w:t>
            </w:r>
          </w:p>
          <w:p w14:paraId="3C89E063" w14:textId="77777777" w:rsidR="00BB5D72" w:rsidRPr="00AC37F2" w:rsidRDefault="00BB5D72" w:rsidP="008D652E">
            <w:pPr>
              <w:pStyle w:val="Default"/>
              <w:numPr>
                <w:ilvl w:val="0"/>
                <w:numId w:val="20"/>
              </w:numPr>
              <w:tabs>
                <w:tab w:val="left" w:pos="294"/>
              </w:tabs>
              <w:ind w:left="294" w:hanging="294"/>
              <w:jc w:val="both"/>
              <w:rPr>
                <w:sz w:val="17"/>
                <w:szCs w:val="17"/>
              </w:rPr>
            </w:pPr>
            <w:r w:rsidRPr="00AC37F2">
              <w:rPr>
                <w:sz w:val="17"/>
                <w:szCs w:val="17"/>
              </w:rPr>
              <w:t>intra-period change</w:t>
            </w:r>
            <w:r>
              <w:rPr>
                <w:sz w:val="17"/>
                <w:szCs w:val="17"/>
              </w:rPr>
              <w:t>s as well as changes over time;</w:t>
            </w:r>
          </w:p>
          <w:p w14:paraId="10721BCC" w14:textId="77777777" w:rsidR="00BB5D72" w:rsidRPr="00AC37F2" w:rsidRDefault="00BB5D72" w:rsidP="008D652E">
            <w:pPr>
              <w:pStyle w:val="Default"/>
              <w:numPr>
                <w:ilvl w:val="0"/>
                <w:numId w:val="20"/>
              </w:numPr>
              <w:tabs>
                <w:tab w:val="left" w:pos="294"/>
              </w:tabs>
              <w:ind w:left="294" w:hanging="294"/>
              <w:jc w:val="both"/>
              <w:rPr>
                <w:sz w:val="17"/>
                <w:szCs w:val="17"/>
              </w:rPr>
            </w:pPr>
            <w:r w:rsidRPr="00AC37F2">
              <w:rPr>
                <w:sz w:val="17"/>
                <w:szCs w:val="17"/>
              </w:rPr>
              <w:t>the com</w:t>
            </w:r>
            <w:r>
              <w:rPr>
                <w:sz w:val="17"/>
                <w:szCs w:val="17"/>
              </w:rPr>
              <w:t>position of HQLA;</w:t>
            </w:r>
          </w:p>
          <w:p w14:paraId="04A10ED2" w14:textId="77777777" w:rsidR="00BB5D72" w:rsidRPr="00AC37F2" w:rsidRDefault="00BB5D72" w:rsidP="008D652E">
            <w:pPr>
              <w:pStyle w:val="Default"/>
              <w:numPr>
                <w:ilvl w:val="0"/>
                <w:numId w:val="20"/>
              </w:numPr>
              <w:tabs>
                <w:tab w:val="left" w:pos="294"/>
              </w:tabs>
              <w:ind w:left="294" w:hanging="294"/>
              <w:jc w:val="both"/>
              <w:rPr>
                <w:sz w:val="17"/>
                <w:szCs w:val="17"/>
              </w:rPr>
            </w:pPr>
            <w:r w:rsidRPr="00AC37F2">
              <w:rPr>
                <w:sz w:val="17"/>
                <w:szCs w:val="17"/>
              </w:rPr>
              <w:t>co</w:t>
            </w:r>
            <w:r>
              <w:rPr>
                <w:sz w:val="17"/>
                <w:szCs w:val="17"/>
              </w:rPr>
              <w:t>ncentration of funding sources;</w:t>
            </w:r>
          </w:p>
          <w:p w14:paraId="31C23A20" w14:textId="77777777" w:rsidR="00BB5D72" w:rsidRDefault="00BB5D72" w:rsidP="008D652E">
            <w:pPr>
              <w:pStyle w:val="Default"/>
              <w:numPr>
                <w:ilvl w:val="0"/>
                <w:numId w:val="20"/>
              </w:numPr>
              <w:tabs>
                <w:tab w:val="left" w:pos="294"/>
              </w:tabs>
              <w:ind w:left="294" w:hanging="294"/>
              <w:jc w:val="both"/>
              <w:rPr>
                <w:sz w:val="17"/>
                <w:szCs w:val="17"/>
              </w:rPr>
            </w:pPr>
            <w:r w:rsidRPr="00AC37F2">
              <w:rPr>
                <w:sz w:val="17"/>
                <w:szCs w:val="17"/>
              </w:rPr>
              <w:t>cu</w:t>
            </w:r>
            <w:r>
              <w:rPr>
                <w:sz w:val="17"/>
                <w:szCs w:val="17"/>
              </w:rPr>
              <w:t>rrency mismatch in the LCR;</w:t>
            </w:r>
          </w:p>
          <w:p w14:paraId="033C9B12" w14:textId="77777777" w:rsidR="00BB5D72" w:rsidRDefault="00BB5D72" w:rsidP="008D652E">
            <w:pPr>
              <w:pStyle w:val="Default"/>
              <w:numPr>
                <w:ilvl w:val="0"/>
                <w:numId w:val="20"/>
              </w:numPr>
              <w:tabs>
                <w:tab w:val="left" w:pos="294"/>
              </w:tabs>
              <w:ind w:left="294" w:hanging="294"/>
              <w:jc w:val="both"/>
              <w:rPr>
                <w:sz w:val="17"/>
                <w:szCs w:val="17"/>
              </w:rPr>
            </w:pPr>
            <w:r w:rsidRPr="002A4C18">
              <w:rPr>
                <w:sz w:val="17"/>
                <w:szCs w:val="17"/>
              </w:rPr>
              <w:t>the degree of centralization of liquidity management and the interaction between members of the consolidated group</w:t>
            </w:r>
            <w:r>
              <w:rPr>
                <w:sz w:val="17"/>
                <w:szCs w:val="17"/>
              </w:rPr>
              <w:t>;</w:t>
            </w:r>
          </w:p>
          <w:p w14:paraId="4715B2EB" w14:textId="77777777" w:rsidR="00BB5D72" w:rsidRPr="00AC37F2" w:rsidRDefault="00BB5D72" w:rsidP="008D652E">
            <w:pPr>
              <w:pStyle w:val="Default"/>
              <w:numPr>
                <w:ilvl w:val="0"/>
                <w:numId w:val="20"/>
              </w:numPr>
              <w:tabs>
                <w:tab w:val="left" w:pos="294"/>
              </w:tabs>
              <w:ind w:left="294" w:hanging="294"/>
              <w:jc w:val="both"/>
              <w:rPr>
                <w:sz w:val="17"/>
                <w:szCs w:val="17"/>
              </w:rPr>
            </w:pPr>
            <w:r>
              <w:rPr>
                <w:sz w:val="17"/>
                <w:szCs w:val="17"/>
              </w:rPr>
              <w:t>the exposures under its derivative contracts and the potential for it to be required to post collateral under the contracts; and</w:t>
            </w:r>
          </w:p>
          <w:p w14:paraId="267DAFC0" w14:textId="77777777" w:rsidR="00BB5D72" w:rsidRPr="00AC37F2" w:rsidRDefault="00BB5D72" w:rsidP="008D652E">
            <w:pPr>
              <w:pStyle w:val="Default"/>
              <w:numPr>
                <w:ilvl w:val="0"/>
                <w:numId w:val="20"/>
              </w:numPr>
              <w:tabs>
                <w:tab w:val="left" w:pos="294"/>
              </w:tabs>
              <w:ind w:left="294" w:hanging="294"/>
              <w:jc w:val="both"/>
              <w:rPr>
                <w:noProof/>
                <w:sz w:val="17"/>
                <w:szCs w:val="17"/>
                <w:lang w:eastAsia="en-GB"/>
              </w:rPr>
            </w:pPr>
            <w:r w:rsidRPr="00AC37F2">
              <w:rPr>
                <w:sz w:val="17"/>
                <w:szCs w:val="17"/>
              </w:rPr>
              <w:t>other inflows and outflows in the LCR calculation that are n</w:t>
            </w:r>
            <w:r w:rsidRPr="004529C6">
              <w:rPr>
                <w:sz w:val="17"/>
                <w:szCs w:val="17"/>
              </w:rPr>
              <w:t xml:space="preserve">ot captured in the template but </w:t>
            </w:r>
            <w:r w:rsidRPr="004529C6">
              <w:rPr>
                <w:sz w:val="17"/>
                <w:szCs w:val="17"/>
              </w:rPr>
              <w:lastRenderedPageBreak/>
              <w:t>the AI considers relevant for its liquidity profile.</w:t>
            </w:r>
          </w:p>
        </w:tc>
      </w:tr>
      <w:tr w:rsidR="00BB5D72" w:rsidRPr="0023654F" w14:paraId="33705694" w14:textId="77777777" w:rsidTr="00051DA6">
        <w:tc>
          <w:tcPr>
            <w:tcW w:w="2008" w:type="dxa"/>
          </w:tcPr>
          <w:p w14:paraId="386A974C" w14:textId="77777777" w:rsidR="00BB5D72" w:rsidRPr="0023654F" w:rsidRDefault="00BB5D72" w:rsidP="00826BF3">
            <w:pPr>
              <w:spacing w:before="40" w:after="40"/>
              <w:rPr>
                <w:rFonts w:eastAsiaTheme="minorEastAsia"/>
                <w:b/>
                <w:sz w:val="17"/>
                <w:szCs w:val="17"/>
                <w:lang w:eastAsia="en-GB"/>
              </w:rPr>
            </w:pPr>
            <w:r>
              <w:rPr>
                <w:rFonts w:eastAsiaTheme="minorEastAsia"/>
                <w:b/>
                <w:sz w:val="17"/>
                <w:szCs w:val="17"/>
                <w:lang w:eastAsia="en-GB"/>
              </w:rPr>
              <w:lastRenderedPageBreak/>
              <w:t>Corresponding BDR section:</w:t>
            </w:r>
          </w:p>
        </w:tc>
        <w:tc>
          <w:tcPr>
            <w:tcW w:w="7234" w:type="dxa"/>
          </w:tcPr>
          <w:p w14:paraId="28E18A55" w14:textId="77777777" w:rsidR="00BB5D72" w:rsidRDefault="00BB5D72" w:rsidP="00826BF3">
            <w:pPr>
              <w:pStyle w:val="TableText"/>
              <w:jc w:val="both"/>
              <w:rPr>
                <w:szCs w:val="17"/>
                <w:lang w:eastAsia="en-GB"/>
              </w:rPr>
            </w:pPr>
            <w:r w:rsidRPr="001B530B">
              <w:rPr>
                <w:szCs w:val="17"/>
                <w:lang w:eastAsia="en-GB"/>
              </w:rPr>
              <w:t>16FK and 103A</w:t>
            </w:r>
          </w:p>
          <w:p w14:paraId="6C3B2110" w14:textId="24805DB9" w:rsidR="00540E73" w:rsidRPr="00AC37F2" w:rsidRDefault="00540E73" w:rsidP="00826BF3">
            <w:pPr>
              <w:pStyle w:val="TableText"/>
              <w:jc w:val="both"/>
              <w:rPr>
                <w:szCs w:val="17"/>
                <w:lang w:eastAsia="en-GB"/>
              </w:rPr>
            </w:pPr>
          </w:p>
        </w:tc>
      </w:tr>
    </w:tbl>
    <w:p w14:paraId="2E923A2E" w14:textId="69F04848" w:rsidR="00051DA6" w:rsidRDefault="00051DA6"/>
    <w:tbl>
      <w:tblPr>
        <w:tblpPr w:leftFromText="180" w:rightFromText="180" w:vertAnchor="page" w:horzAnchor="page" w:tblpX="1374" w:tblpY="3852"/>
        <w:tblW w:w="9219" w:type="dxa"/>
        <w:tblBorders>
          <w:top w:val="single" w:sz="8" w:space="0" w:color="BCBDBC"/>
          <w:left w:val="single" w:sz="8" w:space="0" w:color="BCBDBC"/>
          <w:bottom w:val="single" w:sz="8" w:space="0" w:color="BCBDBC"/>
          <w:right w:val="single" w:sz="8" w:space="0" w:color="BCBDBC"/>
          <w:insideH w:val="single" w:sz="6" w:space="0" w:color="BCBDBC"/>
          <w:insideV w:val="single" w:sz="6" w:space="0" w:color="BCBDBC"/>
        </w:tblBorders>
        <w:tblLayout w:type="fixed"/>
        <w:tblCellMar>
          <w:left w:w="0" w:type="dxa"/>
          <w:right w:w="0" w:type="dxa"/>
        </w:tblCellMar>
        <w:tblLook w:val="00A0" w:firstRow="1" w:lastRow="0" w:firstColumn="1" w:lastColumn="0" w:noHBand="0" w:noVBand="0"/>
      </w:tblPr>
      <w:tblGrid>
        <w:gridCol w:w="6425"/>
        <w:gridCol w:w="2794"/>
      </w:tblGrid>
      <w:tr w:rsidR="003B7F34" w:rsidRPr="0023654F" w14:paraId="21988F8D" w14:textId="77777777" w:rsidTr="005C438C">
        <w:trPr>
          <w:trHeight w:hRule="exact" w:val="567"/>
          <w:tblHeader/>
        </w:trPr>
        <w:tc>
          <w:tcPr>
            <w:tcW w:w="6521" w:type="dxa"/>
            <w:tcBorders>
              <w:top w:val="single" w:sz="4" w:space="0" w:color="auto"/>
              <w:left w:val="nil"/>
              <w:bottom w:val="nil"/>
              <w:right w:val="single" w:sz="2" w:space="0" w:color="auto"/>
            </w:tcBorders>
          </w:tcPr>
          <w:p w14:paraId="294B921D" w14:textId="77777777" w:rsidR="003B7F34" w:rsidRDefault="003B7F34" w:rsidP="006D673C">
            <w:pPr>
              <w:pStyle w:val="TableText"/>
              <w:snapToGrid w:val="0"/>
              <w:ind w:rightChars="71" w:right="142"/>
              <w:rPr>
                <w:b/>
                <w:bCs/>
                <w:sz w:val="20"/>
              </w:rPr>
            </w:pPr>
            <w:r w:rsidRPr="007012DB">
              <w:rPr>
                <w:lang w:eastAsia="it-IT"/>
              </w:rPr>
              <w:t>Number of data points used in calculating the average value of the LCR and related components set out in this template: (    )</w:t>
            </w:r>
          </w:p>
        </w:tc>
        <w:tc>
          <w:tcPr>
            <w:tcW w:w="2835" w:type="dxa"/>
            <w:tcBorders>
              <w:top w:val="single" w:sz="2" w:space="0" w:color="auto"/>
              <w:left w:val="single" w:sz="2" w:space="0" w:color="auto"/>
              <w:bottom w:val="nil"/>
              <w:right w:val="single" w:sz="4" w:space="0" w:color="auto"/>
            </w:tcBorders>
          </w:tcPr>
          <w:p w14:paraId="533133AF" w14:textId="77777777" w:rsidR="003B7F34" w:rsidRDefault="003B7F34" w:rsidP="006D673C">
            <w:pPr>
              <w:pStyle w:val="TableText"/>
              <w:snapToGrid w:val="0"/>
              <w:jc w:val="center"/>
              <w:rPr>
                <w:bCs/>
                <w:lang w:eastAsia="it-IT"/>
              </w:rPr>
            </w:pPr>
            <w:r w:rsidRPr="007012DB">
              <w:rPr>
                <w:lang w:eastAsia="it-IT"/>
              </w:rPr>
              <w:t>HK$ equivalent</w:t>
            </w:r>
          </w:p>
        </w:tc>
      </w:tr>
    </w:tbl>
    <w:tbl>
      <w:tblPr>
        <w:tblW w:w="9215" w:type="dxa"/>
        <w:tblInd w:w="-426" w:type="dxa"/>
        <w:tblBorders>
          <w:top w:val="single" w:sz="8" w:space="0" w:color="BCBDBC"/>
          <w:left w:val="single" w:sz="8" w:space="0" w:color="BCBDBC"/>
          <w:bottom w:val="single" w:sz="8" w:space="0" w:color="BCBDBC"/>
          <w:right w:val="single" w:sz="8" w:space="0" w:color="BCBDBC"/>
          <w:insideH w:val="single" w:sz="6" w:space="0" w:color="BCBDBC"/>
          <w:insideV w:val="single" w:sz="6" w:space="0" w:color="BCBDBC"/>
        </w:tblBorders>
        <w:tblLayout w:type="fixed"/>
        <w:tblCellMar>
          <w:left w:w="0" w:type="dxa"/>
          <w:right w:w="0" w:type="dxa"/>
        </w:tblCellMar>
        <w:tblLook w:val="00A0" w:firstRow="1" w:lastRow="0" w:firstColumn="1" w:lastColumn="0" w:noHBand="0" w:noVBand="0"/>
      </w:tblPr>
      <w:tblGrid>
        <w:gridCol w:w="558"/>
        <w:gridCol w:w="5864"/>
        <w:gridCol w:w="1396"/>
        <w:gridCol w:w="1397"/>
      </w:tblGrid>
      <w:tr w:rsidR="003B7F34" w:rsidRPr="0023654F" w14:paraId="253108BC" w14:textId="77777777" w:rsidTr="005C438C">
        <w:trPr>
          <w:trHeight w:val="421"/>
          <w:tblHeader/>
        </w:trPr>
        <w:tc>
          <w:tcPr>
            <w:tcW w:w="6380" w:type="dxa"/>
            <w:gridSpan w:val="2"/>
            <w:tcBorders>
              <w:top w:val="nil"/>
              <w:left w:val="nil"/>
              <w:bottom w:val="single" w:sz="2" w:space="0" w:color="auto"/>
              <w:right w:val="single" w:sz="2" w:space="0" w:color="auto"/>
            </w:tcBorders>
            <w:vAlign w:val="center"/>
          </w:tcPr>
          <w:p w14:paraId="74C7D8EE" w14:textId="77777777" w:rsidR="003B7F34" w:rsidRDefault="003B7F34" w:rsidP="00C37C6E">
            <w:pPr>
              <w:pStyle w:val="Default"/>
              <w:rPr>
                <w:b/>
                <w:bCs/>
                <w:sz w:val="20"/>
                <w:szCs w:val="20"/>
              </w:rPr>
            </w:pPr>
          </w:p>
        </w:tc>
        <w:tc>
          <w:tcPr>
            <w:tcW w:w="1417" w:type="dxa"/>
            <w:tcBorders>
              <w:top w:val="single" w:sz="2" w:space="0" w:color="auto"/>
              <w:left w:val="single" w:sz="2" w:space="0" w:color="auto"/>
              <w:bottom w:val="single" w:sz="2" w:space="0" w:color="auto"/>
              <w:right w:val="single" w:sz="2" w:space="0" w:color="auto"/>
            </w:tcBorders>
            <w:vAlign w:val="center"/>
          </w:tcPr>
          <w:p w14:paraId="31DA11F5" w14:textId="77777777" w:rsidR="003B7F34" w:rsidRPr="0023654F" w:rsidRDefault="003B7F34" w:rsidP="00C37C6E">
            <w:pPr>
              <w:pStyle w:val="TableText"/>
              <w:snapToGrid w:val="0"/>
              <w:jc w:val="center"/>
              <w:rPr>
                <w:bCs/>
                <w:lang w:eastAsia="it-IT"/>
              </w:rPr>
            </w:pPr>
            <w:r>
              <w:rPr>
                <w:bCs/>
                <w:lang w:eastAsia="it-IT"/>
              </w:rPr>
              <w:t>(</w:t>
            </w:r>
            <w:r w:rsidRPr="0023654F">
              <w:rPr>
                <w:bCs/>
                <w:lang w:eastAsia="it-IT"/>
              </w:rPr>
              <w:t>a</w:t>
            </w:r>
            <w:r>
              <w:rPr>
                <w:bCs/>
                <w:lang w:eastAsia="it-IT"/>
              </w:rPr>
              <w:t>)</w:t>
            </w:r>
          </w:p>
        </w:tc>
        <w:tc>
          <w:tcPr>
            <w:tcW w:w="1418" w:type="dxa"/>
            <w:tcBorders>
              <w:top w:val="single" w:sz="2" w:space="0" w:color="auto"/>
              <w:left w:val="single" w:sz="2" w:space="0" w:color="auto"/>
              <w:bottom w:val="single" w:sz="2" w:space="0" w:color="auto"/>
              <w:right w:val="single" w:sz="2" w:space="0" w:color="auto"/>
            </w:tcBorders>
            <w:vAlign w:val="center"/>
          </w:tcPr>
          <w:p w14:paraId="15EFA246" w14:textId="77777777" w:rsidR="003B7F34" w:rsidRPr="0023654F" w:rsidRDefault="003B7F34" w:rsidP="00C37C6E">
            <w:pPr>
              <w:pStyle w:val="TableText"/>
              <w:snapToGrid w:val="0"/>
              <w:jc w:val="center"/>
              <w:rPr>
                <w:bCs/>
                <w:lang w:eastAsia="it-IT"/>
              </w:rPr>
            </w:pPr>
            <w:r>
              <w:rPr>
                <w:bCs/>
                <w:lang w:eastAsia="it-IT"/>
              </w:rPr>
              <w:t>(</w:t>
            </w:r>
            <w:r w:rsidRPr="0023654F">
              <w:rPr>
                <w:bCs/>
                <w:lang w:eastAsia="it-IT"/>
              </w:rPr>
              <w:t>b</w:t>
            </w:r>
            <w:r>
              <w:rPr>
                <w:bCs/>
                <w:lang w:eastAsia="it-IT"/>
              </w:rPr>
              <w:t>)</w:t>
            </w:r>
          </w:p>
        </w:tc>
      </w:tr>
      <w:tr w:rsidR="003B7F34" w:rsidRPr="0023654F" w14:paraId="27D963F2" w14:textId="77777777" w:rsidTr="005C438C">
        <w:trPr>
          <w:trHeight w:val="528"/>
        </w:trPr>
        <w:tc>
          <w:tcPr>
            <w:tcW w:w="6521" w:type="dxa"/>
            <w:gridSpan w:val="2"/>
            <w:tcBorders>
              <w:top w:val="single" w:sz="2" w:space="0" w:color="auto"/>
              <w:left w:val="nil"/>
              <w:bottom w:val="single" w:sz="6" w:space="0" w:color="auto"/>
              <w:right w:val="single" w:sz="2" w:space="0" w:color="auto"/>
            </w:tcBorders>
            <w:vAlign w:val="center"/>
          </w:tcPr>
          <w:p w14:paraId="6528DBB4" w14:textId="77777777" w:rsidR="003B7F34" w:rsidRPr="00E960C4" w:rsidRDefault="003B7F34" w:rsidP="00C37C6E">
            <w:pPr>
              <w:pStyle w:val="TableText"/>
              <w:snapToGrid w:val="0"/>
              <w:ind w:rightChars="71" w:right="142"/>
              <w:rPr>
                <w:lang w:eastAsia="it-IT"/>
              </w:rPr>
            </w:pPr>
            <w:r w:rsidRPr="00E960C4">
              <w:rPr>
                <w:lang w:eastAsia="it-IT"/>
              </w:rPr>
              <w:t>Basis of disclosure: consolidated / unconsolidated / Hong Kong office (delete as appropriate)</w:t>
            </w:r>
          </w:p>
          <w:p w14:paraId="6B816633" w14:textId="77777777" w:rsidR="003B7F34" w:rsidRPr="00E960C4" w:rsidRDefault="003B7F34" w:rsidP="00C37C6E">
            <w:pPr>
              <w:pStyle w:val="TableText"/>
              <w:snapToGrid w:val="0"/>
              <w:rPr>
                <w:lang w:val="en-US" w:eastAsia="it-IT"/>
              </w:rPr>
            </w:pPr>
          </w:p>
        </w:tc>
        <w:tc>
          <w:tcPr>
            <w:tcW w:w="1344" w:type="dxa"/>
            <w:tcBorders>
              <w:top w:val="single" w:sz="2" w:space="0" w:color="auto"/>
              <w:left w:val="single" w:sz="2" w:space="0" w:color="auto"/>
              <w:bottom w:val="single" w:sz="6" w:space="0" w:color="auto"/>
              <w:right w:val="single" w:sz="2" w:space="0" w:color="auto"/>
            </w:tcBorders>
            <w:vAlign w:val="center"/>
          </w:tcPr>
          <w:p w14:paraId="5E3A9C40" w14:textId="77777777" w:rsidR="003B7F34" w:rsidRPr="00445B4A" w:rsidRDefault="003B7F34" w:rsidP="00C37C6E">
            <w:pPr>
              <w:pStyle w:val="TableText"/>
              <w:snapToGrid w:val="0"/>
              <w:ind w:left="57"/>
              <w:jc w:val="center"/>
              <w:rPr>
                <w:b/>
                <w:lang w:eastAsia="it-IT"/>
              </w:rPr>
            </w:pPr>
            <w:r>
              <w:rPr>
                <w:b/>
                <w:lang w:eastAsia="it-IT"/>
              </w:rPr>
              <w:t>U</w:t>
            </w:r>
            <w:r w:rsidRPr="00445B4A">
              <w:rPr>
                <w:b/>
                <w:lang w:eastAsia="it-IT"/>
              </w:rPr>
              <w:t>nweighted value</w:t>
            </w:r>
          </w:p>
          <w:p w14:paraId="0989287B" w14:textId="77777777" w:rsidR="003B7F34" w:rsidRPr="00445B4A" w:rsidRDefault="003B7F34" w:rsidP="00C37C6E">
            <w:pPr>
              <w:pStyle w:val="TableText"/>
              <w:snapToGrid w:val="0"/>
              <w:ind w:left="57"/>
              <w:jc w:val="center"/>
              <w:rPr>
                <w:lang w:eastAsia="it-IT"/>
              </w:rPr>
            </w:pPr>
            <w:r w:rsidRPr="00445B4A">
              <w:rPr>
                <w:lang w:eastAsia="it-IT"/>
              </w:rPr>
              <w:t>(average)</w:t>
            </w:r>
          </w:p>
        </w:tc>
        <w:tc>
          <w:tcPr>
            <w:tcW w:w="1349" w:type="dxa"/>
            <w:tcBorders>
              <w:top w:val="single" w:sz="2" w:space="0" w:color="auto"/>
              <w:left w:val="single" w:sz="2" w:space="0" w:color="auto"/>
              <w:bottom w:val="single" w:sz="6" w:space="0" w:color="auto"/>
              <w:right w:val="single" w:sz="4" w:space="0" w:color="auto"/>
            </w:tcBorders>
            <w:vAlign w:val="center"/>
          </w:tcPr>
          <w:p w14:paraId="6DE2B95E" w14:textId="77777777" w:rsidR="003B7F34" w:rsidRPr="00445B4A" w:rsidRDefault="003B7F34" w:rsidP="00C37C6E">
            <w:pPr>
              <w:pStyle w:val="TableText"/>
              <w:snapToGrid w:val="0"/>
              <w:ind w:left="213" w:rightChars="71" w:right="142"/>
              <w:jc w:val="center"/>
              <w:rPr>
                <w:b/>
                <w:lang w:eastAsia="it-IT"/>
              </w:rPr>
            </w:pPr>
            <w:r>
              <w:rPr>
                <w:b/>
                <w:lang w:eastAsia="it-IT"/>
              </w:rPr>
              <w:t>W</w:t>
            </w:r>
            <w:r w:rsidRPr="00445B4A">
              <w:rPr>
                <w:b/>
                <w:lang w:eastAsia="it-IT"/>
              </w:rPr>
              <w:t>eighted value</w:t>
            </w:r>
          </w:p>
          <w:p w14:paraId="2DEE3E51" w14:textId="77777777" w:rsidR="003B7F34" w:rsidRPr="00445B4A" w:rsidRDefault="003B7F34" w:rsidP="00C37C6E">
            <w:pPr>
              <w:pStyle w:val="TableText"/>
              <w:snapToGrid w:val="0"/>
              <w:ind w:left="213" w:rightChars="71" w:right="142"/>
              <w:jc w:val="center"/>
              <w:rPr>
                <w:lang w:eastAsia="it-IT"/>
              </w:rPr>
            </w:pPr>
            <w:r w:rsidRPr="00445B4A">
              <w:rPr>
                <w:lang w:eastAsia="it-IT"/>
              </w:rPr>
              <w:t>(average)</w:t>
            </w:r>
          </w:p>
        </w:tc>
      </w:tr>
      <w:tr w:rsidR="003B7F34" w:rsidRPr="0023654F" w14:paraId="44992CF9" w14:textId="77777777" w:rsidTr="00C37C6E">
        <w:trPr>
          <w:cantSplit/>
          <w:trHeight w:val="285"/>
        </w:trPr>
        <w:tc>
          <w:tcPr>
            <w:tcW w:w="6380" w:type="dxa"/>
            <w:gridSpan w:val="2"/>
            <w:tcBorders>
              <w:top w:val="single" w:sz="6" w:space="0" w:color="auto"/>
              <w:left w:val="nil"/>
              <w:bottom w:val="single" w:sz="6" w:space="0" w:color="BCBDBC"/>
              <w:right w:val="nil"/>
            </w:tcBorders>
            <w:shd w:val="clear" w:color="auto" w:fill="A6A6A6" w:themeFill="background1" w:themeFillShade="A6"/>
          </w:tcPr>
          <w:p w14:paraId="59DC0F6F" w14:textId="77777777" w:rsidR="003B7F34" w:rsidRPr="00445B4A" w:rsidRDefault="003B7F34" w:rsidP="005C438C">
            <w:pPr>
              <w:pStyle w:val="TableText"/>
              <w:numPr>
                <w:ilvl w:val="0"/>
                <w:numId w:val="21"/>
              </w:numPr>
              <w:snapToGrid w:val="0"/>
              <w:ind w:left="414" w:rightChars="71" w:right="142" w:hanging="357"/>
              <w:rPr>
                <w:b/>
                <w:lang w:eastAsia="it-IT"/>
              </w:rPr>
            </w:pPr>
            <w:r w:rsidRPr="00445B4A">
              <w:rPr>
                <w:b/>
                <w:lang w:eastAsia="it-IT"/>
              </w:rPr>
              <w:t>H</w:t>
            </w:r>
            <w:r>
              <w:rPr>
                <w:b/>
                <w:lang w:eastAsia="it-IT"/>
              </w:rPr>
              <w:t>QLA</w:t>
            </w:r>
          </w:p>
        </w:tc>
        <w:tc>
          <w:tcPr>
            <w:tcW w:w="1417" w:type="dxa"/>
            <w:tcBorders>
              <w:top w:val="single" w:sz="6" w:space="0" w:color="auto"/>
              <w:left w:val="nil"/>
              <w:bottom w:val="single" w:sz="6" w:space="0" w:color="BCBDBC"/>
              <w:right w:val="nil"/>
            </w:tcBorders>
            <w:shd w:val="clear" w:color="auto" w:fill="A6A6A6" w:themeFill="background1" w:themeFillShade="A6"/>
          </w:tcPr>
          <w:p w14:paraId="6A48EAF7" w14:textId="77777777" w:rsidR="003B7F34" w:rsidRPr="0023654F" w:rsidRDefault="003B7F34" w:rsidP="00C37C6E">
            <w:pPr>
              <w:pStyle w:val="TableText"/>
              <w:snapToGrid w:val="0"/>
              <w:rPr>
                <w:lang w:eastAsia="it-IT"/>
              </w:rPr>
            </w:pPr>
          </w:p>
        </w:tc>
        <w:tc>
          <w:tcPr>
            <w:tcW w:w="1418" w:type="dxa"/>
            <w:tcBorders>
              <w:top w:val="single" w:sz="6" w:space="0" w:color="auto"/>
              <w:left w:val="nil"/>
              <w:bottom w:val="single" w:sz="6" w:space="0" w:color="BCBDBC"/>
              <w:right w:val="single" w:sz="4" w:space="0" w:color="auto"/>
            </w:tcBorders>
            <w:shd w:val="clear" w:color="auto" w:fill="A6A6A6" w:themeFill="background1" w:themeFillShade="A6"/>
          </w:tcPr>
          <w:p w14:paraId="0A6AF72D" w14:textId="77777777" w:rsidR="003B7F34" w:rsidRPr="0023654F" w:rsidRDefault="003B7F34" w:rsidP="00C37C6E">
            <w:pPr>
              <w:pStyle w:val="TableText"/>
              <w:snapToGrid w:val="0"/>
              <w:rPr>
                <w:lang w:eastAsia="it-IT"/>
              </w:rPr>
            </w:pPr>
          </w:p>
        </w:tc>
      </w:tr>
      <w:tr w:rsidR="003B7F34" w:rsidRPr="0023654F" w14:paraId="774BEE28" w14:textId="77777777" w:rsidTr="00EF166C">
        <w:trPr>
          <w:cantSplit/>
          <w:trHeight w:val="272"/>
        </w:trPr>
        <w:tc>
          <w:tcPr>
            <w:tcW w:w="567" w:type="dxa"/>
            <w:tcBorders>
              <w:top w:val="single" w:sz="6" w:space="0" w:color="auto"/>
              <w:left w:val="nil"/>
              <w:bottom w:val="single" w:sz="6" w:space="0" w:color="auto"/>
              <w:right w:val="single" w:sz="6" w:space="0" w:color="auto"/>
            </w:tcBorders>
            <w:shd w:val="clear" w:color="auto" w:fill="auto"/>
          </w:tcPr>
          <w:p w14:paraId="435F2C11" w14:textId="77777777" w:rsidR="003B7F34" w:rsidRPr="008B2E9C" w:rsidRDefault="003B7F34" w:rsidP="005C438C">
            <w:pPr>
              <w:pStyle w:val="TableText"/>
              <w:snapToGrid w:val="0"/>
              <w:ind w:left="766" w:hanging="709"/>
              <w:rPr>
                <w:szCs w:val="17"/>
                <w:lang w:eastAsia="en-GB"/>
              </w:rPr>
            </w:pPr>
            <w:r w:rsidRPr="008B2E9C">
              <w:rPr>
                <w:szCs w:val="17"/>
                <w:lang w:eastAsia="en-GB"/>
              </w:rPr>
              <w:t>1</w:t>
            </w:r>
          </w:p>
        </w:tc>
        <w:tc>
          <w:tcPr>
            <w:tcW w:w="595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52A5953" w14:textId="77777777" w:rsidR="003B7F34" w:rsidRPr="00E960C4" w:rsidRDefault="003B7F34" w:rsidP="005C438C">
            <w:pPr>
              <w:pStyle w:val="TableText"/>
              <w:snapToGrid w:val="0"/>
              <w:ind w:left="846" w:rightChars="71" w:right="142" w:hanging="710"/>
              <w:rPr>
                <w:lang w:val="en-US" w:eastAsia="it-IT"/>
              </w:rPr>
            </w:pPr>
            <w:r w:rsidRPr="00E960C4">
              <w:rPr>
                <w:lang w:eastAsia="it-IT"/>
              </w:rPr>
              <w:t>Total HQLA</w:t>
            </w:r>
          </w:p>
        </w:tc>
        <w:tc>
          <w:tcPr>
            <w:tcW w:w="1417" w:type="dxa"/>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34B19421" w14:textId="77777777" w:rsidR="003B7F34" w:rsidRPr="0023654F" w:rsidRDefault="003B7F34" w:rsidP="00C37C6E">
            <w:pPr>
              <w:pStyle w:val="TableText"/>
              <w:snapToGrid w:val="0"/>
              <w:rPr>
                <w:lang w:eastAsia="it-IT"/>
              </w:rPr>
            </w:pPr>
          </w:p>
        </w:tc>
        <w:tc>
          <w:tcPr>
            <w:tcW w:w="1418" w:type="dxa"/>
            <w:tcBorders>
              <w:top w:val="single" w:sz="6" w:space="0" w:color="auto"/>
              <w:left w:val="single" w:sz="6" w:space="0" w:color="auto"/>
              <w:bottom w:val="single" w:sz="6" w:space="0" w:color="auto"/>
              <w:right w:val="single" w:sz="4" w:space="0" w:color="auto"/>
            </w:tcBorders>
            <w:shd w:val="clear" w:color="auto" w:fill="F2F2F2" w:themeFill="background1" w:themeFillShade="F2"/>
          </w:tcPr>
          <w:p w14:paraId="1B8C7AB3" w14:textId="77777777" w:rsidR="003B7F34" w:rsidRPr="0023654F" w:rsidRDefault="003B7F34" w:rsidP="00C37C6E">
            <w:pPr>
              <w:pStyle w:val="TableText"/>
              <w:snapToGrid w:val="0"/>
              <w:rPr>
                <w:lang w:eastAsia="it-IT"/>
              </w:rPr>
            </w:pPr>
          </w:p>
        </w:tc>
      </w:tr>
      <w:tr w:rsidR="003B7F34" w:rsidRPr="0023654F" w14:paraId="5BD5828B" w14:textId="77777777" w:rsidTr="00C37C6E">
        <w:trPr>
          <w:cantSplit/>
          <w:trHeight w:val="285"/>
        </w:trPr>
        <w:tc>
          <w:tcPr>
            <w:tcW w:w="6380" w:type="dxa"/>
            <w:gridSpan w:val="2"/>
            <w:tcBorders>
              <w:top w:val="single" w:sz="6" w:space="0" w:color="auto"/>
              <w:left w:val="nil"/>
              <w:bottom w:val="single" w:sz="4" w:space="0" w:color="auto"/>
              <w:right w:val="nil"/>
            </w:tcBorders>
            <w:shd w:val="clear" w:color="auto" w:fill="A6A6A6" w:themeFill="background1" w:themeFillShade="A6"/>
          </w:tcPr>
          <w:p w14:paraId="36FC5929" w14:textId="77777777" w:rsidR="003B7F34" w:rsidRPr="008B2E9C" w:rsidRDefault="003B7F34" w:rsidP="005C438C">
            <w:pPr>
              <w:pStyle w:val="TableText"/>
              <w:numPr>
                <w:ilvl w:val="0"/>
                <w:numId w:val="21"/>
              </w:numPr>
              <w:snapToGrid w:val="0"/>
              <w:ind w:left="414" w:rightChars="71" w:right="142" w:hanging="357"/>
              <w:rPr>
                <w:b/>
                <w:szCs w:val="17"/>
                <w:lang w:eastAsia="it-IT"/>
              </w:rPr>
            </w:pPr>
            <w:r w:rsidRPr="008B2E9C">
              <w:rPr>
                <w:b/>
                <w:szCs w:val="17"/>
                <w:lang w:eastAsia="it-IT"/>
              </w:rPr>
              <w:t>Cash outflows</w:t>
            </w:r>
          </w:p>
        </w:tc>
        <w:tc>
          <w:tcPr>
            <w:tcW w:w="1417" w:type="dxa"/>
            <w:tcBorders>
              <w:top w:val="single" w:sz="6" w:space="0" w:color="auto"/>
              <w:left w:val="nil"/>
              <w:bottom w:val="single" w:sz="4" w:space="0" w:color="auto"/>
              <w:right w:val="nil"/>
            </w:tcBorders>
            <w:shd w:val="clear" w:color="auto" w:fill="A6A6A6" w:themeFill="background1" w:themeFillShade="A6"/>
          </w:tcPr>
          <w:p w14:paraId="09F551A4" w14:textId="77777777" w:rsidR="003B7F34" w:rsidRPr="0023654F" w:rsidRDefault="003B7F34" w:rsidP="00C37C6E">
            <w:pPr>
              <w:pStyle w:val="TableText"/>
              <w:snapToGrid w:val="0"/>
              <w:rPr>
                <w:lang w:eastAsia="it-IT"/>
              </w:rPr>
            </w:pPr>
          </w:p>
        </w:tc>
        <w:tc>
          <w:tcPr>
            <w:tcW w:w="1418" w:type="dxa"/>
            <w:tcBorders>
              <w:top w:val="single" w:sz="6" w:space="0" w:color="auto"/>
              <w:left w:val="nil"/>
              <w:bottom w:val="single" w:sz="4" w:space="0" w:color="auto"/>
              <w:right w:val="single" w:sz="4" w:space="0" w:color="auto"/>
            </w:tcBorders>
            <w:shd w:val="clear" w:color="auto" w:fill="A6A6A6" w:themeFill="background1" w:themeFillShade="A6"/>
          </w:tcPr>
          <w:p w14:paraId="2349A898" w14:textId="77777777" w:rsidR="003B7F34" w:rsidRPr="0023654F" w:rsidRDefault="003B7F34" w:rsidP="00C37C6E">
            <w:pPr>
              <w:pStyle w:val="TableText"/>
              <w:snapToGrid w:val="0"/>
              <w:rPr>
                <w:lang w:eastAsia="it-IT"/>
              </w:rPr>
            </w:pPr>
          </w:p>
        </w:tc>
      </w:tr>
      <w:tr w:rsidR="003B7F34" w:rsidRPr="0023654F" w14:paraId="2430260F" w14:textId="77777777" w:rsidTr="00EF166C">
        <w:trPr>
          <w:cantSplit/>
          <w:trHeight w:val="270"/>
        </w:trPr>
        <w:tc>
          <w:tcPr>
            <w:tcW w:w="426" w:type="dxa"/>
            <w:tcBorders>
              <w:top w:val="single" w:sz="4" w:space="0" w:color="auto"/>
              <w:left w:val="nil"/>
              <w:bottom w:val="single" w:sz="6" w:space="0" w:color="BCBDBC"/>
              <w:right w:val="single" w:sz="6" w:space="0" w:color="auto"/>
            </w:tcBorders>
            <w:shd w:val="clear" w:color="auto" w:fill="auto"/>
          </w:tcPr>
          <w:p w14:paraId="28FDF899" w14:textId="77777777" w:rsidR="003B7F34" w:rsidRPr="008B2E9C" w:rsidRDefault="003B7F34" w:rsidP="00C37C6E">
            <w:pPr>
              <w:pStyle w:val="TableText"/>
              <w:snapToGrid w:val="0"/>
              <w:ind w:left="57"/>
              <w:rPr>
                <w:szCs w:val="17"/>
                <w:lang w:eastAsia="en-GB"/>
              </w:rPr>
            </w:pPr>
            <w:r w:rsidRPr="008B2E9C">
              <w:rPr>
                <w:szCs w:val="17"/>
                <w:lang w:eastAsia="en-GB"/>
              </w:rPr>
              <w:t>2</w:t>
            </w:r>
          </w:p>
        </w:tc>
        <w:tc>
          <w:tcPr>
            <w:tcW w:w="595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236C0DA" w14:textId="77777777" w:rsidR="003B7F34" w:rsidRPr="00A3109D" w:rsidRDefault="003B7F34" w:rsidP="00C37C6E">
            <w:pPr>
              <w:pStyle w:val="TableText"/>
              <w:snapToGrid w:val="0"/>
              <w:ind w:left="57" w:rightChars="71" w:right="142"/>
              <w:rPr>
                <w:lang w:eastAsia="it-IT"/>
              </w:rPr>
            </w:pPr>
            <w:r w:rsidRPr="00A3109D">
              <w:rPr>
                <w:lang w:eastAsia="it-IT"/>
              </w:rPr>
              <w:t>Retail deposits and small business funding, of which:</w:t>
            </w:r>
          </w:p>
        </w:tc>
        <w:tc>
          <w:tcPr>
            <w:tcW w:w="1417" w:type="dxa"/>
            <w:tcBorders>
              <w:top w:val="single" w:sz="4" w:space="0" w:color="auto"/>
              <w:left w:val="single" w:sz="6" w:space="0" w:color="auto"/>
              <w:bottom w:val="single" w:sz="6" w:space="0" w:color="auto"/>
              <w:right w:val="single" w:sz="6" w:space="0" w:color="auto"/>
            </w:tcBorders>
            <w:shd w:val="clear" w:color="auto" w:fill="D9D9D9" w:themeFill="background1" w:themeFillShade="D9"/>
          </w:tcPr>
          <w:p w14:paraId="799138AB" w14:textId="77777777" w:rsidR="003B7F34" w:rsidRPr="0023654F" w:rsidRDefault="003B7F34" w:rsidP="00C37C6E">
            <w:pPr>
              <w:pStyle w:val="TableText"/>
              <w:snapToGrid w:val="0"/>
              <w:rPr>
                <w:lang w:eastAsia="it-IT"/>
              </w:rPr>
            </w:pPr>
          </w:p>
        </w:tc>
        <w:tc>
          <w:tcPr>
            <w:tcW w:w="1418" w:type="dxa"/>
            <w:tcBorders>
              <w:top w:val="single" w:sz="4" w:space="0" w:color="auto"/>
              <w:left w:val="single" w:sz="6" w:space="0" w:color="auto"/>
              <w:bottom w:val="single" w:sz="6" w:space="0" w:color="auto"/>
              <w:right w:val="single" w:sz="4" w:space="0" w:color="auto"/>
            </w:tcBorders>
            <w:shd w:val="clear" w:color="auto" w:fill="D9D9D9" w:themeFill="background1" w:themeFillShade="D9"/>
          </w:tcPr>
          <w:p w14:paraId="5337F148" w14:textId="77777777" w:rsidR="003B7F34" w:rsidRPr="0023654F" w:rsidRDefault="003B7F34" w:rsidP="00C37C6E">
            <w:pPr>
              <w:pStyle w:val="TableText"/>
              <w:snapToGrid w:val="0"/>
              <w:rPr>
                <w:lang w:eastAsia="it-IT"/>
              </w:rPr>
            </w:pPr>
          </w:p>
        </w:tc>
      </w:tr>
      <w:tr w:rsidR="003B7F34" w:rsidRPr="0023654F" w14:paraId="03FA2C7C" w14:textId="77777777" w:rsidTr="00C37C6E">
        <w:trPr>
          <w:cantSplit/>
          <w:trHeight w:val="270"/>
        </w:trPr>
        <w:tc>
          <w:tcPr>
            <w:tcW w:w="426" w:type="dxa"/>
            <w:tcBorders>
              <w:top w:val="single" w:sz="6" w:space="0" w:color="BCBDBC"/>
              <w:left w:val="nil"/>
              <w:bottom w:val="single" w:sz="6" w:space="0" w:color="BCBDBC"/>
              <w:right w:val="single" w:sz="6" w:space="0" w:color="auto"/>
            </w:tcBorders>
          </w:tcPr>
          <w:p w14:paraId="6630CB30" w14:textId="77777777" w:rsidR="003B7F34" w:rsidRPr="008B2E9C" w:rsidRDefault="003B7F34" w:rsidP="00C37C6E">
            <w:pPr>
              <w:pStyle w:val="TableText"/>
              <w:snapToGrid w:val="0"/>
              <w:ind w:left="57"/>
              <w:rPr>
                <w:szCs w:val="17"/>
                <w:lang w:eastAsia="en-GB"/>
              </w:rPr>
            </w:pPr>
            <w:r w:rsidRPr="008B2E9C">
              <w:rPr>
                <w:szCs w:val="17"/>
                <w:lang w:eastAsia="en-GB"/>
              </w:rPr>
              <w:t>3</w:t>
            </w:r>
          </w:p>
        </w:tc>
        <w:tc>
          <w:tcPr>
            <w:tcW w:w="5954" w:type="dxa"/>
            <w:tcBorders>
              <w:top w:val="single" w:sz="6" w:space="0" w:color="auto"/>
              <w:left w:val="single" w:sz="6" w:space="0" w:color="auto"/>
              <w:bottom w:val="single" w:sz="6" w:space="0" w:color="BCBDBC"/>
              <w:right w:val="single" w:sz="6" w:space="0" w:color="auto"/>
            </w:tcBorders>
          </w:tcPr>
          <w:p w14:paraId="78EFE40C" w14:textId="77777777" w:rsidR="003B7F34" w:rsidRPr="00B62B9C" w:rsidRDefault="003B7F34" w:rsidP="00C37C6E">
            <w:pPr>
              <w:pStyle w:val="TableText"/>
              <w:snapToGrid w:val="0"/>
              <w:ind w:left="284" w:rightChars="71" w:right="142"/>
              <w:rPr>
                <w:lang w:val="en-US" w:eastAsia="it-IT"/>
              </w:rPr>
            </w:pPr>
            <w:r w:rsidRPr="00475528">
              <w:rPr>
                <w:i/>
                <w:lang w:eastAsia="it-IT"/>
              </w:rPr>
              <w:t>Stable retail deposits and stable small business funding</w:t>
            </w:r>
          </w:p>
        </w:tc>
        <w:tc>
          <w:tcPr>
            <w:tcW w:w="1417" w:type="dxa"/>
            <w:tcBorders>
              <w:top w:val="single" w:sz="6" w:space="0" w:color="auto"/>
              <w:left w:val="single" w:sz="6" w:space="0" w:color="auto"/>
              <w:bottom w:val="single" w:sz="6" w:space="0" w:color="BCBDBC"/>
              <w:right w:val="single" w:sz="6" w:space="0" w:color="auto"/>
            </w:tcBorders>
          </w:tcPr>
          <w:p w14:paraId="260CAAFB" w14:textId="77777777" w:rsidR="003B7F34" w:rsidRPr="0023654F" w:rsidRDefault="003B7F34" w:rsidP="00C37C6E">
            <w:pPr>
              <w:pStyle w:val="TableText"/>
              <w:snapToGrid w:val="0"/>
              <w:rPr>
                <w:lang w:eastAsia="it-IT"/>
              </w:rPr>
            </w:pPr>
          </w:p>
        </w:tc>
        <w:tc>
          <w:tcPr>
            <w:tcW w:w="1418" w:type="dxa"/>
            <w:tcBorders>
              <w:top w:val="single" w:sz="6" w:space="0" w:color="auto"/>
              <w:left w:val="single" w:sz="6" w:space="0" w:color="auto"/>
              <w:bottom w:val="single" w:sz="6" w:space="0" w:color="BCBDBC"/>
              <w:right w:val="single" w:sz="4" w:space="0" w:color="auto"/>
            </w:tcBorders>
          </w:tcPr>
          <w:p w14:paraId="4F081428" w14:textId="77777777" w:rsidR="003B7F34" w:rsidRPr="0023654F" w:rsidRDefault="003B7F34" w:rsidP="00C37C6E">
            <w:pPr>
              <w:pStyle w:val="TableText"/>
              <w:snapToGrid w:val="0"/>
              <w:rPr>
                <w:lang w:eastAsia="it-IT"/>
              </w:rPr>
            </w:pPr>
          </w:p>
        </w:tc>
      </w:tr>
      <w:tr w:rsidR="003B7F34" w:rsidRPr="0023654F" w14:paraId="6E322DFC" w14:textId="77777777" w:rsidTr="00C37C6E">
        <w:trPr>
          <w:cantSplit/>
          <w:trHeight w:val="270"/>
        </w:trPr>
        <w:tc>
          <w:tcPr>
            <w:tcW w:w="426" w:type="dxa"/>
            <w:tcBorders>
              <w:top w:val="single" w:sz="6" w:space="0" w:color="BCBDBC"/>
              <w:left w:val="nil"/>
              <w:bottom w:val="single" w:sz="6" w:space="0" w:color="BCBDBC"/>
              <w:right w:val="single" w:sz="6" w:space="0" w:color="auto"/>
            </w:tcBorders>
          </w:tcPr>
          <w:p w14:paraId="2F893E61" w14:textId="77777777" w:rsidR="003B7F34" w:rsidRPr="008B2E9C" w:rsidRDefault="003B7F34" w:rsidP="00C37C6E">
            <w:pPr>
              <w:pStyle w:val="TableText"/>
              <w:snapToGrid w:val="0"/>
              <w:ind w:left="57"/>
              <w:rPr>
                <w:szCs w:val="17"/>
                <w:lang w:eastAsia="en-GB"/>
              </w:rPr>
            </w:pPr>
            <w:r w:rsidRPr="008B2E9C">
              <w:rPr>
                <w:szCs w:val="17"/>
                <w:lang w:eastAsia="en-GB"/>
              </w:rPr>
              <w:t>4</w:t>
            </w:r>
          </w:p>
        </w:tc>
        <w:tc>
          <w:tcPr>
            <w:tcW w:w="5954" w:type="dxa"/>
            <w:tcBorders>
              <w:top w:val="single" w:sz="6" w:space="0" w:color="BCBDBC"/>
              <w:left w:val="single" w:sz="6" w:space="0" w:color="auto"/>
              <w:bottom w:val="single" w:sz="6" w:space="0" w:color="BCBDBC"/>
              <w:right w:val="single" w:sz="6" w:space="0" w:color="auto"/>
            </w:tcBorders>
          </w:tcPr>
          <w:p w14:paraId="3F2AE4F5" w14:textId="77777777" w:rsidR="003B7F34" w:rsidRPr="00475528" w:rsidRDefault="003B7F34" w:rsidP="00C37C6E">
            <w:pPr>
              <w:pStyle w:val="TableText"/>
              <w:snapToGrid w:val="0"/>
              <w:ind w:left="284" w:rightChars="71" w:right="142"/>
              <w:rPr>
                <w:i/>
                <w:lang w:eastAsia="it-IT"/>
              </w:rPr>
            </w:pPr>
            <w:r w:rsidRPr="00475528">
              <w:rPr>
                <w:i/>
                <w:lang w:eastAsia="it-IT"/>
              </w:rPr>
              <w:t>Less stable retail deposits and less stable small business funding</w:t>
            </w:r>
          </w:p>
        </w:tc>
        <w:tc>
          <w:tcPr>
            <w:tcW w:w="1417" w:type="dxa"/>
            <w:tcBorders>
              <w:top w:val="single" w:sz="6" w:space="0" w:color="BCBDBC"/>
              <w:left w:val="single" w:sz="6" w:space="0" w:color="auto"/>
              <w:bottom w:val="single" w:sz="6" w:space="0" w:color="BCBDBC"/>
              <w:right w:val="single" w:sz="6" w:space="0" w:color="auto"/>
            </w:tcBorders>
          </w:tcPr>
          <w:p w14:paraId="6B9E5D0C" w14:textId="77777777" w:rsidR="003B7F34" w:rsidRPr="0023654F" w:rsidRDefault="003B7F34" w:rsidP="00C37C6E">
            <w:pPr>
              <w:pStyle w:val="TableText"/>
              <w:snapToGrid w:val="0"/>
              <w:rPr>
                <w:lang w:eastAsia="it-IT"/>
              </w:rPr>
            </w:pPr>
          </w:p>
        </w:tc>
        <w:tc>
          <w:tcPr>
            <w:tcW w:w="1418" w:type="dxa"/>
            <w:tcBorders>
              <w:top w:val="single" w:sz="6" w:space="0" w:color="BCBDBC"/>
              <w:left w:val="single" w:sz="6" w:space="0" w:color="auto"/>
              <w:bottom w:val="single" w:sz="6" w:space="0" w:color="BCBDBC"/>
              <w:right w:val="single" w:sz="4" w:space="0" w:color="auto"/>
            </w:tcBorders>
          </w:tcPr>
          <w:p w14:paraId="35649197" w14:textId="77777777" w:rsidR="003B7F34" w:rsidRPr="0023654F" w:rsidRDefault="003B7F34" w:rsidP="00C37C6E">
            <w:pPr>
              <w:pStyle w:val="TableText"/>
              <w:snapToGrid w:val="0"/>
              <w:rPr>
                <w:lang w:eastAsia="it-IT"/>
              </w:rPr>
            </w:pPr>
          </w:p>
        </w:tc>
      </w:tr>
      <w:tr w:rsidR="003B7F34" w:rsidRPr="0023654F" w14:paraId="2C140157" w14:textId="77777777" w:rsidTr="00C37C6E">
        <w:trPr>
          <w:cantSplit/>
          <w:trHeight w:val="270"/>
        </w:trPr>
        <w:tc>
          <w:tcPr>
            <w:tcW w:w="426" w:type="dxa"/>
            <w:tcBorders>
              <w:top w:val="single" w:sz="6" w:space="0" w:color="BCBDBC"/>
              <w:left w:val="nil"/>
              <w:bottom w:val="single" w:sz="6" w:space="0" w:color="BCBDBC"/>
              <w:right w:val="single" w:sz="6" w:space="0" w:color="auto"/>
            </w:tcBorders>
          </w:tcPr>
          <w:p w14:paraId="161B1E7A" w14:textId="77777777" w:rsidR="003B7F34" w:rsidRPr="008B2E9C" w:rsidRDefault="003B7F34" w:rsidP="00C37C6E">
            <w:pPr>
              <w:pStyle w:val="TableText"/>
              <w:snapToGrid w:val="0"/>
              <w:ind w:left="57"/>
              <w:rPr>
                <w:szCs w:val="17"/>
                <w:lang w:eastAsia="en-GB"/>
              </w:rPr>
            </w:pPr>
            <w:r w:rsidRPr="008B2E9C">
              <w:rPr>
                <w:szCs w:val="17"/>
                <w:lang w:eastAsia="en-GB"/>
              </w:rPr>
              <w:t>4a</w:t>
            </w:r>
          </w:p>
        </w:tc>
        <w:tc>
          <w:tcPr>
            <w:tcW w:w="5954" w:type="dxa"/>
            <w:tcBorders>
              <w:top w:val="single" w:sz="6" w:space="0" w:color="BCBDBC"/>
              <w:left w:val="single" w:sz="6" w:space="0" w:color="auto"/>
              <w:bottom w:val="single" w:sz="6" w:space="0" w:color="auto"/>
              <w:right w:val="single" w:sz="6" w:space="0" w:color="auto"/>
            </w:tcBorders>
          </w:tcPr>
          <w:p w14:paraId="296CE099" w14:textId="77777777" w:rsidR="003B7F34" w:rsidRPr="00475528" w:rsidRDefault="003B7F34" w:rsidP="00C37C6E">
            <w:pPr>
              <w:pStyle w:val="TableText"/>
              <w:snapToGrid w:val="0"/>
              <w:ind w:left="284" w:rightChars="71" w:right="142"/>
              <w:rPr>
                <w:i/>
                <w:lang w:eastAsia="it-IT"/>
              </w:rPr>
            </w:pPr>
            <w:r w:rsidRPr="00475528">
              <w:rPr>
                <w:i/>
                <w:lang w:eastAsia="it-IT"/>
              </w:rPr>
              <w:t>Retail term deposits and small business term funding</w:t>
            </w:r>
          </w:p>
        </w:tc>
        <w:tc>
          <w:tcPr>
            <w:tcW w:w="1417" w:type="dxa"/>
            <w:tcBorders>
              <w:top w:val="single" w:sz="6" w:space="0" w:color="BCBDBC"/>
              <w:left w:val="single" w:sz="6" w:space="0" w:color="auto"/>
              <w:bottom w:val="single" w:sz="6" w:space="0" w:color="auto"/>
              <w:right w:val="single" w:sz="6" w:space="0" w:color="auto"/>
            </w:tcBorders>
          </w:tcPr>
          <w:p w14:paraId="50F122DA" w14:textId="77777777" w:rsidR="003B7F34" w:rsidRPr="0023654F" w:rsidRDefault="003B7F34" w:rsidP="00C37C6E">
            <w:pPr>
              <w:pStyle w:val="TableText"/>
              <w:snapToGrid w:val="0"/>
              <w:rPr>
                <w:lang w:eastAsia="it-IT"/>
              </w:rPr>
            </w:pPr>
          </w:p>
        </w:tc>
        <w:tc>
          <w:tcPr>
            <w:tcW w:w="1418" w:type="dxa"/>
            <w:tcBorders>
              <w:top w:val="single" w:sz="6" w:space="0" w:color="BCBDBC"/>
              <w:left w:val="single" w:sz="6" w:space="0" w:color="auto"/>
              <w:bottom w:val="single" w:sz="6" w:space="0" w:color="auto"/>
              <w:right w:val="single" w:sz="4" w:space="0" w:color="auto"/>
            </w:tcBorders>
          </w:tcPr>
          <w:p w14:paraId="4DD2D3CB" w14:textId="77777777" w:rsidR="003B7F34" w:rsidRPr="0023654F" w:rsidRDefault="003B7F34" w:rsidP="00C37C6E">
            <w:pPr>
              <w:pStyle w:val="TableText"/>
              <w:snapToGrid w:val="0"/>
              <w:rPr>
                <w:lang w:eastAsia="it-IT"/>
              </w:rPr>
            </w:pPr>
          </w:p>
        </w:tc>
      </w:tr>
      <w:tr w:rsidR="003B7F34" w:rsidRPr="0023654F" w14:paraId="082968D5" w14:textId="77777777" w:rsidTr="00EF166C">
        <w:trPr>
          <w:cantSplit/>
          <w:trHeight w:val="270"/>
        </w:trPr>
        <w:tc>
          <w:tcPr>
            <w:tcW w:w="426" w:type="dxa"/>
            <w:tcBorders>
              <w:top w:val="single" w:sz="6" w:space="0" w:color="BCBDBC"/>
              <w:left w:val="nil"/>
              <w:bottom w:val="single" w:sz="6" w:space="0" w:color="BCBDBC"/>
              <w:right w:val="single" w:sz="6" w:space="0" w:color="auto"/>
            </w:tcBorders>
            <w:shd w:val="clear" w:color="auto" w:fill="auto"/>
          </w:tcPr>
          <w:p w14:paraId="16844458" w14:textId="77777777" w:rsidR="003B7F34" w:rsidRPr="008B2E9C" w:rsidRDefault="003B7F34" w:rsidP="00C37C6E">
            <w:pPr>
              <w:pStyle w:val="TableText"/>
              <w:snapToGrid w:val="0"/>
              <w:ind w:left="57"/>
              <w:rPr>
                <w:szCs w:val="17"/>
                <w:lang w:eastAsia="en-GB"/>
              </w:rPr>
            </w:pPr>
            <w:r w:rsidRPr="008B2E9C">
              <w:rPr>
                <w:szCs w:val="17"/>
                <w:lang w:eastAsia="en-GB"/>
              </w:rPr>
              <w:t>5</w:t>
            </w:r>
          </w:p>
        </w:tc>
        <w:tc>
          <w:tcPr>
            <w:tcW w:w="595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B3EA05C" w14:textId="77777777" w:rsidR="003B7F34" w:rsidRPr="0062513D" w:rsidRDefault="003B7F34" w:rsidP="00C37C6E">
            <w:pPr>
              <w:pStyle w:val="TableText"/>
              <w:snapToGrid w:val="0"/>
              <w:ind w:left="57" w:rightChars="71" w:right="142"/>
              <w:rPr>
                <w:lang w:val="en-US" w:eastAsia="it-IT"/>
              </w:rPr>
            </w:pPr>
            <w:r w:rsidRPr="00475528">
              <w:rPr>
                <w:lang w:eastAsia="it-IT"/>
              </w:rPr>
              <w:t>Unsecured wholesale funding (other than small business funding)</w:t>
            </w:r>
            <w:r>
              <w:rPr>
                <w:lang w:eastAsia="it-IT"/>
              </w:rPr>
              <w:t>,</w:t>
            </w:r>
            <w:r w:rsidRPr="00475528">
              <w:rPr>
                <w:lang w:eastAsia="it-IT"/>
              </w:rPr>
              <w:t xml:space="preserve"> and debt securities and prescribed instruments issued by the </w:t>
            </w:r>
            <w:r>
              <w:rPr>
                <w:lang w:eastAsia="it-IT"/>
              </w:rPr>
              <w:t>AI</w:t>
            </w:r>
            <w:r w:rsidRPr="00475528">
              <w:rPr>
                <w:lang w:eastAsia="it-IT"/>
              </w:rPr>
              <w:t>, of which:</w:t>
            </w:r>
          </w:p>
        </w:tc>
        <w:tc>
          <w:tcPr>
            <w:tcW w:w="141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C9AD2B2" w14:textId="77777777" w:rsidR="003B7F34" w:rsidRPr="0023654F" w:rsidRDefault="003B7F34" w:rsidP="00C37C6E">
            <w:pPr>
              <w:pStyle w:val="TableText"/>
              <w:snapToGrid w:val="0"/>
              <w:rPr>
                <w:lang w:eastAsia="it-IT"/>
              </w:rPr>
            </w:pPr>
          </w:p>
        </w:tc>
        <w:tc>
          <w:tcPr>
            <w:tcW w:w="1418" w:type="dxa"/>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3A91D872" w14:textId="77777777" w:rsidR="003B7F34" w:rsidRPr="0023654F" w:rsidRDefault="003B7F34" w:rsidP="00C37C6E">
            <w:pPr>
              <w:pStyle w:val="TableText"/>
              <w:snapToGrid w:val="0"/>
              <w:rPr>
                <w:lang w:eastAsia="it-IT"/>
              </w:rPr>
            </w:pPr>
          </w:p>
        </w:tc>
      </w:tr>
      <w:tr w:rsidR="003B7F34" w:rsidRPr="0023654F" w14:paraId="7315C536" w14:textId="77777777" w:rsidTr="00C37C6E">
        <w:trPr>
          <w:cantSplit/>
          <w:trHeight w:val="270"/>
        </w:trPr>
        <w:tc>
          <w:tcPr>
            <w:tcW w:w="426" w:type="dxa"/>
            <w:tcBorders>
              <w:top w:val="single" w:sz="6" w:space="0" w:color="BCBDBC"/>
              <w:left w:val="nil"/>
              <w:bottom w:val="single" w:sz="6" w:space="0" w:color="BCBDBC"/>
              <w:right w:val="single" w:sz="6" w:space="0" w:color="auto"/>
            </w:tcBorders>
          </w:tcPr>
          <w:p w14:paraId="37A75792" w14:textId="77777777" w:rsidR="003B7F34" w:rsidRPr="008B2E9C" w:rsidRDefault="003B7F34" w:rsidP="00C37C6E">
            <w:pPr>
              <w:pStyle w:val="TableText"/>
              <w:snapToGrid w:val="0"/>
              <w:ind w:left="57"/>
              <w:rPr>
                <w:szCs w:val="17"/>
                <w:lang w:eastAsia="en-GB"/>
              </w:rPr>
            </w:pPr>
            <w:r w:rsidRPr="008B2E9C">
              <w:rPr>
                <w:szCs w:val="17"/>
                <w:lang w:eastAsia="en-GB"/>
              </w:rPr>
              <w:t>6</w:t>
            </w:r>
          </w:p>
        </w:tc>
        <w:tc>
          <w:tcPr>
            <w:tcW w:w="5954" w:type="dxa"/>
            <w:tcBorders>
              <w:top w:val="single" w:sz="6" w:space="0" w:color="auto"/>
              <w:left w:val="single" w:sz="6" w:space="0" w:color="auto"/>
              <w:bottom w:val="single" w:sz="6" w:space="0" w:color="BCBDBC"/>
              <w:right w:val="single" w:sz="6" w:space="0" w:color="auto"/>
            </w:tcBorders>
          </w:tcPr>
          <w:p w14:paraId="29D74B9D" w14:textId="77777777" w:rsidR="003B7F34" w:rsidRPr="00475528" w:rsidRDefault="003B7F34" w:rsidP="00C37C6E">
            <w:pPr>
              <w:pStyle w:val="TableText"/>
              <w:snapToGrid w:val="0"/>
              <w:ind w:left="284" w:rightChars="71" w:right="142"/>
              <w:rPr>
                <w:i/>
                <w:lang w:eastAsia="it-IT"/>
              </w:rPr>
            </w:pPr>
            <w:r w:rsidRPr="00475528">
              <w:rPr>
                <w:i/>
                <w:lang w:eastAsia="it-IT"/>
              </w:rPr>
              <w:t>Operational deposits</w:t>
            </w:r>
          </w:p>
        </w:tc>
        <w:tc>
          <w:tcPr>
            <w:tcW w:w="1417" w:type="dxa"/>
            <w:tcBorders>
              <w:top w:val="single" w:sz="6" w:space="0" w:color="auto"/>
              <w:left w:val="single" w:sz="6" w:space="0" w:color="auto"/>
              <w:bottom w:val="single" w:sz="6" w:space="0" w:color="BCBDBC"/>
              <w:right w:val="single" w:sz="6" w:space="0" w:color="auto"/>
            </w:tcBorders>
          </w:tcPr>
          <w:p w14:paraId="437C9C21" w14:textId="77777777" w:rsidR="003B7F34" w:rsidRPr="0023654F" w:rsidRDefault="003B7F34" w:rsidP="00C37C6E">
            <w:pPr>
              <w:pStyle w:val="TableText"/>
              <w:snapToGrid w:val="0"/>
              <w:rPr>
                <w:lang w:eastAsia="it-IT"/>
              </w:rPr>
            </w:pPr>
          </w:p>
        </w:tc>
        <w:tc>
          <w:tcPr>
            <w:tcW w:w="1418" w:type="dxa"/>
            <w:tcBorders>
              <w:top w:val="single" w:sz="6" w:space="0" w:color="auto"/>
              <w:left w:val="single" w:sz="6" w:space="0" w:color="auto"/>
              <w:bottom w:val="single" w:sz="6" w:space="0" w:color="BCBDBC"/>
              <w:right w:val="single" w:sz="4" w:space="0" w:color="auto"/>
            </w:tcBorders>
          </w:tcPr>
          <w:p w14:paraId="1E7E6C84" w14:textId="77777777" w:rsidR="003B7F34" w:rsidRPr="0023654F" w:rsidRDefault="003B7F34" w:rsidP="00C37C6E">
            <w:pPr>
              <w:pStyle w:val="TableText"/>
              <w:snapToGrid w:val="0"/>
              <w:rPr>
                <w:lang w:eastAsia="it-IT"/>
              </w:rPr>
            </w:pPr>
          </w:p>
        </w:tc>
      </w:tr>
      <w:tr w:rsidR="003B7F34" w:rsidRPr="0023654F" w14:paraId="060E04C7" w14:textId="77777777" w:rsidTr="00C37C6E">
        <w:trPr>
          <w:cantSplit/>
          <w:trHeight w:val="270"/>
        </w:trPr>
        <w:tc>
          <w:tcPr>
            <w:tcW w:w="426" w:type="dxa"/>
            <w:tcBorders>
              <w:top w:val="single" w:sz="6" w:space="0" w:color="BCBDBC"/>
              <w:left w:val="nil"/>
              <w:bottom w:val="single" w:sz="6" w:space="0" w:color="BCBDBC"/>
              <w:right w:val="single" w:sz="6" w:space="0" w:color="auto"/>
            </w:tcBorders>
          </w:tcPr>
          <w:p w14:paraId="253BB0D7" w14:textId="77777777" w:rsidR="003B7F34" w:rsidRPr="008B2E9C" w:rsidRDefault="003B7F34" w:rsidP="00C37C6E">
            <w:pPr>
              <w:pStyle w:val="TableText"/>
              <w:snapToGrid w:val="0"/>
              <w:ind w:left="57"/>
              <w:rPr>
                <w:szCs w:val="17"/>
                <w:lang w:eastAsia="en-GB"/>
              </w:rPr>
            </w:pPr>
            <w:r w:rsidRPr="008B2E9C">
              <w:rPr>
                <w:szCs w:val="17"/>
                <w:lang w:eastAsia="en-GB"/>
              </w:rPr>
              <w:t>7</w:t>
            </w:r>
          </w:p>
        </w:tc>
        <w:tc>
          <w:tcPr>
            <w:tcW w:w="5954" w:type="dxa"/>
            <w:tcBorders>
              <w:top w:val="single" w:sz="6" w:space="0" w:color="BCBDBC"/>
              <w:left w:val="single" w:sz="6" w:space="0" w:color="auto"/>
              <w:bottom w:val="single" w:sz="6" w:space="0" w:color="BCBDBC"/>
              <w:right w:val="single" w:sz="6" w:space="0" w:color="auto"/>
            </w:tcBorders>
          </w:tcPr>
          <w:p w14:paraId="7DFBE445" w14:textId="77777777" w:rsidR="003B7F34" w:rsidRPr="00475528" w:rsidRDefault="003B7F34" w:rsidP="00C37C6E">
            <w:pPr>
              <w:pStyle w:val="TableText"/>
              <w:snapToGrid w:val="0"/>
              <w:ind w:left="284" w:rightChars="71" w:right="142"/>
              <w:rPr>
                <w:i/>
                <w:lang w:eastAsia="it-IT"/>
              </w:rPr>
            </w:pPr>
            <w:r w:rsidRPr="00475528">
              <w:rPr>
                <w:i/>
                <w:lang w:eastAsia="it-IT"/>
              </w:rPr>
              <w:t xml:space="preserve">Unsecured wholesale funding (other than small business funding) not covered in </w:t>
            </w:r>
            <w:r>
              <w:rPr>
                <w:i/>
                <w:lang w:eastAsia="it-IT"/>
              </w:rPr>
              <w:t>row 6</w:t>
            </w:r>
          </w:p>
        </w:tc>
        <w:tc>
          <w:tcPr>
            <w:tcW w:w="1417" w:type="dxa"/>
            <w:tcBorders>
              <w:top w:val="single" w:sz="6" w:space="0" w:color="BCBDBC"/>
              <w:left w:val="single" w:sz="6" w:space="0" w:color="auto"/>
              <w:bottom w:val="single" w:sz="6" w:space="0" w:color="BCBDBC"/>
              <w:right w:val="single" w:sz="6" w:space="0" w:color="auto"/>
            </w:tcBorders>
          </w:tcPr>
          <w:p w14:paraId="437125CD" w14:textId="77777777" w:rsidR="003B7F34" w:rsidRPr="0023654F" w:rsidRDefault="003B7F34" w:rsidP="00C37C6E">
            <w:pPr>
              <w:pStyle w:val="TableText"/>
              <w:snapToGrid w:val="0"/>
              <w:rPr>
                <w:lang w:eastAsia="it-IT"/>
              </w:rPr>
            </w:pPr>
          </w:p>
        </w:tc>
        <w:tc>
          <w:tcPr>
            <w:tcW w:w="1418" w:type="dxa"/>
            <w:tcBorders>
              <w:top w:val="single" w:sz="6" w:space="0" w:color="BCBDBC"/>
              <w:left w:val="single" w:sz="6" w:space="0" w:color="auto"/>
              <w:bottom w:val="single" w:sz="6" w:space="0" w:color="BCBDBC"/>
              <w:right w:val="single" w:sz="4" w:space="0" w:color="auto"/>
            </w:tcBorders>
          </w:tcPr>
          <w:p w14:paraId="66C3F154" w14:textId="77777777" w:rsidR="003B7F34" w:rsidRPr="0023654F" w:rsidRDefault="003B7F34" w:rsidP="00C37C6E">
            <w:pPr>
              <w:pStyle w:val="TableText"/>
              <w:snapToGrid w:val="0"/>
              <w:rPr>
                <w:lang w:eastAsia="it-IT"/>
              </w:rPr>
            </w:pPr>
          </w:p>
        </w:tc>
      </w:tr>
      <w:tr w:rsidR="003B7F34" w:rsidRPr="0023654F" w14:paraId="0CC435FE" w14:textId="77777777" w:rsidTr="00C37C6E">
        <w:trPr>
          <w:cantSplit/>
          <w:trHeight w:val="270"/>
        </w:trPr>
        <w:tc>
          <w:tcPr>
            <w:tcW w:w="426" w:type="dxa"/>
            <w:tcBorders>
              <w:top w:val="single" w:sz="6" w:space="0" w:color="BCBDBC"/>
              <w:left w:val="nil"/>
              <w:bottom w:val="single" w:sz="6" w:space="0" w:color="BCBDBC"/>
              <w:right w:val="single" w:sz="6" w:space="0" w:color="auto"/>
            </w:tcBorders>
          </w:tcPr>
          <w:p w14:paraId="62D9F0ED" w14:textId="77777777" w:rsidR="003B7F34" w:rsidRPr="008B2E9C" w:rsidRDefault="003B7F34" w:rsidP="00C37C6E">
            <w:pPr>
              <w:pStyle w:val="TableText"/>
              <w:snapToGrid w:val="0"/>
              <w:ind w:left="57"/>
              <w:rPr>
                <w:szCs w:val="17"/>
                <w:lang w:eastAsia="en-GB"/>
              </w:rPr>
            </w:pPr>
            <w:r w:rsidRPr="008B2E9C">
              <w:rPr>
                <w:szCs w:val="17"/>
                <w:lang w:eastAsia="en-GB"/>
              </w:rPr>
              <w:t>8</w:t>
            </w:r>
          </w:p>
        </w:tc>
        <w:tc>
          <w:tcPr>
            <w:tcW w:w="5954" w:type="dxa"/>
            <w:tcBorders>
              <w:top w:val="single" w:sz="6" w:space="0" w:color="BCBDBC"/>
              <w:left w:val="single" w:sz="6" w:space="0" w:color="auto"/>
              <w:bottom w:val="single" w:sz="6" w:space="0" w:color="auto"/>
              <w:right w:val="single" w:sz="6" w:space="0" w:color="auto"/>
            </w:tcBorders>
          </w:tcPr>
          <w:p w14:paraId="5DFC9B7F" w14:textId="77777777" w:rsidR="003B7F34" w:rsidRPr="00475528" w:rsidRDefault="003B7F34" w:rsidP="00C37C6E">
            <w:pPr>
              <w:pStyle w:val="TableText"/>
              <w:snapToGrid w:val="0"/>
              <w:ind w:left="284" w:rightChars="71" w:right="142"/>
              <w:rPr>
                <w:i/>
                <w:lang w:eastAsia="it-IT"/>
              </w:rPr>
            </w:pPr>
            <w:r w:rsidRPr="00475528">
              <w:rPr>
                <w:i/>
                <w:lang w:eastAsia="it-IT"/>
              </w:rPr>
              <w:t xml:space="preserve">Debt securities and prescribed instruments issued by the </w:t>
            </w:r>
            <w:r>
              <w:rPr>
                <w:i/>
                <w:lang w:eastAsia="it-IT"/>
              </w:rPr>
              <w:t>AI</w:t>
            </w:r>
            <w:r w:rsidRPr="00475528">
              <w:rPr>
                <w:i/>
                <w:lang w:eastAsia="it-IT"/>
              </w:rPr>
              <w:t xml:space="preserve"> and redeemable within the LCR period</w:t>
            </w:r>
          </w:p>
        </w:tc>
        <w:tc>
          <w:tcPr>
            <w:tcW w:w="1417" w:type="dxa"/>
            <w:tcBorders>
              <w:top w:val="single" w:sz="6" w:space="0" w:color="BCBDBC"/>
              <w:left w:val="single" w:sz="6" w:space="0" w:color="auto"/>
              <w:bottom w:val="single" w:sz="6" w:space="0" w:color="auto"/>
              <w:right w:val="single" w:sz="6" w:space="0" w:color="auto"/>
            </w:tcBorders>
          </w:tcPr>
          <w:p w14:paraId="3EE64A74" w14:textId="77777777" w:rsidR="003B7F34" w:rsidRPr="0023654F" w:rsidRDefault="003B7F34" w:rsidP="00C37C6E">
            <w:pPr>
              <w:pStyle w:val="TableText"/>
              <w:snapToGrid w:val="0"/>
              <w:rPr>
                <w:lang w:eastAsia="it-IT"/>
              </w:rPr>
            </w:pPr>
          </w:p>
        </w:tc>
        <w:tc>
          <w:tcPr>
            <w:tcW w:w="1418" w:type="dxa"/>
            <w:tcBorders>
              <w:top w:val="single" w:sz="6" w:space="0" w:color="BCBDBC"/>
              <w:left w:val="single" w:sz="6" w:space="0" w:color="auto"/>
              <w:bottom w:val="single" w:sz="6" w:space="0" w:color="auto"/>
              <w:right w:val="single" w:sz="4" w:space="0" w:color="auto"/>
            </w:tcBorders>
          </w:tcPr>
          <w:p w14:paraId="23C30C86" w14:textId="77777777" w:rsidR="003B7F34" w:rsidRPr="0023654F" w:rsidRDefault="003B7F34" w:rsidP="00C37C6E">
            <w:pPr>
              <w:pStyle w:val="TableText"/>
              <w:snapToGrid w:val="0"/>
              <w:rPr>
                <w:lang w:eastAsia="it-IT"/>
              </w:rPr>
            </w:pPr>
          </w:p>
        </w:tc>
      </w:tr>
      <w:tr w:rsidR="003B7F34" w:rsidRPr="0023654F" w14:paraId="43C6C183" w14:textId="77777777" w:rsidTr="00C37C6E">
        <w:trPr>
          <w:cantSplit/>
          <w:trHeight w:val="270"/>
        </w:trPr>
        <w:tc>
          <w:tcPr>
            <w:tcW w:w="426" w:type="dxa"/>
            <w:tcBorders>
              <w:top w:val="single" w:sz="6" w:space="0" w:color="BCBDBC"/>
              <w:left w:val="nil"/>
              <w:bottom w:val="single" w:sz="6" w:space="0" w:color="BCBDBC"/>
              <w:right w:val="single" w:sz="6" w:space="0" w:color="auto"/>
            </w:tcBorders>
          </w:tcPr>
          <w:p w14:paraId="5E58056C" w14:textId="77777777" w:rsidR="003B7F34" w:rsidRPr="008B2E9C" w:rsidRDefault="003B7F34" w:rsidP="00C37C6E">
            <w:pPr>
              <w:pStyle w:val="TableText"/>
              <w:snapToGrid w:val="0"/>
              <w:ind w:left="57"/>
              <w:rPr>
                <w:szCs w:val="17"/>
                <w:lang w:eastAsia="en-GB"/>
              </w:rPr>
            </w:pPr>
            <w:r w:rsidRPr="008B2E9C">
              <w:rPr>
                <w:szCs w:val="17"/>
                <w:lang w:eastAsia="en-GB"/>
              </w:rPr>
              <w:t>9</w:t>
            </w:r>
          </w:p>
        </w:tc>
        <w:tc>
          <w:tcPr>
            <w:tcW w:w="595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1D4EA41" w14:textId="77777777" w:rsidR="003B7F34" w:rsidRPr="00475528" w:rsidRDefault="003B7F34" w:rsidP="00C37C6E">
            <w:pPr>
              <w:pStyle w:val="TableText"/>
              <w:snapToGrid w:val="0"/>
              <w:ind w:left="57" w:rightChars="71" w:right="142"/>
              <w:rPr>
                <w:lang w:eastAsia="it-IT"/>
              </w:rPr>
            </w:pPr>
            <w:r w:rsidRPr="00475528">
              <w:rPr>
                <w:lang w:eastAsia="it-IT"/>
              </w:rPr>
              <w:t>Secured funding transactions (including securities swap transactions)</w:t>
            </w:r>
          </w:p>
        </w:tc>
        <w:tc>
          <w:tcPr>
            <w:tcW w:w="1417" w:type="dxa"/>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102BC0A5" w14:textId="77777777" w:rsidR="003B7F34" w:rsidRPr="0023654F" w:rsidRDefault="003B7F34" w:rsidP="00C37C6E">
            <w:pPr>
              <w:pStyle w:val="TableText"/>
              <w:snapToGrid w:val="0"/>
              <w:rPr>
                <w:lang w:eastAsia="it-IT"/>
              </w:rPr>
            </w:pPr>
          </w:p>
        </w:tc>
        <w:tc>
          <w:tcPr>
            <w:tcW w:w="1418" w:type="dxa"/>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798A2552" w14:textId="77777777" w:rsidR="003B7F34" w:rsidRPr="0023654F" w:rsidRDefault="003B7F34" w:rsidP="00C37C6E">
            <w:pPr>
              <w:pStyle w:val="TableText"/>
              <w:snapToGrid w:val="0"/>
              <w:rPr>
                <w:lang w:eastAsia="it-IT"/>
              </w:rPr>
            </w:pPr>
          </w:p>
        </w:tc>
      </w:tr>
      <w:tr w:rsidR="003B7F34" w:rsidRPr="0023654F" w14:paraId="4C5005C0" w14:textId="77777777" w:rsidTr="00C37C6E">
        <w:trPr>
          <w:cantSplit/>
          <w:trHeight w:val="270"/>
        </w:trPr>
        <w:tc>
          <w:tcPr>
            <w:tcW w:w="426" w:type="dxa"/>
            <w:tcBorders>
              <w:top w:val="single" w:sz="6" w:space="0" w:color="BCBDBC"/>
              <w:left w:val="nil"/>
              <w:bottom w:val="single" w:sz="6" w:space="0" w:color="BCBDBC"/>
              <w:right w:val="single" w:sz="6" w:space="0" w:color="auto"/>
            </w:tcBorders>
            <w:shd w:val="clear" w:color="auto" w:fill="F2F2F2" w:themeFill="background1" w:themeFillShade="F2"/>
          </w:tcPr>
          <w:p w14:paraId="3AFA88D8" w14:textId="77777777" w:rsidR="003B7F34" w:rsidRPr="008B2E9C" w:rsidRDefault="003B7F34" w:rsidP="00C37C6E">
            <w:pPr>
              <w:pStyle w:val="TableText"/>
              <w:snapToGrid w:val="0"/>
              <w:ind w:left="57"/>
              <w:rPr>
                <w:szCs w:val="17"/>
                <w:lang w:eastAsia="en-GB"/>
              </w:rPr>
            </w:pPr>
            <w:r w:rsidRPr="008B2E9C">
              <w:rPr>
                <w:szCs w:val="17"/>
                <w:lang w:eastAsia="en-GB"/>
              </w:rPr>
              <w:t>10</w:t>
            </w:r>
          </w:p>
        </w:tc>
        <w:tc>
          <w:tcPr>
            <w:tcW w:w="595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860A089" w14:textId="77777777" w:rsidR="003B7F34" w:rsidRPr="004D2FAD" w:rsidRDefault="003B7F34" w:rsidP="00C37C6E">
            <w:pPr>
              <w:pStyle w:val="TableText"/>
              <w:snapToGrid w:val="0"/>
              <w:ind w:left="57" w:rightChars="71" w:right="142"/>
              <w:rPr>
                <w:lang w:eastAsia="it-IT"/>
              </w:rPr>
            </w:pPr>
            <w:r w:rsidRPr="00475528">
              <w:rPr>
                <w:lang w:eastAsia="it-IT"/>
              </w:rPr>
              <w:t>Additional requirements, of which:</w:t>
            </w:r>
          </w:p>
        </w:tc>
        <w:tc>
          <w:tcPr>
            <w:tcW w:w="141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DFB67FB" w14:textId="77777777" w:rsidR="003B7F34" w:rsidRPr="0023654F" w:rsidRDefault="003B7F34" w:rsidP="00C37C6E">
            <w:pPr>
              <w:pStyle w:val="TableText"/>
              <w:snapToGrid w:val="0"/>
              <w:rPr>
                <w:lang w:eastAsia="it-IT"/>
              </w:rPr>
            </w:pPr>
          </w:p>
        </w:tc>
        <w:tc>
          <w:tcPr>
            <w:tcW w:w="1418" w:type="dxa"/>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60D0FB92" w14:textId="77777777" w:rsidR="003B7F34" w:rsidRPr="0023654F" w:rsidRDefault="003B7F34" w:rsidP="00C37C6E">
            <w:pPr>
              <w:pStyle w:val="TableText"/>
              <w:snapToGrid w:val="0"/>
              <w:rPr>
                <w:lang w:eastAsia="it-IT"/>
              </w:rPr>
            </w:pPr>
          </w:p>
        </w:tc>
      </w:tr>
      <w:tr w:rsidR="003B7F34" w:rsidRPr="0023654F" w14:paraId="7F9FEF7F" w14:textId="77777777" w:rsidTr="00C37C6E">
        <w:trPr>
          <w:cantSplit/>
          <w:trHeight w:val="270"/>
        </w:trPr>
        <w:tc>
          <w:tcPr>
            <w:tcW w:w="426" w:type="dxa"/>
            <w:tcBorders>
              <w:top w:val="single" w:sz="6" w:space="0" w:color="BCBDBC"/>
              <w:left w:val="nil"/>
              <w:bottom w:val="single" w:sz="6" w:space="0" w:color="BCBDBC"/>
              <w:right w:val="single" w:sz="6" w:space="0" w:color="auto"/>
            </w:tcBorders>
          </w:tcPr>
          <w:p w14:paraId="34F97E4D" w14:textId="77777777" w:rsidR="003B7F34" w:rsidRPr="008B2E9C" w:rsidRDefault="003B7F34" w:rsidP="00C37C6E">
            <w:pPr>
              <w:pStyle w:val="TableText"/>
              <w:snapToGrid w:val="0"/>
              <w:ind w:left="57"/>
              <w:rPr>
                <w:szCs w:val="17"/>
                <w:lang w:eastAsia="en-GB"/>
              </w:rPr>
            </w:pPr>
            <w:r w:rsidRPr="008B2E9C">
              <w:rPr>
                <w:szCs w:val="17"/>
                <w:lang w:eastAsia="en-GB"/>
              </w:rPr>
              <w:t>11</w:t>
            </w:r>
          </w:p>
        </w:tc>
        <w:tc>
          <w:tcPr>
            <w:tcW w:w="5954" w:type="dxa"/>
            <w:tcBorders>
              <w:top w:val="single" w:sz="6" w:space="0" w:color="auto"/>
              <w:left w:val="single" w:sz="6" w:space="0" w:color="auto"/>
              <w:bottom w:val="single" w:sz="6" w:space="0" w:color="BCBDBC"/>
              <w:right w:val="single" w:sz="6" w:space="0" w:color="auto"/>
            </w:tcBorders>
          </w:tcPr>
          <w:p w14:paraId="626F2ADC" w14:textId="77777777" w:rsidR="003B7F34" w:rsidRPr="00475528" w:rsidRDefault="003B7F34" w:rsidP="00C37C6E">
            <w:pPr>
              <w:pStyle w:val="TableText"/>
              <w:snapToGrid w:val="0"/>
              <w:ind w:left="284" w:rightChars="71" w:right="142"/>
              <w:rPr>
                <w:i/>
                <w:lang w:eastAsia="it-IT"/>
              </w:rPr>
            </w:pPr>
            <w:r w:rsidRPr="00475528">
              <w:rPr>
                <w:i/>
                <w:lang w:eastAsia="it-IT"/>
              </w:rPr>
              <w:t>Cash outflows arising from derivative contracts and other transactions, and additional liquidity needs arising from related collateral requirements</w:t>
            </w:r>
          </w:p>
        </w:tc>
        <w:tc>
          <w:tcPr>
            <w:tcW w:w="1417" w:type="dxa"/>
            <w:tcBorders>
              <w:top w:val="single" w:sz="6" w:space="0" w:color="auto"/>
              <w:left w:val="single" w:sz="6" w:space="0" w:color="auto"/>
              <w:bottom w:val="single" w:sz="6" w:space="0" w:color="BCBDBC"/>
              <w:right w:val="single" w:sz="6" w:space="0" w:color="auto"/>
            </w:tcBorders>
          </w:tcPr>
          <w:p w14:paraId="5DCC206C" w14:textId="77777777" w:rsidR="003B7F34" w:rsidRPr="0023654F" w:rsidRDefault="003B7F34" w:rsidP="00C37C6E">
            <w:pPr>
              <w:pStyle w:val="TableText"/>
              <w:snapToGrid w:val="0"/>
              <w:rPr>
                <w:lang w:eastAsia="it-IT"/>
              </w:rPr>
            </w:pPr>
          </w:p>
        </w:tc>
        <w:tc>
          <w:tcPr>
            <w:tcW w:w="1418" w:type="dxa"/>
            <w:tcBorders>
              <w:top w:val="single" w:sz="6" w:space="0" w:color="auto"/>
              <w:left w:val="single" w:sz="6" w:space="0" w:color="auto"/>
              <w:bottom w:val="single" w:sz="6" w:space="0" w:color="BCBDBC"/>
              <w:right w:val="single" w:sz="4" w:space="0" w:color="auto"/>
            </w:tcBorders>
          </w:tcPr>
          <w:p w14:paraId="7B04BBA7" w14:textId="77777777" w:rsidR="003B7F34" w:rsidRPr="0023654F" w:rsidRDefault="003B7F34" w:rsidP="00C37C6E">
            <w:pPr>
              <w:pStyle w:val="TableText"/>
              <w:snapToGrid w:val="0"/>
              <w:rPr>
                <w:lang w:eastAsia="it-IT"/>
              </w:rPr>
            </w:pPr>
          </w:p>
        </w:tc>
      </w:tr>
      <w:tr w:rsidR="003B7F34" w:rsidRPr="0023654F" w14:paraId="402E2059" w14:textId="77777777" w:rsidTr="00C37C6E">
        <w:trPr>
          <w:cantSplit/>
          <w:trHeight w:val="270"/>
        </w:trPr>
        <w:tc>
          <w:tcPr>
            <w:tcW w:w="426" w:type="dxa"/>
            <w:tcBorders>
              <w:top w:val="single" w:sz="6" w:space="0" w:color="BCBDBC"/>
              <w:left w:val="nil"/>
              <w:bottom w:val="single" w:sz="6" w:space="0" w:color="BCBDBC"/>
              <w:right w:val="single" w:sz="6" w:space="0" w:color="auto"/>
            </w:tcBorders>
          </w:tcPr>
          <w:p w14:paraId="35B3E8D4" w14:textId="77777777" w:rsidR="003B7F34" w:rsidRPr="008B2E9C" w:rsidRDefault="003B7F34" w:rsidP="00C37C6E">
            <w:pPr>
              <w:pStyle w:val="TableText"/>
              <w:snapToGrid w:val="0"/>
              <w:ind w:left="57"/>
              <w:rPr>
                <w:szCs w:val="17"/>
                <w:lang w:eastAsia="en-GB"/>
              </w:rPr>
            </w:pPr>
            <w:r w:rsidRPr="008B2E9C">
              <w:rPr>
                <w:szCs w:val="17"/>
                <w:lang w:eastAsia="en-GB"/>
              </w:rPr>
              <w:t>12</w:t>
            </w:r>
          </w:p>
        </w:tc>
        <w:tc>
          <w:tcPr>
            <w:tcW w:w="5954" w:type="dxa"/>
            <w:tcBorders>
              <w:top w:val="single" w:sz="6" w:space="0" w:color="BCBDBC"/>
              <w:left w:val="single" w:sz="6" w:space="0" w:color="auto"/>
              <w:bottom w:val="single" w:sz="6" w:space="0" w:color="BCBDBC"/>
              <w:right w:val="single" w:sz="6" w:space="0" w:color="auto"/>
            </w:tcBorders>
          </w:tcPr>
          <w:p w14:paraId="51F7D313" w14:textId="77777777" w:rsidR="003B7F34" w:rsidRPr="00475528" w:rsidRDefault="003B7F34" w:rsidP="00C37C6E">
            <w:pPr>
              <w:pStyle w:val="TableText"/>
              <w:snapToGrid w:val="0"/>
              <w:ind w:left="284" w:rightChars="71" w:right="142"/>
              <w:rPr>
                <w:i/>
                <w:lang w:eastAsia="it-IT"/>
              </w:rPr>
            </w:pPr>
            <w:r w:rsidRPr="00475528">
              <w:rPr>
                <w:i/>
                <w:lang w:eastAsia="it-IT"/>
              </w:rPr>
              <w:t>Cash outflows arising from obligations under structured financing transactions and repayment of funding obtained from</w:t>
            </w:r>
            <w:r>
              <w:rPr>
                <w:i/>
                <w:lang w:eastAsia="it-IT"/>
              </w:rPr>
              <w:t xml:space="preserve"> </w:t>
            </w:r>
            <w:r w:rsidRPr="00475528">
              <w:rPr>
                <w:i/>
                <w:lang w:eastAsia="it-IT"/>
              </w:rPr>
              <w:t>such transactions</w:t>
            </w:r>
          </w:p>
        </w:tc>
        <w:tc>
          <w:tcPr>
            <w:tcW w:w="1417" w:type="dxa"/>
            <w:tcBorders>
              <w:top w:val="single" w:sz="6" w:space="0" w:color="BCBDBC"/>
              <w:left w:val="single" w:sz="6" w:space="0" w:color="auto"/>
              <w:bottom w:val="single" w:sz="6" w:space="0" w:color="BCBDBC"/>
              <w:right w:val="single" w:sz="6" w:space="0" w:color="auto"/>
            </w:tcBorders>
          </w:tcPr>
          <w:p w14:paraId="2B695360" w14:textId="77777777" w:rsidR="003B7F34" w:rsidRPr="0023654F" w:rsidRDefault="003B7F34" w:rsidP="00C37C6E">
            <w:pPr>
              <w:pStyle w:val="TableText"/>
              <w:snapToGrid w:val="0"/>
              <w:rPr>
                <w:lang w:eastAsia="it-IT"/>
              </w:rPr>
            </w:pPr>
          </w:p>
        </w:tc>
        <w:tc>
          <w:tcPr>
            <w:tcW w:w="1418" w:type="dxa"/>
            <w:tcBorders>
              <w:top w:val="single" w:sz="6" w:space="0" w:color="BCBDBC"/>
              <w:left w:val="single" w:sz="6" w:space="0" w:color="auto"/>
              <w:bottom w:val="single" w:sz="6" w:space="0" w:color="BCBDBC"/>
              <w:right w:val="single" w:sz="4" w:space="0" w:color="auto"/>
            </w:tcBorders>
          </w:tcPr>
          <w:p w14:paraId="02B04AB1" w14:textId="77777777" w:rsidR="003B7F34" w:rsidRPr="0023654F" w:rsidRDefault="003B7F34" w:rsidP="00C37C6E">
            <w:pPr>
              <w:pStyle w:val="TableText"/>
              <w:snapToGrid w:val="0"/>
              <w:rPr>
                <w:lang w:eastAsia="it-IT"/>
              </w:rPr>
            </w:pPr>
          </w:p>
        </w:tc>
      </w:tr>
      <w:tr w:rsidR="003B7F34" w:rsidRPr="0023654F" w14:paraId="4195EFC7" w14:textId="77777777" w:rsidTr="00C37C6E">
        <w:trPr>
          <w:cantSplit/>
          <w:trHeight w:val="270"/>
        </w:trPr>
        <w:tc>
          <w:tcPr>
            <w:tcW w:w="426" w:type="dxa"/>
            <w:tcBorders>
              <w:top w:val="single" w:sz="6" w:space="0" w:color="BCBDBC"/>
              <w:left w:val="nil"/>
              <w:bottom w:val="single" w:sz="6" w:space="0" w:color="BCBDBC"/>
              <w:right w:val="single" w:sz="6" w:space="0" w:color="auto"/>
            </w:tcBorders>
          </w:tcPr>
          <w:p w14:paraId="449BCB14" w14:textId="77777777" w:rsidR="003B7F34" w:rsidRPr="008B2E9C" w:rsidRDefault="003B7F34" w:rsidP="00C37C6E">
            <w:pPr>
              <w:pStyle w:val="TableText"/>
              <w:snapToGrid w:val="0"/>
              <w:ind w:left="57"/>
              <w:rPr>
                <w:szCs w:val="17"/>
                <w:lang w:eastAsia="en-GB"/>
              </w:rPr>
            </w:pPr>
            <w:r w:rsidRPr="008B2E9C">
              <w:rPr>
                <w:szCs w:val="17"/>
                <w:lang w:eastAsia="en-GB"/>
              </w:rPr>
              <w:t>13</w:t>
            </w:r>
          </w:p>
        </w:tc>
        <w:tc>
          <w:tcPr>
            <w:tcW w:w="5954" w:type="dxa"/>
            <w:tcBorders>
              <w:top w:val="single" w:sz="6" w:space="0" w:color="BCBDBC"/>
              <w:left w:val="single" w:sz="6" w:space="0" w:color="auto"/>
              <w:bottom w:val="single" w:sz="6" w:space="0" w:color="auto"/>
              <w:right w:val="single" w:sz="6" w:space="0" w:color="auto"/>
            </w:tcBorders>
          </w:tcPr>
          <w:p w14:paraId="27CA9975" w14:textId="77777777" w:rsidR="003B7F34" w:rsidRPr="00475528" w:rsidDel="001C71B9" w:rsidRDefault="003B7F34" w:rsidP="00C37C6E">
            <w:pPr>
              <w:pStyle w:val="TableText"/>
              <w:snapToGrid w:val="0"/>
              <w:ind w:left="284" w:rightChars="71" w:right="142"/>
              <w:rPr>
                <w:i/>
                <w:lang w:eastAsia="it-IT"/>
              </w:rPr>
            </w:pPr>
            <w:r w:rsidRPr="00475528">
              <w:rPr>
                <w:i/>
                <w:lang w:eastAsia="it-IT"/>
              </w:rPr>
              <w:t>Potential drawdown of undrawn committed facilities (including committed credit facilities and committed liquidity</w:t>
            </w:r>
            <w:r>
              <w:rPr>
                <w:i/>
                <w:lang w:eastAsia="it-IT"/>
              </w:rPr>
              <w:t xml:space="preserve"> </w:t>
            </w:r>
            <w:r w:rsidRPr="00475528">
              <w:rPr>
                <w:i/>
                <w:lang w:eastAsia="it-IT"/>
              </w:rPr>
              <w:t>facilities)</w:t>
            </w:r>
          </w:p>
        </w:tc>
        <w:tc>
          <w:tcPr>
            <w:tcW w:w="1417" w:type="dxa"/>
            <w:tcBorders>
              <w:top w:val="single" w:sz="6" w:space="0" w:color="BCBDBC"/>
              <w:left w:val="single" w:sz="6" w:space="0" w:color="auto"/>
              <w:bottom w:val="single" w:sz="6" w:space="0" w:color="auto"/>
              <w:right w:val="single" w:sz="6" w:space="0" w:color="auto"/>
            </w:tcBorders>
          </w:tcPr>
          <w:p w14:paraId="226DD328" w14:textId="77777777" w:rsidR="003B7F34" w:rsidRPr="0023654F" w:rsidRDefault="003B7F34" w:rsidP="00C37C6E">
            <w:pPr>
              <w:pStyle w:val="TableText"/>
              <w:snapToGrid w:val="0"/>
              <w:rPr>
                <w:lang w:eastAsia="it-IT"/>
              </w:rPr>
            </w:pPr>
          </w:p>
        </w:tc>
        <w:tc>
          <w:tcPr>
            <w:tcW w:w="1418" w:type="dxa"/>
            <w:tcBorders>
              <w:top w:val="single" w:sz="6" w:space="0" w:color="BCBDBC"/>
              <w:left w:val="single" w:sz="6" w:space="0" w:color="auto"/>
              <w:bottom w:val="single" w:sz="6" w:space="0" w:color="auto"/>
              <w:right w:val="single" w:sz="4" w:space="0" w:color="auto"/>
            </w:tcBorders>
          </w:tcPr>
          <w:p w14:paraId="6A4A5B1A" w14:textId="77777777" w:rsidR="003B7F34" w:rsidRPr="0023654F" w:rsidRDefault="003B7F34" w:rsidP="00C37C6E">
            <w:pPr>
              <w:pStyle w:val="TableText"/>
              <w:snapToGrid w:val="0"/>
              <w:rPr>
                <w:lang w:eastAsia="it-IT"/>
              </w:rPr>
            </w:pPr>
          </w:p>
        </w:tc>
      </w:tr>
      <w:tr w:rsidR="003B7F34" w:rsidRPr="0023654F" w14:paraId="41B65DC4" w14:textId="77777777" w:rsidTr="00C37C6E">
        <w:trPr>
          <w:cantSplit/>
          <w:trHeight w:val="270"/>
        </w:trPr>
        <w:tc>
          <w:tcPr>
            <w:tcW w:w="426" w:type="dxa"/>
            <w:tcBorders>
              <w:top w:val="single" w:sz="6" w:space="0" w:color="BCBDBC"/>
              <w:left w:val="nil"/>
              <w:bottom w:val="single" w:sz="6" w:space="0" w:color="BCBDBC"/>
              <w:right w:val="single" w:sz="6" w:space="0" w:color="auto"/>
            </w:tcBorders>
          </w:tcPr>
          <w:p w14:paraId="301C7E62" w14:textId="77777777" w:rsidR="003B7F34" w:rsidRPr="008B2E9C" w:rsidRDefault="003B7F34" w:rsidP="00C37C6E">
            <w:pPr>
              <w:pStyle w:val="TableText"/>
              <w:snapToGrid w:val="0"/>
              <w:ind w:left="57"/>
              <w:rPr>
                <w:szCs w:val="17"/>
                <w:lang w:eastAsia="en-GB"/>
              </w:rPr>
            </w:pPr>
            <w:r w:rsidRPr="008B2E9C">
              <w:rPr>
                <w:szCs w:val="17"/>
                <w:lang w:eastAsia="en-GB"/>
              </w:rPr>
              <w:t>14</w:t>
            </w:r>
          </w:p>
        </w:tc>
        <w:tc>
          <w:tcPr>
            <w:tcW w:w="595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0294E51" w14:textId="77777777" w:rsidR="003B7F34" w:rsidRPr="0062513D" w:rsidRDefault="003B7F34" w:rsidP="00C37C6E">
            <w:pPr>
              <w:pStyle w:val="TableText"/>
              <w:snapToGrid w:val="0"/>
              <w:ind w:left="57" w:rightChars="71" w:right="142"/>
              <w:rPr>
                <w:lang w:val="en-US" w:eastAsia="it-IT"/>
              </w:rPr>
            </w:pPr>
            <w:r w:rsidRPr="00595C1F">
              <w:rPr>
                <w:lang w:eastAsia="it-IT"/>
              </w:rPr>
              <w:t>Contractual lending obligations (not otherwise covered in Section B) and other contractual cash outflows</w:t>
            </w:r>
          </w:p>
        </w:tc>
        <w:tc>
          <w:tcPr>
            <w:tcW w:w="141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BAE55A9" w14:textId="77777777" w:rsidR="003B7F34" w:rsidRPr="0023654F" w:rsidRDefault="003B7F34" w:rsidP="00C37C6E">
            <w:pPr>
              <w:pStyle w:val="TableText"/>
              <w:snapToGrid w:val="0"/>
              <w:rPr>
                <w:lang w:eastAsia="it-IT"/>
              </w:rPr>
            </w:pPr>
          </w:p>
        </w:tc>
        <w:tc>
          <w:tcPr>
            <w:tcW w:w="1418" w:type="dxa"/>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4A19253C" w14:textId="77777777" w:rsidR="003B7F34" w:rsidRPr="0023654F" w:rsidRDefault="003B7F34" w:rsidP="00C37C6E">
            <w:pPr>
              <w:pStyle w:val="TableText"/>
              <w:snapToGrid w:val="0"/>
              <w:rPr>
                <w:lang w:eastAsia="it-IT"/>
              </w:rPr>
            </w:pPr>
          </w:p>
        </w:tc>
      </w:tr>
      <w:tr w:rsidR="003B7F34" w:rsidRPr="0023654F" w14:paraId="12E49B87" w14:textId="77777777" w:rsidTr="00C37C6E">
        <w:trPr>
          <w:cantSplit/>
          <w:trHeight w:val="270"/>
        </w:trPr>
        <w:tc>
          <w:tcPr>
            <w:tcW w:w="426" w:type="dxa"/>
            <w:tcBorders>
              <w:top w:val="single" w:sz="6" w:space="0" w:color="BCBDBC"/>
              <w:left w:val="nil"/>
              <w:bottom w:val="single" w:sz="6" w:space="0" w:color="BCBDBC"/>
              <w:right w:val="single" w:sz="6" w:space="0" w:color="auto"/>
            </w:tcBorders>
          </w:tcPr>
          <w:p w14:paraId="0C38026C" w14:textId="77777777" w:rsidR="003B7F34" w:rsidRPr="00A52A25" w:rsidRDefault="003B7F34" w:rsidP="00C37C6E">
            <w:pPr>
              <w:pStyle w:val="TableText"/>
              <w:snapToGrid w:val="0"/>
              <w:ind w:left="57"/>
              <w:rPr>
                <w:szCs w:val="17"/>
                <w:lang w:eastAsia="en-GB"/>
              </w:rPr>
            </w:pPr>
            <w:r w:rsidRPr="00A52A25">
              <w:rPr>
                <w:szCs w:val="17"/>
                <w:lang w:eastAsia="en-GB"/>
              </w:rPr>
              <w:t>15</w:t>
            </w:r>
          </w:p>
        </w:tc>
        <w:tc>
          <w:tcPr>
            <w:tcW w:w="595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BC19105" w14:textId="77777777" w:rsidR="003B7F34" w:rsidRPr="00A52A25" w:rsidRDefault="003B7F34" w:rsidP="00C37C6E">
            <w:pPr>
              <w:pStyle w:val="TableText"/>
              <w:snapToGrid w:val="0"/>
              <w:ind w:left="57" w:rightChars="71" w:right="142"/>
              <w:jc w:val="both"/>
              <w:rPr>
                <w:lang w:val="en-US" w:eastAsia="it-IT"/>
              </w:rPr>
            </w:pPr>
            <w:r w:rsidRPr="00A52A25">
              <w:rPr>
                <w:lang w:eastAsia="it-IT"/>
              </w:rPr>
              <w:t>Other contingent funding obligations (whether contractual or non-contractual)</w:t>
            </w:r>
          </w:p>
        </w:tc>
        <w:tc>
          <w:tcPr>
            <w:tcW w:w="141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BE557F7" w14:textId="77777777" w:rsidR="003B7F34" w:rsidRPr="0023654F" w:rsidRDefault="003B7F34" w:rsidP="00C37C6E">
            <w:pPr>
              <w:pStyle w:val="TableText"/>
              <w:snapToGrid w:val="0"/>
              <w:rPr>
                <w:lang w:eastAsia="it-IT"/>
              </w:rPr>
            </w:pPr>
          </w:p>
        </w:tc>
        <w:tc>
          <w:tcPr>
            <w:tcW w:w="1418" w:type="dxa"/>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186C6ED5" w14:textId="77777777" w:rsidR="003B7F34" w:rsidRPr="0023654F" w:rsidRDefault="003B7F34" w:rsidP="00C37C6E">
            <w:pPr>
              <w:pStyle w:val="TableText"/>
              <w:snapToGrid w:val="0"/>
              <w:rPr>
                <w:lang w:eastAsia="it-IT"/>
              </w:rPr>
            </w:pPr>
          </w:p>
        </w:tc>
      </w:tr>
      <w:tr w:rsidR="003B7F34" w:rsidRPr="0023654F" w14:paraId="2BB1DA6D" w14:textId="77777777" w:rsidTr="00EF166C">
        <w:trPr>
          <w:cantSplit/>
          <w:trHeight w:val="270"/>
        </w:trPr>
        <w:tc>
          <w:tcPr>
            <w:tcW w:w="426" w:type="dxa"/>
            <w:tcBorders>
              <w:top w:val="single" w:sz="6" w:space="0" w:color="BCBDBC"/>
              <w:left w:val="nil"/>
              <w:bottom w:val="single" w:sz="6" w:space="0" w:color="auto"/>
              <w:right w:val="single" w:sz="6" w:space="0" w:color="auto"/>
            </w:tcBorders>
            <w:shd w:val="clear" w:color="auto" w:fill="auto"/>
          </w:tcPr>
          <w:p w14:paraId="672F3BB8" w14:textId="77777777" w:rsidR="003B7F34" w:rsidRPr="008B2E9C" w:rsidRDefault="003B7F34" w:rsidP="00C37C6E">
            <w:pPr>
              <w:pStyle w:val="TableText"/>
              <w:snapToGrid w:val="0"/>
              <w:ind w:left="57"/>
              <w:rPr>
                <w:szCs w:val="17"/>
                <w:lang w:eastAsia="en-GB"/>
              </w:rPr>
            </w:pPr>
            <w:r w:rsidRPr="008B2E9C">
              <w:rPr>
                <w:szCs w:val="17"/>
                <w:lang w:eastAsia="en-GB"/>
              </w:rPr>
              <w:t>16</w:t>
            </w:r>
          </w:p>
        </w:tc>
        <w:tc>
          <w:tcPr>
            <w:tcW w:w="595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A12EC18" w14:textId="77777777" w:rsidR="003B7F34" w:rsidRPr="00595C1F" w:rsidRDefault="003B7F34" w:rsidP="00C37C6E">
            <w:pPr>
              <w:pStyle w:val="TableText"/>
              <w:snapToGrid w:val="0"/>
              <w:ind w:left="57" w:rightChars="71" w:right="142"/>
              <w:rPr>
                <w:b/>
                <w:lang w:eastAsia="it-IT"/>
              </w:rPr>
            </w:pPr>
            <w:r w:rsidRPr="00595C1F">
              <w:rPr>
                <w:b/>
                <w:lang w:eastAsia="it-IT"/>
              </w:rPr>
              <w:t>Total Cash Outflows</w:t>
            </w:r>
          </w:p>
        </w:tc>
        <w:tc>
          <w:tcPr>
            <w:tcW w:w="1417" w:type="dxa"/>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62F81DEC" w14:textId="77777777" w:rsidR="003B7F34" w:rsidRPr="0023654F" w:rsidRDefault="003B7F34" w:rsidP="00C37C6E">
            <w:pPr>
              <w:pStyle w:val="TableText"/>
              <w:snapToGrid w:val="0"/>
              <w:rPr>
                <w:lang w:eastAsia="it-IT"/>
              </w:rPr>
            </w:pPr>
          </w:p>
        </w:tc>
        <w:tc>
          <w:tcPr>
            <w:tcW w:w="1418" w:type="dxa"/>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63A0D254" w14:textId="77777777" w:rsidR="003B7F34" w:rsidRPr="0023654F" w:rsidRDefault="003B7F34" w:rsidP="00C37C6E">
            <w:pPr>
              <w:pStyle w:val="TableText"/>
              <w:snapToGrid w:val="0"/>
              <w:rPr>
                <w:lang w:eastAsia="it-IT"/>
              </w:rPr>
            </w:pPr>
          </w:p>
        </w:tc>
      </w:tr>
      <w:tr w:rsidR="003B7F34" w:rsidRPr="0023654F" w14:paraId="643021EB" w14:textId="77777777" w:rsidTr="00C37C6E">
        <w:trPr>
          <w:cantSplit/>
          <w:trHeight w:val="270"/>
        </w:trPr>
        <w:tc>
          <w:tcPr>
            <w:tcW w:w="6380" w:type="dxa"/>
            <w:gridSpan w:val="2"/>
            <w:tcBorders>
              <w:top w:val="single" w:sz="6" w:space="0" w:color="auto"/>
              <w:left w:val="nil"/>
              <w:bottom w:val="single" w:sz="6" w:space="0" w:color="auto"/>
              <w:right w:val="nil"/>
            </w:tcBorders>
            <w:shd w:val="clear" w:color="auto" w:fill="A6A6A6" w:themeFill="background1" w:themeFillShade="A6"/>
          </w:tcPr>
          <w:p w14:paraId="61154F61" w14:textId="77777777" w:rsidR="003B7F34" w:rsidRPr="008B2E9C" w:rsidRDefault="003B7F34" w:rsidP="006A1B41">
            <w:pPr>
              <w:pStyle w:val="TableText"/>
              <w:numPr>
                <w:ilvl w:val="0"/>
                <w:numId w:val="21"/>
              </w:numPr>
              <w:snapToGrid w:val="0"/>
              <w:ind w:left="414" w:rightChars="71" w:right="142" w:hanging="357"/>
              <w:rPr>
                <w:b/>
                <w:bCs/>
                <w:szCs w:val="17"/>
              </w:rPr>
            </w:pPr>
            <w:r w:rsidRPr="008B2E9C">
              <w:rPr>
                <w:b/>
                <w:szCs w:val="17"/>
                <w:lang w:eastAsia="it-IT"/>
              </w:rPr>
              <w:t>Cash Inflows</w:t>
            </w:r>
          </w:p>
        </w:tc>
        <w:tc>
          <w:tcPr>
            <w:tcW w:w="1417" w:type="dxa"/>
            <w:tcBorders>
              <w:top w:val="single" w:sz="6" w:space="0" w:color="auto"/>
              <w:left w:val="nil"/>
              <w:bottom w:val="single" w:sz="6" w:space="0" w:color="auto"/>
              <w:right w:val="nil"/>
            </w:tcBorders>
            <w:shd w:val="clear" w:color="auto" w:fill="A6A6A6" w:themeFill="background1" w:themeFillShade="A6"/>
          </w:tcPr>
          <w:p w14:paraId="09931688" w14:textId="77777777" w:rsidR="003B7F34" w:rsidRPr="0023654F" w:rsidRDefault="003B7F34" w:rsidP="00C37C6E">
            <w:pPr>
              <w:pStyle w:val="TableText"/>
              <w:snapToGrid w:val="0"/>
              <w:rPr>
                <w:lang w:eastAsia="it-IT"/>
              </w:rPr>
            </w:pPr>
          </w:p>
        </w:tc>
        <w:tc>
          <w:tcPr>
            <w:tcW w:w="1418" w:type="dxa"/>
            <w:tcBorders>
              <w:top w:val="single" w:sz="6" w:space="0" w:color="auto"/>
              <w:left w:val="nil"/>
              <w:bottom w:val="single" w:sz="6" w:space="0" w:color="auto"/>
              <w:right w:val="single" w:sz="4" w:space="0" w:color="auto"/>
            </w:tcBorders>
            <w:shd w:val="clear" w:color="auto" w:fill="A6A6A6" w:themeFill="background1" w:themeFillShade="A6"/>
          </w:tcPr>
          <w:p w14:paraId="6AD40E29" w14:textId="77777777" w:rsidR="003B7F34" w:rsidRPr="0023654F" w:rsidRDefault="003B7F34" w:rsidP="00C37C6E">
            <w:pPr>
              <w:pStyle w:val="TableText"/>
              <w:snapToGrid w:val="0"/>
              <w:rPr>
                <w:lang w:eastAsia="it-IT"/>
              </w:rPr>
            </w:pPr>
          </w:p>
        </w:tc>
      </w:tr>
      <w:tr w:rsidR="003B7F34" w:rsidRPr="0023654F" w14:paraId="0DD2EDE7" w14:textId="77777777" w:rsidTr="00C37C6E">
        <w:trPr>
          <w:cantSplit/>
          <w:trHeight w:val="270"/>
        </w:trPr>
        <w:tc>
          <w:tcPr>
            <w:tcW w:w="426" w:type="dxa"/>
            <w:tcBorders>
              <w:top w:val="single" w:sz="6" w:space="0" w:color="auto"/>
              <w:left w:val="nil"/>
              <w:bottom w:val="single" w:sz="6" w:space="0" w:color="BCBDBC"/>
              <w:right w:val="single" w:sz="6" w:space="0" w:color="auto"/>
            </w:tcBorders>
          </w:tcPr>
          <w:p w14:paraId="25922B49" w14:textId="77777777" w:rsidR="003B7F34" w:rsidRPr="008B2E9C" w:rsidRDefault="003B7F34" w:rsidP="00C37C6E">
            <w:pPr>
              <w:pStyle w:val="TableText"/>
              <w:snapToGrid w:val="0"/>
              <w:ind w:left="57"/>
              <w:rPr>
                <w:szCs w:val="17"/>
                <w:lang w:eastAsia="en-GB"/>
              </w:rPr>
            </w:pPr>
            <w:r w:rsidRPr="008B2E9C">
              <w:rPr>
                <w:szCs w:val="17"/>
                <w:lang w:eastAsia="en-GB"/>
              </w:rPr>
              <w:t>17</w:t>
            </w:r>
          </w:p>
        </w:tc>
        <w:tc>
          <w:tcPr>
            <w:tcW w:w="595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3934D1C" w14:textId="77777777" w:rsidR="003B7F34" w:rsidRPr="00595C1F" w:rsidRDefault="003B7F34" w:rsidP="00C37C6E">
            <w:pPr>
              <w:pStyle w:val="TableText"/>
              <w:snapToGrid w:val="0"/>
              <w:ind w:left="57" w:rightChars="71" w:right="142"/>
              <w:rPr>
                <w:lang w:eastAsia="it-IT"/>
              </w:rPr>
            </w:pPr>
            <w:r w:rsidRPr="00595C1F">
              <w:rPr>
                <w:lang w:eastAsia="it-IT"/>
              </w:rPr>
              <w:t>Secured lending transactions (including securities swap transactions)</w:t>
            </w:r>
          </w:p>
        </w:tc>
        <w:tc>
          <w:tcPr>
            <w:tcW w:w="141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50210D9" w14:textId="77777777" w:rsidR="003B7F34" w:rsidRPr="0023654F" w:rsidRDefault="003B7F34" w:rsidP="00C37C6E">
            <w:pPr>
              <w:pStyle w:val="TableText"/>
              <w:snapToGrid w:val="0"/>
              <w:rPr>
                <w:lang w:eastAsia="it-IT"/>
              </w:rPr>
            </w:pPr>
          </w:p>
        </w:tc>
        <w:tc>
          <w:tcPr>
            <w:tcW w:w="1418" w:type="dxa"/>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6B4D4167" w14:textId="77777777" w:rsidR="003B7F34" w:rsidRPr="0023654F" w:rsidRDefault="003B7F34" w:rsidP="00C37C6E">
            <w:pPr>
              <w:pStyle w:val="TableText"/>
              <w:snapToGrid w:val="0"/>
              <w:rPr>
                <w:lang w:eastAsia="it-IT"/>
              </w:rPr>
            </w:pPr>
          </w:p>
        </w:tc>
      </w:tr>
      <w:tr w:rsidR="003B7F34" w:rsidRPr="0023654F" w14:paraId="2CEF1815" w14:textId="77777777" w:rsidTr="00C37C6E">
        <w:trPr>
          <w:cantSplit/>
          <w:trHeight w:val="270"/>
        </w:trPr>
        <w:tc>
          <w:tcPr>
            <w:tcW w:w="426" w:type="dxa"/>
            <w:tcBorders>
              <w:top w:val="single" w:sz="6" w:space="0" w:color="BCBDBC"/>
              <w:left w:val="nil"/>
              <w:bottom w:val="single" w:sz="6" w:space="0" w:color="BCBDBC"/>
              <w:right w:val="single" w:sz="6" w:space="0" w:color="auto"/>
            </w:tcBorders>
          </w:tcPr>
          <w:p w14:paraId="6FFD7688" w14:textId="77777777" w:rsidR="003B7F34" w:rsidRPr="008B2E9C" w:rsidRDefault="003B7F34" w:rsidP="00C37C6E">
            <w:pPr>
              <w:pStyle w:val="TableText"/>
              <w:snapToGrid w:val="0"/>
              <w:ind w:left="57"/>
              <w:rPr>
                <w:szCs w:val="17"/>
                <w:lang w:eastAsia="en-GB"/>
              </w:rPr>
            </w:pPr>
            <w:r w:rsidRPr="008B2E9C">
              <w:rPr>
                <w:szCs w:val="17"/>
                <w:lang w:eastAsia="en-GB"/>
              </w:rPr>
              <w:t>18</w:t>
            </w:r>
          </w:p>
        </w:tc>
        <w:tc>
          <w:tcPr>
            <w:tcW w:w="595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9B92169" w14:textId="77777777" w:rsidR="003B7F34" w:rsidRPr="00595C1F" w:rsidRDefault="003B7F34" w:rsidP="00C37C6E">
            <w:pPr>
              <w:pStyle w:val="TableText"/>
              <w:snapToGrid w:val="0"/>
              <w:ind w:left="57" w:rightChars="71" w:right="142"/>
              <w:rPr>
                <w:lang w:eastAsia="it-IT"/>
              </w:rPr>
            </w:pPr>
            <w:r w:rsidRPr="00595C1F">
              <w:rPr>
                <w:lang w:eastAsia="it-IT"/>
              </w:rPr>
              <w:t xml:space="preserve">Secured and unsecured loans (other than secured lending transactions covered in </w:t>
            </w:r>
            <w:r>
              <w:rPr>
                <w:lang w:eastAsia="it-IT"/>
              </w:rPr>
              <w:t>r</w:t>
            </w:r>
            <w:r w:rsidRPr="00595C1F">
              <w:rPr>
                <w:lang w:eastAsia="it-IT"/>
              </w:rPr>
              <w:t>ow 1</w:t>
            </w:r>
            <w:r>
              <w:rPr>
                <w:lang w:eastAsia="it-IT"/>
              </w:rPr>
              <w:t>7</w:t>
            </w:r>
            <w:r w:rsidRPr="00595C1F">
              <w:rPr>
                <w:lang w:eastAsia="it-IT"/>
              </w:rPr>
              <w:t>) and operational deposits placed at other financial institutions</w:t>
            </w:r>
          </w:p>
        </w:tc>
        <w:tc>
          <w:tcPr>
            <w:tcW w:w="141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E43A975" w14:textId="77777777" w:rsidR="003B7F34" w:rsidRPr="003B53ED" w:rsidRDefault="003B7F34" w:rsidP="00C37C6E">
            <w:pPr>
              <w:pStyle w:val="TableText"/>
              <w:snapToGrid w:val="0"/>
              <w:ind w:left="57"/>
              <w:rPr>
                <w:lang w:eastAsia="it-IT"/>
              </w:rPr>
            </w:pPr>
          </w:p>
        </w:tc>
        <w:tc>
          <w:tcPr>
            <w:tcW w:w="1418" w:type="dxa"/>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04C8F86D" w14:textId="77777777" w:rsidR="003B7F34" w:rsidRPr="0023654F" w:rsidRDefault="003B7F34" w:rsidP="00C37C6E">
            <w:pPr>
              <w:pStyle w:val="TableText"/>
              <w:snapToGrid w:val="0"/>
              <w:rPr>
                <w:lang w:eastAsia="it-IT"/>
              </w:rPr>
            </w:pPr>
          </w:p>
        </w:tc>
      </w:tr>
      <w:tr w:rsidR="003B7F34" w:rsidRPr="0023654F" w14:paraId="5F4894B6" w14:textId="77777777" w:rsidTr="00C37C6E">
        <w:trPr>
          <w:cantSplit/>
          <w:trHeight w:val="270"/>
        </w:trPr>
        <w:tc>
          <w:tcPr>
            <w:tcW w:w="426" w:type="dxa"/>
            <w:tcBorders>
              <w:top w:val="single" w:sz="6" w:space="0" w:color="BCBDBC"/>
              <w:left w:val="nil"/>
              <w:bottom w:val="single" w:sz="6" w:space="0" w:color="BCBDBC"/>
              <w:right w:val="single" w:sz="6" w:space="0" w:color="auto"/>
            </w:tcBorders>
          </w:tcPr>
          <w:p w14:paraId="6B7BB717" w14:textId="77777777" w:rsidR="003B7F34" w:rsidRPr="008B2E9C" w:rsidRDefault="003B7F34" w:rsidP="00C37C6E">
            <w:pPr>
              <w:pStyle w:val="TableText"/>
              <w:snapToGrid w:val="0"/>
              <w:ind w:left="57"/>
              <w:rPr>
                <w:szCs w:val="17"/>
                <w:lang w:eastAsia="en-GB"/>
              </w:rPr>
            </w:pPr>
            <w:r w:rsidRPr="008B2E9C">
              <w:rPr>
                <w:szCs w:val="17"/>
                <w:lang w:eastAsia="en-GB"/>
              </w:rPr>
              <w:t>19</w:t>
            </w:r>
          </w:p>
        </w:tc>
        <w:tc>
          <w:tcPr>
            <w:tcW w:w="595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42BE8EB" w14:textId="77777777" w:rsidR="003B7F34" w:rsidRPr="00595C1F" w:rsidRDefault="003B7F34" w:rsidP="00C37C6E">
            <w:pPr>
              <w:pStyle w:val="TableText"/>
              <w:snapToGrid w:val="0"/>
              <w:ind w:left="57" w:rightChars="71" w:right="142"/>
              <w:rPr>
                <w:lang w:eastAsia="it-IT"/>
              </w:rPr>
            </w:pPr>
            <w:r w:rsidRPr="00595C1F">
              <w:rPr>
                <w:lang w:eastAsia="it-IT"/>
              </w:rPr>
              <w:t>Other cash inflows</w:t>
            </w:r>
          </w:p>
        </w:tc>
        <w:tc>
          <w:tcPr>
            <w:tcW w:w="141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39320B7" w14:textId="77777777" w:rsidR="003B7F34" w:rsidRPr="003B53ED" w:rsidRDefault="003B7F34" w:rsidP="00C37C6E">
            <w:pPr>
              <w:pStyle w:val="TableText"/>
              <w:snapToGrid w:val="0"/>
              <w:ind w:left="57"/>
              <w:rPr>
                <w:lang w:eastAsia="it-IT"/>
              </w:rPr>
            </w:pPr>
          </w:p>
        </w:tc>
        <w:tc>
          <w:tcPr>
            <w:tcW w:w="1418" w:type="dxa"/>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5E5ADFCD" w14:textId="77777777" w:rsidR="003B7F34" w:rsidRPr="0023654F" w:rsidRDefault="003B7F34" w:rsidP="00C37C6E">
            <w:pPr>
              <w:pStyle w:val="TableText"/>
              <w:snapToGrid w:val="0"/>
              <w:rPr>
                <w:lang w:eastAsia="it-IT"/>
              </w:rPr>
            </w:pPr>
          </w:p>
        </w:tc>
      </w:tr>
      <w:tr w:rsidR="003B7F34" w:rsidRPr="0023654F" w14:paraId="58A942B5" w14:textId="77777777" w:rsidTr="00EF166C">
        <w:trPr>
          <w:cantSplit/>
          <w:trHeight w:val="270"/>
        </w:trPr>
        <w:tc>
          <w:tcPr>
            <w:tcW w:w="426" w:type="dxa"/>
            <w:tcBorders>
              <w:top w:val="single" w:sz="6" w:space="0" w:color="BCBDBC"/>
              <w:left w:val="nil"/>
              <w:bottom w:val="single" w:sz="6" w:space="0" w:color="auto"/>
              <w:right w:val="single" w:sz="6" w:space="0" w:color="auto"/>
            </w:tcBorders>
            <w:shd w:val="clear" w:color="auto" w:fill="auto"/>
          </w:tcPr>
          <w:p w14:paraId="7E7DF0C4" w14:textId="77777777" w:rsidR="003B7F34" w:rsidRPr="008B2E9C" w:rsidRDefault="003B7F34" w:rsidP="00C37C6E">
            <w:pPr>
              <w:pStyle w:val="TableText"/>
              <w:snapToGrid w:val="0"/>
              <w:ind w:left="57"/>
              <w:rPr>
                <w:szCs w:val="17"/>
                <w:lang w:eastAsia="en-GB"/>
              </w:rPr>
            </w:pPr>
            <w:r w:rsidRPr="008B2E9C">
              <w:rPr>
                <w:szCs w:val="17"/>
                <w:lang w:eastAsia="en-GB"/>
              </w:rPr>
              <w:lastRenderedPageBreak/>
              <w:t>20</w:t>
            </w:r>
          </w:p>
        </w:tc>
        <w:tc>
          <w:tcPr>
            <w:tcW w:w="595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08A8990" w14:textId="77777777" w:rsidR="003B7F34" w:rsidRPr="003B53ED" w:rsidRDefault="003B7F34" w:rsidP="00C37C6E">
            <w:pPr>
              <w:pStyle w:val="TableText"/>
              <w:snapToGrid w:val="0"/>
              <w:ind w:left="57" w:rightChars="71" w:right="142"/>
              <w:rPr>
                <w:lang w:eastAsia="it-IT"/>
              </w:rPr>
            </w:pPr>
            <w:r w:rsidRPr="003D2EA7">
              <w:rPr>
                <w:b/>
                <w:lang w:eastAsia="it-IT"/>
              </w:rPr>
              <w:t>Total Cash Inflows</w:t>
            </w:r>
          </w:p>
        </w:tc>
        <w:tc>
          <w:tcPr>
            <w:tcW w:w="141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DCC249E" w14:textId="77777777" w:rsidR="003B7F34" w:rsidRPr="003B53ED" w:rsidRDefault="003B7F34" w:rsidP="00C37C6E">
            <w:pPr>
              <w:pStyle w:val="TableText"/>
              <w:snapToGrid w:val="0"/>
              <w:ind w:left="57"/>
              <w:rPr>
                <w:lang w:eastAsia="it-IT"/>
              </w:rPr>
            </w:pPr>
          </w:p>
        </w:tc>
        <w:tc>
          <w:tcPr>
            <w:tcW w:w="1418" w:type="dxa"/>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3BA589EE" w14:textId="77777777" w:rsidR="003B7F34" w:rsidRPr="0023654F" w:rsidRDefault="003B7F34" w:rsidP="00C37C6E">
            <w:pPr>
              <w:pStyle w:val="TableText"/>
              <w:snapToGrid w:val="0"/>
              <w:rPr>
                <w:lang w:eastAsia="it-IT"/>
              </w:rPr>
            </w:pPr>
          </w:p>
        </w:tc>
      </w:tr>
      <w:tr w:rsidR="003B7F34" w:rsidRPr="0023654F" w14:paraId="5FDFF8F5" w14:textId="77777777" w:rsidTr="00C37C6E">
        <w:trPr>
          <w:cantSplit/>
          <w:trHeight w:val="270"/>
        </w:trPr>
        <w:tc>
          <w:tcPr>
            <w:tcW w:w="6380" w:type="dxa"/>
            <w:gridSpan w:val="2"/>
            <w:tcBorders>
              <w:top w:val="single" w:sz="6" w:space="0" w:color="auto"/>
              <w:left w:val="nil"/>
              <w:bottom w:val="single" w:sz="6" w:space="0" w:color="auto"/>
              <w:right w:val="nil"/>
            </w:tcBorders>
            <w:shd w:val="clear" w:color="auto" w:fill="A6A6A6" w:themeFill="background1" w:themeFillShade="A6"/>
          </w:tcPr>
          <w:p w14:paraId="7070EC06" w14:textId="77777777" w:rsidR="003B7F34" w:rsidRPr="008B2E9C" w:rsidRDefault="003B7F34" w:rsidP="006A1B41">
            <w:pPr>
              <w:pStyle w:val="TableText"/>
              <w:numPr>
                <w:ilvl w:val="0"/>
                <w:numId w:val="21"/>
              </w:numPr>
              <w:snapToGrid w:val="0"/>
              <w:ind w:left="414" w:rightChars="71" w:right="142" w:hanging="357"/>
              <w:rPr>
                <w:b/>
                <w:szCs w:val="17"/>
                <w:lang w:eastAsia="it-IT"/>
              </w:rPr>
            </w:pPr>
            <w:r w:rsidRPr="008B2E9C">
              <w:rPr>
                <w:b/>
                <w:szCs w:val="17"/>
                <w:lang w:eastAsia="it-IT"/>
              </w:rPr>
              <w:t>Liquidity Coverage Ratio</w:t>
            </w:r>
          </w:p>
        </w:tc>
        <w:tc>
          <w:tcPr>
            <w:tcW w:w="1417" w:type="dxa"/>
            <w:tcBorders>
              <w:top w:val="single" w:sz="6" w:space="0" w:color="auto"/>
              <w:left w:val="nil"/>
              <w:bottom w:val="single" w:sz="6" w:space="0" w:color="auto"/>
              <w:right w:val="nil"/>
            </w:tcBorders>
            <w:shd w:val="clear" w:color="auto" w:fill="A6A6A6" w:themeFill="background1" w:themeFillShade="A6"/>
          </w:tcPr>
          <w:p w14:paraId="371B8CF4" w14:textId="77777777" w:rsidR="003B7F34" w:rsidRPr="003B53ED" w:rsidRDefault="003B7F34" w:rsidP="00C37C6E">
            <w:pPr>
              <w:pStyle w:val="TableText"/>
              <w:snapToGrid w:val="0"/>
              <w:ind w:left="57"/>
              <w:rPr>
                <w:lang w:eastAsia="it-IT"/>
              </w:rPr>
            </w:pPr>
          </w:p>
        </w:tc>
        <w:tc>
          <w:tcPr>
            <w:tcW w:w="1418" w:type="dxa"/>
            <w:tcBorders>
              <w:top w:val="single" w:sz="6" w:space="0" w:color="auto"/>
              <w:left w:val="nil"/>
              <w:bottom w:val="single" w:sz="6" w:space="0" w:color="auto"/>
              <w:right w:val="single" w:sz="6" w:space="0" w:color="auto"/>
            </w:tcBorders>
            <w:shd w:val="clear" w:color="auto" w:fill="A6A6A6" w:themeFill="background1" w:themeFillShade="A6"/>
          </w:tcPr>
          <w:p w14:paraId="36FB4056" w14:textId="77777777" w:rsidR="003B7F34" w:rsidRPr="0023654F" w:rsidRDefault="003B7F34" w:rsidP="00C37C6E">
            <w:pPr>
              <w:pStyle w:val="TableText"/>
              <w:snapToGrid w:val="0"/>
              <w:jc w:val="center"/>
              <w:rPr>
                <w:lang w:eastAsia="it-IT"/>
              </w:rPr>
            </w:pPr>
            <w:r w:rsidRPr="00595C1F">
              <w:rPr>
                <w:b/>
                <w:lang w:eastAsia="it-IT"/>
              </w:rPr>
              <w:t>Adjusted value</w:t>
            </w:r>
          </w:p>
        </w:tc>
      </w:tr>
      <w:tr w:rsidR="003B7F34" w:rsidRPr="0023654F" w14:paraId="68E24D97" w14:textId="77777777" w:rsidTr="00EF166C">
        <w:trPr>
          <w:cantSplit/>
          <w:trHeight w:val="270"/>
        </w:trPr>
        <w:tc>
          <w:tcPr>
            <w:tcW w:w="426" w:type="dxa"/>
            <w:tcBorders>
              <w:top w:val="single" w:sz="6" w:space="0" w:color="auto"/>
              <w:left w:val="nil"/>
              <w:bottom w:val="single" w:sz="6" w:space="0" w:color="auto"/>
              <w:right w:val="single" w:sz="6" w:space="0" w:color="auto"/>
            </w:tcBorders>
            <w:shd w:val="clear" w:color="auto" w:fill="auto"/>
          </w:tcPr>
          <w:p w14:paraId="2E5EC76A" w14:textId="77777777" w:rsidR="003B7F34" w:rsidRPr="008B2E9C" w:rsidRDefault="003B7F34" w:rsidP="00C37C6E">
            <w:pPr>
              <w:pStyle w:val="TableText"/>
              <w:snapToGrid w:val="0"/>
              <w:ind w:left="57"/>
              <w:rPr>
                <w:szCs w:val="17"/>
                <w:lang w:eastAsia="en-GB"/>
              </w:rPr>
            </w:pPr>
            <w:r w:rsidRPr="008B2E9C">
              <w:rPr>
                <w:szCs w:val="17"/>
                <w:lang w:eastAsia="en-GB"/>
              </w:rPr>
              <w:t>21</w:t>
            </w:r>
          </w:p>
        </w:tc>
        <w:tc>
          <w:tcPr>
            <w:tcW w:w="5954" w:type="dxa"/>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05150361" w14:textId="77777777" w:rsidR="003B7F34" w:rsidRPr="00595C1F" w:rsidRDefault="003B7F34" w:rsidP="00C37C6E">
            <w:pPr>
              <w:pStyle w:val="TableText"/>
              <w:snapToGrid w:val="0"/>
              <w:ind w:left="57" w:rightChars="71" w:right="142"/>
              <w:rPr>
                <w:b/>
                <w:lang w:eastAsia="it-IT"/>
              </w:rPr>
            </w:pPr>
            <w:r w:rsidRPr="00595C1F">
              <w:rPr>
                <w:b/>
                <w:lang w:eastAsia="it-IT"/>
              </w:rPr>
              <w:t>T</w:t>
            </w:r>
            <w:r>
              <w:rPr>
                <w:b/>
                <w:lang w:eastAsia="it-IT"/>
              </w:rPr>
              <w:t>otal</w:t>
            </w:r>
            <w:r w:rsidRPr="00595C1F">
              <w:rPr>
                <w:b/>
                <w:lang w:eastAsia="it-IT"/>
              </w:rPr>
              <w:t xml:space="preserve"> HQLA</w:t>
            </w:r>
          </w:p>
        </w:tc>
        <w:tc>
          <w:tcPr>
            <w:tcW w:w="1417" w:type="dxa"/>
            <w:tcBorders>
              <w:top w:val="single" w:sz="6" w:space="0" w:color="auto"/>
              <w:left w:val="single" w:sz="4" w:space="0" w:color="auto"/>
              <w:bottom w:val="single" w:sz="6" w:space="0" w:color="auto"/>
              <w:right w:val="single" w:sz="4" w:space="0" w:color="auto"/>
            </w:tcBorders>
            <w:shd w:val="clear" w:color="auto" w:fill="808080" w:themeFill="background1" w:themeFillShade="80"/>
          </w:tcPr>
          <w:p w14:paraId="122F59DC" w14:textId="77777777" w:rsidR="003B7F34" w:rsidRPr="003B53ED" w:rsidRDefault="003B7F34" w:rsidP="00C37C6E">
            <w:pPr>
              <w:pStyle w:val="TableText"/>
              <w:snapToGrid w:val="0"/>
              <w:ind w:left="57"/>
              <w:rPr>
                <w:lang w:eastAsia="it-IT"/>
              </w:rPr>
            </w:pPr>
          </w:p>
        </w:tc>
        <w:tc>
          <w:tcPr>
            <w:tcW w:w="1418" w:type="dxa"/>
            <w:tcBorders>
              <w:top w:val="single" w:sz="6" w:space="0" w:color="auto"/>
              <w:left w:val="single" w:sz="4" w:space="0" w:color="auto"/>
              <w:bottom w:val="single" w:sz="6" w:space="0" w:color="auto"/>
              <w:right w:val="single" w:sz="6" w:space="0" w:color="auto"/>
            </w:tcBorders>
            <w:shd w:val="clear" w:color="auto" w:fill="D9D9D9" w:themeFill="background1" w:themeFillShade="D9"/>
          </w:tcPr>
          <w:p w14:paraId="3D971A8C" w14:textId="77777777" w:rsidR="003B7F34" w:rsidRPr="0023654F" w:rsidRDefault="003B7F34" w:rsidP="00C37C6E">
            <w:pPr>
              <w:pStyle w:val="TableText"/>
              <w:snapToGrid w:val="0"/>
              <w:rPr>
                <w:lang w:eastAsia="it-IT"/>
              </w:rPr>
            </w:pPr>
          </w:p>
        </w:tc>
      </w:tr>
      <w:tr w:rsidR="003B7F34" w:rsidRPr="0023654F" w14:paraId="282CE81E" w14:textId="77777777" w:rsidTr="00EF166C">
        <w:trPr>
          <w:cantSplit/>
          <w:trHeight w:val="270"/>
        </w:trPr>
        <w:tc>
          <w:tcPr>
            <w:tcW w:w="426" w:type="dxa"/>
            <w:tcBorders>
              <w:top w:val="single" w:sz="6" w:space="0" w:color="auto"/>
              <w:left w:val="nil"/>
              <w:bottom w:val="single" w:sz="6" w:space="0" w:color="auto"/>
              <w:right w:val="single" w:sz="6" w:space="0" w:color="auto"/>
            </w:tcBorders>
            <w:shd w:val="clear" w:color="auto" w:fill="auto"/>
          </w:tcPr>
          <w:p w14:paraId="4CC786CD" w14:textId="77777777" w:rsidR="003B7F34" w:rsidRPr="008B2E9C" w:rsidRDefault="003B7F34" w:rsidP="00C37C6E">
            <w:pPr>
              <w:pStyle w:val="TableText"/>
              <w:snapToGrid w:val="0"/>
              <w:ind w:left="57"/>
              <w:rPr>
                <w:szCs w:val="17"/>
                <w:lang w:eastAsia="en-GB"/>
              </w:rPr>
            </w:pPr>
            <w:r w:rsidRPr="008B2E9C">
              <w:rPr>
                <w:szCs w:val="17"/>
                <w:lang w:eastAsia="en-GB"/>
              </w:rPr>
              <w:t>22</w:t>
            </w:r>
          </w:p>
        </w:tc>
        <w:tc>
          <w:tcPr>
            <w:tcW w:w="595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D8B445C" w14:textId="77777777" w:rsidR="003B7F34" w:rsidRPr="00595C1F" w:rsidRDefault="003B7F34" w:rsidP="00C37C6E">
            <w:pPr>
              <w:pStyle w:val="TableText"/>
              <w:snapToGrid w:val="0"/>
              <w:ind w:left="57" w:rightChars="71" w:right="142"/>
              <w:rPr>
                <w:b/>
                <w:lang w:eastAsia="it-IT"/>
              </w:rPr>
            </w:pPr>
            <w:r>
              <w:rPr>
                <w:b/>
                <w:lang w:eastAsia="it-IT"/>
              </w:rPr>
              <w:t>Total</w:t>
            </w:r>
            <w:r w:rsidRPr="00595C1F">
              <w:rPr>
                <w:b/>
                <w:lang w:eastAsia="it-IT"/>
              </w:rPr>
              <w:t xml:space="preserve"> N</w:t>
            </w:r>
            <w:r>
              <w:rPr>
                <w:b/>
                <w:lang w:eastAsia="it-IT"/>
              </w:rPr>
              <w:t>et</w:t>
            </w:r>
            <w:r w:rsidRPr="00595C1F">
              <w:rPr>
                <w:b/>
                <w:lang w:eastAsia="it-IT"/>
              </w:rPr>
              <w:t xml:space="preserve"> C</w:t>
            </w:r>
            <w:r>
              <w:rPr>
                <w:b/>
                <w:lang w:eastAsia="it-IT"/>
              </w:rPr>
              <w:t>ash</w:t>
            </w:r>
            <w:r w:rsidRPr="00595C1F">
              <w:rPr>
                <w:b/>
                <w:lang w:eastAsia="it-IT"/>
              </w:rPr>
              <w:t xml:space="preserve"> O</w:t>
            </w:r>
            <w:r>
              <w:rPr>
                <w:b/>
                <w:lang w:eastAsia="it-IT"/>
              </w:rPr>
              <w:t>utflows</w:t>
            </w:r>
          </w:p>
        </w:tc>
        <w:tc>
          <w:tcPr>
            <w:tcW w:w="1417" w:type="dxa"/>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02CA47C1" w14:textId="77777777" w:rsidR="003B7F34" w:rsidRPr="003B53ED" w:rsidRDefault="003B7F34" w:rsidP="00C37C6E">
            <w:pPr>
              <w:pStyle w:val="TableText"/>
              <w:snapToGrid w:val="0"/>
              <w:ind w:left="57"/>
              <w:rPr>
                <w:lang w:eastAsia="it-IT"/>
              </w:rPr>
            </w:pPr>
          </w:p>
        </w:tc>
        <w:tc>
          <w:tcPr>
            <w:tcW w:w="141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52F71C9" w14:textId="77777777" w:rsidR="003B7F34" w:rsidRPr="0023654F" w:rsidRDefault="003B7F34" w:rsidP="00C37C6E">
            <w:pPr>
              <w:pStyle w:val="TableText"/>
              <w:snapToGrid w:val="0"/>
              <w:rPr>
                <w:lang w:eastAsia="it-IT"/>
              </w:rPr>
            </w:pPr>
          </w:p>
        </w:tc>
      </w:tr>
      <w:tr w:rsidR="003B7F34" w:rsidRPr="0023654F" w14:paraId="232C761A" w14:textId="77777777" w:rsidTr="00EF166C">
        <w:trPr>
          <w:cantSplit/>
          <w:trHeight w:val="230"/>
        </w:trPr>
        <w:tc>
          <w:tcPr>
            <w:tcW w:w="426" w:type="dxa"/>
            <w:tcBorders>
              <w:top w:val="single" w:sz="6" w:space="0" w:color="auto"/>
              <w:left w:val="nil"/>
              <w:bottom w:val="single" w:sz="6" w:space="0" w:color="auto"/>
              <w:right w:val="single" w:sz="6" w:space="0" w:color="auto"/>
            </w:tcBorders>
            <w:shd w:val="clear" w:color="auto" w:fill="auto"/>
          </w:tcPr>
          <w:p w14:paraId="5DD184F0" w14:textId="77777777" w:rsidR="003B7F34" w:rsidRPr="008B2E9C" w:rsidRDefault="003B7F34" w:rsidP="00C37C6E">
            <w:pPr>
              <w:pStyle w:val="TableText"/>
              <w:snapToGrid w:val="0"/>
              <w:ind w:left="57"/>
              <w:rPr>
                <w:szCs w:val="17"/>
                <w:lang w:eastAsia="en-GB"/>
              </w:rPr>
            </w:pPr>
            <w:r w:rsidRPr="008B2E9C">
              <w:rPr>
                <w:szCs w:val="17"/>
                <w:lang w:eastAsia="en-GB"/>
              </w:rPr>
              <w:t>23</w:t>
            </w:r>
          </w:p>
        </w:tc>
        <w:tc>
          <w:tcPr>
            <w:tcW w:w="595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9E5D450" w14:textId="77777777" w:rsidR="003B7F34" w:rsidRPr="00595C1F" w:rsidRDefault="003B7F34" w:rsidP="00C37C6E">
            <w:pPr>
              <w:pStyle w:val="TableText"/>
              <w:snapToGrid w:val="0"/>
              <w:ind w:left="57" w:rightChars="71" w:right="142"/>
              <w:rPr>
                <w:b/>
                <w:lang w:eastAsia="it-IT"/>
              </w:rPr>
            </w:pPr>
            <w:r w:rsidRPr="00595C1F">
              <w:rPr>
                <w:b/>
                <w:lang w:eastAsia="it-IT"/>
              </w:rPr>
              <w:t>LCR (%)</w:t>
            </w:r>
          </w:p>
        </w:tc>
        <w:tc>
          <w:tcPr>
            <w:tcW w:w="1417" w:type="dxa"/>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110ED4D6" w14:textId="77777777" w:rsidR="003B7F34" w:rsidRPr="003B53ED" w:rsidRDefault="003B7F34" w:rsidP="00C37C6E">
            <w:pPr>
              <w:pStyle w:val="TableText"/>
              <w:snapToGrid w:val="0"/>
              <w:ind w:left="57"/>
              <w:rPr>
                <w:lang w:eastAsia="it-IT"/>
              </w:rPr>
            </w:pPr>
          </w:p>
        </w:tc>
        <w:tc>
          <w:tcPr>
            <w:tcW w:w="141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107CC12" w14:textId="77777777" w:rsidR="003B7F34" w:rsidRPr="0023654F" w:rsidRDefault="003B7F34" w:rsidP="00C37C6E">
            <w:pPr>
              <w:pStyle w:val="TableText"/>
              <w:snapToGrid w:val="0"/>
              <w:rPr>
                <w:lang w:eastAsia="it-IT"/>
              </w:rPr>
            </w:pPr>
          </w:p>
        </w:tc>
      </w:tr>
      <w:tr w:rsidR="003B7F34" w:rsidRPr="00B529EF" w14:paraId="4A16ED52" w14:textId="77777777" w:rsidTr="00C37C6E">
        <w:trPr>
          <w:cantSplit/>
          <w:trHeight w:val="230"/>
        </w:trPr>
        <w:tc>
          <w:tcPr>
            <w:tcW w:w="9215" w:type="dxa"/>
            <w:gridSpan w:val="4"/>
            <w:tcBorders>
              <w:top w:val="single" w:sz="6" w:space="0" w:color="auto"/>
              <w:left w:val="nil"/>
              <w:bottom w:val="single" w:sz="6" w:space="0" w:color="auto"/>
              <w:right w:val="single" w:sz="6" w:space="0" w:color="auto"/>
            </w:tcBorders>
            <w:shd w:val="clear" w:color="auto" w:fill="FFFFFF" w:themeFill="background1"/>
          </w:tcPr>
          <w:p w14:paraId="7BBB99B0" w14:textId="77777777" w:rsidR="003B7F34" w:rsidRPr="008438FE" w:rsidRDefault="003B7F34" w:rsidP="00C37C6E">
            <w:pPr>
              <w:pStyle w:val="TableText"/>
              <w:snapToGrid w:val="0"/>
              <w:spacing w:line="240" w:lineRule="exact"/>
              <w:rPr>
                <w:rFonts w:cs="Segoe UI"/>
                <w:i/>
                <w:szCs w:val="17"/>
                <w:lang w:eastAsia="it-IT"/>
              </w:rPr>
            </w:pPr>
            <w:r w:rsidRPr="008438FE">
              <w:rPr>
                <w:rFonts w:cs="Segoe UI"/>
                <w:i/>
                <w:szCs w:val="17"/>
                <w:lang w:eastAsia="it-IT"/>
              </w:rPr>
              <w:t>Points to note:</w:t>
            </w:r>
          </w:p>
          <w:p w14:paraId="6703DCE6" w14:textId="2D48F09A" w:rsidR="003B7F34" w:rsidRPr="00932AC8" w:rsidRDefault="003B7F34" w:rsidP="00932AC8">
            <w:pPr>
              <w:pStyle w:val="ListParagraph"/>
              <w:widowControl w:val="0"/>
              <w:numPr>
                <w:ilvl w:val="0"/>
                <w:numId w:val="71"/>
              </w:numPr>
              <w:autoSpaceDE w:val="0"/>
              <w:autoSpaceDN w:val="0"/>
              <w:adjustRightInd w:val="0"/>
              <w:spacing w:line="240" w:lineRule="exact"/>
              <w:ind w:leftChars="0" w:rightChars="71" w:right="142"/>
              <w:jc w:val="both"/>
              <w:rPr>
                <w:rFonts w:cs="Segoe UI"/>
                <w:i/>
                <w:sz w:val="17"/>
                <w:szCs w:val="17"/>
                <w:lang w:eastAsia="it-IT"/>
              </w:rPr>
            </w:pPr>
            <w:r w:rsidRPr="00932AC8">
              <w:rPr>
                <w:rFonts w:cs="Segoe UI"/>
                <w:i/>
                <w:sz w:val="17"/>
                <w:szCs w:val="17"/>
                <w:lang w:eastAsia="it-IT"/>
              </w:rPr>
              <w:t>the rows A, B, C and D introduce resp</w:t>
            </w:r>
            <w:r w:rsidR="00EB55F3">
              <w:rPr>
                <w:rFonts w:cs="Segoe UI"/>
                <w:i/>
                <w:sz w:val="17"/>
                <w:szCs w:val="17"/>
                <w:lang w:eastAsia="it-IT"/>
              </w:rPr>
              <w:t>ectively the 4 sections of the t</w:t>
            </w:r>
            <w:r w:rsidRPr="00932AC8">
              <w:rPr>
                <w:rFonts w:cs="Segoe UI"/>
                <w:i/>
                <w:sz w:val="17"/>
                <w:szCs w:val="17"/>
                <w:lang w:eastAsia="it-IT"/>
              </w:rPr>
              <w:t>emplate (i.e. HQLA, cash outflows, cash inflows and LCR) and do not require any value to be input;</w:t>
            </w:r>
          </w:p>
          <w:p w14:paraId="1A3E51A1" w14:textId="77777777" w:rsidR="003B7F34" w:rsidRPr="008438FE" w:rsidRDefault="003B7F34" w:rsidP="00932AC8">
            <w:pPr>
              <w:pStyle w:val="ListParagraph"/>
              <w:widowControl w:val="0"/>
              <w:numPr>
                <w:ilvl w:val="0"/>
                <w:numId w:val="71"/>
              </w:numPr>
              <w:autoSpaceDE w:val="0"/>
              <w:autoSpaceDN w:val="0"/>
              <w:adjustRightInd w:val="0"/>
              <w:spacing w:line="240" w:lineRule="exact"/>
              <w:ind w:leftChars="0" w:rightChars="71" w:right="142"/>
              <w:jc w:val="both"/>
              <w:rPr>
                <w:rFonts w:cs="Segoe UI"/>
                <w:i/>
                <w:sz w:val="17"/>
                <w:szCs w:val="17"/>
                <w:lang w:eastAsia="it-IT"/>
              </w:rPr>
            </w:pPr>
            <w:r w:rsidRPr="008438FE">
              <w:rPr>
                <w:rFonts w:cs="Segoe UI"/>
                <w:i/>
                <w:sz w:val="17"/>
                <w:szCs w:val="17"/>
                <w:lang w:eastAsia="it-IT"/>
              </w:rPr>
              <w:t>the disclosure items shaded in light grey (e.g. rows 2, 5, 9, 10, 14</w:t>
            </w:r>
            <w:r>
              <w:rPr>
                <w:rFonts w:cs="Segoe UI"/>
                <w:i/>
                <w:sz w:val="17"/>
                <w:szCs w:val="17"/>
                <w:lang w:eastAsia="it-IT"/>
              </w:rPr>
              <w:t xml:space="preserve"> and</w:t>
            </w:r>
            <w:r w:rsidRPr="008438FE">
              <w:rPr>
                <w:rFonts w:cs="Segoe UI"/>
                <w:i/>
                <w:sz w:val="17"/>
                <w:szCs w:val="17"/>
                <w:lang w:eastAsia="it-IT"/>
              </w:rPr>
              <w:t xml:space="preserve"> 15 under Section B) represent the components, if any, within the respective sections;</w:t>
            </w:r>
          </w:p>
          <w:p w14:paraId="63CE3A72" w14:textId="77777777" w:rsidR="003B7F34" w:rsidRPr="008438FE" w:rsidRDefault="003B7F34" w:rsidP="00932AC8">
            <w:pPr>
              <w:pStyle w:val="ListParagraph"/>
              <w:widowControl w:val="0"/>
              <w:numPr>
                <w:ilvl w:val="0"/>
                <w:numId w:val="71"/>
              </w:numPr>
              <w:autoSpaceDE w:val="0"/>
              <w:autoSpaceDN w:val="0"/>
              <w:adjustRightInd w:val="0"/>
              <w:spacing w:line="240" w:lineRule="exact"/>
              <w:ind w:leftChars="0" w:rightChars="71" w:right="142"/>
              <w:jc w:val="both"/>
              <w:rPr>
                <w:rFonts w:cs="Segoe UI"/>
                <w:i/>
                <w:sz w:val="17"/>
                <w:szCs w:val="17"/>
                <w:lang w:eastAsia="it-IT"/>
              </w:rPr>
            </w:pPr>
            <w:r w:rsidRPr="008438FE">
              <w:rPr>
                <w:rFonts w:cs="Segoe UI"/>
                <w:i/>
                <w:sz w:val="17"/>
                <w:szCs w:val="17"/>
                <w:lang w:eastAsia="it-IT"/>
              </w:rPr>
              <w:t>the unshaded disclosure items represent sub-components within the components of cash outflows (Section B).  See explanatory note below for a more detailed explanation of the composition of such sub-components;</w:t>
            </w:r>
          </w:p>
          <w:p w14:paraId="79A500A7" w14:textId="77777777" w:rsidR="003B7F34" w:rsidRPr="00B529EF" w:rsidRDefault="003B7F34" w:rsidP="00932AC8">
            <w:pPr>
              <w:pStyle w:val="ListParagraph"/>
              <w:widowControl w:val="0"/>
              <w:numPr>
                <w:ilvl w:val="0"/>
                <w:numId w:val="71"/>
              </w:numPr>
              <w:autoSpaceDE w:val="0"/>
              <w:autoSpaceDN w:val="0"/>
              <w:adjustRightInd w:val="0"/>
              <w:spacing w:line="240" w:lineRule="exact"/>
              <w:ind w:leftChars="0" w:rightChars="71" w:right="142"/>
              <w:jc w:val="both"/>
              <w:rPr>
                <w:i/>
                <w:sz w:val="17"/>
                <w:szCs w:val="17"/>
                <w:lang w:eastAsia="it-IT"/>
              </w:rPr>
            </w:pPr>
            <w:r w:rsidRPr="008438FE">
              <w:rPr>
                <w:rFonts w:cs="Segoe UI"/>
                <w:i/>
                <w:sz w:val="17"/>
                <w:szCs w:val="17"/>
                <w:lang w:eastAsia="it-IT"/>
              </w:rPr>
              <w:t>no disclosure is required for items shaded in</w:t>
            </w:r>
            <w:r w:rsidRPr="008438FE" w:rsidDel="00C758DA">
              <w:rPr>
                <w:rFonts w:cs="Segoe UI"/>
                <w:i/>
                <w:sz w:val="17"/>
                <w:szCs w:val="17"/>
                <w:lang w:eastAsia="it-IT"/>
              </w:rPr>
              <w:t xml:space="preserve"> </w:t>
            </w:r>
            <w:r w:rsidRPr="008438FE">
              <w:rPr>
                <w:rFonts w:cs="Segoe UI"/>
                <w:i/>
                <w:sz w:val="17"/>
                <w:szCs w:val="17"/>
                <w:lang w:eastAsia="it-IT"/>
              </w:rPr>
              <w:t>dark grey (i.e. cells 1/a, 9/a, 16/a, 21/a, 22/a and 23/a).</w:t>
            </w:r>
          </w:p>
        </w:tc>
      </w:tr>
    </w:tbl>
    <w:p w14:paraId="16D217FE" w14:textId="1E862272" w:rsidR="00CA6589" w:rsidRDefault="00CA6589" w:rsidP="00CA6589">
      <w:pPr>
        <w:spacing w:before="120" w:after="120"/>
        <w:rPr>
          <w:sz w:val="22"/>
        </w:rPr>
      </w:pPr>
    </w:p>
    <w:tbl>
      <w:tblPr>
        <w:tblStyle w:val="TableGrid4"/>
        <w:tblW w:w="9213" w:type="dxa"/>
        <w:tblInd w:w="-431" w:type="dxa"/>
        <w:tblLook w:val="04A0" w:firstRow="1" w:lastRow="0" w:firstColumn="1" w:lastColumn="0" w:noHBand="0" w:noVBand="1"/>
      </w:tblPr>
      <w:tblGrid>
        <w:gridCol w:w="561"/>
        <w:gridCol w:w="8652"/>
      </w:tblGrid>
      <w:tr w:rsidR="00371FDD" w:rsidRPr="00371FDD" w14:paraId="3DE060B7" w14:textId="77777777" w:rsidTr="00EA4B6B">
        <w:trPr>
          <w:tblHeader/>
        </w:trPr>
        <w:tc>
          <w:tcPr>
            <w:tcW w:w="9213" w:type="dxa"/>
            <w:gridSpan w:val="2"/>
            <w:shd w:val="clear" w:color="auto" w:fill="BFBFBF"/>
          </w:tcPr>
          <w:p w14:paraId="7EB9EDAF" w14:textId="77777777" w:rsidR="00371FDD" w:rsidRPr="00371FDD" w:rsidRDefault="00371FDD" w:rsidP="00E57BDC">
            <w:pPr>
              <w:spacing w:before="40" w:after="40"/>
              <w:jc w:val="both"/>
              <w:rPr>
                <w:rFonts w:eastAsia="新細明體"/>
                <w:b/>
                <w:sz w:val="17"/>
                <w:szCs w:val="17"/>
                <w:lang w:eastAsia="en-GB"/>
              </w:rPr>
            </w:pPr>
            <w:r w:rsidRPr="00371FDD">
              <w:rPr>
                <w:rFonts w:eastAsia="新細明體"/>
                <w:b/>
                <w:sz w:val="17"/>
                <w:szCs w:val="17"/>
                <w:lang w:eastAsia="en-GB"/>
              </w:rPr>
              <w:t>Explanatory Note</w:t>
            </w:r>
          </w:p>
        </w:tc>
      </w:tr>
      <w:tr w:rsidR="00371FDD" w:rsidRPr="00371FDD" w14:paraId="4CB745A7" w14:textId="77777777" w:rsidTr="00EA4B6B">
        <w:trPr>
          <w:trHeight w:val="153"/>
        </w:trPr>
        <w:tc>
          <w:tcPr>
            <w:tcW w:w="9213" w:type="dxa"/>
            <w:gridSpan w:val="2"/>
            <w:shd w:val="clear" w:color="auto" w:fill="F2F2F2"/>
          </w:tcPr>
          <w:p w14:paraId="63EB15FC" w14:textId="77777777" w:rsidR="00371FDD" w:rsidRPr="00371FDD" w:rsidRDefault="00371FDD" w:rsidP="00E57BDC">
            <w:pPr>
              <w:spacing w:before="40" w:after="40"/>
              <w:jc w:val="both"/>
              <w:rPr>
                <w:rFonts w:eastAsia="新細明體"/>
                <w:b/>
                <w:sz w:val="17"/>
                <w:szCs w:val="17"/>
                <w:lang w:eastAsia="en-GB"/>
              </w:rPr>
            </w:pPr>
            <w:r w:rsidRPr="00371FDD">
              <w:rPr>
                <w:rFonts w:eastAsia="新細明體"/>
                <w:b/>
                <w:sz w:val="17"/>
                <w:szCs w:val="17"/>
                <w:lang w:eastAsia="en-GB"/>
              </w:rPr>
              <w:t>Columns</w:t>
            </w:r>
          </w:p>
        </w:tc>
      </w:tr>
      <w:tr w:rsidR="00371FDD" w:rsidRPr="00371FDD" w14:paraId="6DDAC494" w14:textId="77777777" w:rsidTr="00EA4B6B">
        <w:tc>
          <w:tcPr>
            <w:tcW w:w="561" w:type="dxa"/>
          </w:tcPr>
          <w:p w14:paraId="2DF80118"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(a)</w:t>
            </w:r>
          </w:p>
        </w:tc>
        <w:tc>
          <w:tcPr>
            <w:tcW w:w="8652" w:type="dxa"/>
          </w:tcPr>
          <w:p w14:paraId="1E4EBF00" w14:textId="77777777" w:rsidR="00371FDD" w:rsidRPr="00371FDD" w:rsidRDefault="00371FDD" w:rsidP="00E57BDC">
            <w:pPr>
              <w:keepNext/>
              <w:spacing w:before="40" w:after="40"/>
              <w:jc w:val="both"/>
              <w:rPr>
                <w:sz w:val="17"/>
                <w:szCs w:val="17"/>
              </w:rPr>
            </w:pPr>
            <w:r w:rsidRPr="00371FDD">
              <w:rPr>
                <w:i/>
                <w:sz w:val="17"/>
                <w:szCs w:val="17"/>
              </w:rPr>
              <w:t>Unweighted value</w:t>
            </w:r>
            <w:r w:rsidRPr="00371FDD">
              <w:rPr>
                <w:sz w:val="17"/>
                <w:szCs w:val="17"/>
              </w:rPr>
              <w:t>:</w:t>
            </w:r>
            <w:r w:rsidRPr="00371FDD">
              <w:rPr>
                <w:sz w:val="17"/>
              </w:rPr>
              <w:t xml:space="preserve"> </w:t>
            </w:r>
            <w:r w:rsidRPr="00371FDD">
              <w:rPr>
                <w:sz w:val="17"/>
                <w:szCs w:val="17"/>
              </w:rPr>
              <w:t xml:space="preserve">In relation to a disclosure item under cash outflows (Section B) and cash inflows (Section C), it means the outstanding balance of the item maturing or callable within 30 days.  Such outstanding balance is to be calculated as the principal amount of an asset, liability or off-balance sheet item included in the calculation of the LCR </w:t>
            </w:r>
            <w:r w:rsidRPr="00371FDD">
              <w:rPr>
                <w:sz w:val="17"/>
                <w:szCs w:val="17"/>
                <w:u w:val="single"/>
              </w:rPr>
              <w:t>before</w:t>
            </w:r>
            <w:r w:rsidRPr="00371FDD">
              <w:rPr>
                <w:sz w:val="17"/>
                <w:szCs w:val="17"/>
              </w:rPr>
              <w:t xml:space="preserve"> applying the outflow rate(s) or inflow rate(s) applicable to them, as required under the BLR (as read in conjunction with the Banking (Liquidity Coverage Ratio – Calculation of Total Net Cash Outflows) Code (“the Code”).  For example, in the case of stable retail deposits and stable small business funding (“SDF”):</w:t>
            </w:r>
          </w:p>
          <w:p w14:paraId="4E022F34" w14:textId="77777777" w:rsidR="00371FDD" w:rsidRPr="00371FDD" w:rsidRDefault="00371FDD" w:rsidP="00E57BDC">
            <w:pPr>
              <w:keepNext/>
              <w:spacing w:before="40" w:after="40"/>
              <w:jc w:val="both"/>
              <w:rPr>
                <w:rFonts w:cs="Segoe UI"/>
                <w:i/>
                <w:sz w:val="17"/>
                <w:szCs w:val="17"/>
              </w:rPr>
            </w:pPr>
            <m:oMathPara>
              <m:oMath>
                <m:r>
                  <w:rPr>
                    <w:rFonts w:ascii="Cambria Math" w:hAnsi="Cambria Math" w:cs="Segoe UI"/>
                    <w:sz w:val="17"/>
                    <w:szCs w:val="17"/>
                  </w:rPr>
                  <m:t xml:space="preserve">average value of SDF in unweighted amount </m:t>
                </m:r>
                <m:r>
                  <w:rPr>
                    <w:rFonts w:ascii="Cambria Math" w:hAnsi="Cambria Math"/>
                    <w:sz w:val="14"/>
                    <w:szCs w:val="17"/>
                  </w:rPr>
                  <m:t>Q</m:t>
                </m:r>
                <m:r>
                  <w:rPr>
                    <w:rFonts w:ascii="Cambria Math" w:hAnsi="Cambria Math"/>
                    <w:sz w:val="12"/>
                    <w:szCs w:val="17"/>
                  </w:rPr>
                  <m:t>i</m:t>
                </m:r>
                <m:r>
                  <w:rPr>
                    <w:rFonts w:ascii="Cambria Math" w:hAnsi="Cambria Math" w:cs="Segoe UI"/>
                    <w:sz w:val="17"/>
                    <w:szCs w:val="17"/>
                  </w:rPr>
                  <m:t>=</m:t>
                </m:r>
                <m:d>
                  <m:dPr>
                    <m:ctrlPr>
                      <w:rPr>
                        <w:rFonts w:ascii="Cambria Math" w:hAnsi="Cambria Math" w:cs="Segoe UI"/>
                        <w:i/>
                        <w:sz w:val="17"/>
                        <w:szCs w:val="17"/>
                      </w:rPr>
                    </m:ctrlPr>
                  </m:dPr>
                  <m:e>
                    <m:func>
                      <m:funcPr>
                        <m:ctrlPr>
                          <w:rPr>
                            <w:rFonts w:ascii="Cambria Math" w:hAnsi="Cambria Math" w:cs="Segoe UI"/>
                            <w:i/>
                            <w:sz w:val="17"/>
                            <w:szCs w:val="17"/>
                          </w:rPr>
                        </m:ctrlPr>
                      </m:funcPr>
                      <m:fName>
                        <m:r>
                          <w:rPr>
                            <w:rFonts w:ascii="Cambria Math" w:hAnsi="Cambria Math" w:cs="Segoe UI"/>
                            <w:sz w:val="17"/>
                            <w:szCs w:val="17"/>
                          </w:rPr>
                          <m:t xml:space="preserve"> </m:t>
                        </m:r>
                      </m:fName>
                      <m:e>
                        <m:f>
                          <m:fPr>
                            <m:ctrlPr>
                              <w:rPr>
                                <w:rFonts w:ascii="Cambria Math" w:hAnsi="Cambria Math" w:cs="Segoe UI"/>
                                <w:i/>
                                <w:sz w:val="17"/>
                                <w:szCs w:val="17"/>
                              </w:rPr>
                            </m:ctrlPr>
                          </m:fPr>
                          <m:num>
                            <m:r>
                              <w:rPr>
                                <w:rFonts w:ascii="Cambria Math" w:eastAsia="Cambria Math" w:hAnsi="Cambria Math" w:cs="Segoe UI"/>
                                <w:sz w:val="17"/>
                                <w:szCs w:val="17"/>
                              </w:rPr>
                              <m:t>1</m:t>
                            </m:r>
                          </m:num>
                          <m:den>
                            <m:r>
                              <w:rPr>
                                <w:rFonts w:ascii="Cambria Math" w:eastAsia="Cambria Math" w:hAnsi="Cambria Math" w:cs="Segoe UI"/>
                                <w:sz w:val="17"/>
                                <w:szCs w:val="17"/>
                              </w:rPr>
                              <m:t>N</m:t>
                            </m:r>
                          </m:den>
                        </m:f>
                      </m:e>
                    </m:func>
                    <m:r>
                      <w:rPr>
                        <w:rFonts w:ascii="Cambria Math" w:hAnsi="Cambria Math" w:cs="Segoe UI"/>
                        <w:sz w:val="17"/>
                        <w:szCs w:val="17"/>
                      </w:rPr>
                      <m:t xml:space="preserve">  </m:t>
                    </m:r>
                  </m:e>
                </m:d>
                <m:nary>
                  <m:naryPr>
                    <m:chr m:val="∑"/>
                    <m:grow m:val="1"/>
                    <m:ctrlPr>
                      <w:rPr>
                        <w:rFonts w:ascii="Cambria Math" w:hAnsi="Cambria Math" w:cs="Segoe UI"/>
                        <w:i/>
                        <w:sz w:val="17"/>
                        <w:szCs w:val="17"/>
                      </w:rPr>
                    </m:ctrlPr>
                  </m:naryPr>
                  <m:sub>
                    <m:r>
                      <w:rPr>
                        <w:rFonts w:ascii="Cambria Math" w:hAnsi="Cambria Math" w:cs="Segoe UI"/>
                        <w:sz w:val="17"/>
                        <w:szCs w:val="17"/>
                      </w:rPr>
                      <m:t>n=1</m:t>
                    </m:r>
                  </m:sub>
                  <m:sup>
                    <m:r>
                      <w:rPr>
                        <w:rFonts w:ascii="Cambria Math" w:hAnsi="Cambria Math" w:cs="Segoe UI"/>
                        <w:sz w:val="17"/>
                        <w:szCs w:val="17"/>
                      </w:rPr>
                      <m:t>N</m:t>
                    </m:r>
                  </m:sup>
                  <m:e>
                    <m:r>
                      <w:rPr>
                        <w:rFonts w:ascii="Cambria Math" w:hAnsi="Cambria Math" w:cs="Segoe UI"/>
                        <w:sz w:val="17"/>
                        <w:szCs w:val="17"/>
                      </w:rPr>
                      <m:t>uSDF</m:t>
                    </m:r>
                    <m:r>
                      <w:rPr>
                        <w:rFonts w:ascii="Cambria Math" w:hAnsi="Cambria Math"/>
                        <w:sz w:val="14"/>
                        <w:szCs w:val="17"/>
                      </w:rPr>
                      <m:t>n</m:t>
                    </m:r>
                  </m:e>
                </m:nary>
              </m:oMath>
            </m:oMathPara>
          </w:p>
          <w:p w14:paraId="44D9AD51" w14:textId="77777777" w:rsidR="00371FDD" w:rsidRPr="00371FDD" w:rsidRDefault="00371FDD" w:rsidP="00E57BDC">
            <w:pPr>
              <w:keepNext/>
              <w:spacing w:before="40" w:after="40"/>
              <w:jc w:val="both"/>
              <w:rPr>
                <w:sz w:val="17"/>
                <w:szCs w:val="17"/>
              </w:rPr>
            </w:pPr>
            <w:r w:rsidRPr="00371FDD">
              <w:rPr>
                <w:sz w:val="17"/>
                <w:szCs w:val="17"/>
              </w:rPr>
              <w:t>where N is the number of data points used in calculating such value for quarter Q</w:t>
            </w:r>
            <w:r w:rsidRPr="00371FDD">
              <w:rPr>
                <w:sz w:val="14"/>
                <w:szCs w:val="17"/>
              </w:rPr>
              <w:t>i</w:t>
            </w:r>
            <w:r w:rsidRPr="00371FDD">
              <w:rPr>
                <w:sz w:val="17"/>
                <w:szCs w:val="17"/>
              </w:rPr>
              <w:t>; and uSDF</w:t>
            </w:r>
            <w:r w:rsidRPr="00371FDD">
              <w:rPr>
                <w:sz w:val="14"/>
                <w:szCs w:val="17"/>
              </w:rPr>
              <w:t>n</w:t>
            </w:r>
            <w:r w:rsidRPr="00371FDD">
              <w:rPr>
                <w:sz w:val="17"/>
                <w:szCs w:val="17"/>
              </w:rPr>
              <w:t xml:space="preserve"> means the unweighted amount of SDF at data point n.</w:t>
            </w:r>
          </w:p>
        </w:tc>
      </w:tr>
      <w:tr w:rsidR="00371FDD" w:rsidRPr="00371FDD" w14:paraId="631F9E55" w14:textId="77777777" w:rsidTr="00EA4B6B">
        <w:tc>
          <w:tcPr>
            <w:tcW w:w="561" w:type="dxa"/>
          </w:tcPr>
          <w:p w14:paraId="7CB45EE4"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(b)</w:t>
            </w:r>
          </w:p>
        </w:tc>
        <w:tc>
          <w:tcPr>
            <w:tcW w:w="8652" w:type="dxa"/>
          </w:tcPr>
          <w:p w14:paraId="2EA95E38" w14:textId="77777777" w:rsidR="00371FDD" w:rsidRPr="00371FDD" w:rsidRDefault="00371FDD" w:rsidP="00E57BDC">
            <w:pPr>
              <w:spacing w:before="40" w:after="40"/>
              <w:jc w:val="both"/>
              <w:rPr>
                <w:sz w:val="17"/>
                <w:szCs w:val="17"/>
              </w:rPr>
            </w:pPr>
            <w:r w:rsidRPr="00371FDD">
              <w:rPr>
                <w:i/>
                <w:sz w:val="17"/>
                <w:szCs w:val="17"/>
              </w:rPr>
              <w:t>Weighted value</w:t>
            </w:r>
            <w:r w:rsidRPr="00371FDD">
              <w:rPr>
                <w:sz w:val="17"/>
                <w:szCs w:val="17"/>
              </w:rPr>
              <w:t>:</w:t>
            </w:r>
            <w:r w:rsidRPr="00371FDD">
              <w:rPr>
                <w:sz w:val="15"/>
              </w:rPr>
              <w:t xml:space="preserve"> </w:t>
            </w:r>
            <w:r w:rsidRPr="00371FDD">
              <w:rPr>
                <w:sz w:val="17"/>
                <w:szCs w:val="17"/>
              </w:rPr>
              <w:t xml:space="preserve">In relation to a disclosure item under cash outflows (Section B) and cash inflows (Section C), it means the amount </w:t>
            </w:r>
            <w:r w:rsidRPr="00371FDD">
              <w:rPr>
                <w:sz w:val="17"/>
                <w:szCs w:val="17"/>
                <w:u w:val="single"/>
              </w:rPr>
              <w:t>after</w:t>
            </w:r>
            <w:r w:rsidRPr="00371FDD">
              <w:rPr>
                <w:sz w:val="17"/>
                <w:szCs w:val="17"/>
              </w:rPr>
              <w:t xml:space="preserve"> applying the outflow rate(s) or inflow rate(s) applicable to the item, as required under the BLR (as read in conjunction with the Code).  For example, in the case of SDF:</w:t>
            </w:r>
          </w:p>
          <w:p w14:paraId="32905AE5" w14:textId="77777777" w:rsidR="00371FDD" w:rsidRPr="00371FDD" w:rsidRDefault="00371FDD" w:rsidP="00E57BDC">
            <w:pPr>
              <w:spacing w:before="40" w:after="40"/>
              <w:jc w:val="both"/>
              <w:rPr>
                <w:sz w:val="17"/>
                <w:szCs w:val="17"/>
              </w:rPr>
            </w:pPr>
            <m:oMathPara>
              <m:oMath>
                <m:r>
                  <w:rPr>
                    <w:rFonts w:ascii="Cambria Math" w:hAnsi="Cambria Math" w:cs="Segoe UI"/>
                    <w:sz w:val="17"/>
                    <w:szCs w:val="17"/>
                  </w:rPr>
                  <m:t xml:space="preserve">average value of SDF in weighted amount </m:t>
                </m:r>
                <m:r>
                  <w:rPr>
                    <w:rFonts w:ascii="Cambria Math" w:hAnsi="Cambria Math"/>
                    <w:sz w:val="14"/>
                    <w:szCs w:val="17"/>
                  </w:rPr>
                  <m:t>Q</m:t>
                </m:r>
                <m:r>
                  <w:rPr>
                    <w:rFonts w:ascii="Cambria Math" w:hAnsi="Cambria Math"/>
                    <w:sz w:val="12"/>
                    <w:szCs w:val="17"/>
                  </w:rPr>
                  <m:t>i</m:t>
                </m:r>
                <m:r>
                  <m:rPr>
                    <m:sty m:val="p"/>
                  </m:rPr>
                  <w:rPr>
                    <w:rFonts w:ascii="Cambria Math" w:hAnsi="Cambria Math" w:cs="Segoe UI"/>
                    <w:sz w:val="17"/>
                    <w:szCs w:val="17"/>
                  </w:rPr>
                  <m:t>=</m:t>
                </m:r>
                <m:d>
                  <m:dPr>
                    <m:ctrlPr>
                      <w:rPr>
                        <w:rFonts w:ascii="Cambria Math" w:hAnsi="Cambria Math" w:cs="Segoe UI"/>
                        <w:sz w:val="17"/>
                        <w:szCs w:val="17"/>
                      </w:rPr>
                    </m:ctrlPr>
                  </m:dPr>
                  <m:e>
                    <m:func>
                      <m:funcPr>
                        <m:ctrlPr>
                          <w:rPr>
                            <w:rFonts w:ascii="Cambria Math" w:hAnsi="Cambria Math" w:cs="Segoe UI"/>
                            <w:sz w:val="17"/>
                            <w:szCs w:val="17"/>
                          </w:rPr>
                        </m:ctrlPr>
                      </m:funcPr>
                      <m:fName>
                        <m:r>
                          <m:rPr>
                            <m:sty m:val="p"/>
                          </m:rPr>
                          <w:rPr>
                            <w:rFonts w:ascii="Cambria Math" w:hAnsi="Cambria Math" w:cs="Segoe UI"/>
                            <w:sz w:val="17"/>
                            <w:szCs w:val="17"/>
                          </w:rPr>
                          <m:t xml:space="preserve"> </m:t>
                        </m:r>
                      </m:fName>
                      <m:e>
                        <m:f>
                          <m:fPr>
                            <m:ctrlPr>
                              <w:rPr>
                                <w:rFonts w:ascii="Cambria Math" w:hAnsi="Cambria Math" w:cs="Segoe UI"/>
                                <w:sz w:val="17"/>
                                <w:szCs w:val="17"/>
                              </w:rPr>
                            </m:ctrlPr>
                          </m:fPr>
                          <m:num>
                            <m:r>
                              <m:rPr>
                                <m:sty m:val="p"/>
                              </m:rPr>
                              <w:rPr>
                                <w:rFonts w:ascii="Cambria Math" w:eastAsia="Cambria Math" w:hAnsi="Cambria Math" w:cs="Segoe UI"/>
                                <w:sz w:val="17"/>
                                <w:szCs w:val="17"/>
                              </w:rPr>
                              <m:t>1</m:t>
                            </m:r>
                          </m:num>
                          <m:den>
                            <m:r>
                              <w:rPr>
                                <w:rFonts w:ascii="Cambria Math" w:eastAsia="Cambria Math" w:hAnsi="Cambria Math" w:cs="Segoe UI"/>
                                <w:sz w:val="17"/>
                                <w:szCs w:val="17"/>
                              </w:rPr>
                              <m:t>N</m:t>
                            </m:r>
                          </m:den>
                        </m:f>
                      </m:e>
                    </m:func>
                    <m:r>
                      <m:rPr>
                        <m:sty m:val="p"/>
                      </m:rPr>
                      <w:rPr>
                        <w:rFonts w:ascii="Cambria Math" w:hAnsi="Cambria Math" w:cs="Segoe UI"/>
                        <w:sz w:val="17"/>
                        <w:szCs w:val="17"/>
                      </w:rPr>
                      <m:t xml:space="preserve">  </m:t>
                    </m:r>
                  </m:e>
                </m:d>
                <m:nary>
                  <m:naryPr>
                    <m:chr m:val="∑"/>
                    <m:grow m:val="1"/>
                    <m:ctrlPr>
                      <w:rPr>
                        <w:rFonts w:ascii="Cambria Math" w:hAnsi="Cambria Math" w:cs="Segoe UI"/>
                        <w:sz w:val="17"/>
                        <w:szCs w:val="17"/>
                      </w:rPr>
                    </m:ctrlPr>
                  </m:naryPr>
                  <m:sub>
                    <m:r>
                      <w:rPr>
                        <w:rFonts w:ascii="Cambria Math" w:hAnsi="Cambria Math" w:cs="Segoe UI"/>
                        <w:sz w:val="17"/>
                        <w:szCs w:val="17"/>
                      </w:rPr>
                      <m:t>n</m:t>
                    </m:r>
                    <m:r>
                      <m:rPr>
                        <m:sty m:val="p"/>
                      </m:rPr>
                      <w:rPr>
                        <w:rFonts w:ascii="Cambria Math" w:hAnsi="Cambria Math" w:cs="Segoe UI"/>
                        <w:sz w:val="17"/>
                        <w:szCs w:val="17"/>
                      </w:rPr>
                      <m:t>=1</m:t>
                    </m:r>
                  </m:sub>
                  <m:sup>
                    <m:r>
                      <w:rPr>
                        <w:rFonts w:ascii="Cambria Math" w:hAnsi="Cambria Math" w:cs="Segoe UI"/>
                        <w:sz w:val="17"/>
                        <w:szCs w:val="17"/>
                      </w:rPr>
                      <m:t>N</m:t>
                    </m:r>
                  </m:sup>
                  <m:e>
                    <m:r>
                      <w:rPr>
                        <w:rFonts w:ascii="Cambria Math" w:hAnsi="Cambria Math" w:cs="Segoe UI"/>
                        <w:sz w:val="17"/>
                        <w:szCs w:val="17"/>
                      </w:rPr>
                      <m:t>wSDF</m:t>
                    </m:r>
                    <m:r>
                      <m:rPr>
                        <m:sty m:val="p"/>
                      </m:rPr>
                      <w:rPr>
                        <w:rFonts w:ascii="Cambria Math" w:hAnsi="Cambria Math"/>
                        <w:sz w:val="14"/>
                        <w:szCs w:val="17"/>
                      </w:rPr>
                      <m:t>n</m:t>
                    </m:r>
                  </m:e>
                </m:nary>
              </m:oMath>
            </m:oMathPara>
          </w:p>
          <w:p w14:paraId="66FBC0C8" w14:textId="77777777" w:rsidR="00371FDD" w:rsidRPr="00371FDD" w:rsidRDefault="00371FDD" w:rsidP="00E57BDC">
            <w:pPr>
              <w:spacing w:before="40" w:after="40"/>
              <w:jc w:val="both"/>
              <w:rPr>
                <w:sz w:val="17"/>
                <w:szCs w:val="17"/>
              </w:rPr>
            </w:pPr>
            <w:r w:rsidRPr="00371FDD">
              <w:rPr>
                <w:sz w:val="17"/>
                <w:szCs w:val="17"/>
              </w:rPr>
              <w:t>where N is the number of data points used in calculating such value for quarter Q</w:t>
            </w:r>
            <w:r w:rsidRPr="00371FDD">
              <w:rPr>
                <w:sz w:val="14"/>
                <w:szCs w:val="17"/>
              </w:rPr>
              <w:t>i</w:t>
            </w:r>
            <w:r w:rsidRPr="00371FDD">
              <w:rPr>
                <w:sz w:val="17"/>
                <w:szCs w:val="17"/>
              </w:rPr>
              <w:t>; and wSDF</w:t>
            </w:r>
            <w:r w:rsidRPr="00371FDD">
              <w:rPr>
                <w:sz w:val="14"/>
                <w:szCs w:val="17"/>
              </w:rPr>
              <w:t>n</w:t>
            </w:r>
            <w:r w:rsidRPr="00371FDD">
              <w:rPr>
                <w:sz w:val="17"/>
                <w:szCs w:val="17"/>
              </w:rPr>
              <w:t xml:space="preserve"> means the weighted amount of SDF at data point n.</w:t>
            </w:r>
          </w:p>
        </w:tc>
      </w:tr>
      <w:tr w:rsidR="00371FDD" w:rsidRPr="00371FDD" w14:paraId="2C04D01F" w14:textId="77777777" w:rsidTr="00EA4B6B">
        <w:trPr>
          <w:trHeight w:val="373"/>
        </w:trPr>
        <w:tc>
          <w:tcPr>
            <w:tcW w:w="561" w:type="dxa"/>
          </w:tcPr>
          <w:p w14:paraId="4F0A0F60" w14:textId="77777777" w:rsidR="00371FDD" w:rsidRPr="00371FDD" w:rsidRDefault="00371FDD" w:rsidP="00E57BDC">
            <w:pPr>
              <w:widowControl w:val="0"/>
              <w:tabs>
                <w:tab w:val="left" w:pos="150"/>
                <w:tab w:val="left" w:pos="397"/>
                <w:tab w:val="left" w:pos="794"/>
                <w:tab w:val="left" w:pos="1191"/>
              </w:tabs>
              <w:spacing w:before="40" w:after="40"/>
              <w:ind w:rightChars="-54" w:right="-108"/>
              <w:rPr>
                <w:rFonts w:cs="Segoe UI"/>
                <w:sz w:val="17"/>
                <w:szCs w:val="17"/>
                <w:lang w:eastAsia="en-GB"/>
              </w:rPr>
            </w:pPr>
            <w:r w:rsidRPr="00371FDD">
              <w:rPr>
                <w:rFonts w:cs="Segoe UI"/>
                <w:sz w:val="17"/>
                <w:szCs w:val="17"/>
                <w:lang w:eastAsia="en-GB"/>
              </w:rPr>
              <w:t>(a) &amp; (b)</w:t>
            </w:r>
          </w:p>
        </w:tc>
        <w:tc>
          <w:tcPr>
            <w:tcW w:w="8652" w:type="dxa"/>
          </w:tcPr>
          <w:p w14:paraId="4FFCB050" w14:textId="77777777" w:rsidR="00371FDD" w:rsidRPr="00371FDD" w:rsidRDefault="00371FDD" w:rsidP="00E57BDC">
            <w:pPr>
              <w:widowControl w:val="0"/>
              <w:tabs>
                <w:tab w:val="left" w:pos="150"/>
                <w:tab w:val="left" w:pos="397"/>
                <w:tab w:val="left" w:pos="794"/>
                <w:tab w:val="left" w:pos="1191"/>
              </w:tabs>
              <w:spacing w:before="40" w:after="40"/>
              <w:jc w:val="both"/>
              <w:rPr>
                <w:i/>
                <w:sz w:val="17"/>
                <w:szCs w:val="17"/>
              </w:rPr>
            </w:pPr>
            <w:r w:rsidRPr="00371FDD">
              <w:rPr>
                <w:i/>
                <w:sz w:val="17"/>
                <w:szCs w:val="17"/>
              </w:rPr>
              <w:t>(average)</w:t>
            </w:r>
            <w:r w:rsidRPr="00371FDD">
              <w:rPr>
                <w:sz w:val="17"/>
                <w:szCs w:val="17"/>
              </w:rPr>
              <w:t xml:space="preserve">: the “average value” of each disclosure item should be calculated (i) based on the arithmetic mean of the item (in “unweighted amount”, “weighted amount” and “adjusted value” as applicable) as at the end of each working day for a reporting quarter; and (ii) according to the calculation methodology and instructions set out in the Return of Liquidity Position (MA(BS)1E).  This recognises that the day-end positions of each disclosure item for the specified quarter cannot all be extracted or derived from the return which is submitted on a monthly basis </w:t>
            </w:r>
            <w:r w:rsidRPr="00371FDD">
              <w:rPr>
                <w:sz w:val="17"/>
                <w:szCs w:val="17"/>
              </w:rPr>
              <w:lastRenderedPageBreak/>
              <w:t>(instead of daily).  Therefore, a category 1 institution should follow the calculation methodologies and instructions specified in the return for the calculation of the day-end positions of each such item.</w:t>
            </w:r>
          </w:p>
        </w:tc>
      </w:tr>
      <w:tr w:rsidR="00371FDD" w:rsidRPr="00371FDD" w14:paraId="519B23CC" w14:textId="77777777" w:rsidTr="00EA4B6B">
        <w:trPr>
          <w:trHeight w:val="373"/>
        </w:trPr>
        <w:tc>
          <w:tcPr>
            <w:tcW w:w="9213" w:type="dxa"/>
            <w:gridSpan w:val="2"/>
            <w:shd w:val="clear" w:color="auto" w:fill="F2F2F2"/>
          </w:tcPr>
          <w:p w14:paraId="4FB0EDAF" w14:textId="77777777" w:rsidR="00371FDD" w:rsidRPr="00371FDD" w:rsidRDefault="00371FDD" w:rsidP="00E57BDC">
            <w:pPr>
              <w:spacing w:before="40" w:after="40"/>
              <w:jc w:val="both"/>
              <w:rPr>
                <w:i/>
                <w:sz w:val="17"/>
                <w:szCs w:val="17"/>
              </w:rPr>
            </w:pPr>
            <w:r w:rsidRPr="00371FDD">
              <w:rPr>
                <w:rFonts w:eastAsia="新細明體"/>
                <w:b/>
                <w:sz w:val="17"/>
                <w:szCs w:val="17"/>
                <w:lang w:eastAsia="en-GB"/>
              </w:rPr>
              <w:lastRenderedPageBreak/>
              <w:t>Rows</w:t>
            </w:r>
            <w:r w:rsidRPr="00371FDD">
              <w:rPr>
                <w:rFonts w:eastAsia="新細明體"/>
                <w:b/>
                <w:sz w:val="17"/>
                <w:szCs w:val="17"/>
                <w:vertAlign w:val="superscript"/>
                <w:lang w:eastAsia="en-GB"/>
              </w:rPr>
              <w:footnoteReference w:id="7"/>
            </w:r>
          </w:p>
        </w:tc>
      </w:tr>
      <w:tr w:rsidR="00371FDD" w:rsidRPr="00371FDD" w14:paraId="72BDDCE5" w14:textId="77777777" w:rsidTr="00EA4B6B">
        <w:trPr>
          <w:trHeight w:val="373"/>
        </w:trPr>
        <w:tc>
          <w:tcPr>
            <w:tcW w:w="561" w:type="dxa"/>
          </w:tcPr>
          <w:p w14:paraId="47B91F0D"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1</w:t>
            </w:r>
          </w:p>
        </w:tc>
        <w:tc>
          <w:tcPr>
            <w:tcW w:w="8651" w:type="dxa"/>
          </w:tcPr>
          <w:p w14:paraId="23E91CAD"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All HQLA that satisfy the applicable requirements under BLR rule 25, after applying any applicable haircuts but before applying any applicable ceilings</w:t>
            </w:r>
            <w:r w:rsidRPr="00371FDD">
              <w:rPr>
                <w:sz w:val="17"/>
                <w:szCs w:val="17"/>
                <w:vertAlign w:val="superscript"/>
              </w:rPr>
              <w:footnoteReference w:id="8"/>
            </w:r>
            <w:r w:rsidRPr="00371FDD">
              <w:rPr>
                <w:sz w:val="17"/>
                <w:szCs w:val="17"/>
              </w:rPr>
              <w:t xml:space="preserve"> (as required under the BLR).</w:t>
            </w:r>
          </w:p>
          <w:p w14:paraId="40FDE25A" w14:textId="77777777" w:rsidR="00371FDD" w:rsidRPr="00371FDD" w:rsidRDefault="00371FDD" w:rsidP="00E57BDC">
            <w:pPr>
              <w:spacing w:before="40" w:after="40"/>
              <w:jc w:val="both"/>
              <w:rPr>
                <w:sz w:val="17"/>
                <w:szCs w:val="17"/>
              </w:rPr>
            </w:pPr>
            <w:r w:rsidRPr="00371FDD">
              <w:rPr>
                <w:sz w:val="17"/>
                <w:szCs w:val="17"/>
              </w:rPr>
              <w:t>The weighted amount of total HQLA is to be calculated as the total principal amount of such HQLA, net of any haircuts applicable to the assets concerned (in accordance with BLR rule 35 and, if applicable, BLR rule 38), but before the application of the 15% ceiling on level 2B assets and the 40% ceiling on the sum of level 2A assets and level 2B assets (in accordance with BLR rules 33 and 34 as applicable).</w:t>
            </w:r>
          </w:p>
          <w:p w14:paraId="66E177CD" w14:textId="77777777" w:rsidR="00371FDD" w:rsidRPr="00371FDD" w:rsidRDefault="00371FDD" w:rsidP="00E57BDC">
            <w:pPr>
              <w:spacing w:before="40" w:after="40"/>
              <w:jc w:val="both"/>
              <w:rPr>
                <w:sz w:val="17"/>
                <w:szCs w:val="17"/>
              </w:rPr>
            </w:pPr>
            <w:r w:rsidRPr="00371FDD">
              <w:rPr>
                <w:sz w:val="17"/>
                <w:szCs w:val="17"/>
              </w:rPr>
              <w:t>{Item A4 (minus item A6 if applicable)}</w:t>
            </w:r>
          </w:p>
        </w:tc>
      </w:tr>
      <w:tr w:rsidR="00371FDD" w:rsidRPr="00371FDD" w14:paraId="3C22CD6A" w14:textId="77777777" w:rsidTr="00EA4B6B">
        <w:trPr>
          <w:trHeight w:val="373"/>
        </w:trPr>
        <w:tc>
          <w:tcPr>
            <w:tcW w:w="561" w:type="dxa"/>
          </w:tcPr>
          <w:p w14:paraId="78D02CD5"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2</w:t>
            </w:r>
          </w:p>
        </w:tc>
        <w:tc>
          <w:tcPr>
            <w:tcW w:w="8651" w:type="dxa"/>
          </w:tcPr>
          <w:p w14:paraId="6554DA18"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Retail deposits and small business funding (as defined in BLR rule 39) (i.e. the sum of values in rows 3 to 4a).</w:t>
            </w:r>
          </w:p>
          <w:p w14:paraId="033FA829"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{Sum of items B1 to B4}</w:t>
            </w:r>
          </w:p>
        </w:tc>
      </w:tr>
      <w:tr w:rsidR="00371FDD" w:rsidRPr="00371FDD" w14:paraId="15EFD956" w14:textId="77777777" w:rsidTr="00EA4B6B">
        <w:trPr>
          <w:trHeight w:val="373"/>
        </w:trPr>
        <w:tc>
          <w:tcPr>
            <w:tcW w:w="561" w:type="dxa"/>
          </w:tcPr>
          <w:p w14:paraId="1E2F2EE8"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3</w:t>
            </w:r>
          </w:p>
        </w:tc>
        <w:tc>
          <w:tcPr>
            <w:tcW w:w="8651" w:type="dxa"/>
          </w:tcPr>
          <w:p w14:paraId="13274B22"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 xml:space="preserve">Stable retail deposits (as defined in BLR rule 39) and small business funding (that is akin to stable retail deposits), calculated in accordance with, respectively, clauses 3 and 6 of the Code. </w:t>
            </w:r>
          </w:p>
          <w:p w14:paraId="657A0A73"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{Sum of sub-items B1(a), B2(a), B3(a) and B4(a)}</w:t>
            </w:r>
          </w:p>
        </w:tc>
      </w:tr>
      <w:tr w:rsidR="00371FDD" w:rsidRPr="00371FDD" w14:paraId="35645CE4" w14:textId="77777777" w:rsidTr="00EA4B6B">
        <w:trPr>
          <w:trHeight w:val="373"/>
        </w:trPr>
        <w:tc>
          <w:tcPr>
            <w:tcW w:w="561" w:type="dxa"/>
          </w:tcPr>
          <w:p w14:paraId="2D717FE0"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4</w:t>
            </w:r>
          </w:p>
        </w:tc>
        <w:tc>
          <w:tcPr>
            <w:tcW w:w="8651" w:type="dxa"/>
          </w:tcPr>
          <w:p w14:paraId="764380B9"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 xml:space="preserve">Less stable retail deposits (as defined in BLR rule 39) and small business funding (that is akin to less stable retail deposits), calculated in accordance with, respectively, clauses 4 and 6 of the Code. </w:t>
            </w:r>
          </w:p>
          <w:p w14:paraId="16AE3CEF"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{Sum of sub-items B1(b), B2(b), B3(b) and B4(b)}</w:t>
            </w:r>
          </w:p>
        </w:tc>
      </w:tr>
      <w:tr w:rsidR="00371FDD" w:rsidRPr="00371FDD" w14:paraId="55362E8D" w14:textId="77777777" w:rsidTr="00EA4B6B">
        <w:trPr>
          <w:trHeight w:val="373"/>
        </w:trPr>
        <w:tc>
          <w:tcPr>
            <w:tcW w:w="561" w:type="dxa"/>
          </w:tcPr>
          <w:p w14:paraId="664C55EA"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4a</w:t>
            </w:r>
          </w:p>
        </w:tc>
        <w:tc>
          <w:tcPr>
            <w:tcW w:w="8651" w:type="dxa"/>
          </w:tcPr>
          <w:p w14:paraId="1988EFF7"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 xml:space="preserve">Retail term deposits (as defined in BLR rule 39) and small business term funding (that is akin to retail term deposits), calculated in accordance with, respectively, clauses 5 and 6 of the Code. </w:t>
            </w:r>
          </w:p>
          <w:p w14:paraId="356A972B"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{Sum of sub-items B1(c), B2(c), B3(c) and B4(c)}</w:t>
            </w:r>
          </w:p>
        </w:tc>
      </w:tr>
      <w:tr w:rsidR="00371FDD" w:rsidRPr="00371FDD" w14:paraId="609E0AE2" w14:textId="77777777" w:rsidTr="00EA4B6B">
        <w:trPr>
          <w:trHeight w:val="373"/>
        </w:trPr>
        <w:tc>
          <w:tcPr>
            <w:tcW w:w="561" w:type="dxa"/>
          </w:tcPr>
          <w:p w14:paraId="1AA4C093"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5</w:t>
            </w:r>
          </w:p>
        </w:tc>
        <w:tc>
          <w:tcPr>
            <w:tcW w:w="8651" w:type="dxa"/>
          </w:tcPr>
          <w:p w14:paraId="3D7C89B7"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 xml:space="preserve">Unsecured wholesale funding (as defined in BLR rule 39) (other than small business funding) and debt securities and prescribed instruments issued by the category 1 institution and redeemable within the LCR period (i.e. the sum of values in rows 6 to 8). </w:t>
            </w:r>
          </w:p>
          <w:p w14:paraId="6DBC01CD"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{Sum of items B5, B6 and B7}</w:t>
            </w:r>
          </w:p>
        </w:tc>
      </w:tr>
      <w:tr w:rsidR="00371FDD" w:rsidRPr="00371FDD" w14:paraId="290FC715" w14:textId="77777777" w:rsidTr="00EA4B6B">
        <w:trPr>
          <w:trHeight w:val="373"/>
        </w:trPr>
        <w:tc>
          <w:tcPr>
            <w:tcW w:w="561" w:type="dxa"/>
          </w:tcPr>
          <w:p w14:paraId="2A147238"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6</w:t>
            </w:r>
          </w:p>
        </w:tc>
        <w:tc>
          <w:tcPr>
            <w:tcW w:w="8651" w:type="dxa"/>
          </w:tcPr>
          <w:p w14:paraId="6D6E9A52"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Operational deposits (as defined in BLR rule 39), calculated in accordance with clause 7 and meeting the qualifying criteria under clause 7(2) of the Code.</w:t>
            </w:r>
          </w:p>
          <w:p w14:paraId="47231CAC"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lastRenderedPageBreak/>
              <w:t>{Sum of sub-items B5(a) and B5(b)}</w:t>
            </w:r>
          </w:p>
        </w:tc>
      </w:tr>
      <w:tr w:rsidR="00371FDD" w:rsidRPr="00371FDD" w14:paraId="2D549FA2" w14:textId="77777777" w:rsidTr="00EA4B6B">
        <w:trPr>
          <w:trHeight w:val="373"/>
        </w:trPr>
        <w:tc>
          <w:tcPr>
            <w:tcW w:w="561" w:type="dxa"/>
          </w:tcPr>
          <w:p w14:paraId="5D5526E0"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lastRenderedPageBreak/>
              <w:t>7</w:t>
            </w:r>
          </w:p>
        </w:tc>
        <w:tc>
          <w:tcPr>
            <w:tcW w:w="8651" w:type="dxa"/>
          </w:tcPr>
          <w:p w14:paraId="26C14CB2"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Unsecured wholesale funding (other than small business funding and operational deposits), calculated in accordance with clauses 8 and 9 of the Code.</w:t>
            </w:r>
            <w:r w:rsidRPr="00371FDD">
              <w:rPr>
                <w:sz w:val="17"/>
                <w:szCs w:val="17"/>
                <w:vertAlign w:val="superscript"/>
              </w:rPr>
              <w:footnoteReference w:id="9"/>
            </w:r>
          </w:p>
          <w:p w14:paraId="60A82307"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{Sum of sub-items B6(a)(i), B6(a)(ii) and B6(b)}</w:t>
            </w:r>
          </w:p>
        </w:tc>
      </w:tr>
      <w:tr w:rsidR="00371FDD" w:rsidRPr="00371FDD" w14:paraId="01D476C8" w14:textId="77777777" w:rsidTr="00EA4B6B">
        <w:trPr>
          <w:trHeight w:val="373"/>
        </w:trPr>
        <w:tc>
          <w:tcPr>
            <w:tcW w:w="561" w:type="dxa"/>
          </w:tcPr>
          <w:p w14:paraId="227CC665"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8</w:t>
            </w:r>
          </w:p>
        </w:tc>
        <w:tc>
          <w:tcPr>
            <w:tcW w:w="8651" w:type="dxa"/>
          </w:tcPr>
          <w:p w14:paraId="27D3E18A"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Debt securities and prescribed instruments (as defined in BLR rule 2(1)) issued by the category 1 institution and redeemable within the LCR period, irrespective of the type of investors holding such securities and instruments, calculated in accordance with clause 10 of the Code.</w:t>
            </w:r>
            <w:r w:rsidRPr="00371FDD">
              <w:rPr>
                <w:sz w:val="17"/>
                <w:szCs w:val="17"/>
                <w:vertAlign w:val="superscript"/>
              </w:rPr>
              <w:footnoteReference w:id="10"/>
            </w:r>
          </w:p>
          <w:p w14:paraId="0680449A"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{Item B7}</w:t>
            </w:r>
          </w:p>
        </w:tc>
      </w:tr>
      <w:tr w:rsidR="00371FDD" w:rsidRPr="00371FDD" w14:paraId="4873D54A" w14:textId="77777777" w:rsidTr="00EA4B6B">
        <w:trPr>
          <w:trHeight w:val="373"/>
        </w:trPr>
        <w:tc>
          <w:tcPr>
            <w:tcW w:w="561" w:type="dxa"/>
          </w:tcPr>
          <w:p w14:paraId="4EDD77ED"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9</w:t>
            </w:r>
          </w:p>
        </w:tc>
        <w:tc>
          <w:tcPr>
            <w:tcW w:w="8651" w:type="dxa"/>
          </w:tcPr>
          <w:p w14:paraId="214E8B74"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Liabilities and obligations arising from secured funding transactions (including securities swap transactions) (as defined in BLR rule 39) due for settlement within the LCR period, calculated in accordance with clause 11 of the Code.</w:t>
            </w:r>
          </w:p>
          <w:p w14:paraId="5D48AF24"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{Sum of items B8 and B9}</w:t>
            </w:r>
          </w:p>
        </w:tc>
      </w:tr>
      <w:tr w:rsidR="00371FDD" w:rsidRPr="00371FDD" w14:paraId="457E1828" w14:textId="77777777" w:rsidTr="00EA4B6B">
        <w:trPr>
          <w:trHeight w:val="373"/>
        </w:trPr>
        <w:tc>
          <w:tcPr>
            <w:tcW w:w="561" w:type="dxa"/>
          </w:tcPr>
          <w:p w14:paraId="1ECA503A"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10</w:t>
            </w:r>
          </w:p>
        </w:tc>
        <w:tc>
          <w:tcPr>
            <w:tcW w:w="8651" w:type="dxa"/>
          </w:tcPr>
          <w:p w14:paraId="52747A77"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Liabilities and obligations (and any additional liquidity requirements) arising from (1) derivative contracts and other transactions (and any related collateral requirements); (2) structured financing transactions; and (3) potential drawdown of undrawn committed facilities (i.e. the sum of values in rows 11 to 13).</w:t>
            </w:r>
          </w:p>
          <w:p w14:paraId="598B0650"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{Sum of items B10 to B19}</w:t>
            </w:r>
          </w:p>
        </w:tc>
      </w:tr>
      <w:tr w:rsidR="00371FDD" w:rsidRPr="00371FDD" w14:paraId="2070CA62" w14:textId="77777777" w:rsidTr="00EA4B6B">
        <w:trPr>
          <w:trHeight w:val="373"/>
        </w:trPr>
        <w:tc>
          <w:tcPr>
            <w:tcW w:w="561" w:type="dxa"/>
          </w:tcPr>
          <w:p w14:paraId="1171A25B"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11</w:t>
            </w:r>
          </w:p>
        </w:tc>
        <w:tc>
          <w:tcPr>
            <w:tcW w:w="8651" w:type="dxa"/>
          </w:tcPr>
          <w:p w14:paraId="4F6E3F25" w14:textId="77777777" w:rsidR="00371FDD" w:rsidRPr="00A52A25" w:rsidRDefault="00371FDD" w:rsidP="00E57BDC">
            <w:pPr>
              <w:widowControl w:val="0"/>
              <w:tabs>
                <w:tab w:val="left" w:pos="150"/>
                <w:tab w:val="left" w:pos="397"/>
                <w:tab w:val="left" w:pos="794"/>
                <w:tab w:val="left" w:pos="1191"/>
              </w:tabs>
              <w:spacing w:before="40" w:after="40"/>
              <w:jc w:val="both"/>
              <w:rPr>
                <w:sz w:val="17"/>
                <w:szCs w:val="17"/>
              </w:rPr>
            </w:pPr>
            <w:r w:rsidRPr="00A52A25">
              <w:rPr>
                <w:sz w:val="17"/>
                <w:szCs w:val="17"/>
              </w:rPr>
              <w:t>Liabilities and obligations arising from derivative contracts and other transactions.  These include:-</w:t>
            </w:r>
          </w:p>
          <w:p w14:paraId="53795039" w14:textId="77777777" w:rsidR="00371FDD" w:rsidRPr="008B0874" w:rsidRDefault="00371FDD" w:rsidP="008D652E">
            <w:pPr>
              <w:widowControl w:val="0"/>
              <w:numPr>
                <w:ilvl w:val="0"/>
                <w:numId w:val="24"/>
              </w:numPr>
              <w:spacing w:before="40" w:after="40"/>
              <w:ind w:left="459" w:hanging="459"/>
              <w:jc w:val="both"/>
              <w:rPr>
                <w:rFonts w:eastAsia="新細明體" w:cs="Segoe UI"/>
                <w:sz w:val="17"/>
                <w:szCs w:val="17"/>
                <w:lang w:eastAsia="zh-TW"/>
              </w:rPr>
            </w:pPr>
            <w:r w:rsidRPr="008B0874">
              <w:rPr>
                <w:rFonts w:eastAsia="新細明體" w:cs="Segoe UI"/>
                <w:sz w:val="17"/>
                <w:szCs w:val="17"/>
                <w:lang w:eastAsia="zh-TW"/>
              </w:rPr>
              <w:t>Contractual net cash outflows arising from derivative contracts (as defined in BLR rule 39), calculated in accordance with clause 12 of the Code; and</w:t>
            </w:r>
          </w:p>
          <w:p w14:paraId="7007761E" w14:textId="77777777" w:rsidR="00371FDD" w:rsidRPr="008B0874" w:rsidRDefault="00371FDD" w:rsidP="008D652E">
            <w:pPr>
              <w:widowControl w:val="0"/>
              <w:numPr>
                <w:ilvl w:val="0"/>
                <w:numId w:val="24"/>
              </w:numPr>
              <w:spacing w:before="40" w:after="40"/>
              <w:ind w:left="459" w:hanging="459"/>
              <w:jc w:val="both"/>
              <w:rPr>
                <w:rFonts w:eastAsia="新細明體" w:cs="Segoe UI"/>
                <w:sz w:val="17"/>
                <w:szCs w:val="17"/>
                <w:lang w:eastAsia="zh-TW"/>
              </w:rPr>
            </w:pPr>
            <w:r w:rsidRPr="008B0874">
              <w:rPr>
                <w:rFonts w:eastAsia="新細明體" w:cs="Segoe UI"/>
                <w:sz w:val="17"/>
                <w:szCs w:val="17"/>
                <w:lang w:eastAsia="zh-TW"/>
              </w:rPr>
              <w:t>Additional liquidity needs arising from:-</w:t>
            </w:r>
          </w:p>
          <w:p w14:paraId="694B4DD0" w14:textId="77777777" w:rsidR="00371FDD" w:rsidRPr="00A52A25" w:rsidRDefault="00371FDD" w:rsidP="008D652E">
            <w:pPr>
              <w:widowControl w:val="0"/>
              <w:numPr>
                <w:ilvl w:val="0"/>
                <w:numId w:val="25"/>
              </w:numPr>
              <w:tabs>
                <w:tab w:val="left" w:pos="884"/>
              </w:tabs>
              <w:autoSpaceDE w:val="0"/>
              <w:autoSpaceDN w:val="0"/>
              <w:adjustRightInd w:val="0"/>
              <w:ind w:left="884" w:hanging="425"/>
              <w:jc w:val="both"/>
              <w:rPr>
                <w:sz w:val="17"/>
                <w:szCs w:val="17"/>
              </w:rPr>
            </w:pPr>
            <w:r w:rsidRPr="00A52A25">
              <w:rPr>
                <w:sz w:val="17"/>
                <w:szCs w:val="17"/>
              </w:rPr>
              <w:t>derivative contracts or other transactions with material adverse event clauses, calculated in accordance with clause 13 of the Code;</w:t>
            </w:r>
          </w:p>
          <w:p w14:paraId="08F51A94" w14:textId="77777777" w:rsidR="00371FDD" w:rsidRPr="00A52A25" w:rsidRDefault="00371FDD" w:rsidP="008D652E">
            <w:pPr>
              <w:widowControl w:val="0"/>
              <w:numPr>
                <w:ilvl w:val="0"/>
                <w:numId w:val="25"/>
              </w:numPr>
              <w:tabs>
                <w:tab w:val="left" w:pos="884"/>
              </w:tabs>
              <w:autoSpaceDE w:val="0"/>
              <w:autoSpaceDN w:val="0"/>
              <w:adjustRightInd w:val="0"/>
              <w:ind w:left="884" w:hanging="425"/>
              <w:jc w:val="both"/>
              <w:rPr>
                <w:sz w:val="17"/>
                <w:szCs w:val="17"/>
              </w:rPr>
            </w:pPr>
            <w:r w:rsidRPr="00A52A25">
              <w:rPr>
                <w:sz w:val="17"/>
                <w:szCs w:val="17"/>
              </w:rPr>
              <w:t>potential loss in market value of posted collateral securing derivative contracts or other transactions, calculated in accordance with clause 14 of the Code;</w:t>
            </w:r>
          </w:p>
          <w:p w14:paraId="3E095677" w14:textId="77777777" w:rsidR="00371FDD" w:rsidRPr="00A52A25" w:rsidRDefault="00371FDD" w:rsidP="008D652E">
            <w:pPr>
              <w:widowControl w:val="0"/>
              <w:numPr>
                <w:ilvl w:val="0"/>
                <w:numId w:val="25"/>
              </w:numPr>
              <w:tabs>
                <w:tab w:val="left" w:pos="884"/>
              </w:tabs>
              <w:autoSpaceDE w:val="0"/>
              <w:autoSpaceDN w:val="0"/>
              <w:adjustRightInd w:val="0"/>
              <w:ind w:left="884" w:hanging="425"/>
              <w:jc w:val="both"/>
              <w:rPr>
                <w:sz w:val="17"/>
                <w:szCs w:val="17"/>
              </w:rPr>
            </w:pPr>
            <w:r w:rsidRPr="00A52A25">
              <w:rPr>
                <w:sz w:val="17"/>
                <w:szCs w:val="17"/>
              </w:rPr>
              <w:t>excess non-segregated collateral callable by counterparty under derivative contracts or other transactions, calculated in accordance with clause 15 of the Code;</w:t>
            </w:r>
          </w:p>
          <w:p w14:paraId="0746DDA3" w14:textId="77777777" w:rsidR="00371FDD" w:rsidRPr="00A52A25" w:rsidRDefault="00371FDD" w:rsidP="008D652E">
            <w:pPr>
              <w:widowControl w:val="0"/>
              <w:numPr>
                <w:ilvl w:val="0"/>
                <w:numId w:val="25"/>
              </w:numPr>
              <w:tabs>
                <w:tab w:val="left" w:pos="884"/>
              </w:tabs>
              <w:autoSpaceDE w:val="0"/>
              <w:autoSpaceDN w:val="0"/>
              <w:adjustRightInd w:val="0"/>
              <w:ind w:left="884" w:hanging="425"/>
              <w:jc w:val="both"/>
              <w:rPr>
                <w:sz w:val="17"/>
                <w:szCs w:val="17"/>
              </w:rPr>
            </w:pPr>
            <w:r w:rsidRPr="00A52A25">
              <w:rPr>
                <w:sz w:val="17"/>
                <w:szCs w:val="17"/>
              </w:rPr>
              <w:t>collateral substitution under derivative contracts or other transactions, calculated in accordance with clause 16 of the Code;</w:t>
            </w:r>
          </w:p>
          <w:p w14:paraId="44B177DA" w14:textId="77777777" w:rsidR="00371FDD" w:rsidRPr="00A52A25" w:rsidRDefault="00371FDD" w:rsidP="008D652E">
            <w:pPr>
              <w:widowControl w:val="0"/>
              <w:numPr>
                <w:ilvl w:val="0"/>
                <w:numId w:val="25"/>
              </w:numPr>
              <w:tabs>
                <w:tab w:val="left" w:pos="884"/>
              </w:tabs>
              <w:autoSpaceDE w:val="0"/>
              <w:autoSpaceDN w:val="0"/>
              <w:adjustRightInd w:val="0"/>
              <w:ind w:left="884" w:hanging="425"/>
              <w:jc w:val="both"/>
              <w:rPr>
                <w:sz w:val="17"/>
                <w:szCs w:val="17"/>
              </w:rPr>
            </w:pPr>
            <w:r w:rsidRPr="00A52A25">
              <w:rPr>
                <w:sz w:val="17"/>
                <w:szCs w:val="17"/>
              </w:rPr>
              <w:t>contractual obligations to post collateral to counterparty under derivative contracts or other transactions, calculated in accordance with clause 17 of the Code; and</w:t>
            </w:r>
          </w:p>
          <w:p w14:paraId="674FC487" w14:textId="77777777" w:rsidR="00371FDD" w:rsidRPr="00A52A25" w:rsidRDefault="00371FDD" w:rsidP="008D652E">
            <w:pPr>
              <w:widowControl w:val="0"/>
              <w:numPr>
                <w:ilvl w:val="0"/>
                <w:numId w:val="25"/>
              </w:numPr>
              <w:tabs>
                <w:tab w:val="left" w:pos="884"/>
              </w:tabs>
              <w:autoSpaceDE w:val="0"/>
              <w:autoSpaceDN w:val="0"/>
              <w:adjustRightInd w:val="0"/>
              <w:ind w:left="884" w:hanging="425"/>
              <w:jc w:val="both"/>
              <w:rPr>
                <w:sz w:val="17"/>
                <w:szCs w:val="17"/>
              </w:rPr>
            </w:pPr>
            <w:r w:rsidRPr="00A52A25">
              <w:rPr>
                <w:sz w:val="17"/>
                <w:szCs w:val="17"/>
              </w:rPr>
              <w:t xml:space="preserve">increase in collateral needs arising from adverse changes in market value of derivative contracts or </w:t>
            </w:r>
            <w:r w:rsidRPr="00A52A25">
              <w:rPr>
                <w:sz w:val="17"/>
                <w:szCs w:val="17"/>
              </w:rPr>
              <w:lastRenderedPageBreak/>
              <w:t>other transactions, calculated in accordance with clause 18 of the Code.</w:t>
            </w:r>
          </w:p>
          <w:p w14:paraId="7A33632E" w14:textId="77777777" w:rsidR="00371FDD" w:rsidRPr="00A52A25" w:rsidRDefault="00371FDD" w:rsidP="00E57BDC">
            <w:pPr>
              <w:widowControl w:val="0"/>
              <w:tabs>
                <w:tab w:val="left" w:pos="884"/>
              </w:tabs>
              <w:autoSpaceDE w:val="0"/>
              <w:autoSpaceDN w:val="0"/>
              <w:adjustRightInd w:val="0"/>
              <w:jc w:val="both"/>
              <w:rPr>
                <w:sz w:val="17"/>
                <w:szCs w:val="17"/>
              </w:rPr>
            </w:pPr>
            <w:r w:rsidRPr="00A52A25">
              <w:rPr>
                <w:sz w:val="17"/>
                <w:szCs w:val="17"/>
              </w:rPr>
              <w:t>{Sum of items B10, B11, B12, B13, B14, B15 and B16}</w:t>
            </w:r>
          </w:p>
        </w:tc>
      </w:tr>
      <w:tr w:rsidR="00371FDD" w:rsidRPr="00371FDD" w14:paraId="77CDAAC0" w14:textId="77777777" w:rsidTr="00EA4B6B">
        <w:trPr>
          <w:trHeight w:val="373"/>
        </w:trPr>
        <w:tc>
          <w:tcPr>
            <w:tcW w:w="561" w:type="dxa"/>
          </w:tcPr>
          <w:p w14:paraId="2210D005"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lastRenderedPageBreak/>
              <w:t>12</w:t>
            </w:r>
          </w:p>
        </w:tc>
        <w:tc>
          <w:tcPr>
            <w:tcW w:w="8651" w:type="dxa"/>
          </w:tcPr>
          <w:p w14:paraId="7A090F0D"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Expected cash outflows arising from:-</w:t>
            </w:r>
          </w:p>
          <w:p w14:paraId="4893719D" w14:textId="77777777" w:rsidR="00371FDD" w:rsidRPr="008B0874" w:rsidRDefault="00371FDD" w:rsidP="008D652E">
            <w:pPr>
              <w:widowControl w:val="0"/>
              <w:numPr>
                <w:ilvl w:val="0"/>
                <w:numId w:val="26"/>
              </w:numPr>
              <w:spacing w:before="40" w:after="40"/>
              <w:ind w:left="459" w:hanging="459"/>
              <w:jc w:val="both"/>
              <w:rPr>
                <w:rFonts w:eastAsia="新細明體" w:cs="Segoe UI"/>
                <w:sz w:val="17"/>
                <w:szCs w:val="17"/>
                <w:lang w:eastAsia="zh-TW"/>
              </w:rPr>
            </w:pPr>
            <w:r w:rsidRPr="008B0874">
              <w:rPr>
                <w:rFonts w:eastAsia="新細明體" w:cs="Segoe UI"/>
                <w:sz w:val="17"/>
                <w:szCs w:val="17"/>
                <w:lang w:eastAsia="zh-TW"/>
              </w:rPr>
              <w:t>repayment of funding obtained from structured financial instruments issued by the category 1 institution and redeemable within the LCR period, calculated in accordance with clause 19 of the Code; and</w:t>
            </w:r>
          </w:p>
          <w:p w14:paraId="5B7A72AB" w14:textId="77777777" w:rsidR="00371FDD" w:rsidRPr="008B0874" w:rsidRDefault="00371FDD" w:rsidP="008D652E">
            <w:pPr>
              <w:widowControl w:val="0"/>
              <w:numPr>
                <w:ilvl w:val="0"/>
                <w:numId w:val="26"/>
              </w:numPr>
              <w:spacing w:before="40" w:after="40"/>
              <w:ind w:left="459" w:hanging="459"/>
              <w:jc w:val="both"/>
              <w:rPr>
                <w:rFonts w:eastAsia="新細明體" w:cs="Segoe UI"/>
                <w:sz w:val="17"/>
                <w:szCs w:val="17"/>
                <w:lang w:eastAsia="zh-TW"/>
              </w:rPr>
            </w:pPr>
            <w:r w:rsidRPr="008B0874">
              <w:rPr>
                <w:rFonts w:eastAsia="新細明體" w:cs="Segoe UI"/>
                <w:sz w:val="17"/>
                <w:szCs w:val="17"/>
                <w:lang w:eastAsia="zh-TW"/>
              </w:rPr>
              <w:t>obligations for repayment of maturing debt or provision of funding or assets arising from any embedded option in structured financing transaction (as defined in BLR rule 39), calculated in accordance with clause 20 of the Code.</w:t>
            </w:r>
          </w:p>
          <w:p w14:paraId="038DF3C6" w14:textId="77777777" w:rsidR="00371FDD" w:rsidRPr="00371FDD" w:rsidRDefault="00371FDD" w:rsidP="00E57BDC">
            <w:pPr>
              <w:widowControl w:val="0"/>
              <w:spacing w:before="40" w:after="40"/>
              <w:jc w:val="both"/>
              <w:rPr>
                <w:sz w:val="17"/>
                <w:szCs w:val="17"/>
              </w:rPr>
            </w:pPr>
            <w:r w:rsidRPr="008B0874">
              <w:rPr>
                <w:rFonts w:cs="Segoe UI"/>
                <w:sz w:val="17"/>
                <w:szCs w:val="17"/>
              </w:rPr>
              <w:t xml:space="preserve">{Sum </w:t>
            </w:r>
            <w:r w:rsidRPr="00371FDD">
              <w:rPr>
                <w:sz w:val="17"/>
                <w:szCs w:val="17"/>
              </w:rPr>
              <w:t>of items B17 and B18}</w:t>
            </w:r>
          </w:p>
        </w:tc>
      </w:tr>
      <w:tr w:rsidR="00371FDD" w:rsidRPr="00371FDD" w14:paraId="6E9DCD01" w14:textId="77777777" w:rsidTr="00EA4B6B">
        <w:trPr>
          <w:trHeight w:val="373"/>
        </w:trPr>
        <w:tc>
          <w:tcPr>
            <w:tcW w:w="561" w:type="dxa"/>
          </w:tcPr>
          <w:p w14:paraId="281C6DF4"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13</w:t>
            </w:r>
          </w:p>
        </w:tc>
        <w:tc>
          <w:tcPr>
            <w:tcW w:w="8651" w:type="dxa"/>
          </w:tcPr>
          <w:p w14:paraId="65B2FA30"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 xml:space="preserve">Expected cash outflows arising from potential drawdown of undrawn committed credit facilities and committed liquidity facilities (as defined in BLR rule 39) within the LCR period, calculated in accordance with clause 21 of the Code. </w:t>
            </w:r>
          </w:p>
          <w:p w14:paraId="1E34E765"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{Item B19}</w:t>
            </w:r>
          </w:p>
        </w:tc>
      </w:tr>
      <w:tr w:rsidR="00371FDD" w:rsidRPr="00371FDD" w14:paraId="41FC3C1B" w14:textId="77777777" w:rsidTr="00EA4B6B">
        <w:trPr>
          <w:trHeight w:val="373"/>
        </w:trPr>
        <w:tc>
          <w:tcPr>
            <w:tcW w:w="561" w:type="dxa"/>
          </w:tcPr>
          <w:p w14:paraId="36CE8BDC"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14</w:t>
            </w:r>
          </w:p>
        </w:tc>
        <w:tc>
          <w:tcPr>
            <w:tcW w:w="8651" w:type="dxa"/>
          </w:tcPr>
          <w:p w14:paraId="2CD8515D" w14:textId="7A645AFB"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Expected cash outflows arising from contractual lending obligations not otherwis</w:t>
            </w:r>
            <w:r w:rsidR="00EB55F3">
              <w:rPr>
                <w:sz w:val="17"/>
                <w:szCs w:val="17"/>
              </w:rPr>
              <w:t>e included in Section B of the t</w:t>
            </w:r>
            <w:r w:rsidRPr="00371FDD">
              <w:rPr>
                <w:sz w:val="17"/>
                <w:szCs w:val="17"/>
              </w:rPr>
              <w:t xml:space="preserve">emplate, calculated in accordance with clause 22 of the Code; and other contractual cash outflows (as defined in BLR rule 39), calculated in accordance with clause 24 of the Code. </w:t>
            </w:r>
          </w:p>
          <w:p w14:paraId="01B6197B"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{Sum of items B20 and B22}</w:t>
            </w:r>
          </w:p>
        </w:tc>
      </w:tr>
      <w:tr w:rsidR="00371FDD" w:rsidRPr="00371FDD" w14:paraId="3EF758F5" w14:textId="77777777" w:rsidTr="00EA4B6B">
        <w:trPr>
          <w:trHeight w:val="373"/>
        </w:trPr>
        <w:tc>
          <w:tcPr>
            <w:tcW w:w="561" w:type="dxa"/>
          </w:tcPr>
          <w:p w14:paraId="049AA90A"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15</w:t>
            </w:r>
          </w:p>
        </w:tc>
        <w:tc>
          <w:tcPr>
            <w:tcW w:w="8651" w:type="dxa"/>
          </w:tcPr>
          <w:p w14:paraId="3C5384DA"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Other contingent funding obligations (as defined in BLR rule 39) (whether contractual or non-contractual), calculated in accordance with clause 23 of the Code.</w:t>
            </w:r>
          </w:p>
          <w:p w14:paraId="6B1C7D14"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{Item B21}</w:t>
            </w:r>
          </w:p>
        </w:tc>
      </w:tr>
      <w:tr w:rsidR="00371FDD" w:rsidRPr="00371FDD" w14:paraId="424ABB49" w14:textId="77777777" w:rsidTr="00EA4B6B">
        <w:trPr>
          <w:trHeight w:val="373"/>
        </w:trPr>
        <w:tc>
          <w:tcPr>
            <w:tcW w:w="561" w:type="dxa"/>
          </w:tcPr>
          <w:p w14:paraId="321C900A"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16</w:t>
            </w:r>
          </w:p>
        </w:tc>
        <w:tc>
          <w:tcPr>
            <w:tcW w:w="8651" w:type="dxa"/>
          </w:tcPr>
          <w:p w14:paraId="0CCE8BBB"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 xml:space="preserve">Total cash outflows (i.e. the sum of values in rows 2, 5, 9, 10, 14 &amp; 15). </w:t>
            </w:r>
          </w:p>
          <w:p w14:paraId="6AD32BF8"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{Item B23}</w:t>
            </w:r>
          </w:p>
        </w:tc>
      </w:tr>
      <w:tr w:rsidR="00371FDD" w:rsidRPr="00371FDD" w14:paraId="6E62E7BD" w14:textId="77777777" w:rsidTr="00EA4B6B">
        <w:trPr>
          <w:trHeight w:val="373"/>
        </w:trPr>
        <w:tc>
          <w:tcPr>
            <w:tcW w:w="561" w:type="dxa"/>
          </w:tcPr>
          <w:p w14:paraId="47FFB277"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17</w:t>
            </w:r>
          </w:p>
        </w:tc>
        <w:tc>
          <w:tcPr>
            <w:tcW w:w="8651" w:type="dxa"/>
          </w:tcPr>
          <w:p w14:paraId="376E5BFE"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 xml:space="preserve">Expected cash inflows arising from maturing secured lending transactions (including securities swap transactions) (as defined in BLR rule 39), calculated in accordance with clause 25 of the Code. </w:t>
            </w:r>
          </w:p>
          <w:p w14:paraId="1FCBF42B"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{Sum of items C1, C2 and C3}</w:t>
            </w:r>
          </w:p>
        </w:tc>
      </w:tr>
      <w:tr w:rsidR="00371FDD" w:rsidRPr="00371FDD" w14:paraId="0AC20AEC" w14:textId="77777777" w:rsidTr="00EA4B6B">
        <w:trPr>
          <w:trHeight w:val="373"/>
        </w:trPr>
        <w:tc>
          <w:tcPr>
            <w:tcW w:w="561" w:type="dxa"/>
          </w:tcPr>
          <w:p w14:paraId="636140DC"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18</w:t>
            </w:r>
          </w:p>
        </w:tc>
        <w:tc>
          <w:tcPr>
            <w:tcW w:w="8651" w:type="dxa"/>
          </w:tcPr>
          <w:p w14:paraId="250213DC"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 xml:space="preserve">Expected cash inflows arising from (1) secured or unsecured loans (other than secured lending transactions) that are contractually due within the LCR period; and (2) operational deposits placed at other financial institutions, calculated in accordance with, respectively, clauses 26 and 29(b) of the Code. </w:t>
            </w:r>
          </w:p>
          <w:p w14:paraId="5BC0B3E4"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{Sum of items C4 and C8}</w:t>
            </w:r>
          </w:p>
        </w:tc>
      </w:tr>
      <w:tr w:rsidR="00371FDD" w:rsidRPr="00371FDD" w14:paraId="12CE926C" w14:textId="77777777" w:rsidTr="00EA4B6B">
        <w:trPr>
          <w:trHeight w:val="373"/>
        </w:trPr>
        <w:tc>
          <w:tcPr>
            <w:tcW w:w="561" w:type="dxa"/>
          </w:tcPr>
          <w:p w14:paraId="5129B216"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19</w:t>
            </w:r>
          </w:p>
        </w:tc>
        <w:tc>
          <w:tcPr>
            <w:tcW w:w="8651" w:type="dxa"/>
          </w:tcPr>
          <w:p w14:paraId="47A1D23B"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Expected cash inflows arising from:-</w:t>
            </w:r>
          </w:p>
          <w:p w14:paraId="260AEBEA" w14:textId="77777777" w:rsidR="00371FDD" w:rsidRPr="00981DF8" w:rsidRDefault="00371FDD" w:rsidP="008D652E">
            <w:pPr>
              <w:widowControl w:val="0"/>
              <w:numPr>
                <w:ilvl w:val="0"/>
                <w:numId w:val="27"/>
              </w:numPr>
              <w:spacing w:before="40" w:after="40"/>
              <w:ind w:left="459" w:hanging="459"/>
              <w:jc w:val="both"/>
              <w:rPr>
                <w:rFonts w:eastAsia="新細明體" w:cs="Segoe UI"/>
                <w:sz w:val="17"/>
                <w:szCs w:val="17"/>
                <w:lang w:eastAsia="zh-TW"/>
              </w:rPr>
            </w:pPr>
            <w:r w:rsidRPr="00981DF8">
              <w:rPr>
                <w:rFonts w:eastAsia="新細明體" w:cs="Segoe UI"/>
                <w:sz w:val="17"/>
                <w:szCs w:val="17"/>
                <w:lang w:eastAsia="zh-TW"/>
              </w:rPr>
              <w:t>release of balances (whether in money or other assets) maintained by the category 1 institution in segregated accounts in accordance with requirements for protection of customer assets, calculated in accordance with clause 27 of the Code;</w:t>
            </w:r>
          </w:p>
          <w:p w14:paraId="0C09389E" w14:textId="77777777" w:rsidR="00371FDD" w:rsidRPr="00981DF8" w:rsidRDefault="00371FDD" w:rsidP="008D652E">
            <w:pPr>
              <w:widowControl w:val="0"/>
              <w:numPr>
                <w:ilvl w:val="0"/>
                <w:numId w:val="27"/>
              </w:numPr>
              <w:spacing w:before="40" w:after="40"/>
              <w:ind w:left="459" w:hanging="459"/>
              <w:jc w:val="both"/>
              <w:rPr>
                <w:rFonts w:eastAsia="新細明體" w:cs="Segoe UI"/>
                <w:sz w:val="17"/>
                <w:szCs w:val="17"/>
                <w:lang w:eastAsia="zh-TW"/>
              </w:rPr>
            </w:pPr>
            <w:r w:rsidRPr="00981DF8">
              <w:rPr>
                <w:rFonts w:eastAsia="新細明體" w:cs="Segoe UI"/>
                <w:sz w:val="17"/>
                <w:szCs w:val="17"/>
                <w:lang w:eastAsia="zh-TW"/>
              </w:rPr>
              <w:t xml:space="preserve">maturing securities not included by the category 1 institution in its HQLA, calculated in accordance with </w:t>
            </w:r>
            <w:r w:rsidRPr="00981DF8">
              <w:rPr>
                <w:rFonts w:eastAsia="新細明體" w:cs="Segoe UI"/>
                <w:sz w:val="17"/>
                <w:szCs w:val="17"/>
                <w:lang w:eastAsia="zh-TW"/>
              </w:rPr>
              <w:lastRenderedPageBreak/>
              <w:t>clause 28 of the Code;</w:t>
            </w:r>
          </w:p>
          <w:p w14:paraId="58CDB93F" w14:textId="65FD353F" w:rsidR="00371FDD" w:rsidRPr="00981DF8" w:rsidRDefault="00371FDD" w:rsidP="008D652E">
            <w:pPr>
              <w:widowControl w:val="0"/>
              <w:numPr>
                <w:ilvl w:val="0"/>
                <w:numId w:val="27"/>
              </w:numPr>
              <w:spacing w:before="40" w:after="40"/>
              <w:ind w:left="459" w:hanging="459"/>
              <w:jc w:val="both"/>
              <w:rPr>
                <w:rFonts w:eastAsia="新細明體" w:cs="Segoe UI"/>
                <w:sz w:val="17"/>
                <w:szCs w:val="17"/>
                <w:lang w:eastAsia="zh-TW"/>
              </w:rPr>
            </w:pPr>
            <w:r w:rsidRPr="00981DF8">
              <w:rPr>
                <w:rFonts w:eastAsia="新細明體" w:cs="Segoe UI"/>
                <w:sz w:val="17"/>
                <w:szCs w:val="17"/>
                <w:lang w:eastAsia="zh-TW"/>
              </w:rPr>
              <w:t xml:space="preserve">undrawn facilities granted </w:t>
            </w:r>
            <w:r w:rsidR="00987CCF">
              <w:rPr>
                <w:rFonts w:eastAsia="新細明體" w:cs="Segoe UI"/>
                <w:sz w:val="17"/>
                <w:szCs w:val="17"/>
                <w:lang w:eastAsia="zh-TW"/>
              </w:rPr>
              <w:t>to</w:t>
            </w:r>
            <w:r w:rsidRPr="00981DF8">
              <w:rPr>
                <w:rFonts w:eastAsia="新細明體" w:cs="Segoe UI"/>
                <w:sz w:val="17"/>
                <w:szCs w:val="17"/>
                <w:lang w:eastAsia="zh-TW"/>
              </w:rPr>
              <w:t xml:space="preserve"> the category 1 institution, calculated in accordance with clause 29(a) of the Code;</w:t>
            </w:r>
          </w:p>
          <w:p w14:paraId="67489A66" w14:textId="77777777" w:rsidR="00371FDD" w:rsidRPr="00981DF8" w:rsidRDefault="00371FDD" w:rsidP="008D652E">
            <w:pPr>
              <w:widowControl w:val="0"/>
              <w:numPr>
                <w:ilvl w:val="0"/>
                <w:numId w:val="27"/>
              </w:numPr>
              <w:spacing w:before="40" w:after="40"/>
              <w:ind w:left="459" w:hanging="459"/>
              <w:jc w:val="both"/>
              <w:rPr>
                <w:rFonts w:eastAsia="新細明體" w:cs="Segoe UI"/>
                <w:sz w:val="17"/>
                <w:szCs w:val="17"/>
                <w:lang w:eastAsia="zh-TW"/>
              </w:rPr>
            </w:pPr>
            <w:r w:rsidRPr="00981DF8">
              <w:rPr>
                <w:rFonts w:eastAsia="新細明體" w:cs="Segoe UI"/>
                <w:sz w:val="17"/>
                <w:szCs w:val="17"/>
                <w:lang w:eastAsia="zh-TW"/>
              </w:rPr>
              <w:t>contractual net cash inflows arising from derivative contracts, calculated in accordance with clause 30 of the Code; and</w:t>
            </w:r>
          </w:p>
          <w:p w14:paraId="67582633" w14:textId="5899C211" w:rsidR="00371FDD" w:rsidRPr="00981DF8" w:rsidRDefault="00371FDD" w:rsidP="008D652E">
            <w:pPr>
              <w:widowControl w:val="0"/>
              <w:numPr>
                <w:ilvl w:val="0"/>
                <w:numId w:val="27"/>
              </w:numPr>
              <w:spacing w:before="40" w:after="40"/>
              <w:ind w:left="459" w:hanging="459"/>
              <w:jc w:val="both"/>
              <w:rPr>
                <w:rFonts w:eastAsia="新細明體" w:cs="Segoe UI"/>
                <w:sz w:val="17"/>
                <w:szCs w:val="17"/>
                <w:lang w:eastAsia="zh-TW"/>
              </w:rPr>
            </w:pPr>
            <w:r w:rsidRPr="00981DF8">
              <w:rPr>
                <w:rFonts w:eastAsia="新細明體" w:cs="Segoe UI"/>
                <w:sz w:val="17"/>
                <w:szCs w:val="17"/>
                <w:lang w:eastAsia="zh-TW"/>
              </w:rPr>
              <w:t>other contractual cash inflows arising from assets, transactions or activities not otherwi</w:t>
            </w:r>
            <w:r w:rsidR="00EB55F3">
              <w:rPr>
                <w:rFonts w:eastAsia="新細明體" w:cs="Segoe UI"/>
                <w:sz w:val="17"/>
                <w:szCs w:val="17"/>
                <w:lang w:eastAsia="zh-TW"/>
              </w:rPr>
              <w:t>se covered in Section C of the t</w:t>
            </w:r>
            <w:r w:rsidRPr="00981DF8">
              <w:rPr>
                <w:rFonts w:eastAsia="新細明體" w:cs="Segoe UI"/>
                <w:sz w:val="17"/>
                <w:szCs w:val="17"/>
                <w:lang w:eastAsia="zh-TW"/>
              </w:rPr>
              <w:t>emplate, calculated in accordance with clause 31 of the Code.</w:t>
            </w:r>
          </w:p>
          <w:p w14:paraId="3BBE68FD" w14:textId="77777777" w:rsidR="00371FDD" w:rsidRPr="00371FDD" w:rsidRDefault="00371FDD" w:rsidP="00E57BDC">
            <w:pPr>
              <w:widowControl w:val="0"/>
              <w:spacing w:before="40" w:after="40"/>
              <w:jc w:val="both"/>
              <w:rPr>
                <w:sz w:val="17"/>
                <w:szCs w:val="17"/>
              </w:rPr>
            </w:pPr>
            <w:r w:rsidRPr="00981DF8">
              <w:rPr>
                <w:rFonts w:cs="Segoe UI"/>
                <w:sz w:val="17"/>
                <w:szCs w:val="17"/>
              </w:rPr>
              <w:t xml:space="preserve">{Sum </w:t>
            </w:r>
            <w:r w:rsidRPr="00371FDD">
              <w:rPr>
                <w:sz w:val="17"/>
                <w:szCs w:val="17"/>
              </w:rPr>
              <w:t>of items C5, C6, C7, C9 and C10}</w:t>
            </w:r>
          </w:p>
        </w:tc>
      </w:tr>
      <w:tr w:rsidR="00371FDD" w:rsidRPr="00371FDD" w14:paraId="3B19865D" w14:textId="77777777" w:rsidTr="00EA4B6B">
        <w:trPr>
          <w:trHeight w:val="373"/>
        </w:trPr>
        <w:tc>
          <w:tcPr>
            <w:tcW w:w="561" w:type="dxa"/>
          </w:tcPr>
          <w:p w14:paraId="19D3EAEA"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lastRenderedPageBreak/>
              <w:t>20</w:t>
            </w:r>
          </w:p>
        </w:tc>
        <w:tc>
          <w:tcPr>
            <w:tcW w:w="8651" w:type="dxa"/>
          </w:tcPr>
          <w:p w14:paraId="71E7D6E4"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Total cash inflows (i.e. the sum of values in rows 17 to 19).</w:t>
            </w:r>
          </w:p>
          <w:p w14:paraId="662BD865" w14:textId="77777777" w:rsidR="00371FDD" w:rsidRPr="00371FDD" w:rsidRDefault="00371FDD" w:rsidP="00E57BDC">
            <w:pPr>
              <w:widowControl w:val="0"/>
              <w:tabs>
                <w:tab w:val="left" w:pos="150"/>
                <w:tab w:val="left" w:pos="397"/>
                <w:tab w:val="left" w:pos="794"/>
                <w:tab w:val="left" w:pos="1191"/>
              </w:tabs>
              <w:spacing w:before="40" w:after="40"/>
              <w:jc w:val="both"/>
              <w:rPr>
                <w:i/>
                <w:sz w:val="17"/>
                <w:szCs w:val="17"/>
              </w:rPr>
            </w:pPr>
            <w:r w:rsidRPr="00371FDD">
              <w:rPr>
                <w:sz w:val="17"/>
                <w:szCs w:val="17"/>
              </w:rPr>
              <w:t>{Item C11}</w:t>
            </w:r>
          </w:p>
        </w:tc>
      </w:tr>
      <w:tr w:rsidR="00371FDD" w:rsidRPr="00371FDD" w14:paraId="5C87638C" w14:textId="77777777" w:rsidTr="00EA4B6B">
        <w:trPr>
          <w:trHeight w:val="373"/>
        </w:trPr>
        <w:tc>
          <w:tcPr>
            <w:tcW w:w="561" w:type="dxa"/>
          </w:tcPr>
          <w:p w14:paraId="5D44784C"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21</w:t>
            </w:r>
          </w:p>
        </w:tc>
        <w:tc>
          <w:tcPr>
            <w:tcW w:w="8651" w:type="dxa"/>
          </w:tcPr>
          <w:p w14:paraId="26C7E5A3"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i/>
                <w:sz w:val="17"/>
                <w:lang w:eastAsia="it-IT"/>
              </w:rPr>
              <w:t>Total HQLA (adjusted value)</w:t>
            </w:r>
            <w:r w:rsidRPr="00371FDD">
              <w:rPr>
                <w:sz w:val="17"/>
                <w:lang w:eastAsia="it-IT"/>
              </w:rPr>
              <w:t xml:space="preserve">: </w:t>
            </w:r>
            <w:r w:rsidRPr="00371FDD">
              <w:rPr>
                <w:sz w:val="17"/>
                <w:szCs w:val="17"/>
              </w:rPr>
              <w:t>the weighted amount of total HQLA (net of any haircuts applicable to the assets concerned under BLR rule 35 and, if applicable, BLR rule 38), after the application of the 15% ceiling on level 2B assets and the 40% ceiling on the sum of level 2A and level 2B assets in accordance with BLR rules 33 and 34 as applicable.</w:t>
            </w:r>
          </w:p>
          <w:p w14:paraId="5DC15283" w14:textId="77777777" w:rsidR="00371FDD" w:rsidRPr="00371FDD" w:rsidRDefault="00371FDD" w:rsidP="00E57BDC">
            <w:pPr>
              <w:spacing w:before="40" w:after="40"/>
              <w:jc w:val="both"/>
              <w:rPr>
                <w:i/>
                <w:sz w:val="17"/>
                <w:szCs w:val="17"/>
              </w:rPr>
            </w:pPr>
            <w:r w:rsidRPr="00371FDD">
              <w:rPr>
                <w:sz w:val="17"/>
                <w:szCs w:val="17"/>
              </w:rPr>
              <w:t>{Item A7}</w:t>
            </w:r>
          </w:p>
        </w:tc>
      </w:tr>
      <w:tr w:rsidR="00371FDD" w:rsidRPr="00371FDD" w14:paraId="350571FD" w14:textId="77777777" w:rsidTr="00C814AC">
        <w:trPr>
          <w:trHeight w:val="680"/>
        </w:trPr>
        <w:tc>
          <w:tcPr>
            <w:tcW w:w="561" w:type="dxa"/>
          </w:tcPr>
          <w:p w14:paraId="5102EAA5"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22</w:t>
            </w:r>
          </w:p>
        </w:tc>
        <w:tc>
          <w:tcPr>
            <w:tcW w:w="8651" w:type="dxa"/>
          </w:tcPr>
          <w:p w14:paraId="77F08E49"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i/>
                <w:sz w:val="17"/>
                <w:lang w:eastAsia="it-IT"/>
              </w:rPr>
              <w:t>Total Net Cash Outflows (adjusted value)</w:t>
            </w:r>
            <w:r w:rsidRPr="00371FDD">
              <w:rPr>
                <w:sz w:val="17"/>
                <w:lang w:eastAsia="it-IT"/>
              </w:rPr>
              <w:t xml:space="preserve">: </w:t>
            </w:r>
            <w:r w:rsidRPr="00371FDD">
              <w:rPr>
                <w:sz w:val="17"/>
                <w:szCs w:val="17"/>
              </w:rPr>
              <w:t>the adjusted value of total net cash outflows means the weighted amount of total net cash outflows (with outflow and inflow rates applied to respective cash outflow and inflow items), after the application of the 75% inflow cap as applicable in accordance with BLR rule 40</w:t>
            </w:r>
            <w:r w:rsidRPr="00371FDD">
              <w:rPr>
                <w:sz w:val="17"/>
                <w:szCs w:val="17"/>
                <w:vertAlign w:val="superscript"/>
              </w:rPr>
              <w:footnoteReference w:id="11"/>
            </w:r>
            <w:r w:rsidRPr="00371FDD">
              <w:rPr>
                <w:sz w:val="17"/>
                <w:szCs w:val="17"/>
              </w:rPr>
              <w:t xml:space="preserve"> (as read in conjunction with the Code). </w:t>
            </w:r>
          </w:p>
          <w:p w14:paraId="628F7842" w14:textId="77777777" w:rsidR="00371FDD" w:rsidRPr="00371FDD" w:rsidRDefault="00371FDD" w:rsidP="00E57BDC">
            <w:pPr>
              <w:spacing w:before="40" w:after="40"/>
              <w:jc w:val="both"/>
              <w:rPr>
                <w:i/>
                <w:sz w:val="17"/>
                <w:szCs w:val="17"/>
              </w:rPr>
            </w:pPr>
            <w:r w:rsidRPr="00371FDD">
              <w:rPr>
                <w:sz w:val="17"/>
                <w:szCs w:val="17"/>
              </w:rPr>
              <w:t>{Item B23 minus item C12}</w:t>
            </w:r>
          </w:p>
        </w:tc>
      </w:tr>
      <w:tr w:rsidR="00371FDD" w:rsidRPr="00371FDD" w14:paraId="7961B1A2" w14:textId="77777777" w:rsidTr="00EA4B6B">
        <w:trPr>
          <w:trHeight w:val="373"/>
        </w:trPr>
        <w:tc>
          <w:tcPr>
            <w:tcW w:w="561" w:type="dxa"/>
          </w:tcPr>
          <w:p w14:paraId="2CF2D3F9" w14:textId="77777777" w:rsidR="00371FDD" w:rsidRPr="00371FDD" w:rsidRDefault="00371FDD" w:rsidP="00E57BDC">
            <w:pPr>
              <w:widowControl w:val="0"/>
              <w:tabs>
                <w:tab w:val="left" w:pos="150"/>
                <w:tab w:val="left" w:pos="397"/>
                <w:tab w:val="left" w:pos="794"/>
                <w:tab w:val="left" w:pos="1191"/>
              </w:tabs>
              <w:spacing w:before="40" w:after="40"/>
              <w:rPr>
                <w:rFonts w:cs="Segoe UI"/>
                <w:sz w:val="17"/>
                <w:szCs w:val="17"/>
                <w:lang w:eastAsia="en-GB"/>
              </w:rPr>
            </w:pPr>
            <w:r w:rsidRPr="00371FDD">
              <w:rPr>
                <w:rFonts w:cs="Segoe UI"/>
                <w:sz w:val="17"/>
                <w:szCs w:val="17"/>
                <w:lang w:eastAsia="en-GB"/>
              </w:rPr>
              <w:t>23</w:t>
            </w:r>
          </w:p>
        </w:tc>
        <w:tc>
          <w:tcPr>
            <w:tcW w:w="8651" w:type="dxa"/>
          </w:tcPr>
          <w:p w14:paraId="7ABAC1DC" w14:textId="77777777" w:rsidR="00371FDD" w:rsidRPr="00371FDD" w:rsidRDefault="00371FDD" w:rsidP="00E57BDC">
            <w:pPr>
              <w:spacing w:before="40" w:after="40"/>
              <w:jc w:val="both"/>
              <w:rPr>
                <w:sz w:val="17"/>
                <w:szCs w:val="17"/>
              </w:rPr>
            </w:pPr>
            <w:r w:rsidRPr="00371FDD">
              <w:rPr>
                <w:i/>
                <w:sz w:val="17"/>
                <w:szCs w:val="17"/>
              </w:rPr>
              <w:t>LCR (%)</w:t>
            </w:r>
            <w:r w:rsidRPr="00371FDD">
              <w:rPr>
                <w:sz w:val="17"/>
                <w:szCs w:val="17"/>
              </w:rPr>
              <w:t>: the calculation of the “average value” of its LCR in this row should be based on the arithmetic mean of the LCR as at the end of each working day during the quarter.  Accordingly, the average value of the AI’s LCR for quarter Q</w:t>
            </w:r>
            <w:r w:rsidRPr="00371FDD">
              <w:rPr>
                <w:sz w:val="14"/>
                <w:szCs w:val="17"/>
              </w:rPr>
              <w:t>i</w:t>
            </w:r>
            <w:r w:rsidRPr="00371FDD">
              <w:rPr>
                <w:sz w:val="17"/>
                <w:szCs w:val="17"/>
              </w:rPr>
              <w:t xml:space="preserve"> should be calculated as:</w:t>
            </w:r>
          </w:p>
          <w:p w14:paraId="69ABFCEC" w14:textId="77777777" w:rsidR="00371FDD" w:rsidRPr="00371FDD" w:rsidRDefault="00371FDD" w:rsidP="00E57BDC">
            <w:pPr>
              <w:widowControl w:val="0"/>
              <w:autoSpaceDE w:val="0"/>
              <w:autoSpaceDN w:val="0"/>
              <w:adjustRightInd w:val="0"/>
              <w:rPr>
                <w:sz w:val="17"/>
                <w:szCs w:val="17"/>
              </w:rPr>
            </w:pPr>
            <m:oMathPara>
              <m:oMath>
                <m:r>
                  <w:rPr>
                    <w:rFonts w:ascii="Cambria Math" w:hAnsi="Cambria Math" w:cs="Segoe UI"/>
                    <w:sz w:val="17"/>
                    <w:szCs w:val="17"/>
                  </w:rPr>
                  <m:t>LCR</m:t>
                </m:r>
                <m:r>
                  <m:rPr>
                    <m:sty m:val="p"/>
                  </m:rPr>
                  <w:rPr>
                    <w:rFonts w:ascii="Cambria Math" w:hAnsi="Cambria Math"/>
                    <w:sz w:val="14"/>
                    <w:szCs w:val="17"/>
                  </w:rPr>
                  <m:t>Q</m:t>
                </m:r>
                <m:r>
                  <m:rPr>
                    <m:sty m:val="p"/>
                  </m:rPr>
                  <w:rPr>
                    <w:rFonts w:ascii="Cambria Math" w:hAnsi="Cambria Math"/>
                    <w:sz w:val="12"/>
                    <w:szCs w:val="17"/>
                  </w:rPr>
                  <m:t>i</m:t>
                </m:r>
                <m:r>
                  <m:rPr>
                    <m:sty m:val="p"/>
                  </m:rPr>
                  <w:rPr>
                    <w:rFonts w:ascii="Cambria Math" w:hAnsi="Cambria Math" w:cs="Segoe UI"/>
                    <w:sz w:val="17"/>
                    <w:szCs w:val="17"/>
                  </w:rPr>
                  <m:t>=</m:t>
                </m:r>
                <m:d>
                  <m:dPr>
                    <m:ctrlPr>
                      <w:rPr>
                        <w:rFonts w:ascii="Cambria Math" w:hAnsi="Cambria Math" w:cs="Segoe UI"/>
                        <w:sz w:val="17"/>
                        <w:szCs w:val="17"/>
                      </w:rPr>
                    </m:ctrlPr>
                  </m:dPr>
                  <m:e>
                    <m:func>
                      <m:funcPr>
                        <m:ctrlPr>
                          <w:rPr>
                            <w:rFonts w:ascii="Cambria Math" w:hAnsi="Cambria Math" w:cs="Segoe UI"/>
                            <w:sz w:val="17"/>
                            <w:szCs w:val="17"/>
                          </w:rPr>
                        </m:ctrlPr>
                      </m:funcPr>
                      <m:fName>
                        <m:r>
                          <m:rPr>
                            <m:sty m:val="p"/>
                          </m:rPr>
                          <w:rPr>
                            <w:rFonts w:ascii="Cambria Math" w:hAnsi="Cambria Math" w:cs="Segoe UI"/>
                            <w:sz w:val="17"/>
                            <w:szCs w:val="17"/>
                          </w:rPr>
                          <m:t xml:space="preserve"> </m:t>
                        </m:r>
                      </m:fName>
                      <m:e>
                        <m:f>
                          <m:fPr>
                            <m:ctrlPr>
                              <w:rPr>
                                <w:rFonts w:ascii="Cambria Math" w:hAnsi="Cambria Math" w:cs="Segoe UI"/>
                                <w:sz w:val="17"/>
                                <w:szCs w:val="17"/>
                              </w:rPr>
                            </m:ctrlPr>
                          </m:fPr>
                          <m:num>
                            <m:r>
                              <m:rPr>
                                <m:sty m:val="p"/>
                              </m:rPr>
                              <w:rPr>
                                <w:rFonts w:ascii="Cambria Math" w:eastAsia="Cambria Math" w:hAnsi="Cambria Math" w:cs="Segoe UI"/>
                                <w:sz w:val="17"/>
                                <w:szCs w:val="17"/>
                              </w:rPr>
                              <m:t>1</m:t>
                            </m:r>
                          </m:num>
                          <m:den>
                            <m:r>
                              <w:rPr>
                                <w:rFonts w:ascii="Cambria Math" w:eastAsia="Cambria Math" w:hAnsi="Cambria Math" w:cs="Segoe UI"/>
                                <w:sz w:val="17"/>
                                <w:szCs w:val="17"/>
                              </w:rPr>
                              <m:t>N</m:t>
                            </m:r>
                          </m:den>
                        </m:f>
                      </m:e>
                    </m:func>
                    <m:r>
                      <m:rPr>
                        <m:sty m:val="p"/>
                      </m:rPr>
                      <w:rPr>
                        <w:rFonts w:ascii="Cambria Math" w:hAnsi="Cambria Math" w:cs="Segoe UI"/>
                        <w:sz w:val="17"/>
                        <w:szCs w:val="17"/>
                      </w:rPr>
                      <m:t xml:space="preserve">  </m:t>
                    </m:r>
                  </m:e>
                </m:d>
                <m:nary>
                  <m:naryPr>
                    <m:chr m:val="∑"/>
                    <m:grow m:val="1"/>
                    <m:ctrlPr>
                      <w:rPr>
                        <w:rFonts w:ascii="Cambria Math" w:hAnsi="Cambria Math" w:cs="Segoe UI"/>
                        <w:sz w:val="17"/>
                        <w:szCs w:val="17"/>
                      </w:rPr>
                    </m:ctrlPr>
                  </m:naryPr>
                  <m:sub>
                    <m:r>
                      <w:rPr>
                        <w:rFonts w:ascii="Cambria Math" w:hAnsi="Cambria Math" w:cs="Segoe UI"/>
                        <w:sz w:val="17"/>
                        <w:szCs w:val="17"/>
                      </w:rPr>
                      <m:t>n</m:t>
                    </m:r>
                    <m:r>
                      <m:rPr>
                        <m:sty m:val="p"/>
                      </m:rPr>
                      <w:rPr>
                        <w:rFonts w:ascii="Cambria Math" w:hAnsi="Cambria Math" w:cs="Segoe UI"/>
                        <w:sz w:val="17"/>
                        <w:szCs w:val="17"/>
                      </w:rPr>
                      <m:t>=1</m:t>
                    </m:r>
                  </m:sub>
                  <m:sup>
                    <m:r>
                      <w:rPr>
                        <w:rFonts w:ascii="Cambria Math" w:hAnsi="Cambria Math" w:cs="Segoe UI"/>
                        <w:sz w:val="17"/>
                        <w:szCs w:val="17"/>
                      </w:rPr>
                      <m:t>N</m:t>
                    </m:r>
                  </m:sup>
                  <m:e>
                    <m:r>
                      <w:rPr>
                        <w:rFonts w:ascii="Cambria Math" w:hAnsi="Cambria Math" w:cs="Segoe UI"/>
                        <w:sz w:val="17"/>
                        <w:szCs w:val="17"/>
                      </w:rPr>
                      <m:t>LCR</m:t>
                    </m:r>
                    <m:r>
                      <m:rPr>
                        <m:sty m:val="p"/>
                      </m:rPr>
                      <w:rPr>
                        <w:rFonts w:ascii="Cambria Math" w:hAnsi="Cambria Math"/>
                        <w:sz w:val="14"/>
                        <w:szCs w:val="17"/>
                      </w:rPr>
                      <m:t>n</m:t>
                    </m:r>
                  </m:e>
                </m:nary>
              </m:oMath>
            </m:oMathPara>
          </w:p>
          <w:p w14:paraId="0612C813" w14:textId="77777777" w:rsidR="00371FDD" w:rsidRPr="00371FDD" w:rsidRDefault="00371FDD" w:rsidP="00E57BDC">
            <w:pPr>
              <w:spacing w:before="40" w:after="40"/>
              <w:jc w:val="both"/>
              <w:rPr>
                <w:sz w:val="17"/>
                <w:szCs w:val="17"/>
              </w:rPr>
            </w:pPr>
            <w:r w:rsidRPr="00371FDD">
              <w:rPr>
                <w:sz w:val="17"/>
                <w:szCs w:val="17"/>
              </w:rPr>
              <w:t>where (a) N is the number of data points used in calculating such value for the quarter; and (b) LCR</w:t>
            </w:r>
            <w:r w:rsidRPr="00371FDD">
              <w:rPr>
                <w:sz w:val="14"/>
                <w:szCs w:val="17"/>
              </w:rPr>
              <w:t>n</w:t>
            </w:r>
            <w:r w:rsidRPr="00371FDD">
              <w:rPr>
                <w:sz w:val="17"/>
                <w:szCs w:val="17"/>
              </w:rPr>
              <w:t xml:space="preserve"> means the LCR at data point n.</w:t>
            </w:r>
          </w:p>
          <w:p w14:paraId="19922851" w14:textId="77777777" w:rsidR="00371FDD" w:rsidRPr="00371FDD" w:rsidRDefault="00371FDD" w:rsidP="00E57BDC">
            <w:pPr>
              <w:widowControl w:val="0"/>
              <w:tabs>
                <w:tab w:val="left" w:pos="150"/>
                <w:tab w:val="left" w:pos="397"/>
                <w:tab w:val="left" w:pos="794"/>
                <w:tab w:val="left" w:pos="1191"/>
              </w:tabs>
              <w:spacing w:before="40" w:after="40"/>
              <w:jc w:val="both"/>
              <w:rPr>
                <w:sz w:val="17"/>
                <w:szCs w:val="17"/>
              </w:rPr>
            </w:pPr>
            <w:r w:rsidRPr="00371FDD">
              <w:rPr>
                <w:sz w:val="17"/>
                <w:szCs w:val="17"/>
              </w:rPr>
              <w:t>For the avoidance of doubt, the “average value” of the AI’s LCR for the quarter should not be simply calculated by dividing (i) the “average value” of its total HQLA for the quarter (row 21) by (ii) the “average value” of its total net cash outflows for the quarter (row 22).</w:t>
            </w:r>
          </w:p>
          <w:p w14:paraId="172173BC" w14:textId="77777777" w:rsidR="00371FDD" w:rsidRPr="00371FDD" w:rsidRDefault="00371FDD" w:rsidP="00E57BDC">
            <w:pPr>
              <w:spacing w:before="40" w:after="40"/>
              <w:jc w:val="both"/>
              <w:rPr>
                <w:i/>
                <w:sz w:val="17"/>
                <w:szCs w:val="17"/>
              </w:rPr>
            </w:pPr>
            <w:r w:rsidRPr="00371FDD">
              <w:rPr>
                <w:sz w:val="17"/>
                <w:szCs w:val="17"/>
              </w:rPr>
              <w:t>{Item D}</w:t>
            </w:r>
          </w:p>
        </w:tc>
      </w:tr>
    </w:tbl>
    <w:p w14:paraId="44AF79BF" w14:textId="77777777" w:rsidR="00371FDD" w:rsidRDefault="00371FDD" w:rsidP="00B42E96">
      <w:pPr>
        <w:keepNext/>
        <w:keepLines/>
        <w:tabs>
          <w:tab w:val="left" w:pos="567"/>
        </w:tabs>
        <w:spacing w:after="360"/>
        <w:ind w:rightChars="-142" w:right="-284"/>
        <w:outlineLvl w:val="0"/>
        <w:rPr>
          <w:color w:val="C00000"/>
          <w:sz w:val="28"/>
          <w:szCs w:val="28"/>
        </w:rPr>
        <w:sectPr w:rsidR="00371FDD" w:rsidSect="00A54BE4">
          <w:footerReference w:type="default" r:id="rId40"/>
          <w:pgSz w:w="11906" w:h="16838"/>
          <w:pgMar w:top="1440" w:right="1800" w:bottom="1440" w:left="1800" w:header="851" w:footer="992" w:gutter="0"/>
          <w:cols w:space="425"/>
          <w:docGrid w:type="lines" w:linePitch="360"/>
        </w:sectPr>
      </w:pPr>
    </w:p>
    <w:p w14:paraId="5E8798BA" w14:textId="0212FF3A" w:rsidR="00C814AC" w:rsidRDefault="00C814AC" w:rsidP="009F6639">
      <w:pPr>
        <w:pStyle w:val="Heading2"/>
        <w:ind w:firstLine="170"/>
      </w:pPr>
      <w:r w:rsidRPr="0023654F">
        <w:lastRenderedPageBreak/>
        <w:t xml:space="preserve">Template </w:t>
      </w:r>
      <w:r>
        <w:t xml:space="preserve">LIQ2: </w:t>
      </w:r>
      <w:r w:rsidRPr="00C814AC">
        <w:t xml:space="preserve"> Net Stable Funding Ratio – for category 1 institution</w:t>
      </w:r>
    </w:p>
    <w:tbl>
      <w:tblPr>
        <w:tblW w:w="9101" w:type="dxa"/>
        <w:tblInd w:w="-318"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1986"/>
        <w:gridCol w:w="7115"/>
      </w:tblGrid>
      <w:tr w:rsidR="00C814AC" w:rsidRPr="00D55956" w14:paraId="0F69D8DB" w14:textId="77777777" w:rsidTr="00AC6CAB">
        <w:tc>
          <w:tcPr>
            <w:tcW w:w="1986" w:type="dxa"/>
          </w:tcPr>
          <w:p w14:paraId="2D1AAD71" w14:textId="77777777" w:rsidR="00C814AC" w:rsidRPr="00D55956" w:rsidRDefault="00C814AC" w:rsidP="00AC6CAB">
            <w:pPr>
              <w:spacing w:before="40" w:after="40"/>
              <w:rPr>
                <w:noProof/>
                <w:sz w:val="17"/>
                <w:lang w:eastAsia="en-GB"/>
              </w:rPr>
            </w:pPr>
            <w:r w:rsidRPr="00D55956">
              <w:rPr>
                <w:b/>
                <w:sz w:val="17"/>
                <w:lang w:eastAsia="en-GB"/>
              </w:rPr>
              <w:t>Purpose:</w:t>
            </w:r>
            <w:r w:rsidRPr="00D55956">
              <w:rPr>
                <w:sz w:val="17"/>
                <w:lang w:eastAsia="en-GB"/>
              </w:rPr>
              <w:t xml:space="preserve"> </w:t>
            </w:r>
          </w:p>
        </w:tc>
        <w:tc>
          <w:tcPr>
            <w:tcW w:w="7115" w:type="dxa"/>
          </w:tcPr>
          <w:p w14:paraId="737CA243" w14:textId="77777777" w:rsidR="00C814AC" w:rsidRPr="00D55956" w:rsidRDefault="00C814AC" w:rsidP="00AC6CAB">
            <w:pPr>
              <w:spacing w:before="40" w:after="40"/>
              <w:jc w:val="both"/>
              <w:rPr>
                <w:sz w:val="17"/>
                <w:lang w:val="en-US" w:eastAsia="en-GB"/>
              </w:rPr>
            </w:pPr>
            <w:r w:rsidRPr="00D55956">
              <w:rPr>
                <w:sz w:val="17"/>
                <w:lang w:eastAsia="en-GB"/>
              </w:rPr>
              <w:t>To provide details of NSFR and details of ASF and RSF components.</w:t>
            </w:r>
          </w:p>
        </w:tc>
      </w:tr>
      <w:tr w:rsidR="00C814AC" w:rsidRPr="00D55956" w14:paraId="5CBA73D5" w14:textId="77777777" w:rsidTr="00AC6CAB">
        <w:tc>
          <w:tcPr>
            <w:tcW w:w="1986" w:type="dxa"/>
          </w:tcPr>
          <w:p w14:paraId="6AB10E6A" w14:textId="77777777" w:rsidR="00C814AC" w:rsidRPr="00D55956" w:rsidRDefault="00C814AC" w:rsidP="00AC6CAB">
            <w:pPr>
              <w:spacing w:before="40" w:after="40"/>
              <w:rPr>
                <w:b/>
                <w:sz w:val="17"/>
                <w:lang w:eastAsia="en-GB"/>
              </w:rPr>
            </w:pPr>
            <w:r w:rsidRPr="00D55956">
              <w:rPr>
                <w:b/>
                <w:sz w:val="17"/>
                <w:lang w:eastAsia="en-GB"/>
              </w:rPr>
              <w:t xml:space="preserve">Scope of application: </w:t>
            </w:r>
          </w:p>
        </w:tc>
        <w:tc>
          <w:tcPr>
            <w:tcW w:w="7115" w:type="dxa"/>
          </w:tcPr>
          <w:p w14:paraId="2582F5F1" w14:textId="555A549F" w:rsidR="00C814AC" w:rsidRPr="00D55956" w:rsidRDefault="00C814AC" w:rsidP="00AC6CAB">
            <w:pPr>
              <w:spacing w:before="40" w:after="40"/>
              <w:jc w:val="both"/>
              <w:rPr>
                <w:sz w:val="17"/>
                <w:szCs w:val="17"/>
              </w:rPr>
            </w:pPr>
            <w:r w:rsidRPr="00D55956">
              <w:rPr>
                <w:sz w:val="17"/>
                <w:szCs w:val="17"/>
              </w:rPr>
              <w:t xml:space="preserve">The template is mandatory for </w:t>
            </w:r>
            <w:r w:rsidR="004052BD" w:rsidRPr="005C438C">
              <w:rPr>
                <w:sz w:val="17"/>
                <w:szCs w:val="17"/>
              </w:rPr>
              <w:t>both AIs incorporated in Hong Kong and AIs incorporated outside Hong Kong</w:t>
            </w:r>
            <w:r w:rsidRPr="00D55956">
              <w:rPr>
                <w:sz w:val="17"/>
                <w:szCs w:val="17"/>
              </w:rPr>
              <w:t xml:space="preserve"> that are designated as category 1 institution.  A category 1 institution should disclose the required items in this template on:-</w:t>
            </w:r>
          </w:p>
          <w:p w14:paraId="2C21D493" w14:textId="77777777" w:rsidR="00C814AC" w:rsidRPr="00D55956" w:rsidRDefault="00C814AC" w:rsidP="008D652E">
            <w:pPr>
              <w:numPr>
                <w:ilvl w:val="0"/>
                <w:numId w:val="41"/>
              </w:numPr>
              <w:tabs>
                <w:tab w:val="left" w:pos="436"/>
              </w:tabs>
              <w:spacing w:before="40" w:after="40"/>
              <w:ind w:left="459" w:hanging="459"/>
              <w:jc w:val="both"/>
              <w:rPr>
                <w:sz w:val="17"/>
                <w:szCs w:val="17"/>
              </w:rPr>
            </w:pPr>
            <w:r w:rsidRPr="00D55956">
              <w:rPr>
                <w:sz w:val="17"/>
                <w:szCs w:val="17"/>
              </w:rPr>
              <w:t>a consolidated basis – applicable to a category 1 institution incorporated in Hong Kong that is subject to BLR rule 11(1);</w:t>
            </w:r>
          </w:p>
          <w:p w14:paraId="28E4E3D2" w14:textId="77777777" w:rsidR="00C814AC" w:rsidRPr="00D55956" w:rsidRDefault="00C814AC" w:rsidP="008D652E">
            <w:pPr>
              <w:numPr>
                <w:ilvl w:val="0"/>
                <w:numId w:val="41"/>
              </w:numPr>
              <w:tabs>
                <w:tab w:val="left" w:pos="436"/>
              </w:tabs>
              <w:spacing w:before="40" w:after="40"/>
              <w:ind w:left="459" w:hanging="459"/>
              <w:jc w:val="both"/>
              <w:rPr>
                <w:sz w:val="17"/>
                <w:szCs w:val="17"/>
              </w:rPr>
            </w:pPr>
            <w:r w:rsidRPr="00D55956">
              <w:rPr>
                <w:sz w:val="17"/>
                <w:szCs w:val="17"/>
              </w:rPr>
              <w:t>an unconsolidated basis – applicable to a category 1 institution incorporated in Hong Kong that is not subject to BLR rule 11(1) but subject to BLR rule 10(1)(b); or</w:t>
            </w:r>
          </w:p>
          <w:p w14:paraId="7004AFA6" w14:textId="77777777" w:rsidR="00C814AC" w:rsidRPr="00D55956" w:rsidRDefault="00C814AC" w:rsidP="008D652E">
            <w:pPr>
              <w:numPr>
                <w:ilvl w:val="0"/>
                <w:numId w:val="41"/>
              </w:numPr>
              <w:tabs>
                <w:tab w:val="left" w:pos="436"/>
              </w:tabs>
              <w:spacing w:before="40" w:after="40"/>
              <w:ind w:left="459" w:hanging="459"/>
              <w:jc w:val="both"/>
              <w:rPr>
                <w:sz w:val="17"/>
                <w:szCs w:val="17"/>
              </w:rPr>
            </w:pPr>
            <w:r w:rsidRPr="00D55956">
              <w:rPr>
                <w:sz w:val="17"/>
                <w:szCs w:val="17"/>
              </w:rPr>
              <w:t>a Hong Kong office basis – applicable to a category 1 institution:-</w:t>
            </w:r>
          </w:p>
          <w:p w14:paraId="7ED374A1" w14:textId="77777777" w:rsidR="00C814AC" w:rsidRPr="00D55956" w:rsidRDefault="00C814AC" w:rsidP="008D652E">
            <w:pPr>
              <w:numPr>
                <w:ilvl w:val="1"/>
                <w:numId w:val="58"/>
              </w:numPr>
              <w:tabs>
                <w:tab w:val="left" w:pos="436"/>
              </w:tabs>
              <w:spacing w:before="40" w:after="40"/>
              <w:jc w:val="both"/>
              <w:rPr>
                <w:sz w:val="17"/>
                <w:szCs w:val="17"/>
              </w:rPr>
            </w:pPr>
            <w:r w:rsidRPr="00D55956">
              <w:rPr>
                <w:sz w:val="17"/>
                <w:szCs w:val="17"/>
              </w:rPr>
              <w:t>incorporated in Hong Kong that is not subject to BLR rule 10(1)(b) or 11 but subject to BLR rule 10(1)(a); and</w:t>
            </w:r>
          </w:p>
          <w:p w14:paraId="112E321D" w14:textId="77777777" w:rsidR="00C814AC" w:rsidRPr="00D55956" w:rsidRDefault="00C814AC" w:rsidP="008D652E">
            <w:pPr>
              <w:numPr>
                <w:ilvl w:val="1"/>
                <w:numId w:val="58"/>
              </w:numPr>
              <w:tabs>
                <w:tab w:val="left" w:pos="436"/>
              </w:tabs>
              <w:spacing w:before="40" w:after="40"/>
              <w:jc w:val="both"/>
              <w:rPr>
                <w:sz w:val="17"/>
                <w:szCs w:val="17"/>
              </w:rPr>
            </w:pPr>
            <w:r w:rsidRPr="00D55956">
              <w:rPr>
                <w:sz w:val="17"/>
                <w:szCs w:val="17"/>
              </w:rPr>
              <w:t>incorporated outside Hong Kong that is subject to BLR rule 10(1)(a).</w:t>
            </w:r>
          </w:p>
          <w:p w14:paraId="34452C1F" w14:textId="77777777" w:rsidR="00C814AC" w:rsidRPr="00D55956" w:rsidRDefault="00C814AC" w:rsidP="00AC6CAB">
            <w:pPr>
              <w:spacing w:before="40" w:after="40"/>
              <w:jc w:val="both"/>
              <w:rPr>
                <w:rFonts w:eastAsia="新細明體"/>
                <w:b/>
                <w:sz w:val="17"/>
                <w:lang w:val="en-US" w:eastAsia="en-GB"/>
              </w:rPr>
            </w:pPr>
            <w:r w:rsidRPr="00D55956">
              <w:rPr>
                <w:sz w:val="17"/>
                <w:szCs w:val="17"/>
              </w:rPr>
              <w:t>A category 1 institution should indicate the basis on which the required disclosure items in this template are disclosed.</w:t>
            </w:r>
          </w:p>
        </w:tc>
      </w:tr>
      <w:tr w:rsidR="00C814AC" w:rsidRPr="00D55956" w14:paraId="44818F71" w14:textId="77777777" w:rsidTr="00AC6CAB">
        <w:tc>
          <w:tcPr>
            <w:tcW w:w="1986" w:type="dxa"/>
          </w:tcPr>
          <w:p w14:paraId="77FA92A9" w14:textId="77777777" w:rsidR="00C814AC" w:rsidRPr="00D55956" w:rsidRDefault="00C814AC" w:rsidP="00AC6CAB">
            <w:pPr>
              <w:spacing w:before="40" w:after="40"/>
              <w:rPr>
                <w:b/>
                <w:sz w:val="17"/>
                <w:lang w:eastAsia="en-GB"/>
              </w:rPr>
            </w:pPr>
            <w:r w:rsidRPr="00D55956">
              <w:rPr>
                <w:b/>
                <w:sz w:val="17"/>
                <w:lang w:eastAsia="en-GB"/>
              </w:rPr>
              <w:t xml:space="preserve">Content: </w:t>
            </w:r>
          </w:p>
        </w:tc>
        <w:tc>
          <w:tcPr>
            <w:tcW w:w="7115" w:type="dxa"/>
          </w:tcPr>
          <w:p w14:paraId="62D946E4" w14:textId="77777777" w:rsidR="00C814AC" w:rsidRPr="00D55956" w:rsidRDefault="00C814AC" w:rsidP="00AC6CAB">
            <w:pPr>
              <w:spacing w:before="40" w:after="40"/>
              <w:jc w:val="both"/>
              <w:rPr>
                <w:rFonts w:eastAsia="新細明體"/>
                <w:b/>
                <w:sz w:val="17"/>
                <w:lang w:val="en-US" w:eastAsia="en-GB"/>
              </w:rPr>
            </w:pPr>
            <w:r w:rsidRPr="00D55956">
              <w:rPr>
                <w:sz w:val="17"/>
                <w:szCs w:val="17"/>
              </w:rPr>
              <w:t>Items disclosed should be measured and defined according to the methodology and instructions set out in the Stable Funding Position Return (MA(BS)26).  Data should be presented as quarter-end observations and in Hong Kong dollars or the equivalent amount of Hong Kong dollars.</w:t>
            </w:r>
          </w:p>
        </w:tc>
      </w:tr>
      <w:tr w:rsidR="00C814AC" w:rsidRPr="00D55956" w14:paraId="47B35ECD" w14:textId="77777777" w:rsidTr="00AC6CAB">
        <w:tc>
          <w:tcPr>
            <w:tcW w:w="1986" w:type="dxa"/>
          </w:tcPr>
          <w:p w14:paraId="3968AA22" w14:textId="77777777" w:rsidR="00C814AC" w:rsidRPr="00D55956" w:rsidRDefault="00C814AC" w:rsidP="00AC6CAB">
            <w:pPr>
              <w:spacing w:before="40" w:after="40"/>
              <w:rPr>
                <w:sz w:val="17"/>
                <w:lang w:eastAsia="en-GB"/>
              </w:rPr>
            </w:pPr>
            <w:r w:rsidRPr="00D55956">
              <w:rPr>
                <w:b/>
                <w:sz w:val="17"/>
                <w:lang w:eastAsia="en-GB"/>
              </w:rPr>
              <w:t>Frequency:</w:t>
            </w:r>
            <w:r w:rsidRPr="00D55956">
              <w:rPr>
                <w:sz w:val="17"/>
                <w:lang w:eastAsia="en-GB"/>
              </w:rPr>
              <w:t xml:space="preserve"> </w:t>
            </w:r>
          </w:p>
        </w:tc>
        <w:tc>
          <w:tcPr>
            <w:tcW w:w="7115" w:type="dxa"/>
          </w:tcPr>
          <w:p w14:paraId="7F53AA26" w14:textId="77777777" w:rsidR="00C814AC" w:rsidRPr="00D55956" w:rsidRDefault="00C814AC" w:rsidP="00AC6CAB">
            <w:pPr>
              <w:spacing w:before="40" w:after="40"/>
              <w:jc w:val="both"/>
              <w:rPr>
                <w:sz w:val="17"/>
                <w:lang w:eastAsia="en-GB"/>
              </w:rPr>
            </w:pPr>
            <w:r w:rsidRPr="00D55956">
              <w:rPr>
                <w:sz w:val="17"/>
                <w:lang w:eastAsia="en-GB"/>
              </w:rPr>
              <w:t>Semi-annual (including two data sets covering the latest and the preceding quarter-ends).</w:t>
            </w:r>
          </w:p>
        </w:tc>
      </w:tr>
      <w:tr w:rsidR="00C814AC" w:rsidRPr="00D55956" w14:paraId="7F996641" w14:textId="77777777" w:rsidTr="00AC6CAB">
        <w:tc>
          <w:tcPr>
            <w:tcW w:w="1986" w:type="dxa"/>
          </w:tcPr>
          <w:p w14:paraId="4748C6FF" w14:textId="77777777" w:rsidR="00C814AC" w:rsidRPr="00D55956" w:rsidRDefault="00C814AC" w:rsidP="00AC6CAB">
            <w:pPr>
              <w:spacing w:before="40" w:after="40"/>
              <w:rPr>
                <w:sz w:val="17"/>
                <w:lang w:eastAsia="en-GB"/>
              </w:rPr>
            </w:pPr>
            <w:r w:rsidRPr="00D55956">
              <w:rPr>
                <w:b/>
                <w:sz w:val="17"/>
                <w:lang w:eastAsia="en-GB"/>
              </w:rPr>
              <w:t>Format:</w:t>
            </w:r>
            <w:r w:rsidRPr="00D55956">
              <w:rPr>
                <w:sz w:val="17"/>
                <w:lang w:eastAsia="en-GB"/>
              </w:rPr>
              <w:t xml:space="preserve"> </w:t>
            </w:r>
          </w:p>
        </w:tc>
        <w:tc>
          <w:tcPr>
            <w:tcW w:w="7115" w:type="dxa"/>
          </w:tcPr>
          <w:p w14:paraId="4E070D63" w14:textId="77777777" w:rsidR="00C814AC" w:rsidRPr="00D55956" w:rsidRDefault="00C814AC" w:rsidP="00AC6CAB">
            <w:pPr>
              <w:spacing w:before="40" w:after="40"/>
              <w:jc w:val="both"/>
              <w:rPr>
                <w:sz w:val="17"/>
                <w:lang w:eastAsia="en-GB"/>
              </w:rPr>
            </w:pPr>
            <w:r w:rsidRPr="00D55956">
              <w:rPr>
                <w:sz w:val="17"/>
                <w:lang w:eastAsia="en-GB"/>
              </w:rPr>
              <w:t>Fixed.</w:t>
            </w:r>
          </w:p>
        </w:tc>
      </w:tr>
      <w:tr w:rsidR="00C814AC" w:rsidRPr="00D55956" w14:paraId="13C860E6" w14:textId="77777777" w:rsidTr="00AC6CAB">
        <w:tc>
          <w:tcPr>
            <w:tcW w:w="1986" w:type="dxa"/>
          </w:tcPr>
          <w:p w14:paraId="3AF4BCE8" w14:textId="77777777" w:rsidR="00C814AC" w:rsidRPr="00D55956" w:rsidRDefault="00C814AC" w:rsidP="00AC6CAB">
            <w:pPr>
              <w:spacing w:before="40" w:after="40"/>
              <w:rPr>
                <w:b/>
                <w:sz w:val="17"/>
                <w:lang w:eastAsia="en-GB"/>
              </w:rPr>
            </w:pPr>
            <w:r w:rsidRPr="00D55956">
              <w:rPr>
                <w:rFonts w:eastAsia="新細明體"/>
                <w:b/>
                <w:sz w:val="17"/>
                <w:szCs w:val="17"/>
                <w:lang w:eastAsia="en-GB"/>
              </w:rPr>
              <w:t>Accompanying narrative</w:t>
            </w:r>
            <w:r w:rsidRPr="00D55956">
              <w:rPr>
                <w:rFonts w:eastAsia="新細明體"/>
                <w:sz w:val="17"/>
                <w:szCs w:val="17"/>
                <w:lang w:eastAsia="en-GB"/>
              </w:rPr>
              <w:t>:</w:t>
            </w:r>
          </w:p>
        </w:tc>
        <w:tc>
          <w:tcPr>
            <w:tcW w:w="7115" w:type="dxa"/>
          </w:tcPr>
          <w:p w14:paraId="59FFDC55" w14:textId="77777777" w:rsidR="00C814AC" w:rsidRPr="00D55956" w:rsidRDefault="00C814AC" w:rsidP="00AC6CAB">
            <w:pPr>
              <w:spacing w:before="40" w:after="40"/>
              <w:jc w:val="both"/>
              <w:rPr>
                <w:sz w:val="17"/>
                <w:szCs w:val="17"/>
                <w:lang w:eastAsia="en-GB"/>
              </w:rPr>
            </w:pPr>
            <w:r w:rsidRPr="00D55956">
              <w:rPr>
                <w:sz w:val="17"/>
                <w:szCs w:val="17"/>
                <w:lang w:eastAsia="en-GB"/>
              </w:rPr>
              <w:t>An AI should provide a sufficient qualitative discussion on the NSFR to facilitate an understanding of the results and the accompanying data.  For example, where significant, the AI should discuss:</w:t>
            </w:r>
          </w:p>
          <w:p w14:paraId="47B490BB" w14:textId="77777777" w:rsidR="00C814AC" w:rsidRPr="00D55956" w:rsidRDefault="00C814AC" w:rsidP="008D652E">
            <w:pPr>
              <w:widowControl w:val="0"/>
              <w:numPr>
                <w:ilvl w:val="0"/>
                <w:numId w:val="59"/>
              </w:numPr>
              <w:tabs>
                <w:tab w:val="left" w:pos="355"/>
              </w:tabs>
              <w:autoSpaceDE w:val="0"/>
              <w:autoSpaceDN w:val="0"/>
              <w:adjustRightInd w:val="0"/>
              <w:jc w:val="both"/>
              <w:rPr>
                <w:rFonts w:eastAsia="新細明體" w:cs="Segoe UI"/>
                <w:color w:val="000000"/>
                <w:sz w:val="17"/>
                <w:szCs w:val="17"/>
                <w:lang w:val="en-US" w:eastAsia="zh-TW"/>
              </w:rPr>
            </w:pPr>
            <w:r w:rsidRPr="00D55956">
              <w:rPr>
                <w:rFonts w:eastAsia="新細明體" w:cs="Segoe UI"/>
                <w:color w:val="000000"/>
                <w:sz w:val="17"/>
                <w:szCs w:val="17"/>
                <w:lang w:val="en-US" w:eastAsia="zh-TW"/>
              </w:rPr>
              <w:t>the drivers of its NSFR results, the reasons for intra-period changes and the changes over time (e.g. changes in strategies, funding structure, circumstances); and</w:t>
            </w:r>
          </w:p>
          <w:p w14:paraId="75212654" w14:textId="77777777" w:rsidR="00C814AC" w:rsidRPr="00D55956" w:rsidRDefault="00C814AC" w:rsidP="008D652E">
            <w:pPr>
              <w:widowControl w:val="0"/>
              <w:numPr>
                <w:ilvl w:val="0"/>
                <w:numId w:val="59"/>
              </w:numPr>
              <w:tabs>
                <w:tab w:val="left" w:pos="355"/>
              </w:tabs>
              <w:autoSpaceDE w:val="0"/>
              <w:autoSpaceDN w:val="0"/>
              <w:adjustRightInd w:val="0"/>
              <w:jc w:val="both"/>
              <w:rPr>
                <w:rFonts w:eastAsia="新細明體" w:cs="Segoe UI"/>
                <w:color w:val="000000"/>
                <w:sz w:val="17"/>
                <w:szCs w:val="17"/>
                <w:lang w:val="en-US" w:eastAsia="en-GB"/>
              </w:rPr>
            </w:pPr>
            <w:r w:rsidRPr="00D55956">
              <w:rPr>
                <w:rFonts w:eastAsia="新細明體" w:cs="Segoe UI"/>
                <w:color w:val="000000"/>
                <w:sz w:val="17"/>
                <w:szCs w:val="17"/>
                <w:lang w:val="en-US" w:eastAsia="zh-TW"/>
              </w:rPr>
              <w:t>the</w:t>
            </w:r>
            <w:r w:rsidRPr="00D55956">
              <w:rPr>
                <w:rFonts w:eastAsia="新細明體" w:cs="Segoe UI"/>
                <w:color w:val="000000"/>
                <w:sz w:val="17"/>
                <w:szCs w:val="17"/>
                <w:lang w:val="en-US" w:eastAsia="en-GB"/>
              </w:rPr>
              <w:t xml:space="preserve"> composition of the AI’s interdependent assets and liabilities (as defined under Division 2 of </w:t>
            </w:r>
            <w:r w:rsidRPr="00D55956">
              <w:rPr>
                <w:rFonts w:eastAsia="新細明體" w:cs="Segoe UI"/>
                <w:color w:val="000000"/>
                <w:sz w:val="17"/>
                <w:szCs w:val="17"/>
                <w:lang w:val="en-US" w:eastAsia="zh-TW"/>
              </w:rPr>
              <w:t>Part 9 of the BLR</w:t>
            </w:r>
            <w:r w:rsidRPr="00D55956">
              <w:rPr>
                <w:rFonts w:eastAsia="新細明體" w:cs="Segoe UI"/>
                <w:color w:val="000000"/>
                <w:sz w:val="17"/>
                <w:szCs w:val="17"/>
                <w:lang w:val="en-US" w:eastAsia="en-GB"/>
              </w:rPr>
              <w:t>) and to what extent these transactions are interrelated.</w:t>
            </w:r>
          </w:p>
        </w:tc>
      </w:tr>
      <w:tr w:rsidR="00C814AC" w:rsidRPr="00D55956" w14:paraId="433AF8DA" w14:textId="77777777" w:rsidTr="00AC6CAB">
        <w:tc>
          <w:tcPr>
            <w:tcW w:w="1986" w:type="dxa"/>
          </w:tcPr>
          <w:p w14:paraId="093A1F1D" w14:textId="77777777" w:rsidR="00C814AC" w:rsidRPr="00D55956" w:rsidRDefault="00C814AC" w:rsidP="00AC6CAB">
            <w:pPr>
              <w:spacing w:before="40" w:after="40"/>
              <w:rPr>
                <w:rFonts w:eastAsia="新細明體"/>
                <w:b/>
                <w:sz w:val="17"/>
                <w:szCs w:val="17"/>
                <w:lang w:eastAsia="en-GB"/>
              </w:rPr>
            </w:pPr>
            <w:r w:rsidRPr="00D55956">
              <w:rPr>
                <w:rFonts w:eastAsia="新細明體"/>
                <w:b/>
                <w:sz w:val="17"/>
                <w:szCs w:val="17"/>
                <w:lang w:eastAsia="en-GB"/>
              </w:rPr>
              <w:t>Corresponding BDR section:</w:t>
            </w:r>
          </w:p>
        </w:tc>
        <w:tc>
          <w:tcPr>
            <w:tcW w:w="7115" w:type="dxa"/>
          </w:tcPr>
          <w:p w14:paraId="15C860EC" w14:textId="77777777" w:rsidR="00C814AC" w:rsidRPr="00D55956" w:rsidRDefault="00C814AC" w:rsidP="00AC6CAB">
            <w:pPr>
              <w:spacing w:before="40" w:after="40"/>
              <w:jc w:val="both"/>
              <w:rPr>
                <w:sz w:val="17"/>
                <w:szCs w:val="17"/>
                <w:lang w:eastAsia="en-GB"/>
              </w:rPr>
            </w:pPr>
            <w:r w:rsidRPr="00D55956">
              <w:rPr>
                <w:sz w:val="17"/>
                <w:szCs w:val="17"/>
                <w:lang w:eastAsia="en-GB"/>
              </w:rPr>
              <w:t>16FL and 103AB</w:t>
            </w:r>
          </w:p>
        </w:tc>
      </w:tr>
    </w:tbl>
    <w:p w14:paraId="4869A919" w14:textId="77777777" w:rsidR="00C814AC" w:rsidRPr="00D55956" w:rsidRDefault="00C814AC" w:rsidP="00C814AC">
      <w:pPr>
        <w:rPr>
          <w:sz w:val="22"/>
        </w:rPr>
      </w:pPr>
    </w:p>
    <w:p w14:paraId="1888FF1F" w14:textId="77777777" w:rsidR="00C814AC" w:rsidRPr="00D55956" w:rsidRDefault="00C814AC" w:rsidP="00C814AC">
      <w:pPr>
        <w:rPr>
          <w:sz w:val="22"/>
        </w:rPr>
      </w:pPr>
    </w:p>
    <w:tbl>
      <w:tblPr>
        <w:tblW w:w="9073" w:type="dxa"/>
        <w:tblInd w:w="-426" w:type="dxa"/>
        <w:tblBorders>
          <w:top w:val="single" w:sz="8" w:space="0" w:color="BCBDBC"/>
          <w:left w:val="single" w:sz="8" w:space="0" w:color="BCBDBC"/>
          <w:bottom w:val="single" w:sz="8" w:space="0" w:color="BCBDBC"/>
          <w:right w:val="single" w:sz="8" w:space="0" w:color="BCBDBC"/>
          <w:insideH w:val="single" w:sz="6" w:space="0" w:color="BCBDBC"/>
          <w:insideV w:val="single" w:sz="6" w:space="0" w:color="BCBDBC"/>
        </w:tblBorders>
        <w:tblLayout w:type="fixed"/>
        <w:tblCellMar>
          <w:left w:w="0" w:type="dxa"/>
          <w:right w:w="0" w:type="dxa"/>
        </w:tblCellMar>
        <w:tblLook w:val="00A0" w:firstRow="1" w:lastRow="0" w:firstColumn="1" w:lastColumn="0" w:noHBand="0" w:noVBand="0"/>
      </w:tblPr>
      <w:tblGrid>
        <w:gridCol w:w="466"/>
        <w:gridCol w:w="3642"/>
        <w:gridCol w:w="994"/>
        <w:gridCol w:w="985"/>
        <w:gridCol w:w="992"/>
        <w:gridCol w:w="993"/>
        <w:gridCol w:w="1001"/>
      </w:tblGrid>
      <w:tr w:rsidR="00FF4BDC" w:rsidRPr="0023654F" w14:paraId="503905AF" w14:textId="77777777" w:rsidTr="00AC6CAB">
        <w:trPr>
          <w:trHeight w:val="324"/>
          <w:tblHeader/>
        </w:trPr>
        <w:tc>
          <w:tcPr>
            <w:tcW w:w="4110" w:type="dxa"/>
            <w:gridSpan w:val="2"/>
            <w:tcBorders>
              <w:top w:val="nil"/>
              <w:left w:val="nil"/>
              <w:bottom w:val="single" w:sz="4" w:space="0" w:color="auto"/>
              <w:right w:val="single" w:sz="4" w:space="0" w:color="auto"/>
            </w:tcBorders>
            <w:vAlign w:val="center"/>
          </w:tcPr>
          <w:p w14:paraId="1B3144C0" w14:textId="77777777" w:rsidR="00FF4BDC" w:rsidRDefault="00FF4BDC" w:rsidP="00AC6CAB">
            <w:pPr>
              <w:pStyle w:val="Default"/>
              <w:rPr>
                <w:b/>
                <w:bCs/>
                <w:sz w:val="20"/>
                <w:szCs w:val="20"/>
              </w:rPr>
            </w:pPr>
          </w:p>
        </w:tc>
        <w:tc>
          <w:tcPr>
            <w:tcW w:w="992" w:type="dxa"/>
            <w:tcBorders>
              <w:top w:val="single" w:sz="6" w:space="0" w:color="auto"/>
              <w:left w:val="single" w:sz="6" w:space="0" w:color="auto"/>
              <w:bottom w:val="single" w:sz="6" w:space="0" w:color="auto"/>
              <w:right w:val="single" w:sz="4" w:space="0" w:color="auto"/>
            </w:tcBorders>
            <w:vAlign w:val="center"/>
          </w:tcPr>
          <w:p w14:paraId="4C2732D8" w14:textId="77777777" w:rsidR="00FF4BDC" w:rsidRPr="00790743" w:rsidRDefault="00FF4BDC" w:rsidP="00AC6CAB">
            <w:pPr>
              <w:pStyle w:val="TableText"/>
              <w:spacing w:before="0" w:after="0"/>
              <w:jc w:val="center"/>
              <w:rPr>
                <w:bCs/>
                <w:szCs w:val="17"/>
                <w:lang w:eastAsia="it-IT"/>
              </w:rPr>
            </w:pPr>
            <w:r w:rsidRPr="00790743">
              <w:rPr>
                <w:bCs/>
                <w:szCs w:val="17"/>
                <w:lang w:eastAsia="it-IT"/>
              </w:rPr>
              <w:t>(a)</w:t>
            </w:r>
          </w:p>
        </w:tc>
        <w:tc>
          <w:tcPr>
            <w:tcW w:w="985" w:type="dxa"/>
            <w:tcBorders>
              <w:top w:val="single" w:sz="6" w:space="0" w:color="auto"/>
              <w:left w:val="single" w:sz="4" w:space="0" w:color="auto"/>
              <w:bottom w:val="single" w:sz="6" w:space="0" w:color="auto"/>
              <w:right w:val="single" w:sz="4" w:space="0" w:color="auto"/>
            </w:tcBorders>
            <w:vAlign w:val="center"/>
          </w:tcPr>
          <w:p w14:paraId="16D6720C" w14:textId="77777777" w:rsidR="00FF4BDC" w:rsidRPr="00790743" w:rsidRDefault="00FF4BDC" w:rsidP="00AC6CAB">
            <w:pPr>
              <w:pStyle w:val="TableText"/>
              <w:spacing w:before="0" w:after="0"/>
              <w:jc w:val="center"/>
              <w:rPr>
                <w:bCs/>
                <w:szCs w:val="17"/>
                <w:lang w:eastAsia="it-IT"/>
              </w:rPr>
            </w:pPr>
            <w:r w:rsidRPr="00790743">
              <w:rPr>
                <w:bCs/>
                <w:szCs w:val="17"/>
                <w:lang w:eastAsia="it-IT"/>
              </w:rPr>
              <w:t>(b)</w:t>
            </w:r>
          </w:p>
        </w:tc>
        <w:tc>
          <w:tcPr>
            <w:tcW w:w="992" w:type="dxa"/>
            <w:tcBorders>
              <w:top w:val="single" w:sz="6" w:space="0" w:color="auto"/>
              <w:left w:val="single" w:sz="4" w:space="0" w:color="auto"/>
              <w:bottom w:val="single" w:sz="6" w:space="0" w:color="auto"/>
              <w:right w:val="single" w:sz="4" w:space="0" w:color="auto"/>
            </w:tcBorders>
          </w:tcPr>
          <w:p w14:paraId="3BE1E737" w14:textId="77777777" w:rsidR="00FF4BDC" w:rsidRPr="00790743" w:rsidRDefault="00FF4BDC" w:rsidP="00AC6CAB">
            <w:pPr>
              <w:jc w:val="center"/>
              <w:rPr>
                <w:sz w:val="17"/>
                <w:szCs w:val="17"/>
              </w:rPr>
            </w:pPr>
            <w:r w:rsidRPr="00790743">
              <w:rPr>
                <w:bCs/>
                <w:sz w:val="17"/>
                <w:szCs w:val="17"/>
                <w:lang w:eastAsia="it-IT"/>
              </w:rPr>
              <w:t>(c)</w:t>
            </w:r>
          </w:p>
        </w:tc>
        <w:tc>
          <w:tcPr>
            <w:tcW w:w="993" w:type="dxa"/>
            <w:tcBorders>
              <w:top w:val="single" w:sz="6" w:space="0" w:color="auto"/>
              <w:left w:val="single" w:sz="4" w:space="0" w:color="auto"/>
              <w:bottom w:val="single" w:sz="6" w:space="0" w:color="auto"/>
              <w:right w:val="single" w:sz="6" w:space="0" w:color="auto"/>
            </w:tcBorders>
          </w:tcPr>
          <w:p w14:paraId="646FECF0" w14:textId="77777777" w:rsidR="00FF4BDC" w:rsidRPr="00790743" w:rsidRDefault="00FF4BDC" w:rsidP="00AC6CAB">
            <w:pPr>
              <w:jc w:val="center"/>
              <w:rPr>
                <w:sz w:val="17"/>
                <w:szCs w:val="17"/>
              </w:rPr>
            </w:pPr>
            <w:r w:rsidRPr="00790743">
              <w:rPr>
                <w:bCs/>
                <w:sz w:val="17"/>
                <w:szCs w:val="17"/>
                <w:lang w:eastAsia="it-IT"/>
              </w:rPr>
              <w:t>(d)</w:t>
            </w:r>
          </w:p>
        </w:tc>
        <w:tc>
          <w:tcPr>
            <w:tcW w:w="1001" w:type="dxa"/>
            <w:tcBorders>
              <w:top w:val="single" w:sz="6" w:space="0" w:color="auto"/>
              <w:left w:val="single" w:sz="6" w:space="0" w:color="auto"/>
              <w:bottom w:val="single" w:sz="6" w:space="0" w:color="auto"/>
              <w:right w:val="single" w:sz="4" w:space="0" w:color="auto"/>
            </w:tcBorders>
          </w:tcPr>
          <w:p w14:paraId="34E1A9BA" w14:textId="77777777" w:rsidR="00FF4BDC" w:rsidRPr="00790743" w:rsidRDefault="00FF4BDC" w:rsidP="00AC6CAB">
            <w:pPr>
              <w:jc w:val="center"/>
              <w:rPr>
                <w:sz w:val="17"/>
                <w:szCs w:val="17"/>
              </w:rPr>
            </w:pPr>
            <w:r w:rsidRPr="00790743">
              <w:rPr>
                <w:bCs/>
                <w:sz w:val="17"/>
                <w:szCs w:val="17"/>
                <w:lang w:eastAsia="it-IT"/>
              </w:rPr>
              <w:t>(e)</w:t>
            </w:r>
          </w:p>
        </w:tc>
      </w:tr>
      <w:tr w:rsidR="00FF4BDC" w:rsidRPr="0023654F" w14:paraId="687CC1A6" w14:textId="77777777" w:rsidTr="00AC6CAB">
        <w:trPr>
          <w:trHeight w:val="241"/>
          <w:tblHeader/>
        </w:trPr>
        <w:tc>
          <w:tcPr>
            <w:tcW w:w="4110" w:type="dxa"/>
            <w:gridSpan w:val="2"/>
            <w:vMerge w:val="restart"/>
            <w:tcBorders>
              <w:top w:val="single" w:sz="4" w:space="0" w:color="auto"/>
              <w:left w:val="nil"/>
              <w:right w:val="single" w:sz="6" w:space="0" w:color="auto"/>
            </w:tcBorders>
            <w:vAlign w:val="center"/>
          </w:tcPr>
          <w:p w14:paraId="369BDE7F" w14:textId="77777777" w:rsidR="00FF4BDC" w:rsidRPr="000B6342" w:rsidRDefault="00FF4BDC" w:rsidP="00AC6CAB">
            <w:pPr>
              <w:pStyle w:val="TableText"/>
              <w:snapToGrid w:val="0"/>
              <w:ind w:rightChars="71" w:right="142"/>
              <w:rPr>
                <w:lang w:eastAsia="it-IT"/>
              </w:rPr>
            </w:pPr>
            <w:r w:rsidRPr="00E960C4">
              <w:rPr>
                <w:lang w:eastAsia="it-IT"/>
              </w:rPr>
              <w:t>Basis of disclosure: consolidated / unconsolidated / Hong Kong office (delete as appropriate)</w:t>
            </w:r>
          </w:p>
        </w:tc>
        <w:tc>
          <w:tcPr>
            <w:tcW w:w="3962" w:type="dxa"/>
            <w:gridSpan w:val="4"/>
            <w:tcBorders>
              <w:top w:val="single" w:sz="6" w:space="0" w:color="auto"/>
              <w:left w:val="single" w:sz="6" w:space="0" w:color="auto"/>
              <w:bottom w:val="single" w:sz="4" w:space="0" w:color="auto"/>
              <w:right w:val="single" w:sz="6" w:space="0" w:color="auto"/>
            </w:tcBorders>
            <w:vAlign w:val="center"/>
          </w:tcPr>
          <w:p w14:paraId="14B37266" w14:textId="77777777" w:rsidR="00FF4BDC" w:rsidRPr="00350593" w:rsidRDefault="00FF4BDC" w:rsidP="00AC6CAB">
            <w:pPr>
              <w:pStyle w:val="TableText"/>
              <w:snapToGrid w:val="0"/>
              <w:jc w:val="center"/>
              <w:rPr>
                <w:b/>
                <w:lang w:eastAsia="it-IT"/>
              </w:rPr>
            </w:pPr>
            <w:r w:rsidRPr="00350593">
              <w:rPr>
                <w:b/>
                <w:lang w:eastAsia="it-IT"/>
              </w:rPr>
              <w:t>Unweighted value by residual maturity</w:t>
            </w:r>
          </w:p>
        </w:tc>
        <w:tc>
          <w:tcPr>
            <w:tcW w:w="1001" w:type="dxa"/>
            <w:vMerge w:val="restart"/>
            <w:tcBorders>
              <w:top w:val="single" w:sz="6" w:space="0" w:color="auto"/>
              <w:left w:val="single" w:sz="6" w:space="0" w:color="auto"/>
              <w:right w:val="single" w:sz="4" w:space="0" w:color="auto"/>
            </w:tcBorders>
            <w:vAlign w:val="center"/>
          </w:tcPr>
          <w:p w14:paraId="433878BD" w14:textId="77777777" w:rsidR="00FF4BDC" w:rsidRPr="00350593" w:rsidRDefault="00FF4BDC" w:rsidP="00AC6CAB">
            <w:pPr>
              <w:pStyle w:val="TableText"/>
              <w:snapToGrid w:val="0"/>
              <w:jc w:val="center"/>
              <w:rPr>
                <w:b/>
                <w:lang w:eastAsia="it-IT"/>
              </w:rPr>
            </w:pPr>
            <w:r>
              <w:rPr>
                <w:b/>
                <w:lang w:eastAsia="it-IT"/>
              </w:rPr>
              <w:t>W</w:t>
            </w:r>
            <w:r w:rsidRPr="00445B4A">
              <w:rPr>
                <w:b/>
                <w:lang w:eastAsia="it-IT"/>
              </w:rPr>
              <w:t xml:space="preserve">eighted </w:t>
            </w:r>
            <w:r>
              <w:rPr>
                <w:b/>
                <w:lang w:eastAsia="it-IT"/>
              </w:rPr>
              <w:t>amount</w:t>
            </w:r>
          </w:p>
        </w:tc>
      </w:tr>
      <w:tr w:rsidR="00FF4BDC" w:rsidRPr="0023654F" w14:paraId="087C20D5" w14:textId="77777777" w:rsidTr="00AC6CAB">
        <w:trPr>
          <w:trHeight w:val="553"/>
          <w:tblHeader/>
        </w:trPr>
        <w:tc>
          <w:tcPr>
            <w:tcW w:w="4110" w:type="dxa"/>
            <w:gridSpan w:val="2"/>
            <w:vMerge/>
            <w:tcBorders>
              <w:left w:val="nil"/>
              <w:bottom w:val="single" w:sz="4" w:space="0" w:color="auto"/>
              <w:right w:val="single" w:sz="6" w:space="0" w:color="auto"/>
            </w:tcBorders>
            <w:vAlign w:val="center"/>
          </w:tcPr>
          <w:p w14:paraId="151DF917" w14:textId="77777777" w:rsidR="00FF4BDC" w:rsidRPr="00E960C4" w:rsidRDefault="00FF4BDC" w:rsidP="00AC6CAB">
            <w:pPr>
              <w:pStyle w:val="TableText"/>
              <w:snapToGrid w:val="0"/>
              <w:ind w:rightChars="71" w:right="142"/>
              <w:rPr>
                <w:lang w:eastAsia="it-IT"/>
              </w:rPr>
            </w:pPr>
          </w:p>
        </w:tc>
        <w:tc>
          <w:tcPr>
            <w:tcW w:w="992" w:type="dxa"/>
            <w:tcBorders>
              <w:top w:val="single" w:sz="4" w:space="0" w:color="auto"/>
              <w:left w:val="single" w:sz="6" w:space="0" w:color="auto"/>
              <w:bottom w:val="single" w:sz="4" w:space="0" w:color="auto"/>
              <w:right w:val="single" w:sz="4" w:space="0" w:color="auto"/>
            </w:tcBorders>
            <w:vAlign w:val="center"/>
          </w:tcPr>
          <w:p w14:paraId="39E99D88" w14:textId="77777777" w:rsidR="00FF4BDC" w:rsidRPr="00350593" w:rsidRDefault="00FF4BDC" w:rsidP="00AC6CAB">
            <w:pPr>
              <w:pStyle w:val="TableText"/>
              <w:snapToGrid w:val="0"/>
              <w:jc w:val="center"/>
              <w:rPr>
                <w:lang w:eastAsia="it-IT"/>
              </w:rPr>
            </w:pPr>
            <w:r>
              <w:rPr>
                <w:lang w:eastAsia="it-IT"/>
              </w:rPr>
              <w:t xml:space="preserve"> </w:t>
            </w:r>
            <w:r w:rsidRPr="00350593">
              <w:rPr>
                <w:lang w:eastAsia="it-IT"/>
              </w:rPr>
              <w:t>No</w:t>
            </w:r>
            <w:r>
              <w:rPr>
                <w:lang w:eastAsia="it-IT"/>
              </w:rPr>
              <w:t xml:space="preserve"> specified term to</w:t>
            </w:r>
            <w:r w:rsidRPr="00350593">
              <w:rPr>
                <w:lang w:eastAsia="it-IT"/>
              </w:rPr>
              <w:t xml:space="preserve"> maturity</w:t>
            </w:r>
          </w:p>
        </w:tc>
        <w:tc>
          <w:tcPr>
            <w:tcW w:w="985" w:type="dxa"/>
            <w:tcBorders>
              <w:top w:val="single" w:sz="4" w:space="0" w:color="auto"/>
              <w:left w:val="single" w:sz="4" w:space="0" w:color="auto"/>
              <w:bottom w:val="single" w:sz="4" w:space="0" w:color="auto"/>
              <w:right w:val="single" w:sz="4" w:space="0" w:color="auto"/>
            </w:tcBorders>
            <w:vAlign w:val="center"/>
          </w:tcPr>
          <w:p w14:paraId="524D2A65" w14:textId="77777777" w:rsidR="00FF4BDC" w:rsidRPr="00350593" w:rsidRDefault="00FF4BDC" w:rsidP="00AC6CAB">
            <w:pPr>
              <w:pStyle w:val="TableText"/>
              <w:snapToGrid w:val="0"/>
              <w:jc w:val="center"/>
              <w:rPr>
                <w:lang w:eastAsia="it-IT"/>
              </w:rPr>
            </w:pPr>
            <w:r>
              <w:rPr>
                <w:lang w:eastAsia="it-IT"/>
              </w:rPr>
              <w:t>&lt;6 months or repayable on demand</w:t>
            </w:r>
          </w:p>
        </w:tc>
        <w:tc>
          <w:tcPr>
            <w:tcW w:w="992" w:type="dxa"/>
            <w:tcBorders>
              <w:top w:val="single" w:sz="4" w:space="0" w:color="auto"/>
              <w:left w:val="single" w:sz="4" w:space="0" w:color="auto"/>
              <w:bottom w:val="single" w:sz="6" w:space="0" w:color="auto"/>
              <w:right w:val="single" w:sz="4" w:space="0" w:color="auto"/>
            </w:tcBorders>
            <w:vAlign w:val="center"/>
          </w:tcPr>
          <w:p w14:paraId="7560432C" w14:textId="77777777" w:rsidR="00FF4BDC" w:rsidRPr="00350593" w:rsidRDefault="00FF4BDC" w:rsidP="00AC6CAB">
            <w:pPr>
              <w:pStyle w:val="TableText"/>
              <w:snapToGrid w:val="0"/>
              <w:jc w:val="center"/>
              <w:rPr>
                <w:lang w:eastAsia="it-IT"/>
              </w:rPr>
            </w:pPr>
            <w:r>
              <w:rPr>
                <w:lang w:eastAsia="it-IT"/>
              </w:rPr>
              <w:t xml:space="preserve">6 months to &lt; 12 months </w:t>
            </w:r>
          </w:p>
        </w:tc>
        <w:tc>
          <w:tcPr>
            <w:tcW w:w="993" w:type="dxa"/>
            <w:tcBorders>
              <w:top w:val="single" w:sz="4" w:space="0" w:color="auto"/>
              <w:left w:val="single" w:sz="4" w:space="0" w:color="auto"/>
              <w:bottom w:val="single" w:sz="6" w:space="0" w:color="auto"/>
              <w:right w:val="single" w:sz="6" w:space="0" w:color="auto"/>
            </w:tcBorders>
            <w:vAlign w:val="center"/>
          </w:tcPr>
          <w:p w14:paraId="08FDF110" w14:textId="77777777" w:rsidR="00FF4BDC" w:rsidRPr="00350593" w:rsidRDefault="00FF4BDC" w:rsidP="00AC6CAB">
            <w:pPr>
              <w:pStyle w:val="TableText"/>
              <w:snapToGrid w:val="0"/>
              <w:jc w:val="center"/>
              <w:rPr>
                <w:lang w:eastAsia="it-IT"/>
              </w:rPr>
            </w:pPr>
            <w:r>
              <w:rPr>
                <w:lang w:eastAsia="it-IT"/>
              </w:rPr>
              <w:t xml:space="preserve">12 months or more </w:t>
            </w:r>
          </w:p>
        </w:tc>
        <w:tc>
          <w:tcPr>
            <w:tcW w:w="1001" w:type="dxa"/>
            <w:vMerge/>
            <w:tcBorders>
              <w:left w:val="single" w:sz="6" w:space="0" w:color="auto"/>
              <w:bottom w:val="single" w:sz="6" w:space="0" w:color="auto"/>
              <w:right w:val="single" w:sz="4" w:space="0" w:color="auto"/>
            </w:tcBorders>
            <w:vAlign w:val="center"/>
          </w:tcPr>
          <w:p w14:paraId="1115B2E1" w14:textId="77777777" w:rsidR="00FF4BDC" w:rsidRDefault="00FF4BDC" w:rsidP="00AC6CAB">
            <w:pPr>
              <w:pStyle w:val="TableText"/>
              <w:snapToGrid w:val="0"/>
              <w:jc w:val="center"/>
              <w:rPr>
                <w:b/>
                <w:lang w:eastAsia="it-IT"/>
              </w:rPr>
            </w:pPr>
          </w:p>
        </w:tc>
      </w:tr>
      <w:tr w:rsidR="00FF4BDC" w:rsidRPr="0023654F" w14:paraId="355F6336" w14:textId="77777777" w:rsidTr="00AC6CAB">
        <w:trPr>
          <w:cantSplit/>
          <w:trHeight w:val="285"/>
        </w:trPr>
        <w:tc>
          <w:tcPr>
            <w:tcW w:w="4110" w:type="dxa"/>
            <w:gridSpan w:val="2"/>
            <w:tcBorders>
              <w:top w:val="single" w:sz="4" w:space="0" w:color="auto"/>
              <w:left w:val="nil"/>
              <w:bottom w:val="single" w:sz="4" w:space="0" w:color="auto"/>
              <w:right w:val="nil"/>
            </w:tcBorders>
            <w:shd w:val="clear" w:color="auto" w:fill="BFBFBF"/>
          </w:tcPr>
          <w:p w14:paraId="1D043C9C" w14:textId="77777777" w:rsidR="00FF4BDC" w:rsidRPr="00445B4A" w:rsidRDefault="00FF4BDC" w:rsidP="008D652E">
            <w:pPr>
              <w:pStyle w:val="TableText"/>
              <w:numPr>
                <w:ilvl w:val="0"/>
                <w:numId w:val="65"/>
              </w:numPr>
              <w:snapToGrid w:val="0"/>
              <w:ind w:rightChars="71" w:right="142"/>
              <w:rPr>
                <w:b/>
                <w:lang w:eastAsia="it-IT"/>
              </w:rPr>
            </w:pPr>
            <w:r>
              <w:rPr>
                <w:b/>
                <w:lang w:eastAsia="it-IT"/>
              </w:rPr>
              <w:t>Available stable funding (“ASF”) item</w:t>
            </w:r>
          </w:p>
        </w:tc>
        <w:tc>
          <w:tcPr>
            <w:tcW w:w="992" w:type="dxa"/>
            <w:tcBorders>
              <w:top w:val="single" w:sz="4" w:space="0" w:color="auto"/>
              <w:left w:val="nil"/>
              <w:bottom w:val="single" w:sz="4" w:space="0" w:color="auto"/>
              <w:right w:val="nil"/>
            </w:tcBorders>
            <w:shd w:val="clear" w:color="auto" w:fill="BFBFBF"/>
          </w:tcPr>
          <w:p w14:paraId="4695ED1C" w14:textId="77777777" w:rsidR="00FF4BDC" w:rsidRPr="0023654F" w:rsidRDefault="00FF4BDC" w:rsidP="00AC6CAB">
            <w:pPr>
              <w:pStyle w:val="TableText"/>
              <w:snapToGrid w:val="0"/>
              <w:rPr>
                <w:lang w:eastAsia="it-IT"/>
              </w:rPr>
            </w:pPr>
          </w:p>
        </w:tc>
        <w:tc>
          <w:tcPr>
            <w:tcW w:w="985" w:type="dxa"/>
            <w:tcBorders>
              <w:top w:val="single" w:sz="4" w:space="0" w:color="auto"/>
              <w:left w:val="nil"/>
              <w:bottom w:val="single" w:sz="4" w:space="0" w:color="auto"/>
              <w:right w:val="nil"/>
            </w:tcBorders>
            <w:shd w:val="clear" w:color="auto" w:fill="BFBFBF"/>
          </w:tcPr>
          <w:p w14:paraId="00B62D1B" w14:textId="77777777" w:rsidR="00FF4BDC" w:rsidRPr="0023654F" w:rsidRDefault="00FF4BDC" w:rsidP="00AC6CAB">
            <w:pPr>
              <w:pStyle w:val="TableText"/>
              <w:snapToGrid w:val="0"/>
              <w:rPr>
                <w:lang w:eastAsia="it-IT"/>
              </w:rPr>
            </w:pPr>
          </w:p>
        </w:tc>
        <w:tc>
          <w:tcPr>
            <w:tcW w:w="992" w:type="dxa"/>
            <w:tcBorders>
              <w:top w:val="single" w:sz="6" w:space="0" w:color="auto"/>
              <w:left w:val="nil"/>
              <w:bottom w:val="single" w:sz="4" w:space="0" w:color="auto"/>
              <w:right w:val="nil"/>
            </w:tcBorders>
            <w:shd w:val="clear" w:color="auto" w:fill="BFBFBF"/>
          </w:tcPr>
          <w:p w14:paraId="67ED27CB" w14:textId="77777777" w:rsidR="00FF4BDC" w:rsidRPr="0023654F" w:rsidRDefault="00FF4BDC" w:rsidP="00AC6CAB">
            <w:pPr>
              <w:pStyle w:val="TableText"/>
              <w:snapToGrid w:val="0"/>
              <w:rPr>
                <w:lang w:eastAsia="it-IT"/>
              </w:rPr>
            </w:pPr>
          </w:p>
        </w:tc>
        <w:tc>
          <w:tcPr>
            <w:tcW w:w="993" w:type="dxa"/>
            <w:tcBorders>
              <w:top w:val="single" w:sz="6" w:space="0" w:color="auto"/>
              <w:left w:val="nil"/>
              <w:bottom w:val="single" w:sz="4" w:space="0" w:color="auto"/>
              <w:right w:val="nil"/>
            </w:tcBorders>
            <w:shd w:val="clear" w:color="auto" w:fill="BFBFBF"/>
          </w:tcPr>
          <w:p w14:paraId="101C7F6D" w14:textId="77777777" w:rsidR="00FF4BDC" w:rsidRPr="0023654F" w:rsidRDefault="00FF4BDC" w:rsidP="00AC6CAB">
            <w:pPr>
              <w:pStyle w:val="TableText"/>
              <w:snapToGrid w:val="0"/>
              <w:rPr>
                <w:lang w:eastAsia="it-IT"/>
              </w:rPr>
            </w:pPr>
          </w:p>
        </w:tc>
        <w:tc>
          <w:tcPr>
            <w:tcW w:w="1001" w:type="dxa"/>
            <w:tcBorders>
              <w:top w:val="single" w:sz="6" w:space="0" w:color="auto"/>
              <w:left w:val="nil"/>
              <w:bottom w:val="single" w:sz="4" w:space="0" w:color="auto"/>
              <w:right w:val="single" w:sz="4" w:space="0" w:color="auto"/>
            </w:tcBorders>
            <w:shd w:val="clear" w:color="auto" w:fill="BFBFBF"/>
          </w:tcPr>
          <w:p w14:paraId="30512E06" w14:textId="77777777" w:rsidR="00FF4BDC" w:rsidRPr="0023654F" w:rsidRDefault="00FF4BDC" w:rsidP="00AC6CAB">
            <w:pPr>
              <w:pStyle w:val="TableText"/>
              <w:snapToGrid w:val="0"/>
              <w:rPr>
                <w:lang w:eastAsia="it-IT"/>
              </w:rPr>
            </w:pPr>
          </w:p>
        </w:tc>
      </w:tr>
      <w:tr w:rsidR="00FF4BDC" w:rsidRPr="0023654F" w14:paraId="4A4FE650" w14:textId="77777777" w:rsidTr="00AC6CAB">
        <w:trPr>
          <w:cantSplit/>
          <w:trHeight w:val="285"/>
        </w:trPr>
        <w:tc>
          <w:tcPr>
            <w:tcW w:w="467" w:type="dxa"/>
            <w:tcBorders>
              <w:top w:val="single" w:sz="4" w:space="0" w:color="auto"/>
              <w:left w:val="nil"/>
              <w:bottom w:val="single" w:sz="4" w:space="0" w:color="auto"/>
              <w:right w:val="single" w:sz="4" w:space="0" w:color="auto"/>
            </w:tcBorders>
            <w:shd w:val="clear" w:color="auto" w:fill="F2F2F2"/>
          </w:tcPr>
          <w:p w14:paraId="276DEFF3" w14:textId="77777777" w:rsidR="00FF4BDC" w:rsidRPr="0023654F" w:rsidRDefault="00FF4BDC" w:rsidP="00AC6CAB">
            <w:pPr>
              <w:pStyle w:val="TableText"/>
              <w:snapToGrid w:val="0"/>
              <w:ind w:left="57"/>
              <w:rPr>
                <w:sz w:val="16"/>
                <w:szCs w:val="16"/>
                <w:lang w:eastAsia="en-GB"/>
              </w:rPr>
            </w:pPr>
            <w:r>
              <w:rPr>
                <w:sz w:val="16"/>
                <w:szCs w:val="16"/>
                <w:lang w:eastAsia="en-GB"/>
              </w:rPr>
              <w:t>1</w:t>
            </w:r>
          </w:p>
        </w:tc>
        <w:tc>
          <w:tcPr>
            <w:tcW w:w="3643" w:type="dxa"/>
            <w:tcBorders>
              <w:top w:val="single" w:sz="4" w:space="0" w:color="auto"/>
              <w:left w:val="single" w:sz="4" w:space="0" w:color="auto"/>
              <w:bottom w:val="single" w:sz="4" w:space="0" w:color="auto"/>
              <w:right w:val="single" w:sz="4" w:space="0" w:color="auto"/>
            </w:tcBorders>
            <w:shd w:val="clear" w:color="auto" w:fill="F2F2F2"/>
          </w:tcPr>
          <w:p w14:paraId="3F9B153E" w14:textId="77777777" w:rsidR="00FF4BDC" w:rsidRPr="00E960C4" w:rsidRDefault="00FF4BDC" w:rsidP="00AC6CAB">
            <w:pPr>
              <w:pStyle w:val="TableText"/>
              <w:snapToGrid w:val="0"/>
              <w:ind w:left="57" w:rightChars="71" w:right="142"/>
              <w:rPr>
                <w:lang w:val="en-US" w:eastAsia="it-IT"/>
              </w:rPr>
            </w:pPr>
            <w:r>
              <w:rPr>
                <w:lang w:eastAsia="it-IT"/>
              </w:rPr>
              <w:t>Capital:</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3B8ACECE" w14:textId="77777777" w:rsidR="00FF4BDC" w:rsidRPr="0023654F" w:rsidRDefault="00FF4BDC" w:rsidP="00AC6CAB">
            <w:pPr>
              <w:pStyle w:val="TableText"/>
              <w:snapToGrid w:val="0"/>
              <w:rPr>
                <w:lang w:eastAsia="it-IT"/>
              </w:rPr>
            </w:pPr>
          </w:p>
        </w:tc>
        <w:tc>
          <w:tcPr>
            <w:tcW w:w="985" w:type="dxa"/>
            <w:tcBorders>
              <w:top w:val="single" w:sz="4" w:space="0" w:color="auto"/>
              <w:left w:val="single" w:sz="4" w:space="0" w:color="auto"/>
              <w:bottom w:val="single" w:sz="4" w:space="0" w:color="auto"/>
              <w:right w:val="single" w:sz="4" w:space="0" w:color="auto"/>
            </w:tcBorders>
            <w:shd w:val="clear" w:color="auto" w:fill="F2F2F2"/>
          </w:tcPr>
          <w:p w14:paraId="572C8229" w14:textId="77777777" w:rsidR="00FF4BDC" w:rsidRPr="0023654F" w:rsidRDefault="00FF4BDC" w:rsidP="00AC6CAB">
            <w:pPr>
              <w:pStyle w:val="TableText"/>
              <w:snapToGrid w:val="0"/>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618A4A1D" w14:textId="77777777" w:rsidR="00FF4BDC" w:rsidRPr="0023654F" w:rsidRDefault="00FF4BDC" w:rsidP="00AC6CAB">
            <w:pPr>
              <w:pStyle w:val="TableText"/>
              <w:snapToGrid w:val="0"/>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F2F2F2"/>
          </w:tcPr>
          <w:p w14:paraId="114A37F8" w14:textId="77777777" w:rsidR="00FF4BDC" w:rsidRPr="0023654F" w:rsidRDefault="00FF4BDC" w:rsidP="00AC6CAB">
            <w:pPr>
              <w:pStyle w:val="TableText"/>
              <w:snapToGrid w:val="0"/>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2F2F2"/>
          </w:tcPr>
          <w:p w14:paraId="6751DB1D" w14:textId="77777777" w:rsidR="00FF4BDC" w:rsidRPr="0023654F" w:rsidRDefault="00FF4BDC" w:rsidP="00AC6CAB">
            <w:pPr>
              <w:pStyle w:val="TableText"/>
              <w:snapToGrid w:val="0"/>
              <w:rPr>
                <w:lang w:eastAsia="it-IT"/>
              </w:rPr>
            </w:pPr>
          </w:p>
        </w:tc>
      </w:tr>
      <w:tr w:rsidR="00FF4BDC" w:rsidRPr="0023654F" w14:paraId="4EE1EA3D" w14:textId="77777777" w:rsidTr="00AC6CAB">
        <w:trPr>
          <w:cantSplit/>
          <w:trHeight w:val="270"/>
        </w:trPr>
        <w:tc>
          <w:tcPr>
            <w:tcW w:w="467" w:type="dxa"/>
            <w:tcBorders>
              <w:top w:val="single" w:sz="4" w:space="0" w:color="auto"/>
              <w:left w:val="nil"/>
              <w:bottom w:val="single" w:sz="4" w:space="0" w:color="auto"/>
              <w:right w:val="single" w:sz="4" w:space="0" w:color="auto"/>
            </w:tcBorders>
          </w:tcPr>
          <w:p w14:paraId="764371C9" w14:textId="77777777" w:rsidR="00FF4BDC" w:rsidRPr="0023654F" w:rsidRDefault="00FF4BDC" w:rsidP="00AC6CAB">
            <w:pPr>
              <w:pStyle w:val="TableText"/>
              <w:snapToGrid w:val="0"/>
              <w:ind w:left="57"/>
              <w:rPr>
                <w:sz w:val="16"/>
                <w:szCs w:val="16"/>
                <w:lang w:eastAsia="en-GB"/>
              </w:rPr>
            </w:pPr>
            <w:r>
              <w:rPr>
                <w:sz w:val="16"/>
                <w:szCs w:val="16"/>
                <w:lang w:eastAsia="en-GB"/>
              </w:rPr>
              <w:t>2</w:t>
            </w:r>
          </w:p>
        </w:tc>
        <w:tc>
          <w:tcPr>
            <w:tcW w:w="3643" w:type="dxa"/>
            <w:tcBorders>
              <w:top w:val="single" w:sz="4" w:space="0" w:color="auto"/>
              <w:left w:val="single" w:sz="4" w:space="0" w:color="auto"/>
              <w:bottom w:val="single" w:sz="4" w:space="0" w:color="auto"/>
              <w:right w:val="single" w:sz="4" w:space="0" w:color="auto"/>
            </w:tcBorders>
          </w:tcPr>
          <w:p w14:paraId="14712D59" w14:textId="77777777" w:rsidR="00FF4BDC" w:rsidRPr="00C940CE" w:rsidRDefault="00FF4BDC" w:rsidP="00AC6CAB">
            <w:pPr>
              <w:pStyle w:val="TableText"/>
              <w:snapToGrid w:val="0"/>
              <w:ind w:leftChars="28" w:left="382" w:rightChars="71" w:right="142" w:hangingChars="192" w:hanging="326"/>
              <w:rPr>
                <w:i/>
                <w:lang w:eastAsia="it-IT"/>
              </w:rPr>
            </w:pPr>
            <w:r>
              <w:rPr>
                <w:i/>
                <w:lang w:eastAsia="it-IT"/>
              </w:rPr>
              <w:tab/>
              <w:t>Regulatory capital</w:t>
            </w:r>
          </w:p>
        </w:tc>
        <w:tc>
          <w:tcPr>
            <w:tcW w:w="992" w:type="dxa"/>
            <w:tcBorders>
              <w:top w:val="single" w:sz="4" w:space="0" w:color="auto"/>
              <w:left w:val="single" w:sz="4" w:space="0" w:color="auto"/>
              <w:bottom w:val="single" w:sz="4" w:space="0" w:color="auto"/>
              <w:right w:val="single" w:sz="4" w:space="0" w:color="auto"/>
            </w:tcBorders>
          </w:tcPr>
          <w:p w14:paraId="54E57696" w14:textId="77777777" w:rsidR="00FF4BDC" w:rsidRPr="0023654F" w:rsidRDefault="00FF4BDC" w:rsidP="00AC6CAB">
            <w:pPr>
              <w:pStyle w:val="TableText"/>
              <w:snapToGrid w:val="0"/>
              <w:rPr>
                <w:lang w:eastAsia="it-IT"/>
              </w:rPr>
            </w:pPr>
          </w:p>
        </w:tc>
        <w:tc>
          <w:tcPr>
            <w:tcW w:w="985" w:type="dxa"/>
            <w:tcBorders>
              <w:top w:val="single" w:sz="4" w:space="0" w:color="auto"/>
              <w:left w:val="single" w:sz="4" w:space="0" w:color="auto"/>
              <w:bottom w:val="single" w:sz="4" w:space="0" w:color="auto"/>
              <w:right w:val="single" w:sz="4" w:space="0" w:color="auto"/>
            </w:tcBorders>
          </w:tcPr>
          <w:p w14:paraId="02034EBC" w14:textId="77777777" w:rsidR="00FF4BDC" w:rsidRPr="0023654F" w:rsidRDefault="00FF4BDC" w:rsidP="00AC6CAB">
            <w:pPr>
              <w:pStyle w:val="TableText"/>
              <w:snapToGrid w:val="0"/>
              <w:rPr>
                <w:lang w:eastAsia="it-IT"/>
              </w:rPr>
            </w:pPr>
          </w:p>
        </w:tc>
        <w:tc>
          <w:tcPr>
            <w:tcW w:w="992" w:type="dxa"/>
            <w:tcBorders>
              <w:top w:val="single" w:sz="4" w:space="0" w:color="auto"/>
              <w:left w:val="single" w:sz="4" w:space="0" w:color="auto"/>
              <w:bottom w:val="single" w:sz="4" w:space="0" w:color="auto"/>
              <w:right w:val="single" w:sz="4" w:space="0" w:color="auto"/>
            </w:tcBorders>
          </w:tcPr>
          <w:p w14:paraId="53F02789" w14:textId="77777777" w:rsidR="00FF4BDC" w:rsidRPr="0023654F" w:rsidRDefault="00FF4BDC" w:rsidP="00AC6CAB">
            <w:pPr>
              <w:pStyle w:val="TableText"/>
              <w:snapToGrid w:val="0"/>
              <w:rPr>
                <w:lang w:eastAsia="it-IT"/>
              </w:rPr>
            </w:pPr>
          </w:p>
        </w:tc>
        <w:tc>
          <w:tcPr>
            <w:tcW w:w="993" w:type="dxa"/>
            <w:tcBorders>
              <w:top w:val="single" w:sz="4" w:space="0" w:color="auto"/>
              <w:left w:val="single" w:sz="4" w:space="0" w:color="auto"/>
              <w:bottom w:val="single" w:sz="4" w:space="0" w:color="auto"/>
              <w:right w:val="single" w:sz="4" w:space="0" w:color="auto"/>
            </w:tcBorders>
          </w:tcPr>
          <w:p w14:paraId="3F29972D" w14:textId="77777777" w:rsidR="00FF4BDC" w:rsidRPr="0023654F" w:rsidRDefault="00FF4BDC" w:rsidP="00AC6CAB">
            <w:pPr>
              <w:pStyle w:val="TableText"/>
              <w:snapToGrid w:val="0"/>
              <w:rPr>
                <w:lang w:eastAsia="it-IT"/>
              </w:rPr>
            </w:pPr>
          </w:p>
        </w:tc>
        <w:tc>
          <w:tcPr>
            <w:tcW w:w="1001" w:type="dxa"/>
            <w:tcBorders>
              <w:top w:val="single" w:sz="4" w:space="0" w:color="auto"/>
              <w:left w:val="single" w:sz="4" w:space="0" w:color="auto"/>
              <w:bottom w:val="single" w:sz="4" w:space="0" w:color="auto"/>
              <w:right w:val="single" w:sz="4" w:space="0" w:color="auto"/>
            </w:tcBorders>
          </w:tcPr>
          <w:p w14:paraId="3999731D" w14:textId="77777777" w:rsidR="00FF4BDC" w:rsidRPr="0023654F" w:rsidRDefault="00FF4BDC" w:rsidP="00AC6CAB">
            <w:pPr>
              <w:pStyle w:val="TableText"/>
              <w:snapToGrid w:val="0"/>
              <w:rPr>
                <w:lang w:eastAsia="it-IT"/>
              </w:rPr>
            </w:pPr>
          </w:p>
        </w:tc>
      </w:tr>
      <w:tr w:rsidR="00FF4BDC" w:rsidRPr="0023654F" w14:paraId="4DA446CA" w14:textId="77777777" w:rsidTr="00AC6CAB">
        <w:trPr>
          <w:cantSplit/>
          <w:trHeight w:val="270"/>
        </w:trPr>
        <w:tc>
          <w:tcPr>
            <w:tcW w:w="467" w:type="dxa"/>
            <w:tcBorders>
              <w:top w:val="single" w:sz="4" w:space="0" w:color="auto"/>
              <w:left w:val="nil"/>
              <w:bottom w:val="single" w:sz="4" w:space="0" w:color="auto"/>
              <w:right w:val="single" w:sz="4" w:space="0" w:color="auto"/>
            </w:tcBorders>
          </w:tcPr>
          <w:p w14:paraId="4BE403AC" w14:textId="77777777" w:rsidR="00FF4BDC" w:rsidRDefault="00FF4BDC" w:rsidP="00AC6CAB">
            <w:pPr>
              <w:pStyle w:val="TableText"/>
              <w:snapToGrid w:val="0"/>
              <w:ind w:left="57"/>
              <w:rPr>
                <w:sz w:val="16"/>
                <w:szCs w:val="16"/>
                <w:lang w:eastAsia="en-GB"/>
              </w:rPr>
            </w:pPr>
            <w:r>
              <w:rPr>
                <w:sz w:val="16"/>
                <w:szCs w:val="16"/>
                <w:lang w:eastAsia="en-GB"/>
              </w:rPr>
              <w:t>2a</w:t>
            </w:r>
          </w:p>
        </w:tc>
        <w:tc>
          <w:tcPr>
            <w:tcW w:w="3643" w:type="dxa"/>
            <w:tcBorders>
              <w:top w:val="single" w:sz="4" w:space="0" w:color="auto"/>
              <w:left w:val="single" w:sz="4" w:space="0" w:color="auto"/>
              <w:bottom w:val="single" w:sz="4" w:space="0" w:color="auto"/>
              <w:right w:val="single" w:sz="4" w:space="0" w:color="auto"/>
            </w:tcBorders>
          </w:tcPr>
          <w:p w14:paraId="056DAB57" w14:textId="77777777" w:rsidR="00FF4BDC" w:rsidRDefault="00FF4BDC" w:rsidP="00AC6CAB">
            <w:pPr>
              <w:pStyle w:val="TableText"/>
              <w:snapToGrid w:val="0"/>
              <w:ind w:leftChars="28" w:left="382" w:rightChars="71" w:right="142" w:hangingChars="192" w:hanging="326"/>
              <w:rPr>
                <w:i/>
                <w:lang w:eastAsia="it-IT"/>
              </w:rPr>
            </w:pPr>
            <w:r>
              <w:rPr>
                <w:i/>
                <w:lang w:eastAsia="it-IT"/>
              </w:rPr>
              <w:tab/>
              <w:t>Minority interests not covered by row 2</w:t>
            </w:r>
          </w:p>
        </w:tc>
        <w:tc>
          <w:tcPr>
            <w:tcW w:w="992" w:type="dxa"/>
            <w:tcBorders>
              <w:top w:val="single" w:sz="4" w:space="0" w:color="auto"/>
              <w:left w:val="single" w:sz="4" w:space="0" w:color="auto"/>
              <w:bottom w:val="single" w:sz="4" w:space="0" w:color="auto"/>
              <w:right w:val="single" w:sz="4" w:space="0" w:color="auto"/>
            </w:tcBorders>
          </w:tcPr>
          <w:p w14:paraId="5B52D184" w14:textId="77777777" w:rsidR="00FF4BDC" w:rsidRPr="0023654F" w:rsidRDefault="00FF4BDC" w:rsidP="00AC6CAB">
            <w:pPr>
              <w:pStyle w:val="TableText"/>
              <w:snapToGrid w:val="0"/>
              <w:rPr>
                <w:lang w:eastAsia="it-IT"/>
              </w:rPr>
            </w:pPr>
          </w:p>
        </w:tc>
        <w:tc>
          <w:tcPr>
            <w:tcW w:w="985" w:type="dxa"/>
            <w:tcBorders>
              <w:top w:val="single" w:sz="4" w:space="0" w:color="auto"/>
              <w:left w:val="single" w:sz="4" w:space="0" w:color="auto"/>
              <w:bottom w:val="single" w:sz="4" w:space="0" w:color="auto"/>
              <w:right w:val="single" w:sz="4" w:space="0" w:color="auto"/>
            </w:tcBorders>
          </w:tcPr>
          <w:p w14:paraId="133C958A" w14:textId="77777777" w:rsidR="00FF4BDC" w:rsidRPr="0023654F" w:rsidRDefault="00FF4BDC" w:rsidP="00AC6CAB">
            <w:pPr>
              <w:pStyle w:val="TableText"/>
              <w:snapToGrid w:val="0"/>
              <w:rPr>
                <w:lang w:eastAsia="it-IT"/>
              </w:rPr>
            </w:pPr>
          </w:p>
        </w:tc>
        <w:tc>
          <w:tcPr>
            <w:tcW w:w="992" w:type="dxa"/>
            <w:tcBorders>
              <w:top w:val="single" w:sz="4" w:space="0" w:color="auto"/>
              <w:left w:val="single" w:sz="4" w:space="0" w:color="auto"/>
              <w:bottom w:val="single" w:sz="4" w:space="0" w:color="auto"/>
              <w:right w:val="single" w:sz="4" w:space="0" w:color="auto"/>
            </w:tcBorders>
          </w:tcPr>
          <w:p w14:paraId="164187C8" w14:textId="77777777" w:rsidR="00FF4BDC" w:rsidRPr="0023654F" w:rsidRDefault="00FF4BDC" w:rsidP="00AC6CAB">
            <w:pPr>
              <w:pStyle w:val="TableText"/>
              <w:snapToGrid w:val="0"/>
              <w:rPr>
                <w:lang w:eastAsia="it-IT"/>
              </w:rPr>
            </w:pPr>
          </w:p>
        </w:tc>
        <w:tc>
          <w:tcPr>
            <w:tcW w:w="993" w:type="dxa"/>
            <w:tcBorders>
              <w:top w:val="single" w:sz="4" w:space="0" w:color="auto"/>
              <w:left w:val="single" w:sz="4" w:space="0" w:color="auto"/>
              <w:bottom w:val="single" w:sz="4" w:space="0" w:color="auto"/>
              <w:right w:val="single" w:sz="4" w:space="0" w:color="auto"/>
            </w:tcBorders>
          </w:tcPr>
          <w:p w14:paraId="6B02C36B" w14:textId="77777777" w:rsidR="00FF4BDC" w:rsidRPr="0023654F" w:rsidRDefault="00FF4BDC" w:rsidP="00AC6CAB">
            <w:pPr>
              <w:pStyle w:val="TableText"/>
              <w:snapToGrid w:val="0"/>
              <w:rPr>
                <w:lang w:eastAsia="it-IT"/>
              </w:rPr>
            </w:pPr>
          </w:p>
        </w:tc>
        <w:tc>
          <w:tcPr>
            <w:tcW w:w="1001" w:type="dxa"/>
            <w:tcBorders>
              <w:top w:val="single" w:sz="4" w:space="0" w:color="auto"/>
              <w:left w:val="single" w:sz="4" w:space="0" w:color="auto"/>
              <w:bottom w:val="single" w:sz="4" w:space="0" w:color="auto"/>
              <w:right w:val="single" w:sz="4" w:space="0" w:color="auto"/>
            </w:tcBorders>
          </w:tcPr>
          <w:p w14:paraId="640FCFD0" w14:textId="77777777" w:rsidR="00FF4BDC" w:rsidRPr="0023654F" w:rsidRDefault="00FF4BDC" w:rsidP="00AC6CAB">
            <w:pPr>
              <w:pStyle w:val="TableText"/>
              <w:snapToGrid w:val="0"/>
              <w:rPr>
                <w:lang w:eastAsia="it-IT"/>
              </w:rPr>
            </w:pPr>
          </w:p>
        </w:tc>
      </w:tr>
      <w:tr w:rsidR="00FF4BDC" w:rsidRPr="0023654F" w14:paraId="1DF7387B" w14:textId="77777777" w:rsidTr="00AC6CAB">
        <w:trPr>
          <w:cantSplit/>
          <w:trHeight w:val="270"/>
        </w:trPr>
        <w:tc>
          <w:tcPr>
            <w:tcW w:w="467" w:type="dxa"/>
            <w:tcBorders>
              <w:top w:val="single" w:sz="4" w:space="0" w:color="auto"/>
              <w:left w:val="nil"/>
              <w:bottom w:val="single" w:sz="4" w:space="0" w:color="auto"/>
              <w:right w:val="single" w:sz="4" w:space="0" w:color="auto"/>
            </w:tcBorders>
          </w:tcPr>
          <w:p w14:paraId="323C8043" w14:textId="77777777" w:rsidR="00FF4BDC" w:rsidRPr="0023654F" w:rsidRDefault="00FF4BDC" w:rsidP="00AC6CAB">
            <w:pPr>
              <w:pStyle w:val="TableText"/>
              <w:snapToGrid w:val="0"/>
              <w:ind w:left="57"/>
              <w:rPr>
                <w:sz w:val="16"/>
                <w:szCs w:val="16"/>
                <w:lang w:eastAsia="en-GB"/>
              </w:rPr>
            </w:pPr>
            <w:r>
              <w:rPr>
                <w:sz w:val="16"/>
                <w:szCs w:val="16"/>
                <w:lang w:eastAsia="en-GB"/>
              </w:rPr>
              <w:t>3</w:t>
            </w:r>
          </w:p>
        </w:tc>
        <w:tc>
          <w:tcPr>
            <w:tcW w:w="3643" w:type="dxa"/>
            <w:tcBorders>
              <w:top w:val="single" w:sz="4" w:space="0" w:color="auto"/>
              <w:left w:val="single" w:sz="4" w:space="0" w:color="auto"/>
              <w:bottom w:val="single" w:sz="4" w:space="0" w:color="auto"/>
              <w:right w:val="single" w:sz="4" w:space="0" w:color="auto"/>
            </w:tcBorders>
          </w:tcPr>
          <w:p w14:paraId="56114BC0" w14:textId="77777777" w:rsidR="00FF4BDC" w:rsidRPr="00475528" w:rsidRDefault="00FF4BDC" w:rsidP="00AC6CAB">
            <w:pPr>
              <w:pStyle w:val="TableText"/>
              <w:tabs>
                <w:tab w:val="left" w:pos="384"/>
              </w:tabs>
              <w:snapToGrid w:val="0"/>
              <w:ind w:left="57" w:rightChars="71" w:right="142"/>
              <w:rPr>
                <w:i/>
                <w:lang w:eastAsia="it-IT"/>
              </w:rPr>
            </w:pPr>
            <w:r>
              <w:rPr>
                <w:i/>
                <w:lang w:eastAsia="it-IT"/>
              </w:rPr>
              <w:tab/>
              <w:t>Other capital instruments</w:t>
            </w:r>
          </w:p>
        </w:tc>
        <w:tc>
          <w:tcPr>
            <w:tcW w:w="992" w:type="dxa"/>
            <w:tcBorders>
              <w:top w:val="single" w:sz="4" w:space="0" w:color="auto"/>
              <w:left w:val="single" w:sz="4" w:space="0" w:color="auto"/>
              <w:bottom w:val="single" w:sz="4" w:space="0" w:color="auto"/>
              <w:right w:val="single" w:sz="4" w:space="0" w:color="auto"/>
            </w:tcBorders>
          </w:tcPr>
          <w:p w14:paraId="7093F48A" w14:textId="77777777" w:rsidR="00FF4BDC" w:rsidRPr="0023654F" w:rsidRDefault="00FF4BDC" w:rsidP="00AC6CAB">
            <w:pPr>
              <w:pStyle w:val="TableText"/>
              <w:snapToGrid w:val="0"/>
              <w:rPr>
                <w:lang w:eastAsia="it-IT"/>
              </w:rPr>
            </w:pPr>
          </w:p>
        </w:tc>
        <w:tc>
          <w:tcPr>
            <w:tcW w:w="985" w:type="dxa"/>
            <w:tcBorders>
              <w:top w:val="single" w:sz="4" w:space="0" w:color="auto"/>
              <w:left w:val="single" w:sz="4" w:space="0" w:color="auto"/>
              <w:bottom w:val="single" w:sz="4" w:space="0" w:color="auto"/>
              <w:right w:val="single" w:sz="4" w:space="0" w:color="auto"/>
            </w:tcBorders>
          </w:tcPr>
          <w:p w14:paraId="771952A2" w14:textId="77777777" w:rsidR="00FF4BDC" w:rsidRPr="0023654F" w:rsidRDefault="00FF4BDC" w:rsidP="00AC6CAB">
            <w:pPr>
              <w:pStyle w:val="TableText"/>
              <w:snapToGrid w:val="0"/>
              <w:rPr>
                <w:lang w:eastAsia="it-IT"/>
              </w:rPr>
            </w:pPr>
          </w:p>
        </w:tc>
        <w:tc>
          <w:tcPr>
            <w:tcW w:w="992" w:type="dxa"/>
            <w:tcBorders>
              <w:top w:val="single" w:sz="4" w:space="0" w:color="auto"/>
              <w:left w:val="single" w:sz="4" w:space="0" w:color="auto"/>
              <w:bottom w:val="single" w:sz="4" w:space="0" w:color="auto"/>
              <w:right w:val="single" w:sz="4" w:space="0" w:color="auto"/>
            </w:tcBorders>
          </w:tcPr>
          <w:p w14:paraId="2183FE79" w14:textId="77777777" w:rsidR="00FF4BDC" w:rsidRPr="0023654F" w:rsidRDefault="00FF4BDC" w:rsidP="00AC6CAB">
            <w:pPr>
              <w:pStyle w:val="TableText"/>
              <w:snapToGrid w:val="0"/>
              <w:rPr>
                <w:lang w:eastAsia="it-IT"/>
              </w:rPr>
            </w:pPr>
          </w:p>
        </w:tc>
        <w:tc>
          <w:tcPr>
            <w:tcW w:w="993" w:type="dxa"/>
            <w:tcBorders>
              <w:top w:val="single" w:sz="4" w:space="0" w:color="auto"/>
              <w:left w:val="single" w:sz="4" w:space="0" w:color="auto"/>
              <w:bottom w:val="single" w:sz="4" w:space="0" w:color="auto"/>
              <w:right w:val="single" w:sz="4" w:space="0" w:color="auto"/>
            </w:tcBorders>
          </w:tcPr>
          <w:p w14:paraId="5FC637E7" w14:textId="77777777" w:rsidR="00FF4BDC" w:rsidRPr="0023654F" w:rsidRDefault="00FF4BDC" w:rsidP="00AC6CAB">
            <w:pPr>
              <w:pStyle w:val="TableText"/>
              <w:snapToGrid w:val="0"/>
              <w:rPr>
                <w:lang w:eastAsia="it-IT"/>
              </w:rPr>
            </w:pPr>
          </w:p>
        </w:tc>
        <w:tc>
          <w:tcPr>
            <w:tcW w:w="1001" w:type="dxa"/>
            <w:tcBorders>
              <w:top w:val="single" w:sz="4" w:space="0" w:color="auto"/>
              <w:left w:val="single" w:sz="4" w:space="0" w:color="auto"/>
              <w:bottom w:val="single" w:sz="4" w:space="0" w:color="auto"/>
              <w:right w:val="single" w:sz="4" w:space="0" w:color="auto"/>
            </w:tcBorders>
          </w:tcPr>
          <w:p w14:paraId="525B91DA" w14:textId="77777777" w:rsidR="00FF4BDC" w:rsidRPr="0023654F" w:rsidRDefault="00FF4BDC" w:rsidP="00AC6CAB">
            <w:pPr>
              <w:pStyle w:val="TableText"/>
              <w:snapToGrid w:val="0"/>
              <w:rPr>
                <w:lang w:eastAsia="it-IT"/>
              </w:rPr>
            </w:pPr>
          </w:p>
        </w:tc>
      </w:tr>
      <w:tr w:rsidR="00FF4BDC" w:rsidRPr="0023654F" w14:paraId="040F06DA"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2F2F2"/>
          </w:tcPr>
          <w:p w14:paraId="303E89D2" w14:textId="77777777" w:rsidR="00FF4BDC" w:rsidRPr="0023654F" w:rsidRDefault="00FF4BDC" w:rsidP="00AC6CAB">
            <w:pPr>
              <w:pStyle w:val="TableText"/>
              <w:snapToGrid w:val="0"/>
              <w:ind w:left="57"/>
              <w:rPr>
                <w:sz w:val="16"/>
                <w:szCs w:val="16"/>
                <w:lang w:eastAsia="en-GB"/>
              </w:rPr>
            </w:pPr>
            <w:r>
              <w:rPr>
                <w:sz w:val="16"/>
                <w:szCs w:val="16"/>
                <w:lang w:eastAsia="en-GB"/>
              </w:rPr>
              <w:t>4</w:t>
            </w:r>
          </w:p>
        </w:tc>
        <w:tc>
          <w:tcPr>
            <w:tcW w:w="3643" w:type="dxa"/>
            <w:tcBorders>
              <w:top w:val="single" w:sz="4" w:space="0" w:color="auto"/>
              <w:left w:val="single" w:sz="4" w:space="0" w:color="auto"/>
              <w:bottom w:val="single" w:sz="4" w:space="0" w:color="auto"/>
              <w:right w:val="single" w:sz="4" w:space="0" w:color="auto"/>
            </w:tcBorders>
            <w:shd w:val="clear" w:color="auto" w:fill="F2F2F2"/>
          </w:tcPr>
          <w:p w14:paraId="6A3A0D89" w14:textId="77777777" w:rsidR="00FF4BDC" w:rsidRPr="0062513D" w:rsidRDefault="00FF4BDC" w:rsidP="00AC6CAB">
            <w:pPr>
              <w:pStyle w:val="TableText"/>
              <w:snapToGrid w:val="0"/>
              <w:ind w:left="57" w:rightChars="71" w:right="142"/>
              <w:rPr>
                <w:lang w:val="en-US" w:eastAsia="it-IT"/>
              </w:rPr>
            </w:pPr>
            <w:r>
              <w:rPr>
                <w:lang w:eastAsia="it-IT"/>
              </w:rPr>
              <w:t xml:space="preserve">Retail deposits and </w:t>
            </w:r>
            <w:r w:rsidRPr="00475528">
              <w:rPr>
                <w:lang w:eastAsia="it-IT"/>
              </w:rPr>
              <w:t xml:space="preserve">small business </w:t>
            </w:r>
            <w:r>
              <w:rPr>
                <w:lang w:eastAsia="it-IT"/>
              </w:rPr>
              <w:t>funding</w:t>
            </w:r>
            <w:r w:rsidRPr="00475528">
              <w:rPr>
                <w:lang w:eastAsia="it-IT"/>
              </w:rPr>
              <w:t>:</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50262F37" w14:textId="77777777" w:rsidR="00FF4BDC" w:rsidRPr="0023654F" w:rsidRDefault="00FF4BDC" w:rsidP="00AC6CAB">
            <w:pPr>
              <w:pStyle w:val="TableText"/>
              <w:snapToGrid w:val="0"/>
              <w:rPr>
                <w:lang w:eastAsia="it-IT"/>
              </w:rPr>
            </w:pPr>
          </w:p>
        </w:tc>
        <w:tc>
          <w:tcPr>
            <w:tcW w:w="985" w:type="dxa"/>
            <w:tcBorders>
              <w:top w:val="single" w:sz="4" w:space="0" w:color="auto"/>
              <w:left w:val="single" w:sz="4" w:space="0" w:color="auto"/>
              <w:bottom w:val="single" w:sz="4" w:space="0" w:color="auto"/>
              <w:right w:val="single" w:sz="4" w:space="0" w:color="auto"/>
            </w:tcBorders>
            <w:shd w:val="clear" w:color="auto" w:fill="F2F2F2"/>
          </w:tcPr>
          <w:p w14:paraId="63EE20C7" w14:textId="77777777" w:rsidR="00FF4BDC" w:rsidRPr="0023654F" w:rsidRDefault="00FF4BDC" w:rsidP="00AC6CAB">
            <w:pPr>
              <w:pStyle w:val="TableText"/>
              <w:snapToGrid w:val="0"/>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416C5D4A" w14:textId="77777777" w:rsidR="00FF4BDC" w:rsidRPr="0023654F" w:rsidRDefault="00FF4BDC" w:rsidP="00AC6CAB">
            <w:pPr>
              <w:pStyle w:val="TableText"/>
              <w:snapToGrid w:val="0"/>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F2F2F2"/>
          </w:tcPr>
          <w:p w14:paraId="7543C868" w14:textId="77777777" w:rsidR="00FF4BDC" w:rsidRPr="0023654F" w:rsidRDefault="00FF4BDC" w:rsidP="00AC6CAB">
            <w:pPr>
              <w:pStyle w:val="TableText"/>
              <w:snapToGrid w:val="0"/>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2F2F2"/>
          </w:tcPr>
          <w:p w14:paraId="446C2688" w14:textId="77777777" w:rsidR="00FF4BDC" w:rsidRPr="0023654F" w:rsidRDefault="00FF4BDC" w:rsidP="00AC6CAB">
            <w:pPr>
              <w:pStyle w:val="TableText"/>
              <w:snapToGrid w:val="0"/>
              <w:rPr>
                <w:lang w:eastAsia="it-IT"/>
              </w:rPr>
            </w:pPr>
          </w:p>
        </w:tc>
      </w:tr>
      <w:tr w:rsidR="00FF4BDC" w:rsidRPr="0023654F" w14:paraId="77970383" w14:textId="77777777" w:rsidTr="00AC6CAB">
        <w:trPr>
          <w:cantSplit/>
          <w:trHeight w:val="270"/>
        </w:trPr>
        <w:tc>
          <w:tcPr>
            <w:tcW w:w="467" w:type="dxa"/>
            <w:tcBorders>
              <w:top w:val="single" w:sz="4" w:space="0" w:color="auto"/>
              <w:left w:val="nil"/>
              <w:bottom w:val="single" w:sz="4" w:space="0" w:color="auto"/>
              <w:right w:val="single" w:sz="4" w:space="0" w:color="auto"/>
            </w:tcBorders>
          </w:tcPr>
          <w:p w14:paraId="4F868BB2" w14:textId="77777777" w:rsidR="00FF4BDC" w:rsidRPr="0023654F" w:rsidRDefault="00FF4BDC" w:rsidP="00AC6CAB">
            <w:pPr>
              <w:pStyle w:val="TableText"/>
              <w:snapToGrid w:val="0"/>
              <w:ind w:left="57"/>
              <w:rPr>
                <w:sz w:val="16"/>
                <w:szCs w:val="16"/>
                <w:lang w:eastAsia="en-GB"/>
              </w:rPr>
            </w:pPr>
            <w:r>
              <w:rPr>
                <w:sz w:val="16"/>
                <w:szCs w:val="16"/>
                <w:lang w:eastAsia="en-GB"/>
              </w:rPr>
              <w:t>5</w:t>
            </w:r>
          </w:p>
        </w:tc>
        <w:tc>
          <w:tcPr>
            <w:tcW w:w="3643" w:type="dxa"/>
            <w:tcBorders>
              <w:top w:val="single" w:sz="4" w:space="0" w:color="auto"/>
              <w:left w:val="single" w:sz="4" w:space="0" w:color="auto"/>
              <w:bottom w:val="single" w:sz="4" w:space="0" w:color="auto"/>
              <w:right w:val="single" w:sz="4" w:space="0" w:color="auto"/>
            </w:tcBorders>
          </w:tcPr>
          <w:p w14:paraId="77AA15D6" w14:textId="77777777" w:rsidR="00FF4BDC" w:rsidRPr="00475528" w:rsidRDefault="00FF4BDC" w:rsidP="00AC6CAB">
            <w:pPr>
              <w:pStyle w:val="TableText"/>
              <w:tabs>
                <w:tab w:val="left" w:pos="384"/>
              </w:tabs>
              <w:snapToGrid w:val="0"/>
              <w:ind w:left="57" w:rightChars="71" w:right="142"/>
              <w:rPr>
                <w:i/>
                <w:lang w:eastAsia="it-IT"/>
              </w:rPr>
            </w:pPr>
            <w:r>
              <w:rPr>
                <w:i/>
                <w:lang w:eastAsia="it-IT"/>
              </w:rPr>
              <w:tab/>
              <w:t>Stable</w:t>
            </w:r>
            <w:r w:rsidRPr="00475528">
              <w:rPr>
                <w:i/>
                <w:lang w:eastAsia="it-IT"/>
              </w:rPr>
              <w:t xml:space="preserve"> deposits</w:t>
            </w:r>
          </w:p>
        </w:tc>
        <w:tc>
          <w:tcPr>
            <w:tcW w:w="992" w:type="dxa"/>
            <w:tcBorders>
              <w:top w:val="single" w:sz="4" w:space="0" w:color="auto"/>
              <w:left w:val="single" w:sz="4" w:space="0" w:color="auto"/>
              <w:bottom w:val="single" w:sz="4" w:space="0" w:color="auto"/>
              <w:right w:val="single" w:sz="4" w:space="0" w:color="auto"/>
            </w:tcBorders>
            <w:shd w:val="clear" w:color="auto" w:fill="808080"/>
          </w:tcPr>
          <w:p w14:paraId="53149B57" w14:textId="77777777" w:rsidR="00FF4BDC" w:rsidRPr="0023654F" w:rsidRDefault="00FF4BDC" w:rsidP="00AC6CAB">
            <w:pPr>
              <w:pStyle w:val="TableText"/>
              <w:snapToGrid w:val="0"/>
              <w:rPr>
                <w:lang w:eastAsia="it-IT"/>
              </w:rPr>
            </w:pPr>
          </w:p>
        </w:tc>
        <w:tc>
          <w:tcPr>
            <w:tcW w:w="985" w:type="dxa"/>
            <w:tcBorders>
              <w:top w:val="single" w:sz="4" w:space="0" w:color="auto"/>
              <w:left w:val="single" w:sz="4" w:space="0" w:color="auto"/>
              <w:bottom w:val="single" w:sz="4" w:space="0" w:color="auto"/>
              <w:right w:val="single" w:sz="4" w:space="0" w:color="auto"/>
            </w:tcBorders>
          </w:tcPr>
          <w:p w14:paraId="58984853" w14:textId="77777777" w:rsidR="00FF4BDC" w:rsidRPr="0023654F" w:rsidRDefault="00FF4BDC" w:rsidP="00AC6CAB">
            <w:pPr>
              <w:pStyle w:val="TableText"/>
              <w:snapToGrid w:val="0"/>
              <w:rPr>
                <w:lang w:eastAsia="it-IT"/>
              </w:rPr>
            </w:pPr>
          </w:p>
        </w:tc>
        <w:tc>
          <w:tcPr>
            <w:tcW w:w="992" w:type="dxa"/>
            <w:tcBorders>
              <w:top w:val="single" w:sz="4" w:space="0" w:color="auto"/>
              <w:left w:val="single" w:sz="4" w:space="0" w:color="auto"/>
              <w:bottom w:val="single" w:sz="4" w:space="0" w:color="auto"/>
              <w:right w:val="single" w:sz="4" w:space="0" w:color="auto"/>
            </w:tcBorders>
          </w:tcPr>
          <w:p w14:paraId="651B6B52" w14:textId="77777777" w:rsidR="00FF4BDC" w:rsidRPr="0023654F" w:rsidRDefault="00FF4BDC" w:rsidP="00AC6CAB">
            <w:pPr>
              <w:pStyle w:val="TableText"/>
              <w:snapToGrid w:val="0"/>
              <w:rPr>
                <w:lang w:eastAsia="it-IT"/>
              </w:rPr>
            </w:pPr>
          </w:p>
        </w:tc>
        <w:tc>
          <w:tcPr>
            <w:tcW w:w="993" w:type="dxa"/>
            <w:tcBorders>
              <w:top w:val="single" w:sz="4" w:space="0" w:color="auto"/>
              <w:left w:val="single" w:sz="4" w:space="0" w:color="auto"/>
              <w:bottom w:val="single" w:sz="4" w:space="0" w:color="auto"/>
              <w:right w:val="single" w:sz="4" w:space="0" w:color="auto"/>
            </w:tcBorders>
          </w:tcPr>
          <w:p w14:paraId="67F11A74" w14:textId="77777777" w:rsidR="00FF4BDC" w:rsidRPr="0023654F" w:rsidRDefault="00FF4BDC" w:rsidP="00AC6CAB">
            <w:pPr>
              <w:pStyle w:val="TableText"/>
              <w:snapToGrid w:val="0"/>
              <w:rPr>
                <w:lang w:eastAsia="it-IT"/>
              </w:rPr>
            </w:pPr>
          </w:p>
        </w:tc>
        <w:tc>
          <w:tcPr>
            <w:tcW w:w="1001" w:type="dxa"/>
            <w:tcBorders>
              <w:top w:val="single" w:sz="4" w:space="0" w:color="auto"/>
              <w:left w:val="single" w:sz="4" w:space="0" w:color="auto"/>
              <w:bottom w:val="single" w:sz="4" w:space="0" w:color="auto"/>
              <w:right w:val="single" w:sz="4" w:space="0" w:color="auto"/>
            </w:tcBorders>
          </w:tcPr>
          <w:p w14:paraId="2790C309" w14:textId="77777777" w:rsidR="00FF4BDC" w:rsidRPr="0023654F" w:rsidRDefault="00FF4BDC" w:rsidP="00AC6CAB">
            <w:pPr>
              <w:pStyle w:val="TableText"/>
              <w:snapToGrid w:val="0"/>
              <w:rPr>
                <w:lang w:eastAsia="it-IT"/>
              </w:rPr>
            </w:pPr>
          </w:p>
        </w:tc>
      </w:tr>
      <w:tr w:rsidR="00FF4BDC" w:rsidRPr="0023654F" w14:paraId="618D5C68" w14:textId="77777777" w:rsidTr="00AC6CAB">
        <w:trPr>
          <w:cantSplit/>
          <w:trHeight w:val="270"/>
        </w:trPr>
        <w:tc>
          <w:tcPr>
            <w:tcW w:w="467" w:type="dxa"/>
            <w:tcBorders>
              <w:top w:val="single" w:sz="4" w:space="0" w:color="auto"/>
              <w:left w:val="nil"/>
              <w:bottom w:val="single" w:sz="4" w:space="0" w:color="auto"/>
              <w:right w:val="single" w:sz="4" w:space="0" w:color="auto"/>
            </w:tcBorders>
          </w:tcPr>
          <w:p w14:paraId="776EB139" w14:textId="77777777" w:rsidR="00FF4BDC" w:rsidRPr="0023654F" w:rsidRDefault="00FF4BDC" w:rsidP="00AC6CAB">
            <w:pPr>
              <w:pStyle w:val="TableText"/>
              <w:snapToGrid w:val="0"/>
              <w:ind w:left="57"/>
              <w:rPr>
                <w:sz w:val="16"/>
                <w:szCs w:val="16"/>
                <w:lang w:eastAsia="en-GB"/>
              </w:rPr>
            </w:pPr>
            <w:r>
              <w:rPr>
                <w:sz w:val="16"/>
                <w:szCs w:val="16"/>
                <w:lang w:eastAsia="en-GB"/>
              </w:rPr>
              <w:t>6</w:t>
            </w:r>
          </w:p>
        </w:tc>
        <w:tc>
          <w:tcPr>
            <w:tcW w:w="3643" w:type="dxa"/>
            <w:tcBorders>
              <w:top w:val="single" w:sz="4" w:space="0" w:color="auto"/>
              <w:left w:val="single" w:sz="4" w:space="0" w:color="auto"/>
              <w:bottom w:val="single" w:sz="4" w:space="0" w:color="auto"/>
              <w:right w:val="single" w:sz="4" w:space="0" w:color="auto"/>
            </w:tcBorders>
          </w:tcPr>
          <w:p w14:paraId="6C91C2A1" w14:textId="77777777" w:rsidR="00FF4BDC" w:rsidRPr="00475528" w:rsidRDefault="00FF4BDC" w:rsidP="00AC6CAB">
            <w:pPr>
              <w:pStyle w:val="TableText"/>
              <w:tabs>
                <w:tab w:val="left" w:pos="384"/>
              </w:tabs>
              <w:snapToGrid w:val="0"/>
              <w:ind w:left="57" w:rightChars="71" w:right="142"/>
              <w:rPr>
                <w:i/>
                <w:lang w:eastAsia="it-IT"/>
              </w:rPr>
            </w:pPr>
            <w:r>
              <w:rPr>
                <w:i/>
                <w:lang w:eastAsia="it-IT"/>
              </w:rPr>
              <w:tab/>
              <w:t>Less stable</w:t>
            </w:r>
            <w:r w:rsidRPr="00475528">
              <w:rPr>
                <w:i/>
                <w:lang w:eastAsia="it-IT"/>
              </w:rPr>
              <w:t xml:space="preserve"> deposits</w:t>
            </w:r>
          </w:p>
        </w:tc>
        <w:tc>
          <w:tcPr>
            <w:tcW w:w="992" w:type="dxa"/>
            <w:tcBorders>
              <w:top w:val="single" w:sz="4" w:space="0" w:color="auto"/>
              <w:left w:val="single" w:sz="4" w:space="0" w:color="auto"/>
              <w:bottom w:val="single" w:sz="4" w:space="0" w:color="auto"/>
              <w:right w:val="single" w:sz="4" w:space="0" w:color="auto"/>
            </w:tcBorders>
            <w:shd w:val="clear" w:color="auto" w:fill="808080"/>
          </w:tcPr>
          <w:p w14:paraId="2EE47C1F" w14:textId="77777777" w:rsidR="00FF4BDC" w:rsidRPr="0023654F" w:rsidRDefault="00FF4BDC" w:rsidP="00AC6CAB">
            <w:pPr>
              <w:pStyle w:val="TableText"/>
              <w:snapToGrid w:val="0"/>
              <w:rPr>
                <w:lang w:eastAsia="it-IT"/>
              </w:rPr>
            </w:pPr>
          </w:p>
        </w:tc>
        <w:tc>
          <w:tcPr>
            <w:tcW w:w="985" w:type="dxa"/>
            <w:tcBorders>
              <w:top w:val="single" w:sz="4" w:space="0" w:color="auto"/>
              <w:left w:val="single" w:sz="4" w:space="0" w:color="auto"/>
              <w:bottom w:val="single" w:sz="4" w:space="0" w:color="auto"/>
              <w:right w:val="single" w:sz="4" w:space="0" w:color="auto"/>
            </w:tcBorders>
          </w:tcPr>
          <w:p w14:paraId="0E7A7ED1" w14:textId="77777777" w:rsidR="00FF4BDC" w:rsidRPr="0023654F" w:rsidRDefault="00FF4BDC" w:rsidP="00AC6CAB">
            <w:pPr>
              <w:pStyle w:val="TableText"/>
              <w:snapToGrid w:val="0"/>
              <w:rPr>
                <w:lang w:eastAsia="it-IT"/>
              </w:rPr>
            </w:pPr>
          </w:p>
        </w:tc>
        <w:tc>
          <w:tcPr>
            <w:tcW w:w="992" w:type="dxa"/>
            <w:tcBorders>
              <w:top w:val="single" w:sz="4" w:space="0" w:color="auto"/>
              <w:left w:val="single" w:sz="4" w:space="0" w:color="auto"/>
              <w:bottom w:val="single" w:sz="4" w:space="0" w:color="auto"/>
              <w:right w:val="single" w:sz="4" w:space="0" w:color="auto"/>
            </w:tcBorders>
          </w:tcPr>
          <w:p w14:paraId="0C5FCB54" w14:textId="77777777" w:rsidR="00FF4BDC" w:rsidRPr="0023654F" w:rsidRDefault="00FF4BDC" w:rsidP="00AC6CAB">
            <w:pPr>
              <w:pStyle w:val="TableText"/>
              <w:snapToGrid w:val="0"/>
              <w:rPr>
                <w:lang w:eastAsia="it-IT"/>
              </w:rPr>
            </w:pPr>
          </w:p>
        </w:tc>
        <w:tc>
          <w:tcPr>
            <w:tcW w:w="993" w:type="dxa"/>
            <w:tcBorders>
              <w:top w:val="single" w:sz="4" w:space="0" w:color="auto"/>
              <w:left w:val="single" w:sz="4" w:space="0" w:color="auto"/>
              <w:bottom w:val="single" w:sz="4" w:space="0" w:color="auto"/>
              <w:right w:val="single" w:sz="4" w:space="0" w:color="auto"/>
            </w:tcBorders>
          </w:tcPr>
          <w:p w14:paraId="52082038" w14:textId="77777777" w:rsidR="00FF4BDC" w:rsidRPr="0023654F" w:rsidRDefault="00FF4BDC" w:rsidP="00AC6CAB">
            <w:pPr>
              <w:pStyle w:val="TableText"/>
              <w:snapToGrid w:val="0"/>
              <w:rPr>
                <w:lang w:eastAsia="it-IT"/>
              </w:rPr>
            </w:pPr>
          </w:p>
        </w:tc>
        <w:tc>
          <w:tcPr>
            <w:tcW w:w="1001" w:type="dxa"/>
            <w:tcBorders>
              <w:top w:val="single" w:sz="4" w:space="0" w:color="auto"/>
              <w:left w:val="single" w:sz="4" w:space="0" w:color="auto"/>
              <w:bottom w:val="single" w:sz="4" w:space="0" w:color="auto"/>
              <w:right w:val="single" w:sz="4" w:space="0" w:color="auto"/>
            </w:tcBorders>
          </w:tcPr>
          <w:p w14:paraId="1CC8E1DB" w14:textId="77777777" w:rsidR="00FF4BDC" w:rsidRPr="0023654F" w:rsidRDefault="00FF4BDC" w:rsidP="00AC6CAB">
            <w:pPr>
              <w:pStyle w:val="TableText"/>
              <w:snapToGrid w:val="0"/>
              <w:rPr>
                <w:lang w:eastAsia="it-IT"/>
              </w:rPr>
            </w:pPr>
          </w:p>
        </w:tc>
      </w:tr>
      <w:tr w:rsidR="00FF4BDC" w:rsidRPr="0023654F" w14:paraId="06C22D20"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2F2F2"/>
          </w:tcPr>
          <w:p w14:paraId="071EF76C" w14:textId="77777777" w:rsidR="00FF4BDC" w:rsidRPr="0023654F" w:rsidRDefault="00FF4BDC" w:rsidP="00AC6CAB">
            <w:pPr>
              <w:pStyle w:val="TableText"/>
              <w:snapToGrid w:val="0"/>
              <w:ind w:left="57"/>
              <w:rPr>
                <w:sz w:val="16"/>
                <w:szCs w:val="16"/>
                <w:lang w:eastAsia="en-GB"/>
              </w:rPr>
            </w:pPr>
            <w:r>
              <w:rPr>
                <w:sz w:val="16"/>
                <w:szCs w:val="16"/>
                <w:lang w:eastAsia="en-GB"/>
              </w:rPr>
              <w:t>7</w:t>
            </w:r>
          </w:p>
        </w:tc>
        <w:tc>
          <w:tcPr>
            <w:tcW w:w="3643" w:type="dxa"/>
            <w:tcBorders>
              <w:top w:val="single" w:sz="4" w:space="0" w:color="auto"/>
              <w:left w:val="single" w:sz="4" w:space="0" w:color="auto"/>
              <w:bottom w:val="single" w:sz="4" w:space="0" w:color="auto"/>
              <w:right w:val="single" w:sz="4" w:space="0" w:color="auto"/>
            </w:tcBorders>
            <w:shd w:val="clear" w:color="auto" w:fill="F2F2F2"/>
          </w:tcPr>
          <w:p w14:paraId="4A06A474" w14:textId="77777777" w:rsidR="00FF4BDC" w:rsidRPr="00475528" w:rsidRDefault="00FF4BDC" w:rsidP="00AC6CAB">
            <w:pPr>
              <w:pStyle w:val="TableText"/>
              <w:snapToGrid w:val="0"/>
              <w:ind w:left="57" w:rightChars="71" w:right="142"/>
              <w:rPr>
                <w:lang w:eastAsia="it-IT"/>
              </w:rPr>
            </w:pPr>
            <w:r>
              <w:rPr>
                <w:lang w:eastAsia="it-IT"/>
              </w:rPr>
              <w:t>Wholesale funding:</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7BDFD525" w14:textId="77777777" w:rsidR="00FF4BDC" w:rsidRPr="0023654F" w:rsidRDefault="00FF4BDC" w:rsidP="00AC6CAB">
            <w:pPr>
              <w:pStyle w:val="TableText"/>
              <w:snapToGrid w:val="0"/>
              <w:rPr>
                <w:lang w:eastAsia="it-IT"/>
              </w:rPr>
            </w:pPr>
          </w:p>
        </w:tc>
        <w:tc>
          <w:tcPr>
            <w:tcW w:w="985" w:type="dxa"/>
            <w:tcBorders>
              <w:top w:val="single" w:sz="4" w:space="0" w:color="auto"/>
              <w:left w:val="single" w:sz="4" w:space="0" w:color="auto"/>
              <w:bottom w:val="single" w:sz="4" w:space="0" w:color="auto"/>
              <w:right w:val="single" w:sz="4" w:space="0" w:color="auto"/>
            </w:tcBorders>
            <w:shd w:val="clear" w:color="auto" w:fill="F2F2F2"/>
          </w:tcPr>
          <w:p w14:paraId="5500F8EE" w14:textId="77777777" w:rsidR="00FF4BDC" w:rsidRPr="0023654F" w:rsidRDefault="00FF4BDC" w:rsidP="00AC6CAB">
            <w:pPr>
              <w:pStyle w:val="TableText"/>
              <w:snapToGrid w:val="0"/>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215AB27B" w14:textId="77777777" w:rsidR="00FF4BDC" w:rsidRPr="0023654F" w:rsidRDefault="00FF4BDC" w:rsidP="00AC6CAB">
            <w:pPr>
              <w:pStyle w:val="TableText"/>
              <w:snapToGrid w:val="0"/>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F2F2F2"/>
          </w:tcPr>
          <w:p w14:paraId="2F7DE15E" w14:textId="77777777" w:rsidR="00FF4BDC" w:rsidRPr="0023654F" w:rsidRDefault="00FF4BDC" w:rsidP="00AC6CAB">
            <w:pPr>
              <w:pStyle w:val="TableText"/>
              <w:snapToGrid w:val="0"/>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2F2F2"/>
          </w:tcPr>
          <w:p w14:paraId="0B3B8DF8" w14:textId="77777777" w:rsidR="00FF4BDC" w:rsidRPr="0023654F" w:rsidRDefault="00FF4BDC" w:rsidP="00AC6CAB">
            <w:pPr>
              <w:pStyle w:val="TableText"/>
              <w:snapToGrid w:val="0"/>
              <w:rPr>
                <w:lang w:eastAsia="it-IT"/>
              </w:rPr>
            </w:pPr>
          </w:p>
        </w:tc>
      </w:tr>
      <w:tr w:rsidR="00FF4BDC" w:rsidRPr="0023654F" w14:paraId="1D225765"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FFFFF"/>
          </w:tcPr>
          <w:p w14:paraId="6249E9C8" w14:textId="77777777" w:rsidR="00FF4BDC" w:rsidRPr="0023654F" w:rsidRDefault="00FF4BDC" w:rsidP="00AC6CAB">
            <w:pPr>
              <w:pStyle w:val="TableText"/>
              <w:snapToGrid w:val="0"/>
              <w:ind w:left="57"/>
              <w:rPr>
                <w:sz w:val="16"/>
                <w:szCs w:val="16"/>
                <w:lang w:eastAsia="en-GB"/>
              </w:rPr>
            </w:pPr>
            <w:r>
              <w:rPr>
                <w:sz w:val="16"/>
                <w:szCs w:val="16"/>
                <w:lang w:eastAsia="en-GB"/>
              </w:rPr>
              <w:t>8</w:t>
            </w:r>
          </w:p>
        </w:tc>
        <w:tc>
          <w:tcPr>
            <w:tcW w:w="3643" w:type="dxa"/>
            <w:tcBorders>
              <w:top w:val="single" w:sz="4" w:space="0" w:color="auto"/>
              <w:left w:val="single" w:sz="4" w:space="0" w:color="auto"/>
              <w:bottom w:val="single" w:sz="4" w:space="0" w:color="auto"/>
              <w:right w:val="single" w:sz="4" w:space="0" w:color="auto"/>
            </w:tcBorders>
            <w:shd w:val="clear" w:color="auto" w:fill="FFFFFF"/>
          </w:tcPr>
          <w:p w14:paraId="489A9099" w14:textId="77777777" w:rsidR="00FF4BDC" w:rsidRPr="00350593" w:rsidRDefault="00FF4BDC" w:rsidP="00AC6CAB">
            <w:pPr>
              <w:pStyle w:val="TableText"/>
              <w:tabs>
                <w:tab w:val="left" w:pos="384"/>
              </w:tabs>
              <w:snapToGrid w:val="0"/>
              <w:ind w:left="57" w:rightChars="71" w:right="142"/>
              <w:rPr>
                <w:i/>
                <w:lang w:eastAsia="it-IT"/>
              </w:rPr>
            </w:pPr>
            <w:r>
              <w:rPr>
                <w:i/>
                <w:lang w:eastAsia="it-IT"/>
              </w:rPr>
              <w:tab/>
            </w:r>
            <w:r w:rsidRPr="00350593">
              <w:rPr>
                <w:i/>
                <w:lang w:eastAsia="it-IT"/>
              </w:rPr>
              <w:t>Operational deposits</w:t>
            </w:r>
          </w:p>
        </w:tc>
        <w:tc>
          <w:tcPr>
            <w:tcW w:w="992" w:type="dxa"/>
            <w:tcBorders>
              <w:top w:val="single" w:sz="4" w:space="0" w:color="auto"/>
              <w:left w:val="single" w:sz="4" w:space="0" w:color="auto"/>
              <w:bottom w:val="single" w:sz="4" w:space="0" w:color="auto"/>
              <w:right w:val="single" w:sz="4" w:space="0" w:color="auto"/>
            </w:tcBorders>
            <w:shd w:val="clear" w:color="auto" w:fill="808080"/>
          </w:tcPr>
          <w:p w14:paraId="6CAA097B" w14:textId="77777777" w:rsidR="00FF4BDC" w:rsidRPr="0023654F" w:rsidRDefault="00FF4BDC" w:rsidP="00AC6CAB">
            <w:pPr>
              <w:pStyle w:val="TableText"/>
              <w:snapToGrid w:val="0"/>
              <w:rPr>
                <w:lang w:eastAsia="it-IT"/>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523AB3F6" w14:textId="77777777" w:rsidR="00FF4BDC" w:rsidRPr="0023654F" w:rsidRDefault="00FF4BDC" w:rsidP="00AC6CAB">
            <w:pPr>
              <w:pStyle w:val="TableText"/>
              <w:snapToGrid w:val="0"/>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3116BD02" w14:textId="77777777" w:rsidR="00FF4BDC" w:rsidRPr="0023654F" w:rsidRDefault="00FF4BDC" w:rsidP="00AC6CAB">
            <w:pPr>
              <w:pStyle w:val="TableText"/>
              <w:snapToGrid w:val="0"/>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505DCAFF" w14:textId="77777777" w:rsidR="00FF4BDC" w:rsidRPr="0023654F" w:rsidRDefault="00FF4BDC" w:rsidP="00AC6CAB">
            <w:pPr>
              <w:pStyle w:val="TableText"/>
              <w:snapToGrid w:val="0"/>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FFFFF"/>
          </w:tcPr>
          <w:p w14:paraId="3941673D" w14:textId="77777777" w:rsidR="00FF4BDC" w:rsidRPr="0023654F" w:rsidRDefault="00FF4BDC" w:rsidP="00AC6CAB">
            <w:pPr>
              <w:pStyle w:val="TableText"/>
              <w:snapToGrid w:val="0"/>
              <w:rPr>
                <w:lang w:eastAsia="it-IT"/>
              </w:rPr>
            </w:pPr>
          </w:p>
        </w:tc>
      </w:tr>
      <w:tr w:rsidR="00FF4BDC" w:rsidRPr="0023654F" w14:paraId="6CFFDAEF"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FFFFF"/>
          </w:tcPr>
          <w:p w14:paraId="497F7510" w14:textId="77777777" w:rsidR="00FF4BDC" w:rsidRPr="0023654F" w:rsidRDefault="00FF4BDC" w:rsidP="00AC6CAB">
            <w:pPr>
              <w:pStyle w:val="TableText"/>
              <w:snapToGrid w:val="0"/>
              <w:ind w:left="57"/>
              <w:rPr>
                <w:sz w:val="16"/>
                <w:szCs w:val="16"/>
                <w:lang w:eastAsia="en-GB"/>
              </w:rPr>
            </w:pPr>
            <w:r>
              <w:rPr>
                <w:sz w:val="16"/>
                <w:szCs w:val="16"/>
                <w:lang w:eastAsia="en-GB"/>
              </w:rPr>
              <w:t>9</w:t>
            </w:r>
          </w:p>
        </w:tc>
        <w:tc>
          <w:tcPr>
            <w:tcW w:w="3643" w:type="dxa"/>
            <w:tcBorders>
              <w:top w:val="single" w:sz="4" w:space="0" w:color="auto"/>
              <w:left w:val="single" w:sz="4" w:space="0" w:color="auto"/>
              <w:bottom w:val="single" w:sz="4" w:space="0" w:color="auto"/>
              <w:right w:val="single" w:sz="4" w:space="0" w:color="auto"/>
            </w:tcBorders>
            <w:shd w:val="clear" w:color="auto" w:fill="FFFFFF"/>
          </w:tcPr>
          <w:p w14:paraId="39BAC992" w14:textId="77777777" w:rsidR="00FF4BDC" w:rsidRPr="00350593" w:rsidRDefault="00FF4BDC" w:rsidP="00AC6CAB">
            <w:pPr>
              <w:pStyle w:val="TableText"/>
              <w:tabs>
                <w:tab w:val="left" w:pos="384"/>
              </w:tabs>
              <w:snapToGrid w:val="0"/>
              <w:ind w:left="57" w:rightChars="71" w:right="142"/>
              <w:rPr>
                <w:i/>
                <w:lang w:eastAsia="it-IT"/>
              </w:rPr>
            </w:pPr>
            <w:r>
              <w:rPr>
                <w:i/>
                <w:lang w:eastAsia="it-IT"/>
              </w:rPr>
              <w:tab/>
            </w:r>
            <w:r w:rsidRPr="00350593">
              <w:rPr>
                <w:i/>
                <w:lang w:eastAsia="it-IT"/>
              </w:rPr>
              <w:t>Other wholesale funding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4DD3A8F3" w14:textId="77777777" w:rsidR="00FF4BDC" w:rsidRPr="0023654F" w:rsidRDefault="00FF4BDC" w:rsidP="00AC6CAB">
            <w:pPr>
              <w:pStyle w:val="TableText"/>
              <w:snapToGrid w:val="0"/>
              <w:rPr>
                <w:lang w:eastAsia="it-IT"/>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4C0553FC" w14:textId="77777777" w:rsidR="00FF4BDC" w:rsidRPr="0023654F" w:rsidRDefault="00FF4BDC" w:rsidP="00AC6CAB">
            <w:pPr>
              <w:pStyle w:val="TableText"/>
              <w:snapToGrid w:val="0"/>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0373BEFF" w14:textId="77777777" w:rsidR="00FF4BDC" w:rsidRPr="0023654F" w:rsidRDefault="00FF4BDC" w:rsidP="00AC6CAB">
            <w:pPr>
              <w:pStyle w:val="TableText"/>
              <w:snapToGrid w:val="0"/>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0A72E4F4" w14:textId="77777777" w:rsidR="00FF4BDC" w:rsidRPr="0023654F" w:rsidRDefault="00FF4BDC" w:rsidP="00AC6CAB">
            <w:pPr>
              <w:pStyle w:val="TableText"/>
              <w:snapToGrid w:val="0"/>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FFFFF"/>
          </w:tcPr>
          <w:p w14:paraId="74C60D79" w14:textId="77777777" w:rsidR="00FF4BDC" w:rsidRPr="0023654F" w:rsidRDefault="00FF4BDC" w:rsidP="00AC6CAB">
            <w:pPr>
              <w:pStyle w:val="TableText"/>
              <w:snapToGrid w:val="0"/>
              <w:rPr>
                <w:lang w:eastAsia="it-IT"/>
              </w:rPr>
            </w:pPr>
          </w:p>
        </w:tc>
      </w:tr>
      <w:tr w:rsidR="00FF4BDC" w:rsidRPr="0023654F" w14:paraId="361D3FF9"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2F2F2"/>
          </w:tcPr>
          <w:p w14:paraId="2E7EE5F5" w14:textId="77777777" w:rsidR="00FF4BDC" w:rsidRPr="0023654F" w:rsidRDefault="00FF4BDC" w:rsidP="00AC6CAB">
            <w:pPr>
              <w:pStyle w:val="TableText"/>
              <w:snapToGrid w:val="0"/>
              <w:ind w:left="57"/>
              <w:rPr>
                <w:sz w:val="16"/>
                <w:szCs w:val="16"/>
                <w:lang w:eastAsia="en-GB"/>
              </w:rPr>
            </w:pPr>
            <w:r>
              <w:rPr>
                <w:sz w:val="16"/>
                <w:szCs w:val="16"/>
                <w:lang w:eastAsia="en-GB"/>
              </w:rPr>
              <w:t>10</w:t>
            </w:r>
          </w:p>
        </w:tc>
        <w:tc>
          <w:tcPr>
            <w:tcW w:w="3643" w:type="dxa"/>
            <w:tcBorders>
              <w:top w:val="single" w:sz="4" w:space="0" w:color="auto"/>
              <w:left w:val="single" w:sz="4" w:space="0" w:color="auto"/>
              <w:bottom w:val="single" w:sz="4" w:space="0" w:color="auto"/>
              <w:right w:val="single" w:sz="4" w:space="0" w:color="auto"/>
            </w:tcBorders>
            <w:shd w:val="clear" w:color="auto" w:fill="F2F2F2"/>
          </w:tcPr>
          <w:p w14:paraId="5548A778" w14:textId="77777777" w:rsidR="00FF4BDC" w:rsidRPr="004D2FAD" w:rsidRDefault="00FF4BDC" w:rsidP="00AC6CAB">
            <w:pPr>
              <w:pStyle w:val="TableText"/>
              <w:snapToGrid w:val="0"/>
              <w:ind w:left="57" w:rightChars="71" w:right="142"/>
              <w:rPr>
                <w:lang w:eastAsia="it-IT"/>
              </w:rPr>
            </w:pPr>
            <w:r w:rsidRPr="00350593">
              <w:rPr>
                <w:lang w:eastAsia="it-IT"/>
              </w:rPr>
              <w:t>Liabilities with</w:t>
            </w:r>
            <w:r>
              <w:rPr>
                <w:lang w:eastAsia="it-IT"/>
              </w:rPr>
              <w:t xml:space="preserve"> matching interdependent assets</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5F4D7AA9" w14:textId="77777777" w:rsidR="00FF4BDC" w:rsidRPr="0023654F" w:rsidRDefault="00FF4BDC" w:rsidP="00AC6CAB">
            <w:pPr>
              <w:pStyle w:val="TableText"/>
              <w:snapToGrid w:val="0"/>
              <w:rPr>
                <w:lang w:eastAsia="it-IT"/>
              </w:rPr>
            </w:pPr>
          </w:p>
        </w:tc>
        <w:tc>
          <w:tcPr>
            <w:tcW w:w="985" w:type="dxa"/>
            <w:tcBorders>
              <w:top w:val="single" w:sz="4" w:space="0" w:color="auto"/>
              <w:left w:val="single" w:sz="4" w:space="0" w:color="auto"/>
              <w:bottom w:val="single" w:sz="4" w:space="0" w:color="auto"/>
              <w:right w:val="single" w:sz="4" w:space="0" w:color="auto"/>
            </w:tcBorders>
            <w:shd w:val="clear" w:color="auto" w:fill="F2F2F2"/>
          </w:tcPr>
          <w:p w14:paraId="3A679DF4" w14:textId="77777777" w:rsidR="00FF4BDC" w:rsidRPr="0023654F" w:rsidRDefault="00FF4BDC" w:rsidP="00AC6CAB">
            <w:pPr>
              <w:pStyle w:val="TableText"/>
              <w:snapToGrid w:val="0"/>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34237D72" w14:textId="77777777" w:rsidR="00FF4BDC" w:rsidRPr="0023654F" w:rsidRDefault="00FF4BDC" w:rsidP="00AC6CAB">
            <w:pPr>
              <w:pStyle w:val="TableText"/>
              <w:snapToGrid w:val="0"/>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F2F2F2"/>
          </w:tcPr>
          <w:p w14:paraId="50905628" w14:textId="77777777" w:rsidR="00FF4BDC" w:rsidRPr="0023654F" w:rsidRDefault="00FF4BDC" w:rsidP="00AC6CAB">
            <w:pPr>
              <w:pStyle w:val="TableText"/>
              <w:snapToGrid w:val="0"/>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2F2F2"/>
          </w:tcPr>
          <w:p w14:paraId="4C460AE8" w14:textId="77777777" w:rsidR="00FF4BDC" w:rsidRPr="0023654F" w:rsidRDefault="00FF4BDC" w:rsidP="00AC6CAB">
            <w:pPr>
              <w:pStyle w:val="TableText"/>
              <w:snapToGrid w:val="0"/>
              <w:rPr>
                <w:lang w:eastAsia="it-IT"/>
              </w:rPr>
            </w:pPr>
          </w:p>
        </w:tc>
      </w:tr>
      <w:tr w:rsidR="00FF4BDC" w:rsidRPr="0023654F" w14:paraId="535CC0A4"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2F2F2"/>
          </w:tcPr>
          <w:p w14:paraId="1B2BF732" w14:textId="77777777" w:rsidR="00FF4BDC" w:rsidRDefault="00FF4BDC" w:rsidP="00AC6CAB">
            <w:pPr>
              <w:pStyle w:val="TableText"/>
              <w:snapToGrid w:val="0"/>
              <w:ind w:left="57"/>
              <w:rPr>
                <w:sz w:val="16"/>
                <w:szCs w:val="16"/>
                <w:lang w:eastAsia="en-GB"/>
              </w:rPr>
            </w:pPr>
            <w:r>
              <w:rPr>
                <w:sz w:val="16"/>
                <w:szCs w:val="16"/>
                <w:lang w:eastAsia="en-GB"/>
              </w:rPr>
              <w:t>11</w:t>
            </w:r>
          </w:p>
        </w:tc>
        <w:tc>
          <w:tcPr>
            <w:tcW w:w="3643" w:type="dxa"/>
            <w:tcBorders>
              <w:top w:val="single" w:sz="4" w:space="0" w:color="auto"/>
              <w:left w:val="single" w:sz="4" w:space="0" w:color="auto"/>
              <w:bottom w:val="single" w:sz="4" w:space="0" w:color="auto"/>
              <w:right w:val="single" w:sz="4" w:space="0" w:color="auto"/>
            </w:tcBorders>
            <w:shd w:val="clear" w:color="auto" w:fill="F2F2F2"/>
          </w:tcPr>
          <w:p w14:paraId="00B6F470" w14:textId="77777777" w:rsidR="00FF4BDC" w:rsidRPr="00350593" w:rsidRDefault="00FF4BDC" w:rsidP="00AC6CAB">
            <w:pPr>
              <w:pStyle w:val="TableText"/>
              <w:snapToGrid w:val="0"/>
              <w:ind w:left="57" w:rightChars="71" w:right="142"/>
              <w:rPr>
                <w:lang w:eastAsia="it-IT"/>
              </w:rPr>
            </w:pPr>
            <w:r>
              <w:rPr>
                <w:lang w:eastAsia="it-IT"/>
              </w:rPr>
              <w:t>Other liabilities:</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05CC13CE" w14:textId="77777777" w:rsidR="00FF4BDC" w:rsidRPr="0023654F" w:rsidRDefault="00FF4BDC" w:rsidP="00AC6CAB">
            <w:pPr>
              <w:pStyle w:val="TableText"/>
              <w:snapToGrid w:val="0"/>
              <w:rPr>
                <w:lang w:eastAsia="it-IT"/>
              </w:rPr>
            </w:pPr>
          </w:p>
        </w:tc>
        <w:tc>
          <w:tcPr>
            <w:tcW w:w="985" w:type="dxa"/>
            <w:tcBorders>
              <w:top w:val="single" w:sz="4" w:space="0" w:color="auto"/>
              <w:left w:val="single" w:sz="4" w:space="0" w:color="auto"/>
              <w:bottom w:val="single" w:sz="4" w:space="0" w:color="auto"/>
              <w:right w:val="single" w:sz="4" w:space="0" w:color="auto"/>
            </w:tcBorders>
            <w:shd w:val="clear" w:color="auto" w:fill="F2F2F2"/>
          </w:tcPr>
          <w:p w14:paraId="01207246" w14:textId="77777777" w:rsidR="00FF4BDC" w:rsidRPr="0023654F" w:rsidRDefault="00FF4BDC" w:rsidP="00AC6CAB">
            <w:pPr>
              <w:pStyle w:val="TableText"/>
              <w:snapToGrid w:val="0"/>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54CC9B63" w14:textId="77777777" w:rsidR="00FF4BDC" w:rsidRPr="0023654F" w:rsidRDefault="00FF4BDC" w:rsidP="00AC6CAB">
            <w:pPr>
              <w:pStyle w:val="TableText"/>
              <w:snapToGrid w:val="0"/>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F2F2F2"/>
          </w:tcPr>
          <w:p w14:paraId="4872091F" w14:textId="77777777" w:rsidR="00FF4BDC" w:rsidRPr="0023654F" w:rsidRDefault="00FF4BDC" w:rsidP="00AC6CAB">
            <w:pPr>
              <w:pStyle w:val="TableText"/>
              <w:snapToGrid w:val="0"/>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2F2F2"/>
          </w:tcPr>
          <w:p w14:paraId="59D4CA2B" w14:textId="77777777" w:rsidR="00FF4BDC" w:rsidRPr="0023654F" w:rsidRDefault="00FF4BDC" w:rsidP="00AC6CAB">
            <w:pPr>
              <w:pStyle w:val="TableText"/>
              <w:snapToGrid w:val="0"/>
              <w:rPr>
                <w:lang w:eastAsia="it-IT"/>
              </w:rPr>
            </w:pPr>
          </w:p>
        </w:tc>
      </w:tr>
      <w:tr w:rsidR="00FF4BDC" w:rsidRPr="0023654F" w14:paraId="029B37E2" w14:textId="77777777" w:rsidTr="00AC6CAB">
        <w:trPr>
          <w:cantSplit/>
          <w:trHeight w:val="270"/>
        </w:trPr>
        <w:tc>
          <w:tcPr>
            <w:tcW w:w="467" w:type="dxa"/>
            <w:tcBorders>
              <w:top w:val="single" w:sz="4" w:space="0" w:color="auto"/>
              <w:left w:val="nil"/>
              <w:bottom w:val="single" w:sz="4" w:space="0" w:color="auto"/>
              <w:right w:val="single" w:sz="4" w:space="0" w:color="auto"/>
            </w:tcBorders>
          </w:tcPr>
          <w:p w14:paraId="2857386F" w14:textId="77777777" w:rsidR="00FF4BDC" w:rsidRPr="0023654F" w:rsidRDefault="00FF4BDC" w:rsidP="00AC6CAB">
            <w:pPr>
              <w:pStyle w:val="TableText"/>
              <w:snapToGrid w:val="0"/>
              <w:ind w:left="57"/>
              <w:rPr>
                <w:sz w:val="16"/>
                <w:szCs w:val="16"/>
                <w:lang w:eastAsia="en-GB"/>
              </w:rPr>
            </w:pPr>
            <w:r>
              <w:rPr>
                <w:sz w:val="16"/>
                <w:szCs w:val="16"/>
                <w:lang w:eastAsia="en-GB"/>
              </w:rPr>
              <w:t>12</w:t>
            </w:r>
          </w:p>
        </w:tc>
        <w:tc>
          <w:tcPr>
            <w:tcW w:w="3643" w:type="dxa"/>
            <w:tcBorders>
              <w:top w:val="single" w:sz="4" w:space="0" w:color="auto"/>
              <w:left w:val="single" w:sz="4" w:space="0" w:color="auto"/>
              <w:bottom w:val="single" w:sz="4" w:space="0" w:color="auto"/>
              <w:right w:val="single" w:sz="4" w:space="0" w:color="auto"/>
            </w:tcBorders>
          </w:tcPr>
          <w:p w14:paraId="351CC088" w14:textId="77777777" w:rsidR="00FF4BDC" w:rsidRPr="00475528" w:rsidRDefault="00FF4BDC" w:rsidP="00AC6CAB">
            <w:pPr>
              <w:pStyle w:val="TableText"/>
              <w:tabs>
                <w:tab w:val="left" w:pos="384"/>
              </w:tabs>
              <w:snapToGrid w:val="0"/>
              <w:ind w:left="57" w:rightChars="71" w:right="142"/>
              <w:rPr>
                <w:i/>
                <w:lang w:eastAsia="it-IT"/>
              </w:rPr>
            </w:pPr>
            <w:r>
              <w:rPr>
                <w:i/>
                <w:lang w:eastAsia="it-IT"/>
              </w:rPr>
              <w:tab/>
              <w:t xml:space="preserve">Net </w:t>
            </w:r>
            <w:r w:rsidRPr="00C940CE">
              <w:rPr>
                <w:i/>
                <w:lang w:eastAsia="it-IT"/>
              </w:rPr>
              <w:t>derivative liabilities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B1302D1" w14:textId="77777777" w:rsidR="00FF4BDC" w:rsidRPr="0023654F" w:rsidRDefault="00FF4BDC" w:rsidP="00AC6CAB">
            <w:pPr>
              <w:pStyle w:val="TableText"/>
              <w:snapToGrid w:val="0"/>
              <w:rPr>
                <w:lang w:eastAsia="it-IT"/>
              </w:rPr>
            </w:pPr>
          </w:p>
        </w:tc>
        <w:tc>
          <w:tcPr>
            <w:tcW w:w="985" w:type="dxa"/>
            <w:tcBorders>
              <w:top w:val="single" w:sz="4" w:space="0" w:color="auto"/>
              <w:left w:val="single" w:sz="4" w:space="0" w:color="auto"/>
              <w:bottom w:val="single" w:sz="4" w:space="0" w:color="auto"/>
              <w:right w:val="single" w:sz="4" w:space="0" w:color="auto"/>
            </w:tcBorders>
            <w:shd w:val="clear" w:color="auto" w:fill="808080"/>
          </w:tcPr>
          <w:p w14:paraId="135FC480" w14:textId="77777777" w:rsidR="00FF4BDC" w:rsidRPr="0023654F" w:rsidRDefault="00FF4BDC" w:rsidP="00AC6CAB">
            <w:pPr>
              <w:pStyle w:val="TableText"/>
              <w:snapToGrid w:val="0"/>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808080"/>
          </w:tcPr>
          <w:p w14:paraId="5C021B4B" w14:textId="77777777" w:rsidR="00FF4BDC" w:rsidRPr="0023654F" w:rsidRDefault="00FF4BDC" w:rsidP="00AC6CAB">
            <w:pPr>
              <w:pStyle w:val="TableText"/>
              <w:snapToGrid w:val="0"/>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808080"/>
          </w:tcPr>
          <w:p w14:paraId="57DE004F" w14:textId="77777777" w:rsidR="00FF4BDC" w:rsidRPr="0023654F" w:rsidRDefault="00FF4BDC" w:rsidP="00AC6CAB">
            <w:pPr>
              <w:pStyle w:val="TableText"/>
              <w:snapToGrid w:val="0"/>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808080"/>
          </w:tcPr>
          <w:p w14:paraId="7ABEBE66" w14:textId="77777777" w:rsidR="00FF4BDC" w:rsidRPr="0023654F" w:rsidRDefault="00FF4BDC" w:rsidP="00AC6CAB">
            <w:pPr>
              <w:pStyle w:val="TableText"/>
              <w:snapToGrid w:val="0"/>
              <w:rPr>
                <w:lang w:eastAsia="it-IT"/>
              </w:rPr>
            </w:pPr>
          </w:p>
        </w:tc>
      </w:tr>
      <w:tr w:rsidR="00FF4BDC" w:rsidRPr="0023654F" w14:paraId="15060515" w14:textId="77777777" w:rsidTr="00AC6CAB">
        <w:trPr>
          <w:cantSplit/>
          <w:trHeight w:val="270"/>
        </w:trPr>
        <w:tc>
          <w:tcPr>
            <w:tcW w:w="467" w:type="dxa"/>
            <w:tcBorders>
              <w:top w:val="single" w:sz="4" w:space="0" w:color="auto"/>
              <w:left w:val="nil"/>
              <w:bottom w:val="single" w:sz="4" w:space="0" w:color="auto"/>
              <w:right w:val="single" w:sz="4" w:space="0" w:color="auto"/>
            </w:tcBorders>
          </w:tcPr>
          <w:p w14:paraId="17BB9113" w14:textId="77777777" w:rsidR="00FF4BDC" w:rsidRPr="0023654F" w:rsidRDefault="00FF4BDC" w:rsidP="00AC6CAB">
            <w:pPr>
              <w:pStyle w:val="TableText"/>
              <w:snapToGrid w:val="0"/>
              <w:ind w:left="57"/>
              <w:rPr>
                <w:sz w:val="16"/>
                <w:szCs w:val="16"/>
                <w:lang w:eastAsia="en-GB"/>
              </w:rPr>
            </w:pPr>
            <w:r>
              <w:rPr>
                <w:sz w:val="16"/>
                <w:szCs w:val="16"/>
                <w:lang w:eastAsia="en-GB"/>
              </w:rPr>
              <w:t>13</w:t>
            </w:r>
          </w:p>
        </w:tc>
        <w:tc>
          <w:tcPr>
            <w:tcW w:w="3643" w:type="dxa"/>
            <w:tcBorders>
              <w:top w:val="single" w:sz="4" w:space="0" w:color="auto"/>
              <w:left w:val="single" w:sz="4" w:space="0" w:color="auto"/>
              <w:bottom w:val="single" w:sz="4" w:space="0" w:color="auto"/>
              <w:right w:val="single" w:sz="4" w:space="0" w:color="auto"/>
            </w:tcBorders>
          </w:tcPr>
          <w:p w14:paraId="11B953AF" w14:textId="77777777" w:rsidR="00FF4BDC" w:rsidRPr="00C940CE" w:rsidRDefault="00FF4BDC" w:rsidP="00AC6CAB">
            <w:pPr>
              <w:pStyle w:val="TableText"/>
              <w:snapToGrid w:val="0"/>
              <w:ind w:leftChars="28" w:left="382" w:rightChars="71" w:right="142" w:hangingChars="192" w:hanging="326"/>
              <w:rPr>
                <w:i/>
                <w:lang w:eastAsia="it-IT"/>
              </w:rPr>
            </w:pPr>
            <w:r>
              <w:rPr>
                <w:i/>
                <w:lang w:eastAsia="it-IT"/>
              </w:rPr>
              <w:tab/>
            </w:r>
            <w:r w:rsidRPr="00C940CE">
              <w:rPr>
                <w:i/>
                <w:lang w:eastAsia="it-IT"/>
              </w:rPr>
              <w:t xml:space="preserve">All other </w:t>
            </w:r>
            <w:r>
              <w:rPr>
                <w:i/>
                <w:lang w:eastAsia="it-IT"/>
              </w:rPr>
              <w:t xml:space="preserve">funding and </w:t>
            </w:r>
            <w:r w:rsidRPr="00C940CE">
              <w:rPr>
                <w:i/>
                <w:lang w:eastAsia="it-IT"/>
              </w:rPr>
              <w:t>liabilities not included i</w:t>
            </w:r>
            <w:r>
              <w:rPr>
                <w:i/>
                <w:lang w:eastAsia="it-IT"/>
              </w:rPr>
              <w:t>n the above categories</w:t>
            </w:r>
          </w:p>
        </w:tc>
        <w:tc>
          <w:tcPr>
            <w:tcW w:w="992" w:type="dxa"/>
            <w:tcBorders>
              <w:top w:val="single" w:sz="4" w:space="0" w:color="auto"/>
              <w:left w:val="single" w:sz="4" w:space="0" w:color="auto"/>
              <w:bottom w:val="single" w:sz="4" w:space="0" w:color="auto"/>
              <w:right w:val="single" w:sz="4" w:space="0" w:color="auto"/>
            </w:tcBorders>
          </w:tcPr>
          <w:p w14:paraId="0DCC1986" w14:textId="77777777" w:rsidR="00FF4BDC" w:rsidRPr="0023654F" w:rsidRDefault="00FF4BDC" w:rsidP="00AC6CAB">
            <w:pPr>
              <w:pStyle w:val="TableText"/>
              <w:snapToGrid w:val="0"/>
              <w:rPr>
                <w:lang w:eastAsia="it-IT"/>
              </w:rPr>
            </w:pPr>
          </w:p>
        </w:tc>
        <w:tc>
          <w:tcPr>
            <w:tcW w:w="985" w:type="dxa"/>
            <w:tcBorders>
              <w:top w:val="single" w:sz="4" w:space="0" w:color="auto"/>
              <w:left w:val="single" w:sz="4" w:space="0" w:color="auto"/>
              <w:bottom w:val="single" w:sz="4" w:space="0" w:color="auto"/>
              <w:right w:val="single" w:sz="4" w:space="0" w:color="auto"/>
            </w:tcBorders>
          </w:tcPr>
          <w:p w14:paraId="69FBDEF4" w14:textId="77777777" w:rsidR="00FF4BDC" w:rsidRPr="0023654F" w:rsidRDefault="00FF4BDC" w:rsidP="00AC6CAB">
            <w:pPr>
              <w:pStyle w:val="TableText"/>
              <w:snapToGrid w:val="0"/>
              <w:rPr>
                <w:lang w:eastAsia="it-IT"/>
              </w:rPr>
            </w:pPr>
          </w:p>
        </w:tc>
        <w:tc>
          <w:tcPr>
            <w:tcW w:w="992" w:type="dxa"/>
            <w:tcBorders>
              <w:top w:val="single" w:sz="4" w:space="0" w:color="auto"/>
              <w:left w:val="single" w:sz="4" w:space="0" w:color="auto"/>
              <w:bottom w:val="single" w:sz="4" w:space="0" w:color="auto"/>
              <w:right w:val="single" w:sz="4" w:space="0" w:color="auto"/>
            </w:tcBorders>
          </w:tcPr>
          <w:p w14:paraId="7EA51619" w14:textId="77777777" w:rsidR="00FF4BDC" w:rsidRPr="0023654F" w:rsidRDefault="00FF4BDC" w:rsidP="00AC6CAB">
            <w:pPr>
              <w:pStyle w:val="TableText"/>
              <w:snapToGrid w:val="0"/>
              <w:rPr>
                <w:lang w:eastAsia="it-IT"/>
              </w:rPr>
            </w:pPr>
          </w:p>
        </w:tc>
        <w:tc>
          <w:tcPr>
            <w:tcW w:w="993" w:type="dxa"/>
            <w:tcBorders>
              <w:top w:val="single" w:sz="4" w:space="0" w:color="auto"/>
              <w:left w:val="single" w:sz="4" w:space="0" w:color="auto"/>
              <w:bottom w:val="single" w:sz="4" w:space="0" w:color="auto"/>
              <w:right w:val="single" w:sz="4" w:space="0" w:color="auto"/>
            </w:tcBorders>
          </w:tcPr>
          <w:p w14:paraId="1E4DA6A9" w14:textId="77777777" w:rsidR="00FF4BDC" w:rsidRPr="0023654F" w:rsidRDefault="00FF4BDC" w:rsidP="00AC6CAB">
            <w:pPr>
              <w:pStyle w:val="TableText"/>
              <w:snapToGrid w:val="0"/>
              <w:rPr>
                <w:lang w:eastAsia="it-IT"/>
              </w:rPr>
            </w:pPr>
          </w:p>
        </w:tc>
        <w:tc>
          <w:tcPr>
            <w:tcW w:w="1001" w:type="dxa"/>
            <w:tcBorders>
              <w:top w:val="single" w:sz="4" w:space="0" w:color="auto"/>
              <w:left w:val="single" w:sz="4" w:space="0" w:color="auto"/>
              <w:bottom w:val="single" w:sz="4" w:space="0" w:color="auto"/>
              <w:right w:val="single" w:sz="4" w:space="0" w:color="auto"/>
            </w:tcBorders>
          </w:tcPr>
          <w:p w14:paraId="23FF5253" w14:textId="77777777" w:rsidR="00FF4BDC" w:rsidRPr="0023654F" w:rsidRDefault="00FF4BDC" w:rsidP="00AC6CAB">
            <w:pPr>
              <w:pStyle w:val="TableText"/>
              <w:snapToGrid w:val="0"/>
              <w:rPr>
                <w:lang w:eastAsia="it-IT"/>
              </w:rPr>
            </w:pPr>
          </w:p>
        </w:tc>
      </w:tr>
      <w:tr w:rsidR="00FF4BDC" w:rsidRPr="0023654F" w14:paraId="1373DCC5" w14:textId="77777777" w:rsidTr="00AC6CAB">
        <w:trPr>
          <w:cantSplit/>
          <w:trHeight w:val="270"/>
        </w:trPr>
        <w:tc>
          <w:tcPr>
            <w:tcW w:w="467" w:type="dxa"/>
            <w:tcBorders>
              <w:top w:val="single" w:sz="4" w:space="0" w:color="auto"/>
              <w:left w:val="nil"/>
              <w:bottom w:val="single" w:sz="4" w:space="0" w:color="auto"/>
              <w:right w:val="single" w:sz="4" w:space="0" w:color="auto"/>
            </w:tcBorders>
          </w:tcPr>
          <w:p w14:paraId="22FDC2AF" w14:textId="77777777" w:rsidR="00FF4BDC" w:rsidRPr="0023654F" w:rsidRDefault="00FF4BDC" w:rsidP="00AC6CAB">
            <w:pPr>
              <w:pStyle w:val="TableText"/>
              <w:snapToGrid w:val="0"/>
              <w:ind w:left="57"/>
              <w:rPr>
                <w:sz w:val="16"/>
                <w:szCs w:val="16"/>
                <w:lang w:eastAsia="en-GB"/>
              </w:rPr>
            </w:pPr>
            <w:r>
              <w:rPr>
                <w:sz w:val="16"/>
                <w:szCs w:val="16"/>
                <w:lang w:eastAsia="en-GB"/>
              </w:rPr>
              <w:t>14</w:t>
            </w:r>
          </w:p>
        </w:tc>
        <w:tc>
          <w:tcPr>
            <w:tcW w:w="3643" w:type="dxa"/>
            <w:tcBorders>
              <w:top w:val="single" w:sz="4" w:space="0" w:color="auto"/>
              <w:left w:val="single" w:sz="4" w:space="0" w:color="auto"/>
              <w:bottom w:val="single" w:sz="4" w:space="0" w:color="auto"/>
              <w:right w:val="single" w:sz="4" w:space="0" w:color="auto"/>
            </w:tcBorders>
          </w:tcPr>
          <w:p w14:paraId="7C22750F" w14:textId="77777777" w:rsidR="00FF4BDC" w:rsidRPr="00475528" w:rsidDel="001C71B9" w:rsidRDefault="00FF4BDC" w:rsidP="00AC6CAB">
            <w:pPr>
              <w:pStyle w:val="TableText"/>
              <w:snapToGrid w:val="0"/>
              <w:ind w:left="57" w:rightChars="71" w:right="142"/>
              <w:rPr>
                <w:i/>
                <w:lang w:eastAsia="it-IT"/>
              </w:rPr>
            </w:pPr>
            <w:r w:rsidRPr="00013E30">
              <w:rPr>
                <w:b/>
                <w:lang w:eastAsia="it-IT"/>
              </w:rPr>
              <w:t>Total ASF</w:t>
            </w:r>
          </w:p>
        </w:tc>
        <w:tc>
          <w:tcPr>
            <w:tcW w:w="992" w:type="dxa"/>
            <w:tcBorders>
              <w:top w:val="single" w:sz="4" w:space="0" w:color="auto"/>
              <w:left w:val="single" w:sz="4" w:space="0" w:color="auto"/>
              <w:bottom w:val="single" w:sz="4" w:space="0" w:color="auto"/>
              <w:right w:val="single" w:sz="4" w:space="0" w:color="auto"/>
            </w:tcBorders>
            <w:shd w:val="clear" w:color="auto" w:fill="808080"/>
          </w:tcPr>
          <w:p w14:paraId="50F1B736" w14:textId="77777777" w:rsidR="00FF4BDC" w:rsidRPr="0023654F" w:rsidRDefault="00FF4BDC" w:rsidP="00AC6CAB">
            <w:pPr>
              <w:pStyle w:val="TableText"/>
              <w:snapToGrid w:val="0"/>
              <w:rPr>
                <w:lang w:eastAsia="it-IT"/>
              </w:rPr>
            </w:pPr>
          </w:p>
        </w:tc>
        <w:tc>
          <w:tcPr>
            <w:tcW w:w="985" w:type="dxa"/>
            <w:tcBorders>
              <w:top w:val="single" w:sz="4" w:space="0" w:color="auto"/>
              <w:left w:val="single" w:sz="4" w:space="0" w:color="auto"/>
              <w:bottom w:val="single" w:sz="4" w:space="0" w:color="auto"/>
              <w:right w:val="single" w:sz="4" w:space="0" w:color="auto"/>
            </w:tcBorders>
            <w:shd w:val="clear" w:color="auto" w:fill="808080"/>
          </w:tcPr>
          <w:p w14:paraId="640E68B5" w14:textId="77777777" w:rsidR="00FF4BDC" w:rsidRPr="0023654F" w:rsidRDefault="00FF4BDC" w:rsidP="00AC6CAB">
            <w:pPr>
              <w:pStyle w:val="TableText"/>
              <w:snapToGrid w:val="0"/>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808080"/>
          </w:tcPr>
          <w:p w14:paraId="17D3DCA5" w14:textId="77777777" w:rsidR="00FF4BDC" w:rsidRPr="0023654F" w:rsidRDefault="00FF4BDC" w:rsidP="00AC6CAB">
            <w:pPr>
              <w:pStyle w:val="TableText"/>
              <w:snapToGrid w:val="0"/>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808080"/>
          </w:tcPr>
          <w:p w14:paraId="35C46734" w14:textId="77777777" w:rsidR="00FF4BDC" w:rsidRPr="0023654F" w:rsidRDefault="00FF4BDC" w:rsidP="00AC6CAB">
            <w:pPr>
              <w:pStyle w:val="TableText"/>
              <w:snapToGrid w:val="0"/>
              <w:rPr>
                <w:lang w:eastAsia="it-IT"/>
              </w:rPr>
            </w:pPr>
          </w:p>
        </w:tc>
        <w:tc>
          <w:tcPr>
            <w:tcW w:w="1001" w:type="dxa"/>
            <w:tcBorders>
              <w:top w:val="single" w:sz="4" w:space="0" w:color="auto"/>
              <w:left w:val="single" w:sz="4" w:space="0" w:color="auto"/>
              <w:bottom w:val="single" w:sz="4" w:space="0" w:color="auto"/>
              <w:right w:val="single" w:sz="4" w:space="0" w:color="auto"/>
            </w:tcBorders>
          </w:tcPr>
          <w:p w14:paraId="4AB817BF" w14:textId="77777777" w:rsidR="00FF4BDC" w:rsidRPr="0023654F" w:rsidRDefault="00FF4BDC" w:rsidP="00AC6CAB">
            <w:pPr>
              <w:pStyle w:val="TableText"/>
              <w:snapToGrid w:val="0"/>
              <w:rPr>
                <w:lang w:eastAsia="it-IT"/>
              </w:rPr>
            </w:pPr>
          </w:p>
        </w:tc>
      </w:tr>
      <w:tr w:rsidR="00FF4BDC" w:rsidRPr="0023654F" w14:paraId="04E97D67" w14:textId="77777777" w:rsidTr="00AC6CAB">
        <w:trPr>
          <w:cantSplit/>
          <w:trHeight w:val="270"/>
        </w:trPr>
        <w:tc>
          <w:tcPr>
            <w:tcW w:w="4110" w:type="dxa"/>
            <w:gridSpan w:val="2"/>
            <w:tcBorders>
              <w:top w:val="single" w:sz="4" w:space="0" w:color="auto"/>
              <w:left w:val="nil"/>
              <w:bottom w:val="single" w:sz="4" w:space="0" w:color="auto"/>
              <w:right w:val="nil"/>
            </w:tcBorders>
            <w:shd w:val="clear" w:color="auto" w:fill="BFBFBF"/>
          </w:tcPr>
          <w:p w14:paraId="5EE937FF" w14:textId="77777777" w:rsidR="00FF4BDC" w:rsidRDefault="00FF4BDC" w:rsidP="008D652E">
            <w:pPr>
              <w:pStyle w:val="TableText"/>
              <w:numPr>
                <w:ilvl w:val="0"/>
                <w:numId w:val="65"/>
              </w:numPr>
              <w:snapToGrid w:val="0"/>
              <w:ind w:rightChars="71" w:right="142"/>
              <w:rPr>
                <w:b/>
                <w:bCs/>
                <w:sz w:val="20"/>
              </w:rPr>
            </w:pPr>
            <w:r>
              <w:rPr>
                <w:b/>
                <w:lang w:eastAsia="it-IT"/>
              </w:rPr>
              <w:t>Required stable funding (“RSF”) item</w:t>
            </w:r>
          </w:p>
        </w:tc>
        <w:tc>
          <w:tcPr>
            <w:tcW w:w="992" w:type="dxa"/>
            <w:tcBorders>
              <w:top w:val="single" w:sz="4" w:space="0" w:color="auto"/>
              <w:left w:val="nil"/>
              <w:bottom w:val="single" w:sz="4" w:space="0" w:color="auto"/>
              <w:right w:val="nil"/>
            </w:tcBorders>
            <w:shd w:val="clear" w:color="auto" w:fill="BFBFBF"/>
          </w:tcPr>
          <w:p w14:paraId="341627F3" w14:textId="77777777" w:rsidR="00FF4BDC" w:rsidRPr="0023654F" w:rsidRDefault="00FF4BDC" w:rsidP="00AC6CAB">
            <w:pPr>
              <w:pStyle w:val="TableText"/>
              <w:snapToGrid w:val="0"/>
              <w:rPr>
                <w:lang w:eastAsia="it-IT"/>
              </w:rPr>
            </w:pPr>
          </w:p>
        </w:tc>
        <w:tc>
          <w:tcPr>
            <w:tcW w:w="985" w:type="dxa"/>
            <w:tcBorders>
              <w:top w:val="single" w:sz="4" w:space="0" w:color="auto"/>
              <w:left w:val="nil"/>
              <w:bottom w:val="single" w:sz="4" w:space="0" w:color="auto"/>
              <w:right w:val="nil"/>
            </w:tcBorders>
            <w:shd w:val="clear" w:color="auto" w:fill="BFBFBF"/>
          </w:tcPr>
          <w:p w14:paraId="510767D9" w14:textId="77777777" w:rsidR="00FF4BDC" w:rsidRPr="0023654F" w:rsidRDefault="00FF4BDC" w:rsidP="00AC6CAB">
            <w:pPr>
              <w:pStyle w:val="TableText"/>
              <w:snapToGrid w:val="0"/>
              <w:rPr>
                <w:lang w:eastAsia="it-IT"/>
              </w:rPr>
            </w:pPr>
          </w:p>
        </w:tc>
        <w:tc>
          <w:tcPr>
            <w:tcW w:w="992" w:type="dxa"/>
            <w:tcBorders>
              <w:top w:val="single" w:sz="4" w:space="0" w:color="auto"/>
              <w:left w:val="nil"/>
              <w:bottom w:val="single" w:sz="4" w:space="0" w:color="auto"/>
              <w:right w:val="nil"/>
            </w:tcBorders>
            <w:shd w:val="clear" w:color="auto" w:fill="BFBFBF"/>
          </w:tcPr>
          <w:p w14:paraId="2427D01E" w14:textId="77777777" w:rsidR="00FF4BDC" w:rsidRPr="0023654F" w:rsidRDefault="00FF4BDC" w:rsidP="00AC6CAB">
            <w:pPr>
              <w:pStyle w:val="TableText"/>
              <w:snapToGrid w:val="0"/>
              <w:rPr>
                <w:lang w:eastAsia="it-IT"/>
              </w:rPr>
            </w:pPr>
          </w:p>
        </w:tc>
        <w:tc>
          <w:tcPr>
            <w:tcW w:w="993" w:type="dxa"/>
            <w:tcBorders>
              <w:top w:val="single" w:sz="4" w:space="0" w:color="auto"/>
              <w:left w:val="nil"/>
              <w:bottom w:val="single" w:sz="4" w:space="0" w:color="auto"/>
              <w:right w:val="nil"/>
            </w:tcBorders>
            <w:shd w:val="clear" w:color="auto" w:fill="BFBFBF"/>
          </w:tcPr>
          <w:p w14:paraId="2667D209" w14:textId="77777777" w:rsidR="00FF4BDC" w:rsidRPr="0023654F" w:rsidRDefault="00FF4BDC" w:rsidP="00AC6CAB">
            <w:pPr>
              <w:pStyle w:val="TableText"/>
              <w:snapToGrid w:val="0"/>
              <w:rPr>
                <w:lang w:eastAsia="it-IT"/>
              </w:rPr>
            </w:pPr>
          </w:p>
        </w:tc>
        <w:tc>
          <w:tcPr>
            <w:tcW w:w="1001" w:type="dxa"/>
            <w:tcBorders>
              <w:top w:val="single" w:sz="4" w:space="0" w:color="auto"/>
              <w:left w:val="nil"/>
              <w:bottom w:val="single" w:sz="4" w:space="0" w:color="auto"/>
              <w:right w:val="single" w:sz="4" w:space="0" w:color="auto"/>
            </w:tcBorders>
            <w:shd w:val="clear" w:color="auto" w:fill="BFBFBF"/>
          </w:tcPr>
          <w:p w14:paraId="77F17384" w14:textId="77777777" w:rsidR="00FF4BDC" w:rsidRPr="0023654F" w:rsidRDefault="00FF4BDC" w:rsidP="00AC6CAB">
            <w:pPr>
              <w:pStyle w:val="TableText"/>
              <w:snapToGrid w:val="0"/>
              <w:rPr>
                <w:lang w:eastAsia="it-IT"/>
              </w:rPr>
            </w:pPr>
          </w:p>
        </w:tc>
      </w:tr>
      <w:tr w:rsidR="00FF4BDC" w:rsidRPr="0023654F" w14:paraId="6A7C9AF2"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2F2F2"/>
          </w:tcPr>
          <w:p w14:paraId="0C7C8202" w14:textId="77777777" w:rsidR="00FF4BDC" w:rsidRPr="0023654F" w:rsidRDefault="00FF4BDC" w:rsidP="00AC6CAB">
            <w:pPr>
              <w:pStyle w:val="TableText"/>
              <w:snapToGrid w:val="0"/>
              <w:ind w:left="57"/>
              <w:rPr>
                <w:sz w:val="16"/>
                <w:szCs w:val="16"/>
                <w:lang w:eastAsia="en-GB"/>
              </w:rPr>
            </w:pPr>
            <w:r>
              <w:rPr>
                <w:sz w:val="16"/>
                <w:szCs w:val="16"/>
                <w:lang w:eastAsia="en-GB"/>
              </w:rPr>
              <w:t>15</w:t>
            </w:r>
          </w:p>
        </w:tc>
        <w:tc>
          <w:tcPr>
            <w:tcW w:w="3643" w:type="dxa"/>
            <w:tcBorders>
              <w:top w:val="single" w:sz="4" w:space="0" w:color="auto"/>
              <w:left w:val="single" w:sz="4" w:space="0" w:color="auto"/>
              <w:bottom w:val="single" w:sz="4" w:space="0" w:color="auto"/>
              <w:right w:val="single" w:sz="4" w:space="0" w:color="auto"/>
            </w:tcBorders>
            <w:shd w:val="clear" w:color="auto" w:fill="F2F2F2"/>
          </w:tcPr>
          <w:p w14:paraId="1F9432F0" w14:textId="77777777" w:rsidR="00FF4BDC" w:rsidRPr="00202A50" w:rsidRDefault="00FF4BDC" w:rsidP="00AC6CAB">
            <w:pPr>
              <w:pStyle w:val="TableText"/>
              <w:snapToGrid w:val="0"/>
              <w:ind w:left="57" w:rightChars="71" w:right="142"/>
              <w:rPr>
                <w:lang w:eastAsia="it-IT"/>
              </w:rPr>
            </w:pPr>
            <w:r w:rsidRPr="00202A50">
              <w:rPr>
                <w:lang w:eastAsia="it-IT"/>
              </w:rPr>
              <w:t xml:space="preserve">Total </w:t>
            </w:r>
            <w:r>
              <w:rPr>
                <w:lang w:eastAsia="it-IT"/>
              </w:rPr>
              <w:t>HQLA for NSFR purposes</w:t>
            </w:r>
          </w:p>
        </w:tc>
        <w:tc>
          <w:tcPr>
            <w:tcW w:w="3962" w:type="dxa"/>
            <w:gridSpan w:val="4"/>
            <w:tcBorders>
              <w:top w:val="single" w:sz="4" w:space="0" w:color="auto"/>
              <w:left w:val="single" w:sz="4" w:space="0" w:color="auto"/>
              <w:bottom w:val="single" w:sz="4" w:space="0" w:color="auto"/>
              <w:right w:val="single" w:sz="4" w:space="0" w:color="auto"/>
            </w:tcBorders>
            <w:shd w:val="clear" w:color="auto" w:fill="F2F2F2"/>
          </w:tcPr>
          <w:p w14:paraId="1372DB1C" w14:textId="77777777" w:rsidR="00FF4BDC" w:rsidRPr="0023654F" w:rsidRDefault="00FF4BDC" w:rsidP="00AC6CAB">
            <w:pPr>
              <w:pStyle w:val="TableText"/>
              <w:snapToGrid w:val="0"/>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2F2F2"/>
          </w:tcPr>
          <w:p w14:paraId="384C844F" w14:textId="77777777" w:rsidR="00FF4BDC" w:rsidRPr="0023654F" w:rsidRDefault="00FF4BDC" w:rsidP="00AC6CAB">
            <w:pPr>
              <w:pStyle w:val="TableText"/>
              <w:snapToGrid w:val="0"/>
              <w:rPr>
                <w:lang w:eastAsia="it-IT"/>
              </w:rPr>
            </w:pPr>
          </w:p>
        </w:tc>
      </w:tr>
      <w:tr w:rsidR="00FF4BDC" w:rsidRPr="0023654F" w14:paraId="4CC9C917"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2F2F2"/>
          </w:tcPr>
          <w:p w14:paraId="4951245C" w14:textId="77777777" w:rsidR="00FF4BDC" w:rsidRPr="0023654F" w:rsidRDefault="00FF4BDC" w:rsidP="00AC6CAB">
            <w:pPr>
              <w:pStyle w:val="TableText"/>
              <w:snapToGrid w:val="0"/>
              <w:ind w:left="57"/>
              <w:rPr>
                <w:sz w:val="16"/>
                <w:szCs w:val="16"/>
                <w:lang w:eastAsia="en-GB"/>
              </w:rPr>
            </w:pPr>
            <w:r>
              <w:rPr>
                <w:sz w:val="16"/>
                <w:szCs w:val="16"/>
                <w:lang w:eastAsia="en-GB"/>
              </w:rPr>
              <w:t>16</w:t>
            </w:r>
          </w:p>
        </w:tc>
        <w:tc>
          <w:tcPr>
            <w:tcW w:w="3643" w:type="dxa"/>
            <w:tcBorders>
              <w:top w:val="single" w:sz="4" w:space="0" w:color="auto"/>
              <w:left w:val="single" w:sz="4" w:space="0" w:color="auto"/>
              <w:bottom w:val="single" w:sz="4" w:space="0" w:color="auto"/>
              <w:right w:val="single" w:sz="4" w:space="0" w:color="auto"/>
            </w:tcBorders>
            <w:shd w:val="clear" w:color="auto" w:fill="F2F2F2"/>
          </w:tcPr>
          <w:p w14:paraId="48ECAD38" w14:textId="77777777" w:rsidR="00FF4BDC" w:rsidRPr="00202A50" w:rsidRDefault="00FF4BDC" w:rsidP="00AC6CAB">
            <w:pPr>
              <w:pStyle w:val="TableText"/>
              <w:snapToGrid w:val="0"/>
              <w:ind w:left="57" w:rightChars="71" w:right="142"/>
              <w:rPr>
                <w:lang w:eastAsia="it-IT"/>
              </w:rPr>
            </w:pPr>
            <w:r w:rsidRPr="00202A50">
              <w:rPr>
                <w:lang w:eastAsia="it-IT"/>
              </w:rPr>
              <w:t>Deposits held at other financial institutions for operational pur</w:t>
            </w:r>
            <w:r>
              <w:rPr>
                <w:lang w:eastAsia="it-IT"/>
              </w:rPr>
              <w:t>poses</w:t>
            </w:r>
          </w:p>
        </w:tc>
        <w:tc>
          <w:tcPr>
            <w:tcW w:w="994" w:type="dxa"/>
            <w:tcBorders>
              <w:top w:val="single" w:sz="4" w:space="0" w:color="auto"/>
              <w:left w:val="single" w:sz="4" w:space="0" w:color="auto"/>
              <w:bottom w:val="single" w:sz="4" w:space="0" w:color="auto"/>
              <w:right w:val="single" w:sz="4" w:space="0" w:color="auto"/>
            </w:tcBorders>
            <w:shd w:val="clear" w:color="auto" w:fill="F2F2F2"/>
          </w:tcPr>
          <w:p w14:paraId="3ABE2858" w14:textId="77777777" w:rsidR="00FF4BDC" w:rsidRPr="003B53ED" w:rsidRDefault="00FF4BDC" w:rsidP="00AC6CAB">
            <w:pPr>
              <w:pStyle w:val="TableText"/>
              <w:snapToGrid w:val="0"/>
              <w:ind w:left="57"/>
              <w:rPr>
                <w:lang w:eastAsia="it-IT"/>
              </w:rPr>
            </w:pPr>
          </w:p>
        </w:tc>
        <w:tc>
          <w:tcPr>
            <w:tcW w:w="983" w:type="dxa"/>
            <w:tcBorders>
              <w:top w:val="single" w:sz="4" w:space="0" w:color="auto"/>
              <w:left w:val="single" w:sz="4" w:space="0" w:color="auto"/>
              <w:bottom w:val="single" w:sz="4" w:space="0" w:color="auto"/>
              <w:right w:val="single" w:sz="4" w:space="0" w:color="auto"/>
            </w:tcBorders>
            <w:shd w:val="clear" w:color="auto" w:fill="F2F2F2"/>
          </w:tcPr>
          <w:p w14:paraId="2C1E7A22" w14:textId="77777777" w:rsidR="00FF4BDC" w:rsidRPr="003B53ED" w:rsidRDefault="00FF4BDC" w:rsidP="00AC6CAB">
            <w:pPr>
              <w:pStyle w:val="TableText"/>
              <w:snapToGrid w:val="0"/>
              <w:ind w:left="57"/>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28402CBD" w14:textId="77777777" w:rsidR="00FF4BDC" w:rsidRPr="003B53ED" w:rsidRDefault="00FF4BDC" w:rsidP="00AC6CAB">
            <w:pPr>
              <w:pStyle w:val="TableText"/>
              <w:snapToGrid w:val="0"/>
              <w:ind w:left="57"/>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F2F2F2"/>
          </w:tcPr>
          <w:p w14:paraId="410125F4" w14:textId="77777777" w:rsidR="00FF4BDC" w:rsidRPr="003B53ED" w:rsidRDefault="00FF4BDC" w:rsidP="00AC6CAB">
            <w:pPr>
              <w:pStyle w:val="TableText"/>
              <w:snapToGrid w:val="0"/>
              <w:ind w:left="57"/>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2F2F2"/>
          </w:tcPr>
          <w:p w14:paraId="6419CC91" w14:textId="77777777" w:rsidR="00FF4BDC" w:rsidRPr="0023654F" w:rsidRDefault="00FF4BDC" w:rsidP="00AC6CAB">
            <w:pPr>
              <w:pStyle w:val="TableText"/>
              <w:snapToGrid w:val="0"/>
              <w:rPr>
                <w:lang w:eastAsia="it-IT"/>
              </w:rPr>
            </w:pPr>
          </w:p>
        </w:tc>
      </w:tr>
      <w:tr w:rsidR="00FF4BDC" w:rsidRPr="0023654F" w14:paraId="3F22D809"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2F2F2"/>
          </w:tcPr>
          <w:p w14:paraId="74345F34" w14:textId="77777777" w:rsidR="00FF4BDC" w:rsidRPr="0023654F" w:rsidRDefault="00FF4BDC" w:rsidP="00AC6CAB">
            <w:pPr>
              <w:pStyle w:val="TableText"/>
              <w:snapToGrid w:val="0"/>
              <w:ind w:left="57"/>
              <w:rPr>
                <w:sz w:val="16"/>
                <w:szCs w:val="16"/>
                <w:lang w:eastAsia="en-GB"/>
              </w:rPr>
            </w:pPr>
            <w:r>
              <w:rPr>
                <w:sz w:val="16"/>
                <w:szCs w:val="16"/>
                <w:lang w:eastAsia="en-GB"/>
              </w:rPr>
              <w:t>17</w:t>
            </w:r>
          </w:p>
        </w:tc>
        <w:tc>
          <w:tcPr>
            <w:tcW w:w="3643" w:type="dxa"/>
            <w:tcBorders>
              <w:top w:val="single" w:sz="4" w:space="0" w:color="auto"/>
              <w:left w:val="single" w:sz="4" w:space="0" w:color="auto"/>
              <w:bottom w:val="single" w:sz="4" w:space="0" w:color="auto"/>
              <w:right w:val="single" w:sz="4" w:space="0" w:color="auto"/>
            </w:tcBorders>
            <w:shd w:val="clear" w:color="auto" w:fill="F2F2F2"/>
          </w:tcPr>
          <w:p w14:paraId="183544A8" w14:textId="77777777" w:rsidR="00FF4BDC" w:rsidRPr="00595C1F" w:rsidRDefault="00FF4BDC" w:rsidP="00AC6CAB">
            <w:pPr>
              <w:pStyle w:val="TableText"/>
              <w:snapToGrid w:val="0"/>
              <w:ind w:left="57" w:rightChars="71" w:right="142"/>
              <w:rPr>
                <w:lang w:eastAsia="it-IT"/>
              </w:rPr>
            </w:pPr>
            <w:r w:rsidRPr="00202A50">
              <w:rPr>
                <w:lang w:eastAsia="it-IT"/>
              </w:rPr>
              <w:t>P</w:t>
            </w:r>
            <w:r>
              <w:rPr>
                <w:lang w:eastAsia="it-IT"/>
              </w:rPr>
              <w:t>erforming loans and securities:</w:t>
            </w:r>
          </w:p>
        </w:tc>
        <w:tc>
          <w:tcPr>
            <w:tcW w:w="994" w:type="dxa"/>
            <w:tcBorders>
              <w:top w:val="single" w:sz="4" w:space="0" w:color="auto"/>
              <w:left w:val="single" w:sz="4" w:space="0" w:color="auto"/>
              <w:bottom w:val="single" w:sz="4" w:space="0" w:color="auto"/>
              <w:right w:val="single" w:sz="4" w:space="0" w:color="auto"/>
            </w:tcBorders>
            <w:shd w:val="clear" w:color="auto" w:fill="F2F2F2"/>
          </w:tcPr>
          <w:p w14:paraId="4E9790C3" w14:textId="77777777" w:rsidR="00FF4BDC" w:rsidRPr="003B53ED" w:rsidRDefault="00FF4BDC" w:rsidP="00AC6CAB">
            <w:pPr>
              <w:pStyle w:val="TableText"/>
              <w:snapToGrid w:val="0"/>
              <w:ind w:left="57"/>
              <w:rPr>
                <w:lang w:eastAsia="it-IT"/>
              </w:rPr>
            </w:pPr>
          </w:p>
        </w:tc>
        <w:tc>
          <w:tcPr>
            <w:tcW w:w="983" w:type="dxa"/>
            <w:tcBorders>
              <w:top w:val="single" w:sz="4" w:space="0" w:color="auto"/>
              <w:left w:val="single" w:sz="4" w:space="0" w:color="auto"/>
              <w:bottom w:val="single" w:sz="4" w:space="0" w:color="auto"/>
              <w:right w:val="single" w:sz="4" w:space="0" w:color="auto"/>
            </w:tcBorders>
            <w:shd w:val="clear" w:color="auto" w:fill="F2F2F2"/>
          </w:tcPr>
          <w:p w14:paraId="2799575E" w14:textId="77777777" w:rsidR="00FF4BDC" w:rsidRPr="003B53ED" w:rsidRDefault="00FF4BDC" w:rsidP="00AC6CAB">
            <w:pPr>
              <w:pStyle w:val="TableText"/>
              <w:snapToGrid w:val="0"/>
              <w:ind w:left="57"/>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40B97269" w14:textId="77777777" w:rsidR="00FF4BDC" w:rsidRPr="003B53ED" w:rsidRDefault="00FF4BDC" w:rsidP="00AC6CAB">
            <w:pPr>
              <w:pStyle w:val="TableText"/>
              <w:snapToGrid w:val="0"/>
              <w:ind w:left="57"/>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F2F2F2"/>
          </w:tcPr>
          <w:p w14:paraId="25670801" w14:textId="77777777" w:rsidR="00FF4BDC" w:rsidRPr="003B53ED" w:rsidRDefault="00FF4BDC" w:rsidP="00AC6CAB">
            <w:pPr>
              <w:pStyle w:val="TableText"/>
              <w:snapToGrid w:val="0"/>
              <w:ind w:left="57"/>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2F2F2"/>
          </w:tcPr>
          <w:p w14:paraId="7CAACA61" w14:textId="77777777" w:rsidR="00FF4BDC" w:rsidRPr="0023654F" w:rsidRDefault="00FF4BDC" w:rsidP="00AC6CAB">
            <w:pPr>
              <w:pStyle w:val="TableText"/>
              <w:snapToGrid w:val="0"/>
              <w:rPr>
                <w:lang w:eastAsia="it-IT"/>
              </w:rPr>
            </w:pPr>
          </w:p>
        </w:tc>
      </w:tr>
      <w:tr w:rsidR="00FF4BDC" w:rsidRPr="0023654F" w14:paraId="0398682C"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FFFFF"/>
          </w:tcPr>
          <w:p w14:paraId="36C6A138" w14:textId="77777777" w:rsidR="00FF4BDC" w:rsidRDefault="00FF4BDC" w:rsidP="00AC6CAB">
            <w:pPr>
              <w:pStyle w:val="TableText"/>
              <w:snapToGrid w:val="0"/>
              <w:ind w:left="57"/>
              <w:rPr>
                <w:sz w:val="16"/>
                <w:szCs w:val="16"/>
                <w:lang w:eastAsia="en-GB"/>
              </w:rPr>
            </w:pPr>
            <w:r>
              <w:rPr>
                <w:sz w:val="16"/>
                <w:szCs w:val="16"/>
                <w:lang w:eastAsia="en-GB"/>
              </w:rPr>
              <w:t>18</w:t>
            </w:r>
          </w:p>
        </w:tc>
        <w:tc>
          <w:tcPr>
            <w:tcW w:w="3643" w:type="dxa"/>
            <w:tcBorders>
              <w:top w:val="single" w:sz="4" w:space="0" w:color="auto"/>
              <w:left w:val="single" w:sz="4" w:space="0" w:color="auto"/>
              <w:bottom w:val="single" w:sz="4" w:space="0" w:color="auto"/>
              <w:right w:val="single" w:sz="4" w:space="0" w:color="auto"/>
            </w:tcBorders>
            <w:shd w:val="clear" w:color="auto" w:fill="FFFFFF"/>
          </w:tcPr>
          <w:p w14:paraId="7D23B3E9" w14:textId="77777777" w:rsidR="00FF4BDC" w:rsidRPr="003D5121" w:rsidRDefault="00FF4BDC" w:rsidP="00AC6CAB">
            <w:pPr>
              <w:pStyle w:val="TableText"/>
              <w:snapToGrid w:val="0"/>
              <w:ind w:leftChars="28" w:left="382" w:rightChars="71" w:right="142" w:hangingChars="192" w:hanging="326"/>
              <w:rPr>
                <w:i/>
                <w:lang w:eastAsia="it-IT"/>
              </w:rPr>
            </w:pPr>
            <w:r>
              <w:rPr>
                <w:i/>
                <w:lang w:eastAsia="it-IT"/>
              </w:rPr>
              <w:tab/>
            </w:r>
            <w:r w:rsidRPr="003D5121">
              <w:rPr>
                <w:i/>
                <w:lang w:eastAsia="it-IT"/>
              </w:rPr>
              <w:t xml:space="preserve">Performing loans to financial institutions secured by Level 1 HQLA </w:t>
            </w:r>
          </w:p>
        </w:tc>
        <w:tc>
          <w:tcPr>
            <w:tcW w:w="994" w:type="dxa"/>
            <w:tcBorders>
              <w:top w:val="single" w:sz="4" w:space="0" w:color="auto"/>
              <w:left w:val="single" w:sz="4" w:space="0" w:color="auto"/>
              <w:bottom w:val="single" w:sz="4" w:space="0" w:color="auto"/>
              <w:right w:val="single" w:sz="4" w:space="0" w:color="auto"/>
            </w:tcBorders>
            <w:shd w:val="clear" w:color="auto" w:fill="FFFFFF"/>
          </w:tcPr>
          <w:p w14:paraId="5DB9F84A" w14:textId="77777777" w:rsidR="00FF4BDC" w:rsidRPr="003B53ED" w:rsidRDefault="00FF4BDC" w:rsidP="00AC6CAB">
            <w:pPr>
              <w:pStyle w:val="TableText"/>
              <w:snapToGrid w:val="0"/>
              <w:ind w:left="57"/>
              <w:rPr>
                <w:lang w:eastAsia="it-IT"/>
              </w:rPr>
            </w:pPr>
          </w:p>
        </w:tc>
        <w:tc>
          <w:tcPr>
            <w:tcW w:w="983" w:type="dxa"/>
            <w:tcBorders>
              <w:top w:val="single" w:sz="4" w:space="0" w:color="auto"/>
              <w:left w:val="single" w:sz="4" w:space="0" w:color="auto"/>
              <w:bottom w:val="single" w:sz="4" w:space="0" w:color="auto"/>
              <w:right w:val="single" w:sz="4" w:space="0" w:color="auto"/>
            </w:tcBorders>
            <w:shd w:val="clear" w:color="auto" w:fill="FFFFFF"/>
          </w:tcPr>
          <w:p w14:paraId="42771875" w14:textId="77777777" w:rsidR="00FF4BDC" w:rsidRPr="003B53ED" w:rsidRDefault="00FF4BDC" w:rsidP="00AC6CAB">
            <w:pPr>
              <w:pStyle w:val="TableText"/>
              <w:snapToGrid w:val="0"/>
              <w:ind w:left="57"/>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6DF217B8" w14:textId="77777777" w:rsidR="00FF4BDC" w:rsidRPr="003B53ED" w:rsidRDefault="00FF4BDC" w:rsidP="00AC6CAB">
            <w:pPr>
              <w:pStyle w:val="TableText"/>
              <w:snapToGrid w:val="0"/>
              <w:ind w:left="57"/>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7B84D82A" w14:textId="77777777" w:rsidR="00FF4BDC" w:rsidRPr="003B53ED" w:rsidRDefault="00FF4BDC" w:rsidP="00AC6CAB">
            <w:pPr>
              <w:pStyle w:val="TableText"/>
              <w:snapToGrid w:val="0"/>
              <w:ind w:left="57"/>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FFFFF"/>
          </w:tcPr>
          <w:p w14:paraId="3265B9DF" w14:textId="77777777" w:rsidR="00FF4BDC" w:rsidRPr="0023654F" w:rsidRDefault="00FF4BDC" w:rsidP="00AC6CAB">
            <w:pPr>
              <w:pStyle w:val="TableText"/>
              <w:snapToGrid w:val="0"/>
              <w:rPr>
                <w:lang w:eastAsia="it-IT"/>
              </w:rPr>
            </w:pPr>
          </w:p>
        </w:tc>
      </w:tr>
      <w:tr w:rsidR="00FF4BDC" w:rsidRPr="0023654F" w14:paraId="24E57E3E"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FFFFF"/>
          </w:tcPr>
          <w:p w14:paraId="08E11064" w14:textId="77777777" w:rsidR="00FF4BDC" w:rsidRDefault="00FF4BDC" w:rsidP="00AC6CAB">
            <w:pPr>
              <w:pStyle w:val="TableText"/>
              <w:snapToGrid w:val="0"/>
              <w:ind w:left="57"/>
              <w:rPr>
                <w:sz w:val="16"/>
                <w:szCs w:val="16"/>
                <w:lang w:eastAsia="en-GB"/>
              </w:rPr>
            </w:pPr>
            <w:r>
              <w:rPr>
                <w:sz w:val="16"/>
                <w:szCs w:val="16"/>
                <w:lang w:eastAsia="en-GB"/>
              </w:rPr>
              <w:t>19</w:t>
            </w:r>
          </w:p>
        </w:tc>
        <w:tc>
          <w:tcPr>
            <w:tcW w:w="3643" w:type="dxa"/>
            <w:tcBorders>
              <w:top w:val="single" w:sz="4" w:space="0" w:color="auto"/>
              <w:left w:val="single" w:sz="4" w:space="0" w:color="auto"/>
              <w:bottom w:val="single" w:sz="4" w:space="0" w:color="auto"/>
              <w:right w:val="single" w:sz="4" w:space="0" w:color="auto"/>
            </w:tcBorders>
            <w:shd w:val="clear" w:color="auto" w:fill="FFFFFF"/>
          </w:tcPr>
          <w:p w14:paraId="3D3E8CD8" w14:textId="77777777" w:rsidR="00FF4BDC" w:rsidRPr="003D5121" w:rsidRDefault="00FF4BDC" w:rsidP="00AC6CAB">
            <w:pPr>
              <w:pStyle w:val="TableText"/>
              <w:snapToGrid w:val="0"/>
              <w:ind w:leftChars="28" w:left="382" w:rightChars="71" w:right="142" w:hangingChars="192" w:hanging="326"/>
              <w:rPr>
                <w:i/>
                <w:lang w:eastAsia="it-IT"/>
              </w:rPr>
            </w:pPr>
            <w:r>
              <w:rPr>
                <w:i/>
                <w:lang w:eastAsia="it-IT"/>
              </w:rPr>
              <w:tab/>
            </w:r>
            <w:r w:rsidRPr="003D5121">
              <w:rPr>
                <w:i/>
                <w:lang w:eastAsia="it-IT"/>
              </w:rPr>
              <w:t xml:space="preserve">Performing loans to financial institutions secured by non-Level 1 HQLA and unsecured performing loans to financial institutions </w:t>
            </w:r>
          </w:p>
        </w:tc>
        <w:tc>
          <w:tcPr>
            <w:tcW w:w="994" w:type="dxa"/>
            <w:tcBorders>
              <w:top w:val="single" w:sz="4" w:space="0" w:color="auto"/>
              <w:left w:val="single" w:sz="4" w:space="0" w:color="auto"/>
              <w:bottom w:val="single" w:sz="4" w:space="0" w:color="auto"/>
              <w:right w:val="single" w:sz="4" w:space="0" w:color="auto"/>
            </w:tcBorders>
            <w:shd w:val="clear" w:color="auto" w:fill="FFFFFF"/>
          </w:tcPr>
          <w:p w14:paraId="23ADFD02" w14:textId="77777777" w:rsidR="00FF4BDC" w:rsidRPr="003B53ED" w:rsidRDefault="00FF4BDC" w:rsidP="00AC6CAB">
            <w:pPr>
              <w:pStyle w:val="TableText"/>
              <w:snapToGrid w:val="0"/>
              <w:ind w:left="57"/>
              <w:rPr>
                <w:lang w:eastAsia="it-IT"/>
              </w:rPr>
            </w:pPr>
          </w:p>
        </w:tc>
        <w:tc>
          <w:tcPr>
            <w:tcW w:w="983" w:type="dxa"/>
            <w:tcBorders>
              <w:top w:val="single" w:sz="4" w:space="0" w:color="auto"/>
              <w:left w:val="single" w:sz="4" w:space="0" w:color="auto"/>
              <w:bottom w:val="single" w:sz="4" w:space="0" w:color="auto"/>
              <w:right w:val="single" w:sz="4" w:space="0" w:color="auto"/>
            </w:tcBorders>
            <w:shd w:val="clear" w:color="auto" w:fill="FFFFFF"/>
          </w:tcPr>
          <w:p w14:paraId="64CFF497" w14:textId="77777777" w:rsidR="00FF4BDC" w:rsidRPr="003B53ED" w:rsidRDefault="00FF4BDC" w:rsidP="00AC6CAB">
            <w:pPr>
              <w:pStyle w:val="TableText"/>
              <w:snapToGrid w:val="0"/>
              <w:ind w:left="57"/>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18E72DE8" w14:textId="77777777" w:rsidR="00FF4BDC" w:rsidRPr="003B53ED" w:rsidRDefault="00FF4BDC" w:rsidP="00AC6CAB">
            <w:pPr>
              <w:pStyle w:val="TableText"/>
              <w:snapToGrid w:val="0"/>
              <w:ind w:left="57"/>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77D8EA14" w14:textId="77777777" w:rsidR="00FF4BDC" w:rsidRPr="003B53ED" w:rsidRDefault="00FF4BDC" w:rsidP="00AC6CAB">
            <w:pPr>
              <w:pStyle w:val="TableText"/>
              <w:snapToGrid w:val="0"/>
              <w:ind w:left="57"/>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FFFFF"/>
          </w:tcPr>
          <w:p w14:paraId="5799086F" w14:textId="77777777" w:rsidR="00FF4BDC" w:rsidRPr="0023654F" w:rsidRDefault="00FF4BDC" w:rsidP="00AC6CAB">
            <w:pPr>
              <w:pStyle w:val="TableText"/>
              <w:snapToGrid w:val="0"/>
              <w:rPr>
                <w:lang w:eastAsia="it-IT"/>
              </w:rPr>
            </w:pPr>
          </w:p>
        </w:tc>
      </w:tr>
      <w:tr w:rsidR="00FF4BDC" w:rsidRPr="0023654F" w14:paraId="35B4947C"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FFFFF"/>
          </w:tcPr>
          <w:p w14:paraId="1328C3ED" w14:textId="77777777" w:rsidR="00FF4BDC" w:rsidRDefault="00FF4BDC" w:rsidP="00AC6CAB">
            <w:pPr>
              <w:pStyle w:val="TableText"/>
              <w:snapToGrid w:val="0"/>
              <w:ind w:left="57"/>
              <w:rPr>
                <w:sz w:val="16"/>
                <w:szCs w:val="16"/>
                <w:lang w:eastAsia="en-GB"/>
              </w:rPr>
            </w:pPr>
            <w:r>
              <w:rPr>
                <w:sz w:val="16"/>
                <w:szCs w:val="16"/>
                <w:lang w:eastAsia="en-GB"/>
              </w:rPr>
              <w:t>20</w:t>
            </w:r>
          </w:p>
        </w:tc>
        <w:tc>
          <w:tcPr>
            <w:tcW w:w="3643" w:type="dxa"/>
            <w:tcBorders>
              <w:top w:val="single" w:sz="4" w:space="0" w:color="auto"/>
              <w:left w:val="single" w:sz="4" w:space="0" w:color="auto"/>
              <w:bottom w:val="single" w:sz="4" w:space="0" w:color="auto"/>
              <w:right w:val="single" w:sz="4" w:space="0" w:color="auto"/>
            </w:tcBorders>
            <w:shd w:val="clear" w:color="auto" w:fill="FFFFFF"/>
          </w:tcPr>
          <w:p w14:paraId="1DF125CE" w14:textId="77777777" w:rsidR="00FF4BDC" w:rsidRPr="003D5121" w:rsidRDefault="00FF4BDC" w:rsidP="00AC6CAB">
            <w:pPr>
              <w:pStyle w:val="TableText"/>
              <w:snapToGrid w:val="0"/>
              <w:ind w:leftChars="28" w:left="382" w:rightChars="71" w:right="142" w:hangingChars="192" w:hanging="326"/>
              <w:rPr>
                <w:i/>
                <w:lang w:eastAsia="it-IT"/>
              </w:rPr>
            </w:pPr>
            <w:r>
              <w:rPr>
                <w:i/>
                <w:lang w:eastAsia="it-IT"/>
              </w:rPr>
              <w:tab/>
              <w:t xml:space="preserve">Performing </w:t>
            </w:r>
            <w:r w:rsidRPr="003D5121">
              <w:rPr>
                <w:i/>
                <w:lang w:eastAsia="it-IT"/>
              </w:rPr>
              <w:t>loans</w:t>
            </w:r>
            <w:r>
              <w:rPr>
                <w:i/>
                <w:lang w:eastAsia="it-IT"/>
              </w:rPr>
              <w:t>, other than performing residential mortgage,</w:t>
            </w:r>
            <w:r w:rsidRPr="003D5121">
              <w:rPr>
                <w:i/>
                <w:lang w:eastAsia="it-IT"/>
              </w:rPr>
              <w:t xml:space="preserve"> to non-financial corporate clients, retail and small business customers, sovereigns, </w:t>
            </w:r>
            <w:r>
              <w:rPr>
                <w:i/>
                <w:lang w:eastAsia="it-IT"/>
              </w:rPr>
              <w:t xml:space="preserve">the Monetary Authority for the account of the Exchange Fund, </w:t>
            </w:r>
            <w:r w:rsidRPr="003D5121">
              <w:rPr>
                <w:i/>
                <w:lang w:eastAsia="it-IT"/>
              </w:rPr>
              <w:t>ce</w:t>
            </w:r>
            <w:r>
              <w:rPr>
                <w:i/>
                <w:lang w:eastAsia="it-IT"/>
              </w:rPr>
              <w:t>ntral banks and PSEs, of which:</w:t>
            </w:r>
          </w:p>
        </w:tc>
        <w:tc>
          <w:tcPr>
            <w:tcW w:w="994" w:type="dxa"/>
            <w:tcBorders>
              <w:top w:val="single" w:sz="4" w:space="0" w:color="auto"/>
              <w:left w:val="single" w:sz="4" w:space="0" w:color="auto"/>
              <w:bottom w:val="single" w:sz="4" w:space="0" w:color="auto"/>
              <w:right w:val="single" w:sz="4" w:space="0" w:color="auto"/>
            </w:tcBorders>
            <w:shd w:val="clear" w:color="auto" w:fill="FFFFFF"/>
          </w:tcPr>
          <w:p w14:paraId="474406FC" w14:textId="77777777" w:rsidR="00FF4BDC" w:rsidRPr="003B53ED" w:rsidRDefault="00FF4BDC" w:rsidP="00AC6CAB">
            <w:pPr>
              <w:pStyle w:val="TableText"/>
              <w:snapToGrid w:val="0"/>
              <w:ind w:left="57"/>
              <w:rPr>
                <w:lang w:eastAsia="it-IT"/>
              </w:rPr>
            </w:pPr>
          </w:p>
        </w:tc>
        <w:tc>
          <w:tcPr>
            <w:tcW w:w="983" w:type="dxa"/>
            <w:tcBorders>
              <w:top w:val="single" w:sz="4" w:space="0" w:color="auto"/>
              <w:left w:val="single" w:sz="4" w:space="0" w:color="auto"/>
              <w:bottom w:val="single" w:sz="4" w:space="0" w:color="auto"/>
              <w:right w:val="single" w:sz="4" w:space="0" w:color="auto"/>
            </w:tcBorders>
            <w:shd w:val="clear" w:color="auto" w:fill="FFFFFF"/>
          </w:tcPr>
          <w:p w14:paraId="17CCBF66" w14:textId="77777777" w:rsidR="00FF4BDC" w:rsidRPr="003B53ED" w:rsidRDefault="00FF4BDC" w:rsidP="00AC6CAB">
            <w:pPr>
              <w:pStyle w:val="TableText"/>
              <w:snapToGrid w:val="0"/>
              <w:ind w:left="57"/>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24D77B55" w14:textId="77777777" w:rsidR="00FF4BDC" w:rsidRPr="003B53ED" w:rsidRDefault="00FF4BDC" w:rsidP="00AC6CAB">
            <w:pPr>
              <w:pStyle w:val="TableText"/>
              <w:snapToGrid w:val="0"/>
              <w:ind w:left="57"/>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79A32618" w14:textId="77777777" w:rsidR="00FF4BDC" w:rsidRPr="003B53ED" w:rsidRDefault="00FF4BDC" w:rsidP="00AC6CAB">
            <w:pPr>
              <w:pStyle w:val="TableText"/>
              <w:snapToGrid w:val="0"/>
              <w:ind w:left="57"/>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FFFFF"/>
          </w:tcPr>
          <w:p w14:paraId="02F96C18" w14:textId="77777777" w:rsidR="00FF4BDC" w:rsidRPr="0023654F" w:rsidRDefault="00FF4BDC" w:rsidP="00AC6CAB">
            <w:pPr>
              <w:pStyle w:val="TableText"/>
              <w:snapToGrid w:val="0"/>
              <w:rPr>
                <w:lang w:eastAsia="it-IT"/>
              </w:rPr>
            </w:pPr>
          </w:p>
        </w:tc>
      </w:tr>
      <w:tr w:rsidR="00FF4BDC" w:rsidRPr="0023654F" w14:paraId="24464235"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FFFFF"/>
          </w:tcPr>
          <w:p w14:paraId="6BB122A0" w14:textId="77777777" w:rsidR="00FF4BDC" w:rsidRDefault="00FF4BDC" w:rsidP="00AC6CAB">
            <w:pPr>
              <w:pStyle w:val="TableText"/>
              <w:snapToGrid w:val="0"/>
              <w:ind w:left="57"/>
              <w:rPr>
                <w:sz w:val="16"/>
                <w:szCs w:val="16"/>
                <w:lang w:eastAsia="en-GB"/>
              </w:rPr>
            </w:pPr>
            <w:r>
              <w:rPr>
                <w:sz w:val="16"/>
                <w:szCs w:val="16"/>
                <w:lang w:eastAsia="en-GB"/>
              </w:rPr>
              <w:t>21</w:t>
            </w:r>
          </w:p>
        </w:tc>
        <w:tc>
          <w:tcPr>
            <w:tcW w:w="3643" w:type="dxa"/>
            <w:tcBorders>
              <w:top w:val="single" w:sz="4" w:space="0" w:color="auto"/>
              <w:left w:val="single" w:sz="4" w:space="0" w:color="auto"/>
              <w:bottom w:val="single" w:sz="4" w:space="0" w:color="auto"/>
              <w:right w:val="single" w:sz="4" w:space="0" w:color="auto"/>
            </w:tcBorders>
            <w:shd w:val="clear" w:color="auto" w:fill="FFFFFF"/>
          </w:tcPr>
          <w:p w14:paraId="058A5335" w14:textId="77777777" w:rsidR="00FF4BDC" w:rsidRPr="00202A50" w:rsidRDefault="00FF4BDC" w:rsidP="00AC6CAB">
            <w:pPr>
              <w:pStyle w:val="TableText"/>
              <w:tabs>
                <w:tab w:val="left" w:pos="667"/>
              </w:tabs>
              <w:snapToGrid w:val="0"/>
              <w:ind w:leftChars="192" w:left="666" w:rightChars="71" w:right="142" w:hangingChars="166" w:hanging="282"/>
              <w:rPr>
                <w:i/>
                <w:lang w:eastAsia="it-IT"/>
              </w:rPr>
            </w:pPr>
            <w:r>
              <w:rPr>
                <w:i/>
                <w:lang w:eastAsia="it-IT"/>
              </w:rPr>
              <w:tab/>
            </w:r>
            <w:r w:rsidRPr="00202A50">
              <w:rPr>
                <w:i/>
                <w:lang w:eastAsia="it-IT"/>
              </w:rPr>
              <w:t xml:space="preserve">With a </w:t>
            </w:r>
            <w:r>
              <w:rPr>
                <w:i/>
                <w:lang w:eastAsia="it-IT"/>
              </w:rPr>
              <w:t xml:space="preserve">risk-weight </w:t>
            </w:r>
            <w:r w:rsidRPr="00202A50">
              <w:rPr>
                <w:i/>
                <w:lang w:eastAsia="it-IT"/>
              </w:rPr>
              <w:t xml:space="preserve">of less than or equal to 35% under the </w:t>
            </w:r>
            <w:r>
              <w:rPr>
                <w:i/>
                <w:lang w:eastAsia="it-IT"/>
              </w:rPr>
              <w:t>STC approach</w:t>
            </w:r>
          </w:p>
        </w:tc>
        <w:tc>
          <w:tcPr>
            <w:tcW w:w="994" w:type="dxa"/>
            <w:tcBorders>
              <w:top w:val="single" w:sz="4" w:space="0" w:color="auto"/>
              <w:left w:val="single" w:sz="4" w:space="0" w:color="auto"/>
              <w:bottom w:val="single" w:sz="4" w:space="0" w:color="auto"/>
              <w:right w:val="single" w:sz="4" w:space="0" w:color="auto"/>
            </w:tcBorders>
            <w:shd w:val="clear" w:color="auto" w:fill="FFFFFF"/>
          </w:tcPr>
          <w:p w14:paraId="26A6CE21" w14:textId="77777777" w:rsidR="00FF4BDC" w:rsidRPr="003B53ED" w:rsidRDefault="00FF4BDC" w:rsidP="00AC6CAB">
            <w:pPr>
              <w:pStyle w:val="TableText"/>
              <w:snapToGrid w:val="0"/>
              <w:ind w:left="57"/>
              <w:rPr>
                <w:lang w:eastAsia="it-IT"/>
              </w:rPr>
            </w:pPr>
          </w:p>
        </w:tc>
        <w:tc>
          <w:tcPr>
            <w:tcW w:w="983" w:type="dxa"/>
            <w:tcBorders>
              <w:top w:val="single" w:sz="4" w:space="0" w:color="auto"/>
              <w:left w:val="single" w:sz="4" w:space="0" w:color="auto"/>
              <w:bottom w:val="single" w:sz="4" w:space="0" w:color="auto"/>
              <w:right w:val="single" w:sz="4" w:space="0" w:color="auto"/>
            </w:tcBorders>
            <w:shd w:val="clear" w:color="auto" w:fill="FFFFFF"/>
          </w:tcPr>
          <w:p w14:paraId="683E9277" w14:textId="77777777" w:rsidR="00FF4BDC" w:rsidRPr="003B53ED" w:rsidRDefault="00FF4BDC" w:rsidP="00AC6CAB">
            <w:pPr>
              <w:pStyle w:val="TableText"/>
              <w:snapToGrid w:val="0"/>
              <w:ind w:left="57"/>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4385CE33" w14:textId="77777777" w:rsidR="00FF4BDC" w:rsidRPr="003B53ED" w:rsidRDefault="00FF4BDC" w:rsidP="00AC6CAB">
            <w:pPr>
              <w:pStyle w:val="TableText"/>
              <w:snapToGrid w:val="0"/>
              <w:ind w:left="57"/>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7F4454BD" w14:textId="77777777" w:rsidR="00FF4BDC" w:rsidRPr="003B53ED" w:rsidRDefault="00FF4BDC" w:rsidP="00AC6CAB">
            <w:pPr>
              <w:pStyle w:val="TableText"/>
              <w:snapToGrid w:val="0"/>
              <w:ind w:left="57"/>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FFFFF"/>
          </w:tcPr>
          <w:p w14:paraId="7B73CB2C" w14:textId="77777777" w:rsidR="00FF4BDC" w:rsidRPr="0023654F" w:rsidRDefault="00FF4BDC" w:rsidP="00AC6CAB">
            <w:pPr>
              <w:pStyle w:val="TableText"/>
              <w:snapToGrid w:val="0"/>
              <w:rPr>
                <w:lang w:eastAsia="it-IT"/>
              </w:rPr>
            </w:pPr>
          </w:p>
        </w:tc>
      </w:tr>
      <w:tr w:rsidR="00FF4BDC" w:rsidRPr="0023654F" w14:paraId="5CFC6F24"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FFFFF"/>
          </w:tcPr>
          <w:p w14:paraId="3666C265" w14:textId="77777777" w:rsidR="00FF4BDC" w:rsidRDefault="00FF4BDC" w:rsidP="00AC6CAB">
            <w:pPr>
              <w:pStyle w:val="TableText"/>
              <w:snapToGrid w:val="0"/>
              <w:ind w:left="57"/>
              <w:rPr>
                <w:sz w:val="16"/>
                <w:szCs w:val="16"/>
                <w:lang w:eastAsia="en-GB"/>
              </w:rPr>
            </w:pPr>
            <w:r>
              <w:rPr>
                <w:sz w:val="16"/>
                <w:szCs w:val="16"/>
                <w:lang w:eastAsia="en-GB"/>
              </w:rPr>
              <w:t>22</w:t>
            </w:r>
          </w:p>
        </w:tc>
        <w:tc>
          <w:tcPr>
            <w:tcW w:w="3643" w:type="dxa"/>
            <w:tcBorders>
              <w:top w:val="single" w:sz="4" w:space="0" w:color="auto"/>
              <w:left w:val="single" w:sz="4" w:space="0" w:color="auto"/>
              <w:bottom w:val="single" w:sz="4" w:space="0" w:color="auto"/>
              <w:right w:val="single" w:sz="4" w:space="0" w:color="auto"/>
            </w:tcBorders>
            <w:shd w:val="clear" w:color="auto" w:fill="FFFFFF"/>
          </w:tcPr>
          <w:p w14:paraId="1F3C800C" w14:textId="77777777" w:rsidR="00FF4BDC" w:rsidRDefault="00FF4BDC" w:rsidP="00AC6CAB">
            <w:pPr>
              <w:pStyle w:val="TableText"/>
              <w:tabs>
                <w:tab w:val="left" w:pos="667"/>
              </w:tabs>
              <w:snapToGrid w:val="0"/>
              <w:ind w:leftChars="192" w:left="666" w:rightChars="71" w:right="142" w:hangingChars="166" w:hanging="282"/>
              <w:rPr>
                <w:i/>
                <w:lang w:eastAsia="it-IT"/>
              </w:rPr>
            </w:pPr>
            <w:r>
              <w:rPr>
                <w:i/>
                <w:lang w:eastAsia="it-IT"/>
              </w:rPr>
              <w:t>Performing residential mortgages, of which:</w:t>
            </w:r>
          </w:p>
        </w:tc>
        <w:tc>
          <w:tcPr>
            <w:tcW w:w="994" w:type="dxa"/>
            <w:tcBorders>
              <w:top w:val="single" w:sz="4" w:space="0" w:color="auto"/>
              <w:left w:val="single" w:sz="4" w:space="0" w:color="auto"/>
              <w:bottom w:val="single" w:sz="4" w:space="0" w:color="auto"/>
              <w:right w:val="single" w:sz="4" w:space="0" w:color="auto"/>
            </w:tcBorders>
            <w:shd w:val="clear" w:color="auto" w:fill="FFFFFF"/>
          </w:tcPr>
          <w:p w14:paraId="6F0920A7" w14:textId="77777777" w:rsidR="00FF4BDC" w:rsidRPr="003B53ED" w:rsidRDefault="00FF4BDC" w:rsidP="00AC6CAB">
            <w:pPr>
              <w:pStyle w:val="TableText"/>
              <w:snapToGrid w:val="0"/>
              <w:ind w:left="57"/>
              <w:rPr>
                <w:lang w:eastAsia="it-IT"/>
              </w:rPr>
            </w:pPr>
          </w:p>
        </w:tc>
        <w:tc>
          <w:tcPr>
            <w:tcW w:w="983" w:type="dxa"/>
            <w:tcBorders>
              <w:top w:val="single" w:sz="4" w:space="0" w:color="auto"/>
              <w:left w:val="single" w:sz="4" w:space="0" w:color="auto"/>
              <w:bottom w:val="single" w:sz="4" w:space="0" w:color="auto"/>
              <w:right w:val="single" w:sz="4" w:space="0" w:color="auto"/>
            </w:tcBorders>
            <w:shd w:val="clear" w:color="auto" w:fill="FFFFFF"/>
          </w:tcPr>
          <w:p w14:paraId="4C368DC5" w14:textId="77777777" w:rsidR="00FF4BDC" w:rsidRPr="003B53ED" w:rsidRDefault="00FF4BDC" w:rsidP="00AC6CAB">
            <w:pPr>
              <w:pStyle w:val="TableText"/>
              <w:snapToGrid w:val="0"/>
              <w:ind w:left="57"/>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63E99601" w14:textId="77777777" w:rsidR="00FF4BDC" w:rsidRPr="003B53ED" w:rsidRDefault="00FF4BDC" w:rsidP="00AC6CAB">
            <w:pPr>
              <w:pStyle w:val="TableText"/>
              <w:snapToGrid w:val="0"/>
              <w:ind w:left="57"/>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132CA398" w14:textId="77777777" w:rsidR="00FF4BDC" w:rsidRPr="003B53ED" w:rsidRDefault="00FF4BDC" w:rsidP="00AC6CAB">
            <w:pPr>
              <w:pStyle w:val="TableText"/>
              <w:snapToGrid w:val="0"/>
              <w:ind w:left="57"/>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FFFFF"/>
          </w:tcPr>
          <w:p w14:paraId="328CC208" w14:textId="77777777" w:rsidR="00FF4BDC" w:rsidRPr="0023654F" w:rsidRDefault="00FF4BDC" w:rsidP="00AC6CAB">
            <w:pPr>
              <w:pStyle w:val="TableText"/>
              <w:snapToGrid w:val="0"/>
              <w:rPr>
                <w:lang w:eastAsia="it-IT"/>
              </w:rPr>
            </w:pPr>
          </w:p>
        </w:tc>
      </w:tr>
      <w:tr w:rsidR="00FF4BDC" w:rsidRPr="0023654F" w14:paraId="79A4E83A"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FFFFF"/>
          </w:tcPr>
          <w:p w14:paraId="5B40A7CB" w14:textId="77777777" w:rsidR="00FF4BDC" w:rsidRDefault="00FF4BDC" w:rsidP="00AC6CAB">
            <w:pPr>
              <w:pStyle w:val="TableText"/>
              <w:snapToGrid w:val="0"/>
              <w:ind w:left="57"/>
              <w:rPr>
                <w:sz w:val="16"/>
                <w:szCs w:val="16"/>
                <w:lang w:eastAsia="en-GB"/>
              </w:rPr>
            </w:pPr>
            <w:r>
              <w:rPr>
                <w:sz w:val="16"/>
                <w:szCs w:val="16"/>
                <w:lang w:eastAsia="en-GB"/>
              </w:rPr>
              <w:t>23</w:t>
            </w:r>
          </w:p>
        </w:tc>
        <w:tc>
          <w:tcPr>
            <w:tcW w:w="3643" w:type="dxa"/>
            <w:tcBorders>
              <w:top w:val="single" w:sz="4" w:space="0" w:color="auto"/>
              <w:left w:val="single" w:sz="4" w:space="0" w:color="auto"/>
              <w:bottom w:val="single" w:sz="4" w:space="0" w:color="auto"/>
              <w:right w:val="single" w:sz="4" w:space="0" w:color="auto"/>
            </w:tcBorders>
            <w:shd w:val="clear" w:color="auto" w:fill="FFFFFF"/>
          </w:tcPr>
          <w:p w14:paraId="5A721047" w14:textId="77777777" w:rsidR="00FF4BDC" w:rsidRDefault="00FF4BDC" w:rsidP="00AC6CAB">
            <w:pPr>
              <w:pStyle w:val="TableText"/>
              <w:tabs>
                <w:tab w:val="left" w:pos="667"/>
              </w:tabs>
              <w:snapToGrid w:val="0"/>
              <w:ind w:leftChars="192" w:left="666" w:rightChars="71" w:right="142" w:hangingChars="166" w:hanging="282"/>
              <w:rPr>
                <w:i/>
                <w:lang w:eastAsia="it-IT"/>
              </w:rPr>
            </w:pPr>
            <w:r>
              <w:rPr>
                <w:i/>
                <w:lang w:eastAsia="it-IT"/>
              </w:rPr>
              <w:tab/>
            </w:r>
            <w:r w:rsidRPr="00F9513B">
              <w:rPr>
                <w:i/>
                <w:lang w:eastAsia="it-IT"/>
              </w:rPr>
              <w:t xml:space="preserve">With a risk-weight of less than or equal to 35% under the </w:t>
            </w:r>
            <w:r>
              <w:rPr>
                <w:i/>
                <w:lang w:eastAsia="it-IT"/>
              </w:rPr>
              <w:t>STC</w:t>
            </w:r>
            <w:r w:rsidRPr="00F9513B">
              <w:rPr>
                <w:i/>
                <w:lang w:eastAsia="it-IT"/>
              </w:rPr>
              <w:t xml:space="preserve"> approach</w:t>
            </w:r>
          </w:p>
        </w:tc>
        <w:tc>
          <w:tcPr>
            <w:tcW w:w="994" w:type="dxa"/>
            <w:tcBorders>
              <w:top w:val="single" w:sz="4" w:space="0" w:color="auto"/>
              <w:left w:val="single" w:sz="4" w:space="0" w:color="auto"/>
              <w:bottom w:val="single" w:sz="4" w:space="0" w:color="auto"/>
              <w:right w:val="single" w:sz="4" w:space="0" w:color="auto"/>
            </w:tcBorders>
            <w:shd w:val="clear" w:color="auto" w:fill="FFFFFF"/>
          </w:tcPr>
          <w:p w14:paraId="64E76575" w14:textId="77777777" w:rsidR="00FF4BDC" w:rsidRPr="003B53ED" w:rsidRDefault="00FF4BDC" w:rsidP="00AC6CAB">
            <w:pPr>
              <w:pStyle w:val="TableText"/>
              <w:snapToGrid w:val="0"/>
              <w:ind w:left="57"/>
              <w:rPr>
                <w:lang w:eastAsia="it-IT"/>
              </w:rPr>
            </w:pPr>
          </w:p>
        </w:tc>
        <w:tc>
          <w:tcPr>
            <w:tcW w:w="983" w:type="dxa"/>
            <w:tcBorders>
              <w:top w:val="single" w:sz="4" w:space="0" w:color="auto"/>
              <w:left w:val="single" w:sz="4" w:space="0" w:color="auto"/>
              <w:bottom w:val="single" w:sz="4" w:space="0" w:color="auto"/>
              <w:right w:val="single" w:sz="4" w:space="0" w:color="auto"/>
            </w:tcBorders>
            <w:shd w:val="clear" w:color="auto" w:fill="FFFFFF"/>
          </w:tcPr>
          <w:p w14:paraId="1C2C2866" w14:textId="77777777" w:rsidR="00FF4BDC" w:rsidRPr="003B53ED" w:rsidRDefault="00FF4BDC" w:rsidP="00AC6CAB">
            <w:pPr>
              <w:pStyle w:val="TableText"/>
              <w:snapToGrid w:val="0"/>
              <w:ind w:left="57"/>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6516A44C" w14:textId="77777777" w:rsidR="00FF4BDC" w:rsidRPr="003B53ED" w:rsidRDefault="00FF4BDC" w:rsidP="00AC6CAB">
            <w:pPr>
              <w:pStyle w:val="TableText"/>
              <w:snapToGrid w:val="0"/>
              <w:ind w:left="57"/>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30A9F03F" w14:textId="77777777" w:rsidR="00FF4BDC" w:rsidRPr="003B53ED" w:rsidRDefault="00FF4BDC" w:rsidP="00AC6CAB">
            <w:pPr>
              <w:pStyle w:val="TableText"/>
              <w:snapToGrid w:val="0"/>
              <w:ind w:left="57"/>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FFFFF"/>
          </w:tcPr>
          <w:p w14:paraId="0272654D" w14:textId="77777777" w:rsidR="00FF4BDC" w:rsidRPr="0023654F" w:rsidRDefault="00FF4BDC" w:rsidP="00AC6CAB">
            <w:pPr>
              <w:pStyle w:val="TableText"/>
              <w:snapToGrid w:val="0"/>
              <w:rPr>
                <w:lang w:eastAsia="it-IT"/>
              </w:rPr>
            </w:pPr>
          </w:p>
        </w:tc>
      </w:tr>
      <w:tr w:rsidR="00FF4BDC" w:rsidRPr="0023654F" w14:paraId="1338DF33"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FFFFF"/>
          </w:tcPr>
          <w:p w14:paraId="466DEE2F" w14:textId="77777777" w:rsidR="00FF4BDC" w:rsidRDefault="00FF4BDC" w:rsidP="00AC6CAB">
            <w:pPr>
              <w:pStyle w:val="TableText"/>
              <w:snapToGrid w:val="0"/>
              <w:ind w:left="57"/>
              <w:rPr>
                <w:sz w:val="16"/>
                <w:szCs w:val="16"/>
                <w:lang w:eastAsia="en-GB"/>
              </w:rPr>
            </w:pPr>
            <w:r>
              <w:rPr>
                <w:sz w:val="16"/>
                <w:szCs w:val="16"/>
                <w:lang w:eastAsia="en-GB"/>
              </w:rPr>
              <w:lastRenderedPageBreak/>
              <w:t>24</w:t>
            </w:r>
          </w:p>
        </w:tc>
        <w:tc>
          <w:tcPr>
            <w:tcW w:w="3643" w:type="dxa"/>
            <w:tcBorders>
              <w:top w:val="single" w:sz="4" w:space="0" w:color="auto"/>
              <w:left w:val="single" w:sz="4" w:space="0" w:color="auto"/>
              <w:bottom w:val="single" w:sz="4" w:space="0" w:color="auto"/>
              <w:right w:val="single" w:sz="4" w:space="0" w:color="auto"/>
            </w:tcBorders>
            <w:shd w:val="clear" w:color="auto" w:fill="FFFFFF"/>
          </w:tcPr>
          <w:p w14:paraId="02576E40" w14:textId="77777777" w:rsidR="00FF4BDC" w:rsidRPr="003D5121" w:rsidRDefault="00FF4BDC" w:rsidP="00AC6CAB">
            <w:pPr>
              <w:pStyle w:val="TableText"/>
              <w:snapToGrid w:val="0"/>
              <w:ind w:leftChars="28" w:left="382" w:rightChars="71" w:right="142" w:hangingChars="192" w:hanging="326"/>
              <w:rPr>
                <w:lang w:val="en-US" w:eastAsia="it-IT"/>
              </w:rPr>
            </w:pPr>
            <w:r>
              <w:rPr>
                <w:i/>
                <w:lang w:eastAsia="it-IT"/>
              </w:rPr>
              <w:tab/>
            </w:r>
            <w:r w:rsidRPr="00202A50">
              <w:rPr>
                <w:i/>
                <w:lang w:eastAsia="it-IT"/>
              </w:rPr>
              <w:t>Securities that are not in default and do not qualify as HQLA, inc</w:t>
            </w:r>
            <w:r>
              <w:rPr>
                <w:i/>
                <w:lang w:eastAsia="it-IT"/>
              </w:rPr>
              <w:t>luding exchange-traded equities</w:t>
            </w:r>
          </w:p>
        </w:tc>
        <w:tc>
          <w:tcPr>
            <w:tcW w:w="994" w:type="dxa"/>
            <w:tcBorders>
              <w:top w:val="single" w:sz="4" w:space="0" w:color="auto"/>
              <w:left w:val="single" w:sz="4" w:space="0" w:color="auto"/>
              <w:bottom w:val="single" w:sz="4" w:space="0" w:color="auto"/>
              <w:right w:val="single" w:sz="4" w:space="0" w:color="auto"/>
            </w:tcBorders>
            <w:shd w:val="clear" w:color="auto" w:fill="FFFFFF"/>
          </w:tcPr>
          <w:p w14:paraId="6F2D3350" w14:textId="77777777" w:rsidR="00FF4BDC" w:rsidRPr="003B53ED" w:rsidRDefault="00FF4BDC" w:rsidP="00AC6CAB">
            <w:pPr>
              <w:pStyle w:val="TableText"/>
              <w:snapToGrid w:val="0"/>
              <w:ind w:left="57"/>
              <w:rPr>
                <w:lang w:eastAsia="it-IT"/>
              </w:rPr>
            </w:pPr>
          </w:p>
        </w:tc>
        <w:tc>
          <w:tcPr>
            <w:tcW w:w="983" w:type="dxa"/>
            <w:tcBorders>
              <w:top w:val="single" w:sz="4" w:space="0" w:color="auto"/>
              <w:left w:val="single" w:sz="4" w:space="0" w:color="auto"/>
              <w:bottom w:val="single" w:sz="4" w:space="0" w:color="auto"/>
              <w:right w:val="single" w:sz="4" w:space="0" w:color="auto"/>
            </w:tcBorders>
            <w:shd w:val="clear" w:color="auto" w:fill="FFFFFF"/>
          </w:tcPr>
          <w:p w14:paraId="34166865" w14:textId="77777777" w:rsidR="00FF4BDC" w:rsidRPr="003B53ED" w:rsidRDefault="00FF4BDC" w:rsidP="00AC6CAB">
            <w:pPr>
              <w:pStyle w:val="TableText"/>
              <w:snapToGrid w:val="0"/>
              <w:ind w:left="57"/>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5AAFBD7C" w14:textId="77777777" w:rsidR="00FF4BDC" w:rsidRPr="003B53ED" w:rsidRDefault="00FF4BDC" w:rsidP="00AC6CAB">
            <w:pPr>
              <w:pStyle w:val="TableText"/>
              <w:snapToGrid w:val="0"/>
              <w:ind w:left="57"/>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2305333D" w14:textId="77777777" w:rsidR="00FF4BDC" w:rsidRPr="003B53ED" w:rsidRDefault="00FF4BDC" w:rsidP="00AC6CAB">
            <w:pPr>
              <w:pStyle w:val="TableText"/>
              <w:snapToGrid w:val="0"/>
              <w:ind w:left="57"/>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FFFFF"/>
          </w:tcPr>
          <w:p w14:paraId="198B61EF" w14:textId="77777777" w:rsidR="00FF4BDC" w:rsidRPr="0023654F" w:rsidRDefault="00FF4BDC" w:rsidP="00AC6CAB">
            <w:pPr>
              <w:pStyle w:val="TableText"/>
              <w:snapToGrid w:val="0"/>
              <w:rPr>
                <w:lang w:eastAsia="it-IT"/>
              </w:rPr>
            </w:pPr>
          </w:p>
        </w:tc>
      </w:tr>
      <w:tr w:rsidR="00FF4BDC" w:rsidRPr="0023654F" w14:paraId="6E054E8D"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2F2F2"/>
          </w:tcPr>
          <w:p w14:paraId="07D7650C" w14:textId="77777777" w:rsidR="00FF4BDC" w:rsidRDefault="00FF4BDC" w:rsidP="00AC6CAB">
            <w:pPr>
              <w:pStyle w:val="TableText"/>
              <w:snapToGrid w:val="0"/>
              <w:ind w:left="57"/>
              <w:rPr>
                <w:sz w:val="16"/>
                <w:szCs w:val="16"/>
                <w:lang w:eastAsia="en-GB"/>
              </w:rPr>
            </w:pPr>
            <w:r>
              <w:rPr>
                <w:sz w:val="16"/>
                <w:szCs w:val="16"/>
                <w:lang w:eastAsia="en-GB"/>
              </w:rPr>
              <w:t>25</w:t>
            </w:r>
          </w:p>
        </w:tc>
        <w:tc>
          <w:tcPr>
            <w:tcW w:w="3643" w:type="dxa"/>
            <w:tcBorders>
              <w:top w:val="single" w:sz="4" w:space="0" w:color="auto"/>
              <w:left w:val="single" w:sz="4" w:space="0" w:color="auto"/>
              <w:bottom w:val="single" w:sz="4" w:space="0" w:color="auto"/>
              <w:right w:val="single" w:sz="4" w:space="0" w:color="auto"/>
            </w:tcBorders>
            <w:shd w:val="clear" w:color="auto" w:fill="F2F2F2"/>
          </w:tcPr>
          <w:p w14:paraId="6D4C35B4" w14:textId="77777777" w:rsidR="00FF4BDC" w:rsidRPr="00595C1F" w:rsidRDefault="00FF4BDC" w:rsidP="00AC6CAB">
            <w:pPr>
              <w:pStyle w:val="TableText"/>
              <w:snapToGrid w:val="0"/>
              <w:ind w:left="57" w:rightChars="71" w:right="142"/>
              <w:rPr>
                <w:lang w:eastAsia="it-IT"/>
              </w:rPr>
            </w:pPr>
            <w:r w:rsidRPr="00202A50">
              <w:rPr>
                <w:lang w:eastAsia="it-IT"/>
              </w:rPr>
              <w:t>Assets with matc</w:t>
            </w:r>
            <w:r>
              <w:rPr>
                <w:lang w:eastAsia="it-IT"/>
              </w:rPr>
              <w:t>hing interdependent liabilities</w:t>
            </w:r>
          </w:p>
        </w:tc>
        <w:tc>
          <w:tcPr>
            <w:tcW w:w="994" w:type="dxa"/>
            <w:tcBorders>
              <w:top w:val="single" w:sz="4" w:space="0" w:color="auto"/>
              <w:left w:val="single" w:sz="4" w:space="0" w:color="auto"/>
              <w:bottom w:val="single" w:sz="4" w:space="0" w:color="auto"/>
              <w:right w:val="single" w:sz="4" w:space="0" w:color="auto"/>
            </w:tcBorders>
            <w:shd w:val="clear" w:color="auto" w:fill="F2F2F2"/>
          </w:tcPr>
          <w:p w14:paraId="1FB52B03" w14:textId="77777777" w:rsidR="00FF4BDC" w:rsidRPr="003B53ED" w:rsidRDefault="00FF4BDC" w:rsidP="00AC6CAB">
            <w:pPr>
              <w:pStyle w:val="TableText"/>
              <w:snapToGrid w:val="0"/>
              <w:ind w:left="57"/>
              <w:rPr>
                <w:lang w:eastAsia="it-IT"/>
              </w:rPr>
            </w:pPr>
          </w:p>
        </w:tc>
        <w:tc>
          <w:tcPr>
            <w:tcW w:w="983" w:type="dxa"/>
            <w:tcBorders>
              <w:top w:val="single" w:sz="4" w:space="0" w:color="auto"/>
              <w:left w:val="single" w:sz="4" w:space="0" w:color="auto"/>
              <w:bottom w:val="single" w:sz="4" w:space="0" w:color="auto"/>
              <w:right w:val="single" w:sz="4" w:space="0" w:color="auto"/>
            </w:tcBorders>
            <w:shd w:val="clear" w:color="auto" w:fill="F2F2F2"/>
          </w:tcPr>
          <w:p w14:paraId="043FC5DF" w14:textId="77777777" w:rsidR="00FF4BDC" w:rsidRPr="003B53ED" w:rsidRDefault="00FF4BDC" w:rsidP="00AC6CAB">
            <w:pPr>
              <w:pStyle w:val="TableText"/>
              <w:snapToGrid w:val="0"/>
              <w:ind w:left="57"/>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1D969CD5" w14:textId="77777777" w:rsidR="00FF4BDC" w:rsidRPr="003B53ED" w:rsidRDefault="00FF4BDC" w:rsidP="00AC6CAB">
            <w:pPr>
              <w:pStyle w:val="TableText"/>
              <w:snapToGrid w:val="0"/>
              <w:ind w:left="57"/>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F2F2F2"/>
          </w:tcPr>
          <w:p w14:paraId="360B6049" w14:textId="77777777" w:rsidR="00FF4BDC" w:rsidRPr="003B53ED" w:rsidRDefault="00FF4BDC" w:rsidP="00AC6CAB">
            <w:pPr>
              <w:pStyle w:val="TableText"/>
              <w:snapToGrid w:val="0"/>
              <w:ind w:left="57"/>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2F2F2"/>
          </w:tcPr>
          <w:p w14:paraId="6D79A03E" w14:textId="77777777" w:rsidR="00FF4BDC" w:rsidRPr="0023654F" w:rsidRDefault="00FF4BDC" w:rsidP="00AC6CAB">
            <w:pPr>
              <w:pStyle w:val="TableText"/>
              <w:snapToGrid w:val="0"/>
              <w:rPr>
                <w:lang w:eastAsia="it-IT"/>
              </w:rPr>
            </w:pPr>
          </w:p>
        </w:tc>
      </w:tr>
      <w:tr w:rsidR="00FF4BDC" w:rsidRPr="0023654F" w14:paraId="32A754A3"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2F2F2"/>
          </w:tcPr>
          <w:p w14:paraId="5CA363F1" w14:textId="77777777" w:rsidR="00FF4BDC" w:rsidRDefault="00FF4BDC" w:rsidP="00AC6CAB">
            <w:pPr>
              <w:pStyle w:val="TableText"/>
              <w:snapToGrid w:val="0"/>
              <w:ind w:left="57"/>
              <w:rPr>
                <w:sz w:val="16"/>
                <w:szCs w:val="16"/>
                <w:lang w:eastAsia="en-GB"/>
              </w:rPr>
            </w:pPr>
            <w:r>
              <w:rPr>
                <w:sz w:val="16"/>
                <w:szCs w:val="16"/>
                <w:lang w:eastAsia="en-GB"/>
              </w:rPr>
              <w:t>26</w:t>
            </w:r>
          </w:p>
        </w:tc>
        <w:tc>
          <w:tcPr>
            <w:tcW w:w="3643" w:type="dxa"/>
            <w:tcBorders>
              <w:top w:val="single" w:sz="4" w:space="0" w:color="auto"/>
              <w:left w:val="single" w:sz="4" w:space="0" w:color="auto"/>
              <w:bottom w:val="single" w:sz="4" w:space="0" w:color="auto"/>
              <w:right w:val="single" w:sz="4" w:space="0" w:color="auto"/>
            </w:tcBorders>
            <w:shd w:val="clear" w:color="auto" w:fill="F2F2F2"/>
          </w:tcPr>
          <w:p w14:paraId="033E03F9" w14:textId="77777777" w:rsidR="00FF4BDC" w:rsidRPr="00595C1F" w:rsidRDefault="00FF4BDC" w:rsidP="00AC6CAB">
            <w:pPr>
              <w:pStyle w:val="TableText"/>
              <w:snapToGrid w:val="0"/>
              <w:ind w:left="57" w:rightChars="71" w:right="142"/>
              <w:rPr>
                <w:lang w:eastAsia="it-IT"/>
              </w:rPr>
            </w:pPr>
            <w:r>
              <w:rPr>
                <w:lang w:eastAsia="it-IT"/>
              </w:rPr>
              <w:t>Other assets:</w:t>
            </w:r>
          </w:p>
        </w:tc>
        <w:tc>
          <w:tcPr>
            <w:tcW w:w="994" w:type="dxa"/>
            <w:tcBorders>
              <w:top w:val="single" w:sz="4" w:space="0" w:color="auto"/>
              <w:left w:val="single" w:sz="4" w:space="0" w:color="auto"/>
              <w:bottom w:val="single" w:sz="4" w:space="0" w:color="auto"/>
              <w:right w:val="single" w:sz="4" w:space="0" w:color="auto"/>
            </w:tcBorders>
            <w:shd w:val="clear" w:color="auto" w:fill="F2F2F2"/>
          </w:tcPr>
          <w:p w14:paraId="7D2B1EC0" w14:textId="77777777" w:rsidR="00FF4BDC" w:rsidRPr="003B53ED" w:rsidRDefault="00FF4BDC" w:rsidP="00AC6CAB">
            <w:pPr>
              <w:pStyle w:val="TableText"/>
              <w:snapToGrid w:val="0"/>
              <w:ind w:left="57"/>
              <w:rPr>
                <w:lang w:eastAsia="it-IT"/>
              </w:rPr>
            </w:pPr>
          </w:p>
        </w:tc>
        <w:tc>
          <w:tcPr>
            <w:tcW w:w="983" w:type="dxa"/>
            <w:tcBorders>
              <w:top w:val="single" w:sz="4" w:space="0" w:color="auto"/>
              <w:left w:val="single" w:sz="4" w:space="0" w:color="auto"/>
              <w:bottom w:val="single" w:sz="4" w:space="0" w:color="auto"/>
              <w:right w:val="single" w:sz="4" w:space="0" w:color="auto"/>
            </w:tcBorders>
            <w:shd w:val="clear" w:color="auto" w:fill="F2F2F2"/>
          </w:tcPr>
          <w:p w14:paraId="7A47ADE6" w14:textId="77777777" w:rsidR="00FF4BDC" w:rsidRPr="003B53ED" w:rsidRDefault="00FF4BDC" w:rsidP="00AC6CAB">
            <w:pPr>
              <w:pStyle w:val="TableText"/>
              <w:snapToGrid w:val="0"/>
              <w:ind w:left="57"/>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2AE754F4" w14:textId="77777777" w:rsidR="00FF4BDC" w:rsidRPr="003B53ED" w:rsidRDefault="00FF4BDC" w:rsidP="00AC6CAB">
            <w:pPr>
              <w:pStyle w:val="TableText"/>
              <w:snapToGrid w:val="0"/>
              <w:ind w:left="57"/>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F2F2F2"/>
          </w:tcPr>
          <w:p w14:paraId="07B2ECFC" w14:textId="77777777" w:rsidR="00FF4BDC" w:rsidRPr="003B53ED" w:rsidRDefault="00FF4BDC" w:rsidP="00AC6CAB">
            <w:pPr>
              <w:pStyle w:val="TableText"/>
              <w:snapToGrid w:val="0"/>
              <w:ind w:left="57"/>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2F2F2"/>
          </w:tcPr>
          <w:p w14:paraId="763A38F0" w14:textId="77777777" w:rsidR="00FF4BDC" w:rsidRPr="0023654F" w:rsidRDefault="00FF4BDC" w:rsidP="00AC6CAB">
            <w:pPr>
              <w:pStyle w:val="TableText"/>
              <w:snapToGrid w:val="0"/>
              <w:rPr>
                <w:lang w:eastAsia="it-IT"/>
              </w:rPr>
            </w:pPr>
          </w:p>
        </w:tc>
      </w:tr>
      <w:tr w:rsidR="00FF4BDC" w:rsidRPr="0023654F" w14:paraId="2867BCA9"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FFFFF"/>
          </w:tcPr>
          <w:p w14:paraId="5866B805" w14:textId="77777777" w:rsidR="00FF4BDC" w:rsidRDefault="00FF4BDC" w:rsidP="00AC6CAB">
            <w:pPr>
              <w:pStyle w:val="TableText"/>
              <w:snapToGrid w:val="0"/>
              <w:ind w:left="57"/>
              <w:rPr>
                <w:sz w:val="16"/>
                <w:szCs w:val="16"/>
                <w:lang w:eastAsia="en-GB"/>
              </w:rPr>
            </w:pPr>
            <w:r>
              <w:rPr>
                <w:sz w:val="16"/>
                <w:szCs w:val="16"/>
                <w:lang w:eastAsia="en-GB"/>
              </w:rPr>
              <w:t>27</w:t>
            </w:r>
          </w:p>
        </w:tc>
        <w:tc>
          <w:tcPr>
            <w:tcW w:w="3643" w:type="dxa"/>
            <w:tcBorders>
              <w:top w:val="single" w:sz="4" w:space="0" w:color="auto"/>
              <w:left w:val="single" w:sz="4" w:space="0" w:color="auto"/>
              <w:bottom w:val="single" w:sz="4" w:space="0" w:color="auto"/>
              <w:right w:val="single" w:sz="4" w:space="0" w:color="auto"/>
            </w:tcBorders>
            <w:shd w:val="clear" w:color="auto" w:fill="FFFFFF"/>
          </w:tcPr>
          <w:p w14:paraId="77AE8A9A" w14:textId="77777777" w:rsidR="00FF4BDC" w:rsidRPr="00202A50" w:rsidRDefault="00FF4BDC" w:rsidP="00AC6CAB">
            <w:pPr>
              <w:pStyle w:val="TableText"/>
              <w:snapToGrid w:val="0"/>
              <w:ind w:leftChars="28" w:left="382" w:rightChars="71" w:right="142" w:hangingChars="192" w:hanging="326"/>
              <w:rPr>
                <w:i/>
                <w:lang w:eastAsia="it-IT"/>
              </w:rPr>
            </w:pPr>
            <w:r>
              <w:rPr>
                <w:i/>
                <w:lang w:eastAsia="it-IT"/>
              </w:rPr>
              <w:tab/>
            </w:r>
            <w:r w:rsidRPr="00202A50">
              <w:rPr>
                <w:i/>
                <w:lang w:eastAsia="it-IT"/>
              </w:rPr>
              <w:t>Physical traded commoditie</w:t>
            </w:r>
            <w:r>
              <w:rPr>
                <w:i/>
                <w:lang w:eastAsia="it-IT"/>
              </w:rPr>
              <w:t>s, including gold</w:t>
            </w:r>
          </w:p>
        </w:tc>
        <w:tc>
          <w:tcPr>
            <w:tcW w:w="994" w:type="dxa"/>
            <w:tcBorders>
              <w:top w:val="single" w:sz="4" w:space="0" w:color="auto"/>
              <w:left w:val="single" w:sz="4" w:space="0" w:color="auto"/>
              <w:bottom w:val="single" w:sz="4" w:space="0" w:color="auto"/>
              <w:right w:val="single" w:sz="4" w:space="0" w:color="auto"/>
            </w:tcBorders>
            <w:shd w:val="clear" w:color="auto" w:fill="FFFFFF"/>
          </w:tcPr>
          <w:p w14:paraId="7E0840A2" w14:textId="77777777" w:rsidR="00FF4BDC" w:rsidRPr="003B53ED" w:rsidRDefault="00FF4BDC" w:rsidP="00AC6CAB">
            <w:pPr>
              <w:pStyle w:val="TableText"/>
              <w:snapToGrid w:val="0"/>
              <w:ind w:left="57"/>
              <w:rPr>
                <w:lang w:eastAsia="it-IT"/>
              </w:rPr>
            </w:pPr>
          </w:p>
        </w:tc>
        <w:tc>
          <w:tcPr>
            <w:tcW w:w="983" w:type="dxa"/>
            <w:tcBorders>
              <w:top w:val="single" w:sz="4" w:space="0" w:color="auto"/>
              <w:left w:val="single" w:sz="4" w:space="0" w:color="auto"/>
              <w:bottom w:val="single" w:sz="4" w:space="0" w:color="auto"/>
              <w:right w:val="single" w:sz="4" w:space="0" w:color="auto"/>
            </w:tcBorders>
            <w:shd w:val="clear" w:color="auto" w:fill="808080"/>
          </w:tcPr>
          <w:p w14:paraId="1DA48F73" w14:textId="77777777" w:rsidR="00FF4BDC" w:rsidRPr="003B53ED" w:rsidRDefault="00FF4BDC" w:rsidP="00AC6CAB">
            <w:pPr>
              <w:pStyle w:val="TableText"/>
              <w:snapToGrid w:val="0"/>
              <w:ind w:left="57"/>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808080"/>
          </w:tcPr>
          <w:p w14:paraId="4D1FE759" w14:textId="77777777" w:rsidR="00FF4BDC" w:rsidRPr="003B53ED" w:rsidRDefault="00FF4BDC" w:rsidP="00AC6CAB">
            <w:pPr>
              <w:pStyle w:val="TableText"/>
              <w:snapToGrid w:val="0"/>
              <w:ind w:left="57"/>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808080"/>
          </w:tcPr>
          <w:p w14:paraId="5BFB207D" w14:textId="77777777" w:rsidR="00FF4BDC" w:rsidRPr="003B53ED" w:rsidRDefault="00FF4BDC" w:rsidP="00AC6CAB">
            <w:pPr>
              <w:pStyle w:val="TableText"/>
              <w:snapToGrid w:val="0"/>
              <w:ind w:left="57"/>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FFFFF"/>
          </w:tcPr>
          <w:p w14:paraId="4C1A4F79" w14:textId="77777777" w:rsidR="00FF4BDC" w:rsidRPr="003B53ED" w:rsidRDefault="00FF4BDC" w:rsidP="00AC6CAB">
            <w:pPr>
              <w:pStyle w:val="TableText"/>
              <w:snapToGrid w:val="0"/>
              <w:ind w:left="57"/>
              <w:rPr>
                <w:lang w:eastAsia="it-IT"/>
              </w:rPr>
            </w:pPr>
          </w:p>
        </w:tc>
      </w:tr>
      <w:tr w:rsidR="00FF4BDC" w:rsidRPr="0023654F" w14:paraId="55104D36"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FFFFF"/>
          </w:tcPr>
          <w:p w14:paraId="2EBD61DB" w14:textId="77777777" w:rsidR="00FF4BDC" w:rsidRDefault="00FF4BDC" w:rsidP="00AC6CAB">
            <w:pPr>
              <w:pStyle w:val="TableText"/>
              <w:snapToGrid w:val="0"/>
              <w:ind w:left="57"/>
              <w:rPr>
                <w:sz w:val="16"/>
                <w:szCs w:val="16"/>
                <w:lang w:eastAsia="en-GB"/>
              </w:rPr>
            </w:pPr>
            <w:r>
              <w:rPr>
                <w:sz w:val="16"/>
                <w:szCs w:val="16"/>
                <w:lang w:eastAsia="en-GB"/>
              </w:rPr>
              <w:t>28</w:t>
            </w:r>
          </w:p>
        </w:tc>
        <w:tc>
          <w:tcPr>
            <w:tcW w:w="3643" w:type="dxa"/>
            <w:tcBorders>
              <w:top w:val="single" w:sz="4" w:space="0" w:color="auto"/>
              <w:left w:val="single" w:sz="4" w:space="0" w:color="auto"/>
              <w:bottom w:val="single" w:sz="4" w:space="0" w:color="auto"/>
              <w:right w:val="single" w:sz="4" w:space="0" w:color="auto"/>
            </w:tcBorders>
            <w:shd w:val="clear" w:color="auto" w:fill="FFFFFF"/>
          </w:tcPr>
          <w:p w14:paraId="325FECD2" w14:textId="77777777" w:rsidR="00FF4BDC" w:rsidRPr="00202A50" w:rsidRDefault="00FF4BDC" w:rsidP="00AC6CAB">
            <w:pPr>
              <w:pStyle w:val="TableText"/>
              <w:snapToGrid w:val="0"/>
              <w:ind w:leftChars="28" w:left="382" w:rightChars="71" w:right="142" w:hangingChars="192" w:hanging="326"/>
              <w:rPr>
                <w:i/>
                <w:lang w:eastAsia="it-IT"/>
              </w:rPr>
            </w:pPr>
            <w:r>
              <w:rPr>
                <w:i/>
                <w:lang w:eastAsia="it-IT"/>
              </w:rPr>
              <w:tab/>
            </w:r>
            <w:r w:rsidRPr="00202A50">
              <w:rPr>
                <w:i/>
                <w:lang w:eastAsia="it-IT"/>
              </w:rPr>
              <w:t>Assets posted as initial margin for derivative contracts and contrib</w:t>
            </w:r>
            <w:r>
              <w:rPr>
                <w:i/>
                <w:lang w:eastAsia="it-IT"/>
              </w:rPr>
              <w:t>utions to default funds of CCPs</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50CFB19" w14:textId="77777777" w:rsidR="00FF4BDC" w:rsidRPr="002510C1" w:rsidRDefault="00FF4BDC" w:rsidP="00AC6CAB">
            <w:pPr>
              <w:pStyle w:val="TableText"/>
              <w:snapToGrid w:val="0"/>
              <w:ind w:left="57"/>
              <w:rPr>
                <w:lang w:eastAsia="it-IT"/>
              </w:rPr>
            </w:pPr>
          </w:p>
        </w:tc>
        <w:tc>
          <w:tcPr>
            <w:tcW w:w="983" w:type="dxa"/>
            <w:tcBorders>
              <w:top w:val="single" w:sz="4" w:space="0" w:color="auto"/>
              <w:left w:val="single" w:sz="4" w:space="0" w:color="auto"/>
              <w:bottom w:val="single" w:sz="4" w:space="0" w:color="auto"/>
              <w:right w:val="single" w:sz="4" w:space="0" w:color="auto"/>
            </w:tcBorders>
            <w:shd w:val="clear" w:color="auto" w:fill="808080"/>
          </w:tcPr>
          <w:p w14:paraId="7E09BA81" w14:textId="77777777" w:rsidR="00FF4BDC" w:rsidRDefault="00FF4BDC" w:rsidP="00AC6CAB">
            <w:pPr>
              <w:pStyle w:val="TableText"/>
              <w:snapToGrid w:val="0"/>
              <w:ind w:left="57"/>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808080"/>
          </w:tcPr>
          <w:p w14:paraId="5644F18E" w14:textId="77777777" w:rsidR="00FF4BDC" w:rsidRPr="008D4929" w:rsidRDefault="00FF4BDC" w:rsidP="00AC6CAB">
            <w:pPr>
              <w:ind w:firstLineChars="200" w:firstLine="340"/>
              <w:rPr>
                <w:sz w:val="17"/>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808080"/>
          </w:tcPr>
          <w:p w14:paraId="2DF3B6D1" w14:textId="77777777" w:rsidR="00FF4BDC" w:rsidRPr="008D4929" w:rsidRDefault="00FF4BDC" w:rsidP="00AC6CAB">
            <w:pPr>
              <w:ind w:firstLineChars="200" w:firstLine="340"/>
              <w:rPr>
                <w:sz w:val="17"/>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FFFFF"/>
          </w:tcPr>
          <w:p w14:paraId="79B94EC8" w14:textId="77777777" w:rsidR="00FF4BDC" w:rsidRPr="0023654F" w:rsidRDefault="00FF4BDC" w:rsidP="00AC6CAB">
            <w:pPr>
              <w:pStyle w:val="TableText"/>
              <w:snapToGrid w:val="0"/>
              <w:rPr>
                <w:lang w:eastAsia="it-IT"/>
              </w:rPr>
            </w:pPr>
          </w:p>
        </w:tc>
      </w:tr>
      <w:tr w:rsidR="00FF4BDC" w:rsidRPr="0023654F" w14:paraId="5FAC540B"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FFFFF"/>
          </w:tcPr>
          <w:p w14:paraId="6D6EE283" w14:textId="77777777" w:rsidR="00FF4BDC" w:rsidRDefault="00FF4BDC" w:rsidP="00AC6CAB">
            <w:pPr>
              <w:pStyle w:val="TableText"/>
              <w:snapToGrid w:val="0"/>
              <w:ind w:left="57"/>
              <w:rPr>
                <w:sz w:val="16"/>
                <w:szCs w:val="16"/>
                <w:lang w:eastAsia="en-GB"/>
              </w:rPr>
            </w:pPr>
            <w:r>
              <w:rPr>
                <w:sz w:val="16"/>
                <w:szCs w:val="16"/>
                <w:lang w:eastAsia="en-GB"/>
              </w:rPr>
              <w:t>29</w:t>
            </w:r>
          </w:p>
        </w:tc>
        <w:tc>
          <w:tcPr>
            <w:tcW w:w="3643" w:type="dxa"/>
            <w:tcBorders>
              <w:top w:val="single" w:sz="4" w:space="0" w:color="auto"/>
              <w:left w:val="single" w:sz="4" w:space="0" w:color="auto"/>
              <w:bottom w:val="single" w:sz="4" w:space="0" w:color="auto"/>
              <w:right w:val="single" w:sz="4" w:space="0" w:color="auto"/>
            </w:tcBorders>
            <w:shd w:val="clear" w:color="auto" w:fill="FFFFFF"/>
          </w:tcPr>
          <w:p w14:paraId="51F4A9E2" w14:textId="77777777" w:rsidR="00FF4BDC" w:rsidRPr="00202A50" w:rsidRDefault="00FF4BDC" w:rsidP="00AC6CAB">
            <w:pPr>
              <w:pStyle w:val="TableText"/>
              <w:snapToGrid w:val="0"/>
              <w:ind w:leftChars="28" w:left="382" w:rightChars="71" w:right="142" w:hangingChars="192" w:hanging="326"/>
              <w:rPr>
                <w:i/>
                <w:lang w:eastAsia="it-IT"/>
              </w:rPr>
            </w:pPr>
            <w:r>
              <w:rPr>
                <w:i/>
                <w:lang w:eastAsia="it-IT"/>
              </w:rPr>
              <w:tab/>
              <w:t>Net derivative assets</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2262B54" w14:textId="77777777" w:rsidR="00FF4BDC" w:rsidRPr="003B53ED" w:rsidRDefault="00FF4BDC" w:rsidP="00AC6CAB">
            <w:pPr>
              <w:pStyle w:val="TableText"/>
              <w:snapToGrid w:val="0"/>
              <w:ind w:left="57"/>
              <w:rPr>
                <w:lang w:eastAsia="it-IT"/>
              </w:rPr>
            </w:pPr>
          </w:p>
        </w:tc>
        <w:tc>
          <w:tcPr>
            <w:tcW w:w="983" w:type="dxa"/>
            <w:tcBorders>
              <w:top w:val="single" w:sz="4" w:space="0" w:color="auto"/>
              <w:left w:val="single" w:sz="4" w:space="0" w:color="auto"/>
              <w:bottom w:val="single" w:sz="4" w:space="0" w:color="auto"/>
              <w:right w:val="single" w:sz="4" w:space="0" w:color="auto"/>
            </w:tcBorders>
            <w:shd w:val="clear" w:color="auto" w:fill="808080"/>
          </w:tcPr>
          <w:p w14:paraId="7D590263" w14:textId="77777777" w:rsidR="00FF4BDC" w:rsidRPr="003B53ED" w:rsidRDefault="00FF4BDC" w:rsidP="00AC6CAB">
            <w:pPr>
              <w:pStyle w:val="TableText"/>
              <w:snapToGrid w:val="0"/>
              <w:ind w:left="57"/>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808080"/>
          </w:tcPr>
          <w:p w14:paraId="5ABD9E1A" w14:textId="77777777" w:rsidR="00FF4BDC" w:rsidRPr="003B53ED" w:rsidRDefault="00FF4BDC" w:rsidP="00AC6CAB">
            <w:pPr>
              <w:pStyle w:val="TableText"/>
              <w:snapToGrid w:val="0"/>
              <w:ind w:left="57"/>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808080"/>
          </w:tcPr>
          <w:p w14:paraId="37673B50" w14:textId="77777777" w:rsidR="00FF4BDC" w:rsidRPr="003B53ED" w:rsidRDefault="00FF4BDC" w:rsidP="00AC6CAB">
            <w:pPr>
              <w:pStyle w:val="TableText"/>
              <w:snapToGrid w:val="0"/>
              <w:ind w:left="57"/>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FFFFF"/>
          </w:tcPr>
          <w:p w14:paraId="0E5B4D2C" w14:textId="77777777" w:rsidR="00FF4BDC" w:rsidRPr="0023654F" w:rsidRDefault="00FF4BDC" w:rsidP="00AC6CAB">
            <w:pPr>
              <w:pStyle w:val="TableText"/>
              <w:snapToGrid w:val="0"/>
              <w:rPr>
                <w:lang w:eastAsia="it-IT"/>
              </w:rPr>
            </w:pPr>
          </w:p>
        </w:tc>
      </w:tr>
      <w:tr w:rsidR="00FF4BDC" w:rsidRPr="0023654F" w14:paraId="1E0C5B7E"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FFFFF"/>
          </w:tcPr>
          <w:p w14:paraId="712119A3" w14:textId="77777777" w:rsidR="00FF4BDC" w:rsidRDefault="00FF4BDC" w:rsidP="00AC6CAB">
            <w:pPr>
              <w:pStyle w:val="TableText"/>
              <w:snapToGrid w:val="0"/>
              <w:ind w:left="57"/>
              <w:rPr>
                <w:sz w:val="16"/>
                <w:szCs w:val="16"/>
                <w:lang w:eastAsia="en-GB"/>
              </w:rPr>
            </w:pPr>
            <w:r>
              <w:rPr>
                <w:sz w:val="16"/>
                <w:szCs w:val="16"/>
                <w:lang w:eastAsia="en-GB"/>
              </w:rPr>
              <w:t>30</w:t>
            </w:r>
          </w:p>
        </w:tc>
        <w:tc>
          <w:tcPr>
            <w:tcW w:w="3643" w:type="dxa"/>
            <w:tcBorders>
              <w:top w:val="single" w:sz="4" w:space="0" w:color="auto"/>
              <w:left w:val="single" w:sz="4" w:space="0" w:color="auto"/>
              <w:bottom w:val="single" w:sz="4" w:space="0" w:color="auto"/>
              <w:right w:val="single" w:sz="4" w:space="0" w:color="auto"/>
            </w:tcBorders>
            <w:shd w:val="clear" w:color="auto" w:fill="FFFFFF"/>
          </w:tcPr>
          <w:p w14:paraId="1DE174C8" w14:textId="77777777" w:rsidR="00FF4BDC" w:rsidRPr="00202A50" w:rsidRDefault="00FF4BDC" w:rsidP="00AC6CAB">
            <w:pPr>
              <w:pStyle w:val="TableText"/>
              <w:snapToGrid w:val="0"/>
              <w:ind w:leftChars="28" w:left="382" w:rightChars="71" w:right="142" w:hangingChars="192" w:hanging="326"/>
              <w:rPr>
                <w:i/>
                <w:lang w:eastAsia="it-IT"/>
              </w:rPr>
            </w:pPr>
            <w:r>
              <w:rPr>
                <w:i/>
                <w:lang w:eastAsia="it-IT"/>
              </w:rPr>
              <w:tab/>
              <w:t xml:space="preserve">Total </w:t>
            </w:r>
            <w:r w:rsidRPr="00202A50">
              <w:rPr>
                <w:i/>
                <w:lang w:eastAsia="it-IT"/>
              </w:rPr>
              <w:t xml:space="preserve">derivative liabilities before </w:t>
            </w:r>
            <w:r>
              <w:rPr>
                <w:i/>
                <w:lang w:eastAsia="it-IT"/>
              </w:rPr>
              <w:t xml:space="preserve">adjustments for </w:t>
            </w:r>
            <w:r w:rsidRPr="00202A50">
              <w:rPr>
                <w:i/>
                <w:lang w:eastAsia="it-IT"/>
              </w:rPr>
              <w:t>deduc</w:t>
            </w:r>
            <w:r>
              <w:rPr>
                <w:i/>
                <w:lang w:eastAsia="it-IT"/>
              </w:rPr>
              <w:t>tion of variation margin posted</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D49EC27" w14:textId="77777777" w:rsidR="00FF4BDC" w:rsidRPr="003B53ED" w:rsidRDefault="00FF4BDC" w:rsidP="00AC6CAB">
            <w:pPr>
              <w:pStyle w:val="TableText"/>
              <w:snapToGrid w:val="0"/>
              <w:ind w:left="57"/>
              <w:rPr>
                <w:lang w:eastAsia="it-IT"/>
              </w:rPr>
            </w:pPr>
          </w:p>
        </w:tc>
        <w:tc>
          <w:tcPr>
            <w:tcW w:w="983" w:type="dxa"/>
            <w:tcBorders>
              <w:top w:val="single" w:sz="4" w:space="0" w:color="auto"/>
              <w:left w:val="single" w:sz="4" w:space="0" w:color="auto"/>
              <w:bottom w:val="single" w:sz="4" w:space="0" w:color="auto"/>
              <w:right w:val="single" w:sz="4" w:space="0" w:color="auto"/>
            </w:tcBorders>
            <w:shd w:val="clear" w:color="auto" w:fill="808080"/>
          </w:tcPr>
          <w:p w14:paraId="47F589A8" w14:textId="77777777" w:rsidR="00FF4BDC" w:rsidRPr="003B53ED" w:rsidRDefault="00FF4BDC" w:rsidP="00AC6CAB">
            <w:pPr>
              <w:pStyle w:val="TableText"/>
              <w:snapToGrid w:val="0"/>
              <w:ind w:left="57"/>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808080"/>
          </w:tcPr>
          <w:p w14:paraId="31AEC4AE" w14:textId="77777777" w:rsidR="00FF4BDC" w:rsidRPr="003B53ED" w:rsidRDefault="00FF4BDC" w:rsidP="00AC6CAB">
            <w:pPr>
              <w:pStyle w:val="TableText"/>
              <w:snapToGrid w:val="0"/>
              <w:ind w:left="57"/>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808080"/>
          </w:tcPr>
          <w:p w14:paraId="18BC081A" w14:textId="77777777" w:rsidR="00FF4BDC" w:rsidRPr="003B53ED" w:rsidRDefault="00FF4BDC" w:rsidP="00AC6CAB">
            <w:pPr>
              <w:pStyle w:val="TableText"/>
              <w:snapToGrid w:val="0"/>
              <w:ind w:left="57"/>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FFFFF"/>
          </w:tcPr>
          <w:p w14:paraId="008F8C77" w14:textId="77777777" w:rsidR="00FF4BDC" w:rsidRPr="0023654F" w:rsidRDefault="00FF4BDC" w:rsidP="00AC6CAB">
            <w:pPr>
              <w:pStyle w:val="TableText"/>
              <w:snapToGrid w:val="0"/>
              <w:rPr>
                <w:lang w:eastAsia="it-IT"/>
              </w:rPr>
            </w:pPr>
          </w:p>
        </w:tc>
      </w:tr>
      <w:tr w:rsidR="00FF4BDC" w:rsidRPr="0023654F" w14:paraId="07673309"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FFFFF"/>
          </w:tcPr>
          <w:p w14:paraId="5B1EB555" w14:textId="77777777" w:rsidR="00FF4BDC" w:rsidRDefault="00FF4BDC" w:rsidP="00AC6CAB">
            <w:pPr>
              <w:pStyle w:val="TableText"/>
              <w:snapToGrid w:val="0"/>
              <w:ind w:left="57"/>
              <w:rPr>
                <w:sz w:val="16"/>
                <w:szCs w:val="16"/>
                <w:lang w:eastAsia="en-GB"/>
              </w:rPr>
            </w:pPr>
            <w:r>
              <w:rPr>
                <w:sz w:val="16"/>
                <w:szCs w:val="16"/>
                <w:lang w:eastAsia="en-GB"/>
              </w:rPr>
              <w:t>31</w:t>
            </w:r>
          </w:p>
        </w:tc>
        <w:tc>
          <w:tcPr>
            <w:tcW w:w="3643" w:type="dxa"/>
            <w:tcBorders>
              <w:top w:val="single" w:sz="4" w:space="0" w:color="auto"/>
              <w:left w:val="single" w:sz="4" w:space="0" w:color="auto"/>
              <w:bottom w:val="single" w:sz="4" w:space="0" w:color="auto"/>
              <w:right w:val="single" w:sz="4" w:space="0" w:color="auto"/>
            </w:tcBorders>
            <w:shd w:val="clear" w:color="auto" w:fill="FFFFFF"/>
          </w:tcPr>
          <w:p w14:paraId="441F6AF0" w14:textId="77777777" w:rsidR="00FF4BDC" w:rsidRPr="00202A50" w:rsidRDefault="00FF4BDC" w:rsidP="00AC6CAB">
            <w:pPr>
              <w:pStyle w:val="TableText"/>
              <w:snapToGrid w:val="0"/>
              <w:ind w:leftChars="28" w:left="382" w:rightChars="71" w:right="142" w:hangingChars="192" w:hanging="326"/>
              <w:rPr>
                <w:i/>
                <w:lang w:eastAsia="it-IT"/>
              </w:rPr>
            </w:pPr>
            <w:r>
              <w:rPr>
                <w:i/>
                <w:lang w:eastAsia="it-IT"/>
              </w:rPr>
              <w:tab/>
            </w:r>
            <w:r w:rsidRPr="00202A50">
              <w:rPr>
                <w:i/>
                <w:lang w:eastAsia="it-IT"/>
              </w:rPr>
              <w:t>All other assets not i</w:t>
            </w:r>
            <w:r>
              <w:rPr>
                <w:i/>
                <w:lang w:eastAsia="it-IT"/>
              </w:rPr>
              <w:t>ncluded in the above categories</w:t>
            </w:r>
          </w:p>
        </w:tc>
        <w:tc>
          <w:tcPr>
            <w:tcW w:w="994" w:type="dxa"/>
            <w:tcBorders>
              <w:top w:val="single" w:sz="4" w:space="0" w:color="auto"/>
              <w:left w:val="single" w:sz="4" w:space="0" w:color="auto"/>
              <w:bottom w:val="single" w:sz="4" w:space="0" w:color="auto"/>
              <w:right w:val="single" w:sz="4" w:space="0" w:color="auto"/>
            </w:tcBorders>
            <w:shd w:val="clear" w:color="auto" w:fill="FFFFFF"/>
          </w:tcPr>
          <w:p w14:paraId="04564E4F" w14:textId="77777777" w:rsidR="00FF4BDC" w:rsidRPr="003B53ED" w:rsidRDefault="00FF4BDC" w:rsidP="00AC6CAB">
            <w:pPr>
              <w:pStyle w:val="TableText"/>
              <w:snapToGrid w:val="0"/>
              <w:ind w:left="57"/>
              <w:rPr>
                <w:lang w:eastAsia="it-IT"/>
              </w:rPr>
            </w:pPr>
          </w:p>
        </w:tc>
        <w:tc>
          <w:tcPr>
            <w:tcW w:w="983" w:type="dxa"/>
            <w:tcBorders>
              <w:top w:val="single" w:sz="4" w:space="0" w:color="auto"/>
              <w:left w:val="single" w:sz="4" w:space="0" w:color="auto"/>
              <w:bottom w:val="single" w:sz="4" w:space="0" w:color="auto"/>
              <w:right w:val="single" w:sz="4" w:space="0" w:color="auto"/>
            </w:tcBorders>
            <w:shd w:val="clear" w:color="auto" w:fill="FFFFFF"/>
          </w:tcPr>
          <w:p w14:paraId="7E06ED5C" w14:textId="77777777" w:rsidR="00FF4BDC" w:rsidRPr="003B53ED" w:rsidRDefault="00FF4BDC" w:rsidP="00AC6CAB">
            <w:pPr>
              <w:pStyle w:val="TableText"/>
              <w:snapToGrid w:val="0"/>
              <w:ind w:left="57"/>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6ACCD942" w14:textId="77777777" w:rsidR="00FF4BDC" w:rsidRPr="003B53ED" w:rsidRDefault="00FF4BDC" w:rsidP="00AC6CAB">
            <w:pPr>
              <w:pStyle w:val="TableText"/>
              <w:snapToGrid w:val="0"/>
              <w:ind w:left="57"/>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4FB7961D" w14:textId="77777777" w:rsidR="00FF4BDC" w:rsidRPr="003B53ED" w:rsidRDefault="00FF4BDC" w:rsidP="00AC6CAB">
            <w:pPr>
              <w:pStyle w:val="TableText"/>
              <w:snapToGrid w:val="0"/>
              <w:ind w:left="57"/>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FFFFF"/>
          </w:tcPr>
          <w:p w14:paraId="5106A7FB" w14:textId="77777777" w:rsidR="00FF4BDC" w:rsidRPr="0023654F" w:rsidRDefault="00FF4BDC" w:rsidP="00AC6CAB">
            <w:pPr>
              <w:pStyle w:val="TableText"/>
              <w:snapToGrid w:val="0"/>
              <w:rPr>
                <w:lang w:eastAsia="it-IT"/>
              </w:rPr>
            </w:pPr>
          </w:p>
        </w:tc>
      </w:tr>
      <w:tr w:rsidR="00FF4BDC" w:rsidRPr="0023654F" w14:paraId="490E9DE5"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2F2F2"/>
          </w:tcPr>
          <w:p w14:paraId="1D1D947F" w14:textId="77777777" w:rsidR="00FF4BDC" w:rsidRDefault="00FF4BDC" w:rsidP="00AC6CAB">
            <w:pPr>
              <w:pStyle w:val="TableText"/>
              <w:snapToGrid w:val="0"/>
              <w:ind w:left="57"/>
              <w:rPr>
                <w:sz w:val="16"/>
                <w:szCs w:val="16"/>
                <w:lang w:eastAsia="en-GB"/>
              </w:rPr>
            </w:pPr>
            <w:r>
              <w:rPr>
                <w:sz w:val="16"/>
                <w:szCs w:val="16"/>
                <w:lang w:eastAsia="en-GB"/>
              </w:rPr>
              <w:t>32</w:t>
            </w:r>
          </w:p>
        </w:tc>
        <w:tc>
          <w:tcPr>
            <w:tcW w:w="3643" w:type="dxa"/>
            <w:tcBorders>
              <w:top w:val="single" w:sz="4" w:space="0" w:color="auto"/>
              <w:left w:val="single" w:sz="4" w:space="0" w:color="auto"/>
              <w:bottom w:val="single" w:sz="4" w:space="0" w:color="auto"/>
              <w:right w:val="single" w:sz="4" w:space="0" w:color="auto"/>
            </w:tcBorders>
            <w:shd w:val="clear" w:color="auto" w:fill="F2F2F2"/>
          </w:tcPr>
          <w:p w14:paraId="12D696C5" w14:textId="77777777" w:rsidR="00FF4BDC" w:rsidRPr="00202A50" w:rsidRDefault="00FF4BDC" w:rsidP="00AC6CAB">
            <w:pPr>
              <w:pStyle w:val="TableText"/>
              <w:snapToGrid w:val="0"/>
              <w:ind w:left="57" w:rightChars="71" w:right="142"/>
              <w:rPr>
                <w:lang w:eastAsia="it-IT"/>
              </w:rPr>
            </w:pPr>
            <w:r>
              <w:rPr>
                <w:lang w:eastAsia="it-IT"/>
              </w:rPr>
              <w:t>Off-balance sheet items</w:t>
            </w:r>
          </w:p>
        </w:tc>
        <w:tc>
          <w:tcPr>
            <w:tcW w:w="994" w:type="dxa"/>
            <w:tcBorders>
              <w:top w:val="single" w:sz="4" w:space="0" w:color="auto"/>
              <w:left w:val="single" w:sz="4" w:space="0" w:color="auto"/>
              <w:bottom w:val="single" w:sz="4" w:space="0" w:color="auto"/>
              <w:right w:val="single" w:sz="4" w:space="0" w:color="auto"/>
            </w:tcBorders>
            <w:shd w:val="clear" w:color="auto" w:fill="808080"/>
          </w:tcPr>
          <w:p w14:paraId="4D62B3BF" w14:textId="77777777" w:rsidR="00FF4BDC" w:rsidRPr="003B53ED" w:rsidRDefault="00FF4BDC" w:rsidP="00AC6CAB">
            <w:pPr>
              <w:pStyle w:val="TableText"/>
              <w:snapToGrid w:val="0"/>
              <w:ind w:left="57"/>
              <w:rPr>
                <w:lang w:eastAsia="it-IT"/>
              </w:rPr>
            </w:pPr>
          </w:p>
        </w:tc>
        <w:tc>
          <w:tcPr>
            <w:tcW w:w="2968" w:type="dxa"/>
            <w:gridSpan w:val="3"/>
            <w:tcBorders>
              <w:top w:val="single" w:sz="4" w:space="0" w:color="auto"/>
              <w:left w:val="single" w:sz="4" w:space="0" w:color="auto"/>
              <w:bottom w:val="single" w:sz="4" w:space="0" w:color="auto"/>
              <w:right w:val="single" w:sz="4" w:space="0" w:color="auto"/>
            </w:tcBorders>
            <w:shd w:val="clear" w:color="auto" w:fill="F2F2F2"/>
          </w:tcPr>
          <w:p w14:paraId="5E96785B" w14:textId="77777777" w:rsidR="00FF4BDC" w:rsidRPr="003B53ED" w:rsidRDefault="00FF4BDC" w:rsidP="00AC6CAB">
            <w:pPr>
              <w:pStyle w:val="TableText"/>
              <w:snapToGrid w:val="0"/>
              <w:ind w:left="57"/>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2F2F2"/>
          </w:tcPr>
          <w:p w14:paraId="4D943052" w14:textId="77777777" w:rsidR="00FF4BDC" w:rsidRPr="0023654F" w:rsidRDefault="00FF4BDC" w:rsidP="00AC6CAB">
            <w:pPr>
              <w:pStyle w:val="TableText"/>
              <w:snapToGrid w:val="0"/>
              <w:rPr>
                <w:lang w:eastAsia="it-IT"/>
              </w:rPr>
            </w:pPr>
          </w:p>
        </w:tc>
      </w:tr>
      <w:tr w:rsidR="00FF4BDC" w:rsidRPr="0023654F" w14:paraId="08756EFD"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FFFFF"/>
          </w:tcPr>
          <w:p w14:paraId="50CC2771" w14:textId="77777777" w:rsidR="00FF4BDC" w:rsidRDefault="00FF4BDC" w:rsidP="00AC6CAB">
            <w:pPr>
              <w:pStyle w:val="TableText"/>
              <w:snapToGrid w:val="0"/>
              <w:ind w:left="57"/>
              <w:rPr>
                <w:sz w:val="16"/>
                <w:szCs w:val="16"/>
                <w:lang w:eastAsia="en-GB"/>
              </w:rPr>
            </w:pPr>
            <w:r>
              <w:rPr>
                <w:sz w:val="16"/>
                <w:szCs w:val="16"/>
                <w:lang w:eastAsia="en-GB"/>
              </w:rPr>
              <w:t>33</w:t>
            </w:r>
          </w:p>
        </w:tc>
        <w:tc>
          <w:tcPr>
            <w:tcW w:w="3643" w:type="dxa"/>
            <w:tcBorders>
              <w:top w:val="single" w:sz="4" w:space="0" w:color="auto"/>
              <w:left w:val="single" w:sz="4" w:space="0" w:color="auto"/>
              <w:bottom w:val="single" w:sz="4" w:space="0" w:color="auto"/>
              <w:right w:val="single" w:sz="4" w:space="0" w:color="auto"/>
            </w:tcBorders>
            <w:shd w:val="clear" w:color="auto" w:fill="FFFFFF"/>
          </w:tcPr>
          <w:p w14:paraId="4311FE4E" w14:textId="77777777" w:rsidR="00FF4BDC" w:rsidRPr="00202A50" w:rsidRDefault="00FF4BDC" w:rsidP="00AC6CAB">
            <w:pPr>
              <w:pStyle w:val="TableText"/>
              <w:snapToGrid w:val="0"/>
              <w:ind w:left="57" w:rightChars="71" w:right="142"/>
              <w:rPr>
                <w:i/>
                <w:iCs/>
                <w:szCs w:val="17"/>
              </w:rPr>
            </w:pPr>
            <w:r>
              <w:rPr>
                <w:b/>
                <w:bCs/>
                <w:szCs w:val="17"/>
              </w:rPr>
              <w:t>Total RSF</w:t>
            </w:r>
          </w:p>
        </w:tc>
        <w:tc>
          <w:tcPr>
            <w:tcW w:w="994" w:type="dxa"/>
            <w:tcBorders>
              <w:top w:val="single" w:sz="4" w:space="0" w:color="auto"/>
              <w:left w:val="single" w:sz="4" w:space="0" w:color="auto"/>
              <w:bottom w:val="single" w:sz="4" w:space="0" w:color="auto"/>
              <w:right w:val="single" w:sz="4" w:space="0" w:color="auto"/>
            </w:tcBorders>
            <w:shd w:val="clear" w:color="auto" w:fill="808080"/>
          </w:tcPr>
          <w:p w14:paraId="2455D187" w14:textId="77777777" w:rsidR="00FF4BDC" w:rsidRPr="003B53ED" w:rsidRDefault="00FF4BDC" w:rsidP="00AC6CAB">
            <w:pPr>
              <w:pStyle w:val="TableText"/>
              <w:snapToGrid w:val="0"/>
              <w:ind w:left="57"/>
              <w:rPr>
                <w:lang w:eastAsia="it-IT"/>
              </w:rPr>
            </w:pPr>
          </w:p>
        </w:tc>
        <w:tc>
          <w:tcPr>
            <w:tcW w:w="983" w:type="dxa"/>
            <w:tcBorders>
              <w:top w:val="single" w:sz="4" w:space="0" w:color="auto"/>
              <w:left w:val="single" w:sz="4" w:space="0" w:color="auto"/>
              <w:bottom w:val="single" w:sz="4" w:space="0" w:color="auto"/>
              <w:right w:val="single" w:sz="4" w:space="0" w:color="auto"/>
            </w:tcBorders>
            <w:shd w:val="clear" w:color="auto" w:fill="808080"/>
          </w:tcPr>
          <w:p w14:paraId="0B53DDB2" w14:textId="77777777" w:rsidR="00FF4BDC" w:rsidRPr="003B53ED" w:rsidRDefault="00FF4BDC" w:rsidP="00AC6CAB">
            <w:pPr>
              <w:pStyle w:val="TableText"/>
              <w:snapToGrid w:val="0"/>
              <w:ind w:left="57"/>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808080"/>
          </w:tcPr>
          <w:p w14:paraId="2B6CAB3D" w14:textId="77777777" w:rsidR="00FF4BDC" w:rsidRPr="003B53ED" w:rsidRDefault="00FF4BDC" w:rsidP="00AC6CAB">
            <w:pPr>
              <w:pStyle w:val="TableText"/>
              <w:snapToGrid w:val="0"/>
              <w:ind w:left="57"/>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808080"/>
          </w:tcPr>
          <w:p w14:paraId="02F21822" w14:textId="77777777" w:rsidR="00FF4BDC" w:rsidRPr="003B53ED" w:rsidRDefault="00FF4BDC" w:rsidP="00AC6CAB">
            <w:pPr>
              <w:pStyle w:val="TableText"/>
              <w:snapToGrid w:val="0"/>
              <w:ind w:left="57"/>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FFFFF"/>
          </w:tcPr>
          <w:p w14:paraId="1C948315" w14:textId="77777777" w:rsidR="00FF4BDC" w:rsidRPr="0023654F" w:rsidRDefault="00FF4BDC" w:rsidP="00AC6CAB">
            <w:pPr>
              <w:pStyle w:val="TableText"/>
              <w:snapToGrid w:val="0"/>
              <w:rPr>
                <w:lang w:eastAsia="it-IT"/>
              </w:rPr>
            </w:pPr>
          </w:p>
        </w:tc>
      </w:tr>
      <w:tr w:rsidR="00FF4BDC" w:rsidRPr="0023654F" w14:paraId="1CCDAFED" w14:textId="77777777" w:rsidTr="00AC6CAB">
        <w:trPr>
          <w:cantSplit/>
          <w:trHeight w:val="270"/>
        </w:trPr>
        <w:tc>
          <w:tcPr>
            <w:tcW w:w="467" w:type="dxa"/>
            <w:tcBorders>
              <w:top w:val="single" w:sz="4" w:space="0" w:color="auto"/>
              <w:left w:val="nil"/>
              <w:bottom w:val="single" w:sz="4" w:space="0" w:color="auto"/>
              <w:right w:val="single" w:sz="4" w:space="0" w:color="auto"/>
            </w:tcBorders>
            <w:shd w:val="clear" w:color="auto" w:fill="FFFFFF"/>
          </w:tcPr>
          <w:p w14:paraId="1C2F866D" w14:textId="77777777" w:rsidR="00FF4BDC" w:rsidRDefault="00FF4BDC" w:rsidP="00AC6CAB">
            <w:pPr>
              <w:pStyle w:val="TableText"/>
              <w:snapToGrid w:val="0"/>
              <w:ind w:left="57"/>
              <w:rPr>
                <w:sz w:val="16"/>
                <w:szCs w:val="16"/>
                <w:lang w:eastAsia="en-GB"/>
              </w:rPr>
            </w:pPr>
            <w:r>
              <w:rPr>
                <w:sz w:val="16"/>
                <w:szCs w:val="16"/>
                <w:lang w:eastAsia="en-GB"/>
              </w:rPr>
              <w:t>34</w:t>
            </w:r>
          </w:p>
        </w:tc>
        <w:tc>
          <w:tcPr>
            <w:tcW w:w="3643" w:type="dxa"/>
            <w:tcBorders>
              <w:top w:val="single" w:sz="4" w:space="0" w:color="auto"/>
              <w:left w:val="single" w:sz="4" w:space="0" w:color="auto"/>
              <w:bottom w:val="single" w:sz="4" w:space="0" w:color="auto"/>
              <w:right w:val="single" w:sz="4" w:space="0" w:color="auto"/>
            </w:tcBorders>
            <w:shd w:val="clear" w:color="auto" w:fill="FFFFFF"/>
          </w:tcPr>
          <w:p w14:paraId="6644C502" w14:textId="77777777" w:rsidR="00FF4BDC" w:rsidRPr="00202A50" w:rsidRDefault="00FF4BDC" w:rsidP="00AC6CAB">
            <w:pPr>
              <w:pStyle w:val="TableText"/>
              <w:snapToGrid w:val="0"/>
              <w:ind w:left="57" w:rightChars="71" w:right="142"/>
              <w:rPr>
                <w:szCs w:val="17"/>
                <w:lang w:eastAsia="it-IT"/>
              </w:rPr>
            </w:pPr>
            <w:r>
              <w:rPr>
                <w:b/>
                <w:bCs/>
                <w:szCs w:val="17"/>
              </w:rPr>
              <w:t>Net Stable Funding Ratio (%)</w:t>
            </w:r>
          </w:p>
        </w:tc>
        <w:tc>
          <w:tcPr>
            <w:tcW w:w="994" w:type="dxa"/>
            <w:tcBorders>
              <w:top w:val="single" w:sz="4" w:space="0" w:color="auto"/>
              <w:left w:val="single" w:sz="4" w:space="0" w:color="auto"/>
              <w:bottom w:val="single" w:sz="4" w:space="0" w:color="auto"/>
              <w:right w:val="single" w:sz="4" w:space="0" w:color="auto"/>
            </w:tcBorders>
            <w:shd w:val="clear" w:color="auto" w:fill="808080"/>
          </w:tcPr>
          <w:p w14:paraId="7746CD84" w14:textId="77777777" w:rsidR="00FF4BDC" w:rsidRPr="003B53ED" w:rsidRDefault="00FF4BDC" w:rsidP="00AC6CAB">
            <w:pPr>
              <w:pStyle w:val="TableText"/>
              <w:snapToGrid w:val="0"/>
              <w:ind w:left="57"/>
              <w:rPr>
                <w:lang w:eastAsia="it-IT"/>
              </w:rPr>
            </w:pPr>
          </w:p>
        </w:tc>
        <w:tc>
          <w:tcPr>
            <w:tcW w:w="983" w:type="dxa"/>
            <w:tcBorders>
              <w:top w:val="single" w:sz="4" w:space="0" w:color="auto"/>
              <w:left w:val="single" w:sz="4" w:space="0" w:color="auto"/>
              <w:bottom w:val="single" w:sz="4" w:space="0" w:color="auto"/>
              <w:right w:val="single" w:sz="4" w:space="0" w:color="auto"/>
            </w:tcBorders>
            <w:shd w:val="clear" w:color="auto" w:fill="808080"/>
          </w:tcPr>
          <w:p w14:paraId="72474174" w14:textId="77777777" w:rsidR="00FF4BDC" w:rsidRPr="003B53ED" w:rsidRDefault="00FF4BDC" w:rsidP="00AC6CAB">
            <w:pPr>
              <w:pStyle w:val="TableText"/>
              <w:snapToGrid w:val="0"/>
              <w:ind w:left="57"/>
              <w:rPr>
                <w:lang w:eastAsia="it-IT"/>
              </w:rPr>
            </w:pPr>
          </w:p>
        </w:tc>
        <w:tc>
          <w:tcPr>
            <w:tcW w:w="992" w:type="dxa"/>
            <w:tcBorders>
              <w:top w:val="single" w:sz="4" w:space="0" w:color="auto"/>
              <w:left w:val="single" w:sz="4" w:space="0" w:color="auto"/>
              <w:bottom w:val="single" w:sz="4" w:space="0" w:color="auto"/>
              <w:right w:val="single" w:sz="4" w:space="0" w:color="auto"/>
            </w:tcBorders>
            <w:shd w:val="clear" w:color="auto" w:fill="808080"/>
          </w:tcPr>
          <w:p w14:paraId="32A6ECC3" w14:textId="77777777" w:rsidR="00FF4BDC" w:rsidRPr="003B53ED" w:rsidRDefault="00FF4BDC" w:rsidP="00AC6CAB">
            <w:pPr>
              <w:pStyle w:val="TableText"/>
              <w:snapToGrid w:val="0"/>
              <w:ind w:left="57"/>
              <w:rPr>
                <w:lang w:eastAsia="it-IT"/>
              </w:rPr>
            </w:pPr>
          </w:p>
        </w:tc>
        <w:tc>
          <w:tcPr>
            <w:tcW w:w="993" w:type="dxa"/>
            <w:tcBorders>
              <w:top w:val="single" w:sz="4" w:space="0" w:color="auto"/>
              <w:left w:val="single" w:sz="4" w:space="0" w:color="auto"/>
              <w:bottom w:val="single" w:sz="4" w:space="0" w:color="auto"/>
              <w:right w:val="single" w:sz="4" w:space="0" w:color="auto"/>
            </w:tcBorders>
            <w:shd w:val="clear" w:color="auto" w:fill="808080"/>
          </w:tcPr>
          <w:p w14:paraId="48D5C4CA" w14:textId="77777777" w:rsidR="00FF4BDC" w:rsidRPr="003B53ED" w:rsidRDefault="00FF4BDC" w:rsidP="00AC6CAB">
            <w:pPr>
              <w:pStyle w:val="TableText"/>
              <w:snapToGrid w:val="0"/>
              <w:ind w:left="57"/>
              <w:rPr>
                <w:lang w:eastAsia="it-IT"/>
              </w:rPr>
            </w:pPr>
          </w:p>
        </w:tc>
        <w:tc>
          <w:tcPr>
            <w:tcW w:w="1001" w:type="dxa"/>
            <w:tcBorders>
              <w:top w:val="single" w:sz="4" w:space="0" w:color="auto"/>
              <w:left w:val="single" w:sz="4" w:space="0" w:color="auto"/>
              <w:bottom w:val="single" w:sz="4" w:space="0" w:color="auto"/>
              <w:right w:val="single" w:sz="4" w:space="0" w:color="auto"/>
            </w:tcBorders>
            <w:shd w:val="clear" w:color="auto" w:fill="FFFFFF"/>
          </w:tcPr>
          <w:p w14:paraId="4BEB4BF4" w14:textId="77777777" w:rsidR="00FF4BDC" w:rsidRPr="0023654F" w:rsidRDefault="00FF4BDC" w:rsidP="00AC6CAB">
            <w:pPr>
              <w:pStyle w:val="TableText"/>
              <w:snapToGrid w:val="0"/>
              <w:rPr>
                <w:lang w:eastAsia="it-IT"/>
              </w:rPr>
            </w:pPr>
          </w:p>
        </w:tc>
      </w:tr>
      <w:tr w:rsidR="00FF4BDC" w:rsidRPr="0023654F" w14:paraId="7F7C1289" w14:textId="77777777" w:rsidTr="00AC6CAB">
        <w:trPr>
          <w:cantSplit/>
          <w:trHeight w:val="230"/>
        </w:trPr>
        <w:tc>
          <w:tcPr>
            <w:tcW w:w="9073" w:type="dxa"/>
            <w:gridSpan w:val="7"/>
            <w:tcBorders>
              <w:top w:val="single" w:sz="4" w:space="0" w:color="auto"/>
              <w:left w:val="nil"/>
              <w:bottom w:val="single" w:sz="6" w:space="0" w:color="auto"/>
              <w:right w:val="single" w:sz="6" w:space="0" w:color="auto"/>
            </w:tcBorders>
            <w:shd w:val="clear" w:color="auto" w:fill="FFFFFF"/>
          </w:tcPr>
          <w:p w14:paraId="19E2DA3C" w14:textId="77777777" w:rsidR="00FF4BDC" w:rsidRPr="00182DB9" w:rsidRDefault="00FF4BDC" w:rsidP="00AC6CAB">
            <w:pPr>
              <w:pStyle w:val="TableText"/>
              <w:snapToGrid w:val="0"/>
              <w:spacing w:line="240" w:lineRule="exact"/>
              <w:rPr>
                <w:rFonts w:cs="Segoe UI"/>
                <w:i/>
                <w:szCs w:val="17"/>
                <w:lang w:eastAsia="it-IT"/>
              </w:rPr>
            </w:pPr>
            <w:r w:rsidRPr="00182DB9">
              <w:rPr>
                <w:rFonts w:cs="Segoe UI"/>
                <w:i/>
                <w:szCs w:val="17"/>
                <w:lang w:eastAsia="it-IT"/>
              </w:rPr>
              <w:t>Points to note:</w:t>
            </w:r>
          </w:p>
          <w:p w14:paraId="2EDB000C" w14:textId="77777777" w:rsidR="00FF4BDC" w:rsidRPr="00182DB9" w:rsidRDefault="00FF4BDC" w:rsidP="008D652E">
            <w:pPr>
              <w:pStyle w:val="ListParagraph"/>
              <w:widowControl w:val="0"/>
              <w:numPr>
                <w:ilvl w:val="0"/>
                <w:numId w:val="51"/>
              </w:numPr>
              <w:tabs>
                <w:tab w:val="left" w:pos="426"/>
              </w:tabs>
              <w:autoSpaceDE w:val="0"/>
              <w:autoSpaceDN w:val="0"/>
              <w:adjustRightInd w:val="0"/>
              <w:spacing w:line="240" w:lineRule="exact"/>
              <w:ind w:leftChars="0" w:left="426" w:rightChars="71" w:right="142" w:hanging="426"/>
              <w:jc w:val="both"/>
              <w:rPr>
                <w:rFonts w:cs="Segoe UI"/>
                <w:i/>
                <w:sz w:val="17"/>
                <w:szCs w:val="17"/>
                <w:lang w:eastAsia="it-IT"/>
              </w:rPr>
            </w:pPr>
            <w:r w:rsidRPr="00182DB9">
              <w:rPr>
                <w:rFonts w:cs="Segoe UI"/>
                <w:i/>
                <w:sz w:val="17"/>
                <w:szCs w:val="17"/>
                <w:lang w:eastAsia="it-IT"/>
              </w:rPr>
              <w:t>the rows without a numerical row number introduce a section of the NSFR template (i.e. ASF and RSF) and do not require any value to be input;</w:t>
            </w:r>
          </w:p>
          <w:p w14:paraId="229D9471" w14:textId="77777777" w:rsidR="00FF4BDC" w:rsidRPr="00182DB9" w:rsidRDefault="00FF4BDC" w:rsidP="008D652E">
            <w:pPr>
              <w:pStyle w:val="ListParagraph"/>
              <w:widowControl w:val="0"/>
              <w:numPr>
                <w:ilvl w:val="0"/>
                <w:numId w:val="51"/>
              </w:numPr>
              <w:tabs>
                <w:tab w:val="left" w:pos="426"/>
              </w:tabs>
              <w:autoSpaceDE w:val="0"/>
              <w:autoSpaceDN w:val="0"/>
              <w:adjustRightInd w:val="0"/>
              <w:spacing w:line="240" w:lineRule="exact"/>
              <w:ind w:leftChars="0" w:left="426" w:rightChars="71" w:right="142" w:hanging="426"/>
              <w:jc w:val="both"/>
              <w:rPr>
                <w:rFonts w:cs="Segoe UI"/>
                <w:i/>
                <w:sz w:val="17"/>
                <w:szCs w:val="17"/>
                <w:lang w:eastAsia="it-IT"/>
              </w:rPr>
            </w:pPr>
            <w:r w:rsidRPr="00182DB9">
              <w:rPr>
                <w:rFonts w:cs="Segoe UI"/>
                <w:i/>
                <w:sz w:val="17"/>
                <w:szCs w:val="17"/>
                <w:lang w:eastAsia="it-IT"/>
              </w:rPr>
              <w:t>the disclosure items shaded in light grey (e.g. rows 1, 4, 7, 10, 11) represent a broad sub-component category of the NSFR in the relevant section;</w:t>
            </w:r>
          </w:p>
          <w:p w14:paraId="125482DA" w14:textId="77777777" w:rsidR="00FF4BDC" w:rsidRPr="00182DB9" w:rsidRDefault="00FF4BDC" w:rsidP="008D652E">
            <w:pPr>
              <w:pStyle w:val="ListParagraph"/>
              <w:widowControl w:val="0"/>
              <w:numPr>
                <w:ilvl w:val="0"/>
                <w:numId w:val="51"/>
              </w:numPr>
              <w:tabs>
                <w:tab w:val="left" w:pos="426"/>
              </w:tabs>
              <w:autoSpaceDE w:val="0"/>
              <w:autoSpaceDN w:val="0"/>
              <w:adjustRightInd w:val="0"/>
              <w:spacing w:line="240" w:lineRule="exact"/>
              <w:ind w:leftChars="0" w:left="426" w:rightChars="71" w:right="142" w:hanging="426"/>
              <w:jc w:val="both"/>
              <w:rPr>
                <w:rFonts w:cs="Segoe UI"/>
                <w:i/>
                <w:sz w:val="17"/>
                <w:szCs w:val="17"/>
                <w:lang w:eastAsia="it-IT"/>
              </w:rPr>
            </w:pPr>
            <w:r w:rsidRPr="00182DB9">
              <w:rPr>
                <w:rFonts w:cs="Segoe UI"/>
                <w:i/>
                <w:sz w:val="17"/>
                <w:szCs w:val="17"/>
                <w:lang w:eastAsia="it-IT"/>
              </w:rPr>
              <w:t>the unshaded disclosure items represent a sub-component within the major categories under ASF and RSF items, except that rows 21 and 23 are sub-components of rows 20 and 22, respectively.  See explanatory note below for a more detailed explanation of the composition of such sub-components;</w:t>
            </w:r>
          </w:p>
          <w:p w14:paraId="4F2CA9D4" w14:textId="77777777" w:rsidR="00FF4BDC" w:rsidRPr="00B529EF" w:rsidRDefault="00FF4BDC" w:rsidP="008D652E">
            <w:pPr>
              <w:pStyle w:val="ListParagraph"/>
              <w:widowControl w:val="0"/>
              <w:numPr>
                <w:ilvl w:val="0"/>
                <w:numId w:val="51"/>
              </w:numPr>
              <w:tabs>
                <w:tab w:val="left" w:pos="426"/>
              </w:tabs>
              <w:autoSpaceDE w:val="0"/>
              <w:autoSpaceDN w:val="0"/>
              <w:adjustRightInd w:val="0"/>
              <w:spacing w:line="240" w:lineRule="exact"/>
              <w:ind w:leftChars="0" w:left="426" w:rightChars="71" w:right="142" w:hanging="426"/>
              <w:jc w:val="both"/>
              <w:rPr>
                <w:i/>
                <w:sz w:val="17"/>
                <w:szCs w:val="17"/>
                <w:lang w:eastAsia="it-IT"/>
              </w:rPr>
            </w:pPr>
            <w:r w:rsidRPr="00182DB9">
              <w:rPr>
                <w:rFonts w:cs="Segoe UI"/>
                <w:i/>
                <w:sz w:val="17"/>
                <w:szCs w:val="17"/>
                <w:lang w:eastAsia="it-IT"/>
              </w:rPr>
              <w:t>no disclosure is required for items shaded in dark grey (i.e. cells 5/a, 6/a, 8/a, 12/b-e, 14/a-d, 27/b-d, 28/b-d, 29/b-d, 30/b-d, 32/a, 33/a-d and 34/a-d).</w:t>
            </w:r>
          </w:p>
        </w:tc>
      </w:tr>
    </w:tbl>
    <w:p w14:paraId="1525DB4F" w14:textId="77777777" w:rsidR="00C814AC" w:rsidRDefault="00C814AC" w:rsidP="00C814AC">
      <w:pPr>
        <w:spacing w:before="120" w:after="120"/>
        <w:ind w:leftChars="-283" w:left="-566"/>
        <w:rPr>
          <w:sz w:val="22"/>
        </w:rPr>
      </w:pPr>
    </w:p>
    <w:tbl>
      <w:tblPr>
        <w:tblW w:w="907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8505"/>
      </w:tblGrid>
      <w:tr w:rsidR="00C814AC" w:rsidRPr="00280717" w14:paraId="0C4E8917" w14:textId="77777777" w:rsidTr="00AC6CAB">
        <w:trPr>
          <w:tblHeader/>
        </w:trPr>
        <w:tc>
          <w:tcPr>
            <w:tcW w:w="9073" w:type="dxa"/>
            <w:gridSpan w:val="2"/>
            <w:shd w:val="clear" w:color="auto" w:fill="BFBFBF"/>
          </w:tcPr>
          <w:p w14:paraId="685B295B" w14:textId="77777777" w:rsidR="00C814AC" w:rsidRPr="00E41680" w:rsidRDefault="00C814AC" w:rsidP="00AC6CAB">
            <w:pPr>
              <w:spacing w:before="40" w:after="40"/>
              <w:jc w:val="both"/>
              <w:rPr>
                <w:rFonts w:eastAsia="新細明體"/>
                <w:b/>
                <w:kern w:val="2"/>
                <w:sz w:val="17"/>
                <w:szCs w:val="17"/>
                <w:lang w:eastAsia="en-GB"/>
              </w:rPr>
            </w:pPr>
            <w:r w:rsidRPr="00E41680">
              <w:rPr>
                <w:rFonts w:eastAsia="新細明體"/>
                <w:b/>
                <w:kern w:val="2"/>
                <w:sz w:val="17"/>
                <w:szCs w:val="17"/>
                <w:lang w:eastAsia="en-GB"/>
              </w:rPr>
              <w:t>Explanatory Note</w:t>
            </w:r>
          </w:p>
        </w:tc>
      </w:tr>
      <w:tr w:rsidR="00C814AC" w:rsidRPr="00280717" w14:paraId="301A8D47" w14:textId="77777777" w:rsidTr="00AC6CAB">
        <w:trPr>
          <w:trHeight w:val="153"/>
        </w:trPr>
        <w:tc>
          <w:tcPr>
            <w:tcW w:w="9073" w:type="dxa"/>
            <w:gridSpan w:val="2"/>
            <w:shd w:val="clear" w:color="auto" w:fill="F2F2F2"/>
          </w:tcPr>
          <w:p w14:paraId="3BEDE297" w14:textId="77777777" w:rsidR="00C814AC" w:rsidRPr="00E41680" w:rsidRDefault="00C814AC" w:rsidP="00AC6CAB">
            <w:pPr>
              <w:spacing w:before="40" w:after="40"/>
              <w:jc w:val="both"/>
              <w:rPr>
                <w:rFonts w:eastAsia="新細明體"/>
                <w:b/>
                <w:kern w:val="2"/>
                <w:sz w:val="17"/>
                <w:szCs w:val="17"/>
                <w:lang w:eastAsia="en-GB"/>
              </w:rPr>
            </w:pPr>
            <w:r w:rsidRPr="00E41680">
              <w:rPr>
                <w:rFonts w:eastAsia="新細明體"/>
                <w:b/>
                <w:kern w:val="2"/>
                <w:sz w:val="17"/>
                <w:szCs w:val="17"/>
                <w:lang w:eastAsia="en-GB"/>
              </w:rPr>
              <w:t>Columns</w:t>
            </w:r>
          </w:p>
        </w:tc>
      </w:tr>
      <w:tr w:rsidR="00C814AC" w:rsidRPr="0009042A" w14:paraId="2B102F01" w14:textId="77777777" w:rsidTr="00AC6CAB">
        <w:tc>
          <w:tcPr>
            <w:tcW w:w="568" w:type="dxa"/>
            <w:shd w:val="clear" w:color="auto" w:fill="auto"/>
          </w:tcPr>
          <w:p w14:paraId="05AAAF25" w14:textId="77777777" w:rsidR="00C814AC" w:rsidRPr="00E41680" w:rsidRDefault="00C814AC" w:rsidP="00AC6CAB">
            <w:pPr>
              <w:keepLines/>
              <w:widowControl w:val="0"/>
              <w:tabs>
                <w:tab w:val="left" w:pos="794"/>
                <w:tab w:val="left" w:pos="1191"/>
              </w:tabs>
              <w:spacing w:before="40" w:after="40"/>
              <w:ind w:rightChars="-54" w:right="-108"/>
              <w:rPr>
                <w:rFonts w:cs="Segoe UI"/>
                <w:kern w:val="2"/>
                <w:sz w:val="17"/>
                <w:szCs w:val="17"/>
                <w:lang w:eastAsia="en-GB"/>
              </w:rPr>
            </w:pPr>
            <w:r w:rsidRPr="00E41680">
              <w:rPr>
                <w:rFonts w:cs="Segoe UI"/>
                <w:kern w:val="2"/>
                <w:sz w:val="17"/>
                <w:szCs w:val="17"/>
                <w:lang w:eastAsia="en-GB"/>
              </w:rPr>
              <w:t>(a) to (d)</w:t>
            </w:r>
          </w:p>
        </w:tc>
        <w:tc>
          <w:tcPr>
            <w:tcW w:w="8505" w:type="dxa"/>
            <w:shd w:val="clear" w:color="auto" w:fill="auto"/>
          </w:tcPr>
          <w:p w14:paraId="000DC376" w14:textId="77777777" w:rsidR="00C814AC" w:rsidRPr="00E41680" w:rsidRDefault="00C814AC" w:rsidP="00AC6CAB">
            <w:pPr>
              <w:pStyle w:val="TableNote"/>
              <w:spacing w:before="40" w:after="40"/>
              <w:rPr>
                <w:kern w:val="2"/>
                <w:szCs w:val="17"/>
              </w:rPr>
            </w:pPr>
            <w:r w:rsidRPr="00E41680">
              <w:rPr>
                <w:i/>
                <w:kern w:val="2"/>
                <w:sz w:val="17"/>
                <w:szCs w:val="17"/>
              </w:rPr>
              <w:t>Unweighted value by residual maturity</w:t>
            </w:r>
            <w:r w:rsidRPr="00E41680">
              <w:rPr>
                <w:kern w:val="2"/>
                <w:sz w:val="17"/>
                <w:szCs w:val="17"/>
              </w:rPr>
              <w:t>: values entered in these columns should be the quarter-end observations of individual line items in accordance with the maturity bands.  Items to be reported in column (a), i.e. the “no specified term to maturity” time bucket, do not have a stated maturity.  These may include, but are not limited to, items such as capital with perpetual maturity, collective provisions, net derivative liabilities, currency notes and coins, equities, physical traded commodities, assets posted as initial margin for derivative contracts and contributions to default funds of CCPs, net derivative assets and total derivative liabilities before deduction of variation margin posted.</w:t>
            </w:r>
          </w:p>
        </w:tc>
      </w:tr>
      <w:tr w:rsidR="00C814AC" w:rsidRPr="00280717" w14:paraId="78BB06CC" w14:textId="77777777" w:rsidTr="00AC6CAB">
        <w:tc>
          <w:tcPr>
            <w:tcW w:w="568" w:type="dxa"/>
            <w:shd w:val="clear" w:color="auto" w:fill="auto"/>
          </w:tcPr>
          <w:p w14:paraId="26E8087E" w14:textId="77777777" w:rsidR="00C814AC" w:rsidRPr="00E41680" w:rsidRDefault="00C814AC" w:rsidP="00AC6CAB">
            <w:pPr>
              <w:keepLines/>
              <w:widowControl w:val="0"/>
              <w:tabs>
                <w:tab w:val="left" w:pos="150"/>
                <w:tab w:val="left" w:pos="397"/>
                <w:tab w:val="left" w:pos="794"/>
                <w:tab w:val="left" w:pos="1191"/>
              </w:tabs>
              <w:spacing w:before="40" w:after="40"/>
              <w:rPr>
                <w:kern w:val="2"/>
                <w:sz w:val="17"/>
                <w:szCs w:val="22"/>
              </w:rPr>
            </w:pPr>
            <w:r w:rsidRPr="00E41680">
              <w:rPr>
                <w:rFonts w:cs="Segoe UI"/>
                <w:kern w:val="2"/>
                <w:sz w:val="17"/>
                <w:szCs w:val="17"/>
                <w:lang w:eastAsia="en-GB"/>
              </w:rPr>
              <w:lastRenderedPageBreak/>
              <w:t>(e)</w:t>
            </w:r>
          </w:p>
        </w:tc>
        <w:tc>
          <w:tcPr>
            <w:tcW w:w="8505" w:type="dxa"/>
            <w:shd w:val="clear" w:color="auto" w:fill="auto"/>
          </w:tcPr>
          <w:p w14:paraId="2E9A83B2" w14:textId="77777777" w:rsidR="00C814AC" w:rsidRPr="00E41680" w:rsidRDefault="00C814AC" w:rsidP="00AC6CAB">
            <w:pPr>
              <w:pStyle w:val="TableNote"/>
              <w:spacing w:before="40" w:after="40"/>
              <w:rPr>
                <w:kern w:val="2"/>
                <w:sz w:val="17"/>
                <w:szCs w:val="17"/>
              </w:rPr>
            </w:pPr>
            <w:r w:rsidRPr="00E41680">
              <w:rPr>
                <w:i/>
                <w:kern w:val="2"/>
                <w:sz w:val="17"/>
                <w:szCs w:val="17"/>
              </w:rPr>
              <w:t>Weighted amount</w:t>
            </w:r>
            <w:r w:rsidRPr="00E41680">
              <w:rPr>
                <w:kern w:val="2"/>
                <w:sz w:val="17"/>
                <w:szCs w:val="17"/>
              </w:rPr>
              <w:t>: values entered in this column are calculated in accordance with Part 9 of the BLR.</w:t>
            </w:r>
          </w:p>
        </w:tc>
      </w:tr>
      <w:tr w:rsidR="00C814AC" w:rsidRPr="00280717" w14:paraId="486E9F5D" w14:textId="77777777" w:rsidTr="00AC6CAB">
        <w:trPr>
          <w:trHeight w:val="373"/>
        </w:trPr>
        <w:tc>
          <w:tcPr>
            <w:tcW w:w="9073" w:type="dxa"/>
            <w:gridSpan w:val="2"/>
            <w:shd w:val="clear" w:color="auto" w:fill="F2F2F2"/>
          </w:tcPr>
          <w:p w14:paraId="3A00B6B9" w14:textId="77777777" w:rsidR="00C814AC" w:rsidRPr="00E41680" w:rsidRDefault="00C814AC" w:rsidP="00AC6CAB">
            <w:pPr>
              <w:pStyle w:val="TableNote"/>
              <w:spacing w:before="40" w:after="40"/>
              <w:rPr>
                <w:i/>
                <w:kern w:val="2"/>
                <w:sz w:val="17"/>
                <w:szCs w:val="17"/>
              </w:rPr>
            </w:pPr>
            <w:r w:rsidRPr="00E41680">
              <w:rPr>
                <w:rFonts w:eastAsia="新細明體"/>
                <w:b/>
                <w:kern w:val="2"/>
                <w:sz w:val="17"/>
                <w:szCs w:val="17"/>
                <w:lang w:eastAsia="en-GB"/>
              </w:rPr>
              <w:t>Rows</w:t>
            </w:r>
          </w:p>
        </w:tc>
      </w:tr>
      <w:tr w:rsidR="00C814AC" w:rsidRPr="00280717" w14:paraId="2D3220FC" w14:textId="77777777" w:rsidTr="00AC6CAB">
        <w:trPr>
          <w:trHeight w:val="373"/>
        </w:trPr>
        <w:tc>
          <w:tcPr>
            <w:tcW w:w="568" w:type="dxa"/>
            <w:shd w:val="clear" w:color="auto" w:fill="auto"/>
          </w:tcPr>
          <w:p w14:paraId="56E4898D"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1</w:t>
            </w:r>
          </w:p>
        </w:tc>
        <w:tc>
          <w:tcPr>
            <w:tcW w:w="8505" w:type="dxa"/>
            <w:shd w:val="clear" w:color="auto" w:fill="auto"/>
          </w:tcPr>
          <w:p w14:paraId="187DCD1A" w14:textId="77777777" w:rsidR="00C814AC" w:rsidRPr="00E41680" w:rsidRDefault="00C814AC" w:rsidP="00AC6CAB">
            <w:pPr>
              <w:pStyle w:val="TableNote"/>
              <w:spacing w:before="40" w:after="40"/>
              <w:rPr>
                <w:kern w:val="2"/>
                <w:sz w:val="17"/>
                <w:szCs w:val="17"/>
              </w:rPr>
            </w:pPr>
            <w:r w:rsidRPr="00E41680">
              <w:rPr>
                <w:i/>
                <w:kern w:val="2"/>
                <w:sz w:val="17"/>
                <w:szCs w:val="17"/>
              </w:rPr>
              <w:t>Capital</w:t>
            </w:r>
            <w:r w:rsidRPr="00E41680">
              <w:rPr>
                <w:kern w:val="2"/>
                <w:sz w:val="17"/>
                <w:szCs w:val="17"/>
              </w:rPr>
              <w:t>: the sum of values in rows 2 to 3.</w:t>
            </w:r>
          </w:p>
        </w:tc>
      </w:tr>
      <w:tr w:rsidR="00C814AC" w:rsidRPr="00280717" w14:paraId="4296EE1E" w14:textId="77777777" w:rsidTr="00AC6CAB">
        <w:trPr>
          <w:trHeight w:val="373"/>
        </w:trPr>
        <w:tc>
          <w:tcPr>
            <w:tcW w:w="568" w:type="dxa"/>
            <w:shd w:val="clear" w:color="auto" w:fill="auto"/>
          </w:tcPr>
          <w:p w14:paraId="77282269"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2</w:t>
            </w:r>
          </w:p>
        </w:tc>
        <w:tc>
          <w:tcPr>
            <w:tcW w:w="8505" w:type="dxa"/>
            <w:shd w:val="clear" w:color="auto" w:fill="auto"/>
          </w:tcPr>
          <w:p w14:paraId="59BCFF31" w14:textId="4BC3B3B5" w:rsidR="00C814AC" w:rsidRPr="00E41680" w:rsidRDefault="00C814AC" w:rsidP="00AC6CAB">
            <w:pPr>
              <w:keepLines/>
              <w:widowControl w:val="0"/>
              <w:tabs>
                <w:tab w:val="left" w:pos="150"/>
                <w:tab w:val="left" w:pos="397"/>
                <w:tab w:val="left" w:pos="794"/>
                <w:tab w:val="left" w:pos="1191"/>
              </w:tabs>
              <w:spacing w:before="40" w:after="40"/>
              <w:jc w:val="both"/>
              <w:rPr>
                <w:kern w:val="2"/>
                <w:sz w:val="17"/>
                <w:szCs w:val="17"/>
              </w:rPr>
            </w:pPr>
            <w:r w:rsidRPr="00E41680">
              <w:rPr>
                <w:i/>
                <w:kern w:val="2"/>
                <w:sz w:val="17"/>
                <w:szCs w:val="17"/>
              </w:rPr>
              <w:t>Regulatory capital</w:t>
            </w:r>
            <w:r w:rsidRPr="00E41680">
              <w:rPr>
                <w:kern w:val="2"/>
                <w:sz w:val="17"/>
                <w:szCs w:val="17"/>
              </w:rPr>
              <w:t xml:space="preserve">: CET1 capital, Additional Tier 1 capital and Tier 2 capital as defined by Part 3 of the BCR before the application of any regulatory adjustments required by the BCR.  To avoid doubt, the aggregated amount of total Tier 1 capital can be reported under the time bucket of “No specified term to maturity” (i.e. column (a)). </w:t>
            </w:r>
          </w:p>
        </w:tc>
      </w:tr>
      <w:tr w:rsidR="00C814AC" w:rsidRPr="00280717" w14:paraId="4DC607BE" w14:textId="77777777" w:rsidTr="00AC6CAB">
        <w:trPr>
          <w:trHeight w:val="373"/>
        </w:trPr>
        <w:tc>
          <w:tcPr>
            <w:tcW w:w="568" w:type="dxa"/>
            <w:shd w:val="clear" w:color="auto" w:fill="auto"/>
          </w:tcPr>
          <w:p w14:paraId="3339BD48"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2a</w:t>
            </w:r>
          </w:p>
        </w:tc>
        <w:tc>
          <w:tcPr>
            <w:tcW w:w="8505" w:type="dxa"/>
            <w:shd w:val="clear" w:color="auto" w:fill="auto"/>
          </w:tcPr>
          <w:p w14:paraId="491F3877" w14:textId="77777777" w:rsidR="00C814AC" w:rsidRPr="00E41680" w:rsidRDefault="00C814AC" w:rsidP="00AC6CAB">
            <w:pPr>
              <w:keepLines/>
              <w:widowControl w:val="0"/>
              <w:tabs>
                <w:tab w:val="left" w:pos="150"/>
                <w:tab w:val="left" w:pos="397"/>
                <w:tab w:val="left" w:pos="794"/>
                <w:tab w:val="left" w:pos="1191"/>
              </w:tabs>
              <w:spacing w:before="40" w:after="40"/>
              <w:jc w:val="both"/>
              <w:rPr>
                <w:i/>
                <w:kern w:val="2"/>
                <w:sz w:val="17"/>
                <w:szCs w:val="17"/>
              </w:rPr>
            </w:pPr>
            <w:r w:rsidRPr="00E41680">
              <w:rPr>
                <w:i/>
                <w:kern w:val="2"/>
                <w:sz w:val="17"/>
                <w:szCs w:val="17"/>
              </w:rPr>
              <w:t xml:space="preserve">Minority interests not covered by row 2: </w:t>
            </w:r>
            <w:r w:rsidRPr="00E41680">
              <w:rPr>
                <w:kern w:val="2"/>
                <w:sz w:val="17"/>
                <w:szCs w:val="17"/>
              </w:rPr>
              <w:t>if there is any minority interest that has a specified term to maturity, report it under the relevant column.  Otherwise, report under the time bucket of “No specified term to maturity” (i.e. column (a)).</w:t>
            </w:r>
          </w:p>
        </w:tc>
      </w:tr>
      <w:tr w:rsidR="00C814AC" w:rsidRPr="00280717" w14:paraId="5A1640C6" w14:textId="77777777" w:rsidTr="00AC6CAB">
        <w:trPr>
          <w:trHeight w:val="373"/>
        </w:trPr>
        <w:tc>
          <w:tcPr>
            <w:tcW w:w="568" w:type="dxa"/>
            <w:shd w:val="clear" w:color="auto" w:fill="auto"/>
          </w:tcPr>
          <w:p w14:paraId="4123EE0C"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3</w:t>
            </w:r>
          </w:p>
        </w:tc>
        <w:tc>
          <w:tcPr>
            <w:tcW w:w="8505" w:type="dxa"/>
            <w:shd w:val="clear" w:color="auto" w:fill="auto"/>
          </w:tcPr>
          <w:p w14:paraId="1A701D06" w14:textId="77777777" w:rsidR="00C814AC" w:rsidRPr="00E41680" w:rsidRDefault="00C814AC" w:rsidP="00AC6CAB">
            <w:pPr>
              <w:keepLines/>
              <w:widowControl w:val="0"/>
              <w:tabs>
                <w:tab w:val="left" w:pos="150"/>
                <w:tab w:val="left" w:pos="397"/>
                <w:tab w:val="left" w:pos="794"/>
                <w:tab w:val="left" w:pos="1191"/>
              </w:tabs>
              <w:spacing w:before="40" w:after="40"/>
              <w:jc w:val="both"/>
              <w:rPr>
                <w:kern w:val="2"/>
                <w:sz w:val="17"/>
                <w:szCs w:val="17"/>
              </w:rPr>
            </w:pPr>
            <w:r w:rsidRPr="00E41680">
              <w:rPr>
                <w:i/>
                <w:kern w:val="2"/>
                <w:sz w:val="17"/>
                <w:szCs w:val="17"/>
              </w:rPr>
              <w:t>Other capital instruments</w:t>
            </w:r>
            <w:r w:rsidRPr="00E41680">
              <w:rPr>
                <w:kern w:val="2"/>
                <w:sz w:val="17"/>
                <w:szCs w:val="17"/>
              </w:rPr>
              <w:t xml:space="preserve">: total amount of any capital instruments not included in row 2 or 2a. </w:t>
            </w:r>
          </w:p>
        </w:tc>
      </w:tr>
      <w:tr w:rsidR="00C814AC" w:rsidRPr="00280717" w14:paraId="01FD1A66" w14:textId="77777777" w:rsidTr="00AC6CAB">
        <w:trPr>
          <w:trHeight w:val="373"/>
        </w:trPr>
        <w:tc>
          <w:tcPr>
            <w:tcW w:w="568" w:type="dxa"/>
            <w:shd w:val="clear" w:color="auto" w:fill="auto"/>
          </w:tcPr>
          <w:p w14:paraId="22BFE4B7"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4</w:t>
            </w:r>
          </w:p>
        </w:tc>
        <w:tc>
          <w:tcPr>
            <w:tcW w:w="8505" w:type="dxa"/>
            <w:shd w:val="clear" w:color="auto" w:fill="auto"/>
          </w:tcPr>
          <w:p w14:paraId="36B612D4" w14:textId="77777777" w:rsidR="00C814AC" w:rsidRPr="00E41680" w:rsidRDefault="00C814AC" w:rsidP="00AC6CAB">
            <w:pPr>
              <w:keepLines/>
              <w:widowControl w:val="0"/>
              <w:tabs>
                <w:tab w:val="left" w:pos="150"/>
                <w:tab w:val="left" w:pos="397"/>
                <w:tab w:val="left" w:pos="794"/>
                <w:tab w:val="left" w:pos="1191"/>
              </w:tabs>
              <w:spacing w:before="40" w:after="40"/>
              <w:jc w:val="both"/>
              <w:rPr>
                <w:kern w:val="2"/>
                <w:sz w:val="17"/>
                <w:szCs w:val="17"/>
              </w:rPr>
            </w:pPr>
            <w:r w:rsidRPr="00E41680">
              <w:rPr>
                <w:i/>
                <w:kern w:val="2"/>
                <w:sz w:val="17"/>
                <w:szCs w:val="17"/>
              </w:rPr>
              <w:t>Retail deposits and small business funding</w:t>
            </w:r>
            <w:r w:rsidRPr="00E41680">
              <w:rPr>
                <w:kern w:val="2"/>
                <w:sz w:val="17"/>
                <w:szCs w:val="17"/>
              </w:rPr>
              <w:t>: as defined in BLR rule 39, which are equal to the sum of values in rows 5 and 6.</w:t>
            </w:r>
          </w:p>
        </w:tc>
      </w:tr>
      <w:tr w:rsidR="00C814AC" w:rsidRPr="00280717" w14:paraId="1C02BFC0" w14:textId="77777777" w:rsidTr="00AC6CAB">
        <w:trPr>
          <w:trHeight w:val="373"/>
        </w:trPr>
        <w:tc>
          <w:tcPr>
            <w:tcW w:w="568" w:type="dxa"/>
            <w:shd w:val="clear" w:color="auto" w:fill="auto"/>
          </w:tcPr>
          <w:p w14:paraId="65EA6430"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5</w:t>
            </w:r>
          </w:p>
        </w:tc>
        <w:tc>
          <w:tcPr>
            <w:tcW w:w="8505" w:type="dxa"/>
            <w:shd w:val="clear" w:color="auto" w:fill="auto"/>
          </w:tcPr>
          <w:p w14:paraId="6C127AED" w14:textId="77777777" w:rsidR="00C814AC" w:rsidRPr="00E41680" w:rsidRDefault="00C814AC" w:rsidP="00AC6CAB">
            <w:pPr>
              <w:keepLines/>
              <w:widowControl w:val="0"/>
              <w:tabs>
                <w:tab w:val="left" w:pos="150"/>
                <w:tab w:val="left" w:pos="397"/>
                <w:tab w:val="left" w:pos="794"/>
                <w:tab w:val="left" w:pos="1191"/>
              </w:tabs>
              <w:spacing w:before="40" w:after="40"/>
              <w:jc w:val="both"/>
              <w:rPr>
                <w:kern w:val="2"/>
                <w:sz w:val="17"/>
                <w:szCs w:val="17"/>
              </w:rPr>
            </w:pPr>
            <w:r w:rsidRPr="00E41680">
              <w:rPr>
                <w:i/>
                <w:kern w:val="2"/>
                <w:sz w:val="17"/>
                <w:szCs w:val="17"/>
              </w:rPr>
              <w:t>Stable deposits</w:t>
            </w:r>
            <w:r w:rsidRPr="00E41680">
              <w:rPr>
                <w:kern w:val="2"/>
                <w:sz w:val="17"/>
                <w:szCs w:val="17"/>
              </w:rPr>
              <w:t>: they comprise stable retail deposits and stable small business funding, as defined in the BLR.</w:t>
            </w:r>
          </w:p>
        </w:tc>
      </w:tr>
      <w:tr w:rsidR="00C814AC" w:rsidRPr="00280717" w14:paraId="52F119DA" w14:textId="77777777" w:rsidTr="00AC6CAB">
        <w:trPr>
          <w:trHeight w:val="373"/>
        </w:trPr>
        <w:tc>
          <w:tcPr>
            <w:tcW w:w="568" w:type="dxa"/>
            <w:shd w:val="clear" w:color="auto" w:fill="auto"/>
          </w:tcPr>
          <w:p w14:paraId="3082E0B9"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6</w:t>
            </w:r>
          </w:p>
        </w:tc>
        <w:tc>
          <w:tcPr>
            <w:tcW w:w="8505" w:type="dxa"/>
            <w:shd w:val="clear" w:color="auto" w:fill="auto"/>
          </w:tcPr>
          <w:p w14:paraId="27F3E6FC" w14:textId="77777777" w:rsidR="00C814AC" w:rsidRPr="00E41680" w:rsidRDefault="00C814AC" w:rsidP="00AC6CAB">
            <w:pPr>
              <w:keepLines/>
              <w:widowControl w:val="0"/>
              <w:tabs>
                <w:tab w:val="left" w:pos="150"/>
                <w:tab w:val="left" w:pos="397"/>
                <w:tab w:val="left" w:pos="794"/>
                <w:tab w:val="left" w:pos="1191"/>
              </w:tabs>
              <w:spacing w:before="40" w:after="40"/>
              <w:jc w:val="both"/>
              <w:rPr>
                <w:kern w:val="2"/>
                <w:sz w:val="17"/>
                <w:szCs w:val="17"/>
              </w:rPr>
            </w:pPr>
            <w:r w:rsidRPr="00E41680">
              <w:rPr>
                <w:i/>
                <w:kern w:val="2"/>
                <w:sz w:val="17"/>
                <w:szCs w:val="17"/>
              </w:rPr>
              <w:t>Less stable deposits</w:t>
            </w:r>
            <w:r w:rsidRPr="00E41680">
              <w:rPr>
                <w:kern w:val="2"/>
                <w:sz w:val="17"/>
                <w:szCs w:val="17"/>
              </w:rPr>
              <w:t>: they comprise retail deposits and small business funding as defined in the BLR but not already covered by row 5 above.</w:t>
            </w:r>
          </w:p>
        </w:tc>
      </w:tr>
      <w:tr w:rsidR="00C814AC" w:rsidRPr="00280717" w14:paraId="41A01D16" w14:textId="77777777" w:rsidTr="00AC6CAB">
        <w:trPr>
          <w:trHeight w:val="373"/>
        </w:trPr>
        <w:tc>
          <w:tcPr>
            <w:tcW w:w="568" w:type="dxa"/>
            <w:shd w:val="clear" w:color="auto" w:fill="auto"/>
          </w:tcPr>
          <w:p w14:paraId="0679A4E7"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7</w:t>
            </w:r>
          </w:p>
        </w:tc>
        <w:tc>
          <w:tcPr>
            <w:tcW w:w="8505" w:type="dxa"/>
            <w:shd w:val="clear" w:color="auto" w:fill="auto"/>
          </w:tcPr>
          <w:p w14:paraId="03B7EA31" w14:textId="77777777" w:rsidR="00C814AC" w:rsidRPr="00E41680" w:rsidRDefault="00C814AC" w:rsidP="00AC6CAB">
            <w:pPr>
              <w:keepLines/>
              <w:widowControl w:val="0"/>
              <w:tabs>
                <w:tab w:val="left" w:pos="150"/>
                <w:tab w:val="left" w:pos="397"/>
                <w:tab w:val="left" w:pos="794"/>
                <w:tab w:val="left" w:pos="1191"/>
              </w:tabs>
              <w:spacing w:before="40" w:after="40"/>
              <w:jc w:val="both"/>
              <w:rPr>
                <w:kern w:val="2"/>
                <w:sz w:val="17"/>
                <w:szCs w:val="17"/>
              </w:rPr>
            </w:pPr>
            <w:r w:rsidRPr="00E41680">
              <w:rPr>
                <w:i/>
                <w:kern w:val="2"/>
                <w:sz w:val="17"/>
                <w:szCs w:val="17"/>
              </w:rPr>
              <w:t>Wholesale funding</w:t>
            </w:r>
            <w:r w:rsidRPr="00E41680">
              <w:rPr>
                <w:kern w:val="2"/>
                <w:sz w:val="17"/>
                <w:szCs w:val="17"/>
              </w:rPr>
              <w:t>: the sum of values in rows 8 and 9.</w:t>
            </w:r>
          </w:p>
        </w:tc>
      </w:tr>
      <w:tr w:rsidR="00C814AC" w:rsidRPr="00280717" w14:paraId="261810C6" w14:textId="77777777" w:rsidTr="00AC6CAB">
        <w:trPr>
          <w:trHeight w:val="373"/>
        </w:trPr>
        <w:tc>
          <w:tcPr>
            <w:tcW w:w="568" w:type="dxa"/>
            <w:shd w:val="clear" w:color="auto" w:fill="auto"/>
          </w:tcPr>
          <w:p w14:paraId="3688B32E"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8</w:t>
            </w:r>
          </w:p>
        </w:tc>
        <w:tc>
          <w:tcPr>
            <w:tcW w:w="8505" w:type="dxa"/>
            <w:shd w:val="clear" w:color="auto" w:fill="auto"/>
          </w:tcPr>
          <w:p w14:paraId="354EAB8D" w14:textId="77777777" w:rsidR="00C814AC" w:rsidRPr="00E41680" w:rsidRDefault="00C814AC" w:rsidP="00AC6CAB">
            <w:pPr>
              <w:keepLines/>
              <w:widowControl w:val="0"/>
              <w:tabs>
                <w:tab w:val="left" w:pos="150"/>
                <w:tab w:val="left" w:pos="397"/>
                <w:tab w:val="left" w:pos="794"/>
                <w:tab w:val="left" w:pos="1191"/>
              </w:tabs>
              <w:spacing w:before="40" w:after="40"/>
              <w:jc w:val="both"/>
              <w:rPr>
                <w:kern w:val="2"/>
                <w:sz w:val="17"/>
                <w:szCs w:val="17"/>
              </w:rPr>
            </w:pPr>
            <w:r w:rsidRPr="00E41680">
              <w:rPr>
                <w:i/>
                <w:kern w:val="2"/>
                <w:sz w:val="17"/>
                <w:szCs w:val="17"/>
              </w:rPr>
              <w:t>Operational deposits</w:t>
            </w:r>
            <w:r w:rsidRPr="00E41680">
              <w:rPr>
                <w:kern w:val="2"/>
                <w:sz w:val="17"/>
                <w:szCs w:val="17"/>
              </w:rPr>
              <w:t>: as defined in BLR rule 39.</w:t>
            </w:r>
          </w:p>
        </w:tc>
      </w:tr>
      <w:tr w:rsidR="00C814AC" w:rsidRPr="00280717" w14:paraId="0B3B64C6" w14:textId="77777777" w:rsidTr="00AC6CAB">
        <w:trPr>
          <w:trHeight w:val="373"/>
        </w:trPr>
        <w:tc>
          <w:tcPr>
            <w:tcW w:w="568" w:type="dxa"/>
            <w:shd w:val="clear" w:color="auto" w:fill="auto"/>
          </w:tcPr>
          <w:p w14:paraId="04483986"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9</w:t>
            </w:r>
          </w:p>
        </w:tc>
        <w:tc>
          <w:tcPr>
            <w:tcW w:w="8505" w:type="dxa"/>
            <w:shd w:val="clear" w:color="auto" w:fill="auto"/>
          </w:tcPr>
          <w:p w14:paraId="61D388FE" w14:textId="77777777" w:rsidR="00C814AC" w:rsidRPr="00E41680" w:rsidRDefault="00C814AC" w:rsidP="00AC6CAB">
            <w:pPr>
              <w:keepLines/>
              <w:widowControl w:val="0"/>
              <w:tabs>
                <w:tab w:val="left" w:pos="150"/>
                <w:tab w:val="left" w:pos="397"/>
                <w:tab w:val="left" w:pos="794"/>
                <w:tab w:val="left" w:pos="1191"/>
              </w:tabs>
              <w:spacing w:before="40" w:after="40"/>
              <w:jc w:val="both"/>
              <w:rPr>
                <w:kern w:val="2"/>
                <w:sz w:val="17"/>
                <w:szCs w:val="17"/>
              </w:rPr>
            </w:pPr>
            <w:r w:rsidRPr="00E41680">
              <w:rPr>
                <w:i/>
                <w:kern w:val="2"/>
                <w:sz w:val="17"/>
                <w:szCs w:val="17"/>
              </w:rPr>
              <w:t>Other wholesale funding</w:t>
            </w:r>
            <w:r w:rsidRPr="00E41680">
              <w:rPr>
                <w:kern w:val="2"/>
                <w:sz w:val="17"/>
                <w:szCs w:val="17"/>
              </w:rPr>
              <w:t>: it is funding (other than operational deposits) provided to the AI by non-financial corporates (other than small business customers), sovereigns, public sector entities (“PSEs”), multilateral development banks, national development banks, the Monetary Authority (“MA”) for the account of the Exchange Fund (“EF”), central banks, financial institutions and other entities.</w:t>
            </w:r>
          </w:p>
        </w:tc>
      </w:tr>
      <w:tr w:rsidR="00C814AC" w:rsidRPr="00280717" w14:paraId="6D7A95B4" w14:textId="77777777" w:rsidTr="00AC6CAB">
        <w:trPr>
          <w:trHeight w:val="373"/>
        </w:trPr>
        <w:tc>
          <w:tcPr>
            <w:tcW w:w="568" w:type="dxa"/>
            <w:shd w:val="clear" w:color="auto" w:fill="auto"/>
          </w:tcPr>
          <w:p w14:paraId="0095B402"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10</w:t>
            </w:r>
          </w:p>
        </w:tc>
        <w:tc>
          <w:tcPr>
            <w:tcW w:w="8505" w:type="dxa"/>
            <w:shd w:val="clear" w:color="auto" w:fill="auto"/>
          </w:tcPr>
          <w:p w14:paraId="0A276D6C" w14:textId="77777777" w:rsidR="00C814AC" w:rsidRPr="00E41680" w:rsidRDefault="00C814AC" w:rsidP="00AC6CAB">
            <w:pPr>
              <w:keepLines/>
              <w:widowControl w:val="0"/>
              <w:tabs>
                <w:tab w:val="left" w:pos="150"/>
                <w:tab w:val="left" w:pos="397"/>
                <w:tab w:val="left" w:pos="794"/>
                <w:tab w:val="left" w:pos="1191"/>
              </w:tabs>
              <w:spacing w:before="40" w:after="40"/>
              <w:jc w:val="both"/>
              <w:rPr>
                <w:kern w:val="2"/>
                <w:sz w:val="17"/>
                <w:szCs w:val="17"/>
              </w:rPr>
            </w:pPr>
            <w:r w:rsidRPr="00E41680">
              <w:rPr>
                <w:i/>
                <w:kern w:val="2"/>
                <w:sz w:val="17"/>
                <w:szCs w:val="17"/>
              </w:rPr>
              <w:t>Liabilities with matching interdependent assets</w:t>
            </w:r>
            <w:r w:rsidRPr="00E41680">
              <w:rPr>
                <w:kern w:val="2"/>
                <w:sz w:val="17"/>
                <w:szCs w:val="17"/>
              </w:rPr>
              <w:t>: any liabilities that meet the descriptions in BLR rule 70 and match with interdependent assets should be included in this row and excluded from all other ASF items.  For note-issuing banks, this row also includes the amount of legal tender notes in circulation issued by them, as follows:</w:t>
            </w:r>
          </w:p>
          <w:p w14:paraId="259D80A9" w14:textId="77777777" w:rsidR="00C814AC" w:rsidRPr="00E41680" w:rsidRDefault="00C814AC" w:rsidP="008D652E">
            <w:pPr>
              <w:pStyle w:val="ListParagraph"/>
              <w:keepLines/>
              <w:widowControl w:val="0"/>
              <w:numPr>
                <w:ilvl w:val="0"/>
                <w:numId w:val="60"/>
              </w:numPr>
              <w:tabs>
                <w:tab w:val="left" w:pos="459"/>
              </w:tabs>
              <w:spacing w:before="40" w:after="40"/>
              <w:ind w:leftChars="0"/>
              <w:jc w:val="both"/>
              <w:rPr>
                <w:sz w:val="17"/>
                <w:szCs w:val="17"/>
              </w:rPr>
            </w:pPr>
            <w:r w:rsidRPr="00E41680">
              <w:rPr>
                <w:sz w:val="17"/>
                <w:szCs w:val="17"/>
              </w:rPr>
              <w:t>for unweighted value, the legal tender notes in circulation should be included in column (a) for ‘no specified term to maturity’;</w:t>
            </w:r>
          </w:p>
          <w:p w14:paraId="265D89C2" w14:textId="77777777" w:rsidR="00C814AC" w:rsidRPr="00E41680" w:rsidRDefault="00C814AC" w:rsidP="008D652E">
            <w:pPr>
              <w:pStyle w:val="ListParagraph"/>
              <w:keepLines/>
              <w:widowControl w:val="0"/>
              <w:numPr>
                <w:ilvl w:val="0"/>
                <w:numId w:val="60"/>
              </w:numPr>
              <w:tabs>
                <w:tab w:val="left" w:pos="459"/>
              </w:tabs>
              <w:spacing w:before="40" w:after="40"/>
              <w:ind w:leftChars="0"/>
              <w:jc w:val="both"/>
              <w:rPr>
                <w:kern w:val="2"/>
                <w:sz w:val="17"/>
                <w:szCs w:val="17"/>
              </w:rPr>
            </w:pPr>
            <w:r w:rsidRPr="00E41680">
              <w:rPr>
                <w:sz w:val="17"/>
                <w:szCs w:val="17"/>
              </w:rPr>
              <w:t>for weighted value, a note-issuing bank may choose either to (a) treat the amount for legal tender notes as $0; or (b) apply BLR rules 65 and 68 to determine such weighted amounts in accordance with BLR rule 69(2).</w:t>
            </w:r>
          </w:p>
        </w:tc>
      </w:tr>
      <w:tr w:rsidR="00C814AC" w:rsidRPr="00280717" w14:paraId="4684F766" w14:textId="77777777" w:rsidTr="00AC6CAB">
        <w:trPr>
          <w:trHeight w:val="373"/>
        </w:trPr>
        <w:tc>
          <w:tcPr>
            <w:tcW w:w="568" w:type="dxa"/>
            <w:shd w:val="clear" w:color="auto" w:fill="auto"/>
          </w:tcPr>
          <w:p w14:paraId="12CE01C2"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11</w:t>
            </w:r>
          </w:p>
        </w:tc>
        <w:tc>
          <w:tcPr>
            <w:tcW w:w="8505" w:type="dxa"/>
            <w:shd w:val="clear" w:color="auto" w:fill="auto"/>
          </w:tcPr>
          <w:p w14:paraId="042625CE" w14:textId="77777777" w:rsidR="00C814AC" w:rsidRPr="00E41680" w:rsidRDefault="00C814AC" w:rsidP="00AC6CAB">
            <w:pPr>
              <w:keepLines/>
              <w:widowControl w:val="0"/>
              <w:tabs>
                <w:tab w:val="left" w:pos="150"/>
                <w:tab w:val="left" w:pos="397"/>
                <w:tab w:val="left" w:pos="794"/>
                <w:tab w:val="left" w:pos="1191"/>
              </w:tabs>
              <w:spacing w:before="40" w:after="40"/>
              <w:jc w:val="both"/>
              <w:rPr>
                <w:kern w:val="2"/>
                <w:sz w:val="17"/>
                <w:szCs w:val="17"/>
              </w:rPr>
            </w:pPr>
            <w:r w:rsidRPr="00E41680">
              <w:rPr>
                <w:i/>
                <w:kern w:val="2"/>
                <w:sz w:val="17"/>
                <w:szCs w:val="17"/>
              </w:rPr>
              <w:t>Other liabilities</w:t>
            </w:r>
            <w:r w:rsidRPr="00E41680">
              <w:rPr>
                <w:kern w:val="2"/>
                <w:sz w:val="17"/>
                <w:szCs w:val="17"/>
              </w:rPr>
              <w:t>: the sum of values in rows 12 and 13.</w:t>
            </w:r>
          </w:p>
        </w:tc>
      </w:tr>
      <w:tr w:rsidR="00C814AC" w:rsidRPr="00280717" w14:paraId="0FE6FC13" w14:textId="77777777" w:rsidTr="00AC6CAB">
        <w:trPr>
          <w:trHeight w:val="373"/>
        </w:trPr>
        <w:tc>
          <w:tcPr>
            <w:tcW w:w="568" w:type="dxa"/>
            <w:shd w:val="clear" w:color="auto" w:fill="auto"/>
          </w:tcPr>
          <w:p w14:paraId="7613DA4B"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12</w:t>
            </w:r>
          </w:p>
        </w:tc>
        <w:tc>
          <w:tcPr>
            <w:tcW w:w="8505" w:type="dxa"/>
            <w:shd w:val="clear" w:color="auto" w:fill="auto"/>
          </w:tcPr>
          <w:p w14:paraId="72AA7211" w14:textId="77777777" w:rsidR="00C814AC" w:rsidRPr="00E41680" w:rsidRDefault="00C814AC" w:rsidP="00AC6CAB">
            <w:pPr>
              <w:keepLines/>
              <w:widowControl w:val="0"/>
              <w:tabs>
                <w:tab w:val="left" w:pos="150"/>
                <w:tab w:val="left" w:pos="397"/>
                <w:tab w:val="left" w:pos="794"/>
                <w:tab w:val="left" w:pos="1191"/>
              </w:tabs>
              <w:spacing w:before="40" w:after="40"/>
              <w:jc w:val="both"/>
              <w:rPr>
                <w:kern w:val="2"/>
                <w:sz w:val="17"/>
                <w:szCs w:val="17"/>
              </w:rPr>
            </w:pPr>
            <w:r w:rsidRPr="00E41680">
              <w:rPr>
                <w:i/>
                <w:kern w:val="2"/>
                <w:sz w:val="17"/>
                <w:szCs w:val="17"/>
              </w:rPr>
              <w:t>Net derivative liabilities</w:t>
            </w:r>
            <w:r w:rsidRPr="00E41680">
              <w:rPr>
                <w:kern w:val="2"/>
                <w:sz w:val="17"/>
                <w:szCs w:val="17"/>
              </w:rPr>
              <w:t>: in the unweighted cell, report the amount of net derivatives liabilities as calculated according to Part 9 of the BLR (i.e. the net amount of total derivative liabilities (after adjustments) in excess of total derivative assets (after adjustments)).  The cell for weighted amount under net derivative liabilities is darkened given that the value will be zero after the 0% ASF is applied.</w:t>
            </w:r>
          </w:p>
        </w:tc>
      </w:tr>
      <w:tr w:rsidR="00C814AC" w:rsidRPr="00280717" w14:paraId="1D0D0CCC" w14:textId="77777777" w:rsidTr="00AC6CAB">
        <w:trPr>
          <w:trHeight w:val="373"/>
        </w:trPr>
        <w:tc>
          <w:tcPr>
            <w:tcW w:w="568" w:type="dxa"/>
            <w:shd w:val="clear" w:color="auto" w:fill="auto"/>
          </w:tcPr>
          <w:p w14:paraId="2B612F28"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lastRenderedPageBreak/>
              <w:t>13</w:t>
            </w:r>
          </w:p>
        </w:tc>
        <w:tc>
          <w:tcPr>
            <w:tcW w:w="8505" w:type="dxa"/>
            <w:shd w:val="clear" w:color="auto" w:fill="auto"/>
          </w:tcPr>
          <w:p w14:paraId="4A5AEB98" w14:textId="77777777" w:rsidR="00C814AC" w:rsidRPr="00E41680" w:rsidRDefault="00C814AC" w:rsidP="00AC6CAB">
            <w:pPr>
              <w:keepLines/>
              <w:widowControl w:val="0"/>
              <w:spacing w:before="40" w:after="40"/>
              <w:jc w:val="both"/>
              <w:rPr>
                <w:kern w:val="2"/>
                <w:sz w:val="17"/>
                <w:szCs w:val="17"/>
              </w:rPr>
            </w:pPr>
            <w:r w:rsidRPr="00E41680">
              <w:rPr>
                <w:i/>
                <w:kern w:val="2"/>
                <w:sz w:val="17"/>
                <w:szCs w:val="17"/>
                <w:lang w:eastAsia="it-IT"/>
              </w:rPr>
              <w:t>All other funding and liabilities not included in the above categories</w:t>
            </w:r>
            <w:r w:rsidRPr="00E41680">
              <w:rPr>
                <w:kern w:val="2"/>
                <w:sz w:val="17"/>
                <w:szCs w:val="17"/>
              </w:rPr>
              <w:t>: report in this row all other funding and liabilities that are counted towards ASF under the BLR but not included in rows 1 to 12 above (e.g. debt securities or prescribed instruments issued, deferred tax liabilities, trade-date payables, etc).</w:t>
            </w:r>
          </w:p>
        </w:tc>
      </w:tr>
      <w:tr w:rsidR="00C814AC" w:rsidRPr="00280717" w14:paraId="0084365E" w14:textId="77777777" w:rsidTr="00AC6CAB">
        <w:trPr>
          <w:trHeight w:val="373"/>
        </w:trPr>
        <w:tc>
          <w:tcPr>
            <w:tcW w:w="568" w:type="dxa"/>
            <w:shd w:val="clear" w:color="auto" w:fill="auto"/>
          </w:tcPr>
          <w:p w14:paraId="18B0BB23"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14</w:t>
            </w:r>
          </w:p>
        </w:tc>
        <w:tc>
          <w:tcPr>
            <w:tcW w:w="8505" w:type="dxa"/>
            <w:shd w:val="clear" w:color="auto" w:fill="auto"/>
          </w:tcPr>
          <w:p w14:paraId="4F07FD10" w14:textId="77777777" w:rsidR="00C814AC" w:rsidRPr="00E41680" w:rsidRDefault="00C814AC" w:rsidP="00AC6CAB">
            <w:pPr>
              <w:keepLines/>
              <w:widowControl w:val="0"/>
              <w:tabs>
                <w:tab w:val="left" w:pos="150"/>
                <w:tab w:val="left" w:pos="397"/>
                <w:tab w:val="left" w:pos="794"/>
                <w:tab w:val="left" w:pos="1191"/>
              </w:tabs>
              <w:spacing w:before="40" w:after="40"/>
              <w:jc w:val="both"/>
              <w:rPr>
                <w:kern w:val="2"/>
                <w:sz w:val="17"/>
                <w:szCs w:val="17"/>
              </w:rPr>
            </w:pPr>
            <w:r w:rsidRPr="00E41680">
              <w:rPr>
                <w:i/>
                <w:kern w:val="2"/>
                <w:sz w:val="17"/>
                <w:szCs w:val="17"/>
              </w:rPr>
              <w:t>Total ASF</w:t>
            </w:r>
            <w:r w:rsidRPr="00E41680">
              <w:rPr>
                <w:kern w:val="2"/>
                <w:sz w:val="17"/>
                <w:szCs w:val="17"/>
              </w:rPr>
              <w:t>: the sum of all weighted amounts in rows 1, 4, 7, 10 and 11.</w:t>
            </w:r>
          </w:p>
        </w:tc>
      </w:tr>
      <w:tr w:rsidR="00C814AC" w:rsidRPr="00280717" w14:paraId="49B6DF82" w14:textId="77777777" w:rsidTr="00AC6CAB">
        <w:trPr>
          <w:trHeight w:val="373"/>
        </w:trPr>
        <w:tc>
          <w:tcPr>
            <w:tcW w:w="568" w:type="dxa"/>
            <w:shd w:val="clear" w:color="auto" w:fill="auto"/>
          </w:tcPr>
          <w:p w14:paraId="6B2668AC" w14:textId="77777777" w:rsidR="00C814AC" w:rsidRPr="00E41680" w:rsidRDefault="00C814AC" w:rsidP="00AC6CAB">
            <w:pPr>
              <w:keepLines/>
              <w:widowControl w:val="0"/>
              <w:tabs>
                <w:tab w:val="left" w:pos="150"/>
                <w:tab w:val="left" w:pos="794"/>
                <w:tab w:val="left" w:pos="1191"/>
              </w:tabs>
              <w:spacing w:before="40" w:after="40"/>
              <w:ind w:rightChars="-54" w:right="-108"/>
              <w:rPr>
                <w:rFonts w:cs="Segoe UI"/>
                <w:kern w:val="2"/>
                <w:sz w:val="17"/>
                <w:szCs w:val="17"/>
                <w:lang w:eastAsia="en-GB"/>
              </w:rPr>
            </w:pPr>
            <w:r w:rsidRPr="00E41680">
              <w:rPr>
                <w:rFonts w:cs="Segoe UI"/>
                <w:kern w:val="2"/>
                <w:sz w:val="17"/>
                <w:szCs w:val="17"/>
                <w:lang w:eastAsia="en-GB"/>
              </w:rPr>
              <w:t>15 to 31</w:t>
            </w:r>
          </w:p>
        </w:tc>
        <w:tc>
          <w:tcPr>
            <w:tcW w:w="8505" w:type="dxa"/>
            <w:shd w:val="clear" w:color="auto" w:fill="auto"/>
          </w:tcPr>
          <w:p w14:paraId="3B8A74FD" w14:textId="77777777" w:rsidR="00C814AC" w:rsidRPr="00E41680" w:rsidRDefault="00C814AC" w:rsidP="00AC6CAB">
            <w:pPr>
              <w:keepLines/>
              <w:widowControl w:val="0"/>
              <w:tabs>
                <w:tab w:val="left" w:pos="150"/>
                <w:tab w:val="left" w:pos="397"/>
                <w:tab w:val="left" w:pos="794"/>
                <w:tab w:val="left" w:pos="1191"/>
              </w:tabs>
              <w:spacing w:before="40" w:after="40"/>
              <w:jc w:val="both"/>
              <w:rPr>
                <w:i/>
                <w:kern w:val="2"/>
                <w:sz w:val="17"/>
                <w:szCs w:val="17"/>
              </w:rPr>
            </w:pPr>
            <w:r w:rsidRPr="00E41680">
              <w:rPr>
                <w:kern w:val="2"/>
                <w:sz w:val="17"/>
                <w:szCs w:val="17"/>
              </w:rPr>
              <w:t>For any assets that are not free from encumbrances (as defined in Part 9 of the BLR), report the unweighted value in columns (a) to (d) taking into account their remaining terms to maturity and periods of encumbrance (whichever is subject to a higher RSF factor), and the weighted amount (i.e. after the applicable RSF factor for encumbered assets) in column (e).</w:t>
            </w:r>
          </w:p>
        </w:tc>
      </w:tr>
      <w:tr w:rsidR="00C814AC" w:rsidRPr="00280717" w14:paraId="7ED11900" w14:textId="77777777" w:rsidTr="00AC6CAB">
        <w:trPr>
          <w:trHeight w:val="373"/>
        </w:trPr>
        <w:tc>
          <w:tcPr>
            <w:tcW w:w="568" w:type="dxa"/>
            <w:shd w:val="clear" w:color="auto" w:fill="auto"/>
          </w:tcPr>
          <w:p w14:paraId="07A950A7"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15</w:t>
            </w:r>
          </w:p>
        </w:tc>
        <w:tc>
          <w:tcPr>
            <w:tcW w:w="8505" w:type="dxa"/>
            <w:shd w:val="clear" w:color="auto" w:fill="auto"/>
          </w:tcPr>
          <w:p w14:paraId="0587C2A8" w14:textId="77777777" w:rsidR="00C814AC" w:rsidRPr="00E41680" w:rsidRDefault="00C814AC" w:rsidP="00AC6CAB">
            <w:pPr>
              <w:keepLines/>
              <w:widowControl w:val="0"/>
              <w:tabs>
                <w:tab w:val="left" w:pos="150"/>
                <w:tab w:val="left" w:pos="397"/>
                <w:tab w:val="left" w:pos="794"/>
                <w:tab w:val="left" w:pos="1191"/>
              </w:tabs>
              <w:spacing w:before="40" w:after="40"/>
              <w:jc w:val="both"/>
              <w:rPr>
                <w:rFonts w:cs="Segoe UI"/>
                <w:kern w:val="2"/>
                <w:sz w:val="17"/>
                <w:szCs w:val="17"/>
              </w:rPr>
            </w:pPr>
            <w:r w:rsidRPr="00E41680">
              <w:rPr>
                <w:rFonts w:cs="Segoe UI"/>
                <w:i/>
                <w:kern w:val="2"/>
                <w:sz w:val="17"/>
                <w:szCs w:val="17"/>
              </w:rPr>
              <w:t>Total HQLA for NSFR purposes</w:t>
            </w:r>
            <w:r w:rsidRPr="00E41680">
              <w:rPr>
                <w:rFonts w:cs="Segoe UI"/>
                <w:kern w:val="2"/>
                <w:sz w:val="17"/>
                <w:szCs w:val="17"/>
              </w:rPr>
              <w:t>: being unencumbered high quality liquid assets without regard to LCR operational requirements and caps on Level 2 and Level 2B assets that might otherwise limit the ability of some HQLA to be included as eligible in calculation of the LCR.  Under the BLR, these items include:</w:t>
            </w:r>
          </w:p>
          <w:p w14:paraId="44434C0C" w14:textId="77777777" w:rsidR="00C814AC" w:rsidRPr="00E41680" w:rsidRDefault="00C814AC" w:rsidP="008D652E">
            <w:pPr>
              <w:pStyle w:val="ListParagraph"/>
              <w:keepLines/>
              <w:widowControl w:val="0"/>
              <w:numPr>
                <w:ilvl w:val="0"/>
                <w:numId w:val="33"/>
              </w:numPr>
              <w:tabs>
                <w:tab w:val="left" w:pos="150"/>
                <w:tab w:val="left" w:pos="459"/>
                <w:tab w:val="left" w:pos="1191"/>
              </w:tabs>
              <w:spacing w:before="40" w:after="40"/>
              <w:ind w:leftChars="0" w:left="459" w:hanging="459"/>
              <w:jc w:val="both"/>
              <w:rPr>
                <w:rFonts w:cs="Segoe UI"/>
                <w:kern w:val="2"/>
                <w:sz w:val="17"/>
                <w:szCs w:val="17"/>
              </w:rPr>
            </w:pPr>
            <w:r w:rsidRPr="00E41680">
              <w:rPr>
                <w:rFonts w:cs="Segoe UI"/>
                <w:kern w:val="2"/>
                <w:sz w:val="17"/>
                <w:szCs w:val="17"/>
              </w:rPr>
              <w:tab/>
              <w:t xml:space="preserve">currency notes and coins; </w:t>
            </w:r>
          </w:p>
          <w:p w14:paraId="64C937DB" w14:textId="77777777" w:rsidR="00C814AC" w:rsidRPr="00E41680" w:rsidRDefault="00C814AC" w:rsidP="008D652E">
            <w:pPr>
              <w:pStyle w:val="ListParagraph"/>
              <w:keepLines/>
              <w:widowControl w:val="0"/>
              <w:numPr>
                <w:ilvl w:val="0"/>
                <w:numId w:val="33"/>
              </w:numPr>
              <w:tabs>
                <w:tab w:val="left" w:pos="150"/>
                <w:tab w:val="left" w:pos="459"/>
                <w:tab w:val="left" w:pos="1191"/>
              </w:tabs>
              <w:spacing w:before="40" w:after="40"/>
              <w:ind w:leftChars="0" w:left="459" w:hanging="459"/>
              <w:jc w:val="both"/>
              <w:rPr>
                <w:rFonts w:cs="Segoe UI"/>
                <w:kern w:val="2"/>
                <w:sz w:val="17"/>
                <w:szCs w:val="17"/>
              </w:rPr>
            </w:pPr>
            <w:r w:rsidRPr="00E41680">
              <w:rPr>
                <w:rFonts w:cs="Segoe UI"/>
                <w:kern w:val="2"/>
                <w:sz w:val="17"/>
                <w:szCs w:val="17"/>
              </w:rPr>
              <w:t>claims on the MA for the account of the EF or central banks that are repayable on demand or readily monetizable (including funds placed with the AI's HKD CHATS Account, or with central banks to meet reserve requirements, EF debt securities and central bank debt securities that qualify for HQLA); and</w:t>
            </w:r>
          </w:p>
          <w:p w14:paraId="1670C20D" w14:textId="77777777" w:rsidR="00C814AC" w:rsidRPr="00E41680" w:rsidRDefault="00C814AC" w:rsidP="008D652E">
            <w:pPr>
              <w:pStyle w:val="ListParagraph"/>
              <w:keepLines/>
              <w:widowControl w:val="0"/>
              <w:numPr>
                <w:ilvl w:val="0"/>
                <w:numId w:val="33"/>
              </w:numPr>
              <w:tabs>
                <w:tab w:val="left" w:pos="150"/>
                <w:tab w:val="left" w:pos="459"/>
                <w:tab w:val="left" w:pos="1191"/>
              </w:tabs>
              <w:spacing w:before="40" w:after="40"/>
              <w:ind w:leftChars="0" w:left="459" w:hanging="459"/>
              <w:jc w:val="both"/>
              <w:rPr>
                <w:rFonts w:cs="Segoe UI"/>
                <w:kern w:val="2"/>
                <w:sz w:val="17"/>
                <w:szCs w:val="17"/>
              </w:rPr>
            </w:pPr>
            <w:r w:rsidRPr="00E41680">
              <w:rPr>
                <w:rFonts w:cs="Segoe UI"/>
                <w:kern w:val="2"/>
                <w:sz w:val="17"/>
                <w:szCs w:val="17"/>
              </w:rPr>
              <w:t>other level 1 assets, level 2A assets and level 2B assets held by the AI.</w:t>
            </w:r>
          </w:p>
        </w:tc>
      </w:tr>
      <w:tr w:rsidR="00C814AC" w:rsidRPr="00280717" w14:paraId="62DB60DF" w14:textId="77777777" w:rsidTr="00AC6CAB">
        <w:trPr>
          <w:trHeight w:val="373"/>
        </w:trPr>
        <w:tc>
          <w:tcPr>
            <w:tcW w:w="568" w:type="dxa"/>
            <w:shd w:val="clear" w:color="auto" w:fill="auto"/>
          </w:tcPr>
          <w:p w14:paraId="36B9229E"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16</w:t>
            </w:r>
          </w:p>
        </w:tc>
        <w:tc>
          <w:tcPr>
            <w:tcW w:w="8505" w:type="dxa"/>
            <w:shd w:val="clear" w:color="auto" w:fill="auto"/>
          </w:tcPr>
          <w:p w14:paraId="7771C68F" w14:textId="04996933" w:rsidR="00C814AC" w:rsidRPr="00E41680" w:rsidRDefault="00C814AC" w:rsidP="00AC6CAB">
            <w:pPr>
              <w:keepLines/>
              <w:widowControl w:val="0"/>
              <w:tabs>
                <w:tab w:val="left" w:pos="150"/>
                <w:tab w:val="left" w:pos="397"/>
                <w:tab w:val="left" w:pos="794"/>
                <w:tab w:val="left" w:pos="1191"/>
              </w:tabs>
              <w:spacing w:before="40" w:after="40"/>
              <w:jc w:val="both"/>
              <w:rPr>
                <w:rFonts w:cs="Segoe UI"/>
                <w:kern w:val="2"/>
                <w:sz w:val="17"/>
                <w:szCs w:val="17"/>
              </w:rPr>
            </w:pPr>
            <w:r w:rsidRPr="00E41680">
              <w:rPr>
                <w:rFonts w:cs="Segoe UI"/>
                <w:i/>
                <w:kern w:val="2"/>
                <w:sz w:val="17"/>
                <w:szCs w:val="17"/>
              </w:rPr>
              <w:t>Deposits held at other financial institutions for operational purposes</w:t>
            </w:r>
            <w:r w:rsidRPr="00E41680">
              <w:rPr>
                <w:rFonts w:cs="Segoe UI"/>
                <w:kern w:val="2"/>
                <w:sz w:val="17"/>
                <w:szCs w:val="17"/>
              </w:rPr>
              <w:t>:</w:t>
            </w:r>
            <w:r>
              <w:rPr>
                <w:rFonts w:cs="Segoe UI"/>
                <w:kern w:val="2"/>
                <w:sz w:val="17"/>
                <w:szCs w:val="17"/>
              </w:rPr>
              <w:t xml:space="preserve"> </w:t>
            </w:r>
            <w:r w:rsidRPr="00E41680">
              <w:rPr>
                <w:rFonts w:cs="Segoe UI"/>
                <w:kern w:val="2"/>
                <w:sz w:val="17"/>
                <w:szCs w:val="17"/>
              </w:rPr>
              <w:t>as defined in Part 7 of the BLR.</w:t>
            </w:r>
          </w:p>
        </w:tc>
      </w:tr>
      <w:tr w:rsidR="00C814AC" w:rsidRPr="00280717" w14:paraId="18EE10EC" w14:textId="77777777" w:rsidTr="00AC6CAB">
        <w:trPr>
          <w:trHeight w:val="373"/>
        </w:trPr>
        <w:tc>
          <w:tcPr>
            <w:tcW w:w="568" w:type="dxa"/>
            <w:shd w:val="clear" w:color="auto" w:fill="auto"/>
          </w:tcPr>
          <w:p w14:paraId="15202DD8"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17</w:t>
            </w:r>
          </w:p>
        </w:tc>
        <w:tc>
          <w:tcPr>
            <w:tcW w:w="8505" w:type="dxa"/>
            <w:shd w:val="clear" w:color="auto" w:fill="auto"/>
          </w:tcPr>
          <w:p w14:paraId="0E8B815A" w14:textId="77777777" w:rsidR="00C814AC" w:rsidRPr="00E41680" w:rsidRDefault="00C814AC" w:rsidP="00AC6CAB">
            <w:pPr>
              <w:keepLines/>
              <w:widowControl w:val="0"/>
              <w:tabs>
                <w:tab w:val="left" w:pos="150"/>
                <w:tab w:val="left" w:pos="397"/>
                <w:tab w:val="left" w:pos="794"/>
                <w:tab w:val="left" w:pos="1191"/>
              </w:tabs>
              <w:spacing w:before="40" w:after="40"/>
              <w:jc w:val="both"/>
              <w:rPr>
                <w:kern w:val="2"/>
                <w:sz w:val="17"/>
                <w:szCs w:val="17"/>
              </w:rPr>
            </w:pPr>
            <w:r w:rsidRPr="00E41680">
              <w:rPr>
                <w:i/>
                <w:kern w:val="2"/>
                <w:sz w:val="17"/>
                <w:szCs w:val="17"/>
              </w:rPr>
              <w:t>Performing loans and securities</w:t>
            </w:r>
            <w:r w:rsidRPr="00E41680">
              <w:rPr>
                <w:kern w:val="2"/>
                <w:sz w:val="17"/>
                <w:szCs w:val="17"/>
              </w:rPr>
              <w:t>: the sum of values in rows 18, 19, 20, 22 and 24.</w:t>
            </w:r>
          </w:p>
        </w:tc>
      </w:tr>
      <w:tr w:rsidR="00C814AC" w:rsidRPr="00280717" w14:paraId="5D498799" w14:textId="77777777" w:rsidTr="00AC6CAB">
        <w:trPr>
          <w:trHeight w:val="373"/>
        </w:trPr>
        <w:tc>
          <w:tcPr>
            <w:tcW w:w="568" w:type="dxa"/>
            <w:shd w:val="clear" w:color="auto" w:fill="auto"/>
          </w:tcPr>
          <w:p w14:paraId="000BDC32"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18</w:t>
            </w:r>
          </w:p>
        </w:tc>
        <w:tc>
          <w:tcPr>
            <w:tcW w:w="8505" w:type="dxa"/>
            <w:shd w:val="clear" w:color="auto" w:fill="auto"/>
          </w:tcPr>
          <w:p w14:paraId="620B0EF4" w14:textId="77777777" w:rsidR="00C814AC" w:rsidRPr="00E41680" w:rsidRDefault="00C814AC" w:rsidP="00AC6CAB">
            <w:pPr>
              <w:keepLines/>
              <w:widowControl w:val="0"/>
              <w:tabs>
                <w:tab w:val="left" w:pos="150"/>
                <w:tab w:val="left" w:pos="397"/>
                <w:tab w:val="left" w:pos="794"/>
                <w:tab w:val="left" w:pos="1191"/>
              </w:tabs>
              <w:spacing w:before="40" w:after="40"/>
              <w:jc w:val="both"/>
              <w:rPr>
                <w:kern w:val="2"/>
                <w:sz w:val="17"/>
                <w:szCs w:val="17"/>
              </w:rPr>
            </w:pPr>
            <w:r w:rsidRPr="00E41680">
              <w:rPr>
                <w:i/>
                <w:kern w:val="2"/>
                <w:sz w:val="17"/>
                <w:szCs w:val="17"/>
              </w:rPr>
              <w:t>Performing loans to financial institutions secured by Level 1 HQLA</w:t>
            </w:r>
            <w:r w:rsidRPr="00E41680">
              <w:rPr>
                <w:kern w:val="2"/>
                <w:sz w:val="17"/>
                <w:szCs w:val="17"/>
              </w:rPr>
              <w:t>: comprising performing loans and funds (other than operational deposits) provided by the AI to other financial institutions that are secured by level 1 assets.</w:t>
            </w:r>
          </w:p>
        </w:tc>
      </w:tr>
      <w:tr w:rsidR="00C814AC" w:rsidRPr="00280717" w14:paraId="5DBEE15D" w14:textId="77777777" w:rsidTr="00AC6CAB">
        <w:trPr>
          <w:trHeight w:val="373"/>
        </w:trPr>
        <w:tc>
          <w:tcPr>
            <w:tcW w:w="568" w:type="dxa"/>
            <w:shd w:val="clear" w:color="auto" w:fill="auto"/>
          </w:tcPr>
          <w:p w14:paraId="68E3E1B4"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19</w:t>
            </w:r>
          </w:p>
        </w:tc>
        <w:tc>
          <w:tcPr>
            <w:tcW w:w="8505" w:type="dxa"/>
            <w:shd w:val="clear" w:color="auto" w:fill="auto"/>
          </w:tcPr>
          <w:p w14:paraId="0956B087" w14:textId="77777777" w:rsidR="00C814AC" w:rsidRPr="00E41680" w:rsidRDefault="00C814AC" w:rsidP="00AC6CAB">
            <w:pPr>
              <w:keepLines/>
              <w:widowControl w:val="0"/>
              <w:tabs>
                <w:tab w:val="left" w:pos="150"/>
                <w:tab w:val="left" w:pos="397"/>
                <w:tab w:val="left" w:pos="794"/>
                <w:tab w:val="left" w:pos="1191"/>
              </w:tabs>
              <w:spacing w:before="40" w:after="40"/>
              <w:jc w:val="both"/>
              <w:rPr>
                <w:kern w:val="2"/>
                <w:sz w:val="17"/>
                <w:szCs w:val="17"/>
              </w:rPr>
            </w:pPr>
            <w:r w:rsidRPr="00E41680">
              <w:rPr>
                <w:i/>
                <w:kern w:val="2"/>
                <w:sz w:val="17"/>
                <w:szCs w:val="17"/>
              </w:rPr>
              <w:t>Performing loans to financial institutions secured by non-Level 1 HQLA and unsecured performing loans to financial institutions</w:t>
            </w:r>
            <w:r w:rsidRPr="00E41680">
              <w:rPr>
                <w:kern w:val="2"/>
                <w:sz w:val="17"/>
                <w:szCs w:val="17"/>
              </w:rPr>
              <w:t>: comprising performing loans and funds (other than operational deposits) provided by the AI to other financial institutions not already covered by row 18.</w:t>
            </w:r>
          </w:p>
        </w:tc>
      </w:tr>
      <w:tr w:rsidR="00C814AC" w:rsidRPr="00280717" w14:paraId="69B263FA" w14:textId="77777777" w:rsidTr="00AC6CAB">
        <w:trPr>
          <w:trHeight w:val="373"/>
        </w:trPr>
        <w:tc>
          <w:tcPr>
            <w:tcW w:w="568" w:type="dxa"/>
            <w:shd w:val="clear" w:color="auto" w:fill="auto"/>
          </w:tcPr>
          <w:p w14:paraId="7ED8A112"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20</w:t>
            </w:r>
          </w:p>
        </w:tc>
        <w:tc>
          <w:tcPr>
            <w:tcW w:w="8505" w:type="dxa"/>
            <w:shd w:val="clear" w:color="auto" w:fill="auto"/>
          </w:tcPr>
          <w:p w14:paraId="57A82C25" w14:textId="77777777" w:rsidR="00C814AC" w:rsidRPr="00E41680" w:rsidRDefault="00C814AC" w:rsidP="00AC6CAB">
            <w:pPr>
              <w:pStyle w:val="TableNote"/>
              <w:spacing w:before="40" w:after="40"/>
              <w:rPr>
                <w:i/>
                <w:kern w:val="2"/>
                <w:sz w:val="17"/>
                <w:szCs w:val="17"/>
              </w:rPr>
            </w:pPr>
            <w:r w:rsidRPr="00E41680">
              <w:rPr>
                <w:i/>
                <w:kern w:val="2"/>
                <w:sz w:val="17"/>
                <w:szCs w:val="17"/>
              </w:rPr>
              <w:t xml:space="preserve">Performing loans, other than performing residential mortgages, to non-financial corporate clients, retail and small business customers, sovereigns, the MA for the account of the EF, central banks and PSEs: </w:t>
            </w:r>
            <w:r w:rsidRPr="00E41680">
              <w:rPr>
                <w:kern w:val="2"/>
                <w:sz w:val="17"/>
                <w:szCs w:val="17"/>
              </w:rPr>
              <w:t>comprising performing loans and funds (which are not residential mortgages) provided by the AI to retail customers and wholesale customers (other than financial institutions) that are not covered by rows 15 to 19 and 22 to 23.</w:t>
            </w:r>
          </w:p>
        </w:tc>
      </w:tr>
      <w:tr w:rsidR="00C814AC" w:rsidRPr="00280717" w14:paraId="47BCA961" w14:textId="77777777" w:rsidTr="00AC6CAB">
        <w:trPr>
          <w:trHeight w:val="373"/>
        </w:trPr>
        <w:tc>
          <w:tcPr>
            <w:tcW w:w="568" w:type="dxa"/>
            <w:shd w:val="clear" w:color="auto" w:fill="auto"/>
          </w:tcPr>
          <w:p w14:paraId="7BB2542B"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21</w:t>
            </w:r>
          </w:p>
        </w:tc>
        <w:tc>
          <w:tcPr>
            <w:tcW w:w="8505" w:type="dxa"/>
            <w:shd w:val="clear" w:color="auto" w:fill="auto"/>
          </w:tcPr>
          <w:p w14:paraId="0353FA79" w14:textId="77777777" w:rsidR="00C814AC" w:rsidRPr="00E41680" w:rsidRDefault="00C814AC" w:rsidP="00AC6CAB">
            <w:pPr>
              <w:keepLines/>
              <w:widowControl w:val="0"/>
              <w:tabs>
                <w:tab w:val="left" w:pos="150"/>
                <w:tab w:val="left" w:pos="397"/>
                <w:tab w:val="left" w:pos="794"/>
                <w:tab w:val="left" w:pos="1191"/>
              </w:tabs>
              <w:spacing w:before="40" w:after="40"/>
              <w:jc w:val="both"/>
              <w:rPr>
                <w:i/>
                <w:kern w:val="2"/>
                <w:sz w:val="17"/>
                <w:szCs w:val="17"/>
              </w:rPr>
            </w:pPr>
            <w:r w:rsidRPr="00E41680">
              <w:rPr>
                <w:i/>
                <w:kern w:val="2"/>
                <w:sz w:val="17"/>
                <w:szCs w:val="17"/>
              </w:rPr>
              <w:t>With a risk-weight of less than or equal to 35% under the STC approach</w:t>
            </w:r>
            <w:r w:rsidRPr="00E41680">
              <w:rPr>
                <w:kern w:val="2"/>
                <w:sz w:val="17"/>
                <w:szCs w:val="17"/>
              </w:rPr>
              <w:t>: being the portion of amount reported in row 20 that is subject to a risk-weight of less than or equal to 35% under Division 3, Part 4 of the BCR.</w:t>
            </w:r>
          </w:p>
        </w:tc>
      </w:tr>
      <w:tr w:rsidR="00C814AC" w:rsidRPr="00280717" w14:paraId="2D5AD657" w14:textId="77777777" w:rsidTr="00AC6CAB">
        <w:trPr>
          <w:trHeight w:val="373"/>
        </w:trPr>
        <w:tc>
          <w:tcPr>
            <w:tcW w:w="568" w:type="dxa"/>
            <w:shd w:val="clear" w:color="auto" w:fill="auto"/>
          </w:tcPr>
          <w:p w14:paraId="2BBADBA3"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22</w:t>
            </w:r>
          </w:p>
        </w:tc>
        <w:tc>
          <w:tcPr>
            <w:tcW w:w="8505" w:type="dxa"/>
            <w:shd w:val="clear" w:color="auto" w:fill="auto"/>
          </w:tcPr>
          <w:p w14:paraId="3A88CE30" w14:textId="6E3C6411" w:rsidR="00C814AC" w:rsidRPr="00E41680" w:rsidRDefault="00C814AC" w:rsidP="00AC6CAB">
            <w:pPr>
              <w:keepLines/>
              <w:widowControl w:val="0"/>
              <w:spacing w:before="40" w:after="40"/>
              <w:jc w:val="both"/>
              <w:rPr>
                <w:kern w:val="2"/>
                <w:sz w:val="17"/>
                <w:szCs w:val="17"/>
              </w:rPr>
            </w:pPr>
            <w:r w:rsidRPr="00E41680">
              <w:rPr>
                <w:i/>
                <w:kern w:val="2"/>
                <w:sz w:val="17"/>
                <w:szCs w:val="17"/>
              </w:rPr>
              <w:t>Performing residential mortgages</w:t>
            </w:r>
            <w:r w:rsidRPr="00E41680">
              <w:rPr>
                <w:kern w:val="2"/>
                <w:sz w:val="17"/>
                <w:szCs w:val="17"/>
              </w:rPr>
              <w:t>: comprising all performing residential mortgages provided by the AI.  In determining the scope of residential mortgage, an AI could make reference to BCR §</w:t>
            </w:r>
            <w:r>
              <w:rPr>
                <w:kern w:val="2"/>
                <w:sz w:val="17"/>
                <w:szCs w:val="17"/>
              </w:rPr>
              <w:t>139(</w:t>
            </w:r>
            <w:r w:rsidR="00CA37A8">
              <w:rPr>
                <w:kern w:val="2"/>
                <w:sz w:val="17"/>
                <w:szCs w:val="17"/>
              </w:rPr>
              <w:t>1</w:t>
            </w:r>
            <w:r>
              <w:rPr>
                <w:kern w:val="2"/>
                <w:sz w:val="17"/>
                <w:szCs w:val="17"/>
              </w:rPr>
              <w:t>)</w:t>
            </w:r>
            <w:r w:rsidRPr="00E41680">
              <w:rPr>
                <w:kern w:val="2"/>
                <w:sz w:val="17"/>
                <w:szCs w:val="17"/>
              </w:rPr>
              <w:t xml:space="preserve"> for the scope of row 22.  For clarity sake, residential mortgage loans to financial institutions, if any, should be excluded from row 22 and be included in row 18 or 19 where appropriate.  </w:t>
            </w:r>
          </w:p>
        </w:tc>
      </w:tr>
      <w:tr w:rsidR="00C814AC" w:rsidRPr="00280717" w14:paraId="58F25C62" w14:textId="77777777" w:rsidTr="00AC6CAB">
        <w:trPr>
          <w:trHeight w:val="373"/>
        </w:trPr>
        <w:tc>
          <w:tcPr>
            <w:tcW w:w="568" w:type="dxa"/>
            <w:shd w:val="clear" w:color="auto" w:fill="auto"/>
          </w:tcPr>
          <w:p w14:paraId="10DD8559"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lastRenderedPageBreak/>
              <w:t>23</w:t>
            </w:r>
          </w:p>
        </w:tc>
        <w:tc>
          <w:tcPr>
            <w:tcW w:w="8505" w:type="dxa"/>
            <w:shd w:val="clear" w:color="auto" w:fill="auto"/>
          </w:tcPr>
          <w:p w14:paraId="1D517496" w14:textId="77777777" w:rsidR="00C814AC" w:rsidRPr="00E41680" w:rsidRDefault="00C814AC" w:rsidP="00AC6CAB">
            <w:pPr>
              <w:keepLines/>
              <w:widowControl w:val="0"/>
              <w:tabs>
                <w:tab w:val="left" w:pos="150"/>
                <w:tab w:val="left" w:pos="397"/>
                <w:tab w:val="left" w:pos="794"/>
                <w:tab w:val="left" w:pos="1191"/>
              </w:tabs>
              <w:spacing w:before="40" w:after="40"/>
              <w:jc w:val="both"/>
              <w:rPr>
                <w:kern w:val="2"/>
                <w:sz w:val="17"/>
                <w:szCs w:val="17"/>
              </w:rPr>
            </w:pPr>
            <w:r w:rsidRPr="00E41680">
              <w:rPr>
                <w:i/>
                <w:kern w:val="2"/>
                <w:sz w:val="17"/>
                <w:szCs w:val="17"/>
              </w:rPr>
              <w:t>With a risk-weight of less than or equal to 35% under the STC approach</w:t>
            </w:r>
            <w:r w:rsidRPr="00E41680">
              <w:rPr>
                <w:kern w:val="2"/>
                <w:sz w:val="17"/>
                <w:szCs w:val="17"/>
              </w:rPr>
              <w:t>: being the portion of amount reported in row 22 that is subject to a risk-weight of less than or equal to 35% under Division 3, Part 4 of the BCR.</w:t>
            </w:r>
          </w:p>
        </w:tc>
      </w:tr>
      <w:tr w:rsidR="00C814AC" w:rsidRPr="00280717" w14:paraId="5CCA21A1" w14:textId="77777777" w:rsidTr="00AC6CAB">
        <w:trPr>
          <w:trHeight w:val="373"/>
        </w:trPr>
        <w:tc>
          <w:tcPr>
            <w:tcW w:w="568" w:type="dxa"/>
            <w:shd w:val="clear" w:color="auto" w:fill="auto"/>
          </w:tcPr>
          <w:p w14:paraId="64CEF6CA"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24</w:t>
            </w:r>
          </w:p>
        </w:tc>
        <w:tc>
          <w:tcPr>
            <w:tcW w:w="8505" w:type="dxa"/>
            <w:shd w:val="clear" w:color="auto" w:fill="auto"/>
          </w:tcPr>
          <w:p w14:paraId="72DE7F64" w14:textId="77777777" w:rsidR="00C814AC" w:rsidRPr="00E41680" w:rsidRDefault="00C814AC" w:rsidP="00AC6CAB">
            <w:pPr>
              <w:pStyle w:val="TableNote"/>
              <w:spacing w:before="40" w:after="40"/>
              <w:rPr>
                <w:kern w:val="2"/>
                <w:sz w:val="17"/>
                <w:szCs w:val="17"/>
              </w:rPr>
            </w:pPr>
            <w:r w:rsidRPr="00E41680">
              <w:rPr>
                <w:i/>
                <w:kern w:val="2"/>
                <w:sz w:val="17"/>
                <w:szCs w:val="17"/>
              </w:rPr>
              <w:t>Securities that are not in default and do not qualify as HQLA including exchange-traded equities</w:t>
            </w:r>
            <w:r w:rsidRPr="00E41680">
              <w:rPr>
                <w:kern w:val="2"/>
                <w:sz w:val="17"/>
                <w:szCs w:val="17"/>
              </w:rPr>
              <w:t>: comprising debt securities, prescribed instruments and listed equities held by the AI that are not already included in row 15.  To avoid doubt, debt securities or prescribed instruments that are not marketable should also be covered by this row, while unlisted equities should be reported under row 31.</w:t>
            </w:r>
          </w:p>
        </w:tc>
      </w:tr>
      <w:tr w:rsidR="00C814AC" w:rsidRPr="00280717" w14:paraId="1BE32EAA" w14:textId="77777777" w:rsidTr="00AC6CAB">
        <w:trPr>
          <w:trHeight w:val="373"/>
        </w:trPr>
        <w:tc>
          <w:tcPr>
            <w:tcW w:w="568" w:type="dxa"/>
            <w:shd w:val="clear" w:color="auto" w:fill="auto"/>
          </w:tcPr>
          <w:p w14:paraId="5178F288"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25</w:t>
            </w:r>
          </w:p>
        </w:tc>
        <w:tc>
          <w:tcPr>
            <w:tcW w:w="8505" w:type="dxa"/>
            <w:shd w:val="clear" w:color="auto" w:fill="auto"/>
          </w:tcPr>
          <w:p w14:paraId="27FD2B77" w14:textId="77777777" w:rsidR="00C814AC" w:rsidRPr="00E41680" w:rsidRDefault="00C814AC" w:rsidP="00AC6CAB">
            <w:pPr>
              <w:keepLines/>
              <w:widowControl w:val="0"/>
              <w:tabs>
                <w:tab w:val="left" w:pos="150"/>
                <w:tab w:val="left" w:pos="397"/>
                <w:tab w:val="left" w:pos="794"/>
                <w:tab w:val="left" w:pos="1191"/>
              </w:tabs>
              <w:spacing w:before="40" w:after="40"/>
              <w:jc w:val="both"/>
              <w:rPr>
                <w:kern w:val="2"/>
                <w:sz w:val="17"/>
                <w:szCs w:val="17"/>
              </w:rPr>
            </w:pPr>
            <w:r w:rsidRPr="00E41680">
              <w:rPr>
                <w:i/>
                <w:kern w:val="2"/>
                <w:sz w:val="17"/>
                <w:szCs w:val="17"/>
              </w:rPr>
              <w:t>Assets with matching interdependent liabilities</w:t>
            </w:r>
            <w:r w:rsidRPr="00E41680">
              <w:rPr>
                <w:kern w:val="2"/>
                <w:sz w:val="17"/>
                <w:szCs w:val="17"/>
              </w:rPr>
              <w:t>: any assets which meet the descriptions in BLR rule 70 and match with interdependent liabilities should be included in this row and excluded from all other RSF items.  For note-issuing banks, this row also includes the amount of certificate of indebtedness that are issued under section 4(1) of the Exchange Fund Ordinance (Cap. 66), as follows:</w:t>
            </w:r>
          </w:p>
          <w:p w14:paraId="367948D3" w14:textId="77777777" w:rsidR="00C814AC" w:rsidRPr="00E41680" w:rsidRDefault="00C814AC" w:rsidP="008D652E">
            <w:pPr>
              <w:pStyle w:val="ListParagraph"/>
              <w:keepLines/>
              <w:widowControl w:val="0"/>
              <w:numPr>
                <w:ilvl w:val="0"/>
                <w:numId w:val="61"/>
              </w:numPr>
              <w:tabs>
                <w:tab w:val="left" w:pos="459"/>
              </w:tabs>
              <w:spacing w:before="40" w:after="40"/>
              <w:ind w:leftChars="0"/>
              <w:jc w:val="both"/>
              <w:rPr>
                <w:sz w:val="17"/>
                <w:szCs w:val="17"/>
              </w:rPr>
            </w:pPr>
            <w:r w:rsidRPr="00E41680">
              <w:rPr>
                <w:sz w:val="17"/>
                <w:szCs w:val="17"/>
              </w:rPr>
              <w:t>for unweighted value, the certificates of indebtedness held should be included in column (a) for ‘no specified term to maturity’;</w:t>
            </w:r>
          </w:p>
          <w:p w14:paraId="65EBA343" w14:textId="77777777" w:rsidR="00C814AC" w:rsidRPr="00E41680" w:rsidRDefault="00C814AC" w:rsidP="008D652E">
            <w:pPr>
              <w:pStyle w:val="ListParagraph"/>
              <w:keepLines/>
              <w:widowControl w:val="0"/>
              <w:numPr>
                <w:ilvl w:val="0"/>
                <w:numId w:val="61"/>
              </w:numPr>
              <w:tabs>
                <w:tab w:val="left" w:pos="459"/>
              </w:tabs>
              <w:spacing w:before="40" w:after="40"/>
              <w:ind w:leftChars="0"/>
              <w:jc w:val="both"/>
              <w:rPr>
                <w:kern w:val="2"/>
                <w:sz w:val="17"/>
                <w:szCs w:val="17"/>
              </w:rPr>
            </w:pPr>
            <w:r w:rsidRPr="00E41680">
              <w:rPr>
                <w:sz w:val="17"/>
                <w:szCs w:val="17"/>
              </w:rPr>
              <w:t>for weighted value, a note-issuing bank may choose either to (a) treat the amount for certificates of indebtedness as $0; or (b) apply BLR rules 65 and 68 to determine such weighted amounts in accordance with BLR rule 69(2).</w:t>
            </w:r>
          </w:p>
        </w:tc>
      </w:tr>
      <w:tr w:rsidR="00C814AC" w:rsidRPr="00280717" w14:paraId="3744284B" w14:textId="77777777" w:rsidTr="00AC6CAB">
        <w:trPr>
          <w:trHeight w:val="373"/>
        </w:trPr>
        <w:tc>
          <w:tcPr>
            <w:tcW w:w="568" w:type="dxa"/>
            <w:shd w:val="clear" w:color="auto" w:fill="auto"/>
          </w:tcPr>
          <w:p w14:paraId="7581E3C1"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26</w:t>
            </w:r>
          </w:p>
        </w:tc>
        <w:tc>
          <w:tcPr>
            <w:tcW w:w="8505" w:type="dxa"/>
            <w:shd w:val="clear" w:color="auto" w:fill="auto"/>
          </w:tcPr>
          <w:p w14:paraId="130B6591" w14:textId="77777777" w:rsidR="00C814AC" w:rsidRPr="00E41680" w:rsidRDefault="00C814AC" w:rsidP="00AC6CAB">
            <w:pPr>
              <w:pStyle w:val="TableNote"/>
              <w:spacing w:before="40" w:after="40"/>
              <w:rPr>
                <w:kern w:val="2"/>
                <w:sz w:val="17"/>
                <w:szCs w:val="17"/>
              </w:rPr>
            </w:pPr>
            <w:r w:rsidRPr="00E41680">
              <w:rPr>
                <w:i/>
                <w:kern w:val="2"/>
                <w:sz w:val="17"/>
                <w:szCs w:val="17"/>
              </w:rPr>
              <w:t>Other assets</w:t>
            </w:r>
            <w:r w:rsidRPr="00E41680">
              <w:rPr>
                <w:kern w:val="2"/>
                <w:sz w:val="17"/>
                <w:szCs w:val="17"/>
              </w:rPr>
              <w:t>: the sum of values in rows 27 to 31.</w:t>
            </w:r>
          </w:p>
        </w:tc>
      </w:tr>
      <w:tr w:rsidR="00C814AC" w:rsidRPr="00280717" w14:paraId="365B881A" w14:textId="77777777" w:rsidTr="00AC6CAB">
        <w:trPr>
          <w:trHeight w:val="373"/>
        </w:trPr>
        <w:tc>
          <w:tcPr>
            <w:tcW w:w="568" w:type="dxa"/>
            <w:shd w:val="clear" w:color="auto" w:fill="auto"/>
          </w:tcPr>
          <w:p w14:paraId="4CCA9D10"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27</w:t>
            </w:r>
          </w:p>
        </w:tc>
        <w:tc>
          <w:tcPr>
            <w:tcW w:w="8505" w:type="dxa"/>
            <w:shd w:val="clear" w:color="auto" w:fill="auto"/>
          </w:tcPr>
          <w:p w14:paraId="13F84429" w14:textId="77777777" w:rsidR="00C814AC" w:rsidRPr="00E41680" w:rsidRDefault="00C814AC" w:rsidP="00AC6CAB">
            <w:pPr>
              <w:pStyle w:val="TableNote"/>
              <w:spacing w:before="40" w:after="40"/>
              <w:rPr>
                <w:kern w:val="2"/>
                <w:sz w:val="17"/>
                <w:szCs w:val="17"/>
              </w:rPr>
            </w:pPr>
            <w:r w:rsidRPr="00E41680">
              <w:rPr>
                <w:i/>
                <w:kern w:val="2"/>
                <w:sz w:val="17"/>
                <w:szCs w:val="17"/>
              </w:rPr>
              <w:t>Physical traded commodities, including gold</w:t>
            </w:r>
            <w:r w:rsidRPr="00E41680">
              <w:rPr>
                <w:kern w:val="2"/>
                <w:sz w:val="17"/>
                <w:szCs w:val="17"/>
              </w:rPr>
              <w:t>: including all physical traded commodities held by the AI.</w:t>
            </w:r>
          </w:p>
        </w:tc>
      </w:tr>
      <w:tr w:rsidR="00C814AC" w:rsidRPr="00280717" w14:paraId="55F055E6" w14:textId="77777777" w:rsidTr="00AC6CAB">
        <w:trPr>
          <w:trHeight w:val="373"/>
        </w:trPr>
        <w:tc>
          <w:tcPr>
            <w:tcW w:w="568" w:type="dxa"/>
            <w:shd w:val="clear" w:color="auto" w:fill="auto"/>
          </w:tcPr>
          <w:p w14:paraId="7081118D"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28</w:t>
            </w:r>
          </w:p>
        </w:tc>
        <w:tc>
          <w:tcPr>
            <w:tcW w:w="8505" w:type="dxa"/>
            <w:shd w:val="clear" w:color="auto" w:fill="auto"/>
          </w:tcPr>
          <w:p w14:paraId="228B52B3" w14:textId="77777777" w:rsidR="00C814AC" w:rsidRPr="00E41680" w:rsidRDefault="00C814AC" w:rsidP="00AC6CAB">
            <w:pPr>
              <w:pStyle w:val="TableNote"/>
              <w:spacing w:before="40" w:after="40"/>
              <w:rPr>
                <w:kern w:val="2"/>
                <w:sz w:val="17"/>
                <w:szCs w:val="17"/>
              </w:rPr>
            </w:pPr>
            <w:r w:rsidRPr="00E41680">
              <w:rPr>
                <w:i/>
                <w:kern w:val="2"/>
                <w:sz w:val="17"/>
                <w:szCs w:val="17"/>
              </w:rPr>
              <w:t>Assets posted as initial margin for derivative contracts and contributions to default funds of CCPs</w:t>
            </w:r>
            <w:r w:rsidRPr="00E41680">
              <w:rPr>
                <w:kern w:val="2"/>
                <w:sz w:val="17"/>
                <w:szCs w:val="17"/>
              </w:rPr>
              <w:t>: including cash, securities and other assets posted by the AI as initial margins or default fund contributions under all derivative contracts regardless of whether the assets are maintained on the AI’s balance sheet.</w:t>
            </w:r>
          </w:p>
        </w:tc>
      </w:tr>
      <w:tr w:rsidR="00C814AC" w:rsidRPr="00280717" w14:paraId="168D24B9" w14:textId="77777777" w:rsidTr="00AC6CAB">
        <w:trPr>
          <w:trHeight w:val="373"/>
        </w:trPr>
        <w:tc>
          <w:tcPr>
            <w:tcW w:w="568" w:type="dxa"/>
            <w:shd w:val="clear" w:color="auto" w:fill="auto"/>
          </w:tcPr>
          <w:p w14:paraId="001C2D3A"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29</w:t>
            </w:r>
          </w:p>
        </w:tc>
        <w:tc>
          <w:tcPr>
            <w:tcW w:w="8505" w:type="dxa"/>
            <w:shd w:val="clear" w:color="auto" w:fill="auto"/>
          </w:tcPr>
          <w:p w14:paraId="53FFC749" w14:textId="77777777" w:rsidR="00C814AC" w:rsidRPr="00E41680" w:rsidRDefault="00C814AC" w:rsidP="00AC6CAB">
            <w:pPr>
              <w:pStyle w:val="TableNote"/>
              <w:spacing w:before="40" w:after="40"/>
              <w:rPr>
                <w:kern w:val="2"/>
                <w:sz w:val="17"/>
                <w:szCs w:val="17"/>
              </w:rPr>
            </w:pPr>
            <w:r w:rsidRPr="00E41680">
              <w:rPr>
                <w:i/>
                <w:kern w:val="2"/>
                <w:sz w:val="17"/>
                <w:szCs w:val="17"/>
              </w:rPr>
              <w:t>Net derivative assets</w:t>
            </w:r>
            <w:r w:rsidRPr="00E41680">
              <w:rPr>
                <w:kern w:val="2"/>
                <w:sz w:val="17"/>
                <w:szCs w:val="17"/>
              </w:rPr>
              <w:t xml:space="preserve">: in the unweighted cell, report the amount of net derivative assets as calculated according to Part 9 of the BLR (i.e. the net amount of the total derivative assets (after adjustments) in excess of total derivative liabilities (after adjustments)).  Since net derivative assets are subject to an RSF factor of 100%, the amount reported in the weighted cell should be equal to the amount reported in the unweighted cell. </w:t>
            </w:r>
          </w:p>
        </w:tc>
      </w:tr>
      <w:tr w:rsidR="00C814AC" w:rsidRPr="00280717" w14:paraId="435E2AF9" w14:textId="77777777" w:rsidTr="00AC6CAB">
        <w:trPr>
          <w:trHeight w:val="373"/>
        </w:trPr>
        <w:tc>
          <w:tcPr>
            <w:tcW w:w="568" w:type="dxa"/>
            <w:shd w:val="clear" w:color="auto" w:fill="auto"/>
          </w:tcPr>
          <w:p w14:paraId="3FC68FF8"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30</w:t>
            </w:r>
          </w:p>
        </w:tc>
        <w:tc>
          <w:tcPr>
            <w:tcW w:w="8505" w:type="dxa"/>
            <w:shd w:val="clear" w:color="auto" w:fill="auto"/>
          </w:tcPr>
          <w:p w14:paraId="3F8DF0DD" w14:textId="77777777" w:rsidR="00C814AC" w:rsidRPr="00E41680" w:rsidRDefault="00C814AC" w:rsidP="00AC6CAB">
            <w:pPr>
              <w:pStyle w:val="TableNote"/>
              <w:spacing w:before="40" w:after="40"/>
              <w:rPr>
                <w:kern w:val="2"/>
                <w:sz w:val="17"/>
                <w:szCs w:val="17"/>
              </w:rPr>
            </w:pPr>
            <w:r w:rsidRPr="00E41680">
              <w:rPr>
                <w:i/>
                <w:kern w:val="2"/>
                <w:sz w:val="17"/>
                <w:szCs w:val="17"/>
                <w:lang w:eastAsia="it-IT"/>
              </w:rPr>
              <w:t xml:space="preserve">Total derivative liabilities before adjustments for </w:t>
            </w:r>
            <w:r w:rsidRPr="00E41680">
              <w:rPr>
                <w:rFonts w:hint="eastAsia"/>
                <w:i/>
                <w:kern w:val="2"/>
                <w:sz w:val="17"/>
                <w:szCs w:val="17"/>
                <w:lang w:eastAsia="it-IT"/>
              </w:rPr>
              <w:t>deduction</w:t>
            </w:r>
            <w:r w:rsidRPr="00E41680">
              <w:rPr>
                <w:i/>
                <w:kern w:val="2"/>
                <w:sz w:val="17"/>
                <w:szCs w:val="17"/>
                <w:lang w:eastAsia="it-IT"/>
              </w:rPr>
              <w:t xml:space="preserve"> of variation margin posted</w:t>
            </w:r>
            <w:r w:rsidRPr="00E41680">
              <w:rPr>
                <w:kern w:val="2"/>
                <w:sz w:val="17"/>
                <w:szCs w:val="17"/>
              </w:rPr>
              <w:t xml:space="preserve">: report in this row the amount of total derivative liabilities (before adjustments) according to Part 9 of the BLR (i.e. the sum of the replacement costs of derivative contracts between the reporting AI and its counterparties, where each of those contracts has a negative replacement cost before adjustments for any variation margin posted by the reporting AI to the counterparty under the contract).  The reported value should be in an absolute term (i.e. disregard the negative sign).  </w:t>
            </w:r>
          </w:p>
        </w:tc>
      </w:tr>
      <w:tr w:rsidR="00C814AC" w:rsidRPr="00280717" w14:paraId="4610EBEE" w14:textId="77777777" w:rsidTr="00AC6CAB">
        <w:trPr>
          <w:trHeight w:val="373"/>
        </w:trPr>
        <w:tc>
          <w:tcPr>
            <w:tcW w:w="568" w:type="dxa"/>
            <w:shd w:val="clear" w:color="auto" w:fill="auto"/>
          </w:tcPr>
          <w:p w14:paraId="0EA36063"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31</w:t>
            </w:r>
          </w:p>
        </w:tc>
        <w:tc>
          <w:tcPr>
            <w:tcW w:w="8505" w:type="dxa"/>
            <w:shd w:val="clear" w:color="auto" w:fill="auto"/>
          </w:tcPr>
          <w:p w14:paraId="2CB565D8" w14:textId="77777777" w:rsidR="00C814AC" w:rsidRPr="00E41680" w:rsidRDefault="00C814AC" w:rsidP="00AC6CAB">
            <w:pPr>
              <w:pStyle w:val="TableNote"/>
              <w:spacing w:before="40" w:after="40"/>
              <w:rPr>
                <w:kern w:val="2"/>
                <w:sz w:val="17"/>
                <w:szCs w:val="17"/>
              </w:rPr>
            </w:pPr>
            <w:r w:rsidRPr="00E41680">
              <w:rPr>
                <w:i/>
                <w:kern w:val="2"/>
                <w:sz w:val="17"/>
                <w:szCs w:val="17"/>
              </w:rPr>
              <w:t>All other assets not included in the above categories</w:t>
            </w:r>
            <w:r w:rsidRPr="00E41680">
              <w:rPr>
                <w:kern w:val="2"/>
                <w:sz w:val="17"/>
                <w:szCs w:val="17"/>
              </w:rPr>
              <w:t>: report in this row all other on-balance sheet assets that are counted towards RSF under the BLR but not included in rows 15 to 29 above (e.g. trade-date receivables, fixed assets, goodwill, investments in associated entities, unlisted equities, non-performing assets, etc).</w:t>
            </w:r>
          </w:p>
        </w:tc>
      </w:tr>
      <w:tr w:rsidR="00C814AC" w:rsidRPr="00280717" w14:paraId="5E53793D" w14:textId="77777777" w:rsidTr="00AC6CAB">
        <w:trPr>
          <w:trHeight w:val="373"/>
        </w:trPr>
        <w:tc>
          <w:tcPr>
            <w:tcW w:w="568" w:type="dxa"/>
            <w:shd w:val="clear" w:color="auto" w:fill="auto"/>
          </w:tcPr>
          <w:p w14:paraId="1237E8D9"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32</w:t>
            </w:r>
          </w:p>
        </w:tc>
        <w:tc>
          <w:tcPr>
            <w:tcW w:w="8505" w:type="dxa"/>
            <w:shd w:val="clear" w:color="auto" w:fill="auto"/>
          </w:tcPr>
          <w:p w14:paraId="05EC8914" w14:textId="77777777" w:rsidR="00C814AC" w:rsidRPr="00E41680" w:rsidRDefault="00C814AC" w:rsidP="00AC6CAB">
            <w:pPr>
              <w:pStyle w:val="TableNote"/>
              <w:spacing w:before="40" w:after="40"/>
              <w:rPr>
                <w:kern w:val="2"/>
                <w:sz w:val="17"/>
                <w:szCs w:val="17"/>
              </w:rPr>
            </w:pPr>
            <w:r w:rsidRPr="00E41680">
              <w:rPr>
                <w:i/>
                <w:kern w:val="2"/>
                <w:sz w:val="17"/>
                <w:szCs w:val="17"/>
              </w:rPr>
              <w:t>Off-balance sheet items</w:t>
            </w:r>
            <w:r w:rsidRPr="00E41680">
              <w:rPr>
                <w:kern w:val="2"/>
                <w:sz w:val="17"/>
                <w:szCs w:val="17"/>
              </w:rPr>
              <w:t>: the sum of all off-balance sheet obligations listed in Table 2, Schedule 6 to the BLR.</w:t>
            </w:r>
          </w:p>
        </w:tc>
      </w:tr>
      <w:tr w:rsidR="00C814AC" w:rsidRPr="00280717" w14:paraId="3EEB465E" w14:textId="77777777" w:rsidTr="00AC6CAB">
        <w:trPr>
          <w:trHeight w:val="373"/>
        </w:trPr>
        <w:tc>
          <w:tcPr>
            <w:tcW w:w="568" w:type="dxa"/>
            <w:shd w:val="clear" w:color="auto" w:fill="auto"/>
          </w:tcPr>
          <w:p w14:paraId="435F031C"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lastRenderedPageBreak/>
              <w:t>33</w:t>
            </w:r>
          </w:p>
        </w:tc>
        <w:tc>
          <w:tcPr>
            <w:tcW w:w="8505" w:type="dxa"/>
            <w:shd w:val="clear" w:color="auto" w:fill="auto"/>
          </w:tcPr>
          <w:p w14:paraId="2F071CDE" w14:textId="77777777" w:rsidR="00C814AC" w:rsidRPr="00E41680" w:rsidRDefault="00C814AC" w:rsidP="00AC6CAB">
            <w:pPr>
              <w:pStyle w:val="TableNote"/>
              <w:spacing w:before="40" w:after="40"/>
              <w:rPr>
                <w:kern w:val="2"/>
                <w:sz w:val="17"/>
                <w:szCs w:val="17"/>
              </w:rPr>
            </w:pPr>
            <w:r w:rsidRPr="00E41680">
              <w:rPr>
                <w:i/>
                <w:kern w:val="2"/>
                <w:sz w:val="17"/>
                <w:szCs w:val="17"/>
              </w:rPr>
              <w:t>Total RSF</w:t>
            </w:r>
            <w:r w:rsidRPr="00E41680">
              <w:rPr>
                <w:kern w:val="2"/>
                <w:sz w:val="17"/>
                <w:szCs w:val="17"/>
              </w:rPr>
              <w:t>: the sum of all weighted amounts in rows 15, 16, 17, 25, 26 and 32.</w:t>
            </w:r>
          </w:p>
        </w:tc>
      </w:tr>
      <w:tr w:rsidR="00C814AC" w:rsidRPr="00280717" w14:paraId="6E991CE3" w14:textId="77777777" w:rsidTr="00AC6CAB">
        <w:trPr>
          <w:trHeight w:val="373"/>
        </w:trPr>
        <w:tc>
          <w:tcPr>
            <w:tcW w:w="568" w:type="dxa"/>
            <w:shd w:val="clear" w:color="auto" w:fill="auto"/>
          </w:tcPr>
          <w:p w14:paraId="62F75631" w14:textId="77777777" w:rsidR="00C814AC" w:rsidRPr="00E41680" w:rsidRDefault="00C814AC" w:rsidP="00AC6CAB">
            <w:pPr>
              <w:keepLines/>
              <w:widowControl w:val="0"/>
              <w:tabs>
                <w:tab w:val="left" w:pos="150"/>
                <w:tab w:val="left" w:pos="397"/>
                <w:tab w:val="left" w:pos="794"/>
                <w:tab w:val="left" w:pos="1191"/>
              </w:tabs>
              <w:spacing w:before="40" w:after="40"/>
              <w:rPr>
                <w:rFonts w:cs="Segoe UI"/>
                <w:kern w:val="2"/>
                <w:sz w:val="17"/>
                <w:szCs w:val="17"/>
                <w:lang w:eastAsia="en-GB"/>
              </w:rPr>
            </w:pPr>
            <w:r w:rsidRPr="00E41680">
              <w:rPr>
                <w:rFonts w:cs="Segoe UI"/>
                <w:kern w:val="2"/>
                <w:sz w:val="17"/>
                <w:szCs w:val="17"/>
                <w:lang w:eastAsia="en-GB"/>
              </w:rPr>
              <w:t>34</w:t>
            </w:r>
          </w:p>
        </w:tc>
        <w:tc>
          <w:tcPr>
            <w:tcW w:w="8505" w:type="dxa"/>
            <w:shd w:val="clear" w:color="auto" w:fill="auto"/>
          </w:tcPr>
          <w:p w14:paraId="45B29208" w14:textId="77777777" w:rsidR="00C814AC" w:rsidRPr="00E41680" w:rsidRDefault="00C814AC" w:rsidP="00AC6CAB">
            <w:pPr>
              <w:pStyle w:val="TableNote"/>
              <w:spacing w:before="40" w:after="40"/>
              <w:rPr>
                <w:kern w:val="2"/>
                <w:sz w:val="17"/>
                <w:szCs w:val="17"/>
              </w:rPr>
            </w:pPr>
            <w:r w:rsidRPr="00E41680">
              <w:rPr>
                <w:i/>
                <w:kern w:val="2"/>
                <w:sz w:val="17"/>
                <w:szCs w:val="17"/>
              </w:rPr>
              <w:t>Net Stable Funding Ratio (%)</w:t>
            </w:r>
            <w:r w:rsidRPr="00E41680">
              <w:rPr>
                <w:kern w:val="2"/>
                <w:sz w:val="17"/>
                <w:szCs w:val="17"/>
              </w:rPr>
              <w:t>: presented as quarter-end observations.</w:t>
            </w:r>
          </w:p>
        </w:tc>
      </w:tr>
    </w:tbl>
    <w:p w14:paraId="02F62475" w14:textId="77777777" w:rsidR="00C814AC" w:rsidRPr="00D55956" w:rsidRDefault="00C814AC" w:rsidP="00C814AC"/>
    <w:p w14:paraId="5ACE95F5" w14:textId="50D527C5" w:rsidR="00C814AC" w:rsidRPr="00DE4497" w:rsidRDefault="00C814AC" w:rsidP="00C814AC">
      <w:pPr>
        <w:sectPr w:rsidR="00C814AC" w:rsidRPr="00DE4497">
          <w:footerReference w:type="default" r:id="rId41"/>
          <w:pgSz w:w="11906" w:h="16838" w:code="9"/>
          <w:pgMar w:top="1440" w:right="1416" w:bottom="1440" w:left="1797" w:header="851" w:footer="737" w:gutter="0"/>
          <w:cols w:space="425"/>
          <w:docGrid w:type="linesAndChars" w:linePitch="360"/>
        </w:sectPr>
      </w:pPr>
    </w:p>
    <w:p w14:paraId="19EAF3F6" w14:textId="213EC20E" w:rsidR="00B4195A" w:rsidRDefault="00B4195A" w:rsidP="00B4195A">
      <w:pPr>
        <w:pStyle w:val="Heading1"/>
        <w:tabs>
          <w:tab w:val="left" w:pos="426"/>
        </w:tabs>
        <w:ind w:leftChars="-283" w:left="-566"/>
      </w:pPr>
      <w:r>
        <w:lastRenderedPageBreak/>
        <w:t>Part III:</w:t>
      </w:r>
      <w:r>
        <w:tab/>
        <w:t>Credit risk for non-securitization exposures</w:t>
      </w:r>
    </w:p>
    <w:p w14:paraId="7FA74F2D" w14:textId="71232963" w:rsidR="004B1BDA" w:rsidRDefault="004B1BDA" w:rsidP="004B1BDA"/>
    <w:p w14:paraId="728A475E" w14:textId="77777777" w:rsidR="00832989" w:rsidRDefault="00832989" w:rsidP="00832989">
      <w:pPr>
        <w:pStyle w:val="Bulletpoint"/>
        <w:numPr>
          <w:ilvl w:val="0"/>
          <w:numId w:val="0"/>
        </w:numPr>
        <w:ind w:leftChars="-283" w:left="-566"/>
      </w:pPr>
      <w:r>
        <w:t xml:space="preserve">Unless the context otherwise requires, the scope of this </w:t>
      </w:r>
      <w:r w:rsidRPr="004349FA">
        <w:t xml:space="preserve">section includes an AI’s credit risk for non-securitization exposures subject to capital requirements </w:t>
      </w:r>
      <w:r w:rsidRPr="006E142E">
        <w:t>under Part 4, 5 or 6</w:t>
      </w:r>
      <w:r w:rsidRPr="004349FA">
        <w:t xml:space="preserve"> of</w:t>
      </w:r>
      <w:r>
        <w:t xml:space="preserve"> the BCR, and excludes:</w:t>
      </w:r>
    </w:p>
    <w:p w14:paraId="3DE0D01E" w14:textId="77777777" w:rsidR="00832989" w:rsidRPr="00FC774E" w:rsidRDefault="00832989" w:rsidP="00832989">
      <w:pPr>
        <w:pStyle w:val="Bulletpoint"/>
        <w:tabs>
          <w:tab w:val="clear" w:pos="794"/>
          <w:tab w:val="clear" w:pos="851"/>
          <w:tab w:val="clear" w:pos="1191"/>
        </w:tabs>
        <w:ind w:leftChars="-283" w:left="0" w:hanging="566"/>
      </w:pPr>
      <w:r>
        <w:t xml:space="preserve">all securitization </w:t>
      </w:r>
      <w:r w:rsidRPr="00FC774E">
        <w:t>exposures subject to capital requirements under Part 7 of the BCR; and</w:t>
      </w:r>
    </w:p>
    <w:p w14:paraId="42AAAB8E" w14:textId="77777777" w:rsidR="00832989" w:rsidRDefault="00832989" w:rsidP="00832989">
      <w:pPr>
        <w:pStyle w:val="Bulletpoint"/>
        <w:tabs>
          <w:tab w:val="clear" w:pos="794"/>
          <w:tab w:val="clear" w:pos="851"/>
          <w:tab w:val="clear" w:pos="1191"/>
        </w:tabs>
        <w:ind w:leftChars="-283" w:left="0" w:hanging="566"/>
      </w:pPr>
      <w:r>
        <w:t xml:space="preserve">all counterparty credit risk </w:t>
      </w:r>
      <w:r w:rsidRPr="0020793D">
        <w:t>exposures to CCPs and other counterparties arising from transactions in the banking book and trading</w:t>
      </w:r>
      <w:r>
        <w:t xml:space="preserve"> book, and exposures in respect of default fund contributions to CCPs, that are subject to Part 6A of the </w:t>
      </w:r>
      <w:r w:rsidRPr="00563D61">
        <w:t>BCR</w:t>
      </w:r>
      <w:r>
        <w:t>.</w:t>
      </w:r>
    </w:p>
    <w:p w14:paraId="28844D9D" w14:textId="77777777" w:rsidR="00832989" w:rsidRDefault="00832989" w:rsidP="00832989">
      <w:pPr>
        <w:pStyle w:val="Bulletpoint"/>
        <w:numPr>
          <w:ilvl w:val="0"/>
          <w:numId w:val="0"/>
        </w:numPr>
        <w:ind w:left="-566"/>
      </w:pPr>
      <w:r>
        <w:t>For the purpose of Part III of this document, any reference to exposures related to “credit risk” is refering to the same scope as described above (i.e. credit risk for non-securitization exposures excluding counterparty credit risk) unless otherwise specified.</w:t>
      </w:r>
    </w:p>
    <w:p w14:paraId="6CF7BDDD" w14:textId="2EB30C94" w:rsidR="00961FF3" w:rsidRDefault="00961FF3" w:rsidP="004B1BDA"/>
    <w:p w14:paraId="1CB9ABE2" w14:textId="41ECAD97" w:rsidR="00B4195A" w:rsidRDefault="00B4195A" w:rsidP="00D62B1D">
      <w:pPr>
        <w:pStyle w:val="IndentedHeading2"/>
        <w:numPr>
          <w:ilvl w:val="0"/>
          <w:numId w:val="6"/>
        </w:numPr>
        <w:ind w:left="0"/>
        <w:rPr>
          <w:b w:val="0"/>
        </w:rPr>
      </w:pPr>
      <w:r w:rsidRPr="00D53968">
        <w:rPr>
          <w:b w:val="0"/>
        </w:rPr>
        <w:t xml:space="preserve">General information about credit risk </w:t>
      </w:r>
    </w:p>
    <w:p w14:paraId="2FCC46E2" w14:textId="4E851C5E" w:rsidR="00873DDA" w:rsidRPr="001024EB" w:rsidRDefault="00873DDA" w:rsidP="000E66CF">
      <w:pPr>
        <w:pStyle w:val="Heading3"/>
        <w:ind w:left="-340"/>
      </w:pPr>
      <w:r w:rsidRPr="00A95483">
        <w:t>Table CRA: General information about credit risk</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B4195A" w14:paraId="75538F19" w14:textId="77777777" w:rsidTr="00647044">
        <w:tc>
          <w:tcPr>
            <w:tcW w:w="2008" w:type="dxa"/>
          </w:tcPr>
          <w:p w14:paraId="0E153180" w14:textId="77777777" w:rsidR="00B4195A" w:rsidRDefault="00B4195A" w:rsidP="00647044">
            <w:pPr>
              <w:spacing w:before="40" w:after="40"/>
              <w:rPr>
                <w:noProof/>
                <w:sz w:val="17"/>
                <w:lang w:eastAsia="en-GB"/>
              </w:rPr>
            </w:pPr>
            <w:r>
              <w:rPr>
                <w:b/>
                <w:sz w:val="17"/>
                <w:lang w:eastAsia="en-GB"/>
              </w:rPr>
              <w:t>Purpose:</w:t>
            </w:r>
          </w:p>
        </w:tc>
        <w:tc>
          <w:tcPr>
            <w:tcW w:w="7234" w:type="dxa"/>
          </w:tcPr>
          <w:p w14:paraId="5E18B7E4" w14:textId="77777777" w:rsidR="00B4195A" w:rsidRDefault="00B4195A" w:rsidP="00647044">
            <w:pPr>
              <w:pStyle w:val="TableText"/>
              <w:jc w:val="both"/>
              <w:rPr>
                <w:lang w:eastAsia="en-GB"/>
              </w:rPr>
            </w:pPr>
            <w:r>
              <w:rPr>
                <w:lang w:eastAsia="en-GB"/>
              </w:rPr>
              <w:t>To describe the main characteristics and elements of credit risk management, including the business model, credit risk profile, organisation and functions involved in credit risk management, and risk management reporting.</w:t>
            </w:r>
          </w:p>
        </w:tc>
      </w:tr>
      <w:tr w:rsidR="00B4195A" w14:paraId="41E5DBB6" w14:textId="77777777" w:rsidTr="00647044">
        <w:tc>
          <w:tcPr>
            <w:tcW w:w="2008" w:type="dxa"/>
          </w:tcPr>
          <w:p w14:paraId="21A5BA27" w14:textId="77777777" w:rsidR="00B4195A" w:rsidRDefault="00B4195A" w:rsidP="00647044">
            <w:pPr>
              <w:spacing w:before="40" w:after="40"/>
              <w:rPr>
                <w:b/>
                <w:sz w:val="17"/>
                <w:lang w:eastAsia="en-GB"/>
              </w:rPr>
            </w:pPr>
            <w:r>
              <w:rPr>
                <w:b/>
                <w:sz w:val="17"/>
                <w:lang w:eastAsia="en-GB"/>
              </w:rPr>
              <w:t>Scope of application:</w:t>
            </w:r>
          </w:p>
        </w:tc>
        <w:tc>
          <w:tcPr>
            <w:tcW w:w="7234" w:type="dxa"/>
          </w:tcPr>
          <w:p w14:paraId="6DE33E9C" w14:textId="77777777" w:rsidR="00B4195A" w:rsidRDefault="00B4195A" w:rsidP="00647044">
            <w:pPr>
              <w:spacing w:before="40" w:after="40"/>
              <w:jc w:val="both"/>
              <w:rPr>
                <w:b/>
                <w:sz w:val="17"/>
                <w:lang w:eastAsia="en-GB"/>
              </w:rPr>
            </w:pPr>
            <w:r>
              <w:rPr>
                <w:rFonts w:eastAsia="新細明體"/>
                <w:sz w:val="17"/>
                <w:lang w:eastAsia="en-GB"/>
              </w:rPr>
              <w:t>The table is mandatory for all AIs</w:t>
            </w:r>
            <w:r>
              <w:t xml:space="preserve"> </w:t>
            </w:r>
            <w:r>
              <w:rPr>
                <w:rFonts w:eastAsia="新細明體"/>
                <w:sz w:val="17"/>
                <w:lang w:eastAsia="en-GB"/>
              </w:rPr>
              <w:t>incorporated in Hong Kong.</w:t>
            </w:r>
          </w:p>
        </w:tc>
      </w:tr>
      <w:tr w:rsidR="00B4195A" w14:paraId="77CBE38B" w14:textId="77777777" w:rsidTr="00647044">
        <w:tc>
          <w:tcPr>
            <w:tcW w:w="2008" w:type="dxa"/>
          </w:tcPr>
          <w:p w14:paraId="2A2AA478" w14:textId="77777777" w:rsidR="00B4195A" w:rsidRDefault="00B4195A" w:rsidP="00647044">
            <w:pPr>
              <w:spacing w:before="40" w:after="40"/>
              <w:rPr>
                <w:b/>
                <w:sz w:val="17"/>
                <w:lang w:eastAsia="en-GB"/>
              </w:rPr>
            </w:pPr>
            <w:r>
              <w:rPr>
                <w:b/>
                <w:sz w:val="17"/>
                <w:lang w:eastAsia="en-GB"/>
              </w:rPr>
              <w:t>Content:</w:t>
            </w:r>
          </w:p>
        </w:tc>
        <w:tc>
          <w:tcPr>
            <w:tcW w:w="7234" w:type="dxa"/>
          </w:tcPr>
          <w:p w14:paraId="40F450C8" w14:textId="77777777" w:rsidR="00B4195A" w:rsidRDefault="00B4195A" w:rsidP="00647044">
            <w:pPr>
              <w:spacing w:before="40" w:after="40"/>
              <w:jc w:val="both"/>
              <w:rPr>
                <w:b/>
                <w:sz w:val="17"/>
                <w:lang w:eastAsia="en-GB"/>
              </w:rPr>
            </w:pPr>
            <w:r>
              <w:rPr>
                <w:sz w:val="17"/>
                <w:lang w:eastAsia="en-GB"/>
              </w:rPr>
              <w:t>Qualitative information.</w:t>
            </w:r>
          </w:p>
        </w:tc>
      </w:tr>
      <w:tr w:rsidR="00B4195A" w14:paraId="46F542EB" w14:textId="77777777" w:rsidTr="00647044">
        <w:tc>
          <w:tcPr>
            <w:tcW w:w="2008" w:type="dxa"/>
          </w:tcPr>
          <w:p w14:paraId="63E531FF" w14:textId="77777777" w:rsidR="00B4195A" w:rsidRDefault="00B4195A" w:rsidP="00647044">
            <w:pPr>
              <w:spacing w:before="40" w:after="40"/>
              <w:rPr>
                <w:sz w:val="17"/>
                <w:lang w:eastAsia="en-GB"/>
              </w:rPr>
            </w:pPr>
            <w:r>
              <w:rPr>
                <w:b/>
                <w:sz w:val="17"/>
                <w:lang w:eastAsia="en-GB"/>
              </w:rPr>
              <w:t>Frequency:</w:t>
            </w:r>
          </w:p>
        </w:tc>
        <w:tc>
          <w:tcPr>
            <w:tcW w:w="7234" w:type="dxa"/>
          </w:tcPr>
          <w:p w14:paraId="6ABBF00E" w14:textId="77777777" w:rsidR="00B4195A" w:rsidRDefault="00B4195A" w:rsidP="00647044">
            <w:pPr>
              <w:pStyle w:val="TableText"/>
              <w:jc w:val="both"/>
              <w:rPr>
                <w:lang w:eastAsia="en-GB"/>
              </w:rPr>
            </w:pPr>
            <w:r>
              <w:rPr>
                <w:lang w:eastAsia="en-GB"/>
              </w:rPr>
              <w:t>Annual.</w:t>
            </w:r>
          </w:p>
        </w:tc>
      </w:tr>
      <w:tr w:rsidR="00B4195A" w14:paraId="21E0D8D0" w14:textId="77777777" w:rsidTr="00647044">
        <w:tc>
          <w:tcPr>
            <w:tcW w:w="2008" w:type="dxa"/>
          </w:tcPr>
          <w:p w14:paraId="4A15188C" w14:textId="77777777" w:rsidR="00B4195A" w:rsidRDefault="00B4195A" w:rsidP="00647044">
            <w:pPr>
              <w:spacing w:before="40" w:after="40"/>
              <w:rPr>
                <w:sz w:val="17"/>
                <w:lang w:eastAsia="en-GB"/>
              </w:rPr>
            </w:pPr>
            <w:r>
              <w:rPr>
                <w:b/>
                <w:sz w:val="17"/>
                <w:lang w:eastAsia="en-GB"/>
              </w:rPr>
              <w:t>Format:</w:t>
            </w:r>
          </w:p>
        </w:tc>
        <w:tc>
          <w:tcPr>
            <w:tcW w:w="7234" w:type="dxa"/>
          </w:tcPr>
          <w:p w14:paraId="265B9145" w14:textId="77777777" w:rsidR="00B4195A" w:rsidRDefault="00B4195A" w:rsidP="00647044">
            <w:pPr>
              <w:pStyle w:val="TableText"/>
              <w:jc w:val="both"/>
              <w:rPr>
                <w:lang w:eastAsia="en-GB"/>
              </w:rPr>
            </w:pPr>
            <w:r>
              <w:rPr>
                <w:lang w:eastAsia="en-GB"/>
              </w:rPr>
              <w:t>Flexible.</w:t>
            </w:r>
          </w:p>
        </w:tc>
      </w:tr>
      <w:tr w:rsidR="00B4195A" w14:paraId="12E18359" w14:textId="77777777" w:rsidTr="00647044">
        <w:tc>
          <w:tcPr>
            <w:tcW w:w="2008" w:type="dxa"/>
          </w:tcPr>
          <w:p w14:paraId="49EA67BF" w14:textId="77777777" w:rsidR="00B4195A" w:rsidRDefault="00B4195A" w:rsidP="00647044">
            <w:pPr>
              <w:spacing w:before="40" w:after="40"/>
              <w:rPr>
                <w:b/>
                <w:sz w:val="17"/>
                <w:lang w:eastAsia="en-GB"/>
              </w:rPr>
            </w:pPr>
            <w:r>
              <w:rPr>
                <w:b/>
                <w:sz w:val="17"/>
                <w:lang w:eastAsia="en-GB"/>
              </w:rPr>
              <w:t>Corresponding BDR section:</w:t>
            </w:r>
          </w:p>
        </w:tc>
        <w:tc>
          <w:tcPr>
            <w:tcW w:w="7234" w:type="dxa"/>
          </w:tcPr>
          <w:p w14:paraId="409AEF77" w14:textId="77777777" w:rsidR="00B4195A" w:rsidRDefault="00B4195A" w:rsidP="00647044">
            <w:pPr>
              <w:pStyle w:val="TableText"/>
              <w:jc w:val="both"/>
              <w:rPr>
                <w:lang w:eastAsia="en-GB"/>
              </w:rPr>
            </w:pPr>
            <w:r>
              <w:rPr>
                <w:lang w:eastAsia="en-GB"/>
              </w:rPr>
              <w:t>16G</w:t>
            </w:r>
          </w:p>
        </w:tc>
      </w:tr>
    </w:tbl>
    <w:p w14:paraId="70789C02" w14:textId="77777777" w:rsidR="00B4195A" w:rsidRDefault="00B4195A" w:rsidP="00B4195A">
      <w:pPr>
        <w:spacing w:before="120" w:after="120"/>
        <w:rPr>
          <w:sz w:val="22"/>
        </w:rPr>
      </w:pPr>
    </w:p>
    <w:tbl>
      <w:tblPr>
        <w:tblW w:w="9242" w:type="dxa"/>
        <w:tblInd w:w="-465" w:type="dxa"/>
        <w:tblCellMar>
          <w:left w:w="70" w:type="dxa"/>
          <w:right w:w="70" w:type="dxa"/>
        </w:tblCellMar>
        <w:tblLook w:val="00A0" w:firstRow="1" w:lastRow="0" w:firstColumn="1" w:lastColumn="0" w:noHBand="0" w:noVBand="0"/>
      </w:tblPr>
      <w:tblGrid>
        <w:gridCol w:w="370"/>
        <w:gridCol w:w="8872"/>
      </w:tblGrid>
      <w:tr w:rsidR="00B4195A" w14:paraId="271A298D" w14:textId="77777777" w:rsidTr="00647044">
        <w:trPr>
          <w:trHeight w:val="448"/>
        </w:trPr>
        <w:tc>
          <w:tcPr>
            <w:tcW w:w="9242" w:type="dxa"/>
            <w:gridSpan w:val="2"/>
            <w:tcBorders>
              <w:top w:val="single" w:sz="4" w:space="0" w:color="auto"/>
              <w:bottom w:val="single" w:sz="4" w:space="0" w:color="auto"/>
            </w:tcBorders>
            <w:vAlign w:val="center"/>
          </w:tcPr>
          <w:p w14:paraId="5E05FF25" w14:textId="77777777" w:rsidR="00B4195A" w:rsidRDefault="00B4195A" w:rsidP="00647044">
            <w:pPr>
              <w:widowControl w:val="0"/>
              <w:spacing w:before="40" w:after="40"/>
              <w:jc w:val="both"/>
              <w:rPr>
                <w:sz w:val="17"/>
                <w:szCs w:val="17"/>
              </w:rPr>
            </w:pPr>
            <w:r>
              <w:rPr>
                <w:sz w:val="17"/>
                <w:szCs w:val="17"/>
                <w:lang w:eastAsia="fr-FR"/>
              </w:rPr>
              <w:t>An AI should disclose its risk management objectives and policies for credit risk, particularly focusing on:</w:t>
            </w:r>
          </w:p>
        </w:tc>
      </w:tr>
      <w:tr w:rsidR="00B4195A" w14:paraId="5BDABF09" w14:textId="77777777" w:rsidTr="00647044">
        <w:trPr>
          <w:trHeight w:val="318"/>
        </w:trPr>
        <w:tc>
          <w:tcPr>
            <w:tcW w:w="370" w:type="dxa"/>
            <w:tcBorders>
              <w:top w:val="single" w:sz="4" w:space="0" w:color="auto"/>
              <w:bottom w:val="single" w:sz="4" w:space="0" w:color="auto"/>
            </w:tcBorders>
            <w:noWrap/>
          </w:tcPr>
          <w:p w14:paraId="31B8CA69" w14:textId="77777777" w:rsidR="00B4195A" w:rsidRDefault="00B4195A" w:rsidP="00647044">
            <w:pPr>
              <w:widowControl w:val="0"/>
              <w:spacing w:before="40" w:after="40"/>
              <w:rPr>
                <w:sz w:val="17"/>
                <w:szCs w:val="17"/>
              </w:rPr>
            </w:pPr>
            <w:r>
              <w:rPr>
                <w:sz w:val="17"/>
                <w:szCs w:val="17"/>
              </w:rPr>
              <w:t>(a)</w:t>
            </w:r>
          </w:p>
        </w:tc>
        <w:tc>
          <w:tcPr>
            <w:tcW w:w="8872" w:type="dxa"/>
            <w:tcBorders>
              <w:top w:val="single" w:sz="4" w:space="0" w:color="auto"/>
              <w:bottom w:val="single" w:sz="4" w:space="0" w:color="auto"/>
            </w:tcBorders>
            <w:noWrap/>
            <w:vAlign w:val="center"/>
          </w:tcPr>
          <w:p w14:paraId="1939DCDD" w14:textId="77777777" w:rsidR="00B4195A" w:rsidRDefault="00B4195A" w:rsidP="00647044">
            <w:pPr>
              <w:pStyle w:val="TableText"/>
              <w:jc w:val="both"/>
              <w:rPr>
                <w:lang w:eastAsia="fr-FR"/>
              </w:rPr>
            </w:pPr>
            <w:r>
              <w:rPr>
                <w:lang w:eastAsia="fr-FR"/>
              </w:rPr>
              <w:t>how the business model translates into the components of its credit risk profile;</w:t>
            </w:r>
          </w:p>
        </w:tc>
      </w:tr>
      <w:tr w:rsidR="00B4195A" w14:paraId="497D9C01" w14:textId="77777777" w:rsidTr="00647044">
        <w:trPr>
          <w:trHeight w:val="318"/>
        </w:trPr>
        <w:tc>
          <w:tcPr>
            <w:tcW w:w="370" w:type="dxa"/>
            <w:tcBorders>
              <w:top w:val="single" w:sz="4" w:space="0" w:color="auto"/>
              <w:bottom w:val="single" w:sz="4" w:space="0" w:color="auto"/>
            </w:tcBorders>
            <w:noWrap/>
          </w:tcPr>
          <w:p w14:paraId="71DF914F" w14:textId="77777777" w:rsidR="00B4195A" w:rsidRDefault="00B4195A" w:rsidP="00647044">
            <w:pPr>
              <w:widowControl w:val="0"/>
              <w:spacing w:before="40" w:after="40"/>
              <w:rPr>
                <w:sz w:val="17"/>
                <w:szCs w:val="17"/>
              </w:rPr>
            </w:pPr>
            <w:r>
              <w:rPr>
                <w:sz w:val="17"/>
                <w:szCs w:val="17"/>
              </w:rPr>
              <w:t>(b)</w:t>
            </w:r>
          </w:p>
        </w:tc>
        <w:tc>
          <w:tcPr>
            <w:tcW w:w="8872" w:type="dxa"/>
            <w:tcBorders>
              <w:top w:val="single" w:sz="4" w:space="0" w:color="auto"/>
              <w:bottom w:val="single" w:sz="4" w:space="0" w:color="auto"/>
            </w:tcBorders>
            <w:noWrap/>
            <w:vAlign w:val="center"/>
          </w:tcPr>
          <w:p w14:paraId="28D68A1F" w14:textId="77777777" w:rsidR="00B4195A" w:rsidRDefault="00B4195A" w:rsidP="00647044">
            <w:pPr>
              <w:pStyle w:val="TableText"/>
              <w:jc w:val="both"/>
              <w:rPr>
                <w:lang w:eastAsia="fr-FR"/>
              </w:rPr>
            </w:pPr>
            <w:r>
              <w:rPr>
                <w:noProof/>
                <w:lang w:eastAsia="en-GB"/>
              </w:rPr>
              <w:t>criteria and approach used for defining credit risk management policy and setting credit risk limits;</w:t>
            </w:r>
          </w:p>
        </w:tc>
      </w:tr>
      <w:tr w:rsidR="00B4195A" w14:paraId="0BA66366" w14:textId="77777777" w:rsidTr="00647044">
        <w:trPr>
          <w:trHeight w:val="318"/>
        </w:trPr>
        <w:tc>
          <w:tcPr>
            <w:tcW w:w="370" w:type="dxa"/>
            <w:tcBorders>
              <w:top w:val="single" w:sz="4" w:space="0" w:color="auto"/>
              <w:bottom w:val="single" w:sz="4" w:space="0" w:color="auto"/>
            </w:tcBorders>
            <w:noWrap/>
          </w:tcPr>
          <w:p w14:paraId="72D6BCE9" w14:textId="77777777" w:rsidR="00B4195A" w:rsidRDefault="00B4195A" w:rsidP="00647044">
            <w:pPr>
              <w:widowControl w:val="0"/>
              <w:spacing w:before="40" w:after="40"/>
              <w:rPr>
                <w:sz w:val="17"/>
                <w:szCs w:val="17"/>
              </w:rPr>
            </w:pPr>
            <w:r>
              <w:rPr>
                <w:sz w:val="17"/>
                <w:szCs w:val="17"/>
              </w:rPr>
              <w:t>(c)</w:t>
            </w:r>
          </w:p>
        </w:tc>
        <w:tc>
          <w:tcPr>
            <w:tcW w:w="8872" w:type="dxa"/>
            <w:tcBorders>
              <w:top w:val="single" w:sz="4" w:space="0" w:color="auto"/>
              <w:bottom w:val="single" w:sz="4" w:space="0" w:color="auto"/>
            </w:tcBorders>
            <w:noWrap/>
            <w:vAlign w:val="center"/>
          </w:tcPr>
          <w:p w14:paraId="331A1BB9" w14:textId="77777777" w:rsidR="00B4195A" w:rsidRDefault="00B4195A" w:rsidP="00647044">
            <w:pPr>
              <w:pStyle w:val="TableText"/>
              <w:jc w:val="both"/>
              <w:rPr>
                <w:lang w:eastAsia="fr-FR"/>
              </w:rPr>
            </w:pPr>
            <w:r>
              <w:rPr>
                <w:noProof/>
                <w:lang w:eastAsia="en-GB"/>
              </w:rPr>
              <w:t>structure and organization of the credit risk management and control function;</w:t>
            </w:r>
          </w:p>
        </w:tc>
      </w:tr>
      <w:tr w:rsidR="00B4195A" w14:paraId="2848297C" w14:textId="77777777" w:rsidTr="00647044">
        <w:trPr>
          <w:trHeight w:val="318"/>
        </w:trPr>
        <w:tc>
          <w:tcPr>
            <w:tcW w:w="370" w:type="dxa"/>
            <w:tcBorders>
              <w:top w:val="single" w:sz="4" w:space="0" w:color="auto"/>
              <w:bottom w:val="single" w:sz="4" w:space="0" w:color="auto"/>
            </w:tcBorders>
            <w:noWrap/>
          </w:tcPr>
          <w:p w14:paraId="093FF5B5" w14:textId="77777777" w:rsidR="00B4195A" w:rsidRDefault="00B4195A" w:rsidP="00647044">
            <w:pPr>
              <w:widowControl w:val="0"/>
              <w:spacing w:before="40" w:after="40"/>
              <w:rPr>
                <w:sz w:val="17"/>
                <w:szCs w:val="17"/>
              </w:rPr>
            </w:pPr>
            <w:r>
              <w:rPr>
                <w:sz w:val="17"/>
                <w:szCs w:val="17"/>
              </w:rPr>
              <w:t>(d)</w:t>
            </w:r>
          </w:p>
        </w:tc>
        <w:tc>
          <w:tcPr>
            <w:tcW w:w="8872" w:type="dxa"/>
            <w:tcBorders>
              <w:top w:val="single" w:sz="4" w:space="0" w:color="auto"/>
              <w:bottom w:val="single" w:sz="4" w:space="0" w:color="auto"/>
            </w:tcBorders>
            <w:noWrap/>
            <w:vAlign w:val="center"/>
          </w:tcPr>
          <w:p w14:paraId="75C1D653" w14:textId="77777777" w:rsidR="00B4195A" w:rsidRDefault="00B4195A" w:rsidP="00647044">
            <w:pPr>
              <w:pStyle w:val="TableText"/>
              <w:jc w:val="both"/>
              <w:rPr>
                <w:lang w:eastAsia="fr-FR"/>
              </w:rPr>
            </w:pPr>
            <w:r>
              <w:rPr>
                <w:noProof/>
                <w:lang w:eastAsia="en-GB"/>
              </w:rPr>
              <w:t>relationships between the credit risk management, risk control, compliance and internal audit functions; and</w:t>
            </w:r>
          </w:p>
        </w:tc>
      </w:tr>
      <w:tr w:rsidR="00B4195A" w14:paraId="02FAB222" w14:textId="77777777" w:rsidTr="00647044">
        <w:trPr>
          <w:trHeight w:val="318"/>
        </w:trPr>
        <w:tc>
          <w:tcPr>
            <w:tcW w:w="370" w:type="dxa"/>
            <w:tcBorders>
              <w:top w:val="single" w:sz="4" w:space="0" w:color="auto"/>
              <w:bottom w:val="single" w:sz="4" w:space="0" w:color="auto"/>
            </w:tcBorders>
            <w:noWrap/>
          </w:tcPr>
          <w:p w14:paraId="736C5349" w14:textId="77777777" w:rsidR="00B4195A" w:rsidRDefault="00B4195A" w:rsidP="00647044">
            <w:pPr>
              <w:widowControl w:val="0"/>
              <w:spacing w:before="40" w:after="40"/>
              <w:rPr>
                <w:sz w:val="17"/>
                <w:szCs w:val="17"/>
              </w:rPr>
            </w:pPr>
            <w:r>
              <w:rPr>
                <w:sz w:val="17"/>
                <w:szCs w:val="17"/>
              </w:rPr>
              <w:t>(e)</w:t>
            </w:r>
          </w:p>
        </w:tc>
        <w:tc>
          <w:tcPr>
            <w:tcW w:w="8872" w:type="dxa"/>
            <w:tcBorders>
              <w:top w:val="single" w:sz="4" w:space="0" w:color="auto"/>
              <w:bottom w:val="single" w:sz="4" w:space="0" w:color="auto"/>
            </w:tcBorders>
            <w:noWrap/>
            <w:vAlign w:val="center"/>
          </w:tcPr>
          <w:p w14:paraId="1DC3FE2C" w14:textId="77777777" w:rsidR="00B4195A" w:rsidRDefault="00B4195A" w:rsidP="00647044">
            <w:pPr>
              <w:pStyle w:val="TableText"/>
              <w:jc w:val="both"/>
              <w:rPr>
                <w:lang w:eastAsia="fr-FR"/>
              </w:rPr>
            </w:pPr>
            <w:r>
              <w:rPr>
                <w:noProof/>
                <w:lang w:eastAsia="en-GB"/>
              </w:rPr>
              <w:t>scope and main content of the reporting on credit risk exposure and on the credit risk management function to the senior management and to the board of directors.</w:t>
            </w:r>
          </w:p>
        </w:tc>
      </w:tr>
    </w:tbl>
    <w:p w14:paraId="66907527" w14:textId="77777777" w:rsidR="00B4195A" w:rsidRDefault="00B4195A" w:rsidP="00B4195A">
      <w:pPr>
        <w:spacing w:before="40" w:after="40"/>
        <w:rPr>
          <w:sz w:val="22"/>
        </w:rPr>
        <w:sectPr w:rsidR="00B4195A">
          <w:footerReference w:type="default" r:id="rId42"/>
          <w:pgSz w:w="11906" w:h="16838" w:code="9"/>
          <w:pgMar w:top="1440" w:right="1416" w:bottom="1440" w:left="1797" w:header="851" w:footer="737" w:gutter="0"/>
          <w:cols w:space="425"/>
          <w:docGrid w:type="linesAndChars" w:linePitch="360"/>
        </w:sectPr>
      </w:pPr>
    </w:p>
    <w:p w14:paraId="4720E040" w14:textId="452DA9FF" w:rsidR="00C05EEB" w:rsidRDefault="00C05EEB" w:rsidP="00461D56">
      <w:pPr>
        <w:pStyle w:val="Heading3"/>
        <w:ind w:left="-340" w:right="-283"/>
      </w:pPr>
      <w:r>
        <w:lastRenderedPageBreak/>
        <w:t>Template CR1: Credit quality of exposures</w:t>
      </w:r>
    </w:p>
    <w:tbl>
      <w:tblPr>
        <w:tblW w:w="9204"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196"/>
      </w:tblGrid>
      <w:tr w:rsidR="003B5961" w14:paraId="27DB9D27" w14:textId="77777777" w:rsidTr="003848B8">
        <w:tc>
          <w:tcPr>
            <w:tcW w:w="2008" w:type="dxa"/>
          </w:tcPr>
          <w:p w14:paraId="680EC2F3" w14:textId="77777777" w:rsidR="003B5961" w:rsidRDefault="003B5961" w:rsidP="003848B8">
            <w:pPr>
              <w:spacing w:before="40" w:after="40"/>
              <w:rPr>
                <w:noProof/>
                <w:sz w:val="17"/>
                <w:lang w:eastAsia="en-GB"/>
              </w:rPr>
            </w:pPr>
            <w:r>
              <w:rPr>
                <w:b/>
                <w:sz w:val="17"/>
                <w:lang w:eastAsia="en-GB"/>
              </w:rPr>
              <w:t>Purpose:</w:t>
            </w:r>
            <w:r>
              <w:rPr>
                <w:sz w:val="17"/>
                <w:lang w:eastAsia="en-GB"/>
              </w:rPr>
              <w:t xml:space="preserve"> </w:t>
            </w:r>
          </w:p>
        </w:tc>
        <w:tc>
          <w:tcPr>
            <w:tcW w:w="7196" w:type="dxa"/>
          </w:tcPr>
          <w:p w14:paraId="1959DF63" w14:textId="77777777" w:rsidR="003B5961" w:rsidRDefault="003B5961" w:rsidP="003848B8">
            <w:pPr>
              <w:pStyle w:val="TableText"/>
              <w:jc w:val="both"/>
              <w:rPr>
                <w:noProof/>
                <w:lang w:eastAsia="en-GB"/>
              </w:rPr>
            </w:pPr>
            <w:r>
              <w:rPr>
                <w:lang w:eastAsia="en-GB"/>
              </w:rPr>
              <w:t>To provide an overview of the credit quality of on- and off-balance sheet exposures.</w:t>
            </w:r>
          </w:p>
        </w:tc>
      </w:tr>
      <w:tr w:rsidR="003B5961" w14:paraId="0FCC1F07" w14:textId="77777777" w:rsidTr="003848B8">
        <w:tc>
          <w:tcPr>
            <w:tcW w:w="2008" w:type="dxa"/>
          </w:tcPr>
          <w:p w14:paraId="2F289FE2" w14:textId="77777777" w:rsidR="003B5961" w:rsidRDefault="003B5961" w:rsidP="003848B8">
            <w:pPr>
              <w:spacing w:before="40" w:after="40"/>
              <w:rPr>
                <w:b/>
                <w:sz w:val="17"/>
                <w:lang w:eastAsia="en-GB"/>
              </w:rPr>
            </w:pPr>
            <w:r>
              <w:rPr>
                <w:b/>
                <w:sz w:val="17"/>
                <w:lang w:eastAsia="en-GB"/>
              </w:rPr>
              <w:t xml:space="preserve">Scope of application: </w:t>
            </w:r>
          </w:p>
        </w:tc>
        <w:tc>
          <w:tcPr>
            <w:tcW w:w="7196" w:type="dxa"/>
          </w:tcPr>
          <w:p w14:paraId="448A7C37" w14:textId="77777777" w:rsidR="003B5961" w:rsidRDefault="003B5961" w:rsidP="003848B8">
            <w:pPr>
              <w:spacing w:before="40" w:after="40"/>
              <w:jc w:val="both"/>
              <w:rPr>
                <w:rFonts w:eastAsia="新細明體"/>
                <w:b/>
                <w:sz w:val="17"/>
                <w:lang w:eastAsia="en-GB"/>
              </w:rPr>
            </w:pPr>
            <w:r>
              <w:rPr>
                <w:rFonts w:eastAsia="新細明體"/>
                <w:sz w:val="17"/>
                <w:lang w:eastAsia="en-GB"/>
              </w:rPr>
              <w:t>The template is mandatory for all AIs</w:t>
            </w:r>
            <w:r>
              <w:t xml:space="preserve"> </w:t>
            </w:r>
            <w:r>
              <w:rPr>
                <w:rFonts w:eastAsia="新細明體"/>
                <w:sz w:val="17"/>
                <w:lang w:eastAsia="en-GB"/>
              </w:rPr>
              <w:t xml:space="preserve">incorporated in Hong Kong. </w:t>
            </w:r>
          </w:p>
        </w:tc>
      </w:tr>
      <w:tr w:rsidR="003B5961" w14:paraId="2C27F1BA" w14:textId="77777777" w:rsidTr="003848B8">
        <w:tc>
          <w:tcPr>
            <w:tcW w:w="2008" w:type="dxa"/>
          </w:tcPr>
          <w:p w14:paraId="24CF093D" w14:textId="77777777" w:rsidR="003B5961" w:rsidRDefault="003B5961" w:rsidP="003848B8">
            <w:pPr>
              <w:spacing w:before="40" w:after="40"/>
              <w:rPr>
                <w:b/>
                <w:sz w:val="17"/>
                <w:lang w:eastAsia="en-GB"/>
              </w:rPr>
            </w:pPr>
            <w:r>
              <w:rPr>
                <w:b/>
                <w:sz w:val="17"/>
                <w:lang w:eastAsia="en-GB"/>
              </w:rPr>
              <w:t xml:space="preserve">Content: </w:t>
            </w:r>
          </w:p>
        </w:tc>
        <w:tc>
          <w:tcPr>
            <w:tcW w:w="7196" w:type="dxa"/>
          </w:tcPr>
          <w:p w14:paraId="35A23DC1" w14:textId="77777777" w:rsidR="003B5961" w:rsidRDefault="003B5961" w:rsidP="003848B8">
            <w:pPr>
              <w:spacing w:before="40" w:after="40"/>
              <w:jc w:val="both"/>
              <w:rPr>
                <w:rFonts w:eastAsia="新細明體"/>
                <w:b/>
                <w:sz w:val="17"/>
                <w:lang w:eastAsia="en-GB"/>
              </w:rPr>
            </w:pPr>
            <w:r>
              <w:rPr>
                <w:rFonts w:eastAsia="新細明體"/>
                <w:sz w:val="17"/>
                <w:lang w:eastAsia="en-GB"/>
              </w:rPr>
              <w:t>Carrying amounts that correspond to the values reported in financial statements but according to the scope of regulatory consolidation for capital adequacy purposes.</w:t>
            </w:r>
          </w:p>
        </w:tc>
      </w:tr>
      <w:tr w:rsidR="003B5961" w14:paraId="42C71DDE" w14:textId="77777777" w:rsidTr="003848B8">
        <w:tc>
          <w:tcPr>
            <w:tcW w:w="2008" w:type="dxa"/>
          </w:tcPr>
          <w:p w14:paraId="13713388" w14:textId="77777777" w:rsidR="003B5961" w:rsidRDefault="003B5961" w:rsidP="003848B8">
            <w:pPr>
              <w:spacing w:before="40" w:after="40"/>
              <w:rPr>
                <w:sz w:val="17"/>
                <w:lang w:eastAsia="en-GB"/>
              </w:rPr>
            </w:pPr>
            <w:r>
              <w:rPr>
                <w:b/>
                <w:sz w:val="17"/>
                <w:lang w:eastAsia="en-GB"/>
              </w:rPr>
              <w:t>Frequency:</w:t>
            </w:r>
            <w:r>
              <w:rPr>
                <w:sz w:val="17"/>
                <w:lang w:eastAsia="en-GB"/>
              </w:rPr>
              <w:t xml:space="preserve"> </w:t>
            </w:r>
          </w:p>
        </w:tc>
        <w:tc>
          <w:tcPr>
            <w:tcW w:w="7196" w:type="dxa"/>
          </w:tcPr>
          <w:p w14:paraId="78D29C67" w14:textId="77777777" w:rsidR="003B5961" w:rsidRDefault="003B5961" w:rsidP="003848B8">
            <w:pPr>
              <w:pStyle w:val="TableText"/>
              <w:jc w:val="both"/>
              <w:rPr>
                <w:lang w:eastAsia="en-GB"/>
              </w:rPr>
            </w:pPr>
            <w:r>
              <w:rPr>
                <w:lang w:eastAsia="en-GB"/>
              </w:rPr>
              <w:t>Semi-annual.</w:t>
            </w:r>
          </w:p>
        </w:tc>
      </w:tr>
      <w:tr w:rsidR="003B5961" w14:paraId="3AE9CDAE" w14:textId="77777777" w:rsidTr="003848B8">
        <w:tc>
          <w:tcPr>
            <w:tcW w:w="2008" w:type="dxa"/>
          </w:tcPr>
          <w:p w14:paraId="6BD1B0A0" w14:textId="77777777" w:rsidR="003B5961" w:rsidRDefault="003B5961" w:rsidP="003848B8">
            <w:pPr>
              <w:spacing w:before="40" w:after="40"/>
              <w:rPr>
                <w:sz w:val="17"/>
                <w:lang w:eastAsia="en-GB"/>
              </w:rPr>
            </w:pPr>
            <w:r>
              <w:rPr>
                <w:b/>
                <w:sz w:val="17"/>
                <w:lang w:eastAsia="en-GB"/>
              </w:rPr>
              <w:t>Format:</w:t>
            </w:r>
            <w:r>
              <w:rPr>
                <w:sz w:val="17"/>
                <w:lang w:eastAsia="en-GB"/>
              </w:rPr>
              <w:t xml:space="preserve"> </w:t>
            </w:r>
          </w:p>
        </w:tc>
        <w:tc>
          <w:tcPr>
            <w:tcW w:w="7196" w:type="dxa"/>
          </w:tcPr>
          <w:p w14:paraId="6671E84D" w14:textId="77777777" w:rsidR="003B5961" w:rsidRDefault="003B5961" w:rsidP="003848B8">
            <w:pPr>
              <w:pStyle w:val="TableText"/>
              <w:jc w:val="both"/>
              <w:rPr>
                <w:lang w:eastAsia="en-GB"/>
              </w:rPr>
            </w:pPr>
            <w:r>
              <w:rPr>
                <w:lang w:eastAsia="en-GB"/>
              </w:rPr>
              <w:t>Fixed.</w:t>
            </w:r>
          </w:p>
        </w:tc>
      </w:tr>
      <w:tr w:rsidR="003B5961" w14:paraId="3A25B250" w14:textId="77777777" w:rsidTr="003848B8">
        <w:tc>
          <w:tcPr>
            <w:tcW w:w="2008" w:type="dxa"/>
          </w:tcPr>
          <w:p w14:paraId="368461C8" w14:textId="77777777" w:rsidR="003B5961" w:rsidRDefault="003B5961" w:rsidP="003848B8">
            <w:pPr>
              <w:spacing w:before="40" w:after="40"/>
              <w:rPr>
                <w:b/>
                <w:sz w:val="17"/>
                <w:lang w:eastAsia="en-GB"/>
              </w:rPr>
            </w:pPr>
            <w:r>
              <w:rPr>
                <w:rFonts w:eastAsia="新細明體"/>
                <w:b/>
                <w:sz w:val="17"/>
                <w:szCs w:val="17"/>
                <w:lang w:eastAsia="en-GB"/>
              </w:rPr>
              <w:t>Accompanying narrative</w:t>
            </w:r>
            <w:r>
              <w:rPr>
                <w:rFonts w:eastAsia="新細明體"/>
                <w:sz w:val="17"/>
                <w:szCs w:val="17"/>
                <w:lang w:eastAsia="en-GB"/>
              </w:rPr>
              <w:t>:</w:t>
            </w:r>
          </w:p>
        </w:tc>
        <w:tc>
          <w:tcPr>
            <w:tcW w:w="7196" w:type="dxa"/>
          </w:tcPr>
          <w:p w14:paraId="0FA7F9C5" w14:textId="65630997" w:rsidR="003B5961" w:rsidRDefault="003B5961" w:rsidP="003848B8">
            <w:pPr>
              <w:pStyle w:val="TableText"/>
              <w:jc w:val="both"/>
              <w:rPr>
                <w:lang w:eastAsia="en-GB"/>
              </w:rPr>
            </w:pPr>
            <w:r>
              <w:rPr>
                <w:lang w:eastAsia="en-GB"/>
              </w:rPr>
              <w:t>An AI</w:t>
            </w:r>
            <w:r w:rsidRPr="00EE1685">
              <w:rPr>
                <w:lang w:eastAsia="en-GB"/>
              </w:rPr>
              <w:t xml:space="preserve"> </w:t>
            </w:r>
            <w:r>
              <w:rPr>
                <w:lang w:eastAsia="en-GB"/>
              </w:rPr>
              <w:t>should provide its definition of “default”</w:t>
            </w:r>
            <w:r w:rsidRPr="00EE1685">
              <w:rPr>
                <w:lang w:eastAsia="en-GB"/>
              </w:rPr>
              <w:t>.</w:t>
            </w:r>
            <w:r>
              <w:rPr>
                <w:lang w:eastAsia="en-GB"/>
              </w:rPr>
              <w:t xml:space="preserve">  </w:t>
            </w:r>
          </w:p>
        </w:tc>
      </w:tr>
      <w:tr w:rsidR="003B5961" w14:paraId="1BF11560" w14:textId="77777777" w:rsidTr="003848B8">
        <w:tc>
          <w:tcPr>
            <w:tcW w:w="2008" w:type="dxa"/>
          </w:tcPr>
          <w:p w14:paraId="5336864C" w14:textId="77777777" w:rsidR="003B5961" w:rsidRDefault="003B5961" w:rsidP="003848B8">
            <w:pPr>
              <w:spacing w:before="40" w:after="40"/>
              <w:rPr>
                <w:rFonts w:eastAsia="新細明體"/>
                <w:b/>
                <w:sz w:val="17"/>
                <w:szCs w:val="17"/>
                <w:lang w:eastAsia="en-GB"/>
              </w:rPr>
            </w:pPr>
            <w:r>
              <w:rPr>
                <w:rFonts w:eastAsia="新細明體"/>
                <w:b/>
                <w:sz w:val="17"/>
                <w:szCs w:val="17"/>
                <w:lang w:eastAsia="en-GB"/>
              </w:rPr>
              <w:t>Corresponding BDR section:</w:t>
            </w:r>
          </w:p>
        </w:tc>
        <w:tc>
          <w:tcPr>
            <w:tcW w:w="7196" w:type="dxa"/>
          </w:tcPr>
          <w:p w14:paraId="6DCAE647" w14:textId="77777777" w:rsidR="003B5961" w:rsidRDefault="003B5961" w:rsidP="003848B8">
            <w:pPr>
              <w:pStyle w:val="TableText"/>
              <w:jc w:val="both"/>
              <w:rPr>
                <w:lang w:eastAsia="en-GB"/>
              </w:rPr>
            </w:pPr>
            <w:r>
              <w:rPr>
                <w:lang w:eastAsia="en-GB"/>
              </w:rPr>
              <w:t>16H</w:t>
            </w:r>
          </w:p>
        </w:tc>
      </w:tr>
    </w:tbl>
    <w:p w14:paraId="0ACDC6CA" w14:textId="77777777" w:rsidR="003B5961" w:rsidRDefault="003B5961" w:rsidP="003B5961">
      <w:pPr>
        <w:spacing w:before="120" w:after="120"/>
        <w:rPr>
          <w:sz w:val="22"/>
        </w:rPr>
      </w:pPr>
    </w:p>
    <w:tbl>
      <w:tblPr>
        <w:tblW w:w="9214" w:type="dxa"/>
        <w:tblInd w:w="-459"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ayout w:type="fixed"/>
        <w:tblLook w:val="00A0" w:firstRow="1" w:lastRow="0" w:firstColumn="1" w:lastColumn="0" w:noHBand="0" w:noVBand="0"/>
      </w:tblPr>
      <w:tblGrid>
        <w:gridCol w:w="302"/>
        <w:gridCol w:w="1116"/>
        <w:gridCol w:w="992"/>
        <w:gridCol w:w="992"/>
        <w:gridCol w:w="1276"/>
        <w:gridCol w:w="1134"/>
        <w:gridCol w:w="1276"/>
        <w:gridCol w:w="1134"/>
        <w:gridCol w:w="992"/>
      </w:tblGrid>
      <w:tr w:rsidR="003B5961" w14:paraId="44F90C53" w14:textId="77777777" w:rsidTr="003848B8">
        <w:trPr>
          <w:cantSplit/>
          <w:trHeight w:val="249"/>
        </w:trPr>
        <w:tc>
          <w:tcPr>
            <w:tcW w:w="302" w:type="dxa"/>
            <w:tcBorders>
              <w:top w:val="nil"/>
              <w:left w:val="nil"/>
              <w:bottom w:val="nil"/>
              <w:right w:val="nil"/>
            </w:tcBorders>
            <w:vAlign w:val="center"/>
          </w:tcPr>
          <w:p w14:paraId="134FEEBB" w14:textId="77777777" w:rsidR="003B5961" w:rsidRDefault="003B5961" w:rsidP="003848B8">
            <w:pPr>
              <w:keepNext/>
              <w:snapToGrid w:val="0"/>
              <w:spacing w:before="20" w:after="20"/>
              <w:jc w:val="center"/>
              <w:rPr>
                <w:rFonts w:cs="Segoe UI"/>
                <w:sz w:val="17"/>
                <w:szCs w:val="17"/>
                <w:lang w:eastAsia="en-GB"/>
              </w:rPr>
            </w:pPr>
          </w:p>
        </w:tc>
        <w:tc>
          <w:tcPr>
            <w:tcW w:w="1116" w:type="dxa"/>
            <w:tcBorders>
              <w:top w:val="nil"/>
              <w:left w:val="nil"/>
              <w:bottom w:val="nil"/>
              <w:right w:val="single" w:sz="4" w:space="0" w:color="auto"/>
            </w:tcBorders>
            <w:vAlign w:val="center"/>
          </w:tcPr>
          <w:p w14:paraId="7C862A03" w14:textId="77777777" w:rsidR="003B5961" w:rsidRDefault="003B5961" w:rsidP="003848B8">
            <w:pPr>
              <w:keepNext/>
              <w:snapToGrid w:val="0"/>
              <w:spacing w:before="20" w:after="20"/>
              <w:jc w:val="center"/>
              <w:rPr>
                <w:rFonts w:cs="Segoe UI"/>
                <w:sz w:val="17"/>
                <w:szCs w:val="17"/>
                <w:lang w:eastAsia="en-GB"/>
              </w:rPr>
            </w:pPr>
          </w:p>
        </w:tc>
        <w:tc>
          <w:tcPr>
            <w:tcW w:w="992" w:type="dxa"/>
            <w:tcBorders>
              <w:top w:val="single" w:sz="4" w:space="0" w:color="auto"/>
              <w:left w:val="single" w:sz="4" w:space="0" w:color="auto"/>
              <w:bottom w:val="single" w:sz="4" w:space="0" w:color="auto"/>
              <w:right w:val="single" w:sz="4" w:space="0" w:color="auto"/>
            </w:tcBorders>
            <w:vAlign w:val="center"/>
          </w:tcPr>
          <w:p w14:paraId="4206AA21" w14:textId="77777777" w:rsidR="003B5961" w:rsidRDefault="003B5961" w:rsidP="003848B8">
            <w:pPr>
              <w:keepNext/>
              <w:snapToGrid w:val="0"/>
              <w:spacing w:before="20" w:after="20"/>
              <w:jc w:val="center"/>
              <w:rPr>
                <w:rFonts w:cs="Segoe UI"/>
                <w:sz w:val="17"/>
                <w:szCs w:val="17"/>
                <w:lang w:eastAsia="en-GB"/>
              </w:rPr>
            </w:pPr>
            <w:r>
              <w:rPr>
                <w:rFonts w:cs="Segoe UI"/>
                <w:sz w:val="17"/>
                <w:szCs w:val="17"/>
                <w:lang w:eastAsia="en-GB"/>
              </w:rPr>
              <w:t>(a)</w:t>
            </w:r>
          </w:p>
        </w:tc>
        <w:tc>
          <w:tcPr>
            <w:tcW w:w="992" w:type="dxa"/>
            <w:tcBorders>
              <w:top w:val="single" w:sz="4" w:space="0" w:color="auto"/>
              <w:left w:val="single" w:sz="4" w:space="0" w:color="auto"/>
              <w:bottom w:val="single" w:sz="4" w:space="0" w:color="auto"/>
              <w:right w:val="single" w:sz="4" w:space="0" w:color="auto"/>
            </w:tcBorders>
            <w:vAlign w:val="center"/>
          </w:tcPr>
          <w:p w14:paraId="14B98357" w14:textId="77777777" w:rsidR="003B5961" w:rsidRDefault="003B5961" w:rsidP="003848B8">
            <w:pPr>
              <w:keepNext/>
              <w:snapToGrid w:val="0"/>
              <w:spacing w:before="20" w:after="20"/>
              <w:jc w:val="center"/>
              <w:rPr>
                <w:rFonts w:cs="Segoe UI"/>
                <w:sz w:val="17"/>
                <w:szCs w:val="17"/>
                <w:lang w:eastAsia="en-GB"/>
              </w:rPr>
            </w:pPr>
            <w:r>
              <w:rPr>
                <w:rFonts w:cs="Segoe UI"/>
                <w:sz w:val="17"/>
                <w:szCs w:val="17"/>
                <w:lang w:eastAsia="en-GB"/>
              </w:rPr>
              <w:t>(b)</w:t>
            </w:r>
          </w:p>
        </w:tc>
        <w:tc>
          <w:tcPr>
            <w:tcW w:w="1276" w:type="dxa"/>
            <w:tcBorders>
              <w:top w:val="single" w:sz="4" w:space="0" w:color="auto"/>
              <w:left w:val="single" w:sz="4" w:space="0" w:color="auto"/>
              <w:bottom w:val="single" w:sz="4" w:space="0" w:color="auto"/>
              <w:right w:val="single" w:sz="4" w:space="0" w:color="auto"/>
            </w:tcBorders>
            <w:vAlign w:val="center"/>
          </w:tcPr>
          <w:p w14:paraId="2BF061CB" w14:textId="77777777" w:rsidR="003B5961" w:rsidRDefault="003B5961" w:rsidP="003848B8">
            <w:pPr>
              <w:keepNext/>
              <w:snapToGrid w:val="0"/>
              <w:spacing w:before="20" w:after="20"/>
              <w:jc w:val="center"/>
              <w:rPr>
                <w:rFonts w:cs="Segoe UI"/>
                <w:sz w:val="17"/>
                <w:szCs w:val="17"/>
                <w:lang w:eastAsia="en-GB"/>
              </w:rPr>
            </w:pPr>
            <w:r>
              <w:rPr>
                <w:rFonts w:cs="Segoe UI"/>
                <w:sz w:val="17"/>
                <w:szCs w:val="17"/>
                <w:lang w:eastAsia="en-GB"/>
              </w:rPr>
              <w:t>(c)</w:t>
            </w:r>
          </w:p>
        </w:tc>
        <w:tc>
          <w:tcPr>
            <w:tcW w:w="1134" w:type="dxa"/>
            <w:tcBorders>
              <w:top w:val="single" w:sz="4" w:space="0" w:color="auto"/>
              <w:left w:val="single" w:sz="4" w:space="0" w:color="auto"/>
              <w:bottom w:val="single" w:sz="4" w:space="0" w:color="auto"/>
              <w:right w:val="single" w:sz="4" w:space="0" w:color="auto"/>
            </w:tcBorders>
          </w:tcPr>
          <w:p w14:paraId="3FE483A2" w14:textId="77777777" w:rsidR="003B5961" w:rsidRDefault="003B5961" w:rsidP="003848B8">
            <w:pPr>
              <w:keepNext/>
              <w:snapToGrid w:val="0"/>
              <w:spacing w:before="20" w:after="20"/>
              <w:ind w:left="-250" w:firstLine="250"/>
              <w:jc w:val="center"/>
              <w:rPr>
                <w:rFonts w:cs="Segoe UI"/>
                <w:sz w:val="17"/>
                <w:szCs w:val="17"/>
                <w:lang w:eastAsia="en-GB"/>
              </w:rPr>
            </w:pPr>
            <w:r>
              <w:rPr>
                <w:rFonts w:cs="Segoe UI"/>
                <w:sz w:val="17"/>
                <w:szCs w:val="17"/>
                <w:lang w:eastAsia="en-GB"/>
              </w:rPr>
              <w:t>(d)</w:t>
            </w:r>
          </w:p>
        </w:tc>
        <w:tc>
          <w:tcPr>
            <w:tcW w:w="1276" w:type="dxa"/>
            <w:tcBorders>
              <w:top w:val="single" w:sz="4" w:space="0" w:color="auto"/>
              <w:left w:val="single" w:sz="4" w:space="0" w:color="auto"/>
              <w:bottom w:val="single" w:sz="4" w:space="0" w:color="auto"/>
              <w:right w:val="single" w:sz="4" w:space="0" w:color="auto"/>
            </w:tcBorders>
          </w:tcPr>
          <w:p w14:paraId="3C9AC45B" w14:textId="77777777" w:rsidR="003B5961" w:rsidRDefault="003B5961" w:rsidP="003848B8">
            <w:pPr>
              <w:keepNext/>
              <w:snapToGrid w:val="0"/>
              <w:spacing w:before="20" w:after="20"/>
              <w:ind w:left="-250" w:firstLine="250"/>
              <w:jc w:val="center"/>
              <w:rPr>
                <w:rFonts w:cs="Segoe UI"/>
                <w:sz w:val="17"/>
                <w:szCs w:val="17"/>
                <w:lang w:eastAsia="en-GB"/>
              </w:rPr>
            </w:pPr>
            <w:r>
              <w:rPr>
                <w:rFonts w:cs="Segoe UI"/>
                <w:sz w:val="17"/>
                <w:szCs w:val="17"/>
                <w:lang w:eastAsia="en-GB"/>
              </w:rPr>
              <w:t>(e)</w:t>
            </w:r>
          </w:p>
        </w:tc>
        <w:tc>
          <w:tcPr>
            <w:tcW w:w="1134" w:type="dxa"/>
            <w:tcBorders>
              <w:top w:val="single" w:sz="4" w:space="0" w:color="auto"/>
              <w:left w:val="single" w:sz="4" w:space="0" w:color="auto"/>
              <w:bottom w:val="single" w:sz="4" w:space="0" w:color="auto"/>
              <w:right w:val="single" w:sz="4" w:space="0" w:color="auto"/>
            </w:tcBorders>
          </w:tcPr>
          <w:p w14:paraId="186B9D1F" w14:textId="77777777" w:rsidR="003B5961" w:rsidRDefault="003B5961" w:rsidP="003848B8">
            <w:pPr>
              <w:keepNext/>
              <w:snapToGrid w:val="0"/>
              <w:spacing w:before="20" w:after="20"/>
              <w:ind w:left="-250" w:firstLine="250"/>
              <w:jc w:val="center"/>
              <w:rPr>
                <w:rFonts w:cs="Segoe UI"/>
                <w:sz w:val="17"/>
                <w:szCs w:val="17"/>
                <w:lang w:eastAsia="en-GB"/>
              </w:rPr>
            </w:pPr>
            <w:r>
              <w:rPr>
                <w:rFonts w:cs="Segoe UI"/>
                <w:sz w:val="17"/>
                <w:szCs w:val="17"/>
                <w:lang w:eastAsia="en-GB"/>
              </w:rPr>
              <w:t>(f)</w:t>
            </w:r>
          </w:p>
        </w:tc>
        <w:tc>
          <w:tcPr>
            <w:tcW w:w="992" w:type="dxa"/>
            <w:tcBorders>
              <w:top w:val="single" w:sz="4" w:space="0" w:color="auto"/>
              <w:left w:val="single" w:sz="4" w:space="0" w:color="auto"/>
              <w:bottom w:val="single" w:sz="4" w:space="0" w:color="auto"/>
              <w:right w:val="single" w:sz="4" w:space="0" w:color="auto"/>
            </w:tcBorders>
            <w:vAlign w:val="center"/>
          </w:tcPr>
          <w:p w14:paraId="73775B5E" w14:textId="77777777" w:rsidR="003B5961" w:rsidRDefault="003B5961" w:rsidP="003848B8">
            <w:pPr>
              <w:keepNext/>
              <w:snapToGrid w:val="0"/>
              <w:spacing w:before="20" w:after="20"/>
              <w:ind w:left="-250" w:firstLine="250"/>
              <w:jc w:val="center"/>
              <w:rPr>
                <w:rFonts w:cs="Segoe UI"/>
                <w:sz w:val="17"/>
                <w:szCs w:val="17"/>
                <w:lang w:eastAsia="en-GB"/>
              </w:rPr>
            </w:pPr>
            <w:r>
              <w:rPr>
                <w:rFonts w:cs="Segoe UI"/>
                <w:sz w:val="17"/>
                <w:szCs w:val="17"/>
                <w:lang w:eastAsia="en-GB"/>
              </w:rPr>
              <w:t>(g)</w:t>
            </w:r>
          </w:p>
        </w:tc>
      </w:tr>
      <w:tr w:rsidR="003B5961" w14:paraId="390F1751" w14:textId="77777777" w:rsidTr="003848B8">
        <w:trPr>
          <w:cantSplit/>
          <w:trHeight w:val="269"/>
        </w:trPr>
        <w:tc>
          <w:tcPr>
            <w:tcW w:w="302" w:type="dxa"/>
            <w:tcBorders>
              <w:top w:val="nil"/>
              <w:left w:val="nil"/>
              <w:bottom w:val="nil"/>
              <w:right w:val="nil"/>
            </w:tcBorders>
          </w:tcPr>
          <w:p w14:paraId="215AAAA4" w14:textId="77777777" w:rsidR="003B5961" w:rsidRDefault="003B5961" w:rsidP="003848B8">
            <w:pPr>
              <w:snapToGrid w:val="0"/>
              <w:spacing w:before="20" w:after="20"/>
              <w:rPr>
                <w:rFonts w:cs="Segoe UI"/>
                <w:sz w:val="17"/>
                <w:szCs w:val="17"/>
                <w:lang w:eastAsia="en-GB"/>
              </w:rPr>
            </w:pPr>
          </w:p>
        </w:tc>
        <w:tc>
          <w:tcPr>
            <w:tcW w:w="1116" w:type="dxa"/>
            <w:tcBorders>
              <w:top w:val="nil"/>
              <w:left w:val="nil"/>
              <w:bottom w:val="nil"/>
              <w:right w:val="single" w:sz="4" w:space="0" w:color="auto"/>
            </w:tcBorders>
            <w:vAlign w:val="center"/>
          </w:tcPr>
          <w:p w14:paraId="2E510AEE" w14:textId="77777777" w:rsidR="003B5961" w:rsidRDefault="003B5961" w:rsidP="003848B8">
            <w:pPr>
              <w:keepNext/>
              <w:snapToGrid w:val="0"/>
              <w:spacing w:before="20" w:after="20"/>
              <w:rPr>
                <w:rFonts w:cs="Segoe UI"/>
                <w:sz w:val="17"/>
                <w:szCs w:val="17"/>
                <w:lang w:eastAsia="en-GB"/>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761D0C86" w14:textId="77777777" w:rsidR="003B5961" w:rsidRDefault="003B5961" w:rsidP="003848B8">
            <w:pPr>
              <w:keepNext/>
              <w:snapToGrid w:val="0"/>
              <w:spacing w:before="20" w:after="20"/>
              <w:jc w:val="center"/>
              <w:rPr>
                <w:rFonts w:cs="Segoe UI"/>
                <w:noProof/>
                <w:sz w:val="17"/>
                <w:szCs w:val="17"/>
                <w:lang w:eastAsia="en-GB"/>
              </w:rPr>
            </w:pPr>
            <w:r>
              <w:rPr>
                <w:rFonts w:cs="Segoe UI"/>
                <w:sz w:val="17"/>
                <w:szCs w:val="17"/>
                <w:lang w:eastAsia="en-GB"/>
              </w:rPr>
              <w:t>Gross carrying amounts of</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14:paraId="53765622" w14:textId="77777777" w:rsidR="003B5961" w:rsidRDefault="003B5961" w:rsidP="003848B8">
            <w:pPr>
              <w:keepNext/>
              <w:snapToGrid w:val="0"/>
              <w:spacing w:before="20" w:after="20"/>
              <w:jc w:val="center"/>
              <w:rPr>
                <w:rFonts w:cs="Segoe UI"/>
                <w:sz w:val="17"/>
                <w:szCs w:val="17"/>
                <w:lang w:eastAsia="en-GB"/>
              </w:rPr>
            </w:pPr>
            <w:r>
              <w:rPr>
                <w:rFonts w:cs="Segoe UI"/>
                <w:sz w:val="17"/>
                <w:szCs w:val="17"/>
                <w:lang w:eastAsia="en-GB"/>
              </w:rPr>
              <w:t>Allowances /</w:t>
            </w:r>
          </w:p>
          <w:p w14:paraId="7DD32E17" w14:textId="77777777" w:rsidR="003B5961" w:rsidRDefault="003B5961" w:rsidP="003848B8">
            <w:pPr>
              <w:keepNext/>
              <w:tabs>
                <w:tab w:val="left" w:pos="397"/>
                <w:tab w:val="left" w:pos="794"/>
                <w:tab w:val="left" w:pos="1191"/>
              </w:tabs>
              <w:snapToGrid w:val="0"/>
              <w:spacing w:before="20" w:after="20"/>
              <w:jc w:val="center"/>
              <w:rPr>
                <w:rFonts w:cs="Segoe UI"/>
                <w:sz w:val="17"/>
                <w:szCs w:val="17"/>
                <w:lang w:eastAsia="en-GB"/>
              </w:rPr>
            </w:pPr>
            <w:r>
              <w:rPr>
                <w:rFonts w:cs="Segoe UI"/>
                <w:sz w:val="17"/>
                <w:szCs w:val="17"/>
                <w:lang w:eastAsia="en-GB"/>
              </w:rPr>
              <w:t>impairments</w:t>
            </w:r>
          </w:p>
        </w:tc>
        <w:tc>
          <w:tcPr>
            <w:tcW w:w="2410" w:type="dxa"/>
            <w:gridSpan w:val="2"/>
            <w:tcBorders>
              <w:top w:val="single" w:sz="4" w:space="0" w:color="auto"/>
              <w:left w:val="single" w:sz="4" w:space="0" w:color="auto"/>
              <w:bottom w:val="single" w:sz="4" w:space="0" w:color="auto"/>
              <w:right w:val="single" w:sz="4" w:space="0" w:color="auto"/>
            </w:tcBorders>
          </w:tcPr>
          <w:p w14:paraId="299C1D18" w14:textId="77777777" w:rsidR="003B5961" w:rsidRDefault="003B5961" w:rsidP="003848B8">
            <w:pPr>
              <w:keepNext/>
              <w:snapToGrid w:val="0"/>
              <w:spacing w:before="20" w:after="20"/>
              <w:jc w:val="center"/>
              <w:rPr>
                <w:rFonts w:cs="Segoe UI"/>
                <w:sz w:val="17"/>
                <w:szCs w:val="17"/>
                <w:lang w:eastAsia="en-GB"/>
              </w:rPr>
            </w:pPr>
            <w:r w:rsidRPr="00CB1CAC">
              <w:rPr>
                <w:rFonts w:cs="Segoe UI"/>
                <w:sz w:val="17"/>
                <w:szCs w:val="17"/>
                <w:lang w:eastAsia="en-GB"/>
              </w:rPr>
              <w:t>Of which ECL accounting</w:t>
            </w:r>
            <w:r>
              <w:rPr>
                <w:rFonts w:cs="Segoe UI"/>
                <w:sz w:val="17"/>
                <w:szCs w:val="17"/>
                <w:lang w:eastAsia="en-GB"/>
              </w:rPr>
              <w:t xml:space="preserve"> </w:t>
            </w:r>
            <w:r w:rsidRPr="00CB1CAC">
              <w:rPr>
                <w:rFonts w:cs="Segoe UI"/>
                <w:sz w:val="17"/>
                <w:szCs w:val="17"/>
                <w:lang w:eastAsia="en-GB"/>
              </w:rPr>
              <w:t>provisions for credit losses</w:t>
            </w:r>
          </w:p>
          <w:p w14:paraId="6514FB8E" w14:textId="77777777" w:rsidR="003B5961" w:rsidRDefault="003B5961" w:rsidP="003848B8">
            <w:pPr>
              <w:keepNext/>
              <w:snapToGrid w:val="0"/>
              <w:spacing w:before="20" w:after="20"/>
              <w:jc w:val="center"/>
              <w:rPr>
                <w:rFonts w:cs="Segoe UI"/>
                <w:sz w:val="17"/>
                <w:szCs w:val="17"/>
                <w:lang w:eastAsia="en-GB"/>
              </w:rPr>
            </w:pPr>
            <w:r w:rsidRPr="00CB1CAC">
              <w:rPr>
                <w:rFonts w:cs="Segoe UI"/>
                <w:sz w:val="17"/>
                <w:szCs w:val="17"/>
                <w:lang w:eastAsia="en-GB"/>
              </w:rPr>
              <w:t>on S</w:t>
            </w:r>
            <w:r>
              <w:rPr>
                <w:rFonts w:cs="Segoe UI"/>
                <w:sz w:val="17"/>
                <w:szCs w:val="17"/>
                <w:lang w:eastAsia="en-GB"/>
              </w:rPr>
              <w:t>TC approach exposures</w:t>
            </w:r>
          </w:p>
        </w:tc>
        <w:tc>
          <w:tcPr>
            <w:tcW w:w="1134" w:type="dxa"/>
            <w:vMerge w:val="restart"/>
            <w:tcBorders>
              <w:top w:val="single" w:sz="4" w:space="0" w:color="auto"/>
              <w:left w:val="single" w:sz="4" w:space="0" w:color="auto"/>
              <w:right w:val="single" w:sz="4" w:space="0" w:color="auto"/>
            </w:tcBorders>
          </w:tcPr>
          <w:p w14:paraId="71036E9E" w14:textId="77777777" w:rsidR="003B5961" w:rsidRDefault="003B5961" w:rsidP="003848B8">
            <w:pPr>
              <w:keepNext/>
              <w:snapToGrid w:val="0"/>
              <w:spacing w:before="20" w:after="20"/>
              <w:jc w:val="center"/>
              <w:rPr>
                <w:rFonts w:cs="Segoe UI"/>
                <w:sz w:val="17"/>
                <w:szCs w:val="17"/>
                <w:lang w:eastAsia="en-GB"/>
              </w:rPr>
            </w:pPr>
            <w:r w:rsidRPr="00CB1CAC">
              <w:rPr>
                <w:rFonts w:cs="Segoe UI"/>
                <w:sz w:val="17"/>
                <w:szCs w:val="17"/>
                <w:lang w:eastAsia="en-GB"/>
              </w:rPr>
              <w:t>Of which ECL</w:t>
            </w:r>
            <w:r>
              <w:rPr>
                <w:rFonts w:cs="Segoe UI"/>
                <w:sz w:val="17"/>
                <w:szCs w:val="17"/>
                <w:lang w:eastAsia="en-GB"/>
              </w:rPr>
              <w:t xml:space="preserve"> </w:t>
            </w:r>
            <w:r w:rsidRPr="00CB1CAC">
              <w:rPr>
                <w:rFonts w:cs="Segoe UI"/>
                <w:sz w:val="17"/>
                <w:szCs w:val="17"/>
                <w:lang w:eastAsia="en-GB"/>
              </w:rPr>
              <w:t>accounting</w:t>
            </w:r>
            <w:r>
              <w:rPr>
                <w:rFonts w:cs="Segoe UI"/>
                <w:sz w:val="17"/>
                <w:szCs w:val="17"/>
                <w:lang w:eastAsia="en-GB"/>
              </w:rPr>
              <w:t xml:space="preserve"> </w:t>
            </w:r>
            <w:r w:rsidRPr="00CB1CAC">
              <w:rPr>
                <w:rFonts w:cs="Segoe UI"/>
                <w:sz w:val="17"/>
                <w:szCs w:val="17"/>
                <w:lang w:eastAsia="en-GB"/>
              </w:rPr>
              <w:t>provisions for</w:t>
            </w:r>
            <w:r>
              <w:rPr>
                <w:rFonts w:cs="Segoe UI"/>
                <w:sz w:val="17"/>
                <w:szCs w:val="17"/>
                <w:lang w:eastAsia="en-GB"/>
              </w:rPr>
              <w:t xml:space="preserve"> </w:t>
            </w:r>
            <w:r w:rsidRPr="00CB1CAC">
              <w:rPr>
                <w:rFonts w:cs="Segoe UI"/>
                <w:sz w:val="17"/>
                <w:szCs w:val="17"/>
                <w:lang w:eastAsia="en-GB"/>
              </w:rPr>
              <w:t>credit losses</w:t>
            </w:r>
            <w:r>
              <w:rPr>
                <w:rFonts w:cs="Segoe UI"/>
                <w:sz w:val="17"/>
                <w:szCs w:val="17"/>
                <w:lang w:eastAsia="en-GB"/>
              </w:rPr>
              <w:t xml:space="preserve"> </w:t>
            </w:r>
            <w:r w:rsidRPr="00CB1CAC">
              <w:rPr>
                <w:rFonts w:cs="Segoe UI"/>
                <w:sz w:val="17"/>
                <w:szCs w:val="17"/>
                <w:lang w:eastAsia="en-GB"/>
              </w:rPr>
              <w:t>on IRB</w:t>
            </w:r>
            <w:r>
              <w:rPr>
                <w:rFonts w:cs="Segoe UI"/>
                <w:sz w:val="17"/>
                <w:szCs w:val="17"/>
                <w:lang w:eastAsia="en-GB"/>
              </w:rPr>
              <w:t xml:space="preserve"> approach </w:t>
            </w:r>
            <w:r w:rsidRPr="00CB1CAC">
              <w:rPr>
                <w:rFonts w:cs="Segoe UI"/>
                <w:sz w:val="17"/>
                <w:szCs w:val="17"/>
                <w:lang w:eastAsia="en-GB"/>
              </w:rPr>
              <w:t>exposures</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2BB7A327" w14:textId="77777777" w:rsidR="003B5961" w:rsidRDefault="003B5961" w:rsidP="003848B8">
            <w:pPr>
              <w:keepNext/>
              <w:snapToGrid w:val="0"/>
              <w:spacing w:before="20" w:after="20"/>
              <w:jc w:val="center"/>
              <w:rPr>
                <w:rFonts w:cs="Segoe UI"/>
                <w:sz w:val="17"/>
                <w:szCs w:val="17"/>
                <w:lang w:eastAsia="en-GB"/>
              </w:rPr>
            </w:pPr>
            <w:r>
              <w:rPr>
                <w:rFonts w:cs="Segoe UI"/>
                <w:sz w:val="17"/>
                <w:szCs w:val="17"/>
                <w:lang w:eastAsia="en-GB"/>
              </w:rPr>
              <w:t>Net values</w:t>
            </w:r>
          </w:p>
          <w:p w14:paraId="3EFADD78" w14:textId="77777777" w:rsidR="003B5961" w:rsidRDefault="003B5961" w:rsidP="003848B8">
            <w:pPr>
              <w:keepNext/>
              <w:snapToGrid w:val="0"/>
              <w:spacing w:before="20" w:after="20"/>
              <w:jc w:val="center"/>
              <w:rPr>
                <w:rFonts w:cs="Segoe UI"/>
                <w:sz w:val="17"/>
                <w:szCs w:val="17"/>
                <w:lang w:eastAsia="en-GB"/>
              </w:rPr>
            </w:pPr>
            <w:r>
              <w:rPr>
                <w:rFonts w:cs="Segoe UI"/>
                <w:sz w:val="17"/>
                <w:szCs w:val="17"/>
                <w:lang w:eastAsia="en-GB"/>
              </w:rPr>
              <w:t>(a+b-c)</w:t>
            </w:r>
          </w:p>
        </w:tc>
      </w:tr>
      <w:tr w:rsidR="003B5961" w14:paraId="20D6251D" w14:textId="77777777" w:rsidTr="003848B8">
        <w:trPr>
          <w:cantSplit/>
          <w:trHeight w:val="398"/>
        </w:trPr>
        <w:tc>
          <w:tcPr>
            <w:tcW w:w="302" w:type="dxa"/>
            <w:tcBorders>
              <w:top w:val="nil"/>
              <w:left w:val="nil"/>
              <w:bottom w:val="nil"/>
              <w:right w:val="nil"/>
            </w:tcBorders>
          </w:tcPr>
          <w:p w14:paraId="12FE4649" w14:textId="77777777" w:rsidR="003B5961" w:rsidRDefault="003B5961" w:rsidP="003848B8">
            <w:pPr>
              <w:keepNext/>
              <w:tabs>
                <w:tab w:val="left" w:pos="397"/>
                <w:tab w:val="left" w:pos="794"/>
                <w:tab w:val="left" w:pos="1191"/>
              </w:tabs>
              <w:snapToGrid w:val="0"/>
              <w:spacing w:before="20" w:after="20"/>
              <w:rPr>
                <w:rFonts w:cs="Segoe UI"/>
                <w:sz w:val="17"/>
                <w:szCs w:val="17"/>
                <w:lang w:val="fr-FR" w:eastAsia="en-GB"/>
              </w:rPr>
            </w:pPr>
          </w:p>
        </w:tc>
        <w:tc>
          <w:tcPr>
            <w:tcW w:w="1116" w:type="dxa"/>
            <w:tcBorders>
              <w:top w:val="nil"/>
              <w:left w:val="nil"/>
              <w:bottom w:val="nil"/>
              <w:right w:val="single" w:sz="4" w:space="0" w:color="auto"/>
            </w:tcBorders>
          </w:tcPr>
          <w:p w14:paraId="3FDB196A" w14:textId="77777777" w:rsidR="003B5961" w:rsidRDefault="003B5961" w:rsidP="003848B8">
            <w:pPr>
              <w:keepNext/>
              <w:tabs>
                <w:tab w:val="left" w:pos="397"/>
                <w:tab w:val="left" w:pos="794"/>
                <w:tab w:val="left" w:pos="1191"/>
              </w:tabs>
              <w:snapToGrid w:val="0"/>
              <w:spacing w:before="20" w:after="20"/>
              <w:rPr>
                <w:rFonts w:cs="Segoe UI"/>
                <w:sz w:val="17"/>
                <w:szCs w:val="17"/>
                <w:lang w:val="fr-FR" w:eastAsia="en-GB"/>
              </w:rPr>
            </w:pPr>
          </w:p>
        </w:tc>
        <w:tc>
          <w:tcPr>
            <w:tcW w:w="992" w:type="dxa"/>
            <w:tcBorders>
              <w:top w:val="single" w:sz="4" w:space="0" w:color="auto"/>
              <w:left w:val="single" w:sz="4" w:space="0" w:color="auto"/>
              <w:bottom w:val="single" w:sz="4" w:space="0" w:color="auto"/>
              <w:right w:val="single" w:sz="4" w:space="0" w:color="auto"/>
            </w:tcBorders>
            <w:vAlign w:val="center"/>
          </w:tcPr>
          <w:p w14:paraId="536AC881" w14:textId="77777777" w:rsidR="003B5961" w:rsidRDefault="003B5961" w:rsidP="003848B8">
            <w:pPr>
              <w:keepNext/>
              <w:tabs>
                <w:tab w:val="left" w:pos="397"/>
                <w:tab w:val="left" w:pos="794"/>
                <w:tab w:val="left" w:pos="1191"/>
              </w:tabs>
              <w:snapToGrid w:val="0"/>
              <w:spacing w:before="20" w:after="20"/>
              <w:jc w:val="center"/>
              <w:rPr>
                <w:rFonts w:cs="Segoe UI"/>
                <w:noProof/>
                <w:sz w:val="17"/>
                <w:szCs w:val="17"/>
                <w:lang w:eastAsia="en-GB"/>
              </w:rPr>
            </w:pPr>
            <w:r>
              <w:rPr>
                <w:rFonts w:cs="Segoe UI"/>
                <w:sz w:val="17"/>
                <w:szCs w:val="17"/>
                <w:lang w:eastAsia="en-GB"/>
              </w:rPr>
              <w:t>Defaulted</w:t>
            </w:r>
          </w:p>
          <w:p w14:paraId="429AE444" w14:textId="77777777" w:rsidR="003B5961" w:rsidRDefault="003B5961" w:rsidP="003848B8">
            <w:pPr>
              <w:keepNext/>
              <w:tabs>
                <w:tab w:val="left" w:pos="397"/>
                <w:tab w:val="left" w:pos="794"/>
                <w:tab w:val="left" w:pos="1191"/>
              </w:tabs>
              <w:snapToGrid w:val="0"/>
              <w:spacing w:before="20" w:after="20"/>
              <w:jc w:val="center"/>
              <w:rPr>
                <w:rFonts w:cs="Segoe UI"/>
                <w:noProof/>
                <w:sz w:val="17"/>
                <w:szCs w:val="17"/>
                <w:lang w:eastAsia="en-GB"/>
              </w:rPr>
            </w:pPr>
            <w:r>
              <w:rPr>
                <w:rFonts w:cs="Segoe UI"/>
                <w:sz w:val="17"/>
                <w:szCs w:val="17"/>
                <w:lang w:eastAsia="en-GB"/>
              </w:rPr>
              <w:t>exposures</w:t>
            </w:r>
          </w:p>
        </w:tc>
        <w:tc>
          <w:tcPr>
            <w:tcW w:w="992" w:type="dxa"/>
            <w:tcBorders>
              <w:top w:val="single" w:sz="4" w:space="0" w:color="auto"/>
              <w:left w:val="single" w:sz="4" w:space="0" w:color="auto"/>
              <w:bottom w:val="single" w:sz="4" w:space="0" w:color="auto"/>
              <w:right w:val="single" w:sz="4" w:space="0" w:color="auto"/>
            </w:tcBorders>
            <w:vAlign w:val="center"/>
          </w:tcPr>
          <w:p w14:paraId="4B33D1A7" w14:textId="77777777" w:rsidR="003B5961" w:rsidRDefault="003B5961" w:rsidP="003848B8">
            <w:pPr>
              <w:keepNext/>
              <w:tabs>
                <w:tab w:val="left" w:pos="397"/>
                <w:tab w:val="left" w:pos="794"/>
                <w:tab w:val="left" w:pos="1191"/>
              </w:tabs>
              <w:snapToGrid w:val="0"/>
              <w:spacing w:before="20" w:after="20"/>
              <w:jc w:val="center"/>
              <w:rPr>
                <w:rFonts w:cs="Segoe UI"/>
                <w:noProof/>
                <w:sz w:val="17"/>
                <w:szCs w:val="17"/>
                <w:lang w:eastAsia="en-GB"/>
              </w:rPr>
            </w:pPr>
            <w:r>
              <w:rPr>
                <w:rFonts w:cs="Segoe UI"/>
                <w:sz w:val="17"/>
                <w:szCs w:val="17"/>
                <w:lang w:eastAsia="en-GB"/>
              </w:rPr>
              <w:t>Non- defaulted</w:t>
            </w:r>
          </w:p>
          <w:p w14:paraId="1DFEE26A" w14:textId="77777777" w:rsidR="003B5961" w:rsidRDefault="003B5961" w:rsidP="003848B8">
            <w:pPr>
              <w:keepNext/>
              <w:tabs>
                <w:tab w:val="left" w:pos="397"/>
                <w:tab w:val="left" w:pos="794"/>
                <w:tab w:val="left" w:pos="1191"/>
              </w:tabs>
              <w:snapToGrid w:val="0"/>
              <w:spacing w:before="20" w:after="20"/>
              <w:jc w:val="center"/>
              <w:rPr>
                <w:rFonts w:cs="Segoe UI"/>
                <w:noProof/>
                <w:sz w:val="17"/>
                <w:szCs w:val="17"/>
                <w:lang w:eastAsia="en-GB"/>
              </w:rPr>
            </w:pPr>
            <w:r>
              <w:rPr>
                <w:rFonts w:cs="Segoe UI"/>
                <w:sz w:val="17"/>
                <w:szCs w:val="17"/>
                <w:lang w:eastAsia="en-GB"/>
              </w:rPr>
              <w:t>exposures</w:t>
            </w:r>
          </w:p>
        </w:tc>
        <w:tc>
          <w:tcPr>
            <w:tcW w:w="1276" w:type="dxa"/>
            <w:vMerge/>
            <w:tcBorders>
              <w:top w:val="single" w:sz="4" w:space="0" w:color="auto"/>
              <w:left w:val="single" w:sz="4" w:space="0" w:color="auto"/>
              <w:bottom w:val="single" w:sz="4" w:space="0" w:color="auto"/>
              <w:right w:val="single" w:sz="4" w:space="0" w:color="auto"/>
            </w:tcBorders>
            <w:vAlign w:val="center"/>
          </w:tcPr>
          <w:p w14:paraId="5640C1D1" w14:textId="77777777" w:rsidR="003B5961" w:rsidRDefault="003B5961" w:rsidP="003848B8">
            <w:pPr>
              <w:keepNext/>
              <w:tabs>
                <w:tab w:val="left" w:pos="397"/>
                <w:tab w:val="left" w:pos="794"/>
                <w:tab w:val="left" w:pos="1191"/>
              </w:tabs>
              <w:snapToGrid w:val="0"/>
              <w:spacing w:before="20" w:after="20"/>
              <w:jc w:val="center"/>
              <w:rPr>
                <w:rFonts w:cs="Segoe UI"/>
                <w:noProof/>
                <w:sz w:val="17"/>
                <w:szCs w:val="17"/>
                <w:lang w:eastAsia="en-GB"/>
              </w:rPr>
            </w:pPr>
          </w:p>
        </w:tc>
        <w:tc>
          <w:tcPr>
            <w:tcW w:w="1134" w:type="dxa"/>
            <w:tcBorders>
              <w:top w:val="single" w:sz="4" w:space="0" w:color="auto"/>
              <w:left w:val="single" w:sz="4" w:space="0" w:color="auto"/>
              <w:bottom w:val="single" w:sz="4" w:space="0" w:color="auto"/>
              <w:right w:val="single" w:sz="4" w:space="0" w:color="auto"/>
            </w:tcBorders>
          </w:tcPr>
          <w:p w14:paraId="0D584971" w14:textId="77777777" w:rsidR="003B5961" w:rsidRDefault="003B5961" w:rsidP="003848B8">
            <w:pPr>
              <w:keepNext/>
              <w:snapToGrid w:val="0"/>
              <w:spacing w:before="20" w:after="20"/>
              <w:jc w:val="center"/>
              <w:rPr>
                <w:rFonts w:cs="Segoe UI"/>
                <w:sz w:val="17"/>
                <w:szCs w:val="17"/>
                <w:lang w:eastAsia="en-GB"/>
              </w:rPr>
            </w:pPr>
            <w:r w:rsidRPr="00CB1CAC">
              <w:rPr>
                <w:rFonts w:cs="Segoe UI"/>
                <w:sz w:val="17"/>
                <w:szCs w:val="17"/>
                <w:lang w:eastAsia="en-GB"/>
              </w:rPr>
              <w:t>Allocated in</w:t>
            </w:r>
            <w:r>
              <w:rPr>
                <w:rFonts w:cs="Segoe UI"/>
                <w:sz w:val="17"/>
                <w:szCs w:val="17"/>
                <w:lang w:eastAsia="en-GB"/>
              </w:rPr>
              <w:t xml:space="preserve"> </w:t>
            </w:r>
            <w:r w:rsidRPr="00CB1CAC">
              <w:rPr>
                <w:rFonts w:cs="Segoe UI"/>
                <w:sz w:val="17"/>
                <w:szCs w:val="17"/>
                <w:lang w:eastAsia="en-GB"/>
              </w:rPr>
              <w:t>regulatory</w:t>
            </w:r>
            <w:r>
              <w:rPr>
                <w:rFonts w:cs="Segoe UI"/>
                <w:sz w:val="17"/>
                <w:szCs w:val="17"/>
                <w:lang w:eastAsia="en-GB"/>
              </w:rPr>
              <w:t xml:space="preserve"> </w:t>
            </w:r>
            <w:r w:rsidRPr="00CB1CAC">
              <w:rPr>
                <w:rFonts w:cs="Segoe UI"/>
                <w:sz w:val="17"/>
                <w:szCs w:val="17"/>
                <w:lang w:eastAsia="en-GB"/>
              </w:rPr>
              <w:t>category of</w:t>
            </w:r>
            <w:r>
              <w:rPr>
                <w:rFonts w:cs="Segoe UI"/>
                <w:sz w:val="17"/>
                <w:szCs w:val="17"/>
                <w:lang w:eastAsia="en-GB"/>
              </w:rPr>
              <w:t xml:space="preserve"> s</w:t>
            </w:r>
            <w:r w:rsidRPr="00CB1CAC">
              <w:rPr>
                <w:rFonts w:cs="Segoe UI"/>
                <w:sz w:val="17"/>
                <w:szCs w:val="17"/>
                <w:lang w:eastAsia="en-GB"/>
              </w:rPr>
              <w:t>pecific</w:t>
            </w:r>
            <w:r>
              <w:rPr>
                <w:rFonts w:cs="Segoe UI"/>
                <w:sz w:val="17"/>
                <w:szCs w:val="17"/>
                <w:lang w:eastAsia="en-GB"/>
              </w:rPr>
              <w:t xml:space="preserve"> provisions</w:t>
            </w:r>
          </w:p>
        </w:tc>
        <w:tc>
          <w:tcPr>
            <w:tcW w:w="1276" w:type="dxa"/>
            <w:tcBorders>
              <w:top w:val="single" w:sz="4" w:space="0" w:color="auto"/>
              <w:left w:val="single" w:sz="4" w:space="0" w:color="auto"/>
              <w:bottom w:val="single" w:sz="4" w:space="0" w:color="auto"/>
              <w:right w:val="single" w:sz="4" w:space="0" w:color="auto"/>
            </w:tcBorders>
          </w:tcPr>
          <w:p w14:paraId="0F0637B7" w14:textId="77777777" w:rsidR="003B5961" w:rsidRDefault="003B5961" w:rsidP="003848B8">
            <w:pPr>
              <w:keepNext/>
              <w:snapToGrid w:val="0"/>
              <w:spacing w:before="20" w:after="20"/>
              <w:jc w:val="center"/>
              <w:rPr>
                <w:rFonts w:cs="Segoe UI"/>
                <w:sz w:val="17"/>
                <w:szCs w:val="17"/>
                <w:lang w:eastAsia="en-GB"/>
              </w:rPr>
            </w:pPr>
            <w:r w:rsidRPr="00CB1CAC">
              <w:rPr>
                <w:rFonts w:cs="Segoe UI"/>
                <w:sz w:val="17"/>
                <w:szCs w:val="17"/>
                <w:lang w:eastAsia="en-GB"/>
              </w:rPr>
              <w:t>Allocated in</w:t>
            </w:r>
            <w:r>
              <w:rPr>
                <w:rFonts w:cs="Segoe UI"/>
                <w:sz w:val="17"/>
                <w:szCs w:val="17"/>
                <w:lang w:eastAsia="en-GB"/>
              </w:rPr>
              <w:t xml:space="preserve"> </w:t>
            </w:r>
            <w:r w:rsidRPr="00CB1CAC">
              <w:rPr>
                <w:rFonts w:cs="Segoe UI"/>
                <w:sz w:val="17"/>
                <w:szCs w:val="17"/>
                <w:lang w:eastAsia="en-GB"/>
              </w:rPr>
              <w:t>regulatory</w:t>
            </w:r>
            <w:r>
              <w:rPr>
                <w:rFonts w:cs="Segoe UI"/>
                <w:sz w:val="17"/>
                <w:szCs w:val="17"/>
                <w:lang w:eastAsia="en-GB"/>
              </w:rPr>
              <w:t xml:space="preserve"> </w:t>
            </w:r>
            <w:r w:rsidRPr="00CB1CAC">
              <w:rPr>
                <w:rFonts w:cs="Segoe UI"/>
                <w:sz w:val="17"/>
                <w:szCs w:val="17"/>
                <w:lang w:eastAsia="en-GB"/>
              </w:rPr>
              <w:t>category of</w:t>
            </w:r>
            <w:r>
              <w:rPr>
                <w:rFonts w:cs="Segoe UI"/>
                <w:sz w:val="17"/>
                <w:szCs w:val="17"/>
                <w:lang w:eastAsia="en-GB"/>
              </w:rPr>
              <w:t xml:space="preserve"> c</w:t>
            </w:r>
            <w:r w:rsidRPr="004775A2">
              <w:rPr>
                <w:rFonts w:cs="Segoe UI"/>
                <w:sz w:val="17"/>
                <w:szCs w:val="17"/>
                <w:lang w:eastAsia="en-GB"/>
              </w:rPr>
              <w:t>ollective</w:t>
            </w:r>
            <w:r>
              <w:rPr>
                <w:rFonts w:cs="Segoe UI"/>
                <w:sz w:val="17"/>
                <w:szCs w:val="17"/>
                <w:lang w:eastAsia="en-GB"/>
              </w:rPr>
              <w:t xml:space="preserve"> provisions</w:t>
            </w:r>
          </w:p>
        </w:tc>
        <w:tc>
          <w:tcPr>
            <w:tcW w:w="1134" w:type="dxa"/>
            <w:vMerge/>
            <w:tcBorders>
              <w:left w:val="single" w:sz="4" w:space="0" w:color="auto"/>
              <w:bottom w:val="single" w:sz="4" w:space="0" w:color="auto"/>
              <w:right w:val="single" w:sz="4" w:space="0" w:color="auto"/>
            </w:tcBorders>
          </w:tcPr>
          <w:p w14:paraId="7C941BC7" w14:textId="77777777" w:rsidR="003B5961" w:rsidRDefault="003B5961" w:rsidP="003848B8">
            <w:pPr>
              <w:keepNext/>
              <w:tabs>
                <w:tab w:val="left" w:pos="397"/>
                <w:tab w:val="left" w:pos="794"/>
                <w:tab w:val="left" w:pos="1191"/>
              </w:tabs>
              <w:snapToGrid w:val="0"/>
              <w:spacing w:before="20" w:after="20"/>
              <w:jc w:val="center"/>
              <w:rPr>
                <w:rFonts w:cs="Segoe UI"/>
                <w:sz w:val="17"/>
                <w:szCs w:val="17"/>
                <w:lang w:eastAsia="en-GB"/>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58FA9941" w14:textId="77777777" w:rsidR="003B5961" w:rsidRDefault="003B5961" w:rsidP="003848B8">
            <w:pPr>
              <w:keepNext/>
              <w:tabs>
                <w:tab w:val="left" w:pos="397"/>
                <w:tab w:val="left" w:pos="794"/>
                <w:tab w:val="left" w:pos="1191"/>
              </w:tabs>
              <w:snapToGrid w:val="0"/>
              <w:spacing w:before="20" w:after="20"/>
              <w:jc w:val="center"/>
              <w:rPr>
                <w:rFonts w:cs="Segoe UI"/>
                <w:sz w:val="17"/>
                <w:szCs w:val="17"/>
                <w:lang w:eastAsia="en-GB"/>
              </w:rPr>
            </w:pPr>
          </w:p>
        </w:tc>
      </w:tr>
      <w:tr w:rsidR="003B5961" w14:paraId="28AB2C01" w14:textId="77777777" w:rsidTr="003848B8">
        <w:trPr>
          <w:cantSplit/>
          <w:trHeight w:val="293"/>
        </w:trPr>
        <w:tc>
          <w:tcPr>
            <w:tcW w:w="302" w:type="dxa"/>
            <w:tcBorders>
              <w:top w:val="single" w:sz="4" w:space="0" w:color="auto"/>
              <w:left w:val="nil"/>
              <w:right w:val="single" w:sz="4" w:space="0" w:color="auto"/>
            </w:tcBorders>
            <w:vAlign w:val="center"/>
          </w:tcPr>
          <w:p w14:paraId="525A7C7C"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r>
              <w:rPr>
                <w:rFonts w:cs="Segoe UI"/>
                <w:sz w:val="17"/>
                <w:szCs w:val="17"/>
                <w:lang w:eastAsia="en-GB"/>
              </w:rPr>
              <w:t>1</w:t>
            </w:r>
          </w:p>
        </w:tc>
        <w:tc>
          <w:tcPr>
            <w:tcW w:w="1116" w:type="dxa"/>
            <w:tcBorders>
              <w:top w:val="single" w:sz="4" w:space="0" w:color="auto"/>
              <w:left w:val="single" w:sz="4" w:space="0" w:color="auto"/>
              <w:right w:val="single" w:sz="4" w:space="0" w:color="auto"/>
            </w:tcBorders>
            <w:vAlign w:val="center"/>
          </w:tcPr>
          <w:p w14:paraId="74668EAA"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r>
              <w:rPr>
                <w:rFonts w:cs="Segoe UI"/>
                <w:sz w:val="17"/>
                <w:szCs w:val="17"/>
                <w:lang w:eastAsia="en-GB"/>
              </w:rPr>
              <w:t>Loans</w:t>
            </w:r>
          </w:p>
        </w:tc>
        <w:tc>
          <w:tcPr>
            <w:tcW w:w="992" w:type="dxa"/>
            <w:tcBorders>
              <w:top w:val="single" w:sz="4" w:space="0" w:color="auto"/>
              <w:left w:val="single" w:sz="4" w:space="0" w:color="auto"/>
              <w:bottom w:val="single" w:sz="4" w:space="0" w:color="BFBFBF"/>
              <w:right w:val="single" w:sz="4" w:space="0" w:color="auto"/>
            </w:tcBorders>
            <w:vAlign w:val="center"/>
          </w:tcPr>
          <w:p w14:paraId="1D7C05FF"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p>
        </w:tc>
        <w:tc>
          <w:tcPr>
            <w:tcW w:w="992" w:type="dxa"/>
            <w:tcBorders>
              <w:top w:val="single" w:sz="4" w:space="0" w:color="auto"/>
              <w:left w:val="single" w:sz="4" w:space="0" w:color="auto"/>
              <w:right w:val="single" w:sz="4" w:space="0" w:color="auto"/>
            </w:tcBorders>
            <w:vAlign w:val="center"/>
          </w:tcPr>
          <w:p w14:paraId="39FED364"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auto"/>
              <w:left w:val="single" w:sz="4" w:space="0" w:color="auto"/>
              <w:right w:val="single" w:sz="4" w:space="0" w:color="auto"/>
            </w:tcBorders>
            <w:vAlign w:val="center"/>
          </w:tcPr>
          <w:p w14:paraId="00006F4F"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p>
        </w:tc>
        <w:tc>
          <w:tcPr>
            <w:tcW w:w="1134" w:type="dxa"/>
            <w:tcBorders>
              <w:top w:val="single" w:sz="4" w:space="0" w:color="auto"/>
              <w:left w:val="single" w:sz="4" w:space="0" w:color="auto"/>
              <w:right w:val="single" w:sz="4" w:space="0" w:color="auto"/>
            </w:tcBorders>
          </w:tcPr>
          <w:p w14:paraId="2BBAE438"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auto"/>
              <w:left w:val="single" w:sz="4" w:space="0" w:color="auto"/>
              <w:right w:val="single" w:sz="4" w:space="0" w:color="auto"/>
            </w:tcBorders>
          </w:tcPr>
          <w:p w14:paraId="3BD20CDD"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p>
        </w:tc>
        <w:tc>
          <w:tcPr>
            <w:tcW w:w="1134" w:type="dxa"/>
            <w:tcBorders>
              <w:top w:val="single" w:sz="4" w:space="0" w:color="auto"/>
              <w:left w:val="single" w:sz="4" w:space="0" w:color="auto"/>
              <w:right w:val="single" w:sz="4" w:space="0" w:color="auto"/>
            </w:tcBorders>
          </w:tcPr>
          <w:p w14:paraId="04445DB8"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p>
        </w:tc>
        <w:tc>
          <w:tcPr>
            <w:tcW w:w="992" w:type="dxa"/>
            <w:tcBorders>
              <w:top w:val="single" w:sz="4" w:space="0" w:color="auto"/>
              <w:left w:val="single" w:sz="4" w:space="0" w:color="auto"/>
              <w:bottom w:val="single" w:sz="4" w:space="0" w:color="BFBFBF"/>
              <w:right w:val="single" w:sz="4" w:space="0" w:color="auto"/>
            </w:tcBorders>
            <w:vAlign w:val="center"/>
          </w:tcPr>
          <w:p w14:paraId="4DCC10BE"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p>
        </w:tc>
      </w:tr>
      <w:tr w:rsidR="003B5961" w14:paraId="5CCEA9A6" w14:textId="77777777" w:rsidTr="003848B8">
        <w:trPr>
          <w:cantSplit/>
          <w:trHeight w:val="269"/>
        </w:trPr>
        <w:tc>
          <w:tcPr>
            <w:tcW w:w="302" w:type="dxa"/>
            <w:tcBorders>
              <w:left w:val="nil"/>
              <w:right w:val="single" w:sz="4" w:space="0" w:color="auto"/>
            </w:tcBorders>
            <w:vAlign w:val="center"/>
          </w:tcPr>
          <w:p w14:paraId="49C3FA2E"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r>
              <w:rPr>
                <w:rFonts w:cs="Segoe UI"/>
                <w:sz w:val="17"/>
                <w:szCs w:val="17"/>
                <w:lang w:eastAsia="en-GB"/>
              </w:rPr>
              <w:t>2</w:t>
            </w:r>
          </w:p>
        </w:tc>
        <w:tc>
          <w:tcPr>
            <w:tcW w:w="1116" w:type="dxa"/>
            <w:tcBorders>
              <w:left w:val="single" w:sz="4" w:space="0" w:color="auto"/>
              <w:right w:val="single" w:sz="4" w:space="0" w:color="auto"/>
            </w:tcBorders>
            <w:vAlign w:val="center"/>
          </w:tcPr>
          <w:p w14:paraId="7E618C0D"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r>
              <w:rPr>
                <w:rFonts w:cs="Segoe UI"/>
                <w:sz w:val="17"/>
                <w:szCs w:val="17"/>
                <w:lang w:eastAsia="en-GB"/>
              </w:rPr>
              <w:t>Debt securities</w:t>
            </w:r>
          </w:p>
        </w:tc>
        <w:tc>
          <w:tcPr>
            <w:tcW w:w="992" w:type="dxa"/>
            <w:tcBorders>
              <w:top w:val="single" w:sz="4" w:space="0" w:color="BFBFBF"/>
              <w:left w:val="single" w:sz="4" w:space="0" w:color="auto"/>
              <w:bottom w:val="single" w:sz="4" w:space="0" w:color="BFBFBF"/>
              <w:right w:val="single" w:sz="4" w:space="0" w:color="auto"/>
            </w:tcBorders>
            <w:vAlign w:val="center"/>
          </w:tcPr>
          <w:p w14:paraId="7F46CAA7"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p>
        </w:tc>
        <w:tc>
          <w:tcPr>
            <w:tcW w:w="992" w:type="dxa"/>
            <w:tcBorders>
              <w:left w:val="single" w:sz="4" w:space="0" w:color="auto"/>
              <w:right w:val="single" w:sz="4" w:space="0" w:color="auto"/>
            </w:tcBorders>
            <w:vAlign w:val="center"/>
          </w:tcPr>
          <w:p w14:paraId="59D9534A"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p>
        </w:tc>
        <w:tc>
          <w:tcPr>
            <w:tcW w:w="1276" w:type="dxa"/>
            <w:tcBorders>
              <w:left w:val="single" w:sz="4" w:space="0" w:color="auto"/>
              <w:bottom w:val="single" w:sz="4" w:space="0" w:color="BFBFBF"/>
              <w:right w:val="single" w:sz="4" w:space="0" w:color="auto"/>
            </w:tcBorders>
            <w:vAlign w:val="center"/>
          </w:tcPr>
          <w:p w14:paraId="015D2A02"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p>
        </w:tc>
        <w:tc>
          <w:tcPr>
            <w:tcW w:w="1134" w:type="dxa"/>
            <w:tcBorders>
              <w:left w:val="single" w:sz="4" w:space="0" w:color="auto"/>
              <w:bottom w:val="single" w:sz="4" w:space="0" w:color="BFBFBF"/>
              <w:right w:val="single" w:sz="4" w:space="0" w:color="auto"/>
            </w:tcBorders>
          </w:tcPr>
          <w:p w14:paraId="6E214652"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p>
        </w:tc>
        <w:tc>
          <w:tcPr>
            <w:tcW w:w="1276" w:type="dxa"/>
            <w:tcBorders>
              <w:left w:val="single" w:sz="4" w:space="0" w:color="auto"/>
              <w:bottom w:val="single" w:sz="4" w:space="0" w:color="BFBFBF"/>
              <w:right w:val="single" w:sz="4" w:space="0" w:color="auto"/>
            </w:tcBorders>
          </w:tcPr>
          <w:p w14:paraId="0D93AF74"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p>
        </w:tc>
        <w:tc>
          <w:tcPr>
            <w:tcW w:w="1134" w:type="dxa"/>
            <w:tcBorders>
              <w:left w:val="single" w:sz="4" w:space="0" w:color="auto"/>
              <w:bottom w:val="single" w:sz="4" w:space="0" w:color="BFBFBF"/>
              <w:right w:val="single" w:sz="4" w:space="0" w:color="auto"/>
            </w:tcBorders>
          </w:tcPr>
          <w:p w14:paraId="75BEB74D"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p>
        </w:tc>
        <w:tc>
          <w:tcPr>
            <w:tcW w:w="992" w:type="dxa"/>
            <w:tcBorders>
              <w:top w:val="single" w:sz="4" w:space="0" w:color="BFBFBF"/>
              <w:left w:val="single" w:sz="4" w:space="0" w:color="auto"/>
              <w:bottom w:val="single" w:sz="4" w:space="0" w:color="BFBFBF"/>
              <w:right w:val="single" w:sz="4" w:space="0" w:color="auto"/>
            </w:tcBorders>
            <w:vAlign w:val="center"/>
          </w:tcPr>
          <w:p w14:paraId="308AEDB9"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p>
        </w:tc>
      </w:tr>
      <w:tr w:rsidR="003B5961" w14:paraId="41146CE4" w14:textId="77777777" w:rsidTr="003848B8">
        <w:trPr>
          <w:cantSplit/>
          <w:trHeight w:val="131"/>
        </w:trPr>
        <w:tc>
          <w:tcPr>
            <w:tcW w:w="302" w:type="dxa"/>
            <w:tcBorders>
              <w:left w:val="nil"/>
              <w:right w:val="single" w:sz="4" w:space="0" w:color="auto"/>
            </w:tcBorders>
            <w:vAlign w:val="center"/>
          </w:tcPr>
          <w:p w14:paraId="7F4F1E2B"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r>
              <w:rPr>
                <w:rFonts w:cs="Segoe UI"/>
                <w:sz w:val="17"/>
                <w:szCs w:val="17"/>
                <w:lang w:eastAsia="en-GB"/>
              </w:rPr>
              <w:t>3</w:t>
            </w:r>
          </w:p>
        </w:tc>
        <w:tc>
          <w:tcPr>
            <w:tcW w:w="1116" w:type="dxa"/>
            <w:tcBorders>
              <w:left w:val="single" w:sz="4" w:space="0" w:color="auto"/>
              <w:right w:val="single" w:sz="4" w:space="0" w:color="auto"/>
            </w:tcBorders>
            <w:vAlign w:val="center"/>
          </w:tcPr>
          <w:p w14:paraId="194541CC"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r>
              <w:rPr>
                <w:rFonts w:cs="Segoe UI"/>
                <w:sz w:val="17"/>
                <w:szCs w:val="17"/>
                <w:lang w:eastAsia="en-GB"/>
              </w:rPr>
              <w:t>Off-balance sheet exposures</w:t>
            </w:r>
          </w:p>
        </w:tc>
        <w:tc>
          <w:tcPr>
            <w:tcW w:w="992" w:type="dxa"/>
            <w:tcBorders>
              <w:top w:val="single" w:sz="4" w:space="0" w:color="BFBFBF"/>
              <w:left w:val="single" w:sz="4" w:space="0" w:color="auto"/>
              <w:bottom w:val="single" w:sz="4" w:space="0" w:color="BFBFBF"/>
              <w:right w:val="single" w:sz="4" w:space="0" w:color="auto"/>
            </w:tcBorders>
            <w:vAlign w:val="center"/>
          </w:tcPr>
          <w:p w14:paraId="10F9F16D"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p>
        </w:tc>
        <w:tc>
          <w:tcPr>
            <w:tcW w:w="992" w:type="dxa"/>
            <w:tcBorders>
              <w:left w:val="single" w:sz="4" w:space="0" w:color="auto"/>
              <w:bottom w:val="single" w:sz="4" w:space="0" w:color="BFBFBF"/>
              <w:right w:val="single" w:sz="4" w:space="0" w:color="auto"/>
            </w:tcBorders>
            <w:vAlign w:val="center"/>
          </w:tcPr>
          <w:p w14:paraId="5FAF8C8E"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right w:val="single" w:sz="4" w:space="0" w:color="auto"/>
            </w:tcBorders>
            <w:vAlign w:val="center"/>
          </w:tcPr>
          <w:p w14:paraId="6CB018FF" w14:textId="77777777" w:rsidR="003B5961" w:rsidRDefault="003B5961" w:rsidP="003848B8">
            <w:pPr>
              <w:keepNext/>
              <w:tabs>
                <w:tab w:val="left" w:pos="397"/>
                <w:tab w:val="left" w:pos="794"/>
                <w:tab w:val="left" w:pos="1191"/>
              </w:tabs>
              <w:snapToGrid w:val="0"/>
              <w:spacing w:before="20" w:after="20"/>
              <w:rPr>
                <w:rFonts w:cs="Segoe UI"/>
                <w:sz w:val="17"/>
                <w:szCs w:val="17"/>
                <w:lang w:eastAsia="en-GB"/>
              </w:rPr>
            </w:pPr>
          </w:p>
        </w:tc>
        <w:tc>
          <w:tcPr>
            <w:tcW w:w="1134" w:type="dxa"/>
            <w:tcBorders>
              <w:top w:val="single" w:sz="4" w:space="0" w:color="BFBFBF"/>
              <w:left w:val="single" w:sz="4" w:space="0" w:color="auto"/>
              <w:right w:val="single" w:sz="4" w:space="0" w:color="auto"/>
            </w:tcBorders>
          </w:tcPr>
          <w:p w14:paraId="3ABBE0AE" w14:textId="77777777" w:rsidR="003B5961" w:rsidRDefault="003B5961" w:rsidP="003848B8">
            <w:pPr>
              <w:keepNext/>
              <w:tabs>
                <w:tab w:val="left" w:pos="397"/>
                <w:tab w:val="left" w:pos="794"/>
                <w:tab w:val="left" w:pos="1191"/>
              </w:tabs>
              <w:snapToGrid w:val="0"/>
              <w:spacing w:before="20" w:after="20"/>
              <w:ind w:left="-250" w:firstLine="250"/>
              <w:rPr>
                <w:rFonts w:cs="Segoe UI"/>
                <w:sz w:val="17"/>
                <w:szCs w:val="17"/>
                <w:lang w:eastAsia="en-GB"/>
              </w:rPr>
            </w:pPr>
          </w:p>
        </w:tc>
        <w:tc>
          <w:tcPr>
            <w:tcW w:w="1276" w:type="dxa"/>
            <w:tcBorders>
              <w:top w:val="single" w:sz="4" w:space="0" w:color="BFBFBF"/>
              <w:left w:val="single" w:sz="4" w:space="0" w:color="auto"/>
              <w:right w:val="single" w:sz="4" w:space="0" w:color="auto"/>
            </w:tcBorders>
          </w:tcPr>
          <w:p w14:paraId="54A7385E" w14:textId="77777777" w:rsidR="003B5961" w:rsidRDefault="003B5961" w:rsidP="003848B8">
            <w:pPr>
              <w:keepNext/>
              <w:tabs>
                <w:tab w:val="left" w:pos="397"/>
                <w:tab w:val="left" w:pos="794"/>
                <w:tab w:val="left" w:pos="1191"/>
              </w:tabs>
              <w:snapToGrid w:val="0"/>
              <w:spacing w:before="20" w:after="20"/>
              <w:ind w:left="-250" w:firstLine="250"/>
              <w:rPr>
                <w:rFonts w:cs="Segoe UI"/>
                <w:sz w:val="17"/>
                <w:szCs w:val="17"/>
                <w:lang w:eastAsia="en-GB"/>
              </w:rPr>
            </w:pPr>
          </w:p>
        </w:tc>
        <w:tc>
          <w:tcPr>
            <w:tcW w:w="1134" w:type="dxa"/>
            <w:tcBorders>
              <w:top w:val="single" w:sz="4" w:space="0" w:color="BFBFBF"/>
              <w:left w:val="single" w:sz="4" w:space="0" w:color="auto"/>
              <w:right w:val="single" w:sz="4" w:space="0" w:color="auto"/>
            </w:tcBorders>
          </w:tcPr>
          <w:p w14:paraId="2E2A6117" w14:textId="77777777" w:rsidR="003B5961" w:rsidRDefault="003B5961" w:rsidP="003848B8">
            <w:pPr>
              <w:keepNext/>
              <w:tabs>
                <w:tab w:val="left" w:pos="397"/>
                <w:tab w:val="left" w:pos="794"/>
                <w:tab w:val="left" w:pos="1191"/>
              </w:tabs>
              <w:snapToGrid w:val="0"/>
              <w:spacing w:before="20" w:after="20"/>
              <w:ind w:left="-250" w:firstLine="250"/>
              <w:rPr>
                <w:rFonts w:cs="Segoe UI"/>
                <w:sz w:val="17"/>
                <w:szCs w:val="17"/>
                <w:lang w:eastAsia="en-GB"/>
              </w:rPr>
            </w:pPr>
          </w:p>
        </w:tc>
        <w:tc>
          <w:tcPr>
            <w:tcW w:w="992" w:type="dxa"/>
            <w:tcBorders>
              <w:top w:val="single" w:sz="4" w:space="0" w:color="BFBFBF"/>
              <w:left w:val="single" w:sz="4" w:space="0" w:color="auto"/>
              <w:right w:val="single" w:sz="4" w:space="0" w:color="auto"/>
            </w:tcBorders>
            <w:vAlign w:val="center"/>
          </w:tcPr>
          <w:p w14:paraId="2ADB7B42" w14:textId="77777777" w:rsidR="003B5961" w:rsidRDefault="003B5961" w:rsidP="003848B8">
            <w:pPr>
              <w:keepNext/>
              <w:tabs>
                <w:tab w:val="left" w:pos="397"/>
                <w:tab w:val="left" w:pos="794"/>
                <w:tab w:val="left" w:pos="1191"/>
              </w:tabs>
              <w:snapToGrid w:val="0"/>
              <w:spacing w:before="20" w:after="20"/>
              <w:ind w:left="-250" w:firstLine="250"/>
              <w:rPr>
                <w:rFonts w:cs="Segoe UI"/>
                <w:sz w:val="17"/>
                <w:szCs w:val="17"/>
                <w:lang w:eastAsia="en-GB"/>
              </w:rPr>
            </w:pPr>
          </w:p>
        </w:tc>
      </w:tr>
      <w:tr w:rsidR="003B5961" w14:paraId="223248F9" w14:textId="77777777" w:rsidTr="003848B8">
        <w:trPr>
          <w:cantSplit/>
          <w:trHeight w:val="53"/>
        </w:trPr>
        <w:tc>
          <w:tcPr>
            <w:tcW w:w="302" w:type="dxa"/>
            <w:tcBorders>
              <w:left w:val="nil"/>
              <w:bottom w:val="single" w:sz="4" w:space="0" w:color="auto"/>
              <w:right w:val="single" w:sz="4" w:space="0" w:color="auto"/>
            </w:tcBorders>
            <w:vAlign w:val="center"/>
          </w:tcPr>
          <w:p w14:paraId="47A23F78" w14:textId="77777777" w:rsidR="003B5961" w:rsidRDefault="003B5961" w:rsidP="003848B8">
            <w:pPr>
              <w:keepNext/>
              <w:tabs>
                <w:tab w:val="left" w:pos="397"/>
                <w:tab w:val="left" w:pos="794"/>
                <w:tab w:val="left" w:pos="1191"/>
              </w:tabs>
              <w:snapToGrid w:val="0"/>
              <w:spacing w:before="20" w:after="20"/>
              <w:rPr>
                <w:rFonts w:cs="Segoe UI"/>
                <w:b/>
                <w:i/>
                <w:sz w:val="17"/>
                <w:szCs w:val="17"/>
                <w:lang w:eastAsia="en-GB"/>
              </w:rPr>
            </w:pPr>
            <w:r>
              <w:rPr>
                <w:rFonts w:cs="Segoe UI"/>
                <w:b/>
                <w:i/>
                <w:sz w:val="17"/>
                <w:szCs w:val="17"/>
                <w:lang w:eastAsia="en-GB"/>
              </w:rPr>
              <w:t>4</w:t>
            </w:r>
          </w:p>
        </w:tc>
        <w:tc>
          <w:tcPr>
            <w:tcW w:w="1116" w:type="dxa"/>
            <w:tcBorders>
              <w:left w:val="single" w:sz="4" w:space="0" w:color="auto"/>
              <w:bottom w:val="single" w:sz="4" w:space="0" w:color="auto"/>
              <w:right w:val="single" w:sz="4" w:space="0" w:color="auto"/>
            </w:tcBorders>
            <w:vAlign w:val="center"/>
          </w:tcPr>
          <w:p w14:paraId="3669B3DD" w14:textId="77777777" w:rsidR="003B5961" w:rsidRDefault="003B5961" w:rsidP="003848B8">
            <w:pPr>
              <w:keepNext/>
              <w:tabs>
                <w:tab w:val="left" w:pos="397"/>
                <w:tab w:val="left" w:pos="794"/>
                <w:tab w:val="left" w:pos="1191"/>
              </w:tabs>
              <w:snapToGrid w:val="0"/>
              <w:spacing w:before="20" w:after="20"/>
              <w:rPr>
                <w:rFonts w:ascii="Arial" w:eastAsia="Batang" w:hAnsi="Arial" w:cs="Arial"/>
                <w:b/>
                <w:i/>
                <w:sz w:val="17"/>
                <w:szCs w:val="17"/>
                <w:lang w:eastAsia="ko-KR"/>
              </w:rPr>
            </w:pPr>
            <w:r>
              <w:rPr>
                <w:rFonts w:cs="Segoe UI"/>
                <w:b/>
                <w:i/>
                <w:sz w:val="17"/>
                <w:szCs w:val="17"/>
                <w:lang w:eastAsia="en-GB"/>
              </w:rPr>
              <w:t>Total</w:t>
            </w:r>
          </w:p>
        </w:tc>
        <w:tc>
          <w:tcPr>
            <w:tcW w:w="992" w:type="dxa"/>
            <w:tcBorders>
              <w:top w:val="single" w:sz="4" w:space="0" w:color="BFBFBF"/>
              <w:left w:val="single" w:sz="4" w:space="0" w:color="auto"/>
              <w:bottom w:val="single" w:sz="4" w:space="0" w:color="auto"/>
              <w:right w:val="single" w:sz="4" w:space="0" w:color="auto"/>
            </w:tcBorders>
            <w:vAlign w:val="center"/>
          </w:tcPr>
          <w:p w14:paraId="1025F3E3" w14:textId="77777777" w:rsidR="003B5961" w:rsidRDefault="003B5961" w:rsidP="003848B8">
            <w:pPr>
              <w:keepNext/>
              <w:tabs>
                <w:tab w:val="left" w:pos="397"/>
                <w:tab w:val="left" w:pos="794"/>
                <w:tab w:val="left" w:pos="1191"/>
              </w:tabs>
              <w:snapToGrid w:val="0"/>
              <w:spacing w:before="20" w:after="20"/>
              <w:rPr>
                <w:rFonts w:cs="Segoe UI"/>
                <w:b/>
                <w:i/>
                <w:sz w:val="17"/>
                <w:szCs w:val="17"/>
                <w:lang w:eastAsia="en-GB"/>
              </w:rPr>
            </w:pPr>
          </w:p>
        </w:tc>
        <w:tc>
          <w:tcPr>
            <w:tcW w:w="992" w:type="dxa"/>
            <w:tcBorders>
              <w:top w:val="single" w:sz="4" w:space="0" w:color="BFBFBF"/>
              <w:left w:val="single" w:sz="4" w:space="0" w:color="auto"/>
              <w:bottom w:val="single" w:sz="4" w:space="0" w:color="auto"/>
              <w:right w:val="single" w:sz="4" w:space="0" w:color="auto"/>
            </w:tcBorders>
            <w:vAlign w:val="center"/>
          </w:tcPr>
          <w:p w14:paraId="1B0A13B3" w14:textId="77777777" w:rsidR="003B5961" w:rsidRDefault="003B5961" w:rsidP="003848B8">
            <w:pPr>
              <w:keepNext/>
              <w:tabs>
                <w:tab w:val="left" w:pos="397"/>
                <w:tab w:val="left" w:pos="794"/>
                <w:tab w:val="left" w:pos="1191"/>
              </w:tabs>
              <w:snapToGrid w:val="0"/>
              <w:spacing w:before="20" w:after="20"/>
              <w:rPr>
                <w:rFonts w:cs="Segoe UI"/>
                <w:b/>
                <w:i/>
                <w:sz w:val="17"/>
                <w:szCs w:val="17"/>
                <w:lang w:eastAsia="en-GB"/>
              </w:rPr>
            </w:pPr>
          </w:p>
        </w:tc>
        <w:tc>
          <w:tcPr>
            <w:tcW w:w="1276" w:type="dxa"/>
            <w:tcBorders>
              <w:left w:val="single" w:sz="4" w:space="0" w:color="auto"/>
              <w:bottom w:val="single" w:sz="4" w:space="0" w:color="auto"/>
              <w:right w:val="single" w:sz="4" w:space="0" w:color="auto"/>
            </w:tcBorders>
            <w:vAlign w:val="center"/>
          </w:tcPr>
          <w:p w14:paraId="6CA27166" w14:textId="77777777" w:rsidR="003B5961" w:rsidRDefault="003B5961" w:rsidP="003848B8">
            <w:pPr>
              <w:keepNext/>
              <w:tabs>
                <w:tab w:val="left" w:pos="397"/>
                <w:tab w:val="left" w:pos="794"/>
                <w:tab w:val="left" w:pos="1191"/>
              </w:tabs>
              <w:snapToGrid w:val="0"/>
              <w:spacing w:before="20" w:after="20"/>
              <w:rPr>
                <w:rFonts w:cs="Segoe UI"/>
                <w:b/>
                <w:i/>
                <w:sz w:val="17"/>
                <w:szCs w:val="17"/>
                <w:lang w:eastAsia="en-GB"/>
              </w:rPr>
            </w:pPr>
          </w:p>
        </w:tc>
        <w:tc>
          <w:tcPr>
            <w:tcW w:w="1134" w:type="dxa"/>
            <w:tcBorders>
              <w:left w:val="single" w:sz="4" w:space="0" w:color="auto"/>
              <w:bottom w:val="single" w:sz="4" w:space="0" w:color="auto"/>
              <w:right w:val="single" w:sz="4" w:space="0" w:color="auto"/>
            </w:tcBorders>
          </w:tcPr>
          <w:p w14:paraId="2EE538D0" w14:textId="77777777" w:rsidR="003B5961" w:rsidRDefault="003B5961" w:rsidP="003848B8">
            <w:pPr>
              <w:keepNext/>
              <w:tabs>
                <w:tab w:val="left" w:pos="397"/>
                <w:tab w:val="left" w:pos="794"/>
                <w:tab w:val="left" w:pos="1191"/>
              </w:tabs>
              <w:snapToGrid w:val="0"/>
              <w:spacing w:before="20" w:after="20"/>
              <w:ind w:left="-250" w:firstLine="250"/>
              <w:rPr>
                <w:rFonts w:cs="Segoe UI"/>
                <w:b/>
                <w:i/>
                <w:sz w:val="17"/>
                <w:szCs w:val="17"/>
                <w:lang w:eastAsia="en-GB"/>
              </w:rPr>
            </w:pPr>
          </w:p>
        </w:tc>
        <w:tc>
          <w:tcPr>
            <w:tcW w:w="1276" w:type="dxa"/>
            <w:tcBorders>
              <w:left w:val="single" w:sz="4" w:space="0" w:color="auto"/>
              <w:bottom w:val="single" w:sz="4" w:space="0" w:color="auto"/>
              <w:right w:val="single" w:sz="4" w:space="0" w:color="auto"/>
            </w:tcBorders>
          </w:tcPr>
          <w:p w14:paraId="2AC146A0" w14:textId="77777777" w:rsidR="003B5961" w:rsidRDefault="003B5961" w:rsidP="003848B8">
            <w:pPr>
              <w:keepNext/>
              <w:tabs>
                <w:tab w:val="left" w:pos="397"/>
                <w:tab w:val="left" w:pos="794"/>
                <w:tab w:val="left" w:pos="1191"/>
              </w:tabs>
              <w:snapToGrid w:val="0"/>
              <w:spacing w:before="20" w:after="20"/>
              <w:ind w:left="-250" w:firstLine="250"/>
              <w:rPr>
                <w:rFonts w:cs="Segoe UI"/>
                <w:b/>
                <w:i/>
                <w:sz w:val="17"/>
                <w:szCs w:val="17"/>
                <w:lang w:eastAsia="en-GB"/>
              </w:rPr>
            </w:pPr>
          </w:p>
        </w:tc>
        <w:tc>
          <w:tcPr>
            <w:tcW w:w="1134" w:type="dxa"/>
            <w:tcBorders>
              <w:left w:val="single" w:sz="4" w:space="0" w:color="auto"/>
              <w:bottom w:val="single" w:sz="4" w:space="0" w:color="auto"/>
              <w:right w:val="single" w:sz="4" w:space="0" w:color="auto"/>
            </w:tcBorders>
          </w:tcPr>
          <w:p w14:paraId="53BF3167" w14:textId="77777777" w:rsidR="003B5961" w:rsidRDefault="003B5961" w:rsidP="003848B8">
            <w:pPr>
              <w:keepNext/>
              <w:tabs>
                <w:tab w:val="left" w:pos="397"/>
                <w:tab w:val="left" w:pos="794"/>
                <w:tab w:val="left" w:pos="1191"/>
              </w:tabs>
              <w:snapToGrid w:val="0"/>
              <w:spacing w:before="20" w:after="20"/>
              <w:ind w:left="-250" w:firstLine="250"/>
              <w:rPr>
                <w:rFonts w:cs="Segoe UI"/>
                <w:b/>
                <w:i/>
                <w:sz w:val="17"/>
                <w:szCs w:val="17"/>
                <w:lang w:eastAsia="en-GB"/>
              </w:rPr>
            </w:pPr>
          </w:p>
        </w:tc>
        <w:tc>
          <w:tcPr>
            <w:tcW w:w="992" w:type="dxa"/>
            <w:tcBorders>
              <w:left w:val="single" w:sz="4" w:space="0" w:color="auto"/>
              <w:bottom w:val="single" w:sz="4" w:space="0" w:color="auto"/>
              <w:right w:val="single" w:sz="4" w:space="0" w:color="auto"/>
            </w:tcBorders>
            <w:vAlign w:val="center"/>
          </w:tcPr>
          <w:p w14:paraId="68D72EFB" w14:textId="77777777" w:rsidR="003B5961" w:rsidRDefault="003B5961" w:rsidP="003848B8">
            <w:pPr>
              <w:keepNext/>
              <w:tabs>
                <w:tab w:val="left" w:pos="397"/>
                <w:tab w:val="left" w:pos="794"/>
                <w:tab w:val="left" w:pos="1191"/>
              </w:tabs>
              <w:snapToGrid w:val="0"/>
              <w:spacing w:before="20" w:after="20"/>
              <w:ind w:left="-250" w:firstLine="250"/>
              <w:rPr>
                <w:rFonts w:cs="Segoe UI"/>
                <w:b/>
                <w:i/>
                <w:sz w:val="17"/>
                <w:szCs w:val="17"/>
                <w:lang w:eastAsia="en-GB"/>
              </w:rPr>
            </w:pPr>
          </w:p>
        </w:tc>
      </w:tr>
    </w:tbl>
    <w:p w14:paraId="7E26409C" w14:textId="77777777" w:rsidR="003B5961" w:rsidRDefault="003B5961" w:rsidP="003B5961">
      <w:pPr>
        <w:spacing w:before="120" w:after="120"/>
        <w:ind w:leftChars="-283" w:left="-566"/>
        <w:rPr>
          <w:sz w:val="22"/>
        </w:rPr>
      </w:pPr>
    </w:p>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505"/>
      </w:tblGrid>
      <w:tr w:rsidR="003B5961" w14:paraId="6677A87F" w14:textId="77777777" w:rsidTr="003848B8">
        <w:trPr>
          <w:tblHeader/>
        </w:trPr>
        <w:tc>
          <w:tcPr>
            <w:tcW w:w="9214" w:type="dxa"/>
            <w:gridSpan w:val="2"/>
            <w:shd w:val="clear" w:color="auto" w:fill="BFBFBF"/>
          </w:tcPr>
          <w:p w14:paraId="1C899DCE" w14:textId="77777777" w:rsidR="003B5961" w:rsidRDefault="003B5961" w:rsidP="003848B8">
            <w:pPr>
              <w:spacing w:before="40" w:after="40"/>
              <w:jc w:val="both"/>
              <w:rPr>
                <w:rFonts w:eastAsia="新細明體"/>
                <w:b/>
                <w:sz w:val="17"/>
                <w:lang w:eastAsia="en-GB"/>
              </w:rPr>
            </w:pPr>
            <w:r>
              <w:rPr>
                <w:rFonts w:eastAsia="新細明體"/>
                <w:b/>
                <w:sz w:val="17"/>
                <w:lang w:eastAsia="en-GB"/>
              </w:rPr>
              <w:t>Explanatory Note</w:t>
            </w:r>
          </w:p>
        </w:tc>
      </w:tr>
      <w:tr w:rsidR="003B5961" w14:paraId="58805B71" w14:textId="77777777" w:rsidTr="003848B8">
        <w:trPr>
          <w:trHeight w:val="153"/>
        </w:trPr>
        <w:tc>
          <w:tcPr>
            <w:tcW w:w="9214" w:type="dxa"/>
            <w:gridSpan w:val="2"/>
            <w:shd w:val="clear" w:color="auto" w:fill="F2F2F2"/>
          </w:tcPr>
          <w:p w14:paraId="178806FA" w14:textId="77777777" w:rsidR="003B5961" w:rsidRDefault="003B5961" w:rsidP="003848B8">
            <w:pPr>
              <w:spacing w:before="40" w:after="40"/>
              <w:jc w:val="both"/>
              <w:rPr>
                <w:rFonts w:eastAsia="新細明體"/>
                <w:sz w:val="17"/>
                <w:lang w:eastAsia="en-GB"/>
              </w:rPr>
            </w:pPr>
            <w:r>
              <w:rPr>
                <w:rFonts w:eastAsia="新細明體"/>
                <w:b/>
                <w:sz w:val="17"/>
                <w:lang w:eastAsia="en-GB"/>
              </w:rPr>
              <w:t>Columns</w:t>
            </w:r>
          </w:p>
        </w:tc>
      </w:tr>
      <w:tr w:rsidR="003B5961" w14:paraId="36D37D9A" w14:textId="77777777" w:rsidTr="003848B8">
        <w:trPr>
          <w:trHeight w:val="1800"/>
        </w:trPr>
        <w:tc>
          <w:tcPr>
            <w:tcW w:w="709" w:type="dxa"/>
          </w:tcPr>
          <w:p w14:paraId="4F40E7D9" w14:textId="77777777" w:rsidR="003B5961" w:rsidRDefault="003B5961" w:rsidP="003848B8">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(a) and (b)</w:t>
            </w:r>
          </w:p>
        </w:tc>
        <w:tc>
          <w:tcPr>
            <w:tcW w:w="8505" w:type="dxa"/>
          </w:tcPr>
          <w:p w14:paraId="080B5BF5" w14:textId="77777777" w:rsidR="003B5961" w:rsidRDefault="003B5961" w:rsidP="003848B8">
            <w:pPr>
              <w:keepLines/>
              <w:widowControl w:val="0"/>
              <w:tabs>
                <w:tab w:val="left" w:pos="150"/>
                <w:tab w:val="left" w:pos="397"/>
                <w:tab w:val="left" w:pos="794"/>
                <w:tab w:val="left" w:pos="1191"/>
              </w:tabs>
              <w:spacing w:before="20" w:after="20"/>
              <w:jc w:val="both"/>
              <w:rPr>
                <w:i/>
                <w:sz w:val="17"/>
                <w:szCs w:val="17"/>
              </w:rPr>
            </w:pPr>
            <w:r>
              <w:rPr>
                <w:i/>
                <w:sz w:val="17"/>
                <w:szCs w:val="17"/>
              </w:rPr>
              <w:t>Gross carrying amounts</w:t>
            </w:r>
            <w:r>
              <w:rPr>
                <w:sz w:val="17"/>
                <w:szCs w:val="17"/>
              </w:rPr>
              <w:t xml:space="preserve">: these represent the items that give rise to on- or off-balance sheet credit exposures that are subject to capital requirements under the BCR.  The gross carrying amount is the accounting value before any allowance / impairments, gross of any CCF or CRM but after any write-offs.  Write-offs for the purpose of this template are related to a direct reduction of the carrying amount when an AI has no reasonable expectations for its recovery.  </w:t>
            </w:r>
          </w:p>
        </w:tc>
      </w:tr>
      <w:tr w:rsidR="003B5961" w14:paraId="38FCEE28" w14:textId="77777777" w:rsidTr="003848B8">
        <w:tc>
          <w:tcPr>
            <w:tcW w:w="709" w:type="dxa"/>
          </w:tcPr>
          <w:p w14:paraId="6A864E3E" w14:textId="77777777" w:rsidR="003B5961" w:rsidRDefault="003B5961" w:rsidP="003848B8">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lastRenderedPageBreak/>
              <w:t>(a)</w:t>
            </w:r>
          </w:p>
        </w:tc>
        <w:tc>
          <w:tcPr>
            <w:tcW w:w="8505" w:type="dxa"/>
          </w:tcPr>
          <w:p w14:paraId="3D747D6F" w14:textId="5108CD9C" w:rsidR="003B5961" w:rsidRDefault="003B5961" w:rsidP="00FD731A">
            <w:pPr>
              <w:keepLines/>
              <w:widowControl w:val="0"/>
              <w:tabs>
                <w:tab w:val="left" w:pos="150"/>
                <w:tab w:val="left" w:pos="397"/>
                <w:tab w:val="left" w:pos="794"/>
                <w:tab w:val="left" w:pos="1191"/>
              </w:tabs>
              <w:spacing w:before="20" w:after="20"/>
              <w:jc w:val="both"/>
              <w:rPr>
                <w:rFonts w:cs="Segoe UI"/>
                <w:sz w:val="17"/>
                <w:szCs w:val="17"/>
                <w:lang w:eastAsia="en-GB"/>
              </w:rPr>
            </w:pPr>
            <w:r>
              <w:rPr>
                <w:i/>
                <w:sz w:val="17"/>
                <w:szCs w:val="17"/>
              </w:rPr>
              <w:t>Defaulted exposures</w:t>
            </w:r>
            <w:r>
              <w:rPr>
                <w:sz w:val="17"/>
                <w:szCs w:val="17"/>
              </w:rPr>
              <w:t xml:space="preserve">: AIs should use the definition of “default” that they use for regulatory capital adequacy purpose. I.e. For AIs using the STC or BSC approach, the meaning of ”defaulted exposures” should correspond to the secured and unsecured portions of “defaulted exposures” as defined in </w:t>
            </w:r>
            <w:r w:rsidR="00025C06">
              <w:rPr>
                <w:sz w:val="17"/>
                <w:szCs w:val="17"/>
              </w:rPr>
              <w:t xml:space="preserve">BCR </w:t>
            </w:r>
            <w:r w:rsidR="00025C06" w:rsidRPr="00025C06">
              <w:rPr>
                <w:rFonts w:hint="eastAsia"/>
                <w:sz w:val="17"/>
                <w:szCs w:val="17"/>
              </w:rPr>
              <w:t>§</w:t>
            </w:r>
            <w:r>
              <w:rPr>
                <w:sz w:val="17"/>
                <w:szCs w:val="17"/>
              </w:rPr>
              <w:t xml:space="preserve">51(1) or claims “past due for more than 90 days” (or any more stringent definition adopted by the AI as provided in the accompanying narrative of this template and consistently applied throughout all templates where the “default” concept is used) respectively.  AIs using the IRB approach should use the definition of “default” under </w:t>
            </w:r>
            <w:r w:rsidR="00FD731A">
              <w:rPr>
                <w:sz w:val="17"/>
                <w:szCs w:val="17"/>
              </w:rPr>
              <w:t xml:space="preserve">BCR </w:t>
            </w:r>
            <w:r w:rsidR="00FD731A" w:rsidRPr="00FD731A">
              <w:rPr>
                <w:rFonts w:hint="eastAsia"/>
                <w:sz w:val="17"/>
                <w:szCs w:val="17"/>
              </w:rPr>
              <w:t>§</w:t>
            </w:r>
            <w:r>
              <w:rPr>
                <w:sz w:val="17"/>
                <w:szCs w:val="17"/>
              </w:rPr>
              <w:t>149 for exposures under that approach.</w:t>
            </w:r>
          </w:p>
        </w:tc>
      </w:tr>
      <w:tr w:rsidR="003B5961" w14:paraId="6B8A1DC0" w14:textId="77777777" w:rsidTr="003848B8">
        <w:trPr>
          <w:trHeight w:val="373"/>
        </w:trPr>
        <w:tc>
          <w:tcPr>
            <w:tcW w:w="709" w:type="dxa"/>
          </w:tcPr>
          <w:p w14:paraId="5A493E69" w14:textId="77777777" w:rsidR="003B5961" w:rsidRDefault="003B5961" w:rsidP="003848B8">
            <w:pPr>
              <w:keepLines/>
              <w:widowControl w:val="0"/>
              <w:tabs>
                <w:tab w:val="left" w:pos="150"/>
                <w:tab w:val="left" w:pos="397"/>
                <w:tab w:val="left" w:pos="794"/>
                <w:tab w:val="left" w:pos="1191"/>
              </w:tabs>
              <w:spacing w:before="20" w:after="20"/>
              <w:rPr>
                <w:rFonts w:cs="Segoe UI"/>
                <w:sz w:val="17"/>
                <w:szCs w:val="17"/>
                <w:lang w:eastAsia="en-GB"/>
              </w:rPr>
            </w:pPr>
            <w:r>
              <w:rPr>
                <w:rFonts w:cs="Segoe UI"/>
                <w:sz w:val="17"/>
                <w:szCs w:val="17"/>
                <w:lang w:eastAsia="en-GB"/>
              </w:rPr>
              <w:t>(b)</w:t>
            </w:r>
          </w:p>
        </w:tc>
        <w:tc>
          <w:tcPr>
            <w:tcW w:w="8505" w:type="dxa"/>
          </w:tcPr>
          <w:p w14:paraId="46EC1FBB" w14:textId="77777777" w:rsidR="003B5961" w:rsidRDefault="003B5961" w:rsidP="003848B8">
            <w:pPr>
              <w:keepLines/>
              <w:widowControl w:val="0"/>
              <w:tabs>
                <w:tab w:val="left" w:pos="150"/>
                <w:tab w:val="left" w:pos="397"/>
                <w:tab w:val="left" w:pos="794"/>
                <w:tab w:val="left" w:pos="1191"/>
              </w:tabs>
              <w:spacing w:before="20" w:after="20"/>
              <w:jc w:val="both"/>
              <w:rPr>
                <w:sz w:val="17"/>
                <w:szCs w:val="17"/>
              </w:rPr>
            </w:pPr>
            <w:r>
              <w:rPr>
                <w:i/>
                <w:sz w:val="17"/>
                <w:szCs w:val="17"/>
              </w:rPr>
              <w:t>Non-defaulted exposures</w:t>
            </w:r>
            <w:r>
              <w:rPr>
                <w:sz w:val="17"/>
                <w:szCs w:val="17"/>
              </w:rPr>
              <w:t xml:space="preserve">: any </w:t>
            </w:r>
            <w:r>
              <w:rPr>
                <w:rFonts w:cs="Segoe UI"/>
                <w:sz w:val="17"/>
                <w:szCs w:val="17"/>
                <w:lang w:eastAsia="en-GB"/>
              </w:rPr>
              <w:t>exposure</w:t>
            </w:r>
            <w:r>
              <w:rPr>
                <w:sz w:val="17"/>
                <w:szCs w:val="17"/>
              </w:rPr>
              <w:t xml:space="preserve"> that does not meet the above definition of defaulted exposures.</w:t>
            </w:r>
          </w:p>
        </w:tc>
      </w:tr>
      <w:tr w:rsidR="003B5961" w14:paraId="6F467BC0" w14:textId="77777777" w:rsidTr="003848B8">
        <w:tc>
          <w:tcPr>
            <w:tcW w:w="709" w:type="dxa"/>
          </w:tcPr>
          <w:p w14:paraId="2CA44045" w14:textId="77777777" w:rsidR="003B5961" w:rsidRDefault="003B5961" w:rsidP="003848B8">
            <w:pPr>
              <w:keepLines/>
              <w:widowControl w:val="0"/>
              <w:tabs>
                <w:tab w:val="left" w:pos="150"/>
                <w:tab w:val="left" w:pos="397"/>
                <w:tab w:val="left" w:pos="794"/>
                <w:tab w:val="left" w:pos="1191"/>
              </w:tabs>
              <w:spacing w:before="20" w:after="20"/>
              <w:rPr>
                <w:rFonts w:cs="Segoe UI"/>
                <w:sz w:val="17"/>
                <w:szCs w:val="17"/>
                <w:lang w:eastAsia="en-GB"/>
              </w:rPr>
            </w:pPr>
            <w:r>
              <w:rPr>
                <w:rFonts w:cs="Segoe UI"/>
                <w:sz w:val="17"/>
                <w:szCs w:val="17"/>
                <w:lang w:eastAsia="en-GB"/>
              </w:rPr>
              <w:t>(c)</w:t>
            </w:r>
          </w:p>
        </w:tc>
        <w:tc>
          <w:tcPr>
            <w:tcW w:w="8505" w:type="dxa"/>
          </w:tcPr>
          <w:p w14:paraId="344251BC" w14:textId="77777777" w:rsidR="003B5961" w:rsidRDefault="003B5961" w:rsidP="003848B8">
            <w:pPr>
              <w:keepLines/>
              <w:widowControl w:val="0"/>
              <w:tabs>
                <w:tab w:val="left" w:pos="150"/>
                <w:tab w:val="left" w:pos="397"/>
                <w:tab w:val="left" w:pos="794"/>
                <w:tab w:val="left" w:pos="1191"/>
              </w:tabs>
              <w:spacing w:before="20" w:after="20"/>
              <w:jc w:val="both"/>
              <w:rPr>
                <w:rFonts w:cs="Segoe UI"/>
                <w:sz w:val="17"/>
                <w:szCs w:val="17"/>
                <w:lang w:eastAsia="en-GB"/>
              </w:rPr>
            </w:pPr>
            <w:r>
              <w:rPr>
                <w:i/>
                <w:sz w:val="17"/>
                <w:szCs w:val="17"/>
              </w:rPr>
              <w:t>Allowances / impairments</w:t>
            </w:r>
            <w:r>
              <w:rPr>
                <w:sz w:val="17"/>
                <w:szCs w:val="17"/>
              </w:rPr>
              <w:t xml:space="preserve">: the total amount of impairments, made via an allowance against impaired and not impaired exposures according to the applicable accounting standards for the preparation of the AI’s financial statement. </w:t>
            </w:r>
            <w:r>
              <w:rPr>
                <w:rFonts w:cs="Segoe UI"/>
                <w:sz w:val="17"/>
                <w:szCs w:val="17"/>
                <w:lang w:eastAsia="en-GB"/>
              </w:rPr>
              <w:t xml:space="preserve">“Impaired </w:t>
            </w:r>
            <w:r w:rsidRPr="006E4112">
              <w:rPr>
                <w:rFonts w:cs="Segoe UI"/>
                <w:sz w:val="17"/>
                <w:szCs w:val="17"/>
                <w:lang w:eastAsia="en-GB"/>
              </w:rPr>
              <w:t xml:space="preserve">exposures” are those that are considered “credit-impaired” in the meaning of </w:t>
            </w:r>
            <w:r>
              <w:rPr>
                <w:rFonts w:cs="Segoe UI"/>
                <w:sz w:val="17"/>
                <w:szCs w:val="17"/>
                <w:lang w:eastAsia="en-GB"/>
              </w:rPr>
              <w:t xml:space="preserve">HKFRS 9 / </w:t>
            </w:r>
            <w:r w:rsidRPr="006E4112">
              <w:rPr>
                <w:rFonts w:cs="Segoe UI"/>
                <w:sz w:val="17"/>
                <w:szCs w:val="17"/>
                <w:lang w:eastAsia="en-GB"/>
              </w:rPr>
              <w:t>IFRS 9 Appendix A.</w:t>
            </w:r>
          </w:p>
        </w:tc>
      </w:tr>
      <w:tr w:rsidR="003B5961" w14:paraId="11A4BA8D" w14:textId="77777777" w:rsidTr="003848B8">
        <w:tc>
          <w:tcPr>
            <w:tcW w:w="709" w:type="dxa"/>
          </w:tcPr>
          <w:p w14:paraId="7E066883" w14:textId="77777777" w:rsidR="003B5961" w:rsidRDefault="003B5961" w:rsidP="003848B8">
            <w:pPr>
              <w:keepLines/>
              <w:widowControl w:val="0"/>
              <w:tabs>
                <w:tab w:val="left" w:pos="150"/>
                <w:tab w:val="left" w:pos="397"/>
                <w:tab w:val="left" w:pos="794"/>
                <w:tab w:val="left" w:pos="1191"/>
              </w:tabs>
              <w:spacing w:before="20" w:after="20"/>
              <w:rPr>
                <w:rFonts w:cs="Segoe UI"/>
                <w:sz w:val="17"/>
                <w:szCs w:val="17"/>
                <w:lang w:eastAsia="en-GB"/>
              </w:rPr>
            </w:pPr>
            <w:r>
              <w:rPr>
                <w:rFonts w:cs="Segoe UI"/>
                <w:sz w:val="17"/>
                <w:szCs w:val="17"/>
                <w:lang w:eastAsia="en-GB"/>
              </w:rPr>
              <w:t>(d) to (f)</w:t>
            </w:r>
          </w:p>
        </w:tc>
        <w:tc>
          <w:tcPr>
            <w:tcW w:w="8505" w:type="dxa"/>
          </w:tcPr>
          <w:p w14:paraId="56E45BDB" w14:textId="77777777" w:rsidR="003B5961" w:rsidRDefault="003B5961" w:rsidP="003848B8">
            <w:pPr>
              <w:keepLines/>
              <w:widowControl w:val="0"/>
              <w:tabs>
                <w:tab w:val="left" w:pos="150"/>
                <w:tab w:val="left" w:pos="397"/>
                <w:tab w:val="left" w:pos="794"/>
                <w:tab w:val="left" w:pos="1191"/>
              </w:tabs>
              <w:spacing w:before="20" w:after="20"/>
              <w:jc w:val="both"/>
              <w:rPr>
                <w:i/>
                <w:sz w:val="17"/>
                <w:szCs w:val="17"/>
              </w:rPr>
            </w:pPr>
            <w:r w:rsidRPr="004775A2">
              <w:rPr>
                <w:sz w:val="17"/>
                <w:szCs w:val="17"/>
              </w:rPr>
              <w:t>An AI should fill in column (d) to (f) in accordance with the categorisation of accounting provisions distinguishing those meeting the conditions to be categorised as collective provisions and those that are categorised as specific provisions.  This categorisation must be consistent with information provided in Table CRB.</w:t>
            </w:r>
          </w:p>
        </w:tc>
      </w:tr>
      <w:tr w:rsidR="003B5961" w14:paraId="50AF3012" w14:textId="77777777" w:rsidTr="003848B8">
        <w:tc>
          <w:tcPr>
            <w:tcW w:w="709" w:type="dxa"/>
          </w:tcPr>
          <w:p w14:paraId="77956C77" w14:textId="77777777" w:rsidR="003B5961" w:rsidRDefault="003B5961" w:rsidP="003848B8">
            <w:pPr>
              <w:keepLines/>
              <w:widowControl w:val="0"/>
              <w:tabs>
                <w:tab w:val="left" w:pos="150"/>
                <w:tab w:val="left" w:pos="397"/>
                <w:tab w:val="left" w:pos="794"/>
                <w:tab w:val="left" w:pos="1191"/>
              </w:tabs>
              <w:spacing w:before="20" w:after="20"/>
              <w:rPr>
                <w:rFonts w:cs="Segoe UI"/>
                <w:sz w:val="17"/>
                <w:szCs w:val="17"/>
                <w:lang w:eastAsia="en-GB"/>
              </w:rPr>
            </w:pPr>
            <w:r>
              <w:rPr>
                <w:rFonts w:cs="Segoe UI"/>
                <w:sz w:val="17"/>
                <w:szCs w:val="17"/>
                <w:lang w:eastAsia="en-GB"/>
              </w:rPr>
              <w:t>(g)</w:t>
            </w:r>
          </w:p>
        </w:tc>
        <w:tc>
          <w:tcPr>
            <w:tcW w:w="8505" w:type="dxa"/>
          </w:tcPr>
          <w:p w14:paraId="3A6F08BE" w14:textId="77777777" w:rsidR="003B5961" w:rsidRDefault="003B5961" w:rsidP="003848B8">
            <w:pPr>
              <w:keepLines/>
              <w:widowControl w:val="0"/>
              <w:tabs>
                <w:tab w:val="left" w:pos="150"/>
                <w:tab w:val="left" w:pos="397"/>
                <w:tab w:val="left" w:pos="794"/>
                <w:tab w:val="left" w:pos="1191"/>
              </w:tabs>
              <w:spacing w:before="20" w:after="20"/>
              <w:jc w:val="both"/>
              <w:rPr>
                <w:rFonts w:cs="Segoe UI"/>
                <w:sz w:val="17"/>
                <w:szCs w:val="17"/>
                <w:lang w:eastAsia="en-GB"/>
              </w:rPr>
            </w:pPr>
            <w:r>
              <w:rPr>
                <w:i/>
                <w:sz w:val="17"/>
                <w:szCs w:val="17"/>
              </w:rPr>
              <w:t>Net values</w:t>
            </w:r>
            <w:r>
              <w:rPr>
                <w:sz w:val="17"/>
                <w:szCs w:val="17"/>
              </w:rPr>
              <w:t>: total gross carrying value less allowances / impairments, which is equal to the sum of values in columns (a) and (b) minus the value in column (c).</w:t>
            </w:r>
          </w:p>
        </w:tc>
      </w:tr>
      <w:tr w:rsidR="003B5961" w14:paraId="42265D23" w14:textId="77777777" w:rsidTr="003848B8">
        <w:tc>
          <w:tcPr>
            <w:tcW w:w="9214" w:type="dxa"/>
            <w:gridSpan w:val="2"/>
            <w:shd w:val="clear" w:color="auto" w:fill="F2F2F2"/>
          </w:tcPr>
          <w:p w14:paraId="6BD41494" w14:textId="77777777" w:rsidR="003B5961" w:rsidRDefault="003B5961" w:rsidP="003848B8">
            <w:pPr>
              <w:spacing w:before="40" w:after="40"/>
              <w:jc w:val="both"/>
              <w:rPr>
                <w:rFonts w:eastAsia="新細明體"/>
                <w:b/>
                <w:sz w:val="17"/>
                <w:lang w:eastAsia="en-GB"/>
              </w:rPr>
            </w:pPr>
            <w:r>
              <w:rPr>
                <w:rFonts w:eastAsia="新細明體"/>
                <w:b/>
                <w:sz w:val="17"/>
                <w:lang w:eastAsia="en-GB"/>
              </w:rPr>
              <w:t>Rows</w:t>
            </w:r>
          </w:p>
        </w:tc>
      </w:tr>
      <w:tr w:rsidR="003B5961" w14:paraId="12C686F8" w14:textId="77777777" w:rsidTr="003848B8">
        <w:tc>
          <w:tcPr>
            <w:tcW w:w="709" w:type="dxa"/>
          </w:tcPr>
          <w:p w14:paraId="54CFECCB" w14:textId="77777777" w:rsidR="003B5961" w:rsidRDefault="003B5961" w:rsidP="003848B8">
            <w:pPr>
              <w:keepLines/>
              <w:widowControl w:val="0"/>
              <w:tabs>
                <w:tab w:val="left" w:pos="150"/>
                <w:tab w:val="left" w:pos="397"/>
                <w:tab w:val="left" w:pos="794"/>
                <w:tab w:val="left" w:pos="1191"/>
              </w:tabs>
              <w:spacing w:before="20" w:after="20"/>
              <w:rPr>
                <w:rFonts w:cs="Segoe UI"/>
                <w:sz w:val="17"/>
                <w:szCs w:val="17"/>
              </w:rPr>
            </w:pPr>
            <w:r>
              <w:rPr>
                <w:rFonts w:cs="Segoe UI"/>
                <w:sz w:val="17"/>
                <w:szCs w:val="17"/>
              </w:rPr>
              <w:t>1</w:t>
            </w:r>
          </w:p>
        </w:tc>
        <w:tc>
          <w:tcPr>
            <w:tcW w:w="8505" w:type="dxa"/>
          </w:tcPr>
          <w:p w14:paraId="47BC02DC" w14:textId="59C4C57E" w:rsidR="003B5961" w:rsidRDefault="003B5961" w:rsidP="003848B8">
            <w:pPr>
              <w:keepLines/>
              <w:widowControl w:val="0"/>
              <w:tabs>
                <w:tab w:val="left" w:pos="150"/>
                <w:tab w:val="left" w:pos="397"/>
                <w:tab w:val="left" w:pos="794"/>
                <w:tab w:val="left" w:pos="1191"/>
              </w:tabs>
              <w:spacing w:before="20" w:after="20"/>
              <w:jc w:val="both"/>
              <w:rPr>
                <w:rFonts w:cs="Segoe UI"/>
                <w:sz w:val="17"/>
                <w:szCs w:val="17"/>
              </w:rPr>
            </w:pPr>
            <w:r>
              <w:rPr>
                <w:rFonts w:cs="Segoe UI"/>
                <w:i/>
                <w:sz w:val="17"/>
                <w:szCs w:val="17"/>
              </w:rPr>
              <w:t>Loans</w:t>
            </w:r>
            <w:r>
              <w:rPr>
                <w:rFonts w:cs="Segoe UI"/>
                <w:sz w:val="17"/>
                <w:szCs w:val="17"/>
              </w:rPr>
              <w:t xml:space="preserve">: the value in [CR1:1/g] is equal to the sum of values in [CR3:1/a] and [CR3:1/b].  </w:t>
            </w:r>
          </w:p>
        </w:tc>
      </w:tr>
      <w:tr w:rsidR="003B5961" w14:paraId="53E3416E" w14:textId="77777777" w:rsidTr="003848B8">
        <w:tc>
          <w:tcPr>
            <w:tcW w:w="709" w:type="dxa"/>
          </w:tcPr>
          <w:p w14:paraId="653491C9" w14:textId="77777777" w:rsidR="003B5961" w:rsidRDefault="003B5961" w:rsidP="003848B8">
            <w:pPr>
              <w:keepLines/>
              <w:widowControl w:val="0"/>
              <w:tabs>
                <w:tab w:val="left" w:pos="150"/>
                <w:tab w:val="left" w:pos="397"/>
                <w:tab w:val="left" w:pos="794"/>
                <w:tab w:val="left" w:pos="1191"/>
              </w:tabs>
              <w:spacing w:before="20" w:after="20"/>
              <w:rPr>
                <w:rFonts w:cs="Segoe UI"/>
                <w:sz w:val="17"/>
                <w:szCs w:val="17"/>
              </w:rPr>
            </w:pPr>
            <w:r>
              <w:rPr>
                <w:rFonts w:cs="Segoe UI"/>
                <w:sz w:val="17"/>
                <w:szCs w:val="17"/>
              </w:rPr>
              <w:t>2</w:t>
            </w:r>
          </w:p>
        </w:tc>
        <w:tc>
          <w:tcPr>
            <w:tcW w:w="8505" w:type="dxa"/>
          </w:tcPr>
          <w:p w14:paraId="2CC9C6FA" w14:textId="6CD95B39" w:rsidR="003B5961" w:rsidRDefault="003B5961" w:rsidP="00CA57CB">
            <w:pPr>
              <w:keepLines/>
              <w:widowControl w:val="0"/>
              <w:tabs>
                <w:tab w:val="left" w:pos="150"/>
                <w:tab w:val="left" w:pos="397"/>
                <w:tab w:val="left" w:pos="794"/>
                <w:tab w:val="left" w:pos="1191"/>
              </w:tabs>
              <w:spacing w:before="20" w:after="20"/>
              <w:jc w:val="both"/>
              <w:rPr>
                <w:rFonts w:cs="Segoe UI"/>
                <w:sz w:val="17"/>
                <w:szCs w:val="17"/>
                <w:lang w:eastAsia="en-GB"/>
              </w:rPr>
            </w:pPr>
            <w:r>
              <w:rPr>
                <w:rFonts w:cs="Segoe UI"/>
                <w:i/>
                <w:sz w:val="17"/>
                <w:szCs w:val="17"/>
                <w:lang w:eastAsia="en-GB"/>
              </w:rPr>
              <w:t>Debt securities</w:t>
            </w:r>
            <w:r>
              <w:rPr>
                <w:rFonts w:cs="Segoe UI"/>
                <w:sz w:val="17"/>
                <w:szCs w:val="17"/>
                <w:lang w:eastAsia="en-GB"/>
              </w:rPr>
              <w:t xml:space="preserve">: </w:t>
            </w:r>
            <w:r>
              <w:rPr>
                <w:rFonts w:cs="Segoe UI"/>
                <w:sz w:val="17"/>
                <w:szCs w:val="17"/>
              </w:rPr>
              <w:t>the value in [CR1:2/g] is equal to the sum of values in [CR3:2/a] and [CR3:2/b].</w:t>
            </w:r>
          </w:p>
        </w:tc>
      </w:tr>
      <w:tr w:rsidR="003B5961" w14:paraId="5F699EDE" w14:textId="77777777" w:rsidTr="003848B8">
        <w:tc>
          <w:tcPr>
            <w:tcW w:w="709" w:type="dxa"/>
          </w:tcPr>
          <w:p w14:paraId="50520648" w14:textId="77777777" w:rsidR="003B5961" w:rsidRDefault="003B5961" w:rsidP="003848B8">
            <w:pPr>
              <w:keepLines/>
              <w:widowControl w:val="0"/>
              <w:tabs>
                <w:tab w:val="left" w:pos="150"/>
                <w:tab w:val="left" w:pos="397"/>
                <w:tab w:val="left" w:pos="794"/>
                <w:tab w:val="left" w:pos="1191"/>
              </w:tabs>
              <w:spacing w:before="20" w:after="20"/>
              <w:rPr>
                <w:rFonts w:cs="Segoe UI"/>
                <w:sz w:val="17"/>
                <w:szCs w:val="17"/>
              </w:rPr>
            </w:pPr>
            <w:r>
              <w:rPr>
                <w:rFonts w:cs="Segoe UI"/>
                <w:sz w:val="17"/>
                <w:szCs w:val="17"/>
              </w:rPr>
              <w:t>3</w:t>
            </w:r>
          </w:p>
        </w:tc>
        <w:tc>
          <w:tcPr>
            <w:tcW w:w="8505" w:type="dxa"/>
          </w:tcPr>
          <w:p w14:paraId="75C7D284" w14:textId="77777777" w:rsidR="003B5961" w:rsidRDefault="003B5961" w:rsidP="003848B8">
            <w:pPr>
              <w:keepLines/>
              <w:widowControl w:val="0"/>
              <w:tabs>
                <w:tab w:val="left" w:pos="150"/>
                <w:tab w:val="left" w:pos="397"/>
                <w:tab w:val="left" w:pos="794"/>
                <w:tab w:val="left" w:pos="1191"/>
              </w:tabs>
              <w:spacing w:before="20" w:after="20"/>
              <w:jc w:val="both"/>
              <w:rPr>
                <w:sz w:val="17"/>
                <w:szCs w:val="17"/>
              </w:rPr>
            </w:pPr>
            <w:r>
              <w:rPr>
                <w:rFonts w:cs="Segoe UI"/>
                <w:i/>
                <w:sz w:val="17"/>
                <w:szCs w:val="17"/>
                <w:lang w:eastAsia="en-GB"/>
              </w:rPr>
              <w:t>Off-balance sheet exposures</w:t>
            </w:r>
            <w:r>
              <w:rPr>
                <w:rFonts w:cs="Segoe UI"/>
                <w:sz w:val="17"/>
                <w:szCs w:val="17"/>
                <w:lang w:eastAsia="en-GB"/>
              </w:rPr>
              <w:t xml:space="preserve">: this row includes all </w:t>
            </w:r>
            <w:r>
              <w:rPr>
                <w:sz w:val="17"/>
                <w:szCs w:val="17"/>
              </w:rPr>
              <w:t xml:space="preserve">items that give rise to off-balance sheet credit exposures.  For example, guarantees and irrevocable loan commitments provided by an AI should be reported according to the following criteria: </w:t>
            </w:r>
          </w:p>
          <w:p w14:paraId="0DE41468" w14:textId="77777777" w:rsidR="003B5961" w:rsidRDefault="003B5961" w:rsidP="00411180">
            <w:pPr>
              <w:pStyle w:val="ListParagraph"/>
              <w:keepLines/>
              <w:widowControl w:val="0"/>
              <w:numPr>
                <w:ilvl w:val="0"/>
                <w:numId w:val="7"/>
              </w:numPr>
              <w:tabs>
                <w:tab w:val="left" w:pos="150"/>
                <w:tab w:val="left" w:pos="634"/>
                <w:tab w:val="left" w:pos="794"/>
                <w:tab w:val="left" w:pos="1191"/>
              </w:tabs>
              <w:spacing w:before="20" w:after="20"/>
              <w:ind w:leftChars="0"/>
              <w:jc w:val="both"/>
              <w:rPr>
                <w:sz w:val="17"/>
                <w:szCs w:val="17"/>
              </w:rPr>
            </w:pPr>
            <w:r>
              <w:rPr>
                <w:sz w:val="17"/>
                <w:szCs w:val="17"/>
              </w:rPr>
              <w:t>guarantees given by the AI – the maximum amount, gross of any CCF or CRM, that the AI would have to pay if the guarantee were called;</w:t>
            </w:r>
          </w:p>
          <w:p w14:paraId="01EF9667" w14:textId="77777777" w:rsidR="003B5961" w:rsidRDefault="003B5961" w:rsidP="00411180">
            <w:pPr>
              <w:pStyle w:val="ListParagraph"/>
              <w:keepLines/>
              <w:widowControl w:val="0"/>
              <w:numPr>
                <w:ilvl w:val="0"/>
                <w:numId w:val="7"/>
              </w:numPr>
              <w:tabs>
                <w:tab w:val="left" w:pos="492"/>
                <w:tab w:val="left" w:pos="794"/>
                <w:tab w:val="left" w:pos="1191"/>
              </w:tabs>
              <w:spacing w:before="20" w:after="20"/>
              <w:ind w:leftChars="0"/>
              <w:jc w:val="both"/>
              <w:rPr>
                <w:sz w:val="17"/>
                <w:szCs w:val="17"/>
              </w:rPr>
            </w:pPr>
            <w:r>
              <w:rPr>
                <w:sz w:val="17"/>
                <w:szCs w:val="17"/>
              </w:rPr>
              <w:t>irrevocable loan commitments – total amount, gross of any CCF or CRM, that the AI has committed to lend; revocable loan commitments should be excluded</w:t>
            </w:r>
            <w:r>
              <w:rPr>
                <w:rFonts w:cs="Segoe UI"/>
                <w:sz w:val="17"/>
                <w:szCs w:val="17"/>
                <w:lang w:eastAsia="en-GB"/>
              </w:rPr>
              <w:t>.</w:t>
            </w:r>
          </w:p>
        </w:tc>
      </w:tr>
      <w:tr w:rsidR="003B5961" w14:paraId="3C154AF8" w14:textId="77777777" w:rsidTr="003848B8">
        <w:tc>
          <w:tcPr>
            <w:tcW w:w="709" w:type="dxa"/>
          </w:tcPr>
          <w:p w14:paraId="7200A65B" w14:textId="77777777" w:rsidR="003B5961" w:rsidRDefault="003B5961" w:rsidP="003848B8">
            <w:pPr>
              <w:keepLines/>
              <w:widowControl w:val="0"/>
              <w:tabs>
                <w:tab w:val="left" w:pos="150"/>
                <w:tab w:val="left" w:pos="397"/>
                <w:tab w:val="left" w:pos="794"/>
                <w:tab w:val="left" w:pos="1191"/>
              </w:tabs>
              <w:spacing w:before="20" w:after="20"/>
              <w:rPr>
                <w:rFonts w:cs="Segoe UI"/>
                <w:sz w:val="17"/>
                <w:szCs w:val="17"/>
              </w:rPr>
            </w:pPr>
            <w:r>
              <w:rPr>
                <w:rFonts w:cs="Segoe UI"/>
                <w:sz w:val="17"/>
                <w:szCs w:val="17"/>
              </w:rPr>
              <w:t>4</w:t>
            </w:r>
          </w:p>
        </w:tc>
        <w:tc>
          <w:tcPr>
            <w:tcW w:w="8505" w:type="dxa"/>
          </w:tcPr>
          <w:p w14:paraId="1DFADDA2" w14:textId="19C4E936" w:rsidR="003B5961" w:rsidRDefault="003B5961" w:rsidP="00D92DD2">
            <w:pPr>
              <w:keepLines/>
              <w:widowControl w:val="0"/>
              <w:tabs>
                <w:tab w:val="left" w:pos="150"/>
                <w:tab w:val="left" w:pos="397"/>
                <w:tab w:val="left" w:pos="794"/>
                <w:tab w:val="left" w:pos="1191"/>
              </w:tabs>
              <w:spacing w:before="20" w:after="20"/>
              <w:jc w:val="both"/>
              <w:rPr>
                <w:rFonts w:cs="Segoe UI"/>
                <w:sz w:val="17"/>
                <w:szCs w:val="17"/>
              </w:rPr>
            </w:pPr>
            <w:r>
              <w:rPr>
                <w:rFonts w:cs="Segoe UI"/>
                <w:i/>
                <w:sz w:val="17"/>
                <w:szCs w:val="17"/>
              </w:rPr>
              <w:t>Total</w:t>
            </w:r>
            <w:r>
              <w:rPr>
                <w:rFonts w:cs="Segoe UI"/>
                <w:sz w:val="17"/>
                <w:szCs w:val="17"/>
              </w:rPr>
              <w:t xml:space="preserve">: this is the sum of values in rows </w:t>
            </w:r>
            <w:r>
              <w:rPr>
                <w:rFonts w:cs="Segoe UI"/>
                <w:sz w:val="17"/>
                <w:szCs w:val="17"/>
                <w:lang w:eastAsia="en-GB"/>
              </w:rPr>
              <w:t>1, 2 and 3.  The value in [CR1:4/a] is also equal to that in [CR2:6/a] if the AI has no off-balance sheet exposures.</w:t>
            </w:r>
          </w:p>
        </w:tc>
      </w:tr>
    </w:tbl>
    <w:p w14:paraId="1BED45D0" w14:textId="66CD7688" w:rsidR="00AD05CE" w:rsidRDefault="00AD05CE" w:rsidP="00B4195A"/>
    <w:p w14:paraId="734925D5" w14:textId="77777777" w:rsidR="003B5961" w:rsidRDefault="003B5961" w:rsidP="00B4195A"/>
    <w:p w14:paraId="1FACBF33" w14:textId="77777777" w:rsidR="00B4195A" w:rsidRDefault="00B4195A" w:rsidP="00B4195A">
      <w:pPr>
        <w:spacing w:before="40" w:after="40"/>
        <w:rPr>
          <w:sz w:val="22"/>
        </w:rPr>
        <w:sectPr w:rsidR="00B4195A">
          <w:footerReference w:type="default" r:id="rId43"/>
          <w:pgSz w:w="11906" w:h="16838" w:code="9"/>
          <w:pgMar w:top="1440" w:right="1797" w:bottom="1440" w:left="1797" w:header="851" w:footer="737" w:gutter="0"/>
          <w:cols w:space="425"/>
          <w:docGrid w:type="linesAndChars" w:linePitch="360"/>
        </w:sectPr>
      </w:pPr>
    </w:p>
    <w:p w14:paraId="6036B597" w14:textId="2D7325FB" w:rsidR="00B4195A" w:rsidRDefault="00AD05CE" w:rsidP="00DF3361">
      <w:pPr>
        <w:pStyle w:val="Heading3"/>
        <w:ind w:left="-397"/>
      </w:pPr>
      <w:r>
        <w:lastRenderedPageBreak/>
        <w:t>Template CR2: Changes in defaulted loans and debt securities</w:t>
      </w:r>
    </w:p>
    <w:tbl>
      <w:tblPr>
        <w:tblW w:w="9350" w:type="dxa"/>
        <w:tblInd w:w="-567"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116"/>
        <w:gridCol w:w="7234"/>
      </w:tblGrid>
      <w:tr w:rsidR="00AD05CE" w14:paraId="55F752BE" w14:textId="77777777" w:rsidTr="00DF3361">
        <w:tc>
          <w:tcPr>
            <w:tcW w:w="2116" w:type="dxa"/>
          </w:tcPr>
          <w:p w14:paraId="28E2A7DD" w14:textId="77777777" w:rsidR="00AD05CE" w:rsidRDefault="00AD05CE" w:rsidP="00826BF3">
            <w:pPr>
              <w:spacing w:before="40" w:after="40"/>
              <w:rPr>
                <w:noProof/>
                <w:sz w:val="17"/>
                <w:lang w:eastAsia="en-GB"/>
              </w:rPr>
            </w:pPr>
            <w:r>
              <w:rPr>
                <w:b/>
                <w:sz w:val="17"/>
                <w:lang w:eastAsia="en-GB"/>
              </w:rPr>
              <w:t>Purpose:</w:t>
            </w:r>
            <w:r>
              <w:rPr>
                <w:sz w:val="17"/>
                <w:lang w:eastAsia="en-GB"/>
              </w:rPr>
              <w:t xml:space="preserve"> </w:t>
            </w:r>
          </w:p>
        </w:tc>
        <w:tc>
          <w:tcPr>
            <w:tcW w:w="7234" w:type="dxa"/>
          </w:tcPr>
          <w:p w14:paraId="1A4EA407" w14:textId="77777777" w:rsidR="00AD05CE" w:rsidRDefault="00AD05CE" w:rsidP="00826BF3">
            <w:pPr>
              <w:jc w:val="both"/>
              <w:rPr>
                <w:szCs w:val="17"/>
              </w:rPr>
            </w:pPr>
            <w:r>
              <w:rPr>
                <w:sz w:val="17"/>
                <w:szCs w:val="17"/>
              </w:rPr>
              <w:t xml:space="preserve">To provide information on the changes in defaulted loans and debt securities, including any changes in the amount of defaulted exposures, movements between non-defaulted and defaulted exposures, and reductions in the defaulted exposures due to write-offs. </w:t>
            </w:r>
          </w:p>
        </w:tc>
      </w:tr>
      <w:tr w:rsidR="00AD05CE" w14:paraId="01B37441" w14:textId="77777777" w:rsidTr="00DF3361">
        <w:tc>
          <w:tcPr>
            <w:tcW w:w="2116" w:type="dxa"/>
          </w:tcPr>
          <w:p w14:paraId="0C2E37B1" w14:textId="77777777" w:rsidR="00AD05CE" w:rsidRDefault="00AD05CE" w:rsidP="00826BF3">
            <w:pPr>
              <w:spacing w:before="40" w:after="40"/>
              <w:rPr>
                <w:b/>
                <w:sz w:val="17"/>
                <w:lang w:eastAsia="en-GB"/>
              </w:rPr>
            </w:pPr>
            <w:r>
              <w:rPr>
                <w:b/>
                <w:sz w:val="17"/>
                <w:lang w:eastAsia="en-GB"/>
              </w:rPr>
              <w:t xml:space="preserve">Scope of application: </w:t>
            </w:r>
          </w:p>
        </w:tc>
        <w:tc>
          <w:tcPr>
            <w:tcW w:w="7234" w:type="dxa"/>
          </w:tcPr>
          <w:p w14:paraId="641B2DA8" w14:textId="77777777" w:rsidR="00AD05CE" w:rsidRDefault="00AD05CE" w:rsidP="00826BF3">
            <w:pPr>
              <w:spacing w:before="40" w:after="40"/>
              <w:jc w:val="both"/>
              <w:rPr>
                <w:rFonts w:eastAsia="新細明體"/>
                <w:b/>
                <w:sz w:val="17"/>
                <w:lang w:eastAsia="en-GB"/>
              </w:rPr>
            </w:pPr>
            <w:r>
              <w:rPr>
                <w:rFonts w:eastAsia="新細明體"/>
                <w:sz w:val="17"/>
                <w:lang w:eastAsia="en-GB"/>
              </w:rPr>
              <w:t>The template is mandatory for all AIs</w:t>
            </w:r>
            <w:r>
              <w:t xml:space="preserve"> </w:t>
            </w:r>
            <w:r>
              <w:rPr>
                <w:rFonts w:eastAsia="新細明體"/>
                <w:sz w:val="17"/>
                <w:lang w:eastAsia="en-GB"/>
              </w:rPr>
              <w:t>incorporated in Hong Kong.</w:t>
            </w:r>
          </w:p>
        </w:tc>
      </w:tr>
      <w:tr w:rsidR="00AD05CE" w14:paraId="7B76A11C" w14:textId="77777777" w:rsidTr="00DF3361">
        <w:tc>
          <w:tcPr>
            <w:tcW w:w="2116" w:type="dxa"/>
          </w:tcPr>
          <w:p w14:paraId="5C7F9C81" w14:textId="77777777" w:rsidR="00AD05CE" w:rsidRDefault="00AD05CE" w:rsidP="00826BF3">
            <w:pPr>
              <w:spacing w:before="40" w:after="40"/>
              <w:rPr>
                <w:b/>
                <w:sz w:val="17"/>
                <w:lang w:eastAsia="en-GB"/>
              </w:rPr>
            </w:pPr>
            <w:r>
              <w:rPr>
                <w:b/>
                <w:sz w:val="17"/>
                <w:lang w:eastAsia="en-GB"/>
              </w:rPr>
              <w:t xml:space="preserve">Content: </w:t>
            </w:r>
          </w:p>
        </w:tc>
        <w:tc>
          <w:tcPr>
            <w:tcW w:w="7234" w:type="dxa"/>
          </w:tcPr>
          <w:p w14:paraId="26A3F83A" w14:textId="77777777" w:rsidR="00AD05CE" w:rsidRDefault="00AD05CE" w:rsidP="00826BF3">
            <w:pPr>
              <w:spacing w:before="40" w:after="40"/>
              <w:jc w:val="both"/>
              <w:rPr>
                <w:rFonts w:eastAsia="新細明體"/>
                <w:b/>
                <w:sz w:val="17"/>
                <w:lang w:eastAsia="en-GB"/>
              </w:rPr>
            </w:pPr>
            <w:r>
              <w:rPr>
                <w:rFonts w:eastAsia="新細明體"/>
                <w:sz w:val="17"/>
                <w:lang w:eastAsia="en-GB"/>
              </w:rPr>
              <w:t>Carrying amounts that correspond to the values reported in financial statements but according to the scope of regulatory consolidation for capital adequacy purposes.</w:t>
            </w:r>
          </w:p>
        </w:tc>
      </w:tr>
      <w:tr w:rsidR="00AD05CE" w14:paraId="51ADAD06" w14:textId="77777777" w:rsidTr="00DF3361">
        <w:tc>
          <w:tcPr>
            <w:tcW w:w="2116" w:type="dxa"/>
          </w:tcPr>
          <w:p w14:paraId="110F996C" w14:textId="77777777" w:rsidR="00AD05CE" w:rsidRDefault="00AD05CE" w:rsidP="00826BF3">
            <w:pPr>
              <w:spacing w:before="40" w:after="40"/>
              <w:rPr>
                <w:sz w:val="17"/>
                <w:lang w:eastAsia="en-GB"/>
              </w:rPr>
            </w:pPr>
            <w:r>
              <w:rPr>
                <w:b/>
                <w:sz w:val="17"/>
                <w:lang w:eastAsia="en-GB"/>
              </w:rPr>
              <w:t>Frequency:</w:t>
            </w:r>
            <w:r>
              <w:rPr>
                <w:sz w:val="17"/>
                <w:lang w:eastAsia="en-GB"/>
              </w:rPr>
              <w:t xml:space="preserve"> </w:t>
            </w:r>
          </w:p>
        </w:tc>
        <w:tc>
          <w:tcPr>
            <w:tcW w:w="7234" w:type="dxa"/>
          </w:tcPr>
          <w:p w14:paraId="1E7D8D97" w14:textId="77777777" w:rsidR="00AD05CE" w:rsidRDefault="00AD05CE" w:rsidP="00826BF3">
            <w:pPr>
              <w:pStyle w:val="TableText"/>
              <w:jc w:val="both"/>
              <w:rPr>
                <w:lang w:eastAsia="en-GB"/>
              </w:rPr>
            </w:pPr>
            <w:r>
              <w:rPr>
                <w:lang w:eastAsia="en-GB"/>
              </w:rPr>
              <w:t>Semi-annual.</w:t>
            </w:r>
          </w:p>
        </w:tc>
      </w:tr>
      <w:tr w:rsidR="00AD05CE" w14:paraId="7122EC07" w14:textId="77777777" w:rsidTr="00DF3361">
        <w:tc>
          <w:tcPr>
            <w:tcW w:w="2116" w:type="dxa"/>
          </w:tcPr>
          <w:p w14:paraId="0ED3B0D9" w14:textId="77777777" w:rsidR="00AD05CE" w:rsidRDefault="00AD05CE" w:rsidP="00826BF3">
            <w:pPr>
              <w:spacing w:before="40" w:after="40"/>
              <w:rPr>
                <w:sz w:val="17"/>
                <w:lang w:eastAsia="en-GB"/>
              </w:rPr>
            </w:pPr>
            <w:r>
              <w:rPr>
                <w:b/>
                <w:sz w:val="17"/>
                <w:lang w:eastAsia="en-GB"/>
              </w:rPr>
              <w:t>Format:</w:t>
            </w:r>
            <w:r>
              <w:rPr>
                <w:sz w:val="17"/>
                <w:lang w:eastAsia="en-GB"/>
              </w:rPr>
              <w:t xml:space="preserve"> </w:t>
            </w:r>
          </w:p>
        </w:tc>
        <w:tc>
          <w:tcPr>
            <w:tcW w:w="7234" w:type="dxa"/>
          </w:tcPr>
          <w:p w14:paraId="6A343D5C" w14:textId="77777777" w:rsidR="00AD05CE" w:rsidRDefault="00AD05CE" w:rsidP="00826BF3">
            <w:pPr>
              <w:pStyle w:val="TableText"/>
              <w:jc w:val="both"/>
              <w:rPr>
                <w:lang w:eastAsia="en-GB"/>
              </w:rPr>
            </w:pPr>
            <w:r>
              <w:rPr>
                <w:lang w:eastAsia="en-GB"/>
              </w:rPr>
              <w:t>Fixed.</w:t>
            </w:r>
          </w:p>
        </w:tc>
      </w:tr>
      <w:tr w:rsidR="00AD05CE" w14:paraId="311326A0" w14:textId="77777777" w:rsidTr="00DF3361">
        <w:tc>
          <w:tcPr>
            <w:tcW w:w="2116" w:type="dxa"/>
          </w:tcPr>
          <w:p w14:paraId="63C5C12D" w14:textId="77777777" w:rsidR="00AD05CE" w:rsidRDefault="00AD05CE" w:rsidP="00826BF3">
            <w:pPr>
              <w:spacing w:before="40" w:after="40"/>
              <w:rPr>
                <w:b/>
                <w:sz w:val="17"/>
                <w:lang w:eastAsia="en-GB"/>
              </w:rPr>
            </w:pPr>
            <w:r>
              <w:rPr>
                <w:rFonts w:eastAsia="新細明體"/>
                <w:b/>
                <w:sz w:val="17"/>
                <w:szCs w:val="17"/>
                <w:lang w:eastAsia="en-GB"/>
              </w:rPr>
              <w:t>Accompanying narrative</w:t>
            </w:r>
            <w:r>
              <w:rPr>
                <w:rFonts w:eastAsia="新細明體"/>
                <w:sz w:val="17"/>
                <w:szCs w:val="17"/>
                <w:lang w:eastAsia="en-GB"/>
              </w:rPr>
              <w:t>:</w:t>
            </w:r>
          </w:p>
        </w:tc>
        <w:tc>
          <w:tcPr>
            <w:tcW w:w="7234" w:type="dxa"/>
          </w:tcPr>
          <w:p w14:paraId="3490C645" w14:textId="4D5F5F20" w:rsidR="00AD05CE" w:rsidRDefault="00AD05CE" w:rsidP="002377D3">
            <w:pPr>
              <w:pStyle w:val="TableText"/>
              <w:jc w:val="both"/>
              <w:rPr>
                <w:noProof/>
                <w:lang w:eastAsia="en-GB"/>
              </w:rPr>
            </w:pPr>
            <w:r>
              <w:rPr>
                <w:lang w:eastAsia="en-GB"/>
              </w:rPr>
              <w:t xml:space="preserve">An AI should explain the drivers of any </w:t>
            </w:r>
            <w:r>
              <w:rPr>
                <w:rFonts w:cs="Segoe UI"/>
                <w:noProof/>
                <w:lang w:eastAsia="en-GB"/>
              </w:rPr>
              <w:t xml:space="preserve">material changes in the amounts of defaulted exposures in the current reporting period and any material movement between defaulted and non-defaulted exposures. </w:t>
            </w:r>
          </w:p>
        </w:tc>
      </w:tr>
      <w:tr w:rsidR="00AD05CE" w14:paraId="689E5B04" w14:textId="77777777" w:rsidTr="00DF3361">
        <w:tc>
          <w:tcPr>
            <w:tcW w:w="2116" w:type="dxa"/>
          </w:tcPr>
          <w:p w14:paraId="46BD8EA2" w14:textId="77777777" w:rsidR="00AD05CE" w:rsidRDefault="00AD05CE" w:rsidP="00826BF3">
            <w:pPr>
              <w:spacing w:before="40" w:after="40"/>
              <w:rPr>
                <w:rFonts w:eastAsia="新細明體"/>
                <w:b/>
                <w:sz w:val="17"/>
                <w:szCs w:val="17"/>
                <w:lang w:eastAsia="en-GB"/>
              </w:rPr>
            </w:pPr>
            <w:r>
              <w:rPr>
                <w:rFonts w:eastAsia="新細明體"/>
                <w:b/>
                <w:sz w:val="17"/>
                <w:szCs w:val="17"/>
                <w:lang w:eastAsia="en-GB"/>
              </w:rPr>
              <w:t>Corresponding BDR section:</w:t>
            </w:r>
          </w:p>
        </w:tc>
        <w:tc>
          <w:tcPr>
            <w:tcW w:w="7234" w:type="dxa"/>
          </w:tcPr>
          <w:p w14:paraId="7115B3C4" w14:textId="77777777" w:rsidR="00AD05CE" w:rsidRDefault="00AD05CE" w:rsidP="00826BF3">
            <w:pPr>
              <w:pStyle w:val="TableText"/>
              <w:jc w:val="both"/>
              <w:rPr>
                <w:lang w:eastAsia="en-GB"/>
              </w:rPr>
            </w:pPr>
            <w:r>
              <w:rPr>
                <w:lang w:eastAsia="en-GB"/>
              </w:rPr>
              <w:t>16I</w:t>
            </w:r>
          </w:p>
        </w:tc>
      </w:tr>
    </w:tbl>
    <w:p w14:paraId="2C84E242" w14:textId="3116122A" w:rsidR="00AD05CE" w:rsidRDefault="00AD05CE" w:rsidP="00B4195A">
      <w:pPr>
        <w:spacing w:before="120" w:after="120"/>
        <w:rPr>
          <w:sz w:val="22"/>
        </w:rPr>
      </w:pPr>
    </w:p>
    <w:tbl>
      <w:tblPr>
        <w:tblW w:w="9322" w:type="dxa"/>
        <w:tblInd w:w="-567"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ayout w:type="fixed"/>
        <w:tblLook w:val="00A0" w:firstRow="1" w:lastRow="0" w:firstColumn="1" w:lastColumn="0" w:noHBand="0" w:noVBand="0"/>
      </w:tblPr>
      <w:tblGrid>
        <w:gridCol w:w="567"/>
        <w:gridCol w:w="7479"/>
        <w:gridCol w:w="1276"/>
      </w:tblGrid>
      <w:tr w:rsidR="00B4195A" w14:paraId="3753D5AC" w14:textId="77777777" w:rsidTr="00DF3361">
        <w:trPr>
          <w:cantSplit/>
          <w:tblHeader/>
        </w:trPr>
        <w:tc>
          <w:tcPr>
            <w:tcW w:w="567" w:type="dxa"/>
            <w:tcBorders>
              <w:top w:val="nil"/>
              <w:left w:val="nil"/>
              <w:bottom w:val="nil"/>
              <w:right w:val="nil"/>
            </w:tcBorders>
          </w:tcPr>
          <w:p w14:paraId="2DE13B8C" w14:textId="77777777" w:rsidR="00B4195A" w:rsidRDefault="00B4195A" w:rsidP="00647044">
            <w:pPr>
              <w:keepNext/>
              <w:snapToGrid w:val="0"/>
              <w:spacing w:before="40" w:after="40"/>
              <w:jc w:val="center"/>
              <w:rPr>
                <w:rFonts w:cs="Segoe UI"/>
                <w:sz w:val="17"/>
                <w:lang w:eastAsia="en-GB"/>
              </w:rPr>
            </w:pPr>
          </w:p>
        </w:tc>
        <w:tc>
          <w:tcPr>
            <w:tcW w:w="7479" w:type="dxa"/>
            <w:tcBorders>
              <w:top w:val="nil"/>
              <w:left w:val="nil"/>
              <w:bottom w:val="nil"/>
              <w:right w:val="single" w:sz="4" w:space="0" w:color="auto"/>
            </w:tcBorders>
          </w:tcPr>
          <w:p w14:paraId="34B62D98" w14:textId="77777777" w:rsidR="00B4195A" w:rsidRDefault="00B4195A" w:rsidP="00647044">
            <w:pPr>
              <w:keepNext/>
              <w:snapToGrid w:val="0"/>
              <w:spacing w:before="40" w:after="40"/>
              <w:jc w:val="center"/>
              <w:rPr>
                <w:rFonts w:cs="Segoe UI"/>
                <w:sz w:val="17"/>
                <w:lang w:eastAsia="en-GB"/>
              </w:rPr>
            </w:pPr>
          </w:p>
        </w:tc>
        <w:tc>
          <w:tcPr>
            <w:tcW w:w="1276" w:type="dxa"/>
            <w:tcBorders>
              <w:top w:val="single" w:sz="4" w:space="0" w:color="auto"/>
              <w:left w:val="single" w:sz="4" w:space="0" w:color="auto"/>
              <w:bottom w:val="single" w:sz="4" w:space="0" w:color="auto"/>
              <w:right w:val="single" w:sz="4" w:space="0" w:color="auto"/>
            </w:tcBorders>
          </w:tcPr>
          <w:p w14:paraId="4C0001DA" w14:textId="77777777" w:rsidR="00B4195A" w:rsidRDefault="00B4195A" w:rsidP="00647044">
            <w:pPr>
              <w:keepNext/>
              <w:snapToGrid w:val="0"/>
              <w:spacing w:before="40" w:after="40"/>
              <w:jc w:val="center"/>
              <w:rPr>
                <w:rFonts w:cs="Segoe UI"/>
                <w:sz w:val="17"/>
                <w:lang w:eastAsia="en-GB"/>
              </w:rPr>
            </w:pPr>
            <w:r>
              <w:rPr>
                <w:rFonts w:cs="Segoe UI"/>
                <w:sz w:val="17"/>
                <w:lang w:eastAsia="en-GB"/>
              </w:rPr>
              <w:t>(a)</w:t>
            </w:r>
          </w:p>
        </w:tc>
      </w:tr>
      <w:tr w:rsidR="00B4195A" w14:paraId="63B6A73C" w14:textId="77777777" w:rsidTr="00DF3361">
        <w:trPr>
          <w:cantSplit/>
          <w:tblHeader/>
        </w:trPr>
        <w:tc>
          <w:tcPr>
            <w:tcW w:w="567" w:type="dxa"/>
            <w:tcBorders>
              <w:top w:val="nil"/>
              <w:left w:val="nil"/>
              <w:bottom w:val="single" w:sz="4" w:space="0" w:color="auto"/>
              <w:right w:val="nil"/>
            </w:tcBorders>
          </w:tcPr>
          <w:p w14:paraId="2638FA48" w14:textId="77777777" w:rsidR="00B4195A" w:rsidRDefault="00B4195A" w:rsidP="00647044">
            <w:pPr>
              <w:keepNext/>
              <w:snapToGrid w:val="0"/>
              <w:spacing w:before="40" w:after="40"/>
              <w:jc w:val="center"/>
              <w:rPr>
                <w:rFonts w:cs="Segoe UI"/>
                <w:sz w:val="17"/>
                <w:lang w:eastAsia="en-GB"/>
              </w:rPr>
            </w:pPr>
          </w:p>
        </w:tc>
        <w:tc>
          <w:tcPr>
            <w:tcW w:w="7479" w:type="dxa"/>
            <w:tcBorders>
              <w:top w:val="nil"/>
              <w:left w:val="nil"/>
              <w:bottom w:val="single" w:sz="4" w:space="0" w:color="auto"/>
              <w:right w:val="single" w:sz="4" w:space="0" w:color="auto"/>
            </w:tcBorders>
          </w:tcPr>
          <w:p w14:paraId="72E66AFA" w14:textId="77777777" w:rsidR="00B4195A" w:rsidRDefault="00B4195A" w:rsidP="00647044">
            <w:pPr>
              <w:keepNext/>
              <w:snapToGrid w:val="0"/>
              <w:spacing w:before="40" w:after="40"/>
              <w:jc w:val="center"/>
              <w:rPr>
                <w:rFonts w:cs="Segoe UI"/>
                <w:sz w:val="17"/>
                <w:lang w:eastAsia="en-GB"/>
              </w:rPr>
            </w:pPr>
          </w:p>
        </w:tc>
        <w:tc>
          <w:tcPr>
            <w:tcW w:w="1276" w:type="dxa"/>
            <w:tcBorders>
              <w:top w:val="single" w:sz="4" w:space="0" w:color="auto"/>
              <w:left w:val="single" w:sz="4" w:space="0" w:color="auto"/>
              <w:bottom w:val="single" w:sz="4" w:space="0" w:color="auto"/>
              <w:right w:val="single" w:sz="4" w:space="0" w:color="auto"/>
            </w:tcBorders>
          </w:tcPr>
          <w:p w14:paraId="0CA2FC53" w14:textId="77777777" w:rsidR="00B4195A" w:rsidRDefault="00B4195A" w:rsidP="00647044">
            <w:pPr>
              <w:keepNext/>
              <w:snapToGrid w:val="0"/>
              <w:spacing w:before="40" w:after="40"/>
              <w:jc w:val="center"/>
              <w:rPr>
                <w:rFonts w:cs="Segoe UI"/>
                <w:sz w:val="17"/>
                <w:lang w:eastAsia="en-GB"/>
              </w:rPr>
            </w:pPr>
            <w:r>
              <w:rPr>
                <w:rFonts w:cs="Segoe UI"/>
                <w:sz w:val="17"/>
                <w:lang w:eastAsia="en-GB"/>
              </w:rPr>
              <w:t>Amount</w:t>
            </w:r>
          </w:p>
        </w:tc>
      </w:tr>
      <w:tr w:rsidR="00B4195A" w14:paraId="7F681EC1" w14:textId="77777777" w:rsidTr="00DF3361">
        <w:trPr>
          <w:cantSplit/>
        </w:trPr>
        <w:tc>
          <w:tcPr>
            <w:tcW w:w="567" w:type="dxa"/>
            <w:tcBorders>
              <w:top w:val="single" w:sz="4" w:space="0" w:color="auto"/>
              <w:left w:val="nil"/>
              <w:right w:val="single" w:sz="4" w:space="0" w:color="auto"/>
            </w:tcBorders>
          </w:tcPr>
          <w:p w14:paraId="713A93A4" w14:textId="77777777" w:rsidR="00B4195A" w:rsidRDefault="00B4195A" w:rsidP="00647044">
            <w:pPr>
              <w:keepNext/>
              <w:snapToGrid w:val="0"/>
              <w:spacing w:before="40" w:after="40"/>
              <w:rPr>
                <w:rFonts w:cs="Segoe UI"/>
                <w:sz w:val="17"/>
                <w:lang w:eastAsia="en-GB"/>
              </w:rPr>
            </w:pPr>
            <w:r>
              <w:rPr>
                <w:rFonts w:cs="Segoe UI"/>
                <w:sz w:val="17"/>
                <w:lang w:eastAsia="en-GB"/>
              </w:rPr>
              <w:t>1</w:t>
            </w:r>
          </w:p>
        </w:tc>
        <w:tc>
          <w:tcPr>
            <w:tcW w:w="7479" w:type="dxa"/>
            <w:tcBorders>
              <w:top w:val="single" w:sz="4" w:space="0" w:color="auto"/>
              <w:left w:val="single" w:sz="4" w:space="0" w:color="auto"/>
              <w:right w:val="single" w:sz="4" w:space="0" w:color="auto"/>
            </w:tcBorders>
          </w:tcPr>
          <w:p w14:paraId="6F3EFB87" w14:textId="77777777" w:rsidR="00B4195A" w:rsidRDefault="00B4195A" w:rsidP="00647044">
            <w:pPr>
              <w:keepNext/>
              <w:snapToGrid w:val="0"/>
              <w:spacing w:before="40" w:after="40"/>
              <w:rPr>
                <w:rFonts w:cs="Segoe UI"/>
                <w:b/>
                <w:noProof/>
                <w:sz w:val="17"/>
                <w:lang w:eastAsia="en-GB"/>
              </w:rPr>
            </w:pPr>
            <w:r>
              <w:rPr>
                <w:rFonts w:cs="Segoe UI"/>
                <w:b/>
                <w:sz w:val="17"/>
                <w:lang w:eastAsia="en-GB"/>
              </w:rPr>
              <w:t>Defaulted loans and debt securities at end of the previous reporting period</w:t>
            </w:r>
          </w:p>
        </w:tc>
        <w:tc>
          <w:tcPr>
            <w:tcW w:w="1276" w:type="dxa"/>
            <w:tcBorders>
              <w:top w:val="single" w:sz="4" w:space="0" w:color="auto"/>
              <w:left w:val="single" w:sz="4" w:space="0" w:color="auto"/>
              <w:right w:val="single" w:sz="4" w:space="0" w:color="auto"/>
            </w:tcBorders>
          </w:tcPr>
          <w:p w14:paraId="5E445B1C" w14:textId="77777777" w:rsidR="00B4195A" w:rsidRDefault="00B4195A" w:rsidP="00647044">
            <w:pPr>
              <w:keepNext/>
              <w:snapToGrid w:val="0"/>
              <w:spacing w:before="40" w:after="40"/>
              <w:rPr>
                <w:rFonts w:cs="Segoe UI"/>
                <w:sz w:val="17"/>
                <w:lang w:eastAsia="en-GB"/>
              </w:rPr>
            </w:pPr>
          </w:p>
        </w:tc>
      </w:tr>
      <w:tr w:rsidR="00B4195A" w14:paraId="7C7AA1BE" w14:textId="77777777" w:rsidTr="00DF3361">
        <w:trPr>
          <w:cantSplit/>
        </w:trPr>
        <w:tc>
          <w:tcPr>
            <w:tcW w:w="567" w:type="dxa"/>
            <w:tcBorders>
              <w:left w:val="nil"/>
              <w:right w:val="single" w:sz="4" w:space="0" w:color="auto"/>
            </w:tcBorders>
          </w:tcPr>
          <w:p w14:paraId="5870CD4B" w14:textId="77777777" w:rsidR="00B4195A" w:rsidRDefault="00B4195A" w:rsidP="00647044">
            <w:pPr>
              <w:keepNext/>
              <w:snapToGrid w:val="0"/>
              <w:spacing w:before="40" w:after="40"/>
              <w:rPr>
                <w:rFonts w:cs="Segoe UI"/>
                <w:sz w:val="17"/>
                <w:lang w:eastAsia="en-GB"/>
              </w:rPr>
            </w:pPr>
            <w:r>
              <w:rPr>
                <w:rFonts w:cs="Segoe UI"/>
                <w:sz w:val="17"/>
                <w:lang w:eastAsia="en-GB"/>
              </w:rPr>
              <w:t>2</w:t>
            </w:r>
          </w:p>
        </w:tc>
        <w:tc>
          <w:tcPr>
            <w:tcW w:w="7479" w:type="dxa"/>
            <w:tcBorders>
              <w:left w:val="single" w:sz="4" w:space="0" w:color="auto"/>
              <w:right w:val="single" w:sz="4" w:space="0" w:color="auto"/>
            </w:tcBorders>
          </w:tcPr>
          <w:p w14:paraId="7A80A7C2" w14:textId="77777777" w:rsidR="00B4195A" w:rsidRDefault="00B4195A" w:rsidP="00647044">
            <w:pPr>
              <w:keepNext/>
              <w:snapToGrid w:val="0"/>
              <w:spacing w:before="40" w:after="40"/>
              <w:rPr>
                <w:rFonts w:cs="Segoe UI"/>
                <w:sz w:val="17"/>
                <w:lang w:eastAsia="en-GB"/>
              </w:rPr>
            </w:pPr>
            <w:r>
              <w:rPr>
                <w:rFonts w:cs="Segoe UI"/>
                <w:sz w:val="17"/>
                <w:lang w:eastAsia="en-GB"/>
              </w:rPr>
              <w:t xml:space="preserve">Loans and debt securities that have defaulted since the last reporting period </w:t>
            </w:r>
          </w:p>
        </w:tc>
        <w:tc>
          <w:tcPr>
            <w:tcW w:w="1276" w:type="dxa"/>
            <w:tcBorders>
              <w:left w:val="single" w:sz="4" w:space="0" w:color="auto"/>
              <w:right w:val="single" w:sz="4" w:space="0" w:color="auto"/>
            </w:tcBorders>
          </w:tcPr>
          <w:p w14:paraId="34B0C4CC" w14:textId="77777777" w:rsidR="00B4195A" w:rsidRDefault="00B4195A" w:rsidP="00647044">
            <w:pPr>
              <w:keepNext/>
              <w:snapToGrid w:val="0"/>
              <w:spacing w:before="40" w:after="40"/>
              <w:rPr>
                <w:rFonts w:cs="Segoe UI"/>
                <w:sz w:val="17"/>
                <w:lang w:eastAsia="en-GB"/>
              </w:rPr>
            </w:pPr>
          </w:p>
        </w:tc>
      </w:tr>
      <w:tr w:rsidR="00B4195A" w14:paraId="524CADB9" w14:textId="77777777" w:rsidTr="00DF3361">
        <w:trPr>
          <w:cantSplit/>
        </w:trPr>
        <w:tc>
          <w:tcPr>
            <w:tcW w:w="567" w:type="dxa"/>
            <w:tcBorders>
              <w:left w:val="nil"/>
              <w:right w:val="single" w:sz="4" w:space="0" w:color="auto"/>
            </w:tcBorders>
          </w:tcPr>
          <w:p w14:paraId="079BFBD9" w14:textId="77777777" w:rsidR="00B4195A" w:rsidRDefault="00B4195A" w:rsidP="00647044">
            <w:pPr>
              <w:keepNext/>
              <w:snapToGrid w:val="0"/>
              <w:spacing w:before="40" w:after="40"/>
              <w:rPr>
                <w:rFonts w:cs="Segoe UI"/>
                <w:sz w:val="17"/>
                <w:lang w:eastAsia="en-GB"/>
              </w:rPr>
            </w:pPr>
            <w:r>
              <w:rPr>
                <w:rFonts w:cs="Segoe UI"/>
                <w:sz w:val="17"/>
                <w:lang w:eastAsia="en-GB"/>
              </w:rPr>
              <w:t>3</w:t>
            </w:r>
          </w:p>
        </w:tc>
        <w:tc>
          <w:tcPr>
            <w:tcW w:w="7479" w:type="dxa"/>
            <w:tcBorders>
              <w:left w:val="single" w:sz="4" w:space="0" w:color="auto"/>
              <w:right w:val="single" w:sz="4" w:space="0" w:color="auto"/>
            </w:tcBorders>
          </w:tcPr>
          <w:p w14:paraId="06197732" w14:textId="77777777" w:rsidR="00B4195A" w:rsidRDefault="00B4195A" w:rsidP="00647044">
            <w:pPr>
              <w:keepNext/>
              <w:snapToGrid w:val="0"/>
              <w:spacing w:before="40" w:after="40"/>
              <w:rPr>
                <w:rFonts w:cs="Segoe UI"/>
                <w:sz w:val="17"/>
                <w:lang w:eastAsia="en-GB"/>
              </w:rPr>
            </w:pPr>
            <w:r>
              <w:rPr>
                <w:rFonts w:cs="Segoe UI"/>
                <w:sz w:val="17"/>
                <w:lang w:eastAsia="en-GB"/>
              </w:rPr>
              <w:t>Returned to non-defaulted status</w:t>
            </w:r>
          </w:p>
        </w:tc>
        <w:tc>
          <w:tcPr>
            <w:tcW w:w="1276" w:type="dxa"/>
            <w:tcBorders>
              <w:left w:val="single" w:sz="4" w:space="0" w:color="auto"/>
              <w:right w:val="single" w:sz="4" w:space="0" w:color="auto"/>
            </w:tcBorders>
          </w:tcPr>
          <w:p w14:paraId="19FE77F5" w14:textId="77777777" w:rsidR="00B4195A" w:rsidRDefault="00B4195A" w:rsidP="00647044">
            <w:pPr>
              <w:keepNext/>
              <w:snapToGrid w:val="0"/>
              <w:spacing w:before="40" w:after="40"/>
              <w:rPr>
                <w:rFonts w:cs="Segoe UI"/>
                <w:sz w:val="17"/>
                <w:lang w:eastAsia="en-GB"/>
              </w:rPr>
            </w:pPr>
          </w:p>
        </w:tc>
      </w:tr>
      <w:tr w:rsidR="00B4195A" w14:paraId="75786FB4" w14:textId="77777777" w:rsidTr="00DF3361">
        <w:trPr>
          <w:cantSplit/>
        </w:trPr>
        <w:tc>
          <w:tcPr>
            <w:tcW w:w="567" w:type="dxa"/>
            <w:tcBorders>
              <w:left w:val="nil"/>
              <w:right w:val="single" w:sz="4" w:space="0" w:color="auto"/>
            </w:tcBorders>
          </w:tcPr>
          <w:p w14:paraId="62B16321" w14:textId="77777777" w:rsidR="00B4195A" w:rsidRDefault="00B4195A" w:rsidP="00647044">
            <w:pPr>
              <w:keepNext/>
              <w:snapToGrid w:val="0"/>
              <w:spacing w:before="40" w:after="40"/>
              <w:rPr>
                <w:rFonts w:cs="Segoe UI"/>
                <w:sz w:val="17"/>
                <w:lang w:eastAsia="en-GB"/>
              </w:rPr>
            </w:pPr>
            <w:r>
              <w:rPr>
                <w:rFonts w:cs="Segoe UI"/>
                <w:sz w:val="17"/>
                <w:lang w:eastAsia="en-GB"/>
              </w:rPr>
              <w:t>4</w:t>
            </w:r>
          </w:p>
        </w:tc>
        <w:tc>
          <w:tcPr>
            <w:tcW w:w="7479" w:type="dxa"/>
            <w:tcBorders>
              <w:left w:val="single" w:sz="4" w:space="0" w:color="auto"/>
              <w:right w:val="single" w:sz="4" w:space="0" w:color="auto"/>
            </w:tcBorders>
          </w:tcPr>
          <w:p w14:paraId="4A34C96C" w14:textId="77777777" w:rsidR="00B4195A" w:rsidRDefault="00B4195A" w:rsidP="00647044">
            <w:pPr>
              <w:keepNext/>
              <w:snapToGrid w:val="0"/>
              <w:spacing w:before="40" w:after="40"/>
              <w:rPr>
                <w:rFonts w:cs="Segoe UI"/>
                <w:sz w:val="17"/>
                <w:lang w:eastAsia="en-GB"/>
              </w:rPr>
            </w:pPr>
            <w:r>
              <w:rPr>
                <w:rFonts w:cs="Segoe UI"/>
                <w:sz w:val="17"/>
                <w:lang w:eastAsia="en-GB"/>
              </w:rPr>
              <w:t>Amounts written off</w:t>
            </w:r>
          </w:p>
        </w:tc>
        <w:tc>
          <w:tcPr>
            <w:tcW w:w="1276" w:type="dxa"/>
            <w:tcBorders>
              <w:left w:val="single" w:sz="4" w:space="0" w:color="auto"/>
              <w:right w:val="single" w:sz="4" w:space="0" w:color="auto"/>
            </w:tcBorders>
          </w:tcPr>
          <w:p w14:paraId="6620054E" w14:textId="77777777" w:rsidR="00B4195A" w:rsidRDefault="00B4195A" w:rsidP="00647044">
            <w:pPr>
              <w:keepNext/>
              <w:snapToGrid w:val="0"/>
              <w:spacing w:before="40" w:after="40"/>
              <w:rPr>
                <w:rFonts w:cs="Segoe UI"/>
                <w:sz w:val="17"/>
                <w:lang w:eastAsia="en-GB"/>
              </w:rPr>
            </w:pPr>
          </w:p>
        </w:tc>
      </w:tr>
      <w:tr w:rsidR="00B4195A" w14:paraId="408C5C8B" w14:textId="77777777" w:rsidTr="00DF3361">
        <w:trPr>
          <w:cantSplit/>
        </w:trPr>
        <w:tc>
          <w:tcPr>
            <w:tcW w:w="567" w:type="dxa"/>
            <w:tcBorders>
              <w:left w:val="nil"/>
              <w:right w:val="single" w:sz="4" w:space="0" w:color="auto"/>
            </w:tcBorders>
          </w:tcPr>
          <w:p w14:paraId="28623B96" w14:textId="77777777" w:rsidR="00B4195A" w:rsidRDefault="00B4195A" w:rsidP="00647044">
            <w:pPr>
              <w:keepNext/>
              <w:snapToGrid w:val="0"/>
              <w:spacing w:before="40" w:after="40"/>
              <w:rPr>
                <w:rFonts w:cs="Segoe UI"/>
                <w:sz w:val="17"/>
                <w:lang w:eastAsia="en-GB"/>
              </w:rPr>
            </w:pPr>
            <w:r>
              <w:rPr>
                <w:rFonts w:cs="Segoe UI"/>
                <w:sz w:val="17"/>
                <w:lang w:eastAsia="en-GB"/>
              </w:rPr>
              <w:t>5</w:t>
            </w:r>
          </w:p>
        </w:tc>
        <w:tc>
          <w:tcPr>
            <w:tcW w:w="7479" w:type="dxa"/>
            <w:tcBorders>
              <w:left w:val="single" w:sz="4" w:space="0" w:color="auto"/>
              <w:right w:val="single" w:sz="4" w:space="0" w:color="auto"/>
            </w:tcBorders>
          </w:tcPr>
          <w:p w14:paraId="5B94B23F" w14:textId="77777777" w:rsidR="00B4195A" w:rsidRDefault="00B4195A" w:rsidP="00647044">
            <w:pPr>
              <w:keepNext/>
              <w:snapToGrid w:val="0"/>
              <w:spacing w:before="40" w:after="40"/>
              <w:rPr>
                <w:rFonts w:cs="Segoe UI"/>
                <w:sz w:val="17"/>
                <w:lang w:eastAsia="en-GB"/>
              </w:rPr>
            </w:pPr>
            <w:r>
              <w:rPr>
                <w:rFonts w:cs="Segoe UI"/>
                <w:sz w:val="17"/>
                <w:lang w:eastAsia="en-GB"/>
              </w:rPr>
              <w:t>Other changes</w:t>
            </w:r>
          </w:p>
        </w:tc>
        <w:tc>
          <w:tcPr>
            <w:tcW w:w="1276" w:type="dxa"/>
            <w:tcBorders>
              <w:left w:val="single" w:sz="4" w:space="0" w:color="auto"/>
              <w:bottom w:val="single" w:sz="4" w:space="0" w:color="BFBFBF"/>
              <w:right w:val="single" w:sz="4" w:space="0" w:color="auto"/>
            </w:tcBorders>
          </w:tcPr>
          <w:p w14:paraId="72870309" w14:textId="77777777" w:rsidR="00B4195A" w:rsidRDefault="00B4195A" w:rsidP="00647044">
            <w:pPr>
              <w:keepNext/>
              <w:snapToGrid w:val="0"/>
              <w:spacing w:before="40" w:after="40"/>
              <w:rPr>
                <w:rFonts w:cs="Segoe UI"/>
                <w:sz w:val="17"/>
                <w:lang w:eastAsia="en-GB"/>
              </w:rPr>
            </w:pPr>
          </w:p>
        </w:tc>
      </w:tr>
      <w:tr w:rsidR="00B4195A" w14:paraId="18095889" w14:textId="77777777" w:rsidTr="00DF3361">
        <w:trPr>
          <w:cantSplit/>
        </w:trPr>
        <w:tc>
          <w:tcPr>
            <w:tcW w:w="567" w:type="dxa"/>
            <w:tcBorders>
              <w:left w:val="nil"/>
              <w:bottom w:val="single" w:sz="4" w:space="0" w:color="auto"/>
              <w:right w:val="single" w:sz="4" w:space="0" w:color="auto"/>
            </w:tcBorders>
          </w:tcPr>
          <w:p w14:paraId="63C7061A" w14:textId="77777777" w:rsidR="00B4195A" w:rsidRDefault="00B4195A" w:rsidP="00647044">
            <w:pPr>
              <w:keepNext/>
              <w:snapToGrid w:val="0"/>
              <w:spacing w:before="40" w:after="40"/>
              <w:rPr>
                <w:rFonts w:cs="Segoe UI"/>
                <w:sz w:val="17"/>
                <w:lang w:eastAsia="en-GB"/>
              </w:rPr>
            </w:pPr>
            <w:r>
              <w:rPr>
                <w:rFonts w:cs="Segoe UI"/>
                <w:sz w:val="17"/>
                <w:lang w:eastAsia="en-GB"/>
              </w:rPr>
              <w:t>6</w:t>
            </w:r>
          </w:p>
        </w:tc>
        <w:tc>
          <w:tcPr>
            <w:tcW w:w="7479" w:type="dxa"/>
            <w:tcBorders>
              <w:left w:val="single" w:sz="4" w:space="0" w:color="auto"/>
              <w:bottom w:val="single" w:sz="4" w:space="0" w:color="auto"/>
              <w:right w:val="single" w:sz="4" w:space="0" w:color="auto"/>
            </w:tcBorders>
          </w:tcPr>
          <w:p w14:paraId="654209D4" w14:textId="77777777" w:rsidR="00B4195A" w:rsidRDefault="00B4195A" w:rsidP="00647044">
            <w:pPr>
              <w:keepNext/>
              <w:snapToGrid w:val="0"/>
              <w:spacing w:before="40" w:after="40"/>
              <w:rPr>
                <w:rFonts w:cs="Segoe UI"/>
                <w:b/>
                <w:noProof/>
                <w:sz w:val="17"/>
                <w:lang w:eastAsia="en-GB"/>
              </w:rPr>
            </w:pPr>
            <w:r>
              <w:rPr>
                <w:rFonts w:cs="Segoe UI"/>
                <w:b/>
                <w:sz w:val="17"/>
                <w:lang w:eastAsia="en-GB"/>
              </w:rPr>
              <w:t>Defaulted loans and debt securities at end of the current reporting period</w:t>
            </w:r>
          </w:p>
        </w:tc>
        <w:tc>
          <w:tcPr>
            <w:tcW w:w="1276" w:type="dxa"/>
            <w:tcBorders>
              <w:top w:val="single" w:sz="4" w:space="0" w:color="BFBFBF"/>
              <w:left w:val="single" w:sz="4" w:space="0" w:color="auto"/>
              <w:bottom w:val="single" w:sz="4" w:space="0" w:color="auto"/>
              <w:right w:val="single" w:sz="4" w:space="0" w:color="auto"/>
            </w:tcBorders>
          </w:tcPr>
          <w:p w14:paraId="318009EB" w14:textId="77777777" w:rsidR="00B4195A" w:rsidRDefault="00B4195A" w:rsidP="00647044">
            <w:pPr>
              <w:keepNext/>
              <w:snapToGrid w:val="0"/>
              <w:spacing w:before="40" w:after="40"/>
              <w:rPr>
                <w:rFonts w:cs="Segoe UI"/>
                <w:sz w:val="17"/>
                <w:lang w:eastAsia="en-GB"/>
              </w:rPr>
            </w:pPr>
          </w:p>
        </w:tc>
      </w:tr>
    </w:tbl>
    <w:p w14:paraId="39964348" w14:textId="77777777" w:rsidR="00B4195A" w:rsidRDefault="00B4195A" w:rsidP="00B4195A">
      <w:pPr>
        <w:spacing w:before="120" w:after="120"/>
        <w:ind w:leftChars="-283" w:left="-566"/>
        <w:rPr>
          <w:sz w:val="22"/>
        </w:rPr>
      </w:pPr>
    </w:p>
    <w:tbl>
      <w:tblPr>
        <w:tblW w:w="932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8647"/>
      </w:tblGrid>
      <w:tr w:rsidR="005921B0" w14:paraId="53B45461" w14:textId="77777777" w:rsidTr="00DF3361">
        <w:trPr>
          <w:tblHeader/>
        </w:trPr>
        <w:tc>
          <w:tcPr>
            <w:tcW w:w="9327" w:type="dxa"/>
            <w:gridSpan w:val="2"/>
            <w:shd w:val="clear" w:color="auto" w:fill="BFBFBF"/>
          </w:tcPr>
          <w:p w14:paraId="15395666" w14:textId="77777777" w:rsidR="005921B0" w:rsidRDefault="005921B0" w:rsidP="00F65190">
            <w:pPr>
              <w:spacing w:before="40" w:after="40"/>
              <w:jc w:val="both"/>
              <w:rPr>
                <w:rFonts w:eastAsia="新細明體"/>
                <w:sz w:val="17"/>
                <w:lang w:eastAsia="en-GB"/>
              </w:rPr>
            </w:pPr>
            <w:r>
              <w:rPr>
                <w:rFonts w:eastAsia="新細明體"/>
                <w:b/>
                <w:sz w:val="17"/>
                <w:lang w:eastAsia="en-GB"/>
              </w:rPr>
              <w:t>Explanatory Note</w:t>
            </w:r>
          </w:p>
        </w:tc>
      </w:tr>
      <w:tr w:rsidR="005921B0" w14:paraId="0DE99DF0" w14:textId="77777777" w:rsidTr="00DF3361">
        <w:tc>
          <w:tcPr>
            <w:tcW w:w="9327" w:type="dxa"/>
            <w:gridSpan w:val="2"/>
            <w:shd w:val="clear" w:color="auto" w:fill="F2F2F2"/>
          </w:tcPr>
          <w:p w14:paraId="4815F876" w14:textId="77777777" w:rsidR="005921B0" w:rsidRDefault="005921B0" w:rsidP="00F65190">
            <w:pPr>
              <w:spacing w:before="40" w:after="40"/>
              <w:jc w:val="both"/>
              <w:rPr>
                <w:rFonts w:eastAsia="新細明體"/>
                <w:b/>
                <w:sz w:val="17"/>
                <w:lang w:eastAsia="en-GB"/>
              </w:rPr>
            </w:pPr>
            <w:r>
              <w:rPr>
                <w:rFonts w:eastAsia="新細明體"/>
                <w:b/>
                <w:sz w:val="17"/>
                <w:lang w:eastAsia="en-GB"/>
              </w:rPr>
              <w:t>Rows</w:t>
            </w:r>
          </w:p>
        </w:tc>
      </w:tr>
      <w:tr w:rsidR="005921B0" w14:paraId="18722FA3" w14:textId="77777777" w:rsidTr="00DF3361">
        <w:tc>
          <w:tcPr>
            <w:tcW w:w="680" w:type="dxa"/>
          </w:tcPr>
          <w:p w14:paraId="565CB636" w14:textId="77777777" w:rsidR="005921B0" w:rsidRDefault="005921B0" w:rsidP="00F65190">
            <w:pPr>
              <w:keepLines/>
              <w:widowControl w:val="0"/>
              <w:tabs>
                <w:tab w:val="left" w:pos="150"/>
                <w:tab w:val="left" w:pos="397"/>
                <w:tab w:val="left" w:pos="794"/>
                <w:tab w:val="left" w:pos="1191"/>
              </w:tabs>
              <w:spacing w:before="40" w:after="40"/>
              <w:rPr>
                <w:rFonts w:cs="Segoe UI"/>
                <w:sz w:val="17"/>
                <w:szCs w:val="17"/>
              </w:rPr>
            </w:pPr>
            <w:r>
              <w:rPr>
                <w:rFonts w:cs="Segoe UI"/>
                <w:sz w:val="17"/>
                <w:szCs w:val="17"/>
              </w:rPr>
              <w:t>1</w:t>
            </w:r>
          </w:p>
        </w:tc>
        <w:tc>
          <w:tcPr>
            <w:tcW w:w="8647" w:type="dxa"/>
          </w:tcPr>
          <w:p w14:paraId="3DC70E08" w14:textId="5AAB9B18" w:rsidR="005921B0" w:rsidRDefault="005921B0" w:rsidP="00F65190">
            <w:pPr>
              <w:pStyle w:val="TableNote"/>
              <w:spacing w:before="40" w:after="40"/>
              <w:rPr>
                <w:rFonts w:cs="Segoe UI"/>
                <w:sz w:val="17"/>
                <w:szCs w:val="17"/>
              </w:rPr>
            </w:pPr>
            <w:r>
              <w:rPr>
                <w:i/>
                <w:sz w:val="17"/>
                <w:szCs w:val="17"/>
              </w:rPr>
              <w:t>Defaulted loans and debt securities at end of the previous reporting period</w:t>
            </w:r>
            <w:r>
              <w:rPr>
                <w:sz w:val="17"/>
                <w:szCs w:val="17"/>
              </w:rPr>
              <w:t>: the scope of loans and debt securities reported in this template</w:t>
            </w:r>
            <w:r w:rsidR="00EB55F3">
              <w:rPr>
                <w:sz w:val="17"/>
                <w:szCs w:val="17"/>
              </w:rPr>
              <w:t xml:space="preserve"> should be the same as that in T</w:t>
            </w:r>
            <w:r>
              <w:rPr>
                <w:sz w:val="17"/>
                <w:szCs w:val="17"/>
              </w:rPr>
              <w:t>emplate CR1 (rows 1 to 2 therein).  The amount should be reported net of write-offs, gross of any CCF or CRM and gross of allowances and provisions, as of the end of the last reporting period.</w:t>
            </w:r>
          </w:p>
        </w:tc>
      </w:tr>
      <w:tr w:rsidR="005921B0" w14:paraId="4A400448" w14:textId="77777777" w:rsidTr="00CE49C9">
        <w:trPr>
          <w:trHeight w:val="852"/>
        </w:trPr>
        <w:tc>
          <w:tcPr>
            <w:tcW w:w="680" w:type="dxa"/>
          </w:tcPr>
          <w:p w14:paraId="6F9A34D0" w14:textId="77777777" w:rsidR="005921B0" w:rsidRDefault="005921B0" w:rsidP="00F65190">
            <w:pPr>
              <w:keepLines/>
              <w:widowControl w:val="0"/>
              <w:tabs>
                <w:tab w:val="left" w:pos="150"/>
                <w:tab w:val="left" w:pos="397"/>
                <w:tab w:val="left" w:pos="794"/>
                <w:tab w:val="left" w:pos="1191"/>
              </w:tabs>
              <w:spacing w:before="40" w:after="40"/>
              <w:rPr>
                <w:rFonts w:cs="Segoe UI"/>
                <w:sz w:val="17"/>
                <w:szCs w:val="17"/>
              </w:rPr>
            </w:pPr>
            <w:r>
              <w:rPr>
                <w:rFonts w:cs="Segoe UI"/>
                <w:sz w:val="17"/>
                <w:szCs w:val="17"/>
              </w:rPr>
              <w:t>2</w:t>
            </w:r>
          </w:p>
        </w:tc>
        <w:tc>
          <w:tcPr>
            <w:tcW w:w="8647" w:type="dxa"/>
          </w:tcPr>
          <w:p w14:paraId="09E8FD09" w14:textId="77777777" w:rsidR="005921B0" w:rsidRDefault="005921B0" w:rsidP="00F65190">
            <w:pPr>
              <w:pStyle w:val="TableNote"/>
              <w:spacing w:before="40" w:after="40"/>
              <w:rPr>
                <w:rFonts w:cs="Segoe UI"/>
                <w:sz w:val="17"/>
                <w:szCs w:val="17"/>
                <w:lang w:eastAsia="en-GB"/>
              </w:rPr>
            </w:pPr>
            <w:r>
              <w:rPr>
                <w:i/>
                <w:sz w:val="17"/>
                <w:szCs w:val="17"/>
              </w:rPr>
              <w:t>Loans and debt securities that have defaulted since the last reporting period</w:t>
            </w:r>
            <w:r>
              <w:rPr>
                <w:sz w:val="17"/>
                <w:szCs w:val="17"/>
              </w:rPr>
              <w:t>: loans and debt securities that the AI classifies as defaulted during the current reporting period.</w:t>
            </w:r>
          </w:p>
        </w:tc>
      </w:tr>
      <w:tr w:rsidR="005921B0" w14:paraId="41AC07AB" w14:textId="77777777" w:rsidTr="00DF3361">
        <w:trPr>
          <w:trHeight w:val="252"/>
        </w:trPr>
        <w:tc>
          <w:tcPr>
            <w:tcW w:w="680" w:type="dxa"/>
          </w:tcPr>
          <w:p w14:paraId="14F118F9" w14:textId="77777777" w:rsidR="005921B0" w:rsidRDefault="005921B0" w:rsidP="00F65190">
            <w:pPr>
              <w:keepLines/>
              <w:widowControl w:val="0"/>
              <w:tabs>
                <w:tab w:val="left" w:pos="150"/>
                <w:tab w:val="left" w:pos="397"/>
                <w:tab w:val="left" w:pos="794"/>
                <w:tab w:val="left" w:pos="1191"/>
              </w:tabs>
              <w:spacing w:before="40" w:after="40"/>
              <w:rPr>
                <w:rFonts w:cs="Segoe UI"/>
                <w:sz w:val="17"/>
                <w:szCs w:val="17"/>
              </w:rPr>
            </w:pPr>
            <w:r>
              <w:rPr>
                <w:rFonts w:cs="Segoe UI"/>
                <w:sz w:val="17"/>
                <w:szCs w:val="17"/>
              </w:rPr>
              <w:t>3</w:t>
            </w:r>
          </w:p>
        </w:tc>
        <w:tc>
          <w:tcPr>
            <w:tcW w:w="8647" w:type="dxa"/>
          </w:tcPr>
          <w:p w14:paraId="0057C1A2" w14:textId="77777777" w:rsidR="005921B0" w:rsidRDefault="005921B0" w:rsidP="00F65190">
            <w:pPr>
              <w:pStyle w:val="TableNote"/>
              <w:spacing w:before="40" w:after="40"/>
              <w:rPr>
                <w:sz w:val="17"/>
                <w:szCs w:val="17"/>
              </w:rPr>
            </w:pPr>
            <w:r>
              <w:rPr>
                <w:i/>
                <w:sz w:val="17"/>
                <w:szCs w:val="17"/>
              </w:rPr>
              <w:t>Returned to non-defaulted status</w:t>
            </w:r>
            <w:r>
              <w:rPr>
                <w:sz w:val="17"/>
                <w:szCs w:val="17"/>
              </w:rPr>
              <w:t>: loans and debt securities that the AI re-classifies into non-default status in the current reporting period.  This item, which has the effect of reducing the relevant exposure amount, should be reported as a negative figure.</w:t>
            </w:r>
          </w:p>
        </w:tc>
      </w:tr>
      <w:tr w:rsidR="005921B0" w14:paraId="0BD9BD09" w14:textId="77777777" w:rsidTr="00DF3361">
        <w:tc>
          <w:tcPr>
            <w:tcW w:w="680" w:type="dxa"/>
          </w:tcPr>
          <w:p w14:paraId="7FAEFE37" w14:textId="77777777" w:rsidR="005921B0" w:rsidRDefault="005921B0" w:rsidP="00F65190">
            <w:pPr>
              <w:keepLines/>
              <w:widowControl w:val="0"/>
              <w:tabs>
                <w:tab w:val="left" w:pos="150"/>
                <w:tab w:val="left" w:pos="397"/>
                <w:tab w:val="left" w:pos="794"/>
                <w:tab w:val="left" w:pos="1191"/>
              </w:tabs>
              <w:spacing w:before="40" w:after="40"/>
              <w:rPr>
                <w:rFonts w:cs="Segoe UI"/>
                <w:sz w:val="17"/>
                <w:szCs w:val="17"/>
              </w:rPr>
            </w:pPr>
            <w:r>
              <w:rPr>
                <w:rFonts w:cs="Segoe UI"/>
                <w:sz w:val="17"/>
                <w:szCs w:val="17"/>
              </w:rPr>
              <w:lastRenderedPageBreak/>
              <w:t>4</w:t>
            </w:r>
          </w:p>
        </w:tc>
        <w:tc>
          <w:tcPr>
            <w:tcW w:w="8647" w:type="dxa"/>
          </w:tcPr>
          <w:p w14:paraId="775B7D10" w14:textId="77777777" w:rsidR="005921B0" w:rsidRDefault="005921B0" w:rsidP="00F65190">
            <w:pPr>
              <w:pStyle w:val="TableNote"/>
              <w:spacing w:before="40" w:after="40"/>
              <w:rPr>
                <w:sz w:val="17"/>
                <w:szCs w:val="17"/>
              </w:rPr>
            </w:pPr>
            <w:r>
              <w:rPr>
                <w:i/>
                <w:sz w:val="17"/>
                <w:szCs w:val="17"/>
              </w:rPr>
              <w:t>Amounts written off:</w:t>
            </w:r>
            <w:r>
              <w:rPr>
                <w:sz w:val="17"/>
                <w:szCs w:val="17"/>
              </w:rPr>
              <w:t xml:space="preserve"> carrying amounts that have been totally or partially written off.  This item has the effect of reducing the relevant exposure amount thus should be reported as a negative figure.</w:t>
            </w:r>
          </w:p>
        </w:tc>
      </w:tr>
      <w:tr w:rsidR="005921B0" w14:paraId="62309FE7" w14:textId="77777777" w:rsidTr="00DF3361">
        <w:tc>
          <w:tcPr>
            <w:tcW w:w="680" w:type="dxa"/>
          </w:tcPr>
          <w:p w14:paraId="3B35BD3D" w14:textId="77777777" w:rsidR="005921B0" w:rsidRDefault="005921B0" w:rsidP="00F65190">
            <w:pPr>
              <w:keepLines/>
              <w:widowControl w:val="0"/>
              <w:tabs>
                <w:tab w:val="left" w:pos="150"/>
                <w:tab w:val="left" w:pos="397"/>
                <w:tab w:val="left" w:pos="794"/>
                <w:tab w:val="left" w:pos="1191"/>
              </w:tabs>
              <w:spacing w:before="40" w:after="40"/>
              <w:rPr>
                <w:rFonts w:cs="Segoe UI"/>
                <w:sz w:val="17"/>
                <w:szCs w:val="17"/>
              </w:rPr>
            </w:pPr>
            <w:r>
              <w:rPr>
                <w:rFonts w:cs="Segoe UI"/>
                <w:sz w:val="17"/>
                <w:szCs w:val="17"/>
              </w:rPr>
              <w:t>5</w:t>
            </w:r>
          </w:p>
        </w:tc>
        <w:tc>
          <w:tcPr>
            <w:tcW w:w="8647" w:type="dxa"/>
          </w:tcPr>
          <w:p w14:paraId="17A9A521" w14:textId="77777777" w:rsidR="005921B0" w:rsidRDefault="005921B0" w:rsidP="00F65190">
            <w:pPr>
              <w:keepLines/>
              <w:widowControl w:val="0"/>
              <w:tabs>
                <w:tab w:val="left" w:pos="150"/>
                <w:tab w:val="left" w:pos="397"/>
                <w:tab w:val="left" w:pos="794"/>
                <w:tab w:val="left" w:pos="1191"/>
              </w:tabs>
              <w:spacing w:before="40" w:after="40"/>
              <w:jc w:val="both"/>
              <w:rPr>
                <w:rFonts w:cs="Segoe UI"/>
                <w:sz w:val="17"/>
                <w:szCs w:val="17"/>
              </w:rPr>
            </w:pPr>
            <w:r>
              <w:rPr>
                <w:i/>
                <w:sz w:val="17"/>
                <w:szCs w:val="17"/>
              </w:rPr>
              <w:t>Other changes</w:t>
            </w:r>
            <w:r>
              <w:rPr>
                <w:sz w:val="17"/>
                <w:szCs w:val="17"/>
              </w:rPr>
              <w:t>: any balancing items that are necessary to enable reconciliation between row 1 and row 6.  An AI should disclose details of these balancing items in the accompanying narrative if they are material in nature.  This item should be reported as a negative figure if it has the effect of reducing the relevant exposure amount.</w:t>
            </w:r>
          </w:p>
        </w:tc>
      </w:tr>
      <w:tr w:rsidR="005921B0" w14:paraId="6E519D8C" w14:textId="77777777" w:rsidTr="00DF3361">
        <w:tc>
          <w:tcPr>
            <w:tcW w:w="680" w:type="dxa"/>
          </w:tcPr>
          <w:p w14:paraId="7E73549B" w14:textId="77777777" w:rsidR="005921B0" w:rsidRDefault="005921B0" w:rsidP="00F65190">
            <w:pPr>
              <w:keepLines/>
              <w:widowControl w:val="0"/>
              <w:tabs>
                <w:tab w:val="left" w:pos="150"/>
                <w:tab w:val="left" w:pos="397"/>
                <w:tab w:val="left" w:pos="794"/>
                <w:tab w:val="left" w:pos="1191"/>
              </w:tabs>
              <w:spacing w:before="40" w:after="40"/>
              <w:rPr>
                <w:rFonts w:cs="Segoe UI"/>
                <w:sz w:val="17"/>
                <w:szCs w:val="17"/>
              </w:rPr>
            </w:pPr>
            <w:r>
              <w:rPr>
                <w:rFonts w:cs="Segoe UI"/>
                <w:sz w:val="17"/>
                <w:szCs w:val="17"/>
              </w:rPr>
              <w:t>6</w:t>
            </w:r>
          </w:p>
        </w:tc>
        <w:tc>
          <w:tcPr>
            <w:tcW w:w="8647" w:type="dxa"/>
          </w:tcPr>
          <w:p w14:paraId="2981A988" w14:textId="77777777" w:rsidR="005921B0" w:rsidRDefault="005921B0" w:rsidP="00F65190">
            <w:pPr>
              <w:keepLines/>
              <w:widowControl w:val="0"/>
              <w:tabs>
                <w:tab w:val="left" w:pos="150"/>
                <w:tab w:val="left" w:pos="397"/>
                <w:tab w:val="left" w:pos="794"/>
                <w:tab w:val="left" w:pos="1191"/>
              </w:tabs>
              <w:spacing w:before="40" w:after="40"/>
              <w:jc w:val="both"/>
              <w:rPr>
                <w:rFonts w:cs="Segoe UI"/>
                <w:sz w:val="17"/>
                <w:szCs w:val="17"/>
              </w:rPr>
            </w:pPr>
            <w:r>
              <w:rPr>
                <w:i/>
                <w:sz w:val="17"/>
                <w:szCs w:val="17"/>
              </w:rPr>
              <w:t>Defaulted loans and debt securities at end of the current reporting period</w:t>
            </w:r>
            <w:r>
              <w:rPr>
                <w:sz w:val="17"/>
                <w:szCs w:val="17"/>
              </w:rPr>
              <w:t>:</w:t>
            </w:r>
            <w:r>
              <w:rPr>
                <w:rFonts w:cs="Segoe UI"/>
                <w:sz w:val="17"/>
                <w:szCs w:val="17"/>
              </w:rPr>
              <w:t xml:space="preserve"> the sum of values in rows </w:t>
            </w:r>
            <w:r>
              <w:rPr>
                <w:rFonts w:cs="Segoe UI"/>
                <w:sz w:val="17"/>
                <w:szCs w:val="17"/>
                <w:lang w:eastAsia="en-GB"/>
              </w:rPr>
              <w:t>1 to 5, which is also equal to the value in [CR1: 4/a] if the AI has no off-balance sheet exposures.</w:t>
            </w:r>
          </w:p>
        </w:tc>
      </w:tr>
    </w:tbl>
    <w:p w14:paraId="32BD5B26" w14:textId="77777777" w:rsidR="00053BF4" w:rsidRDefault="00053BF4" w:rsidP="00B4195A">
      <w:pPr>
        <w:spacing w:before="120" w:after="120"/>
        <w:rPr>
          <w:sz w:val="22"/>
        </w:rPr>
      </w:pPr>
    </w:p>
    <w:p w14:paraId="52D59191" w14:textId="77777777" w:rsidR="00B4195A" w:rsidRDefault="00B4195A" w:rsidP="00B4195A">
      <w:pPr>
        <w:spacing w:before="40" w:after="40"/>
        <w:sectPr w:rsidR="00B4195A" w:rsidSect="00795AFD">
          <w:footerReference w:type="default" r:id="rId44"/>
          <w:pgSz w:w="11906" w:h="16838" w:code="9"/>
          <w:pgMar w:top="1440" w:right="1797" w:bottom="1440" w:left="1797" w:header="851" w:footer="737" w:gutter="0"/>
          <w:cols w:space="425"/>
          <w:docGrid w:type="linesAndChars" w:linePitch="360"/>
        </w:sectPr>
      </w:pPr>
    </w:p>
    <w:p w14:paraId="1D3D104A" w14:textId="31AFE9C7" w:rsidR="00B4195A" w:rsidRDefault="00053BF4" w:rsidP="00E05EC4">
      <w:pPr>
        <w:pStyle w:val="Heading3"/>
        <w:ind w:left="-397"/>
      </w:pPr>
      <w:r>
        <w:lastRenderedPageBreak/>
        <w:t>Table CRB: Additional disclosure related to credit quality of exposures</w:t>
      </w:r>
    </w:p>
    <w:tbl>
      <w:tblPr>
        <w:tblW w:w="9349" w:type="dxa"/>
        <w:tblInd w:w="-567" w:type="dxa"/>
        <w:tblBorders>
          <w:top w:val="single" w:sz="4" w:space="0" w:color="auto"/>
          <w:bottom w:val="single" w:sz="4" w:space="0" w:color="auto"/>
          <w:insideH w:val="single" w:sz="4" w:space="0" w:color="auto"/>
          <w:insideV w:val="single" w:sz="4" w:space="0" w:color="auto"/>
        </w:tblBorders>
        <w:tblLayout w:type="fixed"/>
        <w:tblLook w:val="00A0" w:firstRow="1" w:lastRow="0" w:firstColumn="1" w:lastColumn="0" w:noHBand="0" w:noVBand="0"/>
      </w:tblPr>
      <w:tblGrid>
        <w:gridCol w:w="2115"/>
        <w:gridCol w:w="7234"/>
      </w:tblGrid>
      <w:tr w:rsidR="00053BF4" w:rsidRPr="00532865" w14:paraId="33AD6732" w14:textId="77777777" w:rsidTr="00E05EC4">
        <w:trPr>
          <w:trHeight w:val="964"/>
        </w:trPr>
        <w:tc>
          <w:tcPr>
            <w:tcW w:w="2115" w:type="dxa"/>
          </w:tcPr>
          <w:p w14:paraId="728869D9" w14:textId="77777777" w:rsidR="00053BF4" w:rsidRPr="008F44CD" w:rsidRDefault="00053BF4" w:rsidP="008F44CD">
            <w:pPr>
              <w:spacing w:before="40" w:after="40"/>
              <w:jc w:val="both"/>
              <w:rPr>
                <w:noProof/>
                <w:sz w:val="17"/>
                <w:lang w:eastAsia="en-GB"/>
              </w:rPr>
            </w:pPr>
            <w:r w:rsidRPr="008F44CD">
              <w:rPr>
                <w:b/>
                <w:sz w:val="17"/>
                <w:lang w:eastAsia="en-GB"/>
              </w:rPr>
              <w:t>Purpose:</w:t>
            </w:r>
          </w:p>
        </w:tc>
        <w:tc>
          <w:tcPr>
            <w:tcW w:w="7234" w:type="dxa"/>
          </w:tcPr>
          <w:p w14:paraId="76519AD2" w14:textId="45F819F9" w:rsidR="00053BF4" w:rsidRPr="008F44CD" w:rsidRDefault="00053BF4" w:rsidP="00826BF3">
            <w:pPr>
              <w:pStyle w:val="TableText"/>
              <w:jc w:val="both"/>
              <w:rPr>
                <w:noProof/>
                <w:spacing w:val="2"/>
                <w:lang w:eastAsia="en-GB"/>
              </w:rPr>
            </w:pPr>
            <w:r w:rsidRPr="008F44CD">
              <w:rPr>
                <w:spacing w:val="2"/>
                <w:lang w:eastAsia="en-GB"/>
              </w:rPr>
              <w:t xml:space="preserve">To provide additional qualitative and quantitative information on the credit quality of exposures to supplement the quantitative information </w:t>
            </w:r>
            <w:r w:rsidR="00EB55F3">
              <w:rPr>
                <w:spacing w:val="2"/>
                <w:lang w:eastAsia="en-GB"/>
              </w:rPr>
              <w:t>provided under T</w:t>
            </w:r>
            <w:r w:rsidRPr="008F44CD">
              <w:rPr>
                <w:spacing w:val="2"/>
                <w:lang w:eastAsia="en-GB"/>
              </w:rPr>
              <w:t>emplates CR1 and CR2.</w:t>
            </w:r>
          </w:p>
        </w:tc>
      </w:tr>
      <w:tr w:rsidR="00053BF4" w14:paraId="5EC56107" w14:textId="77777777" w:rsidTr="00E05EC4">
        <w:tc>
          <w:tcPr>
            <w:tcW w:w="2115" w:type="dxa"/>
          </w:tcPr>
          <w:p w14:paraId="1E5CBB37" w14:textId="77777777" w:rsidR="00053BF4" w:rsidRDefault="00053BF4" w:rsidP="00826BF3">
            <w:pPr>
              <w:spacing w:before="40" w:after="40"/>
              <w:rPr>
                <w:b/>
                <w:sz w:val="17"/>
                <w:lang w:eastAsia="en-GB"/>
              </w:rPr>
            </w:pPr>
            <w:r>
              <w:rPr>
                <w:b/>
                <w:sz w:val="17"/>
                <w:lang w:eastAsia="en-GB"/>
              </w:rPr>
              <w:t>Scope of application:</w:t>
            </w:r>
          </w:p>
        </w:tc>
        <w:tc>
          <w:tcPr>
            <w:tcW w:w="7234" w:type="dxa"/>
          </w:tcPr>
          <w:p w14:paraId="6686DC7C" w14:textId="77777777" w:rsidR="00053BF4" w:rsidRDefault="00053BF4" w:rsidP="00826BF3">
            <w:pPr>
              <w:spacing w:before="40" w:after="40"/>
              <w:jc w:val="both"/>
              <w:rPr>
                <w:b/>
                <w:sz w:val="17"/>
                <w:lang w:eastAsia="en-GB"/>
              </w:rPr>
            </w:pPr>
            <w:r>
              <w:rPr>
                <w:sz w:val="17"/>
                <w:lang w:eastAsia="en-GB"/>
              </w:rPr>
              <w:t>The table is mandatory for all AIs</w:t>
            </w:r>
            <w:r>
              <w:t xml:space="preserve"> </w:t>
            </w:r>
            <w:r>
              <w:rPr>
                <w:sz w:val="17"/>
                <w:lang w:eastAsia="en-GB"/>
              </w:rPr>
              <w:t>incorporated in Hong Kong.</w:t>
            </w:r>
          </w:p>
        </w:tc>
      </w:tr>
      <w:tr w:rsidR="00053BF4" w14:paraId="7A940AA8" w14:textId="77777777" w:rsidTr="00E05EC4">
        <w:tc>
          <w:tcPr>
            <w:tcW w:w="2115" w:type="dxa"/>
          </w:tcPr>
          <w:p w14:paraId="55283D88" w14:textId="77777777" w:rsidR="00053BF4" w:rsidRDefault="00053BF4" w:rsidP="00826BF3">
            <w:pPr>
              <w:spacing w:before="40" w:after="40"/>
              <w:rPr>
                <w:b/>
                <w:sz w:val="17"/>
                <w:lang w:eastAsia="en-GB"/>
              </w:rPr>
            </w:pPr>
            <w:r>
              <w:rPr>
                <w:b/>
                <w:sz w:val="17"/>
                <w:lang w:eastAsia="en-GB"/>
              </w:rPr>
              <w:t>Content:</w:t>
            </w:r>
          </w:p>
        </w:tc>
        <w:tc>
          <w:tcPr>
            <w:tcW w:w="7234" w:type="dxa"/>
          </w:tcPr>
          <w:p w14:paraId="03CD6B25" w14:textId="77777777" w:rsidR="00053BF4" w:rsidRDefault="00053BF4" w:rsidP="00826BF3">
            <w:pPr>
              <w:spacing w:before="40" w:after="40"/>
              <w:jc w:val="both"/>
              <w:rPr>
                <w:b/>
                <w:sz w:val="17"/>
                <w:lang w:eastAsia="en-GB"/>
              </w:rPr>
            </w:pPr>
            <w:r>
              <w:rPr>
                <w:sz w:val="17"/>
                <w:lang w:eastAsia="en-GB"/>
              </w:rPr>
              <w:t>Qualitative information and quantitative information (i.e. carrying amounts</w:t>
            </w:r>
            <w:r>
              <w:rPr>
                <w:rFonts w:eastAsia="新細明體"/>
                <w:sz w:val="17"/>
                <w:lang w:eastAsia="en-GB"/>
              </w:rPr>
              <w:t xml:space="preserve"> that correspond to the values reported in financial statements but according to the scope of regulatory consolidation for capital adequacy purposes</w:t>
            </w:r>
            <w:r>
              <w:rPr>
                <w:sz w:val="17"/>
                <w:lang w:eastAsia="en-GB"/>
              </w:rPr>
              <w:t>).</w:t>
            </w:r>
          </w:p>
        </w:tc>
      </w:tr>
      <w:tr w:rsidR="00053BF4" w14:paraId="4F88C4F3" w14:textId="77777777" w:rsidTr="00E05EC4">
        <w:tc>
          <w:tcPr>
            <w:tcW w:w="2115" w:type="dxa"/>
          </w:tcPr>
          <w:p w14:paraId="1C69D348" w14:textId="77777777" w:rsidR="00053BF4" w:rsidRDefault="00053BF4" w:rsidP="00826BF3">
            <w:pPr>
              <w:spacing w:before="40" w:after="40"/>
              <w:rPr>
                <w:sz w:val="17"/>
                <w:lang w:eastAsia="en-GB"/>
              </w:rPr>
            </w:pPr>
            <w:r>
              <w:rPr>
                <w:b/>
                <w:sz w:val="17"/>
                <w:lang w:eastAsia="en-GB"/>
              </w:rPr>
              <w:t>Frequency:</w:t>
            </w:r>
          </w:p>
        </w:tc>
        <w:tc>
          <w:tcPr>
            <w:tcW w:w="7234" w:type="dxa"/>
          </w:tcPr>
          <w:p w14:paraId="22DB3B90" w14:textId="77777777" w:rsidR="00053BF4" w:rsidRDefault="00053BF4" w:rsidP="00826BF3">
            <w:pPr>
              <w:pStyle w:val="TableText"/>
              <w:jc w:val="both"/>
              <w:rPr>
                <w:noProof/>
                <w:lang w:eastAsia="en-GB"/>
              </w:rPr>
            </w:pPr>
            <w:r>
              <w:rPr>
                <w:lang w:eastAsia="en-GB"/>
              </w:rPr>
              <w:t>Annual.</w:t>
            </w:r>
          </w:p>
        </w:tc>
      </w:tr>
      <w:tr w:rsidR="00053BF4" w14:paraId="427BD3DE" w14:textId="77777777" w:rsidTr="00E05EC4">
        <w:tc>
          <w:tcPr>
            <w:tcW w:w="2115" w:type="dxa"/>
          </w:tcPr>
          <w:p w14:paraId="4CF87C9D" w14:textId="77777777" w:rsidR="00053BF4" w:rsidRDefault="00053BF4" w:rsidP="00826BF3">
            <w:pPr>
              <w:spacing w:before="40" w:after="40"/>
              <w:rPr>
                <w:sz w:val="17"/>
                <w:lang w:eastAsia="en-GB"/>
              </w:rPr>
            </w:pPr>
            <w:r>
              <w:rPr>
                <w:b/>
                <w:sz w:val="17"/>
                <w:lang w:eastAsia="en-GB"/>
              </w:rPr>
              <w:t>Format:</w:t>
            </w:r>
          </w:p>
        </w:tc>
        <w:tc>
          <w:tcPr>
            <w:tcW w:w="7234" w:type="dxa"/>
          </w:tcPr>
          <w:p w14:paraId="73D160CF" w14:textId="77777777" w:rsidR="00053BF4" w:rsidRDefault="00053BF4" w:rsidP="00826BF3">
            <w:pPr>
              <w:pStyle w:val="TableText"/>
              <w:jc w:val="both"/>
              <w:rPr>
                <w:lang w:eastAsia="en-GB"/>
              </w:rPr>
            </w:pPr>
            <w:r>
              <w:rPr>
                <w:lang w:eastAsia="en-GB"/>
              </w:rPr>
              <w:t>Flexible.</w:t>
            </w:r>
          </w:p>
        </w:tc>
      </w:tr>
      <w:tr w:rsidR="00053BF4" w14:paraId="403B490E" w14:textId="77777777" w:rsidTr="00E05EC4">
        <w:tc>
          <w:tcPr>
            <w:tcW w:w="2115" w:type="dxa"/>
          </w:tcPr>
          <w:p w14:paraId="237BD06E" w14:textId="77777777" w:rsidR="00053BF4" w:rsidRDefault="00053BF4" w:rsidP="00826BF3">
            <w:pPr>
              <w:spacing w:before="40" w:after="40"/>
              <w:rPr>
                <w:b/>
                <w:sz w:val="17"/>
                <w:lang w:eastAsia="en-GB"/>
              </w:rPr>
            </w:pPr>
            <w:r>
              <w:rPr>
                <w:b/>
                <w:sz w:val="17"/>
                <w:lang w:eastAsia="en-GB"/>
              </w:rPr>
              <w:t>Corresponding BDR section:</w:t>
            </w:r>
          </w:p>
        </w:tc>
        <w:tc>
          <w:tcPr>
            <w:tcW w:w="7234" w:type="dxa"/>
          </w:tcPr>
          <w:p w14:paraId="5FF7CB33" w14:textId="77777777" w:rsidR="00053BF4" w:rsidRDefault="00053BF4" w:rsidP="00826BF3">
            <w:pPr>
              <w:pStyle w:val="TableText"/>
              <w:jc w:val="both"/>
              <w:rPr>
                <w:lang w:eastAsia="en-GB"/>
              </w:rPr>
            </w:pPr>
            <w:r>
              <w:rPr>
                <w:lang w:eastAsia="en-GB"/>
              </w:rPr>
              <w:t>16J</w:t>
            </w:r>
          </w:p>
        </w:tc>
      </w:tr>
    </w:tbl>
    <w:p w14:paraId="51F9A356" w14:textId="77777777" w:rsidR="00053BF4" w:rsidRDefault="00053BF4" w:rsidP="00B4195A">
      <w:pPr>
        <w:spacing w:before="120" w:after="120"/>
        <w:rPr>
          <w:sz w:val="22"/>
        </w:rPr>
      </w:pPr>
    </w:p>
    <w:tbl>
      <w:tblPr>
        <w:tblW w:w="9384" w:type="dxa"/>
        <w:jc w:val="center"/>
        <w:tblCellMar>
          <w:left w:w="70" w:type="dxa"/>
          <w:right w:w="70" w:type="dxa"/>
        </w:tblCellMar>
        <w:tblLook w:val="00A0" w:firstRow="1" w:lastRow="0" w:firstColumn="1" w:lastColumn="0" w:noHBand="0" w:noVBand="0"/>
      </w:tblPr>
      <w:tblGrid>
        <w:gridCol w:w="512"/>
        <w:gridCol w:w="8872"/>
      </w:tblGrid>
      <w:tr w:rsidR="00B4195A" w14:paraId="76DDF1AC" w14:textId="77777777" w:rsidTr="00E05EC4">
        <w:trPr>
          <w:trHeight w:val="448"/>
          <w:jc w:val="center"/>
        </w:trPr>
        <w:tc>
          <w:tcPr>
            <w:tcW w:w="9384" w:type="dxa"/>
            <w:gridSpan w:val="2"/>
            <w:tcBorders>
              <w:top w:val="single" w:sz="4" w:space="0" w:color="auto"/>
              <w:bottom w:val="single" w:sz="4" w:space="0" w:color="auto"/>
            </w:tcBorders>
            <w:vAlign w:val="center"/>
          </w:tcPr>
          <w:p w14:paraId="4AA6AA3E" w14:textId="77777777" w:rsidR="00B4195A" w:rsidRDefault="00B4195A" w:rsidP="00647044">
            <w:pPr>
              <w:widowControl w:val="0"/>
              <w:spacing w:before="40" w:after="40"/>
              <w:jc w:val="both"/>
              <w:rPr>
                <w:sz w:val="17"/>
                <w:szCs w:val="17"/>
              </w:rPr>
            </w:pPr>
            <w:r>
              <w:rPr>
                <w:sz w:val="17"/>
                <w:szCs w:val="17"/>
                <w:lang w:eastAsia="fr-FR"/>
              </w:rPr>
              <w:t>An AI should disclose the following information:</w:t>
            </w:r>
          </w:p>
        </w:tc>
      </w:tr>
      <w:tr w:rsidR="00B4195A" w14:paraId="390C8A76" w14:textId="77777777" w:rsidTr="00E05EC4">
        <w:trPr>
          <w:trHeight w:val="448"/>
          <w:jc w:val="center"/>
        </w:trPr>
        <w:tc>
          <w:tcPr>
            <w:tcW w:w="9384" w:type="dxa"/>
            <w:gridSpan w:val="2"/>
            <w:tcBorders>
              <w:top w:val="single" w:sz="4" w:space="0" w:color="auto"/>
              <w:bottom w:val="single" w:sz="4" w:space="0" w:color="auto"/>
            </w:tcBorders>
            <w:shd w:val="clear" w:color="auto" w:fill="D9D9D9"/>
            <w:vAlign w:val="center"/>
          </w:tcPr>
          <w:p w14:paraId="3B8D5BEE" w14:textId="77777777" w:rsidR="00B4195A" w:rsidRDefault="00B4195A" w:rsidP="00647044">
            <w:pPr>
              <w:widowControl w:val="0"/>
              <w:spacing w:before="40" w:after="40"/>
              <w:jc w:val="both"/>
              <w:rPr>
                <w:sz w:val="17"/>
                <w:szCs w:val="17"/>
                <w:lang w:eastAsia="fr-FR"/>
              </w:rPr>
            </w:pPr>
            <w:r>
              <w:rPr>
                <w:sz w:val="17"/>
                <w:szCs w:val="17"/>
                <w:lang w:eastAsia="fr-FR"/>
              </w:rPr>
              <w:t>Qualitative disclosures</w:t>
            </w:r>
          </w:p>
        </w:tc>
      </w:tr>
      <w:tr w:rsidR="00B4195A" w14:paraId="45CA4C2D" w14:textId="77777777" w:rsidTr="00E05EC4">
        <w:trPr>
          <w:trHeight w:val="318"/>
          <w:jc w:val="center"/>
        </w:trPr>
        <w:tc>
          <w:tcPr>
            <w:tcW w:w="512" w:type="dxa"/>
            <w:tcBorders>
              <w:top w:val="single" w:sz="4" w:space="0" w:color="auto"/>
              <w:bottom w:val="single" w:sz="4" w:space="0" w:color="auto"/>
            </w:tcBorders>
            <w:noWrap/>
          </w:tcPr>
          <w:p w14:paraId="312891E8" w14:textId="77777777" w:rsidR="00B4195A" w:rsidRDefault="00B4195A" w:rsidP="00647044">
            <w:pPr>
              <w:widowControl w:val="0"/>
              <w:spacing w:before="40" w:after="40"/>
              <w:jc w:val="both"/>
              <w:rPr>
                <w:sz w:val="17"/>
                <w:szCs w:val="17"/>
              </w:rPr>
            </w:pPr>
            <w:r>
              <w:rPr>
                <w:sz w:val="17"/>
                <w:szCs w:val="17"/>
              </w:rPr>
              <w:t>(a)</w:t>
            </w:r>
          </w:p>
        </w:tc>
        <w:tc>
          <w:tcPr>
            <w:tcW w:w="8872" w:type="dxa"/>
            <w:tcBorders>
              <w:top w:val="single" w:sz="4" w:space="0" w:color="auto"/>
              <w:bottom w:val="single" w:sz="4" w:space="0" w:color="auto"/>
            </w:tcBorders>
            <w:noWrap/>
            <w:vAlign w:val="center"/>
          </w:tcPr>
          <w:p w14:paraId="7C723E3B" w14:textId="503FF7F1" w:rsidR="00B4195A" w:rsidRDefault="00B4195A" w:rsidP="00647044">
            <w:pPr>
              <w:pStyle w:val="TableText"/>
              <w:keepNext/>
              <w:jc w:val="both"/>
              <w:rPr>
                <w:szCs w:val="17"/>
                <w:lang w:eastAsia="fr-FR"/>
              </w:rPr>
            </w:pPr>
            <w:r>
              <w:rPr>
                <w:szCs w:val="17"/>
                <w:lang w:eastAsia="fr-FR"/>
              </w:rPr>
              <w:t>The scope and definitions of “past due” and “impaired” exposures used according to the applicable accounting standards and the differences, if any, between the definitions of past due exposures and defaulted exposures for accounting purposes an</w:t>
            </w:r>
            <w:r w:rsidR="00D31B35">
              <w:rPr>
                <w:szCs w:val="17"/>
                <w:lang w:eastAsia="fr-FR"/>
              </w:rPr>
              <w:t>d those for regulatory purposes.</w:t>
            </w:r>
          </w:p>
        </w:tc>
      </w:tr>
      <w:tr w:rsidR="00B4195A" w14:paraId="79B93C78" w14:textId="77777777" w:rsidTr="00E05EC4">
        <w:trPr>
          <w:trHeight w:val="318"/>
          <w:jc w:val="center"/>
        </w:trPr>
        <w:tc>
          <w:tcPr>
            <w:tcW w:w="512" w:type="dxa"/>
            <w:tcBorders>
              <w:top w:val="single" w:sz="4" w:space="0" w:color="auto"/>
              <w:bottom w:val="single" w:sz="4" w:space="0" w:color="auto"/>
            </w:tcBorders>
            <w:noWrap/>
          </w:tcPr>
          <w:p w14:paraId="7CD9462B" w14:textId="77777777" w:rsidR="00B4195A" w:rsidRDefault="00B4195A" w:rsidP="00647044">
            <w:pPr>
              <w:widowControl w:val="0"/>
              <w:spacing w:before="40" w:after="40"/>
              <w:jc w:val="both"/>
              <w:rPr>
                <w:sz w:val="17"/>
                <w:szCs w:val="17"/>
              </w:rPr>
            </w:pPr>
            <w:r>
              <w:rPr>
                <w:sz w:val="17"/>
                <w:szCs w:val="17"/>
              </w:rPr>
              <w:t>(b)</w:t>
            </w:r>
          </w:p>
        </w:tc>
        <w:tc>
          <w:tcPr>
            <w:tcW w:w="8872" w:type="dxa"/>
            <w:tcBorders>
              <w:top w:val="single" w:sz="4" w:space="0" w:color="auto"/>
              <w:bottom w:val="single" w:sz="4" w:space="0" w:color="auto"/>
            </w:tcBorders>
            <w:noWrap/>
            <w:vAlign w:val="center"/>
          </w:tcPr>
          <w:p w14:paraId="3665C812" w14:textId="142A9FD1" w:rsidR="00B4195A" w:rsidRDefault="00B4195A" w:rsidP="00647044">
            <w:pPr>
              <w:pStyle w:val="TableText"/>
              <w:keepNext/>
              <w:jc w:val="both"/>
              <w:rPr>
                <w:szCs w:val="17"/>
                <w:lang w:eastAsia="fr-FR"/>
              </w:rPr>
            </w:pPr>
            <w:r>
              <w:rPr>
                <w:szCs w:val="17"/>
                <w:lang w:eastAsia="fr-FR"/>
              </w:rPr>
              <w:t>The extent of exposures which are past due for more than 90 days but are not impaired and the justifications for these exposures n</w:t>
            </w:r>
            <w:r w:rsidR="00D31B35">
              <w:rPr>
                <w:szCs w:val="17"/>
                <w:lang w:eastAsia="fr-FR"/>
              </w:rPr>
              <w:t>ot being classified as impaired.</w:t>
            </w:r>
          </w:p>
        </w:tc>
      </w:tr>
      <w:tr w:rsidR="00B4195A" w14:paraId="03E19F24" w14:textId="77777777" w:rsidTr="00E05EC4">
        <w:trPr>
          <w:trHeight w:val="318"/>
          <w:jc w:val="center"/>
        </w:trPr>
        <w:tc>
          <w:tcPr>
            <w:tcW w:w="512" w:type="dxa"/>
            <w:tcBorders>
              <w:top w:val="single" w:sz="4" w:space="0" w:color="auto"/>
              <w:bottom w:val="single" w:sz="4" w:space="0" w:color="auto"/>
            </w:tcBorders>
            <w:noWrap/>
          </w:tcPr>
          <w:p w14:paraId="5251B0F1" w14:textId="77777777" w:rsidR="00B4195A" w:rsidRPr="000026DD" w:rsidRDefault="00B4195A" w:rsidP="00647044">
            <w:pPr>
              <w:widowControl w:val="0"/>
              <w:spacing w:before="40" w:after="40"/>
              <w:jc w:val="both"/>
              <w:rPr>
                <w:sz w:val="17"/>
                <w:szCs w:val="17"/>
              </w:rPr>
            </w:pPr>
            <w:r w:rsidRPr="000026DD">
              <w:rPr>
                <w:sz w:val="17"/>
                <w:szCs w:val="17"/>
              </w:rPr>
              <w:t>(c)</w:t>
            </w:r>
          </w:p>
        </w:tc>
        <w:tc>
          <w:tcPr>
            <w:tcW w:w="8872" w:type="dxa"/>
            <w:tcBorders>
              <w:top w:val="single" w:sz="4" w:space="0" w:color="auto"/>
              <w:bottom w:val="single" w:sz="4" w:space="0" w:color="auto"/>
            </w:tcBorders>
            <w:noWrap/>
            <w:vAlign w:val="center"/>
          </w:tcPr>
          <w:p w14:paraId="22FDF661" w14:textId="089F72B5" w:rsidR="00B4195A" w:rsidRPr="000026DD" w:rsidRDefault="00B4195A" w:rsidP="000026DD">
            <w:pPr>
              <w:pStyle w:val="TableText"/>
              <w:keepNext/>
              <w:jc w:val="both"/>
              <w:rPr>
                <w:szCs w:val="17"/>
                <w:lang w:eastAsia="fr-FR"/>
              </w:rPr>
            </w:pPr>
            <w:r w:rsidRPr="000026DD">
              <w:rPr>
                <w:noProof/>
                <w:szCs w:val="17"/>
                <w:lang w:eastAsia="en-GB"/>
              </w:rPr>
              <w:t>A description of methods adopted for determining accounting provisions for credit losses.  In addition, an AI that has adopted an expected credit loss (“ECL”) accounting model must provide information on the rationale for categorisation of ECL accounting provisions in collective and specific categories for exposures ca</w:t>
            </w:r>
            <w:r w:rsidR="00D31B35">
              <w:rPr>
                <w:noProof/>
                <w:szCs w:val="17"/>
                <w:lang w:eastAsia="en-GB"/>
              </w:rPr>
              <w:t>lculated under the STC approach.</w:t>
            </w:r>
          </w:p>
        </w:tc>
      </w:tr>
      <w:tr w:rsidR="00B4195A" w14:paraId="05DFB525" w14:textId="77777777" w:rsidTr="00E05EC4">
        <w:trPr>
          <w:trHeight w:val="318"/>
          <w:jc w:val="center"/>
        </w:trPr>
        <w:tc>
          <w:tcPr>
            <w:tcW w:w="512" w:type="dxa"/>
            <w:tcBorders>
              <w:top w:val="single" w:sz="4" w:space="0" w:color="auto"/>
              <w:bottom w:val="single" w:sz="4" w:space="0" w:color="auto"/>
            </w:tcBorders>
            <w:noWrap/>
          </w:tcPr>
          <w:p w14:paraId="01A2C887" w14:textId="77777777" w:rsidR="00B4195A" w:rsidRDefault="00B4195A" w:rsidP="00647044">
            <w:pPr>
              <w:widowControl w:val="0"/>
              <w:spacing w:before="40" w:after="40"/>
              <w:jc w:val="both"/>
              <w:rPr>
                <w:sz w:val="17"/>
                <w:szCs w:val="17"/>
              </w:rPr>
            </w:pPr>
            <w:r>
              <w:rPr>
                <w:sz w:val="17"/>
                <w:szCs w:val="17"/>
              </w:rPr>
              <w:t>(d)</w:t>
            </w:r>
          </w:p>
        </w:tc>
        <w:tc>
          <w:tcPr>
            <w:tcW w:w="8872" w:type="dxa"/>
            <w:tcBorders>
              <w:top w:val="single" w:sz="4" w:space="0" w:color="auto"/>
              <w:bottom w:val="single" w:sz="4" w:space="0" w:color="auto"/>
            </w:tcBorders>
            <w:noWrap/>
            <w:vAlign w:val="center"/>
          </w:tcPr>
          <w:p w14:paraId="5CF3891B" w14:textId="022C8F33" w:rsidR="00B4195A" w:rsidRDefault="00B4195A" w:rsidP="002C4451">
            <w:pPr>
              <w:pStyle w:val="TableText"/>
              <w:keepNext/>
              <w:jc w:val="both"/>
              <w:rPr>
                <w:noProof/>
                <w:szCs w:val="17"/>
                <w:lang w:eastAsia="en-GB"/>
              </w:rPr>
            </w:pPr>
            <w:r>
              <w:rPr>
                <w:noProof/>
                <w:szCs w:val="17"/>
                <w:lang w:eastAsia="en-GB"/>
              </w:rPr>
              <w:t>The AI’s own definition of a restructured exposure</w:t>
            </w:r>
            <w:r w:rsidR="007B1B29">
              <w:rPr>
                <w:noProof/>
                <w:szCs w:val="17"/>
                <w:lang w:eastAsia="en-GB"/>
              </w:rPr>
              <w:t>.</w:t>
            </w:r>
          </w:p>
        </w:tc>
      </w:tr>
      <w:tr w:rsidR="00B4195A" w14:paraId="7381CC1D" w14:textId="77777777" w:rsidTr="00E05EC4">
        <w:trPr>
          <w:trHeight w:val="318"/>
          <w:jc w:val="center"/>
        </w:trPr>
        <w:tc>
          <w:tcPr>
            <w:tcW w:w="9384" w:type="dxa"/>
            <w:gridSpan w:val="2"/>
            <w:tcBorders>
              <w:top w:val="single" w:sz="4" w:space="0" w:color="auto"/>
              <w:bottom w:val="single" w:sz="4" w:space="0" w:color="auto"/>
            </w:tcBorders>
            <w:shd w:val="clear" w:color="auto" w:fill="D9D9D9"/>
            <w:noWrap/>
          </w:tcPr>
          <w:p w14:paraId="7234ED55" w14:textId="77777777" w:rsidR="00B4195A" w:rsidRDefault="00B4195A" w:rsidP="00647044">
            <w:pPr>
              <w:pStyle w:val="TableText"/>
              <w:jc w:val="both"/>
              <w:rPr>
                <w:szCs w:val="17"/>
                <w:lang w:eastAsia="fr-FR"/>
              </w:rPr>
            </w:pPr>
            <w:r>
              <w:rPr>
                <w:szCs w:val="17"/>
                <w:lang w:eastAsia="fr-FR"/>
              </w:rPr>
              <w:t>Quantitative disclosures</w:t>
            </w:r>
          </w:p>
        </w:tc>
      </w:tr>
      <w:tr w:rsidR="00B4195A" w14:paraId="1C2FDAB2" w14:textId="77777777" w:rsidTr="00E05EC4">
        <w:trPr>
          <w:trHeight w:val="318"/>
          <w:jc w:val="center"/>
        </w:trPr>
        <w:tc>
          <w:tcPr>
            <w:tcW w:w="512" w:type="dxa"/>
            <w:tcBorders>
              <w:top w:val="single" w:sz="4" w:space="0" w:color="auto"/>
              <w:bottom w:val="single" w:sz="4" w:space="0" w:color="auto"/>
            </w:tcBorders>
            <w:noWrap/>
          </w:tcPr>
          <w:p w14:paraId="558066A6" w14:textId="77777777" w:rsidR="00B4195A" w:rsidRDefault="00B4195A" w:rsidP="00647044">
            <w:pPr>
              <w:widowControl w:val="0"/>
              <w:spacing w:before="40" w:after="40"/>
              <w:jc w:val="both"/>
              <w:rPr>
                <w:sz w:val="17"/>
                <w:szCs w:val="17"/>
              </w:rPr>
            </w:pPr>
            <w:r>
              <w:rPr>
                <w:sz w:val="17"/>
                <w:szCs w:val="17"/>
              </w:rPr>
              <w:t>(e)</w:t>
            </w:r>
          </w:p>
        </w:tc>
        <w:tc>
          <w:tcPr>
            <w:tcW w:w="8872" w:type="dxa"/>
            <w:tcBorders>
              <w:top w:val="single" w:sz="4" w:space="0" w:color="auto"/>
              <w:bottom w:val="single" w:sz="4" w:space="0" w:color="auto"/>
            </w:tcBorders>
            <w:noWrap/>
            <w:vAlign w:val="center"/>
          </w:tcPr>
          <w:p w14:paraId="39EEE0B9" w14:textId="6CCE9C10" w:rsidR="00B4195A" w:rsidRDefault="00B4195A" w:rsidP="00647044">
            <w:pPr>
              <w:pStyle w:val="TableText"/>
              <w:keepNext/>
              <w:jc w:val="both"/>
              <w:rPr>
                <w:noProof/>
                <w:szCs w:val="17"/>
                <w:lang w:eastAsia="en-GB"/>
              </w:rPr>
            </w:pPr>
            <w:r>
              <w:rPr>
                <w:noProof/>
                <w:szCs w:val="17"/>
                <w:lang w:eastAsia="en-GB"/>
              </w:rPr>
              <w:t>Breakdown of exposures by geographical areas, industry and residual maturity.  Any segment which constitutes not less than 10% of the AI’s total RWA for credit risk (after taking into account any recognized CRM) is deemed significant and should be separately disclosed.  Non-significant exposures may be disclosed on an aggregated b</w:t>
            </w:r>
            <w:r w:rsidR="00D31B35">
              <w:rPr>
                <w:noProof/>
                <w:szCs w:val="17"/>
                <w:lang w:eastAsia="en-GB"/>
              </w:rPr>
              <w:t>asis under the category “other”.</w:t>
            </w:r>
          </w:p>
        </w:tc>
      </w:tr>
      <w:tr w:rsidR="00B4195A" w14:paraId="0C0088F0" w14:textId="77777777" w:rsidTr="00E05EC4">
        <w:trPr>
          <w:trHeight w:val="318"/>
          <w:jc w:val="center"/>
        </w:trPr>
        <w:tc>
          <w:tcPr>
            <w:tcW w:w="512" w:type="dxa"/>
            <w:tcBorders>
              <w:top w:val="single" w:sz="4" w:space="0" w:color="auto"/>
              <w:bottom w:val="single" w:sz="4" w:space="0" w:color="auto"/>
            </w:tcBorders>
            <w:noWrap/>
          </w:tcPr>
          <w:p w14:paraId="72E5AF0F" w14:textId="77777777" w:rsidR="00B4195A" w:rsidRDefault="00B4195A" w:rsidP="00647044">
            <w:pPr>
              <w:widowControl w:val="0"/>
              <w:spacing w:before="40" w:after="40"/>
              <w:jc w:val="both"/>
              <w:rPr>
                <w:sz w:val="17"/>
                <w:szCs w:val="17"/>
              </w:rPr>
            </w:pPr>
            <w:r>
              <w:rPr>
                <w:sz w:val="17"/>
                <w:szCs w:val="17"/>
              </w:rPr>
              <w:t>(f)</w:t>
            </w:r>
          </w:p>
        </w:tc>
        <w:tc>
          <w:tcPr>
            <w:tcW w:w="8872" w:type="dxa"/>
            <w:tcBorders>
              <w:top w:val="single" w:sz="4" w:space="0" w:color="auto"/>
              <w:bottom w:val="single" w:sz="4" w:space="0" w:color="auto"/>
            </w:tcBorders>
            <w:noWrap/>
            <w:vAlign w:val="center"/>
          </w:tcPr>
          <w:p w14:paraId="7079CED4" w14:textId="21C7E87C" w:rsidR="00B4195A" w:rsidRDefault="00B4195A" w:rsidP="00647044">
            <w:pPr>
              <w:pStyle w:val="TableText"/>
              <w:keepNext/>
              <w:jc w:val="both"/>
              <w:rPr>
                <w:noProof/>
                <w:szCs w:val="17"/>
                <w:lang w:eastAsia="en-GB"/>
              </w:rPr>
            </w:pPr>
            <w:r>
              <w:rPr>
                <w:noProof/>
                <w:szCs w:val="17"/>
                <w:lang w:eastAsia="en-GB"/>
              </w:rPr>
              <w:t>Amounts of impaired exposures (according to the definitions in use under the applicable accounting standards) and related allowances and write-offs, broken down by ge</w:t>
            </w:r>
            <w:r w:rsidR="00D31B35">
              <w:rPr>
                <w:noProof/>
                <w:szCs w:val="17"/>
                <w:lang w:eastAsia="en-GB"/>
              </w:rPr>
              <w:t>ographical areas and industries.</w:t>
            </w:r>
          </w:p>
        </w:tc>
      </w:tr>
      <w:tr w:rsidR="00B4195A" w14:paraId="6425FC1C" w14:textId="77777777" w:rsidTr="00E05EC4">
        <w:trPr>
          <w:trHeight w:val="318"/>
          <w:jc w:val="center"/>
        </w:trPr>
        <w:tc>
          <w:tcPr>
            <w:tcW w:w="512" w:type="dxa"/>
            <w:tcBorders>
              <w:top w:val="single" w:sz="4" w:space="0" w:color="auto"/>
              <w:bottom w:val="single" w:sz="4" w:space="0" w:color="auto"/>
            </w:tcBorders>
            <w:noWrap/>
          </w:tcPr>
          <w:p w14:paraId="0B9224A6" w14:textId="77777777" w:rsidR="00B4195A" w:rsidRDefault="00B4195A" w:rsidP="00647044">
            <w:pPr>
              <w:widowControl w:val="0"/>
              <w:spacing w:before="40" w:after="40"/>
              <w:jc w:val="both"/>
              <w:rPr>
                <w:sz w:val="17"/>
                <w:szCs w:val="17"/>
              </w:rPr>
            </w:pPr>
            <w:r>
              <w:rPr>
                <w:sz w:val="17"/>
                <w:szCs w:val="17"/>
              </w:rPr>
              <w:t>(g)</w:t>
            </w:r>
          </w:p>
        </w:tc>
        <w:tc>
          <w:tcPr>
            <w:tcW w:w="8872" w:type="dxa"/>
            <w:tcBorders>
              <w:top w:val="single" w:sz="4" w:space="0" w:color="auto"/>
              <w:bottom w:val="single" w:sz="4" w:space="0" w:color="auto"/>
            </w:tcBorders>
            <w:noWrap/>
            <w:vAlign w:val="center"/>
          </w:tcPr>
          <w:p w14:paraId="0094B665" w14:textId="2427DB1C" w:rsidR="00B4195A" w:rsidRDefault="00B4195A" w:rsidP="00647044">
            <w:pPr>
              <w:pStyle w:val="TableText"/>
              <w:keepNext/>
              <w:jc w:val="both"/>
              <w:rPr>
                <w:noProof/>
                <w:szCs w:val="17"/>
                <w:lang w:eastAsia="en-GB"/>
              </w:rPr>
            </w:pPr>
            <w:r>
              <w:rPr>
                <w:noProof/>
                <w:szCs w:val="17"/>
                <w:lang w:eastAsia="en-GB"/>
              </w:rPr>
              <w:t>Aging analysis of ac</w:t>
            </w:r>
            <w:r w:rsidR="00D31B35">
              <w:rPr>
                <w:noProof/>
                <w:szCs w:val="17"/>
                <w:lang w:eastAsia="en-GB"/>
              </w:rPr>
              <w:t>counting past due exposures.</w:t>
            </w:r>
          </w:p>
        </w:tc>
      </w:tr>
      <w:tr w:rsidR="00B4195A" w14:paraId="146E9A26" w14:textId="77777777" w:rsidTr="00E05EC4">
        <w:trPr>
          <w:trHeight w:val="221"/>
          <w:jc w:val="center"/>
        </w:trPr>
        <w:tc>
          <w:tcPr>
            <w:tcW w:w="512" w:type="dxa"/>
            <w:tcBorders>
              <w:top w:val="single" w:sz="4" w:space="0" w:color="auto"/>
              <w:bottom w:val="single" w:sz="4" w:space="0" w:color="auto"/>
            </w:tcBorders>
            <w:noWrap/>
          </w:tcPr>
          <w:p w14:paraId="20459996" w14:textId="77777777" w:rsidR="00B4195A" w:rsidRDefault="00B4195A" w:rsidP="00647044">
            <w:pPr>
              <w:widowControl w:val="0"/>
              <w:spacing w:before="40" w:after="40"/>
              <w:jc w:val="both"/>
              <w:rPr>
                <w:sz w:val="17"/>
                <w:szCs w:val="17"/>
              </w:rPr>
            </w:pPr>
            <w:r>
              <w:rPr>
                <w:sz w:val="17"/>
                <w:szCs w:val="17"/>
              </w:rPr>
              <w:t>(h)</w:t>
            </w:r>
          </w:p>
        </w:tc>
        <w:tc>
          <w:tcPr>
            <w:tcW w:w="8872" w:type="dxa"/>
            <w:tcBorders>
              <w:top w:val="single" w:sz="4" w:space="0" w:color="auto"/>
              <w:bottom w:val="single" w:sz="4" w:space="0" w:color="auto"/>
            </w:tcBorders>
            <w:noWrap/>
            <w:vAlign w:val="center"/>
          </w:tcPr>
          <w:p w14:paraId="2921E583" w14:textId="77777777" w:rsidR="00B4195A" w:rsidRDefault="00B4195A" w:rsidP="00647044">
            <w:pPr>
              <w:pStyle w:val="TableText"/>
              <w:keepNext/>
              <w:jc w:val="both"/>
              <w:rPr>
                <w:noProof/>
                <w:szCs w:val="17"/>
                <w:lang w:eastAsia="en-GB"/>
              </w:rPr>
            </w:pPr>
            <w:r>
              <w:rPr>
                <w:noProof/>
                <w:szCs w:val="17"/>
                <w:lang w:eastAsia="en-GB"/>
              </w:rPr>
              <w:t>Breakdown of restructured exposures, between impaired and not impaired exposures.</w:t>
            </w:r>
          </w:p>
        </w:tc>
      </w:tr>
    </w:tbl>
    <w:p w14:paraId="2F066054" w14:textId="02FDAE97" w:rsidR="00FE2E21" w:rsidRPr="00FE2E21" w:rsidRDefault="00FE2E21" w:rsidP="00FE2E21">
      <w:pPr>
        <w:sectPr w:rsidR="00FE2E21" w:rsidRPr="00FE2E21">
          <w:footerReference w:type="default" r:id="rId45"/>
          <w:pgSz w:w="11906" w:h="16838" w:code="9"/>
          <w:pgMar w:top="1440" w:right="1797" w:bottom="1440" w:left="1797" w:header="851" w:footer="737" w:gutter="0"/>
          <w:cols w:space="425"/>
          <w:docGrid w:type="linesAndChars" w:linePitch="360"/>
        </w:sectPr>
      </w:pPr>
      <w:bookmarkStart w:id="5" w:name="_Toc379453639"/>
      <w:bookmarkStart w:id="6" w:name="_Toc391302881"/>
      <w:bookmarkStart w:id="7" w:name="_Toc375042827"/>
      <w:bookmarkStart w:id="8" w:name="_Toc378352967"/>
      <w:bookmarkStart w:id="9" w:name="_Toc404328155"/>
    </w:p>
    <w:p w14:paraId="54FA1859" w14:textId="77777777" w:rsidR="00B4195A" w:rsidRPr="005610E7" w:rsidRDefault="00B4195A" w:rsidP="00CA2B76">
      <w:pPr>
        <w:pStyle w:val="IndentedHeading2"/>
        <w:numPr>
          <w:ilvl w:val="0"/>
          <w:numId w:val="6"/>
        </w:numPr>
        <w:spacing w:before="0"/>
        <w:ind w:left="0" w:hanging="426"/>
        <w:rPr>
          <w:b w:val="0"/>
        </w:rPr>
      </w:pPr>
      <w:r w:rsidRPr="005610E7">
        <w:rPr>
          <w:b w:val="0"/>
        </w:rPr>
        <w:lastRenderedPageBreak/>
        <w:t xml:space="preserve">Credit risk </w:t>
      </w:r>
      <w:bookmarkEnd w:id="5"/>
      <w:bookmarkEnd w:id="6"/>
      <w:bookmarkEnd w:id="7"/>
      <w:bookmarkEnd w:id="8"/>
      <w:r w:rsidRPr="005610E7">
        <w:rPr>
          <w:b w:val="0"/>
        </w:rPr>
        <w:t>mitigation</w:t>
      </w:r>
      <w:bookmarkEnd w:id="9"/>
    </w:p>
    <w:p w14:paraId="1D45F154" w14:textId="56CE8364" w:rsidR="00B4195A" w:rsidRPr="00FE2E21" w:rsidRDefault="00FE2E21" w:rsidP="00CA2B76">
      <w:pPr>
        <w:pStyle w:val="Heading3"/>
        <w:ind w:left="-567"/>
        <w:rPr>
          <w:rStyle w:val="Heading3Char"/>
        </w:rPr>
      </w:pPr>
      <w:r>
        <w:t xml:space="preserve"> T</w:t>
      </w:r>
      <w:r>
        <w:rPr>
          <w:rStyle w:val="Heading3Char"/>
        </w:rPr>
        <w:t xml:space="preserve">able </w:t>
      </w:r>
      <w:r w:rsidRPr="00FE2E21">
        <w:rPr>
          <w:rStyle w:val="Heading3Char"/>
        </w:rPr>
        <w:t>CRC: Qualitative disclosures related to credit risk mitigation</w:t>
      </w:r>
    </w:p>
    <w:tbl>
      <w:tblPr>
        <w:tblW w:w="9350" w:type="dxa"/>
        <w:tblInd w:w="-567"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116"/>
        <w:gridCol w:w="7234"/>
      </w:tblGrid>
      <w:tr w:rsidR="00FE2E21" w14:paraId="7CEF2175" w14:textId="77777777" w:rsidTr="00CC057B">
        <w:tc>
          <w:tcPr>
            <w:tcW w:w="2116" w:type="dxa"/>
          </w:tcPr>
          <w:p w14:paraId="65F0B01A" w14:textId="77777777" w:rsidR="00FE2E21" w:rsidRDefault="00FE2E21" w:rsidP="00826BF3">
            <w:pPr>
              <w:spacing w:before="40" w:after="40"/>
              <w:rPr>
                <w:noProof/>
                <w:sz w:val="17"/>
                <w:lang w:eastAsia="en-GB"/>
              </w:rPr>
            </w:pPr>
            <w:r>
              <w:rPr>
                <w:b/>
                <w:sz w:val="17"/>
                <w:lang w:eastAsia="en-GB"/>
              </w:rPr>
              <w:t>Purpose:</w:t>
            </w:r>
          </w:p>
        </w:tc>
        <w:tc>
          <w:tcPr>
            <w:tcW w:w="7234" w:type="dxa"/>
          </w:tcPr>
          <w:p w14:paraId="5DA0CD41" w14:textId="77777777" w:rsidR="00FE2E21" w:rsidRDefault="00FE2E21" w:rsidP="00826BF3">
            <w:pPr>
              <w:pStyle w:val="TableText"/>
              <w:jc w:val="both"/>
              <w:rPr>
                <w:b/>
                <w:lang w:eastAsia="en-GB"/>
              </w:rPr>
            </w:pPr>
            <w:r>
              <w:t xml:space="preserve">To provide qualitative information on the policies and processes relating to the use of CRM. </w:t>
            </w:r>
          </w:p>
        </w:tc>
      </w:tr>
      <w:tr w:rsidR="00FE2E21" w14:paraId="77FD2BD6" w14:textId="77777777" w:rsidTr="00CC057B">
        <w:tc>
          <w:tcPr>
            <w:tcW w:w="2116" w:type="dxa"/>
          </w:tcPr>
          <w:p w14:paraId="7CE38674" w14:textId="77777777" w:rsidR="00FE2E21" w:rsidRDefault="00FE2E21" w:rsidP="00826BF3">
            <w:pPr>
              <w:spacing w:before="40" w:after="40"/>
              <w:rPr>
                <w:b/>
                <w:sz w:val="17"/>
                <w:lang w:eastAsia="en-GB"/>
              </w:rPr>
            </w:pPr>
            <w:r>
              <w:rPr>
                <w:b/>
                <w:sz w:val="17"/>
                <w:lang w:eastAsia="en-GB"/>
              </w:rPr>
              <w:t>Scope of application:</w:t>
            </w:r>
          </w:p>
        </w:tc>
        <w:tc>
          <w:tcPr>
            <w:tcW w:w="7234" w:type="dxa"/>
          </w:tcPr>
          <w:p w14:paraId="3FAA0135" w14:textId="77777777" w:rsidR="00FE2E21" w:rsidRDefault="00FE2E21" w:rsidP="00826BF3">
            <w:pPr>
              <w:spacing w:before="40" w:after="40"/>
              <w:rPr>
                <w:b/>
                <w:sz w:val="17"/>
                <w:lang w:eastAsia="en-GB"/>
              </w:rPr>
            </w:pPr>
            <w:r>
              <w:rPr>
                <w:rFonts w:eastAsia="新細明體"/>
                <w:sz w:val="17"/>
                <w:lang w:eastAsia="en-GB"/>
              </w:rPr>
              <w:t>The table is mandatory for all AIs</w:t>
            </w:r>
            <w:r>
              <w:t xml:space="preserve"> </w:t>
            </w:r>
            <w:r>
              <w:rPr>
                <w:rFonts w:eastAsia="新細明體"/>
                <w:sz w:val="17"/>
                <w:lang w:eastAsia="en-GB"/>
              </w:rPr>
              <w:t>incorporated in Hong Kong.</w:t>
            </w:r>
          </w:p>
        </w:tc>
      </w:tr>
      <w:tr w:rsidR="00FE2E21" w14:paraId="46216E35" w14:textId="77777777" w:rsidTr="00CC057B">
        <w:tc>
          <w:tcPr>
            <w:tcW w:w="2116" w:type="dxa"/>
          </w:tcPr>
          <w:p w14:paraId="4687ABED" w14:textId="77777777" w:rsidR="00FE2E21" w:rsidRDefault="00FE2E21" w:rsidP="00826BF3">
            <w:pPr>
              <w:spacing w:before="40" w:after="40"/>
              <w:rPr>
                <w:b/>
                <w:sz w:val="17"/>
                <w:lang w:eastAsia="en-GB"/>
              </w:rPr>
            </w:pPr>
            <w:r>
              <w:rPr>
                <w:b/>
                <w:sz w:val="17"/>
                <w:lang w:eastAsia="en-GB"/>
              </w:rPr>
              <w:t>Content:</w:t>
            </w:r>
          </w:p>
        </w:tc>
        <w:tc>
          <w:tcPr>
            <w:tcW w:w="7234" w:type="dxa"/>
          </w:tcPr>
          <w:p w14:paraId="5DDB6E40" w14:textId="77777777" w:rsidR="00FE2E21" w:rsidRDefault="00FE2E21" w:rsidP="00826BF3">
            <w:pPr>
              <w:spacing w:before="40" w:after="40"/>
              <w:rPr>
                <w:b/>
                <w:sz w:val="17"/>
                <w:lang w:eastAsia="en-GB"/>
              </w:rPr>
            </w:pPr>
            <w:r>
              <w:rPr>
                <w:sz w:val="17"/>
                <w:lang w:eastAsia="en-GB"/>
              </w:rPr>
              <w:t>Qualitative information.</w:t>
            </w:r>
          </w:p>
        </w:tc>
      </w:tr>
      <w:tr w:rsidR="00FE2E21" w14:paraId="12A4FA51" w14:textId="77777777" w:rsidTr="00CC057B">
        <w:tc>
          <w:tcPr>
            <w:tcW w:w="2116" w:type="dxa"/>
          </w:tcPr>
          <w:p w14:paraId="0B8DC2BF" w14:textId="77777777" w:rsidR="00FE2E21" w:rsidRDefault="00FE2E21" w:rsidP="00826BF3">
            <w:pPr>
              <w:spacing w:before="40" w:after="40"/>
              <w:rPr>
                <w:sz w:val="17"/>
                <w:lang w:eastAsia="en-GB"/>
              </w:rPr>
            </w:pPr>
            <w:r>
              <w:rPr>
                <w:b/>
                <w:sz w:val="17"/>
                <w:lang w:eastAsia="en-GB"/>
              </w:rPr>
              <w:t>Frequency:</w:t>
            </w:r>
          </w:p>
        </w:tc>
        <w:tc>
          <w:tcPr>
            <w:tcW w:w="7234" w:type="dxa"/>
          </w:tcPr>
          <w:p w14:paraId="5874C48B" w14:textId="77777777" w:rsidR="00FE2E21" w:rsidRDefault="00FE2E21" w:rsidP="00826BF3">
            <w:pPr>
              <w:pStyle w:val="TableText"/>
              <w:rPr>
                <w:lang w:eastAsia="en-GB"/>
              </w:rPr>
            </w:pPr>
            <w:r>
              <w:rPr>
                <w:lang w:eastAsia="en-GB"/>
              </w:rPr>
              <w:t>Annual.</w:t>
            </w:r>
          </w:p>
        </w:tc>
      </w:tr>
      <w:tr w:rsidR="00FE2E21" w14:paraId="387F182A" w14:textId="77777777" w:rsidTr="00CC057B">
        <w:tc>
          <w:tcPr>
            <w:tcW w:w="2116" w:type="dxa"/>
          </w:tcPr>
          <w:p w14:paraId="5E23A587" w14:textId="77777777" w:rsidR="00FE2E21" w:rsidRDefault="00FE2E21" w:rsidP="00826BF3">
            <w:pPr>
              <w:spacing w:before="40" w:after="40"/>
              <w:rPr>
                <w:sz w:val="17"/>
                <w:lang w:eastAsia="en-GB"/>
              </w:rPr>
            </w:pPr>
            <w:r>
              <w:rPr>
                <w:b/>
                <w:sz w:val="17"/>
                <w:lang w:eastAsia="en-GB"/>
              </w:rPr>
              <w:t>Format:</w:t>
            </w:r>
          </w:p>
        </w:tc>
        <w:tc>
          <w:tcPr>
            <w:tcW w:w="7234" w:type="dxa"/>
          </w:tcPr>
          <w:p w14:paraId="18921D6A" w14:textId="77777777" w:rsidR="00FE2E21" w:rsidRDefault="00FE2E21" w:rsidP="00826BF3">
            <w:pPr>
              <w:pStyle w:val="TableText"/>
              <w:rPr>
                <w:lang w:eastAsia="en-GB"/>
              </w:rPr>
            </w:pPr>
            <w:r>
              <w:rPr>
                <w:lang w:eastAsia="en-GB"/>
              </w:rPr>
              <w:t>Flexible.</w:t>
            </w:r>
          </w:p>
        </w:tc>
      </w:tr>
      <w:tr w:rsidR="00FE2E21" w14:paraId="6E713438" w14:textId="77777777" w:rsidTr="00CC057B">
        <w:tc>
          <w:tcPr>
            <w:tcW w:w="2116" w:type="dxa"/>
          </w:tcPr>
          <w:p w14:paraId="7ECEE6FC" w14:textId="77777777" w:rsidR="00FE2E21" w:rsidRDefault="00FE2E21" w:rsidP="00826BF3">
            <w:pPr>
              <w:spacing w:before="40" w:after="40"/>
              <w:rPr>
                <w:b/>
                <w:sz w:val="17"/>
                <w:lang w:eastAsia="en-GB"/>
              </w:rPr>
            </w:pPr>
            <w:r>
              <w:rPr>
                <w:b/>
                <w:sz w:val="17"/>
                <w:lang w:eastAsia="en-GB"/>
              </w:rPr>
              <w:t>Corresponding BDR section:</w:t>
            </w:r>
          </w:p>
        </w:tc>
        <w:tc>
          <w:tcPr>
            <w:tcW w:w="7234" w:type="dxa"/>
          </w:tcPr>
          <w:p w14:paraId="628048AE" w14:textId="77777777" w:rsidR="00FE2E21" w:rsidRDefault="00FE2E21" w:rsidP="00826BF3">
            <w:pPr>
              <w:pStyle w:val="TableText"/>
              <w:rPr>
                <w:lang w:eastAsia="en-GB"/>
              </w:rPr>
            </w:pPr>
            <w:r>
              <w:rPr>
                <w:lang w:eastAsia="en-GB"/>
              </w:rPr>
              <w:t>16K</w:t>
            </w:r>
          </w:p>
        </w:tc>
      </w:tr>
    </w:tbl>
    <w:p w14:paraId="0BC396F8" w14:textId="77777777" w:rsidR="00FE2E21" w:rsidRDefault="00FE2E21" w:rsidP="00B4195A">
      <w:pPr>
        <w:spacing w:before="120" w:after="120"/>
        <w:rPr>
          <w:sz w:val="22"/>
        </w:rPr>
      </w:pPr>
    </w:p>
    <w:tbl>
      <w:tblPr>
        <w:tblW w:w="9244" w:type="dxa"/>
        <w:jc w:val="center"/>
        <w:tblCellMar>
          <w:left w:w="70" w:type="dxa"/>
          <w:right w:w="70" w:type="dxa"/>
        </w:tblCellMar>
        <w:tblLook w:val="00A0" w:firstRow="1" w:lastRow="0" w:firstColumn="1" w:lastColumn="0" w:noHBand="0" w:noVBand="0"/>
      </w:tblPr>
      <w:tblGrid>
        <w:gridCol w:w="343"/>
        <w:gridCol w:w="8901"/>
      </w:tblGrid>
      <w:tr w:rsidR="00B4195A" w14:paraId="249C2297" w14:textId="77777777" w:rsidTr="005610E7">
        <w:trPr>
          <w:trHeight w:val="448"/>
          <w:jc w:val="center"/>
        </w:trPr>
        <w:tc>
          <w:tcPr>
            <w:tcW w:w="9241" w:type="dxa"/>
            <w:gridSpan w:val="2"/>
            <w:tcBorders>
              <w:top w:val="single" w:sz="4" w:space="0" w:color="auto"/>
              <w:bottom w:val="single" w:sz="4" w:space="0" w:color="auto"/>
            </w:tcBorders>
            <w:vAlign w:val="center"/>
          </w:tcPr>
          <w:p w14:paraId="1F47E801" w14:textId="77777777" w:rsidR="00B4195A" w:rsidRDefault="00B4195A" w:rsidP="00647044">
            <w:pPr>
              <w:widowControl w:val="0"/>
              <w:spacing w:before="40" w:after="40"/>
              <w:jc w:val="both"/>
              <w:rPr>
                <w:sz w:val="17"/>
                <w:szCs w:val="17"/>
              </w:rPr>
            </w:pPr>
            <w:r>
              <w:rPr>
                <w:sz w:val="17"/>
                <w:szCs w:val="17"/>
                <w:lang w:eastAsia="fr-FR"/>
              </w:rPr>
              <w:t>An AI should disclose the following information:</w:t>
            </w:r>
          </w:p>
        </w:tc>
      </w:tr>
      <w:tr w:rsidR="00B4195A" w14:paraId="6611D9EA" w14:textId="77777777" w:rsidTr="005610E7">
        <w:trPr>
          <w:trHeight w:val="318"/>
          <w:jc w:val="center"/>
        </w:trPr>
        <w:tc>
          <w:tcPr>
            <w:tcW w:w="343" w:type="dxa"/>
            <w:tcBorders>
              <w:top w:val="single" w:sz="4" w:space="0" w:color="auto"/>
              <w:bottom w:val="single" w:sz="4" w:space="0" w:color="auto"/>
            </w:tcBorders>
            <w:noWrap/>
          </w:tcPr>
          <w:p w14:paraId="14E7C57D" w14:textId="77777777" w:rsidR="00B4195A" w:rsidRDefault="00B4195A" w:rsidP="00647044">
            <w:pPr>
              <w:widowControl w:val="0"/>
              <w:spacing w:before="40" w:after="40"/>
              <w:rPr>
                <w:sz w:val="17"/>
                <w:szCs w:val="17"/>
              </w:rPr>
            </w:pPr>
            <w:r>
              <w:rPr>
                <w:sz w:val="17"/>
                <w:szCs w:val="17"/>
              </w:rPr>
              <w:t>(a)</w:t>
            </w:r>
          </w:p>
        </w:tc>
        <w:tc>
          <w:tcPr>
            <w:tcW w:w="8901" w:type="dxa"/>
            <w:tcBorders>
              <w:top w:val="single" w:sz="4" w:space="0" w:color="auto"/>
              <w:bottom w:val="single" w:sz="4" w:space="0" w:color="auto"/>
            </w:tcBorders>
            <w:noWrap/>
            <w:vAlign w:val="center"/>
          </w:tcPr>
          <w:p w14:paraId="1A8FFC97" w14:textId="47097F95" w:rsidR="00B4195A" w:rsidRDefault="001B54C7" w:rsidP="001A7C28">
            <w:pPr>
              <w:pStyle w:val="TableText"/>
              <w:numPr>
                <w:ilvl w:val="0"/>
                <w:numId w:val="8"/>
              </w:numPr>
              <w:jc w:val="both"/>
              <w:rPr>
                <w:noProof/>
                <w:lang w:eastAsia="en-GB"/>
              </w:rPr>
            </w:pPr>
            <w:r>
              <w:rPr>
                <w:noProof/>
                <w:lang w:eastAsia="en-GB"/>
              </w:rPr>
              <w:t>d</w:t>
            </w:r>
            <w:r w:rsidR="00B4195A">
              <w:rPr>
                <w:noProof/>
                <w:lang w:eastAsia="en-GB"/>
              </w:rPr>
              <w:t>escription of policies and procedures for netting of on- and off-balance sheet exposures;</w:t>
            </w:r>
          </w:p>
          <w:p w14:paraId="20D9FED4" w14:textId="45E3A613" w:rsidR="00B4195A" w:rsidRDefault="001B54C7" w:rsidP="001A7C28">
            <w:pPr>
              <w:pStyle w:val="TableText"/>
              <w:numPr>
                <w:ilvl w:val="0"/>
                <w:numId w:val="8"/>
              </w:numPr>
              <w:jc w:val="both"/>
              <w:rPr>
                <w:rFonts w:cs="Segoe UI"/>
                <w:color w:val="000000"/>
                <w:sz w:val="18"/>
                <w:szCs w:val="18"/>
                <w:lang w:eastAsia="fr-FR"/>
              </w:rPr>
            </w:pPr>
            <w:r>
              <w:rPr>
                <w:noProof/>
                <w:lang w:eastAsia="en-GB"/>
              </w:rPr>
              <w:t>a</w:t>
            </w:r>
            <w:r w:rsidR="00B4195A">
              <w:rPr>
                <w:noProof/>
                <w:lang w:eastAsia="en-GB"/>
              </w:rPr>
              <w:t>n indication of the extent to which the AI makes use of netting of on- and off-balance sheet exposures;</w:t>
            </w:r>
          </w:p>
        </w:tc>
      </w:tr>
      <w:tr w:rsidR="00B4195A" w14:paraId="524D0E46" w14:textId="77777777" w:rsidTr="005610E7">
        <w:trPr>
          <w:trHeight w:val="318"/>
          <w:jc w:val="center"/>
        </w:trPr>
        <w:tc>
          <w:tcPr>
            <w:tcW w:w="343" w:type="dxa"/>
            <w:tcBorders>
              <w:top w:val="single" w:sz="4" w:space="0" w:color="auto"/>
              <w:bottom w:val="single" w:sz="4" w:space="0" w:color="auto"/>
            </w:tcBorders>
            <w:noWrap/>
          </w:tcPr>
          <w:p w14:paraId="55E1CA1C" w14:textId="77777777" w:rsidR="00B4195A" w:rsidRDefault="00B4195A" w:rsidP="00647044">
            <w:pPr>
              <w:widowControl w:val="0"/>
              <w:spacing w:before="40" w:after="40"/>
              <w:rPr>
                <w:sz w:val="17"/>
                <w:szCs w:val="17"/>
              </w:rPr>
            </w:pPr>
            <w:r>
              <w:rPr>
                <w:sz w:val="17"/>
                <w:szCs w:val="17"/>
              </w:rPr>
              <w:t>(b)</w:t>
            </w:r>
          </w:p>
        </w:tc>
        <w:tc>
          <w:tcPr>
            <w:tcW w:w="8901" w:type="dxa"/>
            <w:tcBorders>
              <w:top w:val="single" w:sz="4" w:space="0" w:color="auto"/>
              <w:bottom w:val="single" w:sz="4" w:space="0" w:color="auto"/>
            </w:tcBorders>
            <w:noWrap/>
            <w:vAlign w:val="center"/>
          </w:tcPr>
          <w:p w14:paraId="521387C9" w14:textId="20104578" w:rsidR="00B4195A" w:rsidRDefault="001B54C7" w:rsidP="00523641">
            <w:pPr>
              <w:pStyle w:val="TableText"/>
              <w:jc w:val="both"/>
              <w:rPr>
                <w:rFonts w:cs="Segoe UI"/>
                <w:color w:val="000000"/>
                <w:sz w:val="18"/>
                <w:szCs w:val="18"/>
                <w:lang w:eastAsia="fr-FR"/>
              </w:rPr>
            </w:pPr>
            <w:r>
              <w:rPr>
                <w:noProof/>
                <w:lang w:eastAsia="en-GB"/>
              </w:rPr>
              <w:t>d</w:t>
            </w:r>
            <w:r w:rsidR="00B4195A">
              <w:rPr>
                <w:noProof/>
                <w:lang w:eastAsia="en-GB"/>
              </w:rPr>
              <w:t xml:space="preserve">escription of policies and processes for the </w:t>
            </w:r>
            <w:r w:rsidR="001B6FE9">
              <w:rPr>
                <w:noProof/>
                <w:lang w:eastAsia="en-GB"/>
              </w:rPr>
              <w:t>r</w:t>
            </w:r>
            <w:r w:rsidR="00B4195A">
              <w:rPr>
                <w:noProof/>
                <w:lang w:eastAsia="en-GB"/>
              </w:rPr>
              <w:t>evaluation and management of collateral; and</w:t>
            </w:r>
          </w:p>
        </w:tc>
      </w:tr>
      <w:tr w:rsidR="00B4195A" w14:paraId="6575BB14" w14:textId="77777777" w:rsidTr="005610E7">
        <w:trPr>
          <w:trHeight w:val="318"/>
          <w:jc w:val="center"/>
        </w:trPr>
        <w:tc>
          <w:tcPr>
            <w:tcW w:w="343" w:type="dxa"/>
            <w:tcBorders>
              <w:top w:val="single" w:sz="4" w:space="0" w:color="auto"/>
              <w:bottom w:val="single" w:sz="4" w:space="0" w:color="auto"/>
            </w:tcBorders>
            <w:noWrap/>
          </w:tcPr>
          <w:p w14:paraId="71296E9D" w14:textId="77777777" w:rsidR="00B4195A" w:rsidRDefault="00B4195A" w:rsidP="00647044">
            <w:pPr>
              <w:widowControl w:val="0"/>
              <w:spacing w:before="40" w:after="40"/>
              <w:rPr>
                <w:sz w:val="17"/>
                <w:szCs w:val="17"/>
              </w:rPr>
            </w:pPr>
            <w:r>
              <w:rPr>
                <w:sz w:val="17"/>
                <w:szCs w:val="17"/>
              </w:rPr>
              <w:t>(c)</w:t>
            </w:r>
          </w:p>
        </w:tc>
        <w:tc>
          <w:tcPr>
            <w:tcW w:w="8901" w:type="dxa"/>
            <w:tcBorders>
              <w:top w:val="single" w:sz="4" w:space="0" w:color="auto"/>
              <w:bottom w:val="single" w:sz="4" w:space="0" w:color="auto"/>
            </w:tcBorders>
            <w:noWrap/>
            <w:vAlign w:val="center"/>
          </w:tcPr>
          <w:p w14:paraId="5D857F69" w14:textId="4AE1A966" w:rsidR="00B4195A" w:rsidRDefault="001B54C7" w:rsidP="00647044">
            <w:pPr>
              <w:pStyle w:val="TableText"/>
              <w:jc w:val="both"/>
              <w:rPr>
                <w:rFonts w:cs="Segoe UI"/>
                <w:color w:val="000000"/>
                <w:sz w:val="18"/>
                <w:szCs w:val="18"/>
                <w:lang w:eastAsia="fr-FR"/>
              </w:rPr>
            </w:pPr>
            <w:r>
              <w:rPr>
                <w:noProof/>
                <w:lang w:eastAsia="en-GB"/>
              </w:rPr>
              <w:t>i</w:t>
            </w:r>
            <w:r w:rsidR="00B4195A">
              <w:rPr>
                <w:noProof/>
                <w:lang w:eastAsia="en-GB"/>
              </w:rPr>
              <w:t>nformation about market or credit risk concentrations under each form of CRM used by the AI (i.e. by type of guarantor, collateral and credit protection seller).</w:t>
            </w:r>
          </w:p>
        </w:tc>
      </w:tr>
    </w:tbl>
    <w:p w14:paraId="688C6BAB" w14:textId="39C72FDB" w:rsidR="00B4195A" w:rsidRDefault="00B4195A" w:rsidP="00B4195A">
      <w:pPr>
        <w:spacing w:before="40" w:after="40"/>
      </w:pPr>
    </w:p>
    <w:p w14:paraId="0516B01E" w14:textId="36329547" w:rsidR="00FE2E21" w:rsidRDefault="00FE2E21" w:rsidP="00B4195A">
      <w:pPr>
        <w:spacing w:before="40" w:after="40"/>
        <w:sectPr w:rsidR="00FE2E21">
          <w:footerReference w:type="default" r:id="rId46"/>
          <w:pgSz w:w="11906" w:h="16838" w:code="9"/>
          <w:pgMar w:top="1440" w:right="1797" w:bottom="1440" w:left="1797" w:header="851" w:footer="737" w:gutter="0"/>
          <w:cols w:space="425"/>
          <w:docGrid w:type="linesAndChars" w:linePitch="360"/>
        </w:sectPr>
      </w:pPr>
    </w:p>
    <w:p w14:paraId="42CE3EC4" w14:textId="2B918F94" w:rsidR="00BB6221" w:rsidRPr="00BB6221" w:rsidRDefault="00943C33" w:rsidP="00BB6221">
      <w:pPr>
        <w:pStyle w:val="Heading3"/>
        <w:ind w:left="-397"/>
      </w:pPr>
      <w:r>
        <w:lastRenderedPageBreak/>
        <w:t>Template CR3: Overview of recognized credit risk mitigation</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BB6221" w14:paraId="4ED92144" w14:textId="77777777" w:rsidTr="003848B8">
        <w:tc>
          <w:tcPr>
            <w:tcW w:w="2008" w:type="dxa"/>
          </w:tcPr>
          <w:p w14:paraId="5500F136" w14:textId="77777777" w:rsidR="00BB6221" w:rsidRDefault="00BB6221" w:rsidP="003848B8">
            <w:pPr>
              <w:spacing w:before="40" w:after="40"/>
              <w:rPr>
                <w:noProof/>
                <w:sz w:val="17"/>
                <w:lang w:eastAsia="en-GB"/>
              </w:rPr>
            </w:pPr>
            <w:r>
              <w:rPr>
                <w:b/>
                <w:sz w:val="17"/>
                <w:lang w:eastAsia="en-GB"/>
              </w:rPr>
              <w:t>Purpose:</w:t>
            </w:r>
            <w:r>
              <w:rPr>
                <w:sz w:val="17"/>
                <w:lang w:eastAsia="en-GB"/>
              </w:rPr>
              <w:t xml:space="preserve"> </w:t>
            </w:r>
          </w:p>
        </w:tc>
        <w:tc>
          <w:tcPr>
            <w:tcW w:w="7234" w:type="dxa"/>
          </w:tcPr>
          <w:p w14:paraId="2032905E" w14:textId="77777777" w:rsidR="00BB6221" w:rsidRDefault="00BB6221" w:rsidP="003848B8">
            <w:pPr>
              <w:pStyle w:val="TableText"/>
              <w:jc w:val="both"/>
              <w:rPr>
                <w:noProof/>
                <w:lang w:eastAsia="en-GB"/>
              </w:rPr>
            </w:pPr>
            <w:r>
              <w:t xml:space="preserve">To disclose the extent of credit risk exposures covered by different types of recognized </w:t>
            </w:r>
            <w:r>
              <w:rPr>
                <w:szCs w:val="17"/>
              </w:rPr>
              <w:t>CRM</w:t>
            </w:r>
            <w:r>
              <w:t>.</w:t>
            </w:r>
          </w:p>
        </w:tc>
      </w:tr>
      <w:tr w:rsidR="00BB6221" w14:paraId="6BB7B07B" w14:textId="77777777" w:rsidTr="003848B8">
        <w:tc>
          <w:tcPr>
            <w:tcW w:w="2008" w:type="dxa"/>
          </w:tcPr>
          <w:p w14:paraId="7ADE139A" w14:textId="77777777" w:rsidR="00BB6221" w:rsidRDefault="00BB6221" w:rsidP="003848B8">
            <w:pPr>
              <w:spacing w:before="40" w:after="40"/>
              <w:rPr>
                <w:b/>
                <w:sz w:val="17"/>
                <w:lang w:eastAsia="en-GB"/>
              </w:rPr>
            </w:pPr>
            <w:r>
              <w:rPr>
                <w:b/>
                <w:sz w:val="17"/>
                <w:lang w:eastAsia="en-GB"/>
              </w:rPr>
              <w:t xml:space="preserve">Scope of application: </w:t>
            </w:r>
          </w:p>
        </w:tc>
        <w:tc>
          <w:tcPr>
            <w:tcW w:w="7234" w:type="dxa"/>
          </w:tcPr>
          <w:p w14:paraId="34A2FC59" w14:textId="77777777" w:rsidR="00BB6221" w:rsidRDefault="00BB6221" w:rsidP="003848B8">
            <w:pPr>
              <w:spacing w:before="40" w:after="40"/>
              <w:jc w:val="both"/>
              <w:rPr>
                <w:rFonts w:eastAsia="新細明體"/>
                <w:b/>
                <w:sz w:val="17"/>
                <w:lang w:eastAsia="en-GB"/>
              </w:rPr>
            </w:pPr>
            <w:r>
              <w:rPr>
                <w:rFonts w:eastAsia="新細明體"/>
                <w:sz w:val="17"/>
                <w:lang w:eastAsia="en-GB"/>
              </w:rPr>
              <w:t>The template is mandatory for all AIs</w:t>
            </w:r>
            <w:r>
              <w:t xml:space="preserve"> </w:t>
            </w:r>
            <w:r>
              <w:rPr>
                <w:rFonts w:eastAsia="新細明體"/>
                <w:sz w:val="17"/>
                <w:lang w:eastAsia="en-GB"/>
              </w:rPr>
              <w:t>incorporated in Hong Kong.</w:t>
            </w:r>
          </w:p>
        </w:tc>
      </w:tr>
      <w:tr w:rsidR="00BB6221" w14:paraId="218F2893" w14:textId="77777777" w:rsidTr="003848B8">
        <w:tc>
          <w:tcPr>
            <w:tcW w:w="2008" w:type="dxa"/>
          </w:tcPr>
          <w:p w14:paraId="00FA49D6" w14:textId="77777777" w:rsidR="00BB6221" w:rsidRDefault="00BB6221" w:rsidP="003848B8">
            <w:pPr>
              <w:spacing w:before="40" w:after="40"/>
              <w:rPr>
                <w:b/>
                <w:sz w:val="17"/>
                <w:lang w:eastAsia="en-GB"/>
              </w:rPr>
            </w:pPr>
            <w:r>
              <w:rPr>
                <w:b/>
                <w:sz w:val="17"/>
                <w:lang w:eastAsia="en-GB"/>
              </w:rPr>
              <w:t xml:space="preserve">Content: </w:t>
            </w:r>
          </w:p>
        </w:tc>
        <w:tc>
          <w:tcPr>
            <w:tcW w:w="7234" w:type="dxa"/>
          </w:tcPr>
          <w:p w14:paraId="1CEF40A1" w14:textId="77777777" w:rsidR="00BB6221" w:rsidRDefault="00BB6221" w:rsidP="003848B8">
            <w:pPr>
              <w:spacing w:before="40" w:after="40"/>
              <w:jc w:val="both"/>
              <w:rPr>
                <w:rFonts w:eastAsia="新細明體"/>
                <w:b/>
                <w:sz w:val="17"/>
                <w:lang w:eastAsia="en-GB"/>
              </w:rPr>
            </w:pPr>
            <w:r>
              <w:rPr>
                <w:rFonts w:eastAsia="新細明體"/>
                <w:sz w:val="17"/>
                <w:lang w:eastAsia="en-GB"/>
              </w:rPr>
              <w:t>Carrying amounts that correspond to the values reported in financial statements but according to the scope of regulatory consolidation.  An AI should include recognized CRM (i.e. collateral, guarantees and credit derivative contracts) used to reduce its capital requirements and disclose all secured exposures that fall under the category of “loans” and “debt securities” (after any applicable haircuts and anticipated costs to realize the collateral), irrespective of whether the STC, BSC or IRB approach is used for RWA calculation.</w:t>
            </w:r>
          </w:p>
        </w:tc>
      </w:tr>
      <w:tr w:rsidR="00BB6221" w14:paraId="78593D66" w14:textId="77777777" w:rsidTr="003848B8">
        <w:tc>
          <w:tcPr>
            <w:tcW w:w="2008" w:type="dxa"/>
          </w:tcPr>
          <w:p w14:paraId="0C144458" w14:textId="77777777" w:rsidR="00BB6221" w:rsidRDefault="00BB6221" w:rsidP="003848B8">
            <w:pPr>
              <w:spacing w:before="40" w:after="40"/>
              <w:rPr>
                <w:sz w:val="17"/>
                <w:lang w:eastAsia="en-GB"/>
              </w:rPr>
            </w:pPr>
            <w:r>
              <w:rPr>
                <w:b/>
                <w:sz w:val="17"/>
                <w:lang w:eastAsia="en-GB"/>
              </w:rPr>
              <w:t>Frequency:</w:t>
            </w:r>
            <w:r>
              <w:rPr>
                <w:sz w:val="17"/>
                <w:lang w:eastAsia="en-GB"/>
              </w:rPr>
              <w:t xml:space="preserve"> </w:t>
            </w:r>
          </w:p>
        </w:tc>
        <w:tc>
          <w:tcPr>
            <w:tcW w:w="7234" w:type="dxa"/>
          </w:tcPr>
          <w:p w14:paraId="008E90E4" w14:textId="77777777" w:rsidR="00BB6221" w:rsidRDefault="00BB6221" w:rsidP="003848B8">
            <w:pPr>
              <w:pStyle w:val="TableText"/>
              <w:jc w:val="both"/>
              <w:rPr>
                <w:lang w:eastAsia="en-GB"/>
              </w:rPr>
            </w:pPr>
            <w:r>
              <w:rPr>
                <w:lang w:eastAsia="en-GB"/>
              </w:rPr>
              <w:t>Semi-annual.</w:t>
            </w:r>
          </w:p>
        </w:tc>
      </w:tr>
      <w:tr w:rsidR="00BB6221" w14:paraId="08AF5001" w14:textId="77777777" w:rsidTr="003848B8">
        <w:tc>
          <w:tcPr>
            <w:tcW w:w="2008" w:type="dxa"/>
          </w:tcPr>
          <w:p w14:paraId="12956DF4" w14:textId="77777777" w:rsidR="00BB6221" w:rsidRDefault="00BB6221" w:rsidP="003848B8">
            <w:pPr>
              <w:spacing w:before="40" w:after="40"/>
              <w:rPr>
                <w:sz w:val="17"/>
                <w:lang w:eastAsia="en-GB"/>
              </w:rPr>
            </w:pPr>
            <w:r>
              <w:rPr>
                <w:b/>
                <w:sz w:val="17"/>
                <w:lang w:eastAsia="en-GB"/>
              </w:rPr>
              <w:t>Format:</w:t>
            </w:r>
            <w:r>
              <w:rPr>
                <w:sz w:val="17"/>
                <w:lang w:eastAsia="en-GB"/>
              </w:rPr>
              <w:t xml:space="preserve"> </w:t>
            </w:r>
          </w:p>
        </w:tc>
        <w:tc>
          <w:tcPr>
            <w:tcW w:w="7234" w:type="dxa"/>
          </w:tcPr>
          <w:p w14:paraId="09A7E2AA" w14:textId="77777777" w:rsidR="00BB6221" w:rsidRDefault="00BB6221" w:rsidP="003848B8">
            <w:pPr>
              <w:pStyle w:val="TableText"/>
              <w:jc w:val="both"/>
              <w:rPr>
                <w:lang w:eastAsia="en-GB"/>
              </w:rPr>
            </w:pPr>
            <w:r>
              <w:rPr>
                <w:lang w:eastAsia="en-GB"/>
              </w:rPr>
              <w:t xml:space="preserve">Fixed.  Where an AI is unable to categorize its exposures secured by recognized collateral, recognized guarantees or </w:t>
            </w:r>
            <w:r>
              <w:rPr>
                <w:rFonts w:cs="Segoe UI"/>
                <w:bCs/>
                <w:szCs w:val="17"/>
                <w:lang w:eastAsia="it-IT"/>
              </w:rPr>
              <w:t>recognized</w:t>
            </w:r>
            <w:r>
              <w:rPr>
                <w:szCs w:val="17"/>
              </w:rPr>
              <w:t xml:space="preserve"> </w:t>
            </w:r>
            <w:r>
              <w:rPr>
                <w:lang w:eastAsia="en-GB"/>
              </w:rPr>
              <w:t>credit derivative contracts into “loans” and “debt securities”, it may either (i) merge two corresponding cells, or (ii) divide the amount by the pro-rata weight of gross carrying amounts.  In such case the AI should explain which method has been used.  Where an exposure benefits from multiple forms of recognized CRM, the exposure value should be allocated to each form by order of priority based on the forms of recognized CRM which the AI would apply in the event of loss</w:t>
            </w:r>
            <w:r>
              <w:rPr>
                <w:rFonts w:eastAsia="新細明體"/>
                <w:lang w:eastAsia="en-GB"/>
              </w:rPr>
              <w:t>.</w:t>
            </w:r>
          </w:p>
        </w:tc>
      </w:tr>
      <w:tr w:rsidR="00BB6221" w14:paraId="7995277E" w14:textId="77777777" w:rsidTr="003848B8">
        <w:tc>
          <w:tcPr>
            <w:tcW w:w="2008" w:type="dxa"/>
          </w:tcPr>
          <w:p w14:paraId="489CEB56" w14:textId="77777777" w:rsidR="00BB6221" w:rsidRDefault="00BB6221" w:rsidP="003848B8">
            <w:pPr>
              <w:spacing w:before="40" w:after="40"/>
              <w:rPr>
                <w:b/>
                <w:sz w:val="17"/>
                <w:lang w:eastAsia="en-GB"/>
              </w:rPr>
            </w:pPr>
            <w:r>
              <w:rPr>
                <w:rFonts w:eastAsia="新細明體"/>
                <w:b/>
                <w:sz w:val="17"/>
                <w:szCs w:val="17"/>
                <w:lang w:eastAsia="en-GB"/>
              </w:rPr>
              <w:t>Accompanying narrative</w:t>
            </w:r>
            <w:r>
              <w:rPr>
                <w:rFonts w:eastAsia="新細明體"/>
                <w:sz w:val="17"/>
                <w:szCs w:val="17"/>
                <w:lang w:eastAsia="en-GB"/>
              </w:rPr>
              <w:t>:</w:t>
            </w:r>
          </w:p>
        </w:tc>
        <w:tc>
          <w:tcPr>
            <w:tcW w:w="7234" w:type="dxa"/>
          </w:tcPr>
          <w:p w14:paraId="46FD2C31" w14:textId="77777777" w:rsidR="00BB6221" w:rsidRDefault="00BB6221" w:rsidP="003848B8">
            <w:pPr>
              <w:pStyle w:val="TableText"/>
              <w:jc w:val="both"/>
              <w:rPr>
                <w:noProof/>
                <w:lang w:eastAsia="en-GB"/>
              </w:rPr>
            </w:pPr>
            <w:r>
              <w:rPr>
                <w:szCs w:val="17"/>
                <w:lang w:eastAsia="en-GB"/>
              </w:rPr>
              <w:t>An AI should supplement the template with a narrative commentary to explain any material movements in the current reporting period and the key drivers of such movements.</w:t>
            </w:r>
            <w:r>
              <w:t xml:space="preserve">  </w:t>
            </w:r>
            <w:r>
              <w:rPr>
                <w:szCs w:val="17"/>
                <w:lang w:eastAsia="en-GB"/>
              </w:rPr>
              <w:t>An AI may disclose any over-collateralisation of exposures using the accompanying narrative.</w:t>
            </w:r>
          </w:p>
        </w:tc>
      </w:tr>
      <w:tr w:rsidR="00BB6221" w14:paraId="01798F2E" w14:textId="77777777" w:rsidTr="003848B8">
        <w:tc>
          <w:tcPr>
            <w:tcW w:w="2008" w:type="dxa"/>
          </w:tcPr>
          <w:p w14:paraId="6A1908DA" w14:textId="77777777" w:rsidR="00BB6221" w:rsidRDefault="00BB6221" w:rsidP="003848B8">
            <w:pPr>
              <w:spacing w:before="40" w:after="40"/>
              <w:rPr>
                <w:rFonts w:eastAsia="新細明體"/>
                <w:b/>
                <w:sz w:val="17"/>
                <w:szCs w:val="17"/>
                <w:lang w:eastAsia="en-GB"/>
              </w:rPr>
            </w:pPr>
            <w:r>
              <w:rPr>
                <w:rFonts w:eastAsia="新細明體"/>
                <w:b/>
                <w:sz w:val="17"/>
                <w:szCs w:val="17"/>
                <w:lang w:eastAsia="en-GB"/>
              </w:rPr>
              <w:t>Corresponding BDR section:</w:t>
            </w:r>
          </w:p>
        </w:tc>
        <w:tc>
          <w:tcPr>
            <w:tcW w:w="7234" w:type="dxa"/>
          </w:tcPr>
          <w:p w14:paraId="5D758B9B" w14:textId="77777777" w:rsidR="00BB6221" w:rsidRDefault="00BB6221" w:rsidP="003848B8">
            <w:pPr>
              <w:pStyle w:val="TableText"/>
              <w:jc w:val="both"/>
              <w:rPr>
                <w:szCs w:val="17"/>
                <w:lang w:eastAsia="en-GB"/>
              </w:rPr>
            </w:pPr>
            <w:r>
              <w:rPr>
                <w:szCs w:val="17"/>
                <w:lang w:eastAsia="en-GB"/>
              </w:rPr>
              <w:t>16L</w:t>
            </w:r>
          </w:p>
        </w:tc>
      </w:tr>
    </w:tbl>
    <w:p w14:paraId="2F769155" w14:textId="77777777" w:rsidR="00BB6221" w:rsidRDefault="00BB6221" w:rsidP="00BB6221">
      <w:pPr>
        <w:spacing w:before="120" w:after="120"/>
        <w:rPr>
          <w:sz w:val="22"/>
        </w:rPr>
      </w:pPr>
    </w:p>
    <w:tbl>
      <w:tblPr>
        <w:tblW w:w="9214" w:type="dxa"/>
        <w:tblInd w:w="-459"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ayout w:type="fixed"/>
        <w:tblLook w:val="00A0" w:firstRow="1" w:lastRow="0" w:firstColumn="1" w:lastColumn="0" w:noHBand="0" w:noVBand="0"/>
      </w:tblPr>
      <w:tblGrid>
        <w:gridCol w:w="366"/>
        <w:gridCol w:w="1761"/>
        <w:gridCol w:w="1417"/>
        <w:gridCol w:w="1276"/>
        <w:gridCol w:w="1559"/>
        <w:gridCol w:w="1417"/>
        <w:gridCol w:w="1418"/>
      </w:tblGrid>
      <w:tr w:rsidR="00BB6221" w14:paraId="0805051B" w14:textId="77777777" w:rsidTr="003848B8">
        <w:trPr>
          <w:cantSplit/>
          <w:tblHeader/>
        </w:trPr>
        <w:tc>
          <w:tcPr>
            <w:tcW w:w="366" w:type="dxa"/>
            <w:tcBorders>
              <w:top w:val="nil"/>
              <w:left w:val="nil"/>
              <w:bottom w:val="nil"/>
              <w:right w:val="nil"/>
            </w:tcBorders>
          </w:tcPr>
          <w:p w14:paraId="72B23781" w14:textId="77777777" w:rsidR="00BB6221" w:rsidRDefault="00BB6221" w:rsidP="003848B8">
            <w:pPr>
              <w:keepNext/>
              <w:snapToGrid w:val="0"/>
              <w:spacing w:before="40" w:after="40"/>
              <w:rPr>
                <w:rFonts w:cs="Segoe UI"/>
                <w:sz w:val="17"/>
                <w:lang w:eastAsia="en-GB"/>
              </w:rPr>
            </w:pPr>
          </w:p>
        </w:tc>
        <w:tc>
          <w:tcPr>
            <w:tcW w:w="1761" w:type="dxa"/>
            <w:tcBorders>
              <w:top w:val="nil"/>
              <w:left w:val="nil"/>
              <w:bottom w:val="nil"/>
              <w:right w:val="single" w:sz="4" w:space="0" w:color="auto"/>
            </w:tcBorders>
            <w:vAlign w:val="center"/>
          </w:tcPr>
          <w:p w14:paraId="3A083C19" w14:textId="77777777" w:rsidR="00BB6221" w:rsidRDefault="00BB6221" w:rsidP="003848B8">
            <w:pPr>
              <w:keepNext/>
              <w:snapToGrid w:val="0"/>
              <w:spacing w:before="40" w:after="40"/>
              <w:rPr>
                <w:rFonts w:cs="Segoe UI"/>
                <w:sz w:val="17"/>
                <w:lang w:eastAsia="en-GB"/>
              </w:rPr>
            </w:pPr>
          </w:p>
        </w:tc>
        <w:tc>
          <w:tcPr>
            <w:tcW w:w="1417" w:type="dxa"/>
            <w:tcBorders>
              <w:top w:val="single" w:sz="4" w:space="0" w:color="auto"/>
              <w:left w:val="single" w:sz="4" w:space="0" w:color="auto"/>
              <w:bottom w:val="single" w:sz="4" w:space="0" w:color="auto"/>
              <w:right w:val="single" w:sz="4" w:space="0" w:color="auto"/>
            </w:tcBorders>
            <w:vAlign w:val="center"/>
          </w:tcPr>
          <w:p w14:paraId="68F6606C" w14:textId="77777777" w:rsidR="00BB6221" w:rsidRDefault="00BB6221" w:rsidP="003848B8">
            <w:pPr>
              <w:snapToGrid w:val="0"/>
              <w:spacing w:before="40" w:after="40"/>
              <w:jc w:val="center"/>
              <w:rPr>
                <w:rFonts w:cs="Segoe UI"/>
                <w:bCs/>
                <w:sz w:val="17"/>
                <w:szCs w:val="17"/>
                <w:lang w:eastAsia="it-IT"/>
              </w:rPr>
            </w:pPr>
            <w:r>
              <w:rPr>
                <w:rFonts w:cs="Segoe UI"/>
                <w:bCs/>
                <w:sz w:val="17"/>
                <w:szCs w:val="17"/>
                <w:lang w:eastAsia="it-IT"/>
              </w:rPr>
              <w:t>(a)</w:t>
            </w:r>
          </w:p>
        </w:tc>
        <w:tc>
          <w:tcPr>
            <w:tcW w:w="1276" w:type="dxa"/>
            <w:tcBorders>
              <w:top w:val="single" w:sz="4" w:space="0" w:color="auto"/>
              <w:left w:val="single" w:sz="4" w:space="0" w:color="auto"/>
              <w:bottom w:val="single" w:sz="4" w:space="0" w:color="auto"/>
              <w:right w:val="single" w:sz="4" w:space="0" w:color="auto"/>
            </w:tcBorders>
          </w:tcPr>
          <w:p w14:paraId="4EDE0B2A" w14:textId="698D7B7C" w:rsidR="00BB6221" w:rsidRDefault="00BB6221" w:rsidP="003848B8">
            <w:pPr>
              <w:snapToGrid w:val="0"/>
              <w:spacing w:before="40" w:after="40"/>
              <w:jc w:val="center"/>
              <w:rPr>
                <w:rFonts w:cs="Segoe UI"/>
                <w:bCs/>
                <w:sz w:val="17"/>
                <w:szCs w:val="17"/>
                <w:lang w:eastAsia="it-IT"/>
              </w:rPr>
            </w:pPr>
            <w:r>
              <w:rPr>
                <w:rFonts w:cs="Segoe UI"/>
                <w:bCs/>
                <w:sz w:val="17"/>
                <w:szCs w:val="17"/>
                <w:lang w:eastAsia="it-IT"/>
              </w:rPr>
              <w:t>(b)</w:t>
            </w:r>
          </w:p>
        </w:tc>
        <w:tc>
          <w:tcPr>
            <w:tcW w:w="1559" w:type="dxa"/>
            <w:tcBorders>
              <w:top w:val="single" w:sz="4" w:space="0" w:color="auto"/>
              <w:left w:val="single" w:sz="4" w:space="0" w:color="auto"/>
              <w:bottom w:val="single" w:sz="4" w:space="0" w:color="auto"/>
              <w:right w:val="single" w:sz="4" w:space="0" w:color="auto"/>
            </w:tcBorders>
            <w:vAlign w:val="center"/>
          </w:tcPr>
          <w:p w14:paraId="375F34BB" w14:textId="73C745E5" w:rsidR="00BB6221" w:rsidRDefault="00BB6221" w:rsidP="003848B8">
            <w:pPr>
              <w:snapToGrid w:val="0"/>
              <w:spacing w:before="40" w:after="40"/>
              <w:jc w:val="center"/>
              <w:rPr>
                <w:rFonts w:cs="Segoe UI"/>
                <w:bCs/>
                <w:sz w:val="17"/>
                <w:szCs w:val="17"/>
                <w:lang w:eastAsia="it-IT"/>
              </w:rPr>
            </w:pPr>
            <w:r>
              <w:rPr>
                <w:rFonts w:cs="Segoe UI"/>
                <w:bCs/>
                <w:sz w:val="17"/>
                <w:szCs w:val="17"/>
                <w:lang w:eastAsia="it-IT"/>
              </w:rPr>
              <w:t>(c)</w:t>
            </w:r>
          </w:p>
        </w:tc>
        <w:tc>
          <w:tcPr>
            <w:tcW w:w="1417" w:type="dxa"/>
            <w:tcBorders>
              <w:top w:val="single" w:sz="4" w:space="0" w:color="auto"/>
              <w:left w:val="single" w:sz="4" w:space="0" w:color="auto"/>
              <w:bottom w:val="single" w:sz="4" w:space="0" w:color="auto"/>
              <w:right w:val="single" w:sz="4" w:space="0" w:color="auto"/>
            </w:tcBorders>
            <w:vAlign w:val="center"/>
          </w:tcPr>
          <w:p w14:paraId="5A76C80B" w14:textId="77777777" w:rsidR="00BB6221" w:rsidRDefault="00BB6221" w:rsidP="003848B8">
            <w:pPr>
              <w:snapToGrid w:val="0"/>
              <w:spacing w:before="40" w:after="40"/>
              <w:jc w:val="center"/>
              <w:rPr>
                <w:rFonts w:cs="Segoe UI"/>
                <w:bCs/>
                <w:sz w:val="17"/>
                <w:szCs w:val="17"/>
                <w:lang w:eastAsia="it-IT"/>
              </w:rPr>
            </w:pPr>
            <w:r>
              <w:rPr>
                <w:rFonts w:cs="Segoe UI"/>
                <w:bCs/>
                <w:sz w:val="17"/>
                <w:szCs w:val="17"/>
                <w:lang w:eastAsia="it-IT"/>
              </w:rPr>
              <w:t>(d)</w:t>
            </w:r>
          </w:p>
        </w:tc>
        <w:tc>
          <w:tcPr>
            <w:tcW w:w="1418" w:type="dxa"/>
            <w:tcBorders>
              <w:top w:val="single" w:sz="4" w:space="0" w:color="auto"/>
              <w:left w:val="single" w:sz="4" w:space="0" w:color="auto"/>
              <w:bottom w:val="single" w:sz="4" w:space="0" w:color="auto"/>
              <w:right w:val="single" w:sz="4" w:space="0" w:color="auto"/>
            </w:tcBorders>
            <w:vAlign w:val="center"/>
          </w:tcPr>
          <w:p w14:paraId="19E52D3C" w14:textId="3ED15A14" w:rsidR="00BB6221" w:rsidRDefault="00BB6221" w:rsidP="003848B8">
            <w:pPr>
              <w:snapToGrid w:val="0"/>
              <w:spacing w:before="40" w:after="40"/>
              <w:jc w:val="center"/>
              <w:rPr>
                <w:rFonts w:cs="Segoe UI"/>
                <w:bCs/>
                <w:sz w:val="17"/>
                <w:szCs w:val="17"/>
                <w:lang w:eastAsia="it-IT"/>
              </w:rPr>
            </w:pPr>
            <w:r>
              <w:rPr>
                <w:rFonts w:cs="Segoe UI"/>
                <w:bCs/>
                <w:sz w:val="17"/>
                <w:szCs w:val="17"/>
                <w:lang w:eastAsia="it-IT"/>
              </w:rPr>
              <w:t>(e)</w:t>
            </w:r>
          </w:p>
        </w:tc>
      </w:tr>
      <w:tr w:rsidR="00BB6221" w14:paraId="352D5A79" w14:textId="77777777" w:rsidTr="003848B8">
        <w:trPr>
          <w:cantSplit/>
          <w:tblHeader/>
        </w:trPr>
        <w:tc>
          <w:tcPr>
            <w:tcW w:w="366" w:type="dxa"/>
            <w:tcBorders>
              <w:top w:val="nil"/>
              <w:left w:val="nil"/>
              <w:bottom w:val="single" w:sz="4" w:space="0" w:color="auto"/>
              <w:right w:val="nil"/>
            </w:tcBorders>
          </w:tcPr>
          <w:p w14:paraId="43A19A06" w14:textId="77777777" w:rsidR="00BB6221" w:rsidRDefault="00BB6221" w:rsidP="003848B8">
            <w:pPr>
              <w:keepNext/>
              <w:snapToGrid w:val="0"/>
              <w:rPr>
                <w:rFonts w:cs="Segoe UI"/>
                <w:sz w:val="17"/>
                <w:lang w:eastAsia="en-GB"/>
              </w:rPr>
            </w:pPr>
          </w:p>
        </w:tc>
        <w:tc>
          <w:tcPr>
            <w:tcW w:w="1761" w:type="dxa"/>
            <w:tcBorders>
              <w:top w:val="nil"/>
              <w:left w:val="nil"/>
              <w:bottom w:val="single" w:sz="4" w:space="0" w:color="auto"/>
              <w:right w:val="single" w:sz="4" w:space="0" w:color="auto"/>
            </w:tcBorders>
            <w:vAlign w:val="center"/>
          </w:tcPr>
          <w:p w14:paraId="299EC161" w14:textId="77777777" w:rsidR="00BB6221" w:rsidRDefault="00BB6221" w:rsidP="003848B8">
            <w:pPr>
              <w:keepNext/>
              <w:snapToGrid w:val="0"/>
              <w:rPr>
                <w:rFonts w:cs="Segoe UI"/>
                <w:sz w:val="17"/>
                <w:lang w:eastAsia="en-GB"/>
              </w:rPr>
            </w:pPr>
          </w:p>
        </w:tc>
        <w:tc>
          <w:tcPr>
            <w:tcW w:w="1417" w:type="dxa"/>
            <w:tcBorders>
              <w:top w:val="single" w:sz="4" w:space="0" w:color="auto"/>
              <w:left w:val="single" w:sz="4" w:space="0" w:color="auto"/>
              <w:bottom w:val="single" w:sz="4" w:space="0" w:color="auto"/>
              <w:right w:val="single" w:sz="4" w:space="0" w:color="auto"/>
            </w:tcBorders>
            <w:vAlign w:val="center"/>
          </w:tcPr>
          <w:p w14:paraId="4A6D80FA" w14:textId="77777777" w:rsidR="00BB6221" w:rsidRDefault="00BB6221" w:rsidP="003848B8">
            <w:pPr>
              <w:snapToGrid w:val="0"/>
              <w:jc w:val="center"/>
              <w:rPr>
                <w:rFonts w:cs="Segoe UI"/>
                <w:bCs/>
                <w:sz w:val="17"/>
                <w:szCs w:val="17"/>
                <w:lang w:eastAsia="it-IT"/>
              </w:rPr>
            </w:pPr>
            <w:r>
              <w:rPr>
                <w:rFonts w:cs="Segoe UI"/>
                <w:bCs/>
                <w:sz w:val="17"/>
                <w:szCs w:val="17"/>
                <w:lang w:eastAsia="it-IT"/>
              </w:rPr>
              <w:t>Exposures unsecured: carrying amount</w:t>
            </w:r>
          </w:p>
        </w:tc>
        <w:tc>
          <w:tcPr>
            <w:tcW w:w="1276" w:type="dxa"/>
            <w:tcBorders>
              <w:top w:val="single" w:sz="4" w:space="0" w:color="auto"/>
              <w:left w:val="single" w:sz="4" w:space="0" w:color="auto"/>
              <w:bottom w:val="single" w:sz="4" w:space="0" w:color="auto"/>
              <w:right w:val="single" w:sz="4" w:space="0" w:color="auto"/>
            </w:tcBorders>
            <w:vAlign w:val="center"/>
          </w:tcPr>
          <w:p w14:paraId="65F9CF62" w14:textId="77777777" w:rsidR="00BB6221" w:rsidRDefault="00BB6221" w:rsidP="003848B8">
            <w:pPr>
              <w:snapToGrid w:val="0"/>
              <w:jc w:val="center"/>
              <w:rPr>
                <w:rFonts w:cs="Segoe UI"/>
                <w:bCs/>
                <w:sz w:val="17"/>
                <w:szCs w:val="17"/>
                <w:lang w:eastAsia="it-IT"/>
              </w:rPr>
            </w:pPr>
            <w:r>
              <w:rPr>
                <w:rFonts w:cs="Segoe UI"/>
                <w:bCs/>
                <w:sz w:val="17"/>
                <w:szCs w:val="17"/>
                <w:lang w:eastAsia="it-IT"/>
              </w:rPr>
              <w:t>Exposures to be secured</w:t>
            </w:r>
          </w:p>
        </w:tc>
        <w:tc>
          <w:tcPr>
            <w:tcW w:w="1559" w:type="dxa"/>
            <w:tcBorders>
              <w:top w:val="single" w:sz="4" w:space="0" w:color="auto"/>
              <w:left w:val="single" w:sz="4" w:space="0" w:color="auto"/>
              <w:bottom w:val="single" w:sz="4" w:space="0" w:color="auto"/>
              <w:right w:val="single" w:sz="4" w:space="0" w:color="auto"/>
            </w:tcBorders>
            <w:vAlign w:val="center"/>
          </w:tcPr>
          <w:p w14:paraId="3B95D744" w14:textId="77777777" w:rsidR="00BB6221" w:rsidRDefault="00BB6221" w:rsidP="003848B8">
            <w:pPr>
              <w:snapToGrid w:val="0"/>
              <w:jc w:val="center"/>
              <w:rPr>
                <w:rFonts w:cs="Segoe UI"/>
                <w:bCs/>
                <w:sz w:val="17"/>
                <w:szCs w:val="17"/>
                <w:lang w:eastAsia="it-IT"/>
              </w:rPr>
            </w:pPr>
            <w:r>
              <w:rPr>
                <w:rFonts w:cs="Segoe UI"/>
                <w:bCs/>
                <w:sz w:val="17"/>
                <w:szCs w:val="17"/>
                <w:lang w:eastAsia="it-IT"/>
              </w:rPr>
              <w:t>Exposures secured by recognized collateral</w:t>
            </w:r>
          </w:p>
        </w:tc>
        <w:tc>
          <w:tcPr>
            <w:tcW w:w="1417" w:type="dxa"/>
            <w:tcBorders>
              <w:top w:val="single" w:sz="4" w:space="0" w:color="auto"/>
              <w:left w:val="single" w:sz="4" w:space="0" w:color="auto"/>
              <w:bottom w:val="single" w:sz="4" w:space="0" w:color="auto"/>
              <w:right w:val="single" w:sz="4" w:space="0" w:color="auto"/>
            </w:tcBorders>
            <w:vAlign w:val="center"/>
          </w:tcPr>
          <w:p w14:paraId="7E701E6C" w14:textId="77777777" w:rsidR="00BB6221" w:rsidRDefault="00BB6221" w:rsidP="003848B8">
            <w:pPr>
              <w:snapToGrid w:val="0"/>
              <w:jc w:val="center"/>
              <w:rPr>
                <w:rFonts w:cs="Segoe UI"/>
                <w:bCs/>
                <w:sz w:val="17"/>
                <w:szCs w:val="17"/>
                <w:lang w:eastAsia="it-IT"/>
              </w:rPr>
            </w:pPr>
            <w:r>
              <w:rPr>
                <w:rFonts w:cs="Segoe UI"/>
                <w:bCs/>
                <w:sz w:val="17"/>
                <w:szCs w:val="17"/>
                <w:lang w:eastAsia="it-IT"/>
              </w:rPr>
              <w:t>Exposures secured by recognized guarantees</w:t>
            </w:r>
          </w:p>
        </w:tc>
        <w:tc>
          <w:tcPr>
            <w:tcW w:w="1418" w:type="dxa"/>
            <w:tcBorders>
              <w:top w:val="single" w:sz="4" w:space="0" w:color="auto"/>
              <w:left w:val="single" w:sz="4" w:space="0" w:color="auto"/>
              <w:bottom w:val="single" w:sz="4" w:space="0" w:color="auto"/>
              <w:right w:val="single" w:sz="4" w:space="0" w:color="auto"/>
            </w:tcBorders>
            <w:vAlign w:val="center"/>
          </w:tcPr>
          <w:p w14:paraId="2E4C0375" w14:textId="77777777" w:rsidR="00BB6221" w:rsidRDefault="00BB6221" w:rsidP="003848B8">
            <w:pPr>
              <w:snapToGrid w:val="0"/>
              <w:jc w:val="center"/>
              <w:rPr>
                <w:rFonts w:cs="Segoe UI"/>
                <w:bCs/>
                <w:sz w:val="17"/>
                <w:szCs w:val="17"/>
                <w:lang w:eastAsia="it-IT"/>
              </w:rPr>
            </w:pPr>
            <w:r>
              <w:rPr>
                <w:rFonts w:cs="Segoe UI"/>
                <w:bCs/>
                <w:sz w:val="17"/>
                <w:szCs w:val="17"/>
                <w:lang w:eastAsia="it-IT"/>
              </w:rPr>
              <w:t>Exposures secured by recognized credit derivative contracts</w:t>
            </w:r>
          </w:p>
        </w:tc>
      </w:tr>
      <w:tr w:rsidR="00BB6221" w14:paraId="601C8010" w14:textId="77777777" w:rsidTr="003848B8">
        <w:trPr>
          <w:cantSplit/>
        </w:trPr>
        <w:tc>
          <w:tcPr>
            <w:tcW w:w="366" w:type="dxa"/>
            <w:tcBorders>
              <w:top w:val="single" w:sz="4" w:space="0" w:color="auto"/>
              <w:left w:val="nil"/>
              <w:right w:val="single" w:sz="4" w:space="0" w:color="auto"/>
            </w:tcBorders>
          </w:tcPr>
          <w:p w14:paraId="27F4ABED" w14:textId="77777777" w:rsidR="00BB6221" w:rsidRDefault="00BB6221" w:rsidP="003848B8">
            <w:pPr>
              <w:keepNext/>
              <w:tabs>
                <w:tab w:val="left" w:pos="397"/>
                <w:tab w:val="left" w:pos="794"/>
                <w:tab w:val="left" w:pos="1191"/>
              </w:tabs>
              <w:snapToGrid w:val="0"/>
              <w:spacing w:before="20" w:after="20"/>
              <w:rPr>
                <w:rFonts w:cs="Segoe UI"/>
                <w:sz w:val="18"/>
                <w:szCs w:val="18"/>
                <w:lang w:eastAsia="en-GB"/>
              </w:rPr>
            </w:pPr>
            <w:r>
              <w:rPr>
                <w:rFonts w:cs="Segoe UI"/>
                <w:sz w:val="18"/>
                <w:szCs w:val="18"/>
                <w:lang w:eastAsia="en-GB"/>
              </w:rPr>
              <w:t>1</w:t>
            </w:r>
          </w:p>
        </w:tc>
        <w:tc>
          <w:tcPr>
            <w:tcW w:w="1761" w:type="dxa"/>
            <w:tcBorders>
              <w:top w:val="single" w:sz="4" w:space="0" w:color="auto"/>
              <w:left w:val="single" w:sz="4" w:space="0" w:color="auto"/>
              <w:right w:val="single" w:sz="4" w:space="0" w:color="auto"/>
            </w:tcBorders>
          </w:tcPr>
          <w:p w14:paraId="70746003" w14:textId="77777777" w:rsidR="00BB6221" w:rsidRDefault="00BB6221" w:rsidP="003848B8">
            <w:pPr>
              <w:keepNext/>
              <w:tabs>
                <w:tab w:val="left" w:pos="397"/>
                <w:tab w:val="left" w:pos="794"/>
                <w:tab w:val="left" w:pos="1191"/>
              </w:tabs>
              <w:snapToGrid w:val="0"/>
              <w:spacing w:before="20" w:after="20"/>
              <w:rPr>
                <w:rFonts w:cs="Segoe UI"/>
                <w:sz w:val="18"/>
                <w:szCs w:val="18"/>
                <w:lang w:eastAsia="en-GB"/>
              </w:rPr>
            </w:pPr>
            <w:r>
              <w:rPr>
                <w:rFonts w:cs="Segoe UI"/>
                <w:sz w:val="18"/>
                <w:szCs w:val="18"/>
                <w:lang w:eastAsia="en-GB"/>
              </w:rPr>
              <w:t xml:space="preserve">Loans </w:t>
            </w:r>
          </w:p>
        </w:tc>
        <w:tc>
          <w:tcPr>
            <w:tcW w:w="1417" w:type="dxa"/>
            <w:tcBorders>
              <w:top w:val="single" w:sz="4" w:space="0" w:color="auto"/>
              <w:left w:val="single" w:sz="4" w:space="0" w:color="auto"/>
              <w:bottom w:val="single" w:sz="4" w:space="0" w:color="BFBFBF"/>
              <w:right w:val="single" w:sz="4" w:space="0" w:color="auto"/>
            </w:tcBorders>
          </w:tcPr>
          <w:p w14:paraId="3B9446C8" w14:textId="77777777" w:rsidR="00BB6221" w:rsidRDefault="00BB6221" w:rsidP="003848B8">
            <w:pPr>
              <w:tabs>
                <w:tab w:val="decimal" w:pos="31"/>
              </w:tabs>
              <w:snapToGrid w:val="0"/>
              <w:spacing w:before="20" w:after="20"/>
              <w:jc w:val="center"/>
              <w:rPr>
                <w:sz w:val="17"/>
                <w:lang w:eastAsia="en-GB"/>
              </w:rPr>
            </w:pPr>
          </w:p>
        </w:tc>
        <w:tc>
          <w:tcPr>
            <w:tcW w:w="1276" w:type="dxa"/>
            <w:tcBorders>
              <w:top w:val="single" w:sz="4" w:space="0" w:color="auto"/>
              <w:left w:val="single" w:sz="4" w:space="0" w:color="auto"/>
              <w:bottom w:val="single" w:sz="4" w:space="0" w:color="BFBFBF"/>
              <w:right w:val="single" w:sz="4" w:space="0" w:color="auto"/>
            </w:tcBorders>
          </w:tcPr>
          <w:p w14:paraId="426C2B84" w14:textId="77777777" w:rsidR="00BB6221" w:rsidRDefault="00BB6221" w:rsidP="003848B8">
            <w:pPr>
              <w:tabs>
                <w:tab w:val="decimal" w:pos="31"/>
              </w:tabs>
              <w:snapToGrid w:val="0"/>
              <w:spacing w:before="20" w:after="20"/>
              <w:jc w:val="center"/>
              <w:rPr>
                <w:sz w:val="17"/>
                <w:lang w:eastAsia="en-GB"/>
              </w:rPr>
            </w:pPr>
          </w:p>
        </w:tc>
        <w:tc>
          <w:tcPr>
            <w:tcW w:w="1559" w:type="dxa"/>
            <w:tcBorders>
              <w:top w:val="single" w:sz="4" w:space="0" w:color="auto"/>
              <w:left w:val="single" w:sz="4" w:space="0" w:color="auto"/>
              <w:bottom w:val="single" w:sz="4" w:space="0" w:color="BFBFBF"/>
              <w:right w:val="single" w:sz="4" w:space="0" w:color="auto"/>
            </w:tcBorders>
          </w:tcPr>
          <w:p w14:paraId="4ACE3E05" w14:textId="77777777" w:rsidR="00BB6221" w:rsidRDefault="00BB6221" w:rsidP="003848B8">
            <w:pPr>
              <w:tabs>
                <w:tab w:val="decimal" w:pos="31"/>
              </w:tabs>
              <w:snapToGrid w:val="0"/>
              <w:spacing w:before="20" w:after="20"/>
              <w:jc w:val="center"/>
              <w:rPr>
                <w:sz w:val="17"/>
                <w:lang w:eastAsia="en-GB"/>
              </w:rPr>
            </w:pPr>
          </w:p>
        </w:tc>
        <w:tc>
          <w:tcPr>
            <w:tcW w:w="1417" w:type="dxa"/>
            <w:tcBorders>
              <w:top w:val="single" w:sz="4" w:space="0" w:color="auto"/>
              <w:left w:val="single" w:sz="4" w:space="0" w:color="auto"/>
              <w:bottom w:val="single" w:sz="4" w:space="0" w:color="BFBFBF"/>
              <w:right w:val="single" w:sz="4" w:space="0" w:color="auto"/>
            </w:tcBorders>
          </w:tcPr>
          <w:p w14:paraId="652E2233" w14:textId="77777777" w:rsidR="00BB6221" w:rsidRDefault="00BB6221" w:rsidP="003848B8">
            <w:pPr>
              <w:tabs>
                <w:tab w:val="decimal" w:pos="31"/>
              </w:tabs>
              <w:snapToGrid w:val="0"/>
              <w:spacing w:before="20" w:after="20"/>
              <w:jc w:val="center"/>
              <w:rPr>
                <w:sz w:val="17"/>
                <w:lang w:eastAsia="en-GB"/>
              </w:rPr>
            </w:pPr>
          </w:p>
        </w:tc>
        <w:tc>
          <w:tcPr>
            <w:tcW w:w="1418" w:type="dxa"/>
            <w:tcBorders>
              <w:top w:val="single" w:sz="4" w:space="0" w:color="auto"/>
              <w:left w:val="single" w:sz="4" w:space="0" w:color="auto"/>
              <w:bottom w:val="single" w:sz="4" w:space="0" w:color="BFBFBF"/>
              <w:right w:val="single" w:sz="4" w:space="0" w:color="auto"/>
            </w:tcBorders>
          </w:tcPr>
          <w:p w14:paraId="35E2FD4F" w14:textId="77777777" w:rsidR="00BB6221" w:rsidRDefault="00BB6221" w:rsidP="003848B8">
            <w:pPr>
              <w:tabs>
                <w:tab w:val="decimal" w:pos="31"/>
              </w:tabs>
              <w:snapToGrid w:val="0"/>
              <w:spacing w:before="20" w:after="20"/>
              <w:jc w:val="center"/>
              <w:rPr>
                <w:sz w:val="17"/>
                <w:lang w:eastAsia="en-GB"/>
              </w:rPr>
            </w:pPr>
          </w:p>
        </w:tc>
      </w:tr>
      <w:tr w:rsidR="00BB6221" w14:paraId="3D2C90F4" w14:textId="77777777" w:rsidTr="003848B8">
        <w:trPr>
          <w:cantSplit/>
        </w:trPr>
        <w:tc>
          <w:tcPr>
            <w:tcW w:w="366" w:type="dxa"/>
            <w:tcBorders>
              <w:left w:val="nil"/>
              <w:right w:val="single" w:sz="4" w:space="0" w:color="auto"/>
            </w:tcBorders>
          </w:tcPr>
          <w:p w14:paraId="4069C0C7" w14:textId="77777777" w:rsidR="00BB6221" w:rsidRDefault="00BB6221" w:rsidP="003848B8">
            <w:pPr>
              <w:keepNext/>
              <w:tabs>
                <w:tab w:val="left" w:pos="397"/>
                <w:tab w:val="left" w:pos="794"/>
                <w:tab w:val="left" w:pos="1191"/>
              </w:tabs>
              <w:snapToGrid w:val="0"/>
              <w:spacing w:before="20" w:after="20"/>
              <w:rPr>
                <w:rFonts w:cs="Segoe UI"/>
                <w:sz w:val="18"/>
                <w:szCs w:val="18"/>
                <w:lang w:eastAsia="en-GB"/>
              </w:rPr>
            </w:pPr>
            <w:r>
              <w:rPr>
                <w:rFonts w:cs="Segoe UI"/>
                <w:sz w:val="18"/>
                <w:szCs w:val="18"/>
                <w:lang w:eastAsia="en-GB"/>
              </w:rPr>
              <w:t>2</w:t>
            </w:r>
          </w:p>
        </w:tc>
        <w:tc>
          <w:tcPr>
            <w:tcW w:w="1761" w:type="dxa"/>
            <w:tcBorders>
              <w:left w:val="single" w:sz="4" w:space="0" w:color="auto"/>
              <w:right w:val="single" w:sz="4" w:space="0" w:color="auto"/>
            </w:tcBorders>
          </w:tcPr>
          <w:p w14:paraId="34155967" w14:textId="77777777" w:rsidR="00BB6221" w:rsidRDefault="00BB6221" w:rsidP="003848B8">
            <w:pPr>
              <w:keepNext/>
              <w:tabs>
                <w:tab w:val="left" w:pos="397"/>
                <w:tab w:val="left" w:pos="794"/>
                <w:tab w:val="left" w:pos="1191"/>
              </w:tabs>
              <w:snapToGrid w:val="0"/>
              <w:spacing w:before="20" w:after="20"/>
              <w:rPr>
                <w:rFonts w:cs="Segoe UI"/>
                <w:sz w:val="18"/>
                <w:szCs w:val="18"/>
                <w:lang w:eastAsia="en-GB"/>
              </w:rPr>
            </w:pPr>
            <w:r>
              <w:rPr>
                <w:rFonts w:cs="Segoe UI"/>
                <w:sz w:val="18"/>
                <w:szCs w:val="18"/>
                <w:lang w:eastAsia="en-GB"/>
              </w:rPr>
              <w:t xml:space="preserve">Debt securities </w:t>
            </w:r>
          </w:p>
        </w:tc>
        <w:tc>
          <w:tcPr>
            <w:tcW w:w="1417" w:type="dxa"/>
            <w:tcBorders>
              <w:top w:val="single" w:sz="4" w:space="0" w:color="BFBFBF"/>
              <w:left w:val="single" w:sz="4" w:space="0" w:color="auto"/>
              <w:bottom w:val="single" w:sz="4" w:space="0" w:color="BFBFBF"/>
              <w:right w:val="single" w:sz="4" w:space="0" w:color="auto"/>
            </w:tcBorders>
          </w:tcPr>
          <w:p w14:paraId="3213865B" w14:textId="77777777" w:rsidR="00BB6221" w:rsidRDefault="00BB6221" w:rsidP="003848B8">
            <w:pPr>
              <w:tabs>
                <w:tab w:val="decimal" w:pos="31"/>
              </w:tabs>
              <w:snapToGrid w:val="0"/>
              <w:spacing w:before="20" w:after="20"/>
              <w:jc w:val="center"/>
              <w:rPr>
                <w:sz w:val="17"/>
                <w:lang w:eastAsia="en-GB"/>
              </w:rPr>
            </w:pPr>
          </w:p>
        </w:tc>
        <w:tc>
          <w:tcPr>
            <w:tcW w:w="1276" w:type="dxa"/>
            <w:tcBorders>
              <w:top w:val="single" w:sz="4" w:space="0" w:color="BFBFBF"/>
              <w:left w:val="single" w:sz="4" w:space="0" w:color="auto"/>
              <w:bottom w:val="single" w:sz="4" w:space="0" w:color="BFBFBF"/>
              <w:right w:val="single" w:sz="4" w:space="0" w:color="auto"/>
            </w:tcBorders>
          </w:tcPr>
          <w:p w14:paraId="321624E8" w14:textId="77777777" w:rsidR="00BB6221" w:rsidRDefault="00BB6221" w:rsidP="003848B8">
            <w:pPr>
              <w:tabs>
                <w:tab w:val="decimal" w:pos="31"/>
              </w:tabs>
              <w:snapToGrid w:val="0"/>
              <w:spacing w:before="20" w:after="20"/>
              <w:jc w:val="center"/>
              <w:rPr>
                <w:sz w:val="17"/>
                <w:lang w:eastAsia="en-GB"/>
              </w:rPr>
            </w:pPr>
          </w:p>
        </w:tc>
        <w:tc>
          <w:tcPr>
            <w:tcW w:w="1559" w:type="dxa"/>
            <w:tcBorders>
              <w:top w:val="single" w:sz="4" w:space="0" w:color="BFBFBF"/>
              <w:left w:val="single" w:sz="4" w:space="0" w:color="auto"/>
              <w:bottom w:val="single" w:sz="4" w:space="0" w:color="BFBFBF"/>
              <w:right w:val="single" w:sz="4" w:space="0" w:color="auto"/>
            </w:tcBorders>
          </w:tcPr>
          <w:p w14:paraId="16929593" w14:textId="77777777" w:rsidR="00BB6221" w:rsidRDefault="00BB6221" w:rsidP="003848B8">
            <w:pPr>
              <w:tabs>
                <w:tab w:val="decimal" w:pos="31"/>
              </w:tabs>
              <w:snapToGrid w:val="0"/>
              <w:spacing w:before="20" w:after="20"/>
              <w:jc w:val="center"/>
              <w:rPr>
                <w:sz w:val="17"/>
                <w:lang w:eastAsia="en-GB"/>
              </w:rPr>
            </w:pPr>
          </w:p>
        </w:tc>
        <w:tc>
          <w:tcPr>
            <w:tcW w:w="1417" w:type="dxa"/>
            <w:tcBorders>
              <w:top w:val="single" w:sz="4" w:space="0" w:color="BFBFBF"/>
              <w:left w:val="single" w:sz="4" w:space="0" w:color="auto"/>
              <w:bottom w:val="single" w:sz="4" w:space="0" w:color="BFBFBF"/>
              <w:right w:val="single" w:sz="4" w:space="0" w:color="auto"/>
            </w:tcBorders>
          </w:tcPr>
          <w:p w14:paraId="1080F236" w14:textId="77777777" w:rsidR="00BB6221" w:rsidRDefault="00BB6221" w:rsidP="003848B8">
            <w:pPr>
              <w:tabs>
                <w:tab w:val="decimal" w:pos="31"/>
              </w:tabs>
              <w:snapToGrid w:val="0"/>
              <w:spacing w:before="20" w:after="20"/>
              <w:jc w:val="center"/>
              <w:rPr>
                <w:sz w:val="17"/>
                <w:lang w:eastAsia="en-GB"/>
              </w:rPr>
            </w:pPr>
          </w:p>
        </w:tc>
        <w:tc>
          <w:tcPr>
            <w:tcW w:w="1418" w:type="dxa"/>
            <w:tcBorders>
              <w:top w:val="single" w:sz="4" w:space="0" w:color="BFBFBF"/>
              <w:left w:val="single" w:sz="4" w:space="0" w:color="auto"/>
              <w:bottom w:val="single" w:sz="4" w:space="0" w:color="BFBFBF"/>
              <w:right w:val="single" w:sz="4" w:space="0" w:color="auto"/>
            </w:tcBorders>
          </w:tcPr>
          <w:p w14:paraId="3DD8B1DF" w14:textId="77777777" w:rsidR="00BB6221" w:rsidRDefault="00BB6221" w:rsidP="003848B8">
            <w:pPr>
              <w:tabs>
                <w:tab w:val="decimal" w:pos="31"/>
              </w:tabs>
              <w:snapToGrid w:val="0"/>
              <w:spacing w:before="20" w:after="20"/>
              <w:jc w:val="center"/>
              <w:rPr>
                <w:sz w:val="17"/>
                <w:lang w:eastAsia="en-GB"/>
              </w:rPr>
            </w:pPr>
          </w:p>
        </w:tc>
      </w:tr>
      <w:tr w:rsidR="00BB6221" w14:paraId="40F7EBDC" w14:textId="77777777" w:rsidTr="003848B8">
        <w:trPr>
          <w:cantSplit/>
        </w:trPr>
        <w:tc>
          <w:tcPr>
            <w:tcW w:w="366" w:type="dxa"/>
            <w:tcBorders>
              <w:left w:val="nil"/>
              <w:right w:val="single" w:sz="4" w:space="0" w:color="auto"/>
            </w:tcBorders>
          </w:tcPr>
          <w:p w14:paraId="71C1AB6B" w14:textId="77777777" w:rsidR="00BB6221" w:rsidRDefault="00BB6221" w:rsidP="003848B8">
            <w:pPr>
              <w:keepNext/>
              <w:tabs>
                <w:tab w:val="left" w:pos="397"/>
                <w:tab w:val="left" w:pos="794"/>
                <w:tab w:val="left" w:pos="1191"/>
              </w:tabs>
              <w:snapToGrid w:val="0"/>
              <w:spacing w:before="20" w:after="20"/>
              <w:rPr>
                <w:rFonts w:cs="Segoe UI"/>
                <w:b/>
                <w:sz w:val="17"/>
                <w:lang w:eastAsia="en-GB"/>
              </w:rPr>
            </w:pPr>
            <w:r>
              <w:rPr>
                <w:rFonts w:cs="Segoe UI"/>
                <w:b/>
                <w:sz w:val="17"/>
                <w:lang w:eastAsia="en-GB"/>
              </w:rPr>
              <w:t>3</w:t>
            </w:r>
          </w:p>
        </w:tc>
        <w:tc>
          <w:tcPr>
            <w:tcW w:w="1761" w:type="dxa"/>
            <w:tcBorders>
              <w:left w:val="single" w:sz="4" w:space="0" w:color="auto"/>
              <w:right w:val="single" w:sz="4" w:space="0" w:color="auto"/>
            </w:tcBorders>
          </w:tcPr>
          <w:p w14:paraId="2DDA0C5A" w14:textId="77777777" w:rsidR="00BB6221" w:rsidRDefault="00BB6221" w:rsidP="003848B8">
            <w:pPr>
              <w:keepNext/>
              <w:tabs>
                <w:tab w:val="left" w:pos="397"/>
                <w:tab w:val="left" w:pos="794"/>
                <w:tab w:val="left" w:pos="1191"/>
              </w:tabs>
              <w:snapToGrid w:val="0"/>
              <w:spacing w:before="20" w:after="20"/>
              <w:rPr>
                <w:rFonts w:cs="Segoe UI"/>
                <w:b/>
                <w:sz w:val="17"/>
                <w:lang w:eastAsia="en-GB"/>
              </w:rPr>
            </w:pPr>
            <w:r>
              <w:rPr>
                <w:rFonts w:cs="Segoe UI"/>
                <w:b/>
                <w:sz w:val="17"/>
                <w:lang w:eastAsia="en-GB"/>
              </w:rPr>
              <w:t xml:space="preserve">Total </w:t>
            </w:r>
          </w:p>
        </w:tc>
        <w:tc>
          <w:tcPr>
            <w:tcW w:w="1417" w:type="dxa"/>
            <w:tcBorders>
              <w:top w:val="single" w:sz="4" w:space="0" w:color="BFBFBF"/>
              <w:left w:val="single" w:sz="4" w:space="0" w:color="auto"/>
              <w:bottom w:val="single" w:sz="4" w:space="0" w:color="BFBFBF"/>
              <w:right w:val="single" w:sz="4" w:space="0" w:color="auto"/>
            </w:tcBorders>
          </w:tcPr>
          <w:p w14:paraId="2118A280" w14:textId="77777777" w:rsidR="00BB6221" w:rsidRDefault="00BB6221" w:rsidP="003848B8">
            <w:pPr>
              <w:tabs>
                <w:tab w:val="decimal" w:pos="31"/>
              </w:tabs>
              <w:snapToGrid w:val="0"/>
              <w:spacing w:before="20" w:after="20"/>
              <w:jc w:val="center"/>
              <w:rPr>
                <w:sz w:val="17"/>
                <w:lang w:eastAsia="en-GB"/>
              </w:rPr>
            </w:pPr>
          </w:p>
        </w:tc>
        <w:tc>
          <w:tcPr>
            <w:tcW w:w="1276" w:type="dxa"/>
            <w:tcBorders>
              <w:top w:val="single" w:sz="4" w:space="0" w:color="BFBFBF"/>
              <w:left w:val="single" w:sz="4" w:space="0" w:color="auto"/>
              <w:bottom w:val="single" w:sz="4" w:space="0" w:color="BFBFBF"/>
              <w:right w:val="single" w:sz="4" w:space="0" w:color="auto"/>
            </w:tcBorders>
          </w:tcPr>
          <w:p w14:paraId="491EDF1E" w14:textId="77777777" w:rsidR="00BB6221" w:rsidRDefault="00BB6221" w:rsidP="003848B8">
            <w:pPr>
              <w:tabs>
                <w:tab w:val="decimal" w:pos="31"/>
              </w:tabs>
              <w:snapToGrid w:val="0"/>
              <w:spacing w:before="20" w:after="20"/>
              <w:jc w:val="center"/>
              <w:rPr>
                <w:sz w:val="17"/>
                <w:lang w:eastAsia="en-GB"/>
              </w:rPr>
            </w:pPr>
          </w:p>
        </w:tc>
        <w:tc>
          <w:tcPr>
            <w:tcW w:w="1559" w:type="dxa"/>
            <w:tcBorders>
              <w:top w:val="single" w:sz="4" w:space="0" w:color="BFBFBF"/>
              <w:left w:val="single" w:sz="4" w:space="0" w:color="auto"/>
              <w:bottom w:val="single" w:sz="4" w:space="0" w:color="BFBFBF"/>
              <w:right w:val="single" w:sz="4" w:space="0" w:color="auto"/>
            </w:tcBorders>
          </w:tcPr>
          <w:p w14:paraId="40625AD7" w14:textId="77777777" w:rsidR="00BB6221" w:rsidRDefault="00BB6221" w:rsidP="003848B8">
            <w:pPr>
              <w:tabs>
                <w:tab w:val="decimal" w:pos="31"/>
              </w:tabs>
              <w:snapToGrid w:val="0"/>
              <w:spacing w:before="20" w:after="20"/>
              <w:jc w:val="center"/>
              <w:rPr>
                <w:sz w:val="17"/>
                <w:lang w:eastAsia="en-GB"/>
              </w:rPr>
            </w:pPr>
          </w:p>
        </w:tc>
        <w:tc>
          <w:tcPr>
            <w:tcW w:w="1417" w:type="dxa"/>
            <w:tcBorders>
              <w:top w:val="single" w:sz="4" w:space="0" w:color="BFBFBF"/>
              <w:left w:val="single" w:sz="4" w:space="0" w:color="auto"/>
              <w:bottom w:val="single" w:sz="4" w:space="0" w:color="BFBFBF"/>
              <w:right w:val="single" w:sz="4" w:space="0" w:color="auto"/>
            </w:tcBorders>
          </w:tcPr>
          <w:p w14:paraId="1843B4E3" w14:textId="77777777" w:rsidR="00BB6221" w:rsidRDefault="00BB6221" w:rsidP="003848B8">
            <w:pPr>
              <w:tabs>
                <w:tab w:val="decimal" w:pos="31"/>
              </w:tabs>
              <w:snapToGrid w:val="0"/>
              <w:spacing w:before="20" w:after="20"/>
              <w:jc w:val="center"/>
              <w:rPr>
                <w:sz w:val="17"/>
                <w:lang w:eastAsia="en-GB"/>
              </w:rPr>
            </w:pPr>
          </w:p>
        </w:tc>
        <w:tc>
          <w:tcPr>
            <w:tcW w:w="1418" w:type="dxa"/>
            <w:tcBorders>
              <w:top w:val="single" w:sz="4" w:space="0" w:color="BFBFBF"/>
              <w:left w:val="single" w:sz="4" w:space="0" w:color="auto"/>
              <w:bottom w:val="single" w:sz="4" w:space="0" w:color="BFBFBF"/>
              <w:right w:val="single" w:sz="4" w:space="0" w:color="auto"/>
            </w:tcBorders>
          </w:tcPr>
          <w:p w14:paraId="787F2694" w14:textId="77777777" w:rsidR="00BB6221" w:rsidRDefault="00BB6221" w:rsidP="003848B8">
            <w:pPr>
              <w:tabs>
                <w:tab w:val="decimal" w:pos="31"/>
              </w:tabs>
              <w:snapToGrid w:val="0"/>
              <w:spacing w:before="20" w:after="20"/>
              <w:jc w:val="center"/>
              <w:rPr>
                <w:sz w:val="17"/>
                <w:lang w:eastAsia="en-GB"/>
              </w:rPr>
            </w:pPr>
          </w:p>
        </w:tc>
      </w:tr>
      <w:tr w:rsidR="00BB6221" w14:paraId="24AEC325" w14:textId="77777777" w:rsidTr="003848B8">
        <w:trPr>
          <w:cantSplit/>
        </w:trPr>
        <w:tc>
          <w:tcPr>
            <w:tcW w:w="366" w:type="dxa"/>
            <w:tcBorders>
              <w:left w:val="nil"/>
              <w:bottom w:val="single" w:sz="4" w:space="0" w:color="auto"/>
              <w:right w:val="single" w:sz="4" w:space="0" w:color="auto"/>
            </w:tcBorders>
          </w:tcPr>
          <w:p w14:paraId="02202693" w14:textId="77777777" w:rsidR="00BB6221" w:rsidRDefault="00BB6221" w:rsidP="003848B8">
            <w:pPr>
              <w:keepNext/>
              <w:tabs>
                <w:tab w:val="left" w:pos="397"/>
                <w:tab w:val="left" w:pos="794"/>
                <w:tab w:val="left" w:pos="1191"/>
              </w:tabs>
              <w:snapToGrid w:val="0"/>
              <w:spacing w:before="20" w:after="20"/>
              <w:rPr>
                <w:rFonts w:cs="Segoe UI"/>
                <w:sz w:val="17"/>
                <w:lang w:eastAsia="en-GB"/>
              </w:rPr>
            </w:pPr>
            <w:r>
              <w:rPr>
                <w:rFonts w:cs="Segoe UI"/>
                <w:sz w:val="17"/>
                <w:lang w:eastAsia="en-GB"/>
              </w:rPr>
              <w:t>4</w:t>
            </w:r>
          </w:p>
        </w:tc>
        <w:tc>
          <w:tcPr>
            <w:tcW w:w="1761" w:type="dxa"/>
            <w:tcBorders>
              <w:left w:val="single" w:sz="4" w:space="0" w:color="auto"/>
              <w:bottom w:val="single" w:sz="4" w:space="0" w:color="auto"/>
              <w:right w:val="single" w:sz="4" w:space="0" w:color="auto"/>
            </w:tcBorders>
          </w:tcPr>
          <w:p w14:paraId="26748C1A" w14:textId="77777777" w:rsidR="00BB6221" w:rsidRDefault="00BB6221" w:rsidP="003848B8">
            <w:pPr>
              <w:keepNext/>
              <w:tabs>
                <w:tab w:val="left" w:pos="397"/>
                <w:tab w:val="left" w:pos="794"/>
                <w:tab w:val="left" w:pos="1191"/>
              </w:tabs>
              <w:snapToGrid w:val="0"/>
              <w:spacing w:before="20" w:after="20"/>
              <w:rPr>
                <w:rFonts w:cs="Segoe UI"/>
                <w:sz w:val="18"/>
                <w:szCs w:val="18"/>
                <w:lang w:eastAsia="en-GB"/>
              </w:rPr>
            </w:pPr>
            <w:r>
              <w:rPr>
                <w:rFonts w:cs="Segoe UI"/>
                <w:sz w:val="17"/>
                <w:lang w:eastAsia="en-GB"/>
              </w:rPr>
              <w:t xml:space="preserve">Of which defaulted </w:t>
            </w:r>
          </w:p>
        </w:tc>
        <w:tc>
          <w:tcPr>
            <w:tcW w:w="1417" w:type="dxa"/>
            <w:tcBorders>
              <w:top w:val="single" w:sz="4" w:space="0" w:color="BFBFBF"/>
              <w:left w:val="single" w:sz="4" w:space="0" w:color="auto"/>
              <w:bottom w:val="single" w:sz="4" w:space="0" w:color="auto"/>
              <w:right w:val="single" w:sz="4" w:space="0" w:color="auto"/>
            </w:tcBorders>
          </w:tcPr>
          <w:p w14:paraId="602F8BDA" w14:textId="77777777" w:rsidR="00BB6221" w:rsidRDefault="00BB6221" w:rsidP="003848B8">
            <w:pPr>
              <w:tabs>
                <w:tab w:val="decimal" w:pos="31"/>
              </w:tabs>
              <w:snapToGrid w:val="0"/>
              <w:spacing w:before="20" w:after="20"/>
              <w:jc w:val="center"/>
              <w:rPr>
                <w:sz w:val="17"/>
                <w:lang w:eastAsia="en-GB"/>
              </w:rPr>
            </w:pPr>
          </w:p>
        </w:tc>
        <w:tc>
          <w:tcPr>
            <w:tcW w:w="1276" w:type="dxa"/>
            <w:tcBorders>
              <w:top w:val="single" w:sz="4" w:space="0" w:color="BFBFBF"/>
              <w:left w:val="single" w:sz="4" w:space="0" w:color="auto"/>
              <w:bottom w:val="single" w:sz="4" w:space="0" w:color="auto"/>
              <w:right w:val="single" w:sz="4" w:space="0" w:color="auto"/>
            </w:tcBorders>
          </w:tcPr>
          <w:p w14:paraId="1B1502D7" w14:textId="77777777" w:rsidR="00BB6221" w:rsidRDefault="00BB6221" w:rsidP="003848B8">
            <w:pPr>
              <w:tabs>
                <w:tab w:val="decimal" w:pos="31"/>
              </w:tabs>
              <w:snapToGrid w:val="0"/>
              <w:spacing w:before="20" w:after="20"/>
              <w:jc w:val="center"/>
              <w:rPr>
                <w:sz w:val="17"/>
                <w:lang w:eastAsia="en-GB"/>
              </w:rPr>
            </w:pPr>
          </w:p>
        </w:tc>
        <w:tc>
          <w:tcPr>
            <w:tcW w:w="1559" w:type="dxa"/>
            <w:tcBorders>
              <w:top w:val="single" w:sz="4" w:space="0" w:color="BFBFBF"/>
              <w:left w:val="single" w:sz="4" w:space="0" w:color="auto"/>
              <w:bottom w:val="single" w:sz="4" w:space="0" w:color="auto"/>
              <w:right w:val="single" w:sz="4" w:space="0" w:color="auto"/>
            </w:tcBorders>
          </w:tcPr>
          <w:p w14:paraId="101AA104" w14:textId="77777777" w:rsidR="00BB6221" w:rsidRDefault="00BB6221" w:rsidP="003848B8">
            <w:pPr>
              <w:tabs>
                <w:tab w:val="decimal" w:pos="31"/>
              </w:tabs>
              <w:snapToGrid w:val="0"/>
              <w:spacing w:before="20" w:after="20"/>
              <w:jc w:val="center"/>
              <w:rPr>
                <w:sz w:val="17"/>
                <w:lang w:eastAsia="en-GB"/>
              </w:rPr>
            </w:pPr>
          </w:p>
        </w:tc>
        <w:tc>
          <w:tcPr>
            <w:tcW w:w="1417" w:type="dxa"/>
            <w:tcBorders>
              <w:top w:val="single" w:sz="4" w:space="0" w:color="BFBFBF"/>
              <w:left w:val="single" w:sz="4" w:space="0" w:color="auto"/>
              <w:bottom w:val="single" w:sz="4" w:space="0" w:color="auto"/>
              <w:right w:val="single" w:sz="4" w:space="0" w:color="auto"/>
            </w:tcBorders>
          </w:tcPr>
          <w:p w14:paraId="689FBEB0" w14:textId="77777777" w:rsidR="00BB6221" w:rsidRDefault="00BB6221" w:rsidP="003848B8">
            <w:pPr>
              <w:tabs>
                <w:tab w:val="decimal" w:pos="31"/>
              </w:tabs>
              <w:snapToGrid w:val="0"/>
              <w:spacing w:before="20" w:after="20"/>
              <w:jc w:val="center"/>
              <w:rPr>
                <w:sz w:val="17"/>
                <w:lang w:eastAsia="en-GB"/>
              </w:rPr>
            </w:pPr>
          </w:p>
        </w:tc>
        <w:tc>
          <w:tcPr>
            <w:tcW w:w="1418" w:type="dxa"/>
            <w:tcBorders>
              <w:top w:val="single" w:sz="4" w:space="0" w:color="BFBFBF"/>
              <w:left w:val="single" w:sz="4" w:space="0" w:color="auto"/>
              <w:bottom w:val="single" w:sz="4" w:space="0" w:color="auto"/>
              <w:right w:val="single" w:sz="4" w:space="0" w:color="auto"/>
            </w:tcBorders>
          </w:tcPr>
          <w:p w14:paraId="53635488" w14:textId="77777777" w:rsidR="00BB6221" w:rsidRDefault="00BB6221" w:rsidP="003848B8">
            <w:pPr>
              <w:tabs>
                <w:tab w:val="decimal" w:pos="31"/>
              </w:tabs>
              <w:snapToGrid w:val="0"/>
              <w:spacing w:before="20" w:after="20"/>
              <w:jc w:val="center"/>
              <w:rPr>
                <w:sz w:val="17"/>
                <w:lang w:eastAsia="en-GB"/>
              </w:rPr>
            </w:pPr>
          </w:p>
        </w:tc>
      </w:tr>
    </w:tbl>
    <w:p w14:paraId="5F811ED5" w14:textId="77777777" w:rsidR="00BB6221" w:rsidRDefault="00BB6221" w:rsidP="00BB6221">
      <w:pPr>
        <w:spacing w:before="120" w:after="120"/>
        <w:ind w:leftChars="-283" w:left="-566"/>
        <w:rPr>
          <w:sz w:val="22"/>
        </w:rPr>
      </w:pPr>
    </w:p>
    <w:p w14:paraId="7788BAA6" w14:textId="77777777" w:rsidR="00BB6221" w:rsidRDefault="00BB6221" w:rsidP="00BB6221">
      <w:pPr>
        <w:spacing w:before="120" w:after="120"/>
        <w:ind w:leftChars="-283" w:left="-566"/>
        <w:rPr>
          <w:sz w:val="22"/>
        </w:rPr>
      </w:pPr>
    </w:p>
    <w:p w14:paraId="536D7A60" w14:textId="77777777" w:rsidR="00BB6221" w:rsidRDefault="00BB6221" w:rsidP="00BB6221">
      <w:pPr>
        <w:spacing w:before="120" w:after="120"/>
        <w:ind w:leftChars="-283" w:left="-566"/>
        <w:rPr>
          <w:sz w:val="22"/>
        </w:rPr>
      </w:pPr>
    </w:p>
    <w:p w14:paraId="29FC8952" w14:textId="77777777" w:rsidR="00BB6221" w:rsidRDefault="00BB6221" w:rsidP="00BB6221">
      <w:pPr>
        <w:spacing w:before="120" w:after="120"/>
        <w:rPr>
          <w:sz w:val="22"/>
        </w:rPr>
      </w:pPr>
    </w:p>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
        <w:gridCol w:w="8549"/>
      </w:tblGrid>
      <w:tr w:rsidR="00BB6221" w14:paraId="4C38ED6E" w14:textId="77777777" w:rsidTr="003848B8">
        <w:trPr>
          <w:tblHeader/>
        </w:trPr>
        <w:tc>
          <w:tcPr>
            <w:tcW w:w="9214" w:type="dxa"/>
            <w:gridSpan w:val="2"/>
            <w:shd w:val="clear" w:color="auto" w:fill="BFBFBF"/>
          </w:tcPr>
          <w:p w14:paraId="582CDD76" w14:textId="77777777" w:rsidR="00BB6221" w:rsidRDefault="00BB6221" w:rsidP="003848B8">
            <w:pPr>
              <w:spacing w:before="40" w:after="40"/>
              <w:jc w:val="both"/>
              <w:rPr>
                <w:rFonts w:eastAsia="新細明體"/>
                <w:b/>
                <w:sz w:val="17"/>
                <w:szCs w:val="17"/>
                <w:lang w:eastAsia="en-GB"/>
              </w:rPr>
            </w:pPr>
            <w:r>
              <w:rPr>
                <w:rFonts w:eastAsia="新細明體"/>
                <w:b/>
                <w:sz w:val="17"/>
                <w:szCs w:val="17"/>
                <w:lang w:eastAsia="en-GB"/>
              </w:rPr>
              <w:lastRenderedPageBreak/>
              <w:t>Explanatory Note</w:t>
            </w:r>
          </w:p>
        </w:tc>
      </w:tr>
      <w:tr w:rsidR="00BB6221" w14:paraId="0213E089" w14:textId="77777777" w:rsidTr="003848B8">
        <w:trPr>
          <w:trHeight w:val="153"/>
        </w:trPr>
        <w:tc>
          <w:tcPr>
            <w:tcW w:w="9214" w:type="dxa"/>
            <w:gridSpan w:val="2"/>
            <w:shd w:val="clear" w:color="auto" w:fill="F2F2F2"/>
          </w:tcPr>
          <w:p w14:paraId="3EF96E93" w14:textId="77777777" w:rsidR="00BB6221" w:rsidRDefault="00BB6221" w:rsidP="003848B8">
            <w:pPr>
              <w:spacing w:before="40" w:after="40"/>
              <w:jc w:val="both"/>
              <w:rPr>
                <w:rFonts w:eastAsia="新細明體"/>
                <w:b/>
                <w:sz w:val="17"/>
                <w:szCs w:val="17"/>
                <w:lang w:eastAsia="en-GB"/>
              </w:rPr>
            </w:pPr>
            <w:r>
              <w:rPr>
                <w:rFonts w:eastAsia="新細明體"/>
                <w:b/>
                <w:sz w:val="17"/>
                <w:szCs w:val="17"/>
                <w:lang w:eastAsia="en-GB"/>
              </w:rPr>
              <w:t>Columns</w:t>
            </w:r>
          </w:p>
        </w:tc>
      </w:tr>
      <w:tr w:rsidR="00BB6221" w14:paraId="49C9CFF5" w14:textId="77777777" w:rsidTr="003848B8">
        <w:tc>
          <w:tcPr>
            <w:tcW w:w="665" w:type="dxa"/>
          </w:tcPr>
          <w:p w14:paraId="4F99A729" w14:textId="77777777" w:rsidR="00BB6221" w:rsidRDefault="00BB6221" w:rsidP="003848B8">
            <w:pPr>
              <w:pStyle w:val="ListParagraph"/>
              <w:keepLines/>
              <w:widowControl w:val="0"/>
              <w:spacing w:before="40" w:after="40"/>
              <w:ind w:leftChars="0" w:left="0" w:rightChars="-54" w:right="-108"/>
              <w:rPr>
                <w:rFonts w:cs="Segoe UI"/>
                <w:sz w:val="17"/>
                <w:szCs w:val="17"/>
                <w:lang w:eastAsia="en-GB"/>
              </w:rPr>
            </w:pPr>
            <w:r>
              <w:rPr>
                <w:rFonts w:cs="Segoe UI"/>
                <w:sz w:val="17"/>
                <w:szCs w:val="17"/>
                <w:lang w:eastAsia="en-GB"/>
              </w:rPr>
              <w:t>(a)</w:t>
            </w:r>
          </w:p>
        </w:tc>
        <w:tc>
          <w:tcPr>
            <w:tcW w:w="8549" w:type="dxa"/>
          </w:tcPr>
          <w:p w14:paraId="54AE9CFF" w14:textId="77777777" w:rsidR="00BB6221" w:rsidRDefault="00BB6221" w:rsidP="003848B8">
            <w:pPr>
              <w:pStyle w:val="TableText"/>
              <w:keepNext/>
              <w:jc w:val="both"/>
              <w:rPr>
                <w:rFonts w:cs="Segoe UI"/>
                <w:szCs w:val="17"/>
                <w:lang w:eastAsia="en-GB"/>
              </w:rPr>
            </w:pPr>
            <w:r>
              <w:rPr>
                <w:i/>
                <w:szCs w:val="17"/>
              </w:rPr>
              <w:t>Exposures unsecured: carrying amount</w:t>
            </w:r>
            <w:r>
              <w:rPr>
                <w:szCs w:val="17"/>
              </w:rPr>
              <w:t>: the carrying amount of exposures (net of allowances / impairments) that do not benefit from any recognized CRM.</w:t>
            </w:r>
          </w:p>
        </w:tc>
      </w:tr>
      <w:tr w:rsidR="00BB6221" w14:paraId="4C6CAEB4" w14:textId="77777777" w:rsidTr="003848B8">
        <w:tc>
          <w:tcPr>
            <w:tcW w:w="665" w:type="dxa"/>
          </w:tcPr>
          <w:p w14:paraId="5E3BC45E" w14:textId="00797CB9" w:rsidR="00BB6221" w:rsidRDefault="00BB6221" w:rsidP="003848B8">
            <w:pPr>
              <w:pStyle w:val="ListParagraph"/>
              <w:keepLines/>
              <w:widowControl w:val="0"/>
              <w:spacing w:before="40" w:after="40"/>
              <w:ind w:leftChars="0" w:left="0" w:rightChars="-54" w:right="-108"/>
              <w:rPr>
                <w:rFonts w:cs="Segoe UI"/>
                <w:sz w:val="17"/>
                <w:szCs w:val="17"/>
                <w:lang w:eastAsia="en-GB"/>
              </w:rPr>
            </w:pPr>
            <w:r>
              <w:rPr>
                <w:rFonts w:cs="Segoe UI"/>
                <w:sz w:val="17"/>
                <w:szCs w:val="17"/>
                <w:lang w:eastAsia="en-GB"/>
              </w:rPr>
              <w:t>(b)</w:t>
            </w:r>
          </w:p>
        </w:tc>
        <w:tc>
          <w:tcPr>
            <w:tcW w:w="8549" w:type="dxa"/>
          </w:tcPr>
          <w:p w14:paraId="35E9263C" w14:textId="0C4B4912" w:rsidR="00BB6221" w:rsidRPr="00CC1943" w:rsidRDefault="00BB6221" w:rsidP="003848B8">
            <w:pPr>
              <w:pStyle w:val="TableText"/>
              <w:keepNext/>
              <w:jc w:val="both"/>
              <w:rPr>
                <w:szCs w:val="17"/>
              </w:rPr>
            </w:pPr>
            <w:r>
              <w:rPr>
                <w:i/>
                <w:szCs w:val="17"/>
              </w:rPr>
              <w:t>Exposures to be secured</w:t>
            </w:r>
            <w:r>
              <w:rPr>
                <w:szCs w:val="17"/>
              </w:rPr>
              <w:t xml:space="preserve">: the carrying amount of exposures which have at least one recognized CRM (collateral, financial guarantees, credit derivative contracts) associated with them. </w:t>
            </w:r>
            <w:r w:rsidR="00A10DFA">
              <w:rPr>
                <w:szCs w:val="17"/>
              </w:rPr>
              <w:t xml:space="preserve"> </w:t>
            </w:r>
            <w:r>
              <w:rPr>
                <w:szCs w:val="17"/>
              </w:rPr>
              <w:t>For the avoidance of doubt, both the secured and unsecured portions of such exposures should be reported in this column.  The allocation of the carrying amount of multi-secured exposures to different forms of recognized CRM in columns (c), (d) and (e) is made by order of priority, starting with the form of recognized CRM expected to be called first in the event of loss, and within the limits of the carrying amount of the secured exposures.</w:t>
            </w:r>
          </w:p>
        </w:tc>
      </w:tr>
      <w:tr w:rsidR="00BB6221" w14:paraId="6E1EB851" w14:textId="77777777" w:rsidTr="003848B8">
        <w:trPr>
          <w:trHeight w:val="373"/>
        </w:trPr>
        <w:tc>
          <w:tcPr>
            <w:tcW w:w="665" w:type="dxa"/>
          </w:tcPr>
          <w:p w14:paraId="0077003E" w14:textId="3F3EEFA9" w:rsidR="00BB6221" w:rsidRDefault="00BB6221" w:rsidP="003848B8">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(c)</w:t>
            </w:r>
          </w:p>
        </w:tc>
        <w:tc>
          <w:tcPr>
            <w:tcW w:w="8549" w:type="dxa"/>
          </w:tcPr>
          <w:p w14:paraId="7050FD9F" w14:textId="77777777" w:rsidR="00BB6221" w:rsidRDefault="00BB6221" w:rsidP="003848B8">
            <w:pPr>
              <w:pStyle w:val="TableNote"/>
              <w:spacing w:before="40" w:after="40"/>
              <w:rPr>
                <w:sz w:val="17"/>
                <w:szCs w:val="17"/>
              </w:rPr>
            </w:pPr>
            <w:r>
              <w:rPr>
                <w:i/>
                <w:sz w:val="17"/>
                <w:szCs w:val="17"/>
              </w:rPr>
              <w:t xml:space="preserve">Exposures secured by </w:t>
            </w:r>
            <w:r>
              <w:rPr>
                <w:rFonts w:cs="Segoe UI"/>
                <w:bCs/>
                <w:i/>
                <w:sz w:val="17"/>
                <w:szCs w:val="17"/>
                <w:lang w:eastAsia="it-IT"/>
              </w:rPr>
              <w:t>recognized</w:t>
            </w:r>
            <w:r>
              <w:rPr>
                <w:i/>
                <w:sz w:val="17"/>
                <w:szCs w:val="17"/>
              </w:rPr>
              <w:t xml:space="preserve"> collateral</w:t>
            </w:r>
            <w:r>
              <w:rPr>
                <w:sz w:val="17"/>
                <w:szCs w:val="17"/>
              </w:rPr>
              <w:t>: the carrying amount of exposures (net of allowances / impairments) secured by recognized collateral.</w:t>
            </w:r>
            <w:r>
              <w:t xml:space="preserve">  </w:t>
            </w:r>
            <w:r>
              <w:rPr>
                <w:sz w:val="17"/>
                <w:szCs w:val="17"/>
              </w:rPr>
              <w:t>In case an exposure is secured by recognized collateral and other form(s) of recognized CRM, the carrying amount of the exposures secured by recognized collateral is the remaining share of the exposure secured by such collateral after consideration of the shares of the exposure already secured by other forms of recognized CRM expected to be called beforehand in the event of a loss, but not taking into account any over-collateralisation.</w:t>
            </w:r>
          </w:p>
        </w:tc>
      </w:tr>
      <w:tr w:rsidR="00BB6221" w14:paraId="4C2674C7" w14:textId="77777777" w:rsidTr="003848B8">
        <w:tc>
          <w:tcPr>
            <w:tcW w:w="665" w:type="dxa"/>
          </w:tcPr>
          <w:p w14:paraId="2B91F509" w14:textId="77777777" w:rsidR="00BB6221" w:rsidRDefault="00BB6221" w:rsidP="003848B8">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(d)</w:t>
            </w:r>
          </w:p>
        </w:tc>
        <w:tc>
          <w:tcPr>
            <w:tcW w:w="8549" w:type="dxa"/>
          </w:tcPr>
          <w:p w14:paraId="19722C9E" w14:textId="77777777" w:rsidR="00BB6221" w:rsidRPr="004357D5" w:rsidRDefault="00BB6221" w:rsidP="003848B8">
            <w:pPr>
              <w:pStyle w:val="TableNote"/>
              <w:spacing w:before="40" w:after="40"/>
              <w:rPr>
                <w:sz w:val="17"/>
                <w:szCs w:val="17"/>
              </w:rPr>
            </w:pPr>
            <w:r>
              <w:rPr>
                <w:i/>
                <w:sz w:val="17"/>
                <w:szCs w:val="17"/>
              </w:rPr>
              <w:t xml:space="preserve">Exposures secured by </w:t>
            </w:r>
            <w:r>
              <w:rPr>
                <w:rFonts w:cs="Segoe UI"/>
                <w:bCs/>
                <w:i/>
                <w:sz w:val="17"/>
                <w:szCs w:val="17"/>
                <w:lang w:eastAsia="it-IT"/>
              </w:rPr>
              <w:t>recognized</w:t>
            </w:r>
            <w:r>
              <w:rPr>
                <w:i/>
                <w:sz w:val="17"/>
                <w:szCs w:val="17"/>
              </w:rPr>
              <w:t xml:space="preserve"> guarantees</w:t>
            </w:r>
            <w:r>
              <w:rPr>
                <w:sz w:val="17"/>
                <w:szCs w:val="17"/>
              </w:rPr>
              <w:t>: the carrying amount of exposures (net of allowances / impairments) secured by recognized guarantees.  In case an exposure is secured by recognized guarantees and other form(s) of recognized CRM, the carrying amount of the exposure secured by recognized guarantees is the remaining share of the exposure secured by such guarantees after consideration of the shares of the exposure already secured by other forms of recognized CRM expected to be called beforehand in the event of a loss, but not taking into account any over-collateralisation.</w:t>
            </w:r>
          </w:p>
        </w:tc>
      </w:tr>
      <w:tr w:rsidR="00BB6221" w14:paraId="7433FCA8" w14:textId="77777777" w:rsidTr="003848B8">
        <w:tc>
          <w:tcPr>
            <w:tcW w:w="665" w:type="dxa"/>
          </w:tcPr>
          <w:p w14:paraId="7A5AC5CA" w14:textId="6C7D021B" w:rsidR="00BB6221" w:rsidRDefault="00BB6221" w:rsidP="003848B8">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(e)</w:t>
            </w:r>
          </w:p>
        </w:tc>
        <w:tc>
          <w:tcPr>
            <w:tcW w:w="8549" w:type="dxa"/>
          </w:tcPr>
          <w:p w14:paraId="0762CBE0" w14:textId="77777777" w:rsidR="00BB6221" w:rsidRDefault="00BB6221" w:rsidP="003848B8">
            <w:pPr>
              <w:pStyle w:val="TableNote"/>
              <w:spacing w:before="40" w:after="40"/>
              <w:rPr>
                <w:sz w:val="17"/>
                <w:szCs w:val="17"/>
              </w:rPr>
            </w:pPr>
            <w:r>
              <w:rPr>
                <w:i/>
                <w:sz w:val="17"/>
                <w:szCs w:val="17"/>
              </w:rPr>
              <w:t xml:space="preserve">Exposures secured by </w:t>
            </w:r>
            <w:r>
              <w:rPr>
                <w:rFonts w:cs="Segoe UI"/>
                <w:bCs/>
                <w:i/>
                <w:sz w:val="17"/>
                <w:szCs w:val="17"/>
                <w:lang w:eastAsia="it-IT"/>
              </w:rPr>
              <w:t>recognized</w:t>
            </w:r>
            <w:r>
              <w:rPr>
                <w:i/>
                <w:sz w:val="17"/>
                <w:szCs w:val="17"/>
              </w:rPr>
              <w:t xml:space="preserve"> credit derivative contracts</w:t>
            </w:r>
            <w:r>
              <w:rPr>
                <w:sz w:val="17"/>
                <w:szCs w:val="17"/>
              </w:rPr>
              <w:t>: the carrying amount of exposures (net of allowance / impairments) secured by recognized credit derivative contracts.  In case an exposure is secured by recognized credit derivative contracts and other form(s) of recognized CRM, the carrying amount of the exposure secured by recognized credit derivative contracts is the remaining share of the exposure secured by such credit derivative contracts after consideration of the shares of the exposure already secured by other forms of recognized CRM expected to be called beforehand in the event of a loss, but not taking into account any over-collateralisation.</w:t>
            </w:r>
          </w:p>
        </w:tc>
      </w:tr>
      <w:tr w:rsidR="00BB6221" w14:paraId="7F0FBA16" w14:textId="77777777" w:rsidTr="003848B8">
        <w:tc>
          <w:tcPr>
            <w:tcW w:w="665" w:type="dxa"/>
          </w:tcPr>
          <w:p w14:paraId="0970A049" w14:textId="77777777" w:rsidR="00BB6221" w:rsidRDefault="00BB6221" w:rsidP="003848B8">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(a)-(e)</w:t>
            </w:r>
          </w:p>
        </w:tc>
        <w:tc>
          <w:tcPr>
            <w:tcW w:w="8549" w:type="dxa"/>
          </w:tcPr>
          <w:p w14:paraId="40C1CFAF" w14:textId="12C6AC3D" w:rsidR="00BB6221" w:rsidRDefault="00BB6221" w:rsidP="003848B8">
            <w:pPr>
              <w:pStyle w:val="TableNote"/>
              <w:spacing w:before="40" w:after="40"/>
              <w:rPr>
                <w:sz w:val="17"/>
                <w:szCs w:val="17"/>
              </w:rPr>
            </w:pPr>
            <w:r>
              <w:rPr>
                <w:sz w:val="17"/>
                <w:szCs w:val="17"/>
              </w:rPr>
              <w:t>The following examples illustrate how columns (a)</w:t>
            </w:r>
            <w:r w:rsidR="004A73DB">
              <w:rPr>
                <w:sz w:val="17"/>
                <w:szCs w:val="17"/>
              </w:rPr>
              <w:t xml:space="preserve"> to </w:t>
            </w:r>
            <w:r>
              <w:rPr>
                <w:sz w:val="17"/>
                <w:szCs w:val="17"/>
              </w:rPr>
              <w:t xml:space="preserve">(e) should be completed: </w:t>
            </w:r>
          </w:p>
          <w:p w14:paraId="6697B40D" w14:textId="77777777" w:rsidR="00EB7167" w:rsidRDefault="00EB7167" w:rsidP="00EB7167">
            <w:pPr>
              <w:pStyle w:val="TableNote"/>
              <w:spacing w:before="40" w:after="40"/>
              <w:rPr>
                <w:sz w:val="17"/>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2707"/>
              <w:gridCol w:w="1030"/>
              <w:gridCol w:w="1002"/>
              <w:gridCol w:w="1046"/>
              <w:gridCol w:w="1049"/>
              <w:gridCol w:w="1046"/>
            </w:tblGrid>
            <w:tr w:rsidR="00EB7167" w:rsidRPr="00EF0504" w14:paraId="3D7FD31E" w14:textId="77777777" w:rsidTr="00AC746D">
              <w:trPr>
                <w:cantSplit/>
                <w:trHeight w:val="522"/>
                <w:tblHeader/>
              </w:trPr>
              <w:tc>
                <w:tcPr>
                  <w:tcW w:w="443" w:type="dxa"/>
                  <w:shd w:val="clear" w:color="auto" w:fill="auto"/>
                </w:tcPr>
                <w:p w14:paraId="1246A06A" w14:textId="77777777" w:rsidR="00EB7167" w:rsidRPr="00EF0504" w:rsidRDefault="00EB7167" w:rsidP="00EB7167">
                  <w:pPr>
                    <w:pStyle w:val="TableNote"/>
                    <w:spacing w:before="40" w:after="40"/>
                    <w:rPr>
                      <w:kern w:val="2"/>
                      <w:sz w:val="17"/>
                      <w:szCs w:val="17"/>
                    </w:rPr>
                  </w:pPr>
                </w:p>
              </w:tc>
              <w:tc>
                <w:tcPr>
                  <w:tcW w:w="2707" w:type="dxa"/>
                  <w:shd w:val="clear" w:color="auto" w:fill="auto"/>
                </w:tcPr>
                <w:p w14:paraId="3A84AEF1" w14:textId="77777777" w:rsidR="00EB7167" w:rsidRPr="00EF0504" w:rsidRDefault="00EB7167" w:rsidP="00EB7167">
                  <w:pPr>
                    <w:pStyle w:val="TableNote"/>
                    <w:spacing w:before="40" w:after="40"/>
                    <w:jc w:val="center"/>
                    <w:rPr>
                      <w:kern w:val="2"/>
                      <w:sz w:val="17"/>
                      <w:szCs w:val="17"/>
                    </w:rPr>
                  </w:pPr>
                </w:p>
              </w:tc>
              <w:tc>
                <w:tcPr>
                  <w:tcW w:w="1030" w:type="dxa"/>
                  <w:shd w:val="clear" w:color="auto" w:fill="auto"/>
                </w:tcPr>
                <w:p w14:paraId="0F382261" w14:textId="77777777" w:rsidR="00EB7167" w:rsidRPr="004D1BA5" w:rsidRDefault="00EB7167" w:rsidP="00EB7167">
                  <w:pPr>
                    <w:pStyle w:val="TableNote"/>
                    <w:spacing w:before="40" w:after="40"/>
                    <w:jc w:val="center"/>
                    <w:rPr>
                      <w:rFonts w:cs="Segoe UI"/>
                      <w:bCs/>
                      <w:kern w:val="2"/>
                      <w:sz w:val="17"/>
                      <w:szCs w:val="17"/>
                      <w:lang w:eastAsia="it-IT"/>
                    </w:rPr>
                  </w:pPr>
                  <w:r>
                    <w:rPr>
                      <w:rFonts w:cs="Segoe UI"/>
                      <w:bCs/>
                      <w:kern w:val="2"/>
                      <w:sz w:val="17"/>
                      <w:szCs w:val="17"/>
                      <w:lang w:eastAsia="it-IT"/>
                    </w:rPr>
                    <w:t>(a)</w:t>
                  </w:r>
                </w:p>
              </w:tc>
              <w:tc>
                <w:tcPr>
                  <w:tcW w:w="1002" w:type="dxa"/>
                  <w:shd w:val="clear" w:color="auto" w:fill="auto"/>
                </w:tcPr>
                <w:p w14:paraId="778B9A02" w14:textId="77777777" w:rsidR="00EB7167" w:rsidRPr="004D1BA5" w:rsidRDefault="00EB7167" w:rsidP="00EB7167">
                  <w:pPr>
                    <w:pStyle w:val="TableNote"/>
                    <w:spacing w:before="40" w:after="40"/>
                    <w:jc w:val="center"/>
                    <w:rPr>
                      <w:rFonts w:cs="Segoe UI"/>
                      <w:bCs/>
                      <w:kern w:val="2"/>
                      <w:sz w:val="17"/>
                      <w:szCs w:val="17"/>
                      <w:lang w:eastAsia="it-IT"/>
                    </w:rPr>
                  </w:pPr>
                  <w:r>
                    <w:rPr>
                      <w:rFonts w:cs="Segoe UI"/>
                      <w:bCs/>
                      <w:kern w:val="2"/>
                      <w:sz w:val="17"/>
                      <w:szCs w:val="17"/>
                      <w:lang w:eastAsia="it-IT"/>
                    </w:rPr>
                    <w:t>(b)</w:t>
                  </w:r>
                </w:p>
              </w:tc>
              <w:tc>
                <w:tcPr>
                  <w:tcW w:w="1046" w:type="dxa"/>
                  <w:shd w:val="clear" w:color="auto" w:fill="auto"/>
                </w:tcPr>
                <w:p w14:paraId="41A03676" w14:textId="77777777" w:rsidR="00EB7167" w:rsidRPr="004D1BA5" w:rsidRDefault="00EB7167" w:rsidP="00EB7167">
                  <w:pPr>
                    <w:pStyle w:val="TableNote"/>
                    <w:spacing w:before="40" w:after="40"/>
                    <w:jc w:val="center"/>
                    <w:rPr>
                      <w:rFonts w:cs="Segoe UI"/>
                      <w:bCs/>
                      <w:kern w:val="2"/>
                      <w:sz w:val="17"/>
                      <w:szCs w:val="17"/>
                      <w:lang w:eastAsia="it-IT"/>
                    </w:rPr>
                  </w:pPr>
                  <w:r>
                    <w:rPr>
                      <w:rFonts w:cs="Segoe UI"/>
                      <w:bCs/>
                      <w:kern w:val="2"/>
                      <w:sz w:val="17"/>
                      <w:szCs w:val="17"/>
                      <w:lang w:eastAsia="it-IT"/>
                    </w:rPr>
                    <w:t>(c)</w:t>
                  </w:r>
                </w:p>
              </w:tc>
              <w:tc>
                <w:tcPr>
                  <w:tcW w:w="1049" w:type="dxa"/>
                  <w:shd w:val="clear" w:color="auto" w:fill="auto"/>
                </w:tcPr>
                <w:p w14:paraId="3A5630E6" w14:textId="77777777" w:rsidR="00EB7167" w:rsidRPr="004D1BA5" w:rsidRDefault="00EB7167" w:rsidP="00EB7167">
                  <w:pPr>
                    <w:pStyle w:val="TableNote"/>
                    <w:spacing w:before="40" w:after="40"/>
                    <w:jc w:val="center"/>
                    <w:rPr>
                      <w:rFonts w:cs="Segoe UI"/>
                      <w:bCs/>
                      <w:kern w:val="2"/>
                      <w:sz w:val="17"/>
                      <w:szCs w:val="17"/>
                      <w:lang w:eastAsia="it-IT"/>
                    </w:rPr>
                  </w:pPr>
                  <w:r>
                    <w:rPr>
                      <w:rFonts w:cs="Segoe UI"/>
                      <w:bCs/>
                      <w:kern w:val="2"/>
                      <w:sz w:val="17"/>
                      <w:szCs w:val="17"/>
                      <w:lang w:eastAsia="it-IT"/>
                    </w:rPr>
                    <w:t>(d)</w:t>
                  </w:r>
                </w:p>
              </w:tc>
              <w:tc>
                <w:tcPr>
                  <w:tcW w:w="1046" w:type="dxa"/>
                  <w:shd w:val="clear" w:color="auto" w:fill="auto"/>
                </w:tcPr>
                <w:p w14:paraId="179EADD7" w14:textId="77777777" w:rsidR="00EB7167" w:rsidRPr="004D1BA5" w:rsidRDefault="00EB7167" w:rsidP="00EB7167">
                  <w:pPr>
                    <w:pStyle w:val="TableNote"/>
                    <w:spacing w:before="40" w:after="40"/>
                    <w:jc w:val="center"/>
                    <w:rPr>
                      <w:rFonts w:cs="Segoe UI"/>
                      <w:bCs/>
                      <w:kern w:val="2"/>
                      <w:sz w:val="17"/>
                      <w:szCs w:val="17"/>
                      <w:lang w:eastAsia="it-IT"/>
                    </w:rPr>
                  </w:pPr>
                  <w:r>
                    <w:rPr>
                      <w:rFonts w:cs="Segoe UI"/>
                      <w:bCs/>
                      <w:kern w:val="2"/>
                      <w:sz w:val="17"/>
                      <w:szCs w:val="17"/>
                      <w:lang w:eastAsia="it-IT"/>
                    </w:rPr>
                    <w:t>(e)</w:t>
                  </w:r>
                </w:p>
              </w:tc>
            </w:tr>
            <w:tr w:rsidR="00EB7167" w:rsidRPr="00EF0504" w14:paraId="0ADC85D2" w14:textId="77777777" w:rsidTr="00AC746D">
              <w:trPr>
                <w:cantSplit/>
                <w:tblHeader/>
              </w:trPr>
              <w:tc>
                <w:tcPr>
                  <w:tcW w:w="443" w:type="dxa"/>
                  <w:shd w:val="clear" w:color="auto" w:fill="auto"/>
                </w:tcPr>
                <w:p w14:paraId="6BD300B6" w14:textId="77777777" w:rsidR="00EB7167" w:rsidRPr="00EF0504" w:rsidRDefault="00EB7167" w:rsidP="00EB7167">
                  <w:pPr>
                    <w:pStyle w:val="TableNote"/>
                    <w:spacing w:before="40" w:after="40"/>
                    <w:rPr>
                      <w:kern w:val="2"/>
                      <w:sz w:val="17"/>
                      <w:szCs w:val="17"/>
                    </w:rPr>
                  </w:pPr>
                </w:p>
              </w:tc>
              <w:tc>
                <w:tcPr>
                  <w:tcW w:w="2707" w:type="dxa"/>
                  <w:shd w:val="clear" w:color="auto" w:fill="auto"/>
                </w:tcPr>
                <w:p w14:paraId="18CF25A7" w14:textId="77777777" w:rsidR="00EB7167" w:rsidRPr="00EF0504" w:rsidRDefault="00EB7167" w:rsidP="00EB7167">
                  <w:pPr>
                    <w:pStyle w:val="TableNote"/>
                    <w:spacing w:before="40" w:after="40"/>
                    <w:jc w:val="center"/>
                    <w:rPr>
                      <w:kern w:val="2"/>
                      <w:sz w:val="17"/>
                      <w:szCs w:val="17"/>
                    </w:rPr>
                  </w:pPr>
                </w:p>
              </w:tc>
              <w:tc>
                <w:tcPr>
                  <w:tcW w:w="1030" w:type="dxa"/>
                  <w:shd w:val="clear" w:color="auto" w:fill="auto"/>
                </w:tcPr>
                <w:p w14:paraId="5DE441EC" w14:textId="77777777" w:rsidR="00EB7167" w:rsidRDefault="00EB7167" w:rsidP="00EB7167">
                  <w:pPr>
                    <w:pStyle w:val="TableNote"/>
                    <w:spacing w:before="40" w:after="40"/>
                    <w:jc w:val="center"/>
                    <w:rPr>
                      <w:rFonts w:cs="Segoe UI"/>
                      <w:bCs/>
                      <w:kern w:val="2"/>
                      <w:sz w:val="17"/>
                      <w:szCs w:val="17"/>
                      <w:lang w:eastAsia="it-IT"/>
                    </w:rPr>
                  </w:pPr>
                  <w:r w:rsidRPr="00EF0504">
                    <w:rPr>
                      <w:rFonts w:cs="Segoe UI"/>
                      <w:bCs/>
                      <w:kern w:val="2"/>
                      <w:sz w:val="17"/>
                      <w:szCs w:val="17"/>
                      <w:lang w:eastAsia="it-IT"/>
                    </w:rPr>
                    <w:t>Exposures unsecured: carrying amount</w:t>
                  </w:r>
                </w:p>
              </w:tc>
              <w:tc>
                <w:tcPr>
                  <w:tcW w:w="1002" w:type="dxa"/>
                  <w:shd w:val="clear" w:color="auto" w:fill="auto"/>
                </w:tcPr>
                <w:p w14:paraId="18C1D4CD" w14:textId="77777777" w:rsidR="00EB7167" w:rsidRDefault="00EB7167" w:rsidP="00EB7167">
                  <w:pPr>
                    <w:pStyle w:val="TableNote"/>
                    <w:spacing w:before="40" w:after="40"/>
                    <w:jc w:val="center"/>
                    <w:rPr>
                      <w:rFonts w:cs="Segoe UI"/>
                      <w:bCs/>
                      <w:kern w:val="2"/>
                      <w:sz w:val="17"/>
                      <w:szCs w:val="17"/>
                      <w:lang w:eastAsia="it-IT"/>
                    </w:rPr>
                  </w:pPr>
                  <w:r w:rsidRPr="00EF0504">
                    <w:rPr>
                      <w:rFonts w:cs="Segoe UI"/>
                      <w:bCs/>
                      <w:kern w:val="2"/>
                      <w:sz w:val="17"/>
                      <w:szCs w:val="17"/>
                      <w:lang w:eastAsia="it-IT"/>
                    </w:rPr>
                    <w:t>Exposures to be secured</w:t>
                  </w:r>
                </w:p>
              </w:tc>
              <w:tc>
                <w:tcPr>
                  <w:tcW w:w="1046" w:type="dxa"/>
                  <w:shd w:val="clear" w:color="auto" w:fill="auto"/>
                </w:tcPr>
                <w:p w14:paraId="5F0D7CAF" w14:textId="77777777" w:rsidR="00EB7167" w:rsidRDefault="00EB7167" w:rsidP="00EB7167">
                  <w:pPr>
                    <w:pStyle w:val="TableNote"/>
                    <w:spacing w:before="40" w:after="40"/>
                    <w:jc w:val="center"/>
                    <w:rPr>
                      <w:rFonts w:cs="Segoe UI"/>
                      <w:bCs/>
                      <w:kern w:val="2"/>
                      <w:sz w:val="17"/>
                      <w:szCs w:val="17"/>
                      <w:lang w:eastAsia="it-IT"/>
                    </w:rPr>
                  </w:pPr>
                  <w:r w:rsidRPr="00EF0504">
                    <w:rPr>
                      <w:rFonts w:cs="Segoe UI"/>
                      <w:bCs/>
                      <w:kern w:val="2"/>
                      <w:sz w:val="17"/>
                      <w:szCs w:val="17"/>
                      <w:lang w:eastAsia="it-IT"/>
                    </w:rPr>
                    <w:t>Exposures secured by recognized collateral</w:t>
                  </w:r>
                </w:p>
              </w:tc>
              <w:tc>
                <w:tcPr>
                  <w:tcW w:w="1049" w:type="dxa"/>
                  <w:shd w:val="clear" w:color="auto" w:fill="auto"/>
                </w:tcPr>
                <w:p w14:paraId="237538F7" w14:textId="77777777" w:rsidR="00EB7167" w:rsidRDefault="00EB7167" w:rsidP="00EB7167">
                  <w:pPr>
                    <w:pStyle w:val="TableNote"/>
                    <w:spacing w:before="40" w:after="40"/>
                    <w:jc w:val="center"/>
                    <w:rPr>
                      <w:rFonts w:cs="Segoe UI"/>
                      <w:bCs/>
                      <w:kern w:val="2"/>
                      <w:sz w:val="17"/>
                      <w:szCs w:val="17"/>
                      <w:lang w:eastAsia="it-IT"/>
                    </w:rPr>
                  </w:pPr>
                  <w:r w:rsidRPr="00EF0504">
                    <w:rPr>
                      <w:rFonts w:cs="Segoe UI"/>
                      <w:bCs/>
                      <w:kern w:val="2"/>
                      <w:sz w:val="17"/>
                      <w:szCs w:val="17"/>
                      <w:lang w:eastAsia="it-IT"/>
                    </w:rPr>
                    <w:t>Exposures secured by recognized guarantees</w:t>
                  </w:r>
                </w:p>
              </w:tc>
              <w:tc>
                <w:tcPr>
                  <w:tcW w:w="1046" w:type="dxa"/>
                  <w:shd w:val="clear" w:color="auto" w:fill="auto"/>
                </w:tcPr>
                <w:p w14:paraId="63172B14" w14:textId="77777777" w:rsidR="00EB7167" w:rsidRDefault="00EB7167" w:rsidP="00EB7167">
                  <w:pPr>
                    <w:pStyle w:val="TableNote"/>
                    <w:spacing w:before="40" w:after="40"/>
                    <w:jc w:val="center"/>
                    <w:rPr>
                      <w:rFonts w:cs="Segoe UI"/>
                      <w:bCs/>
                      <w:kern w:val="2"/>
                      <w:sz w:val="17"/>
                      <w:szCs w:val="17"/>
                      <w:lang w:eastAsia="it-IT"/>
                    </w:rPr>
                  </w:pPr>
                  <w:r w:rsidRPr="00EF0504">
                    <w:rPr>
                      <w:rFonts w:cs="Segoe UI"/>
                      <w:bCs/>
                      <w:kern w:val="2"/>
                      <w:sz w:val="17"/>
                      <w:szCs w:val="17"/>
                      <w:lang w:eastAsia="it-IT"/>
                    </w:rPr>
                    <w:t>Exposures secured by recognized credit</w:t>
                  </w:r>
                  <w:r>
                    <w:rPr>
                      <w:rFonts w:cs="Segoe UI"/>
                      <w:bCs/>
                      <w:kern w:val="2"/>
                      <w:sz w:val="17"/>
                      <w:szCs w:val="17"/>
                      <w:lang w:eastAsia="it-IT"/>
                    </w:rPr>
                    <w:t xml:space="preserve"> </w:t>
                  </w:r>
                  <w:r w:rsidRPr="00EF0504">
                    <w:rPr>
                      <w:rFonts w:cs="Segoe UI"/>
                      <w:bCs/>
                      <w:kern w:val="2"/>
                      <w:sz w:val="17"/>
                      <w:szCs w:val="17"/>
                      <w:lang w:eastAsia="it-IT"/>
                    </w:rPr>
                    <w:t>derivative contracts</w:t>
                  </w:r>
                </w:p>
              </w:tc>
            </w:tr>
            <w:tr w:rsidR="00EB7167" w:rsidRPr="00EF0504" w14:paraId="38D45A68" w14:textId="77777777" w:rsidTr="00AC746D">
              <w:tc>
                <w:tcPr>
                  <w:tcW w:w="443" w:type="dxa"/>
                  <w:shd w:val="clear" w:color="auto" w:fill="auto"/>
                </w:tcPr>
                <w:p w14:paraId="49067DD0" w14:textId="77777777" w:rsidR="00EB7167" w:rsidRPr="00EF0504" w:rsidRDefault="00EB7167" w:rsidP="00EB7167">
                  <w:pPr>
                    <w:pStyle w:val="TableNote"/>
                    <w:spacing w:before="40" w:after="40"/>
                    <w:rPr>
                      <w:kern w:val="2"/>
                      <w:sz w:val="17"/>
                      <w:szCs w:val="17"/>
                    </w:rPr>
                  </w:pPr>
                  <w:r w:rsidRPr="00EF0504">
                    <w:rPr>
                      <w:kern w:val="2"/>
                      <w:sz w:val="17"/>
                      <w:szCs w:val="17"/>
                    </w:rPr>
                    <w:t>(i)</w:t>
                  </w:r>
                </w:p>
              </w:tc>
              <w:tc>
                <w:tcPr>
                  <w:tcW w:w="2707" w:type="dxa"/>
                  <w:shd w:val="clear" w:color="auto" w:fill="auto"/>
                </w:tcPr>
                <w:p w14:paraId="19157B11" w14:textId="77777777" w:rsidR="00EB7167" w:rsidRPr="00EF0504" w:rsidRDefault="00EB7167" w:rsidP="00351EF3">
                  <w:pPr>
                    <w:pStyle w:val="TableNote"/>
                    <w:spacing w:before="40" w:after="40"/>
                    <w:rPr>
                      <w:kern w:val="2"/>
                      <w:sz w:val="17"/>
                      <w:szCs w:val="17"/>
                    </w:rPr>
                  </w:pPr>
                  <w:r w:rsidRPr="00EF0504">
                    <w:rPr>
                      <w:kern w:val="2"/>
                      <w:sz w:val="17"/>
                      <w:szCs w:val="17"/>
                    </w:rPr>
                    <w:t>One secured loan of 100 with recognized collateral of 120 (after haircut) and recognized guarantees of 50 (after haircut), if an AI expects that recognized guarantee would be extinguished first</w:t>
                  </w:r>
                  <w:r>
                    <w:rPr>
                      <w:kern w:val="2"/>
                      <w:sz w:val="17"/>
                      <w:szCs w:val="17"/>
                    </w:rPr>
                    <w:t>.</w:t>
                  </w:r>
                </w:p>
              </w:tc>
              <w:tc>
                <w:tcPr>
                  <w:tcW w:w="1030" w:type="dxa"/>
                  <w:shd w:val="clear" w:color="auto" w:fill="auto"/>
                </w:tcPr>
                <w:p w14:paraId="681F013B" w14:textId="77777777" w:rsidR="00EB7167" w:rsidRPr="00EF0504" w:rsidRDefault="00EB7167" w:rsidP="00EB7167">
                  <w:pPr>
                    <w:pStyle w:val="TableNote"/>
                    <w:spacing w:before="40" w:after="40"/>
                    <w:jc w:val="center"/>
                    <w:rPr>
                      <w:kern w:val="2"/>
                      <w:sz w:val="17"/>
                      <w:szCs w:val="17"/>
                    </w:rPr>
                  </w:pPr>
                  <w:r w:rsidRPr="00EF0504">
                    <w:rPr>
                      <w:kern w:val="2"/>
                      <w:sz w:val="17"/>
                      <w:szCs w:val="17"/>
                    </w:rPr>
                    <w:t>0</w:t>
                  </w:r>
                </w:p>
              </w:tc>
              <w:tc>
                <w:tcPr>
                  <w:tcW w:w="1002" w:type="dxa"/>
                  <w:shd w:val="clear" w:color="auto" w:fill="auto"/>
                </w:tcPr>
                <w:p w14:paraId="087F2E45" w14:textId="77777777" w:rsidR="00EB7167" w:rsidRPr="00EF0504" w:rsidRDefault="00EB7167" w:rsidP="00EB7167">
                  <w:pPr>
                    <w:pStyle w:val="TableNote"/>
                    <w:spacing w:before="40" w:after="40"/>
                    <w:jc w:val="center"/>
                    <w:rPr>
                      <w:kern w:val="2"/>
                      <w:sz w:val="17"/>
                      <w:szCs w:val="17"/>
                    </w:rPr>
                  </w:pPr>
                  <w:r w:rsidRPr="00EF0504">
                    <w:rPr>
                      <w:kern w:val="2"/>
                      <w:sz w:val="17"/>
                      <w:szCs w:val="17"/>
                    </w:rPr>
                    <w:t>100</w:t>
                  </w:r>
                </w:p>
              </w:tc>
              <w:tc>
                <w:tcPr>
                  <w:tcW w:w="1046" w:type="dxa"/>
                  <w:shd w:val="clear" w:color="auto" w:fill="auto"/>
                </w:tcPr>
                <w:p w14:paraId="121ECDE2" w14:textId="77777777" w:rsidR="00EB7167" w:rsidRPr="00EF0504" w:rsidRDefault="00EB7167" w:rsidP="00EB7167">
                  <w:pPr>
                    <w:pStyle w:val="TableNote"/>
                    <w:spacing w:before="40" w:after="40"/>
                    <w:jc w:val="center"/>
                    <w:rPr>
                      <w:kern w:val="2"/>
                      <w:sz w:val="17"/>
                      <w:szCs w:val="17"/>
                    </w:rPr>
                  </w:pPr>
                  <w:r w:rsidRPr="00EF0504">
                    <w:rPr>
                      <w:kern w:val="2"/>
                      <w:sz w:val="17"/>
                      <w:szCs w:val="17"/>
                    </w:rPr>
                    <w:t>50</w:t>
                  </w:r>
                </w:p>
              </w:tc>
              <w:tc>
                <w:tcPr>
                  <w:tcW w:w="1049" w:type="dxa"/>
                  <w:shd w:val="clear" w:color="auto" w:fill="auto"/>
                </w:tcPr>
                <w:p w14:paraId="42CD0F26" w14:textId="77777777" w:rsidR="00EB7167" w:rsidRPr="00EF0504" w:rsidRDefault="00EB7167" w:rsidP="00EB7167">
                  <w:pPr>
                    <w:pStyle w:val="TableNote"/>
                    <w:spacing w:before="40" w:after="40"/>
                    <w:jc w:val="center"/>
                    <w:rPr>
                      <w:kern w:val="2"/>
                      <w:sz w:val="17"/>
                      <w:szCs w:val="17"/>
                    </w:rPr>
                  </w:pPr>
                  <w:r w:rsidRPr="00EF0504">
                    <w:rPr>
                      <w:kern w:val="2"/>
                      <w:sz w:val="17"/>
                      <w:szCs w:val="17"/>
                    </w:rPr>
                    <w:t>50</w:t>
                  </w:r>
                </w:p>
              </w:tc>
              <w:tc>
                <w:tcPr>
                  <w:tcW w:w="1046" w:type="dxa"/>
                  <w:shd w:val="clear" w:color="auto" w:fill="auto"/>
                </w:tcPr>
                <w:p w14:paraId="4FCAF98C" w14:textId="77777777" w:rsidR="00EB7167" w:rsidRPr="00EF0504" w:rsidRDefault="00EB7167" w:rsidP="00EB7167">
                  <w:pPr>
                    <w:pStyle w:val="TableNote"/>
                    <w:spacing w:before="40" w:after="40"/>
                    <w:jc w:val="center"/>
                    <w:rPr>
                      <w:kern w:val="2"/>
                      <w:sz w:val="17"/>
                      <w:szCs w:val="17"/>
                    </w:rPr>
                  </w:pPr>
                  <w:r w:rsidRPr="00EF0504">
                    <w:rPr>
                      <w:kern w:val="2"/>
                      <w:sz w:val="17"/>
                      <w:szCs w:val="17"/>
                    </w:rPr>
                    <w:t>0</w:t>
                  </w:r>
                </w:p>
              </w:tc>
            </w:tr>
            <w:tr w:rsidR="00EB7167" w:rsidRPr="00EF0504" w14:paraId="4EE352EA" w14:textId="77777777" w:rsidTr="00AC746D">
              <w:tc>
                <w:tcPr>
                  <w:tcW w:w="443" w:type="dxa"/>
                  <w:shd w:val="clear" w:color="auto" w:fill="auto"/>
                </w:tcPr>
                <w:p w14:paraId="459D2CDC" w14:textId="77777777" w:rsidR="00EB7167" w:rsidRPr="00EF0504" w:rsidRDefault="00EB7167" w:rsidP="00EB7167">
                  <w:pPr>
                    <w:pStyle w:val="TableNote"/>
                    <w:spacing w:before="40" w:after="40"/>
                    <w:rPr>
                      <w:kern w:val="2"/>
                      <w:sz w:val="17"/>
                      <w:szCs w:val="17"/>
                    </w:rPr>
                  </w:pPr>
                  <w:r w:rsidRPr="00EF0504">
                    <w:rPr>
                      <w:kern w:val="2"/>
                      <w:sz w:val="17"/>
                      <w:szCs w:val="17"/>
                    </w:rPr>
                    <w:t>(ii)</w:t>
                  </w:r>
                </w:p>
              </w:tc>
              <w:tc>
                <w:tcPr>
                  <w:tcW w:w="2707" w:type="dxa"/>
                  <w:shd w:val="clear" w:color="auto" w:fill="auto"/>
                </w:tcPr>
                <w:p w14:paraId="39CECF09" w14:textId="77777777" w:rsidR="00EB7167" w:rsidRPr="00EF0504" w:rsidRDefault="00EB7167" w:rsidP="00351EF3">
                  <w:pPr>
                    <w:pStyle w:val="TableNote"/>
                    <w:spacing w:before="40" w:after="40"/>
                    <w:rPr>
                      <w:kern w:val="2"/>
                      <w:sz w:val="17"/>
                      <w:szCs w:val="17"/>
                    </w:rPr>
                  </w:pPr>
                  <w:r w:rsidRPr="00EF0504">
                    <w:rPr>
                      <w:kern w:val="2"/>
                      <w:sz w:val="17"/>
                      <w:szCs w:val="17"/>
                    </w:rPr>
                    <w:t>One secured loan of 100 with recognized collateral of 120 (after haircut) and recognized guarantees of 50 (after haircut), if an AI expects that recognized collateral would be extinguished first</w:t>
                  </w:r>
                  <w:r>
                    <w:rPr>
                      <w:kern w:val="2"/>
                      <w:sz w:val="17"/>
                      <w:szCs w:val="17"/>
                    </w:rPr>
                    <w:t>.</w:t>
                  </w:r>
                </w:p>
              </w:tc>
              <w:tc>
                <w:tcPr>
                  <w:tcW w:w="1030" w:type="dxa"/>
                  <w:shd w:val="clear" w:color="auto" w:fill="auto"/>
                </w:tcPr>
                <w:p w14:paraId="4DE96150" w14:textId="77777777" w:rsidR="00EB7167" w:rsidRPr="00EF0504" w:rsidRDefault="00EB7167" w:rsidP="00EB7167">
                  <w:pPr>
                    <w:pStyle w:val="TableNote"/>
                    <w:spacing w:before="40" w:after="40"/>
                    <w:jc w:val="center"/>
                    <w:rPr>
                      <w:kern w:val="2"/>
                      <w:sz w:val="17"/>
                      <w:szCs w:val="17"/>
                    </w:rPr>
                  </w:pPr>
                  <w:r w:rsidRPr="00EF0504">
                    <w:rPr>
                      <w:kern w:val="2"/>
                      <w:sz w:val="17"/>
                      <w:szCs w:val="17"/>
                    </w:rPr>
                    <w:t>0</w:t>
                  </w:r>
                </w:p>
              </w:tc>
              <w:tc>
                <w:tcPr>
                  <w:tcW w:w="1002" w:type="dxa"/>
                  <w:shd w:val="clear" w:color="auto" w:fill="auto"/>
                </w:tcPr>
                <w:p w14:paraId="0D471A20" w14:textId="77777777" w:rsidR="00EB7167" w:rsidRPr="00EF0504" w:rsidRDefault="00EB7167" w:rsidP="00EB7167">
                  <w:pPr>
                    <w:pStyle w:val="TableNote"/>
                    <w:spacing w:before="40" w:after="40"/>
                    <w:jc w:val="center"/>
                    <w:rPr>
                      <w:kern w:val="2"/>
                      <w:sz w:val="17"/>
                      <w:szCs w:val="17"/>
                    </w:rPr>
                  </w:pPr>
                  <w:r w:rsidRPr="00EF0504">
                    <w:rPr>
                      <w:kern w:val="2"/>
                      <w:sz w:val="17"/>
                      <w:szCs w:val="17"/>
                    </w:rPr>
                    <w:t>100</w:t>
                  </w:r>
                </w:p>
              </w:tc>
              <w:tc>
                <w:tcPr>
                  <w:tcW w:w="1046" w:type="dxa"/>
                  <w:shd w:val="clear" w:color="auto" w:fill="auto"/>
                </w:tcPr>
                <w:p w14:paraId="7BC1EBDA" w14:textId="77777777" w:rsidR="00EB7167" w:rsidRPr="00EF0504" w:rsidRDefault="00EB7167" w:rsidP="00EB7167">
                  <w:pPr>
                    <w:pStyle w:val="TableNote"/>
                    <w:spacing w:before="40" w:after="40"/>
                    <w:jc w:val="center"/>
                    <w:rPr>
                      <w:kern w:val="2"/>
                      <w:sz w:val="17"/>
                      <w:szCs w:val="17"/>
                    </w:rPr>
                  </w:pPr>
                  <w:r w:rsidRPr="00EF0504">
                    <w:rPr>
                      <w:kern w:val="2"/>
                      <w:sz w:val="17"/>
                      <w:szCs w:val="17"/>
                    </w:rPr>
                    <w:t>100</w:t>
                  </w:r>
                </w:p>
              </w:tc>
              <w:tc>
                <w:tcPr>
                  <w:tcW w:w="1049" w:type="dxa"/>
                  <w:shd w:val="clear" w:color="auto" w:fill="auto"/>
                </w:tcPr>
                <w:p w14:paraId="59820D2B" w14:textId="77777777" w:rsidR="00EB7167" w:rsidRPr="00EF0504" w:rsidRDefault="00EB7167" w:rsidP="00EB7167">
                  <w:pPr>
                    <w:pStyle w:val="TableNote"/>
                    <w:spacing w:before="40" w:after="40"/>
                    <w:jc w:val="center"/>
                    <w:rPr>
                      <w:kern w:val="2"/>
                      <w:sz w:val="17"/>
                      <w:szCs w:val="17"/>
                    </w:rPr>
                  </w:pPr>
                  <w:r w:rsidRPr="00EF0504">
                    <w:rPr>
                      <w:kern w:val="2"/>
                      <w:sz w:val="17"/>
                      <w:szCs w:val="17"/>
                    </w:rPr>
                    <w:t>0</w:t>
                  </w:r>
                </w:p>
              </w:tc>
              <w:tc>
                <w:tcPr>
                  <w:tcW w:w="1046" w:type="dxa"/>
                  <w:shd w:val="clear" w:color="auto" w:fill="auto"/>
                </w:tcPr>
                <w:p w14:paraId="6D4017F0" w14:textId="77777777" w:rsidR="00EB7167" w:rsidRPr="00EF0504" w:rsidRDefault="00EB7167" w:rsidP="00EB7167">
                  <w:pPr>
                    <w:pStyle w:val="TableNote"/>
                    <w:spacing w:before="40" w:after="40"/>
                    <w:jc w:val="center"/>
                    <w:rPr>
                      <w:kern w:val="2"/>
                      <w:sz w:val="17"/>
                      <w:szCs w:val="17"/>
                    </w:rPr>
                  </w:pPr>
                  <w:r w:rsidRPr="00EF0504">
                    <w:rPr>
                      <w:kern w:val="2"/>
                      <w:sz w:val="17"/>
                      <w:szCs w:val="17"/>
                    </w:rPr>
                    <w:t>0</w:t>
                  </w:r>
                </w:p>
              </w:tc>
            </w:tr>
            <w:tr w:rsidR="00EB7167" w:rsidRPr="00EF0504" w14:paraId="79CA9057" w14:textId="77777777" w:rsidTr="00AC746D">
              <w:tc>
                <w:tcPr>
                  <w:tcW w:w="443" w:type="dxa"/>
                  <w:shd w:val="clear" w:color="auto" w:fill="auto"/>
                </w:tcPr>
                <w:p w14:paraId="01F0B740" w14:textId="77777777" w:rsidR="00EB7167" w:rsidRPr="00EF0504" w:rsidRDefault="00EB7167" w:rsidP="00EB7167">
                  <w:pPr>
                    <w:pStyle w:val="TableNote"/>
                    <w:spacing w:before="40" w:after="40"/>
                    <w:rPr>
                      <w:kern w:val="2"/>
                      <w:sz w:val="17"/>
                      <w:szCs w:val="17"/>
                    </w:rPr>
                  </w:pPr>
                  <w:r w:rsidRPr="00EF0504">
                    <w:rPr>
                      <w:kern w:val="2"/>
                      <w:sz w:val="17"/>
                      <w:szCs w:val="17"/>
                    </w:rPr>
                    <w:t>(iii)</w:t>
                  </w:r>
                </w:p>
              </w:tc>
              <w:tc>
                <w:tcPr>
                  <w:tcW w:w="2707" w:type="dxa"/>
                  <w:shd w:val="clear" w:color="auto" w:fill="auto"/>
                </w:tcPr>
                <w:p w14:paraId="0AB2B65E" w14:textId="77777777" w:rsidR="00EB7167" w:rsidRPr="00EF0504" w:rsidRDefault="00EB7167" w:rsidP="00351EF3">
                  <w:pPr>
                    <w:pStyle w:val="TableNote"/>
                    <w:spacing w:before="40" w:after="40"/>
                    <w:rPr>
                      <w:kern w:val="2"/>
                      <w:sz w:val="17"/>
                      <w:szCs w:val="17"/>
                    </w:rPr>
                  </w:pPr>
                  <w:r w:rsidRPr="00EF0504">
                    <w:rPr>
                      <w:kern w:val="2"/>
                      <w:sz w:val="17"/>
                      <w:szCs w:val="17"/>
                    </w:rPr>
                    <w:t>Secured exposure of 100 partially secured: 50 by recognized collateral (after haircut), 30 by recognized guarantee (after haircut), none by recognized credit derivatives</w:t>
                  </w:r>
                  <w:r>
                    <w:rPr>
                      <w:kern w:val="2"/>
                      <w:sz w:val="17"/>
                      <w:szCs w:val="17"/>
                    </w:rPr>
                    <w:t>.</w:t>
                  </w:r>
                </w:p>
              </w:tc>
              <w:tc>
                <w:tcPr>
                  <w:tcW w:w="1030" w:type="dxa"/>
                  <w:shd w:val="clear" w:color="auto" w:fill="auto"/>
                </w:tcPr>
                <w:p w14:paraId="050AFCC3" w14:textId="77777777" w:rsidR="00EB7167" w:rsidRPr="00EF0504" w:rsidRDefault="00EB7167" w:rsidP="00EB7167">
                  <w:pPr>
                    <w:pStyle w:val="TableNote"/>
                    <w:spacing w:before="40" w:after="40"/>
                    <w:jc w:val="center"/>
                    <w:rPr>
                      <w:kern w:val="2"/>
                      <w:sz w:val="17"/>
                      <w:szCs w:val="17"/>
                    </w:rPr>
                  </w:pPr>
                  <w:r w:rsidRPr="00EF0504">
                    <w:rPr>
                      <w:kern w:val="2"/>
                      <w:sz w:val="17"/>
                      <w:szCs w:val="17"/>
                    </w:rPr>
                    <w:t>0</w:t>
                  </w:r>
                </w:p>
              </w:tc>
              <w:tc>
                <w:tcPr>
                  <w:tcW w:w="1002" w:type="dxa"/>
                  <w:shd w:val="clear" w:color="auto" w:fill="auto"/>
                </w:tcPr>
                <w:p w14:paraId="118F6953" w14:textId="77777777" w:rsidR="00EB7167" w:rsidRPr="00EF0504" w:rsidRDefault="00EB7167" w:rsidP="00EB7167">
                  <w:pPr>
                    <w:pStyle w:val="TableNote"/>
                    <w:spacing w:before="40" w:after="40"/>
                    <w:jc w:val="center"/>
                    <w:rPr>
                      <w:kern w:val="2"/>
                      <w:sz w:val="17"/>
                      <w:szCs w:val="17"/>
                    </w:rPr>
                  </w:pPr>
                  <w:r w:rsidRPr="00EF0504">
                    <w:rPr>
                      <w:kern w:val="2"/>
                      <w:sz w:val="17"/>
                      <w:szCs w:val="17"/>
                    </w:rPr>
                    <w:t>100</w:t>
                  </w:r>
                </w:p>
              </w:tc>
              <w:tc>
                <w:tcPr>
                  <w:tcW w:w="1046" w:type="dxa"/>
                  <w:shd w:val="clear" w:color="auto" w:fill="auto"/>
                </w:tcPr>
                <w:p w14:paraId="45C84AFB" w14:textId="77777777" w:rsidR="00EB7167" w:rsidRPr="00EF0504" w:rsidRDefault="00EB7167" w:rsidP="00EB7167">
                  <w:pPr>
                    <w:pStyle w:val="TableNote"/>
                    <w:spacing w:before="40" w:after="40"/>
                    <w:jc w:val="center"/>
                    <w:rPr>
                      <w:kern w:val="2"/>
                      <w:sz w:val="17"/>
                      <w:szCs w:val="17"/>
                    </w:rPr>
                  </w:pPr>
                  <w:r w:rsidRPr="00EF0504">
                    <w:rPr>
                      <w:kern w:val="2"/>
                      <w:sz w:val="17"/>
                      <w:szCs w:val="17"/>
                    </w:rPr>
                    <w:t>50</w:t>
                  </w:r>
                </w:p>
              </w:tc>
              <w:tc>
                <w:tcPr>
                  <w:tcW w:w="1049" w:type="dxa"/>
                  <w:shd w:val="clear" w:color="auto" w:fill="auto"/>
                </w:tcPr>
                <w:p w14:paraId="2FF14A1D" w14:textId="77777777" w:rsidR="00EB7167" w:rsidRPr="00EF0504" w:rsidRDefault="00EB7167" w:rsidP="00EB7167">
                  <w:pPr>
                    <w:pStyle w:val="TableNote"/>
                    <w:spacing w:before="40" w:after="40"/>
                    <w:jc w:val="center"/>
                    <w:rPr>
                      <w:kern w:val="2"/>
                      <w:sz w:val="17"/>
                      <w:szCs w:val="17"/>
                    </w:rPr>
                  </w:pPr>
                  <w:r w:rsidRPr="00EF0504">
                    <w:rPr>
                      <w:kern w:val="2"/>
                      <w:sz w:val="17"/>
                      <w:szCs w:val="17"/>
                    </w:rPr>
                    <w:t>30</w:t>
                  </w:r>
                </w:p>
              </w:tc>
              <w:tc>
                <w:tcPr>
                  <w:tcW w:w="1046" w:type="dxa"/>
                  <w:shd w:val="clear" w:color="auto" w:fill="auto"/>
                </w:tcPr>
                <w:p w14:paraId="56B50696" w14:textId="77777777" w:rsidR="00EB7167" w:rsidRPr="00EF0504" w:rsidRDefault="00EB7167" w:rsidP="00EB7167">
                  <w:pPr>
                    <w:pStyle w:val="TableNote"/>
                    <w:spacing w:before="40" w:after="40"/>
                    <w:jc w:val="center"/>
                    <w:rPr>
                      <w:kern w:val="2"/>
                      <w:sz w:val="17"/>
                      <w:szCs w:val="17"/>
                    </w:rPr>
                  </w:pPr>
                  <w:r w:rsidRPr="00EF0504">
                    <w:rPr>
                      <w:kern w:val="2"/>
                      <w:sz w:val="17"/>
                      <w:szCs w:val="17"/>
                    </w:rPr>
                    <w:t>0</w:t>
                  </w:r>
                </w:p>
              </w:tc>
            </w:tr>
            <w:tr w:rsidR="00EB7167" w:rsidRPr="00EF0504" w14:paraId="14E32AA8" w14:textId="77777777" w:rsidTr="00AC746D">
              <w:tc>
                <w:tcPr>
                  <w:tcW w:w="443" w:type="dxa"/>
                  <w:shd w:val="clear" w:color="auto" w:fill="auto"/>
                </w:tcPr>
                <w:p w14:paraId="6B10505D" w14:textId="77777777" w:rsidR="00EB7167" w:rsidRPr="00EF0504" w:rsidRDefault="00EB7167" w:rsidP="00EB7167">
                  <w:pPr>
                    <w:pStyle w:val="TableNote"/>
                    <w:spacing w:before="40" w:after="40"/>
                    <w:rPr>
                      <w:kern w:val="2"/>
                      <w:sz w:val="17"/>
                      <w:szCs w:val="17"/>
                    </w:rPr>
                  </w:pPr>
                  <w:r w:rsidRPr="00EF0504">
                    <w:rPr>
                      <w:kern w:val="2"/>
                      <w:sz w:val="17"/>
                      <w:szCs w:val="17"/>
                    </w:rPr>
                    <w:t>(iv)</w:t>
                  </w:r>
                </w:p>
              </w:tc>
              <w:tc>
                <w:tcPr>
                  <w:tcW w:w="2707" w:type="dxa"/>
                  <w:shd w:val="clear" w:color="auto" w:fill="auto"/>
                </w:tcPr>
                <w:p w14:paraId="6BE7FC3D" w14:textId="77777777" w:rsidR="00EB7167" w:rsidRPr="00EF0504" w:rsidRDefault="00EB7167" w:rsidP="00351EF3">
                  <w:pPr>
                    <w:pStyle w:val="TableNote"/>
                    <w:spacing w:before="40" w:after="40"/>
                    <w:rPr>
                      <w:kern w:val="2"/>
                      <w:sz w:val="17"/>
                      <w:szCs w:val="17"/>
                    </w:rPr>
                  </w:pPr>
                  <w:r w:rsidRPr="00EF0504">
                    <w:rPr>
                      <w:kern w:val="2"/>
                      <w:sz w:val="17"/>
                      <w:szCs w:val="17"/>
                    </w:rPr>
                    <w:t>One unsecured loan of 20 and one secured loan of 80. The secur</w:t>
                  </w:r>
                  <w:r>
                    <w:rPr>
                      <w:kern w:val="2"/>
                      <w:sz w:val="17"/>
                      <w:szCs w:val="17"/>
                    </w:rPr>
                    <w:t xml:space="preserve">ed loan is over-collateralised: </w:t>
                  </w:r>
                  <w:r w:rsidRPr="00EF0504">
                    <w:rPr>
                      <w:kern w:val="2"/>
                      <w:sz w:val="17"/>
                      <w:szCs w:val="17"/>
                    </w:rPr>
                    <w:t xml:space="preserve">60 by recognized collateral (after haircut), 90 by recognized guarantee (after haircut), none by recognized credit derivatives.  If an AI </w:t>
                  </w:r>
                  <w:r w:rsidRPr="00EF0504">
                    <w:rPr>
                      <w:kern w:val="2"/>
                      <w:sz w:val="17"/>
                      <w:szCs w:val="17"/>
                    </w:rPr>
                    <w:lastRenderedPageBreak/>
                    <w:t>expects that recognized</w:t>
                  </w:r>
                  <w:r>
                    <w:rPr>
                      <w:kern w:val="2"/>
                      <w:sz w:val="17"/>
                      <w:szCs w:val="17"/>
                    </w:rPr>
                    <w:t xml:space="preserve"> </w:t>
                  </w:r>
                  <w:r w:rsidRPr="00EF0504">
                    <w:rPr>
                      <w:kern w:val="2"/>
                      <w:sz w:val="17"/>
                      <w:szCs w:val="17"/>
                    </w:rPr>
                    <w:t>collateral would be extinguished first.</w:t>
                  </w:r>
                </w:p>
              </w:tc>
              <w:tc>
                <w:tcPr>
                  <w:tcW w:w="1030" w:type="dxa"/>
                  <w:shd w:val="clear" w:color="auto" w:fill="auto"/>
                </w:tcPr>
                <w:p w14:paraId="3DC4A520" w14:textId="77777777" w:rsidR="00EB7167" w:rsidRPr="00EF0504" w:rsidRDefault="00EB7167" w:rsidP="00EB7167">
                  <w:pPr>
                    <w:pStyle w:val="TableNote"/>
                    <w:spacing w:before="40" w:after="40"/>
                    <w:jc w:val="center"/>
                    <w:rPr>
                      <w:kern w:val="2"/>
                      <w:sz w:val="17"/>
                      <w:szCs w:val="17"/>
                    </w:rPr>
                  </w:pPr>
                  <w:r w:rsidRPr="00EF0504">
                    <w:rPr>
                      <w:kern w:val="2"/>
                      <w:sz w:val="17"/>
                      <w:szCs w:val="17"/>
                    </w:rPr>
                    <w:lastRenderedPageBreak/>
                    <w:t>20</w:t>
                  </w:r>
                </w:p>
              </w:tc>
              <w:tc>
                <w:tcPr>
                  <w:tcW w:w="1002" w:type="dxa"/>
                  <w:shd w:val="clear" w:color="auto" w:fill="auto"/>
                </w:tcPr>
                <w:p w14:paraId="3BFF84EE" w14:textId="77777777" w:rsidR="00EB7167" w:rsidRPr="00EF0504" w:rsidRDefault="00EB7167" w:rsidP="00EB7167">
                  <w:pPr>
                    <w:pStyle w:val="TableNote"/>
                    <w:spacing w:before="40" w:after="40"/>
                    <w:jc w:val="center"/>
                    <w:rPr>
                      <w:kern w:val="2"/>
                      <w:sz w:val="17"/>
                      <w:szCs w:val="17"/>
                    </w:rPr>
                  </w:pPr>
                  <w:r w:rsidRPr="00EF0504">
                    <w:rPr>
                      <w:kern w:val="2"/>
                      <w:sz w:val="17"/>
                      <w:szCs w:val="17"/>
                    </w:rPr>
                    <w:t>80</w:t>
                  </w:r>
                </w:p>
              </w:tc>
              <w:tc>
                <w:tcPr>
                  <w:tcW w:w="1046" w:type="dxa"/>
                  <w:shd w:val="clear" w:color="auto" w:fill="auto"/>
                </w:tcPr>
                <w:p w14:paraId="549B832A" w14:textId="77777777" w:rsidR="00EB7167" w:rsidRPr="00EF0504" w:rsidRDefault="00EB7167" w:rsidP="00EB7167">
                  <w:pPr>
                    <w:pStyle w:val="TableNote"/>
                    <w:spacing w:before="40" w:after="40"/>
                    <w:jc w:val="center"/>
                    <w:rPr>
                      <w:kern w:val="2"/>
                      <w:sz w:val="17"/>
                      <w:szCs w:val="17"/>
                    </w:rPr>
                  </w:pPr>
                  <w:r w:rsidRPr="00EF0504">
                    <w:rPr>
                      <w:kern w:val="2"/>
                      <w:sz w:val="17"/>
                      <w:szCs w:val="17"/>
                    </w:rPr>
                    <w:t>60</w:t>
                  </w:r>
                </w:p>
              </w:tc>
              <w:tc>
                <w:tcPr>
                  <w:tcW w:w="1049" w:type="dxa"/>
                  <w:shd w:val="clear" w:color="auto" w:fill="auto"/>
                </w:tcPr>
                <w:p w14:paraId="6D03C0E4" w14:textId="77777777" w:rsidR="00EB7167" w:rsidRPr="00EF0504" w:rsidRDefault="00EB7167" w:rsidP="00EB7167">
                  <w:pPr>
                    <w:pStyle w:val="TableNote"/>
                    <w:spacing w:before="40" w:after="40"/>
                    <w:jc w:val="center"/>
                    <w:rPr>
                      <w:kern w:val="2"/>
                      <w:sz w:val="17"/>
                      <w:szCs w:val="17"/>
                    </w:rPr>
                  </w:pPr>
                  <w:r w:rsidRPr="00EF0504">
                    <w:rPr>
                      <w:kern w:val="2"/>
                      <w:sz w:val="17"/>
                      <w:szCs w:val="17"/>
                    </w:rPr>
                    <w:t>20</w:t>
                  </w:r>
                </w:p>
              </w:tc>
              <w:tc>
                <w:tcPr>
                  <w:tcW w:w="1046" w:type="dxa"/>
                  <w:shd w:val="clear" w:color="auto" w:fill="auto"/>
                </w:tcPr>
                <w:p w14:paraId="440BD47A" w14:textId="77777777" w:rsidR="00EB7167" w:rsidRPr="00EF0504" w:rsidRDefault="00EB7167" w:rsidP="00EB7167">
                  <w:pPr>
                    <w:pStyle w:val="TableNote"/>
                    <w:spacing w:before="40" w:after="40"/>
                    <w:jc w:val="center"/>
                    <w:rPr>
                      <w:kern w:val="2"/>
                      <w:sz w:val="17"/>
                      <w:szCs w:val="17"/>
                    </w:rPr>
                  </w:pPr>
                  <w:r w:rsidRPr="00EF0504">
                    <w:rPr>
                      <w:kern w:val="2"/>
                      <w:sz w:val="17"/>
                      <w:szCs w:val="17"/>
                    </w:rPr>
                    <w:t>0</w:t>
                  </w:r>
                </w:p>
              </w:tc>
            </w:tr>
            <w:tr w:rsidR="00EB7167" w:rsidRPr="00EF0504" w14:paraId="2A1F3815" w14:textId="77777777" w:rsidTr="00AC746D">
              <w:tc>
                <w:tcPr>
                  <w:tcW w:w="443" w:type="dxa"/>
                  <w:shd w:val="clear" w:color="auto" w:fill="auto"/>
                </w:tcPr>
                <w:p w14:paraId="69E83CCE" w14:textId="77777777" w:rsidR="00EB7167" w:rsidRPr="00EF0504" w:rsidRDefault="00EB7167" w:rsidP="00EB7167">
                  <w:pPr>
                    <w:pStyle w:val="TableNote"/>
                    <w:spacing w:before="40" w:after="40"/>
                    <w:rPr>
                      <w:kern w:val="2"/>
                      <w:sz w:val="17"/>
                      <w:szCs w:val="17"/>
                    </w:rPr>
                  </w:pPr>
                  <w:r w:rsidRPr="00EF0504">
                    <w:rPr>
                      <w:kern w:val="2"/>
                      <w:sz w:val="17"/>
                      <w:szCs w:val="17"/>
                    </w:rPr>
                    <w:t>(v)</w:t>
                  </w:r>
                </w:p>
              </w:tc>
              <w:tc>
                <w:tcPr>
                  <w:tcW w:w="2707" w:type="dxa"/>
                  <w:shd w:val="clear" w:color="auto" w:fill="auto"/>
                </w:tcPr>
                <w:p w14:paraId="0D719982" w14:textId="77777777" w:rsidR="00EB7167" w:rsidRPr="00EF0504" w:rsidRDefault="00EB7167" w:rsidP="00351EF3">
                  <w:pPr>
                    <w:pStyle w:val="TableNote"/>
                    <w:spacing w:before="40" w:after="40"/>
                    <w:rPr>
                      <w:kern w:val="2"/>
                      <w:sz w:val="17"/>
                      <w:szCs w:val="17"/>
                    </w:rPr>
                  </w:pPr>
                  <w:r w:rsidRPr="00EF0504">
                    <w:rPr>
                      <w:kern w:val="2"/>
                      <w:sz w:val="17"/>
                      <w:szCs w:val="17"/>
                    </w:rPr>
                    <w:t>One unsecured loan of 20 and one secured loan of</w:t>
                  </w:r>
                  <w:r>
                    <w:rPr>
                      <w:kern w:val="2"/>
                      <w:sz w:val="17"/>
                      <w:szCs w:val="17"/>
                    </w:rPr>
                    <w:t xml:space="preserve"> 80.  The secured loan is under-collateralised: </w:t>
                  </w:r>
                  <w:r w:rsidRPr="00EF0504">
                    <w:rPr>
                      <w:kern w:val="2"/>
                      <w:sz w:val="17"/>
                      <w:szCs w:val="17"/>
                    </w:rPr>
                    <w:t>50 by recognized collateral (after haircut), 20 by recognized guarantee (after haircut), none by recognized credit derivatives.</w:t>
                  </w:r>
                </w:p>
              </w:tc>
              <w:tc>
                <w:tcPr>
                  <w:tcW w:w="1030" w:type="dxa"/>
                  <w:shd w:val="clear" w:color="auto" w:fill="auto"/>
                </w:tcPr>
                <w:p w14:paraId="5A1ACE91" w14:textId="77777777" w:rsidR="00EB7167" w:rsidRPr="00EF0504" w:rsidRDefault="00EB7167" w:rsidP="00EB7167">
                  <w:pPr>
                    <w:pStyle w:val="TableNote"/>
                    <w:spacing w:before="40" w:after="40"/>
                    <w:jc w:val="center"/>
                    <w:rPr>
                      <w:kern w:val="2"/>
                      <w:sz w:val="17"/>
                      <w:szCs w:val="17"/>
                    </w:rPr>
                  </w:pPr>
                  <w:r w:rsidRPr="00EF0504">
                    <w:rPr>
                      <w:kern w:val="2"/>
                      <w:sz w:val="17"/>
                      <w:szCs w:val="17"/>
                    </w:rPr>
                    <w:t>20</w:t>
                  </w:r>
                </w:p>
              </w:tc>
              <w:tc>
                <w:tcPr>
                  <w:tcW w:w="1002" w:type="dxa"/>
                  <w:shd w:val="clear" w:color="auto" w:fill="auto"/>
                </w:tcPr>
                <w:p w14:paraId="51736F4F" w14:textId="77777777" w:rsidR="00EB7167" w:rsidRPr="00EF0504" w:rsidRDefault="00EB7167" w:rsidP="00EB7167">
                  <w:pPr>
                    <w:pStyle w:val="TableNote"/>
                    <w:spacing w:before="40" w:after="40"/>
                    <w:jc w:val="center"/>
                    <w:rPr>
                      <w:kern w:val="2"/>
                      <w:sz w:val="17"/>
                      <w:szCs w:val="17"/>
                    </w:rPr>
                  </w:pPr>
                  <w:r w:rsidRPr="00EF0504">
                    <w:rPr>
                      <w:kern w:val="2"/>
                      <w:sz w:val="17"/>
                      <w:szCs w:val="17"/>
                    </w:rPr>
                    <w:t>80</w:t>
                  </w:r>
                </w:p>
              </w:tc>
              <w:tc>
                <w:tcPr>
                  <w:tcW w:w="1046" w:type="dxa"/>
                  <w:shd w:val="clear" w:color="auto" w:fill="auto"/>
                </w:tcPr>
                <w:p w14:paraId="54821359" w14:textId="77777777" w:rsidR="00EB7167" w:rsidRPr="00EF0504" w:rsidRDefault="00EB7167" w:rsidP="00EB7167">
                  <w:pPr>
                    <w:pStyle w:val="TableNote"/>
                    <w:spacing w:before="40" w:after="40"/>
                    <w:jc w:val="center"/>
                    <w:rPr>
                      <w:kern w:val="2"/>
                      <w:sz w:val="17"/>
                      <w:szCs w:val="17"/>
                    </w:rPr>
                  </w:pPr>
                  <w:r w:rsidRPr="00EF0504">
                    <w:rPr>
                      <w:kern w:val="2"/>
                      <w:sz w:val="17"/>
                      <w:szCs w:val="17"/>
                    </w:rPr>
                    <w:t>50</w:t>
                  </w:r>
                </w:p>
              </w:tc>
              <w:tc>
                <w:tcPr>
                  <w:tcW w:w="1049" w:type="dxa"/>
                  <w:shd w:val="clear" w:color="auto" w:fill="auto"/>
                </w:tcPr>
                <w:p w14:paraId="1D2D1B85" w14:textId="77777777" w:rsidR="00EB7167" w:rsidRPr="00EF0504" w:rsidRDefault="00EB7167" w:rsidP="00EB7167">
                  <w:pPr>
                    <w:pStyle w:val="TableNote"/>
                    <w:spacing w:before="40" w:after="40"/>
                    <w:jc w:val="center"/>
                    <w:rPr>
                      <w:kern w:val="2"/>
                      <w:sz w:val="17"/>
                      <w:szCs w:val="17"/>
                    </w:rPr>
                  </w:pPr>
                  <w:r w:rsidRPr="00EF0504">
                    <w:rPr>
                      <w:kern w:val="2"/>
                      <w:sz w:val="17"/>
                      <w:szCs w:val="17"/>
                    </w:rPr>
                    <w:t>20</w:t>
                  </w:r>
                </w:p>
              </w:tc>
              <w:tc>
                <w:tcPr>
                  <w:tcW w:w="1046" w:type="dxa"/>
                  <w:shd w:val="clear" w:color="auto" w:fill="auto"/>
                </w:tcPr>
                <w:p w14:paraId="66857D27" w14:textId="77777777" w:rsidR="00EB7167" w:rsidRPr="00EF0504" w:rsidRDefault="00EB7167" w:rsidP="00EB7167">
                  <w:pPr>
                    <w:pStyle w:val="TableNote"/>
                    <w:spacing w:before="40" w:after="40"/>
                    <w:jc w:val="center"/>
                    <w:rPr>
                      <w:kern w:val="2"/>
                      <w:sz w:val="17"/>
                      <w:szCs w:val="17"/>
                    </w:rPr>
                  </w:pPr>
                  <w:r w:rsidRPr="00EF0504">
                    <w:rPr>
                      <w:kern w:val="2"/>
                      <w:sz w:val="17"/>
                      <w:szCs w:val="17"/>
                    </w:rPr>
                    <w:t>0</w:t>
                  </w:r>
                </w:p>
              </w:tc>
            </w:tr>
          </w:tbl>
          <w:p w14:paraId="0FEC80A3" w14:textId="77777777" w:rsidR="00BB6221" w:rsidRPr="006A5B2E" w:rsidRDefault="00BB6221" w:rsidP="003848B8">
            <w:pPr>
              <w:pStyle w:val="TableNote"/>
              <w:spacing w:before="40" w:after="40"/>
              <w:rPr>
                <w:sz w:val="17"/>
                <w:szCs w:val="17"/>
              </w:rPr>
            </w:pPr>
          </w:p>
        </w:tc>
      </w:tr>
      <w:tr w:rsidR="00BB6221" w14:paraId="03099DDC" w14:textId="77777777" w:rsidTr="003848B8">
        <w:tc>
          <w:tcPr>
            <w:tcW w:w="9214" w:type="dxa"/>
            <w:gridSpan w:val="2"/>
            <w:shd w:val="clear" w:color="auto" w:fill="F2F2F2"/>
          </w:tcPr>
          <w:p w14:paraId="1962EC22" w14:textId="77777777" w:rsidR="00BB6221" w:rsidRDefault="00BB6221" w:rsidP="003848B8">
            <w:pPr>
              <w:spacing w:before="40" w:after="40"/>
              <w:jc w:val="both"/>
              <w:rPr>
                <w:rFonts w:eastAsia="新細明體"/>
                <w:b/>
                <w:sz w:val="17"/>
                <w:szCs w:val="17"/>
                <w:lang w:eastAsia="en-GB"/>
              </w:rPr>
            </w:pPr>
            <w:r>
              <w:rPr>
                <w:rFonts w:eastAsia="新細明體"/>
                <w:b/>
                <w:sz w:val="17"/>
                <w:szCs w:val="17"/>
                <w:lang w:eastAsia="en-GB"/>
              </w:rPr>
              <w:lastRenderedPageBreak/>
              <w:t>Rows</w:t>
            </w:r>
          </w:p>
        </w:tc>
      </w:tr>
      <w:tr w:rsidR="00BB6221" w14:paraId="04DAB55C" w14:textId="77777777" w:rsidTr="003848B8">
        <w:tc>
          <w:tcPr>
            <w:tcW w:w="665" w:type="dxa"/>
          </w:tcPr>
          <w:p w14:paraId="22F9BBAB" w14:textId="77777777" w:rsidR="00BB6221" w:rsidRDefault="00BB6221" w:rsidP="003848B8">
            <w:pPr>
              <w:keepLines/>
              <w:widowControl w:val="0"/>
              <w:tabs>
                <w:tab w:val="left" w:pos="150"/>
                <w:tab w:val="left" w:pos="397"/>
                <w:tab w:val="left" w:pos="794"/>
                <w:tab w:val="left" w:pos="1191"/>
              </w:tabs>
              <w:spacing w:before="40" w:after="40"/>
              <w:rPr>
                <w:rFonts w:cs="Segoe UI"/>
                <w:sz w:val="17"/>
                <w:szCs w:val="17"/>
              </w:rPr>
            </w:pPr>
            <w:r>
              <w:rPr>
                <w:rFonts w:cs="Segoe UI"/>
                <w:sz w:val="17"/>
                <w:szCs w:val="17"/>
              </w:rPr>
              <w:t>1</w:t>
            </w:r>
          </w:p>
        </w:tc>
        <w:tc>
          <w:tcPr>
            <w:tcW w:w="8549" w:type="dxa"/>
          </w:tcPr>
          <w:p w14:paraId="61A1522F" w14:textId="64FF9547" w:rsidR="00BB6221" w:rsidRDefault="00BB6221" w:rsidP="003848B8">
            <w:pPr>
              <w:keepLines/>
              <w:widowControl w:val="0"/>
              <w:tabs>
                <w:tab w:val="left" w:pos="150"/>
                <w:tab w:val="left" w:pos="397"/>
                <w:tab w:val="left" w:pos="794"/>
                <w:tab w:val="left" w:pos="1191"/>
              </w:tabs>
              <w:spacing w:before="40" w:after="40"/>
              <w:jc w:val="both"/>
              <w:rPr>
                <w:rFonts w:cs="Segoe UI"/>
                <w:sz w:val="17"/>
                <w:szCs w:val="17"/>
              </w:rPr>
            </w:pPr>
            <w:r>
              <w:rPr>
                <w:i/>
                <w:sz w:val="17"/>
                <w:szCs w:val="17"/>
              </w:rPr>
              <w:t>Loans</w:t>
            </w:r>
            <w:r>
              <w:rPr>
                <w:sz w:val="17"/>
                <w:szCs w:val="17"/>
              </w:rPr>
              <w:t>: the scope of loans reported in this row shou</w:t>
            </w:r>
            <w:r w:rsidR="00EB55F3">
              <w:rPr>
                <w:sz w:val="17"/>
                <w:szCs w:val="17"/>
              </w:rPr>
              <w:t>ld be the same as that used in T</w:t>
            </w:r>
            <w:r>
              <w:rPr>
                <w:sz w:val="17"/>
                <w:szCs w:val="17"/>
              </w:rPr>
              <w:t>emplate CR1 (i.e. row 1 therein).</w:t>
            </w:r>
          </w:p>
        </w:tc>
      </w:tr>
      <w:tr w:rsidR="00BB6221" w14:paraId="059A679D" w14:textId="77777777" w:rsidTr="003848B8">
        <w:tc>
          <w:tcPr>
            <w:tcW w:w="665" w:type="dxa"/>
          </w:tcPr>
          <w:p w14:paraId="556C4D8F" w14:textId="77777777" w:rsidR="00BB6221" w:rsidRDefault="00BB6221" w:rsidP="003848B8">
            <w:pPr>
              <w:keepLines/>
              <w:widowControl w:val="0"/>
              <w:tabs>
                <w:tab w:val="left" w:pos="150"/>
                <w:tab w:val="left" w:pos="397"/>
                <w:tab w:val="left" w:pos="794"/>
                <w:tab w:val="left" w:pos="1191"/>
              </w:tabs>
              <w:spacing w:before="40" w:after="40"/>
              <w:rPr>
                <w:rFonts w:cs="Segoe UI"/>
                <w:sz w:val="17"/>
                <w:szCs w:val="17"/>
              </w:rPr>
            </w:pPr>
            <w:r>
              <w:rPr>
                <w:rFonts w:cs="Segoe UI"/>
                <w:sz w:val="17"/>
                <w:szCs w:val="17"/>
              </w:rPr>
              <w:t>2</w:t>
            </w:r>
          </w:p>
        </w:tc>
        <w:tc>
          <w:tcPr>
            <w:tcW w:w="8549" w:type="dxa"/>
          </w:tcPr>
          <w:p w14:paraId="36E83733" w14:textId="257334ED" w:rsidR="00BB6221" w:rsidRDefault="00BB6221" w:rsidP="003848B8">
            <w:pPr>
              <w:keepLines/>
              <w:widowControl w:val="0"/>
              <w:tabs>
                <w:tab w:val="left" w:pos="150"/>
                <w:tab w:val="left" w:pos="397"/>
                <w:tab w:val="left" w:pos="794"/>
                <w:tab w:val="left" w:pos="1191"/>
              </w:tabs>
              <w:spacing w:before="40" w:after="40"/>
              <w:jc w:val="both"/>
              <w:rPr>
                <w:rFonts w:cs="Segoe UI"/>
                <w:sz w:val="17"/>
                <w:szCs w:val="17"/>
                <w:lang w:eastAsia="en-GB"/>
              </w:rPr>
            </w:pPr>
            <w:r>
              <w:rPr>
                <w:i/>
                <w:sz w:val="17"/>
                <w:szCs w:val="17"/>
              </w:rPr>
              <w:t>Debt securities</w:t>
            </w:r>
            <w:r>
              <w:rPr>
                <w:sz w:val="17"/>
                <w:szCs w:val="17"/>
              </w:rPr>
              <w:t>: the scope of debt securities reported in this row shou</w:t>
            </w:r>
            <w:r w:rsidR="00EB55F3">
              <w:rPr>
                <w:sz w:val="17"/>
                <w:szCs w:val="17"/>
              </w:rPr>
              <w:t>ld be the same as that used in T</w:t>
            </w:r>
            <w:r>
              <w:rPr>
                <w:sz w:val="17"/>
                <w:szCs w:val="17"/>
              </w:rPr>
              <w:t>emplate CR1 (i.e. row 2 therein).</w:t>
            </w:r>
          </w:p>
        </w:tc>
      </w:tr>
      <w:tr w:rsidR="00BB6221" w14:paraId="03D6CA62" w14:textId="77777777" w:rsidTr="003848B8">
        <w:tc>
          <w:tcPr>
            <w:tcW w:w="665" w:type="dxa"/>
          </w:tcPr>
          <w:p w14:paraId="0F859B79" w14:textId="77777777" w:rsidR="00BB6221" w:rsidRDefault="00BB6221" w:rsidP="003848B8">
            <w:pPr>
              <w:keepLines/>
              <w:widowControl w:val="0"/>
              <w:tabs>
                <w:tab w:val="left" w:pos="150"/>
                <w:tab w:val="left" w:pos="397"/>
                <w:tab w:val="left" w:pos="794"/>
                <w:tab w:val="left" w:pos="1191"/>
              </w:tabs>
              <w:spacing w:before="40" w:after="40"/>
              <w:rPr>
                <w:rFonts w:cs="Segoe UI"/>
                <w:sz w:val="17"/>
                <w:szCs w:val="17"/>
              </w:rPr>
            </w:pPr>
            <w:r>
              <w:rPr>
                <w:rFonts w:cs="Segoe UI"/>
                <w:sz w:val="17"/>
                <w:szCs w:val="17"/>
              </w:rPr>
              <w:t>3</w:t>
            </w:r>
          </w:p>
        </w:tc>
        <w:tc>
          <w:tcPr>
            <w:tcW w:w="8549" w:type="dxa"/>
          </w:tcPr>
          <w:p w14:paraId="13AA3598" w14:textId="77777777" w:rsidR="00BB6221" w:rsidRDefault="00BB6221" w:rsidP="003848B8">
            <w:pPr>
              <w:keepLines/>
              <w:widowControl w:val="0"/>
              <w:tabs>
                <w:tab w:val="left" w:pos="150"/>
                <w:tab w:val="left" w:pos="397"/>
                <w:tab w:val="left" w:pos="794"/>
                <w:tab w:val="left" w:pos="1191"/>
              </w:tabs>
              <w:spacing w:before="40" w:after="40"/>
              <w:jc w:val="both"/>
              <w:rPr>
                <w:sz w:val="17"/>
                <w:szCs w:val="17"/>
              </w:rPr>
            </w:pPr>
            <w:r>
              <w:rPr>
                <w:rFonts w:cs="Segoe UI"/>
                <w:i/>
                <w:sz w:val="17"/>
                <w:szCs w:val="17"/>
              </w:rPr>
              <w:t>Total</w:t>
            </w:r>
            <w:r>
              <w:rPr>
                <w:rFonts w:cs="Segoe UI"/>
                <w:sz w:val="17"/>
                <w:szCs w:val="17"/>
              </w:rPr>
              <w:t xml:space="preserve">: this row reports the sum of values in rows </w:t>
            </w:r>
            <w:r>
              <w:rPr>
                <w:rFonts w:cs="Segoe UI"/>
                <w:sz w:val="17"/>
                <w:szCs w:val="17"/>
                <w:lang w:eastAsia="en-GB"/>
              </w:rPr>
              <w:t>1 and 2.</w:t>
            </w:r>
          </w:p>
        </w:tc>
      </w:tr>
      <w:tr w:rsidR="00BB6221" w14:paraId="3E255DD2" w14:textId="77777777" w:rsidTr="003848B8">
        <w:tc>
          <w:tcPr>
            <w:tcW w:w="665" w:type="dxa"/>
          </w:tcPr>
          <w:p w14:paraId="621ED3FC" w14:textId="77777777" w:rsidR="00BB6221" w:rsidRDefault="00BB6221" w:rsidP="003848B8">
            <w:pPr>
              <w:keepLines/>
              <w:widowControl w:val="0"/>
              <w:tabs>
                <w:tab w:val="left" w:pos="150"/>
                <w:tab w:val="left" w:pos="397"/>
                <w:tab w:val="left" w:pos="794"/>
                <w:tab w:val="left" w:pos="1191"/>
              </w:tabs>
              <w:spacing w:before="40" w:after="40"/>
              <w:rPr>
                <w:rFonts w:cs="Segoe UI"/>
                <w:sz w:val="17"/>
                <w:szCs w:val="17"/>
              </w:rPr>
            </w:pPr>
            <w:r>
              <w:rPr>
                <w:rFonts w:cs="Segoe UI"/>
                <w:sz w:val="17"/>
                <w:szCs w:val="17"/>
              </w:rPr>
              <w:t>4</w:t>
            </w:r>
          </w:p>
        </w:tc>
        <w:tc>
          <w:tcPr>
            <w:tcW w:w="8549" w:type="dxa"/>
          </w:tcPr>
          <w:p w14:paraId="53B76833" w14:textId="1FAC2917" w:rsidR="00BB6221" w:rsidRDefault="00BB6221" w:rsidP="003848B8">
            <w:pPr>
              <w:pStyle w:val="TableNote"/>
              <w:spacing w:before="40" w:after="40"/>
              <w:rPr>
                <w:rFonts w:cs="Segoe UI"/>
                <w:sz w:val="17"/>
                <w:szCs w:val="17"/>
              </w:rPr>
            </w:pPr>
            <w:r>
              <w:rPr>
                <w:rFonts w:cs="Segoe UI"/>
                <w:i/>
                <w:sz w:val="17"/>
                <w:lang w:eastAsia="en-GB"/>
              </w:rPr>
              <w:t>Of which defaulted</w:t>
            </w:r>
            <w:r>
              <w:rPr>
                <w:rFonts w:cs="Segoe UI"/>
                <w:sz w:val="17"/>
                <w:lang w:eastAsia="en-GB"/>
              </w:rPr>
              <w:t>:</w:t>
            </w:r>
            <w:r>
              <w:rPr>
                <w:sz w:val="17"/>
                <w:szCs w:val="17"/>
              </w:rPr>
              <w:t xml:space="preserve"> the portion of the amount in row 3 which has been defaulted.  The definition of “default” used in this row shou</w:t>
            </w:r>
            <w:r w:rsidR="00EB55F3">
              <w:rPr>
                <w:sz w:val="17"/>
                <w:szCs w:val="17"/>
              </w:rPr>
              <w:t>ld be the same as that used in T</w:t>
            </w:r>
            <w:r>
              <w:rPr>
                <w:sz w:val="17"/>
                <w:szCs w:val="17"/>
              </w:rPr>
              <w:t>emplate CR1.</w:t>
            </w:r>
          </w:p>
        </w:tc>
      </w:tr>
    </w:tbl>
    <w:p w14:paraId="5A943552" w14:textId="77777777" w:rsidR="00457D5F" w:rsidRDefault="00457D5F" w:rsidP="00702EC3">
      <w:pPr>
        <w:keepNext/>
        <w:keepLines/>
        <w:tabs>
          <w:tab w:val="left" w:pos="567"/>
        </w:tabs>
        <w:spacing w:after="360"/>
        <w:ind w:rightChars="-142" w:right="-284"/>
        <w:outlineLvl w:val="0"/>
        <w:rPr>
          <w:color w:val="AA322F"/>
          <w:sz w:val="28"/>
        </w:rPr>
        <w:sectPr w:rsidR="00457D5F">
          <w:footerReference w:type="default" r:id="rId47"/>
          <w:pgSz w:w="11906" w:h="16838" w:code="9"/>
          <w:pgMar w:top="1440" w:right="1797" w:bottom="1440" w:left="1797" w:header="851" w:footer="737" w:gutter="0"/>
          <w:cols w:space="425"/>
          <w:docGrid w:type="linesAndChars" w:linePitch="360"/>
        </w:sectPr>
      </w:pPr>
    </w:p>
    <w:p w14:paraId="40DD7EA6" w14:textId="310C206D" w:rsidR="00513F69" w:rsidRPr="00E214B0" w:rsidRDefault="00513F69" w:rsidP="0093073A">
      <w:pPr>
        <w:pStyle w:val="IndentedHeading2"/>
        <w:keepNext/>
        <w:numPr>
          <w:ilvl w:val="0"/>
          <w:numId w:val="6"/>
        </w:numPr>
        <w:ind w:left="0" w:hanging="426"/>
      </w:pPr>
      <w:r w:rsidRPr="00046213">
        <w:rPr>
          <w:b w:val="0"/>
        </w:rPr>
        <w:lastRenderedPageBreak/>
        <w:t>Credit risk under standardized (credit risk) approach</w:t>
      </w:r>
    </w:p>
    <w:p w14:paraId="572E346A" w14:textId="3D354D26" w:rsidR="00BE0623" w:rsidRPr="00B97601" w:rsidRDefault="00B97601" w:rsidP="008711E0">
      <w:pPr>
        <w:pStyle w:val="Heading3"/>
        <w:ind w:left="-397"/>
        <w:rPr>
          <w:sz w:val="20"/>
        </w:rPr>
      </w:pPr>
      <w:r>
        <w:t>Table CRD: Qualitative disclosures on use of ECAI ratings under STC approach</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B97601" w14:paraId="685D7708" w14:textId="77777777" w:rsidTr="006C63B0">
        <w:tc>
          <w:tcPr>
            <w:tcW w:w="2008" w:type="dxa"/>
          </w:tcPr>
          <w:p w14:paraId="07067622" w14:textId="77777777" w:rsidR="00B97601" w:rsidRDefault="00B97601" w:rsidP="006C63B0">
            <w:pPr>
              <w:spacing w:before="40" w:after="40"/>
              <w:rPr>
                <w:noProof/>
                <w:sz w:val="17"/>
                <w:lang w:eastAsia="en-GB"/>
              </w:rPr>
            </w:pPr>
            <w:r>
              <w:rPr>
                <w:b/>
                <w:sz w:val="17"/>
                <w:lang w:eastAsia="en-GB"/>
              </w:rPr>
              <w:t>Purpose:</w:t>
            </w:r>
          </w:p>
        </w:tc>
        <w:tc>
          <w:tcPr>
            <w:tcW w:w="7234" w:type="dxa"/>
          </w:tcPr>
          <w:p w14:paraId="1DEEAC87" w14:textId="77777777" w:rsidR="00B97601" w:rsidRDefault="00B97601" w:rsidP="006C63B0">
            <w:pPr>
              <w:pStyle w:val="TableText"/>
              <w:jc w:val="both"/>
              <w:rPr>
                <w:lang w:eastAsia="en-GB"/>
              </w:rPr>
            </w:pPr>
            <w:r>
              <w:rPr>
                <w:lang w:eastAsia="en-GB"/>
              </w:rPr>
              <w:t>To provide information on the process adopted for using ECAI ratings and the extent to which the ratings are used for RWA calculation.</w:t>
            </w:r>
          </w:p>
        </w:tc>
      </w:tr>
      <w:tr w:rsidR="00B97601" w14:paraId="6120D907" w14:textId="77777777" w:rsidTr="006C63B0">
        <w:tc>
          <w:tcPr>
            <w:tcW w:w="2008" w:type="dxa"/>
          </w:tcPr>
          <w:p w14:paraId="64AC4C64" w14:textId="77777777" w:rsidR="00B97601" w:rsidRDefault="00B97601" w:rsidP="006C63B0">
            <w:pPr>
              <w:spacing w:before="40" w:after="40"/>
              <w:rPr>
                <w:b/>
                <w:sz w:val="17"/>
                <w:lang w:eastAsia="en-GB"/>
              </w:rPr>
            </w:pPr>
            <w:r>
              <w:rPr>
                <w:b/>
                <w:sz w:val="17"/>
                <w:lang w:eastAsia="en-GB"/>
              </w:rPr>
              <w:t>Scope of application:</w:t>
            </w:r>
          </w:p>
        </w:tc>
        <w:tc>
          <w:tcPr>
            <w:tcW w:w="7234" w:type="dxa"/>
          </w:tcPr>
          <w:p w14:paraId="40FB740A" w14:textId="77777777" w:rsidR="00B97601" w:rsidRDefault="00B97601" w:rsidP="006C63B0">
            <w:pPr>
              <w:spacing w:before="40" w:after="40"/>
              <w:jc w:val="both"/>
              <w:rPr>
                <w:szCs w:val="17"/>
              </w:rPr>
            </w:pPr>
            <w:r>
              <w:rPr>
                <w:sz w:val="17"/>
                <w:lang w:eastAsia="en-GB"/>
              </w:rPr>
              <w:t xml:space="preserve">The table is mandatory for AIs incorporated in Hong Kong that use the STC approach for calculating all or part of their credit risk capital requirement.  AIs that use the BSC approach are not subject to the disclosure requirements of this table.  For IRB AIs with exposures subject to the STC approach, such exposures should also be reported using this table.  However, an AI may choose not to disclose the information required in this table provided that the following conditions are met: </w:t>
            </w:r>
          </w:p>
          <w:p w14:paraId="099F8A10" w14:textId="77777777" w:rsidR="00B97601" w:rsidRDefault="00B97601" w:rsidP="002F6C7F">
            <w:pPr>
              <w:pStyle w:val="Default"/>
              <w:numPr>
                <w:ilvl w:val="0"/>
                <w:numId w:val="66"/>
              </w:numPr>
              <w:tabs>
                <w:tab w:val="clear" w:pos="851"/>
              </w:tabs>
              <w:ind w:left="478" w:hanging="515"/>
              <w:jc w:val="both"/>
              <w:rPr>
                <w:sz w:val="17"/>
                <w:szCs w:val="17"/>
              </w:rPr>
            </w:pPr>
            <w:r>
              <w:rPr>
                <w:sz w:val="17"/>
                <w:szCs w:val="17"/>
              </w:rPr>
              <w:t>the exposure amounts and RWA calculated under the STC approach are negligible;</w:t>
            </w:r>
          </w:p>
          <w:p w14:paraId="488046E7" w14:textId="77777777" w:rsidR="00B97601" w:rsidRDefault="00B97601" w:rsidP="002F6C7F">
            <w:pPr>
              <w:pStyle w:val="Default"/>
              <w:numPr>
                <w:ilvl w:val="0"/>
                <w:numId w:val="66"/>
              </w:numPr>
              <w:ind w:left="478" w:hanging="515"/>
              <w:jc w:val="both"/>
              <w:rPr>
                <w:sz w:val="17"/>
                <w:szCs w:val="17"/>
              </w:rPr>
            </w:pPr>
            <w:r>
              <w:rPr>
                <w:sz w:val="17"/>
                <w:szCs w:val="17"/>
              </w:rPr>
              <w:t xml:space="preserve">the AI has clearly stated this fact in the disclosure statement; and </w:t>
            </w:r>
          </w:p>
          <w:p w14:paraId="7C2CE381" w14:textId="77777777" w:rsidR="00B97601" w:rsidRDefault="00B97601" w:rsidP="002F6C7F">
            <w:pPr>
              <w:pStyle w:val="Default"/>
              <w:numPr>
                <w:ilvl w:val="0"/>
                <w:numId w:val="66"/>
              </w:numPr>
              <w:ind w:left="478" w:hanging="515"/>
              <w:jc w:val="both"/>
              <w:rPr>
                <w:sz w:val="17"/>
                <w:szCs w:val="17"/>
                <w:lang w:eastAsia="en-GB"/>
              </w:rPr>
            </w:pPr>
            <w:r>
              <w:rPr>
                <w:sz w:val="17"/>
                <w:szCs w:val="17"/>
              </w:rPr>
              <w:t>the AI has explained in a narrative commentary why it considers the information not to be meaningful to information users, including a description of the portfolios concerned and the aggregate total RWAs these portfolios represent.</w:t>
            </w:r>
            <w:r>
              <w:rPr>
                <w:sz w:val="17"/>
                <w:lang w:eastAsia="en-GB"/>
              </w:rPr>
              <w:t xml:space="preserve"> </w:t>
            </w:r>
          </w:p>
        </w:tc>
      </w:tr>
      <w:tr w:rsidR="00B97601" w14:paraId="13D3B304" w14:textId="77777777" w:rsidTr="006C63B0">
        <w:tc>
          <w:tcPr>
            <w:tcW w:w="2008" w:type="dxa"/>
          </w:tcPr>
          <w:p w14:paraId="4432C379" w14:textId="77777777" w:rsidR="00B97601" w:rsidRDefault="00B97601" w:rsidP="006C63B0">
            <w:pPr>
              <w:spacing w:before="40" w:after="40"/>
              <w:rPr>
                <w:b/>
                <w:sz w:val="17"/>
                <w:lang w:eastAsia="en-GB"/>
              </w:rPr>
            </w:pPr>
            <w:r>
              <w:rPr>
                <w:b/>
                <w:sz w:val="17"/>
                <w:lang w:eastAsia="en-GB"/>
              </w:rPr>
              <w:t>Content:</w:t>
            </w:r>
          </w:p>
        </w:tc>
        <w:tc>
          <w:tcPr>
            <w:tcW w:w="7234" w:type="dxa"/>
          </w:tcPr>
          <w:p w14:paraId="6A81E24E" w14:textId="77777777" w:rsidR="00B97601" w:rsidRDefault="00B97601" w:rsidP="006C63B0">
            <w:pPr>
              <w:spacing w:before="40" w:after="40"/>
              <w:jc w:val="both"/>
              <w:rPr>
                <w:sz w:val="17"/>
                <w:lang w:eastAsia="en-GB"/>
              </w:rPr>
            </w:pPr>
            <w:r>
              <w:rPr>
                <w:sz w:val="17"/>
                <w:lang w:eastAsia="en-GB"/>
              </w:rPr>
              <w:t>Qualitative information.</w:t>
            </w:r>
          </w:p>
        </w:tc>
      </w:tr>
      <w:tr w:rsidR="00B97601" w14:paraId="0BAFA0A1" w14:textId="77777777" w:rsidTr="006C63B0">
        <w:tc>
          <w:tcPr>
            <w:tcW w:w="2008" w:type="dxa"/>
          </w:tcPr>
          <w:p w14:paraId="3B874A6A" w14:textId="77777777" w:rsidR="00B97601" w:rsidRDefault="00B97601" w:rsidP="006C63B0">
            <w:pPr>
              <w:spacing w:before="40" w:after="40"/>
              <w:rPr>
                <w:sz w:val="17"/>
                <w:lang w:eastAsia="en-GB"/>
              </w:rPr>
            </w:pPr>
            <w:r>
              <w:rPr>
                <w:b/>
                <w:sz w:val="17"/>
                <w:lang w:eastAsia="en-GB"/>
              </w:rPr>
              <w:t>Frequency:</w:t>
            </w:r>
          </w:p>
        </w:tc>
        <w:tc>
          <w:tcPr>
            <w:tcW w:w="7234" w:type="dxa"/>
          </w:tcPr>
          <w:p w14:paraId="503E938E" w14:textId="77777777" w:rsidR="00B97601" w:rsidRDefault="00B97601" w:rsidP="006C63B0">
            <w:pPr>
              <w:pStyle w:val="TableText"/>
              <w:jc w:val="both"/>
              <w:rPr>
                <w:lang w:eastAsia="en-GB"/>
              </w:rPr>
            </w:pPr>
            <w:r>
              <w:rPr>
                <w:lang w:eastAsia="en-GB"/>
              </w:rPr>
              <w:t>Annual.</w:t>
            </w:r>
          </w:p>
        </w:tc>
      </w:tr>
      <w:tr w:rsidR="00B97601" w14:paraId="6A503F38" w14:textId="77777777" w:rsidTr="006C63B0">
        <w:tc>
          <w:tcPr>
            <w:tcW w:w="2008" w:type="dxa"/>
          </w:tcPr>
          <w:p w14:paraId="6BB2057F" w14:textId="77777777" w:rsidR="00B97601" w:rsidRDefault="00B97601" w:rsidP="006C63B0">
            <w:pPr>
              <w:spacing w:before="40" w:after="40"/>
              <w:rPr>
                <w:sz w:val="17"/>
                <w:lang w:eastAsia="en-GB"/>
              </w:rPr>
            </w:pPr>
            <w:r>
              <w:rPr>
                <w:b/>
                <w:sz w:val="17"/>
                <w:lang w:eastAsia="en-GB"/>
              </w:rPr>
              <w:t>Format:</w:t>
            </w:r>
          </w:p>
        </w:tc>
        <w:tc>
          <w:tcPr>
            <w:tcW w:w="7234" w:type="dxa"/>
          </w:tcPr>
          <w:p w14:paraId="2789BE24" w14:textId="77777777" w:rsidR="00B97601" w:rsidRDefault="00B97601" w:rsidP="006C63B0">
            <w:pPr>
              <w:pStyle w:val="TableText"/>
              <w:jc w:val="both"/>
              <w:rPr>
                <w:lang w:eastAsia="en-GB"/>
              </w:rPr>
            </w:pPr>
            <w:r>
              <w:rPr>
                <w:lang w:eastAsia="en-GB"/>
              </w:rPr>
              <w:t>Flexible.</w:t>
            </w:r>
          </w:p>
        </w:tc>
      </w:tr>
      <w:tr w:rsidR="00B97601" w14:paraId="769F5CC7" w14:textId="77777777" w:rsidTr="006C63B0">
        <w:tc>
          <w:tcPr>
            <w:tcW w:w="2008" w:type="dxa"/>
          </w:tcPr>
          <w:p w14:paraId="239646E0" w14:textId="77777777" w:rsidR="00B97601" w:rsidRDefault="00B97601" w:rsidP="006C63B0">
            <w:pPr>
              <w:spacing w:before="40" w:after="40"/>
              <w:rPr>
                <w:b/>
                <w:sz w:val="17"/>
                <w:lang w:eastAsia="en-GB"/>
              </w:rPr>
            </w:pPr>
            <w:r>
              <w:rPr>
                <w:b/>
                <w:sz w:val="17"/>
                <w:lang w:eastAsia="en-GB"/>
              </w:rPr>
              <w:t>Corresponding BDR section:</w:t>
            </w:r>
          </w:p>
        </w:tc>
        <w:tc>
          <w:tcPr>
            <w:tcW w:w="7234" w:type="dxa"/>
          </w:tcPr>
          <w:p w14:paraId="5729B8B2" w14:textId="77777777" w:rsidR="00B97601" w:rsidRDefault="00B97601" w:rsidP="006C63B0">
            <w:pPr>
              <w:pStyle w:val="TableText"/>
              <w:jc w:val="both"/>
              <w:rPr>
                <w:lang w:eastAsia="en-GB"/>
              </w:rPr>
            </w:pPr>
            <w:r>
              <w:rPr>
                <w:lang w:eastAsia="en-GB"/>
              </w:rPr>
              <w:t>16M</w:t>
            </w:r>
          </w:p>
        </w:tc>
      </w:tr>
    </w:tbl>
    <w:p w14:paraId="0B9269E3" w14:textId="77777777" w:rsidR="00B97601" w:rsidRDefault="00B97601" w:rsidP="00BE0623">
      <w:pPr>
        <w:spacing w:before="120" w:after="120"/>
        <w:rPr>
          <w:sz w:val="22"/>
        </w:rPr>
      </w:pPr>
    </w:p>
    <w:tbl>
      <w:tblPr>
        <w:tblW w:w="9242" w:type="dxa"/>
        <w:jc w:val="center"/>
        <w:tblCellMar>
          <w:left w:w="70" w:type="dxa"/>
          <w:right w:w="70" w:type="dxa"/>
        </w:tblCellMar>
        <w:tblLook w:val="00A0" w:firstRow="1" w:lastRow="0" w:firstColumn="1" w:lastColumn="0" w:noHBand="0" w:noVBand="0"/>
      </w:tblPr>
      <w:tblGrid>
        <w:gridCol w:w="370"/>
        <w:gridCol w:w="8872"/>
      </w:tblGrid>
      <w:tr w:rsidR="00BE0623" w14:paraId="15FD5269" w14:textId="77777777" w:rsidTr="006C63B0">
        <w:trPr>
          <w:trHeight w:val="448"/>
          <w:jc w:val="center"/>
        </w:trPr>
        <w:tc>
          <w:tcPr>
            <w:tcW w:w="9242" w:type="dxa"/>
            <w:gridSpan w:val="2"/>
            <w:tcBorders>
              <w:top w:val="single" w:sz="4" w:space="0" w:color="auto"/>
              <w:bottom w:val="single" w:sz="4" w:space="0" w:color="auto"/>
            </w:tcBorders>
            <w:vAlign w:val="center"/>
          </w:tcPr>
          <w:p w14:paraId="229DACDD" w14:textId="77777777" w:rsidR="00BE0623" w:rsidRDefault="00BE0623" w:rsidP="006C63B0">
            <w:pPr>
              <w:widowControl w:val="0"/>
              <w:spacing w:before="40" w:after="40"/>
              <w:jc w:val="both"/>
              <w:rPr>
                <w:sz w:val="17"/>
                <w:szCs w:val="17"/>
              </w:rPr>
            </w:pPr>
            <w:r>
              <w:rPr>
                <w:sz w:val="17"/>
                <w:szCs w:val="17"/>
                <w:lang w:eastAsia="fr-FR"/>
              </w:rPr>
              <w:t>For portfolios that are risk-weighted under the STC approach, an AI should disclose the following information:</w:t>
            </w:r>
          </w:p>
        </w:tc>
      </w:tr>
      <w:tr w:rsidR="00BE0623" w14:paraId="311484FB" w14:textId="77777777" w:rsidTr="006C63B0">
        <w:trPr>
          <w:trHeight w:val="318"/>
          <w:jc w:val="center"/>
        </w:trPr>
        <w:tc>
          <w:tcPr>
            <w:tcW w:w="370" w:type="dxa"/>
            <w:tcBorders>
              <w:top w:val="single" w:sz="4" w:space="0" w:color="auto"/>
              <w:bottom w:val="single" w:sz="4" w:space="0" w:color="auto"/>
            </w:tcBorders>
            <w:noWrap/>
          </w:tcPr>
          <w:p w14:paraId="324F3B7F" w14:textId="77777777" w:rsidR="00BE0623" w:rsidRDefault="00BE0623" w:rsidP="006C63B0">
            <w:pPr>
              <w:widowControl w:val="0"/>
              <w:spacing w:before="40" w:after="40"/>
              <w:rPr>
                <w:sz w:val="17"/>
                <w:szCs w:val="17"/>
              </w:rPr>
            </w:pPr>
            <w:r>
              <w:rPr>
                <w:sz w:val="17"/>
                <w:szCs w:val="17"/>
              </w:rPr>
              <w:t>(a)</w:t>
            </w:r>
          </w:p>
        </w:tc>
        <w:tc>
          <w:tcPr>
            <w:tcW w:w="8872" w:type="dxa"/>
            <w:tcBorders>
              <w:top w:val="single" w:sz="4" w:space="0" w:color="auto"/>
              <w:bottom w:val="single" w:sz="4" w:space="0" w:color="auto"/>
            </w:tcBorders>
            <w:noWrap/>
            <w:vAlign w:val="center"/>
          </w:tcPr>
          <w:p w14:paraId="24AA3734" w14:textId="45CC6C31" w:rsidR="00BE0623" w:rsidRDefault="001B54C7" w:rsidP="006C63B0">
            <w:pPr>
              <w:pStyle w:val="TableText"/>
              <w:jc w:val="both"/>
              <w:rPr>
                <w:szCs w:val="17"/>
                <w:lang w:eastAsia="fr-FR"/>
              </w:rPr>
            </w:pPr>
            <w:r>
              <w:rPr>
                <w:noProof/>
                <w:szCs w:val="17"/>
                <w:lang w:eastAsia="en-GB"/>
              </w:rPr>
              <w:t>n</w:t>
            </w:r>
            <w:r w:rsidR="00BE0623">
              <w:rPr>
                <w:noProof/>
                <w:szCs w:val="17"/>
                <w:lang w:eastAsia="en-GB"/>
              </w:rPr>
              <w:t>ames of the ECAIs used by the AI, and the reasons for any changes over the current reporting period;</w:t>
            </w:r>
          </w:p>
        </w:tc>
      </w:tr>
      <w:tr w:rsidR="00BE0623" w14:paraId="3A1399DE" w14:textId="77777777" w:rsidTr="006C63B0">
        <w:trPr>
          <w:trHeight w:val="318"/>
          <w:jc w:val="center"/>
        </w:trPr>
        <w:tc>
          <w:tcPr>
            <w:tcW w:w="370" w:type="dxa"/>
            <w:tcBorders>
              <w:top w:val="single" w:sz="4" w:space="0" w:color="auto"/>
              <w:bottom w:val="single" w:sz="4" w:space="0" w:color="auto"/>
            </w:tcBorders>
            <w:noWrap/>
          </w:tcPr>
          <w:p w14:paraId="7B3E68C5" w14:textId="77777777" w:rsidR="00BE0623" w:rsidRDefault="00BE0623" w:rsidP="006C63B0">
            <w:pPr>
              <w:widowControl w:val="0"/>
              <w:spacing w:before="40" w:after="40"/>
              <w:rPr>
                <w:sz w:val="17"/>
                <w:szCs w:val="17"/>
              </w:rPr>
            </w:pPr>
            <w:r>
              <w:rPr>
                <w:sz w:val="17"/>
                <w:szCs w:val="17"/>
              </w:rPr>
              <w:t>(b)</w:t>
            </w:r>
          </w:p>
        </w:tc>
        <w:tc>
          <w:tcPr>
            <w:tcW w:w="8872" w:type="dxa"/>
            <w:tcBorders>
              <w:top w:val="single" w:sz="4" w:space="0" w:color="auto"/>
              <w:bottom w:val="single" w:sz="4" w:space="0" w:color="auto"/>
            </w:tcBorders>
            <w:noWrap/>
            <w:vAlign w:val="center"/>
          </w:tcPr>
          <w:p w14:paraId="24465ABC" w14:textId="32DB5016" w:rsidR="00BE0623" w:rsidRDefault="001B54C7" w:rsidP="006C63B0">
            <w:pPr>
              <w:pStyle w:val="TableText"/>
              <w:jc w:val="both"/>
              <w:rPr>
                <w:szCs w:val="17"/>
                <w:lang w:eastAsia="fr-FR"/>
              </w:rPr>
            </w:pPr>
            <w:r>
              <w:rPr>
                <w:noProof/>
                <w:szCs w:val="17"/>
                <w:lang w:eastAsia="en-GB"/>
              </w:rPr>
              <w:t>t</w:t>
            </w:r>
            <w:r w:rsidR="00BE0623">
              <w:rPr>
                <w:noProof/>
                <w:szCs w:val="17"/>
                <w:lang w:eastAsia="en-GB"/>
              </w:rPr>
              <w:t>he exposure classes for which each ECAI is used; and</w:t>
            </w:r>
          </w:p>
        </w:tc>
      </w:tr>
      <w:tr w:rsidR="00BE0623" w14:paraId="14D59A5E" w14:textId="77777777" w:rsidTr="006C63B0">
        <w:trPr>
          <w:trHeight w:val="318"/>
          <w:jc w:val="center"/>
        </w:trPr>
        <w:tc>
          <w:tcPr>
            <w:tcW w:w="370" w:type="dxa"/>
            <w:tcBorders>
              <w:top w:val="single" w:sz="4" w:space="0" w:color="auto"/>
              <w:bottom w:val="single" w:sz="4" w:space="0" w:color="auto"/>
            </w:tcBorders>
            <w:noWrap/>
          </w:tcPr>
          <w:p w14:paraId="1D029CA3" w14:textId="77777777" w:rsidR="00BE0623" w:rsidRDefault="00BE0623" w:rsidP="006C63B0">
            <w:pPr>
              <w:widowControl w:val="0"/>
              <w:spacing w:before="40" w:after="40"/>
              <w:rPr>
                <w:sz w:val="17"/>
                <w:szCs w:val="17"/>
              </w:rPr>
            </w:pPr>
            <w:r>
              <w:rPr>
                <w:sz w:val="17"/>
                <w:szCs w:val="17"/>
              </w:rPr>
              <w:t>(c)</w:t>
            </w:r>
          </w:p>
        </w:tc>
        <w:tc>
          <w:tcPr>
            <w:tcW w:w="8872" w:type="dxa"/>
            <w:tcBorders>
              <w:top w:val="single" w:sz="4" w:space="0" w:color="auto"/>
              <w:bottom w:val="single" w:sz="4" w:space="0" w:color="auto"/>
            </w:tcBorders>
            <w:noWrap/>
            <w:vAlign w:val="center"/>
          </w:tcPr>
          <w:p w14:paraId="083FDB88" w14:textId="102C9080" w:rsidR="00BE0623" w:rsidRDefault="001B54C7" w:rsidP="00EF3A20">
            <w:pPr>
              <w:pStyle w:val="TableText"/>
              <w:jc w:val="both"/>
              <w:rPr>
                <w:noProof/>
                <w:szCs w:val="17"/>
                <w:lang w:eastAsia="en-GB"/>
              </w:rPr>
            </w:pPr>
            <w:r>
              <w:rPr>
                <w:noProof/>
                <w:szCs w:val="17"/>
                <w:lang w:eastAsia="en-GB"/>
              </w:rPr>
              <w:t>d</w:t>
            </w:r>
            <w:r w:rsidR="00BE0623">
              <w:rPr>
                <w:noProof/>
                <w:szCs w:val="17"/>
                <w:lang w:eastAsia="en-GB"/>
              </w:rPr>
              <w:t xml:space="preserve">escription of the process used to transfer the ECAI issuer rating to ECAI issue specific rating onto comparable </w:t>
            </w:r>
            <w:r w:rsidR="00EF3A20">
              <w:rPr>
                <w:noProof/>
                <w:szCs w:val="17"/>
                <w:lang w:eastAsia="en-GB"/>
              </w:rPr>
              <w:t>exposures</w:t>
            </w:r>
            <w:r w:rsidR="00BE0623">
              <w:rPr>
                <w:noProof/>
                <w:szCs w:val="17"/>
                <w:lang w:eastAsia="en-GB"/>
              </w:rPr>
              <w:t xml:space="preserve"> in the banking book.</w:t>
            </w:r>
          </w:p>
        </w:tc>
      </w:tr>
    </w:tbl>
    <w:p w14:paraId="618FD732" w14:textId="78A4E480" w:rsidR="00BE0623" w:rsidRDefault="00BE0623" w:rsidP="00BE0623">
      <w:pPr>
        <w:rPr>
          <w:rFonts w:eastAsia="新細明體"/>
          <w:lang w:eastAsia="zh-TW"/>
        </w:rPr>
        <w:sectPr w:rsidR="00BE0623">
          <w:footerReference w:type="default" r:id="rId48"/>
          <w:pgSz w:w="11906" w:h="16838" w:code="9"/>
          <w:pgMar w:top="1440" w:right="1797" w:bottom="1440" w:left="1797" w:header="851" w:footer="737" w:gutter="0"/>
          <w:cols w:space="425"/>
          <w:docGrid w:type="linesAndChars" w:linePitch="360"/>
        </w:sectPr>
      </w:pPr>
    </w:p>
    <w:p w14:paraId="14059CBC" w14:textId="77777777" w:rsidR="001929CC" w:rsidRDefault="001929CC" w:rsidP="001929CC">
      <w:pPr>
        <w:pStyle w:val="Heading3"/>
        <w:ind w:left="142"/>
      </w:pPr>
      <w:r>
        <w:lastRenderedPageBreak/>
        <w:t>Template CR4: Credit risk exposures and effects of recognized credit risk mitigation – for STC approach or BSC approach</w:t>
      </w:r>
    </w:p>
    <w:tbl>
      <w:tblPr>
        <w:tblW w:w="13892" w:type="dxa"/>
        <w:tblInd w:w="108"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552"/>
        <w:gridCol w:w="11340"/>
      </w:tblGrid>
      <w:tr w:rsidR="001929CC" w14:paraId="39ACE583" w14:textId="77777777" w:rsidTr="001929CC">
        <w:tc>
          <w:tcPr>
            <w:tcW w:w="2552" w:type="dxa"/>
          </w:tcPr>
          <w:p w14:paraId="365A97FD" w14:textId="77777777" w:rsidR="001929CC" w:rsidRDefault="001929CC" w:rsidP="001929CC">
            <w:pPr>
              <w:spacing w:before="40" w:after="40"/>
              <w:rPr>
                <w:noProof/>
                <w:sz w:val="17"/>
                <w:szCs w:val="17"/>
                <w:lang w:eastAsia="en-GB"/>
              </w:rPr>
            </w:pPr>
            <w:r>
              <w:rPr>
                <w:b/>
                <w:sz w:val="17"/>
                <w:szCs w:val="17"/>
                <w:lang w:eastAsia="en-GB"/>
              </w:rPr>
              <w:t>Purpose:</w:t>
            </w:r>
          </w:p>
        </w:tc>
        <w:tc>
          <w:tcPr>
            <w:tcW w:w="11340" w:type="dxa"/>
          </w:tcPr>
          <w:p w14:paraId="4C858785" w14:textId="77777777" w:rsidR="001929CC" w:rsidRDefault="001929CC" w:rsidP="001929CC">
            <w:pPr>
              <w:pStyle w:val="TableText"/>
              <w:ind w:left="4"/>
              <w:jc w:val="both"/>
              <w:rPr>
                <w:lang w:eastAsia="en-GB"/>
              </w:rPr>
            </w:pPr>
            <w:r>
              <w:t>To illustrate the effect of any recognized CRM (including recognized collateral under both comprehensive and simple approaches) on the calculation of capital requirements.  RWA density provides a synthetic metric on riskiness of each portfolio.</w:t>
            </w:r>
          </w:p>
        </w:tc>
      </w:tr>
      <w:tr w:rsidR="001929CC" w14:paraId="3C4755D9" w14:textId="77777777" w:rsidTr="001929CC">
        <w:tc>
          <w:tcPr>
            <w:tcW w:w="2552" w:type="dxa"/>
          </w:tcPr>
          <w:p w14:paraId="38EDB785" w14:textId="77777777" w:rsidR="001929CC" w:rsidRDefault="001929CC" w:rsidP="001929CC">
            <w:pPr>
              <w:spacing w:before="40" w:after="40"/>
              <w:rPr>
                <w:b/>
                <w:sz w:val="17"/>
                <w:szCs w:val="17"/>
                <w:lang w:eastAsia="en-GB"/>
              </w:rPr>
            </w:pPr>
            <w:r>
              <w:rPr>
                <w:b/>
                <w:sz w:val="17"/>
                <w:szCs w:val="17"/>
                <w:lang w:eastAsia="en-GB"/>
              </w:rPr>
              <w:t>Scope of application:</w:t>
            </w:r>
          </w:p>
        </w:tc>
        <w:tc>
          <w:tcPr>
            <w:tcW w:w="11340" w:type="dxa"/>
          </w:tcPr>
          <w:p w14:paraId="12A6367F" w14:textId="77777777" w:rsidR="001929CC" w:rsidRDefault="001929CC" w:rsidP="001929CC">
            <w:pPr>
              <w:spacing w:before="40" w:after="40"/>
              <w:ind w:left="4"/>
              <w:jc w:val="both"/>
              <w:rPr>
                <w:szCs w:val="17"/>
              </w:rPr>
            </w:pPr>
            <w:r>
              <w:rPr>
                <w:rFonts w:eastAsia="新細明體"/>
                <w:sz w:val="17"/>
                <w:lang w:eastAsia="en-GB"/>
              </w:rPr>
              <w:t xml:space="preserve">The template, which comprises a STC version and a BSC version, is mandatory for AIs incorporated in Hong Kong that have credit risk exposures subject to the STC approach or the BSC approach.  The STC version of this template is to be completed by AIs that use the STC approach and the BSC version by AIs that use the BSC approach.  IRB </w:t>
            </w:r>
            <w:r>
              <w:rPr>
                <w:sz w:val="17"/>
                <w:lang w:eastAsia="en-GB"/>
              </w:rPr>
              <w:t xml:space="preserve">AIs with exposures subject to the STC approach should report such exposures in the STC version.  However, an AI may choose not to disclose the information required in this template provided that the following conditions are met: </w:t>
            </w:r>
          </w:p>
          <w:p w14:paraId="0D855D10" w14:textId="77777777" w:rsidR="001929CC" w:rsidRDefault="001929CC" w:rsidP="008D652E">
            <w:pPr>
              <w:pStyle w:val="ListParagraph"/>
              <w:numPr>
                <w:ilvl w:val="0"/>
                <w:numId w:val="67"/>
              </w:numPr>
              <w:tabs>
                <w:tab w:val="left" w:pos="459"/>
              </w:tabs>
              <w:spacing w:before="40" w:after="40"/>
              <w:ind w:leftChars="0" w:left="492" w:hanging="426"/>
              <w:jc w:val="both"/>
              <w:rPr>
                <w:sz w:val="17"/>
                <w:szCs w:val="17"/>
              </w:rPr>
            </w:pPr>
            <w:r>
              <w:rPr>
                <w:rFonts w:eastAsia="新細明體" w:cs="Segoe UI"/>
                <w:color w:val="000000"/>
                <w:sz w:val="17"/>
                <w:szCs w:val="17"/>
                <w:lang w:val="en-US" w:eastAsia="zh-TW"/>
              </w:rPr>
              <w:t>the exposure amounts and RWA calculated are negligible;</w:t>
            </w:r>
          </w:p>
          <w:p w14:paraId="504FE7C2" w14:textId="77777777" w:rsidR="001929CC" w:rsidRDefault="001929CC" w:rsidP="008D652E">
            <w:pPr>
              <w:pStyle w:val="ListParagraph"/>
              <w:numPr>
                <w:ilvl w:val="0"/>
                <w:numId w:val="67"/>
              </w:numPr>
              <w:tabs>
                <w:tab w:val="left" w:pos="459"/>
              </w:tabs>
              <w:spacing w:before="40" w:after="40"/>
              <w:ind w:leftChars="0" w:left="492" w:hanging="426"/>
              <w:jc w:val="both"/>
              <w:rPr>
                <w:sz w:val="17"/>
                <w:szCs w:val="17"/>
              </w:rPr>
            </w:pPr>
            <w:r>
              <w:rPr>
                <w:rFonts w:eastAsia="新細明體" w:cs="Segoe UI"/>
                <w:color w:val="000000"/>
                <w:sz w:val="17"/>
                <w:szCs w:val="17"/>
                <w:lang w:val="en-US" w:eastAsia="zh-TW"/>
              </w:rPr>
              <w:t>the AI has clearly stated this fact in the disclosure statement; and</w:t>
            </w:r>
          </w:p>
          <w:p w14:paraId="247AD91E" w14:textId="77777777" w:rsidR="001929CC" w:rsidRPr="00820397" w:rsidRDefault="001929CC" w:rsidP="008D652E">
            <w:pPr>
              <w:pStyle w:val="ListParagraph"/>
              <w:numPr>
                <w:ilvl w:val="0"/>
                <w:numId w:val="67"/>
              </w:numPr>
              <w:tabs>
                <w:tab w:val="left" w:pos="459"/>
              </w:tabs>
              <w:spacing w:before="40" w:after="40"/>
              <w:ind w:leftChars="0" w:left="492" w:hanging="426"/>
              <w:jc w:val="both"/>
              <w:rPr>
                <w:sz w:val="17"/>
                <w:szCs w:val="17"/>
              </w:rPr>
            </w:pPr>
            <w:r>
              <w:rPr>
                <w:rFonts w:eastAsia="新細明體" w:cs="Segoe UI"/>
                <w:color w:val="000000"/>
                <w:sz w:val="17"/>
                <w:szCs w:val="17"/>
                <w:lang w:val="en-US" w:eastAsia="zh-TW"/>
              </w:rPr>
              <w:t>the AI has explained in a narrative commentary why it considers the information not to be meaningful to information users, including a description of the portfolios concerned and the aggregate total of RWAs from such exposures.</w:t>
            </w:r>
          </w:p>
          <w:p w14:paraId="17E80CFF" w14:textId="77777777" w:rsidR="001929CC" w:rsidRDefault="001929CC" w:rsidP="001929CC">
            <w:pPr>
              <w:pStyle w:val="ListParagraph"/>
              <w:tabs>
                <w:tab w:val="left" w:pos="459"/>
              </w:tabs>
              <w:spacing w:before="40" w:after="40"/>
              <w:ind w:leftChars="0" w:left="4"/>
              <w:jc w:val="both"/>
              <w:rPr>
                <w:sz w:val="17"/>
                <w:szCs w:val="17"/>
              </w:rPr>
            </w:pPr>
            <w:r>
              <w:rPr>
                <w:sz w:val="17"/>
                <w:szCs w:val="17"/>
              </w:rPr>
              <w:t>CIS exposures should not be reported in this template but in Template OV1.</w:t>
            </w:r>
          </w:p>
        </w:tc>
      </w:tr>
      <w:tr w:rsidR="001929CC" w14:paraId="0CD90CC0" w14:textId="77777777" w:rsidTr="001929CC">
        <w:trPr>
          <w:trHeight w:val="275"/>
        </w:trPr>
        <w:tc>
          <w:tcPr>
            <w:tcW w:w="2552" w:type="dxa"/>
          </w:tcPr>
          <w:p w14:paraId="17B53D0D" w14:textId="77777777" w:rsidR="001929CC" w:rsidRDefault="001929CC" w:rsidP="001929CC">
            <w:pPr>
              <w:spacing w:before="40" w:after="40"/>
              <w:rPr>
                <w:b/>
                <w:sz w:val="17"/>
                <w:szCs w:val="17"/>
                <w:lang w:eastAsia="en-GB"/>
              </w:rPr>
            </w:pPr>
            <w:r>
              <w:rPr>
                <w:b/>
                <w:sz w:val="17"/>
                <w:szCs w:val="17"/>
                <w:lang w:eastAsia="en-GB"/>
              </w:rPr>
              <w:t>Content:</w:t>
            </w:r>
          </w:p>
        </w:tc>
        <w:tc>
          <w:tcPr>
            <w:tcW w:w="11340" w:type="dxa"/>
          </w:tcPr>
          <w:p w14:paraId="1EF3DFAF" w14:textId="77777777" w:rsidR="001929CC" w:rsidRDefault="001929CC" w:rsidP="001929CC">
            <w:pPr>
              <w:spacing w:before="40" w:after="40"/>
              <w:ind w:left="4"/>
              <w:jc w:val="both"/>
              <w:rPr>
                <w:rFonts w:eastAsia="新細明體"/>
                <w:b/>
                <w:sz w:val="17"/>
                <w:lang w:eastAsia="en-GB"/>
              </w:rPr>
            </w:pPr>
            <w:r>
              <w:rPr>
                <w:rFonts w:eastAsia="新細明體"/>
                <w:sz w:val="17"/>
                <w:lang w:eastAsia="en-GB"/>
              </w:rPr>
              <w:t>Credit risk exposure amounts for the purpose of capital adequacy.</w:t>
            </w:r>
          </w:p>
        </w:tc>
      </w:tr>
      <w:tr w:rsidR="001929CC" w14:paraId="77D71183" w14:textId="77777777" w:rsidTr="001929CC">
        <w:tc>
          <w:tcPr>
            <w:tcW w:w="2552" w:type="dxa"/>
          </w:tcPr>
          <w:p w14:paraId="7DCAE2DC" w14:textId="77777777" w:rsidR="001929CC" w:rsidRDefault="001929CC" w:rsidP="001929CC">
            <w:pPr>
              <w:spacing w:before="40" w:after="40"/>
              <w:rPr>
                <w:sz w:val="17"/>
                <w:szCs w:val="17"/>
                <w:lang w:eastAsia="en-GB"/>
              </w:rPr>
            </w:pPr>
            <w:r>
              <w:rPr>
                <w:b/>
                <w:sz w:val="17"/>
                <w:szCs w:val="17"/>
                <w:lang w:eastAsia="en-GB"/>
              </w:rPr>
              <w:t>Frequency:</w:t>
            </w:r>
          </w:p>
        </w:tc>
        <w:tc>
          <w:tcPr>
            <w:tcW w:w="11340" w:type="dxa"/>
          </w:tcPr>
          <w:p w14:paraId="6B6E0C34" w14:textId="77777777" w:rsidR="001929CC" w:rsidRDefault="001929CC" w:rsidP="001929CC">
            <w:pPr>
              <w:pStyle w:val="TableText"/>
              <w:ind w:left="4"/>
              <w:jc w:val="both"/>
              <w:rPr>
                <w:lang w:eastAsia="en-GB"/>
              </w:rPr>
            </w:pPr>
            <w:r>
              <w:rPr>
                <w:lang w:eastAsia="en-GB"/>
              </w:rPr>
              <w:t>Semi-annual.</w:t>
            </w:r>
          </w:p>
        </w:tc>
      </w:tr>
      <w:tr w:rsidR="001929CC" w14:paraId="5522CE6F" w14:textId="77777777" w:rsidTr="001929CC">
        <w:tc>
          <w:tcPr>
            <w:tcW w:w="2552" w:type="dxa"/>
          </w:tcPr>
          <w:p w14:paraId="10C7BAB7" w14:textId="77777777" w:rsidR="001929CC" w:rsidRDefault="001929CC" w:rsidP="001929CC">
            <w:pPr>
              <w:spacing w:before="40" w:after="40"/>
              <w:rPr>
                <w:sz w:val="17"/>
                <w:szCs w:val="17"/>
                <w:lang w:eastAsia="en-GB"/>
              </w:rPr>
            </w:pPr>
            <w:r>
              <w:rPr>
                <w:b/>
                <w:sz w:val="17"/>
                <w:szCs w:val="17"/>
                <w:lang w:eastAsia="en-GB"/>
              </w:rPr>
              <w:t>Format:</w:t>
            </w:r>
          </w:p>
        </w:tc>
        <w:tc>
          <w:tcPr>
            <w:tcW w:w="11340" w:type="dxa"/>
          </w:tcPr>
          <w:p w14:paraId="5952B627" w14:textId="77777777" w:rsidR="001929CC" w:rsidRDefault="001929CC" w:rsidP="001929CC">
            <w:pPr>
              <w:pStyle w:val="TableText"/>
              <w:ind w:left="4"/>
              <w:jc w:val="both"/>
              <w:rPr>
                <w:lang w:eastAsia="en-GB"/>
              </w:rPr>
            </w:pPr>
            <w:r>
              <w:rPr>
                <w:lang w:eastAsia="en-GB"/>
              </w:rPr>
              <w:t>Fixed.</w:t>
            </w:r>
            <w:r>
              <w:rPr>
                <w:rFonts w:eastAsia="新細明體"/>
                <w:lang w:eastAsia="en-GB"/>
              </w:rPr>
              <w:t xml:space="preserve">  The columns are fixed and the rows in the STC version and the BSC version of this template reflect respectively the classification of exposures as defined under the BCR, where applicable.</w:t>
            </w:r>
          </w:p>
        </w:tc>
      </w:tr>
      <w:tr w:rsidR="001929CC" w14:paraId="76C04761" w14:textId="77777777" w:rsidTr="001929CC">
        <w:tc>
          <w:tcPr>
            <w:tcW w:w="2552" w:type="dxa"/>
          </w:tcPr>
          <w:p w14:paraId="3356511E" w14:textId="77777777" w:rsidR="001929CC" w:rsidRDefault="001929CC" w:rsidP="001929CC">
            <w:pPr>
              <w:spacing w:before="40" w:after="40"/>
              <w:rPr>
                <w:b/>
                <w:sz w:val="17"/>
                <w:szCs w:val="17"/>
                <w:lang w:eastAsia="en-GB"/>
              </w:rPr>
            </w:pPr>
            <w:r>
              <w:rPr>
                <w:rFonts w:eastAsia="新細明體"/>
                <w:b/>
                <w:sz w:val="17"/>
                <w:szCs w:val="17"/>
                <w:lang w:eastAsia="en-GB"/>
              </w:rPr>
              <w:t>Accompanying narrative</w:t>
            </w:r>
            <w:r>
              <w:rPr>
                <w:rFonts w:eastAsia="新細明體"/>
                <w:sz w:val="17"/>
                <w:szCs w:val="17"/>
                <w:lang w:eastAsia="en-GB"/>
              </w:rPr>
              <w:t>:</w:t>
            </w:r>
          </w:p>
        </w:tc>
        <w:tc>
          <w:tcPr>
            <w:tcW w:w="11340" w:type="dxa"/>
          </w:tcPr>
          <w:p w14:paraId="1172A8BE" w14:textId="7A49BFB5" w:rsidR="001929CC" w:rsidRDefault="001929CC" w:rsidP="006C7434">
            <w:pPr>
              <w:pStyle w:val="TableText"/>
              <w:ind w:left="4"/>
              <w:jc w:val="both"/>
              <w:rPr>
                <w:noProof/>
                <w:lang w:eastAsia="en-GB"/>
              </w:rPr>
            </w:pPr>
            <w:r>
              <w:rPr>
                <w:szCs w:val="17"/>
                <w:lang w:eastAsia="en-GB"/>
              </w:rPr>
              <w:t>An AI should supplement the template with a narrative commentary to explain any material movements in the current reporting period and the key drivers of such movements.  An AI</w:t>
            </w:r>
            <w:r w:rsidRPr="00DE700B">
              <w:rPr>
                <w:szCs w:val="17"/>
                <w:lang w:eastAsia="en-GB"/>
              </w:rPr>
              <w:t xml:space="preserve"> should describe the sequence in which CCFs, provisioning and credit risk mitigation measures are applied</w:t>
            </w:r>
            <w:r w:rsidR="00EC1051">
              <w:rPr>
                <w:szCs w:val="17"/>
              </w:rPr>
              <w:t xml:space="preserve"> in relation</w:t>
            </w:r>
            <w:r>
              <w:rPr>
                <w:szCs w:val="17"/>
                <w:lang w:eastAsia="en-GB"/>
              </w:rPr>
              <w:t xml:space="preserve"> to both on-balance sheet and off-balance sheet exposures, where applicable.</w:t>
            </w:r>
          </w:p>
        </w:tc>
      </w:tr>
      <w:tr w:rsidR="001929CC" w14:paraId="5596F4F0" w14:textId="77777777" w:rsidTr="001929CC">
        <w:tc>
          <w:tcPr>
            <w:tcW w:w="2552" w:type="dxa"/>
          </w:tcPr>
          <w:p w14:paraId="497F4395" w14:textId="77777777" w:rsidR="001929CC" w:rsidRDefault="001929CC" w:rsidP="001929CC">
            <w:pPr>
              <w:spacing w:before="40" w:after="40"/>
              <w:rPr>
                <w:rFonts w:eastAsia="新細明體"/>
                <w:b/>
                <w:sz w:val="17"/>
                <w:szCs w:val="17"/>
                <w:lang w:eastAsia="en-GB"/>
              </w:rPr>
            </w:pPr>
            <w:r>
              <w:rPr>
                <w:rFonts w:eastAsia="新細明體"/>
                <w:b/>
                <w:sz w:val="17"/>
                <w:szCs w:val="17"/>
                <w:lang w:eastAsia="en-GB"/>
              </w:rPr>
              <w:t>Corresponding BDR section:</w:t>
            </w:r>
          </w:p>
        </w:tc>
        <w:tc>
          <w:tcPr>
            <w:tcW w:w="11340" w:type="dxa"/>
          </w:tcPr>
          <w:p w14:paraId="325081F9" w14:textId="77777777" w:rsidR="001929CC" w:rsidRDefault="001929CC" w:rsidP="001929CC">
            <w:pPr>
              <w:pStyle w:val="TableText"/>
              <w:ind w:left="4"/>
              <w:jc w:val="both"/>
              <w:rPr>
                <w:szCs w:val="17"/>
                <w:lang w:eastAsia="en-GB"/>
              </w:rPr>
            </w:pPr>
            <w:r>
              <w:rPr>
                <w:szCs w:val="17"/>
                <w:lang w:eastAsia="en-GB"/>
              </w:rPr>
              <w:t>16N</w:t>
            </w:r>
          </w:p>
        </w:tc>
      </w:tr>
    </w:tbl>
    <w:p w14:paraId="6795427D" w14:textId="77777777" w:rsidR="00617087" w:rsidRDefault="00617087" w:rsidP="001929CC">
      <w:pPr>
        <w:spacing w:before="40" w:after="40"/>
        <w:rPr>
          <w:sz w:val="22"/>
        </w:rPr>
      </w:pPr>
    </w:p>
    <w:p w14:paraId="5DF73BF8" w14:textId="77777777" w:rsidR="00351EF3" w:rsidRDefault="00351EF3" w:rsidP="001929CC">
      <w:pPr>
        <w:spacing w:before="40" w:after="40"/>
        <w:rPr>
          <w:u w:val="single"/>
        </w:rPr>
      </w:pPr>
    </w:p>
    <w:p w14:paraId="10D6A605" w14:textId="6D83378E" w:rsidR="00236986" w:rsidRDefault="001929CC" w:rsidP="001929CC">
      <w:pPr>
        <w:spacing w:before="40" w:after="40"/>
        <w:rPr>
          <w:u w:val="single"/>
        </w:rPr>
      </w:pPr>
      <w:r>
        <w:rPr>
          <w:u w:val="single"/>
        </w:rPr>
        <w:lastRenderedPageBreak/>
        <w:t>Version for AIs using STC approach (“STC version”)</w:t>
      </w:r>
    </w:p>
    <w:tbl>
      <w:tblPr>
        <w:tblW w:w="13892" w:type="dxa"/>
        <w:tblInd w:w="108"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ayout w:type="fixed"/>
        <w:tblLook w:val="06A0" w:firstRow="1" w:lastRow="0" w:firstColumn="1" w:lastColumn="0" w:noHBand="1" w:noVBand="1"/>
      </w:tblPr>
      <w:tblGrid>
        <w:gridCol w:w="567"/>
        <w:gridCol w:w="3261"/>
        <w:gridCol w:w="1807"/>
        <w:gridCol w:w="1807"/>
        <w:gridCol w:w="1807"/>
        <w:gridCol w:w="1808"/>
        <w:gridCol w:w="1417"/>
        <w:gridCol w:w="1418"/>
      </w:tblGrid>
      <w:tr w:rsidR="00236986" w:rsidRPr="00236986" w14:paraId="42D61344" w14:textId="77777777" w:rsidTr="00321677">
        <w:trPr>
          <w:cantSplit/>
          <w:tblHeader/>
        </w:trPr>
        <w:tc>
          <w:tcPr>
            <w:tcW w:w="567" w:type="dxa"/>
            <w:tcBorders>
              <w:top w:val="nil"/>
              <w:left w:val="nil"/>
              <w:bottom w:val="nil"/>
              <w:right w:val="nil"/>
            </w:tcBorders>
          </w:tcPr>
          <w:p w14:paraId="74DA73B6" w14:textId="77777777" w:rsidR="00236986" w:rsidRPr="00236986" w:rsidRDefault="00236986" w:rsidP="00236986">
            <w:pPr>
              <w:snapToGrid w:val="0"/>
              <w:spacing w:before="40" w:after="40"/>
              <w:jc w:val="center"/>
              <w:rPr>
                <w:rFonts w:cs="Segoe UI"/>
                <w:sz w:val="17"/>
                <w:lang w:eastAsia="en-GB"/>
              </w:rPr>
            </w:pPr>
          </w:p>
        </w:tc>
        <w:tc>
          <w:tcPr>
            <w:tcW w:w="3261" w:type="dxa"/>
            <w:tcBorders>
              <w:top w:val="nil"/>
              <w:left w:val="nil"/>
              <w:bottom w:val="nil"/>
              <w:right w:val="single" w:sz="4" w:space="0" w:color="auto"/>
            </w:tcBorders>
            <w:vAlign w:val="center"/>
          </w:tcPr>
          <w:p w14:paraId="7B95FFC1" w14:textId="77777777" w:rsidR="00236986" w:rsidRPr="00236986" w:rsidRDefault="00236986" w:rsidP="00236986">
            <w:pPr>
              <w:snapToGrid w:val="0"/>
              <w:spacing w:before="40" w:after="40"/>
              <w:jc w:val="center"/>
              <w:rPr>
                <w:rFonts w:cs="Segoe UI"/>
                <w:sz w:val="17"/>
                <w:lang w:eastAsia="en-GB"/>
              </w:rPr>
            </w:pPr>
          </w:p>
        </w:tc>
        <w:tc>
          <w:tcPr>
            <w:tcW w:w="1807" w:type="dxa"/>
            <w:tcBorders>
              <w:top w:val="single" w:sz="4" w:space="0" w:color="auto"/>
              <w:left w:val="single" w:sz="4" w:space="0" w:color="auto"/>
              <w:bottom w:val="single" w:sz="4" w:space="0" w:color="auto"/>
              <w:right w:val="single" w:sz="4" w:space="0" w:color="auto"/>
            </w:tcBorders>
            <w:vAlign w:val="center"/>
          </w:tcPr>
          <w:p w14:paraId="44818C05" w14:textId="77777777" w:rsidR="00236986" w:rsidRPr="00236986" w:rsidRDefault="00236986" w:rsidP="00236986">
            <w:pPr>
              <w:snapToGrid w:val="0"/>
              <w:spacing w:before="40" w:after="40"/>
              <w:jc w:val="center"/>
              <w:rPr>
                <w:rFonts w:cs="Segoe UI"/>
                <w:bCs/>
                <w:sz w:val="17"/>
                <w:szCs w:val="17"/>
                <w:lang w:eastAsia="it-IT"/>
              </w:rPr>
            </w:pPr>
            <w:r w:rsidRPr="00236986">
              <w:rPr>
                <w:rFonts w:cs="Segoe UI"/>
                <w:bCs/>
                <w:sz w:val="17"/>
                <w:szCs w:val="17"/>
                <w:lang w:eastAsia="it-IT"/>
              </w:rPr>
              <w:t>(a)</w:t>
            </w:r>
          </w:p>
        </w:tc>
        <w:tc>
          <w:tcPr>
            <w:tcW w:w="1807" w:type="dxa"/>
            <w:tcBorders>
              <w:top w:val="single" w:sz="4" w:space="0" w:color="auto"/>
              <w:left w:val="single" w:sz="4" w:space="0" w:color="auto"/>
              <w:bottom w:val="single" w:sz="4" w:space="0" w:color="auto"/>
              <w:right w:val="single" w:sz="4" w:space="0" w:color="auto"/>
            </w:tcBorders>
            <w:vAlign w:val="center"/>
          </w:tcPr>
          <w:p w14:paraId="38E56DDD" w14:textId="77777777" w:rsidR="00236986" w:rsidRPr="00236986" w:rsidRDefault="00236986" w:rsidP="00236986">
            <w:pPr>
              <w:snapToGrid w:val="0"/>
              <w:spacing w:before="40" w:after="40"/>
              <w:jc w:val="center"/>
              <w:rPr>
                <w:rFonts w:cs="Segoe UI"/>
                <w:bCs/>
                <w:sz w:val="17"/>
                <w:szCs w:val="17"/>
                <w:lang w:eastAsia="it-IT"/>
              </w:rPr>
            </w:pPr>
            <w:r w:rsidRPr="00236986">
              <w:rPr>
                <w:rFonts w:cs="Segoe UI"/>
                <w:bCs/>
                <w:sz w:val="17"/>
                <w:szCs w:val="17"/>
                <w:lang w:eastAsia="it-IT"/>
              </w:rPr>
              <w:t>(b)</w:t>
            </w:r>
          </w:p>
        </w:tc>
        <w:tc>
          <w:tcPr>
            <w:tcW w:w="1807" w:type="dxa"/>
            <w:tcBorders>
              <w:top w:val="single" w:sz="4" w:space="0" w:color="auto"/>
              <w:left w:val="single" w:sz="4" w:space="0" w:color="auto"/>
              <w:bottom w:val="single" w:sz="4" w:space="0" w:color="auto"/>
              <w:right w:val="single" w:sz="4" w:space="0" w:color="auto"/>
            </w:tcBorders>
            <w:vAlign w:val="center"/>
          </w:tcPr>
          <w:p w14:paraId="54B48D27" w14:textId="77777777" w:rsidR="00236986" w:rsidRPr="00236986" w:rsidRDefault="00236986" w:rsidP="00236986">
            <w:pPr>
              <w:snapToGrid w:val="0"/>
              <w:spacing w:before="40" w:after="40"/>
              <w:jc w:val="center"/>
              <w:rPr>
                <w:rFonts w:cs="Segoe UI"/>
                <w:bCs/>
                <w:sz w:val="17"/>
                <w:szCs w:val="17"/>
                <w:lang w:eastAsia="it-IT"/>
              </w:rPr>
            </w:pPr>
            <w:r w:rsidRPr="00236986">
              <w:rPr>
                <w:rFonts w:cs="Segoe UI"/>
                <w:bCs/>
                <w:sz w:val="17"/>
                <w:szCs w:val="17"/>
                <w:lang w:eastAsia="it-IT"/>
              </w:rPr>
              <w:t>(c)</w:t>
            </w:r>
          </w:p>
        </w:tc>
        <w:tc>
          <w:tcPr>
            <w:tcW w:w="1808" w:type="dxa"/>
            <w:tcBorders>
              <w:top w:val="single" w:sz="4" w:space="0" w:color="auto"/>
              <w:left w:val="single" w:sz="4" w:space="0" w:color="auto"/>
              <w:bottom w:val="single" w:sz="4" w:space="0" w:color="auto"/>
              <w:right w:val="single" w:sz="4" w:space="0" w:color="auto"/>
            </w:tcBorders>
            <w:vAlign w:val="center"/>
          </w:tcPr>
          <w:p w14:paraId="2D97F127" w14:textId="77777777" w:rsidR="00236986" w:rsidRPr="00236986" w:rsidRDefault="00236986" w:rsidP="00236986">
            <w:pPr>
              <w:snapToGrid w:val="0"/>
              <w:spacing w:before="40" w:after="40"/>
              <w:jc w:val="center"/>
              <w:rPr>
                <w:rFonts w:cs="Segoe UI"/>
                <w:bCs/>
                <w:sz w:val="17"/>
                <w:szCs w:val="17"/>
                <w:lang w:eastAsia="it-IT"/>
              </w:rPr>
            </w:pPr>
            <w:r w:rsidRPr="00236986">
              <w:rPr>
                <w:rFonts w:cs="Segoe UI"/>
                <w:bCs/>
                <w:sz w:val="17"/>
                <w:szCs w:val="17"/>
                <w:lang w:eastAsia="it-IT"/>
              </w:rPr>
              <w:t>(d)</w:t>
            </w:r>
          </w:p>
        </w:tc>
        <w:tc>
          <w:tcPr>
            <w:tcW w:w="1417" w:type="dxa"/>
            <w:tcBorders>
              <w:top w:val="single" w:sz="4" w:space="0" w:color="auto"/>
              <w:left w:val="single" w:sz="4" w:space="0" w:color="auto"/>
              <w:bottom w:val="single" w:sz="4" w:space="0" w:color="auto"/>
              <w:right w:val="single" w:sz="4" w:space="0" w:color="auto"/>
            </w:tcBorders>
            <w:vAlign w:val="center"/>
          </w:tcPr>
          <w:p w14:paraId="390B32CB" w14:textId="77777777" w:rsidR="00236986" w:rsidRPr="00236986" w:rsidRDefault="00236986" w:rsidP="00236986">
            <w:pPr>
              <w:snapToGrid w:val="0"/>
              <w:spacing w:before="40" w:after="40"/>
              <w:jc w:val="center"/>
              <w:rPr>
                <w:rFonts w:cs="Segoe UI"/>
                <w:sz w:val="17"/>
                <w:szCs w:val="17"/>
                <w:lang w:eastAsia="it-IT"/>
              </w:rPr>
            </w:pPr>
            <w:r w:rsidRPr="00236986">
              <w:rPr>
                <w:rFonts w:cs="Segoe UI"/>
                <w:sz w:val="17"/>
                <w:szCs w:val="17"/>
                <w:lang w:eastAsia="it-IT"/>
              </w:rPr>
              <w:t>(e)</w:t>
            </w:r>
          </w:p>
        </w:tc>
        <w:tc>
          <w:tcPr>
            <w:tcW w:w="1418" w:type="dxa"/>
            <w:tcBorders>
              <w:top w:val="single" w:sz="4" w:space="0" w:color="auto"/>
              <w:left w:val="single" w:sz="4" w:space="0" w:color="auto"/>
              <w:bottom w:val="single" w:sz="4" w:space="0" w:color="auto"/>
              <w:right w:val="single" w:sz="4" w:space="0" w:color="auto"/>
            </w:tcBorders>
            <w:vAlign w:val="center"/>
          </w:tcPr>
          <w:p w14:paraId="7DA8767A" w14:textId="77777777" w:rsidR="00236986" w:rsidRPr="00236986" w:rsidRDefault="00236986" w:rsidP="00236986">
            <w:pPr>
              <w:snapToGrid w:val="0"/>
              <w:spacing w:before="40" w:after="40"/>
              <w:jc w:val="center"/>
              <w:rPr>
                <w:rFonts w:cs="Segoe UI"/>
                <w:sz w:val="17"/>
                <w:szCs w:val="17"/>
                <w:lang w:eastAsia="it-IT"/>
              </w:rPr>
            </w:pPr>
            <w:r w:rsidRPr="00236986">
              <w:rPr>
                <w:rFonts w:cs="Segoe UI"/>
                <w:sz w:val="17"/>
                <w:szCs w:val="17"/>
                <w:lang w:eastAsia="it-IT"/>
              </w:rPr>
              <w:t>(f)</w:t>
            </w:r>
          </w:p>
        </w:tc>
      </w:tr>
      <w:tr w:rsidR="00236986" w:rsidRPr="00236986" w14:paraId="7E9F4972" w14:textId="77777777" w:rsidTr="00321677">
        <w:trPr>
          <w:cantSplit/>
          <w:tblHeader/>
        </w:trPr>
        <w:tc>
          <w:tcPr>
            <w:tcW w:w="567" w:type="dxa"/>
            <w:tcBorders>
              <w:top w:val="nil"/>
              <w:left w:val="nil"/>
              <w:bottom w:val="nil"/>
              <w:right w:val="nil"/>
            </w:tcBorders>
          </w:tcPr>
          <w:p w14:paraId="29ADF5BD" w14:textId="77777777" w:rsidR="00236986" w:rsidRPr="00236986" w:rsidRDefault="00236986" w:rsidP="00236986">
            <w:pPr>
              <w:snapToGrid w:val="0"/>
              <w:spacing w:before="40" w:after="40"/>
              <w:rPr>
                <w:rFonts w:cs="Segoe UI"/>
                <w:b/>
                <w:sz w:val="17"/>
                <w:lang w:eastAsia="en-GB"/>
              </w:rPr>
            </w:pPr>
          </w:p>
        </w:tc>
        <w:tc>
          <w:tcPr>
            <w:tcW w:w="3261" w:type="dxa"/>
            <w:tcBorders>
              <w:top w:val="nil"/>
              <w:left w:val="nil"/>
              <w:bottom w:val="single" w:sz="4" w:space="0" w:color="auto"/>
              <w:right w:val="single" w:sz="4" w:space="0" w:color="auto"/>
            </w:tcBorders>
            <w:vAlign w:val="center"/>
          </w:tcPr>
          <w:p w14:paraId="11B92BEE" w14:textId="77777777" w:rsidR="00236986" w:rsidRPr="00236986" w:rsidRDefault="00236986" w:rsidP="00236986">
            <w:pPr>
              <w:snapToGrid w:val="0"/>
              <w:spacing w:before="40" w:after="40"/>
              <w:rPr>
                <w:rFonts w:cs="Segoe UI"/>
                <w:b/>
                <w:sz w:val="17"/>
                <w:lang w:eastAsia="en-GB"/>
              </w:rPr>
            </w:pPr>
          </w:p>
        </w:tc>
        <w:tc>
          <w:tcPr>
            <w:tcW w:w="3614" w:type="dxa"/>
            <w:gridSpan w:val="2"/>
            <w:tcBorders>
              <w:top w:val="single" w:sz="4" w:space="0" w:color="auto"/>
              <w:left w:val="single" w:sz="4" w:space="0" w:color="auto"/>
              <w:bottom w:val="single" w:sz="4" w:space="0" w:color="auto"/>
              <w:right w:val="single" w:sz="4" w:space="0" w:color="auto"/>
            </w:tcBorders>
            <w:vAlign w:val="center"/>
          </w:tcPr>
          <w:p w14:paraId="07D6FBE4" w14:textId="77777777" w:rsidR="00236986" w:rsidRPr="00236986" w:rsidRDefault="00236986" w:rsidP="00236986">
            <w:pPr>
              <w:snapToGrid w:val="0"/>
              <w:spacing w:before="40" w:after="40"/>
              <w:jc w:val="center"/>
              <w:rPr>
                <w:rFonts w:cs="Segoe UI"/>
                <w:b/>
                <w:sz w:val="16"/>
                <w:szCs w:val="16"/>
                <w:lang w:eastAsia="it-IT"/>
              </w:rPr>
            </w:pPr>
            <w:r w:rsidRPr="00236986">
              <w:rPr>
                <w:rFonts w:cs="Segoe UI"/>
                <w:b/>
                <w:sz w:val="16"/>
                <w:szCs w:val="16"/>
                <w:lang w:eastAsia="it-IT"/>
              </w:rPr>
              <w:t>Exposures pre-CCF and pre-CRM</w:t>
            </w:r>
          </w:p>
        </w:tc>
        <w:tc>
          <w:tcPr>
            <w:tcW w:w="3615" w:type="dxa"/>
            <w:gridSpan w:val="2"/>
            <w:tcBorders>
              <w:top w:val="single" w:sz="4" w:space="0" w:color="auto"/>
              <w:left w:val="single" w:sz="4" w:space="0" w:color="auto"/>
              <w:bottom w:val="single" w:sz="4" w:space="0" w:color="auto"/>
              <w:right w:val="single" w:sz="4" w:space="0" w:color="auto"/>
            </w:tcBorders>
            <w:vAlign w:val="center"/>
          </w:tcPr>
          <w:p w14:paraId="5D8A16AB" w14:textId="77777777" w:rsidR="00236986" w:rsidRPr="00236986" w:rsidRDefault="00236986" w:rsidP="00236986">
            <w:pPr>
              <w:snapToGrid w:val="0"/>
              <w:spacing w:before="40" w:after="40"/>
              <w:jc w:val="center"/>
              <w:rPr>
                <w:rFonts w:cs="Segoe UI"/>
                <w:b/>
                <w:bCs/>
                <w:sz w:val="17"/>
                <w:szCs w:val="17"/>
                <w:lang w:eastAsia="it-IT"/>
              </w:rPr>
            </w:pPr>
            <w:r w:rsidRPr="00236986">
              <w:rPr>
                <w:rFonts w:cs="Segoe UI"/>
                <w:b/>
                <w:sz w:val="16"/>
                <w:szCs w:val="16"/>
                <w:lang w:eastAsia="it-IT"/>
              </w:rPr>
              <w:t>Exposures post-CCF and post-CRM</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15948AD8" w14:textId="77777777" w:rsidR="00236986" w:rsidRPr="00236986" w:rsidRDefault="00236986" w:rsidP="00236986">
            <w:pPr>
              <w:tabs>
                <w:tab w:val="left" w:pos="2368"/>
                <w:tab w:val="right" w:leader="dot" w:pos="9242"/>
              </w:tabs>
              <w:snapToGrid w:val="0"/>
              <w:spacing w:before="40" w:after="40"/>
              <w:ind w:left="-108" w:right="-76"/>
              <w:jc w:val="center"/>
              <w:outlineLvl w:val="2"/>
              <w:rPr>
                <w:rFonts w:cs="Segoe UI"/>
                <w:b/>
                <w:noProof/>
                <w:sz w:val="16"/>
                <w:szCs w:val="16"/>
                <w:lang w:eastAsia="it-IT"/>
              </w:rPr>
            </w:pPr>
            <w:r w:rsidRPr="00236986">
              <w:rPr>
                <w:rFonts w:cs="Segoe UI"/>
                <w:b/>
                <w:sz w:val="16"/>
                <w:szCs w:val="16"/>
                <w:lang w:eastAsia="it-IT"/>
              </w:rPr>
              <w:t>RWA and RWA density</w:t>
            </w:r>
          </w:p>
        </w:tc>
      </w:tr>
      <w:tr w:rsidR="00236986" w:rsidRPr="00236986" w14:paraId="0858B51A" w14:textId="77777777" w:rsidTr="00321677">
        <w:trPr>
          <w:cantSplit/>
          <w:trHeight w:val="382"/>
          <w:tblHeader/>
        </w:trPr>
        <w:tc>
          <w:tcPr>
            <w:tcW w:w="567" w:type="dxa"/>
            <w:tcBorders>
              <w:top w:val="nil"/>
              <w:left w:val="nil"/>
              <w:bottom w:val="single" w:sz="4" w:space="0" w:color="auto"/>
              <w:right w:val="single" w:sz="4" w:space="0" w:color="auto"/>
            </w:tcBorders>
          </w:tcPr>
          <w:p w14:paraId="3FD19778" w14:textId="77777777" w:rsidR="00236986" w:rsidRPr="00236986" w:rsidRDefault="00236986" w:rsidP="00236986">
            <w:pPr>
              <w:snapToGrid w:val="0"/>
              <w:spacing w:before="40" w:after="40"/>
              <w:rPr>
                <w:rFonts w:cs="Segoe UI"/>
                <w:spacing w:val="-20"/>
                <w:sz w:val="17"/>
                <w:lang w:eastAsia="en-GB"/>
              </w:rPr>
            </w:pPr>
          </w:p>
        </w:tc>
        <w:tc>
          <w:tcPr>
            <w:tcW w:w="3261" w:type="dxa"/>
            <w:tcBorders>
              <w:top w:val="single" w:sz="4" w:space="0" w:color="auto"/>
              <w:left w:val="nil"/>
              <w:bottom w:val="single" w:sz="4" w:space="0" w:color="auto"/>
              <w:right w:val="single" w:sz="4" w:space="0" w:color="auto"/>
            </w:tcBorders>
            <w:vAlign w:val="center"/>
          </w:tcPr>
          <w:p w14:paraId="66ACB693" w14:textId="77777777" w:rsidR="00236986" w:rsidRPr="00236986" w:rsidRDefault="00236986" w:rsidP="00236986">
            <w:pPr>
              <w:snapToGrid w:val="0"/>
              <w:spacing w:before="40" w:after="40"/>
              <w:rPr>
                <w:rFonts w:cs="Segoe UI"/>
                <w:sz w:val="17"/>
                <w:lang w:eastAsia="en-GB"/>
              </w:rPr>
            </w:pPr>
            <w:r w:rsidRPr="00236986">
              <w:rPr>
                <w:rFonts w:cs="Segoe UI"/>
                <w:sz w:val="17"/>
                <w:lang w:eastAsia="en-GB"/>
              </w:rPr>
              <w:t>Exposure classes</w:t>
            </w:r>
          </w:p>
        </w:tc>
        <w:tc>
          <w:tcPr>
            <w:tcW w:w="1807" w:type="dxa"/>
            <w:tcBorders>
              <w:top w:val="single" w:sz="4" w:space="0" w:color="auto"/>
              <w:left w:val="single" w:sz="4" w:space="0" w:color="auto"/>
              <w:bottom w:val="single" w:sz="4" w:space="0" w:color="auto"/>
              <w:right w:val="single" w:sz="4" w:space="0" w:color="auto"/>
            </w:tcBorders>
            <w:vAlign w:val="center"/>
          </w:tcPr>
          <w:p w14:paraId="0AE51965" w14:textId="77777777" w:rsidR="00236986" w:rsidRPr="00236986" w:rsidRDefault="00236986" w:rsidP="00236986">
            <w:pPr>
              <w:snapToGrid w:val="0"/>
              <w:spacing w:before="40" w:after="40"/>
              <w:jc w:val="center"/>
              <w:rPr>
                <w:rFonts w:cs="Segoe UI"/>
                <w:bCs/>
                <w:noProof/>
                <w:spacing w:val="-12"/>
                <w:sz w:val="16"/>
                <w:szCs w:val="16"/>
                <w:lang w:eastAsia="it-IT"/>
              </w:rPr>
            </w:pPr>
            <w:r w:rsidRPr="00236986">
              <w:rPr>
                <w:rFonts w:cs="Segoe UI"/>
                <w:bCs/>
                <w:spacing w:val="-12"/>
                <w:sz w:val="16"/>
                <w:szCs w:val="16"/>
                <w:lang w:eastAsia="it-IT"/>
              </w:rPr>
              <w:t>On-balance sheet amount</w:t>
            </w:r>
          </w:p>
        </w:tc>
        <w:tc>
          <w:tcPr>
            <w:tcW w:w="1807" w:type="dxa"/>
            <w:tcBorders>
              <w:top w:val="single" w:sz="4" w:space="0" w:color="auto"/>
              <w:left w:val="single" w:sz="4" w:space="0" w:color="auto"/>
              <w:bottom w:val="single" w:sz="4" w:space="0" w:color="auto"/>
              <w:right w:val="single" w:sz="4" w:space="0" w:color="auto"/>
            </w:tcBorders>
            <w:vAlign w:val="center"/>
          </w:tcPr>
          <w:p w14:paraId="120BF210" w14:textId="77777777" w:rsidR="00236986" w:rsidRPr="00236986" w:rsidRDefault="00236986" w:rsidP="00236986">
            <w:pPr>
              <w:snapToGrid w:val="0"/>
              <w:spacing w:before="40" w:after="40"/>
              <w:jc w:val="center"/>
              <w:rPr>
                <w:rFonts w:cs="Segoe UI"/>
                <w:noProof/>
                <w:spacing w:val="-12"/>
                <w:sz w:val="16"/>
                <w:szCs w:val="16"/>
                <w:lang w:eastAsia="it-IT"/>
              </w:rPr>
            </w:pPr>
            <w:r w:rsidRPr="00236986">
              <w:rPr>
                <w:rFonts w:cs="Segoe UI"/>
                <w:spacing w:val="-12"/>
                <w:sz w:val="16"/>
                <w:szCs w:val="16"/>
                <w:lang w:eastAsia="it-IT"/>
              </w:rPr>
              <w:t>Off-balance sheet amount</w:t>
            </w:r>
          </w:p>
        </w:tc>
        <w:tc>
          <w:tcPr>
            <w:tcW w:w="1807" w:type="dxa"/>
            <w:tcBorders>
              <w:top w:val="single" w:sz="4" w:space="0" w:color="auto"/>
              <w:left w:val="single" w:sz="4" w:space="0" w:color="auto"/>
              <w:bottom w:val="single" w:sz="4" w:space="0" w:color="auto"/>
              <w:right w:val="single" w:sz="4" w:space="0" w:color="auto"/>
            </w:tcBorders>
            <w:vAlign w:val="center"/>
          </w:tcPr>
          <w:p w14:paraId="6F521664" w14:textId="77777777" w:rsidR="00236986" w:rsidRPr="00236986" w:rsidRDefault="00236986" w:rsidP="00236986">
            <w:pPr>
              <w:snapToGrid w:val="0"/>
              <w:spacing w:before="40" w:after="40"/>
              <w:jc w:val="center"/>
              <w:rPr>
                <w:rFonts w:cs="Segoe UI"/>
                <w:noProof/>
                <w:spacing w:val="-12"/>
                <w:sz w:val="16"/>
                <w:szCs w:val="16"/>
                <w:lang w:eastAsia="it-IT"/>
              </w:rPr>
            </w:pPr>
            <w:r w:rsidRPr="00236986">
              <w:rPr>
                <w:rFonts w:cs="Segoe UI"/>
                <w:bCs/>
                <w:spacing w:val="-12"/>
                <w:sz w:val="16"/>
                <w:szCs w:val="16"/>
                <w:lang w:eastAsia="it-IT"/>
              </w:rPr>
              <w:t>On-balance sheet amount</w:t>
            </w:r>
            <w:r w:rsidRPr="00236986">
              <w:rPr>
                <w:rFonts w:cs="Segoe UI"/>
                <w:spacing w:val="-12"/>
                <w:sz w:val="16"/>
                <w:szCs w:val="16"/>
                <w:lang w:eastAsia="it-IT"/>
              </w:rPr>
              <w:t xml:space="preserve"> </w:t>
            </w:r>
          </w:p>
        </w:tc>
        <w:tc>
          <w:tcPr>
            <w:tcW w:w="1808" w:type="dxa"/>
            <w:tcBorders>
              <w:top w:val="single" w:sz="4" w:space="0" w:color="auto"/>
              <w:left w:val="single" w:sz="4" w:space="0" w:color="auto"/>
              <w:bottom w:val="single" w:sz="4" w:space="0" w:color="auto"/>
              <w:right w:val="single" w:sz="4" w:space="0" w:color="auto"/>
            </w:tcBorders>
            <w:vAlign w:val="center"/>
          </w:tcPr>
          <w:p w14:paraId="3B31FE94" w14:textId="77777777" w:rsidR="00236986" w:rsidRPr="00236986" w:rsidRDefault="00236986" w:rsidP="00236986">
            <w:pPr>
              <w:snapToGrid w:val="0"/>
              <w:spacing w:before="40" w:after="40"/>
              <w:jc w:val="center"/>
              <w:rPr>
                <w:rFonts w:cs="Segoe UI"/>
                <w:noProof/>
                <w:spacing w:val="-12"/>
                <w:sz w:val="16"/>
                <w:szCs w:val="16"/>
                <w:lang w:eastAsia="it-IT"/>
              </w:rPr>
            </w:pPr>
            <w:r w:rsidRPr="00236986">
              <w:rPr>
                <w:rFonts w:cs="Segoe UI"/>
                <w:spacing w:val="-12"/>
                <w:sz w:val="16"/>
                <w:szCs w:val="16"/>
                <w:lang w:eastAsia="it-IT"/>
              </w:rPr>
              <w:t>Off-balance sheet amount</w:t>
            </w:r>
          </w:p>
        </w:tc>
        <w:tc>
          <w:tcPr>
            <w:tcW w:w="1417" w:type="dxa"/>
            <w:tcBorders>
              <w:top w:val="single" w:sz="4" w:space="0" w:color="auto"/>
              <w:left w:val="single" w:sz="4" w:space="0" w:color="auto"/>
              <w:bottom w:val="single" w:sz="4" w:space="0" w:color="auto"/>
              <w:right w:val="single" w:sz="4" w:space="0" w:color="auto"/>
            </w:tcBorders>
            <w:vAlign w:val="center"/>
          </w:tcPr>
          <w:p w14:paraId="08003E2C" w14:textId="77777777" w:rsidR="00236986" w:rsidRPr="00236986" w:rsidRDefault="00236986" w:rsidP="00236986">
            <w:pPr>
              <w:snapToGrid w:val="0"/>
              <w:spacing w:before="40" w:after="40"/>
              <w:jc w:val="center"/>
              <w:rPr>
                <w:rFonts w:cs="Segoe UI"/>
                <w:noProof/>
                <w:spacing w:val="-12"/>
                <w:sz w:val="16"/>
                <w:szCs w:val="16"/>
                <w:lang w:eastAsia="it-IT"/>
              </w:rPr>
            </w:pPr>
            <w:r w:rsidRPr="00236986">
              <w:rPr>
                <w:rFonts w:cs="Segoe UI"/>
                <w:spacing w:val="-12"/>
                <w:sz w:val="16"/>
                <w:szCs w:val="16"/>
                <w:lang w:eastAsia="it-IT"/>
              </w:rPr>
              <w:t>RWA</w:t>
            </w:r>
          </w:p>
        </w:tc>
        <w:tc>
          <w:tcPr>
            <w:tcW w:w="1418" w:type="dxa"/>
            <w:tcBorders>
              <w:top w:val="single" w:sz="4" w:space="0" w:color="auto"/>
              <w:left w:val="single" w:sz="4" w:space="0" w:color="auto"/>
              <w:bottom w:val="single" w:sz="4" w:space="0" w:color="auto"/>
              <w:right w:val="single" w:sz="4" w:space="0" w:color="auto"/>
            </w:tcBorders>
            <w:vAlign w:val="center"/>
          </w:tcPr>
          <w:p w14:paraId="0C5DDFA0" w14:textId="77777777" w:rsidR="00236986" w:rsidRPr="00236986" w:rsidRDefault="00236986" w:rsidP="00236986">
            <w:pPr>
              <w:snapToGrid w:val="0"/>
              <w:spacing w:before="40" w:after="40"/>
              <w:jc w:val="center"/>
              <w:rPr>
                <w:rFonts w:cs="Segoe UI"/>
                <w:noProof/>
                <w:spacing w:val="-12"/>
                <w:sz w:val="16"/>
                <w:szCs w:val="16"/>
                <w:lang w:eastAsia="it-IT"/>
              </w:rPr>
            </w:pPr>
            <w:r w:rsidRPr="00236986">
              <w:rPr>
                <w:rFonts w:cs="Segoe UI"/>
                <w:spacing w:val="-12"/>
                <w:sz w:val="16"/>
                <w:szCs w:val="16"/>
                <w:lang w:eastAsia="it-IT"/>
              </w:rPr>
              <w:t xml:space="preserve">RWA density </w:t>
            </w:r>
          </w:p>
        </w:tc>
      </w:tr>
      <w:tr w:rsidR="00236986" w:rsidRPr="00236986" w14:paraId="2C828CE1" w14:textId="77777777" w:rsidTr="00321677">
        <w:trPr>
          <w:cantSplit/>
          <w:trHeight w:val="283"/>
        </w:trPr>
        <w:tc>
          <w:tcPr>
            <w:tcW w:w="567" w:type="dxa"/>
            <w:tcBorders>
              <w:top w:val="single" w:sz="4" w:space="0" w:color="auto"/>
              <w:left w:val="nil"/>
              <w:right w:val="single" w:sz="4" w:space="0" w:color="auto"/>
            </w:tcBorders>
          </w:tcPr>
          <w:p w14:paraId="4E284DDB"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1</w:t>
            </w:r>
          </w:p>
        </w:tc>
        <w:tc>
          <w:tcPr>
            <w:tcW w:w="3261" w:type="dxa"/>
            <w:tcBorders>
              <w:top w:val="single" w:sz="4" w:space="0" w:color="auto"/>
              <w:left w:val="nil"/>
              <w:right w:val="single" w:sz="4" w:space="0" w:color="auto"/>
            </w:tcBorders>
          </w:tcPr>
          <w:p w14:paraId="7B3FB939"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Sovereign exposures</w:t>
            </w:r>
          </w:p>
        </w:tc>
        <w:tc>
          <w:tcPr>
            <w:tcW w:w="1807" w:type="dxa"/>
            <w:tcBorders>
              <w:top w:val="single" w:sz="4" w:space="0" w:color="auto"/>
              <w:left w:val="single" w:sz="4" w:space="0" w:color="auto"/>
              <w:right w:val="single" w:sz="4" w:space="0" w:color="auto"/>
            </w:tcBorders>
          </w:tcPr>
          <w:p w14:paraId="56B1CAC6" w14:textId="77777777" w:rsidR="00236986" w:rsidRPr="00236986" w:rsidRDefault="00236986" w:rsidP="00236986">
            <w:pPr>
              <w:snapToGrid w:val="0"/>
              <w:spacing w:before="40" w:after="40"/>
              <w:rPr>
                <w:sz w:val="17"/>
                <w:lang w:eastAsia="en-GB"/>
              </w:rPr>
            </w:pPr>
          </w:p>
        </w:tc>
        <w:tc>
          <w:tcPr>
            <w:tcW w:w="1807" w:type="dxa"/>
            <w:tcBorders>
              <w:top w:val="single" w:sz="4" w:space="0" w:color="auto"/>
              <w:left w:val="single" w:sz="4" w:space="0" w:color="auto"/>
              <w:right w:val="single" w:sz="4" w:space="0" w:color="auto"/>
            </w:tcBorders>
          </w:tcPr>
          <w:p w14:paraId="7DBCEC90" w14:textId="77777777" w:rsidR="00236986" w:rsidRPr="00236986" w:rsidRDefault="00236986" w:rsidP="00236986">
            <w:pPr>
              <w:snapToGrid w:val="0"/>
              <w:spacing w:before="40" w:after="40"/>
              <w:rPr>
                <w:sz w:val="17"/>
                <w:lang w:eastAsia="en-GB"/>
              </w:rPr>
            </w:pPr>
          </w:p>
        </w:tc>
        <w:tc>
          <w:tcPr>
            <w:tcW w:w="1807" w:type="dxa"/>
            <w:tcBorders>
              <w:top w:val="single" w:sz="4" w:space="0" w:color="auto"/>
              <w:left w:val="single" w:sz="4" w:space="0" w:color="auto"/>
              <w:right w:val="single" w:sz="4" w:space="0" w:color="auto"/>
            </w:tcBorders>
          </w:tcPr>
          <w:p w14:paraId="53CC39F6" w14:textId="77777777" w:rsidR="00236986" w:rsidRPr="00236986" w:rsidRDefault="00236986" w:rsidP="00236986">
            <w:pPr>
              <w:snapToGrid w:val="0"/>
              <w:spacing w:before="40" w:after="40"/>
              <w:rPr>
                <w:sz w:val="17"/>
                <w:lang w:eastAsia="en-GB"/>
              </w:rPr>
            </w:pPr>
          </w:p>
        </w:tc>
        <w:tc>
          <w:tcPr>
            <w:tcW w:w="1808" w:type="dxa"/>
            <w:tcBorders>
              <w:top w:val="single" w:sz="4" w:space="0" w:color="auto"/>
              <w:left w:val="single" w:sz="4" w:space="0" w:color="auto"/>
              <w:right w:val="single" w:sz="4" w:space="0" w:color="auto"/>
            </w:tcBorders>
          </w:tcPr>
          <w:p w14:paraId="5CD870B3" w14:textId="77777777" w:rsidR="00236986" w:rsidRPr="00236986" w:rsidRDefault="00236986" w:rsidP="00236986">
            <w:pPr>
              <w:snapToGrid w:val="0"/>
              <w:spacing w:before="40" w:after="40"/>
              <w:rPr>
                <w:sz w:val="17"/>
                <w:lang w:eastAsia="en-GB"/>
              </w:rPr>
            </w:pPr>
          </w:p>
        </w:tc>
        <w:tc>
          <w:tcPr>
            <w:tcW w:w="1417" w:type="dxa"/>
            <w:tcBorders>
              <w:top w:val="single" w:sz="4" w:space="0" w:color="auto"/>
              <w:left w:val="single" w:sz="4" w:space="0" w:color="auto"/>
              <w:right w:val="single" w:sz="4" w:space="0" w:color="auto"/>
            </w:tcBorders>
          </w:tcPr>
          <w:p w14:paraId="7668772A" w14:textId="77777777" w:rsidR="00236986" w:rsidRPr="00236986" w:rsidRDefault="00236986" w:rsidP="00236986">
            <w:pPr>
              <w:snapToGrid w:val="0"/>
              <w:spacing w:before="40" w:after="40"/>
              <w:rPr>
                <w:sz w:val="17"/>
                <w:lang w:eastAsia="en-GB"/>
              </w:rPr>
            </w:pPr>
          </w:p>
        </w:tc>
        <w:tc>
          <w:tcPr>
            <w:tcW w:w="1418" w:type="dxa"/>
            <w:tcBorders>
              <w:top w:val="single" w:sz="4" w:space="0" w:color="auto"/>
              <w:left w:val="single" w:sz="4" w:space="0" w:color="auto"/>
              <w:right w:val="single" w:sz="4" w:space="0" w:color="auto"/>
            </w:tcBorders>
          </w:tcPr>
          <w:p w14:paraId="20B074EE" w14:textId="77777777" w:rsidR="00236986" w:rsidRPr="00236986" w:rsidRDefault="00236986" w:rsidP="00236986">
            <w:pPr>
              <w:snapToGrid w:val="0"/>
              <w:spacing w:before="40" w:after="40"/>
              <w:rPr>
                <w:sz w:val="17"/>
                <w:lang w:eastAsia="en-GB"/>
              </w:rPr>
            </w:pPr>
          </w:p>
        </w:tc>
      </w:tr>
      <w:tr w:rsidR="00236986" w:rsidRPr="00236986" w14:paraId="41EF59B4" w14:textId="77777777" w:rsidTr="00321677">
        <w:trPr>
          <w:cantSplit/>
          <w:trHeight w:val="283"/>
        </w:trPr>
        <w:tc>
          <w:tcPr>
            <w:tcW w:w="567" w:type="dxa"/>
            <w:tcBorders>
              <w:left w:val="nil"/>
              <w:right w:val="single" w:sz="4" w:space="0" w:color="auto"/>
            </w:tcBorders>
          </w:tcPr>
          <w:p w14:paraId="276352FB"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2</w:t>
            </w:r>
          </w:p>
        </w:tc>
        <w:tc>
          <w:tcPr>
            <w:tcW w:w="3261" w:type="dxa"/>
            <w:tcBorders>
              <w:left w:val="nil"/>
              <w:right w:val="single" w:sz="4" w:space="0" w:color="auto"/>
            </w:tcBorders>
          </w:tcPr>
          <w:p w14:paraId="2873265A"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Public sector entity</w:t>
            </w:r>
            <w:r w:rsidRPr="00236986" w:rsidDel="006D035A">
              <w:rPr>
                <w:rFonts w:cs="Segoe UI"/>
                <w:sz w:val="16"/>
                <w:szCs w:val="16"/>
                <w:lang w:eastAsia="en-GB"/>
              </w:rPr>
              <w:t xml:space="preserve"> </w:t>
            </w:r>
            <w:r w:rsidRPr="00236986">
              <w:rPr>
                <w:rFonts w:cs="Segoe UI"/>
                <w:sz w:val="16"/>
                <w:szCs w:val="16"/>
                <w:lang w:eastAsia="en-GB"/>
              </w:rPr>
              <w:t>exposures</w:t>
            </w:r>
          </w:p>
        </w:tc>
        <w:tc>
          <w:tcPr>
            <w:tcW w:w="1807" w:type="dxa"/>
            <w:tcBorders>
              <w:left w:val="single" w:sz="4" w:space="0" w:color="auto"/>
              <w:right w:val="single" w:sz="4" w:space="0" w:color="auto"/>
            </w:tcBorders>
          </w:tcPr>
          <w:p w14:paraId="649302E4"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76E2C781"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750CA888"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01AA4F3D"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7DAE84F0"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2B2EEAB8" w14:textId="77777777" w:rsidR="00236986" w:rsidRPr="00236986" w:rsidRDefault="00236986" w:rsidP="00236986">
            <w:pPr>
              <w:snapToGrid w:val="0"/>
              <w:spacing w:before="40" w:after="40"/>
              <w:rPr>
                <w:sz w:val="17"/>
                <w:lang w:eastAsia="en-GB"/>
              </w:rPr>
            </w:pPr>
          </w:p>
        </w:tc>
      </w:tr>
      <w:tr w:rsidR="00236986" w:rsidRPr="00236986" w14:paraId="7E81EF27" w14:textId="77777777" w:rsidTr="00321677">
        <w:trPr>
          <w:cantSplit/>
          <w:trHeight w:val="283"/>
        </w:trPr>
        <w:tc>
          <w:tcPr>
            <w:tcW w:w="567" w:type="dxa"/>
            <w:tcBorders>
              <w:left w:val="nil"/>
              <w:right w:val="single" w:sz="4" w:space="0" w:color="auto"/>
            </w:tcBorders>
          </w:tcPr>
          <w:p w14:paraId="16512576"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3</w:t>
            </w:r>
          </w:p>
        </w:tc>
        <w:tc>
          <w:tcPr>
            <w:tcW w:w="3261" w:type="dxa"/>
            <w:tcBorders>
              <w:left w:val="nil"/>
              <w:right w:val="single" w:sz="4" w:space="0" w:color="auto"/>
            </w:tcBorders>
          </w:tcPr>
          <w:p w14:paraId="4216D5E4"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Multilateral development bank exposures</w:t>
            </w:r>
          </w:p>
        </w:tc>
        <w:tc>
          <w:tcPr>
            <w:tcW w:w="1807" w:type="dxa"/>
            <w:tcBorders>
              <w:left w:val="single" w:sz="4" w:space="0" w:color="auto"/>
              <w:right w:val="single" w:sz="4" w:space="0" w:color="auto"/>
            </w:tcBorders>
          </w:tcPr>
          <w:p w14:paraId="0118643F"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1FCA8541"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3766C337"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7C5BE796"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6CD05C7A"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10789F3F" w14:textId="77777777" w:rsidR="00236986" w:rsidRPr="00236986" w:rsidRDefault="00236986" w:rsidP="00236986">
            <w:pPr>
              <w:snapToGrid w:val="0"/>
              <w:spacing w:before="40" w:after="40"/>
              <w:rPr>
                <w:sz w:val="17"/>
                <w:lang w:eastAsia="en-GB"/>
              </w:rPr>
            </w:pPr>
          </w:p>
        </w:tc>
      </w:tr>
      <w:tr w:rsidR="00236986" w:rsidRPr="00236986" w14:paraId="681AB030" w14:textId="77777777" w:rsidTr="00321677">
        <w:trPr>
          <w:cantSplit/>
          <w:trHeight w:val="283"/>
        </w:trPr>
        <w:tc>
          <w:tcPr>
            <w:tcW w:w="567" w:type="dxa"/>
            <w:tcBorders>
              <w:left w:val="nil"/>
              <w:right w:val="single" w:sz="4" w:space="0" w:color="auto"/>
            </w:tcBorders>
          </w:tcPr>
          <w:p w14:paraId="59C09F02"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3a</w:t>
            </w:r>
          </w:p>
        </w:tc>
        <w:tc>
          <w:tcPr>
            <w:tcW w:w="3261" w:type="dxa"/>
            <w:tcBorders>
              <w:left w:val="nil"/>
              <w:right w:val="single" w:sz="4" w:space="0" w:color="auto"/>
            </w:tcBorders>
          </w:tcPr>
          <w:p w14:paraId="4DA0E2AC"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Unspecified multilateral body exposures</w:t>
            </w:r>
          </w:p>
        </w:tc>
        <w:tc>
          <w:tcPr>
            <w:tcW w:w="1807" w:type="dxa"/>
            <w:tcBorders>
              <w:left w:val="single" w:sz="4" w:space="0" w:color="auto"/>
              <w:right w:val="single" w:sz="4" w:space="0" w:color="auto"/>
            </w:tcBorders>
          </w:tcPr>
          <w:p w14:paraId="3024BD3F"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0C7CEEC9"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2FE140C7"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6F7EEF20"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73A8A0D9"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272F9959" w14:textId="77777777" w:rsidR="00236986" w:rsidRPr="00236986" w:rsidRDefault="00236986" w:rsidP="00236986">
            <w:pPr>
              <w:snapToGrid w:val="0"/>
              <w:spacing w:before="40" w:after="40"/>
              <w:rPr>
                <w:sz w:val="17"/>
                <w:lang w:eastAsia="en-GB"/>
              </w:rPr>
            </w:pPr>
          </w:p>
        </w:tc>
      </w:tr>
      <w:tr w:rsidR="00236986" w:rsidRPr="00236986" w14:paraId="5C5D7631" w14:textId="77777777" w:rsidTr="00321677">
        <w:trPr>
          <w:cantSplit/>
          <w:trHeight w:val="283"/>
        </w:trPr>
        <w:tc>
          <w:tcPr>
            <w:tcW w:w="567" w:type="dxa"/>
            <w:tcBorders>
              <w:left w:val="nil"/>
              <w:right w:val="single" w:sz="4" w:space="0" w:color="auto"/>
            </w:tcBorders>
          </w:tcPr>
          <w:p w14:paraId="62E61EDE"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4</w:t>
            </w:r>
          </w:p>
        </w:tc>
        <w:tc>
          <w:tcPr>
            <w:tcW w:w="3261" w:type="dxa"/>
            <w:tcBorders>
              <w:left w:val="nil"/>
              <w:right w:val="single" w:sz="4" w:space="0" w:color="auto"/>
            </w:tcBorders>
          </w:tcPr>
          <w:p w14:paraId="313B0709"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Bank exposures</w:t>
            </w:r>
          </w:p>
        </w:tc>
        <w:tc>
          <w:tcPr>
            <w:tcW w:w="1807" w:type="dxa"/>
            <w:tcBorders>
              <w:left w:val="single" w:sz="4" w:space="0" w:color="auto"/>
              <w:right w:val="single" w:sz="4" w:space="0" w:color="auto"/>
            </w:tcBorders>
          </w:tcPr>
          <w:p w14:paraId="4089BCAF"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7F186C4C"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66FFA0EF"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77CDDE71"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2FDB8B4A"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147B61A3" w14:textId="77777777" w:rsidR="00236986" w:rsidRPr="00236986" w:rsidRDefault="00236986" w:rsidP="00236986">
            <w:pPr>
              <w:snapToGrid w:val="0"/>
              <w:spacing w:before="40" w:after="40"/>
              <w:rPr>
                <w:sz w:val="17"/>
                <w:lang w:eastAsia="en-GB"/>
              </w:rPr>
            </w:pPr>
          </w:p>
        </w:tc>
      </w:tr>
      <w:tr w:rsidR="00236986" w:rsidRPr="00236986" w14:paraId="2F941305" w14:textId="77777777" w:rsidTr="00321677">
        <w:trPr>
          <w:cantSplit/>
          <w:trHeight w:val="283"/>
        </w:trPr>
        <w:tc>
          <w:tcPr>
            <w:tcW w:w="567" w:type="dxa"/>
            <w:tcBorders>
              <w:left w:val="nil"/>
              <w:right w:val="single" w:sz="4" w:space="0" w:color="auto"/>
            </w:tcBorders>
          </w:tcPr>
          <w:p w14:paraId="088C16B0"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4a</w:t>
            </w:r>
          </w:p>
        </w:tc>
        <w:tc>
          <w:tcPr>
            <w:tcW w:w="3261" w:type="dxa"/>
            <w:tcBorders>
              <w:left w:val="nil"/>
              <w:right w:val="single" w:sz="4" w:space="0" w:color="auto"/>
            </w:tcBorders>
          </w:tcPr>
          <w:p w14:paraId="014F0C19" w14:textId="70B7D1B6" w:rsidR="00236986" w:rsidRPr="00236986" w:rsidRDefault="00A13869" w:rsidP="00236986">
            <w:pPr>
              <w:snapToGrid w:val="0"/>
              <w:spacing w:before="40" w:after="40"/>
              <w:rPr>
                <w:rFonts w:cs="Segoe UI"/>
                <w:sz w:val="16"/>
                <w:szCs w:val="16"/>
                <w:lang w:eastAsia="en-GB"/>
              </w:rPr>
            </w:pPr>
            <w:r w:rsidRPr="00236986">
              <w:rPr>
                <w:rFonts w:cs="Segoe UI"/>
                <w:sz w:val="16"/>
                <w:szCs w:val="16"/>
                <w:lang w:eastAsia="en-GB"/>
              </w:rPr>
              <w:t>Qualifying non-bank financial institution exposures</w:t>
            </w:r>
          </w:p>
        </w:tc>
        <w:tc>
          <w:tcPr>
            <w:tcW w:w="1807" w:type="dxa"/>
            <w:tcBorders>
              <w:left w:val="single" w:sz="4" w:space="0" w:color="auto"/>
              <w:right w:val="single" w:sz="4" w:space="0" w:color="auto"/>
            </w:tcBorders>
          </w:tcPr>
          <w:p w14:paraId="508FCA5C"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37531CDE"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0A872FBE"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7F3F3D3F"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381DA70D"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649E7FA7" w14:textId="77777777" w:rsidR="00236986" w:rsidRPr="00236986" w:rsidRDefault="00236986" w:rsidP="00236986">
            <w:pPr>
              <w:snapToGrid w:val="0"/>
              <w:spacing w:before="40" w:after="40"/>
              <w:rPr>
                <w:sz w:val="17"/>
                <w:lang w:eastAsia="en-GB"/>
              </w:rPr>
            </w:pPr>
          </w:p>
        </w:tc>
      </w:tr>
      <w:tr w:rsidR="00236986" w:rsidRPr="00236986" w14:paraId="04499191" w14:textId="77777777" w:rsidTr="00321677">
        <w:trPr>
          <w:cantSplit/>
          <w:trHeight w:val="283"/>
        </w:trPr>
        <w:tc>
          <w:tcPr>
            <w:tcW w:w="567" w:type="dxa"/>
            <w:tcBorders>
              <w:left w:val="nil"/>
              <w:right w:val="single" w:sz="4" w:space="0" w:color="auto"/>
            </w:tcBorders>
          </w:tcPr>
          <w:p w14:paraId="5EAA6920"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5</w:t>
            </w:r>
          </w:p>
        </w:tc>
        <w:tc>
          <w:tcPr>
            <w:tcW w:w="3261" w:type="dxa"/>
            <w:tcBorders>
              <w:left w:val="nil"/>
              <w:right w:val="single" w:sz="4" w:space="0" w:color="auto"/>
            </w:tcBorders>
          </w:tcPr>
          <w:p w14:paraId="4A8FE750"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Eligible covered bond exposures</w:t>
            </w:r>
          </w:p>
        </w:tc>
        <w:tc>
          <w:tcPr>
            <w:tcW w:w="1807" w:type="dxa"/>
            <w:tcBorders>
              <w:left w:val="single" w:sz="4" w:space="0" w:color="auto"/>
              <w:right w:val="single" w:sz="4" w:space="0" w:color="auto"/>
            </w:tcBorders>
          </w:tcPr>
          <w:p w14:paraId="0DA9B71E"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42E29F36"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0B02C5FE"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04725FEB"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32D66827"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66667955" w14:textId="77777777" w:rsidR="00236986" w:rsidRPr="00236986" w:rsidRDefault="00236986" w:rsidP="00236986">
            <w:pPr>
              <w:snapToGrid w:val="0"/>
              <w:spacing w:before="40" w:after="40"/>
              <w:rPr>
                <w:sz w:val="17"/>
                <w:lang w:eastAsia="en-GB"/>
              </w:rPr>
            </w:pPr>
          </w:p>
        </w:tc>
      </w:tr>
      <w:tr w:rsidR="00236986" w:rsidRPr="00236986" w14:paraId="31A9A06A" w14:textId="77777777" w:rsidTr="00321677">
        <w:trPr>
          <w:cantSplit/>
          <w:trHeight w:val="283"/>
        </w:trPr>
        <w:tc>
          <w:tcPr>
            <w:tcW w:w="567" w:type="dxa"/>
            <w:tcBorders>
              <w:left w:val="nil"/>
              <w:right w:val="single" w:sz="4" w:space="0" w:color="auto"/>
            </w:tcBorders>
          </w:tcPr>
          <w:p w14:paraId="1562196E"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6</w:t>
            </w:r>
          </w:p>
        </w:tc>
        <w:tc>
          <w:tcPr>
            <w:tcW w:w="3261" w:type="dxa"/>
            <w:tcBorders>
              <w:left w:val="nil"/>
              <w:right w:val="single" w:sz="4" w:space="0" w:color="auto"/>
            </w:tcBorders>
          </w:tcPr>
          <w:p w14:paraId="6F765BD0"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General corporate exposures</w:t>
            </w:r>
          </w:p>
        </w:tc>
        <w:tc>
          <w:tcPr>
            <w:tcW w:w="1807" w:type="dxa"/>
            <w:tcBorders>
              <w:left w:val="single" w:sz="4" w:space="0" w:color="auto"/>
              <w:right w:val="single" w:sz="4" w:space="0" w:color="auto"/>
            </w:tcBorders>
          </w:tcPr>
          <w:p w14:paraId="2AAD2603"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4F9806D9"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164B90CC"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6BFE8D0A"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1F75BBE9"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02B6961E" w14:textId="77777777" w:rsidR="00236986" w:rsidRPr="00236986" w:rsidRDefault="00236986" w:rsidP="00236986">
            <w:pPr>
              <w:snapToGrid w:val="0"/>
              <w:spacing w:before="40" w:after="40"/>
              <w:rPr>
                <w:sz w:val="17"/>
                <w:lang w:eastAsia="en-GB"/>
              </w:rPr>
            </w:pPr>
          </w:p>
        </w:tc>
      </w:tr>
      <w:tr w:rsidR="00180DFE" w:rsidRPr="00236986" w14:paraId="07041B93" w14:textId="77777777" w:rsidTr="00321677">
        <w:trPr>
          <w:cantSplit/>
          <w:trHeight w:val="283"/>
        </w:trPr>
        <w:tc>
          <w:tcPr>
            <w:tcW w:w="567" w:type="dxa"/>
            <w:tcBorders>
              <w:left w:val="nil"/>
              <w:right w:val="single" w:sz="4" w:space="0" w:color="auto"/>
            </w:tcBorders>
          </w:tcPr>
          <w:p w14:paraId="537BE018" w14:textId="77777777" w:rsidR="00180DFE" w:rsidRPr="00236986" w:rsidRDefault="00180DFE" w:rsidP="00180DFE">
            <w:pPr>
              <w:snapToGrid w:val="0"/>
              <w:spacing w:before="40" w:after="40"/>
              <w:rPr>
                <w:rFonts w:cs="Segoe UI"/>
                <w:sz w:val="16"/>
                <w:szCs w:val="16"/>
                <w:lang w:eastAsia="en-GB"/>
              </w:rPr>
            </w:pPr>
            <w:r w:rsidRPr="00236986">
              <w:rPr>
                <w:rFonts w:cs="Segoe UI"/>
                <w:sz w:val="16"/>
                <w:szCs w:val="16"/>
                <w:lang w:eastAsia="en-GB"/>
              </w:rPr>
              <w:t>6a</w:t>
            </w:r>
          </w:p>
        </w:tc>
        <w:tc>
          <w:tcPr>
            <w:tcW w:w="3261" w:type="dxa"/>
            <w:tcBorders>
              <w:left w:val="nil"/>
              <w:right w:val="single" w:sz="4" w:space="0" w:color="auto"/>
            </w:tcBorders>
          </w:tcPr>
          <w:p w14:paraId="5250E48A" w14:textId="7A4C8E31" w:rsidR="00180DFE" w:rsidRPr="00236986" w:rsidRDefault="00180DFE" w:rsidP="00976526">
            <w:pPr>
              <w:snapToGrid w:val="0"/>
              <w:spacing w:before="40" w:after="40"/>
              <w:ind w:leftChars="88" w:left="176"/>
              <w:rPr>
                <w:rFonts w:cs="Segoe UI"/>
                <w:sz w:val="16"/>
                <w:szCs w:val="16"/>
                <w:lang w:eastAsia="en-GB"/>
              </w:rPr>
            </w:pPr>
            <w:r w:rsidRPr="00236986">
              <w:rPr>
                <w:rFonts w:cs="Segoe UI"/>
                <w:sz w:val="16"/>
                <w:szCs w:val="16"/>
                <w:lang w:eastAsia="en-GB"/>
              </w:rPr>
              <w:t>Of which: non-bank financial institution exposures excluding those reported under row 4a</w:t>
            </w:r>
          </w:p>
        </w:tc>
        <w:tc>
          <w:tcPr>
            <w:tcW w:w="1807" w:type="dxa"/>
            <w:tcBorders>
              <w:left w:val="single" w:sz="4" w:space="0" w:color="auto"/>
              <w:right w:val="single" w:sz="4" w:space="0" w:color="auto"/>
            </w:tcBorders>
          </w:tcPr>
          <w:p w14:paraId="045C6A96" w14:textId="77777777" w:rsidR="00180DFE" w:rsidRPr="00236986" w:rsidRDefault="00180DFE" w:rsidP="00180DFE">
            <w:pPr>
              <w:snapToGrid w:val="0"/>
              <w:spacing w:before="40" w:after="40"/>
              <w:rPr>
                <w:sz w:val="17"/>
                <w:lang w:eastAsia="en-GB"/>
              </w:rPr>
            </w:pPr>
          </w:p>
        </w:tc>
        <w:tc>
          <w:tcPr>
            <w:tcW w:w="1807" w:type="dxa"/>
            <w:tcBorders>
              <w:left w:val="single" w:sz="4" w:space="0" w:color="auto"/>
              <w:right w:val="single" w:sz="4" w:space="0" w:color="auto"/>
            </w:tcBorders>
          </w:tcPr>
          <w:p w14:paraId="6871B7E8" w14:textId="77777777" w:rsidR="00180DFE" w:rsidRPr="00236986" w:rsidRDefault="00180DFE" w:rsidP="00180DFE">
            <w:pPr>
              <w:snapToGrid w:val="0"/>
              <w:spacing w:before="40" w:after="40"/>
              <w:rPr>
                <w:sz w:val="17"/>
                <w:lang w:eastAsia="en-GB"/>
              </w:rPr>
            </w:pPr>
          </w:p>
        </w:tc>
        <w:tc>
          <w:tcPr>
            <w:tcW w:w="1807" w:type="dxa"/>
            <w:tcBorders>
              <w:left w:val="single" w:sz="4" w:space="0" w:color="auto"/>
              <w:right w:val="single" w:sz="4" w:space="0" w:color="auto"/>
            </w:tcBorders>
          </w:tcPr>
          <w:p w14:paraId="6DA9410E" w14:textId="77777777" w:rsidR="00180DFE" w:rsidRPr="00236986" w:rsidRDefault="00180DFE" w:rsidP="00180DFE">
            <w:pPr>
              <w:snapToGrid w:val="0"/>
              <w:spacing w:before="40" w:after="40"/>
              <w:rPr>
                <w:sz w:val="17"/>
                <w:lang w:eastAsia="en-GB"/>
              </w:rPr>
            </w:pPr>
          </w:p>
        </w:tc>
        <w:tc>
          <w:tcPr>
            <w:tcW w:w="1808" w:type="dxa"/>
            <w:tcBorders>
              <w:left w:val="single" w:sz="4" w:space="0" w:color="auto"/>
              <w:right w:val="single" w:sz="4" w:space="0" w:color="auto"/>
            </w:tcBorders>
          </w:tcPr>
          <w:p w14:paraId="1131A702" w14:textId="77777777" w:rsidR="00180DFE" w:rsidRPr="00236986" w:rsidRDefault="00180DFE" w:rsidP="00180DFE">
            <w:pPr>
              <w:snapToGrid w:val="0"/>
              <w:spacing w:before="40" w:after="40"/>
              <w:rPr>
                <w:sz w:val="17"/>
                <w:lang w:eastAsia="en-GB"/>
              </w:rPr>
            </w:pPr>
          </w:p>
        </w:tc>
        <w:tc>
          <w:tcPr>
            <w:tcW w:w="1417" w:type="dxa"/>
            <w:tcBorders>
              <w:left w:val="single" w:sz="4" w:space="0" w:color="auto"/>
              <w:right w:val="single" w:sz="4" w:space="0" w:color="auto"/>
            </w:tcBorders>
          </w:tcPr>
          <w:p w14:paraId="38E0A103" w14:textId="77777777" w:rsidR="00180DFE" w:rsidRPr="00236986" w:rsidRDefault="00180DFE" w:rsidP="00180DFE">
            <w:pPr>
              <w:snapToGrid w:val="0"/>
              <w:spacing w:before="40" w:after="40"/>
              <w:rPr>
                <w:sz w:val="17"/>
                <w:lang w:eastAsia="en-GB"/>
              </w:rPr>
            </w:pPr>
          </w:p>
        </w:tc>
        <w:tc>
          <w:tcPr>
            <w:tcW w:w="1418" w:type="dxa"/>
            <w:tcBorders>
              <w:left w:val="single" w:sz="4" w:space="0" w:color="auto"/>
              <w:right w:val="single" w:sz="4" w:space="0" w:color="auto"/>
            </w:tcBorders>
          </w:tcPr>
          <w:p w14:paraId="1C8DCD27" w14:textId="77777777" w:rsidR="00180DFE" w:rsidRPr="00236986" w:rsidRDefault="00180DFE" w:rsidP="00180DFE">
            <w:pPr>
              <w:snapToGrid w:val="0"/>
              <w:spacing w:before="40" w:after="40"/>
              <w:rPr>
                <w:sz w:val="17"/>
                <w:lang w:eastAsia="en-GB"/>
              </w:rPr>
            </w:pPr>
          </w:p>
        </w:tc>
      </w:tr>
      <w:tr w:rsidR="00236986" w:rsidRPr="00236986" w14:paraId="4667FAB8" w14:textId="77777777" w:rsidTr="00321677">
        <w:trPr>
          <w:cantSplit/>
          <w:trHeight w:val="283"/>
        </w:trPr>
        <w:tc>
          <w:tcPr>
            <w:tcW w:w="567" w:type="dxa"/>
            <w:tcBorders>
              <w:left w:val="nil"/>
              <w:right w:val="single" w:sz="4" w:space="0" w:color="auto"/>
            </w:tcBorders>
          </w:tcPr>
          <w:p w14:paraId="43A2980A"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6b</w:t>
            </w:r>
          </w:p>
        </w:tc>
        <w:tc>
          <w:tcPr>
            <w:tcW w:w="3261" w:type="dxa"/>
            <w:tcBorders>
              <w:left w:val="nil"/>
              <w:right w:val="single" w:sz="4" w:space="0" w:color="auto"/>
            </w:tcBorders>
          </w:tcPr>
          <w:p w14:paraId="4FAF95F8" w14:textId="77777777" w:rsidR="00236986" w:rsidRPr="00236986" w:rsidRDefault="00236986" w:rsidP="00236986">
            <w:pPr>
              <w:snapToGrid w:val="0"/>
              <w:spacing w:before="40" w:after="40"/>
              <w:rPr>
                <w:rFonts w:cs="Segoe UI"/>
                <w:sz w:val="16"/>
                <w:szCs w:val="16"/>
                <w:highlight w:val="yellow"/>
                <w:lang w:eastAsia="en-GB"/>
              </w:rPr>
            </w:pPr>
            <w:r w:rsidRPr="00236986">
              <w:rPr>
                <w:rFonts w:cs="Segoe UI"/>
                <w:sz w:val="16"/>
                <w:szCs w:val="16"/>
                <w:lang w:eastAsia="en-GB"/>
              </w:rPr>
              <w:t xml:space="preserve">Specialized lending </w:t>
            </w:r>
          </w:p>
        </w:tc>
        <w:tc>
          <w:tcPr>
            <w:tcW w:w="1807" w:type="dxa"/>
            <w:tcBorders>
              <w:left w:val="single" w:sz="4" w:space="0" w:color="auto"/>
              <w:right w:val="single" w:sz="4" w:space="0" w:color="auto"/>
            </w:tcBorders>
          </w:tcPr>
          <w:p w14:paraId="1E1918DF"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43DBEB51"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66DF6721"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23843BA0"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22F02C6A"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72E49654" w14:textId="77777777" w:rsidR="00236986" w:rsidRPr="00236986" w:rsidRDefault="00236986" w:rsidP="00236986">
            <w:pPr>
              <w:snapToGrid w:val="0"/>
              <w:spacing w:before="40" w:after="40"/>
              <w:rPr>
                <w:sz w:val="17"/>
                <w:lang w:eastAsia="en-GB"/>
              </w:rPr>
            </w:pPr>
          </w:p>
        </w:tc>
      </w:tr>
      <w:tr w:rsidR="00236986" w:rsidRPr="00236986" w14:paraId="2637898E" w14:textId="77777777" w:rsidTr="00321677">
        <w:trPr>
          <w:cantSplit/>
          <w:trHeight w:val="283"/>
        </w:trPr>
        <w:tc>
          <w:tcPr>
            <w:tcW w:w="567" w:type="dxa"/>
            <w:tcBorders>
              <w:left w:val="nil"/>
              <w:right w:val="single" w:sz="4" w:space="0" w:color="auto"/>
            </w:tcBorders>
          </w:tcPr>
          <w:p w14:paraId="1E0A3565"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7</w:t>
            </w:r>
          </w:p>
        </w:tc>
        <w:tc>
          <w:tcPr>
            <w:tcW w:w="3261" w:type="dxa"/>
            <w:tcBorders>
              <w:left w:val="nil"/>
              <w:right w:val="single" w:sz="4" w:space="0" w:color="auto"/>
            </w:tcBorders>
          </w:tcPr>
          <w:p w14:paraId="08AF2149"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Equity exposures</w:t>
            </w:r>
          </w:p>
        </w:tc>
        <w:tc>
          <w:tcPr>
            <w:tcW w:w="1807" w:type="dxa"/>
            <w:tcBorders>
              <w:left w:val="single" w:sz="4" w:space="0" w:color="auto"/>
              <w:right w:val="single" w:sz="4" w:space="0" w:color="auto"/>
            </w:tcBorders>
          </w:tcPr>
          <w:p w14:paraId="419CACD6"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329F53E0"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256192D1"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2B4A189F"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549F442F"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7D07904B" w14:textId="77777777" w:rsidR="00236986" w:rsidRPr="00236986" w:rsidRDefault="00236986" w:rsidP="00236986">
            <w:pPr>
              <w:snapToGrid w:val="0"/>
              <w:spacing w:before="40" w:after="40"/>
              <w:rPr>
                <w:sz w:val="17"/>
                <w:lang w:eastAsia="en-GB"/>
              </w:rPr>
            </w:pPr>
          </w:p>
        </w:tc>
      </w:tr>
      <w:tr w:rsidR="00236986" w:rsidRPr="00236986" w14:paraId="6825EAC6" w14:textId="77777777" w:rsidTr="00321677">
        <w:trPr>
          <w:cantSplit/>
          <w:trHeight w:val="283"/>
        </w:trPr>
        <w:tc>
          <w:tcPr>
            <w:tcW w:w="567" w:type="dxa"/>
            <w:tcBorders>
              <w:left w:val="nil"/>
              <w:right w:val="single" w:sz="4" w:space="0" w:color="auto"/>
            </w:tcBorders>
          </w:tcPr>
          <w:p w14:paraId="3BA4CD40"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7a</w:t>
            </w:r>
          </w:p>
        </w:tc>
        <w:tc>
          <w:tcPr>
            <w:tcW w:w="3261" w:type="dxa"/>
            <w:tcBorders>
              <w:left w:val="nil"/>
              <w:right w:val="single" w:sz="4" w:space="0" w:color="auto"/>
            </w:tcBorders>
          </w:tcPr>
          <w:p w14:paraId="3C62E0B9"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Significant capital investments in commercial entities</w:t>
            </w:r>
          </w:p>
        </w:tc>
        <w:tc>
          <w:tcPr>
            <w:tcW w:w="1807" w:type="dxa"/>
            <w:tcBorders>
              <w:left w:val="single" w:sz="4" w:space="0" w:color="auto"/>
              <w:right w:val="single" w:sz="4" w:space="0" w:color="auto"/>
            </w:tcBorders>
          </w:tcPr>
          <w:p w14:paraId="3853F632"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08189F9A"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33AF9CB4"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731B8359"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018AE4FF"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487FC142" w14:textId="77777777" w:rsidR="00236986" w:rsidRPr="00236986" w:rsidRDefault="00236986" w:rsidP="00236986">
            <w:pPr>
              <w:snapToGrid w:val="0"/>
              <w:spacing w:before="40" w:after="40"/>
              <w:rPr>
                <w:sz w:val="17"/>
                <w:lang w:eastAsia="en-GB"/>
              </w:rPr>
            </w:pPr>
          </w:p>
        </w:tc>
      </w:tr>
      <w:tr w:rsidR="00236986" w:rsidRPr="00236986" w14:paraId="74A7C8AB" w14:textId="77777777" w:rsidTr="00321677">
        <w:trPr>
          <w:cantSplit/>
          <w:trHeight w:val="283"/>
        </w:trPr>
        <w:tc>
          <w:tcPr>
            <w:tcW w:w="567" w:type="dxa"/>
            <w:tcBorders>
              <w:left w:val="nil"/>
              <w:right w:val="single" w:sz="4" w:space="0" w:color="auto"/>
            </w:tcBorders>
          </w:tcPr>
          <w:p w14:paraId="11ACA585"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7b</w:t>
            </w:r>
          </w:p>
        </w:tc>
        <w:tc>
          <w:tcPr>
            <w:tcW w:w="3261" w:type="dxa"/>
            <w:tcBorders>
              <w:left w:val="nil"/>
              <w:right w:val="single" w:sz="4" w:space="0" w:color="auto"/>
            </w:tcBorders>
          </w:tcPr>
          <w:p w14:paraId="27568EE6"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Holdings of capital instruments issued by, and non-capital LAC liabilities of, financial sector entities</w:t>
            </w:r>
          </w:p>
        </w:tc>
        <w:tc>
          <w:tcPr>
            <w:tcW w:w="1807" w:type="dxa"/>
            <w:tcBorders>
              <w:left w:val="single" w:sz="4" w:space="0" w:color="auto"/>
              <w:right w:val="single" w:sz="4" w:space="0" w:color="auto"/>
            </w:tcBorders>
          </w:tcPr>
          <w:p w14:paraId="3EB4CE25"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39552AF2"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135D6706"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0146143F"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788357CD"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61CC460A" w14:textId="77777777" w:rsidR="00236986" w:rsidRPr="00236986" w:rsidRDefault="00236986" w:rsidP="00236986">
            <w:pPr>
              <w:snapToGrid w:val="0"/>
              <w:spacing w:before="40" w:after="40"/>
              <w:rPr>
                <w:sz w:val="17"/>
                <w:lang w:eastAsia="en-GB"/>
              </w:rPr>
            </w:pPr>
          </w:p>
        </w:tc>
      </w:tr>
      <w:tr w:rsidR="00236986" w:rsidRPr="00236986" w14:paraId="3AEA8BBB" w14:textId="77777777" w:rsidTr="00321677">
        <w:trPr>
          <w:cantSplit/>
          <w:trHeight w:val="283"/>
        </w:trPr>
        <w:tc>
          <w:tcPr>
            <w:tcW w:w="567" w:type="dxa"/>
            <w:tcBorders>
              <w:left w:val="nil"/>
              <w:right w:val="single" w:sz="4" w:space="0" w:color="auto"/>
            </w:tcBorders>
          </w:tcPr>
          <w:p w14:paraId="63CA3C8F"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7c</w:t>
            </w:r>
          </w:p>
        </w:tc>
        <w:tc>
          <w:tcPr>
            <w:tcW w:w="3261" w:type="dxa"/>
            <w:tcBorders>
              <w:left w:val="nil"/>
              <w:right w:val="single" w:sz="4" w:space="0" w:color="auto"/>
            </w:tcBorders>
          </w:tcPr>
          <w:p w14:paraId="60821E47"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Subordinated debts issued by banks, qualifying non-bank financial institutions and corporates</w:t>
            </w:r>
          </w:p>
        </w:tc>
        <w:tc>
          <w:tcPr>
            <w:tcW w:w="1807" w:type="dxa"/>
            <w:tcBorders>
              <w:left w:val="single" w:sz="4" w:space="0" w:color="auto"/>
              <w:right w:val="single" w:sz="4" w:space="0" w:color="auto"/>
            </w:tcBorders>
          </w:tcPr>
          <w:p w14:paraId="7AD06BF2"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28CA212C"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6D674B01"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2EB56425"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7FCF9FCD"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5B327CCC" w14:textId="77777777" w:rsidR="00236986" w:rsidRPr="00236986" w:rsidRDefault="00236986" w:rsidP="00236986">
            <w:pPr>
              <w:snapToGrid w:val="0"/>
              <w:spacing w:before="40" w:after="40"/>
              <w:rPr>
                <w:sz w:val="17"/>
                <w:lang w:eastAsia="en-GB"/>
              </w:rPr>
            </w:pPr>
          </w:p>
        </w:tc>
      </w:tr>
      <w:tr w:rsidR="00236986" w:rsidRPr="00236986" w14:paraId="4B7575BA" w14:textId="77777777" w:rsidTr="00321677">
        <w:trPr>
          <w:cantSplit/>
          <w:trHeight w:val="283"/>
        </w:trPr>
        <w:tc>
          <w:tcPr>
            <w:tcW w:w="567" w:type="dxa"/>
            <w:tcBorders>
              <w:left w:val="nil"/>
              <w:right w:val="single" w:sz="4" w:space="0" w:color="auto"/>
            </w:tcBorders>
          </w:tcPr>
          <w:p w14:paraId="52FF54CE"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8</w:t>
            </w:r>
          </w:p>
        </w:tc>
        <w:tc>
          <w:tcPr>
            <w:tcW w:w="3261" w:type="dxa"/>
            <w:tcBorders>
              <w:left w:val="nil"/>
              <w:right w:val="single" w:sz="4" w:space="0" w:color="auto"/>
            </w:tcBorders>
          </w:tcPr>
          <w:p w14:paraId="286554CE"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Retail exposures</w:t>
            </w:r>
          </w:p>
        </w:tc>
        <w:tc>
          <w:tcPr>
            <w:tcW w:w="1807" w:type="dxa"/>
            <w:tcBorders>
              <w:left w:val="single" w:sz="4" w:space="0" w:color="auto"/>
              <w:right w:val="single" w:sz="4" w:space="0" w:color="auto"/>
            </w:tcBorders>
          </w:tcPr>
          <w:p w14:paraId="527320E0"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25C11A80"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7C227444"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50D357C1"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56DA551D"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110016C0" w14:textId="77777777" w:rsidR="00236986" w:rsidRPr="00236986" w:rsidRDefault="00236986" w:rsidP="00236986">
            <w:pPr>
              <w:snapToGrid w:val="0"/>
              <w:spacing w:before="40" w:after="40"/>
              <w:rPr>
                <w:sz w:val="17"/>
                <w:lang w:eastAsia="en-GB"/>
              </w:rPr>
            </w:pPr>
          </w:p>
        </w:tc>
      </w:tr>
      <w:tr w:rsidR="00236986" w:rsidRPr="00236986" w14:paraId="6B7712D8" w14:textId="77777777" w:rsidTr="00321677">
        <w:trPr>
          <w:cantSplit/>
          <w:trHeight w:val="283"/>
        </w:trPr>
        <w:tc>
          <w:tcPr>
            <w:tcW w:w="567" w:type="dxa"/>
            <w:tcBorders>
              <w:left w:val="nil"/>
              <w:right w:val="single" w:sz="4" w:space="0" w:color="auto"/>
            </w:tcBorders>
          </w:tcPr>
          <w:p w14:paraId="74324053"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8a</w:t>
            </w:r>
          </w:p>
        </w:tc>
        <w:tc>
          <w:tcPr>
            <w:tcW w:w="3261" w:type="dxa"/>
            <w:tcBorders>
              <w:left w:val="nil"/>
              <w:right w:val="single" w:sz="4" w:space="0" w:color="auto"/>
            </w:tcBorders>
          </w:tcPr>
          <w:p w14:paraId="6C35BE85" w14:textId="77777777" w:rsidR="00351EF3" w:rsidRDefault="00A13869" w:rsidP="00236986">
            <w:pPr>
              <w:snapToGrid w:val="0"/>
              <w:spacing w:before="40" w:after="40"/>
              <w:rPr>
                <w:rFonts w:cs="Segoe UI"/>
                <w:sz w:val="16"/>
                <w:szCs w:val="16"/>
                <w:lang w:eastAsia="en-GB"/>
              </w:rPr>
            </w:pPr>
            <w:r w:rsidRPr="00236986">
              <w:rPr>
                <w:rFonts w:cs="Segoe UI"/>
                <w:sz w:val="16"/>
                <w:szCs w:val="16"/>
                <w:lang w:eastAsia="en-GB"/>
              </w:rPr>
              <w:t>Exposures arising from IPO financing</w:t>
            </w:r>
          </w:p>
          <w:p w14:paraId="46DAB599" w14:textId="666BBA33" w:rsidR="00236986" w:rsidRPr="00236986" w:rsidRDefault="00236986" w:rsidP="00236986">
            <w:pPr>
              <w:snapToGrid w:val="0"/>
              <w:spacing w:before="40" w:after="40"/>
              <w:rPr>
                <w:rFonts w:cs="Segoe UI"/>
                <w:sz w:val="16"/>
                <w:szCs w:val="16"/>
                <w:lang w:eastAsia="en-GB"/>
              </w:rPr>
            </w:pPr>
          </w:p>
        </w:tc>
        <w:tc>
          <w:tcPr>
            <w:tcW w:w="1807" w:type="dxa"/>
            <w:tcBorders>
              <w:left w:val="single" w:sz="4" w:space="0" w:color="auto"/>
              <w:right w:val="single" w:sz="4" w:space="0" w:color="auto"/>
            </w:tcBorders>
          </w:tcPr>
          <w:p w14:paraId="4F759BC0"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6DE5078A"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065F1D77"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09FA1A1A"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5AC80FF1"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481868BE" w14:textId="77777777" w:rsidR="00236986" w:rsidRPr="00236986" w:rsidRDefault="00236986" w:rsidP="00236986">
            <w:pPr>
              <w:snapToGrid w:val="0"/>
              <w:spacing w:before="40" w:after="40"/>
              <w:rPr>
                <w:sz w:val="17"/>
                <w:lang w:eastAsia="en-GB"/>
              </w:rPr>
            </w:pPr>
          </w:p>
        </w:tc>
      </w:tr>
      <w:tr w:rsidR="00236986" w:rsidRPr="00236986" w14:paraId="1DF04A89" w14:textId="77777777" w:rsidTr="00321677">
        <w:trPr>
          <w:cantSplit/>
          <w:trHeight w:val="283"/>
        </w:trPr>
        <w:tc>
          <w:tcPr>
            <w:tcW w:w="567" w:type="dxa"/>
            <w:tcBorders>
              <w:left w:val="nil"/>
              <w:right w:val="single" w:sz="4" w:space="0" w:color="auto"/>
            </w:tcBorders>
          </w:tcPr>
          <w:p w14:paraId="521ACFCB"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9</w:t>
            </w:r>
          </w:p>
        </w:tc>
        <w:tc>
          <w:tcPr>
            <w:tcW w:w="3261" w:type="dxa"/>
            <w:tcBorders>
              <w:left w:val="nil"/>
              <w:right w:val="single" w:sz="4" w:space="0" w:color="auto"/>
            </w:tcBorders>
          </w:tcPr>
          <w:p w14:paraId="69A28B2A"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Real estate exposures</w:t>
            </w:r>
          </w:p>
        </w:tc>
        <w:tc>
          <w:tcPr>
            <w:tcW w:w="1807" w:type="dxa"/>
            <w:tcBorders>
              <w:left w:val="single" w:sz="4" w:space="0" w:color="auto"/>
              <w:right w:val="single" w:sz="4" w:space="0" w:color="auto"/>
            </w:tcBorders>
          </w:tcPr>
          <w:p w14:paraId="1BC1C418"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738C8D87"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721E78D0"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160DBEAC"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285890BF"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68B5B511" w14:textId="77777777" w:rsidR="00236986" w:rsidRPr="00236986" w:rsidRDefault="00236986" w:rsidP="00236986">
            <w:pPr>
              <w:snapToGrid w:val="0"/>
              <w:spacing w:before="40" w:after="40"/>
              <w:rPr>
                <w:sz w:val="17"/>
                <w:lang w:eastAsia="en-GB"/>
              </w:rPr>
            </w:pPr>
          </w:p>
        </w:tc>
      </w:tr>
      <w:tr w:rsidR="00236986" w:rsidRPr="00236986" w14:paraId="0F92A142" w14:textId="77777777" w:rsidTr="00321677">
        <w:trPr>
          <w:cantSplit/>
          <w:trHeight w:val="283"/>
        </w:trPr>
        <w:tc>
          <w:tcPr>
            <w:tcW w:w="567" w:type="dxa"/>
            <w:tcBorders>
              <w:left w:val="nil"/>
              <w:right w:val="single" w:sz="4" w:space="0" w:color="auto"/>
            </w:tcBorders>
          </w:tcPr>
          <w:p w14:paraId="266818D4"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lastRenderedPageBreak/>
              <w:t>9a</w:t>
            </w:r>
          </w:p>
        </w:tc>
        <w:tc>
          <w:tcPr>
            <w:tcW w:w="3261" w:type="dxa"/>
            <w:tcBorders>
              <w:left w:val="nil"/>
              <w:right w:val="single" w:sz="4" w:space="0" w:color="auto"/>
            </w:tcBorders>
          </w:tcPr>
          <w:p w14:paraId="028D3331" w14:textId="77777777" w:rsidR="00236986" w:rsidRPr="00236986" w:rsidRDefault="00236986" w:rsidP="00236986">
            <w:pPr>
              <w:snapToGrid w:val="0"/>
              <w:spacing w:before="40" w:after="40"/>
              <w:ind w:leftChars="88" w:left="176"/>
              <w:rPr>
                <w:rFonts w:cs="Segoe UI"/>
                <w:sz w:val="16"/>
                <w:szCs w:val="16"/>
                <w:lang w:eastAsia="en-GB"/>
              </w:rPr>
            </w:pPr>
            <w:r w:rsidRPr="00236986">
              <w:rPr>
                <w:rFonts w:cs="Segoe UI"/>
                <w:sz w:val="16"/>
                <w:szCs w:val="16"/>
                <w:lang w:eastAsia="en-GB"/>
              </w:rPr>
              <w:t>Of which: regulatory residential real estate exposures (not materially dependent on cash flows generated by mortgaged properties)</w:t>
            </w:r>
          </w:p>
        </w:tc>
        <w:tc>
          <w:tcPr>
            <w:tcW w:w="1807" w:type="dxa"/>
            <w:tcBorders>
              <w:left w:val="single" w:sz="4" w:space="0" w:color="auto"/>
              <w:right w:val="single" w:sz="4" w:space="0" w:color="auto"/>
            </w:tcBorders>
          </w:tcPr>
          <w:p w14:paraId="7DF19EC9"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396589DF"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0766FC5E"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14EC5926"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4A24C6B8"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7FE8585B" w14:textId="77777777" w:rsidR="00236986" w:rsidRPr="00236986" w:rsidRDefault="00236986" w:rsidP="00236986">
            <w:pPr>
              <w:snapToGrid w:val="0"/>
              <w:spacing w:before="40" w:after="40"/>
              <w:rPr>
                <w:sz w:val="17"/>
                <w:lang w:eastAsia="en-GB"/>
              </w:rPr>
            </w:pPr>
          </w:p>
        </w:tc>
      </w:tr>
      <w:tr w:rsidR="00236986" w:rsidRPr="00236986" w14:paraId="2B11B839" w14:textId="77777777" w:rsidTr="00321677">
        <w:trPr>
          <w:cantSplit/>
          <w:trHeight w:val="283"/>
        </w:trPr>
        <w:tc>
          <w:tcPr>
            <w:tcW w:w="567" w:type="dxa"/>
            <w:tcBorders>
              <w:left w:val="nil"/>
              <w:right w:val="single" w:sz="4" w:space="0" w:color="auto"/>
            </w:tcBorders>
          </w:tcPr>
          <w:p w14:paraId="074120BF"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9b</w:t>
            </w:r>
          </w:p>
        </w:tc>
        <w:tc>
          <w:tcPr>
            <w:tcW w:w="3261" w:type="dxa"/>
            <w:tcBorders>
              <w:left w:val="nil"/>
              <w:right w:val="single" w:sz="4" w:space="0" w:color="auto"/>
            </w:tcBorders>
          </w:tcPr>
          <w:p w14:paraId="6891E29A" w14:textId="77777777" w:rsidR="00236986" w:rsidRPr="00236986" w:rsidRDefault="00236986" w:rsidP="00236986">
            <w:pPr>
              <w:snapToGrid w:val="0"/>
              <w:spacing w:before="40" w:after="40"/>
              <w:ind w:leftChars="88" w:left="176"/>
              <w:rPr>
                <w:rFonts w:cs="Segoe UI"/>
                <w:sz w:val="16"/>
                <w:szCs w:val="16"/>
                <w:lang w:eastAsia="en-GB"/>
              </w:rPr>
            </w:pPr>
            <w:r w:rsidRPr="00236986">
              <w:rPr>
                <w:rFonts w:cs="Segoe UI"/>
                <w:sz w:val="16"/>
                <w:szCs w:val="16"/>
                <w:lang w:eastAsia="en-GB"/>
              </w:rPr>
              <w:t>Of which: regulatory residential real estate exposures (materially dependent on cash flows generated by mortgaged properties)</w:t>
            </w:r>
          </w:p>
        </w:tc>
        <w:tc>
          <w:tcPr>
            <w:tcW w:w="1807" w:type="dxa"/>
            <w:tcBorders>
              <w:left w:val="single" w:sz="4" w:space="0" w:color="auto"/>
              <w:right w:val="single" w:sz="4" w:space="0" w:color="auto"/>
            </w:tcBorders>
          </w:tcPr>
          <w:p w14:paraId="3FAF1605"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3AECA31F"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233AA5EB"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1BFBF10E"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2B5B60E8"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6BA16E4F" w14:textId="77777777" w:rsidR="00236986" w:rsidRPr="00236986" w:rsidRDefault="00236986" w:rsidP="00236986">
            <w:pPr>
              <w:snapToGrid w:val="0"/>
              <w:spacing w:before="40" w:after="40"/>
              <w:rPr>
                <w:sz w:val="17"/>
                <w:lang w:eastAsia="en-GB"/>
              </w:rPr>
            </w:pPr>
          </w:p>
        </w:tc>
      </w:tr>
      <w:tr w:rsidR="00236986" w:rsidRPr="00236986" w14:paraId="210CDBED" w14:textId="77777777" w:rsidTr="00321677">
        <w:trPr>
          <w:cantSplit/>
          <w:trHeight w:val="283"/>
        </w:trPr>
        <w:tc>
          <w:tcPr>
            <w:tcW w:w="567" w:type="dxa"/>
            <w:tcBorders>
              <w:left w:val="nil"/>
              <w:right w:val="single" w:sz="4" w:space="0" w:color="auto"/>
            </w:tcBorders>
          </w:tcPr>
          <w:p w14:paraId="61D52F5B"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9c</w:t>
            </w:r>
          </w:p>
        </w:tc>
        <w:tc>
          <w:tcPr>
            <w:tcW w:w="3261" w:type="dxa"/>
            <w:tcBorders>
              <w:left w:val="nil"/>
              <w:right w:val="single" w:sz="4" w:space="0" w:color="auto"/>
            </w:tcBorders>
          </w:tcPr>
          <w:p w14:paraId="4A86AF4B" w14:textId="77777777" w:rsidR="00236986" w:rsidRPr="00236986" w:rsidRDefault="00236986" w:rsidP="00236986">
            <w:pPr>
              <w:snapToGrid w:val="0"/>
              <w:spacing w:before="40" w:after="40"/>
              <w:ind w:leftChars="88" w:left="176"/>
              <w:rPr>
                <w:rFonts w:cs="Segoe UI"/>
                <w:sz w:val="16"/>
                <w:szCs w:val="16"/>
                <w:lang w:eastAsia="en-GB"/>
              </w:rPr>
            </w:pPr>
            <w:r w:rsidRPr="00236986">
              <w:rPr>
                <w:rFonts w:cs="Segoe UI"/>
                <w:sz w:val="16"/>
                <w:szCs w:val="16"/>
                <w:lang w:eastAsia="en-GB"/>
              </w:rPr>
              <w:t>Of which: regulatory commercial real estate exposures (not materially dependent on cash flows generated by mortgaged properties)</w:t>
            </w:r>
          </w:p>
        </w:tc>
        <w:tc>
          <w:tcPr>
            <w:tcW w:w="1807" w:type="dxa"/>
            <w:tcBorders>
              <w:left w:val="single" w:sz="4" w:space="0" w:color="auto"/>
              <w:right w:val="single" w:sz="4" w:space="0" w:color="auto"/>
            </w:tcBorders>
          </w:tcPr>
          <w:p w14:paraId="2BFFA60A"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0991A6A7"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33B3000D"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7515D314"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614F96BB"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45567680" w14:textId="77777777" w:rsidR="00236986" w:rsidRPr="00236986" w:rsidRDefault="00236986" w:rsidP="00236986">
            <w:pPr>
              <w:snapToGrid w:val="0"/>
              <w:spacing w:before="40" w:after="40"/>
              <w:rPr>
                <w:sz w:val="17"/>
                <w:lang w:eastAsia="en-GB"/>
              </w:rPr>
            </w:pPr>
          </w:p>
        </w:tc>
      </w:tr>
      <w:tr w:rsidR="00236986" w:rsidRPr="00236986" w14:paraId="503F71B9" w14:textId="77777777" w:rsidTr="00321677">
        <w:trPr>
          <w:cantSplit/>
          <w:trHeight w:val="283"/>
        </w:trPr>
        <w:tc>
          <w:tcPr>
            <w:tcW w:w="567" w:type="dxa"/>
            <w:tcBorders>
              <w:left w:val="nil"/>
              <w:right w:val="single" w:sz="4" w:space="0" w:color="auto"/>
            </w:tcBorders>
          </w:tcPr>
          <w:p w14:paraId="055DDB42"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9d</w:t>
            </w:r>
          </w:p>
        </w:tc>
        <w:tc>
          <w:tcPr>
            <w:tcW w:w="3261" w:type="dxa"/>
            <w:tcBorders>
              <w:left w:val="nil"/>
              <w:right w:val="single" w:sz="4" w:space="0" w:color="auto"/>
            </w:tcBorders>
          </w:tcPr>
          <w:p w14:paraId="7CB12360" w14:textId="77777777" w:rsidR="00236986" w:rsidRPr="00236986" w:rsidRDefault="00236986" w:rsidP="00236986">
            <w:pPr>
              <w:snapToGrid w:val="0"/>
              <w:spacing w:before="40" w:after="40"/>
              <w:ind w:leftChars="88" w:left="176"/>
              <w:rPr>
                <w:rFonts w:cs="Segoe UI"/>
                <w:sz w:val="16"/>
                <w:szCs w:val="16"/>
                <w:lang w:eastAsia="en-GB"/>
              </w:rPr>
            </w:pPr>
            <w:r w:rsidRPr="00236986">
              <w:rPr>
                <w:rFonts w:cs="Segoe UI"/>
                <w:sz w:val="16"/>
                <w:szCs w:val="16"/>
                <w:lang w:eastAsia="en-GB"/>
              </w:rPr>
              <w:t>Of which: regulatory commercial real estate exposures (materially dependent on cash flows generated by mortgaged properties)</w:t>
            </w:r>
          </w:p>
        </w:tc>
        <w:tc>
          <w:tcPr>
            <w:tcW w:w="1807" w:type="dxa"/>
            <w:tcBorders>
              <w:left w:val="single" w:sz="4" w:space="0" w:color="auto"/>
              <w:right w:val="single" w:sz="4" w:space="0" w:color="auto"/>
            </w:tcBorders>
          </w:tcPr>
          <w:p w14:paraId="32A7271E"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51946C82"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4613A36C"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7A714B29"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675D576F"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02F01AC4" w14:textId="77777777" w:rsidR="00236986" w:rsidRPr="00236986" w:rsidRDefault="00236986" w:rsidP="00236986">
            <w:pPr>
              <w:snapToGrid w:val="0"/>
              <w:spacing w:before="40" w:after="40"/>
              <w:rPr>
                <w:sz w:val="17"/>
                <w:lang w:eastAsia="en-GB"/>
              </w:rPr>
            </w:pPr>
          </w:p>
        </w:tc>
      </w:tr>
      <w:tr w:rsidR="00236986" w:rsidRPr="00236986" w14:paraId="1B76B8C1" w14:textId="77777777" w:rsidTr="00321677">
        <w:trPr>
          <w:cantSplit/>
          <w:trHeight w:val="283"/>
        </w:trPr>
        <w:tc>
          <w:tcPr>
            <w:tcW w:w="567" w:type="dxa"/>
            <w:tcBorders>
              <w:left w:val="nil"/>
              <w:right w:val="single" w:sz="4" w:space="0" w:color="auto"/>
            </w:tcBorders>
          </w:tcPr>
          <w:p w14:paraId="2CFA999B"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9e</w:t>
            </w:r>
          </w:p>
        </w:tc>
        <w:tc>
          <w:tcPr>
            <w:tcW w:w="3261" w:type="dxa"/>
            <w:tcBorders>
              <w:left w:val="nil"/>
              <w:right w:val="single" w:sz="4" w:space="0" w:color="auto"/>
            </w:tcBorders>
          </w:tcPr>
          <w:p w14:paraId="24E3A028" w14:textId="77777777" w:rsidR="00236986" w:rsidRPr="00236986" w:rsidRDefault="00236986" w:rsidP="00236986">
            <w:pPr>
              <w:snapToGrid w:val="0"/>
              <w:spacing w:before="40" w:after="40"/>
              <w:ind w:leftChars="88" w:left="176"/>
              <w:rPr>
                <w:rFonts w:cs="Segoe UI"/>
                <w:sz w:val="16"/>
                <w:szCs w:val="16"/>
                <w:lang w:eastAsia="en-GB"/>
              </w:rPr>
            </w:pPr>
            <w:r w:rsidRPr="00236986">
              <w:rPr>
                <w:rFonts w:cs="Segoe UI"/>
                <w:sz w:val="16"/>
                <w:szCs w:val="16"/>
                <w:lang w:eastAsia="en-GB"/>
              </w:rPr>
              <w:t>Of which: other real estate exposures (not materially dependent on cash flows generated by mortgaged properties)</w:t>
            </w:r>
          </w:p>
        </w:tc>
        <w:tc>
          <w:tcPr>
            <w:tcW w:w="1807" w:type="dxa"/>
            <w:tcBorders>
              <w:left w:val="single" w:sz="4" w:space="0" w:color="auto"/>
              <w:right w:val="single" w:sz="4" w:space="0" w:color="auto"/>
            </w:tcBorders>
          </w:tcPr>
          <w:p w14:paraId="4B83F7FF"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20CDC6D5"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1151A103"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039ABC72"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623C1869"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36815A6C" w14:textId="77777777" w:rsidR="00236986" w:rsidRPr="00236986" w:rsidRDefault="00236986" w:rsidP="00236986">
            <w:pPr>
              <w:snapToGrid w:val="0"/>
              <w:spacing w:before="40" w:after="40"/>
              <w:rPr>
                <w:sz w:val="17"/>
                <w:lang w:eastAsia="en-GB"/>
              </w:rPr>
            </w:pPr>
          </w:p>
        </w:tc>
      </w:tr>
      <w:tr w:rsidR="00236986" w:rsidRPr="00236986" w14:paraId="519E3237" w14:textId="77777777" w:rsidTr="00321677">
        <w:trPr>
          <w:cantSplit/>
          <w:trHeight w:val="283"/>
        </w:trPr>
        <w:tc>
          <w:tcPr>
            <w:tcW w:w="567" w:type="dxa"/>
            <w:tcBorders>
              <w:left w:val="nil"/>
              <w:right w:val="single" w:sz="4" w:space="0" w:color="auto"/>
            </w:tcBorders>
          </w:tcPr>
          <w:p w14:paraId="349A7D96"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9f</w:t>
            </w:r>
          </w:p>
        </w:tc>
        <w:tc>
          <w:tcPr>
            <w:tcW w:w="3261" w:type="dxa"/>
            <w:tcBorders>
              <w:left w:val="nil"/>
              <w:right w:val="single" w:sz="4" w:space="0" w:color="auto"/>
            </w:tcBorders>
          </w:tcPr>
          <w:p w14:paraId="25D0A32F" w14:textId="77777777" w:rsidR="00236986" w:rsidRPr="00236986" w:rsidRDefault="00236986" w:rsidP="00236986">
            <w:pPr>
              <w:snapToGrid w:val="0"/>
              <w:spacing w:before="40" w:after="40"/>
              <w:ind w:leftChars="88" w:left="176"/>
              <w:rPr>
                <w:rFonts w:cs="Segoe UI"/>
                <w:sz w:val="16"/>
                <w:szCs w:val="16"/>
                <w:lang w:eastAsia="en-GB"/>
              </w:rPr>
            </w:pPr>
            <w:r w:rsidRPr="00236986">
              <w:rPr>
                <w:rFonts w:cs="Segoe UI"/>
                <w:sz w:val="16"/>
                <w:szCs w:val="16"/>
                <w:lang w:eastAsia="en-GB"/>
              </w:rPr>
              <w:t>Of which: other real estate exposures (materially dependent on cash flows generated by mortgaged properties)</w:t>
            </w:r>
          </w:p>
        </w:tc>
        <w:tc>
          <w:tcPr>
            <w:tcW w:w="1807" w:type="dxa"/>
            <w:tcBorders>
              <w:left w:val="single" w:sz="4" w:space="0" w:color="auto"/>
              <w:right w:val="single" w:sz="4" w:space="0" w:color="auto"/>
            </w:tcBorders>
          </w:tcPr>
          <w:p w14:paraId="501104AF"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37ED99C6"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3130FF7F"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3FC67850"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3C027259"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44E99FA4" w14:textId="77777777" w:rsidR="00236986" w:rsidRPr="00236986" w:rsidRDefault="00236986" w:rsidP="00236986">
            <w:pPr>
              <w:snapToGrid w:val="0"/>
              <w:spacing w:before="40" w:after="40"/>
              <w:rPr>
                <w:sz w:val="17"/>
                <w:lang w:eastAsia="en-GB"/>
              </w:rPr>
            </w:pPr>
          </w:p>
        </w:tc>
      </w:tr>
      <w:tr w:rsidR="00236986" w:rsidRPr="00236986" w14:paraId="77D61638" w14:textId="77777777" w:rsidTr="00321677">
        <w:trPr>
          <w:cantSplit/>
          <w:trHeight w:val="283"/>
        </w:trPr>
        <w:tc>
          <w:tcPr>
            <w:tcW w:w="567" w:type="dxa"/>
            <w:tcBorders>
              <w:left w:val="nil"/>
              <w:right w:val="single" w:sz="4" w:space="0" w:color="auto"/>
            </w:tcBorders>
          </w:tcPr>
          <w:p w14:paraId="3CF94771"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9g</w:t>
            </w:r>
          </w:p>
        </w:tc>
        <w:tc>
          <w:tcPr>
            <w:tcW w:w="3261" w:type="dxa"/>
            <w:tcBorders>
              <w:left w:val="nil"/>
              <w:right w:val="single" w:sz="4" w:space="0" w:color="auto"/>
            </w:tcBorders>
          </w:tcPr>
          <w:p w14:paraId="42367D43" w14:textId="77777777" w:rsidR="00236986" w:rsidRPr="00236986" w:rsidRDefault="00236986" w:rsidP="00236986">
            <w:pPr>
              <w:snapToGrid w:val="0"/>
              <w:spacing w:before="40" w:after="40"/>
              <w:ind w:leftChars="88" w:left="176"/>
              <w:rPr>
                <w:rFonts w:cs="Segoe UI"/>
                <w:sz w:val="16"/>
                <w:szCs w:val="16"/>
                <w:lang w:eastAsia="en-GB"/>
              </w:rPr>
            </w:pPr>
            <w:r w:rsidRPr="00236986">
              <w:rPr>
                <w:rFonts w:cs="Segoe UI"/>
                <w:sz w:val="16"/>
                <w:szCs w:val="16"/>
                <w:lang w:eastAsia="en-GB"/>
              </w:rPr>
              <w:t>Of which: land acquisition, development and construction exposures</w:t>
            </w:r>
          </w:p>
        </w:tc>
        <w:tc>
          <w:tcPr>
            <w:tcW w:w="1807" w:type="dxa"/>
            <w:tcBorders>
              <w:left w:val="single" w:sz="4" w:space="0" w:color="auto"/>
              <w:right w:val="single" w:sz="4" w:space="0" w:color="auto"/>
            </w:tcBorders>
          </w:tcPr>
          <w:p w14:paraId="3F704A8F"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51E913E9"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75ADA1D1"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2125B667"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3ED3616A"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4E4CEABC" w14:textId="77777777" w:rsidR="00236986" w:rsidRPr="00236986" w:rsidRDefault="00236986" w:rsidP="00236986">
            <w:pPr>
              <w:snapToGrid w:val="0"/>
              <w:spacing w:before="40" w:after="40"/>
              <w:rPr>
                <w:sz w:val="17"/>
                <w:lang w:eastAsia="en-GB"/>
              </w:rPr>
            </w:pPr>
          </w:p>
        </w:tc>
      </w:tr>
      <w:tr w:rsidR="00236986" w:rsidRPr="00236986" w14:paraId="6BD45924" w14:textId="77777777" w:rsidTr="00321677">
        <w:trPr>
          <w:cantSplit/>
          <w:trHeight w:val="283"/>
        </w:trPr>
        <w:tc>
          <w:tcPr>
            <w:tcW w:w="567" w:type="dxa"/>
            <w:tcBorders>
              <w:left w:val="nil"/>
              <w:right w:val="single" w:sz="4" w:space="0" w:color="auto"/>
            </w:tcBorders>
          </w:tcPr>
          <w:p w14:paraId="6B1F6012"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10</w:t>
            </w:r>
          </w:p>
        </w:tc>
        <w:tc>
          <w:tcPr>
            <w:tcW w:w="3261" w:type="dxa"/>
            <w:tcBorders>
              <w:left w:val="nil"/>
              <w:right w:val="single" w:sz="4" w:space="0" w:color="auto"/>
            </w:tcBorders>
          </w:tcPr>
          <w:p w14:paraId="2DB58AF3" w14:textId="77777777" w:rsidR="00236986" w:rsidRPr="00236986" w:rsidDel="005D6E64" w:rsidRDefault="00236986" w:rsidP="00236986">
            <w:pPr>
              <w:snapToGrid w:val="0"/>
              <w:spacing w:before="40" w:after="40"/>
              <w:rPr>
                <w:rFonts w:cs="Segoe UI"/>
                <w:sz w:val="16"/>
                <w:szCs w:val="16"/>
                <w:lang w:eastAsia="en-GB"/>
              </w:rPr>
            </w:pPr>
            <w:r w:rsidRPr="00236986">
              <w:rPr>
                <w:rFonts w:cs="Segoe UI"/>
                <w:sz w:val="16"/>
                <w:szCs w:val="16"/>
                <w:lang w:eastAsia="en-GB"/>
              </w:rPr>
              <w:t>Defaulted exposures</w:t>
            </w:r>
          </w:p>
        </w:tc>
        <w:tc>
          <w:tcPr>
            <w:tcW w:w="1807" w:type="dxa"/>
            <w:tcBorders>
              <w:left w:val="single" w:sz="4" w:space="0" w:color="auto"/>
              <w:right w:val="single" w:sz="4" w:space="0" w:color="auto"/>
            </w:tcBorders>
          </w:tcPr>
          <w:p w14:paraId="28A06239"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2BE4E54C" w14:textId="77777777" w:rsidR="00236986" w:rsidRPr="00236986"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073D5E1E" w14:textId="77777777" w:rsidR="00236986" w:rsidRPr="00236986"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58505FA4" w14:textId="77777777" w:rsidR="00236986" w:rsidRPr="00236986"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1E720001" w14:textId="77777777" w:rsidR="00236986" w:rsidRPr="00236986"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1676EFA5" w14:textId="77777777" w:rsidR="00236986" w:rsidRPr="00236986" w:rsidRDefault="00236986" w:rsidP="00236986">
            <w:pPr>
              <w:snapToGrid w:val="0"/>
              <w:spacing w:before="40" w:after="40"/>
              <w:rPr>
                <w:sz w:val="17"/>
                <w:lang w:eastAsia="en-GB"/>
              </w:rPr>
            </w:pPr>
          </w:p>
        </w:tc>
      </w:tr>
      <w:tr w:rsidR="00236986" w:rsidRPr="00236986" w:rsidDel="00C47F03" w14:paraId="33FAE0D9" w14:textId="77777777" w:rsidTr="00321677">
        <w:trPr>
          <w:cantSplit/>
          <w:trHeight w:val="283"/>
        </w:trPr>
        <w:tc>
          <w:tcPr>
            <w:tcW w:w="567" w:type="dxa"/>
            <w:tcBorders>
              <w:left w:val="nil"/>
              <w:right w:val="single" w:sz="4" w:space="0" w:color="auto"/>
            </w:tcBorders>
          </w:tcPr>
          <w:p w14:paraId="4C6CAFDD" w14:textId="77777777" w:rsidR="00236986" w:rsidRPr="00236986" w:rsidDel="00C47F03" w:rsidRDefault="00236986" w:rsidP="00236986">
            <w:pPr>
              <w:snapToGrid w:val="0"/>
              <w:spacing w:before="40" w:after="40"/>
              <w:rPr>
                <w:rFonts w:cs="Segoe UI"/>
                <w:sz w:val="16"/>
                <w:szCs w:val="16"/>
                <w:lang w:eastAsia="en-GB"/>
              </w:rPr>
            </w:pPr>
            <w:r w:rsidRPr="00236986">
              <w:rPr>
                <w:rFonts w:cs="Segoe UI"/>
                <w:sz w:val="16"/>
                <w:szCs w:val="16"/>
                <w:lang w:eastAsia="en-GB"/>
              </w:rPr>
              <w:t>11</w:t>
            </w:r>
          </w:p>
        </w:tc>
        <w:tc>
          <w:tcPr>
            <w:tcW w:w="3261" w:type="dxa"/>
            <w:tcBorders>
              <w:left w:val="nil"/>
              <w:right w:val="single" w:sz="4" w:space="0" w:color="auto"/>
            </w:tcBorders>
          </w:tcPr>
          <w:p w14:paraId="00A39FCF" w14:textId="77777777" w:rsidR="00236986" w:rsidRPr="00236986" w:rsidDel="00C47F03" w:rsidRDefault="00236986" w:rsidP="00236986">
            <w:pPr>
              <w:snapToGrid w:val="0"/>
              <w:spacing w:before="40" w:after="40"/>
              <w:rPr>
                <w:rFonts w:cs="Segoe UI"/>
                <w:sz w:val="16"/>
                <w:szCs w:val="16"/>
                <w:lang w:eastAsia="en-GB"/>
              </w:rPr>
            </w:pPr>
            <w:r w:rsidRPr="00236986">
              <w:rPr>
                <w:rFonts w:cs="Segoe UI"/>
                <w:sz w:val="16"/>
                <w:szCs w:val="16"/>
                <w:lang w:eastAsia="en-GB"/>
              </w:rPr>
              <w:t>Other exposures</w:t>
            </w:r>
          </w:p>
        </w:tc>
        <w:tc>
          <w:tcPr>
            <w:tcW w:w="1807" w:type="dxa"/>
            <w:tcBorders>
              <w:left w:val="single" w:sz="4" w:space="0" w:color="auto"/>
              <w:right w:val="single" w:sz="4" w:space="0" w:color="auto"/>
            </w:tcBorders>
          </w:tcPr>
          <w:p w14:paraId="2036789B" w14:textId="77777777" w:rsidR="00236986" w:rsidRPr="00236986" w:rsidDel="00C47F03"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64BD92D2" w14:textId="77777777" w:rsidR="00236986" w:rsidRPr="00236986" w:rsidDel="00C47F03"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57B676B0" w14:textId="77777777" w:rsidR="00236986" w:rsidRPr="00236986" w:rsidDel="00C47F03"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0DF431C8" w14:textId="77777777" w:rsidR="00236986" w:rsidRPr="00236986" w:rsidDel="00C47F03"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6C267216" w14:textId="77777777" w:rsidR="00236986" w:rsidRPr="00236986" w:rsidDel="00C47F03"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19F3AB2F" w14:textId="77777777" w:rsidR="00236986" w:rsidRPr="00236986" w:rsidDel="00C47F03" w:rsidRDefault="00236986" w:rsidP="00236986">
            <w:pPr>
              <w:snapToGrid w:val="0"/>
              <w:spacing w:before="40" w:after="40"/>
              <w:rPr>
                <w:sz w:val="17"/>
                <w:lang w:eastAsia="en-GB"/>
              </w:rPr>
            </w:pPr>
          </w:p>
        </w:tc>
      </w:tr>
      <w:tr w:rsidR="00236986" w:rsidRPr="00236986" w:rsidDel="00C47F03" w14:paraId="40BE5F71" w14:textId="77777777" w:rsidTr="00321677">
        <w:trPr>
          <w:cantSplit/>
          <w:trHeight w:val="283"/>
        </w:trPr>
        <w:tc>
          <w:tcPr>
            <w:tcW w:w="567" w:type="dxa"/>
            <w:tcBorders>
              <w:left w:val="nil"/>
              <w:right w:val="single" w:sz="4" w:space="0" w:color="auto"/>
            </w:tcBorders>
          </w:tcPr>
          <w:p w14:paraId="3A90B634" w14:textId="77777777" w:rsidR="00236986" w:rsidRPr="00236986" w:rsidDel="00C47F03" w:rsidRDefault="00236986" w:rsidP="00236986">
            <w:pPr>
              <w:snapToGrid w:val="0"/>
              <w:spacing w:before="40" w:after="40"/>
              <w:rPr>
                <w:rFonts w:cs="Segoe UI"/>
                <w:sz w:val="16"/>
                <w:szCs w:val="16"/>
                <w:lang w:eastAsia="en-GB"/>
              </w:rPr>
            </w:pPr>
            <w:r w:rsidRPr="00236986">
              <w:rPr>
                <w:rFonts w:cs="Segoe UI"/>
                <w:sz w:val="16"/>
                <w:szCs w:val="16"/>
                <w:lang w:eastAsia="en-GB"/>
              </w:rPr>
              <w:t>11a</w:t>
            </w:r>
          </w:p>
        </w:tc>
        <w:tc>
          <w:tcPr>
            <w:tcW w:w="3261" w:type="dxa"/>
            <w:tcBorders>
              <w:left w:val="nil"/>
              <w:right w:val="single" w:sz="4" w:space="0" w:color="auto"/>
            </w:tcBorders>
          </w:tcPr>
          <w:p w14:paraId="5CAACCC5" w14:textId="77777777" w:rsidR="00236986" w:rsidRPr="00236986" w:rsidDel="00C47F03" w:rsidRDefault="00236986" w:rsidP="00236986">
            <w:pPr>
              <w:snapToGrid w:val="0"/>
              <w:spacing w:before="40" w:after="40"/>
              <w:rPr>
                <w:rFonts w:cs="Segoe UI"/>
                <w:sz w:val="16"/>
                <w:szCs w:val="16"/>
                <w:lang w:eastAsia="en-GB"/>
              </w:rPr>
            </w:pPr>
            <w:r w:rsidRPr="00236986">
              <w:rPr>
                <w:rFonts w:cs="Segoe UI"/>
                <w:sz w:val="16"/>
                <w:szCs w:val="16"/>
                <w:lang w:eastAsia="en-GB"/>
              </w:rPr>
              <w:t>Cash and gold</w:t>
            </w:r>
          </w:p>
        </w:tc>
        <w:tc>
          <w:tcPr>
            <w:tcW w:w="1807" w:type="dxa"/>
            <w:tcBorders>
              <w:left w:val="single" w:sz="4" w:space="0" w:color="auto"/>
              <w:right w:val="single" w:sz="4" w:space="0" w:color="auto"/>
            </w:tcBorders>
          </w:tcPr>
          <w:p w14:paraId="1F7E8047" w14:textId="77777777" w:rsidR="00236986" w:rsidRPr="00236986" w:rsidDel="00C47F03"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530BEE0C" w14:textId="77777777" w:rsidR="00236986" w:rsidRPr="00236986" w:rsidDel="00C47F03"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0BB81C6D" w14:textId="77777777" w:rsidR="00236986" w:rsidRPr="00236986" w:rsidDel="00C47F03"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312741D0" w14:textId="77777777" w:rsidR="00236986" w:rsidRPr="00236986" w:rsidDel="00C47F03"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4A149597" w14:textId="77777777" w:rsidR="00236986" w:rsidRPr="00236986" w:rsidDel="00C47F03"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12BB9135" w14:textId="77777777" w:rsidR="00236986" w:rsidRPr="00236986" w:rsidDel="00C47F03" w:rsidRDefault="00236986" w:rsidP="00236986">
            <w:pPr>
              <w:snapToGrid w:val="0"/>
              <w:spacing w:before="40" w:after="40"/>
              <w:rPr>
                <w:sz w:val="17"/>
                <w:lang w:eastAsia="en-GB"/>
              </w:rPr>
            </w:pPr>
          </w:p>
        </w:tc>
      </w:tr>
      <w:tr w:rsidR="00236986" w:rsidRPr="00236986" w:rsidDel="00C47F03" w14:paraId="5FFB6FFC" w14:textId="77777777" w:rsidTr="00321677">
        <w:trPr>
          <w:cantSplit/>
          <w:trHeight w:val="283"/>
        </w:trPr>
        <w:tc>
          <w:tcPr>
            <w:tcW w:w="567" w:type="dxa"/>
            <w:tcBorders>
              <w:left w:val="nil"/>
              <w:right w:val="single" w:sz="4" w:space="0" w:color="auto"/>
            </w:tcBorders>
          </w:tcPr>
          <w:p w14:paraId="62604CF0" w14:textId="77777777" w:rsidR="00236986" w:rsidRPr="00236986" w:rsidDel="00C47F03" w:rsidRDefault="00236986" w:rsidP="00236986">
            <w:pPr>
              <w:snapToGrid w:val="0"/>
              <w:spacing w:before="40" w:after="40"/>
              <w:rPr>
                <w:rFonts w:cs="Segoe UI"/>
                <w:sz w:val="16"/>
                <w:szCs w:val="16"/>
                <w:lang w:eastAsia="en-GB"/>
              </w:rPr>
            </w:pPr>
            <w:r w:rsidRPr="00236986">
              <w:rPr>
                <w:rFonts w:cs="Segoe UI"/>
                <w:sz w:val="16"/>
                <w:szCs w:val="16"/>
                <w:lang w:eastAsia="en-GB"/>
              </w:rPr>
              <w:t>11b</w:t>
            </w:r>
          </w:p>
        </w:tc>
        <w:tc>
          <w:tcPr>
            <w:tcW w:w="3261" w:type="dxa"/>
            <w:tcBorders>
              <w:left w:val="nil"/>
              <w:right w:val="single" w:sz="4" w:space="0" w:color="auto"/>
            </w:tcBorders>
          </w:tcPr>
          <w:p w14:paraId="237479B1" w14:textId="77777777" w:rsidR="00236986" w:rsidRPr="00236986" w:rsidDel="00C47F03" w:rsidRDefault="00236986" w:rsidP="00236986">
            <w:pPr>
              <w:snapToGrid w:val="0"/>
              <w:spacing w:before="40" w:after="40"/>
              <w:rPr>
                <w:rFonts w:cs="Segoe UI"/>
                <w:sz w:val="16"/>
                <w:szCs w:val="16"/>
                <w:lang w:eastAsia="en-GB"/>
              </w:rPr>
            </w:pPr>
            <w:r w:rsidRPr="00236986">
              <w:rPr>
                <w:rFonts w:cs="Segoe UI"/>
                <w:sz w:val="16"/>
                <w:szCs w:val="16"/>
                <w:lang w:eastAsia="en-GB"/>
              </w:rPr>
              <w:t>Items in the process of clearing or settlement</w:t>
            </w:r>
          </w:p>
        </w:tc>
        <w:tc>
          <w:tcPr>
            <w:tcW w:w="1807" w:type="dxa"/>
            <w:tcBorders>
              <w:left w:val="single" w:sz="4" w:space="0" w:color="auto"/>
              <w:right w:val="single" w:sz="4" w:space="0" w:color="auto"/>
            </w:tcBorders>
          </w:tcPr>
          <w:p w14:paraId="466D415C" w14:textId="77777777" w:rsidR="00236986" w:rsidRPr="00236986" w:rsidDel="00C47F03"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687139E4" w14:textId="77777777" w:rsidR="00236986" w:rsidRPr="00236986" w:rsidDel="00C47F03" w:rsidRDefault="00236986" w:rsidP="00236986">
            <w:pPr>
              <w:snapToGrid w:val="0"/>
              <w:spacing w:before="40" w:after="40"/>
              <w:rPr>
                <w:sz w:val="17"/>
                <w:lang w:eastAsia="en-GB"/>
              </w:rPr>
            </w:pPr>
          </w:p>
        </w:tc>
        <w:tc>
          <w:tcPr>
            <w:tcW w:w="1807" w:type="dxa"/>
            <w:tcBorders>
              <w:left w:val="single" w:sz="4" w:space="0" w:color="auto"/>
              <w:right w:val="single" w:sz="4" w:space="0" w:color="auto"/>
            </w:tcBorders>
          </w:tcPr>
          <w:p w14:paraId="5AC6C701" w14:textId="77777777" w:rsidR="00236986" w:rsidRPr="00236986" w:rsidDel="00C47F03" w:rsidRDefault="00236986" w:rsidP="00236986">
            <w:pPr>
              <w:snapToGrid w:val="0"/>
              <w:spacing w:before="40" w:after="40"/>
              <w:rPr>
                <w:sz w:val="17"/>
                <w:lang w:eastAsia="en-GB"/>
              </w:rPr>
            </w:pPr>
          </w:p>
        </w:tc>
        <w:tc>
          <w:tcPr>
            <w:tcW w:w="1808" w:type="dxa"/>
            <w:tcBorders>
              <w:left w:val="single" w:sz="4" w:space="0" w:color="auto"/>
              <w:right w:val="single" w:sz="4" w:space="0" w:color="auto"/>
            </w:tcBorders>
          </w:tcPr>
          <w:p w14:paraId="16CD4FC7" w14:textId="77777777" w:rsidR="00236986" w:rsidRPr="00236986" w:rsidDel="00C47F03" w:rsidRDefault="00236986" w:rsidP="00236986">
            <w:pPr>
              <w:snapToGrid w:val="0"/>
              <w:spacing w:before="40" w:after="40"/>
              <w:rPr>
                <w:sz w:val="17"/>
                <w:lang w:eastAsia="en-GB"/>
              </w:rPr>
            </w:pPr>
          </w:p>
        </w:tc>
        <w:tc>
          <w:tcPr>
            <w:tcW w:w="1417" w:type="dxa"/>
            <w:tcBorders>
              <w:left w:val="single" w:sz="4" w:space="0" w:color="auto"/>
              <w:right w:val="single" w:sz="4" w:space="0" w:color="auto"/>
            </w:tcBorders>
          </w:tcPr>
          <w:p w14:paraId="5D7A33AC" w14:textId="77777777" w:rsidR="00236986" w:rsidRPr="00236986" w:rsidDel="00C47F03" w:rsidRDefault="00236986" w:rsidP="00236986">
            <w:pPr>
              <w:snapToGrid w:val="0"/>
              <w:spacing w:before="40" w:after="40"/>
              <w:rPr>
                <w:sz w:val="17"/>
                <w:lang w:eastAsia="en-GB"/>
              </w:rPr>
            </w:pPr>
          </w:p>
        </w:tc>
        <w:tc>
          <w:tcPr>
            <w:tcW w:w="1418" w:type="dxa"/>
            <w:tcBorders>
              <w:left w:val="single" w:sz="4" w:space="0" w:color="auto"/>
              <w:right w:val="single" w:sz="4" w:space="0" w:color="auto"/>
            </w:tcBorders>
          </w:tcPr>
          <w:p w14:paraId="341D3809" w14:textId="77777777" w:rsidR="00236986" w:rsidRPr="00236986" w:rsidDel="00C47F03" w:rsidRDefault="00236986" w:rsidP="00236986">
            <w:pPr>
              <w:snapToGrid w:val="0"/>
              <w:spacing w:before="40" w:after="40"/>
              <w:rPr>
                <w:sz w:val="17"/>
                <w:lang w:eastAsia="en-GB"/>
              </w:rPr>
            </w:pPr>
          </w:p>
        </w:tc>
      </w:tr>
      <w:tr w:rsidR="00236986" w:rsidRPr="00236986" w14:paraId="3CF47CFE" w14:textId="77777777" w:rsidTr="00321677">
        <w:trPr>
          <w:cantSplit/>
          <w:trHeight w:val="283"/>
        </w:trPr>
        <w:tc>
          <w:tcPr>
            <w:tcW w:w="567" w:type="dxa"/>
            <w:tcBorders>
              <w:left w:val="nil"/>
              <w:bottom w:val="single" w:sz="4" w:space="0" w:color="auto"/>
              <w:right w:val="single" w:sz="4" w:space="0" w:color="auto"/>
            </w:tcBorders>
          </w:tcPr>
          <w:p w14:paraId="4C03F1A9" w14:textId="77777777" w:rsidR="00236986" w:rsidRPr="00236986" w:rsidRDefault="00236986" w:rsidP="00236986">
            <w:pPr>
              <w:snapToGrid w:val="0"/>
              <w:spacing w:before="40" w:after="40"/>
              <w:rPr>
                <w:rFonts w:cs="Segoe UI"/>
                <w:sz w:val="16"/>
                <w:szCs w:val="16"/>
                <w:lang w:eastAsia="en-GB"/>
              </w:rPr>
            </w:pPr>
            <w:r w:rsidRPr="00236986">
              <w:rPr>
                <w:rFonts w:cs="Segoe UI"/>
                <w:sz w:val="16"/>
                <w:szCs w:val="16"/>
                <w:lang w:eastAsia="en-GB"/>
              </w:rPr>
              <w:t>12</w:t>
            </w:r>
          </w:p>
        </w:tc>
        <w:tc>
          <w:tcPr>
            <w:tcW w:w="3261" w:type="dxa"/>
            <w:tcBorders>
              <w:left w:val="nil"/>
              <w:bottom w:val="single" w:sz="4" w:space="0" w:color="auto"/>
              <w:right w:val="single" w:sz="4" w:space="0" w:color="auto"/>
            </w:tcBorders>
          </w:tcPr>
          <w:p w14:paraId="4E5AB570" w14:textId="77777777" w:rsidR="00236986" w:rsidRPr="00236986" w:rsidRDefault="00236986" w:rsidP="00236986">
            <w:pPr>
              <w:snapToGrid w:val="0"/>
              <w:spacing w:before="40" w:after="40"/>
              <w:rPr>
                <w:rFonts w:cs="Segoe UI"/>
                <w:b/>
                <w:sz w:val="16"/>
                <w:szCs w:val="16"/>
                <w:lang w:eastAsia="en-GB"/>
              </w:rPr>
            </w:pPr>
            <w:r w:rsidRPr="00236986">
              <w:rPr>
                <w:rFonts w:cs="Segoe UI"/>
                <w:b/>
                <w:sz w:val="16"/>
                <w:szCs w:val="16"/>
                <w:lang w:eastAsia="en-GB"/>
              </w:rPr>
              <w:t>Total</w:t>
            </w:r>
          </w:p>
        </w:tc>
        <w:tc>
          <w:tcPr>
            <w:tcW w:w="1807" w:type="dxa"/>
            <w:tcBorders>
              <w:left w:val="single" w:sz="4" w:space="0" w:color="auto"/>
              <w:bottom w:val="single" w:sz="4" w:space="0" w:color="auto"/>
              <w:right w:val="single" w:sz="4" w:space="0" w:color="auto"/>
            </w:tcBorders>
          </w:tcPr>
          <w:p w14:paraId="08EF69C0" w14:textId="77777777" w:rsidR="00236986" w:rsidRPr="00236986" w:rsidRDefault="00236986" w:rsidP="00236986">
            <w:pPr>
              <w:snapToGrid w:val="0"/>
              <w:spacing w:before="40" w:after="40"/>
              <w:rPr>
                <w:sz w:val="17"/>
                <w:lang w:eastAsia="en-GB"/>
              </w:rPr>
            </w:pPr>
          </w:p>
        </w:tc>
        <w:tc>
          <w:tcPr>
            <w:tcW w:w="1807" w:type="dxa"/>
            <w:tcBorders>
              <w:left w:val="single" w:sz="4" w:space="0" w:color="auto"/>
              <w:bottom w:val="single" w:sz="4" w:space="0" w:color="auto"/>
              <w:right w:val="single" w:sz="4" w:space="0" w:color="auto"/>
            </w:tcBorders>
          </w:tcPr>
          <w:p w14:paraId="63B898FB" w14:textId="77777777" w:rsidR="00236986" w:rsidRPr="00236986" w:rsidRDefault="00236986" w:rsidP="00236986">
            <w:pPr>
              <w:snapToGrid w:val="0"/>
              <w:spacing w:before="40" w:after="40"/>
              <w:rPr>
                <w:sz w:val="17"/>
                <w:lang w:eastAsia="en-GB"/>
              </w:rPr>
            </w:pPr>
          </w:p>
        </w:tc>
        <w:tc>
          <w:tcPr>
            <w:tcW w:w="1807" w:type="dxa"/>
            <w:tcBorders>
              <w:left w:val="single" w:sz="4" w:space="0" w:color="auto"/>
              <w:bottom w:val="single" w:sz="4" w:space="0" w:color="auto"/>
              <w:right w:val="single" w:sz="4" w:space="0" w:color="auto"/>
            </w:tcBorders>
          </w:tcPr>
          <w:p w14:paraId="3BD1B1CC" w14:textId="77777777" w:rsidR="00236986" w:rsidRPr="00236986" w:rsidRDefault="00236986" w:rsidP="00236986">
            <w:pPr>
              <w:snapToGrid w:val="0"/>
              <w:spacing w:before="40" w:after="40"/>
              <w:rPr>
                <w:sz w:val="17"/>
                <w:lang w:eastAsia="en-GB"/>
              </w:rPr>
            </w:pPr>
          </w:p>
        </w:tc>
        <w:tc>
          <w:tcPr>
            <w:tcW w:w="1808" w:type="dxa"/>
            <w:tcBorders>
              <w:left w:val="single" w:sz="4" w:space="0" w:color="auto"/>
              <w:bottom w:val="single" w:sz="4" w:space="0" w:color="auto"/>
              <w:right w:val="single" w:sz="4" w:space="0" w:color="auto"/>
            </w:tcBorders>
          </w:tcPr>
          <w:p w14:paraId="769EA610" w14:textId="77777777" w:rsidR="00236986" w:rsidRPr="00236986" w:rsidRDefault="00236986" w:rsidP="00236986">
            <w:pPr>
              <w:snapToGrid w:val="0"/>
              <w:spacing w:before="40" w:after="40"/>
              <w:rPr>
                <w:sz w:val="17"/>
                <w:lang w:eastAsia="en-GB"/>
              </w:rPr>
            </w:pPr>
          </w:p>
        </w:tc>
        <w:tc>
          <w:tcPr>
            <w:tcW w:w="1417" w:type="dxa"/>
            <w:tcBorders>
              <w:left w:val="single" w:sz="4" w:space="0" w:color="auto"/>
              <w:bottom w:val="single" w:sz="4" w:space="0" w:color="auto"/>
              <w:right w:val="single" w:sz="4" w:space="0" w:color="auto"/>
            </w:tcBorders>
          </w:tcPr>
          <w:p w14:paraId="3F55B48A" w14:textId="77777777" w:rsidR="00236986" w:rsidRPr="00236986" w:rsidRDefault="00236986" w:rsidP="00236986">
            <w:pPr>
              <w:snapToGrid w:val="0"/>
              <w:spacing w:before="40" w:after="40"/>
              <w:rPr>
                <w:sz w:val="17"/>
                <w:lang w:eastAsia="en-GB"/>
              </w:rPr>
            </w:pPr>
          </w:p>
        </w:tc>
        <w:tc>
          <w:tcPr>
            <w:tcW w:w="1418" w:type="dxa"/>
            <w:tcBorders>
              <w:left w:val="single" w:sz="4" w:space="0" w:color="auto"/>
              <w:bottom w:val="single" w:sz="4" w:space="0" w:color="auto"/>
              <w:right w:val="single" w:sz="4" w:space="0" w:color="auto"/>
            </w:tcBorders>
          </w:tcPr>
          <w:p w14:paraId="55FBEE5E" w14:textId="77777777" w:rsidR="00236986" w:rsidRPr="00236986" w:rsidRDefault="00236986" w:rsidP="00236986">
            <w:pPr>
              <w:snapToGrid w:val="0"/>
              <w:spacing w:before="40" w:after="40"/>
              <w:rPr>
                <w:sz w:val="17"/>
                <w:lang w:eastAsia="en-GB"/>
              </w:rPr>
            </w:pPr>
          </w:p>
        </w:tc>
      </w:tr>
    </w:tbl>
    <w:p w14:paraId="0A6BE4E2" w14:textId="77777777" w:rsidR="00236986" w:rsidRPr="00236986" w:rsidRDefault="00236986" w:rsidP="00236986">
      <w:pPr>
        <w:spacing w:before="40" w:after="40"/>
        <w:rPr>
          <w:u w:val="single"/>
        </w:rPr>
      </w:pPr>
    </w:p>
    <w:p w14:paraId="129A0435" w14:textId="77777777" w:rsidR="001929CC" w:rsidRDefault="001929CC" w:rsidP="001929CC">
      <w:pPr>
        <w:spacing w:before="40" w:after="40"/>
        <w:rPr>
          <w:u w:val="single"/>
        </w:rPr>
      </w:pPr>
      <w:r>
        <w:rPr>
          <w:u w:val="single"/>
        </w:rPr>
        <w:lastRenderedPageBreak/>
        <w:t>Version for AIs using BSC approach (“BSC version”)</w:t>
      </w:r>
    </w:p>
    <w:tbl>
      <w:tblPr>
        <w:tblW w:w="13892" w:type="dxa"/>
        <w:tblInd w:w="108"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ayout w:type="fixed"/>
        <w:tblLook w:val="06A0" w:firstRow="1" w:lastRow="0" w:firstColumn="1" w:lastColumn="0" w:noHBand="1" w:noVBand="1"/>
      </w:tblPr>
      <w:tblGrid>
        <w:gridCol w:w="567"/>
        <w:gridCol w:w="3261"/>
        <w:gridCol w:w="1807"/>
        <w:gridCol w:w="1807"/>
        <w:gridCol w:w="1807"/>
        <w:gridCol w:w="1808"/>
        <w:gridCol w:w="1417"/>
        <w:gridCol w:w="1418"/>
      </w:tblGrid>
      <w:tr w:rsidR="001929CC" w14:paraId="4283D2CC" w14:textId="77777777" w:rsidTr="001929CC">
        <w:trPr>
          <w:cantSplit/>
          <w:tblHeader/>
        </w:trPr>
        <w:tc>
          <w:tcPr>
            <w:tcW w:w="567" w:type="dxa"/>
            <w:tcBorders>
              <w:top w:val="nil"/>
              <w:left w:val="nil"/>
              <w:bottom w:val="nil"/>
              <w:right w:val="nil"/>
            </w:tcBorders>
          </w:tcPr>
          <w:p w14:paraId="207597DD" w14:textId="77777777" w:rsidR="001929CC" w:rsidRDefault="001929CC" w:rsidP="001929CC">
            <w:pPr>
              <w:pStyle w:val="TableText"/>
              <w:snapToGrid w:val="0"/>
              <w:jc w:val="center"/>
              <w:rPr>
                <w:rFonts w:cs="Segoe UI"/>
                <w:lang w:eastAsia="en-GB"/>
              </w:rPr>
            </w:pPr>
          </w:p>
        </w:tc>
        <w:tc>
          <w:tcPr>
            <w:tcW w:w="3261" w:type="dxa"/>
            <w:tcBorders>
              <w:top w:val="nil"/>
              <w:left w:val="nil"/>
              <w:bottom w:val="nil"/>
              <w:right w:val="single" w:sz="4" w:space="0" w:color="auto"/>
            </w:tcBorders>
            <w:vAlign w:val="center"/>
          </w:tcPr>
          <w:p w14:paraId="5A4FCBA1" w14:textId="77777777" w:rsidR="001929CC" w:rsidRDefault="001929CC" w:rsidP="001929CC">
            <w:pPr>
              <w:pStyle w:val="TableText"/>
              <w:snapToGrid w:val="0"/>
              <w:jc w:val="center"/>
              <w:rPr>
                <w:rFonts w:cs="Segoe UI"/>
                <w:lang w:eastAsia="en-GB"/>
              </w:rPr>
            </w:pPr>
          </w:p>
        </w:tc>
        <w:tc>
          <w:tcPr>
            <w:tcW w:w="1807" w:type="dxa"/>
            <w:tcBorders>
              <w:top w:val="single" w:sz="4" w:space="0" w:color="auto"/>
              <w:left w:val="single" w:sz="4" w:space="0" w:color="auto"/>
              <w:bottom w:val="single" w:sz="4" w:space="0" w:color="auto"/>
              <w:right w:val="single" w:sz="4" w:space="0" w:color="auto"/>
            </w:tcBorders>
            <w:vAlign w:val="center"/>
          </w:tcPr>
          <w:p w14:paraId="4243D13B" w14:textId="77777777" w:rsidR="001929CC" w:rsidRDefault="001929CC" w:rsidP="001929CC">
            <w:pPr>
              <w:pStyle w:val="TableText"/>
              <w:snapToGrid w:val="0"/>
              <w:jc w:val="center"/>
              <w:rPr>
                <w:rFonts w:cs="Segoe UI"/>
                <w:bCs/>
                <w:szCs w:val="17"/>
                <w:lang w:eastAsia="it-IT"/>
              </w:rPr>
            </w:pPr>
            <w:r>
              <w:rPr>
                <w:rFonts w:cs="Segoe UI"/>
                <w:bCs/>
                <w:szCs w:val="17"/>
                <w:lang w:eastAsia="it-IT"/>
              </w:rPr>
              <w:t>(a)</w:t>
            </w:r>
          </w:p>
        </w:tc>
        <w:tc>
          <w:tcPr>
            <w:tcW w:w="1807" w:type="dxa"/>
            <w:tcBorders>
              <w:top w:val="single" w:sz="4" w:space="0" w:color="auto"/>
              <w:left w:val="single" w:sz="4" w:space="0" w:color="auto"/>
              <w:bottom w:val="single" w:sz="4" w:space="0" w:color="auto"/>
              <w:right w:val="single" w:sz="4" w:space="0" w:color="auto"/>
            </w:tcBorders>
            <w:vAlign w:val="center"/>
          </w:tcPr>
          <w:p w14:paraId="3EBE93EF" w14:textId="77777777" w:rsidR="001929CC" w:rsidRDefault="001929CC" w:rsidP="001929CC">
            <w:pPr>
              <w:pStyle w:val="TableText"/>
              <w:snapToGrid w:val="0"/>
              <w:jc w:val="center"/>
              <w:rPr>
                <w:rFonts w:cs="Segoe UI"/>
                <w:bCs/>
                <w:szCs w:val="17"/>
                <w:lang w:eastAsia="it-IT"/>
              </w:rPr>
            </w:pPr>
            <w:r>
              <w:rPr>
                <w:rFonts w:cs="Segoe UI"/>
                <w:bCs/>
                <w:szCs w:val="17"/>
                <w:lang w:eastAsia="it-IT"/>
              </w:rPr>
              <w:t>(b)</w:t>
            </w:r>
          </w:p>
        </w:tc>
        <w:tc>
          <w:tcPr>
            <w:tcW w:w="1807" w:type="dxa"/>
            <w:tcBorders>
              <w:top w:val="single" w:sz="4" w:space="0" w:color="auto"/>
              <w:left w:val="single" w:sz="4" w:space="0" w:color="auto"/>
              <w:bottom w:val="single" w:sz="4" w:space="0" w:color="auto"/>
              <w:right w:val="single" w:sz="4" w:space="0" w:color="auto"/>
            </w:tcBorders>
            <w:vAlign w:val="center"/>
          </w:tcPr>
          <w:p w14:paraId="303E06F3" w14:textId="77777777" w:rsidR="001929CC" w:rsidRDefault="001929CC" w:rsidP="001929CC">
            <w:pPr>
              <w:pStyle w:val="TableText"/>
              <w:snapToGrid w:val="0"/>
              <w:jc w:val="center"/>
              <w:rPr>
                <w:rFonts w:cs="Segoe UI"/>
                <w:bCs/>
                <w:szCs w:val="17"/>
                <w:lang w:eastAsia="it-IT"/>
              </w:rPr>
            </w:pPr>
            <w:r>
              <w:rPr>
                <w:rFonts w:cs="Segoe UI"/>
                <w:bCs/>
                <w:szCs w:val="17"/>
                <w:lang w:eastAsia="it-IT"/>
              </w:rPr>
              <w:t>(c)</w:t>
            </w:r>
          </w:p>
        </w:tc>
        <w:tc>
          <w:tcPr>
            <w:tcW w:w="1808" w:type="dxa"/>
            <w:tcBorders>
              <w:top w:val="single" w:sz="4" w:space="0" w:color="auto"/>
              <w:left w:val="single" w:sz="4" w:space="0" w:color="auto"/>
              <w:bottom w:val="single" w:sz="4" w:space="0" w:color="auto"/>
              <w:right w:val="single" w:sz="4" w:space="0" w:color="auto"/>
            </w:tcBorders>
            <w:vAlign w:val="center"/>
          </w:tcPr>
          <w:p w14:paraId="569D6AEC" w14:textId="77777777" w:rsidR="001929CC" w:rsidRDefault="001929CC" w:rsidP="001929CC">
            <w:pPr>
              <w:pStyle w:val="TableText"/>
              <w:snapToGrid w:val="0"/>
              <w:jc w:val="center"/>
              <w:rPr>
                <w:rFonts w:cs="Segoe UI"/>
                <w:bCs/>
                <w:szCs w:val="17"/>
                <w:lang w:eastAsia="it-IT"/>
              </w:rPr>
            </w:pPr>
            <w:r>
              <w:rPr>
                <w:rFonts w:cs="Segoe UI"/>
                <w:bCs/>
                <w:szCs w:val="17"/>
                <w:lang w:eastAsia="it-IT"/>
              </w:rPr>
              <w:t>(d)</w:t>
            </w:r>
          </w:p>
        </w:tc>
        <w:tc>
          <w:tcPr>
            <w:tcW w:w="1417" w:type="dxa"/>
            <w:tcBorders>
              <w:top w:val="single" w:sz="4" w:space="0" w:color="auto"/>
              <w:left w:val="single" w:sz="4" w:space="0" w:color="auto"/>
              <w:bottom w:val="single" w:sz="4" w:space="0" w:color="auto"/>
              <w:right w:val="single" w:sz="4" w:space="0" w:color="auto"/>
            </w:tcBorders>
            <w:vAlign w:val="center"/>
          </w:tcPr>
          <w:p w14:paraId="701BC6FC" w14:textId="77777777" w:rsidR="001929CC" w:rsidRDefault="001929CC" w:rsidP="001929CC">
            <w:pPr>
              <w:pStyle w:val="TableText"/>
              <w:snapToGrid w:val="0"/>
              <w:jc w:val="center"/>
              <w:rPr>
                <w:rFonts w:cs="Segoe UI"/>
                <w:szCs w:val="17"/>
                <w:lang w:eastAsia="it-IT"/>
              </w:rPr>
            </w:pPr>
            <w:r>
              <w:rPr>
                <w:rFonts w:cs="Segoe UI"/>
                <w:szCs w:val="17"/>
                <w:lang w:eastAsia="it-IT"/>
              </w:rPr>
              <w:t>(e)</w:t>
            </w:r>
          </w:p>
        </w:tc>
        <w:tc>
          <w:tcPr>
            <w:tcW w:w="1418" w:type="dxa"/>
            <w:tcBorders>
              <w:top w:val="single" w:sz="4" w:space="0" w:color="auto"/>
              <w:left w:val="single" w:sz="4" w:space="0" w:color="auto"/>
              <w:bottom w:val="single" w:sz="4" w:space="0" w:color="auto"/>
              <w:right w:val="single" w:sz="4" w:space="0" w:color="auto"/>
            </w:tcBorders>
            <w:vAlign w:val="center"/>
          </w:tcPr>
          <w:p w14:paraId="74AD96EC" w14:textId="77777777" w:rsidR="001929CC" w:rsidRDefault="001929CC" w:rsidP="001929CC">
            <w:pPr>
              <w:pStyle w:val="TableText"/>
              <w:snapToGrid w:val="0"/>
              <w:jc w:val="center"/>
              <w:rPr>
                <w:rFonts w:cs="Segoe UI"/>
                <w:szCs w:val="17"/>
                <w:lang w:eastAsia="it-IT"/>
              </w:rPr>
            </w:pPr>
            <w:r>
              <w:rPr>
                <w:rFonts w:cs="Segoe UI"/>
                <w:szCs w:val="17"/>
                <w:lang w:eastAsia="it-IT"/>
              </w:rPr>
              <w:t>(f)</w:t>
            </w:r>
          </w:p>
        </w:tc>
      </w:tr>
      <w:tr w:rsidR="001929CC" w14:paraId="719932BE" w14:textId="77777777" w:rsidTr="001929CC">
        <w:trPr>
          <w:cantSplit/>
          <w:tblHeader/>
        </w:trPr>
        <w:tc>
          <w:tcPr>
            <w:tcW w:w="567" w:type="dxa"/>
            <w:tcBorders>
              <w:top w:val="nil"/>
              <w:left w:val="nil"/>
              <w:bottom w:val="nil"/>
              <w:right w:val="nil"/>
            </w:tcBorders>
          </w:tcPr>
          <w:p w14:paraId="563AA7B6" w14:textId="77777777" w:rsidR="001929CC" w:rsidRPr="00E00C63" w:rsidRDefault="001929CC" w:rsidP="001929CC">
            <w:pPr>
              <w:pStyle w:val="TableText"/>
              <w:snapToGrid w:val="0"/>
              <w:rPr>
                <w:rFonts w:eastAsia="新細明體" w:cs="Segoe UI"/>
                <w:b/>
                <w:lang w:eastAsia="zh-TW"/>
              </w:rPr>
            </w:pPr>
          </w:p>
        </w:tc>
        <w:tc>
          <w:tcPr>
            <w:tcW w:w="3261" w:type="dxa"/>
            <w:tcBorders>
              <w:top w:val="nil"/>
              <w:left w:val="nil"/>
              <w:bottom w:val="single" w:sz="4" w:space="0" w:color="auto"/>
              <w:right w:val="single" w:sz="4" w:space="0" w:color="auto"/>
            </w:tcBorders>
            <w:vAlign w:val="center"/>
          </w:tcPr>
          <w:p w14:paraId="2340D586" w14:textId="77777777" w:rsidR="001929CC" w:rsidRDefault="001929CC" w:rsidP="001929CC">
            <w:pPr>
              <w:pStyle w:val="TableText"/>
              <w:snapToGrid w:val="0"/>
              <w:rPr>
                <w:rFonts w:cs="Segoe UI"/>
                <w:b/>
                <w:lang w:eastAsia="en-GB"/>
              </w:rPr>
            </w:pPr>
          </w:p>
        </w:tc>
        <w:tc>
          <w:tcPr>
            <w:tcW w:w="3614" w:type="dxa"/>
            <w:gridSpan w:val="2"/>
            <w:tcBorders>
              <w:top w:val="single" w:sz="4" w:space="0" w:color="auto"/>
              <w:left w:val="single" w:sz="4" w:space="0" w:color="auto"/>
              <w:bottom w:val="single" w:sz="4" w:space="0" w:color="auto"/>
              <w:right w:val="single" w:sz="4" w:space="0" w:color="auto"/>
            </w:tcBorders>
            <w:vAlign w:val="center"/>
          </w:tcPr>
          <w:p w14:paraId="094C3872" w14:textId="77777777" w:rsidR="001929CC" w:rsidRDefault="001929CC" w:rsidP="001929CC">
            <w:pPr>
              <w:pStyle w:val="TableText"/>
              <w:snapToGrid w:val="0"/>
              <w:jc w:val="center"/>
              <w:rPr>
                <w:rFonts w:cs="Segoe UI"/>
                <w:b/>
                <w:sz w:val="16"/>
                <w:szCs w:val="16"/>
                <w:lang w:eastAsia="it-IT"/>
              </w:rPr>
            </w:pPr>
            <w:r>
              <w:rPr>
                <w:rFonts w:cs="Segoe UI"/>
                <w:b/>
                <w:sz w:val="16"/>
                <w:szCs w:val="16"/>
                <w:lang w:eastAsia="it-IT"/>
              </w:rPr>
              <w:t>Exposures pre-CCF and pre-CRM</w:t>
            </w:r>
          </w:p>
        </w:tc>
        <w:tc>
          <w:tcPr>
            <w:tcW w:w="3615" w:type="dxa"/>
            <w:gridSpan w:val="2"/>
            <w:tcBorders>
              <w:top w:val="single" w:sz="4" w:space="0" w:color="auto"/>
              <w:left w:val="single" w:sz="4" w:space="0" w:color="auto"/>
              <w:bottom w:val="single" w:sz="4" w:space="0" w:color="auto"/>
              <w:right w:val="single" w:sz="4" w:space="0" w:color="auto"/>
            </w:tcBorders>
            <w:vAlign w:val="center"/>
          </w:tcPr>
          <w:p w14:paraId="4C1E1AD2" w14:textId="77777777" w:rsidR="001929CC" w:rsidRDefault="001929CC" w:rsidP="001929CC">
            <w:pPr>
              <w:pStyle w:val="TableText"/>
              <w:snapToGrid w:val="0"/>
              <w:jc w:val="center"/>
              <w:rPr>
                <w:rFonts w:cs="Segoe UI"/>
                <w:b/>
                <w:bCs/>
                <w:szCs w:val="17"/>
                <w:lang w:eastAsia="it-IT"/>
              </w:rPr>
            </w:pPr>
            <w:r>
              <w:rPr>
                <w:rFonts w:cs="Segoe UI"/>
                <w:b/>
                <w:sz w:val="16"/>
                <w:szCs w:val="16"/>
                <w:lang w:eastAsia="it-IT"/>
              </w:rPr>
              <w:t>Exposures post-CCF and post-CRM</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9F7C6FA" w14:textId="77777777" w:rsidR="001929CC" w:rsidRDefault="001929CC" w:rsidP="001929CC">
            <w:pPr>
              <w:pStyle w:val="TableText"/>
              <w:tabs>
                <w:tab w:val="left" w:pos="2368"/>
                <w:tab w:val="right" w:leader="dot" w:pos="9242"/>
              </w:tabs>
              <w:snapToGrid w:val="0"/>
              <w:ind w:left="-108" w:right="-76"/>
              <w:jc w:val="center"/>
              <w:outlineLvl w:val="2"/>
              <w:rPr>
                <w:rFonts w:cs="Segoe UI"/>
                <w:b/>
                <w:noProof/>
                <w:sz w:val="16"/>
                <w:szCs w:val="16"/>
                <w:lang w:eastAsia="it-IT"/>
              </w:rPr>
            </w:pPr>
            <w:r>
              <w:rPr>
                <w:rFonts w:cs="Segoe UI"/>
                <w:b/>
                <w:sz w:val="16"/>
                <w:szCs w:val="16"/>
                <w:lang w:eastAsia="it-IT"/>
              </w:rPr>
              <w:t>RWA and RWA density</w:t>
            </w:r>
          </w:p>
        </w:tc>
      </w:tr>
      <w:tr w:rsidR="001929CC" w14:paraId="79B4F286" w14:textId="77777777" w:rsidTr="001929CC">
        <w:trPr>
          <w:cantSplit/>
          <w:trHeight w:val="382"/>
          <w:tblHeader/>
        </w:trPr>
        <w:tc>
          <w:tcPr>
            <w:tcW w:w="567" w:type="dxa"/>
            <w:tcBorders>
              <w:top w:val="nil"/>
              <w:left w:val="nil"/>
              <w:bottom w:val="single" w:sz="4" w:space="0" w:color="auto"/>
              <w:right w:val="single" w:sz="4" w:space="0" w:color="auto"/>
            </w:tcBorders>
          </w:tcPr>
          <w:p w14:paraId="1D3C9FA2" w14:textId="77777777" w:rsidR="001929CC" w:rsidRDefault="001929CC" w:rsidP="001929CC">
            <w:pPr>
              <w:pStyle w:val="TableText"/>
              <w:snapToGrid w:val="0"/>
              <w:rPr>
                <w:rFonts w:cs="Segoe UI"/>
                <w:spacing w:val="-20"/>
                <w:lang w:eastAsia="en-GB"/>
              </w:rPr>
            </w:pPr>
          </w:p>
        </w:tc>
        <w:tc>
          <w:tcPr>
            <w:tcW w:w="3261" w:type="dxa"/>
            <w:tcBorders>
              <w:top w:val="single" w:sz="4" w:space="0" w:color="auto"/>
              <w:left w:val="nil"/>
              <w:bottom w:val="single" w:sz="4" w:space="0" w:color="auto"/>
              <w:right w:val="single" w:sz="4" w:space="0" w:color="auto"/>
            </w:tcBorders>
            <w:vAlign w:val="center"/>
          </w:tcPr>
          <w:p w14:paraId="39C4C007" w14:textId="77777777" w:rsidR="001929CC" w:rsidRDefault="001929CC" w:rsidP="001929CC">
            <w:pPr>
              <w:pStyle w:val="TableText"/>
              <w:snapToGrid w:val="0"/>
              <w:rPr>
                <w:rFonts w:cs="Segoe UI"/>
                <w:lang w:eastAsia="en-GB"/>
              </w:rPr>
            </w:pPr>
            <w:r>
              <w:rPr>
                <w:rFonts w:cs="Segoe UI"/>
                <w:lang w:eastAsia="en-GB"/>
              </w:rPr>
              <w:t>Exposure classes</w:t>
            </w:r>
          </w:p>
        </w:tc>
        <w:tc>
          <w:tcPr>
            <w:tcW w:w="1807" w:type="dxa"/>
            <w:tcBorders>
              <w:top w:val="single" w:sz="4" w:space="0" w:color="auto"/>
              <w:left w:val="single" w:sz="4" w:space="0" w:color="auto"/>
              <w:bottom w:val="single" w:sz="4" w:space="0" w:color="auto"/>
              <w:right w:val="single" w:sz="4" w:space="0" w:color="auto"/>
            </w:tcBorders>
            <w:vAlign w:val="center"/>
          </w:tcPr>
          <w:p w14:paraId="4C078C88" w14:textId="77777777" w:rsidR="001929CC" w:rsidRDefault="001929CC" w:rsidP="001929CC">
            <w:pPr>
              <w:pStyle w:val="TableText"/>
              <w:snapToGrid w:val="0"/>
              <w:jc w:val="center"/>
              <w:rPr>
                <w:rFonts w:cs="Segoe UI"/>
                <w:bCs/>
                <w:noProof/>
                <w:spacing w:val="-12"/>
                <w:sz w:val="16"/>
                <w:szCs w:val="16"/>
                <w:lang w:eastAsia="it-IT"/>
              </w:rPr>
            </w:pPr>
            <w:r>
              <w:rPr>
                <w:rFonts w:cs="Segoe UI"/>
                <w:bCs/>
                <w:spacing w:val="-12"/>
                <w:sz w:val="16"/>
                <w:szCs w:val="16"/>
                <w:lang w:eastAsia="it-IT"/>
              </w:rPr>
              <w:t>On-balance sheet amount</w:t>
            </w:r>
          </w:p>
        </w:tc>
        <w:tc>
          <w:tcPr>
            <w:tcW w:w="1807" w:type="dxa"/>
            <w:tcBorders>
              <w:top w:val="single" w:sz="4" w:space="0" w:color="auto"/>
              <w:left w:val="single" w:sz="4" w:space="0" w:color="auto"/>
              <w:bottom w:val="single" w:sz="4" w:space="0" w:color="auto"/>
              <w:right w:val="single" w:sz="4" w:space="0" w:color="auto"/>
            </w:tcBorders>
            <w:vAlign w:val="center"/>
          </w:tcPr>
          <w:p w14:paraId="58A71BE4" w14:textId="77777777" w:rsidR="001929CC" w:rsidRDefault="001929CC" w:rsidP="001929CC">
            <w:pPr>
              <w:pStyle w:val="TableText"/>
              <w:snapToGrid w:val="0"/>
              <w:jc w:val="center"/>
              <w:rPr>
                <w:rFonts w:cs="Segoe UI"/>
                <w:noProof/>
                <w:spacing w:val="-12"/>
                <w:sz w:val="16"/>
                <w:szCs w:val="16"/>
                <w:lang w:eastAsia="it-IT"/>
              </w:rPr>
            </w:pPr>
            <w:r>
              <w:rPr>
                <w:rFonts w:cs="Segoe UI"/>
                <w:spacing w:val="-12"/>
                <w:sz w:val="16"/>
                <w:szCs w:val="16"/>
                <w:lang w:eastAsia="it-IT"/>
              </w:rPr>
              <w:t>Off-balance sheet amount</w:t>
            </w:r>
          </w:p>
        </w:tc>
        <w:tc>
          <w:tcPr>
            <w:tcW w:w="1807" w:type="dxa"/>
            <w:tcBorders>
              <w:top w:val="single" w:sz="4" w:space="0" w:color="auto"/>
              <w:left w:val="single" w:sz="4" w:space="0" w:color="auto"/>
              <w:bottom w:val="single" w:sz="4" w:space="0" w:color="auto"/>
              <w:right w:val="single" w:sz="4" w:space="0" w:color="auto"/>
            </w:tcBorders>
            <w:vAlign w:val="center"/>
          </w:tcPr>
          <w:p w14:paraId="1DE5D58B" w14:textId="77777777" w:rsidR="001929CC" w:rsidRDefault="001929CC" w:rsidP="001929CC">
            <w:pPr>
              <w:pStyle w:val="TableText"/>
              <w:snapToGrid w:val="0"/>
              <w:jc w:val="center"/>
              <w:rPr>
                <w:rFonts w:cs="Segoe UI"/>
                <w:noProof/>
                <w:spacing w:val="-12"/>
                <w:sz w:val="16"/>
                <w:szCs w:val="16"/>
                <w:lang w:eastAsia="it-IT"/>
              </w:rPr>
            </w:pPr>
            <w:r>
              <w:rPr>
                <w:rFonts w:cs="Segoe UI"/>
                <w:bCs/>
                <w:spacing w:val="-12"/>
                <w:sz w:val="16"/>
                <w:szCs w:val="16"/>
                <w:lang w:eastAsia="it-IT"/>
              </w:rPr>
              <w:t>On-balance sheet amount</w:t>
            </w:r>
            <w:r>
              <w:rPr>
                <w:rFonts w:cs="Segoe UI"/>
                <w:spacing w:val="-12"/>
                <w:sz w:val="16"/>
                <w:szCs w:val="16"/>
                <w:lang w:eastAsia="it-IT"/>
              </w:rPr>
              <w:t xml:space="preserve"> </w:t>
            </w:r>
          </w:p>
        </w:tc>
        <w:tc>
          <w:tcPr>
            <w:tcW w:w="1808" w:type="dxa"/>
            <w:tcBorders>
              <w:top w:val="single" w:sz="4" w:space="0" w:color="auto"/>
              <w:left w:val="single" w:sz="4" w:space="0" w:color="auto"/>
              <w:bottom w:val="single" w:sz="4" w:space="0" w:color="auto"/>
              <w:right w:val="single" w:sz="4" w:space="0" w:color="auto"/>
            </w:tcBorders>
            <w:vAlign w:val="center"/>
          </w:tcPr>
          <w:p w14:paraId="153DF590" w14:textId="77777777" w:rsidR="001929CC" w:rsidRDefault="001929CC" w:rsidP="001929CC">
            <w:pPr>
              <w:pStyle w:val="TableText"/>
              <w:snapToGrid w:val="0"/>
              <w:jc w:val="center"/>
              <w:rPr>
                <w:rFonts w:cs="Segoe UI"/>
                <w:noProof/>
                <w:spacing w:val="-12"/>
                <w:sz w:val="16"/>
                <w:szCs w:val="16"/>
                <w:lang w:eastAsia="it-IT"/>
              </w:rPr>
            </w:pPr>
            <w:r>
              <w:rPr>
                <w:rFonts w:cs="Segoe UI"/>
                <w:spacing w:val="-12"/>
                <w:sz w:val="16"/>
                <w:szCs w:val="16"/>
                <w:lang w:eastAsia="it-IT"/>
              </w:rPr>
              <w:t>Off-balance sheet amount</w:t>
            </w:r>
          </w:p>
        </w:tc>
        <w:tc>
          <w:tcPr>
            <w:tcW w:w="1417" w:type="dxa"/>
            <w:tcBorders>
              <w:top w:val="single" w:sz="4" w:space="0" w:color="auto"/>
              <w:left w:val="single" w:sz="4" w:space="0" w:color="auto"/>
              <w:bottom w:val="single" w:sz="4" w:space="0" w:color="auto"/>
              <w:right w:val="single" w:sz="4" w:space="0" w:color="auto"/>
            </w:tcBorders>
            <w:vAlign w:val="center"/>
          </w:tcPr>
          <w:p w14:paraId="05025468" w14:textId="77777777" w:rsidR="001929CC" w:rsidRDefault="001929CC" w:rsidP="001929CC">
            <w:pPr>
              <w:pStyle w:val="TableText"/>
              <w:snapToGrid w:val="0"/>
              <w:jc w:val="center"/>
              <w:rPr>
                <w:rFonts w:cs="Segoe UI"/>
                <w:noProof/>
                <w:spacing w:val="-12"/>
                <w:sz w:val="16"/>
                <w:szCs w:val="16"/>
                <w:lang w:eastAsia="it-IT"/>
              </w:rPr>
            </w:pPr>
            <w:r>
              <w:rPr>
                <w:rFonts w:cs="Segoe UI"/>
                <w:spacing w:val="-12"/>
                <w:sz w:val="16"/>
                <w:szCs w:val="16"/>
                <w:lang w:eastAsia="it-IT"/>
              </w:rPr>
              <w:t>RWA</w:t>
            </w:r>
          </w:p>
        </w:tc>
        <w:tc>
          <w:tcPr>
            <w:tcW w:w="1418" w:type="dxa"/>
            <w:tcBorders>
              <w:top w:val="single" w:sz="4" w:space="0" w:color="auto"/>
              <w:left w:val="single" w:sz="4" w:space="0" w:color="auto"/>
              <w:bottom w:val="single" w:sz="4" w:space="0" w:color="auto"/>
              <w:right w:val="single" w:sz="4" w:space="0" w:color="auto"/>
            </w:tcBorders>
            <w:vAlign w:val="center"/>
          </w:tcPr>
          <w:p w14:paraId="456CCB02" w14:textId="77777777" w:rsidR="001929CC" w:rsidRDefault="001929CC" w:rsidP="001929CC">
            <w:pPr>
              <w:pStyle w:val="TableText"/>
              <w:snapToGrid w:val="0"/>
              <w:jc w:val="center"/>
              <w:rPr>
                <w:rFonts w:cs="Segoe UI"/>
                <w:noProof/>
                <w:spacing w:val="-12"/>
                <w:sz w:val="16"/>
                <w:szCs w:val="16"/>
                <w:lang w:eastAsia="it-IT"/>
              </w:rPr>
            </w:pPr>
            <w:r>
              <w:rPr>
                <w:rFonts w:cs="Segoe UI"/>
                <w:spacing w:val="-12"/>
                <w:sz w:val="16"/>
                <w:szCs w:val="16"/>
                <w:lang w:eastAsia="it-IT"/>
              </w:rPr>
              <w:t xml:space="preserve">RWA density </w:t>
            </w:r>
          </w:p>
        </w:tc>
      </w:tr>
      <w:tr w:rsidR="001929CC" w14:paraId="5D545FA5" w14:textId="77777777" w:rsidTr="001929CC">
        <w:trPr>
          <w:cantSplit/>
          <w:trHeight w:val="283"/>
        </w:trPr>
        <w:tc>
          <w:tcPr>
            <w:tcW w:w="567" w:type="dxa"/>
            <w:tcBorders>
              <w:top w:val="single" w:sz="4" w:space="0" w:color="auto"/>
              <w:left w:val="nil"/>
              <w:right w:val="single" w:sz="4" w:space="0" w:color="auto"/>
            </w:tcBorders>
          </w:tcPr>
          <w:p w14:paraId="2DC906FA" w14:textId="77777777" w:rsidR="001929CC" w:rsidRDefault="001929CC" w:rsidP="001929CC">
            <w:pPr>
              <w:pStyle w:val="TableText"/>
              <w:snapToGrid w:val="0"/>
              <w:rPr>
                <w:rFonts w:cs="Segoe UI"/>
                <w:sz w:val="16"/>
                <w:szCs w:val="16"/>
                <w:lang w:eastAsia="en-GB"/>
              </w:rPr>
            </w:pPr>
            <w:r>
              <w:rPr>
                <w:rFonts w:cs="Segoe UI"/>
                <w:sz w:val="16"/>
                <w:szCs w:val="16"/>
                <w:lang w:eastAsia="en-GB"/>
              </w:rPr>
              <w:t>1</w:t>
            </w:r>
          </w:p>
        </w:tc>
        <w:tc>
          <w:tcPr>
            <w:tcW w:w="3261" w:type="dxa"/>
            <w:tcBorders>
              <w:top w:val="single" w:sz="4" w:space="0" w:color="auto"/>
              <w:left w:val="nil"/>
              <w:right w:val="single" w:sz="4" w:space="0" w:color="auto"/>
            </w:tcBorders>
          </w:tcPr>
          <w:p w14:paraId="141D67E2" w14:textId="77777777" w:rsidR="001929CC" w:rsidRDefault="001929CC" w:rsidP="001929CC">
            <w:pPr>
              <w:pStyle w:val="TableText"/>
              <w:snapToGrid w:val="0"/>
              <w:rPr>
                <w:rFonts w:cs="Segoe UI"/>
                <w:sz w:val="16"/>
                <w:szCs w:val="16"/>
                <w:lang w:eastAsia="en-GB"/>
              </w:rPr>
            </w:pPr>
            <w:r>
              <w:rPr>
                <w:rFonts w:cs="Segoe UI"/>
                <w:sz w:val="16"/>
                <w:szCs w:val="16"/>
                <w:lang w:eastAsia="en-GB"/>
              </w:rPr>
              <w:t>Sovereign exposures</w:t>
            </w:r>
          </w:p>
        </w:tc>
        <w:tc>
          <w:tcPr>
            <w:tcW w:w="1807" w:type="dxa"/>
            <w:tcBorders>
              <w:top w:val="single" w:sz="4" w:space="0" w:color="auto"/>
              <w:left w:val="single" w:sz="4" w:space="0" w:color="auto"/>
              <w:right w:val="single" w:sz="4" w:space="0" w:color="auto"/>
            </w:tcBorders>
          </w:tcPr>
          <w:p w14:paraId="47271262" w14:textId="77777777" w:rsidR="001929CC" w:rsidRDefault="001929CC" w:rsidP="001929CC">
            <w:pPr>
              <w:pStyle w:val="TableText"/>
              <w:snapToGrid w:val="0"/>
              <w:rPr>
                <w:lang w:eastAsia="en-GB"/>
              </w:rPr>
            </w:pPr>
          </w:p>
        </w:tc>
        <w:tc>
          <w:tcPr>
            <w:tcW w:w="1807" w:type="dxa"/>
            <w:tcBorders>
              <w:top w:val="single" w:sz="4" w:space="0" w:color="auto"/>
              <w:left w:val="single" w:sz="4" w:space="0" w:color="auto"/>
              <w:right w:val="single" w:sz="4" w:space="0" w:color="auto"/>
            </w:tcBorders>
          </w:tcPr>
          <w:p w14:paraId="40F905CE" w14:textId="77777777" w:rsidR="001929CC" w:rsidRDefault="001929CC" w:rsidP="001929CC">
            <w:pPr>
              <w:pStyle w:val="TableText"/>
              <w:snapToGrid w:val="0"/>
              <w:rPr>
                <w:lang w:eastAsia="en-GB"/>
              </w:rPr>
            </w:pPr>
          </w:p>
        </w:tc>
        <w:tc>
          <w:tcPr>
            <w:tcW w:w="1807" w:type="dxa"/>
            <w:tcBorders>
              <w:top w:val="single" w:sz="4" w:space="0" w:color="auto"/>
              <w:left w:val="single" w:sz="4" w:space="0" w:color="auto"/>
              <w:right w:val="single" w:sz="4" w:space="0" w:color="auto"/>
            </w:tcBorders>
          </w:tcPr>
          <w:p w14:paraId="2C607F43" w14:textId="77777777" w:rsidR="001929CC" w:rsidRDefault="001929CC" w:rsidP="001929CC">
            <w:pPr>
              <w:pStyle w:val="TableText"/>
              <w:snapToGrid w:val="0"/>
              <w:rPr>
                <w:lang w:eastAsia="en-GB"/>
              </w:rPr>
            </w:pPr>
          </w:p>
        </w:tc>
        <w:tc>
          <w:tcPr>
            <w:tcW w:w="1808" w:type="dxa"/>
            <w:tcBorders>
              <w:top w:val="single" w:sz="4" w:space="0" w:color="auto"/>
              <w:left w:val="single" w:sz="4" w:space="0" w:color="auto"/>
              <w:right w:val="single" w:sz="4" w:space="0" w:color="auto"/>
            </w:tcBorders>
          </w:tcPr>
          <w:p w14:paraId="0CFEF580" w14:textId="77777777" w:rsidR="001929CC" w:rsidRDefault="001929CC" w:rsidP="001929CC">
            <w:pPr>
              <w:pStyle w:val="TableText"/>
              <w:snapToGrid w:val="0"/>
              <w:rPr>
                <w:lang w:eastAsia="en-GB"/>
              </w:rPr>
            </w:pPr>
          </w:p>
        </w:tc>
        <w:tc>
          <w:tcPr>
            <w:tcW w:w="1417" w:type="dxa"/>
            <w:tcBorders>
              <w:top w:val="single" w:sz="4" w:space="0" w:color="auto"/>
              <w:left w:val="single" w:sz="4" w:space="0" w:color="auto"/>
              <w:right w:val="single" w:sz="4" w:space="0" w:color="auto"/>
            </w:tcBorders>
          </w:tcPr>
          <w:p w14:paraId="2C1CDFE8" w14:textId="77777777" w:rsidR="001929CC" w:rsidRDefault="001929CC" w:rsidP="001929CC">
            <w:pPr>
              <w:pStyle w:val="TableText"/>
              <w:snapToGrid w:val="0"/>
              <w:rPr>
                <w:lang w:eastAsia="en-GB"/>
              </w:rPr>
            </w:pPr>
          </w:p>
        </w:tc>
        <w:tc>
          <w:tcPr>
            <w:tcW w:w="1418" w:type="dxa"/>
            <w:tcBorders>
              <w:top w:val="single" w:sz="4" w:space="0" w:color="auto"/>
              <w:left w:val="single" w:sz="4" w:space="0" w:color="auto"/>
              <w:right w:val="single" w:sz="4" w:space="0" w:color="auto"/>
            </w:tcBorders>
          </w:tcPr>
          <w:p w14:paraId="6AC687CB" w14:textId="77777777" w:rsidR="001929CC" w:rsidRDefault="001929CC" w:rsidP="001929CC">
            <w:pPr>
              <w:pStyle w:val="TableText"/>
              <w:snapToGrid w:val="0"/>
              <w:rPr>
                <w:lang w:eastAsia="en-GB"/>
              </w:rPr>
            </w:pPr>
          </w:p>
        </w:tc>
      </w:tr>
      <w:tr w:rsidR="001929CC" w14:paraId="0D0E8C63" w14:textId="77777777" w:rsidTr="001929CC">
        <w:trPr>
          <w:cantSplit/>
          <w:trHeight w:val="283"/>
        </w:trPr>
        <w:tc>
          <w:tcPr>
            <w:tcW w:w="567" w:type="dxa"/>
            <w:tcBorders>
              <w:left w:val="nil"/>
              <w:right w:val="single" w:sz="4" w:space="0" w:color="auto"/>
            </w:tcBorders>
          </w:tcPr>
          <w:p w14:paraId="08E6222C" w14:textId="77777777" w:rsidR="001929CC" w:rsidRDefault="001929CC" w:rsidP="001929CC">
            <w:pPr>
              <w:pStyle w:val="TableText"/>
              <w:snapToGrid w:val="0"/>
              <w:rPr>
                <w:rFonts w:cs="Segoe UI"/>
                <w:sz w:val="16"/>
                <w:szCs w:val="16"/>
                <w:lang w:eastAsia="en-GB"/>
              </w:rPr>
            </w:pPr>
            <w:r>
              <w:rPr>
                <w:rFonts w:cs="Segoe UI"/>
                <w:sz w:val="16"/>
                <w:szCs w:val="16"/>
                <w:lang w:eastAsia="en-GB"/>
              </w:rPr>
              <w:t>2</w:t>
            </w:r>
          </w:p>
        </w:tc>
        <w:tc>
          <w:tcPr>
            <w:tcW w:w="3261" w:type="dxa"/>
            <w:tcBorders>
              <w:left w:val="nil"/>
              <w:right w:val="single" w:sz="4" w:space="0" w:color="auto"/>
            </w:tcBorders>
          </w:tcPr>
          <w:p w14:paraId="7FB9B4AB" w14:textId="77777777" w:rsidR="001929CC" w:rsidRDefault="001929CC" w:rsidP="001929CC">
            <w:pPr>
              <w:pStyle w:val="TableText"/>
              <w:snapToGrid w:val="0"/>
              <w:rPr>
                <w:rFonts w:cs="Segoe UI"/>
                <w:sz w:val="16"/>
                <w:szCs w:val="16"/>
                <w:lang w:eastAsia="en-GB"/>
              </w:rPr>
            </w:pPr>
            <w:r>
              <w:rPr>
                <w:rFonts w:cs="Segoe UI"/>
                <w:sz w:val="16"/>
                <w:szCs w:val="16"/>
                <w:lang w:eastAsia="en-GB"/>
              </w:rPr>
              <w:t>Public sector entity exposures</w:t>
            </w:r>
          </w:p>
        </w:tc>
        <w:tc>
          <w:tcPr>
            <w:tcW w:w="1807" w:type="dxa"/>
            <w:tcBorders>
              <w:left w:val="single" w:sz="4" w:space="0" w:color="auto"/>
              <w:right w:val="single" w:sz="4" w:space="0" w:color="auto"/>
            </w:tcBorders>
          </w:tcPr>
          <w:p w14:paraId="1254F74A" w14:textId="77777777" w:rsidR="001929CC" w:rsidRDefault="001929CC" w:rsidP="001929CC">
            <w:pPr>
              <w:pStyle w:val="TableText"/>
              <w:snapToGrid w:val="0"/>
              <w:rPr>
                <w:lang w:eastAsia="en-GB"/>
              </w:rPr>
            </w:pPr>
          </w:p>
        </w:tc>
        <w:tc>
          <w:tcPr>
            <w:tcW w:w="1807" w:type="dxa"/>
            <w:tcBorders>
              <w:left w:val="single" w:sz="4" w:space="0" w:color="auto"/>
              <w:right w:val="single" w:sz="4" w:space="0" w:color="auto"/>
            </w:tcBorders>
          </w:tcPr>
          <w:p w14:paraId="609F8C66" w14:textId="77777777" w:rsidR="001929CC" w:rsidRDefault="001929CC" w:rsidP="001929CC">
            <w:pPr>
              <w:pStyle w:val="TableText"/>
              <w:snapToGrid w:val="0"/>
              <w:rPr>
                <w:lang w:eastAsia="en-GB"/>
              </w:rPr>
            </w:pPr>
          </w:p>
        </w:tc>
        <w:tc>
          <w:tcPr>
            <w:tcW w:w="1807" w:type="dxa"/>
            <w:tcBorders>
              <w:left w:val="single" w:sz="4" w:space="0" w:color="auto"/>
              <w:right w:val="single" w:sz="4" w:space="0" w:color="auto"/>
            </w:tcBorders>
          </w:tcPr>
          <w:p w14:paraId="63DA1FEF" w14:textId="77777777" w:rsidR="001929CC" w:rsidRDefault="001929CC" w:rsidP="001929CC">
            <w:pPr>
              <w:pStyle w:val="TableText"/>
              <w:snapToGrid w:val="0"/>
              <w:rPr>
                <w:lang w:eastAsia="en-GB"/>
              </w:rPr>
            </w:pPr>
          </w:p>
        </w:tc>
        <w:tc>
          <w:tcPr>
            <w:tcW w:w="1808" w:type="dxa"/>
            <w:tcBorders>
              <w:left w:val="single" w:sz="4" w:space="0" w:color="auto"/>
              <w:right w:val="single" w:sz="4" w:space="0" w:color="auto"/>
            </w:tcBorders>
          </w:tcPr>
          <w:p w14:paraId="42080FD5" w14:textId="77777777" w:rsidR="001929CC" w:rsidRDefault="001929CC" w:rsidP="001929CC">
            <w:pPr>
              <w:pStyle w:val="TableText"/>
              <w:snapToGrid w:val="0"/>
              <w:rPr>
                <w:lang w:eastAsia="en-GB"/>
              </w:rPr>
            </w:pPr>
          </w:p>
        </w:tc>
        <w:tc>
          <w:tcPr>
            <w:tcW w:w="1417" w:type="dxa"/>
            <w:tcBorders>
              <w:left w:val="single" w:sz="4" w:space="0" w:color="auto"/>
              <w:right w:val="single" w:sz="4" w:space="0" w:color="auto"/>
            </w:tcBorders>
          </w:tcPr>
          <w:p w14:paraId="4A542975" w14:textId="77777777" w:rsidR="001929CC" w:rsidRDefault="001929CC" w:rsidP="001929CC">
            <w:pPr>
              <w:pStyle w:val="TableText"/>
              <w:snapToGrid w:val="0"/>
              <w:rPr>
                <w:lang w:eastAsia="en-GB"/>
              </w:rPr>
            </w:pPr>
          </w:p>
        </w:tc>
        <w:tc>
          <w:tcPr>
            <w:tcW w:w="1418" w:type="dxa"/>
            <w:tcBorders>
              <w:left w:val="single" w:sz="4" w:space="0" w:color="auto"/>
              <w:right w:val="single" w:sz="4" w:space="0" w:color="auto"/>
            </w:tcBorders>
          </w:tcPr>
          <w:p w14:paraId="19C7477F" w14:textId="77777777" w:rsidR="001929CC" w:rsidRDefault="001929CC" w:rsidP="001929CC">
            <w:pPr>
              <w:pStyle w:val="TableText"/>
              <w:snapToGrid w:val="0"/>
              <w:rPr>
                <w:lang w:eastAsia="en-GB"/>
              </w:rPr>
            </w:pPr>
          </w:p>
        </w:tc>
      </w:tr>
      <w:tr w:rsidR="001929CC" w14:paraId="03F9A4A1" w14:textId="77777777" w:rsidTr="001929CC">
        <w:trPr>
          <w:cantSplit/>
          <w:trHeight w:val="283"/>
        </w:trPr>
        <w:tc>
          <w:tcPr>
            <w:tcW w:w="567" w:type="dxa"/>
            <w:tcBorders>
              <w:left w:val="nil"/>
              <w:right w:val="single" w:sz="4" w:space="0" w:color="auto"/>
            </w:tcBorders>
          </w:tcPr>
          <w:p w14:paraId="022C5CC1" w14:textId="77777777" w:rsidR="001929CC" w:rsidRDefault="001929CC" w:rsidP="001929CC">
            <w:pPr>
              <w:pStyle w:val="TableText"/>
              <w:snapToGrid w:val="0"/>
              <w:rPr>
                <w:rFonts w:cs="Segoe UI"/>
                <w:sz w:val="16"/>
                <w:szCs w:val="16"/>
                <w:lang w:eastAsia="en-GB"/>
              </w:rPr>
            </w:pPr>
            <w:r>
              <w:rPr>
                <w:rFonts w:cs="Segoe UI"/>
                <w:sz w:val="16"/>
                <w:szCs w:val="16"/>
                <w:lang w:eastAsia="en-GB"/>
              </w:rPr>
              <w:t>3</w:t>
            </w:r>
          </w:p>
        </w:tc>
        <w:tc>
          <w:tcPr>
            <w:tcW w:w="3261" w:type="dxa"/>
            <w:tcBorders>
              <w:left w:val="nil"/>
              <w:right w:val="single" w:sz="4" w:space="0" w:color="auto"/>
            </w:tcBorders>
          </w:tcPr>
          <w:p w14:paraId="7AEF00B9" w14:textId="77777777" w:rsidR="001929CC" w:rsidRDefault="001929CC" w:rsidP="001929CC">
            <w:pPr>
              <w:pStyle w:val="TableText"/>
              <w:snapToGrid w:val="0"/>
              <w:rPr>
                <w:rFonts w:cs="Segoe UI"/>
                <w:sz w:val="16"/>
                <w:szCs w:val="16"/>
                <w:lang w:eastAsia="en-GB"/>
              </w:rPr>
            </w:pPr>
            <w:r>
              <w:rPr>
                <w:rFonts w:cs="Segoe UI"/>
                <w:sz w:val="16"/>
                <w:szCs w:val="16"/>
                <w:lang w:eastAsia="en-GB"/>
              </w:rPr>
              <w:t>Multilateral development bank exposures</w:t>
            </w:r>
          </w:p>
        </w:tc>
        <w:tc>
          <w:tcPr>
            <w:tcW w:w="1807" w:type="dxa"/>
            <w:tcBorders>
              <w:left w:val="single" w:sz="4" w:space="0" w:color="auto"/>
              <w:right w:val="single" w:sz="4" w:space="0" w:color="auto"/>
            </w:tcBorders>
          </w:tcPr>
          <w:p w14:paraId="3DFBA448" w14:textId="77777777" w:rsidR="001929CC" w:rsidRDefault="001929CC" w:rsidP="001929CC">
            <w:pPr>
              <w:pStyle w:val="TableText"/>
              <w:snapToGrid w:val="0"/>
              <w:rPr>
                <w:lang w:eastAsia="en-GB"/>
              </w:rPr>
            </w:pPr>
          </w:p>
        </w:tc>
        <w:tc>
          <w:tcPr>
            <w:tcW w:w="1807" w:type="dxa"/>
            <w:tcBorders>
              <w:left w:val="single" w:sz="4" w:space="0" w:color="auto"/>
              <w:right w:val="single" w:sz="4" w:space="0" w:color="auto"/>
            </w:tcBorders>
          </w:tcPr>
          <w:p w14:paraId="79DA3E49" w14:textId="77777777" w:rsidR="001929CC" w:rsidRDefault="001929CC" w:rsidP="001929CC">
            <w:pPr>
              <w:pStyle w:val="TableText"/>
              <w:snapToGrid w:val="0"/>
              <w:rPr>
                <w:lang w:eastAsia="en-GB"/>
              </w:rPr>
            </w:pPr>
          </w:p>
        </w:tc>
        <w:tc>
          <w:tcPr>
            <w:tcW w:w="1807" w:type="dxa"/>
            <w:tcBorders>
              <w:left w:val="single" w:sz="4" w:space="0" w:color="auto"/>
              <w:right w:val="single" w:sz="4" w:space="0" w:color="auto"/>
            </w:tcBorders>
          </w:tcPr>
          <w:p w14:paraId="44947872" w14:textId="77777777" w:rsidR="001929CC" w:rsidRDefault="001929CC" w:rsidP="001929CC">
            <w:pPr>
              <w:pStyle w:val="TableText"/>
              <w:snapToGrid w:val="0"/>
              <w:rPr>
                <w:lang w:eastAsia="en-GB"/>
              </w:rPr>
            </w:pPr>
          </w:p>
        </w:tc>
        <w:tc>
          <w:tcPr>
            <w:tcW w:w="1808" w:type="dxa"/>
            <w:tcBorders>
              <w:left w:val="single" w:sz="4" w:space="0" w:color="auto"/>
              <w:right w:val="single" w:sz="4" w:space="0" w:color="auto"/>
            </w:tcBorders>
          </w:tcPr>
          <w:p w14:paraId="0EDD860F" w14:textId="77777777" w:rsidR="001929CC" w:rsidRDefault="001929CC" w:rsidP="001929CC">
            <w:pPr>
              <w:pStyle w:val="TableText"/>
              <w:snapToGrid w:val="0"/>
              <w:rPr>
                <w:lang w:eastAsia="en-GB"/>
              </w:rPr>
            </w:pPr>
          </w:p>
        </w:tc>
        <w:tc>
          <w:tcPr>
            <w:tcW w:w="1417" w:type="dxa"/>
            <w:tcBorders>
              <w:left w:val="single" w:sz="4" w:space="0" w:color="auto"/>
              <w:right w:val="single" w:sz="4" w:space="0" w:color="auto"/>
            </w:tcBorders>
          </w:tcPr>
          <w:p w14:paraId="636C9C5A" w14:textId="77777777" w:rsidR="001929CC" w:rsidRDefault="001929CC" w:rsidP="001929CC">
            <w:pPr>
              <w:pStyle w:val="TableText"/>
              <w:snapToGrid w:val="0"/>
              <w:rPr>
                <w:lang w:eastAsia="en-GB"/>
              </w:rPr>
            </w:pPr>
          </w:p>
        </w:tc>
        <w:tc>
          <w:tcPr>
            <w:tcW w:w="1418" w:type="dxa"/>
            <w:tcBorders>
              <w:left w:val="single" w:sz="4" w:space="0" w:color="auto"/>
              <w:right w:val="single" w:sz="4" w:space="0" w:color="auto"/>
            </w:tcBorders>
          </w:tcPr>
          <w:p w14:paraId="58B71DA8" w14:textId="77777777" w:rsidR="001929CC" w:rsidRDefault="001929CC" w:rsidP="001929CC">
            <w:pPr>
              <w:pStyle w:val="TableText"/>
              <w:snapToGrid w:val="0"/>
              <w:rPr>
                <w:lang w:eastAsia="en-GB"/>
              </w:rPr>
            </w:pPr>
          </w:p>
        </w:tc>
      </w:tr>
      <w:tr w:rsidR="001929CC" w14:paraId="56121C1F" w14:textId="77777777" w:rsidTr="001929CC">
        <w:trPr>
          <w:cantSplit/>
          <w:trHeight w:val="283"/>
        </w:trPr>
        <w:tc>
          <w:tcPr>
            <w:tcW w:w="567" w:type="dxa"/>
            <w:tcBorders>
              <w:left w:val="nil"/>
              <w:right w:val="single" w:sz="4" w:space="0" w:color="auto"/>
            </w:tcBorders>
          </w:tcPr>
          <w:p w14:paraId="1B2D6BDD" w14:textId="77777777" w:rsidR="001929CC" w:rsidRPr="009C7B7D" w:rsidRDefault="001929CC" w:rsidP="001929CC">
            <w:pPr>
              <w:pStyle w:val="TableText"/>
              <w:snapToGrid w:val="0"/>
              <w:rPr>
                <w:rFonts w:cs="Segoe UI"/>
                <w:sz w:val="16"/>
                <w:szCs w:val="16"/>
                <w:lang w:eastAsia="en-GB"/>
              </w:rPr>
            </w:pPr>
            <w:r w:rsidRPr="009C7B7D">
              <w:rPr>
                <w:rFonts w:cs="Segoe UI"/>
                <w:sz w:val="16"/>
                <w:szCs w:val="16"/>
                <w:lang w:eastAsia="en-GB"/>
              </w:rPr>
              <w:t>4</w:t>
            </w:r>
          </w:p>
        </w:tc>
        <w:tc>
          <w:tcPr>
            <w:tcW w:w="3261" w:type="dxa"/>
            <w:tcBorders>
              <w:left w:val="nil"/>
              <w:right w:val="single" w:sz="4" w:space="0" w:color="auto"/>
            </w:tcBorders>
          </w:tcPr>
          <w:p w14:paraId="388FB9AE" w14:textId="77777777" w:rsidR="001929CC" w:rsidRPr="009C7B7D" w:rsidRDefault="001929CC" w:rsidP="001929CC">
            <w:pPr>
              <w:pStyle w:val="TableText"/>
              <w:snapToGrid w:val="0"/>
              <w:rPr>
                <w:rFonts w:cs="Segoe UI"/>
                <w:sz w:val="16"/>
                <w:szCs w:val="16"/>
                <w:lang w:eastAsia="en-GB"/>
              </w:rPr>
            </w:pPr>
            <w:r w:rsidRPr="009C7B7D">
              <w:rPr>
                <w:rFonts w:cs="Segoe UI"/>
                <w:sz w:val="16"/>
                <w:szCs w:val="16"/>
                <w:lang w:eastAsia="en-GB"/>
              </w:rPr>
              <w:t>Unspecified multilateral body exposures</w:t>
            </w:r>
          </w:p>
        </w:tc>
        <w:tc>
          <w:tcPr>
            <w:tcW w:w="1807" w:type="dxa"/>
            <w:tcBorders>
              <w:left w:val="single" w:sz="4" w:space="0" w:color="auto"/>
              <w:right w:val="single" w:sz="4" w:space="0" w:color="auto"/>
            </w:tcBorders>
          </w:tcPr>
          <w:p w14:paraId="7CD30B1E" w14:textId="77777777" w:rsidR="001929CC" w:rsidRDefault="001929CC" w:rsidP="001929CC">
            <w:pPr>
              <w:pStyle w:val="TableText"/>
              <w:snapToGrid w:val="0"/>
              <w:rPr>
                <w:lang w:eastAsia="en-GB"/>
              </w:rPr>
            </w:pPr>
          </w:p>
        </w:tc>
        <w:tc>
          <w:tcPr>
            <w:tcW w:w="1807" w:type="dxa"/>
            <w:tcBorders>
              <w:left w:val="single" w:sz="4" w:space="0" w:color="auto"/>
              <w:right w:val="single" w:sz="4" w:space="0" w:color="auto"/>
            </w:tcBorders>
          </w:tcPr>
          <w:p w14:paraId="475E85F8" w14:textId="77777777" w:rsidR="001929CC" w:rsidRDefault="001929CC" w:rsidP="001929CC">
            <w:pPr>
              <w:pStyle w:val="TableText"/>
              <w:snapToGrid w:val="0"/>
              <w:rPr>
                <w:lang w:eastAsia="en-GB"/>
              </w:rPr>
            </w:pPr>
          </w:p>
        </w:tc>
        <w:tc>
          <w:tcPr>
            <w:tcW w:w="1807" w:type="dxa"/>
            <w:tcBorders>
              <w:left w:val="single" w:sz="4" w:space="0" w:color="auto"/>
              <w:right w:val="single" w:sz="4" w:space="0" w:color="auto"/>
            </w:tcBorders>
          </w:tcPr>
          <w:p w14:paraId="10464F8B" w14:textId="77777777" w:rsidR="001929CC" w:rsidRDefault="001929CC" w:rsidP="001929CC">
            <w:pPr>
              <w:pStyle w:val="TableText"/>
              <w:snapToGrid w:val="0"/>
              <w:rPr>
                <w:lang w:eastAsia="en-GB"/>
              </w:rPr>
            </w:pPr>
          </w:p>
        </w:tc>
        <w:tc>
          <w:tcPr>
            <w:tcW w:w="1808" w:type="dxa"/>
            <w:tcBorders>
              <w:left w:val="single" w:sz="4" w:space="0" w:color="auto"/>
              <w:right w:val="single" w:sz="4" w:space="0" w:color="auto"/>
            </w:tcBorders>
          </w:tcPr>
          <w:p w14:paraId="74662FCE" w14:textId="77777777" w:rsidR="001929CC" w:rsidRDefault="001929CC" w:rsidP="001929CC">
            <w:pPr>
              <w:pStyle w:val="TableText"/>
              <w:snapToGrid w:val="0"/>
              <w:rPr>
                <w:lang w:eastAsia="en-GB"/>
              </w:rPr>
            </w:pPr>
          </w:p>
        </w:tc>
        <w:tc>
          <w:tcPr>
            <w:tcW w:w="1417" w:type="dxa"/>
            <w:tcBorders>
              <w:left w:val="single" w:sz="4" w:space="0" w:color="auto"/>
              <w:right w:val="single" w:sz="4" w:space="0" w:color="auto"/>
            </w:tcBorders>
          </w:tcPr>
          <w:p w14:paraId="0F44E767" w14:textId="77777777" w:rsidR="001929CC" w:rsidRDefault="001929CC" w:rsidP="001929CC">
            <w:pPr>
              <w:pStyle w:val="TableText"/>
              <w:snapToGrid w:val="0"/>
              <w:rPr>
                <w:lang w:eastAsia="en-GB"/>
              </w:rPr>
            </w:pPr>
          </w:p>
        </w:tc>
        <w:tc>
          <w:tcPr>
            <w:tcW w:w="1418" w:type="dxa"/>
            <w:tcBorders>
              <w:left w:val="single" w:sz="4" w:space="0" w:color="auto"/>
              <w:right w:val="single" w:sz="4" w:space="0" w:color="auto"/>
            </w:tcBorders>
          </w:tcPr>
          <w:p w14:paraId="616E0DBE" w14:textId="77777777" w:rsidR="001929CC" w:rsidRDefault="001929CC" w:rsidP="001929CC">
            <w:pPr>
              <w:pStyle w:val="TableText"/>
              <w:snapToGrid w:val="0"/>
              <w:rPr>
                <w:lang w:eastAsia="en-GB"/>
              </w:rPr>
            </w:pPr>
          </w:p>
        </w:tc>
      </w:tr>
      <w:tr w:rsidR="001929CC" w14:paraId="6E88AABF" w14:textId="77777777" w:rsidTr="001929CC">
        <w:trPr>
          <w:cantSplit/>
          <w:trHeight w:val="283"/>
        </w:trPr>
        <w:tc>
          <w:tcPr>
            <w:tcW w:w="567" w:type="dxa"/>
            <w:tcBorders>
              <w:left w:val="nil"/>
              <w:right w:val="single" w:sz="4" w:space="0" w:color="auto"/>
            </w:tcBorders>
          </w:tcPr>
          <w:p w14:paraId="0FCDB2E6" w14:textId="77777777" w:rsidR="001929CC" w:rsidRPr="009C7B7D" w:rsidRDefault="001929CC" w:rsidP="001929CC">
            <w:pPr>
              <w:pStyle w:val="TableText"/>
              <w:snapToGrid w:val="0"/>
              <w:rPr>
                <w:rFonts w:cs="Segoe UI"/>
                <w:sz w:val="16"/>
                <w:szCs w:val="16"/>
                <w:lang w:eastAsia="en-GB"/>
              </w:rPr>
            </w:pPr>
            <w:r w:rsidRPr="009C7B7D">
              <w:rPr>
                <w:rFonts w:cs="Segoe UI"/>
                <w:sz w:val="16"/>
                <w:szCs w:val="16"/>
                <w:lang w:eastAsia="en-GB"/>
              </w:rPr>
              <w:t>5</w:t>
            </w:r>
          </w:p>
        </w:tc>
        <w:tc>
          <w:tcPr>
            <w:tcW w:w="3261" w:type="dxa"/>
            <w:tcBorders>
              <w:left w:val="nil"/>
              <w:right w:val="single" w:sz="4" w:space="0" w:color="auto"/>
            </w:tcBorders>
          </w:tcPr>
          <w:p w14:paraId="6154C8AA" w14:textId="77777777" w:rsidR="001929CC" w:rsidRPr="009C7B7D" w:rsidRDefault="001929CC" w:rsidP="001929CC">
            <w:pPr>
              <w:pStyle w:val="TableText"/>
              <w:snapToGrid w:val="0"/>
              <w:rPr>
                <w:rFonts w:cs="Segoe UI"/>
                <w:sz w:val="16"/>
                <w:szCs w:val="16"/>
                <w:lang w:eastAsia="en-GB"/>
              </w:rPr>
            </w:pPr>
            <w:r w:rsidRPr="009C7B7D">
              <w:rPr>
                <w:rFonts w:cs="Segoe UI"/>
                <w:sz w:val="16"/>
                <w:szCs w:val="16"/>
                <w:lang w:eastAsia="en-GB"/>
              </w:rPr>
              <w:t>Bank exposures</w:t>
            </w:r>
          </w:p>
        </w:tc>
        <w:tc>
          <w:tcPr>
            <w:tcW w:w="1807" w:type="dxa"/>
            <w:tcBorders>
              <w:left w:val="single" w:sz="4" w:space="0" w:color="auto"/>
              <w:right w:val="single" w:sz="4" w:space="0" w:color="auto"/>
            </w:tcBorders>
          </w:tcPr>
          <w:p w14:paraId="0CA31AEC" w14:textId="77777777" w:rsidR="001929CC" w:rsidRDefault="001929CC" w:rsidP="001929CC">
            <w:pPr>
              <w:pStyle w:val="TableText"/>
              <w:snapToGrid w:val="0"/>
              <w:rPr>
                <w:lang w:eastAsia="en-GB"/>
              </w:rPr>
            </w:pPr>
          </w:p>
        </w:tc>
        <w:tc>
          <w:tcPr>
            <w:tcW w:w="1807" w:type="dxa"/>
            <w:tcBorders>
              <w:left w:val="single" w:sz="4" w:space="0" w:color="auto"/>
              <w:right w:val="single" w:sz="4" w:space="0" w:color="auto"/>
            </w:tcBorders>
          </w:tcPr>
          <w:p w14:paraId="684C7832" w14:textId="77777777" w:rsidR="001929CC" w:rsidRDefault="001929CC" w:rsidP="001929CC">
            <w:pPr>
              <w:pStyle w:val="TableText"/>
              <w:snapToGrid w:val="0"/>
              <w:rPr>
                <w:lang w:eastAsia="en-GB"/>
              </w:rPr>
            </w:pPr>
          </w:p>
        </w:tc>
        <w:tc>
          <w:tcPr>
            <w:tcW w:w="1807" w:type="dxa"/>
            <w:tcBorders>
              <w:left w:val="single" w:sz="4" w:space="0" w:color="auto"/>
              <w:right w:val="single" w:sz="4" w:space="0" w:color="auto"/>
            </w:tcBorders>
          </w:tcPr>
          <w:p w14:paraId="58ABF34C" w14:textId="77777777" w:rsidR="001929CC" w:rsidRDefault="001929CC" w:rsidP="001929CC">
            <w:pPr>
              <w:pStyle w:val="TableText"/>
              <w:snapToGrid w:val="0"/>
              <w:rPr>
                <w:lang w:eastAsia="en-GB"/>
              </w:rPr>
            </w:pPr>
          </w:p>
        </w:tc>
        <w:tc>
          <w:tcPr>
            <w:tcW w:w="1808" w:type="dxa"/>
            <w:tcBorders>
              <w:left w:val="single" w:sz="4" w:space="0" w:color="auto"/>
              <w:right w:val="single" w:sz="4" w:space="0" w:color="auto"/>
            </w:tcBorders>
          </w:tcPr>
          <w:p w14:paraId="57A1A258" w14:textId="77777777" w:rsidR="001929CC" w:rsidRDefault="001929CC" w:rsidP="001929CC">
            <w:pPr>
              <w:pStyle w:val="TableText"/>
              <w:snapToGrid w:val="0"/>
              <w:rPr>
                <w:lang w:eastAsia="en-GB"/>
              </w:rPr>
            </w:pPr>
          </w:p>
        </w:tc>
        <w:tc>
          <w:tcPr>
            <w:tcW w:w="1417" w:type="dxa"/>
            <w:tcBorders>
              <w:left w:val="single" w:sz="4" w:space="0" w:color="auto"/>
              <w:right w:val="single" w:sz="4" w:space="0" w:color="auto"/>
            </w:tcBorders>
          </w:tcPr>
          <w:p w14:paraId="6EDDEDD8" w14:textId="77777777" w:rsidR="001929CC" w:rsidRDefault="001929CC" w:rsidP="001929CC">
            <w:pPr>
              <w:pStyle w:val="TableText"/>
              <w:snapToGrid w:val="0"/>
              <w:rPr>
                <w:lang w:eastAsia="en-GB"/>
              </w:rPr>
            </w:pPr>
          </w:p>
        </w:tc>
        <w:tc>
          <w:tcPr>
            <w:tcW w:w="1418" w:type="dxa"/>
            <w:tcBorders>
              <w:left w:val="single" w:sz="4" w:space="0" w:color="auto"/>
              <w:right w:val="single" w:sz="4" w:space="0" w:color="auto"/>
            </w:tcBorders>
          </w:tcPr>
          <w:p w14:paraId="52FA7C8A" w14:textId="77777777" w:rsidR="001929CC" w:rsidRDefault="001929CC" w:rsidP="001929CC">
            <w:pPr>
              <w:pStyle w:val="TableText"/>
              <w:snapToGrid w:val="0"/>
              <w:rPr>
                <w:lang w:eastAsia="en-GB"/>
              </w:rPr>
            </w:pPr>
          </w:p>
        </w:tc>
      </w:tr>
      <w:tr w:rsidR="001929CC" w14:paraId="3145575F" w14:textId="77777777" w:rsidTr="001929CC">
        <w:trPr>
          <w:cantSplit/>
          <w:trHeight w:val="283"/>
        </w:trPr>
        <w:tc>
          <w:tcPr>
            <w:tcW w:w="567" w:type="dxa"/>
            <w:tcBorders>
              <w:left w:val="nil"/>
              <w:right w:val="single" w:sz="4" w:space="0" w:color="auto"/>
            </w:tcBorders>
          </w:tcPr>
          <w:p w14:paraId="0C0B61D1" w14:textId="77777777" w:rsidR="001929CC" w:rsidRPr="009C7B7D" w:rsidDel="00FE675E" w:rsidRDefault="001929CC" w:rsidP="001929CC">
            <w:pPr>
              <w:pStyle w:val="TableText"/>
              <w:snapToGrid w:val="0"/>
              <w:rPr>
                <w:rFonts w:cs="Segoe UI"/>
                <w:sz w:val="16"/>
                <w:szCs w:val="16"/>
                <w:lang w:eastAsia="en-GB"/>
              </w:rPr>
            </w:pPr>
            <w:r w:rsidRPr="009C7B7D">
              <w:rPr>
                <w:rFonts w:cs="Segoe UI"/>
                <w:sz w:val="16"/>
                <w:szCs w:val="16"/>
                <w:lang w:eastAsia="en-GB"/>
              </w:rPr>
              <w:t>6</w:t>
            </w:r>
          </w:p>
        </w:tc>
        <w:tc>
          <w:tcPr>
            <w:tcW w:w="3261" w:type="dxa"/>
            <w:tcBorders>
              <w:left w:val="nil"/>
              <w:right w:val="single" w:sz="4" w:space="0" w:color="auto"/>
            </w:tcBorders>
          </w:tcPr>
          <w:p w14:paraId="2BB44F4A" w14:textId="77777777" w:rsidR="001929CC" w:rsidRPr="009C7B7D" w:rsidRDefault="001929CC" w:rsidP="001929CC">
            <w:pPr>
              <w:pStyle w:val="TableText"/>
              <w:snapToGrid w:val="0"/>
              <w:rPr>
                <w:rFonts w:cs="Segoe UI"/>
                <w:sz w:val="16"/>
                <w:szCs w:val="16"/>
                <w:lang w:eastAsia="en-GB"/>
              </w:rPr>
            </w:pPr>
            <w:r w:rsidRPr="009C7B7D">
              <w:rPr>
                <w:rFonts w:cs="Segoe UI"/>
                <w:sz w:val="16"/>
                <w:szCs w:val="16"/>
                <w:lang w:eastAsia="en-GB"/>
              </w:rPr>
              <w:t>Eligible covered bond exposures</w:t>
            </w:r>
          </w:p>
        </w:tc>
        <w:tc>
          <w:tcPr>
            <w:tcW w:w="1807" w:type="dxa"/>
            <w:tcBorders>
              <w:left w:val="single" w:sz="4" w:space="0" w:color="auto"/>
              <w:right w:val="single" w:sz="4" w:space="0" w:color="auto"/>
            </w:tcBorders>
          </w:tcPr>
          <w:p w14:paraId="3F52A4D9" w14:textId="77777777" w:rsidR="001929CC" w:rsidRDefault="001929CC" w:rsidP="001929CC">
            <w:pPr>
              <w:pStyle w:val="TableText"/>
              <w:snapToGrid w:val="0"/>
              <w:rPr>
                <w:lang w:eastAsia="en-GB"/>
              </w:rPr>
            </w:pPr>
          </w:p>
        </w:tc>
        <w:tc>
          <w:tcPr>
            <w:tcW w:w="1807" w:type="dxa"/>
            <w:tcBorders>
              <w:left w:val="single" w:sz="4" w:space="0" w:color="auto"/>
              <w:right w:val="single" w:sz="4" w:space="0" w:color="auto"/>
            </w:tcBorders>
          </w:tcPr>
          <w:p w14:paraId="608ADFF0" w14:textId="77777777" w:rsidR="001929CC" w:rsidRDefault="001929CC" w:rsidP="001929CC">
            <w:pPr>
              <w:pStyle w:val="TableText"/>
              <w:snapToGrid w:val="0"/>
              <w:rPr>
                <w:lang w:eastAsia="en-GB"/>
              </w:rPr>
            </w:pPr>
          </w:p>
        </w:tc>
        <w:tc>
          <w:tcPr>
            <w:tcW w:w="1807" w:type="dxa"/>
            <w:tcBorders>
              <w:left w:val="single" w:sz="4" w:space="0" w:color="auto"/>
              <w:right w:val="single" w:sz="4" w:space="0" w:color="auto"/>
            </w:tcBorders>
          </w:tcPr>
          <w:p w14:paraId="4ABDE27D" w14:textId="77777777" w:rsidR="001929CC" w:rsidRDefault="001929CC" w:rsidP="001929CC">
            <w:pPr>
              <w:pStyle w:val="TableText"/>
              <w:snapToGrid w:val="0"/>
              <w:rPr>
                <w:lang w:eastAsia="en-GB"/>
              </w:rPr>
            </w:pPr>
          </w:p>
        </w:tc>
        <w:tc>
          <w:tcPr>
            <w:tcW w:w="1808" w:type="dxa"/>
            <w:tcBorders>
              <w:left w:val="single" w:sz="4" w:space="0" w:color="auto"/>
              <w:right w:val="single" w:sz="4" w:space="0" w:color="auto"/>
            </w:tcBorders>
          </w:tcPr>
          <w:p w14:paraId="71A6A941" w14:textId="77777777" w:rsidR="001929CC" w:rsidRDefault="001929CC" w:rsidP="001929CC">
            <w:pPr>
              <w:pStyle w:val="TableText"/>
              <w:snapToGrid w:val="0"/>
              <w:rPr>
                <w:lang w:eastAsia="en-GB"/>
              </w:rPr>
            </w:pPr>
          </w:p>
        </w:tc>
        <w:tc>
          <w:tcPr>
            <w:tcW w:w="1417" w:type="dxa"/>
            <w:tcBorders>
              <w:left w:val="single" w:sz="4" w:space="0" w:color="auto"/>
              <w:right w:val="single" w:sz="4" w:space="0" w:color="auto"/>
            </w:tcBorders>
          </w:tcPr>
          <w:p w14:paraId="21B80645" w14:textId="77777777" w:rsidR="001929CC" w:rsidRDefault="001929CC" w:rsidP="001929CC">
            <w:pPr>
              <w:pStyle w:val="TableText"/>
              <w:snapToGrid w:val="0"/>
              <w:rPr>
                <w:lang w:eastAsia="en-GB"/>
              </w:rPr>
            </w:pPr>
          </w:p>
        </w:tc>
        <w:tc>
          <w:tcPr>
            <w:tcW w:w="1418" w:type="dxa"/>
            <w:tcBorders>
              <w:left w:val="single" w:sz="4" w:space="0" w:color="auto"/>
              <w:right w:val="single" w:sz="4" w:space="0" w:color="auto"/>
            </w:tcBorders>
          </w:tcPr>
          <w:p w14:paraId="2BD54F06" w14:textId="77777777" w:rsidR="001929CC" w:rsidRDefault="001929CC" w:rsidP="001929CC">
            <w:pPr>
              <w:pStyle w:val="TableText"/>
              <w:snapToGrid w:val="0"/>
              <w:rPr>
                <w:lang w:eastAsia="en-GB"/>
              </w:rPr>
            </w:pPr>
          </w:p>
        </w:tc>
      </w:tr>
      <w:tr w:rsidR="00A13869" w14:paraId="1B77BAD8" w14:textId="77777777" w:rsidTr="001929CC">
        <w:trPr>
          <w:cantSplit/>
          <w:trHeight w:val="283"/>
        </w:trPr>
        <w:tc>
          <w:tcPr>
            <w:tcW w:w="567" w:type="dxa"/>
            <w:tcBorders>
              <w:left w:val="nil"/>
              <w:right w:val="single" w:sz="4" w:space="0" w:color="auto"/>
            </w:tcBorders>
          </w:tcPr>
          <w:p w14:paraId="4C35A836" w14:textId="77777777" w:rsidR="00A13869" w:rsidRPr="009C7B7D" w:rsidDel="00FE675E" w:rsidRDefault="00A13869" w:rsidP="00A13869">
            <w:pPr>
              <w:pStyle w:val="TableText"/>
              <w:snapToGrid w:val="0"/>
              <w:rPr>
                <w:rFonts w:cs="Segoe UI"/>
                <w:sz w:val="16"/>
                <w:szCs w:val="16"/>
                <w:lang w:eastAsia="en-GB"/>
              </w:rPr>
            </w:pPr>
            <w:r w:rsidRPr="009C7B7D">
              <w:rPr>
                <w:rFonts w:cs="Segoe UI"/>
                <w:sz w:val="16"/>
                <w:szCs w:val="16"/>
                <w:lang w:eastAsia="en-GB"/>
              </w:rPr>
              <w:t>7</w:t>
            </w:r>
          </w:p>
        </w:tc>
        <w:tc>
          <w:tcPr>
            <w:tcW w:w="3261" w:type="dxa"/>
            <w:tcBorders>
              <w:left w:val="nil"/>
              <w:right w:val="single" w:sz="4" w:space="0" w:color="auto"/>
            </w:tcBorders>
          </w:tcPr>
          <w:p w14:paraId="4182EB25" w14:textId="7CF7A76D" w:rsidR="00A13869" w:rsidRPr="009C7B7D" w:rsidRDefault="00A13869" w:rsidP="00A13869">
            <w:pPr>
              <w:pStyle w:val="TableText"/>
              <w:snapToGrid w:val="0"/>
              <w:rPr>
                <w:rFonts w:cs="Segoe UI"/>
                <w:sz w:val="16"/>
                <w:szCs w:val="16"/>
                <w:lang w:eastAsia="en-GB"/>
              </w:rPr>
            </w:pPr>
            <w:r>
              <w:rPr>
                <w:rFonts w:cs="Segoe UI"/>
                <w:sz w:val="16"/>
                <w:szCs w:val="16"/>
                <w:lang w:eastAsia="en-GB"/>
              </w:rPr>
              <w:t>Exposures arising from IPO financing</w:t>
            </w:r>
            <w:r w:rsidRPr="005B097B">
              <w:rPr>
                <w:rFonts w:ascii="CIDFont+F1" w:eastAsia="CIDFont+F1" w:hAnsi="Calibri" w:cs="CIDFont+F1"/>
                <w:color w:val="B6082E"/>
                <w:sz w:val="16"/>
                <w:szCs w:val="16"/>
                <w:lang w:eastAsia="zh-CN"/>
              </w:rPr>
              <w:t xml:space="preserve"> </w:t>
            </w:r>
          </w:p>
        </w:tc>
        <w:tc>
          <w:tcPr>
            <w:tcW w:w="1807" w:type="dxa"/>
            <w:tcBorders>
              <w:left w:val="single" w:sz="4" w:space="0" w:color="auto"/>
              <w:right w:val="single" w:sz="4" w:space="0" w:color="auto"/>
            </w:tcBorders>
          </w:tcPr>
          <w:p w14:paraId="5683C7E0"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1897C9A0"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121EAC29" w14:textId="77777777" w:rsidR="00A13869" w:rsidRDefault="00A13869" w:rsidP="00A13869">
            <w:pPr>
              <w:pStyle w:val="TableText"/>
              <w:snapToGrid w:val="0"/>
              <w:rPr>
                <w:lang w:eastAsia="en-GB"/>
              </w:rPr>
            </w:pPr>
          </w:p>
        </w:tc>
        <w:tc>
          <w:tcPr>
            <w:tcW w:w="1808" w:type="dxa"/>
            <w:tcBorders>
              <w:left w:val="single" w:sz="4" w:space="0" w:color="auto"/>
              <w:right w:val="single" w:sz="4" w:space="0" w:color="auto"/>
            </w:tcBorders>
          </w:tcPr>
          <w:p w14:paraId="3DBF5ABD" w14:textId="77777777" w:rsidR="00A13869" w:rsidRDefault="00A13869" w:rsidP="00A13869">
            <w:pPr>
              <w:pStyle w:val="TableText"/>
              <w:snapToGrid w:val="0"/>
              <w:rPr>
                <w:lang w:eastAsia="en-GB"/>
              </w:rPr>
            </w:pPr>
          </w:p>
        </w:tc>
        <w:tc>
          <w:tcPr>
            <w:tcW w:w="1417" w:type="dxa"/>
            <w:tcBorders>
              <w:left w:val="single" w:sz="4" w:space="0" w:color="auto"/>
              <w:right w:val="single" w:sz="4" w:space="0" w:color="auto"/>
            </w:tcBorders>
          </w:tcPr>
          <w:p w14:paraId="7108E730" w14:textId="77777777" w:rsidR="00A13869" w:rsidRDefault="00A13869" w:rsidP="00A13869">
            <w:pPr>
              <w:pStyle w:val="TableText"/>
              <w:snapToGrid w:val="0"/>
              <w:rPr>
                <w:lang w:eastAsia="en-GB"/>
              </w:rPr>
            </w:pPr>
          </w:p>
        </w:tc>
        <w:tc>
          <w:tcPr>
            <w:tcW w:w="1418" w:type="dxa"/>
            <w:tcBorders>
              <w:left w:val="single" w:sz="4" w:space="0" w:color="auto"/>
              <w:right w:val="single" w:sz="4" w:space="0" w:color="auto"/>
            </w:tcBorders>
          </w:tcPr>
          <w:p w14:paraId="7D9A172B" w14:textId="77777777" w:rsidR="00A13869" w:rsidRDefault="00A13869" w:rsidP="00A13869">
            <w:pPr>
              <w:pStyle w:val="TableText"/>
              <w:snapToGrid w:val="0"/>
              <w:rPr>
                <w:lang w:eastAsia="en-GB"/>
              </w:rPr>
            </w:pPr>
          </w:p>
        </w:tc>
      </w:tr>
      <w:tr w:rsidR="00A13869" w14:paraId="19D8D368" w14:textId="77777777" w:rsidTr="001929CC">
        <w:trPr>
          <w:cantSplit/>
          <w:trHeight w:val="283"/>
        </w:trPr>
        <w:tc>
          <w:tcPr>
            <w:tcW w:w="567" w:type="dxa"/>
            <w:tcBorders>
              <w:left w:val="nil"/>
              <w:right w:val="single" w:sz="4" w:space="0" w:color="auto"/>
            </w:tcBorders>
          </w:tcPr>
          <w:p w14:paraId="5B47AB70" w14:textId="77777777" w:rsidR="00A13869" w:rsidRPr="009C7B7D" w:rsidDel="00FE675E" w:rsidRDefault="00A13869" w:rsidP="00A13869">
            <w:pPr>
              <w:pStyle w:val="TableText"/>
              <w:snapToGrid w:val="0"/>
              <w:rPr>
                <w:rFonts w:cs="Segoe UI"/>
                <w:sz w:val="16"/>
                <w:szCs w:val="16"/>
                <w:lang w:eastAsia="en-GB"/>
              </w:rPr>
            </w:pPr>
            <w:r w:rsidRPr="009C7B7D">
              <w:rPr>
                <w:rFonts w:cs="Segoe UI"/>
                <w:sz w:val="16"/>
                <w:szCs w:val="16"/>
                <w:lang w:eastAsia="en-GB"/>
              </w:rPr>
              <w:t>8</w:t>
            </w:r>
          </w:p>
        </w:tc>
        <w:tc>
          <w:tcPr>
            <w:tcW w:w="3261" w:type="dxa"/>
            <w:tcBorders>
              <w:left w:val="nil"/>
              <w:right w:val="single" w:sz="4" w:space="0" w:color="auto"/>
            </w:tcBorders>
          </w:tcPr>
          <w:p w14:paraId="6788BFA7" w14:textId="77777777" w:rsidR="00A13869" w:rsidRPr="009C7B7D" w:rsidRDefault="00A13869" w:rsidP="00A13869">
            <w:pPr>
              <w:pStyle w:val="TableText"/>
              <w:snapToGrid w:val="0"/>
              <w:rPr>
                <w:rFonts w:cs="Segoe UI"/>
                <w:sz w:val="16"/>
                <w:szCs w:val="16"/>
                <w:lang w:eastAsia="en-GB"/>
              </w:rPr>
            </w:pPr>
            <w:r w:rsidRPr="009C7B7D">
              <w:rPr>
                <w:sz w:val="16"/>
                <w:szCs w:val="16"/>
              </w:rPr>
              <w:t>Real estate exposures</w:t>
            </w:r>
          </w:p>
        </w:tc>
        <w:tc>
          <w:tcPr>
            <w:tcW w:w="1807" w:type="dxa"/>
            <w:tcBorders>
              <w:left w:val="single" w:sz="4" w:space="0" w:color="auto"/>
              <w:right w:val="single" w:sz="4" w:space="0" w:color="auto"/>
            </w:tcBorders>
          </w:tcPr>
          <w:p w14:paraId="042D4CF4"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58EDD39A"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36DBA62B" w14:textId="77777777" w:rsidR="00A13869" w:rsidRDefault="00A13869" w:rsidP="00A13869">
            <w:pPr>
              <w:pStyle w:val="TableText"/>
              <w:snapToGrid w:val="0"/>
              <w:rPr>
                <w:lang w:eastAsia="en-GB"/>
              </w:rPr>
            </w:pPr>
          </w:p>
        </w:tc>
        <w:tc>
          <w:tcPr>
            <w:tcW w:w="1808" w:type="dxa"/>
            <w:tcBorders>
              <w:left w:val="single" w:sz="4" w:space="0" w:color="auto"/>
              <w:right w:val="single" w:sz="4" w:space="0" w:color="auto"/>
            </w:tcBorders>
          </w:tcPr>
          <w:p w14:paraId="238296B1" w14:textId="77777777" w:rsidR="00A13869" w:rsidRDefault="00A13869" w:rsidP="00A13869">
            <w:pPr>
              <w:pStyle w:val="TableText"/>
              <w:snapToGrid w:val="0"/>
              <w:rPr>
                <w:lang w:eastAsia="en-GB"/>
              </w:rPr>
            </w:pPr>
          </w:p>
        </w:tc>
        <w:tc>
          <w:tcPr>
            <w:tcW w:w="1417" w:type="dxa"/>
            <w:tcBorders>
              <w:left w:val="single" w:sz="4" w:space="0" w:color="auto"/>
              <w:right w:val="single" w:sz="4" w:space="0" w:color="auto"/>
            </w:tcBorders>
          </w:tcPr>
          <w:p w14:paraId="63DBBA52" w14:textId="77777777" w:rsidR="00A13869" w:rsidRDefault="00A13869" w:rsidP="00A13869">
            <w:pPr>
              <w:pStyle w:val="TableText"/>
              <w:snapToGrid w:val="0"/>
              <w:rPr>
                <w:lang w:eastAsia="en-GB"/>
              </w:rPr>
            </w:pPr>
          </w:p>
        </w:tc>
        <w:tc>
          <w:tcPr>
            <w:tcW w:w="1418" w:type="dxa"/>
            <w:tcBorders>
              <w:left w:val="single" w:sz="4" w:space="0" w:color="auto"/>
              <w:right w:val="single" w:sz="4" w:space="0" w:color="auto"/>
            </w:tcBorders>
          </w:tcPr>
          <w:p w14:paraId="7F87DA90" w14:textId="77777777" w:rsidR="00A13869" w:rsidRDefault="00A13869" w:rsidP="00A13869">
            <w:pPr>
              <w:pStyle w:val="TableText"/>
              <w:snapToGrid w:val="0"/>
              <w:rPr>
                <w:lang w:eastAsia="en-GB"/>
              </w:rPr>
            </w:pPr>
          </w:p>
        </w:tc>
      </w:tr>
      <w:tr w:rsidR="00A13869" w14:paraId="49F22D9B" w14:textId="77777777" w:rsidTr="001929CC">
        <w:trPr>
          <w:cantSplit/>
          <w:trHeight w:val="283"/>
        </w:trPr>
        <w:tc>
          <w:tcPr>
            <w:tcW w:w="567" w:type="dxa"/>
            <w:tcBorders>
              <w:left w:val="nil"/>
              <w:right w:val="single" w:sz="4" w:space="0" w:color="auto"/>
            </w:tcBorders>
          </w:tcPr>
          <w:p w14:paraId="2E32F175" w14:textId="77777777" w:rsidR="00A13869" w:rsidRPr="009C7B7D" w:rsidDel="00FE675E" w:rsidRDefault="00A13869" w:rsidP="00A13869">
            <w:pPr>
              <w:pStyle w:val="TableText"/>
              <w:snapToGrid w:val="0"/>
              <w:rPr>
                <w:rFonts w:cs="Segoe UI"/>
                <w:sz w:val="16"/>
                <w:szCs w:val="16"/>
                <w:lang w:eastAsia="en-GB"/>
              </w:rPr>
            </w:pPr>
            <w:r w:rsidRPr="009C7B7D">
              <w:rPr>
                <w:rFonts w:cs="Segoe UI"/>
                <w:sz w:val="16"/>
                <w:szCs w:val="16"/>
                <w:lang w:eastAsia="en-GB"/>
              </w:rPr>
              <w:t>8a</w:t>
            </w:r>
          </w:p>
        </w:tc>
        <w:tc>
          <w:tcPr>
            <w:tcW w:w="3261" w:type="dxa"/>
            <w:tcBorders>
              <w:left w:val="nil"/>
              <w:right w:val="single" w:sz="4" w:space="0" w:color="auto"/>
            </w:tcBorders>
          </w:tcPr>
          <w:p w14:paraId="7365E394" w14:textId="77777777" w:rsidR="00A13869" w:rsidRPr="009C7B7D" w:rsidRDefault="00A13869" w:rsidP="00A13869">
            <w:pPr>
              <w:pStyle w:val="TableText"/>
              <w:snapToGrid w:val="0"/>
              <w:ind w:left="175"/>
              <w:rPr>
                <w:rFonts w:cs="Segoe UI"/>
                <w:sz w:val="16"/>
                <w:szCs w:val="16"/>
                <w:lang w:eastAsia="en-GB"/>
              </w:rPr>
            </w:pPr>
            <w:r w:rsidRPr="009C7B7D">
              <w:rPr>
                <w:sz w:val="16"/>
                <w:szCs w:val="16"/>
              </w:rPr>
              <w:t>Of which: regulatory residential real estate exposures (not materially dependent on cash flows generated by mortgaged properties)</w:t>
            </w:r>
          </w:p>
        </w:tc>
        <w:tc>
          <w:tcPr>
            <w:tcW w:w="1807" w:type="dxa"/>
            <w:tcBorders>
              <w:left w:val="single" w:sz="4" w:space="0" w:color="auto"/>
              <w:right w:val="single" w:sz="4" w:space="0" w:color="auto"/>
            </w:tcBorders>
          </w:tcPr>
          <w:p w14:paraId="26D888F2"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5C0A8035"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19E5585C" w14:textId="77777777" w:rsidR="00A13869" w:rsidRDefault="00A13869" w:rsidP="00A13869">
            <w:pPr>
              <w:pStyle w:val="TableText"/>
              <w:snapToGrid w:val="0"/>
              <w:rPr>
                <w:lang w:eastAsia="en-GB"/>
              </w:rPr>
            </w:pPr>
          </w:p>
        </w:tc>
        <w:tc>
          <w:tcPr>
            <w:tcW w:w="1808" w:type="dxa"/>
            <w:tcBorders>
              <w:left w:val="single" w:sz="4" w:space="0" w:color="auto"/>
              <w:right w:val="single" w:sz="4" w:space="0" w:color="auto"/>
            </w:tcBorders>
          </w:tcPr>
          <w:p w14:paraId="0E7B7281" w14:textId="77777777" w:rsidR="00A13869" w:rsidRDefault="00A13869" w:rsidP="00A13869">
            <w:pPr>
              <w:pStyle w:val="TableText"/>
              <w:snapToGrid w:val="0"/>
              <w:rPr>
                <w:lang w:eastAsia="en-GB"/>
              </w:rPr>
            </w:pPr>
          </w:p>
        </w:tc>
        <w:tc>
          <w:tcPr>
            <w:tcW w:w="1417" w:type="dxa"/>
            <w:tcBorders>
              <w:left w:val="single" w:sz="4" w:space="0" w:color="auto"/>
              <w:right w:val="single" w:sz="4" w:space="0" w:color="auto"/>
            </w:tcBorders>
          </w:tcPr>
          <w:p w14:paraId="30E4715E" w14:textId="77777777" w:rsidR="00A13869" w:rsidRDefault="00A13869" w:rsidP="00A13869">
            <w:pPr>
              <w:pStyle w:val="TableText"/>
              <w:snapToGrid w:val="0"/>
              <w:rPr>
                <w:lang w:eastAsia="en-GB"/>
              </w:rPr>
            </w:pPr>
          </w:p>
        </w:tc>
        <w:tc>
          <w:tcPr>
            <w:tcW w:w="1418" w:type="dxa"/>
            <w:tcBorders>
              <w:left w:val="single" w:sz="4" w:space="0" w:color="auto"/>
              <w:right w:val="single" w:sz="4" w:space="0" w:color="auto"/>
            </w:tcBorders>
          </w:tcPr>
          <w:p w14:paraId="46DDE6F5" w14:textId="77777777" w:rsidR="00A13869" w:rsidRDefault="00A13869" w:rsidP="00A13869">
            <w:pPr>
              <w:pStyle w:val="TableText"/>
              <w:snapToGrid w:val="0"/>
              <w:rPr>
                <w:lang w:eastAsia="en-GB"/>
              </w:rPr>
            </w:pPr>
          </w:p>
        </w:tc>
      </w:tr>
      <w:tr w:rsidR="00A13869" w14:paraId="2AAFBCF0" w14:textId="77777777" w:rsidTr="001929CC">
        <w:trPr>
          <w:cantSplit/>
          <w:trHeight w:val="283"/>
        </w:trPr>
        <w:tc>
          <w:tcPr>
            <w:tcW w:w="567" w:type="dxa"/>
            <w:tcBorders>
              <w:left w:val="nil"/>
              <w:right w:val="single" w:sz="4" w:space="0" w:color="auto"/>
            </w:tcBorders>
          </w:tcPr>
          <w:p w14:paraId="6ACC5CA9" w14:textId="77777777" w:rsidR="00A13869" w:rsidRDefault="00A13869" w:rsidP="00A13869">
            <w:pPr>
              <w:pStyle w:val="TableText"/>
              <w:snapToGrid w:val="0"/>
              <w:rPr>
                <w:rFonts w:cs="Segoe UI"/>
                <w:sz w:val="16"/>
                <w:szCs w:val="16"/>
                <w:lang w:eastAsia="en-GB"/>
              </w:rPr>
            </w:pPr>
            <w:r>
              <w:rPr>
                <w:rFonts w:cs="Segoe UI"/>
                <w:sz w:val="16"/>
                <w:szCs w:val="16"/>
                <w:lang w:eastAsia="en-GB"/>
              </w:rPr>
              <w:t>8b</w:t>
            </w:r>
          </w:p>
        </w:tc>
        <w:tc>
          <w:tcPr>
            <w:tcW w:w="3261" w:type="dxa"/>
            <w:tcBorders>
              <w:left w:val="nil"/>
              <w:right w:val="single" w:sz="4" w:space="0" w:color="auto"/>
            </w:tcBorders>
          </w:tcPr>
          <w:p w14:paraId="3D0BB8EE" w14:textId="77777777" w:rsidR="00A13869" w:rsidRPr="00CA3D98" w:rsidRDefault="00A13869" w:rsidP="00A13869">
            <w:pPr>
              <w:pStyle w:val="TableText"/>
              <w:snapToGrid w:val="0"/>
              <w:ind w:left="175"/>
              <w:rPr>
                <w:sz w:val="16"/>
                <w:szCs w:val="16"/>
              </w:rPr>
            </w:pPr>
            <w:r w:rsidRPr="00CA3D98">
              <w:rPr>
                <w:sz w:val="16"/>
                <w:szCs w:val="16"/>
              </w:rPr>
              <w:t>Of which: regulatory residential real estate exposures (materially dependent on cash flows generated by mortgaged properties)</w:t>
            </w:r>
          </w:p>
        </w:tc>
        <w:tc>
          <w:tcPr>
            <w:tcW w:w="1807" w:type="dxa"/>
            <w:tcBorders>
              <w:left w:val="single" w:sz="4" w:space="0" w:color="auto"/>
              <w:right w:val="single" w:sz="4" w:space="0" w:color="auto"/>
            </w:tcBorders>
          </w:tcPr>
          <w:p w14:paraId="05C24DEB"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0A33E07B"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03377354" w14:textId="77777777" w:rsidR="00A13869" w:rsidRDefault="00A13869" w:rsidP="00A13869">
            <w:pPr>
              <w:pStyle w:val="TableText"/>
              <w:snapToGrid w:val="0"/>
              <w:rPr>
                <w:lang w:eastAsia="en-GB"/>
              </w:rPr>
            </w:pPr>
          </w:p>
        </w:tc>
        <w:tc>
          <w:tcPr>
            <w:tcW w:w="1808" w:type="dxa"/>
            <w:tcBorders>
              <w:left w:val="single" w:sz="4" w:space="0" w:color="auto"/>
              <w:right w:val="single" w:sz="4" w:space="0" w:color="auto"/>
            </w:tcBorders>
          </w:tcPr>
          <w:p w14:paraId="01500A2D" w14:textId="77777777" w:rsidR="00A13869" w:rsidRDefault="00A13869" w:rsidP="00A13869">
            <w:pPr>
              <w:pStyle w:val="TableText"/>
              <w:snapToGrid w:val="0"/>
              <w:rPr>
                <w:lang w:eastAsia="en-GB"/>
              </w:rPr>
            </w:pPr>
          </w:p>
        </w:tc>
        <w:tc>
          <w:tcPr>
            <w:tcW w:w="1417" w:type="dxa"/>
            <w:tcBorders>
              <w:left w:val="single" w:sz="4" w:space="0" w:color="auto"/>
              <w:right w:val="single" w:sz="4" w:space="0" w:color="auto"/>
            </w:tcBorders>
          </w:tcPr>
          <w:p w14:paraId="76A31DB7" w14:textId="77777777" w:rsidR="00A13869" w:rsidRDefault="00A13869" w:rsidP="00A13869">
            <w:pPr>
              <w:pStyle w:val="TableText"/>
              <w:snapToGrid w:val="0"/>
              <w:rPr>
                <w:lang w:eastAsia="en-GB"/>
              </w:rPr>
            </w:pPr>
          </w:p>
        </w:tc>
        <w:tc>
          <w:tcPr>
            <w:tcW w:w="1418" w:type="dxa"/>
            <w:tcBorders>
              <w:left w:val="single" w:sz="4" w:space="0" w:color="auto"/>
              <w:right w:val="single" w:sz="4" w:space="0" w:color="auto"/>
            </w:tcBorders>
          </w:tcPr>
          <w:p w14:paraId="6AB7DD3F" w14:textId="77777777" w:rsidR="00A13869" w:rsidRDefault="00A13869" w:rsidP="00A13869">
            <w:pPr>
              <w:pStyle w:val="TableText"/>
              <w:snapToGrid w:val="0"/>
              <w:rPr>
                <w:lang w:eastAsia="en-GB"/>
              </w:rPr>
            </w:pPr>
          </w:p>
        </w:tc>
      </w:tr>
      <w:tr w:rsidR="00A13869" w14:paraId="5FFF0055" w14:textId="77777777" w:rsidTr="001929CC">
        <w:trPr>
          <w:cantSplit/>
          <w:trHeight w:val="283"/>
        </w:trPr>
        <w:tc>
          <w:tcPr>
            <w:tcW w:w="567" w:type="dxa"/>
            <w:tcBorders>
              <w:left w:val="nil"/>
              <w:right w:val="single" w:sz="4" w:space="0" w:color="auto"/>
            </w:tcBorders>
          </w:tcPr>
          <w:p w14:paraId="32F0111D" w14:textId="77777777" w:rsidR="00A13869" w:rsidDel="00FE675E" w:rsidRDefault="00A13869" w:rsidP="00A13869">
            <w:pPr>
              <w:pStyle w:val="TableText"/>
              <w:snapToGrid w:val="0"/>
              <w:rPr>
                <w:rFonts w:cs="Segoe UI"/>
                <w:sz w:val="16"/>
                <w:szCs w:val="16"/>
                <w:lang w:eastAsia="en-GB"/>
              </w:rPr>
            </w:pPr>
            <w:r>
              <w:rPr>
                <w:rFonts w:cs="Segoe UI"/>
                <w:sz w:val="16"/>
                <w:szCs w:val="16"/>
                <w:lang w:eastAsia="en-GB"/>
              </w:rPr>
              <w:t>8c</w:t>
            </w:r>
          </w:p>
        </w:tc>
        <w:tc>
          <w:tcPr>
            <w:tcW w:w="3261" w:type="dxa"/>
            <w:tcBorders>
              <w:left w:val="nil"/>
              <w:right w:val="single" w:sz="4" w:space="0" w:color="auto"/>
            </w:tcBorders>
          </w:tcPr>
          <w:p w14:paraId="3ECD5BC7" w14:textId="77777777" w:rsidR="00A13869" w:rsidRPr="00C651F4" w:rsidRDefault="00A13869" w:rsidP="00A13869">
            <w:pPr>
              <w:pStyle w:val="TableText"/>
              <w:snapToGrid w:val="0"/>
              <w:ind w:left="175"/>
              <w:rPr>
                <w:rFonts w:cs="Segoe UI"/>
                <w:sz w:val="16"/>
                <w:szCs w:val="16"/>
                <w:lang w:eastAsia="en-GB"/>
              </w:rPr>
            </w:pPr>
            <w:r w:rsidRPr="00CA3D98">
              <w:rPr>
                <w:sz w:val="16"/>
                <w:szCs w:val="16"/>
              </w:rPr>
              <w:t>Of which: other real estate exposures</w:t>
            </w:r>
          </w:p>
        </w:tc>
        <w:tc>
          <w:tcPr>
            <w:tcW w:w="1807" w:type="dxa"/>
            <w:tcBorders>
              <w:left w:val="single" w:sz="4" w:space="0" w:color="auto"/>
              <w:right w:val="single" w:sz="4" w:space="0" w:color="auto"/>
            </w:tcBorders>
          </w:tcPr>
          <w:p w14:paraId="6746BDC1"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1FEA7480"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00840EBF" w14:textId="77777777" w:rsidR="00A13869" w:rsidRDefault="00A13869" w:rsidP="00A13869">
            <w:pPr>
              <w:pStyle w:val="TableText"/>
              <w:snapToGrid w:val="0"/>
              <w:rPr>
                <w:lang w:eastAsia="en-GB"/>
              </w:rPr>
            </w:pPr>
          </w:p>
        </w:tc>
        <w:tc>
          <w:tcPr>
            <w:tcW w:w="1808" w:type="dxa"/>
            <w:tcBorders>
              <w:left w:val="single" w:sz="4" w:space="0" w:color="auto"/>
              <w:right w:val="single" w:sz="4" w:space="0" w:color="auto"/>
            </w:tcBorders>
          </w:tcPr>
          <w:p w14:paraId="65366A5C" w14:textId="77777777" w:rsidR="00A13869" w:rsidRDefault="00A13869" w:rsidP="00A13869">
            <w:pPr>
              <w:pStyle w:val="TableText"/>
              <w:snapToGrid w:val="0"/>
              <w:rPr>
                <w:lang w:eastAsia="en-GB"/>
              </w:rPr>
            </w:pPr>
          </w:p>
        </w:tc>
        <w:tc>
          <w:tcPr>
            <w:tcW w:w="1417" w:type="dxa"/>
            <w:tcBorders>
              <w:left w:val="single" w:sz="4" w:space="0" w:color="auto"/>
              <w:right w:val="single" w:sz="4" w:space="0" w:color="auto"/>
            </w:tcBorders>
          </w:tcPr>
          <w:p w14:paraId="739B355E" w14:textId="77777777" w:rsidR="00A13869" w:rsidRDefault="00A13869" w:rsidP="00A13869">
            <w:pPr>
              <w:pStyle w:val="TableText"/>
              <w:snapToGrid w:val="0"/>
              <w:rPr>
                <w:lang w:eastAsia="en-GB"/>
              </w:rPr>
            </w:pPr>
          </w:p>
        </w:tc>
        <w:tc>
          <w:tcPr>
            <w:tcW w:w="1418" w:type="dxa"/>
            <w:tcBorders>
              <w:left w:val="single" w:sz="4" w:space="0" w:color="auto"/>
              <w:right w:val="single" w:sz="4" w:space="0" w:color="auto"/>
            </w:tcBorders>
          </w:tcPr>
          <w:p w14:paraId="245B5CAC" w14:textId="77777777" w:rsidR="00A13869" w:rsidRDefault="00A13869" w:rsidP="00A13869">
            <w:pPr>
              <w:pStyle w:val="TableText"/>
              <w:snapToGrid w:val="0"/>
              <w:rPr>
                <w:lang w:eastAsia="en-GB"/>
              </w:rPr>
            </w:pPr>
          </w:p>
        </w:tc>
      </w:tr>
      <w:tr w:rsidR="00A13869" w14:paraId="5E56FCB5" w14:textId="77777777" w:rsidTr="001929CC">
        <w:trPr>
          <w:cantSplit/>
          <w:trHeight w:val="283"/>
        </w:trPr>
        <w:tc>
          <w:tcPr>
            <w:tcW w:w="567" w:type="dxa"/>
            <w:tcBorders>
              <w:left w:val="nil"/>
              <w:right w:val="single" w:sz="4" w:space="0" w:color="auto"/>
            </w:tcBorders>
          </w:tcPr>
          <w:p w14:paraId="54BCB284" w14:textId="77777777" w:rsidR="00A13869" w:rsidDel="00FE675E" w:rsidRDefault="00A13869" w:rsidP="00A13869">
            <w:pPr>
              <w:pStyle w:val="TableText"/>
              <w:snapToGrid w:val="0"/>
              <w:rPr>
                <w:rFonts w:cs="Segoe UI"/>
                <w:sz w:val="16"/>
                <w:szCs w:val="16"/>
                <w:lang w:eastAsia="en-GB"/>
              </w:rPr>
            </w:pPr>
            <w:r>
              <w:rPr>
                <w:rFonts w:cs="Segoe UI"/>
                <w:sz w:val="16"/>
                <w:szCs w:val="16"/>
                <w:lang w:eastAsia="en-GB"/>
              </w:rPr>
              <w:t>9</w:t>
            </w:r>
          </w:p>
        </w:tc>
        <w:tc>
          <w:tcPr>
            <w:tcW w:w="3261" w:type="dxa"/>
            <w:tcBorders>
              <w:left w:val="nil"/>
              <w:right w:val="single" w:sz="4" w:space="0" w:color="auto"/>
            </w:tcBorders>
          </w:tcPr>
          <w:p w14:paraId="66195289" w14:textId="77777777" w:rsidR="00A13869" w:rsidRPr="00C651F4" w:rsidRDefault="00A13869" w:rsidP="00A13869">
            <w:pPr>
              <w:pStyle w:val="TableText"/>
              <w:snapToGrid w:val="0"/>
              <w:rPr>
                <w:rFonts w:cs="Segoe UI"/>
                <w:sz w:val="16"/>
                <w:szCs w:val="16"/>
                <w:lang w:eastAsia="en-GB"/>
              </w:rPr>
            </w:pPr>
            <w:r w:rsidRPr="00CA3D98">
              <w:rPr>
                <w:sz w:val="16"/>
                <w:szCs w:val="16"/>
              </w:rPr>
              <w:t>Equity exposures</w:t>
            </w:r>
          </w:p>
        </w:tc>
        <w:tc>
          <w:tcPr>
            <w:tcW w:w="1807" w:type="dxa"/>
            <w:tcBorders>
              <w:left w:val="single" w:sz="4" w:space="0" w:color="auto"/>
              <w:right w:val="single" w:sz="4" w:space="0" w:color="auto"/>
            </w:tcBorders>
          </w:tcPr>
          <w:p w14:paraId="748030C7"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74DC286B"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3D0780E4" w14:textId="77777777" w:rsidR="00A13869" w:rsidRDefault="00A13869" w:rsidP="00A13869">
            <w:pPr>
              <w:pStyle w:val="TableText"/>
              <w:snapToGrid w:val="0"/>
              <w:rPr>
                <w:lang w:eastAsia="en-GB"/>
              </w:rPr>
            </w:pPr>
          </w:p>
        </w:tc>
        <w:tc>
          <w:tcPr>
            <w:tcW w:w="1808" w:type="dxa"/>
            <w:tcBorders>
              <w:left w:val="single" w:sz="4" w:space="0" w:color="auto"/>
              <w:right w:val="single" w:sz="4" w:space="0" w:color="auto"/>
            </w:tcBorders>
          </w:tcPr>
          <w:p w14:paraId="63E87395" w14:textId="77777777" w:rsidR="00A13869" w:rsidRDefault="00A13869" w:rsidP="00A13869">
            <w:pPr>
              <w:pStyle w:val="TableText"/>
              <w:snapToGrid w:val="0"/>
              <w:rPr>
                <w:lang w:eastAsia="en-GB"/>
              </w:rPr>
            </w:pPr>
          </w:p>
        </w:tc>
        <w:tc>
          <w:tcPr>
            <w:tcW w:w="1417" w:type="dxa"/>
            <w:tcBorders>
              <w:left w:val="single" w:sz="4" w:space="0" w:color="auto"/>
              <w:right w:val="single" w:sz="4" w:space="0" w:color="auto"/>
            </w:tcBorders>
          </w:tcPr>
          <w:p w14:paraId="67A70347" w14:textId="77777777" w:rsidR="00A13869" w:rsidRDefault="00A13869" w:rsidP="00A13869">
            <w:pPr>
              <w:pStyle w:val="TableText"/>
              <w:snapToGrid w:val="0"/>
              <w:rPr>
                <w:lang w:eastAsia="en-GB"/>
              </w:rPr>
            </w:pPr>
          </w:p>
        </w:tc>
        <w:tc>
          <w:tcPr>
            <w:tcW w:w="1418" w:type="dxa"/>
            <w:tcBorders>
              <w:left w:val="single" w:sz="4" w:space="0" w:color="auto"/>
              <w:right w:val="single" w:sz="4" w:space="0" w:color="auto"/>
            </w:tcBorders>
          </w:tcPr>
          <w:p w14:paraId="0D35A711" w14:textId="77777777" w:rsidR="00A13869" w:rsidRDefault="00A13869" w:rsidP="00A13869">
            <w:pPr>
              <w:pStyle w:val="TableText"/>
              <w:snapToGrid w:val="0"/>
              <w:rPr>
                <w:lang w:eastAsia="en-GB"/>
              </w:rPr>
            </w:pPr>
          </w:p>
        </w:tc>
      </w:tr>
      <w:tr w:rsidR="00A13869" w14:paraId="5D3A8ECB" w14:textId="77777777" w:rsidTr="001929CC">
        <w:trPr>
          <w:cantSplit/>
          <w:trHeight w:val="283"/>
        </w:trPr>
        <w:tc>
          <w:tcPr>
            <w:tcW w:w="567" w:type="dxa"/>
            <w:tcBorders>
              <w:left w:val="nil"/>
              <w:right w:val="single" w:sz="4" w:space="0" w:color="auto"/>
            </w:tcBorders>
          </w:tcPr>
          <w:p w14:paraId="4A299B2C" w14:textId="77777777" w:rsidR="00A13869" w:rsidRPr="009C7B7D" w:rsidDel="00FE675E" w:rsidRDefault="00A13869" w:rsidP="00A13869">
            <w:pPr>
              <w:pStyle w:val="TableText"/>
              <w:snapToGrid w:val="0"/>
              <w:rPr>
                <w:rFonts w:cs="Segoe UI"/>
                <w:sz w:val="16"/>
                <w:szCs w:val="16"/>
                <w:lang w:eastAsia="en-GB"/>
              </w:rPr>
            </w:pPr>
            <w:r w:rsidRPr="009C7B7D">
              <w:rPr>
                <w:rFonts w:cs="Segoe UI"/>
                <w:sz w:val="16"/>
                <w:szCs w:val="16"/>
                <w:lang w:eastAsia="en-GB"/>
              </w:rPr>
              <w:t>10</w:t>
            </w:r>
          </w:p>
        </w:tc>
        <w:tc>
          <w:tcPr>
            <w:tcW w:w="3261" w:type="dxa"/>
            <w:tcBorders>
              <w:left w:val="nil"/>
              <w:right w:val="single" w:sz="4" w:space="0" w:color="auto"/>
            </w:tcBorders>
            <w:shd w:val="clear" w:color="auto" w:fill="auto"/>
          </w:tcPr>
          <w:p w14:paraId="3932C4A5" w14:textId="77777777" w:rsidR="00A13869" w:rsidRPr="009C7B7D" w:rsidRDefault="00A13869" w:rsidP="00A13869">
            <w:pPr>
              <w:pStyle w:val="TableText"/>
              <w:snapToGrid w:val="0"/>
              <w:rPr>
                <w:rFonts w:cs="Segoe UI"/>
                <w:sz w:val="16"/>
                <w:szCs w:val="16"/>
                <w:lang w:eastAsia="en-GB"/>
              </w:rPr>
            </w:pPr>
            <w:r w:rsidRPr="009C7B7D">
              <w:rPr>
                <w:sz w:val="16"/>
                <w:szCs w:val="16"/>
              </w:rPr>
              <w:t>Significant capital investments in commercial entities</w:t>
            </w:r>
          </w:p>
        </w:tc>
        <w:tc>
          <w:tcPr>
            <w:tcW w:w="1807" w:type="dxa"/>
            <w:tcBorders>
              <w:left w:val="single" w:sz="4" w:space="0" w:color="auto"/>
              <w:right w:val="single" w:sz="4" w:space="0" w:color="auto"/>
            </w:tcBorders>
          </w:tcPr>
          <w:p w14:paraId="6BAEC9BA"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2B7DD1F8"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14ECD211" w14:textId="77777777" w:rsidR="00A13869" w:rsidRDefault="00A13869" w:rsidP="00A13869">
            <w:pPr>
              <w:pStyle w:val="TableText"/>
              <w:snapToGrid w:val="0"/>
              <w:rPr>
                <w:lang w:eastAsia="en-GB"/>
              </w:rPr>
            </w:pPr>
          </w:p>
        </w:tc>
        <w:tc>
          <w:tcPr>
            <w:tcW w:w="1808" w:type="dxa"/>
            <w:tcBorders>
              <w:left w:val="single" w:sz="4" w:space="0" w:color="auto"/>
              <w:right w:val="single" w:sz="4" w:space="0" w:color="auto"/>
            </w:tcBorders>
          </w:tcPr>
          <w:p w14:paraId="5C4387C7" w14:textId="77777777" w:rsidR="00A13869" w:rsidRDefault="00A13869" w:rsidP="00A13869">
            <w:pPr>
              <w:pStyle w:val="TableText"/>
              <w:snapToGrid w:val="0"/>
              <w:rPr>
                <w:lang w:eastAsia="en-GB"/>
              </w:rPr>
            </w:pPr>
          </w:p>
        </w:tc>
        <w:tc>
          <w:tcPr>
            <w:tcW w:w="1417" w:type="dxa"/>
            <w:tcBorders>
              <w:left w:val="single" w:sz="4" w:space="0" w:color="auto"/>
              <w:right w:val="single" w:sz="4" w:space="0" w:color="auto"/>
            </w:tcBorders>
          </w:tcPr>
          <w:p w14:paraId="25BCC093" w14:textId="77777777" w:rsidR="00A13869" w:rsidRDefault="00A13869" w:rsidP="00A13869">
            <w:pPr>
              <w:pStyle w:val="TableText"/>
              <w:snapToGrid w:val="0"/>
              <w:rPr>
                <w:lang w:eastAsia="en-GB"/>
              </w:rPr>
            </w:pPr>
          </w:p>
        </w:tc>
        <w:tc>
          <w:tcPr>
            <w:tcW w:w="1418" w:type="dxa"/>
            <w:tcBorders>
              <w:left w:val="single" w:sz="4" w:space="0" w:color="auto"/>
              <w:right w:val="single" w:sz="4" w:space="0" w:color="auto"/>
            </w:tcBorders>
          </w:tcPr>
          <w:p w14:paraId="553494BA" w14:textId="77777777" w:rsidR="00A13869" w:rsidRDefault="00A13869" w:rsidP="00A13869">
            <w:pPr>
              <w:pStyle w:val="TableText"/>
              <w:snapToGrid w:val="0"/>
              <w:rPr>
                <w:lang w:eastAsia="en-GB"/>
              </w:rPr>
            </w:pPr>
          </w:p>
        </w:tc>
      </w:tr>
      <w:tr w:rsidR="00A13869" w14:paraId="5FD0B575" w14:textId="77777777" w:rsidTr="001929CC">
        <w:trPr>
          <w:cantSplit/>
          <w:trHeight w:val="283"/>
        </w:trPr>
        <w:tc>
          <w:tcPr>
            <w:tcW w:w="567" w:type="dxa"/>
            <w:tcBorders>
              <w:left w:val="nil"/>
              <w:right w:val="single" w:sz="4" w:space="0" w:color="auto"/>
            </w:tcBorders>
          </w:tcPr>
          <w:p w14:paraId="2A84D8D0" w14:textId="77777777" w:rsidR="00A13869" w:rsidRPr="009C7B7D" w:rsidDel="00FE675E" w:rsidRDefault="00A13869" w:rsidP="00A13869">
            <w:pPr>
              <w:pStyle w:val="TableText"/>
              <w:snapToGrid w:val="0"/>
              <w:rPr>
                <w:rFonts w:cs="Segoe UI"/>
                <w:sz w:val="16"/>
                <w:szCs w:val="16"/>
                <w:lang w:eastAsia="en-GB"/>
              </w:rPr>
            </w:pPr>
            <w:r w:rsidRPr="009C7B7D">
              <w:rPr>
                <w:rFonts w:cs="Segoe UI"/>
                <w:sz w:val="16"/>
                <w:szCs w:val="16"/>
                <w:lang w:eastAsia="en-GB"/>
              </w:rPr>
              <w:t>11</w:t>
            </w:r>
          </w:p>
        </w:tc>
        <w:tc>
          <w:tcPr>
            <w:tcW w:w="3261" w:type="dxa"/>
            <w:tcBorders>
              <w:left w:val="nil"/>
              <w:right w:val="single" w:sz="4" w:space="0" w:color="auto"/>
            </w:tcBorders>
          </w:tcPr>
          <w:p w14:paraId="457E7FF3" w14:textId="77777777" w:rsidR="00A13869" w:rsidRPr="009C7B7D" w:rsidRDefault="00A13869" w:rsidP="00A13869">
            <w:pPr>
              <w:pStyle w:val="TableText"/>
              <w:snapToGrid w:val="0"/>
              <w:rPr>
                <w:rFonts w:cs="Segoe UI"/>
                <w:sz w:val="16"/>
                <w:szCs w:val="16"/>
                <w:lang w:eastAsia="en-GB"/>
              </w:rPr>
            </w:pPr>
            <w:r w:rsidRPr="009C7B7D">
              <w:rPr>
                <w:sz w:val="16"/>
                <w:szCs w:val="16"/>
              </w:rPr>
              <w:t>Holdings of capital instruments issued by, and non-capital LAC liabilities of, financial sector entities</w:t>
            </w:r>
          </w:p>
        </w:tc>
        <w:tc>
          <w:tcPr>
            <w:tcW w:w="1807" w:type="dxa"/>
            <w:tcBorders>
              <w:left w:val="single" w:sz="4" w:space="0" w:color="auto"/>
              <w:right w:val="single" w:sz="4" w:space="0" w:color="auto"/>
            </w:tcBorders>
          </w:tcPr>
          <w:p w14:paraId="20FF65B2"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00ED1E08"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23A5CD82" w14:textId="77777777" w:rsidR="00A13869" w:rsidRDefault="00A13869" w:rsidP="00A13869">
            <w:pPr>
              <w:pStyle w:val="TableText"/>
              <w:snapToGrid w:val="0"/>
              <w:rPr>
                <w:lang w:eastAsia="en-GB"/>
              </w:rPr>
            </w:pPr>
          </w:p>
        </w:tc>
        <w:tc>
          <w:tcPr>
            <w:tcW w:w="1808" w:type="dxa"/>
            <w:tcBorders>
              <w:left w:val="single" w:sz="4" w:space="0" w:color="auto"/>
              <w:right w:val="single" w:sz="4" w:space="0" w:color="auto"/>
            </w:tcBorders>
          </w:tcPr>
          <w:p w14:paraId="2AC9BB56" w14:textId="77777777" w:rsidR="00A13869" w:rsidRDefault="00A13869" w:rsidP="00A13869">
            <w:pPr>
              <w:pStyle w:val="TableText"/>
              <w:snapToGrid w:val="0"/>
              <w:rPr>
                <w:lang w:eastAsia="en-GB"/>
              </w:rPr>
            </w:pPr>
          </w:p>
        </w:tc>
        <w:tc>
          <w:tcPr>
            <w:tcW w:w="1417" w:type="dxa"/>
            <w:tcBorders>
              <w:left w:val="single" w:sz="4" w:space="0" w:color="auto"/>
              <w:right w:val="single" w:sz="4" w:space="0" w:color="auto"/>
            </w:tcBorders>
          </w:tcPr>
          <w:p w14:paraId="18249FAF" w14:textId="77777777" w:rsidR="00A13869" w:rsidRDefault="00A13869" w:rsidP="00A13869">
            <w:pPr>
              <w:pStyle w:val="TableText"/>
              <w:snapToGrid w:val="0"/>
              <w:rPr>
                <w:lang w:eastAsia="en-GB"/>
              </w:rPr>
            </w:pPr>
          </w:p>
        </w:tc>
        <w:tc>
          <w:tcPr>
            <w:tcW w:w="1418" w:type="dxa"/>
            <w:tcBorders>
              <w:left w:val="single" w:sz="4" w:space="0" w:color="auto"/>
              <w:right w:val="single" w:sz="4" w:space="0" w:color="auto"/>
            </w:tcBorders>
          </w:tcPr>
          <w:p w14:paraId="500EB8B4" w14:textId="77777777" w:rsidR="00A13869" w:rsidRDefault="00A13869" w:rsidP="00A13869">
            <w:pPr>
              <w:pStyle w:val="TableText"/>
              <w:snapToGrid w:val="0"/>
              <w:rPr>
                <w:lang w:eastAsia="en-GB"/>
              </w:rPr>
            </w:pPr>
          </w:p>
        </w:tc>
      </w:tr>
      <w:tr w:rsidR="00A13869" w14:paraId="209AE3DA" w14:textId="77777777" w:rsidTr="001929CC">
        <w:trPr>
          <w:cantSplit/>
          <w:trHeight w:val="283"/>
        </w:trPr>
        <w:tc>
          <w:tcPr>
            <w:tcW w:w="567" w:type="dxa"/>
            <w:tcBorders>
              <w:left w:val="nil"/>
              <w:right w:val="single" w:sz="4" w:space="0" w:color="auto"/>
            </w:tcBorders>
          </w:tcPr>
          <w:p w14:paraId="64CE266A" w14:textId="77777777" w:rsidR="00A13869" w:rsidRPr="009C7B7D" w:rsidDel="00FE675E" w:rsidRDefault="00A13869" w:rsidP="00A13869">
            <w:pPr>
              <w:pStyle w:val="TableText"/>
              <w:snapToGrid w:val="0"/>
              <w:rPr>
                <w:rFonts w:cs="Segoe UI"/>
                <w:sz w:val="16"/>
                <w:szCs w:val="16"/>
                <w:lang w:eastAsia="en-GB"/>
              </w:rPr>
            </w:pPr>
            <w:r w:rsidRPr="009C7B7D">
              <w:rPr>
                <w:rFonts w:cs="Segoe UI"/>
                <w:sz w:val="16"/>
                <w:szCs w:val="16"/>
                <w:lang w:eastAsia="en-GB"/>
              </w:rPr>
              <w:t>12</w:t>
            </w:r>
          </w:p>
        </w:tc>
        <w:tc>
          <w:tcPr>
            <w:tcW w:w="3261" w:type="dxa"/>
            <w:tcBorders>
              <w:left w:val="nil"/>
              <w:right w:val="single" w:sz="4" w:space="0" w:color="auto"/>
            </w:tcBorders>
          </w:tcPr>
          <w:p w14:paraId="53A49356" w14:textId="77777777" w:rsidR="00A13869" w:rsidRPr="009C7B7D" w:rsidRDefault="00A13869" w:rsidP="00A13869">
            <w:pPr>
              <w:pStyle w:val="TableText"/>
              <w:snapToGrid w:val="0"/>
              <w:rPr>
                <w:rFonts w:cs="Segoe UI"/>
                <w:sz w:val="16"/>
                <w:szCs w:val="16"/>
                <w:lang w:eastAsia="en-GB"/>
              </w:rPr>
            </w:pPr>
            <w:r w:rsidRPr="009C7B7D">
              <w:rPr>
                <w:sz w:val="16"/>
                <w:szCs w:val="16"/>
              </w:rPr>
              <w:t>Subordinated debts issued by banks and corporates</w:t>
            </w:r>
          </w:p>
        </w:tc>
        <w:tc>
          <w:tcPr>
            <w:tcW w:w="1807" w:type="dxa"/>
            <w:tcBorders>
              <w:left w:val="single" w:sz="4" w:space="0" w:color="auto"/>
              <w:right w:val="single" w:sz="4" w:space="0" w:color="auto"/>
            </w:tcBorders>
          </w:tcPr>
          <w:p w14:paraId="6BB53A7C"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229184A2"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439A0FBF" w14:textId="77777777" w:rsidR="00A13869" w:rsidRDefault="00A13869" w:rsidP="00A13869">
            <w:pPr>
              <w:pStyle w:val="TableText"/>
              <w:snapToGrid w:val="0"/>
              <w:rPr>
                <w:lang w:eastAsia="en-GB"/>
              </w:rPr>
            </w:pPr>
          </w:p>
        </w:tc>
        <w:tc>
          <w:tcPr>
            <w:tcW w:w="1808" w:type="dxa"/>
            <w:tcBorders>
              <w:left w:val="single" w:sz="4" w:space="0" w:color="auto"/>
              <w:right w:val="single" w:sz="4" w:space="0" w:color="auto"/>
            </w:tcBorders>
          </w:tcPr>
          <w:p w14:paraId="085AE483" w14:textId="77777777" w:rsidR="00A13869" w:rsidRDefault="00A13869" w:rsidP="00A13869">
            <w:pPr>
              <w:pStyle w:val="TableText"/>
              <w:snapToGrid w:val="0"/>
              <w:rPr>
                <w:lang w:eastAsia="en-GB"/>
              </w:rPr>
            </w:pPr>
          </w:p>
        </w:tc>
        <w:tc>
          <w:tcPr>
            <w:tcW w:w="1417" w:type="dxa"/>
            <w:tcBorders>
              <w:left w:val="single" w:sz="4" w:space="0" w:color="auto"/>
              <w:right w:val="single" w:sz="4" w:space="0" w:color="auto"/>
            </w:tcBorders>
          </w:tcPr>
          <w:p w14:paraId="21FD2C11" w14:textId="77777777" w:rsidR="00A13869" w:rsidRDefault="00A13869" w:rsidP="00A13869">
            <w:pPr>
              <w:pStyle w:val="TableText"/>
              <w:snapToGrid w:val="0"/>
              <w:rPr>
                <w:lang w:eastAsia="en-GB"/>
              </w:rPr>
            </w:pPr>
          </w:p>
        </w:tc>
        <w:tc>
          <w:tcPr>
            <w:tcW w:w="1418" w:type="dxa"/>
            <w:tcBorders>
              <w:left w:val="single" w:sz="4" w:space="0" w:color="auto"/>
              <w:right w:val="single" w:sz="4" w:space="0" w:color="auto"/>
            </w:tcBorders>
          </w:tcPr>
          <w:p w14:paraId="08903DAE" w14:textId="77777777" w:rsidR="00A13869" w:rsidRDefault="00A13869" w:rsidP="00A13869">
            <w:pPr>
              <w:pStyle w:val="TableText"/>
              <w:snapToGrid w:val="0"/>
              <w:rPr>
                <w:lang w:eastAsia="en-GB"/>
              </w:rPr>
            </w:pPr>
          </w:p>
        </w:tc>
      </w:tr>
      <w:tr w:rsidR="00A13869" w14:paraId="32126AA7" w14:textId="77777777" w:rsidTr="001929CC">
        <w:trPr>
          <w:cantSplit/>
          <w:trHeight w:val="283"/>
        </w:trPr>
        <w:tc>
          <w:tcPr>
            <w:tcW w:w="567" w:type="dxa"/>
            <w:tcBorders>
              <w:left w:val="nil"/>
              <w:right w:val="single" w:sz="4" w:space="0" w:color="auto"/>
            </w:tcBorders>
          </w:tcPr>
          <w:p w14:paraId="7123D90A" w14:textId="77777777" w:rsidR="00A13869" w:rsidRPr="009C7B7D" w:rsidRDefault="00A13869" w:rsidP="00A13869">
            <w:pPr>
              <w:pStyle w:val="TableText"/>
              <w:snapToGrid w:val="0"/>
              <w:rPr>
                <w:rFonts w:cs="Segoe UI"/>
                <w:sz w:val="16"/>
                <w:szCs w:val="16"/>
                <w:lang w:eastAsia="en-GB"/>
              </w:rPr>
            </w:pPr>
            <w:r w:rsidRPr="009C7B7D">
              <w:rPr>
                <w:rFonts w:cs="Segoe UI"/>
                <w:sz w:val="16"/>
                <w:szCs w:val="16"/>
                <w:lang w:eastAsia="en-GB"/>
              </w:rPr>
              <w:t>13</w:t>
            </w:r>
          </w:p>
        </w:tc>
        <w:tc>
          <w:tcPr>
            <w:tcW w:w="3261" w:type="dxa"/>
            <w:tcBorders>
              <w:left w:val="nil"/>
              <w:right w:val="single" w:sz="4" w:space="0" w:color="auto"/>
            </w:tcBorders>
          </w:tcPr>
          <w:p w14:paraId="074A5357" w14:textId="77777777" w:rsidR="00A13869" w:rsidRPr="009C7B7D" w:rsidRDefault="00A13869" w:rsidP="00A13869">
            <w:pPr>
              <w:pStyle w:val="TableText"/>
              <w:snapToGrid w:val="0"/>
              <w:rPr>
                <w:rFonts w:cs="Segoe UI"/>
                <w:sz w:val="16"/>
                <w:szCs w:val="16"/>
                <w:lang w:eastAsia="en-GB"/>
              </w:rPr>
            </w:pPr>
            <w:r w:rsidRPr="009C7B7D">
              <w:rPr>
                <w:rFonts w:cs="Segoe UI"/>
                <w:sz w:val="16"/>
                <w:szCs w:val="16"/>
                <w:lang w:eastAsia="en-GB"/>
              </w:rPr>
              <w:t>Cash and gold</w:t>
            </w:r>
          </w:p>
        </w:tc>
        <w:tc>
          <w:tcPr>
            <w:tcW w:w="1807" w:type="dxa"/>
            <w:tcBorders>
              <w:left w:val="single" w:sz="4" w:space="0" w:color="auto"/>
              <w:right w:val="single" w:sz="4" w:space="0" w:color="auto"/>
            </w:tcBorders>
          </w:tcPr>
          <w:p w14:paraId="496BEA13"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4BFFC0F4"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2D9A399E" w14:textId="77777777" w:rsidR="00A13869" w:rsidRDefault="00A13869" w:rsidP="00A13869">
            <w:pPr>
              <w:pStyle w:val="TableText"/>
              <w:snapToGrid w:val="0"/>
              <w:rPr>
                <w:lang w:eastAsia="en-GB"/>
              </w:rPr>
            </w:pPr>
          </w:p>
        </w:tc>
        <w:tc>
          <w:tcPr>
            <w:tcW w:w="1808" w:type="dxa"/>
            <w:tcBorders>
              <w:left w:val="single" w:sz="4" w:space="0" w:color="auto"/>
              <w:right w:val="single" w:sz="4" w:space="0" w:color="auto"/>
            </w:tcBorders>
          </w:tcPr>
          <w:p w14:paraId="10A1283C" w14:textId="77777777" w:rsidR="00A13869" w:rsidRDefault="00A13869" w:rsidP="00A13869">
            <w:pPr>
              <w:pStyle w:val="TableText"/>
              <w:snapToGrid w:val="0"/>
              <w:rPr>
                <w:lang w:eastAsia="en-GB"/>
              </w:rPr>
            </w:pPr>
          </w:p>
        </w:tc>
        <w:tc>
          <w:tcPr>
            <w:tcW w:w="1417" w:type="dxa"/>
            <w:tcBorders>
              <w:left w:val="single" w:sz="4" w:space="0" w:color="auto"/>
              <w:right w:val="single" w:sz="4" w:space="0" w:color="auto"/>
            </w:tcBorders>
          </w:tcPr>
          <w:p w14:paraId="1191445D" w14:textId="77777777" w:rsidR="00A13869" w:rsidRDefault="00A13869" w:rsidP="00A13869">
            <w:pPr>
              <w:pStyle w:val="TableText"/>
              <w:snapToGrid w:val="0"/>
              <w:rPr>
                <w:lang w:eastAsia="en-GB"/>
              </w:rPr>
            </w:pPr>
          </w:p>
        </w:tc>
        <w:tc>
          <w:tcPr>
            <w:tcW w:w="1418" w:type="dxa"/>
            <w:tcBorders>
              <w:left w:val="single" w:sz="4" w:space="0" w:color="auto"/>
              <w:right w:val="single" w:sz="4" w:space="0" w:color="auto"/>
            </w:tcBorders>
          </w:tcPr>
          <w:p w14:paraId="0CF870F7" w14:textId="77777777" w:rsidR="00A13869" w:rsidRDefault="00A13869" w:rsidP="00A13869">
            <w:pPr>
              <w:pStyle w:val="TableText"/>
              <w:snapToGrid w:val="0"/>
              <w:rPr>
                <w:lang w:eastAsia="en-GB"/>
              </w:rPr>
            </w:pPr>
          </w:p>
        </w:tc>
      </w:tr>
      <w:tr w:rsidR="00A13869" w14:paraId="23EDAF2B" w14:textId="77777777" w:rsidTr="001929CC">
        <w:trPr>
          <w:cantSplit/>
          <w:trHeight w:val="283"/>
        </w:trPr>
        <w:tc>
          <w:tcPr>
            <w:tcW w:w="567" w:type="dxa"/>
            <w:tcBorders>
              <w:left w:val="nil"/>
              <w:right w:val="single" w:sz="4" w:space="0" w:color="auto"/>
            </w:tcBorders>
          </w:tcPr>
          <w:p w14:paraId="079267FB" w14:textId="77777777" w:rsidR="00A13869" w:rsidRDefault="00A13869" w:rsidP="00A13869">
            <w:pPr>
              <w:pStyle w:val="TableText"/>
              <w:snapToGrid w:val="0"/>
              <w:rPr>
                <w:rFonts w:cs="Segoe UI"/>
                <w:sz w:val="16"/>
                <w:szCs w:val="16"/>
                <w:lang w:eastAsia="en-GB"/>
              </w:rPr>
            </w:pPr>
            <w:r>
              <w:rPr>
                <w:rFonts w:cs="Segoe UI"/>
                <w:sz w:val="16"/>
                <w:szCs w:val="16"/>
                <w:lang w:eastAsia="en-GB"/>
              </w:rPr>
              <w:lastRenderedPageBreak/>
              <w:t>14</w:t>
            </w:r>
          </w:p>
        </w:tc>
        <w:tc>
          <w:tcPr>
            <w:tcW w:w="3261" w:type="dxa"/>
            <w:tcBorders>
              <w:left w:val="nil"/>
              <w:right w:val="single" w:sz="4" w:space="0" w:color="auto"/>
            </w:tcBorders>
          </w:tcPr>
          <w:p w14:paraId="16ABBD76" w14:textId="77777777" w:rsidR="00A13869" w:rsidRPr="00720865" w:rsidRDefault="00A13869" w:rsidP="00A13869">
            <w:pPr>
              <w:pStyle w:val="TableText"/>
              <w:snapToGrid w:val="0"/>
              <w:rPr>
                <w:rFonts w:cs="Segoe UI"/>
                <w:sz w:val="16"/>
                <w:szCs w:val="16"/>
                <w:lang w:eastAsia="en-GB"/>
              </w:rPr>
            </w:pPr>
            <w:r w:rsidRPr="00720865">
              <w:rPr>
                <w:rFonts w:cs="Segoe UI"/>
                <w:sz w:val="16"/>
                <w:szCs w:val="16"/>
                <w:lang w:eastAsia="en-GB"/>
              </w:rPr>
              <w:t>Items in the process of clearing or settlement</w:t>
            </w:r>
          </w:p>
        </w:tc>
        <w:tc>
          <w:tcPr>
            <w:tcW w:w="1807" w:type="dxa"/>
            <w:tcBorders>
              <w:left w:val="single" w:sz="4" w:space="0" w:color="auto"/>
              <w:right w:val="single" w:sz="4" w:space="0" w:color="auto"/>
            </w:tcBorders>
          </w:tcPr>
          <w:p w14:paraId="559010F6"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12E796F2"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599672C4" w14:textId="77777777" w:rsidR="00A13869" w:rsidRDefault="00A13869" w:rsidP="00A13869">
            <w:pPr>
              <w:pStyle w:val="TableText"/>
              <w:snapToGrid w:val="0"/>
              <w:rPr>
                <w:lang w:eastAsia="en-GB"/>
              </w:rPr>
            </w:pPr>
          </w:p>
        </w:tc>
        <w:tc>
          <w:tcPr>
            <w:tcW w:w="1808" w:type="dxa"/>
            <w:tcBorders>
              <w:left w:val="single" w:sz="4" w:space="0" w:color="auto"/>
              <w:right w:val="single" w:sz="4" w:space="0" w:color="auto"/>
            </w:tcBorders>
          </w:tcPr>
          <w:p w14:paraId="7BBDB386" w14:textId="77777777" w:rsidR="00A13869" w:rsidRDefault="00A13869" w:rsidP="00A13869">
            <w:pPr>
              <w:pStyle w:val="TableText"/>
              <w:snapToGrid w:val="0"/>
              <w:rPr>
                <w:lang w:eastAsia="en-GB"/>
              </w:rPr>
            </w:pPr>
          </w:p>
        </w:tc>
        <w:tc>
          <w:tcPr>
            <w:tcW w:w="1417" w:type="dxa"/>
            <w:tcBorders>
              <w:left w:val="single" w:sz="4" w:space="0" w:color="auto"/>
              <w:right w:val="single" w:sz="4" w:space="0" w:color="auto"/>
            </w:tcBorders>
          </w:tcPr>
          <w:p w14:paraId="379D1238" w14:textId="77777777" w:rsidR="00A13869" w:rsidRDefault="00A13869" w:rsidP="00A13869">
            <w:pPr>
              <w:pStyle w:val="TableText"/>
              <w:snapToGrid w:val="0"/>
              <w:rPr>
                <w:lang w:eastAsia="en-GB"/>
              </w:rPr>
            </w:pPr>
          </w:p>
        </w:tc>
        <w:tc>
          <w:tcPr>
            <w:tcW w:w="1418" w:type="dxa"/>
            <w:tcBorders>
              <w:left w:val="single" w:sz="4" w:space="0" w:color="auto"/>
              <w:right w:val="single" w:sz="4" w:space="0" w:color="auto"/>
            </w:tcBorders>
          </w:tcPr>
          <w:p w14:paraId="1FD0AF9C" w14:textId="77777777" w:rsidR="00A13869" w:rsidRDefault="00A13869" w:rsidP="00A13869">
            <w:pPr>
              <w:pStyle w:val="TableText"/>
              <w:snapToGrid w:val="0"/>
              <w:rPr>
                <w:lang w:eastAsia="en-GB"/>
              </w:rPr>
            </w:pPr>
          </w:p>
        </w:tc>
      </w:tr>
      <w:tr w:rsidR="00A13869" w14:paraId="5267F919" w14:textId="77777777" w:rsidTr="001929CC">
        <w:trPr>
          <w:cantSplit/>
          <w:trHeight w:val="283"/>
        </w:trPr>
        <w:tc>
          <w:tcPr>
            <w:tcW w:w="567" w:type="dxa"/>
            <w:tcBorders>
              <w:left w:val="nil"/>
              <w:right w:val="single" w:sz="4" w:space="0" w:color="auto"/>
            </w:tcBorders>
          </w:tcPr>
          <w:p w14:paraId="7065C0A3" w14:textId="77777777" w:rsidR="00A13869" w:rsidRDefault="00A13869" w:rsidP="00A13869">
            <w:pPr>
              <w:pStyle w:val="TableText"/>
              <w:snapToGrid w:val="0"/>
              <w:rPr>
                <w:rFonts w:cs="Segoe UI"/>
                <w:sz w:val="16"/>
                <w:szCs w:val="16"/>
                <w:lang w:eastAsia="en-GB"/>
              </w:rPr>
            </w:pPr>
            <w:r>
              <w:rPr>
                <w:rFonts w:cs="Segoe UI"/>
                <w:sz w:val="16"/>
                <w:szCs w:val="16"/>
                <w:lang w:eastAsia="en-GB"/>
              </w:rPr>
              <w:t>15</w:t>
            </w:r>
          </w:p>
        </w:tc>
        <w:tc>
          <w:tcPr>
            <w:tcW w:w="3261" w:type="dxa"/>
            <w:tcBorders>
              <w:left w:val="nil"/>
              <w:right w:val="single" w:sz="4" w:space="0" w:color="auto"/>
            </w:tcBorders>
          </w:tcPr>
          <w:p w14:paraId="0A9C1A04" w14:textId="77777777" w:rsidR="00A13869" w:rsidRDefault="00A13869" w:rsidP="00A13869">
            <w:pPr>
              <w:pStyle w:val="TableText"/>
              <w:snapToGrid w:val="0"/>
              <w:rPr>
                <w:rFonts w:cs="Segoe UI"/>
                <w:sz w:val="16"/>
                <w:szCs w:val="16"/>
                <w:lang w:eastAsia="en-GB"/>
              </w:rPr>
            </w:pPr>
            <w:r>
              <w:rPr>
                <w:rFonts w:cs="Segoe UI"/>
                <w:sz w:val="16"/>
                <w:szCs w:val="16"/>
                <w:lang w:eastAsia="en-GB"/>
              </w:rPr>
              <w:t>Other exposures</w:t>
            </w:r>
          </w:p>
        </w:tc>
        <w:tc>
          <w:tcPr>
            <w:tcW w:w="1807" w:type="dxa"/>
            <w:tcBorders>
              <w:left w:val="single" w:sz="4" w:space="0" w:color="auto"/>
              <w:right w:val="single" w:sz="4" w:space="0" w:color="auto"/>
            </w:tcBorders>
          </w:tcPr>
          <w:p w14:paraId="219EB50A"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60941334" w14:textId="77777777" w:rsidR="00A13869" w:rsidRDefault="00A13869" w:rsidP="00A13869">
            <w:pPr>
              <w:pStyle w:val="TableText"/>
              <w:snapToGrid w:val="0"/>
              <w:rPr>
                <w:lang w:eastAsia="en-GB"/>
              </w:rPr>
            </w:pPr>
          </w:p>
        </w:tc>
        <w:tc>
          <w:tcPr>
            <w:tcW w:w="1807" w:type="dxa"/>
            <w:tcBorders>
              <w:left w:val="single" w:sz="4" w:space="0" w:color="auto"/>
              <w:right w:val="single" w:sz="4" w:space="0" w:color="auto"/>
            </w:tcBorders>
          </w:tcPr>
          <w:p w14:paraId="2BB1922D" w14:textId="77777777" w:rsidR="00A13869" w:rsidRDefault="00A13869" w:rsidP="00A13869">
            <w:pPr>
              <w:pStyle w:val="TableText"/>
              <w:snapToGrid w:val="0"/>
              <w:rPr>
                <w:lang w:eastAsia="en-GB"/>
              </w:rPr>
            </w:pPr>
          </w:p>
        </w:tc>
        <w:tc>
          <w:tcPr>
            <w:tcW w:w="1808" w:type="dxa"/>
            <w:tcBorders>
              <w:left w:val="single" w:sz="4" w:space="0" w:color="auto"/>
              <w:right w:val="single" w:sz="4" w:space="0" w:color="auto"/>
            </w:tcBorders>
          </w:tcPr>
          <w:p w14:paraId="56418B7B" w14:textId="77777777" w:rsidR="00A13869" w:rsidRDefault="00A13869" w:rsidP="00A13869">
            <w:pPr>
              <w:pStyle w:val="TableText"/>
              <w:snapToGrid w:val="0"/>
              <w:rPr>
                <w:lang w:eastAsia="en-GB"/>
              </w:rPr>
            </w:pPr>
          </w:p>
        </w:tc>
        <w:tc>
          <w:tcPr>
            <w:tcW w:w="1417" w:type="dxa"/>
            <w:tcBorders>
              <w:left w:val="single" w:sz="4" w:space="0" w:color="auto"/>
              <w:right w:val="single" w:sz="4" w:space="0" w:color="auto"/>
            </w:tcBorders>
          </w:tcPr>
          <w:p w14:paraId="2B90E44C" w14:textId="77777777" w:rsidR="00A13869" w:rsidRDefault="00A13869" w:rsidP="00A13869">
            <w:pPr>
              <w:pStyle w:val="TableText"/>
              <w:snapToGrid w:val="0"/>
              <w:rPr>
                <w:lang w:eastAsia="en-GB"/>
              </w:rPr>
            </w:pPr>
          </w:p>
        </w:tc>
        <w:tc>
          <w:tcPr>
            <w:tcW w:w="1418" w:type="dxa"/>
            <w:tcBorders>
              <w:left w:val="single" w:sz="4" w:space="0" w:color="auto"/>
              <w:right w:val="single" w:sz="4" w:space="0" w:color="auto"/>
            </w:tcBorders>
          </w:tcPr>
          <w:p w14:paraId="7092FFB0" w14:textId="77777777" w:rsidR="00A13869" w:rsidRDefault="00A13869" w:rsidP="00A13869">
            <w:pPr>
              <w:pStyle w:val="TableText"/>
              <w:snapToGrid w:val="0"/>
              <w:rPr>
                <w:lang w:eastAsia="en-GB"/>
              </w:rPr>
            </w:pPr>
          </w:p>
        </w:tc>
      </w:tr>
      <w:tr w:rsidR="00A13869" w14:paraId="01A11B5A" w14:textId="77777777" w:rsidTr="001929CC">
        <w:trPr>
          <w:cantSplit/>
          <w:trHeight w:val="283"/>
        </w:trPr>
        <w:tc>
          <w:tcPr>
            <w:tcW w:w="567" w:type="dxa"/>
            <w:tcBorders>
              <w:left w:val="nil"/>
              <w:bottom w:val="single" w:sz="4" w:space="0" w:color="auto"/>
              <w:right w:val="single" w:sz="4" w:space="0" w:color="auto"/>
            </w:tcBorders>
          </w:tcPr>
          <w:p w14:paraId="79CC1F27" w14:textId="77777777" w:rsidR="00A13869" w:rsidRDefault="00A13869" w:rsidP="00A13869">
            <w:pPr>
              <w:pStyle w:val="TableText"/>
              <w:snapToGrid w:val="0"/>
              <w:rPr>
                <w:rFonts w:cs="Segoe UI"/>
                <w:sz w:val="16"/>
                <w:szCs w:val="16"/>
                <w:lang w:eastAsia="en-GB"/>
              </w:rPr>
            </w:pPr>
            <w:r>
              <w:rPr>
                <w:rFonts w:cs="Segoe UI"/>
                <w:sz w:val="16"/>
                <w:szCs w:val="16"/>
                <w:lang w:eastAsia="en-GB"/>
              </w:rPr>
              <w:t>16</w:t>
            </w:r>
          </w:p>
        </w:tc>
        <w:tc>
          <w:tcPr>
            <w:tcW w:w="3261" w:type="dxa"/>
            <w:tcBorders>
              <w:left w:val="nil"/>
              <w:bottom w:val="single" w:sz="4" w:space="0" w:color="auto"/>
              <w:right w:val="single" w:sz="4" w:space="0" w:color="auto"/>
            </w:tcBorders>
          </w:tcPr>
          <w:p w14:paraId="26D40AAA" w14:textId="77777777" w:rsidR="00A13869" w:rsidRDefault="00A13869" w:rsidP="00A13869">
            <w:pPr>
              <w:pStyle w:val="TableText"/>
              <w:snapToGrid w:val="0"/>
              <w:rPr>
                <w:rFonts w:cs="Segoe UI"/>
                <w:b/>
                <w:sz w:val="16"/>
                <w:szCs w:val="16"/>
                <w:lang w:eastAsia="en-GB"/>
              </w:rPr>
            </w:pPr>
            <w:r>
              <w:rPr>
                <w:rFonts w:cs="Segoe UI"/>
                <w:b/>
                <w:sz w:val="16"/>
                <w:szCs w:val="16"/>
                <w:lang w:eastAsia="en-GB"/>
              </w:rPr>
              <w:t>Total</w:t>
            </w:r>
          </w:p>
        </w:tc>
        <w:tc>
          <w:tcPr>
            <w:tcW w:w="1807" w:type="dxa"/>
            <w:tcBorders>
              <w:left w:val="single" w:sz="4" w:space="0" w:color="auto"/>
              <w:bottom w:val="single" w:sz="4" w:space="0" w:color="auto"/>
              <w:right w:val="single" w:sz="4" w:space="0" w:color="auto"/>
            </w:tcBorders>
          </w:tcPr>
          <w:p w14:paraId="2FA9DA06" w14:textId="77777777" w:rsidR="00A13869" w:rsidRDefault="00A13869" w:rsidP="00A13869">
            <w:pPr>
              <w:pStyle w:val="TableText"/>
              <w:snapToGrid w:val="0"/>
              <w:rPr>
                <w:lang w:eastAsia="en-GB"/>
              </w:rPr>
            </w:pPr>
          </w:p>
        </w:tc>
        <w:tc>
          <w:tcPr>
            <w:tcW w:w="1807" w:type="dxa"/>
            <w:tcBorders>
              <w:left w:val="single" w:sz="4" w:space="0" w:color="auto"/>
              <w:bottom w:val="single" w:sz="4" w:space="0" w:color="auto"/>
              <w:right w:val="single" w:sz="4" w:space="0" w:color="auto"/>
            </w:tcBorders>
          </w:tcPr>
          <w:p w14:paraId="221DEFD9" w14:textId="77777777" w:rsidR="00A13869" w:rsidRDefault="00A13869" w:rsidP="00A13869">
            <w:pPr>
              <w:pStyle w:val="TableText"/>
              <w:snapToGrid w:val="0"/>
              <w:rPr>
                <w:lang w:eastAsia="en-GB"/>
              </w:rPr>
            </w:pPr>
          </w:p>
        </w:tc>
        <w:tc>
          <w:tcPr>
            <w:tcW w:w="1807" w:type="dxa"/>
            <w:tcBorders>
              <w:left w:val="single" w:sz="4" w:space="0" w:color="auto"/>
              <w:bottom w:val="single" w:sz="4" w:space="0" w:color="auto"/>
              <w:right w:val="single" w:sz="4" w:space="0" w:color="auto"/>
            </w:tcBorders>
          </w:tcPr>
          <w:p w14:paraId="71871F3C" w14:textId="77777777" w:rsidR="00A13869" w:rsidRDefault="00A13869" w:rsidP="00A13869">
            <w:pPr>
              <w:pStyle w:val="TableText"/>
              <w:snapToGrid w:val="0"/>
              <w:rPr>
                <w:lang w:eastAsia="en-GB"/>
              </w:rPr>
            </w:pPr>
          </w:p>
        </w:tc>
        <w:tc>
          <w:tcPr>
            <w:tcW w:w="1808" w:type="dxa"/>
            <w:tcBorders>
              <w:left w:val="single" w:sz="4" w:space="0" w:color="auto"/>
              <w:bottom w:val="single" w:sz="4" w:space="0" w:color="auto"/>
              <w:right w:val="single" w:sz="4" w:space="0" w:color="auto"/>
            </w:tcBorders>
          </w:tcPr>
          <w:p w14:paraId="67C644F8" w14:textId="77777777" w:rsidR="00A13869" w:rsidRDefault="00A13869" w:rsidP="00A13869">
            <w:pPr>
              <w:pStyle w:val="TableText"/>
              <w:snapToGrid w:val="0"/>
              <w:rPr>
                <w:lang w:eastAsia="en-GB"/>
              </w:rPr>
            </w:pPr>
          </w:p>
        </w:tc>
        <w:tc>
          <w:tcPr>
            <w:tcW w:w="1417" w:type="dxa"/>
            <w:tcBorders>
              <w:left w:val="single" w:sz="4" w:space="0" w:color="auto"/>
              <w:bottom w:val="single" w:sz="4" w:space="0" w:color="auto"/>
              <w:right w:val="single" w:sz="4" w:space="0" w:color="auto"/>
            </w:tcBorders>
          </w:tcPr>
          <w:p w14:paraId="3C50C7D1" w14:textId="77777777" w:rsidR="00A13869" w:rsidRDefault="00A13869" w:rsidP="00A13869">
            <w:pPr>
              <w:pStyle w:val="TableText"/>
              <w:snapToGrid w:val="0"/>
              <w:rPr>
                <w:lang w:eastAsia="en-GB"/>
              </w:rPr>
            </w:pPr>
          </w:p>
        </w:tc>
        <w:tc>
          <w:tcPr>
            <w:tcW w:w="1418" w:type="dxa"/>
            <w:tcBorders>
              <w:left w:val="single" w:sz="4" w:space="0" w:color="auto"/>
              <w:bottom w:val="single" w:sz="4" w:space="0" w:color="auto"/>
              <w:right w:val="single" w:sz="4" w:space="0" w:color="auto"/>
            </w:tcBorders>
          </w:tcPr>
          <w:p w14:paraId="020E8215" w14:textId="77777777" w:rsidR="00A13869" w:rsidRDefault="00A13869" w:rsidP="00A13869">
            <w:pPr>
              <w:pStyle w:val="TableText"/>
              <w:snapToGrid w:val="0"/>
              <w:rPr>
                <w:lang w:eastAsia="en-GB"/>
              </w:rPr>
            </w:pPr>
          </w:p>
        </w:tc>
      </w:tr>
    </w:tbl>
    <w:p w14:paraId="1CA2F642" w14:textId="77777777" w:rsidR="001929CC" w:rsidRDefault="001929CC" w:rsidP="001929CC">
      <w:pPr>
        <w:spacing w:before="40" w:after="40"/>
        <w:rPr>
          <w:u w:val="single"/>
        </w:rPr>
      </w:pPr>
    </w:p>
    <w:p w14:paraId="32CE130B" w14:textId="77777777" w:rsidR="001929CC" w:rsidRDefault="001929CC" w:rsidP="001929CC">
      <w:pPr>
        <w:spacing w:before="40" w:after="40"/>
        <w:rPr>
          <w:u w:val="single"/>
        </w:rPr>
      </w:pP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2899"/>
      </w:tblGrid>
      <w:tr w:rsidR="001929CC" w14:paraId="7536EFDF" w14:textId="77777777" w:rsidTr="001929CC">
        <w:trPr>
          <w:tblHeader/>
        </w:trPr>
        <w:tc>
          <w:tcPr>
            <w:tcW w:w="13892" w:type="dxa"/>
            <w:gridSpan w:val="2"/>
            <w:shd w:val="clear" w:color="auto" w:fill="BFBFBF"/>
          </w:tcPr>
          <w:p w14:paraId="4B541F05" w14:textId="77777777" w:rsidR="001929CC" w:rsidRDefault="001929CC" w:rsidP="001929CC">
            <w:pPr>
              <w:pStyle w:val="TableNote"/>
              <w:keepNext/>
              <w:spacing w:before="40" w:after="40"/>
              <w:rPr>
                <w:rFonts w:eastAsia="新細明體"/>
                <w:b/>
                <w:sz w:val="17"/>
                <w:lang w:eastAsia="en-GB"/>
              </w:rPr>
            </w:pPr>
            <w:r>
              <w:rPr>
                <w:rFonts w:eastAsia="新細明體"/>
                <w:b/>
                <w:sz w:val="17"/>
                <w:lang w:eastAsia="en-GB"/>
              </w:rPr>
              <w:lastRenderedPageBreak/>
              <w:t>Explanatory Note</w:t>
            </w:r>
          </w:p>
        </w:tc>
      </w:tr>
      <w:tr w:rsidR="001929CC" w14:paraId="45B37DCD" w14:textId="77777777" w:rsidTr="001929CC">
        <w:trPr>
          <w:trHeight w:val="153"/>
        </w:trPr>
        <w:tc>
          <w:tcPr>
            <w:tcW w:w="13892" w:type="dxa"/>
            <w:gridSpan w:val="2"/>
            <w:shd w:val="clear" w:color="auto" w:fill="F2F2F2"/>
          </w:tcPr>
          <w:p w14:paraId="579D397E" w14:textId="77777777" w:rsidR="001929CC" w:rsidRDefault="001929CC" w:rsidP="001929CC">
            <w:pPr>
              <w:pStyle w:val="TableNote"/>
              <w:keepNext/>
              <w:spacing w:before="40" w:after="40"/>
              <w:rPr>
                <w:rFonts w:eastAsia="新細明體"/>
                <w:b/>
                <w:sz w:val="17"/>
                <w:lang w:eastAsia="en-GB"/>
              </w:rPr>
            </w:pPr>
            <w:r>
              <w:rPr>
                <w:rFonts w:eastAsia="新細明體"/>
                <w:b/>
                <w:sz w:val="17"/>
                <w:lang w:eastAsia="en-GB"/>
              </w:rPr>
              <w:t>Columns</w:t>
            </w:r>
          </w:p>
        </w:tc>
      </w:tr>
      <w:tr w:rsidR="001929CC" w14:paraId="54873A5A" w14:textId="77777777" w:rsidTr="001929CC">
        <w:tc>
          <w:tcPr>
            <w:tcW w:w="993" w:type="dxa"/>
          </w:tcPr>
          <w:p w14:paraId="11EDF1F3"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(a)</w:t>
            </w:r>
          </w:p>
        </w:tc>
        <w:tc>
          <w:tcPr>
            <w:tcW w:w="12899" w:type="dxa"/>
          </w:tcPr>
          <w:p w14:paraId="7067ADE6" w14:textId="77777777" w:rsidR="001929CC" w:rsidRDefault="001929CC" w:rsidP="001929CC">
            <w:pPr>
              <w:pStyle w:val="TableNote"/>
              <w:keepNext/>
              <w:spacing w:before="40" w:after="40"/>
              <w:rPr>
                <w:rFonts w:cs="Segoe UI"/>
                <w:sz w:val="17"/>
                <w:szCs w:val="17"/>
                <w:lang w:eastAsia="en-GB"/>
              </w:rPr>
            </w:pPr>
            <w:r>
              <w:rPr>
                <w:i/>
                <w:sz w:val="17"/>
                <w:szCs w:val="17"/>
              </w:rPr>
              <w:t>Exposures pre-CCF and pre-CRM – On-Balance sheet amount</w:t>
            </w:r>
            <w:r>
              <w:rPr>
                <w:sz w:val="17"/>
                <w:szCs w:val="17"/>
              </w:rPr>
              <w:t>: the on-balance sheet exposure amount (net of specific provisions, including allowances / impairments and partial write-offs) under the regulatory scope of consolidation gross of the effect of recognized CRM.</w:t>
            </w:r>
          </w:p>
        </w:tc>
      </w:tr>
      <w:tr w:rsidR="001929CC" w14:paraId="01ADB2C4" w14:textId="77777777" w:rsidTr="001929CC">
        <w:tc>
          <w:tcPr>
            <w:tcW w:w="993" w:type="dxa"/>
          </w:tcPr>
          <w:p w14:paraId="62D67AD1"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(b)</w:t>
            </w:r>
          </w:p>
        </w:tc>
        <w:tc>
          <w:tcPr>
            <w:tcW w:w="12899" w:type="dxa"/>
          </w:tcPr>
          <w:p w14:paraId="593281E2" w14:textId="77777777" w:rsidR="001929CC" w:rsidRDefault="001929CC" w:rsidP="001929CC">
            <w:pPr>
              <w:pStyle w:val="TableNote"/>
              <w:keepNext/>
              <w:spacing w:before="40" w:after="40"/>
              <w:rPr>
                <w:sz w:val="17"/>
                <w:szCs w:val="17"/>
              </w:rPr>
            </w:pPr>
            <w:r>
              <w:rPr>
                <w:i/>
                <w:sz w:val="17"/>
                <w:szCs w:val="17"/>
              </w:rPr>
              <w:t>Exposures pre-CCF and pre-CRM – Off-Balance sheet amount:</w:t>
            </w:r>
            <w:r>
              <w:rPr>
                <w:sz w:val="17"/>
                <w:szCs w:val="17"/>
              </w:rPr>
              <w:t xml:space="preserve"> the off-balance sheet exposure amount, gross of CCF and the effect of recognized CRM under the regulatory scope of consolidation.</w:t>
            </w:r>
          </w:p>
        </w:tc>
      </w:tr>
      <w:tr w:rsidR="001929CC" w14:paraId="2A353403" w14:textId="77777777" w:rsidTr="001929CC">
        <w:tc>
          <w:tcPr>
            <w:tcW w:w="993" w:type="dxa"/>
          </w:tcPr>
          <w:p w14:paraId="7FAFBFBF" w14:textId="77777777" w:rsidR="001929CC" w:rsidRPr="009C7B7D" w:rsidRDefault="001929CC" w:rsidP="001929CC">
            <w:pPr>
              <w:pStyle w:val="TableNote"/>
              <w:keepNext/>
              <w:spacing w:before="40" w:after="40"/>
              <w:rPr>
                <w:rFonts w:cs="Segoe UI"/>
                <w:sz w:val="17"/>
                <w:szCs w:val="17"/>
                <w:lang w:eastAsia="en-GB"/>
              </w:rPr>
            </w:pPr>
            <w:r w:rsidRPr="009C7B7D">
              <w:rPr>
                <w:rFonts w:cs="Segoe UI"/>
                <w:sz w:val="17"/>
                <w:szCs w:val="17"/>
                <w:lang w:eastAsia="en-GB"/>
              </w:rPr>
              <w:t>(c)</w:t>
            </w:r>
          </w:p>
        </w:tc>
        <w:tc>
          <w:tcPr>
            <w:tcW w:w="12899" w:type="dxa"/>
          </w:tcPr>
          <w:p w14:paraId="145C0B96" w14:textId="43DF072B" w:rsidR="001929CC" w:rsidRPr="009C7B7D" w:rsidRDefault="001929CC" w:rsidP="001929CC">
            <w:pPr>
              <w:pStyle w:val="TableNote"/>
              <w:rPr>
                <w:sz w:val="17"/>
                <w:szCs w:val="17"/>
              </w:rPr>
            </w:pPr>
            <w:r w:rsidRPr="009C7B7D">
              <w:rPr>
                <w:i/>
                <w:sz w:val="17"/>
                <w:szCs w:val="17"/>
              </w:rPr>
              <w:t>Exposure</w:t>
            </w:r>
            <w:r>
              <w:rPr>
                <w:i/>
                <w:sz w:val="17"/>
                <w:szCs w:val="17"/>
              </w:rPr>
              <w:t>s</w:t>
            </w:r>
            <w:r w:rsidRPr="009C7B7D">
              <w:rPr>
                <w:i/>
                <w:sz w:val="17"/>
                <w:szCs w:val="17"/>
              </w:rPr>
              <w:t xml:space="preserve"> post-CCF and post-CRM – On-Balance sheet amount</w:t>
            </w:r>
            <w:r w:rsidRPr="009C7B7D">
              <w:rPr>
                <w:sz w:val="17"/>
                <w:szCs w:val="17"/>
              </w:rPr>
              <w:t>: the on-balance sheet exposure amount to which the capital requirements are applied.  It is a net credit exposure amount, after the effects of recognized CRM.</w:t>
            </w:r>
          </w:p>
        </w:tc>
      </w:tr>
      <w:tr w:rsidR="001929CC" w14:paraId="1AC64F82" w14:textId="77777777" w:rsidTr="001929CC">
        <w:tc>
          <w:tcPr>
            <w:tcW w:w="993" w:type="dxa"/>
          </w:tcPr>
          <w:p w14:paraId="56192B9C" w14:textId="77777777" w:rsidR="001929CC" w:rsidRPr="009C7B7D" w:rsidRDefault="001929CC" w:rsidP="001929CC">
            <w:pPr>
              <w:pStyle w:val="TableNote"/>
              <w:keepNext/>
              <w:spacing w:before="40" w:after="40"/>
              <w:rPr>
                <w:rFonts w:cs="Segoe UI"/>
                <w:sz w:val="17"/>
                <w:szCs w:val="17"/>
                <w:lang w:eastAsia="en-GB"/>
              </w:rPr>
            </w:pPr>
            <w:r w:rsidRPr="009C7B7D">
              <w:rPr>
                <w:rFonts w:cs="Segoe UI"/>
                <w:sz w:val="17"/>
                <w:szCs w:val="17"/>
                <w:lang w:eastAsia="en-GB"/>
              </w:rPr>
              <w:t>(d)</w:t>
            </w:r>
          </w:p>
        </w:tc>
        <w:tc>
          <w:tcPr>
            <w:tcW w:w="12899" w:type="dxa"/>
          </w:tcPr>
          <w:p w14:paraId="1EAAD551" w14:textId="77777777" w:rsidR="001929CC" w:rsidRPr="009C7B7D" w:rsidRDefault="001929CC" w:rsidP="001929CC">
            <w:pPr>
              <w:pStyle w:val="TableNote"/>
              <w:rPr>
                <w:sz w:val="17"/>
                <w:szCs w:val="17"/>
              </w:rPr>
            </w:pPr>
            <w:r w:rsidRPr="009C7B7D">
              <w:rPr>
                <w:i/>
                <w:sz w:val="17"/>
                <w:szCs w:val="17"/>
              </w:rPr>
              <w:t>Exposure</w:t>
            </w:r>
            <w:r>
              <w:rPr>
                <w:i/>
                <w:sz w:val="17"/>
                <w:szCs w:val="17"/>
              </w:rPr>
              <w:t>s</w:t>
            </w:r>
            <w:r w:rsidRPr="009C7B7D">
              <w:rPr>
                <w:i/>
                <w:sz w:val="17"/>
                <w:szCs w:val="17"/>
              </w:rPr>
              <w:t xml:space="preserve"> post-CCF and post-CRM – Off-Balance sheet amount</w:t>
            </w:r>
            <w:r w:rsidRPr="009C7B7D">
              <w:rPr>
                <w:sz w:val="17"/>
                <w:szCs w:val="17"/>
              </w:rPr>
              <w:t>: the off-balance sheet exposure amount to which the capital requirements are applied.  It is a net credit equivalent amount, after the effects of recognized CRM and CCF.</w:t>
            </w:r>
          </w:p>
        </w:tc>
      </w:tr>
      <w:tr w:rsidR="001929CC" w14:paraId="2E047AFC" w14:textId="77777777" w:rsidTr="001929CC">
        <w:tc>
          <w:tcPr>
            <w:tcW w:w="993" w:type="dxa"/>
          </w:tcPr>
          <w:p w14:paraId="44E4E1DA" w14:textId="77777777" w:rsidR="001929CC" w:rsidRPr="009C7B7D" w:rsidRDefault="001929CC" w:rsidP="001929CC">
            <w:pPr>
              <w:pStyle w:val="TableNote"/>
              <w:keepNext/>
              <w:spacing w:before="40" w:after="40"/>
              <w:rPr>
                <w:rFonts w:cs="Segoe UI"/>
                <w:sz w:val="17"/>
                <w:szCs w:val="17"/>
                <w:lang w:eastAsia="en-GB"/>
              </w:rPr>
            </w:pPr>
            <w:r w:rsidRPr="009C7B7D">
              <w:rPr>
                <w:rFonts w:cs="Segoe UI"/>
                <w:sz w:val="17"/>
                <w:szCs w:val="17"/>
                <w:lang w:eastAsia="en-GB"/>
              </w:rPr>
              <w:t>(e)</w:t>
            </w:r>
          </w:p>
        </w:tc>
        <w:tc>
          <w:tcPr>
            <w:tcW w:w="12899" w:type="dxa"/>
          </w:tcPr>
          <w:p w14:paraId="1BB947CE" w14:textId="7AD7AF89" w:rsidR="001929CC" w:rsidRPr="009C7B7D" w:rsidRDefault="001929CC" w:rsidP="001929CC">
            <w:pPr>
              <w:pStyle w:val="TableNote"/>
              <w:keepNext/>
              <w:spacing w:before="40" w:after="40"/>
              <w:rPr>
                <w:sz w:val="17"/>
                <w:szCs w:val="17"/>
              </w:rPr>
            </w:pPr>
            <w:r w:rsidRPr="009C7B7D">
              <w:rPr>
                <w:rFonts w:cs="Segoe UI"/>
                <w:i/>
                <w:sz w:val="17"/>
                <w:szCs w:val="17"/>
              </w:rPr>
              <w:t>RWA</w:t>
            </w:r>
            <w:r w:rsidRPr="009C7B7D">
              <w:rPr>
                <w:rFonts w:cs="Segoe UI"/>
                <w:sz w:val="17"/>
                <w:szCs w:val="17"/>
              </w:rPr>
              <w:t xml:space="preserve">: for AIs using the STC approach, the value in [CR4(STC): </w:t>
            </w:r>
            <w:r>
              <w:rPr>
                <w:rFonts w:cs="Segoe UI"/>
                <w:sz w:val="17"/>
                <w:szCs w:val="17"/>
              </w:rPr>
              <w:t>12</w:t>
            </w:r>
            <w:r w:rsidRPr="009C7B7D">
              <w:rPr>
                <w:rFonts w:cs="Segoe UI"/>
                <w:sz w:val="17"/>
                <w:szCs w:val="17"/>
              </w:rPr>
              <w:t>/e] is equal to the value in [OV1: 2/a];</w:t>
            </w:r>
            <w:r w:rsidRPr="009C7B7D">
              <w:rPr>
                <w:sz w:val="17"/>
                <w:szCs w:val="17"/>
              </w:rPr>
              <w:t xml:space="preserve"> for </w:t>
            </w:r>
            <w:r w:rsidRPr="009C7B7D">
              <w:rPr>
                <w:rFonts w:cs="Segoe UI"/>
                <w:sz w:val="17"/>
                <w:szCs w:val="17"/>
              </w:rPr>
              <w:t xml:space="preserve">AIs using the BSC approach, the value in [CR4(BSC): </w:t>
            </w:r>
            <w:r>
              <w:rPr>
                <w:rFonts w:cs="Segoe UI"/>
                <w:sz w:val="17"/>
                <w:szCs w:val="17"/>
              </w:rPr>
              <w:t>16</w:t>
            </w:r>
            <w:r w:rsidRPr="009C7B7D">
              <w:rPr>
                <w:rFonts w:cs="Segoe UI"/>
                <w:sz w:val="17"/>
                <w:szCs w:val="17"/>
              </w:rPr>
              <w:t>/e] is equal to the value in [OV1: 2a/a].</w:t>
            </w:r>
          </w:p>
        </w:tc>
      </w:tr>
      <w:tr w:rsidR="001929CC" w14:paraId="68259E88" w14:textId="77777777" w:rsidTr="001929CC">
        <w:tc>
          <w:tcPr>
            <w:tcW w:w="993" w:type="dxa"/>
          </w:tcPr>
          <w:p w14:paraId="7CEEE485"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(f)</w:t>
            </w:r>
          </w:p>
        </w:tc>
        <w:tc>
          <w:tcPr>
            <w:tcW w:w="12899" w:type="dxa"/>
          </w:tcPr>
          <w:p w14:paraId="73C1AD63" w14:textId="77777777" w:rsidR="001929CC" w:rsidRDefault="001929CC" w:rsidP="001929CC">
            <w:pPr>
              <w:pStyle w:val="TableNote"/>
              <w:keepNext/>
              <w:spacing w:before="40" w:after="40"/>
              <w:rPr>
                <w:sz w:val="17"/>
                <w:szCs w:val="17"/>
              </w:rPr>
            </w:pPr>
            <w:r>
              <w:rPr>
                <w:i/>
                <w:sz w:val="17"/>
                <w:szCs w:val="17"/>
              </w:rPr>
              <w:t>RWA density</w:t>
            </w:r>
            <w:r>
              <w:rPr>
                <w:sz w:val="17"/>
                <w:szCs w:val="17"/>
              </w:rPr>
              <w:t>: this is derived from total RWA in column (e) divided by exposures post-CCF and post-CRM (i.e. the sum of values in columns (c) and (d)).  The resultant ratio should be expressed in percentage.</w:t>
            </w:r>
          </w:p>
        </w:tc>
      </w:tr>
      <w:tr w:rsidR="001929CC" w14:paraId="54C5E0C7" w14:textId="77777777" w:rsidTr="001929CC">
        <w:tc>
          <w:tcPr>
            <w:tcW w:w="13892" w:type="dxa"/>
            <w:gridSpan w:val="2"/>
            <w:shd w:val="clear" w:color="auto" w:fill="F2F2F2"/>
          </w:tcPr>
          <w:p w14:paraId="063FB315" w14:textId="3B66D2D2" w:rsidR="001929CC" w:rsidRDefault="001929CC" w:rsidP="006B5A8E">
            <w:pPr>
              <w:pStyle w:val="TableNote"/>
              <w:keepNext/>
              <w:spacing w:before="40" w:after="40"/>
              <w:rPr>
                <w:i/>
                <w:sz w:val="17"/>
                <w:szCs w:val="17"/>
              </w:rPr>
            </w:pPr>
            <w:r>
              <w:rPr>
                <w:rFonts w:eastAsia="新細明體"/>
                <w:b/>
                <w:sz w:val="17"/>
                <w:lang w:eastAsia="en-GB"/>
              </w:rPr>
              <w:t>Rows</w:t>
            </w:r>
          </w:p>
        </w:tc>
      </w:tr>
      <w:tr w:rsidR="001929CC" w14:paraId="2D0F85F4" w14:textId="77777777" w:rsidTr="001929CC">
        <w:tc>
          <w:tcPr>
            <w:tcW w:w="993" w:type="dxa"/>
          </w:tcPr>
          <w:p w14:paraId="464D1C51"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All</w:t>
            </w:r>
          </w:p>
        </w:tc>
        <w:tc>
          <w:tcPr>
            <w:tcW w:w="12899" w:type="dxa"/>
          </w:tcPr>
          <w:p w14:paraId="17442A18" w14:textId="19B355B6" w:rsidR="001929CC" w:rsidRDefault="001929CC" w:rsidP="001929CC">
            <w:pPr>
              <w:pStyle w:val="TableNote"/>
              <w:keepNext/>
              <w:spacing w:before="40" w:after="40"/>
              <w:rPr>
                <w:i/>
                <w:sz w:val="17"/>
                <w:szCs w:val="17"/>
              </w:rPr>
            </w:pPr>
            <w:r>
              <w:rPr>
                <w:sz w:val="17"/>
                <w:szCs w:val="17"/>
              </w:rPr>
              <w:t xml:space="preserve">The rows and their respective definitions are aligned with the classification of exposures used in Part 4 (for STC approach) or Part 5 (for BSC approach) of the BCR.  </w:t>
            </w:r>
          </w:p>
        </w:tc>
      </w:tr>
      <w:tr w:rsidR="00DD6E45" w14:paraId="0AF2DA03" w14:textId="77777777" w:rsidTr="001929CC">
        <w:tc>
          <w:tcPr>
            <w:tcW w:w="993" w:type="dxa"/>
          </w:tcPr>
          <w:p w14:paraId="6260F8ED" w14:textId="677B3BE3" w:rsidR="00DD6E45" w:rsidRDefault="00DD6E45" w:rsidP="00DD6E45">
            <w:pPr>
              <w:pStyle w:val="TableNote"/>
              <w:keepNext/>
              <w:spacing w:before="40" w:after="40"/>
              <w:rPr>
                <w:sz w:val="17"/>
                <w:szCs w:val="17"/>
              </w:rPr>
            </w:pPr>
            <w:r>
              <w:rPr>
                <w:sz w:val="17"/>
                <w:szCs w:val="17"/>
              </w:rPr>
              <w:t>12</w:t>
            </w:r>
            <w:r w:rsidRPr="00DE7326">
              <w:rPr>
                <w:sz w:val="17"/>
                <w:szCs w:val="17"/>
              </w:rPr>
              <w:t xml:space="preserve"> (STC) / </w:t>
            </w:r>
            <w:r>
              <w:rPr>
                <w:sz w:val="17"/>
                <w:szCs w:val="17"/>
              </w:rPr>
              <w:t>16 (BSC)</w:t>
            </w:r>
          </w:p>
        </w:tc>
        <w:tc>
          <w:tcPr>
            <w:tcW w:w="12899" w:type="dxa"/>
          </w:tcPr>
          <w:p w14:paraId="3D3A91A9" w14:textId="32370C33" w:rsidR="00DD6E45" w:rsidRDefault="00DD6E45" w:rsidP="00DD6E45">
            <w:pPr>
              <w:pStyle w:val="TableNote"/>
              <w:keepNext/>
              <w:spacing w:before="40" w:after="40"/>
              <w:rPr>
                <w:sz w:val="17"/>
                <w:szCs w:val="17"/>
              </w:rPr>
            </w:pPr>
            <w:r>
              <w:rPr>
                <w:i/>
                <w:sz w:val="17"/>
                <w:szCs w:val="17"/>
              </w:rPr>
              <w:t>Total</w:t>
            </w:r>
            <w:r>
              <w:rPr>
                <w:sz w:val="17"/>
                <w:szCs w:val="17"/>
              </w:rPr>
              <w:t xml:space="preserve">: </w:t>
            </w:r>
            <w:r>
              <w:rPr>
                <w:rFonts w:cs="Segoe UI"/>
                <w:sz w:val="17"/>
                <w:szCs w:val="17"/>
              </w:rPr>
              <w:t xml:space="preserve">for AIs using the STC approach, </w:t>
            </w:r>
            <w:r>
              <w:rPr>
                <w:sz w:val="17"/>
                <w:szCs w:val="17"/>
              </w:rPr>
              <w:t>the sum of values in [CR4(STC):12/c] and [CR4(STC):12/d] is equal to the value in [CR5(STC):11/d] under the table “</w:t>
            </w:r>
            <w:r w:rsidRPr="00172719">
              <w:rPr>
                <w:sz w:val="17"/>
                <w:szCs w:val="17"/>
              </w:rPr>
              <w:t>Exposure amounts and CCFs applied to off-balance sheet exposures, categorised based on risk bucket of converted exposures</w:t>
            </w:r>
            <w:r>
              <w:rPr>
                <w:sz w:val="17"/>
                <w:szCs w:val="17"/>
              </w:rPr>
              <w:t xml:space="preserve"> (STC version)”; </w:t>
            </w:r>
            <w:r>
              <w:rPr>
                <w:rFonts w:cs="Segoe UI"/>
                <w:sz w:val="17"/>
                <w:szCs w:val="17"/>
              </w:rPr>
              <w:t xml:space="preserve">for AIs using the BSC approach, </w:t>
            </w:r>
            <w:r>
              <w:rPr>
                <w:sz w:val="17"/>
                <w:szCs w:val="17"/>
              </w:rPr>
              <w:t xml:space="preserve">the sum of values in [CR4(BSC):16/c] and [CR4(BSC):16/d] is equal to the value in [CR5(BSC):8/d] </w:t>
            </w:r>
            <w:r w:rsidRPr="00DE7326">
              <w:rPr>
                <w:sz w:val="17"/>
                <w:szCs w:val="17"/>
              </w:rPr>
              <w:t>under the</w:t>
            </w:r>
            <w:r>
              <w:rPr>
                <w:sz w:val="17"/>
                <w:szCs w:val="17"/>
              </w:rPr>
              <w:t xml:space="preserve"> table “</w:t>
            </w:r>
            <w:r w:rsidRPr="00DD3379">
              <w:rPr>
                <w:sz w:val="17"/>
                <w:szCs w:val="17"/>
              </w:rPr>
              <w:t>Exposure amounts and CCFs applied to off-balance sheet exposures, categorised based on risk bucket of converted exposures</w:t>
            </w:r>
            <w:r>
              <w:rPr>
                <w:sz w:val="17"/>
                <w:szCs w:val="17"/>
              </w:rPr>
              <w:t xml:space="preserve"> (BSC </w:t>
            </w:r>
            <w:r w:rsidRPr="00DE7326">
              <w:rPr>
                <w:sz w:val="17"/>
                <w:szCs w:val="17"/>
              </w:rPr>
              <w:t>version)”</w:t>
            </w:r>
            <w:r>
              <w:rPr>
                <w:sz w:val="17"/>
                <w:szCs w:val="17"/>
              </w:rPr>
              <w:t>.</w:t>
            </w:r>
          </w:p>
        </w:tc>
      </w:tr>
    </w:tbl>
    <w:p w14:paraId="21A261DC" w14:textId="77777777" w:rsidR="001929CC" w:rsidRDefault="001929CC" w:rsidP="001929CC">
      <w:pPr>
        <w:rPr>
          <w:rFonts w:eastAsia="新細明體"/>
          <w:lang w:eastAsia="zh-TW"/>
        </w:rPr>
        <w:sectPr w:rsidR="001929CC">
          <w:footerReference w:type="default" r:id="rId49"/>
          <w:pgSz w:w="16838" w:h="11906" w:orient="landscape" w:code="9"/>
          <w:pgMar w:top="1418" w:right="1440" w:bottom="1560" w:left="1440" w:header="851" w:footer="737" w:gutter="0"/>
          <w:cols w:space="425"/>
          <w:docGrid w:type="linesAndChars" w:linePitch="360"/>
        </w:sectPr>
      </w:pPr>
    </w:p>
    <w:p w14:paraId="6A65B72A" w14:textId="04DBC970" w:rsidR="001929CC" w:rsidRDefault="001929CC" w:rsidP="001929CC">
      <w:pPr>
        <w:pStyle w:val="Heading3"/>
        <w:ind w:left="142"/>
      </w:pPr>
      <w:r>
        <w:lastRenderedPageBreak/>
        <w:t>Template CR5: Credit risk exposures by exposure classes and by risk weights – for STC approach or BSC approach</w:t>
      </w:r>
    </w:p>
    <w:tbl>
      <w:tblPr>
        <w:tblW w:w="13892" w:type="dxa"/>
        <w:tblInd w:w="108"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552"/>
        <w:gridCol w:w="11340"/>
      </w:tblGrid>
      <w:tr w:rsidR="001929CC" w14:paraId="19584CAC" w14:textId="77777777" w:rsidTr="001929CC">
        <w:tc>
          <w:tcPr>
            <w:tcW w:w="2552" w:type="dxa"/>
          </w:tcPr>
          <w:p w14:paraId="344E54D1" w14:textId="77777777" w:rsidR="001929CC" w:rsidRDefault="001929CC" w:rsidP="001929CC">
            <w:pPr>
              <w:spacing w:before="40" w:after="40"/>
              <w:rPr>
                <w:noProof/>
                <w:sz w:val="17"/>
                <w:szCs w:val="17"/>
                <w:lang w:eastAsia="en-GB"/>
              </w:rPr>
            </w:pPr>
            <w:r>
              <w:rPr>
                <w:b/>
                <w:sz w:val="17"/>
                <w:szCs w:val="17"/>
                <w:lang w:eastAsia="en-GB"/>
              </w:rPr>
              <w:t>Purpose:</w:t>
            </w:r>
          </w:p>
        </w:tc>
        <w:tc>
          <w:tcPr>
            <w:tcW w:w="11340" w:type="dxa"/>
          </w:tcPr>
          <w:p w14:paraId="3C18AAAC" w14:textId="7ECB770B" w:rsidR="001929CC" w:rsidRDefault="001929CC" w:rsidP="001929CC">
            <w:pPr>
              <w:pStyle w:val="TableText"/>
              <w:jc w:val="both"/>
              <w:rPr>
                <w:lang w:eastAsia="en-GB"/>
              </w:rPr>
            </w:pPr>
            <w:r>
              <w:t>To present a breakdown of credit risk exposures by exposure classes and by risk weights (corresponding to the classification of exposures according to the approaches used).</w:t>
            </w:r>
          </w:p>
        </w:tc>
      </w:tr>
      <w:tr w:rsidR="001929CC" w14:paraId="6FA1F4A3" w14:textId="77777777" w:rsidTr="001929CC">
        <w:tc>
          <w:tcPr>
            <w:tcW w:w="2552" w:type="dxa"/>
          </w:tcPr>
          <w:p w14:paraId="6B822132" w14:textId="77777777" w:rsidR="001929CC" w:rsidRDefault="001929CC" w:rsidP="001929CC">
            <w:pPr>
              <w:spacing w:before="40" w:after="40"/>
              <w:rPr>
                <w:b/>
                <w:sz w:val="17"/>
                <w:szCs w:val="17"/>
                <w:lang w:eastAsia="en-GB"/>
              </w:rPr>
            </w:pPr>
            <w:r>
              <w:rPr>
                <w:b/>
                <w:sz w:val="17"/>
                <w:szCs w:val="17"/>
                <w:lang w:eastAsia="en-GB"/>
              </w:rPr>
              <w:t>Scope of application:</w:t>
            </w:r>
          </w:p>
        </w:tc>
        <w:tc>
          <w:tcPr>
            <w:tcW w:w="11340" w:type="dxa"/>
          </w:tcPr>
          <w:p w14:paraId="7A407CA3" w14:textId="77777777" w:rsidR="001929CC" w:rsidRDefault="001929CC" w:rsidP="001929CC">
            <w:pPr>
              <w:spacing w:before="40" w:after="40"/>
              <w:jc w:val="both"/>
              <w:rPr>
                <w:sz w:val="17"/>
                <w:szCs w:val="17"/>
              </w:rPr>
            </w:pPr>
            <w:r>
              <w:rPr>
                <w:rFonts w:eastAsia="新細明體"/>
                <w:sz w:val="17"/>
                <w:lang w:eastAsia="en-GB"/>
              </w:rPr>
              <w:t xml:space="preserve">The template, which comprises a STC version and a BSC version, is mandatory for AIs incorporated in Hong Kong that have credit risk exposures subject to the STC approach or the BSC approach.  The STC version of this template is to be completed by AIs that use the STC approach and the BSC version by AIs that use the BSC approach.  IRB </w:t>
            </w:r>
            <w:r>
              <w:rPr>
                <w:sz w:val="17"/>
                <w:lang w:eastAsia="en-GB"/>
              </w:rPr>
              <w:t xml:space="preserve">AIs with exposures subject to the STC approach should </w:t>
            </w:r>
            <w:r>
              <w:rPr>
                <w:sz w:val="17"/>
                <w:szCs w:val="17"/>
                <w:lang w:eastAsia="en-GB"/>
              </w:rPr>
              <w:t xml:space="preserve">report such exposures in the STC version.  However, </w:t>
            </w:r>
            <w:r>
              <w:rPr>
                <w:sz w:val="17"/>
                <w:szCs w:val="17"/>
              </w:rPr>
              <w:t xml:space="preserve">an AI may choose not to disclose the information required in this template provided that the following conditions are met: </w:t>
            </w:r>
          </w:p>
          <w:p w14:paraId="16FA74A0" w14:textId="77777777" w:rsidR="001929CC" w:rsidRDefault="001929CC" w:rsidP="008D652E">
            <w:pPr>
              <w:pStyle w:val="Default"/>
              <w:numPr>
                <w:ilvl w:val="0"/>
                <w:numId w:val="17"/>
              </w:numPr>
              <w:ind w:left="459" w:hanging="459"/>
              <w:jc w:val="both"/>
              <w:rPr>
                <w:sz w:val="17"/>
                <w:szCs w:val="17"/>
              </w:rPr>
            </w:pPr>
            <w:r>
              <w:rPr>
                <w:sz w:val="17"/>
                <w:szCs w:val="17"/>
              </w:rPr>
              <w:t>the credit exposure amounts and RWA calculated are negligible;</w:t>
            </w:r>
          </w:p>
          <w:p w14:paraId="2158D7E6" w14:textId="77777777" w:rsidR="001929CC" w:rsidRDefault="001929CC" w:rsidP="008D652E">
            <w:pPr>
              <w:pStyle w:val="Default"/>
              <w:numPr>
                <w:ilvl w:val="0"/>
                <w:numId w:val="17"/>
              </w:numPr>
              <w:ind w:left="459" w:hanging="459"/>
              <w:jc w:val="both"/>
              <w:rPr>
                <w:sz w:val="17"/>
                <w:szCs w:val="17"/>
              </w:rPr>
            </w:pPr>
            <w:r>
              <w:rPr>
                <w:sz w:val="17"/>
                <w:szCs w:val="17"/>
              </w:rPr>
              <w:t xml:space="preserve">the AI has clearly stated this fact in the disclosure statement; and </w:t>
            </w:r>
          </w:p>
          <w:p w14:paraId="685F47C0" w14:textId="77777777" w:rsidR="001929CC" w:rsidRPr="002C225F" w:rsidRDefault="001929CC" w:rsidP="008D652E">
            <w:pPr>
              <w:pStyle w:val="Default"/>
              <w:numPr>
                <w:ilvl w:val="0"/>
                <w:numId w:val="17"/>
              </w:numPr>
              <w:ind w:left="459" w:hanging="459"/>
              <w:jc w:val="both"/>
              <w:rPr>
                <w:sz w:val="17"/>
                <w:szCs w:val="17"/>
              </w:rPr>
            </w:pPr>
            <w:r>
              <w:rPr>
                <w:sz w:val="17"/>
                <w:szCs w:val="17"/>
              </w:rPr>
              <w:t>the AI has explained in a narrative commentary why it considers the information not to be meaningful to information users, including a description of the exposures included in the respective portfolios and the aggregate total RWAs from such exposures.</w:t>
            </w:r>
            <w:r>
              <w:rPr>
                <w:sz w:val="17"/>
                <w:lang w:eastAsia="en-GB"/>
              </w:rPr>
              <w:t xml:space="preserve"> </w:t>
            </w:r>
          </w:p>
          <w:p w14:paraId="2A508F9B" w14:textId="77777777" w:rsidR="001929CC" w:rsidRDefault="001929CC" w:rsidP="001929CC">
            <w:pPr>
              <w:pStyle w:val="Default"/>
              <w:jc w:val="both"/>
              <w:rPr>
                <w:sz w:val="17"/>
                <w:szCs w:val="17"/>
              </w:rPr>
            </w:pPr>
            <w:r>
              <w:rPr>
                <w:sz w:val="17"/>
                <w:szCs w:val="17"/>
              </w:rPr>
              <w:t>CIS exposures should not be reported in this template but in Template OV1.</w:t>
            </w:r>
          </w:p>
        </w:tc>
      </w:tr>
      <w:tr w:rsidR="001929CC" w14:paraId="17A08D22" w14:textId="77777777" w:rsidTr="001929CC">
        <w:trPr>
          <w:trHeight w:val="275"/>
        </w:trPr>
        <w:tc>
          <w:tcPr>
            <w:tcW w:w="2552" w:type="dxa"/>
          </w:tcPr>
          <w:p w14:paraId="33330E6C" w14:textId="77777777" w:rsidR="001929CC" w:rsidRDefault="001929CC" w:rsidP="001929CC">
            <w:pPr>
              <w:spacing w:before="40" w:after="40"/>
              <w:rPr>
                <w:b/>
                <w:sz w:val="17"/>
                <w:szCs w:val="17"/>
                <w:lang w:eastAsia="en-GB"/>
              </w:rPr>
            </w:pPr>
            <w:r>
              <w:rPr>
                <w:b/>
                <w:sz w:val="17"/>
                <w:szCs w:val="17"/>
                <w:lang w:eastAsia="en-GB"/>
              </w:rPr>
              <w:t>Content:</w:t>
            </w:r>
          </w:p>
        </w:tc>
        <w:tc>
          <w:tcPr>
            <w:tcW w:w="11340" w:type="dxa"/>
          </w:tcPr>
          <w:p w14:paraId="48BD0CCA" w14:textId="77777777" w:rsidR="001929CC" w:rsidRDefault="001929CC" w:rsidP="001929CC">
            <w:pPr>
              <w:spacing w:before="40" w:after="40"/>
              <w:jc w:val="both"/>
              <w:rPr>
                <w:rFonts w:eastAsia="新細明體"/>
                <w:b/>
                <w:sz w:val="17"/>
                <w:lang w:eastAsia="en-GB"/>
              </w:rPr>
            </w:pPr>
            <w:r>
              <w:rPr>
                <w:rFonts w:eastAsia="新細明體"/>
                <w:sz w:val="17"/>
                <w:lang w:eastAsia="en-GB"/>
              </w:rPr>
              <w:t xml:space="preserve">Credit risk exposure amounts for the purpose of capital adequacy, after </w:t>
            </w:r>
            <w:r>
              <w:rPr>
                <w:sz w:val="17"/>
                <w:szCs w:val="17"/>
              </w:rPr>
              <w:t>taking into account CCFs and the effect of recognized CRM</w:t>
            </w:r>
            <w:r>
              <w:rPr>
                <w:rFonts w:eastAsia="新細明體"/>
                <w:sz w:val="17"/>
                <w:lang w:eastAsia="en-GB"/>
              </w:rPr>
              <w:t>.</w:t>
            </w:r>
          </w:p>
        </w:tc>
      </w:tr>
      <w:tr w:rsidR="001929CC" w14:paraId="7CCE0C2C" w14:textId="77777777" w:rsidTr="001929CC">
        <w:tc>
          <w:tcPr>
            <w:tcW w:w="2552" w:type="dxa"/>
          </w:tcPr>
          <w:p w14:paraId="05530C79" w14:textId="77777777" w:rsidR="001929CC" w:rsidRDefault="001929CC" w:rsidP="001929CC">
            <w:pPr>
              <w:spacing w:before="40" w:after="40"/>
              <w:rPr>
                <w:sz w:val="17"/>
                <w:szCs w:val="17"/>
                <w:lang w:eastAsia="en-GB"/>
              </w:rPr>
            </w:pPr>
            <w:r>
              <w:rPr>
                <w:b/>
                <w:sz w:val="17"/>
                <w:szCs w:val="17"/>
                <w:lang w:eastAsia="en-GB"/>
              </w:rPr>
              <w:t>Frequency:</w:t>
            </w:r>
          </w:p>
        </w:tc>
        <w:tc>
          <w:tcPr>
            <w:tcW w:w="11340" w:type="dxa"/>
          </w:tcPr>
          <w:p w14:paraId="5E123D7F" w14:textId="77777777" w:rsidR="001929CC" w:rsidRDefault="001929CC" w:rsidP="001929CC">
            <w:pPr>
              <w:pStyle w:val="TableText"/>
              <w:jc w:val="both"/>
              <w:rPr>
                <w:lang w:eastAsia="en-GB"/>
              </w:rPr>
            </w:pPr>
            <w:r>
              <w:rPr>
                <w:lang w:eastAsia="en-GB"/>
              </w:rPr>
              <w:t xml:space="preserve">Semi-annual. </w:t>
            </w:r>
          </w:p>
        </w:tc>
      </w:tr>
      <w:tr w:rsidR="001929CC" w14:paraId="379F8578" w14:textId="77777777" w:rsidTr="001929CC">
        <w:tc>
          <w:tcPr>
            <w:tcW w:w="2552" w:type="dxa"/>
          </w:tcPr>
          <w:p w14:paraId="07B5E86D" w14:textId="77777777" w:rsidR="001929CC" w:rsidRDefault="001929CC" w:rsidP="001929CC">
            <w:pPr>
              <w:spacing w:before="40" w:after="40"/>
              <w:rPr>
                <w:sz w:val="17"/>
                <w:szCs w:val="17"/>
                <w:lang w:eastAsia="en-GB"/>
              </w:rPr>
            </w:pPr>
            <w:r>
              <w:rPr>
                <w:b/>
                <w:sz w:val="17"/>
                <w:szCs w:val="17"/>
                <w:lang w:eastAsia="en-GB"/>
              </w:rPr>
              <w:t>Format:</w:t>
            </w:r>
          </w:p>
        </w:tc>
        <w:tc>
          <w:tcPr>
            <w:tcW w:w="11340" w:type="dxa"/>
          </w:tcPr>
          <w:p w14:paraId="68A25B90" w14:textId="77777777" w:rsidR="001929CC" w:rsidRDefault="001929CC" w:rsidP="001929CC">
            <w:pPr>
              <w:pStyle w:val="TableText"/>
              <w:jc w:val="both"/>
              <w:rPr>
                <w:lang w:eastAsia="en-GB"/>
              </w:rPr>
            </w:pPr>
            <w:r>
              <w:rPr>
                <w:lang w:eastAsia="en-GB"/>
              </w:rPr>
              <w:t xml:space="preserve">Fixed.  </w:t>
            </w:r>
            <w:r>
              <w:rPr>
                <w:rFonts w:eastAsia="新細明體"/>
                <w:lang w:eastAsia="en-GB"/>
              </w:rPr>
              <w:t>The columns are fixed and the rows in the STC version and the BSC version of this template reflect respectively the exposure classes as defined under the BCR.</w:t>
            </w:r>
          </w:p>
        </w:tc>
      </w:tr>
      <w:tr w:rsidR="001929CC" w14:paraId="6F4CEBDE" w14:textId="77777777" w:rsidTr="001929CC">
        <w:tc>
          <w:tcPr>
            <w:tcW w:w="2552" w:type="dxa"/>
          </w:tcPr>
          <w:p w14:paraId="7DD0247B" w14:textId="77777777" w:rsidR="001929CC" w:rsidRDefault="001929CC" w:rsidP="001929CC">
            <w:pPr>
              <w:spacing w:before="40" w:after="40"/>
              <w:rPr>
                <w:b/>
                <w:sz w:val="17"/>
                <w:szCs w:val="17"/>
                <w:lang w:eastAsia="en-GB"/>
              </w:rPr>
            </w:pPr>
            <w:r>
              <w:rPr>
                <w:rFonts w:eastAsia="新細明體"/>
                <w:b/>
                <w:sz w:val="17"/>
                <w:szCs w:val="17"/>
                <w:lang w:eastAsia="en-GB"/>
              </w:rPr>
              <w:t>Accompanying narrative:</w:t>
            </w:r>
          </w:p>
        </w:tc>
        <w:tc>
          <w:tcPr>
            <w:tcW w:w="11340" w:type="dxa"/>
          </w:tcPr>
          <w:p w14:paraId="3514855C" w14:textId="73A62BC8" w:rsidR="001929CC" w:rsidRDefault="001929CC" w:rsidP="00976526">
            <w:pPr>
              <w:pStyle w:val="TableText"/>
              <w:jc w:val="both"/>
              <w:rPr>
                <w:noProof/>
                <w:lang w:eastAsia="en-GB"/>
              </w:rPr>
            </w:pPr>
            <w:r>
              <w:rPr>
                <w:lang w:eastAsia="en-GB"/>
              </w:rPr>
              <w:t xml:space="preserve">An AI should </w:t>
            </w:r>
            <w:r>
              <w:rPr>
                <w:szCs w:val="17"/>
                <w:lang w:eastAsia="en-GB"/>
              </w:rPr>
              <w:t>supplement the template with a narrative commentary to explain any material movements in the current reporting period and the key drivers of such movements.  An AI</w:t>
            </w:r>
            <w:r w:rsidRPr="00DE700B">
              <w:rPr>
                <w:szCs w:val="17"/>
                <w:lang w:eastAsia="en-GB"/>
              </w:rPr>
              <w:t xml:space="preserve"> should describe the sequence in which CCFs, provisioning and credit risk mitigation measures are applied</w:t>
            </w:r>
            <w:r w:rsidR="00B50624">
              <w:rPr>
                <w:szCs w:val="17"/>
                <w:lang w:eastAsia="en-GB"/>
              </w:rPr>
              <w:t xml:space="preserve"> in relation</w:t>
            </w:r>
            <w:r>
              <w:rPr>
                <w:szCs w:val="17"/>
                <w:lang w:eastAsia="en-GB"/>
              </w:rPr>
              <w:t xml:space="preserve"> to both on-balance sheet and off-balance sheet exposures, where applicable.</w:t>
            </w:r>
          </w:p>
        </w:tc>
      </w:tr>
      <w:tr w:rsidR="001929CC" w14:paraId="275E0204" w14:textId="77777777" w:rsidTr="001929CC">
        <w:tc>
          <w:tcPr>
            <w:tcW w:w="2552" w:type="dxa"/>
          </w:tcPr>
          <w:p w14:paraId="75018E7E" w14:textId="77777777" w:rsidR="001929CC" w:rsidRDefault="001929CC" w:rsidP="001929CC">
            <w:pPr>
              <w:spacing w:before="40" w:after="40"/>
              <w:rPr>
                <w:rFonts w:eastAsia="新細明體"/>
                <w:b/>
                <w:sz w:val="17"/>
                <w:szCs w:val="17"/>
                <w:lang w:eastAsia="en-GB"/>
              </w:rPr>
            </w:pPr>
            <w:r>
              <w:rPr>
                <w:rFonts w:eastAsia="新細明體"/>
                <w:b/>
                <w:sz w:val="17"/>
                <w:szCs w:val="17"/>
                <w:lang w:eastAsia="en-GB"/>
              </w:rPr>
              <w:t>Corresponding BDR section:</w:t>
            </w:r>
          </w:p>
        </w:tc>
        <w:tc>
          <w:tcPr>
            <w:tcW w:w="11340" w:type="dxa"/>
          </w:tcPr>
          <w:p w14:paraId="57C478E0" w14:textId="77777777" w:rsidR="001929CC" w:rsidRDefault="001929CC" w:rsidP="001929CC">
            <w:pPr>
              <w:pStyle w:val="TableText"/>
              <w:jc w:val="both"/>
              <w:rPr>
                <w:lang w:eastAsia="en-GB"/>
              </w:rPr>
            </w:pPr>
            <w:r>
              <w:rPr>
                <w:szCs w:val="17"/>
                <w:lang w:eastAsia="en-GB"/>
              </w:rPr>
              <w:t>16O</w:t>
            </w:r>
          </w:p>
        </w:tc>
      </w:tr>
    </w:tbl>
    <w:p w14:paraId="5C8028B8" w14:textId="372253AC" w:rsidR="001929CC" w:rsidRDefault="001929CC" w:rsidP="001929CC">
      <w:pPr>
        <w:spacing w:before="40" w:after="40"/>
        <w:rPr>
          <w:sz w:val="22"/>
        </w:rPr>
      </w:pPr>
    </w:p>
    <w:p w14:paraId="3AF0B14C" w14:textId="77777777" w:rsidR="008950BE" w:rsidRDefault="008950BE" w:rsidP="001929CC">
      <w:pPr>
        <w:spacing w:before="40" w:after="40"/>
        <w:rPr>
          <w:sz w:val="22"/>
        </w:rPr>
      </w:pPr>
    </w:p>
    <w:p w14:paraId="3BA70FCF" w14:textId="77777777" w:rsidR="001929CC" w:rsidRDefault="001929CC" w:rsidP="001929CC">
      <w:pPr>
        <w:spacing w:before="40" w:after="40"/>
        <w:rPr>
          <w:sz w:val="22"/>
        </w:rPr>
      </w:pPr>
    </w:p>
    <w:p w14:paraId="57B299B2" w14:textId="77777777" w:rsidR="001929CC" w:rsidRDefault="001929CC" w:rsidP="001929CC">
      <w:pPr>
        <w:spacing w:before="40" w:after="40"/>
        <w:rPr>
          <w:u w:val="single"/>
        </w:rPr>
      </w:pPr>
      <w:r>
        <w:rPr>
          <w:u w:val="single"/>
        </w:rPr>
        <w:lastRenderedPageBreak/>
        <w:t>Version for AIs using STC approach (“STC version”)</w:t>
      </w:r>
    </w:p>
    <w:p w14:paraId="4B5FB8A9" w14:textId="60599533" w:rsidR="00DD6E45" w:rsidRPr="00DD6E45" w:rsidRDefault="00DD6E45" w:rsidP="00291666">
      <w:pPr>
        <w:rPr>
          <w:rFonts w:cs="Segoe UI"/>
          <w:sz w:val="17"/>
          <w:szCs w:val="17"/>
          <w:u w:val="single"/>
        </w:rPr>
      </w:pPr>
    </w:p>
    <w:tbl>
      <w:tblPr>
        <w:tblW w:w="14166"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44"/>
        <w:gridCol w:w="4211"/>
        <w:gridCol w:w="1064"/>
        <w:gridCol w:w="1065"/>
        <w:gridCol w:w="1064"/>
        <w:gridCol w:w="1065"/>
        <w:gridCol w:w="1067"/>
        <w:gridCol w:w="1068"/>
        <w:gridCol w:w="3118"/>
      </w:tblGrid>
      <w:tr w:rsidR="00DD6E45" w:rsidRPr="00DD6E45" w14:paraId="17747A01" w14:textId="77777777" w:rsidTr="00E46713">
        <w:trPr>
          <w:trHeight w:val="283"/>
        </w:trPr>
        <w:tc>
          <w:tcPr>
            <w:tcW w:w="444" w:type="dxa"/>
            <w:tcBorders>
              <w:top w:val="single" w:sz="4" w:space="0" w:color="auto"/>
              <w:left w:val="nil"/>
              <w:bottom w:val="nil"/>
              <w:right w:val="single" w:sz="4" w:space="0" w:color="auto"/>
            </w:tcBorders>
          </w:tcPr>
          <w:p w14:paraId="323C00D0" w14:textId="77777777" w:rsidR="00DD6E45" w:rsidRPr="00DD6E45" w:rsidRDefault="00DD6E45" w:rsidP="00DD6E45">
            <w:pPr>
              <w:spacing w:before="40" w:after="40"/>
              <w:rPr>
                <w:rFonts w:cs="Segoe UI"/>
                <w:sz w:val="17"/>
                <w:szCs w:val="17"/>
              </w:rPr>
            </w:pPr>
            <w:r w:rsidRPr="00DD6E45">
              <w:rPr>
                <w:rFonts w:cs="Segoe UI"/>
                <w:sz w:val="17"/>
                <w:szCs w:val="17"/>
              </w:rPr>
              <w:br w:type="page"/>
            </w:r>
          </w:p>
        </w:tc>
        <w:tc>
          <w:tcPr>
            <w:tcW w:w="4211" w:type="dxa"/>
            <w:tcBorders>
              <w:top w:val="single" w:sz="4" w:space="0" w:color="auto"/>
              <w:left w:val="single" w:sz="4" w:space="0" w:color="auto"/>
              <w:bottom w:val="single" w:sz="4" w:space="0" w:color="auto"/>
              <w:right w:val="single" w:sz="4" w:space="0" w:color="auto"/>
            </w:tcBorders>
            <w:noWrap/>
          </w:tcPr>
          <w:p w14:paraId="42F80819" w14:textId="77777777" w:rsidR="00DD6E45" w:rsidRPr="00DD6E45" w:rsidRDefault="00DD6E45" w:rsidP="00DD6E45">
            <w:pPr>
              <w:spacing w:before="40" w:after="40"/>
              <w:rPr>
                <w:rFonts w:cs="Segoe UI"/>
                <w:sz w:val="17"/>
                <w:szCs w:val="17"/>
              </w:rPr>
            </w:pPr>
          </w:p>
        </w:tc>
        <w:tc>
          <w:tcPr>
            <w:tcW w:w="1064" w:type="dxa"/>
            <w:tcBorders>
              <w:top w:val="single" w:sz="4" w:space="0" w:color="auto"/>
              <w:left w:val="single" w:sz="4" w:space="0" w:color="auto"/>
              <w:bottom w:val="single" w:sz="4" w:space="0" w:color="auto"/>
              <w:right w:val="single" w:sz="4" w:space="0" w:color="auto"/>
            </w:tcBorders>
            <w:noWrap/>
            <w:vAlign w:val="center"/>
            <w:hideMark/>
          </w:tcPr>
          <w:p w14:paraId="405B8D6F" w14:textId="77777777" w:rsidR="00DD6E45" w:rsidRPr="00DD6E45" w:rsidRDefault="00DD6E45" w:rsidP="003A79BA">
            <w:pPr>
              <w:spacing w:before="40" w:after="40"/>
              <w:jc w:val="center"/>
              <w:rPr>
                <w:rFonts w:cs="Segoe UI"/>
                <w:sz w:val="17"/>
                <w:szCs w:val="17"/>
              </w:rPr>
            </w:pPr>
            <w:r w:rsidRPr="00DD6E45">
              <w:rPr>
                <w:rFonts w:cs="Segoe UI"/>
                <w:sz w:val="17"/>
                <w:szCs w:val="17"/>
              </w:rPr>
              <w:t>0%</w:t>
            </w:r>
          </w:p>
        </w:tc>
        <w:tc>
          <w:tcPr>
            <w:tcW w:w="1065" w:type="dxa"/>
            <w:tcBorders>
              <w:top w:val="single" w:sz="4" w:space="0" w:color="auto"/>
              <w:left w:val="single" w:sz="4" w:space="0" w:color="auto"/>
              <w:bottom w:val="single" w:sz="4" w:space="0" w:color="auto"/>
              <w:right w:val="single" w:sz="4" w:space="0" w:color="auto"/>
            </w:tcBorders>
            <w:noWrap/>
            <w:vAlign w:val="center"/>
            <w:hideMark/>
          </w:tcPr>
          <w:p w14:paraId="134DB9D0" w14:textId="77777777" w:rsidR="00DD6E45" w:rsidRPr="00DD6E45" w:rsidRDefault="00DD6E45" w:rsidP="003A79BA">
            <w:pPr>
              <w:spacing w:before="40" w:after="40"/>
              <w:jc w:val="center"/>
              <w:rPr>
                <w:rFonts w:cs="Segoe UI"/>
                <w:sz w:val="17"/>
                <w:szCs w:val="17"/>
              </w:rPr>
            </w:pPr>
            <w:r w:rsidRPr="00DD6E45">
              <w:rPr>
                <w:rFonts w:cs="Segoe UI"/>
                <w:sz w:val="17"/>
                <w:szCs w:val="17"/>
              </w:rPr>
              <w:t>20%</w:t>
            </w:r>
          </w:p>
        </w:tc>
        <w:tc>
          <w:tcPr>
            <w:tcW w:w="1064" w:type="dxa"/>
            <w:tcBorders>
              <w:top w:val="single" w:sz="4" w:space="0" w:color="auto"/>
              <w:left w:val="single" w:sz="4" w:space="0" w:color="auto"/>
              <w:bottom w:val="single" w:sz="4" w:space="0" w:color="auto"/>
              <w:right w:val="single" w:sz="4" w:space="0" w:color="auto"/>
            </w:tcBorders>
            <w:noWrap/>
            <w:vAlign w:val="center"/>
            <w:hideMark/>
          </w:tcPr>
          <w:p w14:paraId="27DE15EA" w14:textId="77777777" w:rsidR="00DD6E45" w:rsidRPr="00DD6E45" w:rsidRDefault="00DD6E45" w:rsidP="003A79BA">
            <w:pPr>
              <w:spacing w:before="40" w:after="40"/>
              <w:jc w:val="center"/>
              <w:rPr>
                <w:rFonts w:cs="Segoe UI"/>
                <w:sz w:val="17"/>
                <w:szCs w:val="17"/>
              </w:rPr>
            </w:pPr>
            <w:r w:rsidRPr="00DD6E45">
              <w:rPr>
                <w:rFonts w:cs="Segoe UI"/>
                <w:sz w:val="17"/>
                <w:szCs w:val="17"/>
              </w:rPr>
              <w:t>50%</w:t>
            </w:r>
          </w:p>
        </w:tc>
        <w:tc>
          <w:tcPr>
            <w:tcW w:w="1065" w:type="dxa"/>
            <w:tcBorders>
              <w:top w:val="single" w:sz="4" w:space="0" w:color="auto"/>
              <w:left w:val="single" w:sz="4" w:space="0" w:color="auto"/>
              <w:bottom w:val="single" w:sz="4" w:space="0" w:color="auto"/>
              <w:right w:val="single" w:sz="4" w:space="0" w:color="auto"/>
            </w:tcBorders>
            <w:vAlign w:val="center"/>
            <w:hideMark/>
          </w:tcPr>
          <w:p w14:paraId="0DFB7213" w14:textId="77777777" w:rsidR="00DD6E45" w:rsidRPr="00DD6E45" w:rsidRDefault="00DD6E45" w:rsidP="003A79BA">
            <w:pPr>
              <w:spacing w:before="40" w:after="40"/>
              <w:jc w:val="center"/>
              <w:rPr>
                <w:rFonts w:cs="Segoe UI"/>
                <w:sz w:val="17"/>
                <w:szCs w:val="17"/>
              </w:rPr>
            </w:pPr>
            <w:r w:rsidRPr="00DD6E45">
              <w:rPr>
                <w:rFonts w:cs="Segoe UI"/>
                <w:sz w:val="17"/>
                <w:szCs w:val="17"/>
              </w:rPr>
              <w:t>100%</w:t>
            </w:r>
          </w:p>
        </w:tc>
        <w:tc>
          <w:tcPr>
            <w:tcW w:w="1067" w:type="dxa"/>
            <w:tcBorders>
              <w:top w:val="single" w:sz="4" w:space="0" w:color="auto"/>
              <w:left w:val="single" w:sz="4" w:space="0" w:color="auto"/>
              <w:bottom w:val="single" w:sz="4" w:space="0" w:color="auto"/>
              <w:right w:val="single" w:sz="4" w:space="0" w:color="auto"/>
            </w:tcBorders>
            <w:vAlign w:val="center"/>
            <w:hideMark/>
          </w:tcPr>
          <w:p w14:paraId="025401FF" w14:textId="77777777" w:rsidR="00DD6E45" w:rsidRPr="00DD6E45" w:rsidRDefault="00DD6E45" w:rsidP="003A79BA">
            <w:pPr>
              <w:spacing w:before="40" w:after="40"/>
              <w:jc w:val="center"/>
              <w:rPr>
                <w:rFonts w:cs="Segoe UI"/>
                <w:sz w:val="17"/>
                <w:szCs w:val="17"/>
              </w:rPr>
            </w:pPr>
            <w:r w:rsidRPr="00DD6E45">
              <w:rPr>
                <w:rFonts w:cs="Segoe UI"/>
                <w:sz w:val="17"/>
                <w:szCs w:val="17"/>
              </w:rPr>
              <w:t>150%</w:t>
            </w:r>
          </w:p>
        </w:tc>
        <w:tc>
          <w:tcPr>
            <w:tcW w:w="1068" w:type="dxa"/>
            <w:tcBorders>
              <w:top w:val="single" w:sz="4" w:space="0" w:color="auto"/>
              <w:left w:val="single" w:sz="4" w:space="0" w:color="auto"/>
              <w:bottom w:val="single" w:sz="4" w:space="0" w:color="auto"/>
              <w:right w:val="single" w:sz="4" w:space="0" w:color="auto"/>
            </w:tcBorders>
            <w:vAlign w:val="center"/>
            <w:hideMark/>
          </w:tcPr>
          <w:p w14:paraId="6BDD44DD" w14:textId="77777777" w:rsidR="00DD6E45" w:rsidRPr="00DD6E45" w:rsidRDefault="00DD6E45" w:rsidP="003A79BA">
            <w:pPr>
              <w:spacing w:before="40" w:after="40"/>
              <w:jc w:val="center"/>
              <w:rPr>
                <w:rFonts w:cs="Segoe UI"/>
                <w:sz w:val="17"/>
                <w:szCs w:val="17"/>
              </w:rPr>
            </w:pPr>
            <w:r w:rsidRPr="00DD6E45">
              <w:rPr>
                <w:rFonts w:cs="Segoe UI"/>
                <w:sz w:val="17"/>
                <w:szCs w:val="17"/>
              </w:rPr>
              <w:t>Other</w:t>
            </w:r>
          </w:p>
        </w:tc>
        <w:tc>
          <w:tcPr>
            <w:tcW w:w="3118" w:type="dxa"/>
            <w:tcBorders>
              <w:top w:val="single" w:sz="4" w:space="0" w:color="auto"/>
              <w:left w:val="single" w:sz="4" w:space="0" w:color="auto"/>
              <w:bottom w:val="single" w:sz="4" w:space="0" w:color="auto"/>
              <w:right w:val="single" w:sz="4" w:space="0" w:color="auto"/>
            </w:tcBorders>
            <w:noWrap/>
            <w:vAlign w:val="center"/>
            <w:hideMark/>
          </w:tcPr>
          <w:p w14:paraId="22A7B917" w14:textId="77777777" w:rsidR="00DD6E45" w:rsidRPr="00DD6E45" w:rsidRDefault="00DD6E45" w:rsidP="00DD6E45">
            <w:pPr>
              <w:spacing w:before="40" w:after="40"/>
              <w:rPr>
                <w:rFonts w:cs="Segoe UI"/>
                <w:sz w:val="17"/>
                <w:szCs w:val="17"/>
              </w:rPr>
            </w:pPr>
            <w:r w:rsidRPr="00DD6E45">
              <w:rPr>
                <w:rFonts w:cs="Segoe UI"/>
                <w:sz w:val="17"/>
                <w:szCs w:val="17"/>
              </w:rPr>
              <w:t>Total credit exposure amount (post-CCF and post-CRM)</w:t>
            </w:r>
          </w:p>
        </w:tc>
      </w:tr>
      <w:tr w:rsidR="00DD6E45" w:rsidRPr="00DD6E45" w14:paraId="441017D9" w14:textId="77777777" w:rsidTr="00E46713">
        <w:trPr>
          <w:trHeight w:val="283"/>
        </w:trPr>
        <w:tc>
          <w:tcPr>
            <w:tcW w:w="444" w:type="dxa"/>
            <w:tcBorders>
              <w:top w:val="nil"/>
              <w:left w:val="nil"/>
              <w:bottom w:val="single" w:sz="4" w:space="0" w:color="auto"/>
              <w:right w:val="single" w:sz="4" w:space="0" w:color="auto"/>
            </w:tcBorders>
            <w:hideMark/>
          </w:tcPr>
          <w:p w14:paraId="6A793940" w14:textId="77777777" w:rsidR="00DD6E45" w:rsidRPr="00DD6E45" w:rsidRDefault="00DD6E45" w:rsidP="00DD6E45">
            <w:pPr>
              <w:spacing w:before="40" w:after="40"/>
              <w:rPr>
                <w:rFonts w:cs="Segoe UI"/>
                <w:sz w:val="17"/>
                <w:szCs w:val="17"/>
              </w:rPr>
            </w:pPr>
            <w:r w:rsidRPr="00DD6E45">
              <w:rPr>
                <w:rFonts w:cs="Segoe UI"/>
                <w:sz w:val="17"/>
                <w:szCs w:val="17"/>
              </w:rPr>
              <w:t>1</w:t>
            </w:r>
          </w:p>
        </w:tc>
        <w:tc>
          <w:tcPr>
            <w:tcW w:w="4211" w:type="dxa"/>
            <w:tcBorders>
              <w:top w:val="single" w:sz="4" w:space="0" w:color="auto"/>
              <w:left w:val="single" w:sz="4" w:space="0" w:color="auto"/>
              <w:bottom w:val="single" w:sz="4" w:space="0" w:color="auto"/>
              <w:right w:val="single" w:sz="4" w:space="0" w:color="auto"/>
            </w:tcBorders>
            <w:noWrap/>
            <w:hideMark/>
          </w:tcPr>
          <w:p w14:paraId="479631A1" w14:textId="77777777" w:rsidR="00DD6E45" w:rsidRPr="00DD6E45" w:rsidRDefault="00DD6E45" w:rsidP="00DD6E45">
            <w:pPr>
              <w:spacing w:before="40" w:after="40"/>
              <w:rPr>
                <w:rFonts w:cs="Segoe UI"/>
                <w:sz w:val="17"/>
                <w:szCs w:val="17"/>
              </w:rPr>
            </w:pPr>
            <w:r w:rsidRPr="00DD6E45">
              <w:rPr>
                <w:rFonts w:cs="Segoe UI"/>
                <w:sz w:val="17"/>
                <w:szCs w:val="17"/>
              </w:rPr>
              <w:t>Sovereign exposures</w:t>
            </w:r>
          </w:p>
        </w:tc>
        <w:tc>
          <w:tcPr>
            <w:tcW w:w="1064" w:type="dxa"/>
            <w:tcBorders>
              <w:top w:val="single" w:sz="4" w:space="0" w:color="auto"/>
              <w:left w:val="single" w:sz="4" w:space="0" w:color="auto"/>
              <w:bottom w:val="single" w:sz="4" w:space="0" w:color="auto"/>
              <w:right w:val="single" w:sz="4" w:space="0" w:color="auto"/>
            </w:tcBorders>
            <w:noWrap/>
          </w:tcPr>
          <w:p w14:paraId="67FABE1C" w14:textId="77777777" w:rsidR="00DD6E45" w:rsidRPr="00DD6E45" w:rsidRDefault="00DD6E45" w:rsidP="00DD6E45">
            <w:pPr>
              <w:spacing w:before="40" w:after="40"/>
              <w:rPr>
                <w:rFonts w:cs="Segoe UI"/>
                <w:sz w:val="17"/>
                <w:szCs w:val="17"/>
              </w:rPr>
            </w:pPr>
          </w:p>
        </w:tc>
        <w:tc>
          <w:tcPr>
            <w:tcW w:w="1065" w:type="dxa"/>
            <w:tcBorders>
              <w:top w:val="single" w:sz="4" w:space="0" w:color="auto"/>
              <w:left w:val="single" w:sz="4" w:space="0" w:color="auto"/>
              <w:bottom w:val="single" w:sz="4" w:space="0" w:color="auto"/>
              <w:right w:val="single" w:sz="4" w:space="0" w:color="auto"/>
            </w:tcBorders>
            <w:noWrap/>
          </w:tcPr>
          <w:p w14:paraId="195C2319" w14:textId="77777777" w:rsidR="00DD6E45" w:rsidRPr="00DD6E45" w:rsidRDefault="00DD6E45" w:rsidP="00DD6E45">
            <w:pPr>
              <w:spacing w:before="40" w:after="40"/>
              <w:rPr>
                <w:rFonts w:cs="Segoe UI"/>
                <w:sz w:val="17"/>
                <w:szCs w:val="17"/>
              </w:rPr>
            </w:pPr>
          </w:p>
        </w:tc>
        <w:tc>
          <w:tcPr>
            <w:tcW w:w="1064" w:type="dxa"/>
            <w:tcBorders>
              <w:top w:val="single" w:sz="4" w:space="0" w:color="auto"/>
              <w:left w:val="single" w:sz="4" w:space="0" w:color="auto"/>
              <w:bottom w:val="single" w:sz="4" w:space="0" w:color="auto"/>
              <w:right w:val="single" w:sz="4" w:space="0" w:color="auto"/>
            </w:tcBorders>
            <w:noWrap/>
          </w:tcPr>
          <w:p w14:paraId="7EBB3146" w14:textId="77777777" w:rsidR="00DD6E45" w:rsidRPr="00DD6E45" w:rsidRDefault="00DD6E45" w:rsidP="00DD6E45">
            <w:pPr>
              <w:spacing w:before="40" w:after="40"/>
              <w:rPr>
                <w:rFonts w:cs="Segoe UI"/>
                <w:sz w:val="17"/>
                <w:szCs w:val="17"/>
              </w:rPr>
            </w:pPr>
          </w:p>
        </w:tc>
        <w:tc>
          <w:tcPr>
            <w:tcW w:w="1065" w:type="dxa"/>
            <w:tcBorders>
              <w:top w:val="single" w:sz="4" w:space="0" w:color="auto"/>
              <w:left w:val="single" w:sz="4" w:space="0" w:color="auto"/>
              <w:bottom w:val="single" w:sz="4" w:space="0" w:color="auto"/>
              <w:right w:val="single" w:sz="4" w:space="0" w:color="auto"/>
            </w:tcBorders>
          </w:tcPr>
          <w:p w14:paraId="6E5E374C" w14:textId="77777777" w:rsidR="00DD6E45" w:rsidRPr="00DD6E45" w:rsidRDefault="00DD6E45" w:rsidP="00DD6E45">
            <w:pPr>
              <w:spacing w:before="40" w:after="40"/>
              <w:rPr>
                <w:rFonts w:cs="Segoe UI"/>
                <w:sz w:val="17"/>
                <w:szCs w:val="17"/>
              </w:rPr>
            </w:pPr>
          </w:p>
        </w:tc>
        <w:tc>
          <w:tcPr>
            <w:tcW w:w="1067" w:type="dxa"/>
            <w:tcBorders>
              <w:top w:val="single" w:sz="4" w:space="0" w:color="auto"/>
              <w:left w:val="single" w:sz="4" w:space="0" w:color="auto"/>
              <w:bottom w:val="single" w:sz="4" w:space="0" w:color="auto"/>
              <w:right w:val="single" w:sz="4" w:space="0" w:color="auto"/>
            </w:tcBorders>
          </w:tcPr>
          <w:p w14:paraId="2F7C5BF7" w14:textId="77777777" w:rsidR="00DD6E45" w:rsidRPr="00DD6E45" w:rsidRDefault="00DD6E45" w:rsidP="00DD6E45">
            <w:pPr>
              <w:spacing w:before="40" w:after="40"/>
              <w:rPr>
                <w:rFonts w:cs="Segoe UI"/>
                <w:sz w:val="17"/>
                <w:szCs w:val="17"/>
              </w:rPr>
            </w:pPr>
          </w:p>
        </w:tc>
        <w:tc>
          <w:tcPr>
            <w:tcW w:w="1068" w:type="dxa"/>
            <w:tcBorders>
              <w:top w:val="single" w:sz="4" w:space="0" w:color="auto"/>
              <w:left w:val="single" w:sz="4" w:space="0" w:color="auto"/>
              <w:bottom w:val="single" w:sz="4" w:space="0" w:color="auto"/>
              <w:right w:val="single" w:sz="4" w:space="0" w:color="auto"/>
            </w:tcBorders>
          </w:tcPr>
          <w:p w14:paraId="50E0E839" w14:textId="77777777" w:rsidR="00DD6E45" w:rsidRPr="00DD6E45" w:rsidRDefault="00DD6E45" w:rsidP="00DD6E45">
            <w:pPr>
              <w:spacing w:before="40" w:after="40"/>
              <w:rPr>
                <w:rFonts w:cs="Segoe UI"/>
                <w:sz w:val="17"/>
                <w:szCs w:val="17"/>
              </w:rPr>
            </w:pPr>
          </w:p>
        </w:tc>
        <w:tc>
          <w:tcPr>
            <w:tcW w:w="3118" w:type="dxa"/>
            <w:tcBorders>
              <w:top w:val="single" w:sz="4" w:space="0" w:color="auto"/>
              <w:left w:val="single" w:sz="4" w:space="0" w:color="auto"/>
              <w:bottom w:val="single" w:sz="4" w:space="0" w:color="auto"/>
              <w:right w:val="single" w:sz="4" w:space="0" w:color="auto"/>
            </w:tcBorders>
            <w:noWrap/>
          </w:tcPr>
          <w:p w14:paraId="5F39B636" w14:textId="77777777" w:rsidR="00DD6E45" w:rsidRPr="00DD6E45" w:rsidRDefault="00DD6E45" w:rsidP="00DD6E45">
            <w:pPr>
              <w:spacing w:before="40" w:after="40"/>
              <w:rPr>
                <w:rFonts w:cs="Segoe UI"/>
                <w:sz w:val="17"/>
                <w:szCs w:val="17"/>
              </w:rPr>
            </w:pPr>
          </w:p>
        </w:tc>
      </w:tr>
    </w:tbl>
    <w:p w14:paraId="2E8C35CB" w14:textId="77777777" w:rsidR="00E46713" w:rsidRDefault="00E46713"/>
    <w:tbl>
      <w:tblPr>
        <w:tblW w:w="14166"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44"/>
        <w:gridCol w:w="4211"/>
        <w:gridCol w:w="1064"/>
        <w:gridCol w:w="1065"/>
        <w:gridCol w:w="1064"/>
        <w:gridCol w:w="1065"/>
        <w:gridCol w:w="1067"/>
        <w:gridCol w:w="1068"/>
        <w:gridCol w:w="3118"/>
      </w:tblGrid>
      <w:tr w:rsidR="00DD6E45" w:rsidRPr="00DD6E45" w14:paraId="42F26932" w14:textId="77777777" w:rsidTr="00E46713">
        <w:trPr>
          <w:trHeight w:val="283"/>
        </w:trPr>
        <w:tc>
          <w:tcPr>
            <w:tcW w:w="444" w:type="dxa"/>
            <w:tcBorders>
              <w:top w:val="single" w:sz="4" w:space="0" w:color="auto"/>
              <w:left w:val="nil"/>
              <w:bottom w:val="nil"/>
              <w:right w:val="single" w:sz="4" w:space="0" w:color="auto"/>
            </w:tcBorders>
          </w:tcPr>
          <w:p w14:paraId="61630798" w14:textId="77777777" w:rsidR="00DD6E45" w:rsidRPr="00DD6E45" w:rsidRDefault="00DD6E45" w:rsidP="00DD6E45">
            <w:pPr>
              <w:spacing w:before="40" w:after="40"/>
              <w:rPr>
                <w:rFonts w:cs="Segoe UI"/>
                <w:sz w:val="17"/>
                <w:szCs w:val="17"/>
              </w:rPr>
            </w:pPr>
            <w:r w:rsidRPr="00DD6E45">
              <w:rPr>
                <w:rFonts w:cs="Segoe UI"/>
                <w:sz w:val="17"/>
                <w:szCs w:val="17"/>
              </w:rPr>
              <w:br w:type="page"/>
            </w:r>
          </w:p>
        </w:tc>
        <w:tc>
          <w:tcPr>
            <w:tcW w:w="4211" w:type="dxa"/>
            <w:tcBorders>
              <w:top w:val="single" w:sz="4" w:space="0" w:color="auto"/>
              <w:left w:val="single" w:sz="4" w:space="0" w:color="auto"/>
              <w:bottom w:val="single" w:sz="4" w:space="0" w:color="auto"/>
              <w:right w:val="single" w:sz="4" w:space="0" w:color="auto"/>
            </w:tcBorders>
            <w:noWrap/>
          </w:tcPr>
          <w:p w14:paraId="2F27398C" w14:textId="77777777" w:rsidR="00DD6E45" w:rsidRPr="00DD6E45" w:rsidRDefault="00DD6E45" w:rsidP="00DD6E45">
            <w:pPr>
              <w:spacing w:before="40" w:after="40"/>
              <w:rPr>
                <w:rFonts w:cs="Segoe UI"/>
                <w:sz w:val="17"/>
                <w:szCs w:val="17"/>
              </w:rPr>
            </w:pPr>
          </w:p>
        </w:tc>
        <w:tc>
          <w:tcPr>
            <w:tcW w:w="1064" w:type="dxa"/>
            <w:tcBorders>
              <w:top w:val="single" w:sz="4" w:space="0" w:color="auto"/>
              <w:left w:val="single" w:sz="4" w:space="0" w:color="auto"/>
              <w:bottom w:val="single" w:sz="4" w:space="0" w:color="auto"/>
              <w:right w:val="single" w:sz="4" w:space="0" w:color="auto"/>
            </w:tcBorders>
            <w:noWrap/>
            <w:vAlign w:val="center"/>
            <w:hideMark/>
          </w:tcPr>
          <w:p w14:paraId="0ED775D9" w14:textId="77777777" w:rsidR="00DD6E45" w:rsidRPr="00DD6E45" w:rsidRDefault="00DD6E45" w:rsidP="003A79BA">
            <w:pPr>
              <w:spacing w:before="40" w:after="40"/>
              <w:jc w:val="center"/>
              <w:rPr>
                <w:rFonts w:cs="Segoe UI"/>
                <w:sz w:val="17"/>
                <w:szCs w:val="17"/>
              </w:rPr>
            </w:pPr>
            <w:r w:rsidRPr="00DD6E45">
              <w:rPr>
                <w:rFonts w:cs="Segoe UI"/>
                <w:sz w:val="17"/>
                <w:szCs w:val="17"/>
              </w:rPr>
              <w:t>0%</w:t>
            </w:r>
          </w:p>
        </w:tc>
        <w:tc>
          <w:tcPr>
            <w:tcW w:w="1065" w:type="dxa"/>
            <w:tcBorders>
              <w:top w:val="single" w:sz="4" w:space="0" w:color="auto"/>
              <w:left w:val="single" w:sz="4" w:space="0" w:color="auto"/>
              <w:bottom w:val="single" w:sz="4" w:space="0" w:color="auto"/>
              <w:right w:val="single" w:sz="4" w:space="0" w:color="auto"/>
            </w:tcBorders>
            <w:vAlign w:val="center"/>
          </w:tcPr>
          <w:p w14:paraId="7AD0ABF8" w14:textId="77777777" w:rsidR="00DD6E45" w:rsidRPr="00DD6E45" w:rsidRDefault="00DD6E45" w:rsidP="003A79BA">
            <w:pPr>
              <w:spacing w:before="40" w:after="40"/>
              <w:jc w:val="center"/>
              <w:rPr>
                <w:rFonts w:cs="Segoe UI"/>
                <w:sz w:val="17"/>
                <w:szCs w:val="17"/>
              </w:rPr>
            </w:pPr>
            <w:r w:rsidRPr="00DD6E45">
              <w:rPr>
                <w:rFonts w:cs="Segoe UI"/>
                <w:sz w:val="17"/>
                <w:szCs w:val="17"/>
              </w:rPr>
              <w:t>20%</w:t>
            </w:r>
          </w:p>
        </w:tc>
        <w:tc>
          <w:tcPr>
            <w:tcW w:w="1064" w:type="dxa"/>
            <w:tcBorders>
              <w:top w:val="single" w:sz="4" w:space="0" w:color="auto"/>
              <w:left w:val="single" w:sz="4" w:space="0" w:color="auto"/>
              <w:bottom w:val="single" w:sz="4" w:space="0" w:color="auto"/>
              <w:right w:val="single" w:sz="4" w:space="0" w:color="auto"/>
            </w:tcBorders>
            <w:noWrap/>
            <w:vAlign w:val="center"/>
            <w:hideMark/>
          </w:tcPr>
          <w:p w14:paraId="32623464" w14:textId="77777777" w:rsidR="00DD6E45" w:rsidRPr="00DD6E45" w:rsidRDefault="00DD6E45" w:rsidP="003A79BA">
            <w:pPr>
              <w:spacing w:before="40" w:after="40"/>
              <w:jc w:val="center"/>
              <w:rPr>
                <w:rFonts w:cs="Segoe UI"/>
                <w:sz w:val="17"/>
                <w:szCs w:val="17"/>
              </w:rPr>
            </w:pPr>
            <w:r w:rsidRPr="00DD6E45">
              <w:rPr>
                <w:rFonts w:cs="Segoe UI"/>
                <w:sz w:val="17"/>
                <w:szCs w:val="17"/>
              </w:rPr>
              <w:t>50%</w:t>
            </w:r>
          </w:p>
        </w:tc>
        <w:tc>
          <w:tcPr>
            <w:tcW w:w="1065" w:type="dxa"/>
            <w:tcBorders>
              <w:top w:val="single" w:sz="4" w:space="0" w:color="auto"/>
              <w:left w:val="single" w:sz="4" w:space="0" w:color="auto"/>
              <w:bottom w:val="single" w:sz="4" w:space="0" w:color="auto"/>
              <w:right w:val="single" w:sz="4" w:space="0" w:color="auto"/>
            </w:tcBorders>
            <w:noWrap/>
            <w:vAlign w:val="center"/>
            <w:hideMark/>
          </w:tcPr>
          <w:p w14:paraId="7C80BE5C" w14:textId="77777777" w:rsidR="00DD6E45" w:rsidRPr="00DD6E45" w:rsidRDefault="00DD6E45" w:rsidP="003A79BA">
            <w:pPr>
              <w:spacing w:before="40" w:after="40"/>
              <w:jc w:val="center"/>
              <w:rPr>
                <w:rFonts w:cs="Segoe UI"/>
                <w:sz w:val="17"/>
                <w:szCs w:val="17"/>
              </w:rPr>
            </w:pPr>
            <w:r w:rsidRPr="00DD6E45">
              <w:rPr>
                <w:rFonts w:cs="Segoe UI"/>
                <w:sz w:val="17"/>
                <w:szCs w:val="17"/>
              </w:rPr>
              <w:t>100%</w:t>
            </w:r>
          </w:p>
        </w:tc>
        <w:tc>
          <w:tcPr>
            <w:tcW w:w="1067" w:type="dxa"/>
            <w:tcBorders>
              <w:top w:val="single" w:sz="4" w:space="0" w:color="auto"/>
              <w:left w:val="single" w:sz="4" w:space="0" w:color="auto"/>
              <w:bottom w:val="single" w:sz="4" w:space="0" w:color="auto"/>
              <w:right w:val="single" w:sz="4" w:space="0" w:color="auto"/>
            </w:tcBorders>
            <w:vAlign w:val="center"/>
            <w:hideMark/>
          </w:tcPr>
          <w:p w14:paraId="7213CE0C" w14:textId="77777777" w:rsidR="00DD6E45" w:rsidRPr="00DD6E45" w:rsidRDefault="00DD6E45" w:rsidP="003A79BA">
            <w:pPr>
              <w:spacing w:before="40" w:after="40"/>
              <w:jc w:val="center"/>
              <w:rPr>
                <w:rFonts w:cs="Segoe UI"/>
                <w:sz w:val="17"/>
                <w:szCs w:val="17"/>
              </w:rPr>
            </w:pPr>
            <w:r w:rsidRPr="00DD6E45">
              <w:rPr>
                <w:rFonts w:cs="Segoe UI"/>
                <w:sz w:val="17"/>
                <w:szCs w:val="17"/>
              </w:rPr>
              <w:t>150%</w:t>
            </w:r>
          </w:p>
        </w:tc>
        <w:tc>
          <w:tcPr>
            <w:tcW w:w="1068" w:type="dxa"/>
            <w:tcBorders>
              <w:top w:val="single" w:sz="4" w:space="0" w:color="auto"/>
              <w:left w:val="single" w:sz="4" w:space="0" w:color="auto"/>
              <w:bottom w:val="single" w:sz="4" w:space="0" w:color="auto"/>
              <w:right w:val="single" w:sz="4" w:space="0" w:color="auto"/>
            </w:tcBorders>
            <w:vAlign w:val="center"/>
            <w:hideMark/>
          </w:tcPr>
          <w:p w14:paraId="7CD4A1A9" w14:textId="77777777" w:rsidR="00DD6E45" w:rsidRPr="00DD6E45" w:rsidRDefault="00DD6E45" w:rsidP="003A79BA">
            <w:pPr>
              <w:spacing w:before="40" w:after="40"/>
              <w:jc w:val="center"/>
              <w:rPr>
                <w:rFonts w:cs="Segoe UI"/>
                <w:sz w:val="17"/>
                <w:szCs w:val="17"/>
              </w:rPr>
            </w:pPr>
            <w:r w:rsidRPr="00DD6E45">
              <w:rPr>
                <w:rFonts w:cs="Segoe UI"/>
                <w:sz w:val="17"/>
                <w:szCs w:val="17"/>
              </w:rPr>
              <w:t>Other</w:t>
            </w:r>
          </w:p>
        </w:tc>
        <w:tc>
          <w:tcPr>
            <w:tcW w:w="3118" w:type="dxa"/>
            <w:tcBorders>
              <w:top w:val="single" w:sz="4" w:space="0" w:color="auto"/>
              <w:left w:val="single" w:sz="4" w:space="0" w:color="auto"/>
              <w:bottom w:val="single" w:sz="4" w:space="0" w:color="auto"/>
              <w:right w:val="single" w:sz="4" w:space="0" w:color="auto"/>
            </w:tcBorders>
            <w:noWrap/>
            <w:vAlign w:val="center"/>
            <w:hideMark/>
          </w:tcPr>
          <w:p w14:paraId="044AC19D" w14:textId="77777777" w:rsidR="00DD6E45" w:rsidRPr="00DD6E45" w:rsidRDefault="00DD6E45" w:rsidP="00DD6E45">
            <w:pPr>
              <w:spacing w:before="40" w:after="40"/>
              <w:rPr>
                <w:rFonts w:cs="Segoe UI"/>
                <w:sz w:val="17"/>
                <w:szCs w:val="17"/>
              </w:rPr>
            </w:pPr>
            <w:r w:rsidRPr="00DD6E45">
              <w:rPr>
                <w:rFonts w:cs="Segoe UI"/>
                <w:sz w:val="17"/>
                <w:szCs w:val="17"/>
              </w:rPr>
              <w:t>Total credit exposure amount (post-CCF and post-CRM)</w:t>
            </w:r>
          </w:p>
        </w:tc>
      </w:tr>
      <w:tr w:rsidR="00DD6E45" w:rsidRPr="00DD6E45" w14:paraId="19389605" w14:textId="77777777" w:rsidTr="00E46713">
        <w:trPr>
          <w:trHeight w:val="283"/>
        </w:trPr>
        <w:tc>
          <w:tcPr>
            <w:tcW w:w="444" w:type="dxa"/>
            <w:tcBorders>
              <w:top w:val="nil"/>
              <w:left w:val="nil"/>
              <w:bottom w:val="single" w:sz="4" w:space="0" w:color="auto"/>
              <w:right w:val="single" w:sz="4" w:space="0" w:color="auto"/>
            </w:tcBorders>
            <w:hideMark/>
          </w:tcPr>
          <w:p w14:paraId="68BA6FBD" w14:textId="77777777" w:rsidR="00DD6E45" w:rsidRPr="00DD6E45" w:rsidRDefault="00DD6E45" w:rsidP="00DD6E45">
            <w:pPr>
              <w:spacing w:before="40" w:after="40"/>
              <w:rPr>
                <w:rFonts w:cs="Segoe UI"/>
                <w:sz w:val="17"/>
                <w:szCs w:val="17"/>
              </w:rPr>
            </w:pPr>
            <w:r w:rsidRPr="00DD6E45">
              <w:rPr>
                <w:rFonts w:cs="Segoe UI"/>
                <w:sz w:val="17"/>
                <w:szCs w:val="17"/>
              </w:rPr>
              <w:t>2</w:t>
            </w:r>
          </w:p>
        </w:tc>
        <w:tc>
          <w:tcPr>
            <w:tcW w:w="4211" w:type="dxa"/>
            <w:tcBorders>
              <w:top w:val="single" w:sz="4" w:space="0" w:color="auto"/>
              <w:left w:val="single" w:sz="4" w:space="0" w:color="auto"/>
              <w:bottom w:val="single" w:sz="4" w:space="0" w:color="auto"/>
              <w:right w:val="single" w:sz="4" w:space="0" w:color="auto"/>
            </w:tcBorders>
            <w:noWrap/>
            <w:hideMark/>
          </w:tcPr>
          <w:p w14:paraId="535D97ED" w14:textId="77777777" w:rsidR="00DD6E45" w:rsidRPr="00DD6E45" w:rsidRDefault="00DD6E45" w:rsidP="00DD6E45">
            <w:pPr>
              <w:spacing w:before="40" w:after="40"/>
              <w:rPr>
                <w:rFonts w:cs="Segoe UI"/>
                <w:sz w:val="17"/>
                <w:szCs w:val="17"/>
              </w:rPr>
            </w:pPr>
            <w:r w:rsidRPr="00DD6E45">
              <w:rPr>
                <w:rFonts w:cs="Segoe UI"/>
                <w:sz w:val="17"/>
                <w:szCs w:val="17"/>
              </w:rPr>
              <w:t>Public sector entity exposures</w:t>
            </w:r>
          </w:p>
        </w:tc>
        <w:tc>
          <w:tcPr>
            <w:tcW w:w="1064" w:type="dxa"/>
            <w:tcBorders>
              <w:top w:val="single" w:sz="4" w:space="0" w:color="auto"/>
              <w:left w:val="single" w:sz="4" w:space="0" w:color="auto"/>
              <w:bottom w:val="single" w:sz="4" w:space="0" w:color="auto"/>
              <w:right w:val="single" w:sz="4" w:space="0" w:color="auto"/>
            </w:tcBorders>
            <w:noWrap/>
          </w:tcPr>
          <w:p w14:paraId="489A3903" w14:textId="77777777" w:rsidR="00DD6E45" w:rsidRPr="00DD6E45" w:rsidRDefault="00DD6E45" w:rsidP="00DD6E45">
            <w:pPr>
              <w:spacing w:before="40" w:after="40"/>
              <w:rPr>
                <w:rFonts w:cs="Segoe UI"/>
                <w:sz w:val="17"/>
                <w:szCs w:val="17"/>
              </w:rPr>
            </w:pPr>
          </w:p>
        </w:tc>
        <w:tc>
          <w:tcPr>
            <w:tcW w:w="1065" w:type="dxa"/>
            <w:tcBorders>
              <w:top w:val="single" w:sz="4" w:space="0" w:color="auto"/>
              <w:left w:val="single" w:sz="4" w:space="0" w:color="auto"/>
              <w:bottom w:val="single" w:sz="4" w:space="0" w:color="auto"/>
              <w:right w:val="single" w:sz="4" w:space="0" w:color="auto"/>
            </w:tcBorders>
          </w:tcPr>
          <w:p w14:paraId="5F8A00BA" w14:textId="77777777" w:rsidR="00DD6E45" w:rsidRPr="00DD6E45" w:rsidRDefault="00DD6E45" w:rsidP="00DD6E45">
            <w:pPr>
              <w:spacing w:before="40" w:after="40"/>
              <w:rPr>
                <w:rFonts w:cs="Segoe UI"/>
                <w:sz w:val="17"/>
                <w:szCs w:val="17"/>
              </w:rPr>
            </w:pPr>
          </w:p>
        </w:tc>
        <w:tc>
          <w:tcPr>
            <w:tcW w:w="1064" w:type="dxa"/>
            <w:tcBorders>
              <w:top w:val="single" w:sz="4" w:space="0" w:color="auto"/>
              <w:left w:val="single" w:sz="4" w:space="0" w:color="auto"/>
              <w:bottom w:val="single" w:sz="4" w:space="0" w:color="auto"/>
              <w:right w:val="single" w:sz="4" w:space="0" w:color="auto"/>
            </w:tcBorders>
            <w:noWrap/>
          </w:tcPr>
          <w:p w14:paraId="4C4ADB34" w14:textId="77777777" w:rsidR="00DD6E45" w:rsidRPr="00DD6E45" w:rsidRDefault="00DD6E45" w:rsidP="00DD6E45">
            <w:pPr>
              <w:spacing w:before="40" w:after="40"/>
              <w:rPr>
                <w:rFonts w:cs="Segoe UI"/>
                <w:sz w:val="17"/>
                <w:szCs w:val="17"/>
              </w:rPr>
            </w:pPr>
          </w:p>
        </w:tc>
        <w:tc>
          <w:tcPr>
            <w:tcW w:w="1065" w:type="dxa"/>
            <w:tcBorders>
              <w:top w:val="single" w:sz="4" w:space="0" w:color="auto"/>
              <w:left w:val="single" w:sz="4" w:space="0" w:color="auto"/>
              <w:bottom w:val="single" w:sz="4" w:space="0" w:color="auto"/>
              <w:right w:val="single" w:sz="4" w:space="0" w:color="auto"/>
            </w:tcBorders>
            <w:noWrap/>
          </w:tcPr>
          <w:p w14:paraId="6EC8287D" w14:textId="77777777" w:rsidR="00DD6E45" w:rsidRPr="00DD6E45" w:rsidRDefault="00DD6E45" w:rsidP="00DD6E45">
            <w:pPr>
              <w:spacing w:before="40" w:after="40"/>
              <w:rPr>
                <w:rFonts w:cs="Segoe UI"/>
                <w:sz w:val="17"/>
                <w:szCs w:val="17"/>
              </w:rPr>
            </w:pPr>
          </w:p>
        </w:tc>
        <w:tc>
          <w:tcPr>
            <w:tcW w:w="1067" w:type="dxa"/>
            <w:tcBorders>
              <w:top w:val="single" w:sz="4" w:space="0" w:color="auto"/>
              <w:left w:val="single" w:sz="4" w:space="0" w:color="auto"/>
              <w:bottom w:val="single" w:sz="4" w:space="0" w:color="auto"/>
              <w:right w:val="single" w:sz="4" w:space="0" w:color="auto"/>
            </w:tcBorders>
          </w:tcPr>
          <w:p w14:paraId="0FC63202" w14:textId="77777777" w:rsidR="00DD6E45" w:rsidRPr="00DD6E45" w:rsidRDefault="00DD6E45" w:rsidP="00DD6E45">
            <w:pPr>
              <w:spacing w:before="40" w:after="40"/>
              <w:rPr>
                <w:rFonts w:cs="Segoe UI"/>
                <w:sz w:val="17"/>
                <w:szCs w:val="17"/>
              </w:rPr>
            </w:pPr>
          </w:p>
        </w:tc>
        <w:tc>
          <w:tcPr>
            <w:tcW w:w="1068" w:type="dxa"/>
            <w:tcBorders>
              <w:top w:val="single" w:sz="4" w:space="0" w:color="auto"/>
              <w:left w:val="single" w:sz="4" w:space="0" w:color="auto"/>
              <w:bottom w:val="single" w:sz="4" w:space="0" w:color="auto"/>
              <w:right w:val="single" w:sz="4" w:space="0" w:color="auto"/>
            </w:tcBorders>
          </w:tcPr>
          <w:p w14:paraId="41792E19" w14:textId="77777777" w:rsidR="00DD6E45" w:rsidRPr="00DD6E45" w:rsidRDefault="00DD6E45" w:rsidP="00DD6E45">
            <w:pPr>
              <w:spacing w:before="40" w:after="40"/>
              <w:rPr>
                <w:rFonts w:cs="Segoe UI"/>
                <w:sz w:val="17"/>
                <w:szCs w:val="17"/>
              </w:rPr>
            </w:pPr>
          </w:p>
        </w:tc>
        <w:tc>
          <w:tcPr>
            <w:tcW w:w="3118" w:type="dxa"/>
            <w:tcBorders>
              <w:top w:val="single" w:sz="4" w:space="0" w:color="auto"/>
              <w:left w:val="single" w:sz="4" w:space="0" w:color="auto"/>
              <w:bottom w:val="single" w:sz="4" w:space="0" w:color="auto"/>
              <w:right w:val="single" w:sz="4" w:space="0" w:color="auto"/>
            </w:tcBorders>
            <w:noWrap/>
          </w:tcPr>
          <w:p w14:paraId="60EA57D6" w14:textId="77777777" w:rsidR="00DD6E45" w:rsidRPr="00DD6E45" w:rsidRDefault="00DD6E45" w:rsidP="00DD6E45">
            <w:pPr>
              <w:spacing w:before="40" w:after="40"/>
              <w:rPr>
                <w:rFonts w:cs="Segoe UI"/>
                <w:sz w:val="17"/>
                <w:szCs w:val="17"/>
              </w:rPr>
            </w:pPr>
          </w:p>
        </w:tc>
      </w:tr>
    </w:tbl>
    <w:p w14:paraId="66482F23" w14:textId="77777777" w:rsidR="00E46713" w:rsidRDefault="00E46713"/>
    <w:tbl>
      <w:tblPr>
        <w:tblW w:w="14166"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44"/>
        <w:gridCol w:w="4211"/>
        <w:gridCol w:w="912"/>
        <w:gridCol w:w="915"/>
        <w:gridCol w:w="913"/>
        <w:gridCol w:w="912"/>
        <w:gridCol w:w="913"/>
        <w:gridCol w:w="912"/>
        <w:gridCol w:w="916"/>
        <w:gridCol w:w="3118"/>
      </w:tblGrid>
      <w:tr w:rsidR="00DD6E45" w:rsidRPr="00DD6E45" w14:paraId="16B0A348" w14:textId="77777777" w:rsidTr="00E46713">
        <w:trPr>
          <w:trHeight w:val="283"/>
        </w:trPr>
        <w:tc>
          <w:tcPr>
            <w:tcW w:w="444" w:type="dxa"/>
            <w:tcBorders>
              <w:top w:val="single" w:sz="4" w:space="0" w:color="auto"/>
              <w:left w:val="nil"/>
              <w:bottom w:val="nil"/>
              <w:right w:val="single" w:sz="4" w:space="0" w:color="auto"/>
            </w:tcBorders>
          </w:tcPr>
          <w:p w14:paraId="0DA3CE49" w14:textId="77777777" w:rsidR="00DD6E45" w:rsidRPr="00DD6E45" w:rsidRDefault="00DD6E45" w:rsidP="00DD6E45">
            <w:pPr>
              <w:spacing w:before="40" w:after="40"/>
              <w:rPr>
                <w:rFonts w:cs="Segoe UI"/>
                <w:sz w:val="17"/>
                <w:szCs w:val="17"/>
              </w:rPr>
            </w:pPr>
            <w:r w:rsidRPr="00DD6E45">
              <w:rPr>
                <w:rFonts w:cs="Segoe UI"/>
                <w:sz w:val="17"/>
                <w:szCs w:val="17"/>
              </w:rPr>
              <w:br w:type="page"/>
            </w:r>
          </w:p>
        </w:tc>
        <w:tc>
          <w:tcPr>
            <w:tcW w:w="4211" w:type="dxa"/>
            <w:tcBorders>
              <w:top w:val="single" w:sz="4" w:space="0" w:color="auto"/>
              <w:left w:val="single" w:sz="4" w:space="0" w:color="auto"/>
              <w:bottom w:val="single" w:sz="4" w:space="0" w:color="auto"/>
              <w:right w:val="single" w:sz="4" w:space="0" w:color="auto"/>
            </w:tcBorders>
            <w:noWrap/>
          </w:tcPr>
          <w:p w14:paraId="602D6F81" w14:textId="77777777" w:rsidR="00DD6E45" w:rsidRPr="00DD6E45" w:rsidRDefault="00DD6E45" w:rsidP="00DD6E45">
            <w:pPr>
              <w:spacing w:before="40" w:after="40"/>
              <w:rPr>
                <w:rFonts w:cs="Segoe UI"/>
                <w:sz w:val="17"/>
                <w:szCs w:val="17"/>
              </w:rPr>
            </w:pPr>
          </w:p>
        </w:tc>
        <w:tc>
          <w:tcPr>
            <w:tcW w:w="912" w:type="dxa"/>
            <w:tcBorders>
              <w:top w:val="single" w:sz="4" w:space="0" w:color="auto"/>
              <w:left w:val="single" w:sz="4" w:space="0" w:color="auto"/>
              <w:bottom w:val="single" w:sz="4" w:space="0" w:color="auto"/>
              <w:right w:val="single" w:sz="4" w:space="0" w:color="auto"/>
            </w:tcBorders>
            <w:noWrap/>
            <w:vAlign w:val="center"/>
            <w:hideMark/>
          </w:tcPr>
          <w:p w14:paraId="4A1B8F6A" w14:textId="77777777" w:rsidR="00DD6E45" w:rsidRPr="00DD6E45" w:rsidRDefault="00DD6E45" w:rsidP="003A79BA">
            <w:pPr>
              <w:spacing w:before="40" w:after="40"/>
              <w:jc w:val="center"/>
              <w:rPr>
                <w:rFonts w:cs="Segoe UI"/>
                <w:sz w:val="17"/>
                <w:szCs w:val="17"/>
              </w:rPr>
            </w:pPr>
            <w:r w:rsidRPr="00DD6E45">
              <w:rPr>
                <w:rFonts w:cs="Segoe UI"/>
                <w:sz w:val="17"/>
                <w:szCs w:val="17"/>
              </w:rPr>
              <w:t>0%</w:t>
            </w:r>
          </w:p>
        </w:tc>
        <w:tc>
          <w:tcPr>
            <w:tcW w:w="915" w:type="dxa"/>
            <w:tcBorders>
              <w:top w:val="single" w:sz="4" w:space="0" w:color="auto"/>
              <w:left w:val="single" w:sz="4" w:space="0" w:color="auto"/>
              <w:bottom w:val="single" w:sz="4" w:space="0" w:color="auto"/>
              <w:right w:val="single" w:sz="4" w:space="0" w:color="auto"/>
            </w:tcBorders>
            <w:noWrap/>
            <w:vAlign w:val="center"/>
            <w:hideMark/>
          </w:tcPr>
          <w:p w14:paraId="1E59B066" w14:textId="77777777" w:rsidR="00DD6E45" w:rsidRPr="00DD6E45" w:rsidRDefault="00DD6E45" w:rsidP="003A79BA">
            <w:pPr>
              <w:spacing w:before="40" w:after="40"/>
              <w:jc w:val="center"/>
              <w:rPr>
                <w:rFonts w:cs="Segoe UI"/>
                <w:sz w:val="17"/>
                <w:szCs w:val="17"/>
              </w:rPr>
            </w:pPr>
            <w:r w:rsidRPr="00DD6E45">
              <w:rPr>
                <w:rFonts w:cs="Segoe UI"/>
                <w:sz w:val="17"/>
                <w:szCs w:val="17"/>
              </w:rPr>
              <w:t>20%</w:t>
            </w:r>
          </w:p>
        </w:tc>
        <w:tc>
          <w:tcPr>
            <w:tcW w:w="913" w:type="dxa"/>
            <w:tcBorders>
              <w:top w:val="single" w:sz="4" w:space="0" w:color="auto"/>
              <w:left w:val="single" w:sz="4" w:space="0" w:color="auto"/>
              <w:bottom w:val="single" w:sz="4" w:space="0" w:color="auto"/>
              <w:right w:val="single" w:sz="4" w:space="0" w:color="auto"/>
            </w:tcBorders>
            <w:noWrap/>
            <w:vAlign w:val="center"/>
            <w:hideMark/>
          </w:tcPr>
          <w:p w14:paraId="71D0F931" w14:textId="77777777" w:rsidR="00DD6E45" w:rsidRPr="00DD6E45" w:rsidRDefault="00DD6E45" w:rsidP="003A79BA">
            <w:pPr>
              <w:spacing w:before="40" w:after="40"/>
              <w:jc w:val="center"/>
              <w:rPr>
                <w:rFonts w:cs="Segoe UI"/>
                <w:sz w:val="17"/>
                <w:szCs w:val="17"/>
              </w:rPr>
            </w:pPr>
            <w:r w:rsidRPr="00DD6E45">
              <w:rPr>
                <w:rFonts w:cs="Segoe UI"/>
                <w:sz w:val="17"/>
                <w:szCs w:val="17"/>
              </w:rPr>
              <w:t>30%</w:t>
            </w:r>
          </w:p>
        </w:tc>
        <w:tc>
          <w:tcPr>
            <w:tcW w:w="912" w:type="dxa"/>
            <w:tcBorders>
              <w:top w:val="single" w:sz="4" w:space="0" w:color="auto"/>
              <w:left w:val="single" w:sz="4" w:space="0" w:color="auto"/>
              <w:bottom w:val="single" w:sz="4" w:space="0" w:color="auto"/>
              <w:right w:val="single" w:sz="4" w:space="0" w:color="auto"/>
            </w:tcBorders>
            <w:vAlign w:val="center"/>
            <w:hideMark/>
          </w:tcPr>
          <w:p w14:paraId="78F4B938" w14:textId="77777777" w:rsidR="00DD6E45" w:rsidRPr="00DD6E45" w:rsidRDefault="00DD6E45" w:rsidP="003A79BA">
            <w:pPr>
              <w:spacing w:before="40" w:after="40"/>
              <w:jc w:val="center"/>
              <w:rPr>
                <w:rFonts w:cs="Segoe UI"/>
                <w:sz w:val="17"/>
                <w:szCs w:val="17"/>
              </w:rPr>
            </w:pPr>
            <w:r w:rsidRPr="00DD6E45">
              <w:rPr>
                <w:rFonts w:cs="Segoe UI"/>
                <w:sz w:val="17"/>
                <w:szCs w:val="17"/>
              </w:rPr>
              <w:t>50%</w:t>
            </w:r>
          </w:p>
        </w:tc>
        <w:tc>
          <w:tcPr>
            <w:tcW w:w="913" w:type="dxa"/>
            <w:tcBorders>
              <w:top w:val="single" w:sz="4" w:space="0" w:color="auto"/>
              <w:left w:val="single" w:sz="4" w:space="0" w:color="auto"/>
              <w:bottom w:val="single" w:sz="4" w:space="0" w:color="auto"/>
              <w:right w:val="single" w:sz="4" w:space="0" w:color="auto"/>
            </w:tcBorders>
            <w:vAlign w:val="center"/>
            <w:hideMark/>
          </w:tcPr>
          <w:p w14:paraId="5F729340" w14:textId="77777777" w:rsidR="00DD6E45" w:rsidRPr="00DD6E45" w:rsidRDefault="00DD6E45" w:rsidP="003A79BA">
            <w:pPr>
              <w:spacing w:before="40" w:after="40"/>
              <w:jc w:val="center"/>
              <w:rPr>
                <w:rFonts w:cs="Segoe UI"/>
                <w:sz w:val="17"/>
                <w:szCs w:val="17"/>
              </w:rPr>
            </w:pPr>
            <w:r w:rsidRPr="00DD6E45">
              <w:rPr>
                <w:rFonts w:cs="Segoe UI"/>
                <w:sz w:val="17"/>
                <w:szCs w:val="17"/>
              </w:rPr>
              <w:t>100%</w:t>
            </w:r>
          </w:p>
        </w:tc>
        <w:tc>
          <w:tcPr>
            <w:tcW w:w="912" w:type="dxa"/>
            <w:tcBorders>
              <w:top w:val="single" w:sz="4" w:space="0" w:color="auto"/>
              <w:left w:val="single" w:sz="4" w:space="0" w:color="auto"/>
              <w:bottom w:val="single" w:sz="4" w:space="0" w:color="auto"/>
              <w:right w:val="single" w:sz="4" w:space="0" w:color="auto"/>
            </w:tcBorders>
            <w:vAlign w:val="center"/>
            <w:hideMark/>
          </w:tcPr>
          <w:p w14:paraId="4987EC78" w14:textId="77777777" w:rsidR="00DD6E45" w:rsidRPr="00DD6E45" w:rsidRDefault="00DD6E45" w:rsidP="003A79BA">
            <w:pPr>
              <w:spacing w:before="40" w:after="40"/>
              <w:jc w:val="center"/>
              <w:rPr>
                <w:rFonts w:cs="Segoe UI"/>
                <w:sz w:val="17"/>
                <w:szCs w:val="17"/>
              </w:rPr>
            </w:pPr>
            <w:r w:rsidRPr="00DD6E45">
              <w:rPr>
                <w:rFonts w:cs="Segoe UI"/>
                <w:sz w:val="17"/>
                <w:szCs w:val="17"/>
              </w:rPr>
              <w:t>150%</w:t>
            </w:r>
          </w:p>
        </w:tc>
        <w:tc>
          <w:tcPr>
            <w:tcW w:w="916" w:type="dxa"/>
            <w:tcBorders>
              <w:top w:val="single" w:sz="4" w:space="0" w:color="auto"/>
              <w:left w:val="single" w:sz="4" w:space="0" w:color="auto"/>
              <w:bottom w:val="single" w:sz="4" w:space="0" w:color="auto"/>
              <w:right w:val="single" w:sz="4" w:space="0" w:color="auto"/>
            </w:tcBorders>
            <w:noWrap/>
            <w:vAlign w:val="center"/>
            <w:hideMark/>
          </w:tcPr>
          <w:p w14:paraId="7E8798D9" w14:textId="77777777" w:rsidR="00DD6E45" w:rsidRPr="00DD6E45" w:rsidRDefault="00DD6E45" w:rsidP="003A79BA">
            <w:pPr>
              <w:spacing w:before="40" w:after="40"/>
              <w:jc w:val="center"/>
              <w:rPr>
                <w:rFonts w:cs="Segoe UI"/>
                <w:sz w:val="17"/>
                <w:szCs w:val="17"/>
              </w:rPr>
            </w:pPr>
            <w:r w:rsidRPr="00DD6E45">
              <w:rPr>
                <w:rFonts w:cs="Segoe UI"/>
                <w:sz w:val="17"/>
                <w:szCs w:val="17"/>
              </w:rPr>
              <w:t>Other</w:t>
            </w:r>
          </w:p>
        </w:tc>
        <w:tc>
          <w:tcPr>
            <w:tcW w:w="3118" w:type="dxa"/>
            <w:tcBorders>
              <w:top w:val="single" w:sz="4" w:space="0" w:color="auto"/>
              <w:left w:val="single" w:sz="4" w:space="0" w:color="auto"/>
              <w:bottom w:val="single" w:sz="4" w:space="0" w:color="auto"/>
              <w:right w:val="single" w:sz="4" w:space="0" w:color="auto"/>
            </w:tcBorders>
            <w:noWrap/>
            <w:vAlign w:val="center"/>
            <w:hideMark/>
          </w:tcPr>
          <w:p w14:paraId="32FFB432" w14:textId="77777777" w:rsidR="00DD6E45" w:rsidRPr="00DD6E45" w:rsidRDefault="00DD6E45" w:rsidP="00DD6E45">
            <w:pPr>
              <w:spacing w:before="40" w:after="40"/>
              <w:rPr>
                <w:rFonts w:cs="Segoe UI"/>
                <w:sz w:val="17"/>
                <w:szCs w:val="17"/>
              </w:rPr>
            </w:pPr>
            <w:r w:rsidRPr="00DD6E45">
              <w:rPr>
                <w:rFonts w:cs="Segoe UI"/>
                <w:sz w:val="17"/>
                <w:szCs w:val="17"/>
              </w:rPr>
              <w:t>Total credit exposure amount (post-CCF and post-CRM)</w:t>
            </w:r>
          </w:p>
        </w:tc>
      </w:tr>
      <w:tr w:rsidR="00DD6E45" w:rsidRPr="00DD6E45" w14:paraId="424EAFCC" w14:textId="77777777" w:rsidTr="00E46713">
        <w:trPr>
          <w:trHeight w:val="283"/>
        </w:trPr>
        <w:tc>
          <w:tcPr>
            <w:tcW w:w="444" w:type="dxa"/>
            <w:tcBorders>
              <w:top w:val="nil"/>
              <w:left w:val="nil"/>
              <w:bottom w:val="single" w:sz="4" w:space="0" w:color="auto"/>
              <w:right w:val="single" w:sz="4" w:space="0" w:color="auto"/>
            </w:tcBorders>
            <w:hideMark/>
          </w:tcPr>
          <w:p w14:paraId="1174AEB7" w14:textId="77777777" w:rsidR="00DD6E45" w:rsidRPr="00DD6E45" w:rsidRDefault="00DD6E45" w:rsidP="00DD6E45">
            <w:pPr>
              <w:spacing w:before="40" w:after="40"/>
              <w:rPr>
                <w:rFonts w:cs="Segoe UI"/>
                <w:sz w:val="17"/>
                <w:szCs w:val="17"/>
              </w:rPr>
            </w:pPr>
            <w:r w:rsidRPr="00DD6E45">
              <w:rPr>
                <w:rFonts w:cs="Segoe UI"/>
                <w:sz w:val="17"/>
                <w:szCs w:val="17"/>
              </w:rPr>
              <w:t>3</w:t>
            </w:r>
          </w:p>
        </w:tc>
        <w:tc>
          <w:tcPr>
            <w:tcW w:w="4211" w:type="dxa"/>
            <w:tcBorders>
              <w:top w:val="single" w:sz="4" w:space="0" w:color="auto"/>
              <w:left w:val="single" w:sz="4" w:space="0" w:color="auto"/>
              <w:bottom w:val="single" w:sz="4" w:space="0" w:color="auto"/>
              <w:right w:val="single" w:sz="4" w:space="0" w:color="auto"/>
            </w:tcBorders>
            <w:noWrap/>
            <w:hideMark/>
          </w:tcPr>
          <w:p w14:paraId="445F66BD" w14:textId="77777777" w:rsidR="00DD6E45" w:rsidRPr="00DD6E45" w:rsidRDefault="00DD6E45" w:rsidP="00DD6E45">
            <w:pPr>
              <w:spacing w:before="40" w:after="40"/>
              <w:rPr>
                <w:rFonts w:cs="Segoe UI"/>
                <w:sz w:val="17"/>
                <w:szCs w:val="17"/>
              </w:rPr>
            </w:pPr>
            <w:r w:rsidRPr="00DD6E45">
              <w:rPr>
                <w:rFonts w:cs="Segoe UI"/>
                <w:sz w:val="17"/>
                <w:szCs w:val="17"/>
              </w:rPr>
              <w:t>Multilateral development bank exposures</w:t>
            </w:r>
          </w:p>
        </w:tc>
        <w:tc>
          <w:tcPr>
            <w:tcW w:w="912" w:type="dxa"/>
            <w:tcBorders>
              <w:top w:val="single" w:sz="4" w:space="0" w:color="auto"/>
              <w:left w:val="single" w:sz="4" w:space="0" w:color="auto"/>
              <w:bottom w:val="single" w:sz="4" w:space="0" w:color="auto"/>
              <w:right w:val="single" w:sz="4" w:space="0" w:color="auto"/>
            </w:tcBorders>
            <w:noWrap/>
          </w:tcPr>
          <w:p w14:paraId="1AF54CB6" w14:textId="77777777" w:rsidR="00DD6E45" w:rsidRPr="00DD6E45" w:rsidRDefault="00DD6E45" w:rsidP="00DD6E45">
            <w:pPr>
              <w:spacing w:before="40" w:after="40"/>
              <w:rPr>
                <w:rFonts w:cs="Segoe UI"/>
                <w:sz w:val="17"/>
                <w:szCs w:val="17"/>
              </w:rPr>
            </w:pPr>
          </w:p>
        </w:tc>
        <w:tc>
          <w:tcPr>
            <w:tcW w:w="915" w:type="dxa"/>
            <w:tcBorders>
              <w:top w:val="single" w:sz="4" w:space="0" w:color="auto"/>
              <w:left w:val="single" w:sz="4" w:space="0" w:color="auto"/>
              <w:bottom w:val="single" w:sz="4" w:space="0" w:color="auto"/>
              <w:right w:val="single" w:sz="4" w:space="0" w:color="auto"/>
            </w:tcBorders>
            <w:shd w:val="clear" w:color="auto" w:fill="AEAAAA"/>
            <w:noWrap/>
          </w:tcPr>
          <w:p w14:paraId="4F8C92BF" w14:textId="77777777" w:rsidR="00DD6E45" w:rsidRPr="00DD6E45" w:rsidRDefault="00DD6E45" w:rsidP="00DD6E45">
            <w:pPr>
              <w:spacing w:before="40" w:after="40"/>
              <w:rPr>
                <w:rFonts w:cs="Segoe UI"/>
                <w:sz w:val="17"/>
                <w:szCs w:val="17"/>
              </w:rPr>
            </w:pPr>
          </w:p>
        </w:tc>
        <w:tc>
          <w:tcPr>
            <w:tcW w:w="913" w:type="dxa"/>
            <w:tcBorders>
              <w:top w:val="single" w:sz="4" w:space="0" w:color="auto"/>
              <w:left w:val="single" w:sz="4" w:space="0" w:color="auto"/>
              <w:bottom w:val="single" w:sz="4" w:space="0" w:color="auto"/>
              <w:right w:val="single" w:sz="4" w:space="0" w:color="auto"/>
            </w:tcBorders>
            <w:noWrap/>
          </w:tcPr>
          <w:p w14:paraId="5EE67ECE" w14:textId="77777777" w:rsidR="00DD6E45" w:rsidRPr="00DD6E45" w:rsidRDefault="00DD6E45" w:rsidP="00DD6E45">
            <w:pPr>
              <w:spacing w:before="40" w:after="40"/>
              <w:rPr>
                <w:rFonts w:cs="Segoe UI"/>
                <w:sz w:val="17"/>
                <w:szCs w:val="17"/>
              </w:rPr>
            </w:pPr>
          </w:p>
        </w:tc>
        <w:tc>
          <w:tcPr>
            <w:tcW w:w="912" w:type="dxa"/>
            <w:tcBorders>
              <w:top w:val="single" w:sz="4" w:space="0" w:color="auto"/>
              <w:left w:val="single" w:sz="4" w:space="0" w:color="auto"/>
              <w:bottom w:val="single" w:sz="4" w:space="0" w:color="auto"/>
              <w:right w:val="single" w:sz="4" w:space="0" w:color="auto"/>
            </w:tcBorders>
          </w:tcPr>
          <w:p w14:paraId="4B9B815F" w14:textId="77777777" w:rsidR="00DD6E45" w:rsidRPr="00DD6E45" w:rsidRDefault="00DD6E45" w:rsidP="00DD6E45">
            <w:pPr>
              <w:spacing w:before="40" w:after="40"/>
              <w:rPr>
                <w:rFonts w:cs="Segoe UI"/>
                <w:sz w:val="17"/>
                <w:szCs w:val="17"/>
              </w:rPr>
            </w:pPr>
          </w:p>
        </w:tc>
        <w:tc>
          <w:tcPr>
            <w:tcW w:w="913" w:type="dxa"/>
            <w:tcBorders>
              <w:top w:val="single" w:sz="4" w:space="0" w:color="auto"/>
              <w:left w:val="single" w:sz="4" w:space="0" w:color="auto"/>
              <w:bottom w:val="single" w:sz="4" w:space="0" w:color="auto"/>
              <w:right w:val="single" w:sz="4" w:space="0" w:color="auto"/>
            </w:tcBorders>
          </w:tcPr>
          <w:p w14:paraId="27BEFFDE" w14:textId="77777777" w:rsidR="00DD6E45" w:rsidRPr="00DD6E45" w:rsidRDefault="00DD6E45" w:rsidP="00DD6E45">
            <w:pPr>
              <w:spacing w:before="40" w:after="40"/>
              <w:rPr>
                <w:rFonts w:cs="Segoe UI"/>
                <w:sz w:val="17"/>
                <w:szCs w:val="17"/>
              </w:rPr>
            </w:pPr>
          </w:p>
        </w:tc>
        <w:tc>
          <w:tcPr>
            <w:tcW w:w="912" w:type="dxa"/>
            <w:tcBorders>
              <w:top w:val="single" w:sz="4" w:space="0" w:color="auto"/>
              <w:left w:val="single" w:sz="4" w:space="0" w:color="auto"/>
              <w:bottom w:val="single" w:sz="4" w:space="0" w:color="auto"/>
              <w:right w:val="single" w:sz="4" w:space="0" w:color="auto"/>
            </w:tcBorders>
          </w:tcPr>
          <w:p w14:paraId="656A9FC5" w14:textId="77777777" w:rsidR="00DD6E45" w:rsidRPr="00DD6E45" w:rsidRDefault="00DD6E45" w:rsidP="00DD6E45">
            <w:pPr>
              <w:spacing w:before="40" w:after="40"/>
              <w:rPr>
                <w:rFonts w:cs="Segoe UI"/>
                <w:sz w:val="17"/>
                <w:szCs w:val="17"/>
              </w:rPr>
            </w:pPr>
          </w:p>
        </w:tc>
        <w:tc>
          <w:tcPr>
            <w:tcW w:w="916" w:type="dxa"/>
            <w:tcBorders>
              <w:top w:val="single" w:sz="4" w:space="0" w:color="auto"/>
              <w:left w:val="single" w:sz="4" w:space="0" w:color="auto"/>
              <w:bottom w:val="single" w:sz="4" w:space="0" w:color="auto"/>
              <w:right w:val="single" w:sz="4" w:space="0" w:color="auto"/>
            </w:tcBorders>
            <w:noWrap/>
          </w:tcPr>
          <w:p w14:paraId="46802447" w14:textId="77777777" w:rsidR="00DD6E45" w:rsidRPr="00DD6E45" w:rsidRDefault="00DD6E45" w:rsidP="00DD6E45">
            <w:pPr>
              <w:spacing w:before="40" w:after="40"/>
              <w:rPr>
                <w:rFonts w:cs="Segoe UI"/>
                <w:sz w:val="17"/>
                <w:szCs w:val="17"/>
              </w:rPr>
            </w:pPr>
          </w:p>
        </w:tc>
        <w:tc>
          <w:tcPr>
            <w:tcW w:w="3118" w:type="dxa"/>
            <w:tcBorders>
              <w:top w:val="single" w:sz="4" w:space="0" w:color="auto"/>
              <w:left w:val="single" w:sz="4" w:space="0" w:color="auto"/>
              <w:bottom w:val="single" w:sz="4" w:space="0" w:color="auto"/>
              <w:right w:val="single" w:sz="4" w:space="0" w:color="auto"/>
            </w:tcBorders>
            <w:noWrap/>
          </w:tcPr>
          <w:p w14:paraId="3CFC9E38" w14:textId="77777777" w:rsidR="00DD6E45" w:rsidRPr="00DD6E45" w:rsidRDefault="00DD6E45" w:rsidP="00DD6E45">
            <w:pPr>
              <w:spacing w:before="40" w:after="40"/>
              <w:rPr>
                <w:rFonts w:cs="Segoe UI"/>
                <w:sz w:val="17"/>
                <w:szCs w:val="17"/>
              </w:rPr>
            </w:pPr>
          </w:p>
        </w:tc>
      </w:tr>
    </w:tbl>
    <w:p w14:paraId="2B8E3D4F" w14:textId="77777777" w:rsidR="00E46713" w:rsidRDefault="00E46713"/>
    <w:tbl>
      <w:tblPr>
        <w:tblW w:w="14166"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08"/>
        <w:gridCol w:w="4232"/>
        <w:gridCol w:w="1067"/>
        <w:gridCol w:w="1068"/>
        <w:gridCol w:w="1067"/>
        <w:gridCol w:w="1071"/>
        <w:gridCol w:w="1067"/>
        <w:gridCol w:w="1068"/>
        <w:gridCol w:w="3118"/>
      </w:tblGrid>
      <w:tr w:rsidR="00DD6E45" w:rsidRPr="00DD6E45" w14:paraId="131F11E5" w14:textId="77777777" w:rsidTr="00E46713">
        <w:trPr>
          <w:trHeight w:val="283"/>
        </w:trPr>
        <w:tc>
          <w:tcPr>
            <w:tcW w:w="408" w:type="dxa"/>
            <w:tcBorders>
              <w:top w:val="single" w:sz="4" w:space="0" w:color="auto"/>
              <w:left w:val="nil"/>
              <w:bottom w:val="nil"/>
              <w:right w:val="single" w:sz="4" w:space="0" w:color="auto"/>
            </w:tcBorders>
          </w:tcPr>
          <w:p w14:paraId="17ECB7F3" w14:textId="77777777" w:rsidR="00DD6E45" w:rsidRPr="00DD6E45" w:rsidRDefault="00DD6E45" w:rsidP="00DD6E45">
            <w:pPr>
              <w:spacing w:before="40" w:after="40"/>
              <w:rPr>
                <w:rFonts w:cs="Segoe UI"/>
                <w:sz w:val="17"/>
                <w:szCs w:val="17"/>
              </w:rPr>
            </w:pPr>
          </w:p>
        </w:tc>
        <w:tc>
          <w:tcPr>
            <w:tcW w:w="4232" w:type="dxa"/>
            <w:tcBorders>
              <w:top w:val="single" w:sz="4" w:space="0" w:color="auto"/>
              <w:left w:val="single" w:sz="4" w:space="0" w:color="auto"/>
              <w:bottom w:val="single" w:sz="4" w:space="0" w:color="auto"/>
              <w:right w:val="single" w:sz="4" w:space="0" w:color="auto"/>
            </w:tcBorders>
          </w:tcPr>
          <w:p w14:paraId="6F59A843" w14:textId="77777777" w:rsidR="00DD6E45" w:rsidRPr="00DD6E45" w:rsidRDefault="00DD6E45" w:rsidP="00DD6E45">
            <w:pPr>
              <w:spacing w:before="40" w:after="40"/>
              <w:rPr>
                <w:rFonts w:cs="Segoe UI"/>
                <w:sz w:val="17"/>
                <w:szCs w:val="17"/>
              </w:rPr>
            </w:pPr>
          </w:p>
        </w:tc>
        <w:tc>
          <w:tcPr>
            <w:tcW w:w="1067" w:type="dxa"/>
            <w:tcBorders>
              <w:top w:val="single" w:sz="4" w:space="0" w:color="auto"/>
              <w:left w:val="single" w:sz="4" w:space="0" w:color="auto"/>
              <w:bottom w:val="single" w:sz="4" w:space="0" w:color="auto"/>
              <w:right w:val="single" w:sz="4" w:space="0" w:color="auto"/>
            </w:tcBorders>
            <w:vAlign w:val="center"/>
          </w:tcPr>
          <w:p w14:paraId="5D98FB03" w14:textId="77777777" w:rsidR="00DD6E45" w:rsidRPr="00DD6E45" w:rsidRDefault="00DD6E45" w:rsidP="003A79BA">
            <w:pPr>
              <w:spacing w:before="40" w:after="40"/>
              <w:jc w:val="center"/>
              <w:rPr>
                <w:rFonts w:cs="Segoe UI"/>
                <w:sz w:val="17"/>
                <w:szCs w:val="17"/>
              </w:rPr>
            </w:pPr>
            <w:r w:rsidRPr="00DD6E45">
              <w:rPr>
                <w:rFonts w:cs="Segoe UI"/>
                <w:sz w:val="17"/>
                <w:szCs w:val="17"/>
              </w:rPr>
              <w:t>20%</w:t>
            </w:r>
          </w:p>
        </w:tc>
        <w:tc>
          <w:tcPr>
            <w:tcW w:w="1068" w:type="dxa"/>
            <w:tcBorders>
              <w:top w:val="single" w:sz="4" w:space="0" w:color="auto"/>
              <w:left w:val="single" w:sz="4" w:space="0" w:color="auto"/>
              <w:bottom w:val="single" w:sz="4" w:space="0" w:color="auto"/>
              <w:right w:val="single" w:sz="4" w:space="0" w:color="auto"/>
            </w:tcBorders>
            <w:vAlign w:val="center"/>
          </w:tcPr>
          <w:p w14:paraId="50E298DA" w14:textId="77777777" w:rsidR="00DD6E45" w:rsidRPr="00DD6E45" w:rsidRDefault="00DD6E45" w:rsidP="003A79BA">
            <w:pPr>
              <w:spacing w:before="40" w:after="40"/>
              <w:jc w:val="center"/>
              <w:rPr>
                <w:rFonts w:cs="Segoe UI"/>
                <w:sz w:val="17"/>
                <w:szCs w:val="17"/>
              </w:rPr>
            </w:pPr>
            <w:r w:rsidRPr="00DD6E45">
              <w:rPr>
                <w:rFonts w:cs="Segoe UI"/>
                <w:sz w:val="17"/>
                <w:szCs w:val="17"/>
              </w:rPr>
              <w:t>30%</w:t>
            </w:r>
          </w:p>
        </w:tc>
        <w:tc>
          <w:tcPr>
            <w:tcW w:w="1067" w:type="dxa"/>
            <w:tcBorders>
              <w:top w:val="single" w:sz="4" w:space="0" w:color="auto"/>
              <w:left w:val="single" w:sz="4" w:space="0" w:color="auto"/>
              <w:bottom w:val="single" w:sz="4" w:space="0" w:color="auto"/>
              <w:right w:val="single" w:sz="4" w:space="0" w:color="auto"/>
            </w:tcBorders>
            <w:vAlign w:val="center"/>
          </w:tcPr>
          <w:p w14:paraId="200EB937" w14:textId="77777777" w:rsidR="00DD6E45" w:rsidRPr="00DD6E45" w:rsidRDefault="00DD6E45" w:rsidP="003A79BA">
            <w:pPr>
              <w:spacing w:before="40" w:after="40"/>
              <w:jc w:val="center"/>
              <w:rPr>
                <w:rFonts w:cs="Segoe UI"/>
                <w:sz w:val="17"/>
                <w:szCs w:val="17"/>
              </w:rPr>
            </w:pPr>
            <w:r w:rsidRPr="00DD6E45">
              <w:rPr>
                <w:rFonts w:cs="Segoe UI"/>
                <w:sz w:val="17"/>
                <w:szCs w:val="17"/>
              </w:rPr>
              <w:t>50%</w:t>
            </w:r>
          </w:p>
        </w:tc>
        <w:tc>
          <w:tcPr>
            <w:tcW w:w="1071" w:type="dxa"/>
            <w:tcBorders>
              <w:top w:val="single" w:sz="4" w:space="0" w:color="auto"/>
              <w:left w:val="single" w:sz="4" w:space="0" w:color="auto"/>
              <w:bottom w:val="single" w:sz="4" w:space="0" w:color="auto"/>
              <w:right w:val="single" w:sz="4" w:space="0" w:color="auto"/>
            </w:tcBorders>
            <w:vAlign w:val="center"/>
          </w:tcPr>
          <w:p w14:paraId="6FE43A89" w14:textId="77777777" w:rsidR="00DD6E45" w:rsidRPr="00DD6E45" w:rsidRDefault="00DD6E45" w:rsidP="003A79BA">
            <w:pPr>
              <w:spacing w:before="40" w:after="40"/>
              <w:jc w:val="center"/>
              <w:rPr>
                <w:rFonts w:cs="Segoe UI"/>
                <w:sz w:val="17"/>
                <w:szCs w:val="17"/>
              </w:rPr>
            </w:pPr>
            <w:r w:rsidRPr="00DD6E45">
              <w:rPr>
                <w:rFonts w:cs="Segoe UI"/>
                <w:sz w:val="17"/>
                <w:szCs w:val="17"/>
              </w:rPr>
              <w:t>100%</w:t>
            </w:r>
          </w:p>
        </w:tc>
        <w:tc>
          <w:tcPr>
            <w:tcW w:w="1067" w:type="dxa"/>
            <w:tcBorders>
              <w:top w:val="single" w:sz="4" w:space="0" w:color="auto"/>
              <w:left w:val="single" w:sz="4" w:space="0" w:color="auto"/>
              <w:bottom w:val="single" w:sz="4" w:space="0" w:color="auto"/>
              <w:right w:val="single" w:sz="4" w:space="0" w:color="auto"/>
            </w:tcBorders>
            <w:vAlign w:val="center"/>
          </w:tcPr>
          <w:p w14:paraId="21A68585" w14:textId="77777777" w:rsidR="00DD6E45" w:rsidRPr="00DD6E45" w:rsidRDefault="00DD6E45" w:rsidP="003A79BA">
            <w:pPr>
              <w:spacing w:before="40" w:after="40"/>
              <w:jc w:val="center"/>
              <w:rPr>
                <w:rFonts w:cs="Segoe UI"/>
                <w:sz w:val="17"/>
                <w:szCs w:val="17"/>
              </w:rPr>
            </w:pPr>
            <w:r w:rsidRPr="00DD6E45">
              <w:rPr>
                <w:rFonts w:cs="Segoe UI"/>
                <w:sz w:val="17"/>
                <w:szCs w:val="17"/>
              </w:rPr>
              <w:t>150%</w:t>
            </w:r>
          </w:p>
        </w:tc>
        <w:tc>
          <w:tcPr>
            <w:tcW w:w="1068" w:type="dxa"/>
            <w:tcBorders>
              <w:top w:val="single" w:sz="4" w:space="0" w:color="auto"/>
              <w:left w:val="single" w:sz="4" w:space="0" w:color="auto"/>
              <w:bottom w:val="single" w:sz="4" w:space="0" w:color="auto"/>
              <w:right w:val="single" w:sz="4" w:space="0" w:color="auto"/>
            </w:tcBorders>
            <w:vAlign w:val="center"/>
          </w:tcPr>
          <w:p w14:paraId="0C5CFA97" w14:textId="77777777" w:rsidR="00DD6E45" w:rsidRPr="00DD6E45" w:rsidRDefault="00DD6E45" w:rsidP="003A79BA">
            <w:pPr>
              <w:spacing w:before="40" w:after="40"/>
              <w:jc w:val="center"/>
              <w:rPr>
                <w:rFonts w:cs="Segoe UI"/>
                <w:sz w:val="17"/>
                <w:szCs w:val="17"/>
              </w:rPr>
            </w:pPr>
            <w:r w:rsidRPr="00DD6E45">
              <w:rPr>
                <w:rFonts w:cs="Segoe UI"/>
                <w:sz w:val="17"/>
                <w:szCs w:val="17"/>
              </w:rPr>
              <w:t>Other</w:t>
            </w:r>
          </w:p>
        </w:tc>
        <w:tc>
          <w:tcPr>
            <w:tcW w:w="3118" w:type="dxa"/>
            <w:tcBorders>
              <w:top w:val="single" w:sz="4" w:space="0" w:color="auto"/>
              <w:left w:val="single" w:sz="4" w:space="0" w:color="auto"/>
              <w:bottom w:val="single" w:sz="4" w:space="0" w:color="auto"/>
              <w:right w:val="single" w:sz="4" w:space="0" w:color="auto"/>
            </w:tcBorders>
            <w:vAlign w:val="center"/>
          </w:tcPr>
          <w:p w14:paraId="660619F7" w14:textId="77777777" w:rsidR="00DD6E45" w:rsidRPr="00DD6E45" w:rsidRDefault="00DD6E45" w:rsidP="00DD6E45">
            <w:pPr>
              <w:spacing w:before="40" w:after="40"/>
              <w:rPr>
                <w:rFonts w:cs="Segoe UI"/>
                <w:sz w:val="17"/>
                <w:szCs w:val="17"/>
              </w:rPr>
            </w:pPr>
            <w:r w:rsidRPr="00DD6E45">
              <w:rPr>
                <w:rFonts w:cs="Segoe UI"/>
                <w:sz w:val="17"/>
                <w:szCs w:val="17"/>
              </w:rPr>
              <w:t>Total credit exposure amount (post-CCF and post-CRM)</w:t>
            </w:r>
          </w:p>
        </w:tc>
      </w:tr>
      <w:tr w:rsidR="00DD6E45" w:rsidRPr="00DD6E45" w14:paraId="7E69037C" w14:textId="77777777" w:rsidTr="00E46713">
        <w:trPr>
          <w:trHeight w:val="283"/>
        </w:trPr>
        <w:tc>
          <w:tcPr>
            <w:tcW w:w="408" w:type="dxa"/>
            <w:tcBorders>
              <w:top w:val="nil"/>
              <w:left w:val="nil"/>
              <w:bottom w:val="single" w:sz="4" w:space="0" w:color="auto"/>
              <w:right w:val="single" w:sz="4" w:space="0" w:color="auto"/>
            </w:tcBorders>
          </w:tcPr>
          <w:p w14:paraId="29FE26A8" w14:textId="77777777" w:rsidR="00DD6E45" w:rsidRPr="00DD6E45" w:rsidRDefault="00DD6E45" w:rsidP="00DD6E45">
            <w:pPr>
              <w:spacing w:before="40" w:after="40"/>
              <w:rPr>
                <w:rFonts w:cs="Segoe UI"/>
                <w:sz w:val="17"/>
                <w:szCs w:val="17"/>
              </w:rPr>
            </w:pPr>
            <w:r w:rsidRPr="00DD6E45">
              <w:rPr>
                <w:rFonts w:cs="Segoe UI"/>
                <w:sz w:val="17"/>
                <w:szCs w:val="17"/>
              </w:rPr>
              <w:t>3a</w:t>
            </w:r>
          </w:p>
        </w:tc>
        <w:tc>
          <w:tcPr>
            <w:tcW w:w="4232" w:type="dxa"/>
            <w:tcBorders>
              <w:top w:val="single" w:sz="4" w:space="0" w:color="auto"/>
              <w:left w:val="single" w:sz="4" w:space="0" w:color="auto"/>
              <w:bottom w:val="single" w:sz="4" w:space="0" w:color="auto"/>
              <w:right w:val="single" w:sz="4" w:space="0" w:color="auto"/>
            </w:tcBorders>
          </w:tcPr>
          <w:p w14:paraId="161DB1CF" w14:textId="77777777" w:rsidR="00DD6E45" w:rsidRPr="00DD6E45" w:rsidRDefault="00DD6E45" w:rsidP="00DD6E45">
            <w:pPr>
              <w:spacing w:before="40" w:after="40"/>
              <w:rPr>
                <w:rFonts w:cs="Segoe UI"/>
                <w:sz w:val="17"/>
                <w:szCs w:val="17"/>
              </w:rPr>
            </w:pPr>
            <w:r w:rsidRPr="00DD6E45">
              <w:rPr>
                <w:rFonts w:cs="Segoe UI"/>
                <w:sz w:val="17"/>
                <w:szCs w:val="17"/>
              </w:rPr>
              <w:t>Unspecified multilateral body exposures</w:t>
            </w:r>
          </w:p>
        </w:tc>
        <w:tc>
          <w:tcPr>
            <w:tcW w:w="1067" w:type="dxa"/>
            <w:tcBorders>
              <w:top w:val="single" w:sz="4" w:space="0" w:color="auto"/>
              <w:left w:val="single" w:sz="4" w:space="0" w:color="auto"/>
              <w:bottom w:val="single" w:sz="4" w:space="0" w:color="auto"/>
              <w:right w:val="single" w:sz="4" w:space="0" w:color="auto"/>
            </w:tcBorders>
          </w:tcPr>
          <w:p w14:paraId="0C3AFD36" w14:textId="77777777" w:rsidR="00DD6E45" w:rsidRPr="00DD6E45" w:rsidRDefault="00DD6E45" w:rsidP="00DD6E45">
            <w:pPr>
              <w:spacing w:before="40" w:after="40"/>
              <w:rPr>
                <w:rFonts w:cs="Segoe UI"/>
                <w:sz w:val="17"/>
                <w:szCs w:val="17"/>
              </w:rPr>
            </w:pPr>
          </w:p>
        </w:tc>
        <w:tc>
          <w:tcPr>
            <w:tcW w:w="1068" w:type="dxa"/>
            <w:tcBorders>
              <w:top w:val="single" w:sz="4" w:space="0" w:color="auto"/>
              <w:left w:val="single" w:sz="4" w:space="0" w:color="auto"/>
              <w:bottom w:val="single" w:sz="4" w:space="0" w:color="auto"/>
              <w:right w:val="single" w:sz="4" w:space="0" w:color="auto"/>
            </w:tcBorders>
          </w:tcPr>
          <w:p w14:paraId="4E10BE22" w14:textId="77777777" w:rsidR="00DD6E45" w:rsidRPr="00DD6E45" w:rsidRDefault="00DD6E45" w:rsidP="00DD6E45">
            <w:pPr>
              <w:spacing w:before="40" w:after="40"/>
              <w:rPr>
                <w:rFonts w:cs="Segoe UI"/>
                <w:sz w:val="17"/>
                <w:szCs w:val="17"/>
              </w:rPr>
            </w:pPr>
          </w:p>
        </w:tc>
        <w:tc>
          <w:tcPr>
            <w:tcW w:w="1067" w:type="dxa"/>
            <w:tcBorders>
              <w:top w:val="single" w:sz="4" w:space="0" w:color="auto"/>
              <w:left w:val="single" w:sz="4" w:space="0" w:color="auto"/>
              <w:bottom w:val="single" w:sz="4" w:space="0" w:color="auto"/>
              <w:right w:val="single" w:sz="4" w:space="0" w:color="auto"/>
            </w:tcBorders>
          </w:tcPr>
          <w:p w14:paraId="735AFD0F" w14:textId="77777777" w:rsidR="00DD6E45" w:rsidRPr="00DD6E45" w:rsidRDefault="00DD6E45" w:rsidP="00DD6E45">
            <w:pPr>
              <w:spacing w:before="40" w:after="40"/>
              <w:rPr>
                <w:rFonts w:cs="Segoe UI"/>
                <w:sz w:val="17"/>
                <w:szCs w:val="17"/>
              </w:rPr>
            </w:pPr>
          </w:p>
        </w:tc>
        <w:tc>
          <w:tcPr>
            <w:tcW w:w="1071" w:type="dxa"/>
            <w:tcBorders>
              <w:top w:val="single" w:sz="4" w:space="0" w:color="auto"/>
              <w:left w:val="single" w:sz="4" w:space="0" w:color="auto"/>
              <w:bottom w:val="single" w:sz="4" w:space="0" w:color="auto"/>
              <w:right w:val="single" w:sz="4" w:space="0" w:color="auto"/>
            </w:tcBorders>
          </w:tcPr>
          <w:p w14:paraId="04AB1912" w14:textId="77777777" w:rsidR="00DD6E45" w:rsidRPr="00DD6E45" w:rsidRDefault="00DD6E45" w:rsidP="00DD6E45">
            <w:pPr>
              <w:spacing w:before="40" w:after="40"/>
              <w:rPr>
                <w:rFonts w:cs="Segoe UI"/>
                <w:sz w:val="17"/>
                <w:szCs w:val="17"/>
              </w:rPr>
            </w:pPr>
          </w:p>
        </w:tc>
        <w:tc>
          <w:tcPr>
            <w:tcW w:w="1067" w:type="dxa"/>
            <w:tcBorders>
              <w:top w:val="single" w:sz="4" w:space="0" w:color="auto"/>
              <w:left w:val="single" w:sz="4" w:space="0" w:color="auto"/>
              <w:bottom w:val="single" w:sz="4" w:space="0" w:color="auto"/>
              <w:right w:val="single" w:sz="4" w:space="0" w:color="auto"/>
            </w:tcBorders>
          </w:tcPr>
          <w:p w14:paraId="32ED7B51" w14:textId="77777777" w:rsidR="00DD6E45" w:rsidRPr="00DD6E45" w:rsidRDefault="00DD6E45" w:rsidP="00DD6E45">
            <w:pPr>
              <w:spacing w:before="40" w:after="40"/>
              <w:rPr>
                <w:rFonts w:cs="Segoe UI"/>
                <w:sz w:val="17"/>
                <w:szCs w:val="17"/>
              </w:rPr>
            </w:pPr>
          </w:p>
        </w:tc>
        <w:tc>
          <w:tcPr>
            <w:tcW w:w="1068" w:type="dxa"/>
            <w:tcBorders>
              <w:top w:val="single" w:sz="4" w:space="0" w:color="auto"/>
              <w:left w:val="single" w:sz="4" w:space="0" w:color="auto"/>
              <w:bottom w:val="single" w:sz="4" w:space="0" w:color="auto"/>
              <w:right w:val="single" w:sz="4" w:space="0" w:color="auto"/>
            </w:tcBorders>
          </w:tcPr>
          <w:p w14:paraId="5BA0999B" w14:textId="77777777" w:rsidR="00DD6E45" w:rsidRPr="00DD6E45" w:rsidRDefault="00DD6E45" w:rsidP="00DD6E45">
            <w:pPr>
              <w:spacing w:before="40" w:after="40"/>
              <w:rPr>
                <w:rFonts w:cs="Segoe UI"/>
                <w:sz w:val="17"/>
                <w:szCs w:val="17"/>
              </w:rPr>
            </w:pPr>
          </w:p>
        </w:tc>
        <w:tc>
          <w:tcPr>
            <w:tcW w:w="3118" w:type="dxa"/>
            <w:tcBorders>
              <w:top w:val="single" w:sz="4" w:space="0" w:color="auto"/>
              <w:left w:val="single" w:sz="4" w:space="0" w:color="auto"/>
              <w:bottom w:val="single" w:sz="4" w:space="0" w:color="auto"/>
              <w:right w:val="single" w:sz="4" w:space="0" w:color="auto"/>
            </w:tcBorders>
          </w:tcPr>
          <w:p w14:paraId="3B31BE94" w14:textId="77777777" w:rsidR="00DD6E45" w:rsidRPr="00DD6E45" w:rsidRDefault="00DD6E45" w:rsidP="00DD6E45">
            <w:pPr>
              <w:spacing w:before="40" w:after="40"/>
              <w:rPr>
                <w:rFonts w:cs="Segoe UI"/>
                <w:sz w:val="17"/>
                <w:szCs w:val="17"/>
              </w:rPr>
            </w:pPr>
          </w:p>
        </w:tc>
      </w:tr>
    </w:tbl>
    <w:p w14:paraId="4A128DBA" w14:textId="77777777" w:rsidR="00E46713" w:rsidRDefault="00E46713"/>
    <w:tbl>
      <w:tblPr>
        <w:tblW w:w="14166"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7"/>
        <w:gridCol w:w="4225"/>
        <w:gridCol w:w="795"/>
        <w:gridCol w:w="796"/>
        <w:gridCol w:w="795"/>
        <w:gridCol w:w="796"/>
        <w:gridCol w:w="795"/>
        <w:gridCol w:w="796"/>
        <w:gridCol w:w="795"/>
        <w:gridCol w:w="798"/>
        <w:gridCol w:w="3118"/>
      </w:tblGrid>
      <w:tr w:rsidR="00DD6E45" w:rsidRPr="00DD6E45" w14:paraId="13971221" w14:textId="77777777" w:rsidTr="00E46713">
        <w:trPr>
          <w:trHeight w:val="283"/>
        </w:trPr>
        <w:tc>
          <w:tcPr>
            <w:tcW w:w="457" w:type="dxa"/>
            <w:tcBorders>
              <w:top w:val="single" w:sz="4" w:space="0" w:color="auto"/>
              <w:left w:val="nil"/>
              <w:bottom w:val="nil"/>
              <w:right w:val="single" w:sz="4" w:space="0" w:color="auto"/>
            </w:tcBorders>
          </w:tcPr>
          <w:p w14:paraId="1E612C21" w14:textId="77777777" w:rsidR="00DD6E45" w:rsidRPr="00DD6E45" w:rsidRDefault="00DD6E45" w:rsidP="00DD6E45">
            <w:pPr>
              <w:spacing w:before="40" w:after="40"/>
              <w:rPr>
                <w:rFonts w:cs="Segoe UI"/>
                <w:sz w:val="17"/>
                <w:szCs w:val="17"/>
              </w:rPr>
            </w:pPr>
            <w:r w:rsidRPr="00DD6E45">
              <w:rPr>
                <w:rFonts w:cs="Segoe UI"/>
                <w:sz w:val="17"/>
                <w:szCs w:val="17"/>
              </w:rPr>
              <w:br w:type="page"/>
            </w:r>
          </w:p>
        </w:tc>
        <w:tc>
          <w:tcPr>
            <w:tcW w:w="4225" w:type="dxa"/>
            <w:tcBorders>
              <w:top w:val="single" w:sz="4" w:space="0" w:color="auto"/>
              <w:left w:val="single" w:sz="4" w:space="0" w:color="auto"/>
              <w:bottom w:val="single" w:sz="4" w:space="0" w:color="auto"/>
              <w:right w:val="single" w:sz="4" w:space="0" w:color="auto"/>
            </w:tcBorders>
            <w:noWrap/>
          </w:tcPr>
          <w:p w14:paraId="10E69E52" w14:textId="77777777" w:rsidR="00DD6E45" w:rsidRPr="00DD6E45" w:rsidRDefault="00DD6E45" w:rsidP="00DD6E45">
            <w:pPr>
              <w:spacing w:before="40" w:after="40"/>
              <w:rPr>
                <w:rFonts w:cs="Segoe UI"/>
                <w:sz w:val="17"/>
                <w:szCs w:val="17"/>
              </w:rPr>
            </w:pPr>
          </w:p>
        </w:tc>
        <w:tc>
          <w:tcPr>
            <w:tcW w:w="795" w:type="dxa"/>
            <w:tcBorders>
              <w:top w:val="single" w:sz="4" w:space="0" w:color="auto"/>
              <w:left w:val="single" w:sz="4" w:space="0" w:color="auto"/>
              <w:bottom w:val="single" w:sz="4" w:space="0" w:color="auto"/>
              <w:right w:val="single" w:sz="4" w:space="0" w:color="auto"/>
            </w:tcBorders>
            <w:noWrap/>
            <w:vAlign w:val="center"/>
            <w:hideMark/>
          </w:tcPr>
          <w:p w14:paraId="7A546955" w14:textId="77777777" w:rsidR="00DD6E45" w:rsidRPr="00DD6E45" w:rsidRDefault="00DD6E45" w:rsidP="003A79BA">
            <w:pPr>
              <w:spacing w:before="40" w:after="40"/>
              <w:jc w:val="center"/>
              <w:rPr>
                <w:rFonts w:cs="Segoe UI"/>
                <w:sz w:val="17"/>
                <w:szCs w:val="17"/>
              </w:rPr>
            </w:pPr>
            <w:r w:rsidRPr="00DD6E45">
              <w:rPr>
                <w:rFonts w:cs="Segoe UI"/>
                <w:sz w:val="17"/>
                <w:szCs w:val="17"/>
              </w:rPr>
              <w:t>20%</w:t>
            </w:r>
          </w:p>
        </w:tc>
        <w:tc>
          <w:tcPr>
            <w:tcW w:w="796" w:type="dxa"/>
            <w:tcBorders>
              <w:top w:val="single" w:sz="4" w:space="0" w:color="auto"/>
              <w:left w:val="single" w:sz="4" w:space="0" w:color="auto"/>
              <w:bottom w:val="single" w:sz="4" w:space="0" w:color="auto"/>
              <w:right w:val="single" w:sz="4" w:space="0" w:color="auto"/>
            </w:tcBorders>
            <w:noWrap/>
            <w:vAlign w:val="center"/>
            <w:hideMark/>
          </w:tcPr>
          <w:p w14:paraId="1359CEE7" w14:textId="77777777" w:rsidR="00DD6E45" w:rsidRPr="00DD6E45" w:rsidRDefault="00DD6E45" w:rsidP="003A79BA">
            <w:pPr>
              <w:spacing w:before="40" w:after="40"/>
              <w:jc w:val="center"/>
              <w:rPr>
                <w:rFonts w:cs="Segoe UI"/>
                <w:sz w:val="17"/>
                <w:szCs w:val="17"/>
              </w:rPr>
            </w:pPr>
            <w:r w:rsidRPr="00DD6E45">
              <w:rPr>
                <w:rFonts w:cs="Segoe UI"/>
                <w:sz w:val="17"/>
                <w:szCs w:val="17"/>
              </w:rPr>
              <w:t>30%</w:t>
            </w:r>
          </w:p>
        </w:tc>
        <w:tc>
          <w:tcPr>
            <w:tcW w:w="795" w:type="dxa"/>
            <w:tcBorders>
              <w:top w:val="single" w:sz="4" w:space="0" w:color="auto"/>
              <w:left w:val="single" w:sz="4" w:space="0" w:color="auto"/>
              <w:bottom w:val="single" w:sz="4" w:space="0" w:color="auto"/>
              <w:right w:val="single" w:sz="4" w:space="0" w:color="auto"/>
            </w:tcBorders>
            <w:noWrap/>
            <w:vAlign w:val="center"/>
            <w:hideMark/>
          </w:tcPr>
          <w:p w14:paraId="7763327B" w14:textId="77777777" w:rsidR="00DD6E45" w:rsidRPr="00DD6E45" w:rsidRDefault="00DD6E45" w:rsidP="003A79BA">
            <w:pPr>
              <w:spacing w:before="40" w:after="40"/>
              <w:jc w:val="center"/>
              <w:rPr>
                <w:rFonts w:cs="Segoe UI"/>
                <w:sz w:val="17"/>
                <w:szCs w:val="17"/>
              </w:rPr>
            </w:pPr>
            <w:r w:rsidRPr="00DD6E45">
              <w:rPr>
                <w:rFonts w:cs="Segoe UI"/>
                <w:sz w:val="17"/>
                <w:szCs w:val="17"/>
              </w:rPr>
              <w:t>40%</w:t>
            </w:r>
          </w:p>
        </w:tc>
        <w:tc>
          <w:tcPr>
            <w:tcW w:w="796" w:type="dxa"/>
            <w:tcBorders>
              <w:top w:val="single" w:sz="4" w:space="0" w:color="auto"/>
              <w:left w:val="single" w:sz="4" w:space="0" w:color="auto"/>
              <w:bottom w:val="single" w:sz="4" w:space="0" w:color="auto"/>
              <w:right w:val="single" w:sz="4" w:space="0" w:color="auto"/>
            </w:tcBorders>
            <w:vAlign w:val="center"/>
            <w:hideMark/>
          </w:tcPr>
          <w:p w14:paraId="33948C39" w14:textId="77777777" w:rsidR="00DD6E45" w:rsidRPr="00DD6E45" w:rsidRDefault="00DD6E45" w:rsidP="003A79BA">
            <w:pPr>
              <w:spacing w:before="40" w:after="40"/>
              <w:jc w:val="center"/>
              <w:rPr>
                <w:rFonts w:cs="Segoe UI"/>
                <w:sz w:val="17"/>
                <w:szCs w:val="17"/>
              </w:rPr>
            </w:pPr>
            <w:r w:rsidRPr="00DD6E45">
              <w:rPr>
                <w:rFonts w:cs="Segoe UI"/>
                <w:sz w:val="17"/>
                <w:szCs w:val="17"/>
              </w:rPr>
              <w:t>50%</w:t>
            </w:r>
          </w:p>
        </w:tc>
        <w:tc>
          <w:tcPr>
            <w:tcW w:w="795" w:type="dxa"/>
            <w:tcBorders>
              <w:top w:val="single" w:sz="4" w:space="0" w:color="auto"/>
              <w:left w:val="single" w:sz="4" w:space="0" w:color="auto"/>
              <w:bottom w:val="single" w:sz="4" w:space="0" w:color="auto"/>
              <w:right w:val="single" w:sz="4" w:space="0" w:color="auto"/>
            </w:tcBorders>
            <w:vAlign w:val="center"/>
            <w:hideMark/>
          </w:tcPr>
          <w:p w14:paraId="64D44424" w14:textId="77777777" w:rsidR="00DD6E45" w:rsidRPr="00DD6E45" w:rsidRDefault="00DD6E45" w:rsidP="003A79BA">
            <w:pPr>
              <w:spacing w:before="40" w:after="40"/>
              <w:jc w:val="center"/>
              <w:rPr>
                <w:rFonts w:cs="Segoe UI"/>
                <w:sz w:val="17"/>
                <w:szCs w:val="17"/>
              </w:rPr>
            </w:pPr>
            <w:r w:rsidRPr="00DD6E45">
              <w:rPr>
                <w:rFonts w:cs="Segoe UI"/>
                <w:sz w:val="17"/>
                <w:szCs w:val="17"/>
              </w:rPr>
              <w:t>75%</w:t>
            </w:r>
          </w:p>
        </w:tc>
        <w:tc>
          <w:tcPr>
            <w:tcW w:w="796" w:type="dxa"/>
            <w:tcBorders>
              <w:top w:val="single" w:sz="4" w:space="0" w:color="auto"/>
              <w:left w:val="single" w:sz="4" w:space="0" w:color="auto"/>
              <w:bottom w:val="single" w:sz="4" w:space="0" w:color="auto"/>
              <w:right w:val="single" w:sz="4" w:space="0" w:color="auto"/>
            </w:tcBorders>
            <w:vAlign w:val="center"/>
            <w:hideMark/>
          </w:tcPr>
          <w:p w14:paraId="3E470653" w14:textId="77777777" w:rsidR="00DD6E45" w:rsidRPr="00DD6E45" w:rsidRDefault="00DD6E45" w:rsidP="003A79BA">
            <w:pPr>
              <w:spacing w:before="40" w:after="40"/>
              <w:jc w:val="center"/>
              <w:rPr>
                <w:rFonts w:cs="Segoe UI"/>
                <w:sz w:val="17"/>
                <w:szCs w:val="17"/>
              </w:rPr>
            </w:pPr>
            <w:r w:rsidRPr="00DD6E45">
              <w:rPr>
                <w:rFonts w:cs="Segoe UI"/>
                <w:sz w:val="17"/>
                <w:szCs w:val="17"/>
              </w:rPr>
              <w:t>100%</w:t>
            </w:r>
          </w:p>
        </w:tc>
        <w:tc>
          <w:tcPr>
            <w:tcW w:w="795" w:type="dxa"/>
            <w:tcBorders>
              <w:top w:val="single" w:sz="4" w:space="0" w:color="auto"/>
              <w:left w:val="single" w:sz="4" w:space="0" w:color="auto"/>
              <w:bottom w:val="single" w:sz="4" w:space="0" w:color="auto"/>
              <w:right w:val="single" w:sz="4" w:space="0" w:color="auto"/>
            </w:tcBorders>
            <w:noWrap/>
            <w:vAlign w:val="center"/>
            <w:hideMark/>
          </w:tcPr>
          <w:p w14:paraId="45CA718C" w14:textId="77777777" w:rsidR="00DD6E45" w:rsidRPr="00DD6E45" w:rsidRDefault="00DD6E45" w:rsidP="003A79BA">
            <w:pPr>
              <w:spacing w:before="40" w:after="40"/>
              <w:jc w:val="center"/>
              <w:rPr>
                <w:rFonts w:cs="Segoe UI"/>
                <w:sz w:val="17"/>
                <w:szCs w:val="17"/>
              </w:rPr>
            </w:pPr>
            <w:r w:rsidRPr="00DD6E45">
              <w:rPr>
                <w:rFonts w:cs="Segoe UI"/>
                <w:sz w:val="17"/>
                <w:szCs w:val="17"/>
              </w:rPr>
              <w:t>150%</w:t>
            </w:r>
          </w:p>
        </w:tc>
        <w:tc>
          <w:tcPr>
            <w:tcW w:w="798" w:type="dxa"/>
            <w:tcBorders>
              <w:top w:val="single" w:sz="4" w:space="0" w:color="auto"/>
              <w:left w:val="single" w:sz="4" w:space="0" w:color="auto"/>
              <w:bottom w:val="single" w:sz="4" w:space="0" w:color="auto"/>
              <w:right w:val="single" w:sz="4" w:space="0" w:color="auto"/>
            </w:tcBorders>
            <w:vAlign w:val="center"/>
            <w:hideMark/>
          </w:tcPr>
          <w:p w14:paraId="0272E812" w14:textId="77777777" w:rsidR="00DD6E45" w:rsidRPr="00DD6E45" w:rsidRDefault="00DD6E45" w:rsidP="003A79BA">
            <w:pPr>
              <w:spacing w:before="40" w:after="40"/>
              <w:jc w:val="center"/>
              <w:rPr>
                <w:rFonts w:cs="Segoe UI"/>
                <w:sz w:val="17"/>
                <w:szCs w:val="17"/>
              </w:rPr>
            </w:pPr>
            <w:r w:rsidRPr="00DD6E45">
              <w:rPr>
                <w:rFonts w:cs="Segoe UI"/>
                <w:sz w:val="17"/>
                <w:szCs w:val="17"/>
              </w:rPr>
              <w:t>Other</w:t>
            </w:r>
          </w:p>
        </w:tc>
        <w:tc>
          <w:tcPr>
            <w:tcW w:w="3118" w:type="dxa"/>
            <w:tcBorders>
              <w:top w:val="single" w:sz="4" w:space="0" w:color="auto"/>
              <w:left w:val="single" w:sz="4" w:space="0" w:color="auto"/>
              <w:bottom w:val="single" w:sz="4" w:space="0" w:color="auto"/>
              <w:right w:val="single" w:sz="4" w:space="0" w:color="auto"/>
            </w:tcBorders>
            <w:noWrap/>
            <w:vAlign w:val="center"/>
            <w:hideMark/>
          </w:tcPr>
          <w:p w14:paraId="0D3DB6B6" w14:textId="77777777" w:rsidR="00DD6E45" w:rsidRPr="00DD6E45" w:rsidRDefault="00DD6E45" w:rsidP="00DD6E45">
            <w:pPr>
              <w:spacing w:before="40" w:after="40"/>
              <w:rPr>
                <w:rFonts w:cs="Segoe UI"/>
                <w:sz w:val="17"/>
                <w:szCs w:val="17"/>
              </w:rPr>
            </w:pPr>
            <w:r w:rsidRPr="00DD6E45">
              <w:rPr>
                <w:rFonts w:cs="Segoe UI"/>
                <w:sz w:val="17"/>
                <w:szCs w:val="17"/>
              </w:rPr>
              <w:t>Total credit exposure amount (post-CCF and post-CRM)</w:t>
            </w:r>
          </w:p>
        </w:tc>
      </w:tr>
      <w:tr w:rsidR="00DD6E45" w:rsidRPr="00DD6E45" w14:paraId="61842608" w14:textId="77777777" w:rsidTr="00E46713">
        <w:trPr>
          <w:trHeight w:val="283"/>
        </w:trPr>
        <w:tc>
          <w:tcPr>
            <w:tcW w:w="457" w:type="dxa"/>
            <w:tcBorders>
              <w:top w:val="nil"/>
              <w:left w:val="nil"/>
              <w:bottom w:val="single" w:sz="4" w:space="0" w:color="auto"/>
              <w:right w:val="single" w:sz="4" w:space="0" w:color="auto"/>
            </w:tcBorders>
            <w:hideMark/>
          </w:tcPr>
          <w:p w14:paraId="259F3454" w14:textId="77777777" w:rsidR="00DD6E45" w:rsidRPr="00DD6E45" w:rsidRDefault="00DD6E45" w:rsidP="00DD6E45">
            <w:pPr>
              <w:spacing w:before="40" w:after="40"/>
              <w:rPr>
                <w:rFonts w:cs="Segoe UI"/>
                <w:sz w:val="17"/>
                <w:szCs w:val="17"/>
              </w:rPr>
            </w:pPr>
            <w:r w:rsidRPr="00DD6E45">
              <w:rPr>
                <w:rFonts w:cs="Segoe UI"/>
                <w:sz w:val="17"/>
                <w:szCs w:val="17"/>
              </w:rPr>
              <w:t>4</w:t>
            </w:r>
          </w:p>
        </w:tc>
        <w:tc>
          <w:tcPr>
            <w:tcW w:w="4225" w:type="dxa"/>
            <w:tcBorders>
              <w:top w:val="single" w:sz="4" w:space="0" w:color="auto"/>
              <w:left w:val="single" w:sz="4" w:space="0" w:color="auto"/>
              <w:bottom w:val="single" w:sz="4" w:space="0" w:color="auto"/>
              <w:right w:val="single" w:sz="4" w:space="0" w:color="auto"/>
            </w:tcBorders>
            <w:noWrap/>
            <w:hideMark/>
          </w:tcPr>
          <w:p w14:paraId="67A73585" w14:textId="77777777" w:rsidR="00DD6E45" w:rsidRPr="00DD6E45" w:rsidRDefault="00DD6E45" w:rsidP="00DD6E45">
            <w:pPr>
              <w:spacing w:before="40" w:after="40"/>
              <w:rPr>
                <w:rFonts w:cs="Segoe UI"/>
                <w:sz w:val="17"/>
                <w:szCs w:val="17"/>
              </w:rPr>
            </w:pPr>
            <w:r w:rsidRPr="00DD6E45">
              <w:rPr>
                <w:rFonts w:cs="Segoe UI"/>
                <w:sz w:val="17"/>
                <w:szCs w:val="17"/>
              </w:rPr>
              <w:t>Bank exposures</w:t>
            </w:r>
          </w:p>
        </w:tc>
        <w:tc>
          <w:tcPr>
            <w:tcW w:w="795" w:type="dxa"/>
            <w:tcBorders>
              <w:top w:val="single" w:sz="4" w:space="0" w:color="auto"/>
              <w:left w:val="single" w:sz="4" w:space="0" w:color="auto"/>
              <w:bottom w:val="single" w:sz="4" w:space="0" w:color="auto"/>
              <w:right w:val="single" w:sz="4" w:space="0" w:color="auto"/>
            </w:tcBorders>
            <w:noWrap/>
          </w:tcPr>
          <w:p w14:paraId="14BD1DF3" w14:textId="77777777" w:rsidR="00DD6E45" w:rsidRPr="00DD6E45" w:rsidRDefault="00DD6E45" w:rsidP="00DD6E45">
            <w:pPr>
              <w:spacing w:before="40" w:after="40"/>
              <w:rPr>
                <w:rFonts w:cs="Segoe UI"/>
                <w:sz w:val="17"/>
                <w:szCs w:val="17"/>
              </w:rPr>
            </w:pPr>
          </w:p>
        </w:tc>
        <w:tc>
          <w:tcPr>
            <w:tcW w:w="796" w:type="dxa"/>
            <w:tcBorders>
              <w:top w:val="single" w:sz="4" w:space="0" w:color="auto"/>
              <w:left w:val="single" w:sz="4" w:space="0" w:color="auto"/>
              <w:bottom w:val="single" w:sz="4" w:space="0" w:color="auto"/>
              <w:right w:val="single" w:sz="4" w:space="0" w:color="auto"/>
            </w:tcBorders>
            <w:noWrap/>
          </w:tcPr>
          <w:p w14:paraId="3632C15B" w14:textId="77777777" w:rsidR="00DD6E45" w:rsidRPr="00DD6E45" w:rsidRDefault="00DD6E45" w:rsidP="00DD6E45">
            <w:pPr>
              <w:spacing w:before="40" w:after="40"/>
              <w:rPr>
                <w:rFonts w:cs="Segoe UI"/>
                <w:sz w:val="17"/>
                <w:szCs w:val="17"/>
              </w:rPr>
            </w:pPr>
          </w:p>
        </w:tc>
        <w:tc>
          <w:tcPr>
            <w:tcW w:w="795" w:type="dxa"/>
            <w:tcBorders>
              <w:top w:val="single" w:sz="4" w:space="0" w:color="auto"/>
              <w:left w:val="single" w:sz="4" w:space="0" w:color="auto"/>
              <w:bottom w:val="single" w:sz="4" w:space="0" w:color="auto"/>
              <w:right w:val="single" w:sz="4" w:space="0" w:color="auto"/>
            </w:tcBorders>
            <w:noWrap/>
          </w:tcPr>
          <w:p w14:paraId="54307DE0" w14:textId="77777777" w:rsidR="00DD6E45" w:rsidRPr="00DD6E45" w:rsidRDefault="00DD6E45" w:rsidP="00DD6E45">
            <w:pPr>
              <w:spacing w:before="40" w:after="40"/>
              <w:rPr>
                <w:rFonts w:cs="Segoe UI"/>
                <w:sz w:val="17"/>
                <w:szCs w:val="17"/>
              </w:rPr>
            </w:pPr>
          </w:p>
        </w:tc>
        <w:tc>
          <w:tcPr>
            <w:tcW w:w="796" w:type="dxa"/>
            <w:tcBorders>
              <w:top w:val="single" w:sz="4" w:space="0" w:color="auto"/>
              <w:left w:val="single" w:sz="4" w:space="0" w:color="auto"/>
              <w:bottom w:val="single" w:sz="4" w:space="0" w:color="auto"/>
              <w:right w:val="single" w:sz="4" w:space="0" w:color="auto"/>
            </w:tcBorders>
          </w:tcPr>
          <w:p w14:paraId="6359CE98" w14:textId="77777777" w:rsidR="00DD6E45" w:rsidRPr="00DD6E45" w:rsidRDefault="00DD6E45" w:rsidP="00DD6E45">
            <w:pPr>
              <w:spacing w:before="40" w:after="40"/>
              <w:rPr>
                <w:rFonts w:cs="Segoe UI"/>
                <w:sz w:val="17"/>
                <w:szCs w:val="17"/>
              </w:rPr>
            </w:pPr>
          </w:p>
        </w:tc>
        <w:tc>
          <w:tcPr>
            <w:tcW w:w="795" w:type="dxa"/>
            <w:tcBorders>
              <w:top w:val="single" w:sz="4" w:space="0" w:color="auto"/>
              <w:left w:val="single" w:sz="4" w:space="0" w:color="auto"/>
              <w:bottom w:val="single" w:sz="4" w:space="0" w:color="auto"/>
              <w:right w:val="single" w:sz="4" w:space="0" w:color="auto"/>
            </w:tcBorders>
          </w:tcPr>
          <w:p w14:paraId="07577D5B" w14:textId="77777777" w:rsidR="00DD6E45" w:rsidRPr="00DD6E45" w:rsidRDefault="00DD6E45" w:rsidP="00DD6E45">
            <w:pPr>
              <w:spacing w:before="40" w:after="40"/>
              <w:rPr>
                <w:rFonts w:cs="Segoe UI"/>
                <w:sz w:val="17"/>
                <w:szCs w:val="17"/>
              </w:rPr>
            </w:pPr>
          </w:p>
        </w:tc>
        <w:tc>
          <w:tcPr>
            <w:tcW w:w="796" w:type="dxa"/>
            <w:tcBorders>
              <w:top w:val="single" w:sz="4" w:space="0" w:color="auto"/>
              <w:left w:val="single" w:sz="4" w:space="0" w:color="auto"/>
              <w:bottom w:val="single" w:sz="4" w:space="0" w:color="auto"/>
              <w:right w:val="single" w:sz="4" w:space="0" w:color="auto"/>
            </w:tcBorders>
          </w:tcPr>
          <w:p w14:paraId="4270C142" w14:textId="77777777" w:rsidR="00DD6E45" w:rsidRPr="00DD6E45" w:rsidRDefault="00DD6E45" w:rsidP="00DD6E45">
            <w:pPr>
              <w:spacing w:before="40" w:after="40"/>
              <w:rPr>
                <w:rFonts w:cs="Segoe UI"/>
                <w:sz w:val="17"/>
                <w:szCs w:val="17"/>
              </w:rPr>
            </w:pPr>
          </w:p>
        </w:tc>
        <w:tc>
          <w:tcPr>
            <w:tcW w:w="795" w:type="dxa"/>
            <w:tcBorders>
              <w:top w:val="single" w:sz="4" w:space="0" w:color="auto"/>
              <w:left w:val="single" w:sz="4" w:space="0" w:color="auto"/>
              <w:bottom w:val="single" w:sz="4" w:space="0" w:color="auto"/>
              <w:right w:val="single" w:sz="4" w:space="0" w:color="auto"/>
            </w:tcBorders>
            <w:noWrap/>
          </w:tcPr>
          <w:p w14:paraId="7AB2D977" w14:textId="77777777" w:rsidR="00DD6E45" w:rsidRPr="00DD6E45" w:rsidRDefault="00DD6E45" w:rsidP="00DD6E45">
            <w:pPr>
              <w:spacing w:before="40" w:after="40"/>
              <w:rPr>
                <w:rFonts w:cs="Segoe UI"/>
                <w:sz w:val="17"/>
                <w:szCs w:val="17"/>
              </w:rPr>
            </w:pPr>
          </w:p>
        </w:tc>
        <w:tc>
          <w:tcPr>
            <w:tcW w:w="798" w:type="dxa"/>
            <w:tcBorders>
              <w:top w:val="single" w:sz="4" w:space="0" w:color="auto"/>
              <w:left w:val="single" w:sz="4" w:space="0" w:color="auto"/>
              <w:bottom w:val="single" w:sz="4" w:space="0" w:color="auto"/>
              <w:right w:val="single" w:sz="4" w:space="0" w:color="auto"/>
            </w:tcBorders>
          </w:tcPr>
          <w:p w14:paraId="3A4D97ED" w14:textId="77777777" w:rsidR="00DD6E45" w:rsidRPr="00DD6E45" w:rsidRDefault="00DD6E45" w:rsidP="00DD6E45">
            <w:pPr>
              <w:spacing w:before="40" w:after="40"/>
              <w:rPr>
                <w:rFonts w:cs="Segoe UI"/>
                <w:sz w:val="17"/>
                <w:szCs w:val="17"/>
              </w:rPr>
            </w:pPr>
          </w:p>
        </w:tc>
        <w:tc>
          <w:tcPr>
            <w:tcW w:w="3118" w:type="dxa"/>
            <w:tcBorders>
              <w:top w:val="single" w:sz="4" w:space="0" w:color="auto"/>
              <w:left w:val="single" w:sz="4" w:space="0" w:color="auto"/>
              <w:bottom w:val="single" w:sz="4" w:space="0" w:color="auto"/>
              <w:right w:val="single" w:sz="4" w:space="0" w:color="auto"/>
            </w:tcBorders>
            <w:noWrap/>
          </w:tcPr>
          <w:p w14:paraId="4DCA35F0" w14:textId="77777777" w:rsidR="00DD6E45" w:rsidRPr="00DD6E45" w:rsidRDefault="00DD6E45" w:rsidP="00DD6E45">
            <w:pPr>
              <w:spacing w:before="40" w:after="40"/>
              <w:rPr>
                <w:rFonts w:cs="Segoe UI"/>
                <w:sz w:val="17"/>
                <w:szCs w:val="17"/>
              </w:rPr>
            </w:pPr>
          </w:p>
        </w:tc>
      </w:tr>
    </w:tbl>
    <w:p w14:paraId="25B3E5B0" w14:textId="77777777" w:rsidR="00DD6E45" w:rsidRPr="00DD6E45" w:rsidRDefault="00DD6E45" w:rsidP="00DD6E45">
      <w:pPr>
        <w:spacing w:before="40" w:after="40"/>
        <w:rPr>
          <w:rFonts w:cs="Segoe UI"/>
          <w:sz w:val="17"/>
          <w:szCs w:val="17"/>
          <w:u w:val="single"/>
        </w:rPr>
      </w:pPr>
    </w:p>
    <w:tbl>
      <w:tblPr>
        <w:tblW w:w="14166"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8"/>
        <w:gridCol w:w="4226"/>
        <w:gridCol w:w="795"/>
        <w:gridCol w:w="796"/>
        <w:gridCol w:w="795"/>
        <w:gridCol w:w="796"/>
        <w:gridCol w:w="795"/>
        <w:gridCol w:w="796"/>
        <w:gridCol w:w="795"/>
        <w:gridCol w:w="796"/>
        <w:gridCol w:w="3118"/>
      </w:tblGrid>
      <w:tr w:rsidR="00DD6E45" w:rsidRPr="00DD6E45" w14:paraId="52C8CDA8" w14:textId="77777777" w:rsidTr="003A79BA">
        <w:trPr>
          <w:trHeight w:val="283"/>
        </w:trPr>
        <w:tc>
          <w:tcPr>
            <w:tcW w:w="458" w:type="dxa"/>
            <w:tcBorders>
              <w:top w:val="single" w:sz="4" w:space="0" w:color="auto"/>
              <w:left w:val="nil"/>
              <w:bottom w:val="nil"/>
              <w:right w:val="single" w:sz="4" w:space="0" w:color="auto"/>
            </w:tcBorders>
          </w:tcPr>
          <w:p w14:paraId="0C33B3E1" w14:textId="77777777" w:rsidR="00DD6E45" w:rsidRPr="00DD6E45" w:rsidRDefault="00DD6E45" w:rsidP="00DD6E45">
            <w:pPr>
              <w:spacing w:before="40" w:after="40"/>
              <w:rPr>
                <w:rFonts w:cs="Segoe UI"/>
                <w:sz w:val="17"/>
                <w:szCs w:val="17"/>
              </w:rPr>
            </w:pPr>
            <w:r w:rsidRPr="00DD6E45">
              <w:rPr>
                <w:rFonts w:cs="Segoe UI"/>
                <w:sz w:val="17"/>
                <w:szCs w:val="17"/>
              </w:rPr>
              <w:lastRenderedPageBreak/>
              <w:br w:type="page"/>
            </w:r>
          </w:p>
        </w:tc>
        <w:tc>
          <w:tcPr>
            <w:tcW w:w="4226" w:type="dxa"/>
            <w:tcBorders>
              <w:top w:val="single" w:sz="4" w:space="0" w:color="auto"/>
              <w:left w:val="single" w:sz="4" w:space="0" w:color="auto"/>
              <w:bottom w:val="single" w:sz="4" w:space="0" w:color="auto"/>
              <w:right w:val="single" w:sz="4" w:space="0" w:color="auto"/>
            </w:tcBorders>
            <w:noWrap/>
          </w:tcPr>
          <w:p w14:paraId="368876F0" w14:textId="77777777" w:rsidR="00DD6E45" w:rsidRPr="00DD6E45" w:rsidRDefault="00DD6E45" w:rsidP="00DD6E45">
            <w:pPr>
              <w:spacing w:before="40" w:after="40"/>
              <w:rPr>
                <w:rFonts w:cs="Segoe UI"/>
                <w:sz w:val="17"/>
                <w:szCs w:val="17"/>
              </w:rPr>
            </w:pPr>
          </w:p>
        </w:tc>
        <w:tc>
          <w:tcPr>
            <w:tcW w:w="795" w:type="dxa"/>
            <w:tcBorders>
              <w:top w:val="single" w:sz="4" w:space="0" w:color="auto"/>
              <w:left w:val="single" w:sz="4" w:space="0" w:color="auto"/>
              <w:bottom w:val="single" w:sz="4" w:space="0" w:color="auto"/>
              <w:right w:val="single" w:sz="4" w:space="0" w:color="auto"/>
            </w:tcBorders>
            <w:noWrap/>
            <w:vAlign w:val="center"/>
            <w:hideMark/>
          </w:tcPr>
          <w:p w14:paraId="2C479D02" w14:textId="77777777" w:rsidR="00DD6E45" w:rsidRPr="00DD6E45" w:rsidRDefault="00DD6E45" w:rsidP="003A79BA">
            <w:pPr>
              <w:spacing w:before="40" w:after="40"/>
              <w:jc w:val="center"/>
              <w:rPr>
                <w:rFonts w:cs="Segoe UI"/>
                <w:sz w:val="17"/>
                <w:szCs w:val="17"/>
              </w:rPr>
            </w:pPr>
            <w:r w:rsidRPr="00DD6E45">
              <w:rPr>
                <w:rFonts w:cs="Segoe UI"/>
                <w:sz w:val="17"/>
                <w:szCs w:val="17"/>
              </w:rPr>
              <w:t>20%</w:t>
            </w:r>
          </w:p>
        </w:tc>
        <w:tc>
          <w:tcPr>
            <w:tcW w:w="796" w:type="dxa"/>
            <w:tcBorders>
              <w:top w:val="single" w:sz="4" w:space="0" w:color="auto"/>
              <w:left w:val="single" w:sz="4" w:space="0" w:color="auto"/>
              <w:bottom w:val="single" w:sz="4" w:space="0" w:color="auto"/>
              <w:right w:val="single" w:sz="4" w:space="0" w:color="auto"/>
            </w:tcBorders>
            <w:noWrap/>
            <w:vAlign w:val="center"/>
            <w:hideMark/>
          </w:tcPr>
          <w:p w14:paraId="525F205B" w14:textId="77777777" w:rsidR="00DD6E45" w:rsidRPr="00DD6E45" w:rsidRDefault="00DD6E45" w:rsidP="003A79BA">
            <w:pPr>
              <w:spacing w:before="40" w:after="40"/>
              <w:jc w:val="center"/>
              <w:rPr>
                <w:rFonts w:cs="Segoe UI"/>
                <w:sz w:val="17"/>
                <w:szCs w:val="17"/>
              </w:rPr>
            </w:pPr>
            <w:r w:rsidRPr="00DD6E45">
              <w:rPr>
                <w:rFonts w:cs="Segoe UI"/>
                <w:sz w:val="17"/>
                <w:szCs w:val="17"/>
              </w:rPr>
              <w:t>30%</w:t>
            </w:r>
          </w:p>
        </w:tc>
        <w:tc>
          <w:tcPr>
            <w:tcW w:w="795" w:type="dxa"/>
            <w:tcBorders>
              <w:top w:val="single" w:sz="4" w:space="0" w:color="auto"/>
              <w:left w:val="single" w:sz="4" w:space="0" w:color="auto"/>
              <w:bottom w:val="single" w:sz="4" w:space="0" w:color="auto"/>
              <w:right w:val="single" w:sz="4" w:space="0" w:color="auto"/>
            </w:tcBorders>
            <w:noWrap/>
            <w:vAlign w:val="center"/>
            <w:hideMark/>
          </w:tcPr>
          <w:p w14:paraId="2669199A" w14:textId="77777777" w:rsidR="00DD6E45" w:rsidRPr="00DD6E45" w:rsidRDefault="00DD6E45" w:rsidP="003A79BA">
            <w:pPr>
              <w:spacing w:before="40" w:after="40"/>
              <w:jc w:val="center"/>
              <w:rPr>
                <w:rFonts w:cs="Segoe UI"/>
                <w:sz w:val="17"/>
                <w:szCs w:val="17"/>
              </w:rPr>
            </w:pPr>
            <w:r w:rsidRPr="00DD6E45">
              <w:rPr>
                <w:rFonts w:cs="Segoe UI"/>
                <w:sz w:val="17"/>
                <w:szCs w:val="17"/>
              </w:rPr>
              <w:t>40%</w:t>
            </w:r>
          </w:p>
        </w:tc>
        <w:tc>
          <w:tcPr>
            <w:tcW w:w="796" w:type="dxa"/>
            <w:tcBorders>
              <w:top w:val="single" w:sz="4" w:space="0" w:color="auto"/>
              <w:left w:val="single" w:sz="4" w:space="0" w:color="auto"/>
              <w:bottom w:val="single" w:sz="4" w:space="0" w:color="auto"/>
              <w:right w:val="single" w:sz="4" w:space="0" w:color="auto"/>
            </w:tcBorders>
            <w:vAlign w:val="center"/>
            <w:hideMark/>
          </w:tcPr>
          <w:p w14:paraId="2907FAEB" w14:textId="77777777" w:rsidR="00DD6E45" w:rsidRPr="00DD6E45" w:rsidRDefault="00DD6E45" w:rsidP="003A79BA">
            <w:pPr>
              <w:spacing w:before="40" w:after="40"/>
              <w:jc w:val="center"/>
              <w:rPr>
                <w:rFonts w:cs="Segoe UI"/>
                <w:sz w:val="17"/>
                <w:szCs w:val="17"/>
              </w:rPr>
            </w:pPr>
            <w:r w:rsidRPr="00DD6E45">
              <w:rPr>
                <w:rFonts w:cs="Segoe UI"/>
                <w:sz w:val="17"/>
                <w:szCs w:val="17"/>
              </w:rPr>
              <w:t>50%</w:t>
            </w:r>
          </w:p>
        </w:tc>
        <w:tc>
          <w:tcPr>
            <w:tcW w:w="795" w:type="dxa"/>
            <w:tcBorders>
              <w:top w:val="single" w:sz="4" w:space="0" w:color="auto"/>
              <w:left w:val="single" w:sz="4" w:space="0" w:color="auto"/>
              <w:bottom w:val="single" w:sz="4" w:space="0" w:color="auto"/>
              <w:right w:val="single" w:sz="4" w:space="0" w:color="auto"/>
            </w:tcBorders>
            <w:vAlign w:val="center"/>
            <w:hideMark/>
          </w:tcPr>
          <w:p w14:paraId="3231D846" w14:textId="77777777" w:rsidR="00DD6E45" w:rsidRPr="00DD6E45" w:rsidRDefault="00DD6E45" w:rsidP="003A79BA">
            <w:pPr>
              <w:spacing w:before="40" w:after="40"/>
              <w:jc w:val="center"/>
              <w:rPr>
                <w:rFonts w:cs="Segoe UI"/>
                <w:sz w:val="17"/>
                <w:szCs w:val="17"/>
              </w:rPr>
            </w:pPr>
            <w:r w:rsidRPr="00DD6E45">
              <w:rPr>
                <w:rFonts w:cs="Segoe UI"/>
                <w:sz w:val="17"/>
                <w:szCs w:val="17"/>
              </w:rPr>
              <w:t>75%</w:t>
            </w:r>
          </w:p>
        </w:tc>
        <w:tc>
          <w:tcPr>
            <w:tcW w:w="796" w:type="dxa"/>
            <w:tcBorders>
              <w:top w:val="single" w:sz="4" w:space="0" w:color="auto"/>
              <w:left w:val="single" w:sz="4" w:space="0" w:color="auto"/>
              <w:bottom w:val="single" w:sz="4" w:space="0" w:color="auto"/>
              <w:right w:val="single" w:sz="4" w:space="0" w:color="auto"/>
            </w:tcBorders>
            <w:vAlign w:val="center"/>
            <w:hideMark/>
          </w:tcPr>
          <w:p w14:paraId="3D42B32C" w14:textId="77777777" w:rsidR="00DD6E45" w:rsidRPr="00DD6E45" w:rsidRDefault="00DD6E45" w:rsidP="003A79BA">
            <w:pPr>
              <w:spacing w:before="40" w:after="40"/>
              <w:jc w:val="center"/>
              <w:rPr>
                <w:rFonts w:cs="Segoe UI"/>
                <w:sz w:val="17"/>
                <w:szCs w:val="17"/>
              </w:rPr>
            </w:pPr>
            <w:r w:rsidRPr="00DD6E45">
              <w:rPr>
                <w:rFonts w:cs="Segoe UI"/>
                <w:sz w:val="17"/>
                <w:szCs w:val="17"/>
              </w:rPr>
              <w:t>100%</w:t>
            </w:r>
          </w:p>
        </w:tc>
        <w:tc>
          <w:tcPr>
            <w:tcW w:w="795" w:type="dxa"/>
            <w:tcBorders>
              <w:top w:val="single" w:sz="4" w:space="0" w:color="auto"/>
              <w:left w:val="single" w:sz="4" w:space="0" w:color="auto"/>
              <w:bottom w:val="single" w:sz="4" w:space="0" w:color="auto"/>
              <w:right w:val="single" w:sz="4" w:space="0" w:color="auto"/>
            </w:tcBorders>
            <w:noWrap/>
            <w:vAlign w:val="center"/>
            <w:hideMark/>
          </w:tcPr>
          <w:p w14:paraId="42E06C3C" w14:textId="77777777" w:rsidR="00DD6E45" w:rsidRPr="00DD6E45" w:rsidRDefault="00DD6E45" w:rsidP="003A79BA">
            <w:pPr>
              <w:spacing w:before="40" w:after="40"/>
              <w:jc w:val="center"/>
              <w:rPr>
                <w:rFonts w:cs="Segoe UI"/>
                <w:sz w:val="17"/>
                <w:szCs w:val="17"/>
              </w:rPr>
            </w:pPr>
            <w:r w:rsidRPr="00DD6E45">
              <w:rPr>
                <w:rFonts w:cs="Segoe UI"/>
                <w:sz w:val="17"/>
                <w:szCs w:val="17"/>
              </w:rPr>
              <w:t>150%</w:t>
            </w:r>
          </w:p>
        </w:tc>
        <w:tc>
          <w:tcPr>
            <w:tcW w:w="796" w:type="dxa"/>
            <w:tcBorders>
              <w:top w:val="single" w:sz="4" w:space="0" w:color="auto"/>
              <w:left w:val="single" w:sz="4" w:space="0" w:color="auto"/>
              <w:bottom w:val="single" w:sz="4" w:space="0" w:color="auto"/>
              <w:right w:val="single" w:sz="4" w:space="0" w:color="auto"/>
            </w:tcBorders>
            <w:vAlign w:val="center"/>
            <w:hideMark/>
          </w:tcPr>
          <w:p w14:paraId="36A51E0D" w14:textId="77777777" w:rsidR="00DD6E45" w:rsidRPr="00DD6E45" w:rsidRDefault="00DD6E45" w:rsidP="003A79BA">
            <w:pPr>
              <w:spacing w:before="40" w:after="40"/>
              <w:jc w:val="center"/>
              <w:rPr>
                <w:rFonts w:cs="Segoe UI"/>
                <w:sz w:val="17"/>
                <w:szCs w:val="17"/>
              </w:rPr>
            </w:pPr>
            <w:r w:rsidRPr="00DD6E45">
              <w:rPr>
                <w:rFonts w:cs="Segoe UI"/>
                <w:sz w:val="17"/>
                <w:szCs w:val="17"/>
              </w:rPr>
              <w:t>Other</w:t>
            </w:r>
          </w:p>
        </w:tc>
        <w:tc>
          <w:tcPr>
            <w:tcW w:w="3118" w:type="dxa"/>
            <w:tcBorders>
              <w:top w:val="single" w:sz="4" w:space="0" w:color="auto"/>
              <w:left w:val="single" w:sz="4" w:space="0" w:color="auto"/>
              <w:bottom w:val="single" w:sz="4" w:space="0" w:color="auto"/>
              <w:right w:val="single" w:sz="4" w:space="0" w:color="auto"/>
            </w:tcBorders>
            <w:noWrap/>
            <w:vAlign w:val="center"/>
            <w:hideMark/>
          </w:tcPr>
          <w:p w14:paraId="777EB3E8" w14:textId="77777777" w:rsidR="00DD6E45" w:rsidRPr="00DD6E45" w:rsidRDefault="00DD6E45" w:rsidP="00DD6E45">
            <w:pPr>
              <w:spacing w:before="40" w:after="40"/>
              <w:rPr>
                <w:rFonts w:cs="Segoe UI"/>
                <w:sz w:val="17"/>
                <w:szCs w:val="17"/>
              </w:rPr>
            </w:pPr>
            <w:r w:rsidRPr="00DD6E45">
              <w:rPr>
                <w:rFonts w:cs="Segoe UI"/>
                <w:sz w:val="17"/>
                <w:szCs w:val="17"/>
              </w:rPr>
              <w:t>Total credit exposure amount (post-CCF and post-CRM)</w:t>
            </w:r>
          </w:p>
        </w:tc>
      </w:tr>
      <w:tr w:rsidR="00A13869" w:rsidRPr="00DD6E45" w14:paraId="33B2D34F" w14:textId="77777777" w:rsidTr="00A13869">
        <w:trPr>
          <w:trHeight w:val="283"/>
        </w:trPr>
        <w:tc>
          <w:tcPr>
            <w:tcW w:w="458" w:type="dxa"/>
            <w:tcBorders>
              <w:top w:val="nil"/>
              <w:left w:val="nil"/>
              <w:bottom w:val="single" w:sz="4" w:space="0" w:color="auto"/>
              <w:right w:val="single" w:sz="4" w:space="0" w:color="auto"/>
            </w:tcBorders>
            <w:hideMark/>
          </w:tcPr>
          <w:p w14:paraId="7C8681F7" w14:textId="77777777" w:rsidR="00A13869" w:rsidRPr="00DD6E45" w:rsidRDefault="00A13869" w:rsidP="00A13869">
            <w:pPr>
              <w:spacing w:before="40" w:after="40"/>
              <w:rPr>
                <w:rFonts w:cs="Segoe UI"/>
                <w:sz w:val="17"/>
                <w:szCs w:val="17"/>
              </w:rPr>
            </w:pPr>
            <w:r w:rsidRPr="00DD6E45">
              <w:rPr>
                <w:rFonts w:cs="Segoe UI"/>
                <w:sz w:val="17"/>
                <w:szCs w:val="17"/>
              </w:rPr>
              <w:t>4a</w:t>
            </w:r>
          </w:p>
        </w:tc>
        <w:tc>
          <w:tcPr>
            <w:tcW w:w="4226" w:type="dxa"/>
            <w:tcBorders>
              <w:top w:val="single" w:sz="4" w:space="0" w:color="auto"/>
              <w:left w:val="single" w:sz="4" w:space="0" w:color="auto"/>
              <w:bottom w:val="single" w:sz="4" w:space="0" w:color="auto"/>
              <w:right w:val="single" w:sz="4" w:space="0" w:color="auto"/>
            </w:tcBorders>
            <w:noWrap/>
          </w:tcPr>
          <w:p w14:paraId="4F34DC10" w14:textId="5EA2EB63" w:rsidR="00A13869" w:rsidRPr="00DD6E45" w:rsidRDefault="00A13869" w:rsidP="00A13869">
            <w:pPr>
              <w:spacing w:before="40" w:after="40"/>
              <w:rPr>
                <w:rFonts w:cs="Segoe UI"/>
                <w:sz w:val="17"/>
                <w:szCs w:val="17"/>
              </w:rPr>
            </w:pPr>
            <w:r w:rsidRPr="00DD6E45">
              <w:rPr>
                <w:rFonts w:cs="Segoe UI"/>
                <w:sz w:val="17"/>
                <w:szCs w:val="17"/>
              </w:rPr>
              <w:t>Qualifying non-bank financial institution exposures</w:t>
            </w:r>
          </w:p>
        </w:tc>
        <w:tc>
          <w:tcPr>
            <w:tcW w:w="795" w:type="dxa"/>
            <w:tcBorders>
              <w:top w:val="single" w:sz="4" w:space="0" w:color="auto"/>
              <w:left w:val="single" w:sz="4" w:space="0" w:color="auto"/>
              <w:bottom w:val="single" w:sz="4" w:space="0" w:color="auto"/>
              <w:right w:val="single" w:sz="4" w:space="0" w:color="auto"/>
            </w:tcBorders>
            <w:noWrap/>
          </w:tcPr>
          <w:p w14:paraId="39EB2B0E" w14:textId="77777777" w:rsidR="00A13869" w:rsidRPr="00DD6E45" w:rsidRDefault="00A13869" w:rsidP="00A13869">
            <w:pPr>
              <w:spacing w:before="40" w:after="40"/>
              <w:rPr>
                <w:rFonts w:cs="Segoe UI"/>
                <w:sz w:val="17"/>
                <w:szCs w:val="17"/>
              </w:rPr>
            </w:pPr>
          </w:p>
        </w:tc>
        <w:tc>
          <w:tcPr>
            <w:tcW w:w="796" w:type="dxa"/>
            <w:tcBorders>
              <w:top w:val="single" w:sz="4" w:space="0" w:color="auto"/>
              <w:left w:val="single" w:sz="4" w:space="0" w:color="auto"/>
              <w:bottom w:val="single" w:sz="4" w:space="0" w:color="auto"/>
              <w:right w:val="single" w:sz="4" w:space="0" w:color="auto"/>
            </w:tcBorders>
            <w:noWrap/>
          </w:tcPr>
          <w:p w14:paraId="0DDF7861" w14:textId="77777777" w:rsidR="00A13869" w:rsidRPr="00DD6E45" w:rsidRDefault="00A13869" w:rsidP="00A13869">
            <w:pPr>
              <w:spacing w:before="40" w:after="40"/>
              <w:rPr>
                <w:rFonts w:cs="Segoe UI"/>
                <w:sz w:val="17"/>
                <w:szCs w:val="17"/>
              </w:rPr>
            </w:pPr>
          </w:p>
        </w:tc>
        <w:tc>
          <w:tcPr>
            <w:tcW w:w="795" w:type="dxa"/>
            <w:tcBorders>
              <w:top w:val="single" w:sz="4" w:space="0" w:color="auto"/>
              <w:left w:val="single" w:sz="4" w:space="0" w:color="auto"/>
              <w:bottom w:val="single" w:sz="4" w:space="0" w:color="auto"/>
              <w:right w:val="single" w:sz="4" w:space="0" w:color="auto"/>
            </w:tcBorders>
            <w:noWrap/>
          </w:tcPr>
          <w:p w14:paraId="5119CEDE" w14:textId="77777777" w:rsidR="00A13869" w:rsidRPr="00DD6E45" w:rsidRDefault="00A13869" w:rsidP="00A13869">
            <w:pPr>
              <w:spacing w:before="40" w:after="40"/>
              <w:rPr>
                <w:rFonts w:cs="Segoe UI"/>
                <w:sz w:val="17"/>
                <w:szCs w:val="17"/>
              </w:rPr>
            </w:pPr>
          </w:p>
        </w:tc>
        <w:tc>
          <w:tcPr>
            <w:tcW w:w="796" w:type="dxa"/>
            <w:tcBorders>
              <w:top w:val="single" w:sz="4" w:space="0" w:color="auto"/>
              <w:left w:val="single" w:sz="4" w:space="0" w:color="auto"/>
              <w:bottom w:val="single" w:sz="4" w:space="0" w:color="auto"/>
              <w:right w:val="single" w:sz="4" w:space="0" w:color="auto"/>
            </w:tcBorders>
          </w:tcPr>
          <w:p w14:paraId="66220C3D" w14:textId="77777777" w:rsidR="00A13869" w:rsidRPr="00DD6E45" w:rsidRDefault="00A13869" w:rsidP="00A13869">
            <w:pPr>
              <w:spacing w:before="40" w:after="40"/>
              <w:rPr>
                <w:rFonts w:cs="Segoe UI"/>
                <w:sz w:val="17"/>
                <w:szCs w:val="17"/>
              </w:rPr>
            </w:pPr>
          </w:p>
        </w:tc>
        <w:tc>
          <w:tcPr>
            <w:tcW w:w="795" w:type="dxa"/>
            <w:tcBorders>
              <w:top w:val="single" w:sz="4" w:space="0" w:color="auto"/>
              <w:left w:val="single" w:sz="4" w:space="0" w:color="auto"/>
              <w:bottom w:val="single" w:sz="4" w:space="0" w:color="auto"/>
              <w:right w:val="single" w:sz="4" w:space="0" w:color="auto"/>
            </w:tcBorders>
          </w:tcPr>
          <w:p w14:paraId="433C6816" w14:textId="77777777" w:rsidR="00A13869" w:rsidRPr="00DD6E45" w:rsidRDefault="00A13869" w:rsidP="00A13869">
            <w:pPr>
              <w:spacing w:before="40" w:after="40"/>
              <w:rPr>
                <w:rFonts w:cs="Segoe UI"/>
                <w:sz w:val="17"/>
                <w:szCs w:val="17"/>
              </w:rPr>
            </w:pPr>
          </w:p>
        </w:tc>
        <w:tc>
          <w:tcPr>
            <w:tcW w:w="796" w:type="dxa"/>
            <w:tcBorders>
              <w:top w:val="single" w:sz="4" w:space="0" w:color="auto"/>
              <w:left w:val="single" w:sz="4" w:space="0" w:color="auto"/>
              <w:bottom w:val="single" w:sz="4" w:space="0" w:color="auto"/>
              <w:right w:val="single" w:sz="4" w:space="0" w:color="auto"/>
            </w:tcBorders>
          </w:tcPr>
          <w:p w14:paraId="7F71EB5B" w14:textId="77777777" w:rsidR="00A13869" w:rsidRPr="00DD6E45" w:rsidRDefault="00A13869" w:rsidP="00A13869">
            <w:pPr>
              <w:spacing w:before="40" w:after="40"/>
              <w:rPr>
                <w:rFonts w:cs="Segoe UI"/>
                <w:sz w:val="17"/>
                <w:szCs w:val="17"/>
              </w:rPr>
            </w:pPr>
          </w:p>
        </w:tc>
        <w:tc>
          <w:tcPr>
            <w:tcW w:w="795" w:type="dxa"/>
            <w:tcBorders>
              <w:top w:val="single" w:sz="4" w:space="0" w:color="auto"/>
              <w:left w:val="single" w:sz="4" w:space="0" w:color="auto"/>
              <w:bottom w:val="single" w:sz="4" w:space="0" w:color="auto"/>
              <w:right w:val="single" w:sz="4" w:space="0" w:color="auto"/>
            </w:tcBorders>
            <w:noWrap/>
          </w:tcPr>
          <w:p w14:paraId="505EFA51" w14:textId="77777777" w:rsidR="00A13869" w:rsidRPr="00DD6E45" w:rsidRDefault="00A13869" w:rsidP="00A13869">
            <w:pPr>
              <w:spacing w:before="40" w:after="40"/>
              <w:rPr>
                <w:rFonts w:cs="Segoe UI"/>
                <w:sz w:val="17"/>
                <w:szCs w:val="17"/>
              </w:rPr>
            </w:pPr>
          </w:p>
        </w:tc>
        <w:tc>
          <w:tcPr>
            <w:tcW w:w="796" w:type="dxa"/>
            <w:tcBorders>
              <w:top w:val="single" w:sz="4" w:space="0" w:color="auto"/>
              <w:left w:val="single" w:sz="4" w:space="0" w:color="auto"/>
              <w:bottom w:val="single" w:sz="4" w:space="0" w:color="auto"/>
              <w:right w:val="single" w:sz="4" w:space="0" w:color="auto"/>
            </w:tcBorders>
          </w:tcPr>
          <w:p w14:paraId="66B5E3CB" w14:textId="77777777" w:rsidR="00A13869" w:rsidRPr="00DD6E45" w:rsidRDefault="00A13869" w:rsidP="00A13869">
            <w:pPr>
              <w:spacing w:before="40" w:after="40"/>
              <w:rPr>
                <w:rFonts w:cs="Segoe UI"/>
                <w:sz w:val="17"/>
                <w:szCs w:val="17"/>
              </w:rPr>
            </w:pPr>
          </w:p>
        </w:tc>
        <w:tc>
          <w:tcPr>
            <w:tcW w:w="3118" w:type="dxa"/>
            <w:tcBorders>
              <w:top w:val="single" w:sz="4" w:space="0" w:color="auto"/>
              <w:left w:val="single" w:sz="4" w:space="0" w:color="auto"/>
              <w:bottom w:val="single" w:sz="4" w:space="0" w:color="auto"/>
              <w:right w:val="single" w:sz="4" w:space="0" w:color="auto"/>
            </w:tcBorders>
            <w:noWrap/>
          </w:tcPr>
          <w:p w14:paraId="6AF0D1F0" w14:textId="77777777" w:rsidR="00A13869" w:rsidRPr="00DD6E45" w:rsidRDefault="00A13869" w:rsidP="00A13869">
            <w:pPr>
              <w:spacing w:before="40" w:after="40"/>
              <w:rPr>
                <w:rFonts w:cs="Segoe UI"/>
                <w:sz w:val="17"/>
                <w:szCs w:val="17"/>
              </w:rPr>
            </w:pPr>
          </w:p>
        </w:tc>
      </w:tr>
    </w:tbl>
    <w:p w14:paraId="6E613F8F" w14:textId="77777777" w:rsidR="00DD6E45" w:rsidRPr="00DD6E45" w:rsidRDefault="00DD6E45" w:rsidP="00DD6E45">
      <w:pPr>
        <w:spacing w:before="40" w:after="40"/>
        <w:rPr>
          <w:rFonts w:cs="Segoe UI"/>
          <w:sz w:val="17"/>
          <w:szCs w:val="17"/>
          <w:u w:val="single"/>
        </w:rPr>
      </w:pPr>
    </w:p>
    <w:tbl>
      <w:tblPr>
        <w:tblW w:w="14166"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61"/>
        <w:gridCol w:w="4263"/>
        <w:gridCol w:w="791"/>
        <w:gridCol w:w="791"/>
        <w:gridCol w:w="792"/>
        <w:gridCol w:w="791"/>
        <w:gridCol w:w="791"/>
        <w:gridCol w:w="792"/>
        <w:gridCol w:w="791"/>
        <w:gridCol w:w="791"/>
        <w:gridCol w:w="3112"/>
      </w:tblGrid>
      <w:tr w:rsidR="00DD6E45" w:rsidRPr="00DD6E45" w14:paraId="2153811D" w14:textId="77777777" w:rsidTr="003A79BA">
        <w:trPr>
          <w:trHeight w:val="283"/>
        </w:trPr>
        <w:tc>
          <w:tcPr>
            <w:tcW w:w="459" w:type="dxa"/>
            <w:tcBorders>
              <w:top w:val="single" w:sz="4" w:space="0" w:color="auto"/>
              <w:left w:val="nil"/>
              <w:bottom w:val="nil"/>
              <w:right w:val="single" w:sz="4" w:space="0" w:color="auto"/>
            </w:tcBorders>
          </w:tcPr>
          <w:p w14:paraId="23D04431" w14:textId="77777777" w:rsidR="00DD6E45" w:rsidRPr="00DD6E45" w:rsidRDefault="00DD6E45" w:rsidP="00DD6E45">
            <w:pPr>
              <w:spacing w:before="40" w:after="40"/>
              <w:rPr>
                <w:rFonts w:cs="Segoe UI"/>
                <w:sz w:val="17"/>
                <w:szCs w:val="17"/>
              </w:rPr>
            </w:pPr>
          </w:p>
        </w:tc>
        <w:tc>
          <w:tcPr>
            <w:tcW w:w="4247" w:type="dxa"/>
            <w:tcBorders>
              <w:top w:val="single" w:sz="4" w:space="0" w:color="auto"/>
              <w:left w:val="single" w:sz="4" w:space="0" w:color="auto"/>
              <w:bottom w:val="single" w:sz="4" w:space="0" w:color="auto"/>
              <w:right w:val="single" w:sz="4" w:space="0" w:color="auto"/>
            </w:tcBorders>
            <w:noWrap/>
          </w:tcPr>
          <w:p w14:paraId="07D4CD5E" w14:textId="77777777" w:rsidR="00DD6E45" w:rsidRPr="00DD6E45" w:rsidRDefault="00DD6E45" w:rsidP="00DD6E45">
            <w:pPr>
              <w:spacing w:before="40" w:after="40"/>
              <w:rPr>
                <w:rFonts w:cs="Segoe UI"/>
                <w:sz w:val="17"/>
                <w:szCs w:val="17"/>
              </w:rPr>
            </w:pPr>
          </w:p>
        </w:tc>
        <w:tc>
          <w:tcPr>
            <w:tcW w:w="788" w:type="dxa"/>
            <w:tcBorders>
              <w:top w:val="single" w:sz="4" w:space="0" w:color="auto"/>
              <w:left w:val="single" w:sz="4" w:space="0" w:color="auto"/>
              <w:bottom w:val="single" w:sz="4" w:space="0" w:color="auto"/>
              <w:right w:val="single" w:sz="4" w:space="0" w:color="auto"/>
            </w:tcBorders>
            <w:noWrap/>
            <w:vAlign w:val="center"/>
            <w:hideMark/>
          </w:tcPr>
          <w:p w14:paraId="09D74028" w14:textId="77777777" w:rsidR="00DD6E45" w:rsidRPr="00DD6E45" w:rsidRDefault="00DD6E45" w:rsidP="003A79BA">
            <w:pPr>
              <w:spacing w:before="40" w:after="40"/>
              <w:jc w:val="center"/>
              <w:rPr>
                <w:rFonts w:cs="Segoe UI"/>
                <w:sz w:val="17"/>
                <w:szCs w:val="17"/>
              </w:rPr>
            </w:pPr>
            <w:r w:rsidRPr="00DD6E45">
              <w:rPr>
                <w:rFonts w:cs="Segoe UI"/>
                <w:sz w:val="17"/>
                <w:szCs w:val="17"/>
              </w:rPr>
              <w:t>10%</w:t>
            </w:r>
          </w:p>
        </w:tc>
        <w:tc>
          <w:tcPr>
            <w:tcW w:w="788" w:type="dxa"/>
            <w:tcBorders>
              <w:top w:val="single" w:sz="4" w:space="0" w:color="auto"/>
              <w:left w:val="single" w:sz="4" w:space="0" w:color="auto"/>
              <w:bottom w:val="single" w:sz="4" w:space="0" w:color="auto"/>
              <w:right w:val="single" w:sz="4" w:space="0" w:color="auto"/>
            </w:tcBorders>
            <w:noWrap/>
            <w:vAlign w:val="center"/>
            <w:hideMark/>
          </w:tcPr>
          <w:p w14:paraId="21C4EA11" w14:textId="77777777" w:rsidR="00DD6E45" w:rsidRPr="00DD6E45" w:rsidRDefault="00DD6E45" w:rsidP="003A79BA">
            <w:pPr>
              <w:spacing w:before="40" w:after="40"/>
              <w:jc w:val="center"/>
              <w:rPr>
                <w:rFonts w:cs="Segoe UI"/>
                <w:sz w:val="17"/>
                <w:szCs w:val="17"/>
              </w:rPr>
            </w:pPr>
            <w:r w:rsidRPr="00DD6E45">
              <w:rPr>
                <w:rFonts w:cs="Segoe UI"/>
                <w:sz w:val="17"/>
                <w:szCs w:val="17"/>
              </w:rPr>
              <w:t>15%</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1A54561C" w14:textId="77777777" w:rsidR="00DD6E45" w:rsidRPr="00DD6E45" w:rsidRDefault="00DD6E45" w:rsidP="003A79BA">
            <w:pPr>
              <w:spacing w:before="40" w:after="40"/>
              <w:jc w:val="center"/>
              <w:rPr>
                <w:rFonts w:cs="Segoe UI"/>
                <w:sz w:val="17"/>
                <w:szCs w:val="17"/>
              </w:rPr>
            </w:pPr>
            <w:r w:rsidRPr="00DD6E45">
              <w:rPr>
                <w:rFonts w:cs="Segoe UI"/>
                <w:sz w:val="17"/>
                <w:szCs w:val="17"/>
              </w:rPr>
              <w:t>20%</w:t>
            </w:r>
          </w:p>
        </w:tc>
        <w:tc>
          <w:tcPr>
            <w:tcW w:w="788" w:type="dxa"/>
            <w:tcBorders>
              <w:top w:val="single" w:sz="4" w:space="0" w:color="auto"/>
              <w:left w:val="single" w:sz="4" w:space="0" w:color="auto"/>
              <w:bottom w:val="single" w:sz="4" w:space="0" w:color="auto"/>
              <w:right w:val="single" w:sz="4" w:space="0" w:color="auto"/>
            </w:tcBorders>
            <w:vAlign w:val="center"/>
            <w:hideMark/>
          </w:tcPr>
          <w:p w14:paraId="30783209" w14:textId="77777777" w:rsidR="00DD6E45" w:rsidRPr="00DD6E45" w:rsidRDefault="00DD6E45" w:rsidP="003A79BA">
            <w:pPr>
              <w:spacing w:before="40" w:after="40"/>
              <w:jc w:val="center"/>
              <w:rPr>
                <w:rFonts w:cs="Segoe UI"/>
                <w:sz w:val="17"/>
                <w:szCs w:val="17"/>
              </w:rPr>
            </w:pPr>
            <w:r w:rsidRPr="00DD6E45">
              <w:rPr>
                <w:rFonts w:cs="Segoe UI"/>
                <w:sz w:val="17"/>
                <w:szCs w:val="17"/>
              </w:rPr>
              <w:t>25%</w:t>
            </w:r>
          </w:p>
        </w:tc>
        <w:tc>
          <w:tcPr>
            <w:tcW w:w="788" w:type="dxa"/>
            <w:tcBorders>
              <w:top w:val="single" w:sz="4" w:space="0" w:color="auto"/>
              <w:left w:val="single" w:sz="4" w:space="0" w:color="auto"/>
              <w:bottom w:val="single" w:sz="4" w:space="0" w:color="auto"/>
              <w:right w:val="single" w:sz="4" w:space="0" w:color="auto"/>
            </w:tcBorders>
            <w:vAlign w:val="center"/>
          </w:tcPr>
          <w:p w14:paraId="0E245026" w14:textId="77777777" w:rsidR="00DD6E45" w:rsidRPr="00DD6E45" w:rsidRDefault="00DD6E45" w:rsidP="003A79BA">
            <w:pPr>
              <w:spacing w:before="40" w:after="40"/>
              <w:jc w:val="center"/>
              <w:rPr>
                <w:rFonts w:cs="Segoe UI"/>
                <w:sz w:val="17"/>
                <w:szCs w:val="17"/>
              </w:rPr>
            </w:pPr>
            <w:r w:rsidRPr="00DD6E45">
              <w:rPr>
                <w:rFonts w:cs="Segoe UI"/>
                <w:sz w:val="17"/>
                <w:szCs w:val="17"/>
              </w:rPr>
              <w:t>35%</w:t>
            </w:r>
          </w:p>
        </w:tc>
        <w:tc>
          <w:tcPr>
            <w:tcW w:w="789" w:type="dxa"/>
            <w:tcBorders>
              <w:top w:val="single" w:sz="4" w:space="0" w:color="auto"/>
              <w:left w:val="single" w:sz="4" w:space="0" w:color="auto"/>
              <w:bottom w:val="single" w:sz="4" w:space="0" w:color="auto"/>
              <w:right w:val="single" w:sz="4" w:space="0" w:color="auto"/>
            </w:tcBorders>
            <w:vAlign w:val="center"/>
            <w:hideMark/>
          </w:tcPr>
          <w:p w14:paraId="22238338" w14:textId="77777777" w:rsidR="00DD6E45" w:rsidRPr="00DD6E45" w:rsidRDefault="00DD6E45" w:rsidP="003A79BA">
            <w:pPr>
              <w:spacing w:before="40" w:after="40"/>
              <w:jc w:val="center"/>
              <w:rPr>
                <w:rFonts w:cs="Segoe UI"/>
                <w:sz w:val="17"/>
                <w:szCs w:val="17"/>
              </w:rPr>
            </w:pPr>
            <w:r w:rsidRPr="00DD6E45">
              <w:rPr>
                <w:rFonts w:cs="Segoe UI"/>
                <w:sz w:val="17"/>
                <w:szCs w:val="17"/>
              </w:rPr>
              <w:t>50%</w:t>
            </w:r>
          </w:p>
        </w:tc>
        <w:tc>
          <w:tcPr>
            <w:tcW w:w="788" w:type="dxa"/>
            <w:tcBorders>
              <w:top w:val="single" w:sz="4" w:space="0" w:color="auto"/>
              <w:left w:val="single" w:sz="4" w:space="0" w:color="auto"/>
              <w:bottom w:val="single" w:sz="4" w:space="0" w:color="auto"/>
              <w:right w:val="single" w:sz="4" w:space="0" w:color="auto"/>
            </w:tcBorders>
            <w:noWrap/>
            <w:vAlign w:val="center"/>
            <w:hideMark/>
          </w:tcPr>
          <w:p w14:paraId="476DC4C6" w14:textId="77777777" w:rsidR="00DD6E45" w:rsidRPr="00DD6E45" w:rsidRDefault="00DD6E45" w:rsidP="003A79BA">
            <w:pPr>
              <w:spacing w:before="40" w:after="40"/>
              <w:jc w:val="center"/>
              <w:rPr>
                <w:rFonts w:cs="Segoe UI"/>
                <w:sz w:val="17"/>
                <w:szCs w:val="17"/>
              </w:rPr>
            </w:pPr>
            <w:r w:rsidRPr="00DD6E45">
              <w:rPr>
                <w:rFonts w:cs="Segoe UI"/>
                <w:sz w:val="17"/>
                <w:szCs w:val="17"/>
              </w:rPr>
              <w:t>100%</w:t>
            </w:r>
          </w:p>
        </w:tc>
        <w:tc>
          <w:tcPr>
            <w:tcW w:w="788" w:type="dxa"/>
            <w:tcBorders>
              <w:top w:val="single" w:sz="4" w:space="0" w:color="auto"/>
              <w:left w:val="single" w:sz="4" w:space="0" w:color="auto"/>
              <w:bottom w:val="single" w:sz="4" w:space="0" w:color="auto"/>
              <w:right w:val="single" w:sz="4" w:space="0" w:color="auto"/>
            </w:tcBorders>
            <w:vAlign w:val="center"/>
            <w:hideMark/>
          </w:tcPr>
          <w:p w14:paraId="5922BA11" w14:textId="77777777" w:rsidR="00DD6E45" w:rsidRPr="00DD6E45" w:rsidRDefault="00DD6E45" w:rsidP="003A79BA">
            <w:pPr>
              <w:spacing w:before="40" w:after="40"/>
              <w:jc w:val="center"/>
              <w:rPr>
                <w:rFonts w:cs="Segoe UI"/>
                <w:sz w:val="17"/>
                <w:szCs w:val="17"/>
              </w:rPr>
            </w:pPr>
            <w:r w:rsidRPr="00DD6E45">
              <w:rPr>
                <w:rFonts w:cs="Segoe UI"/>
                <w:sz w:val="17"/>
                <w:szCs w:val="17"/>
              </w:rPr>
              <w:t>Other</w:t>
            </w:r>
          </w:p>
        </w:tc>
        <w:tc>
          <w:tcPr>
            <w:tcW w:w="3100" w:type="dxa"/>
            <w:tcBorders>
              <w:top w:val="single" w:sz="4" w:space="0" w:color="auto"/>
              <w:left w:val="single" w:sz="4" w:space="0" w:color="auto"/>
              <w:bottom w:val="single" w:sz="4" w:space="0" w:color="auto"/>
              <w:right w:val="single" w:sz="4" w:space="0" w:color="auto"/>
            </w:tcBorders>
            <w:noWrap/>
            <w:vAlign w:val="center"/>
            <w:hideMark/>
          </w:tcPr>
          <w:p w14:paraId="24490BB9" w14:textId="77777777" w:rsidR="00DD6E45" w:rsidRPr="00DD6E45" w:rsidRDefault="00DD6E45" w:rsidP="00DD6E45">
            <w:pPr>
              <w:spacing w:before="40" w:after="40"/>
              <w:rPr>
                <w:rFonts w:cs="Segoe UI"/>
                <w:sz w:val="17"/>
                <w:szCs w:val="17"/>
              </w:rPr>
            </w:pPr>
            <w:r w:rsidRPr="00DD6E45">
              <w:rPr>
                <w:rFonts w:cs="Segoe UI"/>
                <w:sz w:val="17"/>
                <w:szCs w:val="17"/>
              </w:rPr>
              <w:t>Total credit exposure amount (post-CCF and post-CRM)</w:t>
            </w:r>
          </w:p>
        </w:tc>
      </w:tr>
      <w:tr w:rsidR="00DD6E45" w:rsidRPr="00DD6E45" w14:paraId="6C96C6BF" w14:textId="77777777" w:rsidTr="00321677">
        <w:trPr>
          <w:trHeight w:val="283"/>
        </w:trPr>
        <w:tc>
          <w:tcPr>
            <w:tcW w:w="459" w:type="dxa"/>
            <w:tcBorders>
              <w:top w:val="nil"/>
              <w:left w:val="nil"/>
              <w:bottom w:val="single" w:sz="6" w:space="0" w:color="000000"/>
              <w:right w:val="single" w:sz="4" w:space="0" w:color="auto"/>
            </w:tcBorders>
            <w:hideMark/>
          </w:tcPr>
          <w:p w14:paraId="1B8D0543" w14:textId="77777777" w:rsidR="00DD6E45" w:rsidRPr="00DD6E45" w:rsidRDefault="00DD6E45" w:rsidP="00DD6E45">
            <w:pPr>
              <w:spacing w:before="40" w:after="40"/>
              <w:rPr>
                <w:rFonts w:cs="Segoe UI"/>
                <w:sz w:val="17"/>
                <w:szCs w:val="17"/>
              </w:rPr>
            </w:pPr>
            <w:r w:rsidRPr="00DD6E45">
              <w:rPr>
                <w:rFonts w:cs="Segoe UI"/>
                <w:sz w:val="17"/>
                <w:szCs w:val="17"/>
              </w:rPr>
              <w:t>5</w:t>
            </w:r>
          </w:p>
        </w:tc>
        <w:tc>
          <w:tcPr>
            <w:tcW w:w="4247" w:type="dxa"/>
            <w:tcBorders>
              <w:top w:val="single" w:sz="4" w:space="0" w:color="auto"/>
              <w:left w:val="single" w:sz="4" w:space="0" w:color="auto"/>
              <w:bottom w:val="single" w:sz="4" w:space="0" w:color="auto"/>
              <w:right w:val="single" w:sz="4" w:space="0" w:color="auto"/>
            </w:tcBorders>
            <w:noWrap/>
            <w:hideMark/>
          </w:tcPr>
          <w:p w14:paraId="0C0F9902" w14:textId="77777777" w:rsidR="00DD6E45" w:rsidRPr="00DD6E45" w:rsidRDefault="00DD6E45" w:rsidP="00DD6E45">
            <w:pPr>
              <w:spacing w:before="40" w:after="40"/>
              <w:rPr>
                <w:rFonts w:cs="Segoe UI"/>
                <w:sz w:val="17"/>
                <w:szCs w:val="17"/>
              </w:rPr>
            </w:pPr>
            <w:r w:rsidRPr="00DD6E45">
              <w:rPr>
                <w:rFonts w:cs="Segoe UI"/>
                <w:sz w:val="17"/>
                <w:szCs w:val="17"/>
              </w:rPr>
              <w:t>Eligible covered bond exposures</w:t>
            </w:r>
          </w:p>
        </w:tc>
        <w:tc>
          <w:tcPr>
            <w:tcW w:w="788" w:type="dxa"/>
            <w:tcBorders>
              <w:top w:val="single" w:sz="4" w:space="0" w:color="auto"/>
              <w:left w:val="single" w:sz="4" w:space="0" w:color="auto"/>
              <w:bottom w:val="single" w:sz="4" w:space="0" w:color="auto"/>
              <w:right w:val="single" w:sz="4" w:space="0" w:color="auto"/>
            </w:tcBorders>
            <w:noWrap/>
            <w:vAlign w:val="center"/>
          </w:tcPr>
          <w:p w14:paraId="4D6DA802" w14:textId="77777777" w:rsidR="00DD6E45" w:rsidRPr="00DD6E45" w:rsidRDefault="00DD6E45" w:rsidP="00DD6E45">
            <w:pPr>
              <w:spacing w:before="40" w:after="40"/>
              <w:rPr>
                <w:rFonts w:cs="Segoe UI"/>
                <w:sz w:val="17"/>
                <w:szCs w:val="17"/>
              </w:rPr>
            </w:pPr>
          </w:p>
        </w:tc>
        <w:tc>
          <w:tcPr>
            <w:tcW w:w="788" w:type="dxa"/>
            <w:tcBorders>
              <w:top w:val="single" w:sz="4" w:space="0" w:color="auto"/>
              <w:left w:val="single" w:sz="4" w:space="0" w:color="auto"/>
              <w:bottom w:val="single" w:sz="4" w:space="0" w:color="auto"/>
              <w:right w:val="single" w:sz="4" w:space="0" w:color="auto"/>
            </w:tcBorders>
            <w:noWrap/>
            <w:vAlign w:val="center"/>
          </w:tcPr>
          <w:p w14:paraId="02D33D1B" w14:textId="77777777" w:rsidR="00DD6E45" w:rsidRPr="00DD6E45" w:rsidRDefault="00DD6E45" w:rsidP="00DD6E45">
            <w:pPr>
              <w:spacing w:before="40" w:after="40"/>
              <w:rPr>
                <w:rFonts w:cs="Segoe UI"/>
                <w:sz w:val="17"/>
                <w:szCs w:val="17"/>
              </w:rPr>
            </w:pPr>
          </w:p>
        </w:tc>
        <w:tc>
          <w:tcPr>
            <w:tcW w:w="789" w:type="dxa"/>
            <w:tcBorders>
              <w:top w:val="single" w:sz="4" w:space="0" w:color="auto"/>
              <w:left w:val="single" w:sz="4" w:space="0" w:color="auto"/>
              <w:bottom w:val="single" w:sz="4" w:space="0" w:color="auto"/>
              <w:right w:val="single" w:sz="4" w:space="0" w:color="auto"/>
            </w:tcBorders>
            <w:noWrap/>
            <w:vAlign w:val="center"/>
          </w:tcPr>
          <w:p w14:paraId="7CDBE941" w14:textId="77777777" w:rsidR="00DD6E45" w:rsidRPr="00DD6E45" w:rsidRDefault="00DD6E45" w:rsidP="00DD6E45">
            <w:pPr>
              <w:spacing w:before="40" w:after="40"/>
              <w:rPr>
                <w:rFonts w:cs="Segoe UI"/>
                <w:sz w:val="17"/>
                <w:szCs w:val="17"/>
              </w:rPr>
            </w:pPr>
          </w:p>
        </w:tc>
        <w:tc>
          <w:tcPr>
            <w:tcW w:w="788" w:type="dxa"/>
            <w:tcBorders>
              <w:top w:val="single" w:sz="4" w:space="0" w:color="auto"/>
              <w:left w:val="single" w:sz="4" w:space="0" w:color="auto"/>
              <w:bottom w:val="single" w:sz="4" w:space="0" w:color="auto"/>
              <w:right w:val="single" w:sz="4" w:space="0" w:color="auto"/>
            </w:tcBorders>
          </w:tcPr>
          <w:p w14:paraId="1B906884" w14:textId="77777777" w:rsidR="00DD6E45" w:rsidRPr="00DD6E45" w:rsidRDefault="00DD6E45" w:rsidP="00DD6E45">
            <w:pPr>
              <w:spacing w:before="40" w:after="40"/>
              <w:rPr>
                <w:rFonts w:cs="Segoe UI"/>
                <w:sz w:val="17"/>
                <w:szCs w:val="17"/>
              </w:rPr>
            </w:pPr>
          </w:p>
        </w:tc>
        <w:tc>
          <w:tcPr>
            <w:tcW w:w="788" w:type="dxa"/>
            <w:tcBorders>
              <w:top w:val="single" w:sz="4" w:space="0" w:color="auto"/>
              <w:left w:val="single" w:sz="4" w:space="0" w:color="auto"/>
              <w:bottom w:val="single" w:sz="4" w:space="0" w:color="auto"/>
              <w:right w:val="single" w:sz="4" w:space="0" w:color="auto"/>
            </w:tcBorders>
          </w:tcPr>
          <w:p w14:paraId="0E064AC6" w14:textId="77777777" w:rsidR="00DD6E45" w:rsidRPr="00DD6E45" w:rsidRDefault="00DD6E45" w:rsidP="00DD6E45">
            <w:pPr>
              <w:spacing w:before="40" w:after="40"/>
              <w:rPr>
                <w:rFonts w:cs="Segoe UI"/>
                <w:sz w:val="17"/>
                <w:szCs w:val="17"/>
              </w:rPr>
            </w:pPr>
          </w:p>
        </w:tc>
        <w:tc>
          <w:tcPr>
            <w:tcW w:w="789" w:type="dxa"/>
            <w:tcBorders>
              <w:top w:val="single" w:sz="4" w:space="0" w:color="auto"/>
              <w:left w:val="single" w:sz="4" w:space="0" w:color="auto"/>
              <w:bottom w:val="single" w:sz="4" w:space="0" w:color="auto"/>
              <w:right w:val="single" w:sz="4" w:space="0" w:color="auto"/>
            </w:tcBorders>
          </w:tcPr>
          <w:p w14:paraId="226F57F6" w14:textId="77777777" w:rsidR="00DD6E45" w:rsidRPr="00DD6E45" w:rsidRDefault="00DD6E45" w:rsidP="00DD6E45">
            <w:pPr>
              <w:spacing w:before="40" w:after="40"/>
              <w:rPr>
                <w:rFonts w:cs="Segoe UI"/>
                <w:sz w:val="17"/>
                <w:szCs w:val="17"/>
              </w:rPr>
            </w:pPr>
          </w:p>
        </w:tc>
        <w:tc>
          <w:tcPr>
            <w:tcW w:w="788" w:type="dxa"/>
            <w:tcBorders>
              <w:top w:val="single" w:sz="4" w:space="0" w:color="auto"/>
              <w:left w:val="single" w:sz="4" w:space="0" w:color="auto"/>
              <w:bottom w:val="single" w:sz="4" w:space="0" w:color="auto"/>
              <w:right w:val="single" w:sz="4" w:space="0" w:color="auto"/>
            </w:tcBorders>
            <w:noWrap/>
            <w:vAlign w:val="center"/>
          </w:tcPr>
          <w:p w14:paraId="248E3D87" w14:textId="77777777" w:rsidR="00DD6E45" w:rsidRPr="00DD6E45" w:rsidRDefault="00DD6E45" w:rsidP="00DD6E45">
            <w:pPr>
              <w:spacing w:before="40" w:after="40"/>
              <w:rPr>
                <w:rFonts w:cs="Segoe UI"/>
                <w:sz w:val="17"/>
                <w:szCs w:val="17"/>
              </w:rPr>
            </w:pPr>
          </w:p>
        </w:tc>
        <w:tc>
          <w:tcPr>
            <w:tcW w:w="788" w:type="dxa"/>
            <w:tcBorders>
              <w:top w:val="single" w:sz="4" w:space="0" w:color="auto"/>
              <w:left w:val="single" w:sz="4" w:space="0" w:color="auto"/>
              <w:bottom w:val="single" w:sz="4" w:space="0" w:color="auto"/>
              <w:right w:val="single" w:sz="4" w:space="0" w:color="auto"/>
            </w:tcBorders>
          </w:tcPr>
          <w:p w14:paraId="7FDB309E" w14:textId="77777777" w:rsidR="00DD6E45" w:rsidRPr="00DD6E45" w:rsidRDefault="00DD6E45" w:rsidP="00DD6E45">
            <w:pPr>
              <w:spacing w:before="40" w:after="40"/>
              <w:rPr>
                <w:rFonts w:cs="Segoe UI"/>
                <w:sz w:val="17"/>
                <w:szCs w:val="17"/>
              </w:rPr>
            </w:pPr>
          </w:p>
        </w:tc>
        <w:tc>
          <w:tcPr>
            <w:tcW w:w="3100" w:type="dxa"/>
            <w:tcBorders>
              <w:top w:val="single" w:sz="4" w:space="0" w:color="auto"/>
              <w:left w:val="single" w:sz="4" w:space="0" w:color="auto"/>
              <w:bottom w:val="single" w:sz="4" w:space="0" w:color="auto"/>
              <w:right w:val="single" w:sz="4" w:space="0" w:color="auto"/>
            </w:tcBorders>
            <w:noWrap/>
            <w:vAlign w:val="center"/>
          </w:tcPr>
          <w:p w14:paraId="16E50FAB" w14:textId="77777777" w:rsidR="00DD6E45" w:rsidRPr="00DD6E45" w:rsidRDefault="00DD6E45" w:rsidP="00DD6E45">
            <w:pPr>
              <w:spacing w:before="40" w:after="40"/>
              <w:rPr>
                <w:rFonts w:cs="Segoe UI"/>
                <w:sz w:val="17"/>
                <w:szCs w:val="17"/>
              </w:rPr>
            </w:pPr>
          </w:p>
        </w:tc>
      </w:tr>
    </w:tbl>
    <w:p w14:paraId="6F536CFE" w14:textId="77777777" w:rsidR="00DD6E45" w:rsidRPr="00DD6E45" w:rsidRDefault="00DD6E45" w:rsidP="00DD6E45">
      <w:pPr>
        <w:spacing w:before="40" w:after="40"/>
        <w:rPr>
          <w:rFonts w:cs="Segoe UI"/>
          <w:sz w:val="17"/>
          <w:szCs w:val="17"/>
          <w:u w:val="single"/>
        </w:rPr>
      </w:pPr>
    </w:p>
    <w:tbl>
      <w:tblPr>
        <w:tblW w:w="14166"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9"/>
        <w:gridCol w:w="4253"/>
        <w:gridCol w:w="704"/>
        <w:gridCol w:w="704"/>
        <w:gridCol w:w="704"/>
        <w:gridCol w:w="704"/>
        <w:gridCol w:w="704"/>
        <w:gridCol w:w="704"/>
        <w:gridCol w:w="704"/>
        <w:gridCol w:w="704"/>
        <w:gridCol w:w="704"/>
        <w:gridCol w:w="3118"/>
      </w:tblGrid>
      <w:tr w:rsidR="00DD6E45" w:rsidRPr="00DD6E45" w14:paraId="00316FE1" w14:textId="77777777" w:rsidTr="003A79BA">
        <w:trPr>
          <w:trHeight w:val="283"/>
        </w:trPr>
        <w:tc>
          <w:tcPr>
            <w:tcW w:w="459" w:type="dxa"/>
            <w:tcBorders>
              <w:top w:val="single" w:sz="4" w:space="0" w:color="auto"/>
              <w:left w:val="nil"/>
              <w:bottom w:val="nil"/>
              <w:right w:val="single" w:sz="4" w:space="0" w:color="auto"/>
            </w:tcBorders>
          </w:tcPr>
          <w:p w14:paraId="6E8943C8" w14:textId="77777777" w:rsidR="00DD6E45" w:rsidRPr="00DD6E45" w:rsidRDefault="00DD6E45" w:rsidP="00DD6E45">
            <w:pPr>
              <w:spacing w:before="40" w:after="40"/>
              <w:rPr>
                <w:rFonts w:cs="Segoe UI"/>
                <w:sz w:val="17"/>
                <w:szCs w:val="17"/>
              </w:rPr>
            </w:pPr>
          </w:p>
        </w:tc>
        <w:tc>
          <w:tcPr>
            <w:tcW w:w="4253" w:type="dxa"/>
            <w:tcBorders>
              <w:top w:val="single" w:sz="4" w:space="0" w:color="auto"/>
              <w:left w:val="single" w:sz="4" w:space="0" w:color="auto"/>
              <w:bottom w:val="single" w:sz="4" w:space="0" w:color="auto"/>
              <w:right w:val="single" w:sz="4" w:space="0" w:color="auto"/>
            </w:tcBorders>
            <w:noWrap/>
          </w:tcPr>
          <w:p w14:paraId="22FA4512" w14:textId="77777777" w:rsidR="00DD6E45" w:rsidRPr="00DD6E45" w:rsidRDefault="00DD6E45" w:rsidP="00DD6E45">
            <w:pPr>
              <w:spacing w:before="40" w:after="40"/>
              <w:rPr>
                <w:rFonts w:cs="Segoe UI"/>
                <w:sz w:val="17"/>
                <w:szCs w:val="17"/>
              </w:rPr>
            </w:pPr>
          </w:p>
        </w:tc>
        <w:tc>
          <w:tcPr>
            <w:tcW w:w="704" w:type="dxa"/>
            <w:tcBorders>
              <w:top w:val="single" w:sz="4" w:space="0" w:color="auto"/>
              <w:left w:val="single" w:sz="4" w:space="0" w:color="auto"/>
              <w:bottom w:val="single" w:sz="4" w:space="0" w:color="auto"/>
              <w:right w:val="single" w:sz="4" w:space="0" w:color="auto"/>
            </w:tcBorders>
            <w:noWrap/>
            <w:vAlign w:val="center"/>
            <w:hideMark/>
          </w:tcPr>
          <w:p w14:paraId="76388F4A" w14:textId="77777777" w:rsidR="00DD6E45" w:rsidRPr="00DD6E45" w:rsidRDefault="00DD6E45" w:rsidP="003A79BA">
            <w:pPr>
              <w:spacing w:before="40" w:after="40"/>
              <w:jc w:val="center"/>
              <w:rPr>
                <w:rFonts w:cs="Segoe UI"/>
                <w:sz w:val="17"/>
                <w:szCs w:val="17"/>
              </w:rPr>
            </w:pPr>
            <w:r w:rsidRPr="00DD6E45">
              <w:rPr>
                <w:rFonts w:cs="Segoe UI"/>
                <w:sz w:val="17"/>
                <w:szCs w:val="17"/>
              </w:rPr>
              <w:t>20%</w:t>
            </w:r>
          </w:p>
        </w:tc>
        <w:tc>
          <w:tcPr>
            <w:tcW w:w="704" w:type="dxa"/>
            <w:tcBorders>
              <w:top w:val="single" w:sz="4" w:space="0" w:color="auto"/>
              <w:left w:val="single" w:sz="4" w:space="0" w:color="auto"/>
              <w:bottom w:val="single" w:sz="4" w:space="0" w:color="auto"/>
              <w:right w:val="single" w:sz="4" w:space="0" w:color="auto"/>
            </w:tcBorders>
            <w:vAlign w:val="center"/>
          </w:tcPr>
          <w:p w14:paraId="72DDFC38" w14:textId="77777777" w:rsidR="00DD6E45" w:rsidRPr="00DD6E45" w:rsidRDefault="00DD6E45" w:rsidP="003A79BA">
            <w:pPr>
              <w:spacing w:before="40" w:after="40"/>
              <w:jc w:val="center"/>
              <w:rPr>
                <w:rFonts w:cs="Segoe UI"/>
                <w:sz w:val="17"/>
                <w:szCs w:val="17"/>
              </w:rPr>
            </w:pPr>
            <w:r w:rsidRPr="00DD6E45">
              <w:rPr>
                <w:rFonts w:cs="Segoe UI"/>
                <w:sz w:val="17"/>
                <w:szCs w:val="17"/>
              </w:rPr>
              <w:t>30%</w:t>
            </w:r>
          </w:p>
        </w:tc>
        <w:tc>
          <w:tcPr>
            <w:tcW w:w="704" w:type="dxa"/>
            <w:tcBorders>
              <w:top w:val="single" w:sz="4" w:space="0" w:color="auto"/>
              <w:left w:val="single" w:sz="4" w:space="0" w:color="auto"/>
              <w:bottom w:val="single" w:sz="4" w:space="0" w:color="auto"/>
              <w:right w:val="single" w:sz="4" w:space="0" w:color="auto"/>
            </w:tcBorders>
            <w:noWrap/>
            <w:vAlign w:val="center"/>
            <w:hideMark/>
          </w:tcPr>
          <w:p w14:paraId="4921F7BD" w14:textId="77777777" w:rsidR="00DD6E45" w:rsidRPr="00DD6E45" w:rsidRDefault="00DD6E45" w:rsidP="003A79BA">
            <w:pPr>
              <w:spacing w:before="40" w:after="40"/>
              <w:jc w:val="center"/>
              <w:rPr>
                <w:rFonts w:cs="Segoe UI"/>
                <w:sz w:val="17"/>
                <w:szCs w:val="17"/>
              </w:rPr>
            </w:pPr>
            <w:r w:rsidRPr="00DD6E45">
              <w:rPr>
                <w:rFonts w:cs="Segoe UI"/>
                <w:sz w:val="17"/>
                <w:szCs w:val="17"/>
              </w:rPr>
              <w:t>50%</w:t>
            </w:r>
          </w:p>
        </w:tc>
        <w:tc>
          <w:tcPr>
            <w:tcW w:w="704" w:type="dxa"/>
            <w:tcBorders>
              <w:top w:val="single" w:sz="4" w:space="0" w:color="auto"/>
              <w:left w:val="single" w:sz="4" w:space="0" w:color="auto"/>
              <w:bottom w:val="single" w:sz="4" w:space="0" w:color="auto"/>
              <w:right w:val="single" w:sz="4" w:space="0" w:color="auto"/>
            </w:tcBorders>
            <w:vAlign w:val="center"/>
          </w:tcPr>
          <w:p w14:paraId="3729F031" w14:textId="77777777" w:rsidR="00DD6E45" w:rsidRPr="00DD6E45" w:rsidRDefault="00DD6E45" w:rsidP="003A79BA">
            <w:pPr>
              <w:spacing w:before="40" w:after="40"/>
              <w:jc w:val="center"/>
              <w:rPr>
                <w:rFonts w:cs="Segoe UI"/>
                <w:sz w:val="17"/>
                <w:szCs w:val="17"/>
              </w:rPr>
            </w:pPr>
            <w:r w:rsidRPr="00DD6E45">
              <w:rPr>
                <w:rFonts w:cs="Segoe UI"/>
                <w:sz w:val="17"/>
                <w:szCs w:val="17"/>
              </w:rPr>
              <w:t>65%</w:t>
            </w:r>
          </w:p>
        </w:tc>
        <w:tc>
          <w:tcPr>
            <w:tcW w:w="704" w:type="dxa"/>
            <w:tcBorders>
              <w:top w:val="single" w:sz="4" w:space="0" w:color="auto"/>
              <w:left w:val="single" w:sz="4" w:space="0" w:color="auto"/>
              <w:bottom w:val="single" w:sz="4" w:space="0" w:color="auto"/>
              <w:right w:val="single" w:sz="4" w:space="0" w:color="auto"/>
            </w:tcBorders>
            <w:vAlign w:val="center"/>
            <w:hideMark/>
          </w:tcPr>
          <w:p w14:paraId="5EF05C2B" w14:textId="77777777" w:rsidR="00DD6E45" w:rsidRPr="00DD6E45" w:rsidRDefault="00DD6E45" w:rsidP="003A79BA">
            <w:pPr>
              <w:spacing w:before="40" w:after="40"/>
              <w:jc w:val="center"/>
              <w:rPr>
                <w:rFonts w:cs="Segoe UI"/>
                <w:sz w:val="17"/>
                <w:szCs w:val="17"/>
              </w:rPr>
            </w:pPr>
            <w:r w:rsidRPr="00DD6E45">
              <w:rPr>
                <w:rFonts w:cs="Segoe UI"/>
                <w:sz w:val="17"/>
                <w:szCs w:val="17"/>
              </w:rPr>
              <w:t>75%</w:t>
            </w:r>
          </w:p>
        </w:tc>
        <w:tc>
          <w:tcPr>
            <w:tcW w:w="704" w:type="dxa"/>
            <w:tcBorders>
              <w:top w:val="single" w:sz="4" w:space="0" w:color="auto"/>
              <w:left w:val="single" w:sz="4" w:space="0" w:color="auto"/>
              <w:bottom w:val="single" w:sz="4" w:space="0" w:color="auto"/>
              <w:right w:val="single" w:sz="4" w:space="0" w:color="auto"/>
            </w:tcBorders>
            <w:vAlign w:val="center"/>
            <w:hideMark/>
          </w:tcPr>
          <w:p w14:paraId="460CCBB1" w14:textId="77777777" w:rsidR="00DD6E45" w:rsidRPr="00DD6E45" w:rsidRDefault="00DD6E45" w:rsidP="003A79BA">
            <w:pPr>
              <w:spacing w:before="40" w:after="40"/>
              <w:jc w:val="center"/>
              <w:rPr>
                <w:rFonts w:cs="Segoe UI"/>
                <w:sz w:val="17"/>
                <w:szCs w:val="17"/>
              </w:rPr>
            </w:pPr>
            <w:r w:rsidRPr="00DD6E45">
              <w:rPr>
                <w:rFonts w:cs="Segoe UI"/>
                <w:sz w:val="17"/>
                <w:szCs w:val="17"/>
              </w:rPr>
              <w:t>85%</w:t>
            </w:r>
          </w:p>
        </w:tc>
        <w:tc>
          <w:tcPr>
            <w:tcW w:w="704" w:type="dxa"/>
            <w:tcBorders>
              <w:top w:val="single" w:sz="4" w:space="0" w:color="auto"/>
              <w:left w:val="single" w:sz="4" w:space="0" w:color="auto"/>
              <w:bottom w:val="single" w:sz="4" w:space="0" w:color="auto"/>
              <w:right w:val="single" w:sz="4" w:space="0" w:color="auto"/>
            </w:tcBorders>
            <w:vAlign w:val="center"/>
            <w:hideMark/>
          </w:tcPr>
          <w:p w14:paraId="73EF189E" w14:textId="77777777" w:rsidR="00DD6E45" w:rsidRPr="00DD6E45" w:rsidRDefault="00DD6E45" w:rsidP="003A79BA">
            <w:pPr>
              <w:spacing w:before="40" w:after="40"/>
              <w:jc w:val="center"/>
              <w:rPr>
                <w:rFonts w:cs="Segoe UI"/>
                <w:sz w:val="17"/>
                <w:szCs w:val="17"/>
              </w:rPr>
            </w:pPr>
            <w:r w:rsidRPr="00DD6E45">
              <w:rPr>
                <w:rFonts w:cs="Segoe UI"/>
                <w:sz w:val="17"/>
                <w:szCs w:val="17"/>
              </w:rPr>
              <w:t>100%</w:t>
            </w:r>
          </w:p>
        </w:tc>
        <w:tc>
          <w:tcPr>
            <w:tcW w:w="704" w:type="dxa"/>
            <w:tcBorders>
              <w:top w:val="single" w:sz="4" w:space="0" w:color="auto"/>
              <w:left w:val="single" w:sz="4" w:space="0" w:color="auto"/>
              <w:bottom w:val="single" w:sz="4" w:space="0" w:color="auto"/>
              <w:right w:val="single" w:sz="4" w:space="0" w:color="auto"/>
            </w:tcBorders>
            <w:noWrap/>
            <w:vAlign w:val="center"/>
            <w:hideMark/>
          </w:tcPr>
          <w:p w14:paraId="36906501" w14:textId="77777777" w:rsidR="00DD6E45" w:rsidRPr="00DD6E45" w:rsidRDefault="00DD6E45" w:rsidP="003A79BA">
            <w:pPr>
              <w:spacing w:before="40" w:after="40"/>
              <w:jc w:val="center"/>
              <w:rPr>
                <w:rFonts w:cs="Segoe UI"/>
                <w:sz w:val="17"/>
                <w:szCs w:val="17"/>
              </w:rPr>
            </w:pPr>
            <w:r w:rsidRPr="00DD6E45">
              <w:rPr>
                <w:rFonts w:cs="Segoe UI"/>
                <w:sz w:val="17"/>
                <w:szCs w:val="17"/>
              </w:rPr>
              <w:t>150%</w:t>
            </w:r>
          </w:p>
        </w:tc>
        <w:tc>
          <w:tcPr>
            <w:tcW w:w="704" w:type="dxa"/>
            <w:tcBorders>
              <w:top w:val="single" w:sz="4" w:space="0" w:color="auto"/>
              <w:left w:val="single" w:sz="4" w:space="0" w:color="auto"/>
              <w:bottom w:val="single" w:sz="4" w:space="0" w:color="auto"/>
              <w:right w:val="single" w:sz="4" w:space="0" w:color="auto"/>
            </w:tcBorders>
            <w:noWrap/>
            <w:vAlign w:val="center"/>
            <w:hideMark/>
          </w:tcPr>
          <w:p w14:paraId="5C7F97BA" w14:textId="77777777" w:rsidR="00DD6E45" w:rsidRPr="00DD6E45" w:rsidRDefault="00DD6E45" w:rsidP="003A79BA">
            <w:pPr>
              <w:spacing w:before="40" w:after="40"/>
              <w:jc w:val="center"/>
              <w:rPr>
                <w:rFonts w:cs="Segoe UI"/>
                <w:sz w:val="17"/>
                <w:szCs w:val="17"/>
              </w:rPr>
            </w:pPr>
            <w:r w:rsidRPr="00DD6E45">
              <w:rPr>
                <w:rFonts w:cs="Segoe UI"/>
                <w:sz w:val="17"/>
                <w:szCs w:val="17"/>
              </w:rPr>
              <w:t>Other</w:t>
            </w:r>
          </w:p>
        </w:tc>
        <w:tc>
          <w:tcPr>
            <w:tcW w:w="3118" w:type="dxa"/>
            <w:tcBorders>
              <w:top w:val="single" w:sz="4" w:space="0" w:color="auto"/>
              <w:left w:val="single" w:sz="4" w:space="0" w:color="auto"/>
              <w:bottom w:val="single" w:sz="4" w:space="0" w:color="auto"/>
              <w:right w:val="single" w:sz="4" w:space="0" w:color="auto"/>
            </w:tcBorders>
            <w:noWrap/>
            <w:vAlign w:val="center"/>
            <w:hideMark/>
          </w:tcPr>
          <w:p w14:paraId="25EC9589" w14:textId="77777777" w:rsidR="00DD6E45" w:rsidRPr="00DD6E45" w:rsidRDefault="00DD6E45" w:rsidP="00DD6E45">
            <w:pPr>
              <w:spacing w:before="40" w:after="40"/>
              <w:rPr>
                <w:rFonts w:cs="Segoe UI"/>
                <w:sz w:val="17"/>
                <w:szCs w:val="17"/>
              </w:rPr>
            </w:pPr>
            <w:r w:rsidRPr="00DD6E45">
              <w:rPr>
                <w:rFonts w:cs="Segoe UI"/>
                <w:sz w:val="17"/>
                <w:szCs w:val="17"/>
              </w:rPr>
              <w:t>Total credit exposure amount (post-CCF and post-CRM)</w:t>
            </w:r>
          </w:p>
        </w:tc>
      </w:tr>
      <w:tr w:rsidR="00DD6E45" w:rsidRPr="00DD6E45" w14:paraId="7F343446" w14:textId="77777777" w:rsidTr="00321677">
        <w:trPr>
          <w:trHeight w:val="283"/>
        </w:trPr>
        <w:tc>
          <w:tcPr>
            <w:tcW w:w="459" w:type="dxa"/>
            <w:tcBorders>
              <w:top w:val="nil"/>
              <w:left w:val="nil"/>
              <w:bottom w:val="single" w:sz="4" w:space="0" w:color="auto"/>
              <w:right w:val="single" w:sz="4" w:space="0" w:color="auto"/>
            </w:tcBorders>
            <w:hideMark/>
          </w:tcPr>
          <w:p w14:paraId="039DCCAE" w14:textId="77777777" w:rsidR="00DD6E45" w:rsidRPr="00DD6E45" w:rsidRDefault="00DD6E45" w:rsidP="00DD6E45">
            <w:pPr>
              <w:spacing w:before="40" w:after="40"/>
              <w:rPr>
                <w:rFonts w:cs="Segoe UI"/>
                <w:sz w:val="17"/>
                <w:szCs w:val="17"/>
              </w:rPr>
            </w:pPr>
            <w:r w:rsidRPr="00DD6E45">
              <w:rPr>
                <w:rFonts w:cs="Segoe UI"/>
                <w:sz w:val="17"/>
                <w:szCs w:val="17"/>
              </w:rPr>
              <w:t>6</w:t>
            </w:r>
          </w:p>
        </w:tc>
        <w:tc>
          <w:tcPr>
            <w:tcW w:w="4253" w:type="dxa"/>
            <w:tcBorders>
              <w:top w:val="single" w:sz="4" w:space="0" w:color="auto"/>
              <w:left w:val="single" w:sz="4" w:space="0" w:color="auto"/>
              <w:bottom w:val="single" w:sz="4" w:space="0" w:color="auto"/>
              <w:right w:val="single" w:sz="4" w:space="0" w:color="auto"/>
            </w:tcBorders>
            <w:noWrap/>
            <w:hideMark/>
          </w:tcPr>
          <w:p w14:paraId="57C1DCB1" w14:textId="77777777" w:rsidR="00DD6E45" w:rsidRPr="00DD6E45" w:rsidRDefault="00DD6E45" w:rsidP="00DD6E45">
            <w:pPr>
              <w:spacing w:before="40" w:after="40"/>
              <w:rPr>
                <w:rFonts w:cs="Segoe UI"/>
                <w:sz w:val="17"/>
                <w:szCs w:val="17"/>
              </w:rPr>
            </w:pPr>
            <w:r w:rsidRPr="00DD6E45">
              <w:rPr>
                <w:rFonts w:cs="Segoe UI"/>
                <w:sz w:val="17"/>
                <w:szCs w:val="17"/>
              </w:rPr>
              <w:t>General corporate exposures</w:t>
            </w:r>
          </w:p>
        </w:tc>
        <w:tc>
          <w:tcPr>
            <w:tcW w:w="704" w:type="dxa"/>
            <w:tcBorders>
              <w:top w:val="single" w:sz="4" w:space="0" w:color="auto"/>
              <w:left w:val="single" w:sz="4" w:space="0" w:color="auto"/>
              <w:bottom w:val="single" w:sz="4" w:space="0" w:color="auto"/>
              <w:right w:val="single" w:sz="4" w:space="0" w:color="auto"/>
            </w:tcBorders>
            <w:noWrap/>
            <w:vAlign w:val="center"/>
          </w:tcPr>
          <w:p w14:paraId="433C6454" w14:textId="77777777" w:rsidR="00DD6E45" w:rsidRPr="00DD6E45" w:rsidRDefault="00DD6E45" w:rsidP="00DD6E45">
            <w:pPr>
              <w:spacing w:before="40" w:after="40"/>
              <w:rPr>
                <w:rFonts w:cs="Segoe UI"/>
                <w:sz w:val="17"/>
                <w:szCs w:val="17"/>
              </w:rPr>
            </w:pPr>
          </w:p>
        </w:tc>
        <w:tc>
          <w:tcPr>
            <w:tcW w:w="704" w:type="dxa"/>
            <w:tcBorders>
              <w:top w:val="single" w:sz="4" w:space="0" w:color="auto"/>
              <w:left w:val="single" w:sz="4" w:space="0" w:color="auto"/>
              <w:bottom w:val="single" w:sz="4" w:space="0" w:color="auto"/>
              <w:right w:val="single" w:sz="4" w:space="0" w:color="auto"/>
            </w:tcBorders>
            <w:vAlign w:val="center"/>
          </w:tcPr>
          <w:p w14:paraId="7EE1BF08" w14:textId="77777777" w:rsidR="00DD6E45" w:rsidRPr="00DD6E45" w:rsidRDefault="00DD6E45" w:rsidP="00DD6E45">
            <w:pPr>
              <w:spacing w:before="40" w:after="40"/>
              <w:rPr>
                <w:rFonts w:cs="Segoe UI"/>
                <w:sz w:val="17"/>
                <w:szCs w:val="17"/>
              </w:rPr>
            </w:pPr>
          </w:p>
        </w:tc>
        <w:tc>
          <w:tcPr>
            <w:tcW w:w="704" w:type="dxa"/>
            <w:tcBorders>
              <w:top w:val="single" w:sz="4" w:space="0" w:color="auto"/>
              <w:left w:val="single" w:sz="4" w:space="0" w:color="auto"/>
              <w:bottom w:val="single" w:sz="4" w:space="0" w:color="auto"/>
              <w:right w:val="single" w:sz="4" w:space="0" w:color="auto"/>
            </w:tcBorders>
            <w:noWrap/>
            <w:vAlign w:val="center"/>
          </w:tcPr>
          <w:p w14:paraId="356A91EA" w14:textId="77777777" w:rsidR="00DD6E45" w:rsidRPr="00DD6E45" w:rsidRDefault="00DD6E45" w:rsidP="00DD6E45">
            <w:pPr>
              <w:spacing w:before="40" w:after="40"/>
              <w:rPr>
                <w:rFonts w:cs="Segoe UI"/>
                <w:sz w:val="17"/>
                <w:szCs w:val="17"/>
              </w:rPr>
            </w:pPr>
          </w:p>
        </w:tc>
        <w:tc>
          <w:tcPr>
            <w:tcW w:w="704" w:type="dxa"/>
            <w:tcBorders>
              <w:top w:val="single" w:sz="4" w:space="0" w:color="auto"/>
              <w:left w:val="single" w:sz="4" w:space="0" w:color="auto"/>
              <w:bottom w:val="single" w:sz="4" w:space="0" w:color="auto"/>
              <w:right w:val="single" w:sz="4" w:space="0" w:color="auto"/>
            </w:tcBorders>
            <w:shd w:val="clear" w:color="auto" w:fill="AEAAAA"/>
            <w:vAlign w:val="center"/>
          </w:tcPr>
          <w:p w14:paraId="546C8929" w14:textId="77777777" w:rsidR="00DD6E45" w:rsidRPr="00DD6E45" w:rsidRDefault="00DD6E45" w:rsidP="00DD6E45">
            <w:pPr>
              <w:spacing w:before="40" w:after="40"/>
              <w:rPr>
                <w:rFonts w:cs="Segoe UI"/>
                <w:sz w:val="17"/>
                <w:szCs w:val="17"/>
              </w:rPr>
            </w:pPr>
          </w:p>
        </w:tc>
        <w:tc>
          <w:tcPr>
            <w:tcW w:w="704" w:type="dxa"/>
            <w:tcBorders>
              <w:top w:val="single" w:sz="4" w:space="0" w:color="auto"/>
              <w:left w:val="single" w:sz="4" w:space="0" w:color="auto"/>
              <w:bottom w:val="single" w:sz="4" w:space="0" w:color="auto"/>
              <w:right w:val="single" w:sz="4" w:space="0" w:color="auto"/>
            </w:tcBorders>
            <w:shd w:val="clear" w:color="auto" w:fill="auto"/>
          </w:tcPr>
          <w:p w14:paraId="62D6CADA" w14:textId="77777777" w:rsidR="00DD6E45" w:rsidRPr="00DD6E45" w:rsidRDefault="00DD6E45" w:rsidP="00DD6E45">
            <w:pPr>
              <w:spacing w:before="40" w:after="40"/>
              <w:rPr>
                <w:rFonts w:cs="Segoe UI"/>
                <w:sz w:val="17"/>
                <w:szCs w:val="17"/>
              </w:rPr>
            </w:pPr>
          </w:p>
        </w:tc>
        <w:tc>
          <w:tcPr>
            <w:tcW w:w="704" w:type="dxa"/>
            <w:tcBorders>
              <w:top w:val="single" w:sz="4" w:space="0" w:color="auto"/>
              <w:left w:val="single" w:sz="4" w:space="0" w:color="auto"/>
              <w:bottom w:val="single" w:sz="4" w:space="0" w:color="auto"/>
              <w:right w:val="single" w:sz="4" w:space="0" w:color="auto"/>
            </w:tcBorders>
            <w:shd w:val="clear" w:color="auto" w:fill="auto"/>
          </w:tcPr>
          <w:p w14:paraId="6530E8AE" w14:textId="77777777" w:rsidR="00DD6E45" w:rsidRPr="00DD6E45" w:rsidRDefault="00DD6E45" w:rsidP="00DD6E45">
            <w:pPr>
              <w:spacing w:before="40" w:after="40"/>
              <w:rPr>
                <w:rFonts w:cs="Segoe UI"/>
                <w:sz w:val="17"/>
                <w:szCs w:val="17"/>
              </w:rPr>
            </w:pPr>
          </w:p>
        </w:tc>
        <w:tc>
          <w:tcPr>
            <w:tcW w:w="704" w:type="dxa"/>
            <w:tcBorders>
              <w:top w:val="single" w:sz="4" w:space="0" w:color="auto"/>
              <w:left w:val="single" w:sz="4" w:space="0" w:color="auto"/>
              <w:bottom w:val="single" w:sz="4" w:space="0" w:color="auto"/>
              <w:right w:val="single" w:sz="4" w:space="0" w:color="auto"/>
            </w:tcBorders>
            <w:shd w:val="clear" w:color="auto" w:fill="auto"/>
          </w:tcPr>
          <w:p w14:paraId="205B5319" w14:textId="77777777" w:rsidR="00DD6E45" w:rsidRPr="00DD6E45" w:rsidRDefault="00DD6E45" w:rsidP="00DD6E45">
            <w:pPr>
              <w:spacing w:before="40" w:after="40"/>
              <w:rPr>
                <w:rFonts w:cs="Segoe UI"/>
                <w:sz w:val="17"/>
                <w:szCs w:val="17"/>
              </w:rPr>
            </w:pP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8FB188" w14:textId="77777777" w:rsidR="00DD6E45" w:rsidRPr="00DD6E45" w:rsidRDefault="00DD6E45" w:rsidP="00DD6E45">
            <w:pPr>
              <w:spacing w:before="40" w:after="40"/>
              <w:rPr>
                <w:rFonts w:cs="Segoe UI"/>
                <w:sz w:val="17"/>
                <w:szCs w:val="17"/>
              </w:rPr>
            </w:pP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9AAB3D" w14:textId="77777777" w:rsidR="00DD6E45" w:rsidRPr="00DD6E45" w:rsidRDefault="00DD6E45" w:rsidP="00DD6E45">
            <w:pPr>
              <w:spacing w:before="40" w:after="40"/>
              <w:rPr>
                <w:rFonts w:cs="Segoe UI"/>
                <w:sz w:val="17"/>
                <w:szCs w:val="17"/>
              </w:rPr>
            </w:pPr>
          </w:p>
        </w:tc>
        <w:tc>
          <w:tcPr>
            <w:tcW w:w="3118" w:type="dxa"/>
            <w:tcBorders>
              <w:top w:val="single" w:sz="4" w:space="0" w:color="auto"/>
              <w:left w:val="single" w:sz="4" w:space="0" w:color="auto"/>
              <w:bottom w:val="single" w:sz="4" w:space="0" w:color="auto"/>
              <w:right w:val="single" w:sz="4" w:space="0" w:color="auto"/>
            </w:tcBorders>
            <w:noWrap/>
            <w:vAlign w:val="center"/>
          </w:tcPr>
          <w:p w14:paraId="39A80E2A" w14:textId="77777777" w:rsidR="00DD6E45" w:rsidRPr="00DD6E45" w:rsidRDefault="00DD6E45" w:rsidP="00DD6E45">
            <w:pPr>
              <w:spacing w:before="40" w:after="40"/>
              <w:rPr>
                <w:rFonts w:cs="Segoe UI"/>
                <w:sz w:val="17"/>
                <w:szCs w:val="17"/>
              </w:rPr>
            </w:pPr>
          </w:p>
        </w:tc>
      </w:tr>
      <w:tr w:rsidR="00A13869" w:rsidRPr="00DD6E45" w14:paraId="5ABE7E50" w14:textId="77777777" w:rsidTr="00321677">
        <w:trPr>
          <w:trHeight w:val="283"/>
        </w:trPr>
        <w:tc>
          <w:tcPr>
            <w:tcW w:w="459" w:type="dxa"/>
            <w:tcBorders>
              <w:top w:val="single" w:sz="4" w:space="0" w:color="auto"/>
              <w:left w:val="nil"/>
              <w:bottom w:val="single" w:sz="4" w:space="0" w:color="auto"/>
              <w:right w:val="single" w:sz="4" w:space="0" w:color="auto"/>
            </w:tcBorders>
          </w:tcPr>
          <w:p w14:paraId="10C66B87" w14:textId="77777777" w:rsidR="00A13869" w:rsidRPr="00DD6E45" w:rsidRDefault="00A13869" w:rsidP="00A13869">
            <w:pPr>
              <w:spacing w:before="40" w:after="40"/>
              <w:rPr>
                <w:rFonts w:cs="Segoe UI"/>
                <w:sz w:val="17"/>
                <w:szCs w:val="17"/>
              </w:rPr>
            </w:pPr>
            <w:r w:rsidRPr="00DD6E45">
              <w:rPr>
                <w:rFonts w:cs="Segoe UI"/>
                <w:sz w:val="17"/>
                <w:szCs w:val="17"/>
              </w:rPr>
              <w:t>6a</w:t>
            </w:r>
          </w:p>
        </w:tc>
        <w:tc>
          <w:tcPr>
            <w:tcW w:w="4253" w:type="dxa"/>
            <w:tcBorders>
              <w:top w:val="single" w:sz="4" w:space="0" w:color="auto"/>
              <w:left w:val="single" w:sz="4" w:space="0" w:color="auto"/>
              <w:bottom w:val="single" w:sz="4" w:space="0" w:color="auto"/>
              <w:right w:val="single" w:sz="4" w:space="0" w:color="auto"/>
            </w:tcBorders>
            <w:noWrap/>
          </w:tcPr>
          <w:p w14:paraId="2717C487" w14:textId="48EA7A90" w:rsidR="00A13869" w:rsidRPr="00DD6E45" w:rsidRDefault="00A13869" w:rsidP="00976526">
            <w:pPr>
              <w:spacing w:before="40" w:after="40"/>
              <w:ind w:left="182"/>
              <w:rPr>
                <w:rFonts w:cs="Segoe UI"/>
                <w:sz w:val="17"/>
                <w:szCs w:val="17"/>
              </w:rPr>
            </w:pPr>
            <w:r w:rsidRPr="00DD6E45">
              <w:rPr>
                <w:rFonts w:cs="Segoe UI"/>
                <w:sz w:val="17"/>
                <w:szCs w:val="17"/>
              </w:rPr>
              <w:t>Of which: non-bank</w:t>
            </w:r>
            <w:r>
              <w:rPr>
                <w:rFonts w:cs="Segoe UI"/>
                <w:sz w:val="17"/>
                <w:szCs w:val="17"/>
              </w:rPr>
              <w:t xml:space="preserve"> </w:t>
            </w:r>
            <w:r w:rsidRPr="00DD6E45">
              <w:rPr>
                <w:rFonts w:cs="Segoe UI"/>
                <w:sz w:val="17"/>
                <w:szCs w:val="17"/>
              </w:rPr>
              <w:t>financial institution exposures excluding those reported under row 4a</w:t>
            </w:r>
          </w:p>
        </w:tc>
        <w:tc>
          <w:tcPr>
            <w:tcW w:w="704" w:type="dxa"/>
            <w:tcBorders>
              <w:top w:val="single" w:sz="4" w:space="0" w:color="auto"/>
              <w:left w:val="single" w:sz="4" w:space="0" w:color="auto"/>
              <w:bottom w:val="single" w:sz="4" w:space="0" w:color="auto"/>
              <w:right w:val="single" w:sz="4" w:space="0" w:color="auto"/>
            </w:tcBorders>
            <w:noWrap/>
          </w:tcPr>
          <w:p w14:paraId="55DB4882" w14:textId="77777777" w:rsidR="00A13869" w:rsidRPr="00DD6E45" w:rsidRDefault="00A13869" w:rsidP="00A13869">
            <w:pPr>
              <w:spacing w:before="40" w:after="40"/>
              <w:rPr>
                <w:rFonts w:cs="Segoe UI"/>
                <w:sz w:val="17"/>
                <w:szCs w:val="17"/>
              </w:rPr>
            </w:pPr>
          </w:p>
        </w:tc>
        <w:tc>
          <w:tcPr>
            <w:tcW w:w="704" w:type="dxa"/>
            <w:tcBorders>
              <w:top w:val="single" w:sz="4" w:space="0" w:color="auto"/>
              <w:left w:val="single" w:sz="4" w:space="0" w:color="auto"/>
              <w:bottom w:val="single" w:sz="4" w:space="0" w:color="auto"/>
              <w:right w:val="single" w:sz="4" w:space="0" w:color="auto"/>
            </w:tcBorders>
          </w:tcPr>
          <w:p w14:paraId="5879786B" w14:textId="77777777" w:rsidR="00A13869" w:rsidRPr="00DD6E45" w:rsidRDefault="00A13869" w:rsidP="00A13869">
            <w:pPr>
              <w:spacing w:before="40" w:after="40"/>
              <w:rPr>
                <w:rFonts w:cs="Segoe UI"/>
                <w:sz w:val="17"/>
                <w:szCs w:val="17"/>
              </w:rPr>
            </w:pPr>
          </w:p>
        </w:tc>
        <w:tc>
          <w:tcPr>
            <w:tcW w:w="704" w:type="dxa"/>
            <w:tcBorders>
              <w:top w:val="single" w:sz="4" w:space="0" w:color="auto"/>
              <w:left w:val="single" w:sz="4" w:space="0" w:color="auto"/>
              <w:bottom w:val="single" w:sz="4" w:space="0" w:color="auto"/>
              <w:right w:val="single" w:sz="4" w:space="0" w:color="auto"/>
            </w:tcBorders>
            <w:noWrap/>
          </w:tcPr>
          <w:p w14:paraId="470D8EDE" w14:textId="77777777" w:rsidR="00A13869" w:rsidRPr="00DD6E45" w:rsidRDefault="00A13869" w:rsidP="00A13869">
            <w:pPr>
              <w:spacing w:before="40" w:after="40"/>
              <w:rPr>
                <w:rFonts w:cs="Segoe UI"/>
                <w:sz w:val="17"/>
                <w:szCs w:val="17"/>
              </w:rPr>
            </w:pPr>
          </w:p>
        </w:tc>
        <w:tc>
          <w:tcPr>
            <w:tcW w:w="704" w:type="dxa"/>
            <w:tcBorders>
              <w:top w:val="single" w:sz="4" w:space="0" w:color="auto"/>
              <w:left w:val="single" w:sz="4" w:space="0" w:color="auto"/>
              <w:bottom w:val="single" w:sz="4" w:space="0" w:color="auto"/>
              <w:right w:val="single" w:sz="4" w:space="0" w:color="auto"/>
            </w:tcBorders>
            <w:shd w:val="clear" w:color="auto" w:fill="AEAAAA"/>
          </w:tcPr>
          <w:p w14:paraId="6E2EA6FF" w14:textId="77777777" w:rsidR="00A13869" w:rsidRPr="00DD6E45" w:rsidRDefault="00A13869" w:rsidP="00A13869">
            <w:pPr>
              <w:spacing w:before="40" w:after="40"/>
              <w:rPr>
                <w:rFonts w:cs="Segoe UI"/>
                <w:sz w:val="17"/>
                <w:szCs w:val="17"/>
              </w:rPr>
            </w:pPr>
          </w:p>
        </w:tc>
        <w:tc>
          <w:tcPr>
            <w:tcW w:w="704" w:type="dxa"/>
            <w:tcBorders>
              <w:top w:val="single" w:sz="4" w:space="0" w:color="auto"/>
              <w:left w:val="single" w:sz="4" w:space="0" w:color="auto"/>
              <w:bottom w:val="single" w:sz="4" w:space="0" w:color="auto"/>
              <w:right w:val="single" w:sz="4" w:space="0" w:color="auto"/>
            </w:tcBorders>
            <w:shd w:val="clear" w:color="auto" w:fill="auto"/>
          </w:tcPr>
          <w:p w14:paraId="0EC9885D" w14:textId="77777777" w:rsidR="00A13869" w:rsidRPr="00DD6E45" w:rsidRDefault="00A13869" w:rsidP="00A13869">
            <w:pPr>
              <w:spacing w:before="40" w:after="40"/>
              <w:rPr>
                <w:rFonts w:cs="Segoe UI"/>
                <w:sz w:val="17"/>
                <w:szCs w:val="17"/>
              </w:rPr>
            </w:pPr>
          </w:p>
        </w:tc>
        <w:tc>
          <w:tcPr>
            <w:tcW w:w="704" w:type="dxa"/>
            <w:tcBorders>
              <w:top w:val="single" w:sz="4" w:space="0" w:color="auto"/>
              <w:left w:val="single" w:sz="4" w:space="0" w:color="auto"/>
              <w:bottom w:val="single" w:sz="4" w:space="0" w:color="auto"/>
              <w:right w:val="single" w:sz="4" w:space="0" w:color="auto"/>
            </w:tcBorders>
            <w:shd w:val="clear" w:color="auto" w:fill="auto"/>
          </w:tcPr>
          <w:p w14:paraId="648117D9" w14:textId="77777777" w:rsidR="00A13869" w:rsidRPr="00DD6E45" w:rsidRDefault="00A13869" w:rsidP="00A13869">
            <w:pPr>
              <w:spacing w:before="40" w:after="40"/>
              <w:rPr>
                <w:rFonts w:cs="Segoe UI"/>
                <w:sz w:val="17"/>
                <w:szCs w:val="17"/>
              </w:rPr>
            </w:pPr>
          </w:p>
        </w:tc>
        <w:tc>
          <w:tcPr>
            <w:tcW w:w="704" w:type="dxa"/>
            <w:tcBorders>
              <w:top w:val="single" w:sz="4" w:space="0" w:color="auto"/>
              <w:left w:val="single" w:sz="4" w:space="0" w:color="auto"/>
              <w:bottom w:val="single" w:sz="4" w:space="0" w:color="auto"/>
              <w:right w:val="single" w:sz="4" w:space="0" w:color="auto"/>
            </w:tcBorders>
            <w:shd w:val="clear" w:color="auto" w:fill="auto"/>
          </w:tcPr>
          <w:p w14:paraId="477CC549" w14:textId="77777777" w:rsidR="00A13869" w:rsidRPr="00DD6E45" w:rsidRDefault="00A13869" w:rsidP="00A13869">
            <w:pPr>
              <w:spacing w:before="40" w:after="40"/>
              <w:rPr>
                <w:rFonts w:cs="Segoe UI"/>
                <w:sz w:val="17"/>
                <w:szCs w:val="17"/>
              </w:rPr>
            </w:pPr>
          </w:p>
        </w:tc>
        <w:tc>
          <w:tcPr>
            <w:tcW w:w="704" w:type="dxa"/>
            <w:tcBorders>
              <w:top w:val="single" w:sz="4" w:space="0" w:color="auto"/>
              <w:left w:val="single" w:sz="4" w:space="0" w:color="auto"/>
              <w:bottom w:val="single" w:sz="4" w:space="0" w:color="auto"/>
              <w:right w:val="single" w:sz="4" w:space="0" w:color="auto"/>
            </w:tcBorders>
            <w:shd w:val="clear" w:color="auto" w:fill="auto"/>
            <w:noWrap/>
          </w:tcPr>
          <w:p w14:paraId="18A9591D" w14:textId="77777777" w:rsidR="00A13869" w:rsidRPr="00DD6E45" w:rsidRDefault="00A13869" w:rsidP="00A13869">
            <w:pPr>
              <w:spacing w:before="40" w:after="40"/>
              <w:rPr>
                <w:rFonts w:cs="Segoe UI"/>
                <w:sz w:val="17"/>
                <w:szCs w:val="17"/>
              </w:rPr>
            </w:pPr>
          </w:p>
        </w:tc>
        <w:tc>
          <w:tcPr>
            <w:tcW w:w="704" w:type="dxa"/>
            <w:tcBorders>
              <w:top w:val="single" w:sz="4" w:space="0" w:color="auto"/>
              <w:left w:val="single" w:sz="4" w:space="0" w:color="auto"/>
              <w:bottom w:val="single" w:sz="4" w:space="0" w:color="auto"/>
              <w:right w:val="single" w:sz="4" w:space="0" w:color="auto"/>
            </w:tcBorders>
            <w:shd w:val="clear" w:color="auto" w:fill="auto"/>
            <w:noWrap/>
          </w:tcPr>
          <w:p w14:paraId="33CC6DF9" w14:textId="77777777" w:rsidR="00A13869" w:rsidRPr="00DD6E45" w:rsidRDefault="00A13869" w:rsidP="00A13869">
            <w:pPr>
              <w:spacing w:before="40" w:after="40"/>
              <w:rPr>
                <w:rFonts w:cs="Segoe UI"/>
                <w:sz w:val="17"/>
                <w:szCs w:val="17"/>
              </w:rPr>
            </w:pPr>
          </w:p>
        </w:tc>
        <w:tc>
          <w:tcPr>
            <w:tcW w:w="3118" w:type="dxa"/>
            <w:tcBorders>
              <w:top w:val="single" w:sz="4" w:space="0" w:color="auto"/>
              <w:left w:val="single" w:sz="4" w:space="0" w:color="auto"/>
              <w:bottom w:val="single" w:sz="4" w:space="0" w:color="auto"/>
              <w:right w:val="single" w:sz="4" w:space="0" w:color="auto"/>
            </w:tcBorders>
            <w:noWrap/>
          </w:tcPr>
          <w:p w14:paraId="44A3CB63" w14:textId="77777777" w:rsidR="00A13869" w:rsidRPr="00DD6E45" w:rsidRDefault="00A13869" w:rsidP="00A13869">
            <w:pPr>
              <w:spacing w:before="40" w:after="40"/>
              <w:rPr>
                <w:rFonts w:cs="Segoe UI"/>
                <w:sz w:val="17"/>
                <w:szCs w:val="17"/>
              </w:rPr>
            </w:pPr>
          </w:p>
        </w:tc>
      </w:tr>
    </w:tbl>
    <w:p w14:paraId="5900ABBC" w14:textId="77777777" w:rsidR="00DD6E45" w:rsidRPr="00DD6E45" w:rsidRDefault="00DD6E45" w:rsidP="00DD6E45">
      <w:pPr>
        <w:spacing w:before="40" w:after="40"/>
        <w:rPr>
          <w:rFonts w:cs="Segoe UI"/>
          <w:sz w:val="17"/>
          <w:szCs w:val="17"/>
          <w:u w:val="single"/>
        </w:rPr>
      </w:pPr>
    </w:p>
    <w:tbl>
      <w:tblPr>
        <w:tblW w:w="14166"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9"/>
        <w:gridCol w:w="4253"/>
        <w:gridCol w:w="792"/>
        <w:gridCol w:w="792"/>
        <w:gridCol w:w="792"/>
        <w:gridCol w:w="792"/>
        <w:gridCol w:w="792"/>
        <w:gridCol w:w="792"/>
        <w:gridCol w:w="792"/>
        <w:gridCol w:w="792"/>
        <w:gridCol w:w="3118"/>
      </w:tblGrid>
      <w:tr w:rsidR="00DD6E45" w:rsidRPr="00DD6E45" w14:paraId="6DA170CC" w14:textId="77777777" w:rsidTr="003A79BA">
        <w:trPr>
          <w:trHeight w:val="283"/>
        </w:trPr>
        <w:tc>
          <w:tcPr>
            <w:tcW w:w="459" w:type="dxa"/>
            <w:tcBorders>
              <w:top w:val="single" w:sz="4" w:space="0" w:color="auto"/>
              <w:left w:val="nil"/>
              <w:bottom w:val="nil"/>
              <w:right w:val="single" w:sz="4" w:space="0" w:color="auto"/>
            </w:tcBorders>
          </w:tcPr>
          <w:p w14:paraId="09C941FD" w14:textId="77777777" w:rsidR="00DD6E45" w:rsidRPr="00DD6E45" w:rsidRDefault="00DD6E45" w:rsidP="00DD6E45">
            <w:pPr>
              <w:spacing w:before="40" w:after="40"/>
              <w:rPr>
                <w:rFonts w:cs="Segoe UI"/>
                <w:sz w:val="17"/>
                <w:szCs w:val="17"/>
              </w:rPr>
            </w:pPr>
          </w:p>
        </w:tc>
        <w:tc>
          <w:tcPr>
            <w:tcW w:w="4253" w:type="dxa"/>
            <w:tcBorders>
              <w:top w:val="single" w:sz="4" w:space="0" w:color="auto"/>
              <w:left w:val="single" w:sz="4" w:space="0" w:color="auto"/>
              <w:bottom w:val="single" w:sz="4" w:space="0" w:color="auto"/>
              <w:right w:val="single" w:sz="4" w:space="0" w:color="auto"/>
            </w:tcBorders>
            <w:noWrap/>
          </w:tcPr>
          <w:p w14:paraId="08F52F9A" w14:textId="77777777" w:rsidR="00DD6E45" w:rsidRPr="00DD6E45" w:rsidRDefault="00DD6E45" w:rsidP="00DD6E45">
            <w:pPr>
              <w:spacing w:before="40" w:after="40"/>
              <w:rPr>
                <w:rFonts w:cs="Segoe UI"/>
                <w:sz w:val="17"/>
                <w:szCs w:val="17"/>
              </w:rPr>
            </w:pPr>
          </w:p>
        </w:tc>
        <w:tc>
          <w:tcPr>
            <w:tcW w:w="792" w:type="dxa"/>
            <w:tcBorders>
              <w:top w:val="single" w:sz="4" w:space="0" w:color="auto"/>
              <w:left w:val="single" w:sz="4" w:space="0" w:color="auto"/>
              <w:bottom w:val="single" w:sz="4" w:space="0" w:color="auto"/>
              <w:right w:val="single" w:sz="4" w:space="0" w:color="auto"/>
            </w:tcBorders>
            <w:noWrap/>
            <w:vAlign w:val="center"/>
            <w:hideMark/>
          </w:tcPr>
          <w:p w14:paraId="412FCC43" w14:textId="77777777" w:rsidR="00DD6E45" w:rsidRPr="00DD6E45" w:rsidRDefault="00DD6E45" w:rsidP="003A79BA">
            <w:pPr>
              <w:spacing w:before="40" w:after="40"/>
              <w:jc w:val="center"/>
              <w:rPr>
                <w:rFonts w:cs="Segoe UI"/>
                <w:sz w:val="17"/>
                <w:szCs w:val="17"/>
              </w:rPr>
            </w:pPr>
            <w:r w:rsidRPr="00DD6E45">
              <w:rPr>
                <w:rFonts w:cs="Segoe UI"/>
                <w:sz w:val="17"/>
                <w:szCs w:val="17"/>
              </w:rPr>
              <w:t>20%</w:t>
            </w:r>
          </w:p>
        </w:tc>
        <w:tc>
          <w:tcPr>
            <w:tcW w:w="792" w:type="dxa"/>
            <w:tcBorders>
              <w:top w:val="single" w:sz="4" w:space="0" w:color="auto"/>
              <w:left w:val="single" w:sz="4" w:space="0" w:color="auto"/>
              <w:bottom w:val="single" w:sz="4" w:space="0" w:color="auto"/>
              <w:right w:val="single" w:sz="4" w:space="0" w:color="auto"/>
            </w:tcBorders>
            <w:noWrap/>
            <w:vAlign w:val="center"/>
            <w:hideMark/>
          </w:tcPr>
          <w:p w14:paraId="61BBEB59" w14:textId="77777777" w:rsidR="00DD6E45" w:rsidRPr="00DD6E45" w:rsidRDefault="00DD6E45" w:rsidP="003A79BA">
            <w:pPr>
              <w:spacing w:before="40" w:after="40"/>
              <w:jc w:val="center"/>
              <w:rPr>
                <w:rFonts w:cs="Segoe UI"/>
                <w:sz w:val="17"/>
                <w:szCs w:val="17"/>
              </w:rPr>
            </w:pPr>
            <w:r w:rsidRPr="00DD6E45">
              <w:rPr>
                <w:rFonts w:cs="Segoe UI"/>
                <w:sz w:val="17"/>
                <w:szCs w:val="17"/>
              </w:rPr>
              <w:t>50%</w:t>
            </w:r>
          </w:p>
        </w:tc>
        <w:tc>
          <w:tcPr>
            <w:tcW w:w="792" w:type="dxa"/>
            <w:tcBorders>
              <w:top w:val="single" w:sz="4" w:space="0" w:color="auto"/>
              <w:left w:val="single" w:sz="4" w:space="0" w:color="auto"/>
              <w:bottom w:val="single" w:sz="4" w:space="0" w:color="auto"/>
              <w:right w:val="single" w:sz="4" w:space="0" w:color="auto"/>
            </w:tcBorders>
            <w:vAlign w:val="center"/>
            <w:hideMark/>
          </w:tcPr>
          <w:p w14:paraId="01409A57" w14:textId="77777777" w:rsidR="00DD6E45" w:rsidRPr="00DD6E45" w:rsidRDefault="00DD6E45" w:rsidP="003A79BA">
            <w:pPr>
              <w:spacing w:before="40" w:after="40"/>
              <w:jc w:val="center"/>
              <w:rPr>
                <w:rFonts w:cs="Segoe UI"/>
                <w:sz w:val="17"/>
                <w:szCs w:val="17"/>
              </w:rPr>
            </w:pPr>
            <w:r w:rsidRPr="00DD6E45">
              <w:rPr>
                <w:rFonts w:cs="Segoe UI"/>
                <w:sz w:val="17"/>
                <w:szCs w:val="17"/>
              </w:rPr>
              <w:t>75%</w:t>
            </w:r>
          </w:p>
        </w:tc>
        <w:tc>
          <w:tcPr>
            <w:tcW w:w="792" w:type="dxa"/>
            <w:tcBorders>
              <w:top w:val="single" w:sz="4" w:space="0" w:color="auto"/>
              <w:left w:val="single" w:sz="4" w:space="0" w:color="auto"/>
              <w:bottom w:val="single" w:sz="4" w:space="0" w:color="auto"/>
              <w:right w:val="single" w:sz="4" w:space="0" w:color="auto"/>
            </w:tcBorders>
            <w:vAlign w:val="center"/>
          </w:tcPr>
          <w:p w14:paraId="266DA963" w14:textId="77777777" w:rsidR="00DD6E45" w:rsidRPr="00DD6E45" w:rsidRDefault="00DD6E45" w:rsidP="003A79BA">
            <w:pPr>
              <w:spacing w:before="40" w:after="40"/>
              <w:jc w:val="center"/>
              <w:rPr>
                <w:rFonts w:cs="Segoe UI"/>
                <w:sz w:val="17"/>
                <w:szCs w:val="17"/>
              </w:rPr>
            </w:pPr>
            <w:r w:rsidRPr="00DD6E45">
              <w:rPr>
                <w:rFonts w:cs="Segoe UI"/>
                <w:sz w:val="17"/>
                <w:szCs w:val="17"/>
              </w:rPr>
              <w:t>80%</w:t>
            </w:r>
          </w:p>
        </w:tc>
        <w:tc>
          <w:tcPr>
            <w:tcW w:w="792" w:type="dxa"/>
            <w:tcBorders>
              <w:top w:val="single" w:sz="4" w:space="0" w:color="auto"/>
              <w:left w:val="single" w:sz="4" w:space="0" w:color="auto"/>
              <w:bottom w:val="single" w:sz="4" w:space="0" w:color="auto"/>
              <w:right w:val="single" w:sz="4" w:space="0" w:color="auto"/>
            </w:tcBorders>
            <w:vAlign w:val="center"/>
            <w:hideMark/>
          </w:tcPr>
          <w:p w14:paraId="58081421" w14:textId="77777777" w:rsidR="00DD6E45" w:rsidRPr="00DD6E45" w:rsidRDefault="00DD6E45" w:rsidP="003A79BA">
            <w:pPr>
              <w:spacing w:before="40" w:after="40"/>
              <w:jc w:val="center"/>
              <w:rPr>
                <w:rFonts w:cs="Segoe UI"/>
                <w:sz w:val="17"/>
                <w:szCs w:val="17"/>
              </w:rPr>
            </w:pPr>
            <w:r w:rsidRPr="00DD6E45">
              <w:rPr>
                <w:rFonts w:cs="Segoe UI"/>
                <w:sz w:val="17"/>
                <w:szCs w:val="17"/>
              </w:rPr>
              <w:t>100%</w:t>
            </w:r>
          </w:p>
        </w:tc>
        <w:tc>
          <w:tcPr>
            <w:tcW w:w="792" w:type="dxa"/>
            <w:tcBorders>
              <w:top w:val="single" w:sz="4" w:space="0" w:color="auto"/>
              <w:left w:val="single" w:sz="4" w:space="0" w:color="auto"/>
              <w:bottom w:val="single" w:sz="4" w:space="0" w:color="auto"/>
              <w:right w:val="single" w:sz="4" w:space="0" w:color="auto"/>
            </w:tcBorders>
            <w:noWrap/>
            <w:vAlign w:val="center"/>
            <w:hideMark/>
          </w:tcPr>
          <w:p w14:paraId="48F9212C" w14:textId="77777777" w:rsidR="00DD6E45" w:rsidRPr="00DD6E45" w:rsidRDefault="00DD6E45" w:rsidP="003A79BA">
            <w:pPr>
              <w:spacing w:before="40" w:after="40"/>
              <w:jc w:val="center"/>
              <w:rPr>
                <w:rFonts w:cs="Segoe UI"/>
                <w:sz w:val="17"/>
                <w:szCs w:val="17"/>
              </w:rPr>
            </w:pPr>
            <w:r w:rsidRPr="00DD6E45">
              <w:rPr>
                <w:rFonts w:cs="Segoe UI"/>
                <w:sz w:val="17"/>
                <w:szCs w:val="17"/>
              </w:rPr>
              <w:t>130%</w:t>
            </w:r>
          </w:p>
        </w:tc>
        <w:tc>
          <w:tcPr>
            <w:tcW w:w="792" w:type="dxa"/>
            <w:tcBorders>
              <w:top w:val="single" w:sz="4" w:space="0" w:color="auto"/>
              <w:left w:val="single" w:sz="4" w:space="0" w:color="auto"/>
              <w:bottom w:val="single" w:sz="4" w:space="0" w:color="auto"/>
              <w:right w:val="single" w:sz="4" w:space="0" w:color="auto"/>
            </w:tcBorders>
            <w:noWrap/>
            <w:vAlign w:val="center"/>
            <w:hideMark/>
          </w:tcPr>
          <w:p w14:paraId="187A7BCA" w14:textId="77777777" w:rsidR="00DD6E45" w:rsidRPr="00DD6E45" w:rsidRDefault="00DD6E45" w:rsidP="003A79BA">
            <w:pPr>
              <w:spacing w:before="40" w:after="40"/>
              <w:jc w:val="center"/>
              <w:rPr>
                <w:rFonts w:cs="Segoe UI"/>
                <w:sz w:val="17"/>
                <w:szCs w:val="17"/>
              </w:rPr>
            </w:pPr>
            <w:r w:rsidRPr="00DD6E45">
              <w:rPr>
                <w:rFonts w:cs="Segoe UI"/>
                <w:sz w:val="17"/>
                <w:szCs w:val="17"/>
              </w:rPr>
              <w:t>150%</w:t>
            </w:r>
          </w:p>
        </w:tc>
        <w:tc>
          <w:tcPr>
            <w:tcW w:w="792" w:type="dxa"/>
            <w:tcBorders>
              <w:top w:val="single" w:sz="4" w:space="0" w:color="auto"/>
              <w:left w:val="single" w:sz="4" w:space="0" w:color="auto"/>
              <w:bottom w:val="single" w:sz="4" w:space="0" w:color="auto"/>
              <w:right w:val="single" w:sz="4" w:space="0" w:color="auto"/>
            </w:tcBorders>
            <w:noWrap/>
            <w:vAlign w:val="center"/>
            <w:hideMark/>
          </w:tcPr>
          <w:p w14:paraId="2DEBAFF4" w14:textId="77777777" w:rsidR="00DD6E45" w:rsidRPr="00DD6E45" w:rsidRDefault="00DD6E45" w:rsidP="003A79BA">
            <w:pPr>
              <w:spacing w:before="40" w:after="40"/>
              <w:jc w:val="center"/>
              <w:rPr>
                <w:rFonts w:cs="Segoe UI"/>
                <w:sz w:val="17"/>
                <w:szCs w:val="17"/>
              </w:rPr>
            </w:pPr>
            <w:r w:rsidRPr="00DD6E45">
              <w:rPr>
                <w:rFonts w:cs="Segoe UI"/>
                <w:sz w:val="17"/>
                <w:szCs w:val="17"/>
              </w:rPr>
              <w:t>Other</w:t>
            </w:r>
          </w:p>
        </w:tc>
        <w:tc>
          <w:tcPr>
            <w:tcW w:w="3118" w:type="dxa"/>
            <w:tcBorders>
              <w:top w:val="single" w:sz="4" w:space="0" w:color="auto"/>
              <w:left w:val="single" w:sz="4" w:space="0" w:color="auto"/>
              <w:bottom w:val="single" w:sz="4" w:space="0" w:color="auto"/>
              <w:right w:val="single" w:sz="4" w:space="0" w:color="auto"/>
            </w:tcBorders>
            <w:noWrap/>
            <w:vAlign w:val="center"/>
            <w:hideMark/>
          </w:tcPr>
          <w:p w14:paraId="45C9E6A0" w14:textId="77777777" w:rsidR="00DD6E45" w:rsidRPr="00DD6E45" w:rsidRDefault="00DD6E45" w:rsidP="00DD6E45">
            <w:pPr>
              <w:spacing w:before="40" w:after="40"/>
              <w:rPr>
                <w:rFonts w:cs="Segoe UI"/>
                <w:sz w:val="17"/>
                <w:szCs w:val="17"/>
              </w:rPr>
            </w:pPr>
            <w:r w:rsidRPr="00DD6E45">
              <w:rPr>
                <w:rFonts w:cs="Segoe UI"/>
                <w:sz w:val="17"/>
                <w:szCs w:val="17"/>
              </w:rPr>
              <w:t>Total credit exposure amount (post-CCF and post-CRM)</w:t>
            </w:r>
          </w:p>
        </w:tc>
      </w:tr>
      <w:tr w:rsidR="00DD6E45" w:rsidRPr="00DD6E45" w14:paraId="3808A5C9" w14:textId="77777777" w:rsidTr="00321677">
        <w:trPr>
          <w:trHeight w:val="283"/>
        </w:trPr>
        <w:tc>
          <w:tcPr>
            <w:tcW w:w="459" w:type="dxa"/>
            <w:tcBorders>
              <w:top w:val="nil"/>
              <w:left w:val="nil"/>
              <w:bottom w:val="single" w:sz="4" w:space="0" w:color="auto"/>
              <w:right w:val="single" w:sz="4" w:space="0" w:color="auto"/>
            </w:tcBorders>
            <w:hideMark/>
          </w:tcPr>
          <w:p w14:paraId="657138CB" w14:textId="77777777" w:rsidR="00DD6E45" w:rsidRPr="00DD6E45" w:rsidRDefault="00DD6E45" w:rsidP="00DD6E45">
            <w:pPr>
              <w:spacing w:before="40" w:after="40"/>
              <w:rPr>
                <w:rFonts w:cs="Segoe UI"/>
                <w:sz w:val="17"/>
                <w:szCs w:val="17"/>
              </w:rPr>
            </w:pPr>
            <w:r w:rsidRPr="00DD6E45">
              <w:rPr>
                <w:rFonts w:cs="Segoe UI"/>
                <w:sz w:val="17"/>
                <w:szCs w:val="17"/>
              </w:rPr>
              <w:t>6b</w:t>
            </w:r>
          </w:p>
        </w:tc>
        <w:tc>
          <w:tcPr>
            <w:tcW w:w="4253" w:type="dxa"/>
            <w:tcBorders>
              <w:top w:val="single" w:sz="4" w:space="0" w:color="auto"/>
              <w:left w:val="single" w:sz="4" w:space="0" w:color="auto"/>
              <w:bottom w:val="single" w:sz="4" w:space="0" w:color="auto"/>
              <w:right w:val="single" w:sz="4" w:space="0" w:color="auto"/>
            </w:tcBorders>
            <w:noWrap/>
            <w:hideMark/>
          </w:tcPr>
          <w:p w14:paraId="439CB929" w14:textId="77777777" w:rsidR="00DD6E45" w:rsidRPr="00DD6E45" w:rsidRDefault="00DD6E45" w:rsidP="00DD6E45">
            <w:pPr>
              <w:spacing w:before="40" w:after="40"/>
              <w:rPr>
                <w:rFonts w:cs="Segoe UI"/>
                <w:sz w:val="17"/>
                <w:szCs w:val="17"/>
              </w:rPr>
            </w:pPr>
            <w:r w:rsidRPr="00DD6E45">
              <w:rPr>
                <w:rFonts w:cs="Segoe UI"/>
                <w:sz w:val="17"/>
                <w:szCs w:val="17"/>
              </w:rPr>
              <w:t>Specialized lending</w:t>
            </w:r>
          </w:p>
        </w:tc>
        <w:tc>
          <w:tcPr>
            <w:tcW w:w="792" w:type="dxa"/>
            <w:tcBorders>
              <w:top w:val="single" w:sz="4" w:space="0" w:color="auto"/>
              <w:left w:val="single" w:sz="4" w:space="0" w:color="auto"/>
              <w:bottom w:val="single" w:sz="4" w:space="0" w:color="auto"/>
              <w:right w:val="single" w:sz="4" w:space="0" w:color="auto"/>
            </w:tcBorders>
            <w:noWrap/>
          </w:tcPr>
          <w:p w14:paraId="6E782592" w14:textId="77777777" w:rsidR="00DD6E45" w:rsidRPr="00DD6E45" w:rsidRDefault="00DD6E45" w:rsidP="00DD6E45">
            <w:pPr>
              <w:spacing w:before="40" w:after="40"/>
              <w:rPr>
                <w:rFonts w:cs="Segoe UI"/>
                <w:sz w:val="17"/>
                <w:szCs w:val="17"/>
              </w:rPr>
            </w:pPr>
          </w:p>
        </w:tc>
        <w:tc>
          <w:tcPr>
            <w:tcW w:w="792" w:type="dxa"/>
            <w:tcBorders>
              <w:top w:val="single" w:sz="4" w:space="0" w:color="auto"/>
              <w:left w:val="single" w:sz="4" w:space="0" w:color="auto"/>
              <w:bottom w:val="single" w:sz="4" w:space="0" w:color="auto"/>
              <w:right w:val="single" w:sz="4" w:space="0" w:color="auto"/>
            </w:tcBorders>
            <w:noWrap/>
          </w:tcPr>
          <w:p w14:paraId="12463D6A" w14:textId="77777777" w:rsidR="00DD6E45" w:rsidRPr="00DD6E45" w:rsidRDefault="00DD6E45" w:rsidP="00DD6E45">
            <w:pPr>
              <w:spacing w:before="40" w:after="40"/>
              <w:rPr>
                <w:rFonts w:cs="Segoe UI"/>
                <w:sz w:val="17"/>
                <w:szCs w:val="17"/>
              </w:rPr>
            </w:pPr>
          </w:p>
        </w:tc>
        <w:tc>
          <w:tcPr>
            <w:tcW w:w="792" w:type="dxa"/>
            <w:tcBorders>
              <w:top w:val="single" w:sz="4" w:space="0" w:color="auto"/>
              <w:left w:val="single" w:sz="4" w:space="0" w:color="auto"/>
              <w:bottom w:val="single" w:sz="4" w:space="0" w:color="auto"/>
              <w:right w:val="single" w:sz="4" w:space="0" w:color="auto"/>
            </w:tcBorders>
            <w:shd w:val="clear" w:color="auto" w:fill="auto"/>
          </w:tcPr>
          <w:p w14:paraId="2BAECA39" w14:textId="77777777" w:rsidR="00DD6E45" w:rsidRPr="00DD6E45" w:rsidRDefault="00DD6E45" w:rsidP="00DD6E45">
            <w:pPr>
              <w:spacing w:before="40" w:after="40"/>
              <w:rPr>
                <w:rFonts w:cs="Segoe UI"/>
                <w:sz w:val="17"/>
                <w:szCs w:val="17"/>
              </w:rPr>
            </w:pPr>
          </w:p>
        </w:tc>
        <w:tc>
          <w:tcPr>
            <w:tcW w:w="792" w:type="dxa"/>
            <w:tcBorders>
              <w:top w:val="single" w:sz="4" w:space="0" w:color="auto"/>
              <w:left w:val="single" w:sz="4" w:space="0" w:color="auto"/>
              <w:bottom w:val="single" w:sz="4" w:space="0" w:color="auto"/>
              <w:right w:val="single" w:sz="4" w:space="0" w:color="auto"/>
            </w:tcBorders>
            <w:shd w:val="clear" w:color="auto" w:fill="auto"/>
          </w:tcPr>
          <w:p w14:paraId="6B90C7D1" w14:textId="77777777" w:rsidR="00DD6E45" w:rsidRPr="00DD6E45" w:rsidRDefault="00DD6E45" w:rsidP="00DD6E45">
            <w:pPr>
              <w:spacing w:before="40" w:after="40"/>
              <w:rPr>
                <w:rFonts w:cs="Segoe UI"/>
                <w:sz w:val="17"/>
                <w:szCs w:val="17"/>
              </w:rPr>
            </w:pPr>
          </w:p>
        </w:tc>
        <w:tc>
          <w:tcPr>
            <w:tcW w:w="792" w:type="dxa"/>
            <w:tcBorders>
              <w:top w:val="single" w:sz="4" w:space="0" w:color="auto"/>
              <w:left w:val="single" w:sz="4" w:space="0" w:color="auto"/>
              <w:bottom w:val="single" w:sz="4" w:space="0" w:color="auto"/>
              <w:right w:val="single" w:sz="4" w:space="0" w:color="auto"/>
            </w:tcBorders>
            <w:shd w:val="clear" w:color="auto" w:fill="auto"/>
          </w:tcPr>
          <w:p w14:paraId="2C4E9856" w14:textId="77777777" w:rsidR="00DD6E45" w:rsidRPr="00DD6E45" w:rsidRDefault="00DD6E45" w:rsidP="00DD6E45">
            <w:pPr>
              <w:spacing w:before="40" w:after="40"/>
              <w:rPr>
                <w:rFonts w:cs="Segoe UI"/>
                <w:sz w:val="17"/>
                <w:szCs w:val="17"/>
              </w:rPr>
            </w:pPr>
          </w:p>
        </w:tc>
        <w:tc>
          <w:tcPr>
            <w:tcW w:w="792" w:type="dxa"/>
            <w:tcBorders>
              <w:top w:val="single" w:sz="4" w:space="0" w:color="auto"/>
              <w:left w:val="single" w:sz="4" w:space="0" w:color="auto"/>
              <w:bottom w:val="single" w:sz="4" w:space="0" w:color="auto"/>
              <w:right w:val="single" w:sz="4" w:space="0" w:color="auto"/>
            </w:tcBorders>
            <w:shd w:val="clear" w:color="auto" w:fill="auto"/>
            <w:noWrap/>
          </w:tcPr>
          <w:p w14:paraId="5E36D503" w14:textId="77777777" w:rsidR="00DD6E45" w:rsidRPr="00DD6E45" w:rsidRDefault="00DD6E45" w:rsidP="00DD6E45">
            <w:pPr>
              <w:spacing w:before="40" w:after="40"/>
              <w:rPr>
                <w:rFonts w:cs="Segoe UI"/>
                <w:sz w:val="17"/>
                <w:szCs w:val="17"/>
              </w:rPr>
            </w:pPr>
          </w:p>
        </w:tc>
        <w:tc>
          <w:tcPr>
            <w:tcW w:w="792" w:type="dxa"/>
            <w:tcBorders>
              <w:top w:val="single" w:sz="4" w:space="0" w:color="auto"/>
              <w:left w:val="single" w:sz="4" w:space="0" w:color="auto"/>
              <w:bottom w:val="single" w:sz="4" w:space="0" w:color="auto"/>
              <w:right w:val="single" w:sz="4" w:space="0" w:color="auto"/>
            </w:tcBorders>
            <w:shd w:val="clear" w:color="auto" w:fill="auto"/>
            <w:noWrap/>
          </w:tcPr>
          <w:p w14:paraId="7896AFA6" w14:textId="77777777" w:rsidR="00DD6E45" w:rsidRPr="00DD6E45" w:rsidRDefault="00DD6E45" w:rsidP="00DD6E45">
            <w:pPr>
              <w:spacing w:before="40" w:after="40"/>
              <w:rPr>
                <w:rFonts w:cs="Segoe UI"/>
                <w:sz w:val="17"/>
                <w:szCs w:val="17"/>
              </w:rPr>
            </w:pPr>
          </w:p>
        </w:tc>
        <w:tc>
          <w:tcPr>
            <w:tcW w:w="792" w:type="dxa"/>
            <w:tcBorders>
              <w:top w:val="single" w:sz="4" w:space="0" w:color="auto"/>
              <w:left w:val="single" w:sz="4" w:space="0" w:color="auto"/>
              <w:bottom w:val="single" w:sz="4" w:space="0" w:color="auto"/>
              <w:right w:val="single" w:sz="4" w:space="0" w:color="auto"/>
            </w:tcBorders>
            <w:shd w:val="clear" w:color="auto" w:fill="auto"/>
            <w:noWrap/>
          </w:tcPr>
          <w:p w14:paraId="47DD7228" w14:textId="77777777" w:rsidR="00DD6E45" w:rsidRPr="00DD6E45" w:rsidRDefault="00DD6E45" w:rsidP="00DD6E45">
            <w:pPr>
              <w:spacing w:before="40" w:after="40"/>
              <w:rPr>
                <w:rFonts w:cs="Segoe UI"/>
                <w:sz w:val="17"/>
                <w:szCs w:val="17"/>
              </w:rPr>
            </w:pPr>
          </w:p>
        </w:tc>
        <w:tc>
          <w:tcPr>
            <w:tcW w:w="3118" w:type="dxa"/>
            <w:tcBorders>
              <w:top w:val="single" w:sz="4" w:space="0" w:color="auto"/>
              <w:left w:val="single" w:sz="4" w:space="0" w:color="auto"/>
              <w:bottom w:val="single" w:sz="4" w:space="0" w:color="auto"/>
              <w:right w:val="single" w:sz="4" w:space="0" w:color="auto"/>
            </w:tcBorders>
            <w:noWrap/>
          </w:tcPr>
          <w:p w14:paraId="1571564E" w14:textId="77777777" w:rsidR="00DD6E45" w:rsidRPr="00DD6E45" w:rsidRDefault="00DD6E45" w:rsidP="00DD6E45">
            <w:pPr>
              <w:spacing w:before="40" w:after="40"/>
              <w:rPr>
                <w:rFonts w:cs="Segoe UI"/>
                <w:sz w:val="17"/>
                <w:szCs w:val="17"/>
              </w:rPr>
            </w:pPr>
          </w:p>
        </w:tc>
      </w:tr>
    </w:tbl>
    <w:p w14:paraId="1F5D7522" w14:textId="77777777" w:rsidR="0057575C" w:rsidRPr="00DD6E45" w:rsidRDefault="0057575C" w:rsidP="00DD6E45">
      <w:pPr>
        <w:spacing w:before="40" w:after="40"/>
        <w:rPr>
          <w:rFonts w:cs="Segoe UI"/>
          <w:sz w:val="17"/>
          <w:szCs w:val="17"/>
        </w:rPr>
      </w:pPr>
    </w:p>
    <w:tbl>
      <w:tblPr>
        <w:tblW w:w="14160"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9"/>
        <w:gridCol w:w="4292"/>
        <w:gridCol w:w="1574"/>
        <w:gridCol w:w="1574"/>
        <w:gridCol w:w="1574"/>
        <w:gridCol w:w="1575"/>
        <w:gridCol w:w="3112"/>
      </w:tblGrid>
      <w:tr w:rsidR="00DD6E45" w:rsidRPr="00DD6E45" w14:paraId="36DD0C4E" w14:textId="77777777" w:rsidTr="003A79BA">
        <w:trPr>
          <w:trHeight w:val="283"/>
        </w:trPr>
        <w:tc>
          <w:tcPr>
            <w:tcW w:w="459" w:type="dxa"/>
            <w:tcBorders>
              <w:top w:val="single" w:sz="4" w:space="0" w:color="auto"/>
              <w:left w:val="nil"/>
              <w:bottom w:val="nil"/>
              <w:right w:val="single" w:sz="4" w:space="0" w:color="auto"/>
            </w:tcBorders>
          </w:tcPr>
          <w:p w14:paraId="52D61564" w14:textId="77777777" w:rsidR="00DD6E45" w:rsidRPr="00DD6E45" w:rsidRDefault="00DD6E45" w:rsidP="00DD6E45">
            <w:pPr>
              <w:spacing w:before="40" w:after="40"/>
              <w:rPr>
                <w:rFonts w:cs="Segoe UI"/>
                <w:sz w:val="17"/>
                <w:szCs w:val="17"/>
              </w:rPr>
            </w:pPr>
          </w:p>
        </w:tc>
        <w:tc>
          <w:tcPr>
            <w:tcW w:w="4292" w:type="dxa"/>
            <w:tcBorders>
              <w:top w:val="single" w:sz="4" w:space="0" w:color="auto"/>
              <w:left w:val="single" w:sz="4" w:space="0" w:color="auto"/>
              <w:bottom w:val="single" w:sz="4" w:space="0" w:color="auto"/>
              <w:right w:val="single" w:sz="4" w:space="0" w:color="auto"/>
            </w:tcBorders>
            <w:noWrap/>
          </w:tcPr>
          <w:p w14:paraId="79FF7F68" w14:textId="77777777" w:rsidR="00DD6E45" w:rsidRPr="00DD6E45" w:rsidRDefault="00DD6E45" w:rsidP="00DD6E45">
            <w:pPr>
              <w:spacing w:before="40" w:after="40"/>
              <w:rPr>
                <w:rFonts w:cs="Segoe UI"/>
                <w:sz w:val="17"/>
                <w:szCs w:val="17"/>
              </w:rPr>
            </w:pPr>
          </w:p>
        </w:tc>
        <w:tc>
          <w:tcPr>
            <w:tcW w:w="1574" w:type="dxa"/>
            <w:tcBorders>
              <w:top w:val="single" w:sz="4" w:space="0" w:color="auto"/>
              <w:left w:val="single" w:sz="4" w:space="0" w:color="auto"/>
              <w:bottom w:val="single" w:sz="4" w:space="0" w:color="auto"/>
              <w:right w:val="single" w:sz="4" w:space="0" w:color="auto"/>
            </w:tcBorders>
            <w:noWrap/>
            <w:vAlign w:val="center"/>
          </w:tcPr>
          <w:p w14:paraId="59C7B011" w14:textId="77777777" w:rsidR="00DD6E45" w:rsidRPr="00DD6E45" w:rsidRDefault="00DD6E45" w:rsidP="003A79BA">
            <w:pPr>
              <w:spacing w:before="40" w:after="40"/>
              <w:jc w:val="center"/>
              <w:rPr>
                <w:rFonts w:cs="Segoe UI"/>
                <w:sz w:val="17"/>
                <w:szCs w:val="17"/>
              </w:rPr>
            </w:pPr>
            <w:r w:rsidRPr="00DD6E45">
              <w:rPr>
                <w:rFonts w:cs="Segoe UI"/>
                <w:sz w:val="17"/>
                <w:szCs w:val="17"/>
              </w:rPr>
              <w:t>100%</w:t>
            </w:r>
          </w:p>
        </w:tc>
        <w:tc>
          <w:tcPr>
            <w:tcW w:w="1574" w:type="dxa"/>
            <w:tcBorders>
              <w:top w:val="single" w:sz="4" w:space="0" w:color="auto"/>
              <w:left w:val="single" w:sz="4" w:space="0" w:color="auto"/>
              <w:bottom w:val="single" w:sz="4" w:space="0" w:color="auto"/>
              <w:right w:val="single" w:sz="4" w:space="0" w:color="auto"/>
            </w:tcBorders>
            <w:vAlign w:val="center"/>
          </w:tcPr>
          <w:p w14:paraId="5CBA5C9B" w14:textId="77777777" w:rsidR="00DD6E45" w:rsidRPr="00DD6E45" w:rsidRDefault="00DD6E45" w:rsidP="003A79BA">
            <w:pPr>
              <w:spacing w:before="40" w:after="40"/>
              <w:jc w:val="center"/>
              <w:rPr>
                <w:rFonts w:cs="Segoe UI"/>
                <w:sz w:val="17"/>
                <w:szCs w:val="17"/>
              </w:rPr>
            </w:pPr>
            <w:r w:rsidRPr="00DD6E45">
              <w:rPr>
                <w:rFonts w:cs="Segoe UI"/>
                <w:sz w:val="17"/>
                <w:szCs w:val="17"/>
              </w:rPr>
              <w:t>250%</w:t>
            </w:r>
          </w:p>
        </w:tc>
        <w:tc>
          <w:tcPr>
            <w:tcW w:w="1574" w:type="dxa"/>
            <w:tcBorders>
              <w:top w:val="single" w:sz="4" w:space="0" w:color="auto"/>
              <w:left w:val="single" w:sz="4" w:space="0" w:color="auto"/>
              <w:bottom w:val="single" w:sz="4" w:space="0" w:color="auto"/>
              <w:right w:val="single" w:sz="4" w:space="0" w:color="auto"/>
            </w:tcBorders>
            <w:noWrap/>
            <w:vAlign w:val="center"/>
            <w:hideMark/>
          </w:tcPr>
          <w:p w14:paraId="747F9DBE" w14:textId="77777777" w:rsidR="00DD6E45" w:rsidRPr="00DD6E45" w:rsidRDefault="00DD6E45" w:rsidP="003A79BA">
            <w:pPr>
              <w:spacing w:before="40" w:after="40"/>
              <w:jc w:val="center"/>
              <w:rPr>
                <w:rFonts w:cs="Segoe UI"/>
                <w:sz w:val="17"/>
                <w:szCs w:val="17"/>
              </w:rPr>
            </w:pPr>
            <w:r w:rsidRPr="00DD6E45">
              <w:rPr>
                <w:rFonts w:cs="Segoe UI"/>
                <w:sz w:val="17"/>
                <w:szCs w:val="17"/>
              </w:rPr>
              <w:t>400%</w:t>
            </w:r>
          </w:p>
        </w:tc>
        <w:tc>
          <w:tcPr>
            <w:tcW w:w="1575" w:type="dxa"/>
            <w:tcBorders>
              <w:top w:val="single" w:sz="4" w:space="0" w:color="auto"/>
              <w:left w:val="single" w:sz="4" w:space="0" w:color="auto"/>
              <w:bottom w:val="single" w:sz="4" w:space="0" w:color="auto"/>
              <w:right w:val="single" w:sz="4" w:space="0" w:color="auto"/>
            </w:tcBorders>
            <w:noWrap/>
            <w:vAlign w:val="center"/>
            <w:hideMark/>
          </w:tcPr>
          <w:p w14:paraId="5ED37064" w14:textId="77777777" w:rsidR="00DD6E45" w:rsidRPr="00DD6E45" w:rsidRDefault="00DD6E45" w:rsidP="003A79BA">
            <w:pPr>
              <w:spacing w:before="40" w:after="40"/>
              <w:jc w:val="center"/>
              <w:rPr>
                <w:rFonts w:cs="Segoe UI"/>
                <w:sz w:val="17"/>
                <w:szCs w:val="17"/>
              </w:rPr>
            </w:pPr>
            <w:r w:rsidRPr="00DD6E45">
              <w:rPr>
                <w:rFonts w:cs="Segoe UI"/>
                <w:sz w:val="17"/>
                <w:szCs w:val="17"/>
              </w:rPr>
              <w:t>Other</w:t>
            </w:r>
          </w:p>
        </w:tc>
        <w:tc>
          <w:tcPr>
            <w:tcW w:w="3112" w:type="dxa"/>
            <w:tcBorders>
              <w:top w:val="single" w:sz="4" w:space="0" w:color="auto"/>
              <w:left w:val="single" w:sz="4" w:space="0" w:color="auto"/>
              <w:bottom w:val="single" w:sz="4" w:space="0" w:color="auto"/>
              <w:right w:val="single" w:sz="4" w:space="0" w:color="auto"/>
            </w:tcBorders>
            <w:noWrap/>
            <w:vAlign w:val="center"/>
            <w:hideMark/>
          </w:tcPr>
          <w:p w14:paraId="708B9B98" w14:textId="77777777" w:rsidR="00DD6E45" w:rsidRPr="00DD6E45" w:rsidRDefault="00DD6E45" w:rsidP="00DD6E45">
            <w:pPr>
              <w:spacing w:before="40" w:after="40"/>
              <w:rPr>
                <w:rFonts w:cs="Segoe UI"/>
                <w:sz w:val="17"/>
                <w:szCs w:val="17"/>
              </w:rPr>
            </w:pPr>
            <w:r w:rsidRPr="00DD6E45">
              <w:rPr>
                <w:rFonts w:cs="Segoe UI"/>
                <w:sz w:val="17"/>
                <w:szCs w:val="17"/>
              </w:rPr>
              <w:t>Total credit exposure amount (post-CCF and post-CRM)</w:t>
            </w:r>
          </w:p>
        </w:tc>
      </w:tr>
      <w:tr w:rsidR="00DD6E45" w:rsidRPr="00DD6E45" w14:paraId="00958F76" w14:textId="77777777" w:rsidTr="00321677">
        <w:trPr>
          <w:trHeight w:val="283"/>
        </w:trPr>
        <w:tc>
          <w:tcPr>
            <w:tcW w:w="459" w:type="dxa"/>
            <w:tcBorders>
              <w:top w:val="nil"/>
              <w:left w:val="nil"/>
              <w:bottom w:val="single" w:sz="4" w:space="0" w:color="auto"/>
              <w:right w:val="single" w:sz="4" w:space="0" w:color="auto"/>
            </w:tcBorders>
            <w:hideMark/>
          </w:tcPr>
          <w:p w14:paraId="592DF05D" w14:textId="77777777" w:rsidR="00DD6E45" w:rsidRPr="00DD6E45" w:rsidRDefault="00DD6E45" w:rsidP="00DD6E45">
            <w:pPr>
              <w:spacing w:before="40" w:after="40"/>
              <w:rPr>
                <w:rFonts w:cs="Segoe UI"/>
                <w:sz w:val="17"/>
                <w:szCs w:val="17"/>
              </w:rPr>
            </w:pPr>
            <w:r w:rsidRPr="00DD6E45">
              <w:rPr>
                <w:rFonts w:cs="Segoe UI"/>
                <w:sz w:val="17"/>
                <w:szCs w:val="17"/>
              </w:rPr>
              <w:t>7</w:t>
            </w:r>
          </w:p>
        </w:tc>
        <w:tc>
          <w:tcPr>
            <w:tcW w:w="4292" w:type="dxa"/>
            <w:tcBorders>
              <w:top w:val="single" w:sz="4" w:space="0" w:color="auto"/>
              <w:left w:val="single" w:sz="4" w:space="0" w:color="auto"/>
              <w:bottom w:val="single" w:sz="4" w:space="0" w:color="auto"/>
              <w:right w:val="single" w:sz="4" w:space="0" w:color="auto"/>
            </w:tcBorders>
            <w:noWrap/>
            <w:hideMark/>
          </w:tcPr>
          <w:p w14:paraId="526B0C6E" w14:textId="77777777" w:rsidR="00DD6E45" w:rsidRPr="00DD6E45" w:rsidRDefault="00DD6E45" w:rsidP="00DD6E45">
            <w:pPr>
              <w:spacing w:before="40" w:after="40"/>
              <w:rPr>
                <w:rFonts w:cs="Segoe UI"/>
                <w:sz w:val="17"/>
                <w:szCs w:val="17"/>
              </w:rPr>
            </w:pPr>
            <w:r w:rsidRPr="00DD6E45">
              <w:rPr>
                <w:rFonts w:cs="Segoe UI"/>
                <w:sz w:val="17"/>
                <w:szCs w:val="17"/>
              </w:rPr>
              <w:t>Equity exposures</w:t>
            </w:r>
          </w:p>
        </w:tc>
        <w:tc>
          <w:tcPr>
            <w:tcW w:w="1574" w:type="dxa"/>
            <w:tcBorders>
              <w:top w:val="single" w:sz="4" w:space="0" w:color="auto"/>
              <w:left w:val="single" w:sz="4" w:space="0" w:color="auto"/>
              <w:bottom w:val="single" w:sz="4" w:space="0" w:color="auto"/>
              <w:right w:val="single" w:sz="4" w:space="0" w:color="auto"/>
            </w:tcBorders>
            <w:shd w:val="clear" w:color="auto" w:fill="AEAAAA"/>
            <w:noWrap/>
          </w:tcPr>
          <w:p w14:paraId="6FC8C055" w14:textId="77777777" w:rsidR="00DD6E45" w:rsidRPr="00DD6E45" w:rsidRDefault="00DD6E45" w:rsidP="00DD6E45">
            <w:pPr>
              <w:spacing w:before="40" w:after="40"/>
              <w:rPr>
                <w:rFonts w:cs="Segoe UI"/>
                <w:sz w:val="17"/>
                <w:szCs w:val="17"/>
              </w:rPr>
            </w:pPr>
          </w:p>
        </w:tc>
        <w:tc>
          <w:tcPr>
            <w:tcW w:w="1574" w:type="dxa"/>
            <w:tcBorders>
              <w:top w:val="single" w:sz="4" w:space="0" w:color="auto"/>
              <w:left w:val="single" w:sz="4" w:space="0" w:color="auto"/>
              <w:bottom w:val="single" w:sz="4" w:space="0" w:color="auto"/>
              <w:right w:val="single" w:sz="4" w:space="0" w:color="auto"/>
            </w:tcBorders>
          </w:tcPr>
          <w:p w14:paraId="03877E0F" w14:textId="77777777" w:rsidR="00DD6E45" w:rsidRPr="00DD6E45" w:rsidRDefault="00DD6E45" w:rsidP="00DD6E45">
            <w:pPr>
              <w:spacing w:before="40" w:after="40"/>
              <w:rPr>
                <w:rFonts w:cs="Segoe UI"/>
                <w:sz w:val="17"/>
                <w:szCs w:val="17"/>
              </w:rPr>
            </w:pPr>
          </w:p>
        </w:tc>
        <w:tc>
          <w:tcPr>
            <w:tcW w:w="1574" w:type="dxa"/>
            <w:tcBorders>
              <w:top w:val="single" w:sz="4" w:space="0" w:color="auto"/>
              <w:left w:val="single" w:sz="4" w:space="0" w:color="auto"/>
              <w:bottom w:val="single" w:sz="4" w:space="0" w:color="auto"/>
              <w:right w:val="single" w:sz="4" w:space="0" w:color="auto"/>
            </w:tcBorders>
            <w:noWrap/>
          </w:tcPr>
          <w:p w14:paraId="7FFBBE9E" w14:textId="77777777" w:rsidR="00DD6E45" w:rsidRPr="00DD6E45" w:rsidRDefault="00DD6E45" w:rsidP="00DD6E45">
            <w:pPr>
              <w:spacing w:before="40" w:after="40"/>
              <w:rPr>
                <w:rFonts w:cs="Segoe UI"/>
                <w:sz w:val="17"/>
                <w:szCs w:val="17"/>
              </w:rPr>
            </w:pPr>
          </w:p>
        </w:tc>
        <w:tc>
          <w:tcPr>
            <w:tcW w:w="1575" w:type="dxa"/>
            <w:tcBorders>
              <w:top w:val="single" w:sz="4" w:space="0" w:color="auto"/>
              <w:left w:val="single" w:sz="4" w:space="0" w:color="auto"/>
              <w:bottom w:val="single" w:sz="4" w:space="0" w:color="auto"/>
              <w:right w:val="single" w:sz="4" w:space="0" w:color="auto"/>
            </w:tcBorders>
            <w:noWrap/>
          </w:tcPr>
          <w:p w14:paraId="77CCA3F0" w14:textId="77777777" w:rsidR="00DD6E45" w:rsidRPr="00DD6E45" w:rsidRDefault="00DD6E45" w:rsidP="00DD6E45">
            <w:pPr>
              <w:spacing w:before="40" w:after="40"/>
              <w:rPr>
                <w:rFonts w:cs="Segoe UI"/>
                <w:sz w:val="17"/>
                <w:szCs w:val="17"/>
              </w:rPr>
            </w:pPr>
          </w:p>
        </w:tc>
        <w:tc>
          <w:tcPr>
            <w:tcW w:w="3112" w:type="dxa"/>
            <w:tcBorders>
              <w:top w:val="single" w:sz="4" w:space="0" w:color="auto"/>
              <w:left w:val="single" w:sz="4" w:space="0" w:color="auto"/>
              <w:bottom w:val="single" w:sz="4" w:space="0" w:color="auto"/>
              <w:right w:val="single" w:sz="4" w:space="0" w:color="auto"/>
            </w:tcBorders>
            <w:noWrap/>
          </w:tcPr>
          <w:p w14:paraId="00BA27CD" w14:textId="77777777" w:rsidR="00DD6E45" w:rsidRPr="00DD6E45" w:rsidRDefault="00DD6E45" w:rsidP="00DD6E45">
            <w:pPr>
              <w:spacing w:before="40" w:after="40"/>
              <w:rPr>
                <w:rFonts w:cs="Segoe UI"/>
                <w:sz w:val="17"/>
                <w:szCs w:val="17"/>
              </w:rPr>
            </w:pPr>
          </w:p>
        </w:tc>
      </w:tr>
    </w:tbl>
    <w:p w14:paraId="04AD46E3" w14:textId="77777777" w:rsidR="00DD6E45" w:rsidRPr="0057575C" w:rsidRDefault="00DD6E45" w:rsidP="00DD6E45">
      <w:pPr>
        <w:spacing w:before="40" w:after="40"/>
        <w:rPr>
          <w:rFonts w:cs="Segoe UI"/>
          <w:sz w:val="10"/>
          <w:szCs w:val="10"/>
        </w:rPr>
      </w:pPr>
    </w:p>
    <w:tbl>
      <w:tblPr>
        <w:tblW w:w="14160"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9"/>
        <w:gridCol w:w="4292"/>
        <w:gridCol w:w="1574"/>
        <w:gridCol w:w="1574"/>
        <w:gridCol w:w="1574"/>
        <w:gridCol w:w="1575"/>
        <w:gridCol w:w="3112"/>
      </w:tblGrid>
      <w:tr w:rsidR="00DD6E45" w:rsidRPr="00DD6E45" w14:paraId="2E811AD9" w14:textId="77777777" w:rsidTr="003A79BA">
        <w:trPr>
          <w:trHeight w:val="283"/>
        </w:trPr>
        <w:tc>
          <w:tcPr>
            <w:tcW w:w="459" w:type="dxa"/>
            <w:tcBorders>
              <w:top w:val="single" w:sz="4" w:space="0" w:color="auto"/>
              <w:left w:val="nil"/>
              <w:bottom w:val="nil"/>
              <w:right w:val="single" w:sz="4" w:space="0" w:color="auto"/>
            </w:tcBorders>
          </w:tcPr>
          <w:p w14:paraId="0685271A" w14:textId="77777777" w:rsidR="00DD6E45" w:rsidRPr="00DD6E45" w:rsidRDefault="00DD6E45" w:rsidP="00DD6E45">
            <w:pPr>
              <w:spacing w:before="40" w:after="40"/>
              <w:rPr>
                <w:rFonts w:cs="Segoe UI"/>
                <w:sz w:val="17"/>
                <w:szCs w:val="17"/>
              </w:rPr>
            </w:pPr>
          </w:p>
        </w:tc>
        <w:tc>
          <w:tcPr>
            <w:tcW w:w="4292" w:type="dxa"/>
            <w:tcBorders>
              <w:top w:val="single" w:sz="4" w:space="0" w:color="auto"/>
              <w:left w:val="single" w:sz="4" w:space="0" w:color="auto"/>
              <w:bottom w:val="single" w:sz="4" w:space="0" w:color="auto"/>
              <w:right w:val="single" w:sz="4" w:space="0" w:color="auto"/>
            </w:tcBorders>
            <w:noWrap/>
          </w:tcPr>
          <w:p w14:paraId="3D39D73A" w14:textId="77777777" w:rsidR="00DD6E45" w:rsidRPr="00DD6E45" w:rsidRDefault="00DD6E45" w:rsidP="00DD6E45">
            <w:pPr>
              <w:spacing w:before="40" w:after="40"/>
              <w:rPr>
                <w:rFonts w:cs="Segoe UI"/>
                <w:sz w:val="17"/>
                <w:szCs w:val="17"/>
              </w:rPr>
            </w:pPr>
          </w:p>
        </w:tc>
        <w:tc>
          <w:tcPr>
            <w:tcW w:w="1574" w:type="dxa"/>
            <w:tcBorders>
              <w:top w:val="single" w:sz="4" w:space="0" w:color="auto"/>
              <w:left w:val="single" w:sz="4" w:space="0" w:color="auto"/>
              <w:bottom w:val="single" w:sz="4" w:space="0" w:color="auto"/>
              <w:right w:val="single" w:sz="4" w:space="0" w:color="auto"/>
            </w:tcBorders>
            <w:noWrap/>
            <w:vAlign w:val="center"/>
          </w:tcPr>
          <w:p w14:paraId="6F029116" w14:textId="77777777" w:rsidR="00DD6E45" w:rsidRPr="00DD6E45" w:rsidRDefault="00DD6E45" w:rsidP="003A79BA">
            <w:pPr>
              <w:spacing w:before="40" w:after="40"/>
              <w:jc w:val="center"/>
              <w:rPr>
                <w:rFonts w:cs="Segoe UI"/>
                <w:sz w:val="17"/>
                <w:szCs w:val="17"/>
              </w:rPr>
            </w:pPr>
            <w:r w:rsidRPr="00DD6E45">
              <w:rPr>
                <w:rFonts w:cs="Segoe UI"/>
                <w:sz w:val="17"/>
                <w:szCs w:val="17"/>
              </w:rPr>
              <w:t>250%</w:t>
            </w:r>
          </w:p>
        </w:tc>
        <w:tc>
          <w:tcPr>
            <w:tcW w:w="1574" w:type="dxa"/>
            <w:tcBorders>
              <w:top w:val="single" w:sz="4" w:space="0" w:color="auto"/>
              <w:left w:val="single" w:sz="4" w:space="0" w:color="auto"/>
              <w:bottom w:val="single" w:sz="4" w:space="0" w:color="auto"/>
              <w:right w:val="single" w:sz="4" w:space="0" w:color="auto"/>
            </w:tcBorders>
            <w:noWrap/>
            <w:vAlign w:val="center"/>
            <w:hideMark/>
          </w:tcPr>
          <w:p w14:paraId="5084ED48" w14:textId="77777777" w:rsidR="00DD6E45" w:rsidRPr="00DD6E45" w:rsidRDefault="00DD6E45" w:rsidP="003A79BA">
            <w:pPr>
              <w:spacing w:before="40" w:after="40"/>
              <w:jc w:val="center"/>
              <w:rPr>
                <w:rFonts w:cs="Segoe UI"/>
                <w:sz w:val="17"/>
                <w:szCs w:val="17"/>
              </w:rPr>
            </w:pPr>
            <w:r w:rsidRPr="00DD6E45">
              <w:rPr>
                <w:rFonts w:cs="Segoe UI"/>
                <w:sz w:val="17"/>
                <w:szCs w:val="17"/>
              </w:rPr>
              <w:t>400%</w:t>
            </w:r>
          </w:p>
        </w:tc>
        <w:tc>
          <w:tcPr>
            <w:tcW w:w="1574" w:type="dxa"/>
            <w:tcBorders>
              <w:top w:val="single" w:sz="4" w:space="0" w:color="auto"/>
              <w:left w:val="single" w:sz="4" w:space="0" w:color="auto"/>
              <w:bottom w:val="single" w:sz="4" w:space="0" w:color="auto"/>
              <w:right w:val="single" w:sz="4" w:space="0" w:color="auto"/>
            </w:tcBorders>
            <w:vAlign w:val="center"/>
          </w:tcPr>
          <w:p w14:paraId="168FB967" w14:textId="77777777" w:rsidR="00DD6E45" w:rsidRPr="00DD6E45" w:rsidRDefault="00DD6E45" w:rsidP="003A79BA">
            <w:pPr>
              <w:spacing w:before="40" w:after="40"/>
              <w:jc w:val="center"/>
              <w:rPr>
                <w:rFonts w:cs="Segoe UI"/>
                <w:sz w:val="17"/>
                <w:szCs w:val="17"/>
              </w:rPr>
            </w:pPr>
            <w:r w:rsidRPr="00DD6E45">
              <w:rPr>
                <w:rFonts w:cs="Segoe UI"/>
                <w:sz w:val="17"/>
                <w:szCs w:val="17"/>
              </w:rPr>
              <w:t>1250%</w:t>
            </w:r>
          </w:p>
        </w:tc>
        <w:tc>
          <w:tcPr>
            <w:tcW w:w="1575" w:type="dxa"/>
            <w:tcBorders>
              <w:top w:val="single" w:sz="4" w:space="0" w:color="auto"/>
              <w:left w:val="single" w:sz="4" w:space="0" w:color="auto"/>
              <w:bottom w:val="single" w:sz="4" w:space="0" w:color="auto"/>
              <w:right w:val="single" w:sz="4" w:space="0" w:color="auto"/>
            </w:tcBorders>
            <w:noWrap/>
            <w:vAlign w:val="center"/>
            <w:hideMark/>
          </w:tcPr>
          <w:p w14:paraId="22C85A85" w14:textId="77777777" w:rsidR="00DD6E45" w:rsidRPr="00DD6E45" w:rsidRDefault="00DD6E45" w:rsidP="003A79BA">
            <w:pPr>
              <w:spacing w:before="40" w:after="40"/>
              <w:jc w:val="center"/>
              <w:rPr>
                <w:rFonts w:cs="Segoe UI"/>
                <w:sz w:val="17"/>
                <w:szCs w:val="17"/>
              </w:rPr>
            </w:pPr>
            <w:r w:rsidRPr="00DD6E45">
              <w:rPr>
                <w:rFonts w:cs="Segoe UI"/>
                <w:sz w:val="17"/>
                <w:szCs w:val="17"/>
              </w:rPr>
              <w:t>Other</w:t>
            </w:r>
          </w:p>
        </w:tc>
        <w:tc>
          <w:tcPr>
            <w:tcW w:w="3112" w:type="dxa"/>
            <w:tcBorders>
              <w:top w:val="single" w:sz="4" w:space="0" w:color="auto"/>
              <w:left w:val="single" w:sz="4" w:space="0" w:color="auto"/>
              <w:bottom w:val="single" w:sz="4" w:space="0" w:color="auto"/>
              <w:right w:val="single" w:sz="4" w:space="0" w:color="auto"/>
            </w:tcBorders>
            <w:noWrap/>
            <w:vAlign w:val="center"/>
            <w:hideMark/>
          </w:tcPr>
          <w:p w14:paraId="7B455955" w14:textId="77777777" w:rsidR="00DD6E45" w:rsidRPr="00DD6E45" w:rsidRDefault="00DD6E45" w:rsidP="00DD6E45">
            <w:pPr>
              <w:spacing w:before="40" w:after="40"/>
              <w:rPr>
                <w:rFonts w:cs="Segoe UI"/>
                <w:sz w:val="17"/>
                <w:szCs w:val="17"/>
              </w:rPr>
            </w:pPr>
            <w:r w:rsidRPr="00DD6E45">
              <w:rPr>
                <w:rFonts w:cs="Segoe UI"/>
                <w:sz w:val="17"/>
                <w:szCs w:val="17"/>
              </w:rPr>
              <w:t>Total credit exposure amount (post-CCF and post-CRM)</w:t>
            </w:r>
          </w:p>
        </w:tc>
      </w:tr>
      <w:tr w:rsidR="00DD6E45" w:rsidRPr="00DD6E45" w14:paraId="1528098D" w14:textId="77777777" w:rsidTr="00321677">
        <w:trPr>
          <w:trHeight w:val="283"/>
        </w:trPr>
        <w:tc>
          <w:tcPr>
            <w:tcW w:w="459" w:type="dxa"/>
            <w:tcBorders>
              <w:top w:val="nil"/>
              <w:left w:val="nil"/>
              <w:bottom w:val="single" w:sz="4" w:space="0" w:color="auto"/>
              <w:right w:val="single" w:sz="4" w:space="0" w:color="auto"/>
            </w:tcBorders>
            <w:hideMark/>
          </w:tcPr>
          <w:p w14:paraId="29EFD22C" w14:textId="77777777" w:rsidR="00DD6E45" w:rsidRPr="00DD6E45" w:rsidRDefault="00DD6E45" w:rsidP="00DD6E45">
            <w:pPr>
              <w:spacing w:before="40" w:after="40"/>
              <w:rPr>
                <w:rFonts w:cs="Segoe UI"/>
                <w:sz w:val="17"/>
                <w:szCs w:val="17"/>
              </w:rPr>
            </w:pPr>
            <w:r w:rsidRPr="00DD6E45">
              <w:rPr>
                <w:rFonts w:cs="Segoe UI"/>
                <w:sz w:val="17"/>
                <w:szCs w:val="17"/>
              </w:rPr>
              <w:t>7a</w:t>
            </w:r>
          </w:p>
        </w:tc>
        <w:tc>
          <w:tcPr>
            <w:tcW w:w="4292" w:type="dxa"/>
            <w:tcBorders>
              <w:top w:val="single" w:sz="4" w:space="0" w:color="auto"/>
              <w:left w:val="single" w:sz="4" w:space="0" w:color="auto"/>
              <w:bottom w:val="single" w:sz="4" w:space="0" w:color="auto"/>
              <w:right w:val="single" w:sz="4" w:space="0" w:color="auto"/>
            </w:tcBorders>
            <w:noWrap/>
            <w:hideMark/>
          </w:tcPr>
          <w:p w14:paraId="705EA591" w14:textId="77777777" w:rsidR="00DD6E45" w:rsidRPr="00DD6E45" w:rsidRDefault="00DD6E45" w:rsidP="00DD6E45">
            <w:pPr>
              <w:spacing w:before="40" w:after="40"/>
              <w:rPr>
                <w:rFonts w:cs="Segoe UI"/>
                <w:sz w:val="17"/>
                <w:szCs w:val="17"/>
              </w:rPr>
            </w:pPr>
            <w:r w:rsidRPr="00DD6E45">
              <w:rPr>
                <w:rFonts w:cs="Segoe UI"/>
                <w:sz w:val="17"/>
                <w:szCs w:val="17"/>
              </w:rPr>
              <w:t>Significant capital investments in commercial entities</w:t>
            </w:r>
          </w:p>
        </w:tc>
        <w:tc>
          <w:tcPr>
            <w:tcW w:w="1574" w:type="dxa"/>
            <w:tcBorders>
              <w:top w:val="single" w:sz="4" w:space="0" w:color="auto"/>
              <w:left w:val="single" w:sz="4" w:space="0" w:color="auto"/>
              <w:bottom w:val="single" w:sz="4" w:space="0" w:color="auto"/>
              <w:right w:val="single" w:sz="4" w:space="0" w:color="auto"/>
            </w:tcBorders>
            <w:noWrap/>
          </w:tcPr>
          <w:p w14:paraId="7A02A5BB" w14:textId="77777777" w:rsidR="00DD6E45" w:rsidRPr="00DD6E45" w:rsidRDefault="00DD6E45" w:rsidP="00DD6E45">
            <w:pPr>
              <w:spacing w:before="40" w:after="40"/>
              <w:rPr>
                <w:rFonts w:cs="Segoe UI"/>
                <w:sz w:val="17"/>
                <w:szCs w:val="17"/>
              </w:rPr>
            </w:pPr>
          </w:p>
        </w:tc>
        <w:tc>
          <w:tcPr>
            <w:tcW w:w="1574" w:type="dxa"/>
            <w:tcBorders>
              <w:top w:val="single" w:sz="4" w:space="0" w:color="auto"/>
              <w:left w:val="single" w:sz="4" w:space="0" w:color="auto"/>
              <w:bottom w:val="single" w:sz="4" w:space="0" w:color="auto"/>
              <w:right w:val="single" w:sz="4" w:space="0" w:color="auto"/>
            </w:tcBorders>
            <w:noWrap/>
          </w:tcPr>
          <w:p w14:paraId="529CF317" w14:textId="77777777" w:rsidR="00DD6E45" w:rsidRPr="00DD6E45" w:rsidRDefault="00DD6E45" w:rsidP="00DD6E45">
            <w:pPr>
              <w:spacing w:before="40" w:after="40"/>
              <w:rPr>
                <w:rFonts w:cs="Segoe UI"/>
                <w:sz w:val="17"/>
                <w:szCs w:val="17"/>
              </w:rPr>
            </w:pPr>
          </w:p>
        </w:tc>
        <w:tc>
          <w:tcPr>
            <w:tcW w:w="1574" w:type="dxa"/>
            <w:tcBorders>
              <w:top w:val="single" w:sz="4" w:space="0" w:color="auto"/>
              <w:left w:val="single" w:sz="4" w:space="0" w:color="auto"/>
              <w:bottom w:val="single" w:sz="4" w:space="0" w:color="auto"/>
              <w:right w:val="single" w:sz="4" w:space="0" w:color="auto"/>
            </w:tcBorders>
          </w:tcPr>
          <w:p w14:paraId="6A269271" w14:textId="77777777" w:rsidR="00DD6E45" w:rsidRPr="00DD6E45" w:rsidRDefault="00DD6E45" w:rsidP="00DD6E45">
            <w:pPr>
              <w:spacing w:before="40" w:after="40"/>
              <w:rPr>
                <w:rFonts w:cs="Segoe UI"/>
                <w:sz w:val="17"/>
                <w:szCs w:val="17"/>
              </w:rPr>
            </w:pPr>
          </w:p>
        </w:tc>
        <w:tc>
          <w:tcPr>
            <w:tcW w:w="1575" w:type="dxa"/>
            <w:tcBorders>
              <w:top w:val="single" w:sz="4" w:space="0" w:color="auto"/>
              <w:left w:val="single" w:sz="4" w:space="0" w:color="auto"/>
              <w:bottom w:val="single" w:sz="4" w:space="0" w:color="auto"/>
              <w:right w:val="single" w:sz="4" w:space="0" w:color="auto"/>
            </w:tcBorders>
            <w:noWrap/>
          </w:tcPr>
          <w:p w14:paraId="64CCF821" w14:textId="77777777" w:rsidR="00DD6E45" w:rsidRPr="00DD6E45" w:rsidRDefault="00DD6E45" w:rsidP="00DD6E45">
            <w:pPr>
              <w:spacing w:before="40" w:after="40"/>
              <w:rPr>
                <w:rFonts w:cs="Segoe UI"/>
                <w:sz w:val="17"/>
                <w:szCs w:val="17"/>
              </w:rPr>
            </w:pPr>
          </w:p>
        </w:tc>
        <w:tc>
          <w:tcPr>
            <w:tcW w:w="3112" w:type="dxa"/>
            <w:tcBorders>
              <w:top w:val="single" w:sz="4" w:space="0" w:color="auto"/>
              <w:left w:val="single" w:sz="4" w:space="0" w:color="auto"/>
              <w:bottom w:val="single" w:sz="4" w:space="0" w:color="auto"/>
              <w:right w:val="single" w:sz="4" w:space="0" w:color="auto"/>
            </w:tcBorders>
            <w:noWrap/>
          </w:tcPr>
          <w:p w14:paraId="2657E63A" w14:textId="77777777" w:rsidR="00DD6E45" w:rsidRPr="00DD6E45" w:rsidRDefault="00DD6E45" w:rsidP="00DD6E45">
            <w:pPr>
              <w:spacing w:before="40" w:after="40"/>
              <w:rPr>
                <w:rFonts w:cs="Segoe UI"/>
                <w:sz w:val="17"/>
                <w:szCs w:val="17"/>
              </w:rPr>
            </w:pPr>
          </w:p>
        </w:tc>
      </w:tr>
    </w:tbl>
    <w:p w14:paraId="3C032ED4" w14:textId="77777777" w:rsidR="00DD6E45" w:rsidRPr="00DD6E45" w:rsidRDefault="00DD6E45" w:rsidP="00DD6E45">
      <w:pPr>
        <w:spacing w:before="40" w:after="40"/>
        <w:rPr>
          <w:rFonts w:cs="Segoe UI"/>
          <w:sz w:val="17"/>
          <w:szCs w:val="17"/>
        </w:rPr>
      </w:pPr>
    </w:p>
    <w:tbl>
      <w:tblPr>
        <w:tblW w:w="14160"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9"/>
        <w:gridCol w:w="4292"/>
        <w:gridCol w:w="1574"/>
        <w:gridCol w:w="1574"/>
        <w:gridCol w:w="1574"/>
        <w:gridCol w:w="1575"/>
        <w:gridCol w:w="3112"/>
      </w:tblGrid>
      <w:tr w:rsidR="00DD6E45" w:rsidRPr="00DD6E45" w14:paraId="3FAF9149" w14:textId="77777777" w:rsidTr="003A79BA">
        <w:trPr>
          <w:trHeight w:val="283"/>
        </w:trPr>
        <w:tc>
          <w:tcPr>
            <w:tcW w:w="459" w:type="dxa"/>
            <w:tcBorders>
              <w:top w:val="single" w:sz="4" w:space="0" w:color="auto"/>
              <w:left w:val="nil"/>
              <w:bottom w:val="nil"/>
              <w:right w:val="single" w:sz="4" w:space="0" w:color="auto"/>
            </w:tcBorders>
          </w:tcPr>
          <w:p w14:paraId="6128553A" w14:textId="77777777" w:rsidR="00DD6E45" w:rsidRPr="00DD6E45" w:rsidRDefault="00DD6E45" w:rsidP="00DD6E45">
            <w:pPr>
              <w:spacing w:before="40" w:after="40"/>
              <w:rPr>
                <w:rFonts w:cs="Segoe UI"/>
                <w:sz w:val="17"/>
                <w:szCs w:val="17"/>
              </w:rPr>
            </w:pPr>
          </w:p>
        </w:tc>
        <w:tc>
          <w:tcPr>
            <w:tcW w:w="4292" w:type="dxa"/>
            <w:tcBorders>
              <w:top w:val="single" w:sz="4" w:space="0" w:color="auto"/>
              <w:left w:val="single" w:sz="4" w:space="0" w:color="auto"/>
              <w:bottom w:val="single" w:sz="4" w:space="0" w:color="auto"/>
              <w:right w:val="single" w:sz="4" w:space="0" w:color="auto"/>
            </w:tcBorders>
            <w:noWrap/>
          </w:tcPr>
          <w:p w14:paraId="635A8695" w14:textId="77777777" w:rsidR="00DD6E45" w:rsidRPr="00DD6E45" w:rsidRDefault="00DD6E45" w:rsidP="00DD6E45">
            <w:pPr>
              <w:spacing w:before="40" w:after="40"/>
              <w:rPr>
                <w:rFonts w:cs="Segoe UI"/>
                <w:sz w:val="17"/>
                <w:szCs w:val="17"/>
              </w:rPr>
            </w:pPr>
          </w:p>
        </w:tc>
        <w:tc>
          <w:tcPr>
            <w:tcW w:w="1574" w:type="dxa"/>
            <w:tcBorders>
              <w:top w:val="single" w:sz="4" w:space="0" w:color="auto"/>
              <w:left w:val="single" w:sz="4" w:space="0" w:color="auto"/>
              <w:bottom w:val="single" w:sz="4" w:space="0" w:color="auto"/>
              <w:right w:val="single" w:sz="4" w:space="0" w:color="auto"/>
            </w:tcBorders>
            <w:noWrap/>
            <w:vAlign w:val="center"/>
          </w:tcPr>
          <w:p w14:paraId="22E9ED47" w14:textId="77777777" w:rsidR="00DD6E45" w:rsidRPr="00DD6E45" w:rsidRDefault="00DD6E45" w:rsidP="003A79BA">
            <w:pPr>
              <w:spacing w:before="40" w:after="40"/>
              <w:jc w:val="center"/>
              <w:rPr>
                <w:rFonts w:cs="Segoe UI"/>
                <w:sz w:val="17"/>
                <w:szCs w:val="17"/>
              </w:rPr>
            </w:pPr>
            <w:r w:rsidRPr="00DD6E45">
              <w:rPr>
                <w:rFonts w:cs="Segoe UI"/>
                <w:sz w:val="17"/>
                <w:szCs w:val="17"/>
              </w:rPr>
              <w:t>150%</w:t>
            </w:r>
          </w:p>
        </w:tc>
        <w:tc>
          <w:tcPr>
            <w:tcW w:w="1574" w:type="dxa"/>
            <w:tcBorders>
              <w:top w:val="single" w:sz="4" w:space="0" w:color="auto"/>
              <w:left w:val="single" w:sz="4" w:space="0" w:color="auto"/>
              <w:bottom w:val="single" w:sz="4" w:space="0" w:color="auto"/>
              <w:right w:val="single" w:sz="4" w:space="0" w:color="auto"/>
            </w:tcBorders>
            <w:vAlign w:val="center"/>
            <w:hideMark/>
          </w:tcPr>
          <w:p w14:paraId="03408CE5" w14:textId="77777777" w:rsidR="00DD6E45" w:rsidRPr="00DD6E45" w:rsidRDefault="00DD6E45" w:rsidP="003A79BA">
            <w:pPr>
              <w:spacing w:before="40" w:after="40"/>
              <w:jc w:val="center"/>
              <w:rPr>
                <w:rFonts w:cs="Segoe UI"/>
                <w:sz w:val="17"/>
                <w:szCs w:val="17"/>
              </w:rPr>
            </w:pPr>
            <w:r w:rsidRPr="00DD6E45">
              <w:rPr>
                <w:rFonts w:cs="Segoe UI"/>
                <w:sz w:val="17"/>
                <w:szCs w:val="17"/>
              </w:rPr>
              <w:t>250%</w:t>
            </w:r>
          </w:p>
        </w:tc>
        <w:tc>
          <w:tcPr>
            <w:tcW w:w="1574" w:type="dxa"/>
            <w:tcBorders>
              <w:top w:val="single" w:sz="4" w:space="0" w:color="auto"/>
              <w:left w:val="single" w:sz="4" w:space="0" w:color="auto"/>
              <w:bottom w:val="single" w:sz="4" w:space="0" w:color="auto"/>
              <w:right w:val="single" w:sz="4" w:space="0" w:color="auto"/>
            </w:tcBorders>
            <w:noWrap/>
            <w:vAlign w:val="center"/>
            <w:hideMark/>
          </w:tcPr>
          <w:p w14:paraId="5E69E756" w14:textId="77777777" w:rsidR="00DD6E45" w:rsidRPr="00DD6E45" w:rsidRDefault="00DD6E45" w:rsidP="003A79BA">
            <w:pPr>
              <w:spacing w:before="40" w:after="40"/>
              <w:jc w:val="center"/>
              <w:rPr>
                <w:rFonts w:cs="Segoe UI"/>
                <w:sz w:val="17"/>
                <w:szCs w:val="17"/>
              </w:rPr>
            </w:pPr>
            <w:r w:rsidRPr="00DD6E45">
              <w:rPr>
                <w:rFonts w:cs="Segoe UI"/>
                <w:sz w:val="17"/>
                <w:szCs w:val="17"/>
              </w:rPr>
              <w:t>400%</w:t>
            </w:r>
          </w:p>
        </w:tc>
        <w:tc>
          <w:tcPr>
            <w:tcW w:w="1575" w:type="dxa"/>
            <w:tcBorders>
              <w:top w:val="single" w:sz="4" w:space="0" w:color="auto"/>
              <w:left w:val="single" w:sz="4" w:space="0" w:color="auto"/>
              <w:bottom w:val="single" w:sz="4" w:space="0" w:color="auto"/>
              <w:right w:val="single" w:sz="4" w:space="0" w:color="auto"/>
            </w:tcBorders>
            <w:noWrap/>
            <w:vAlign w:val="center"/>
            <w:hideMark/>
          </w:tcPr>
          <w:p w14:paraId="1FDCA64A" w14:textId="77777777" w:rsidR="00DD6E45" w:rsidRPr="00DD6E45" w:rsidRDefault="00DD6E45" w:rsidP="003A79BA">
            <w:pPr>
              <w:spacing w:before="40" w:after="40"/>
              <w:jc w:val="center"/>
              <w:rPr>
                <w:rFonts w:cs="Segoe UI"/>
                <w:sz w:val="17"/>
                <w:szCs w:val="17"/>
              </w:rPr>
            </w:pPr>
            <w:r w:rsidRPr="00DD6E45">
              <w:rPr>
                <w:rFonts w:cs="Segoe UI"/>
                <w:sz w:val="17"/>
                <w:szCs w:val="17"/>
              </w:rPr>
              <w:t>Other</w:t>
            </w:r>
          </w:p>
        </w:tc>
        <w:tc>
          <w:tcPr>
            <w:tcW w:w="3112" w:type="dxa"/>
            <w:tcBorders>
              <w:top w:val="single" w:sz="4" w:space="0" w:color="auto"/>
              <w:left w:val="single" w:sz="4" w:space="0" w:color="auto"/>
              <w:bottom w:val="single" w:sz="4" w:space="0" w:color="auto"/>
              <w:right w:val="single" w:sz="4" w:space="0" w:color="auto"/>
            </w:tcBorders>
            <w:noWrap/>
            <w:vAlign w:val="center"/>
            <w:hideMark/>
          </w:tcPr>
          <w:p w14:paraId="6EE41968" w14:textId="77777777" w:rsidR="00DD6E45" w:rsidRPr="00DD6E45" w:rsidRDefault="00DD6E45" w:rsidP="00DD6E45">
            <w:pPr>
              <w:spacing w:before="40" w:after="40"/>
              <w:rPr>
                <w:rFonts w:cs="Segoe UI"/>
                <w:sz w:val="17"/>
                <w:szCs w:val="17"/>
              </w:rPr>
            </w:pPr>
            <w:r w:rsidRPr="00DD6E45">
              <w:rPr>
                <w:rFonts w:cs="Segoe UI"/>
                <w:sz w:val="17"/>
                <w:szCs w:val="17"/>
              </w:rPr>
              <w:t>Total credit exposure amount (post-CCF and post-CRM)</w:t>
            </w:r>
          </w:p>
        </w:tc>
      </w:tr>
      <w:tr w:rsidR="00DD6E45" w:rsidRPr="00DD6E45" w14:paraId="04EE0842" w14:textId="77777777" w:rsidTr="00321677">
        <w:trPr>
          <w:trHeight w:val="283"/>
        </w:trPr>
        <w:tc>
          <w:tcPr>
            <w:tcW w:w="459" w:type="dxa"/>
            <w:tcBorders>
              <w:top w:val="nil"/>
              <w:left w:val="nil"/>
              <w:bottom w:val="single" w:sz="4" w:space="0" w:color="auto"/>
              <w:right w:val="single" w:sz="4" w:space="0" w:color="auto"/>
            </w:tcBorders>
            <w:hideMark/>
          </w:tcPr>
          <w:p w14:paraId="4D656394" w14:textId="77777777" w:rsidR="00DD6E45" w:rsidRPr="00DD6E45" w:rsidRDefault="00DD6E45" w:rsidP="00DD6E45">
            <w:pPr>
              <w:spacing w:before="40" w:after="40"/>
              <w:rPr>
                <w:rFonts w:cs="Segoe UI"/>
                <w:sz w:val="17"/>
                <w:szCs w:val="17"/>
              </w:rPr>
            </w:pPr>
            <w:r w:rsidRPr="00DD6E45">
              <w:rPr>
                <w:rFonts w:cs="Segoe UI"/>
                <w:sz w:val="17"/>
                <w:szCs w:val="17"/>
              </w:rPr>
              <w:t>7b</w:t>
            </w:r>
          </w:p>
        </w:tc>
        <w:tc>
          <w:tcPr>
            <w:tcW w:w="4292" w:type="dxa"/>
            <w:tcBorders>
              <w:top w:val="single" w:sz="4" w:space="0" w:color="auto"/>
              <w:left w:val="single" w:sz="4" w:space="0" w:color="auto"/>
              <w:bottom w:val="single" w:sz="4" w:space="0" w:color="auto"/>
              <w:right w:val="single" w:sz="4" w:space="0" w:color="auto"/>
            </w:tcBorders>
            <w:noWrap/>
            <w:hideMark/>
          </w:tcPr>
          <w:p w14:paraId="45A9F83C" w14:textId="77777777" w:rsidR="00DD6E45" w:rsidRPr="00DD6E45" w:rsidRDefault="00DD6E45" w:rsidP="00DD6E45">
            <w:pPr>
              <w:spacing w:before="40" w:after="40"/>
              <w:rPr>
                <w:rFonts w:cs="Segoe UI"/>
                <w:sz w:val="17"/>
                <w:szCs w:val="17"/>
              </w:rPr>
            </w:pPr>
            <w:r w:rsidRPr="00DD6E45">
              <w:rPr>
                <w:rFonts w:cs="Segoe UI"/>
                <w:sz w:val="17"/>
                <w:szCs w:val="17"/>
              </w:rPr>
              <w:t>Holdings of capital instruments issued by, and non-capital LAC liabilities of, financial sector entities</w:t>
            </w:r>
          </w:p>
        </w:tc>
        <w:tc>
          <w:tcPr>
            <w:tcW w:w="1574" w:type="dxa"/>
            <w:tcBorders>
              <w:top w:val="single" w:sz="4" w:space="0" w:color="auto"/>
              <w:left w:val="single" w:sz="4" w:space="0" w:color="auto"/>
              <w:bottom w:val="single" w:sz="4" w:space="0" w:color="auto"/>
              <w:right w:val="single" w:sz="4" w:space="0" w:color="auto"/>
            </w:tcBorders>
            <w:noWrap/>
          </w:tcPr>
          <w:p w14:paraId="24A4FCFA" w14:textId="77777777" w:rsidR="00DD6E45" w:rsidRPr="00DD6E45" w:rsidRDefault="00DD6E45" w:rsidP="00DD6E45">
            <w:pPr>
              <w:spacing w:before="40" w:after="40"/>
              <w:rPr>
                <w:rFonts w:cs="Segoe UI"/>
                <w:sz w:val="17"/>
                <w:szCs w:val="17"/>
              </w:rPr>
            </w:pPr>
          </w:p>
        </w:tc>
        <w:tc>
          <w:tcPr>
            <w:tcW w:w="1574" w:type="dxa"/>
            <w:tcBorders>
              <w:top w:val="single" w:sz="4" w:space="0" w:color="auto"/>
              <w:left w:val="single" w:sz="4" w:space="0" w:color="auto"/>
              <w:bottom w:val="single" w:sz="4" w:space="0" w:color="auto"/>
              <w:right w:val="single" w:sz="4" w:space="0" w:color="auto"/>
            </w:tcBorders>
          </w:tcPr>
          <w:p w14:paraId="6889BADD" w14:textId="77777777" w:rsidR="00DD6E45" w:rsidRPr="00DD6E45" w:rsidRDefault="00DD6E45" w:rsidP="00DD6E45">
            <w:pPr>
              <w:spacing w:before="40" w:after="40"/>
              <w:rPr>
                <w:rFonts w:cs="Segoe UI"/>
                <w:sz w:val="17"/>
                <w:szCs w:val="17"/>
              </w:rPr>
            </w:pPr>
          </w:p>
        </w:tc>
        <w:tc>
          <w:tcPr>
            <w:tcW w:w="1574" w:type="dxa"/>
            <w:tcBorders>
              <w:top w:val="single" w:sz="4" w:space="0" w:color="auto"/>
              <w:left w:val="single" w:sz="4" w:space="0" w:color="auto"/>
              <w:bottom w:val="single" w:sz="4" w:space="0" w:color="auto"/>
              <w:right w:val="single" w:sz="4" w:space="0" w:color="auto"/>
            </w:tcBorders>
            <w:noWrap/>
          </w:tcPr>
          <w:p w14:paraId="06D2AB65" w14:textId="77777777" w:rsidR="00DD6E45" w:rsidRPr="00DD6E45" w:rsidRDefault="00DD6E45" w:rsidP="00DD6E45">
            <w:pPr>
              <w:spacing w:before="40" w:after="40"/>
              <w:rPr>
                <w:rFonts w:cs="Segoe UI"/>
                <w:sz w:val="17"/>
                <w:szCs w:val="17"/>
              </w:rPr>
            </w:pPr>
          </w:p>
        </w:tc>
        <w:tc>
          <w:tcPr>
            <w:tcW w:w="1575" w:type="dxa"/>
            <w:tcBorders>
              <w:top w:val="single" w:sz="4" w:space="0" w:color="auto"/>
              <w:left w:val="single" w:sz="4" w:space="0" w:color="auto"/>
              <w:bottom w:val="single" w:sz="4" w:space="0" w:color="auto"/>
              <w:right w:val="single" w:sz="4" w:space="0" w:color="auto"/>
            </w:tcBorders>
            <w:noWrap/>
          </w:tcPr>
          <w:p w14:paraId="5B0605E0" w14:textId="77777777" w:rsidR="00DD6E45" w:rsidRPr="00DD6E45" w:rsidRDefault="00DD6E45" w:rsidP="00DD6E45">
            <w:pPr>
              <w:spacing w:before="40" w:after="40"/>
              <w:rPr>
                <w:rFonts w:cs="Segoe UI"/>
                <w:sz w:val="17"/>
                <w:szCs w:val="17"/>
              </w:rPr>
            </w:pPr>
          </w:p>
        </w:tc>
        <w:tc>
          <w:tcPr>
            <w:tcW w:w="3112" w:type="dxa"/>
            <w:tcBorders>
              <w:top w:val="single" w:sz="4" w:space="0" w:color="auto"/>
              <w:left w:val="single" w:sz="4" w:space="0" w:color="auto"/>
              <w:bottom w:val="single" w:sz="4" w:space="0" w:color="auto"/>
              <w:right w:val="single" w:sz="4" w:space="0" w:color="auto"/>
            </w:tcBorders>
            <w:noWrap/>
          </w:tcPr>
          <w:p w14:paraId="111C4775" w14:textId="77777777" w:rsidR="00DD6E45" w:rsidRPr="00DD6E45" w:rsidRDefault="00DD6E45" w:rsidP="00DD6E45">
            <w:pPr>
              <w:spacing w:before="40" w:after="40"/>
              <w:rPr>
                <w:rFonts w:cs="Segoe UI"/>
                <w:sz w:val="17"/>
                <w:szCs w:val="17"/>
              </w:rPr>
            </w:pPr>
          </w:p>
        </w:tc>
      </w:tr>
    </w:tbl>
    <w:p w14:paraId="3ABF7AA8" w14:textId="77777777" w:rsidR="00DD6E45" w:rsidRPr="00DD6E45" w:rsidRDefault="00DD6E45" w:rsidP="00DD6E45">
      <w:pPr>
        <w:spacing w:before="40" w:after="40"/>
        <w:rPr>
          <w:rFonts w:cs="Segoe UI"/>
          <w:sz w:val="17"/>
          <w:szCs w:val="17"/>
        </w:rPr>
      </w:pPr>
    </w:p>
    <w:tbl>
      <w:tblPr>
        <w:tblW w:w="14160"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9"/>
        <w:gridCol w:w="4292"/>
        <w:gridCol w:w="3148"/>
        <w:gridCol w:w="3149"/>
        <w:gridCol w:w="3112"/>
      </w:tblGrid>
      <w:tr w:rsidR="00DD6E45" w:rsidRPr="00DD6E45" w14:paraId="6228B0B0" w14:textId="77777777" w:rsidTr="003A79BA">
        <w:trPr>
          <w:trHeight w:val="283"/>
        </w:trPr>
        <w:tc>
          <w:tcPr>
            <w:tcW w:w="459" w:type="dxa"/>
            <w:tcBorders>
              <w:top w:val="single" w:sz="4" w:space="0" w:color="auto"/>
              <w:left w:val="nil"/>
              <w:bottom w:val="nil"/>
              <w:right w:val="single" w:sz="4" w:space="0" w:color="auto"/>
            </w:tcBorders>
          </w:tcPr>
          <w:p w14:paraId="5ED15F16" w14:textId="77777777" w:rsidR="00DD6E45" w:rsidRPr="00DD6E45" w:rsidRDefault="00DD6E45" w:rsidP="00DD6E45">
            <w:pPr>
              <w:spacing w:before="40" w:after="40"/>
              <w:rPr>
                <w:rFonts w:cs="Segoe UI"/>
                <w:sz w:val="17"/>
                <w:szCs w:val="17"/>
              </w:rPr>
            </w:pPr>
          </w:p>
        </w:tc>
        <w:tc>
          <w:tcPr>
            <w:tcW w:w="4292" w:type="dxa"/>
            <w:tcBorders>
              <w:top w:val="single" w:sz="4" w:space="0" w:color="auto"/>
              <w:left w:val="single" w:sz="4" w:space="0" w:color="auto"/>
              <w:bottom w:val="single" w:sz="4" w:space="0" w:color="auto"/>
              <w:right w:val="single" w:sz="4" w:space="0" w:color="auto"/>
            </w:tcBorders>
            <w:noWrap/>
          </w:tcPr>
          <w:p w14:paraId="2139C9F4" w14:textId="77777777" w:rsidR="00DD6E45" w:rsidRPr="00DD6E45" w:rsidRDefault="00DD6E45" w:rsidP="00DD6E45">
            <w:pPr>
              <w:spacing w:before="40" w:after="40"/>
              <w:rPr>
                <w:rFonts w:cs="Segoe UI"/>
                <w:sz w:val="17"/>
                <w:szCs w:val="17"/>
              </w:rPr>
            </w:pPr>
          </w:p>
        </w:tc>
        <w:tc>
          <w:tcPr>
            <w:tcW w:w="3148" w:type="dxa"/>
            <w:tcBorders>
              <w:top w:val="single" w:sz="4" w:space="0" w:color="auto"/>
              <w:left w:val="single" w:sz="4" w:space="0" w:color="auto"/>
              <w:bottom w:val="single" w:sz="4" w:space="0" w:color="auto"/>
              <w:right w:val="single" w:sz="4" w:space="0" w:color="auto"/>
            </w:tcBorders>
            <w:noWrap/>
            <w:vAlign w:val="center"/>
          </w:tcPr>
          <w:p w14:paraId="41054BE4" w14:textId="77777777" w:rsidR="00DD6E45" w:rsidRPr="00DD6E45" w:rsidRDefault="00DD6E45" w:rsidP="003A79BA">
            <w:pPr>
              <w:spacing w:before="40" w:after="40"/>
              <w:jc w:val="center"/>
              <w:rPr>
                <w:rFonts w:cs="Segoe UI"/>
                <w:sz w:val="17"/>
                <w:szCs w:val="17"/>
              </w:rPr>
            </w:pPr>
            <w:r w:rsidRPr="00DD6E45">
              <w:rPr>
                <w:rFonts w:cs="Segoe UI"/>
                <w:sz w:val="17"/>
                <w:szCs w:val="17"/>
              </w:rPr>
              <w:t>150%</w:t>
            </w:r>
          </w:p>
        </w:tc>
        <w:tc>
          <w:tcPr>
            <w:tcW w:w="3149" w:type="dxa"/>
            <w:tcBorders>
              <w:top w:val="single" w:sz="4" w:space="0" w:color="auto"/>
              <w:left w:val="single" w:sz="4" w:space="0" w:color="auto"/>
              <w:bottom w:val="single" w:sz="4" w:space="0" w:color="auto"/>
              <w:right w:val="single" w:sz="4" w:space="0" w:color="auto"/>
            </w:tcBorders>
            <w:vAlign w:val="center"/>
          </w:tcPr>
          <w:p w14:paraId="033D30CA" w14:textId="77777777" w:rsidR="00DD6E45" w:rsidRPr="00DD6E45" w:rsidRDefault="00DD6E45" w:rsidP="003A79BA">
            <w:pPr>
              <w:spacing w:before="40" w:after="40"/>
              <w:jc w:val="center"/>
              <w:rPr>
                <w:rFonts w:cs="Segoe UI"/>
                <w:sz w:val="17"/>
                <w:szCs w:val="17"/>
              </w:rPr>
            </w:pPr>
            <w:r w:rsidRPr="00DD6E45">
              <w:rPr>
                <w:rFonts w:cs="Segoe UI"/>
                <w:sz w:val="17"/>
                <w:szCs w:val="17"/>
              </w:rPr>
              <w:t>Other</w:t>
            </w:r>
          </w:p>
        </w:tc>
        <w:tc>
          <w:tcPr>
            <w:tcW w:w="3112" w:type="dxa"/>
            <w:tcBorders>
              <w:top w:val="single" w:sz="4" w:space="0" w:color="auto"/>
              <w:left w:val="single" w:sz="4" w:space="0" w:color="auto"/>
              <w:bottom w:val="single" w:sz="4" w:space="0" w:color="auto"/>
              <w:right w:val="single" w:sz="4" w:space="0" w:color="auto"/>
            </w:tcBorders>
            <w:noWrap/>
            <w:vAlign w:val="center"/>
            <w:hideMark/>
          </w:tcPr>
          <w:p w14:paraId="5D856962" w14:textId="77777777" w:rsidR="00DD6E45" w:rsidRPr="00DD6E45" w:rsidRDefault="00DD6E45" w:rsidP="00DD6E45">
            <w:pPr>
              <w:spacing w:before="40" w:after="40"/>
              <w:rPr>
                <w:rFonts w:cs="Segoe UI"/>
                <w:sz w:val="17"/>
                <w:szCs w:val="17"/>
              </w:rPr>
            </w:pPr>
            <w:r w:rsidRPr="00DD6E45">
              <w:rPr>
                <w:rFonts w:cs="Segoe UI"/>
                <w:sz w:val="17"/>
                <w:szCs w:val="17"/>
              </w:rPr>
              <w:t>Total credit exposure amount (post-CCF and post-CRM)</w:t>
            </w:r>
          </w:p>
        </w:tc>
      </w:tr>
      <w:tr w:rsidR="00A13869" w:rsidRPr="00DD6E45" w14:paraId="3B4DA244" w14:textId="77777777" w:rsidTr="00321677">
        <w:trPr>
          <w:trHeight w:val="283"/>
        </w:trPr>
        <w:tc>
          <w:tcPr>
            <w:tcW w:w="459" w:type="dxa"/>
            <w:tcBorders>
              <w:top w:val="nil"/>
              <w:left w:val="nil"/>
              <w:bottom w:val="single" w:sz="4" w:space="0" w:color="auto"/>
              <w:right w:val="single" w:sz="4" w:space="0" w:color="auto"/>
            </w:tcBorders>
            <w:hideMark/>
          </w:tcPr>
          <w:p w14:paraId="4E0F49D8" w14:textId="77777777" w:rsidR="00A13869" w:rsidRPr="00DD6E45" w:rsidRDefault="00A13869" w:rsidP="00A13869">
            <w:pPr>
              <w:spacing w:before="40" w:after="40"/>
              <w:rPr>
                <w:rFonts w:cs="Segoe UI"/>
                <w:sz w:val="17"/>
                <w:szCs w:val="17"/>
              </w:rPr>
            </w:pPr>
            <w:r w:rsidRPr="00DD6E45">
              <w:rPr>
                <w:rFonts w:cs="Segoe UI"/>
                <w:sz w:val="17"/>
                <w:szCs w:val="17"/>
              </w:rPr>
              <w:t>7c</w:t>
            </w:r>
          </w:p>
        </w:tc>
        <w:tc>
          <w:tcPr>
            <w:tcW w:w="4292" w:type="dxa"/>
            <w:tcBorders>
              <w:top w:val="single" w:sz="4" w:space="0" w:color="auto"/>
              <w:left w:val="single" w:sz="4" w:space="0" w:color="auto"/>
              <w:bottom w:val="single" w:sz="4" w:space="0" w:color="auto"/>
              <w:right w:val="single" w:sz="4" w:space="0" w:color="auto"/>
            </w:tcBorders>
            <w:noWrap/>
            <w:hideMark/>
          </w:tcPr>
          <w:p w14:paraId="3B90D19D" w14:textId="54E8E458" w:rsidR="00A13869" w:rsidRPr="00DD6E45" w:rsidRDefault="00A13869" w:rsidP="00A13869">
            <w:pPr>
              <w:spacing w:before="40" w:after="40"/>
              <w:rPr>
                <w:rFonts w:cs="Segoe UI"/>
                <w:sz w:val="17"/>
                <w:szCs w:val="17"/>
              </w:rPr>
            </w:pPr>
            <w:r w:rsidRPr="00DD6E45">
              <w:rPr>
                <w:rFonts w:cs="Segoe UI"/>
                <w:sz w:val="17"/>
                <w:szCs w:val="17"/>
              </w:rPr>
              <w:t>Subordinated debts issued by banks, qualifying non-bank financial institutions and corporates</w:t>
            </w:r>
          </w:p>
        </w:tc>
        <w:tc>
          <w:tcPr>
            <w:tcW w:w="3148" w:type="dxa"/>
            <w:tcBorders>
              <w:top w:val="single" w:sz="4" w:space="0" w:color="auto"/>
              <w:left w:val="single" w:sz="4" w:space="0" w:color="auto"/>
              <w:bottom w:val="single" w:sz="4" w:space="0" w:color="auto"/>
              <w:right w:val="single" w:sz="4" w:space="0" w:color="auto"/>
            </w:tcBorders>
            <w:noWrap/>
          </w:tcPr>
          <w:p w14:paraId="3DC64E53" w14:textId="77777777" w:rsidR="00A13869" w:rsidRPr="00DD6E45" w:rsidRDefault="00A13869" w:rsidP="00A13869">
            <w:pPr>
              <w:spacing w:before="40" w:after="40"/>
              <w:rPr>
                <w:rFonts w:cs="Segoe UI"/>
                <w:sz w:val="17"/>
                <w:szCs w:val="17"/>
              </w:rPr>
            </w:pPr>
          </w:p>
        </w:tc>
        <w:tc>
          <w:tcPr>
            <w:tcW w:w="3149" w:type="dxa"/>
            <w:tcBorders>
              <w:top w:val="single" w:sz="4" w:space="0" w:color="auto"/>
              <w:left w:val="single" w:sz="4" w:space="0" w:color="auto"/>
              <w:bottom w:val="single" w:sz="4" w:space="0" w:color="auto"/>
              <w:right w:val="single" w:sz="4" w:space="0" w:color="auto"/>
            </w:tcBorders>
          </w:tcPr>
          <w:p w14:paraId="7BB79B44" w14:textId="77777777" w:rsidR="00A13869" w:rsidRPr="00DD6E45" w:rsidRDefault="00A13869" w:rsidP="00A13869">
            <w:pPr>
              <w:spacing w:before="40" w:after="40"/>
              <w:rPr>
                <w:rFonts w:cs="Segoe UI"/>
                <w:sz w:val="17"/>
                <w:szCs w:val="17"/>
              </w:rPr>
            </w:pPr>
          </w:p>
        </w:tc>
        <w:tc>
          <w:tcPr>
            <w:tcW w:w="3112" w:type="dxa"/>
            <w:tcBorders>
              <w:top w:val="single" w:sz="4" w:space="0" w:color="auto"/>
              <w:left w:val="single" w:sz="4" w:space="0" w:color="auto"/>
              <w:bottom w:val="single" w:sz="4" w:space="0" w:color="auto"/>
              <w:right w:val="single" w:sz="4" w:space="0" w:color="auto"/>
            </w:tcBorders>
            <w:noWrap/>
          </w:tcPr>
          <w:p w14:paraId="4DCC8D18" w14:textId="77777777" w:rsidR="00A13869" w:rsidRPr="00DD6E45" w:rsidRDefault="00A13869" w:rsidP="00A13869">
            <w:pPr>
              <w:spacing w:before="40" w:after="40"/>
              <w:rPr>
                <w:rFonts w:cs="Segoe UI"/>
                <w:sz w:val="17"/>
                <w:szCs w:val="17"/>
              </w:rPr>
            </w:pPr>
          </w:p>
        </w:tc>
      </w:tr>
    </w:tbl>
    <w:p w14:paraId="2C56EEA9" w14:textId="77777777" w:rsidR="00DD6E45" w:rsidRPr="00DD6E45" w:rsidRDefault="00DD6E45" w:rsidP="00DD6E45">
      <w:pPr>
        <w:spacing w:before="40" w:after="40"/>
        <w:rPr>
          <w:rFonts w:cs="Segoe UI"/>
          <w:sz w:val="17"/>
          <w:szCs w:val="17"/>
        </w:rPr>
      </w:pPr>
    </w:p>
    <w:tbl>
      <w:tblPr>
        <w:tblW w:w="14160"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9"/>
        <w:gridCol w:w="4292"/>
        <w:gridCol w:w="1574"/>
        <w:gridCol w:w="1574"/>
        <w:gridCol w:w="1574"/>
        <w:gridCol w:w="1575"/>
        <w:gridCol w:w="3112"/>
      </w:tblGrid>
      <w:tr w:rsidR="00DD6E45" w:rsidRPr="00DD6E45" w14:paraId="43D5F68D" w14:textId="77777777" w:rsidTr="003A79BA">
        <w:trPr>
          <w:trHeight w:val="283"/>
        </w:trPr>
        <w:tc>
          <w:tcPr>
            <w:tcW w:w="459" w:type="dxa"/>
            <w:tcBorders>
              <w:top w:val="single" w:sz="4" w:space="0" w:color="auto"/>
              <w:left w:val="nil"/>
              <w:bottom w:val="nil"/>
              <w:right w:val="single" w:sz="4" w:space="0" w:color="auto"/>
            </w:tcBorders>
          </w:tcPr>
          <w:p w14:paraId="1E0E88B6" w14:textId="77777777" w:rsidR="00DD6E45" w:rsidRPr="00DD6E45" w:rsidRDefault="00DD6E45" w:rsidP="00DD6E45">
            <w:pPr>
              <w:spacing w:before="40" w:after="40"/>
              <w:rPr>
                <w:rFonts w:cs="Segoe UI"/>
                <w:sz w:val="17"/>
                <w:szCs w:val="17"/>
              </w:rPr>
            </w:pPr>
          </w:p>
        </w:tc>
        <w:tc>
          <w:tcPr>
            <w:tcW w:w="4292" w:type="dxa"/>
            <w:tcBorders>
              <w:top w:val="single" w:sz="4" w:space="0" w:color="auto"/>
              <w:left w:val="single" w:sz="4" w:space="0" w:color="auto"/>
              <w:bottom w:val="single" w:sz="4" w:space="0" w:color="auto"/>
              <w:right w:val="single" w:sz="4" w:space="0" w:color="auto"/>
            </w:tcBorders>
            <w:noWrap/>
          </w:tcPr>
          <w:p w14:paraId="2E9F7440" w14:textId="77777777" w:rsidR="00DD6E45" w:rsidRPr="00DD6E45" w:rsidRDefault="00DD6E45" w:rsidP="00DD6E45">
            <w:pPr>
              <w:spacing w:before="40" w:after="40"/>
              <w:rPr>
                <w:rFonts w:cs="Segoe UI"/>
                <w:sz w:val="17"/>
                <w:szCs w:val="17"/>
              </w:rPr>
            </w:pPr>
          </w:p>
        </w:tc>
        <w:tc>
          <w:tcPr>
            <w:tcW w:w="1574" w:type="dxa"/>
            <w:tcBorders>
              <w:top w:val="single" w:sz="4" w:space="0" w:color="auto"/>
              <w:left w:val="single" w:sz="4" w:space="0" w:color="auto"/>
              <w:bottom w:val="single" w:sz="4" w:space="0" w:color="auto"/>
              <w:right w:val="single" w:sz="4" w:space="0" w:color="auto"/>
            </w:tcBorders>
            <w:noWrap/>
            <w:vAlign w:val="center"/>
            <w:hideMark/>
          </w:tcPr>
          <w:p w14:paraId="363B95B0" w14:textId="77777777" w:rsidR="00DD6E45" w:rsidRPr="00DD6E45" w:rsidRDefault="00DD6E45" w:rsidP="003A79BA">
            <w:pPr>
              <w:spacing w:before="40" w:after="40"/>
              <w:jc w:val="center"/>
              <w:rPr>
                <w:rFonts w:cs="Segoe UI"/>
                <w:sz w:val="17"/>
                <w:szCs w:val="17"/>
              </w:rPr>
            </w:pPr>
            <w:r w:rsidRPr="00DD6E45">
              <w:rPr>
                <w:rFonts w:cs="Segoe UI"/>
                <w:sz w:val="17"/>
                <w:szCs w:val="17"/>
              </w:rPr>
              <w:t>45%</w:t>
            </w:r>
          </w:p>
        </w:tc>
        <w:tc>
          <w:tcPr>
            <w:tcW w:w="1574" w:type="dxa"/>
            <w:tcBorders>
              <w:top w:val="single" w:sz="4" w:space="0" w:color="auto"/>
              <w:left w:val="single" w:sz="4" w:space="0" w:color="auto"/>
              <w:bottom w:val="single" w:sz="4" w:space="0" w:color="auto"/>
              <w:right w:val="single" w:sz="4" w:space="0" w:color="auto"/>
            </w:tcBorders>
            <w:noWrap/>
            <w:vAlign w:val="center"/>
            <w:hideMark/>
          </w:tcPr>
          <w:p w14:paraId="26EA63FF" w14:textId="77777777" w:rsidR="00DD6E45" w:rsidRPr="00DD6E45" w:rsidRDefault="00DD6E45" w:rsidP="003A79BA">
            <w:pPr>
              <w:spacing w:before="40" w:after="40"/>
              <w:jc w:val="center"/>
              <w:rPr>
                <w:rFonts w:cs="Segoe UI"/>
                <w:sz w:val="17"/>
                <w:szCs w:val="17"/>
              </w:rPr>
            </w:pPr>
            <w:r w:rsidRPr="00DD6E45">
              <w:rPr>
                <w:rFonts w:cs="Segoe UI"/>
                <w:sz w:val="17"/>
                <w:szCs w:val="17"/>
              </w:rPr>
              <w:t>75%</w:t>
            </w:r>
          </w:p>
        </w:tc>
        <w:tc>
          <w:tcPr>
            <w:tcW w:w="1574" w:type="dxa"/>
            <w:tcBorders>
              <w:top w:val="single" w:sz="4" w:space="0" w:color="auto"/>
              <w:left w:val="single" w:sz="4" w:space="0" w:color="auto"/>
              <w:bottom w:val="single" w:sz="4" w:space="0" w:color="auto"/>
              <w:right w:val="single" w:sz="4" w:space="0" w:color="auto"/>
            </w:tcBorders>
            <w:vAlign w:val="center"/>
            <w:hideMark/>
          </w:tcPr>
          <w:p w14:paraId="090AE610" w14:textId="77777777" w:rsidR="00DD6E45" w:rsidRPr="00DD6E45" w:rsidRDefault="00DD6E45" w:rsidP="003A79BA">
            <w:pPr>
              <w:spacing w:before="40" w:after="40"/>
              <w:jc w:val="center"/>
              <w:rPr>
                <w:rFonts w:cs="Segoe UI"/>
                <w:sz w:val="17"/>
                <w:szCs w:val="17"/>
              </w:rPr>
            </w:pPr>
            <w:r w:rsidRPr="00DD6E45">
              <w:rPr>
                <w:rFonts w:cs="Segoe UI"/>
                <w:sz w:val="17"/>
                <w:szCs w:val="17"/>
              </w:rPr>
              <w:t>100%</w:t>
            </w:r>
          </w:p>
        </w:tc>
        <w:tc>
          <w:tcPr>
            <w:tcW w:w="1575" w:type="dxa"/>
            <w:tcBorders>
              <w:top w:val="single" w:sz="4" w:space="0" w:color="auto"/>
              <w:left w:val="single" w:sz="4" w:space="0" w:color="auto"/>
              <w:bottom w:val="single" w:sz="4" w:space="0" w:color="auto"/>
              <w:right w:val="single" w:sz="4" w:space="0" w:color="auto"/>
            </w:tcBorders>
            <w:noWrap/>
            <w:vAlign w:val="center"/>
            <w:hideMark/>
          </w:tcPr>
          <w:p w14:paraId="02289EAD" w14:textId="77777777" w:rsidR="00DD6E45" w:rsidRPr="00DD6E45" w:rsidRDefault="00DD6E45" w:rsidP="003A79BA">
            <w:pPr>
              <w:spacing w:before="40" w:after="40"/>
              <w:jc w:val="center"/>
              <w:rPr>
                <w:rFonts w:cs="Segoe UI"/>
                <w:sz w:val="17"/>
                <w:szCs w:val="17"/>
              </w:rPr>
            </w:pPr>
            <w:r w:rsidRPr="00DD6E45">
              <w:rPr>
                <w:rFonts w:cs="Segoe UI"/>
                <w:sz w:val="17"/>
                <w:szCs w:val="17"/>
              </w:rPr>
              <w:t>Other</w:t>
            </w:r>
          </w:p>
        </w:tc>
        <w:tc>
          <w:tcPr>
            <w:tcW w:w="3112" w:type="dxa"/>
            <w:tcBorders>
              <w:top w:val="single" w:sz="4" w:space="0" w:color="auto"/>
              <w:left w:val="single" w:sz="4" w:space="0" w:color="auto"/>
              <w:bottom w:val="single" w:sz="4" w:space="0" w:color="auto"/>
              <w:right w:val="single" w:sz="4" w:space="0" w:color="auto"/>
            </w:tcBorders>
            <w:noWrap/>
            <w:vAlign w:val="center"/>
            <w:hideMark/>
          </w:tcPr>
          <w:p w14:paraId="6B5C026D" w14:textId="77777777" w:rsidR="00DD6E45" w:rsidRPr="00DD6E45" w:rsidRDefault="00DD6E45" w:rsidP="00DD6E45">
            <w:pPr>
              <w:spacing w:before="40" w:after="40"/>
              <w:rPr>
                <w:rFonts w:cs="Segoe UI"/>
                <w:sz w:val="17"/>
                <w:szCs w:val="17"/>
              </w:rPr>
            </w:pPr>
            <w:r w:rsidRPr="00DD6E45">
              <w:rPr>
                <w:rFonts w:cs="Segoe UI"/>
                <w:sz w:val="17"/>
                <w:szCs w:val="17"/>
              </w:rPr>
              <w:t>Total credit exposure amount (post CCF and post-CRM)</w:t>
            </w:r>
          </w:p>
        </w:tc>
      </w:tr>
      <w:tr w:rsidR="00DD6E45" w:rsidRPr="00DD6E45" w14:paraId="35B87D15" w14:textId="77777777" w:rsidTr="00321677">
        <w:trPr>
          <w:trHeight w:val="283"/>
        </w:trPr>
        <w:tc>
          <w:tcPr>
            <w:tcW w:w="459" w:type="dxa"/>
            <w:tcBorders>
              <w:top w:val="nil"/>
              <w:left w:val="nil"/>
              <w:bottom w:val="single" w:sz="6" w:space="0" w:color="auto"/>
              <w:right w:val="single" w:sz="4" w:space="0" w:color="auto"/>
            </w:tcBorders>
            <w:hideMark/>
          </w:tcPr>
          <w:p w14:paraId="02605FCF" w14:textId="77777777" w:rsidR="00DD6E45" w:rsidRPr="00DD6E45" w:rsidRDefault="00DD6E45" w:rsidP="00DD6E45">
            <w:pPr>
              <w:spacing w:before="40" w:after="40"/>
              <w:rPr>
                <w:rFonts w:cs="Segoe UI"/>
                <w:sz w:val="17"/>
                <w:szCs w:val="17"/>
              </w:rPr>
            </w:pPr>
            <w:r w:rsidRPr="00DD6E45">
              <w:rPr>
                <w:rFonts w:cs="Segoe UI"/>
                <w:sz w:val="17"/>
                <w:szCs w:val="17"/>
              </w:rPr>
              <w:t>8</w:t>
            </w:r>
          </w:p>
        </w:tc>
        <w:tc>
          <w:tcPr>
            <w:tcW w:w="4292" w:type="dxa"/>
            <w:tcBorders>
              <w:top w:val="single" w:sz="4" w:space="0" w:color="auto"/>
              <w:left w:val="single" w:sz="4" w:space="0" w:color="auto"/>
              <w:bottom w:val="single" w:sz="4" w:space="0" w:color="auto"/>
              <w:right w:val="single" w:sz="4" w:space="0" w:color="auto"/>
            </w:tcBorders>
            <w:noWrap/>
            <w:hideMark/>
          </w:tcPr>
          <w:p w14:paraId="464840D8" w14:textId="77777777" w:rsidR="00DD6E45" w:rsidRPr="00DD6E45" w:rsidRDefault="00DD6E45" w:rsidP="00DD6E45">
            <w:pPr>
              <w:spacing w:before="40" w:after="40"/>
              <w:rPr>
                <w:rFonts w:cs="Segoe UI"/>
                <w:sz w:val="17"/>
                <w:szCs w:val="17"/>
              </w:rPr>
            </w:pPr>
            <w:r w:rsidRPr="00DD6E45">
              <w:rPr>
                <w:rFonts w:cs="Segoe UI"/>
                <w:sz w:val="17"/>
                <w:szCs w:val="17"/>
              </w:rPr>
              <w:t>Retail exposures</w:t>
            </w:r>
          </w:p>
        </w:tc>
        <w:tc>
          <w:tcPr>
            <w:tcW w:w="1574" w:type="dxa"/>
            <w:tcBorders>
              <w:top w:val="single" w:sz="4" w:space="0" w:color="auto"/>
              <w:left w:val="single" w:sz="4" w:space="0" w:color="auto"/>
              <w:bottom w:val="single" w:sz="4" w:space="0" w:color="auto"/>
              <w:right w:val="single" w:sz="4" w:space="0" w:color="auto"/>
            </w:tcBorders>
            <w:noWrap/>
            <w:vAlign w:val="center"/>
          </w:tcPr>
          <w:p w14:paraId="5CEC8499" w14:textId="77777777" w:rsidR="00DD6E45" w:rsidRPr="00DD6E45" w:rsidRDefault="00DD6E45" w:rsidP="00DD6E45">
            <w:pPr>
              <w:spacing w:before="40" w:after="40"/>
              <w:rPr>
                <w:rFonts w:cs="Segoe UI"/>
                <w:sz w:val="17"/>
                <w:szCs w:val="17"/>
              </w:rPr>
            </w:pPr>
          </w:p>
        </w:tc>
        <w:tc>
          <w:tcPr>
            <w:tcW w:w="1574" w:type="dxa"/>
            <w:tcBorders>
              <w:top w:val="single" w:sz="4" w:space="0" w:color="auto"/>
              <w:left w:val="single" w:sz="4" w:space="0" w:color="auto"/>
              <w:bottom w:val="single" w:sz="4" w:space="0" w:color="auto"/>
              <w:right w:val="single" w:sz="4" w:space="0" w:color="auto"/>
            </w:tcBorders>
            <w:noWrap/>
            <w:vAlign w:val="center"/>
          </w:tcPr>
          <w:p w14:paraId="78A7C229" w14:textId="77777777" w:rsidR="00DD6E45" w:rsidRPr="00DD6E45" w:rsidRDefault="00DD6E45" w:rsidP="00DD6E45">
            <w:pPr>
              <w:spacing w:before="40" w:after="40"/>
              <w:rPr>
                <w:rFonts w:cs="Segoe UI"/>
                <w:sz w:val="17"/>
                <w:szCs w:val="17"/>
              </w:rPr>
            </w:pPr>
          </w:p>
        </w:tc>
        <w:tc>
          <w:tcPr>
            <w:tcW w:w="1574" w:type="dxa"/>
            <w:tcBorders>
              <w:top w:val="single" w:sz="4" w:space="0" w:color="auto"/>
              <w:left w:val="single" w:sz="4" w:space="0" w:color="auto"/>
              <w:bottom w:val="single" w:sz="4" w:space="0" w:color="auto"/>
              <w:right w:val="single" w:sz="4" w:space="0" w:color="auto"/>
            </w:tcBorders>
            <w:vAlign w:val="center"/>
          </w:tcPr>
          <w:p w14:paraId="56D0A444" w14:textId="77777777" w:rsidR="00DD6E45" w:rsidRPr="00DD6E45" w:rsidRDefault="00DD6E45" w:rsidP="00DD6E45">
            <w:pPr>
              <w:spacing w:before="40" w:after="40"/>
              <w:rPr>
                <w:rFonts w:cs="Segoe UI"/>
                <w:sz w:val="17"/>
                <w:szCs w:val="17"/>
              </w:rPr>
            </w:pPr>
          </w:p>
        </w:tc>
        <w:tc>
          <w:tcPr>
            <w:tcW w:w="1575" w:type="dxa"/>
            <w:tcBorders>
              <w:top w:val="single" w:sz="4" w:space="0" w:color="auto"/>
              <w:left w:val="single" w:sz="4" w:space="0" w:color="auto"/>
              <w:bottom w:val="single" w:sz="4" w:space="0" w:color="auto"/>
              <w:right w:val="single" w:sz="4" w:space="0" w:color="auto"/>
            </w:tcBorders>
            <w:noWrap/>
            <w:vAlign w:val="center"/>
          </w:tcPr>
          <w:p w14:paraId="1D3AAAD5" w14:textId="77777777" w:rsidR="00DD6E45" w:rsidRPr="00DD6E45" w:rsidRDefault="00DD6E45" w:rsidP="00DD6E45">
            <w:pPr>
              <w:spacing w:before="40" w:after="40"/>
              <w:rPr>
                <w:rFonts w:cs="Segoe UI"/>
                <w:sz w:val="17"/>
                <w:szCs w:val="17"/>
              </w:rPr>
            </w:pPr>
          </w:p>
        </w:tc>
        <w:tc>
          <w:tcPr>
            <w:tcW w:w="3112" w:type="dxa"/>
            <w:tcBorders>
              <w:top w:val="single" w:sz="4" w:space="0" w:color="auto"/>
              <w:left w:val="single" w:sz="4" w:space="0" w:color="auto"/>
              <w:bottom w:val="single" w:sz="4" w:space="0" w:color="auto"/>
              <w:right w:val="single" w:sz="4" w:space="0" w:color="auto"/>
            </w:tcBorders>
            <w:noWrap/>
            <w:vAlign w:val="center"/>
          </w:tcPr>
          <w:p w14:paraId="6EB876F5" w14:textId="77777777" w:rsidR="00DD6E45" w:rsidRPr="00DD6E45" w:rsidRDefault="00DD6E45" w:rsidP="00DD6E45">
            <w:pPr>
              <w:spacing w:before="40" w:after="40"/>
              <w:rPr>
                <w:rFonts w:cs="Segoe UI"/>
                <w:sz w:val="17"/>
                <w:szCs w:val="17"/>
              </w:rPr>
            </w:pPr>
          </w:p>
        </w:tc>
      </w:tr>
    </w:tbl>
    <w:p w14:paraId="01A34DA6" w14:textId="77777777" w:rsidR="00DD6E45" w:rsidRPr="00DD6E45" w:rsidRDefault="00DD6E45" w:rsidP="00DD6E45">
      <w:pPr>
        <w:spacing w:before="40" w:after="40"/>
        <w:rPr>
          <w:rFonts w:cs="Segoe UI"/>
          <w:sz w:val="17"/>
          <w:szCs w:val="17"/>
        </w:rPr>
      </w:pPr>
    </w:p>
    <w:tbl>
      <w:tblPr>
        <w:tblW w:w="14160"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9"/>
        <w:gridCol w:w="4292"/>
        <w:gridCol w:w="3148"/>
        <w:gridCol w:w="3149"/>
        <w:gridCol w:w="3112"/>
      </w:tblGrid>
      <w:tr w:rsidR="00A13869" w:rsidRPr="00DD6E45" w14:paraId="61F448A8" w14:textId="77777777" w:rsidTr="003A79BA">
        <w:trPr>
          <w:trHeight w:val="283"/>
        </w:trPr>
        <w:tc>
          <w:tcPr>
            <w:tcW w:w="459" w:type="dxa"/>
            <w:tcBorders>
              <w:top w:val="single" w:sz="4" w:space="0" w:color="auto"/>
              <w:left w:val="nil"/>
              <w:bottom w:val="nil"/>
              <w:right w:val="single" w:sz="4" w:space="0" w:color="auto"/>
            </w:tcBorders>
          </w:tcPr>
          <w:p w14:paraId="262BE8F8" w14:textId="77777777" w:rsidR="00A13869" w:rsidRPr="00DD6E45" w:rsidRDefault="00A13869" w:rsidP="00A13869">
            <w:pPr>
              <w:spacing w:before="40" w:after="40"/>
              <w:rPr>
                <w:rFonts w:cs="Segoe UI"/>
                <w:sz w:val="17"/>
                <w:szCs w:val="17"/>
              </w:rPr>
            </w:pPr>
          </w:p>
        </w:tc>
        <w:tc>
          <w:tcPr>
            <w:tcW w:w="4292" w:type="dxa"/>
            <w:tcBorders>
              <w:top w:val="single" w:sz="4" w:space="0" w:color="auto"/>
              <w:left w:val="single" w:sz="4" w:space="0" w:color="auto"/>
              <w:bottom w:val="single" w:sz="4" w:space="0" w:color="auto"/>
              <w:right w:val="single" w:sz="4" w:space="0" w:color="auto"/>
            </w:tcBorders>
            <w:noWrap/>
          </w:tcPr>
          <w:p w14:paraId="7D953E84" w14:textId="77777777" w:rsidR="00A13869" w:rsidRPr="00DD6E45" w:rsidRDefault="00A13869" w:rsidP="00A13869">
            <w:pPr>
              <w:spacing w:before="40" w:after="40"/>
              <w:rPr>
                <w:rFonts w:cs="Segoe UI"/>
                <w:sz w:val="17"/>
                <w:szCs w:val="17"/>
              </w:rPr>
            </w:pPr>
          </w:p>
        </w:tc>
        <w:tc>
          <w:tcPr>
            <w:tcW w:w="3148" w:type="dxa"/>
            <w:tcBorders>
              <w:top w:val="single" w:sz="4" w:space="0" w:color="auto"/>
              <w:left w:val="single" w:sz="4" w:space="0" w:color="auto"/>
              <w:bottom w:val="single" w:sz="4" w:space="0" w:color="auto"/>
              <w:right w:val="single" w:sz="4" w:space="0" w:color="auto"/>
            </w:tcBorders>
            <w:noWrap/>
            <w:vAlign w:val="center"/>
          </w:tcPr>
          <w:p w14:paraId="618C58A5" w14:textId="1F257F11" w:rsidR="00A13869" w:rsidRPr="00DD6E45" w:rsidRDefault="00A13869" w:rsidP="003A79BA">
            <w:pPr>
              <w:spacing w:before="40" w:after="40"/>
              <w:jc w:val="center"/>
              <w:rPr>
                <w:rFonts w:cs="Segoe UI"/>
                <w:sz w:val="17"/>
                <w:szCs w:val="17"/>
              </w:rPr>
            </w:pPr>
            <w:r w:rsidRPr="00DD6E45">
              <w:rPr>
                <w:rFonts w:cs="Segoe UI"/>
                <w:sz w:val="17"/>
                <w:szCs w:val="17"/>
              </w:rPr>
              <w:t>0%</w:t>
            </w:r>
          </w:p>
        </w:tc>
        <w:tc>
          <w:tcPr>
            <w:tcW w:w="3149" w:type="dxa"/>
            <w:tcBorders>
              <w:top w:val="single" w:sz="4" w:space="0" w:color="auto"/>
              <w:left w:val="single" w:sz="4" w:space="0" w:color="auto"/>
              <w:bottom w:val="single" w:sz="4" w:space="0" w:color="auto"/>
              <w:right w:val="single" w:sz="4" w:space="0" w:color="auto"/>
            </w:tcBorders>
            <w:vAlign w:val="center"/>
          </w:tcPr>
          <w:p w14:paraId="6031942C" w14:textId="77777777" w:rsidR="00A13869" w:rsidRPr="00DD6E45" w:rsidRDefault="00A13869" w:rsidP="003A79BA">
            <w:pPr>
              <w:spacing w:before="40" w:after="40"/>
              <w:jc w:val="center"/>
              <w:rPr>
                <w:rFonts w:cs="Segoe UI"/>
                <w:sz w:val="17"/>
                <w:szCs w:val="17"/>
              </w:rPr>
            </w:pPr>
            <w:r w:rsidRPr="00DD6E45">
              <w:rPr>
                <w:rFonts w:cs="Segoe UI"/>
                <w:sz w:val="17"/>
                <w:szCs w:val="17"/>
              </w:rPr>
              <w:t>Other</w:t>
            </w:r>
          </w:p>
        </w:tc>
        <w:tc>
          <w:tcPr>
            <w:tcW w:w="3112" w:type="dxa"/>
            <w:tcBorders>
              <w:top w:val="single" w:sz="4" w:space="0" w:color="auto"/>
              <w:left w:val="single" w:sz="4" w:space="0" w:color="auto"/>
              <w:bottom w:val="single" w:sz="4" w:space="0" w:color="auto"/>
              <w:right w:val="single" w:sz="4" w:space="0" w:color="auto"/>
            </w:tcBorders>
            <w:noWrap/>
            <w:vAlign w:val="center"/>
            <w:hideMark/>
          </w:tcPr>
          <w:p w14:paraId="690E3AD7" w14:textId="77777777" w:rsidR="00A13869" w:rsidRPr="00DD6E45" w:rsidRDefault="00A13869" w:rsidP="00A13869">
            <w:pPr>
              <w:spacing w:before="40" w:after="40"/>
              <w:rPr>
                <w:rFonts w:cs="Segoe UI"/>
                <w:sz w:val="17"/>
                <w:szCs w:val="17"/>
              </w:rPr>
            </w:pPr>
            <w:r w:rsidRPr="00DD6E45">
              <w:rPr>
                <w:rFonts w:cs="Segoe UI"/>
                <w:sz w:val="17"/>
                <w:szCs w:val="17"/>
              </w:rPr>
              <w:t>Total credit exposure amount (post-CCF and post-CRM)</w:t>
            </w:r>
          </w:p>
        </w:tc>
      </w:tr>
      <w:tr w:rsidR="00A13869" w:rsidRPr="00DD6E45" w14:paraId="379D46C4" w14:textId="77777777" w:rsidTr="00321677">
        <w:trPr>
          <w:trHeight w:val="283"/>
        </w:trPr>
        <w:tc>
          <w:tcPr>
            <w:tcW w:w="459" w:type="dxa"/>
            <w:tcBorders>
              <w:top w:val="nil"/>
              <w:left w:val="nil"/>
              <w:bottom w:val="single" w:sz="4" w:space="0" w:color="auto"/>
              <w:right w:val="single" w:sz="4" w:space="0" w:color="auto"/>
            </w:tcBorders>
            <w:hideMark/>
          </w:tcPr>
          <w:p w14:paraId="73944D37" w14:textId="77777777" w:rsidR="00A13869" w:rsidRPr="00DD6E45" w:rsidRDefault="00A13869" w:rsidP="00A13869">
            <w:pPr>
              <w:spacing w:before="40" w:after="40"/>
              <w:rPr>
                <w:rFonts w:cs="Segoe UI"/>
                <w:sz w:val="17"/>
                <w:szCs w:val="17"/>
              </w:rPr>
            </w:pPr>
            <w:r w:rsidRPr="00DD6E45">
              <w:rPr>
                <w:rFonts w:cs="Segoe UI"/>
                <w:sz w:val="17"/>
                <w:szCs w:val="17"/>
              </w:rPr>
              <w:t>8a</w:t>
            </w:r>
          </w:p>
        </w:tc>
        <w:tc>
          <w:tcPr>
            <w:tcW w:w="4292" w:type="dxa"/>
            <w:tcBorders>
              <w:top w:val="single" w:sz="4" w:space="0" w:color="auto"/>
              <w:left w:val="single" w:sz="4" w:space="0" w:color="auto"/>
              <w:bottom w:val="single" w:sz="4" w:space="0" w:color="auto"/>
              <w:right w:val="single" w:sz="4" w:space="0" w:color="auto"/>
            </w:tcBorders>
            <w:noWrap/>
            <w:hideMark/>
          </w:tcPr>
          <w:p w14:paraId="1B631E4F" w14:textId="7C8868CB" w:rsidR="00A13869" w:rsidRPr="00DD6E45" w:rsidRDefault="00A13869" w:rsidP="00A13869">
            <w:pPr>
              <w:spacing w:before="40" w:after="40"/>
              <w:rPr>
                <w:rFonts w:cs="Segoe UI"/>
                <w:sz w:val="17"/>
                <w:szCs w:val="17"/>
              </w:rPr>
            </w:pPr>
            <w:r w:rsidRPr="00DD6E45">
              <w:rPr>
                <w:rFonts w:cs="Segoe UI"/>
                <w:sz w:val="17"/>
                <w:szCs w:val="17"/>
              </w:rPr>
              <w:t>Exposures arising from IPO financing</w:t>
            </w:r>
          </w:p>
        </w:tc>
        <w:tc>
          <w:tcPr>
            <w:tcW w:w="3148" w:type="dxa"/>
            <w:tcBorders>
              <w:top w:val="single" w:sz="4" w:space="0" w:color="auto"/>
              <w:left w:val="single" w:sz="4" w:space="0" w:color="auto"/>
              <w:bottom w:val="single" w:sz="4" w:space="0" w:color="auto"/>
              <w:right w:val="single" w:sz="4" w:space="0" w:color="auto"/>
            </w:tcBorders>
            <w:noWrap/>
          </w:tcPr>
          <w:p w14:paraId="448E82C2" w14:textId="77777777" w:rsidR="00A13869" w:rsidRPr="00DD6E45" w:rsidRDefault="00A13869" w:rsidP="00A13869">
            <w:pPr>
              <w:spacing w:before="40" w:after="40"/>
              <w:rPr>
                <w:rFonts w:cs="Segoe UI"/>
                <w:sz w:val="17"/>
                <w:szCs w:val="17"/>
              </w:rPr>
            </w:pPr>
          </w:p>
        </w:tc>
        <w:tc>
          <w:tcPr>
            <w:tcW w:w="3149" w:type="dxa"/>
            <w:tcBorders>
              <w:top w:val="single" w:sz="4" w:space="0" w:color="auto"/>
              <w:left w:val="single" w:sz="4" w:space="0" w:color="auto"/>
              <w:bottom w:val="single" w:sz="4" w:space="0" w:color="auto"/>
              <w:right w:val="single" w:sz="4" w:space="0" w:color="auto"/>
            </w:tcBorders>
          </w:tcPr>
          <w:p w14:paraId="2A3B1FF3" w14:textId="77777777" w:rsidR="00A13869" w:rsidRPr="00DD6E45" w:rsidRDefault="00A13869" w:rsidP="00A13869">
            <w:pPr>
              <w:spacing w:before="40" w:after="40"/>
              <w:rPr>
                <w:rFonts w:cs="Segoe UI"/>
                <w:sz w:val="17"/>
                <w:szCs w:val="17"/>
              </w:rPr>
            </w:pPr>
          </w:p>
        </w:tc>
        <w:tc>
          <w:tcPr>
            <w:tcW w:w="3112" w:type="dxa"/>
            <w:tcBorders>
              <w:top w:val="single" w:sz="4" w:space="0" w:color="auto"/>
              <w:left w:val="single" w:sz="4" w:space="0" w:color="auto"/>
              <w:bottom w:val="single" w:sz="4" w:space="0" w:color="auto"/>
              <w:right w:val="single" w:sz="4" w:space="0" w:color="auto"/>
            </w:tcBorders>
            <w:noWrap/>
          </w:tcPr>
          <w:p w14:paraId="39456E17" w14:textId="77777777" w:rsidR="00A13869" w:rsidRPr="00DD6E45" w:rsidRDefault="00A13869" w:rsidP="00A13869">
            <w:pPr>
              <w:spacing w:before="40" w:after="40"/>
              <w:rPr>
                <w:rFonts w:cs="Segoe UI"/>
                <w:sz w:val="17"/>
                <w:szCs w:val="17"/>
              </w:rPr>
            </w:pPr>
          </w:p>
        </w:tc>
      </w:tr>
    </w:tbl>
    <w:p w14:paraId="19CDEAA9" w14:textId="5A47DC38" w:rsidR="00C37C6E" w:rsidRDefault="00C37C6E" w:rsidP="00DD6E45">
      <w:pPr>
        <w:spacing w:before="40" w:after="40"/>
        <w:rPr>
          <w:rFonts w:cs="Segoe UI"/>
          <w:sz w:val="17"/>
          <w:szCs w:val="17"/>
        </w:rPr>
      </w:pPr>
    </w:p>
    <w:tbl>
      <w:tblPr>
        <w:tblStyle w:val="TableGrid"/>
        <w:tblW w:w="14197" w:type="dxa"/>
        <w:tblInd w:w="108" w:type="dxa"/>
        <w:tblLayout w:type="fixed"/>
        <w:tblLook w:val="04A0" w:firstRow="1" w:lastRow="0" w:firstColumn="1" w:lastColumn="0" w:noHBand="0" w:noVBand="1"/>
      </w:tblPr>
      <w:tblGrid>
        <w:gridCol w:w="461"/>
        <w:gridCol w:w="2694"/>
        <w:gridCol w:w="484"/>
        <w:gridCol w:w="485"/>
        <w:gridCol w:w="484"/>
        <w:gridCol w:w="485"/>
        <w:gridCol w:w="484"/>
        <w:gridCol w:w="485"/>
        <w:gridCol w:w="484"/>
        <w:gridCol w:w="485"/>
        <w:gridCol w:w="484"/>
        <w:gridCol w:w="485"/>
        <w:gridCol w:w="484"/>
        <w:gridCol w:w="485"/>
        <w:gridCol w:w="484"/>
        <w:gridCol w:w="485"/>
        <w:gridCol w:w="493"/>
        <w:gridCol w:w="493"/>
        <w:gridCol w:w="493"/>
        <w:gridCol w:w="493"/>
        <w:gridCol w:w="737"/>
        <w:gridCol w:w="1550"/>
      </w:tblGrid>
      <w:tr w:rsidR="00FE6580" w:rsidRPr="00C37C6E" w14:paraId="14C43493" w14:textId="77777777" w:rsidTr="003A79BA">
        <w:trPr>
          <w:tblHeader/>
        </w:trPr>
        <w:tc>
          <w:tcPr>
            <w:tcW w:w="461" w:type="dxa"/>
            <w:tcBorders>
              <w:left w:val="nil"/>
            </w:tcBorders>
          </w:tcPr>
          <w:p w14:paraId="561053AA" w14:textId="77777777" w:rsidR="00C37C6E" w:rsidRPr="00C37C6E" w:rsidRDefault="00C37C6E" w:rsidP="00C37C6E">
            <w:pPr>
              <w:spacing w:before="40" w:after="40"/>
              <w:rPr>
                <w:rFonts w:cs="Segoe UI"/>
                <w:sz w:val="17"/>
                <w:szCs w:val="17"/>
              </w:rPr>
            </w:pPr>
          </w:p>
        </w:tc>
        <w:tc>
          <w:tcPr>
            <w:tcW w:w="2694" w:type="dxa"/>
          </w:tcPr>
          <w:p w14:paraId="4B668456" w14:textId="77777777" w:rsidR="00C37C6E" w:rsidRPr="00C37C6E" w:rsidRDefault="00C37C6E" w:rsidP="00C37C6E">
            <w:pPr>
              <w:spacing w:before="40" w:after="40"/>
              <w:rPr>
                <w:rFonts w:cs="Segoe UI"/>
                <w:sz w:val="17"/>
                <w:szCs w:val="17"/>
              </w:rPr>
            </w:pPr>
          </w:p>
        </w:tc>
        <w:tc>
          <w:tcPr>
            <w:tcW w:w="484" w:type="dxa"/>
          </w:tcPr>
          <w:p w14:paraId="36EFC071" w14:textId="317226BF" w:rsidR="00C37C6E" w:rsidRPr="00C37C6E" w:rsidRDefault="00C37C6E" w:rsidP="003A79BA">
            <w:pPr>
              <w:spacing w:before="40" w:after="40"/>
              <w:jc w:val="center"/>
              <w:rPr>
                <w:rFonts w:cs="Segoe UI"/>
                <w:sz w:val="17"/>
                <w:szCs w:val="17"/>
              </w:rPr>
            </w:pPr>
            <w:r w:rsidRPr="00C37C6E">
              <w:rPr>
                <w:sz w:val="17"/>
                <w:szCs w:val="17"/>
              </w:rPr>
              <w:t>0  %</w:t>
            </w:r>
          </w:p>
        </w:tc>
        <w:tc>
          <w:tcPr>
            <w:tcW w:w="485" w:type="dxa"/>
          </w:tcPr>
          <w:p w14:paraId="26B689CA" w14:textId="034537CB" w:rsidR="00C37C6E" w:rsidRPr="00C37C6E" w:rsidRDefault="00C37C6E" w:rsidP="003A79BA">
            <w:pPr>
              <w:spacing w:before="40" w:after="40"/>
              <w:jc w:val="center"/>
              <w:rPr>
                <w:rFonts w:cs="Segoe UI"/>
                <w:sz w:val="17"/>
                <w:szCs w:val="17"/>
              </w:rPr>
            </w:pPr>
            <w:r w:rsidRPr="00C37C6E">
              <w:rPr>
                <w:sz w:val="17"/>
                <w:szCs w:val="17"/>
              </w:rPr>
              <w:t>20%</w:t>
            </w:r>
          </w:p>
        </w:tc>
        <w:tc>
          <w:tcPr>
            <w:tcW w:w="484" w:type="dxa"/>
          </w:tcPr>
          <w:p w14:paraId="43D0E2F3" w14:textId="117A2863" w:rsidR="00C37C6E" w:rsidRPr="00C37C6E" w:rsidRDefault="00C37C6E" w:rsidP="003A79BA">
            <w:pPr>
              <w:spacing w:before="40" w:after="40"/>
              <w:jc w:val="center"/>
              <w:rPr>
                <w:rFonts w:cs="Segoe UI"/>
                <w:sz w:val="17"/>
                <w:szCs w:val="17"/>
              </w:rPr>
            </w:pPr>
            <w:r w:rsidRPr="00C37C6E">
              <w:rPr>
                <w:sz w:val="17"/>
                <w:szCs w:val="17"/>
              </w:rPr>
              <w:t>25%</w:t>
            </w:r>
          </w:p>
        </w:tc>
        <w:tc>
          <w:tcPr>
            <w:tcW w:w="485" w:type="dxa"/>
          </w:tcPr>
          <w:p w14:paraId="3F9F5294" w14:textId="166C15F1" w:rsidR="00C37C6E" w:rsidRPr="00C37C6E" w:rsidRDefault="00C37C6E" w:rsidP="003A79BA">
            <w:pPr>
              <w:spacing w:before="40" w:after="40"/>
              <w:jc w:val="center"/>
              <w:rPr>
                <w:rFonts w:cs="Segoe UI"/>
                <w:sz w:val="17"/>
                <w:szCs w:val="17"/>
              </w:rPr>
            </w:pPr>
            <w:r w:rsidRPr="00C37C6E">
              <w:rPr>
                <w:sz w:val="17"/>
                <w:szCs w:val="17"/>
              </w:rPr>
              <w:t>30%</w:t>
            </w:r>
          </w:p>
        </w:tc>
        <w:tc>
          <w:tcPr>
            <w:tcW w:w="484" w:type="dxa"/>
          </w:tcPr>
          <w:p w14:paraId="5E2FCA7C" w14:textId="4B927CF7" w:rsidR="00C37C6E" w:rsidRPr="00C37C6E" w:rsidRDefault="00C37C6E" w:rsidP="003A79BA">
            <w:pPr>
              <w:spacing w:before="40" w:after="40"/>
              <w:jc w:val="center"/>
              <w:rPr>
                <w:rFonts w:cs="Segoe UI"/>
                <w:sz w:val="17"/>
                <w:szCs w:val="17"/>
              </w:rPr>
            </w:pPr>
            <w:r w:rsidRPr="00C37C6E">
              <w:rPr>
                <w:sz w:val="17"/>
                <w:szCs w:val="17"/>
              </w:rPr>
              <w:t>35%</w:t>
            </w:r>
          </w:p>
        </w:tc>
        <w:tc>
          <w:tcPr>
            <w:tcW w:w="485" w:type="dxa"/>
          </w:tcPr>
          <w:p w14:paraId="6A77E544" w14:textId="4DD0F555" w:rsidR="00C37C6E" w:rsidRPr="00C37C6E" w:rsidRDefault="00C37C6E" w:rsidP="003A79BA">
            <w:pPr>
              <w:spacing w:before="40" w:after="40"/>
              <w:jc w:val="center"/>
              <w:rPr>
                <w:rFonts w:cs="Segoe UI"/>
                <w:sz w:val="17"/>
                <w:szCs w:val="17"/>
              </w:rPr>
            </w:pPr>
            <w:r w:rsidRPr="00C37C6E">
              <w:rPr>
                <w:sz w:val="17"/>
                <w:szCs w:val="17"/>
              </w:rPr>
              <w:t>40%</w:t>
            </w:r>
          </w:p>
        </w:tc>
        <w:tc>
          <w:tcPr>
            <w:tcW w:w="484" w:type="dxa"/>
          </w:tcPr>
          <w:p w14:paraId="14A342F7" w14:textId="6460A368" w:rsidR="00C37C6E" w:rsidRPr="00C37C6E" w:rsidRDefault="00C37C6E" w:rsidP="003A79BA">
            <w:pPr>
              <w:spacing w:before="40" w:after="40"/>
              <w:jc w:val="center"/>
              <w:rPr>
                <w:rFonts w:cs="Segoe UI"/>
                <w:sz w:val="17"/>
                <w:szCs w:val="17"/>
              </w:rPr>
            </w:pPr>
            <w:r w:rsidRPr="00C37C6E">
              <w:rPr>
                <w:sz w:val="17"/>
                <w:szCs w:val="17"/>
              </w:rPr>
              <w:t>45%</w:t>
            </w:r>
          </w:p>
        </w:tc>
        <w:tc>
          <w:tcPr>
            <w:tcW w:w="485" w:type="dxa"/>
          </w:tcPr>
          <w:p w14:paraId="564CA85D" w14:textId="6A69AB57" w:rsidR="00C37C6E" w:rsidRPr="00C37C6E" w:rsidRDefault="00C37C6E" w:rsidP="003A79BA">
            <w:pPr>
              <w:spacing w:before="40" w:after="40"/>
              <w:jc w:val="center"/>
              <w:rPr>
                <w:rFonts w:cs="Segoe UI"/>
                <w:sz w:val="17"/>
                <w:szCs w:val="17"/>
              </w:rPr>
            </w:pPr>
            <w:r w:rsidRPr="00C37C6E">
              <w:rPr>
                <w:sz w:val="17"/>
                <w:szCs w:val="17"/>
              </w:rPr>
              <w:t>50%</w:t>
            </w:r>
          </w:p>
        </w:tc>
        <w:tc>
          <w:tcPr>
            <w:tcW w:w="484" w:type="dxa"/>
          </w:tcPr>
          <w:p w14:paraId="55E3DF2F" w14:textId="72DF0B49" w:rsidR="00C37C6E" w:rsidRPr="00C37C6E" w:rsidRDefault="00C37C6E" w:rsidP="003A79BA">
            <w:pPr>
              <w:spacing w:before="40" w:after="40"/>
              <w:jc w:val="center"/>
              <w:rPr>
                <w:rFonts w:cs="Segoe UI"/>
                <w:sz w:val="17"/>
                <w:szCs w:val="17"/>
              </w:rPr>
            </w:pPr>
            <w:r w:rsidRPr="00C37C6E">
              <w:rPr>
                <w:sz w:val="17"/>
                <w:szCs w:val="17"/>
              </w:rPr>
              <w:t>60%</w:t>
            </w:r>
          </w:p>
        </w:tc>
        <w:tc>
          <w:tcPr>
            <w:tcW w:w="485" w:type="dxa"/>
          </w:tcPr>
          <w:p w14:paraId="21F60164" w14:textId="71C0D1D3" w:rsidR="00C37C6E" w:rsidRPr="00C37C6E" w:rsidRDefault="00C37C6E" w:rsidP="003A79BA">
            <w:pPr>
              <w:spacing w:before="40" w:after="40"/>
              <w:jc w:val="center"/>
              <w:rPr>
                <w:rFonts w:cs="Segoe UI"/>
                <w:sz w:val="17"/>
                <w:szCs w:val="17"/>
              </w:rPr>
            </w:pPr>
            <w:r w:rsidRPr="00C37C6E">
              <w:rPr>
                <w:sz w:val="17"/>
                <w:szCs w:val="17"/>
              </w:rPr>
              <w:t>65%</w:t>
            </w:r>
          </w:p>
        </w:tc>
        <w:tc>
          <w:tcPr>
            <w:tcW w:w="484" w:type="dxa"/>
          </w:tcPr>
          <w:p w14:paraId="75A021B5" w14:textId="0D3E717C" w:rsidR="00C37C6E" w:rsidRPr="00C37C6E" w:rsidRDefault="00C37C6E" w:rsidP="003A79BA">
            <w:pPr>
              <w:spacing w:before="40" w:after="40"/>
              <w:jc w:val="center"/>
              <w:rPr>
                <w:rFonts w:cs="Segoe UI"/>
                <w:sz w:val="17"/>
                <w:szCs w:val="17"/>
              </w:rPr>
            </w:pPr>
            <w:r w:rsidRPr="00C37C6E">
              <w:rPr>
                <w:sz w:val="17"/>
                <w:szCs w:val="17"/>
              </w:rPr>
              <w:t>70%</w:t>
            </w:r>
          </w:p>
        </w:tc>
        <w:tc>
          <w:tcPr>
            <w:tcW w:w="485" w:type="dxa"/>
          </w:tcPr>
          <w:p w14:paraId="1B3A086E" w14:textId="2F944FD4" w:rsidR="00C37C6E" w:rsidRPr="00C37C6E" w:rsidRDefault="00C37C6E" w:rsidP="003A79BA">
            <w:pPr>
              <w:spacing w:before="40" w:after="40"/>
              <w:jc w:val="center"/>
              <w:rPr>
                <w:rFonts w:cs="Segoe UI"/>
                <w:sz w:val="17"/>
                <w:szCs w:val="17"/>
              </w:rPr>
            </w:pPr>
            <w:r w:rsidRPr="00C37C6E">
              <w:rPr>
                <w:sz w:val="17"/>
                <w:szCs w:val="17"/>
              </w:rPr>
              <w:t>75%</w:t>
            </w:r>
          </w:p>
        </w:tc>
        <w:tc>
          <w:tcPr>
            <w:tcW w:w="484" w:type="dxa"/>
          </w:tcPr>
          <w:p w14:paraId="1C621830" w14:textId="67C7512E" w:rsidR="00C37C6E" w:rsidRPr="00C37C6E" w:rsidRDefault="00C37C6E" w:rsidP="003A79BA">
            <w:pPr>
              <w:spacing w:before="40" w:after="40"/>
              <w:jc w:val="center"/>
              <w:rPr>
                <w:rFonts w:cs="Segoe UI"/>
                <w:sz w:val="17"/>
                <w:szCs w:val="17"/>
              </w:rPr>
            </w:pPr>
            <w:r w:rsidRPr="00C37C6E">
              <w:rPr>
                <w:sz w:val="17"/>
                <w:szCs w:val="17"/>
              </w:rPr>
              <w:t>85%</w:t>
            </w:r>
          </w:p>
        </w:tc>
        <w:tc>
          <w:tcPr>
            <w:tcW w:w="485" w:type="dxa"/>
          </w:tcPr>
          <w:p w14:paraId="7A46B410" w14:textId="64823164" w:rsidR="00C37C6E" w:rsidRPr="00C37C6E" w:rsidRDefault="00C37C6E" w:rsidP="003A79BA">
            <w:pPr>
              <w:spacing w:before="40" w:after="40"/>
              <w:jc w:val="center"/>
              <w:rPr>
                <w:rFonts w:cs="Segoe UI"/>
                <w:sz w:val="17"/>
                <w:szCs w:val="17"/>
              </w:rPr>
            </w:pPr>
            <w:r w:rsidRPr="00C37C6E">
              <w:rPr>
                <w:sz w:val="17"/>
                <w:szCs w:val="17"/>
              </w:rPr>
              <w:t>90%</w:t>
            </w:r>
          </w:p>
        </w:tc>
        <w:tc>
          <w:tcPr>
            <w:tcW w:w="493" w:type="dxa"/>
          </w:tcPr>
          <w:p w14:paraId="0576C6B9" w14:textId="71ADC7CE" w:rsidR="00C37C6E" w:rsidRPr="00C37C6E" w:rsidRDefault="00C37C6E" w:rsidP="003A79BA">
            <w:pPr>
              <w:spacing w:before="40" w:after="40"/>
              <w:jc w:val="center"/>
              <w:rPr>
                <w:rFonts w:cs="Segoe UI"/>
                <w:sz w:val="17"/>
                <w:szCs w:val="17"/>
              </w:rPr>
            </w:pPr>
            <w:r w:rsidRPr="00C37C6E">
              <w:rPr>
                <w:sz w:val="17"/>
                <w:szCs w:val="17"/>
              </w:rPr>
              <w:t>100%</w:t>
            </w:r>
          </w:p>
        </w:tc>
        <w:tc>
          <w:tcPr>
            <w:tcW w:w="493" w:type="dxa"/>
          </w:tcPr>
          <w:p w14:paraId="38B252E4" w14:textId="32D71B0E" w:rsidR="00C37C6E" w:rsidRPr="00C37C6E" w:rsidRDefault="00C37C6E" w:rsidP="003A79BA">
            <w:pPr>
              <w:spacing w:before="40" w:after="40"/>
              <w:jc w:val="center"/>
              <w:rPr>
                <w:rFonts w:cs="Segoe UI"/>
                <w:sz w:val="17"/>
                <w:szCs w:val="17"/>
              </w:rPr>
            </w:pPr>
            <w:r w:rsidRPr="00C37C6E">
              <w:rPr>
                <w:sz w:val="17"/>
                <w:szCs w:val="17"/>
              </w:rPr>
              <w:t>105%</w:t>
            </w:r>
          </w:p>
        </w:tc>
        <w:tc>
          <w:tcPr>
            <w:tcW w:w="493" w:type="dxa"/>
          </w:tcPr>
          <w:p w14:paraId="2C22CAB3" w14:textId="0135AD40" w:rsidR="00C37C6E" w:rsidRPr="00C37C6E" w:rsidRDefault="00C37C6E" w:rsidP="003A79BA">
            <w:pPr>
              <w:spacing w:before="40" w:after="40"/>
              <w:jc w:val="center"/>
              <w:rPr>
                <w:rFonts w:cs="Segoe UI"/>
                <w:sz w:val="17"/>
                <w:szCs w:val="17"/>
              </w:rPr>
            </w:pPr>
            <w:r w:rsidRPr="00C37C6E">
              <w:rPr>
                <w:sz w:val="17"/>
                <w:szCs w:val="17"/>
              </w:rPr>
              <w:t>110%</w:t>
            </w:r>
          </w:p>
        </w:tc>
        <w:tc>
          <w:tcPr>
            <w:tcW w:w="493" w:type="dxa"/>
          </w:tcPr>
          <w:p w14:paraId="4DC6EEA6" w14:textId="03441678" w:rsidR="00C37C6E" w:rsidRPr="00C37C6E" w:rsidRDefault="00C37C6E" w:rsidP="003A79BA">
            <w:pPr>
              <w:spacing w:before="40" w:after="40"/>
              <w:jc w:val="center"/>
              <w:rPr>
                <w:rFonts w:cs="Segoe UI"/>
                <w:sz w:val="17"/>
                <w:szCs w:val="17"/>
              </w:rPr>
            </w:pPr>
            <w:r w:rsidRPr="00C37C6E">
              <w:rPr>
                <w:sz w:val="17"/>
                <w:szCs w:val="17"/>
              </w:rPr>
              <w:t>150%</w:t>
            </w:r>
          </w:p>
        </w:tc>
        <w:tc>
          <w:tcPr>
            <w:tcW w:w="737" w:type="dxa"/>
          </w:tcPr>
          <w:p w14:paraId="63BE23EE" w14:textId="661E9F22" w:rsidR="00C37C6E" w:rsidRPr="00C37C6E" w:rsidRDefault="00C37C6E" w:rsidP="003A79BA">
            <w:pPr>
              <w:spacing w:before="40" w:after="40"/>
              <w:jc w:val="center"/>
              <w:rPr>
                <w:rFonts w:cs="Segoe UI"/>
                <w:sz w:val="17"/>
                <w:szCs w:val="17"/>
              </w:rPr>
            </w:pPr>
            <w:r w:rsidRPr="00C37C6E">
              <w:rPr>
                <w:sz w:val="17"/>
                <w:szCs w:val="17"/>
              </w:rPr>
              <w:t>Other</w:t>
            </w:r>
          </w:p>
        </w:tc>
        <w:tc>
          <w:tcPr>
            <w:tcW w:w="1550" w:type="dxa"/>
          </w:tcPr>
          <w:p w14:paraId="10754232" w14:textId="3FCBC0C4" w:rsidR="00C37C6E" w:rsidRPr="00C37C6E" w:rsidRDefault="00C37C6E" w:rsidP="00C37C6E">
            <w:pPr>
              <w:spacing w:before="40" w:after="40"/>
              <w:rPr>
                <w:rFonts w:cs="Segoe UI"/>
                <w:sz w:val="17"/>
                <w:szCs w:val="17"/>
              </w:rPr>
            </w:pPr>
            <w:r w:rsidRPr="00C37C6E">
              <w:rPr>
                <w:sz w:val="17"/>
                <w:szCs w:val="17"/>
              </w:rPr>
              <w:t xml:space="preserve">Total credit exposure amount (post-CCF and post-CRM) </w:t>
            </w:r>
          </w:p>
        </w:tc>
      </w:tr>
      <w:tr w:rsidR="00FE6580" w:rsidRPr="00C37C6E" w14:paraId="1EABF52A" w14:textId="77777777" w:rsidTr="00305D4E">
        <w:tc>
          <w:tcPr>
            <w:tcW w:w="461" w:type="dxa"/>
            <w:tcBorders>
              <w:left w:val="nil"/>
            </w:tcBorders>
          </w:tcPr>
          <w:p w14:paraId="2F690346" w14:textId="37EEBDCA" w:rsidR="00780F11" w:rsidRPr="00C37C6E" w:rsidRDefault="00780F11" w:rsidP="00780F11">
            <w:pPr>
              <w:spacing w:before="40" w:after="40"/>
              <w:rPr>
                <w:rFonts w:cs="Segoe UI"/>
                <w:sz w:val="17"/>
                <w:szCs w:val="17"/>
              </w:rPr>
            </w:pPr>
            <w:r w:rsidRPr="00DD6E45">
              <w:rPr>
                <w:rFonts w:cs="Segoe UI"/>
                <w:sz w:val="17"/>
                <w:szCs w:val="17"/>
              </w:rPr>
              <w:t>9</w:t>
            </w:r>
          </w:p>
        </w:tc>
        <w:tc>
          <w:tcPr>
            <w:tcW w:w="2694" w:type="dxa"/>
          </w:tcPr>
          <w:p w14:paraId="39049067" w14:textId="77777777" w:rsidR="00780F11" w:rsidRDefault="00780F11" w:rsidP="00780F11">
            <w:pPr>
              <w:spacing w:before="40" w:after="40"/>
              <w:rPr>
                <w:rFonts w:cs="Segoe UI"/>
                <w:sz w:val="17"/>
                <w:szCs w:val="17"/>
              </w:rPr>
            </w:pPr>
            <w:r w:rsidRPr="00DD6E45">
              <w:rPr>
                <w:rFonts w:cs="Segoe UI"/>
                <w:sz w:val="17"/>
                <w:szCs w:val="17"/>
              </w:rPr>
              <w:t>Real estate exposures</w:t>
            </w:r>
          </w:p>
          <w:p w14:paraId="6AAF5ED5" w14:textId="6D5034C0" w:rsidR="00F3469D" w:rsidRPr="00C37C6E" w:rsidRDefault="00F3469D" w:rsidP="00780F11">
            <w:pPr>
              <w:spacing w:before="40" w:after="40"/>
              <w:rPr>
                <w:rFonts w:cs="Segoe UI"/>
                <w:sz w:val="17"/>
                <w:szCs w:val="17"/>
              </w:rPr>
            </w:pPr>
          </w:p>
        </w:tc>
        <w:tc>
          <w:tcPr>
            <w:tcW w:w="484" w:type="dxa"/>
          </w:tcPr>
          <w:p w14:paraId="64D5F961" w14:textId="77777777" w:rsidR="00780F11" w:rsidRPr="00C37C6E" w:rsidRDefault="00780F11" w:rsidP="00780F11">
            <w:pPr>
              <w:spacing w:before="40" w:after="40"/>
              <w:rPr>
                <w:rFonts w:cs="Segoe UI"/>
                <w:sz w:val="17"/>
                <w:szCs w:val="17"/>
              </w:rPr>
            </w:pPr>
          </w:p>
        </w:tc>
        <w:tc>
          <w:tcPr>
            <w:tcW w:w="485" w:type="dxa"/>
          </w:tcPr>
          <w:p w14:paraId="7FCCDC92" w14:textId="77777777" w:rsidR="00780F11" w:rsidRPr="00C37C6E" w:rsidRDefault="00780F11" w:rsidP="00780F11">
            <w:pPr>
              <w:spacing w:before="40" w:after="40"/>
              <w:rPr>
                <w:rFonts w:cs="Segoe UI"/>
                <w:sz w:val="17"/>
                <w:szCs w:val="17"/>
              </w:rPr>
            </w:pPr>
          </w:p>
        </w:tc>
        <w:tc>
          <w:tcPr>
            <w:tcW w:w="484" w:type="dxa"/>
          </w:tcPr>
          <w:p w14:paraId="7136C12D" w14:textId="77777777" w:rsidR="00780F11" w:rsidRPr="00C37C6E" w:rsidRDefault="00780F11" w:rsidP="00780F11">
            <w:pPr>
              <w:spacing w:before="40" w:after="40"/>
              <w:rPr>
                <w:rFonts w:cs="Segoe UI"/>
                <w:sz w:val="17"/>
                <w:szCs w:val="17"/>
              </w:rPr>
            </w:pPr>
          </w:p>
        </w:tc>
        <w:tc>
          <w:tcPr>
            <w:tcW w:w="485" w:type="dxa"/>
          </w:tcPr>
          <w:p w14:paraId="5C9DCA2A" w14:textId="77777777" w:rsidR="00780F11" w:rsidRPr="00C37C6E" w:rsidRDefault="00780F11" w:rsidP="00780F11">
            <w:pPr>
              <w:spacing w:before="40" w:after="40"/>
              <w:rPr>
                <w:rFonts w:cs="Segoe UI"/>
                <w:sz w:val="17"/>
                <w:szCs w:val="17"/>
              </w:rPr>
            </w:pPr>
          </w:p>
        </w:tc>
        <w:tc>
          <w:tcPr>
            <w:tcW w:w="484" w:type="dxa"/>
          </w:tcPr>
          <w:p w14:paraId="2C619FF9" w14:textId="77777777" w:rsidR="00780F11" w:rsidRPr="00C37C6E" w:rsidRDefault="00780F11" w:rsidP="00780F11">
            <w:pPr>
              <w:spacing w:before="40" w:after="40"/>
              <w:rPr>
                <w:rFonts w:cs="Segoe UI"/>
                <w:sz w:val="17"/>
                <w:szCs w:val="17"/>
              </w:rPr>
            </w:pPr>
          </w:p>
        </w:tc>
        <w:tc>
          <w:tcPr>
            <w:tcW w:w="485" w:type="dxa"/>
          </w:tcPr>
          <w:p w14:paraId="3842F0D2" w14:textId="77777777" w:rsidR="00780F11" w:rsidRPr="00C37C6E" w:rsidRDefault="00780F11" w:rsidP="00780F11">
            <w:pPr>
              <w:spacing w:before="40" w:after="40"/>
              <w:rPr>
                <w:rFonts w:cs="Segoe UI"/>
                <w:sz w:val="17"/>
                <w:szCs w:val="17"/>
              </w:rPr>
            </w:pPr>
          </w:p>
        </w:tc>
        <w:tc>
          <w:tcPr>
            <w:tcW w:w="484" w:type="dxa"/>
          </w:tcPr>
          <w:p w14:paraId="7B1D6833" w14:textId="77777777" w:rsidR="00780F11" w:rsidRPr="00C37C6E" w:rsidRDefault="00780F11" w:rsidP="00780F11">
            <w:pPr>
              <w:spacing w:before="40" w:after="40"/>
              <w:rPr>
                <w:rFonts w:cs="Segoe UI"/>
                <w:sz w:val="17"/>
                <w:szCs w:val="17"/>
              </w:rPr>
            </w:pPr>
          </w:p>
        </w:tc>
        <w:tc>
          <w:tcPr>
            <w:tcW w:w="485" w:type="dxa"/>
          </w:tcPr>
          <w:p w14:paraId="32336A68" w14:textId="77777777" w:rsidR="00780F11" w:rsidRPr="00C37C6E" w:rsidRDefault="00780F11" w:rsidP="00780F11">
            <w:pPr>
              <w:spacing w:before="40" w:after="40"/>
              <w:rPr>
                <w:rFonts w:cs="Segoe UI"/>
                <w:sz w:val="17"/>
                <w:szCs w:val="17"/>
              </w:rPr>
            </w:pPr>
          </w:p>
        </w:tc>
        <w:tc>
          <w:tcPr>
            <w:tcW w:w="484" w:type="dxa"/>
          </w:tcPr>
          <w:p w14:paraId="7985F79D"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23792817" w14:textId="77777777" w:rsidR="00780F11" w:rsidRPr="00C37C6E" w:rsidRDefault="00780F11" w:rsidP="00780F11">
            <w:pPr>
              <w:spacing w:before="40" w:after="40"/>
              <w:rPr>
                <w:rFonts w:cs="Segoe UI"/>
                <w:sz w:val="17"/>
                <w:szCs w:val="17"/>
              </w:rPr>
            </w:pPr>
          </w:p>
        </w:tc>
        <w:tc>
          <w:tcPr>
            <w:tcW w:w="484" w:type="dxa"/>
          </w:tcPr>
          <w:p w14:paraId="7A03BD1D" w14:textId="77777777" w:rsidR="00780F11" w:rsidRPr="00C37C6E" w:rsidRDefault="00780F11" w:rsidP="00780F11">
            <w:pPr>
              <w:spacing w:before="40" w:after="40"/>
              <w:rPr>
                <w:rFonts w:cs="Segoe UI"/>
                <w:sz w:val="17"/>
                <w:szCs w:val="17"/>
              </w:rPr>
            </w:pPr>
          </w:p>
        </w:tc>
        <w:tc>
          <w:tcPr>
            <w:tcW w:w="485" w:type="dxa"/>
          </w:tcPr>
          <w:p w14:paraId="7C7AFBAA" w14:textId="77777777" w:rsidR="00780F11" w:rsidRPr="00C37C6E" w:rsidRDefault="00780F11" w:rsidP="00780F11">
            <w:pPr>
              <w:spacing w:before="40" w:after="40"/>
              <w:rPr>
                <w:rFonts w:cs="Segoe UI"/>
                <w:sz w:val="17"/>
                <w:szCs w:val="17"/>
              </w:rPr>
            </w:pPr>
          </w:p>
        </w:tc>
        <w:tc>
          <w:tcPr>
            <w:tcW w:w="484" w:type="dxa"/>
          </w:tcPr>
          <w:p w14:paraId="1515ABF6" w14:textId="77777777" w:rsidR="00780F11" w:rsidRPr="00C37C6E" w:rsidRDefault="00780F11" w:rsidP="00780F11">
            <w:pPr>
              <w:spacing w:before="40" w:after="40"/>
              <w:rPr>
                <w:rFonts w:cs="Segoe UI"/>
                <w:sz w:val="17"/>
                <w:szCs w:val="17"/>
              </w:rPr>
            </w:pPr>
          </w:p>
        </w:tc>
        <w:tc>
          <w:tcPr>
            <w:tcW w:w="485" w:type="dxa"/>
          </w:tcPr>
          <w:p w14:paraId="7B72B1F0" w14:textId="77777777" w:rsidR="00780F11" w:rsidRPr="00C37C6E" w:rsidRDefault="00780F11" w:rsidP="00780F11">
            <w:pPr>
              <w:spacing w:before="40" w:after="40"/>
              <w:rPr>
                <w:rFonts w:cs="Segoe UI"/>
                <w:sz w:val="17"/>
                <w:szCs w:val="17"/>
              </w:rPr>
            </w:pPr>
          </w:p>
        </w:tc>
        <w:tc>
          <w:tcPr>
            <w:tcW w:w="493" w:type="dxa"/>
          </w:tcPr>
          <w:p w14:paraId="7A213F84" w14:textId="77777777" w:rsidR="00780F11" w:rsidRPr="00C37C6E" w:rsidRDefault="00780F11" w:rsidP="00780F11">
            <w:pPr>
              <w:spacing w:before="40" w:after="40"/>
              <w:rPr>
                <w:rFonts w:cs="Segoe UI"/>
                <w:sz w:val="17"/>
                <w:szCs w:val="17"/>
              </w:rPr>
            </w:pPr>
          </w:p>
        </w:tc>
        <w:tc>
          <w:tcPr>
            <w:tcW w:w="493" w:type="dxa"/>
          </w:tcPr>
          <w:p w14:paraId="688EAA8E" w14:textId="77777777" w:rsidR="00780F11" w:rsidRPr="00C37C6E" w:rsidRDefault="00780F11" w:rsidP="00780F11">
            <w:pPr>
              <w:spacing w:before="40" w:after="40"/>
              <w:rPr>
                <w:rFonts w:cs="Segoe UI"/>
                <w:sz w:val="17"/>
                <w:szCs w:val="17"/>
              </w:rPr>
            </w:pPr>
          </w:p>
        </w:tc>
        <w:tc>
          <w:tcPr>
            <w:tcW w:w="493" w:type="dxa"/>
          </w:tcPr>
          <w:p w14:paraId="4431F050" w14:textId="77777777" w:rsidR="00780F11" w:rsidRPr="00C37C6E" w:rsidRDefault="00780F11" w:rsidP="00780F11">
            <w:pPr>
              <w:spacing w:before="40" w:after="40"/>
              <w:rPr>
                <w:rFonts w:cs="Segoe UI"/>
                <w:sz w:val="17"/>
                <w:szCs w:val="17"/>
              </w:rPr>
            </w:pPr>
          </w:p>
        </w:tc>
        <w:tc>
          <w:tcPr>
            <w:tcW w:w="493" w:type="dxa"/>
          </w:tcPr>
          <w:p w14:paraId="4ADD0806" w14:textId="77777777" w:rsidR="00780F11" w:rsidRPr="00C37C6E" w:rsidRDefault="00780F11" w:rsidP="00780F11">
            <w:pPr>
              <w:spacing w:before="40" w:after="40"/>
              <w:rPr>
                <w:rFonts w:cs="Segoe UI"/>
                <w:sz w:val="17"/>
                <w:szCs w:val="17"/>
              </w:rPr>
            </w:pPr>
          </w:p>
        </w:tc>
        <w:tc>
          <w:tcPr>
            <w:tcW w:w="737" w:type="dxa"/>
          </w:tcPr>
          <w:p w14:paraId="1C89BBA7" w14:textId="77777777" w:rsidR="00780F11" w:rsidRPr="00C37C6E" w:rsidRDefault="00780F11" w:rsidP="00780F11">
            <w:pPr>
              <w:spacing w:before="40" w:after="40"/>
              <w:rPr>
                <w:rFonts w:cs="Segoe UI"/>
                <w:sz w:val="17"/>
                <w:szCs w:val="17"/>
              </w:rPr>
            </w:pPr>
          </w:p>
        </w:tc>
        <w:tc>
          <w:tcPr>
            <w:tcW w:w="1550" w:type="dxa"/>
          </w:tcPr>
          <w:p w14:paraId="6AF0B79A" w14:textId="77777777" w:rsidR="00780F11" w:rsidRPr="00C37C6E" w:rsidRDefault="00780F11" w:rsidP="00780F11">
            <w:pPr>
              <w:spacing w:before="40" w:after="40"/>
              <w:rPr>
                <w:rFonts w:cs="Segoe UI"/>
                <w:sz w:val="17"/>
                <w:szCs w:val="17"/>
              </w:rPr>
            </w:pPr>
          </w:p>
        </w:tc>
      </w:tr>
      <w:tr w:rsidR="000579E1" w:rsidRPr="00C37C6E" w14:paraId="0DCBC3E7" w14:textId="77777777" w:rsidTr="000579E1">
        <w:tc>
          <w:tcPr>
            <w:tcW w:w="461" w:type="dxa"/>
            <w:tcBorders>
              <w:left w:val="nil"/>
            </w:tcBorders>
          </w:tcPr>
          <w:p w14:paraId="085A80E7" w14:textId="0DF93408" w:rsidR="00780F11" w:rsidRPr="00C37C6E" w:rsidRDefault="00780F11" w:rsidP="00780F11">
            <w:pPr>
              <w:spacing w:before="40" w:after="40"/>
              <w:rPr>
                <w:rFonts w:cs="Segoe UI"/>
                <w:sz w:val="17"/>
                <w:szCs w:val="17"/>
              </w:rPr>
            </w:pPr>
            <w:r w:rsidRPr="00DD6E45">
              <w:rPr>
                <w:rFonts w:cs="Segoe UI"/>
                <w:sz w:val="17"/>
                <w:szCs w:val="17"/>
              </w:rPr>
              <w:t>9a</w:t>
            </w:r>
          </w:p>
        </w:tc>
        <w:tc>
          <w:tcPr>
            <w:tcW w:w="2694" w:type="dxa"/>
          </w:tcPr>
          <w:p w14:paraId="0C8B9FA2" w14:textId="77777777" w:rsidR="00780F11" w:rsidRDefault="00780F11" w:rsidP="00560E4B">
            <w:pPr>
              <w:spacing w:before="40" w:after="40"/>
              <w:ind w:left="324"/>
              <w:rPr>
                <w:rFonts w:cs="Segoe UI"/>
                <w:sz w:val="17"/>
                <w:szCs w:val="17"/>
              </w:rPr>
            </w:pPr>
            <w:r w:rsidRPr="00DD6E45">
              <w:rPr>
                <w:rFonts w:cs="Segoe UI"/>
                <w:sz w:val="17"/>
                <w:szCs w:val="17"/>
              </w:rPr>
              <w:t>Of which: regulatory residential real estate exposures (not materially dependent on cash flows generated by mortgaged properties)</w:t>
            </w:r>
          </w:p>
          <w:p w14:paraId="130FC855" w14:textId="2F453193" w:rsidR="00F3469D" w:rsidRPr="00C37C6E" w:rsidRDefault="00F3469D" w:rsidP="00560E4B">
            <w:pPr>
              <w:spacing w:before="40" w:after="40"/>
              <w:ind w:left="324"/>
              <w:rPr>
                <w:rFonts w:cs="Segoe UI"/>
                <w:sz w:val="17"/>
                <w:szCs w:val="17"/>
              </w:rPr>
            </w:pPr>
          </w:p>
        </w:tc>
        <w:tc>
          <w:tcPr>
            <w:tcW w:w="484" w:type="dxa"/>
            <w:shd w:val="clear" w:color="auto" w:fill="BFBFBF" w:themeFill="background1" w:themeFillShade="BF"/>
          </w:tcPr>
          <w:p w14:paraId="5F851103" w14:textId="77777777" w:rsidR="00780F11" w:rsidRPr="00C37C6E" w:rsidRDefault="00780F11" w:rsidP="00780F11">
            <w:pPr>
              <w:spacing w:before="40" w:after="40"/>
              <w:rPr>
                <w:rFonts w:cs="Segoe UI"/>
                <w:sz w:val="17"/>
                <w:szCs w:val="17"/>
              </w:rPr>
            </w:pPr>
          </w:p>
        </w:tc>
        <w:tc>
          <w:tcPr>
            <w:tcW w:w="485" w:type="dxa"/>
          </w:tcPr>
          <w:p w14:paraId="0EEA7968" w14:textId="77777777" w:rsidR="00780F11" w:rsidRPr="00C37C6E" w:rsidRDefault="00780F11" w:rsidP="00780F11">
            <w:pPr>
              <w:spacing w:before="40" w:after="40"/>
              <w:rPr>
                <w:rFonts w:cs="Segoe UI"/>
                <w:sz w:val="17"/>
                <w:szCs w:val="17"/>
              </w:rPr>
            </w:pPr>
          </w:p>
        </w:tc>
        <w:tc>
          <w:tcPr>
            <w:tcW w:w="484" w:type="dxa"/>
          </w:tcPr>
          <w:p w14:paraId="5440520A" w14:textId="77777777" w:rsidR="00780F11" w:rsidRPr="00C37C6E" w:rsidRDefault="00780F11" w:rsidP="00780F11">
            <w:pPr>
              <w:spacing w:before="40" w:after="40"/>
              <w:rPr>
                <w:rFonts w:cs="Segoe UI"/>
                <w:sz w:val="17"/>
                <w:szCs w:val="17"/>
              </w:rPr>
            </w:pPr>
          </w:p>
        </w:tc>
        <w:tc>
          <w:tcPr>
            <w:tcW w:w="485" w:type="dxa"/>
          </w:tcPr>
          <w:p w14:paraId="42981982"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60175BD4" w14:textId="77777777" w:rsidR="00780F11" w:rsidRPr="00C37C6E" w:rsidRDefault="00780F11" w:rsidP="00780F11">
            <w:pPr>
              <w:spacing w:before="40" w:after="40"/>
              <w:rPr>
                <w:rFonts w:cs="Segoe UI"/>
                <w:sz w:val="17"/>
                <w:szCs w:val="17"/>
              </w:rPr>
            </w:pPr>
          </w:p>
        </w:tc>
        <w:tc>
          <w:tcPr>
            <w:tcW w:w="485" w:type="dxa"/>
          </w:tcPr>
          <w:p w14:paraId="7B2AB86B" w14:textId="77777777" w:rsidR="00780F11" w:rsidRPr="00C37C6E" w:rsidRDefault="00780F11" w:rsidP="00780F11">
            <w:pPr>
              <w:spacing w:before="40" w:after="40"/>
              <w:rPr>
                <w:rFonts w:cs="Segoe UI"/>
                <w:sz w:val="17"/>
                <w:szCs w:val="17"/>
              </w:rPr>
            </w:pPr>
          </w:p>
        </w:tc>
        <w:tc>
          <w:tcPr>
            <w:tcW w:w="484" w:type="dxa"/>
            <w:shd w:val="clear" w:color="auto" w:fill="auto"/>
          </w:tcPr>
          <w:p w14:paraId="30F1C9FF" w14:textId="77777777" w:rsidR="00780F11" w:rsidRPr="00C37C6E" w:rsidRDefault="00780F11" w:rsidP="00780F11">
            <w:pPr>
              <w:spacing w:before="40" w:after="40"/>
              <w:rPr>
                <w:rFonts w:cs="Segoe UI"/>
                <w:sz w:val="17"/>
                <w:szCs w:val="17"/>
              </w:rPr>
            </w:pPr>
          </w:p>
        </w:tc>
        <w:tc>
          <w:tcPr>
            <w:tcW w:w="485" w:type="dxa"/>
          </w:tcPr>
          <w:p w14:paraId="46DF0F7B" w14:textId="77777777" w:rsidR="00780F11" w:rsidRPr="00C37C6E" w:rsidRDefault="00780F11" w:rsidP="00780F11">
            <w:pPr>
              <w:spacing w:before="40" w:after="40"/>
              <w:rPr>
                <w:rFonts w:cs="Segoe UI"/>
                <w:sz w:val="17"/>
                <w:szCs w:val="17"/>
              </w:rPr>
            </w:pPr>
          </w:p>
        </w:tc>
        <w:tc>
          <w:tcPr>
            <w:tcW w:w="484" w:type="dxa"/>
            <w:shd w:val="clear" w:color="auto" w:fill="auto"/>
          </w:tcPr>
          <w:p w14:paraId="7661C556"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1FDC646A" w14:textId="77777777" w:rsidR="00780F11" w:rsidRPr="00C37C6E" w:rsidRDefault="00780F11" w:rsidP="00780F11">
            <w:pPr>
              <w:spacing w:before="40" w:after="40"/>
              <w:rPr>
                <w:rFonts w:cs="Segoe UI"/>
                <w:sz w:val="17"/>
                <w:szCs w:val="17"/>
              </w:rPr>
            </w:pPr>
          </w:p>
        </w:tc>
        <w:tc>
          <w:tcPr>
            <w:tcW w:w="484" w:type="dxa"/>
          </w:tcPr>
          <w:p w14:paraId="6504E6D6" w14:textId="77777777" w:rsidR="00780F11" w:rsidRPr="00C37C6E" w:rsidRDefault="00780F11" w:rsidP="00780F11">
            <w:pPr>
              <w:spacing w:before="40" w:after="40"/>
              <w:rPr>
                <w:rFonts w:cs="Segoe UI"/>
                <w:sz w:val="17"/>
                <w:szCs w:val="17"/>
              </w:rPr>
            </w:pPr>
          </w:p>
        </w:tc>
        <w:tc>
          <w:tcPr>
            <w:tcW w:w="485" w:type="dxa"/>
            <w:shd w:val="clear" w:color="auto" w:fill="auto"/>
          </w:tcPr>
          <w:p w14:paraId="08187FA7"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2EE5F054"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46418501"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5A9863EF" w14:textId="77777777" w:rsidR="00780F11" w:rsidRPr="00C37C6E" w:rsidRDefault="00780F11" w:rsidP="00780F11">
            <w:pPr>
              <w:spacing w:before="40" w:after="40"/>
              <w:rPr>
                <w:rFonts w:cs="Segoe UI"/>
                <w:sz w:val="17"/>
                <w:szCs w:val="17"/>
              </w:rPr>
            </w:pPr>
          </w:p>
        </w:tc>
        <w:tc>
          <w:tcPr>
            <w:tcW w:w="493" w:type="dxa"/>
            <w:shd w:val="clear" w:color="auto" w:fill="auto"/>
          </w:tcPr>
          <w:p w14:paraId="233EA93C"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35EF1B5E"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30F9C44F" w14:textId="77777777" w:rsidR="00780F11" w:rsidRPr="00C37C6E" w:rsidRDefault="00780F11" w:rsidP="00780F11">
            <w:pPr>
              <w:spacing w:before="40" w:after="40"/>
              <w:rPr>
                <w:rFonts w:cs="Segoe UI"/>
                <w:sz w:val="17"/>
                <w:szCs w:val="17"/>
              </w:rPr>
            </w:pPr>
          </w:p>
        </w:tc>
        <w:tc>
          <w:tcPr>
            <w:tcW w:w="737" w:type="dxa"/>
          </w:tcPr>
          <w:p w14:paraId="78ECD866" w14:textId="77777777" w:rsidR="00780F11" w:rsidRPr="00C37C6E" w:rsidRDefault="00780F11" w:rsidP="00780F11">
            <w:pPr>
              <w:spacing w:before="40" w:after="40"/>
              <w:rPr>
                <w:rFonts w:cs="Segoe UI"/>
                <w:sz w:val="17"/>
                <w:szCs w:val="17"/>
              </w:rPr>
            </w:pPr>
          </w:p>
        </w:tc>
        <w:tc>
          <w:tcPr>
            <w:tcW w:w="1550" w:type="dxa"/>
          </w:tcPr>
          <w:p w14:paraId="3136A8C2" w14:textId="77777777" w:rsidR="00780F11" w:rsidRPr="00C37C6E" w:rsidRDefault="00780F11" w:rsidP="00780F11">
            <w:pPr>
              <w:spacing w:before="40" w:after="40"/>
              <w:rPr>
                <w:rFonts w:cs="Segoe UI"/>
                <w:sz w:val="17"/>
                <w:szCs w:val="17"/>
              </w:rPr>
            </w:pPr>
          </w:p>
        </w:tc>
      </w:tr>
      <w:tr w:rsidR="000579E1" w:rsidRPr="00C37C6E" w14:paraId="029C3F85" w14:textId="77777777" w:rsidTr="000579E1">
        <w:tc>
          <w:tcPr>
            <w:tcW w:w="461" w:type="dxa"/>
            <w:tcBorders>
              <w:left w:val="nil"/>
            </w:tcBorders>
          </w:tcPr>
          <w:p w14:paraId="04CCC174" w14:textId="497E8E18" w:rsidR="00780F11" w:rsidRPr="00C37C6E" w:rsidRDefault="00780F11" w:rsidP="00780F11">
            <w:pPr>
              <w:spacing w:before="40" w:after="40"/>
              <w:rPr>
                <w:rFonts w:cs="Segoe UI"/>
                <w:sz w:val="17"/>
                <w:szCs w:val="17"/>
              </w:rPr>
            </w:pPr>
            <w:r w:rsidRPr="00DD6E45">
              <w:rPr>
                <w:rFonts w:cs="Segoe UI"/>
                <w:sz w:val="17"/>
                <w:szCs w:val="17"/>
              </w:rPr>
              <w:t>9b</w:t>
            </w:r>
          </w:p>
        </w:tc>
        <w:tc>
          <w:tcPr>
            <w:tcW w:w="2694" w:type="dxa"/>
          </w:tcPr>
          <w:p w14:paraId="66B1A703" w14:textId="77777777" w:rsidR="00780F11" w:rsidRDefault="00780F11" w:rsidP="00560E4B">
            <w:pPr>
              <w:spacing w:before="40" w:after="40"/>
              <w:ind w:left="607"/>
              <w:rPr>
                <w:rFonts w:cs="Segoe UI"/>
                <w:sz w:val="17"/>
                <w:szCs w:val="17"/>
              </w:rPr>
            </w:pPr>
            <w:r w:rsidRPr="00DD6E45">
              <w:rPr>
                <w:rFonts w:cs="Segoe UI"/>
                <w:sz w:val="17"/>
                <w:szCs w:val="17"/>
              </w:rPr>
              <w:t>Of which: no loan splitting applied</w:t>
            </w:r>
          </w:p>
          <w:p w14:paraId="3E261F96" w14:textId="13F2DA69" w:rsidR="00F3469D" w:rsidRPr="00C37C6E" w:rsidRDefault="00F3469D" w:rsidP="00560E4B">
            <w:pPr>
              <w:spacing w:before="40" w:after="40"/>
              <w:ind w:left="607"/>
              <w:rPr>
                <w:rFonts w:cs="Segoe UI"/>
                <w:sz w:val="17"/>
                <w:szCs w:val="17"/>
              </w:rPr>
            </w:pPr>
          </w:p>
        </w:tc>
        <w:tc>
          <w:tcPr>
            <w:tcW w:w="484" w:type="dxa"/>
            <w:shd w:val="clear" w:color="auto" w:fill="BFBFBF" w:themeFill="background1" w:themeFillShade="BF"/>
          </w:tcPr>
          <w:p w14:paraId="579689EB" w14:textId="77777777" w:rsidR="00780F11" w:rsidRPr="00C37C6E" w:rsidRDefault="00780F11" w:rsidP="00780F11">
            <w:pPr>
              <w:spacing w:before="40" w:after="40"/>
              <w:rPr>
                <w:rFonts w:cs="Segoe UI"/>
                <w:sz w:val="17"/>
                <w:szCs w:val="17"/>
              </w:rPr>
            </w:pPr>
          </w:p>
        </w:tc>
        <w:tc>
          <w:tcPr>
            <w:tcW w:w="485" w:type="dxa"/>
          </w:tcPr>
          <w:p w14:paraId="4535E0B3" w14:textId="77777777" w:rsidR="00780F11" w:rsidRPr="00C37C6E" w:rsidRDefault="00780F11" w:rsidP="00780F11">
            <w:pPr>
              <w:spacing w:before="40" w:after="40"/>
              <w:rPr>
                <w:rFonts w:cs="Segoe UI"/>
                <w:sz w:val="17"/>
                <w:szCs w:val="17"/>
              </w:rPr>
            </w:pPr>
          </w:p>
        </w:tc>
        <w:tc>
          <w:tcPr>
            <w:tcW w:w="484" w:type="dxa"/>
          </w:tcPr>
          <w:p w14:paraId="3EFA152F" w14:textId="77777777" w:rsidR="00780F11" w:rsidRPr="00C37C6E" w:rsidRDefault="00780F11" w:rsidP="00780F11">
            <w:pPr>
              <w:spacing w:before="40" w:after="40"/>
              <w:rPr>
                <w:rFonts w:cs="Segoe UI"/>
                <w:sz w:val="17"/>
                <w:szCs w:val="17"/>
              </w:rPr>
            </w:pPr>
          </w:p>
        </w:tc>
        <w:tc>
          <w:tcPr>
            <w:tcW w:w="485" w:type="dxa"/>
          </w:tcPr>
          <w:p w14:paraId="1B0B83F8"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23D2770B" w14:textId="77777777" w:rsidR="00780F11" w:rsidRPr="00C37C6E" w:rsidRDefault="00780F11" w:rsidP="00780F11">
            <w:pPr>
              <w:spacing w:before="40" w:after="40"/>
              <w:rPr>
                <w:rFonts w:cs="Segoe UI"/>
                <w:sz w:val="17"/>
                <w:szCs w:val="17"/>
              </w:rPr>
            </w:pPr>
          </w:p>
        </w:tc>
        <w:tc>
          <w:tcPr>
            <w:tcW w:w="485" w:type="dxa"/>
          </w:tcPr>
          <w:p w14:paraId="5C2DB271" w14:textId="77777777" w:rsidR="00780F11" w:rsidRPr="00C37C6E" w:rsidRDefault="00780F11" w:rsidP="00780F11">
            <w:pPr>
              <w:spacing w:before="40" w:after="40"/>
              <w:rPr>
                <w:rFonts w:cs="Segoe UI"/>
                <w:sz w:val="17"/>
                <w:szCs w:val="17"/>
              </w:rPr>
            </w:pPr>
          </w:p>
        </w:tc>
        <w:tc>
          <w:tcPr>
            <w:tcW w:w="484" w:type="dxa"/>
            <w:shd w:val="clear" w:color="auto" w:fill="auto"/>
          </w:tcPr>
          <w:p w14:paraId="602383E6" w14:textId="77777777" w:rsidR="00780F11" w:rsidRPr="00C37C6E" w:rsidRDefault="00780F11" w:rsidP="00780F11">
            <w:pPr>
              <w:spacing w:before="40" w:after="40"/>
              <w:rPr>
                <w:rFonts w:cs="Segoe UI"/>
                <w:sz w:val="17"/>
                <w:szCs w:val="17"/>
              </w:rPr>
            </w:pPr>
          </w:p>
        </w:tc>
        <w:tc>
          <w:tcPr>
            <w:tcW w:w="485" w:type="dxa"/>
          </w:tcPr>
          <w:p w14:paraId="4D87E924" w14:textId="77777777" w:rsidR="00780F11" w:rsidRPr="00C37C6E" w:rsidRDefault="00780F11" w:rsidP="00780F11">
            <w:pPr>
              <w:spacing w:before="40" w:after="40"/>
              <w:rPr>
                <w:rFonts w:cs="Segoe UI"/>
                <w:sz w:val="17"/>
                <w:szCs w:val="17"/>
              </w:rPr>
            </w:pPr>
          </w:p>
        </w:tc>
        <w:tc>
          <w:tcPr>
            <w:tcW w:w="484" w:type="dxa"/>
            <w:shd w:val="clear" w:color="auto" w:fill="auto"/>
          </w:tcPr>
          <w:p w14:paraId="7207FB11"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3737B815" w14:textId="77777777" w:rsidR="00780F11" w:rsidRPr="00C37C6E" w:rsidRDefault="00780F11" w:rsidP="00780F11">
            <w:pPr>
              <w:spacing w:before="40" w:after="40"/>
              <w:rPr>
                <w:rFonts w:cs="Segoe UI"/>
                <w:sz w:val="17"/>
                <w:szCs w:val="17"/>
              </w:rPr>
            </w:pPr>
          </w:p>
        </w:tc>
        <w:tc>
          <w:tcPr>
            <w:tcW w:w="484" w:type="dxa"/>
          </w:tcPr>
          <w:p w14:paraId="6F9DCFAC" w14:textId="77777777" w:rsidR="00780F11" w:rsidRPr="00C37C6E" w:rsidRDefault="00780F11" w:rsidP="00780F11">
            <w:pPr>
              <w:spacing w:before="40" w:after="40"/>
              <w:rPr>
                <w:rFonts w:cs="Segoe UI"/>
                <w:sz w:val="17"/>
                <w:szCs w:val="17"/>
              </w:rPr>
            </w:pPr>
          </w:p>
        </w:tc>
        <w:tc>
          <w:tcPr>
            <w:tcW w:w="485" w:type="dxa"/>
            <w:shd w:val="clear" w:color="auto" w:fill="auto"/>
          </w:tcPr>
          <w:p w14:paraId="1434F5B8"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4EC34D9D"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35855B99"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5817D512" w14:textId="77777777" w:rsidR="00780F11" w:rsidRPr="00C37C6E" w:rsidRDefault="00780F11" w:rsidP="00780F11">
            <w:pPr>
              <w:spacing w:before="40" w:after="40"/>
              <w:rPr>
                <w:rFonts w:cs="Segoe UI"/>
                <w:sz w:val="17"/>
                <w:szCs w:val="17"/>
              </w:rPr>
            </w:pPr>
          </w:p>
        </w:tc>
        <w:tc>
          <w:tcPr>
            <w:tcW w:w="493" w:type="dxa"/>
            <w:shd w:val="clear" w:color="auto" w:fill="auto"/>
          </w:tcPr>
          <w:p w14:paraId="2556013C"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6F7A31A3"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3DCF280F" w14:textId="77777777" w:rsidR="00780F11" w:rsidRPr="00C37C6E" w:rsidRDefault="00780F11" w:rsidP="00780F11">
            <w:pPr>
              <w:spacing w:before="40" w:after="40"/>
              <w:rPr>
                <w:rFonts w:cs="Segoe UI"/>
                <w:sz w:val="17"/>
                <w:szCs w:val="17"/>
              </w:rPr>
            </w:pPr>
          </w:p>
        </w:tc>
        <w:tc>
          <w:tcPr>
            <w:tcW w:w="737" w:type="dxa"/>
          </w:tcPr>
          <w:p w14:paraId="4F40AC61" w14:textId="77777777" w:rsidR="00780F11" w:rsidRPr="00C37C6E" w:rsidRDefault="00780F11" w:rsidP="00780F11">
            <w:pPr>
              <w:spacing w:before="40" w:after="40"/>
              <w:rPr>
                <w:rFonts w:cs="Segoe UI"/>
                <w:sz w:val="17"/>
                <w:szCs w:val="17"/>
              </w:rPr>
            </w:pPr>
          </w:p>
        </w:tc>
        <w:tc>
          <w:tcPr>
            <w:tcW w:w="1550" w:type="dxa"/>
          </w:tcPr>
          <w:p w14:paraId="7F21D269" w14:textId="77777777" w:rsidR="00780F11" w:rsidRPr="00C37C6E" w:rsidRDefault="00780F11" w:rsidP="00780F11">
            <w:pPr>
              <w:spacing w:before="40" w:after="40"/>
              <w:rPr>
                <w:rFonts w:cs="Segoe UI"/>
                <w:sz w:val="17"/>
                <w:szCs w:val="17"/>
              </w:rPr>
            </w:pPr>
          </w:p>
        </w:tc>
      </w:tr>
      <w:tr w:rsidR="00FE6580" w:rsidRPr="00C37C6E" w14:paraId="1BFE7B49" w14:textId="77777777" w:rsidTr="00305D4E">
        <w:tc>
          <w:tcPr>
            <w:tcW w:w="461" w:type="dxa"/>
            <w:tcBorders>
              <w:left w:val="nil"/>
            </w:tcBorders>
          </w:tcPr>
          <w:p w14:paraId="308E9022" w14:textId="017A94A1" w:rsidR="00780F11" w:rsidRPr="00C37C6E" w:rsidRDefault="00780F11" w:rsidP="00780F11">
            <w:pPr>
              <w:spacing w:before="40" w:after="40"/>
              <w:rPr>
                <w:rFonts w:cs="Segoe UI"/>
                <w:sz w:val="17"/>
                <w:szCs w:val="17"/>
              </w:rPr>
            </w:pPr>
            <w:r w:rsidRPr="00DD6E45">
              <w:rPr>
                <w:rFonts w:cs="Segoe UI"/>
                <w:sz w:val="17"/>
                <w:szCs w:val="17"/>
              </w:rPr>
              <w:t>9c</w:t>
            </w:r>
          </w:p>
        </w:tc>
        <w:tc>
          <w:tcPr>
            <w:tcW w:w="2694" w:type="dxa"/>
          </w:tcPr>
          <w:p w14:paraId="4BC0FC39" w14:textId="77777777" w:rsidR="00780F11" w:rsidRDefault="00780F11" w:rsidP="00560E4B">
            <w:pPr>
              <w:spacing w:before="40" w:after="40"/>
              <w:ind w:left="607"/>
              <w:rPr>
                <w:rFonts w:cs="Segoe UI"/>
                <w:sz w:val="17"/>
                <w:szCs w:val="17"/>
              </w:rPr>
            </w:pPr>
            <w:r w:rsidRPr="00DD6E45">
              <w:rPr>
                <w:rFonts w:cs="Segoe UI"/>
                <w:sz w:val="17"/>
                <w:szCs w:val="17"/>
              </w:rPr>
              <w:t>Of which: loan splitting applied (secured)</w:t>
            </w:r>
          </w:p>
          <w:p w14:paraId="683C2497" w14:textId="55E19FEC" w:rsidR="00F3469D" w:rsidRPr="00C37C6E" w:rsidRDefault="00F3469D" w:rsidP="00560E4B">
            <w:pPr>
              <w:spacing w:before="40" w:after="40"/>
              <w:ind w:left="607"/>
              <w:rPr>
                <w:rFonts w:cs="Segoe UI"/>
                <w:sz w:val="17"/>
                <w:szCs w:val="17"/>
              </w:rPr>
            </w:pPr>
          </w:p>
        </w:tc>
        <w:tc>
          <w:tcPr>
            <w:tcW w:w="484" w:type="dxa"/>
            <w:shd w:val="clear" w:color="auto" w:fill="BFBFBF" w:themeFill="background1" w:themeFillShade="BF"/>
          </w:tcPr>
          <w:p w14:paraId="6654B68E"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5AEC4F89"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36B40E77"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349BC0F3"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5645FC53"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55EDD205"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1F9EE9CD"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2E7C2B1A"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6C8E3ED0"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280C9E83"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0729BF44"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679B459A"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4ACA2419"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47D7B649"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3978FB3E"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714B4280"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6F43258E"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7E049891" w14:textId="77777777" w:rsidR="00780F11" w:rsidRPr="00C37C6E" w:rsidRDefault="00780F11" w:rsidP="00780F11">
            <w:pPr>
              <w:spacing w:before="40" w:after="40"/>
              <w:rPr>
                <w:rFonts w:cs="Segoe UI"/>
                <w:sz w:val="17"/>
                <w:szCs w:val="17"/>
              </w:rPr>
            </w:pPr>
          </w:p>
        </w:tc>
        <w:tc>
          <w:tcPr>
            <w:tcW w:w="737" w:type="dxa"/>
            <w:shd w:val="clear" w:color="auto" w:fill="BFBFBF" w:themeFill="background1" w:themeFillShade="BF"/>
          </w:tcPr>
          <w:p w14:paraId="115DE6BE" w14:textId="77777777" w:rsidR="00780F11" w:rsidRPr="00C37C6E" w:rsidRDefault="00780F11" w:rsidP="00780F11">
            <w:pPr>
              <w:spacing w:before="40" w:after="40"/>
              <w:rPr>
                <w:rFonts w:cs="Segoe UI"/>
                <w:sz w:val="17"/>
                <w:szCs w:val="17"/>
              </w:rPr>
            </w:pPr>
          </w:p>
        </w:tc>
        <w:tc>
          <w:tcPr>
            <w:tcW w:w="1550" w:type="dxa"/>
            <w:shd w:val="clear" w:color="auto" w:fill="BFBFBF" w:themeFill="background1" w:themeFillShade="BF"/>
          </w:tcPr>
          <w:p w14:paraId="5A69C86F" w14:textId="77777777" w:rsidR="00780F11" w:rsidRPr="00C37C6E" w:rsidRDefault="00780F11" w:rsidP="00780F11">
            <w:pPr>
              <w:spacing w:before="40" w:after="40"/>
              <w:rPr>
                <w:rFonts w:cs="Segoe UI"/>
                <w:sz w:val="17"/>
                <w:szCs w:val="17"/>
              </w:rPr>
            </w:pPr>
          </w:p>
        </w:tc>
      </w:tr>
      <w:tr w:rsidR="00FE6580" w:rsidRPr="00C37C6E" w14:paraId="06671072" w14:textId="77777777" w:rsidTr="00305D4E">
        <w:tc>
          <w:tcPr>
            <w:tcW w:w="461" w:type="dxa"/>
            <w:tcBorders>
              <w:left w:val="nil"/>
            </w:tcBorders>
          </w:tcPr>
          <w:p w14:paraId="26316B0A" w14:textId="03E52AB8" w:rsidR="00780F11" w:rsidRPr="00C37C6E" w:rsidRDefault="00780F11" w:rsidP="00780F11">
            <w:pPr>
              <w:spacing w:before="40" w:after="40"/>
              <w:rPr>
                <w:rFonts w:cs="Segoe UI"/>
                <w:sz w:val="17"/>
                <w:szCs w:val="17"/>
              </w:rPr>
            </w:pPr>
            <w:r w:rsidRPr="00DD6E45">
              <w:rPr>
                <w:rFonts w:cs="Segoe UI"/>
                <w:sz w:val="17"/>
                <w:szCs w:val="17"/>
              </w:rPr>
              <w:t>9d</w:t>
            </w:r>
          </w:p>
        </w:tc>
        <w:tc>
          <w:tcPr>
            <w:tcW w:w="2694" w:type="dxa"/>
          </w:tcPr>
          <w:p w14:paraId="09A47777" w14:textId="77777777" w:rsidR="00780F11" w:rsidRDefault="00780F11" w:rsidP="00560E4B">
            <w:pPr>
              <w:spacing w:before="40" w:after="40"/>
              <w:ind w:left="607"/>
              <w:rPr>
                <w:rFonts w:cs="Segoe UI"/>
                <w:sz w:val="17"/>
                <w:szCs w:val="17"/>
              </w:rPr>
            </w:pPr>
            <w:r w:rsidRPr="00DD6E45">
              <w:rPr>
                <w:rFonts w:cs="Segoe UI"/>
                <w:sz w:val="17"/>
                <w:szCs w:val="17"/>
              </w:rPr>
              <w:t>Of which: loan splitting applied (unsecured)</w:t>
            </w:r>
          </w:p>
          <w:p w14:paraId="50E425D0"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5B8B8BD4"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13803A1B"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3941DB7A"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2E8D9D9B"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09E40553"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0BACF59B"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0556F47C"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73EDDCDC"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073EDD62"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11BFBD04"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03C2EFB7"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6872E7DD"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1B3605D2"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0289F86C"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020C0461"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2210B91C"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769A36AA"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1530059B" w14:textId="77777777" w:rsidR="00780F11" w:rsidRPr="00C37C6E" w:rsidRDefault="00780F11" w:rsidP="00780F11">
            <w:pPr>
              <w:spacing w:before="40" w:after="40"/>
              <w:rPr>
                <w:rFonts w:cs="Segoe UI"/>
                <w:sz w:val="17"/>
                <w:szCs w:val="17"/>
              </w:rPr>
            </w:pPr>
          </w:p>
        </w:tc>
        <w:tc>
          <w:tcPr>
            <w:tcW w:w="737" w:type="dxa"/>
            <w:shd w:val="clear" w:color="auto" w:fill="BFBFBF" w:themeFill="background1" w:themeFillShade="BF"/>
          </w:tcPr>
          <w:p w14:paraId="6E53C9DF" w14:textId="77777777" w:rsidR="00780F11" w:rsidRPr="00C37C6E" w:rsidRDefault="00780F11" w:rsidP="00780F11">
            <w:pPr>
              <w:spacing w:before="40" w:after="40"/>
              <w:rPr>
                <w:rFonts w:cs="Segoe UI"/>
                <w:sz w:val="17"/>
                <w:szCs w:val="17"/>
              </w:rPr>
            </w:pPr>
          </w:p>
        </w:tc>
        <w:tc>
          <w:tcPr>
            <w:tcW w:w="1550" w:type="dxa"/>
            <w:shd w:val="clear" w:color="auto" w:fill="BFBFBF" w:themeFill="background1" w:themeFillShade="BF"/>
          </w:tcPr>
          <w:p w14:paraId="1F74638E" w14:textId="77777777" w:rsidR="00780F11" w:rsidRPr="00C37C6E" w:rsidRDefault="00780F11" w:rsidP="00780F11">
            <w:pPr>
              <w:spacing w:before="40" w:after="40"/>
              <w:rPr>
                <w:rFonts w:cs="Segoe UI"/>
                <w:sz w:val="17"/>
                <w:szCs w:val="17"/>
              </w:rPr>
            </w:pPr>
          </w:p>
        </w:tc>
      </w:tr>
      <w:tr w:rsidR="00FE6580" w:rsidRPr="00C37C6E" w14:paraId="40E6BA73" w14:textId="77777777" w:rsidTr="000579E1">
        <w:tc>
          <w:tcPr>
            <w:tcW w:w="461" w:type="dxa"/>
            <w:tcBorders>
              <w:left w:val="nil"/>
            </w:tcBorders>
          </w:tcPr>
          <w:p w14:paraId="7EAC1B46" w14:textId="0587C090" w:rsidR="00780F11" w:rsidRPr="00C37C6E" w:rsidRDefault="00780F11" w:rsidP="00780F11">
            <w:pPr>
              <w:spacing w:before="40" w:after="40"/>
              <w:rPr>
                <w:rFonts w:cs="Segoe UI"/>
                <w:sz w:val="17"/>
                <w:szCs w:val="17"/>
              </w:rPr>
            </w:pPr>
            <w:r w:rsidRPr="00DD6E45">
              <w:rPr>
                <w:rFonts w:cs="Segoe UI"/>
                <w:sz w:val="17"/>
                <w:szCs w:val="17"/>
              </w:rPr>
              <w:lastRenderedPageBreak/>
              <w:t>9e</w:t>
            </w:r>
          </w:p>
        </w:tc>
        <w:tc>
          <w:tcPr>
            <w:tcW w:w="2694" w:type="dxa"/>
          </w:tcPr>
          <w:p w14:paraId="2B9F4631" w14:textId="43F30DDC" w:rsidR="00780F11" w:rsidRPr="00C37C6E" w:rsidRDefault="00780F11" w:rsidP="00560E4B">
            <w:pPr>
              <w:spacing w:before="40" w:after="40"/>
              <w:ind w:left="324"/>
              <w:rPr>
                <w:rFonts w:cs="Segoe UI"/>
                <w:sz w:val="17"/>
                <w:szCs w:val="17"/>
              </w:rPr>
            </w:pPr>
            <w:r w:rsidRPr="00DD6E45">
              <w:rPr>
                <w:rFonts w:cs="Segoe UI"/>
                <w:sz w:val="17"/>
                <w:szCs w:val="17"/>
              </w:rPr>
              <w:t>Of which: regulatory residential real estate exposures (materially dependent on cash flows generated by mortgaged properties)</w:t>
            </w:r>
          </w:p>
        </w:tc>
        <w:tc>
          <w:tcPr>
            <w:tcW w:w="484" w:type="dxa"/>
            <w:shd w:val="clear" w:color="auto" w:fill="BFBFBF" w:themeFill="background1" w:themeFillShade="BF"/>
          </w:tcPr>
          <w:p w14:paraId="18547FB9"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7CB49F57"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3851C338" w14:textId="77777777" w:rsidR="00780F11" w:rsidRPr="00C37C6E" w:rsidRDefault="00780F11" w:rsidP="00780F11">
            <w:pPr>
              <w:spacing w:before="40" w:after="40"/>
              <w:rPr>
                <w:rFonts w:cs="Segoe UI"/>
                <w:sz w:val="17"/>
                <w:szCs w:val="17"/>
              </w:rPr>
            </w:pPr>
          </w:p>
        </w:tc>
        <w:tc>
          <w:tcPr>
            <w:tcW w:w="485" w:type="dxa"/>
          </w:tcPr>
          <w:p w14:paraId="33BB0380" w14:textId="77777777" w:rsidR="00780F11" w:rsidRPr="00C37C6E" w:rsidRDefault="00780F11" w:rsidP="00780F11">
            <w:pPr>
              <w:spacing w:before="40" w:after="40"/>
              <w:rPr>
                <w:rFonts w:cs="Segoe UI"/>
                <w:sz w:val="17"/>
                <w:szCs w:val="17"/>
              </w:rPr>
            </w:pPr>
          </w:p>
        </w:tc>
        <w:tc>
          <w:tcPr>
            <w:tcW w:w="484" w:type="dxa"/>
          </w:tcPr>
          <w:p w14:paraId="28821C45"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22834395" w14:textId="77777777" w:rsidR="00780F11" w:rsidRPr="00C37C6E" w:rsidRDefault="00780F11" w:rsidP="00780F11">
            <w:pPr>
              <w:spacing w:before="40" w:after="40"/>
              <w:rPr>
                <w:rFonts w:cs="Segoe UI"/>
                <w:sz w:val="17"/>
                <w:szCs w:val="17"/>
              </w:rPr>
            </w:pPr>
          </w:p>
        </w:tc>
        <w:tc>
          <w:tcPr>
            <w:tcW w:w="484" w:type="dxa"/>
          </w:tcPr>
          <w:p w14:paraId="20C46DAB"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2AAFF7FD" w14:textId="77777777" w:rsidR="00780F11" w:rsidRPr="00C37C6E" w:rsidRDefault="00780F11" w:rsidP="00780F11">
            <w:pPr>
              <w:spacing w:before="40" w:after="40"/>
              <w:rPr>
                <w:rFonts w:cs="Segoe UI"/>
                <w:sz w:val="17"/>
                <w:szCs w:val="17"/>
              </w:rPr>
            </w:pPr>
          </w:p>
        </w:tc>
        <w:tc>
          <w:tcPr>
            <w:tcW w:w="484" w:type="dxa"/>
          </w:tcPr>
          <w:p w14:paraId="3BC96799"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38982562"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3FDF0169" w14:textId="77777777" w:rsidR="00780F11" w:rsidRPr="00C37C6E" w:rsidRDefault="00780F11" w:rsidP="00780F11">
            <w:pPr>
              <w:spacing w:before="40" w:after="40"/>
              <w:rPr>
                <w:rFonts w:cs="Segoe UI"/>
                <w:sz w:val="17"/>
                <w:szCs w:val="17"/>
              </w:rPr>
            </w:pPr>
          </w:p>
        </w:tc>
        <w:tc>
          <w:tcPr>
            <w:tcW w:w="485" w:type="dxa"/>
          </w:tcPr>
          <w:p w14:paraId="6945E6B1"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39B0146E" w14:textId="77777777" w:rsidR="00780F11" w:rsidRPr="00C37C6E" w:rsidRDefault="00780F11" w:rsidP="00780F11">
            <w:pPr>
              <w:spacing w:before="40" w:after="40"/>
              <w:rPr>
                <w:rFonts w:cs="Segoe UI"/>
                <w:sz w:val="17"/>
                <w:szCs w:val="17"/>
              </w:rPr>
            </w:pPr>
          </w:p>
        </w:tc>
        <w:tc>
          <w:tcPr>
            <w:tcW w:w="485" w:type="dxa"/>
            <w:shd w:val="clear" w:color="auto" w:fill="auto"/>
          </w:tcPr>
          <w:p w14:paraId="330C8AAA"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03307946" w14:textId="77777777" w:rsidR="00780F11" w:rsidRPr="00C37C6E" w:rsidRDefault="00780F11" w:rsidP="00780F11">
            <w:pPr>
              <w:spacing w:before="40" w:after="40"/>
              <w:rPr>
                <w:rFonts w:cs="Segoe UI"/>
                <w:sz w:val="17"/>
                <w:szCs w:val="17"/>
              </w:rPr>
            </w:pPr>
          </w:p>
        </w:tc>
        <w:tc>
          <w:tcPr>
            <w:tcW w:w="493" w:type="dxa"/>
          </w:tcPr>
          <w:p w14:paraId="75A919EA"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73541BA5"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7CB58099" w14:textId="77777777" w:rsidR="00780F11" w:rsidRPr="00C37C6E" w:rsidRDefault="00780F11" w:rsidP="00780F11">
            <w:pPr>
              <w:spacing w:before="40" w:after="40"/>
              <w:rPr>
                <w:rFonts w:cs="Segoe UI"/>
                <w:sz w:val="17"/>
                <w:szCs w:val="17"/>
              </w:rPr>
            </w:pPr>
          </w:p>
        </w:tc>
        <w:tc>
          <w:tcPr>
            <w:tcW w:w="737" w:type="dxa"/>
          </w:tcPr>
          <w:p w14:paraId="5A1370EE" w14:textId="77777777" w:rsidR="00780F11" w:rsidRPr="00C37C6E" w:rsidRDefault="00780F11" w:rsidP="00780F11">
            <w:pPr>
              <w:spacing w:before="40" w:after="40"/>
              <w:rPr>
                <w:rFonts w:cs="Segoe UI"/>
                <w:sz w:val="17"/>
                <w:szCs w:val="17"/>
              </w:rPr>
            </w:pPr>
          </w:p>
        </w:tc>
        <w:tc>
          <w:tcPr>
            <w:tcW w:w="1550" w:type="dxa"/>
          </w:tcPr>
          <w:p w14:paraId="36E04456" w14:textId="77777777" w:rsidR="00780F11" w:rsidRPr="00C37C6E" w:rsidRDefault="00780F11" w:rsidP="00780F11">
            <w:pPr>
              <w:spacing w:before="40" w:after="40"/>
              <w:rPr>
                <w:rFonts w:cs="Segoe UI"/>
                <w:sz w:val="17"/>
                <w:szCs w:val="17"/>
              </w:rPr>
            </w:pPr>
          </w:p>
        </w:tc>
      </w:tr>
      <w:tr w:rsidR="00FE6580" w:rsidRPr="00C37C6E" w14:paraId="76BC24E6" w14:textId="77777777" w:rsidTr="00305D4E">
        <w:tc>
          <w:tcPr>
            <w:tcW w:w="461" w:type="dxa"/>
            <w:tcBorders>
              <w:left w:val="nil"/>
            </w:tcBorders>
          </w:tcPr>
          <w:p w14:paraId="27C9FAEF" w14:textId="76A592F7" w:rsidR="00780F11" w:rsidRPr="00C37C6E" w:rsidRDefault="00780F11" w:rsidP="00780F11">
            <w:pPr>
              <w:spacing w:before="40" w:after="40"/>
              <w:rPr>
                <w:rFonts w:cs="Segoe UI"/>
                <w:sz w:val="17"/>
                <w:szCs w:val="17"/>
              </w:rPr>
            </w:pPr>
            <w:r w:rsidRPr="00DD6E45">
              <w:rPr>
                <w:rFonts w:cs="Segoe UI"/>
                <w:sz w:val="17"/>
                <w:szCs w:val="17"/>
              </w:rPr>
              <w:t>9f</w:t>
            </w:r>
          </w:p>
        </w:tc>
        <w:tc>
          <w:tcPr>
            <w:tcW w:w="2694" w:type="dxa"/>
          </w:tcPr>
          <w:p w14:paraId="0AAC7480" w14:textId="49041580" w:rsidR="00780F11" w:rsidRPr="00C37C6E" w:rsidRDefault="00780F11" w:rsidP="00560E4B">
            <w:pPr>
              <w:spacing w:before="40" w:after="40"/>
              <w:ind w:left="324"/>
              <w:rPr>
                <w:rFonts w:cs="Segoe UI"/>
                <w:sz w:val="17"/>
                <w:szCs w:val="17"/>
              </w:rPr>
            </w:pPr>
            <w:r w:rsidRPr="00DD6E45">
              <w:rPr>
                <w:rFonts w:cs="Segoe UI"/>
                <w:sz w:val="17"/>
                <w:szCs w:val="17"/>
              </w:rPr>
              <w:t>Of which: regulatory commercial real estate exposures (not materially dependent on cash flows generated by mortgaged properties)</w:t>
            </w:r>
          </w:p>
        </w:tc>
        <w:tc>
          <w:tcPr>
            <w:tcW w:w="484" w:type="dxa"/>
          </w:tcPr>
          <w:p w14:paraId="14FE0587" w14:textId="77777777" w:rsidR="00780F11" w:rsidRPr="00C37C6E" w:rsidRDefault="00780F11" w:rsidP="00780F11">
            <w:pPr>
              <w:spacing w:before="40" w:after="40"/>
              <w:rPr>
                <w:rFonts w:cs="Segoe UI"/>
                <w:sz w:val="17"/>
                <w:szCs w:val="17"/>
              </w:rPr>
            </w:pPr>
          </w:p>
        </w:tc>
        <w:tc>
          <w:tcPr>
            <w:tcW w:w="485" w:type="dxa"/>
          </w:tcPr>
          <w:p w14:paraId="7026DA44"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1D9054D2" w14:textId="77777777" w:rsidR="00780F11" w:rsidRPr="00C37C6E" w:rsidRDefault="00780F11" w:rsidP="00780F11">
            <w:pPr>
              <w:spacing w:before="40" w:after="40"/>
              <w:rPr>
                <w:rFonts w:cs="Segoe UI"/>
                <w:sz w:val="17"/>
                <w:szCs w:val="17"/>
              </w:rPr>
            </w:pPr>
          </w:p>
        </w:tc>
        <w:tc>
          <w:tcPr>
            <w:tcW w:w="485" w:type="dxa"/>
          </w:tcPr>
          <w:p w14:paraId="4512C857"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7C9C9974" w14:textId="77777777" w:rsidR="00780F11" w:rsidRPr="00C37C6E" w:rsidRDefault="00780F11" w:rsidP="00780F11">
            <w:pPr>
              <w:spacing w:before="40" w:after="40"/>
              <w:rPr>
                <w:rFonts w:cs="Segoe UI"/>
                <w:sz w:val="17"/>
                <w:szCs w:val="17"/>
              </w:rPr>
            </w:pPr>
          </w:p>
        </w:tc>
        <w:tc>
          <w:tcPr>
            <w:tcW w:w="485" w:type="dxa"/>
          </w:tcPr>
          <w:p w14:paraId="1EB7EDE8"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112E8D04" w14:textId="77777777" w:rsidR="00780F11" w:rsidRPr="00C37C6E" w:rsidRDefault="00780F11" w:rsidP="00780F11">
            <w:pPr>
              <w:spacing w:before="40" w:after="40"/>
              <w:rPr>
                <w:rFonts w:cs="Segoe UI"/>
                <w:sz w:val="17"/>
                <w:szCs w:val="17"/>
              </w:rPr>
            </w:pPr>
          </w:p>
        </w:tc>
        <w:tc>
          <w:tcPr>
            <w:tcW w:w="485" w:type="dxa"/>
          </w:tcPr>
          <w:p w14:paraId="41E47A9D" w14:textId="77777777" w:rsidR="00780F11" w:rsidRPr="00C37C6E" w:rsidRDefault="00780F11" w:rsidP="00780F11">
            <w:pPr>
              <w:spacing w:before="40" w:after="40"/>
              <w:rPr>
                <w:rFonts w:cs="Segoe UI"/>
                <w:sz w:val="17"/>
                <w:szCs w:val="17"/>
              </w:rPr>
            </w:pPr>
          </w:p>
        </w:tc>
        <w:tc>
          <w:tcPr>
            <w:tcW w:w="484" w:type="dxa"/>
          </w:tcPr>
          <w:p w14:paraId="7540C0A8"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502BF540"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416C7AC8" w14:textId="77777777" w:rsidR="00780F11" w:rsidRPr="00C37C6E" w:rsidRDefault="00780F11" w:rsidP="00780F11">
            <w:pPr>
              <w:spacing w:before="40" w:after="40"/>
              <w:rPr>
                <w:rFonts w:cs="Segoe UI"/>
                <w:sz w:val="17"/>
                <w:szCs w:val="17"/>
              </w:rPr>
            </w:pPr>
          </w:p>
        </w:tc>
        <w:tc>
          <w:tcPr>
            <w:tcW w:w="485" w:type="dxa"/>
          </w:tcPr>
          <w:p w14:paraId="79AF1F06" w14:textId="77777777" w:rsidR="00780F11" w:rsidRPr="00C37C6E" w:rsidRDefault="00780F11" w:rsidP="00780F11">
            <w:pPr>
              <w:spacing w:before="40" w:after="40"/>
              <w:rPr>
                <w:rFonts w:cs="Segoe UI"/>
                <w:sz w:val="17"/>
                <w:szCs w:val="17"/>
              </w:rPr>
            </w:pPr>
          </w:p>
        </w:tc>
        <w:tc>
          <w:tcPr>
            <w:tcW w:w="484" w:type="dxa"/>
          </w:tcPr>
          <w:p w14:paraId="4E461740"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71F6C5A4" w14:textId="77777777" w:rsidR="00780F11" w:rsidRPr="00C37C6E" w:rsidRDefault="00780F11" w:rsidP="00780F11">
            <w:pPr>
              <w:spacing w:before="40" w:after="40"/>
              <w:rPr>
                <w:rFonts w:cs="Segoe UI"/>
                <w:sz w:val="17"/>
                <w:szCs w:val="17"/>
              </w:rPr>
            </w:pPr>
          </w:p>
        </w:tc>
        <w:tc>
          <w:tcPr>
            <w:tcW w:w="493" w:type="dxa"/>
          </w:tcPr>
          <w:p w14:paraId="23092B27"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31C93356"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0EC33E9D" w14:textId="77777777" w:rsidR="00780F11" w:rsidRPr="00C37C6E" w:rsidRDefault="00780F11" w:rsidP="00780F11">
            <w:pPr>
              <w:spacing w:before="40" w:after="40"/>
              <w:rPr>
                <w:rFonts w:cs="Segoe UI"/>
                <w:sz w:val="17"/>
                <w:szCs w:val="17"/>
              </w:rPr>
            </w:pPr>
          </w:p>
        </w:tc>
        <w:tc>
          <w:tcPr>
            <w:tcW w:w="493" w:type="dxa"/>
          </w:tcPr>
          <w:p w14:paraId="7345D4BD" w14:textId="77777777" w:rsidR="00780F11" w:rsidRPr="00C37C6E" w:rsidRDefault="00780F11" w:rsidP="00780F11">
            <w:pPr>
              <w:spacing w:before="40" w:after="40"/>
              <w:rPr>
                <w:rFonts w:cs="Segoe UI"/>
                <w:sz w:val="17"/>
                <w:szCs w:val="17"/>
              </w:rPr>
            </w:pPr>
          </w:p>
        </w:tc>
        <w:tc>
          <w:tcPr>
            <w:tcW w:w="737" w:type="dxa"/>
          </w:tcPr>
          <w:p w14:paraId="58FF5058" w14:textId="77777777" w:rsidR="00780F11" w:rsidRPr="00C37C6E" w:rsidRDefault="00780F11" w:rsidP="00780F11">
            <w:pPr>
              <w:spacing w:before="40" w:after="40"/>
              <w:rPr>
                <w:rFonts w:cs="Segoe UI"/>
                <w:sz w:val="17"/>
                <w:szCs w:val="17"/>
              </w:rPr>
            </w:pPr>
          </w:p>
        </w:tc>
        <w:tc>
          <w:tcPr>
            <w:tcW w:w="1550" w:type="dxa"/>
          </w:tcPr>
          <w:p w14:paraId="55BA1935" w14:textId="77777777" w:rsidR="00780F11" w:rsidRPr="00C37C6E" w:rsidRDefault="00780F11" w:rsidP="00780F11">
            <w:pPr>
              <w:spacing w:before="40" w:after="40"/>
              <w:rPr>
                <w:rFonts w:cs="Segoe UI"/>
                <w:sz w:val="17"/>
                <w:szCs w:val="17"/>
              </w:rPr>
            </w:pPr>
          </w:p>
        </w:tc>
      </w:tr>
      <w:tr w:rsidR="00FE6580" w:rsidRPr="00C37C6E" w14:paraId="5CD6BE22" w14:textId="77777777" w:rsidTr="00305D4E">
        <w:tc>
          <w:tcPr>
            <w:tcW w:w="461" w:type="dxa"/>
            <w:tcBorders>
              <w:left w:val="nil"/>
            </w:tcBorders>
          </w:tcPr>
          <w:p w14:paraId="643E5446" w14:textId="3CB9AE6F" w:rsidR="00780F11" w:rsidRPr="00C37C6E" w:rsidRDefault="00780F11" w:rsidP="00780F11">
            <w:pPr>
              <w:spacing w:before="40" w:after="40"/>
              <w:rPr>
                <w:rFonts w:cs="Segoe UI"/>
                <w:sz w:val="17"/>
                <w:szCs w:val="17"/>
              </w:rPr>
            </w:pPr>
            <w:r w:rsidRPr="00DD6E45">
              <w:rPr>
                <w:rFonts w:cs="Segoe UI"/>
                <w:sz w:val="17"/>
                <w:szCs w:val="17"/>
              </w:rPr>
              <w:t>9g</w:t>
            </w:r>
          </w:p>
        </w:tc>
        <w:tc>
          <w:tcPr>
            <w:tcW w:w="2694" w:type="dxa"/>
          </w:tcPr>
          <w:p w14:paraId="4633F305" w14:textId="3A65B77C" w:rsidR="00780F11" w:rsidRPr="00C37C6E" w:rsidRDefault="00780F11" w:rsidP="00560E4B">
            <w:pPr>
              <w:spacing w:before="40" w:after="40"/>
              <w:ind w:left="607"/>
              <w:rPr>
                <w:rFonts w:cs="Segoe UI"/>
                <w:sz w:val="17"/>
                <w:szCs w:val="17"/>
              </w:rPr>
            </w:pPr>
            <w:r w:rsidRPr="00DD6E45">
              <w:rPr>
                <w:rFonts w:cs="Segoe UI"/>
                <w:sz w:val="17"/>
                <w:szCs w:val="17"/>
              </w:rPr>
              <w:t>Of which: no loan splitting applied</w:t>
            </w:r>
          </w:p>
        </w:tc>
        <w:tc>
          <w:tcPr>
            <w:tcW w:w="484" w:type="dxa"/>
          </w:tcPr>
          <w:p w14:paraId="51FEEEBE" w14:textId="77777777" w:rsidR="00780F11" w:rsidRPr="00C37C6E" w:rsidRDefault="00780F11" w:rsidP="00780F11">
            <w:pPr>
              <w:spacing w:before="40" w:after="40"/>
              <w:rPr>
                <w:rFonts w:cs="Segoe UI"/>
                <w:sz w:val="17"/>
                <w:szCs w:val="17"/>
              </w:rPr>
            </w:pPr>
          </w:p>
        </w:tc>
        <w:tc>
          <w:tcPr>
            <w:tcW w:w="485" w:type="dxa"/>
          </w:tcPr>
          <w:p w14:paraId="3C19C664"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43DCBC3A" w14:textId="77777777" w:rsidR="00780F11" w:rsidRPr="00C37C6E" w:rsidRDefault="00780F11" w:rsidP="00780F11">
            <w:pPr>
              <w:spacing w:before="40" w:after="40"/>
              <w:rPr>
                <w:rFonts w:cs="Segoe UI"/>
                <w:sz w:val="17"/>
                <w:szCs w:val="17"/>
              </w:rPr>
            </w:pPr>
          </w:p>
        </w:tc>
        <w:tc>
          <w:tcPr>
            <w:tcW w:w="485" w:type="dxa"/>
          </w:tcPr>
          <w:p w14:paraId="062DC501"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24EB793A" w14:textId="77777777" w:rsidR="00780F11" w:rsidRPr="00C37C6E" w:rsidRDefault="00780F11" w:rsidP="00780F11">
            <w:pPr>
              <w:spacing w:before="40" w:after="40"/>
              <w:rPr>
                <w:rFonts w:cs="Segoe UI"/>
                <w:sz w:val="17"/>
                <w:szCs w:val="17"/>
              </w:rPr>
            </w:pPr>
          </w:p>
        </w:tc>
        <w:tc>
          <w:tcPr>
            <w:tcW w:w="485" w:type="dxa"/>
          </w:tcPr>
          <w:p w14:paraId="789672F2"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3EC495B1" w14:textId="77777777" w:rsidR="00780F11" w:rsidRPr="00C37C6E" w:rsidRDefault="00780F11" w:rsidP="00780F11">
            <w:pPr>
              <w:spacing w:before="40" w:after="40"/>
              <w:rPr>
                <w:rFonts w:cs="Segoe UI"/>
                <w:sz w:val="17"/>
                <w:szCs w:val="17"/>
              </w:rPr>
            </w:pPr>
          </w:p>
        </w:tc>
        <w:tc>
          <w:tcPr>
            <w:tcW w:w="485" w:type="dxa"/>
          </w:tcPr>
          <w:p w14:paraId="16AF70CF" w14:textId="77777777" w:rsidR="00780F11" w:rsidRPr="00C37C6E" w:rsidRDefault="00780F11" w:rsidP="00780F11">
            <w:pPr>
              <w:spacing w:before="40" w:after="40"/>
              <w:rPr>
                <w:rFonts w:cs="Segoe UI"/>
                <w:sz w:val="17"/>
                <w:szCs w:val="17"/>
              </w:rPr>
            </w:pPr>
          </w:p>
        </w:tc>
        <w:tc>
          <w:tcPr>
            <w:tcW w:w="484" w:type="dxa"/>
          </w:tcPr>
          <w:p w14:paraId="63876FF1"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5DDE59F9"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362E951A" w14:textId="77777777" w:rsidR="00780F11" w:rsidRPr="00C37C6E" w:rsidRDefault="00780F11" w:rsidP="00780F11">
            <w:pPr>
              <w:spacing w:before="40" w:after="40"/>
              <w:rPr>
                <w:rFonts w:cs="Segoe UI"/>
                <w:sz w:val="17"/>
                <w:szCs w:val="17"/>
              </w:rPr>
            </w:pPr>
          </w:p>
        </w:tc>
        <w:tc>
          <w:tcPr>
            <w:tcW w:w="485" w:type="dxa"/>
          </w:tcPr>
          <w:p w14:paraId="341AD2A6" w14:textId="77777777" w:rsidR="00780F11" w:rsidRPr="00C37C6E" w:rsidRDefault="00780F11" w:rsidP="00780F11">
            <w:pPr>
              <w:spacing w:before="40" w:after="40"/>
              <w:rPr>
                <w:rFonts w:cs="Segoe UI"/>
                <w:sz w:val="17"/>
                <w:szCs w:val="17"/>
              </w:rPr>
            </w:pPr>
          </w:p>
        </w:tc>
        <w:tc>
          <w:tcPr>
            <w:tcW w:w="484" w:type="dxa"/>
          </w:tcPr>
          <w:p w14:paraId="040FF9BC"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73EC4316" w14:textId="77777777" w:rsidR="00780F11" w:rsidRPr="00C37C6E" w:rsidRDefault="00780F11" w:rsidP="00780F11">
            <w:pPr>
              <w:spacing w:before="40" w:after="40"/>
              <w:rPr>
                <w:rFonts w:cs="Segoe UI"/>
                <w:sz w:val="17"/>
                <w:szCs w:val="17"/>
              </w:rPr>
            </w:pPr>
          </w:p>
        </w:tc>
        <w:tc>
          <w:tcPr>
            <w:tcW w:w="493" w:type="dxa"/>
          </w:tcPr>
          <w:p w14:paraId="49D6A01F"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49C9AC4A"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58E3635B" w14:textId="77777777" w:rsidR="00780F11" w:rsidRPr="00C37C6E" w:rsidRDefault="00780F11" w:rsidP="00780F11">
            <w:pPr>
              <w:spacing w:before="40" w:after="40"/>
              <w:rPr>
                <w:rFonts w:cs="Segoe UI"/>
                <w:sz w:val="17"/>
                <w:szCs w:val="17"/>
              </w:rPr>
            </w:pPr>
          </w:p>
        </w:tc>
        <w:tc>
          <w:tcPr>
            <w:tcW w:w="493" w:type="dxa"/>
          </w:tcPr>
          <w:p w14:paraId="2667770C" w14:textId="77777777" w:rsidR="00780F11" w:rsidRPr="00C37C6E" w:rsidRDefault="00780F11" w:rsidP="00780F11">
            <w:pPr>
              <w:spacing w:before="40" w:after="40"/>
              <w:rPr>
                <w:rFonts w:cs="Segoe UI"/>
                <w:sz w:val="17"/>
                <w:szCs w:val="17"/>
              </w:rPr>
            </w:pPr>
          </w:p>
        </w:tc>
        <w:tc>
          <w:tcPr>
            <w:tcW w:w="737" w:type="dxa"/>
          </w:tcPr>
          <w:p w14:paraId="6A4ECACB" w14:textId="77777777" w:rsidR="00780F11" w:rsidRPr="00C37C6E" w:rsidRDefault="00780F11" w:rsidP="00780F11">
            <w:pPr>
              <w:spacing w:before="40" w:after="40"/>
              <w:rPr>
                <w:rFonts w:cs="Segoe UI"/>
                <w:sz w:val="17"/>
                <w:szCs w:val="17"/>
              </w:rPr>
            </w:pPr>
          </w:p>
        </w:tc>
        <w:tc>
          <w:tcPr>
            <w:tcW w:w="1550" w:type="dxa"/>
          </w:tcPr>
          <w:p w14:paraId="6BC6B9DE" w14:textId="77777777" w:rsidR="00780F11" w:rsidRPr="00C37C6E" w:rsidRDefault="00780F11" w:rsidP="00780F11">
            <w:pPr>
              <w:spacing w:before="40" w:after="40"/>
              <w:rPr>
                <w:rFonts w:cs="Segoe UI"/>
                <w:sz w:val="17"/>
                <w:szCs w:val="17"/>
              </w:rPr>
            </w:pPr>
          </w:p>
        </w:tc>
      </w:tr>
      <w:tr w:rsidR="00FE6580" w:rsidRPr="00C37C6E" w14:paraId="14001AD0" w14:textId="77777777" w:rsidTr="00305D4E">
        <w:tc>
          <w:tcPr>
            <w:tcW w:w="461" w:type="dxa"/>
            <w:tcBorders>
              <w:left w:val="nil"/>
            </w:tcBorders>
          </w:tcPr>
          <w:p w14:paraId="308ECD1F" w14:textId="6B3CDDBF" w:rsidR="00780F11" w:rsidRPr="00C37C6E" w:rsidRDefault="00780F11" w:rsidP="00780F11">
            <w:pPr>
              <w:spacing w:before="40" w:after="40"/>
              <w:rPr>
                <w:rFonts w:cs="Segoe UI"/>
                <w:sz w:val="17"/>
                <w:szCs w:val="17"/>
              </w:rPr>
            </w:pPr>
            <w:r w:rsidRPr="00DD6E45">
              <w:rPr>
                <w:rFonts w:cs="Segoe UI"/>
                <w:sz w:val="17"/>
                <w:szCs w:val="17"/>
              </w:rPr>
              <w:t>9h</w:t>
            </w:r>
          </w:p>
        </w:tc>
        <w:tc>
          <w:tcPr>
            <w:tcW w:w="2694" w:type="dxa"/>
          </w:tcPr>
          <w:p w14:paraId="715FE2BE" w14:textId="1913D017" w:rsidR="00780F11" w:rsidRPr="00C37C6E" w:rsidRDefault="00780F11" w:rsidP="00560E4B">
            <w:pPr>
              <w:spacing w:before="40" w:after="40"/>
              <w:ind w:left="607"/>
              <w:rPr>
                <w:rFonts w:cs="Segoe UI"/>
                <w:sz w:val="17"/>
                <w:szCs w:val="17"/>
              </w:rPr>
            </w:pPr>
            <w:r w:rsidRPr="00DD6E45">
              <w:rPr>
                <w:rFonts w:cs="Segoe UI"/>
                <w:sz w:val="17"/>
                <w:szCs w:val="17"/>
              </w:rPr>
              <w:t>Of which: loan splitting applied (secured)</w:t>
            </w:r>
          </w:p>
        </w:tc>
        <w:tc>
          <w:tcPr>
            <w:tcW w:w="484" w:type="dxa"/>
            <w:shd w:val="clear" w:color="auto" w:fill="BFBFBF" w:themeFill="background1" w:themeFillShade="BF"/>
          </w:tcPr>
          <w:p w14:paraId="068A93FB"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0D5BA887"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105CFA32"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59F6F7A6"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728790F0"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55D04E22"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33524D70"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7771886B"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598B5CB1"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526FDAD3"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282AB967"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0A177BB7"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41F1C00C"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72615869"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1B899BFF"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09325630"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6B212D07"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72C94B38" w14:textId="77777777" w:rsidR="00780F11" w:rsidRPr="00C37C6E" w:rsidRDefault="00780F11" w:rsidP="00780F11">
            <w:pPr>
              <w:spacing w:before="40" w:after="40"/>
              <w:rPr>
                <w:rFonts w:cs="Segoe UI"/>
                <w:sz w:val="17"/>
                <w:szCs w:val="17"/>
              </w:rPr>
            </w:pPr>
          </w:p>
        </w:tc>
        <w:tc>
          <w:tcPr>
            <w:tcW w:w="737" w:type="dxa"/>
            <w:shd w:val="clear" w:color="auto" w:fill="BFBFBF" w:themeFill="background1" w:themeFillShade="BF"/>
          </w:tcPr>
          <w:p w14:paraId="2F578FEB" w14:textId="77777777" w:rsidR="00780F11" w:rsidRPr="00C37C6E" w:rsidRDefault="00780F11" w:rsidP="00780F11">
            <w:pPr>
              <w:spacing w:before="40" w:after="40"/>
              <w:rPr>
                <w:rFonts w:cs="Segoe UI"/>
                <w:sz w:val="17"/>
                <w:szCs w:val="17"/>
              </w:rPr>
            </w:pPr>
          </w:p>
        </w:tc>
        <w:tc>
          <w:tcPr>
            <w:tcW w:w="1550" w:type="dxa"/>
            <w:shd w:val="clear" w:color="auto" w:fill="BFBFBF" w:themeFill="background1" w:themeFillShade="BF"/>
          </w:tcPr>
          <w:p w14:paraId="4D38E57D" w14:textId="77777777" w:rsidR="00780F11" w:rsidRPr="00C37C6E" w:rsidRDefault="00780F11" w:rsidP="00780F11">
            <w:pPr>
              <w:spacing w:before="40" w:after="40"/>
              <w:rPr>
                <w:rFonts w:cs="Segoe UI"/>
                <w:sz w:val="17"/>
                <w:szCs w:val="17"/>
              </w:rPr>
            </w:pPr>
          </w:p>
        </w:tc>
      </w:tr>
      <w:tr w:rsidR="00FE6580" w:rsidRPr="00C37C6E" w14:paraId="2B88D2CB" w14:textId="77777777" w:rsidTr="00305D4E">
        <w:tc>
          <w:tcPr>
            <w:tcW w:w="461" w:type="dxa"/>
            <w:tcBorders>
              <w:left w:val="nil"/>
            </w:tcBorders>
          </w:tcPr>
          <w:p w14:paraId="2539221A" w14:textId="2822C4D2" w:rsidR="00780F11" w:rsidRPr="00C37C6E" w:rsidRDefault="00780F11" w:rsidP="00780F11">
            <w:pPr>
              <w:spacing w:before="40" w:after="40"/>
              <w:rPr>
                <w:rFonts w:cs="Segoe UI"/>
                <w:sz w:val="17"/>
                <w:szCs w:val="17"/>
              </w:rPr>
            </w:pPr>
            <w:r w:rsidRPr="00DD6E45">
              <w:rPr>
                <w:rFonts w:cs="Segoe UI"/>
                <w:sz w:val="17"/>
                <w:szCs w:val="17"/>
              </w:rPr>
              <w:t>9i</w:t>
            </w:r>
          </w:p>
        </w:tc>
        <w:tc>
          <w:tcPr>
            <w:tcW w:w="2694" w:type="dxa"/>
          </w:tcPr>
          <w:p w14:paraId="1BDE0D86" w14:textId="58E5642F" w:rsidR="00780F11" w:rsidRPr="00C37C6E" w:rsidRDefault="00780F11" w:rsidP="00560E4B">
            <w:pPr>
              <w:spacing w:before="40" w:after="40"/>
              <w:ind w:left="607"/>
              <w:rPr>
                <w:rFonts w:cs="Segoe UI"/>
                <w:sz w:val="17"/>
                <w:szCs w:val="17"/>
              </w:rPr>
            </w:pPr>
            <w:r w:rsidRPr="00DD6E45">
              <w:rPr>
                <w:rFonts w:cs="Segoe UI"/>
                <w:sz w:val="17"/>
                <w:szCs w:val="17"/>
              </w:rPr>
              <w:t>Of which: loan splitting applied (unsecured)</w:t>
            </w:r>
          </w:p>
        </w:tc>
        <w:tc>
          <w:tcPr>
            <w:tcW w:w="484" w:type="dxa"/>
            <w:shd w:val="clear" w:color="auto" w:fill="BFBFBF" w:themeFill="background1" w:themeFillShade="BF"/>
          </w:tcPr>
          <w:p w14:paraId="30B98B7F"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59295B5B"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22A29232"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51CF3D5D"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1671F147"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2C41F820"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79D8BA77"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0A765514"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78AA9ED4"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449C1E8E"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344D0B06"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0AACAC11"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1D51B536"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62A19276"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6B7C9B65"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26626C6D"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28E65975"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28029866" w14:textId="77777777" w:rsidR="00780F11" w:rsidRPr="00C37C6E" w:rsidRDefault="00780F11" w:rsidP="00780F11">
            <w:pPr>
              <w:spacing w:before="40" w:after="40"/>
              <w:rPr>
                <w:rFonts w:cs="Segoe UI"/>
                <w:sz w:val="17"/>
                <w:szCs w:val="17"/>
              </w:rPr>
            </w:pPr>
          </w:p>
        </w:tc>
        <w:tc>
          <w:tcPr>
            <w:tcW w:w="737" w:type="dxa"/>
            <w:shd w:val="clear" w:color="auto" w:fill="BFBFBF" w:themeFill="background1" w:themeFillShade="BF"/>
          </w:tcPr>
          <w:p w14:paraId="069D520E" w14:textId="77777777" w:rsidR="00780F11" w:rsidRPr="00C37C6E" w:rsidRDefault="00780F11" w:rsidP="00780F11">
            <w:pPr>
              <w:spacing w:before="40" w:after="40"/>
              <w:rPr>
                <w:rFonts w:cs="Segoe UI"/>
                <w:sz w:val="17"/>
                <w:szCs w:val="17"/>
              </w:rPr>
            </w:pPr>
          </w:p>
        </w:tc>
        <w:tc>
          <w:tcPr>
            <w:tcW w:w="1550" w:type="dxa"/>
            <w:shd w:val="clear" w:color="auto" w:fill="BFBFBF" w:themeFill="background1" w:themeFillShade="BF"/>
          </w:tcPr>
          <w:p w14:paraId="5C61A41F" w14:textId="77777777" w:rsidR="00780F11" w:rsidRPr="00C37C6E" w:rsidRDefault="00780F11" w:rsidP="00780F11">
            <w:pPr>
              <w:spacing w:before="40" w:after="40"/>
              <w:rPr>
                <w:rFonts w:cs="Segoe UI"/>
                <w:sz w:val="17"/>
                <w:szCs w:val="17"/>
              </w:rPr>
            </w:pPr>
          </w:p>
        </w:tc>
      </w:tr>
      <w:tr w:rsidR="00FE6580" w:rsidRPr="00C37C6E" w14:paraId="21C672BF" w14:textId="77777777" w:rsidTr="00305D4E">
        <w:tc>
          <w:tcPr>
            <w:tcW w:w="461" w:type="dxa"/>
            <w:tcBorders>
              <w:left w:val="nil"/>
            </w:tcBorders>
          </w:tcPr>
          <w:p w14:paraId="07D4F226" w14:textId="73414C3E" w:rsidR="00780F11" w:rsidRPr="00C37C6E" w:rsidRDefault="00780F11" w:rsidP="00780F11">
            <w:pPr>
              <w:spacing w:before="40" w:after="40"/>
              <w:rPr>
                <w:rFonts w:cs="Segoe UI"/>
                <w:sz w:val="17"/>
                <w:szCs w:val="17"/>
              </w:rPr>
            </w:pPr>
            <w:r w:rsidRPr="00DD6E45">
              <w:rPr>
                <w:rFonts w:cs="Segoe UI"/>
                <w:sz w:val="17"/>
                <w:szCs w:val="17"/>
              </w:rPr>
              <w:lastRenderedPageBreak/>
              <w:t>9j</w:t>
            </w:r>
          </w:p>
        </w:tc>
        <w:tc>
          <w:tcPr>
            <w:tcW w:w="2694" w:type="dxa"/>
          </w:tcPr>
          <w:p w14:paraId="2B16D951" w14:textId="77777777" w:rsidR="00780F11" w:rsidRPr="00DD6E45" w:rsidRDefault="00780F11" w:rsidP="00560E4B">
            <w:pPr>
              <w:spacing w:before="40" w:after="40"/>
              <w:ind w:left="324"/>
              <w:rPr>
                <w:rFonts w:cs="Segoe UI"/>
                <w:sz w:val="17"/>
                <w:szCs w:val="17"/>
              </w:rPr>
            </w:pPr>
            <w:r w:rsidRPr="00DD6E45">
              <w:rPr>
                <w:rFonts w:cs="Segoe UI"/>
                <w:sz w:val="17"/>
                <w:szCs w:val="17"/>
              </w:rPr>
              <w:t>Of which: regulatory commercial real estate exposures (materially dependent on cash flows generated by mortgaged properties)</w:t>
            </w:r>
          </w:p>
          <w:p w14:paraId="0F5A611E" w14:textId="77777777" w:rsidR="00780F11" w:rsidRPr="00C37C6E" w:rsidRDefault="00780F11" w:rsidP="00560E4B">
            <w:pPr>
              <w:spacing w:before="40" w:after="40"/>
              <w:ind w:left="324"/>
              <w:rPr>
                <w:rFonts w:cs="Segoe UI"/>
                <w:sz w:val="17"/>
                <w:szCs w:val="17"/>
              </w:rPr>
            </w:pPr>
          </w:p>
        </w:tc>
        <w:tc>
          <w:tcPr>
            <w:tcW w:w="484" w:type="dxa"/>
            <w:shd w:val="clear" w:color="auto" w:fill="BFBFBF" w:themeFill="background1" w:themeFillShade="BF"/>
          </w:tcPr>
          <w:p w14:paraId="194C700D"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24736663"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7A2B9843"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757D3A4C"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60326E78"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09C4CAFD"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5DABF3C5"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28B3BEAF"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12A70B8E"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2D73011B" w14:textId="77777777" w:rsidR="00780F11" w:rsidRPr="00C37C6E" w:rsidRDefault="00780F11" w:rsidP="00780F11">
            <w:pPr>
              <w:spacing w:before="40" w:after="40"/>
              <w:rPr>
                <w:rFonts w:cs="Segoe UI"/>
                <w:sz w:val="17"/>
                <w:szCs w:val="17"/>
              </w:rPr>
            </w:pPr>
          </w:p>
        </w:tc>
        <w:tc>
          <w:tcPr>
            <w:tcW w:w="484" w:type="dxa"/>
          </w:tcPr>
          <w:p w14:paraId="2FFE3D54"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47839529"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1DFE10FA" w14:textId="77777777" w:rsidR="00780F11" w:rsidRPr="00C37C6E" w:rsidRDefault="00780F11" w:rsidP="00780F11">
            <w:pPr>
              <w:spacing w:before="40" w:after="40"/>
              <w:rPr>
                <w:rFonts w:cs="Segoe UI"/>
                <w:sz w:val="17"/>
                <w:szCs w:val="17"/>
              </w:rPr>
            </w:pPr>
          </w:p>
        </w:tc>
        <w:tc>
          <w:tcPr>
            <w:tcW w:w="485" w:type="dxa"/>
          </w:tcPr>
          <w:p w14:paraId="36DDFA72"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7CDDC705"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63290253" w14:textId="77777777" w:rsidR="00780F11" w:rsidRPr="00C37C6E" w:rsidRDefault="00780F11" w:rsidP="00780F11">
            <w:pPr>
              <w:spacing w:before="40" w:after="40"/>
              <w:rPr>
                <w:rFonts w:cs="Segoe UI"/>
                <w:sz w:val="17"/>
                <w:szCs w:val="17"/>
              </w:rPr>
            </w:pPr>
          </w:p>
        </w:tc>
        <w:tc>
          <w:tcPr>
            <w:tcW w:w="493" w:type="dxa"/>
          </w:tcPr>
          <w:p w14:paraId="374B1F91"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5806C95A" w14:textId="77777777" w:rsidR="00780F11" w:rsidRPr="00C37C6E" w:rsidRDefault="00780F11" w:rsidP="00780F11">
            <w:pPr>
              <w:spacing w:before="40" w:after="40"/>
              <w:rPr>
                <w:rFonts w:cs="Segoe UI"/>
                <w:sz w:val="17"/>
                <w:szCs w:val="17"/>
              </w:rPr>
            </w:pPr>
          </w:p>
        </w:tc>
        <w:tc>
          <w:tcPr>
            <w:tcW w:w="737" w:type="dxa"/>
          </w:tcPr>
          <w:p w14:paraId="17676D12" w14:textId="77777777" w:rsidR="00780F11" w:rsidRPr="00C37C6E" w:rsidRDefault="00780F11" w:rsidP="00780F11">
            <w:pPr>
              <w:spacing w:before="40" w:after="40"/>
              <w:rPr>
                <w:rFonts w:cs="Segoe UI"/>
                <w:sz w:val="17"/>
                <w:szCs w:val="17"/>
              </w:rPr>
            </w:pPr>
          </w:p>
        </w:tc>
        <w:tc>
          <w:tcPr>
            <w:tcW w:w="1550" w:type="dxa"/>
          </w:tcPr>
          <w:p w14:paraId="75D00A2D" w14:textId="77777777" w:rsidR="00780F11" w:rsidRPr="00C37C6E" w:rsidRDefault="00780F11" w:rsidP="00780F11">
            <w:pPr>
              <w:spacing w:before="40" w:after="40"/>
              <w:rPr>
                <w:rFonts w:cs="Segoe UI"/>
                <w:sz w:val="17"/>
                <w:szCs w:val="17"/>
              </w:rPr>
            </w:pPr>
          </w:p>
        </w:tc>
      </w:tr>
      <w:tr w:rsidR="00FE6580" w:rsidRPr="00C37C6E" w14:paraId="608D082B" w14:textId="77777777" w:rsidTr="00305D4E">
        <w:tc>
          <w:tcPr>
            <w:tcW w:w="461" w:type="dxa"/>
            <w:tcBorders>
              <w:left w:val="nil"/>
            </w:tcBorders>
          </w:tcPr>
          <w:p w14:paraId="6C615CCC" w14:textId="269BB665" w:rsidR="00780F11" w:rsidRPr="00C37C6E" w:rsidRDefault="00780F11" w:rsidP="00780F11">
            <w:pPr>
              <w:spacing w:before="40" w:after="40"/>
              <w:rPr>
                <w:rFonts w:cs="Segoe UI"/>
                <w:sz w:val="17"/>
                <w:szCs w:val="17"/>
              </w:rPr>
            </w:pPr>
            <w:r w:rsidRPr="00DD6E45">
              <w:rPr>
                <w:rFonts w:cs="Segoe UI"/>
                <w:sz w:val="17"/>
                <w:szCs w:val="17"/>
              </w:rPr>
              <w:t>9k</w:t>
            </w:r>
          </w:p>
        </w:tc>
        <w:tc>
          <w:tcPr>
            <w:tcW w:w="2694" w:type="dxa"/>
          </w:tcPr>
          <w:p w14:paraId="6E31E4C2" w14:textId="3EB0FC7C" w:rsidR="00780F11" w:rsidRPr="00C37C6E" w:rsidRDefault="00780F11" w:rsidP="00560E4B">
            <w:pPr>
              <w:spacing w:before="40" w:after="40"/>
              <w:ind w:left="324"/>
              <w:rPr>
                <w:rFonts w:cs="Segoe UI"/>
                <w:sz w:val="17"/>
                <w:szCs w:val="17"/>
              </w:rPr>
            </w:pPr>
            <w:r w:rsidRPr="00DD6E45">
              <w:rPr>
                <w:rFonts w:cs="Segoe UI"/>
                <w:sz w:val="17"/>
                <w:szCs w:val="17"/>
              </w:rPr>
              <w:t>Of which: other real estate exposures (not materially dependent on cash flows generated by mortgaged properties)</w:t>
            </w:r>
          </w:p>
        </w:tc>
        <w:tc>
          <w:tcPr>
            <w:tcW w:w="484" w:type="dxa"/>
          </w:tcPr>
          <w:p w14:paraId="0B21E0FD" w14:textId="77777777" w:rsidR="00780F11" w:rsidRPr="00C37C6E" w:rsidRDefault="00780F11" w:rsidP="00780F11">
            <w:pPr>
              <w:spacing w:before="40" w:after="40"/>
              <w:rPr>
                <w:rFonts w:cs="Segoe UI"/>
                <w:sz w:val="17"/>
                <w:szCs w:val="17"/>
              </w:rPr>
            </w:pPr>
          </w:p>
        </w:tc>
        <w:tc>
          <w:tcPr>
            <w:tcW w:w="485" w:type="dxa"/>
          </w:tcPr>
          <w:p w14:paraId="2DC0FCCA"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5FAE91AB" w14:textId="77777777" w:rsidR="00780F11" w:rsidRPr="00C37C6E" w:rsidRDefault="00780F11" w:rsidP="00780F11">
            <w:pPr>
              <w:spacing w:before="40" w:after="40"/>
              <w:rPr>
                <w:rFonts w:cs="Segoe UI"/>
                <w:sz w:val="17"/>
                <w:szCs w:val="17"/>
              </w:rPr>
            </w:pPr>
          </w:p>
        </w:tc>
        <w:tc>
          <w:tcPr>
            <w:tcW w:w="485" w:type="dxa"/>
          </w:tcPr>
          <w:p w14:paraId="4717477B"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631E04E9" w14:textId="77777777" w:rsidR="00780F11" w:rsidRPr="00C37C6E" w:rsidRDefault="00780F11" w:rsidP="00780F11">
            <w:pPr>
              <w:spacing w:before="40" w:after="40"/>
              <w:rPr>
                <w:rFonts w:cs="Segoe UI"/>
                <w:sz w:val="17"/>
                <w:szCs w:val="17"/>
              </w:rPr>
            </w:pPr>
          </w:p>
        </w:tc>
        <w:tc>
          <w:tcPr>
            <w:tcW w:w="485" w:type="dxa"/>
          </w:tcPr>
          <w:p w14:paraId="11AF4693"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0C332669" w14:textId="77777777" w:rsidR="00780F11" w:rsidRPr="00C37C6E" w:rsidRDefault="00780F11" w:rsidP="00780F11">
            <w:pPr>
              <w:spacing w:before="40" w:after="40"/>
              <w:rPr>
                <w:rFonts w:cs="Segoe UI"/>
                <w:sz w:val="17"/>
                <w:szCs w:val="17"/>
              </w:rPr>
            </w:pPr>
          </w:p>
        </w:tc>
        <w:tc>
          <w:tcPr>
            <w:tcW w:w="485" w:type="dxa"/>
          </w:tcPr>
          <w:p w14:paraId="215535AE"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5CF91C24"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5BB9794D"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756F7236" w14:textId="77777777" w:rsidR="00780F11" w:rsidRPr="00C37C6E" w:rsidRDefault="00780F11" w:rsidP="00780F11">
            <w:pPr>
              <w:spacing w:before="40" w:after="40"/>
              <w:rPr>
                <w:rFonts w:cs="Segoe UI"/>
                <w:sz w:val="17"/>
                <w:szCs w:val="17"/>
              </w:rPr>
            </w:pPr>
          </w:p>
        </w:tc>
        <w:tc>
          <w:tcPr>
            <w:tcW w:w="485" w:type="dxa"/>
          </w:tcPr>
          <w:p w14:paraId="4F7D6964" w14:textId="77777777" w:rsidR="00780F11" w:rsidRPr="00C37C6E" w:rsidRDefault="00780F11" w:rsidP="00780F11">
            <w:pPr>
              <w:spacing w:before="40" w:after="40"/>
              <w:rPr>
                <w:rFonts w:cs="Segoe UI"/>
                <w:sz w:val="17"/>
                <w:szCs w:val="17"/>
              </w:rPr>
            </w:pPr>
          </w:p>
        </w:tc>
        <w:tc>
          <w:tcPr>
            <w:tcW w:w="484" w:type="dxa"/>
          </w:tcPr>
          <w:p w14:paraId="19411133"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703D8C45" w14:textId="77777777" w:rsidR="00780F11" w:rsidRPr="00C37C6E" w:rsidRDefault="00780F11" w:rsidP="00780F11">
            <w:pPr>
              <w:spacing w:before="40" w:after="40"/>
              <w:rPr>
                <w:rFonts w:cs="Segoe UI"/>
                <w:sz w:val="17"/>
                <w:szCs w:val="17"/>
              </w:rPr>
            </w:pPr>
          </w:p>
        </w:tc>
        <w:tc>
          <w:tcPr>
            <w:tcW w:w="493" w:type="dxa"/>
          </w:tcPr>
          <w:p w14:paraId="043B1C7F"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6AC0D720"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0309E02A" w14:textId="77777777" w:rsidR="00780F11" w:rsidRPr="00C37C6E" w:rsidRDefault="00780F11" w:rsidP="00780F11">
            <w:pPr>
              <w:spacing w:before="40" w:after="40"/>
              <w:rPr>
                <w:rFonts w:cs="Segoe UI"/>
                <w:sz w:val="17"/>
                <w:szCs w:val="17"/>
              </w:rPr>
            </w:pPr>
          </w:p>
        </w:tc>
        <w:tc>
          <w:tcPr>
            <w:tcW w:w="493" w:type="dxa"/>
          </w:tcPr>
          <w:p w14:paraId="2CE95033" w14:textId="77777777" w:rsidR="00780F11" w:rsidRPr="00C37C6E" w:rsidRDefault="00780F11" w:rsidP="00780F11">
            <w:pPr>
              <w:spacing w:before="40" w:after="40"/>
              <w:rPr>
                <w:rFonts w:cs="Segoe UI"/>
                <w:sz w:val="17"/>
                <w:szCs w:val="17"/>
              </w:rPr>
            </w:pPr>
          </w:p>
        </w:tc>
        <w:tc>
          <w:tcPr>
            <w:tcW w:w="737" w:type="dxa"/>
          </w:tcPr>
          <w:p w14:paraId="0DB67D10" w14:textId="77777777" w:rsidR="00780F11" w:rsidRPr="00C37C6E" w:rsidRDefault="00780F11" w:rsidP="00780F11">
            <w:pPr>
              <w:spacing w:before="40" w:after="40"/>
              <w:rPr>
                <w:rFonts w:cs="Segoe UI"/>
                <w:sz w:val="17"/>
                <w:szCs w:val="17"/>
              </w:rPr>
            </w:pPr>
          </w:p>
        </w:tc>
        <w:tc>
          <w:tcPr>
            <w:tcW w:w="1550" w:type="dxa"/>
          </w:tcPr>
          <w:p w14:paraId="2CE892B3" w14:textId="77777777" w:rsidR="00780F11" w:rsidRPr="00C37C6E" w:rsidRDefault="00780F11" w:rsidP="00780F11">
            <w:pPr>
              <w:spacing w:before="40" w:after="40"/>
              <w:rPr>
                <w:rFonts w:cs="Segoe UI"/>
                <w:sz w:val="17"/>
                <w:szCs w:val="17"/>
              </w:rPr>
            </w:pPr>
          </w:p>
        </w:tc>
      </w:tr>
      <w:tr w:rsidR="00FE6580" w:rsidRPr="00C37C6E" w14:paraId="35EFF5B4" w14:textId="77777777" w:rsidTr="00305D4E">
        <w:tc>
          <w:tcPr>
            <w:tcW w:w="461" w:type="dxa"/>
            <w:tcBorders>
              <w:left w:val="nil"/>
            </w:tcBorders>
          </w:tcPr>
          <w:p w14:paraId="3E061108" w14:textId="26D2F8F1" w:rsidR="00780F11" w:rsidRPr="00C37C6E" w:rsidRDefault="00780F11" w:rsidP="00780F11">
            <w:pPr>
              <w:spacing w:before="40" w:after="40"/>
              <w:rPr>
                <w:rFonts w:cs="Segoe UI"/>
                <w:sz w:val="17"/>
                <w:szCs w:val="17"/>
              </w:rPr>
            </w:pPr>
            <w:r w:rsidRPr="00DD6E45">
              <w:rPr>
                <w:rFonts w:cs="Segoe UI"/>
                <w:sz w:val="17"/>
                <w:szCs w:val="17"/>
              </w:rPr>
              <w:t>9l</w:t>
            </w:r>
          </w:p>
        </w:tc>
        <w:tc>
          <w:tcPr>
            <w:tcW w:w="2694" w:type="dxa"/>
          </w:tcPr>
          <w:p w14:paraId="09C83374" w14:textId="1173D4DE" w:rsidR="00780F11" w:rsidRPr="00C37C6E" w:rsidRDefault="00780F11" w:rsidP="00F3469D">
            <w:pPr>
              <w:spacing w:before="40" w:after="40"/>
              <w:ind w:left="607"/>
              <w:rPr>
                <w:rFonts w:cs="Segoe UI"/>
                <w:sz w:val="17"/>
                <w:szCs w:val="17"/>
              </w:rPr>
            </w:pPr>
            <w:r w:rsidRPr="00DD6E45">
              <w:rPr>
                <w:rFonts w:cs="Segoe UI"/>
                <w:sz w:val="17"/>
                <w:szCs w:val="17"/>
              </w:rPr>
              <w:t>Of which: no loan splitting applied</w:t>
            </w:r>
          </w:p>
        </w:tc>
        <w:tc>
          <w:tcPr>
            <w:tcW w:w="484" w:type="dxa"/>
          </w:tcPr>
          <w:p w14:paraId="606AB0EC" w14:textId="77777777" w:rsidR="00780F11" w:rsidRPr="00C37C6E" w:rsidRDefault="00780F11" w:rsidP="00780F11">
            <w:pPr>
              <w:spacing w:before="40" w:after="40"/>
              <w:rPr>
                <w:rFonts w:cs="Segoe UI"/>
                <w:sz w:val="17"/>
                <w:szCs w:val="17"/>
              </w:rPr>
            </w:pPr>
          </w:p>
        </w:tc>
        <w:tc>
          <w:tcPr>
            <w:tcW w:w="485" w:type="dxa"/>
          </w:tcPr>
          <w:p w14:paraId="78122805"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6B96434C" w14:textId="77777777" w:rsidR="00780F11" w:rsidRPr="00C37C6E" w:rsidRDefault="00780F11" w:rsidP="00780F11">
            <w:pPr>
              <w:spacing w:before="40" w:after="40"/>
              <w:rPr>
                <w:rFonts w:cs="Segoe UI"/>
                <w:sz w:val="17"/>
                <w:szCs w:val="17"/>
              </w:rPr>
            </w:pPr>
          </w:p>
        </w:tc>
        <w:tc>
          <w:tcPr>
            <w:tcW w:w="485" w:type="dxa"/>
          </w:tcPr>
          <w:p w14:paraId="7EA0A1A2"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7365BAC3" w14:textId="77777777" w:rsidR="00780F11" w:rsidRPr="00C37C6E" w:rsidRDefault="00780F11" w:rsidP="00780F11">
            <w:pPr>
              <w:spacing w:before="40" w:after="40"/>
              <w:rPr>
                <w:rFonts w:cs="Segoe UI"/>
                <w:sz w:val="17"/>
                <w:szCs w:val="17"/>
              </w:rPr>
            </w:pPr>
          </w:p>
        </w:tc>
        <w:tc>
          <w:tcPr>
            <w:tcW w:w="485" w:type="dxa"/>
          </w:tcPr>
          <w:p w14:paraId="20BAAEDF"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34D3675F" w14:textId="77777777" w:rsidR="00780F11" w:rsidRPr="00C37C6E" w:rsidRDefault="00780F11" w:rsidP="00780F11">
            <w:pPr>
              <w:spacing w:before="40" w:after="40"/>
              <w:rPr>
                <w:rFonts w:cs="Segoe UI"/>
                <w:sz w:val="17"/>
                <w:szCs w:val="17"/>
              </w:rPr>
            </w:pPr>
          </w:p>
        </w:tc>
        <w:tc>
          <w:tcPr>
            <w:tcW w:w="485" w:type="dxa"/>
          </w:tcPr>
          <w:p w14:paraId="2D31707E"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5CB56877"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36757D24"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544E94BC" w14:textId="77777777" w:rsidR="00780F11" w:rsidRPr="00C37C6E" w:rsidRDefault="00780F11" w:rsidP="00780F11">
            <w:pPr>
              <w:spacing w:before="40" w:after="40"/>
              <w:rPr>
                <w:rFonts w:cs="Segoe UI"/>
                <w:sz w:val="17"/>
                <w:szCs w:val="17"/>
              </w:rPr>
            </w:pPr>
          </w:p>
        </w:tc>
        <w:tc>
          <w:tcPr>
            <w:tcW w:w="485" w:type="dxa"/>
          </w:tcPr>
          <w:p w14:paraId="65ACD526" w14:textId="77777777" w:rsidR="00780F11" w:rsidRPr="00C37C6E" w:rsidRDefault="00780F11" w:rsidP="00780F11">
            <w:pPr>
              <w:spacing w:before="40" w:after="40"/>
              <w:rPr>
                <w:rFonts w:cs="Segoe UI"/>
                <w:sz w:val="17"/>
                <w:szCs w:val="17"/>
              </w:rPr>
            </w:pPr>
          </w:p>
        </w:tc>
        <w:tc>
          <w:tcPr>
            <w:tcW w:w="484" w:type="dxa"/>
          </w:tcPr>
          <w:p w14:paraId="3279FF60"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0D46E749" w14:textId="77777777" w:rsidR="00780F11" w:rsidRPr="00C37C6E" w:rsidRDefault="00780F11" w:rsidP="00780F11">
            <w:pPr>
              <w:spacing w:before="40" w:after="40"/>
              <w:rPr>
                <w:rFonts w:cs="Segoe UI"/>
                <w:sz w:val="17"/>
                <w:szCs w:val="17"/>
              </w:rPr>
            </w:pPr>
          </w:p>
        </w:tc>
        <w:tc>
          <w:tcPr>
            <w:tcW w:w="493" w:type="dxa"/>
          </w:tcPr>
          <w:p w14:paraId="74239416"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13F51584"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3C4736CE" w14:textId="77777777" w:rsidR="00780F11" w:rsidRPr="00C37C6E" w:rsidRDefault="00780F11" w:rsidP="00780F11">
            <w:pPr>
              <w:spacing w:before="40" w:after="40"/>
              <w:rPr>
                <w:rFonts w:cs="Segoe UI"/>
                <w:sz w:val="17"/>
                <w:szCs w:val="17"/>
              </w:rPr>
            </w:pPr>
          </w:p>
        </w:tc>
        <w:tc>
          <w:tcPr>
            <w:tcW w:w="493" w:type="dxa"/>
          </w:tcPr>
          <w:p w14:paraId="130E4C1D" w14:textId="77777777" w:rsidR="00780F11" w:rsidRPr="00C37C6E" w:rsidRDefault="00780F11" w:rsidP="00780F11">
            <w:pPr>
              <w:spacing w:before="40" w:after="40"/>
              <w:rPr>
                <w:rFonts w:cs="Segoe UI"/>
                <w:sz w:val="17"/>
                <w:szCs w:val="17"/>
              </w:rPr>
            </w:pPr>
          </w:p>
        </w:tc>
        <w:tc>
          <w:tcPr>
            <w:tcW w:w="737" w:type="dxa"/>
          </w:tcPr>
          <w:p w14:paraId="268AAEC2" w14:textId="77777777" w:rsidR="00780F11" w:rsidRPr="00C37C6E" w:rsidRDefault="00780F11" w:rsidP="00780F11">
            <w:pPr>
              <w:spacing w:before="40" w:after="40"/>
              <w:rPr>
                <w:rFonts w:cs="Segoe UI"/>
                <w:sz w:val="17"/>
                <w:szCs w:val="17"/>
              </w:rPr>
            </w:pPr>
          </w:p>
        </w:tc>
        <w:tc>
          <w:tcPr>
            <w:tcW w:w="1550" w:type="dxa"/>
          </w:tcPr>
          <w:p w14:paraId="315F0120" w14:textId="77777777" w:rsidR="00780F11" w:rsidRPr="00C37C6E" w:rsidRDefault="00780F11" w:rsidP="00780F11">
            <w:pPr>
              <w:spacing w:before="40" w:after="40"/>
              <w:rPr>
                <w:rFonts w:cs="Segoe UI"/>
                <w:sz w:val="17"/>
                <w:szCs w:val="17"/>
              </w:rPr>
            </w:pPr>
          </w:p>
        </w:tc>
      </w:tr>
      <w:tr w:rsidR="00FE6580" w:rsidRPr="00C37C6E" w14:paraId="4DA7CEA7" w14:textId="77777777" w:rsidTr="00305D4E">
        <w:tc>
          <w:tcPr>
            <w:tcW w:w="461" w:type="dxa"/>
            <w:tcBorders>
              <w:left w:val="nil"/>
            </w:tcBorders>
          </w:tcPr>
          <w:p w14:paraId="31720DE9" w14:textId="7FEB5EF2" w:rsidR="00780F11" w:rsidRPr="00C37C6E" w:rsidRDefault="00780F11" w:rsidP="00780F11">
            <w:pPr>
              <w:spacing w:before="40" w:after="40"/>
              <w:rPr>
                <w:rFonts w:cs="Segoe UI"/>
                <w:sz w:val="17"/>
                <w:szCs w:val="17"/>
              </w:rPr>
            </w:pPr>
            <w:r w:rsidRPr="00DD6E45">
              <w:rPr>
                <w:rFonts w:cs="Segoe UI"/>
                <w:sz w:val="17"/>
                <w:szCs w:val="17"/>
              </w:rPr>
              <w:t>9m</w:t>
            </w:r>
          </w:p>
        </w:tc>
        <w:tc>
          <w:tcPr>
            <w:tcW w:w="2694" w:type="dxa"/>
          </w:tcPr>
          <w:p w14:paraId="7F8C655A" w14:textId="03A654C4" w:rsidR="00780F11" w:rsidRPr="00C37C6E" w:rsidRDefault="00780F11" w:rsidP="00560E4B">
            <w:pPr>
              <w:spacing w:before="40" w:after="40"/>
              <w:ind w:left="607"/>
              <w:rPr>
                <w:rFonts w:cs="Segoe UI"/>
                <w:sz w:val="17"/>
                <w:szCs w:val="17"/>
              </w:rPr>
            </w:pPr>
            <w:r w:rsidRPr="00DD6E45">
              <w:rPr>
                <w:rFonts w:cs="Segoe UI"/>
                <w:sz w:val="17"/>
                <w:szCs w:val="17"/>
              </w:rPr>
              <w:t>Of which: loan splitting applied (secured)</w:t>
            </w:r>
          </w:p>
        </w:tc>
        <w:tc>
          <w:tcPr>
            <w:tcW w:w="484" w:type="dxa"/>
            <w:shd w:val="clear" w:color="auto" w:fill="BFBFBF" w:themeFill="background1" w:themeFillShade="BF"/>
          </w:tcPr>
          <w:p w14:paraId="4819395D"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0ABA6E71"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2D2BADBC"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7FB4C01D"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543B08ED"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77D2579E"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5B783B56"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2E8944A9"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631BC8E1"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3BF65680"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74614284"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5241AFDF"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3D04E9D6"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008B78D5"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01A73ECD"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0820F387"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732B31BB"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5B1FC086" w14:textId="77777777" w:rsidR="00780F11" w:rsidRPr="00C37C6E" w:rsidRDefault="00780F11" w:rsidP="00780F11">
            <w:pPr>
              <w:spacing w:before="40" w:after="40"/>
              <w:rPr>
                <w:rFonts w:cs="Segoe UI"/>
                <w:sz w:val="17"/>
                <w:szCs w:val="17"/>
              </w:rPr>
            </w:pPr>
          </w:p>
        </w:tc>
        <w:tc>
          <w:tcPr>
            <w:tcW w:w="737" w:type="dxa"/>
            <w:shd w:val="clear" w:color="auto" w:fill="BFBFBF" w:themeFill="background1" w:themeFillShade="BF"/>
          </w:tcPr>
          <w:p w14:paraId="6C29C3A5" w14:textId="77777777" w:rsidR="00780F11" w:rsidRPr="00C37C6E" w:rsidRDefault="00780F11" w:rsidP="00780F11">
            <w:pPr>
              <w:spacing w:before="40" w:after="40"/>
              <w:rPr>
                <w:rFonts w:cs="Segoe UI"/>
                <w:sz w:val="17"/>
                <w:szCs w:val="17"/>
              </w:rPr>
            </w:pPr>
          </w:p>
        </w:tc>
        <w:tc>
          <w:tcPr>
            <w:tcW w:w="1550" w:type="dxa"/>
            <w:shd w:val="clear" w:color="auto" w:fill="BFBFBF" w:themeFill="background1" w:themeFillShade="BF"/>
          </w:tcPr>
          <w:p w14:paraId="19439185" w14:textId="77777777" w:rsidR="00780F11" w:rsidRPr="00C37C6E" w:rsidRDefault="00780F11" w:rsidP="00780F11">
            <w:pPr>
              <w:spacing w:before="40" w:after="40"/>
              <w:rPr>
                <w:rFonts w:cs="Segoe UI"/>
                <w:sz w:val="17"/>
                <w:szCs w:val="17"/>
              </w:rPr>
            </w:pPr>
          </w:p>
        </w:tc>
      </w:tr>
      <w:tr w:rsidR="00FE6580" w:rsidRPr="00C37C6E" w14:paraId="0F879769" w14:textId="77777777" w:rsidTr="00305D4E">
        <w:tc>
          <w:tcPr>
            <w:tcW w:w="461" w:type="dxa"/>
            <w:tcBorders>
              <w:left w:val="nil"/>
            </w:tcBorders>
          </w:tcPr>
          <w:p w14:paraId="3904E561" w14:textId="1F0E9795" w:rsidR="00780F11" w:rsidRPr="00C37C6E" w:rsidRDefault="00780F11" w:rsidP="00780F11">
            <w:pPr>
              <w:spacing w:before="40" w:after="40"/>
              <w:rPr>
                <w:rFonts w:cs="Segoe UI"/>
                <w:sz w:val="17"/>
                <w:szCs w:val="17"/>
              </w:rPr>
            </w:pPr>
            <w:r w:rsidRPr="00DD6E45">
              <w:rPr>
                <w:rFonts w:cs="Segoe UI"/>
                <w:sz w:val="17"/>
                <w:szCs w:val="17"/>
              </w:rPr>
              <w:t>9n</w:t>
            </w:r>
          </w:p>
        </w:tc>
        <w:tc>
          <w:tcPr>
            <w:tcW w:w="2694" w:type="dxa"/>
          </w:tcPr>
          <w:p w14:paraId="0BE08A57" w14:textId="0DD9E156" w:rsidR="00780F11" w:rsidRPr="00C37C6E" w:rsidRDefault="00780F11" w:rsidP="00560E4B">
            <w:pPr>
              <w:spacing w:before="40" w:after="40"/>
              <w:ind w:left="607"/>
              <w:rPr>
                <w:rFonts w:cs="Segoe UI"/>
                <w:sz w:val="17"/>
                <w:szCs w:val="17"/>
              </w:rPr>
            </w:pPr>
            <w:r w:rsidRPr="00DD6E45">
              <w:rPr>
                <w:rFonts w:cs="Segoe UI"/>
                <w:sz w:val="17"/>
                <w:szCs w:val="17"/>
              </w:rPr>
              <w:t>Of which: loan splitting applied (unsecured)</w:t>
            </w:r>
          </w:p>
        </w:tc>
        <w:tc>
          <w:tcPr>
            <w:tcW w:w="484" w:type="dxa"/>
            <w:shd w:val="clear" w:color="auto" w:fill="BFBFBF" w:themeFill="background1" w:themeFillShade="BF"/>
          </w:tcPr>
          <w:p w14:paraId="4027E5C0"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55A5CECA"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54FB05A1"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3D13E10F"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3EADC1AF"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2AEC2A1F"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4118AF0B"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6B001348"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7CF0ACA2"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381BD03E"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1E10AB13"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007FB57F"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3E628874"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65199046"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20C0B356"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1BAC9EEB"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48596B72"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297BD898" w14:textId="77777777" w:rsidR="00780F11" w:rsidRPr="00C37C6E" w:rsidRDefault="00780F11" w:rsidP="00780F11">
            <w:pPr>
              <w:spacing w:before="40" w:after="40"/>
              <w:rPr>
                <w:rFonts w:cs="Segoe UI"/>
                <w:sz w:val="17"/>
                <w:szCs w:val="17"/>
              </w:rPr>
            </w:pPr>
          </w:p>
        </w:tc>
        <w:tc>
          <w:tcPr>
            <w:tcW w:w="737" w:type="dxa"/>
            <w:shd w:val="clear" w:color="auto" w:fill="BFBFBF" w:themeFill="background1" w:themeFillShade="BF"/>
          </w:tcPr>
          <w:p w14:paraId="0F311371" w14:textId="77777777" w:rsidR="00780F11" w:rsidRPr="00C37C6E" w:rsidRDefault="00780F11" w:rsidP="00780F11">
            <w:pPr>
              <w:spacing w:before="40" w:after="40"/>
              <w:rPr>
                <w:rFonts w:cs="Segoe UI"/>
                <w:sz w:val="17"/>
                <w:szCs w:val="17"/>
              </w:rPr>
            </w:pPr>
          </w:p>
        </w:tc>
        <w:tc>
          <w:tcPr>
            <w:tcW w:w="1550" w:type="dxa"/>
            <w:shd w:val="clear" w:color="auto" w:fill="BFBFBF" w:themeFill="background1" w:themeFillShade="BF"/>
          </w:tcPr>
          <w:p w14:paraId="68C38FD1" w14:textId="77777777" w:rsidR="00780F11" w:rsidRPr="00C37C6E" w:rsidRDefault="00780F11" w:rsidP="00780F11">
            <w:pPr>
              <w:spacing w:before="40" w:after="40"/>
              <w:rPr>
                <w:rFonts w:cs="Segoe UI"/>
                <w:sz w:val="17"/>
                <w:szCs w:val="17"/>
              </w:rPr>
            </w:pPr>
          </w:p>
        </w:tc>
      </w:tr>
      <w:tr w:rsidR="00FE6580" w:rsidRPr="00C37C6E" w14:paraId="2CF24A7E" w14:textId="77777777" w:rsidTr="00305D4E">
        <w:tc>
          <w:tcPr>
            <w:tcW w:w="461" w:type="dxa"/>
            <w:tcBorders>
              <w:left w:val="nil"/>
            </w:tcBorders>
          </w:tcPr>
          <w:p w14:paraId="61B7F1AF" w14:textId="7AA6482D" w:rsidR="00780F11" w:rsidRPr="00C37C6E" w:rsidRDefault="00780F11" w:rsidP="00780F11">
            <w:pPr>
              <w:spacing w:before="40" w:after="40"/>
              <w:rPr>
                <w:rFonts w:cs="Segoe UI"/>
                <w:sz w:val="17"/>
                <w:szCs w:val="17"/>
              </w:rPr>
            </w:pPr>
            <w:r w:rsidRPr="00DD6E45">
              <w:rPr>
                <w:rFonts w:cs="Segoe UI"/>
                <w:sz w:val="17"/>
                <w:szCs w:val="17"/>
              </w:rPr>
              <w:lastRenderedPageBreak/>
              <w:t>9o</w:t>
            </w:r>
          </w:p>
        </w:tc>
        <w:tc>
          <w:tcPr>
            <w:tcW w:w="2694" w:type="dxa"/>
          </w:tcPr>
          <w:p w14:paraId="68BFB444" w14:textId="582BDF6E" w:rsidR="00780F11" w:rsidRPr="00C37C6E" w:rsidRDefault="00780F11" w:rsidP="00560E4B">
            <w:pPr>
              <w:spacing w:before="40" w:after="40"/>
              <w:ind w:left="324"/>
              <w:rPr>
                <w:rFonts w:cs="Segoe UI"/>
                <w:sz w:val="17"/>
                <w:szCs w:val="17"/>
              </w:rPr>
            </w:pPr>
            <w:r w:rsidRPr="00DD6E45">
              <w:rPr>
                <w:rFonts w:cs="Segoe UI"/>
                <w:sz w:val="17"/>
                <w:szCs w:val="17"/>
              </w:rPr>
              <w:t>Of which: other real estate exposures (materially dependent on cash flows generated by mortgaged properties)</w:t>
            </w:r>
          </w:p>
        </w:tc>
        <w:tc>
          <w:tcPr>
            <w:tcW w:w="484" w:type="dxa"/>
            <w:shd w:val="clear" w:color="auto" w:fill="BFBFBF" w:themeFill="background1" w:themeFillShade="BF"/>
          </w:tcPr>
          <w:p w14:paraId="1D7391E9"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75B15F20"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309B3368"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4D0FDC18"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747B7136"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3EB3256B"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79AF5CFF"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578FAEC0"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3E2FEF5D"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4FFEA70A"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775B05D1"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79FB254C"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32D2D6E9"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5D8B7DB0"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4B61A8FF"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7C9D133A"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30F79B0C" w14:textId="77777777" w:rsidR="00780F11" w:rsidRPr="00C37C6E" w:rsidRDefault="00780F11" w:rsidP="00780F11">
            <w:pPr>
              <w:spacing w:before="40" w:after="40"/>
              <w:rPr>
                <w:rFonts w:cs="Segoe UI"/>
                <w:sz w:val="17"/>
                <w:szCs w:val="17"/>
              </w:rPr>
            </w:pPr>
          </w:p>
        </w:tc>
        <w:tc>
          <w:tcPr>
            <w:tcW w:w="493" w:type="dxa"/>
          </w:tcPr>
          <w:p w14:paraId="2603E252" w14:textId="77777777" w:rsidR="00780F11" w:rsidRPr="00C37C6E" w:rsidRDefault="00780F11" w:rsidP="00780F11">
            <w:pPr>
              <w:spacing w:before="40" w:after="40"/>
              <w:rPr>
                <w:rFonts w:cs="Segoe UI"/>
                <w:sz w:val="17"/>
                <w:szCs w:val="17"/>
              </w:rPr>
            </w:pPr>
          </w:p>
        </w:tc>
        <w:tc>
          <w:tcPr>
            <w:tcW w:w="737" w:type="dxa"/>
          </w:tcPr>
          <w:p w14:paraId="7E0E17C9" w14:textId="77777777" w:rsidR="00780F11" w:rsidRPr="00C37C6E" w:rsidRDefault="00780F11" w:rsidP="00780F11">
            <w:pPr>
              <w:spacing w:before="40" w:after="40"/>
              <w:rPr>
                <w:rFonts w:cs="Segoe UI"/>
                <w:sz w:val="17"/>
                <w:szCs w:val="17"/>
              </w:rPr>
            </w:pPr>
          </w:p>
        </w:tc>
        <w:tc>
          <w:tcPr>
            <w:tcW w:w="1550" w:type="dxa"/>
          </w:tcPr>
          <w:p w14:paraId="7DB37C77" w14:textId="77777777" w:rsidR="00780F11" w:rsidRPr="00C37C6E" w:rsidRDefault="00780F11" w:rsidP="00780F11">
            <w:pPr>
              <w:spacing w:before="40" w:after="40"/>
              <w:rPr>
                <w:rFonts w:cs="Segoe UI"/>
                <w:sz w:val="17"/>
                <w:szCs w:val="17"/>
              </w:rPr>
            </w:pPr>
          </w:p>
        </w:tc>
      </w:tr>
      <w:tr w:rsidR="00FE6580" w:rsidRPr="00C37C6E" w14:paraId="2AEF6B63" w14:textId="77777777" w:rsidTr="00305D4E">
        <w:tc>
          <w:tcPr>
            <w:tcW w:w="461" w:type="dxa"/>
            <w:tcBorders>
              <w:left w:val="nil"/>
            </w:tcBorders>
          </w:tcPr>
          <w:p w14:paraId="42C5E14B" w14:textId="51945EF8" w:rsidR="00780F11" w:rsidRPr="00C37C6E" w:rsidRDefault="00780F11" w:rsidP="00780F11">
            <w:pPr>
              <w:spacing w:before="40" w:after="40"/>
              <w:rPr>
                <w:rFonts w:cs="Segoe UI"/>
                <w:sz w:val="17"/>
                <w:szCs w:val="17"/>
              </w:rPr>
            </w:pPr>
            <w:r w:rsidRPr="00DD6E45">
              <w:rPr>
                <w:rFonts w:cs="Segoe UI"/>
                <w:sz w:val="17"/>
                <w:szCs w:val="17"/>
              </w:rPr>
              <w:t>9p</w:t>
            </w:r>
          </w:p>
        </w:tc>
        <w:tc>
          <w:tcPr>
            <w:tcW w:w="2694" w:type="dxa"/>
          </w:tcPr>
          <w:p w14:paraId="3C60D68F" w14:textId="440C2117" w:rsidR="00780F11" w:rsidRPr="00C37C6E" w:rsidRDefault="00780F11" w:rsidP="00560E4B">
            <w:pPr>
              <w:spacing w:before="40" w:after="40"/>
              <w:ind w:left="324"/>
              <w:rPr>
                <w:rFonts w:cs="Segoe UI"/>
                <w:sz w:val="17"/>
                <w:szCs w:val="17"/>
              </w:rPr>
            </w:pPr>
            <w:r w:rsidRPr="00DD6E45">
              <w:rPr>
                <w:rFonts w:cs="Segoe UI"/>
                <w:sz w:val="17"/>
                <w:szCs w:val="17"/>
              </w:rPr>
              <w:t>Of which: land acquisition, development and construction exposures</w:t>
            </w:r>
          </w:p>
        </w:tc>
        <w:tc>
          <w:tcPr>
            <w:tcW w:w="484" w:type="dxa"/>
            <w:shd w:val="clear" w:color="auto" w:fill="BFBFBF" w:themeFill="background1" w:themeFillShade="BF"/>
          </w:tcPr>
          <w:p w14:paraId="6A13FD65"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1BECF68B"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6CBAE6B8"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593211D6"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70E31548"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52B4637E"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6D59A7D2"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23881555"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36A7230A"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44F80336"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799FFA84"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095A9A3C" w14:textId="77777777" w:rsidR="00780F11" w:rsidRPr="00C37C6E" w:rsidRDefault="00780F11" w:rsidP="00780F11">
            <w:pPr>
              <w:spacing w:before="40" w:after="40"/>
              <w:rPr>
                <w:rFonts w:cs="Segoe UI"/>
                <w:sz w:val="17"/>
                <w:szCs w:val="17"/>
              </w:rPr>
            </w:pPr>
          </w:p>
        </w:tc>
        <w:tc>
          <w:tcPr>
            <w:tcW w:w="484" w:type="dxa"/>
            <w:shd w:val="clear" w:color="auto" w:fill="BFBFBF" w:themeFill="background1" w:themeFillShade="BF"/>
          </w:tcPr>
          <w:p w14:paraId="73DBA212" w14:textId="77777777" w:rsidR="00780F11" w:rsidRPr="00C37C6E" w:rsidRDefault="00780F11" w:rsidP="00780F11">
            <w:pPr>
              <w:spacing w:before="40" w:after="40"/>
              <w:rPr>
                <w:rFonts w:cs="Segoe UI"/>
                <w:sz w:val="17"/>
                <w:szCs w:val="17"/>
              </w:rPr>
            </w:pPr>
          </w:p>
        </w:tc>
        <w:tc>
          <w:tcPr>
            <w:tcW w:w="485" w:type="dxa"/>
            <w:shd w:val="clear" w:color="auto" w:fill="BFBFBF" w:themeFill="background1" w:themeFillShade="BF"/>
          </w:tcPr>
          <w:p w14:paraId="4BE5882C" w14:textId="77777777" w:rsidR="00780F11" w:rsidRPr="00C37C6E" w:rsidRDefault="00780F11" w:rsidP="00780F11">
            <w:pPr>
              <w:spacing w:before="40" w:after="40"/>
              <w:rPr>
                <w:rFonts w:cs="Segoe UI"/>
                <w:sz w:val="17"/>
                <w:szCs w:val="17"/>
              </w:rPr>
            </w:pPr>
          </w:p>
        </w:tc>
        <w:tc>
          <w:tcPr>
            <w:tcW w:w="493" w:type="dxa"/>
          </w:tcPr>
          <w:p w14:paraId="3FA5CEBC"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56F8D877" w14:textId="77777777" w:rsidR="00780F11" w:rsidRPr="00C37C6E" w:rsidRDefault="00780F11" w:rsidP="00780F11">
            <w:pPr>
              <w:spacing w:before="40" w:after="40"/>
              <w:rPr>
                <w:rFonts w:cs="Segoe UI"/>
                <w:sz w:val="17"/>
                <w:szCs w:val="17"/>
              </w:rPr>
            </w:pPr>
          </w:p>
        </w:tc>
        <w:tc>
          <w:tcPr>
            <w:tcW w:w="493" w:type="dxa"/>
            <w:shd w:val="clear" w:color="auto" w:fill="BFBFBF" w:themeFill="background1" w:themeFillShade="BF"/>
          </w:tcPr>
          <w:p w14:paraId="239522BA" w14:textId="77777777" w:rsidR="00780F11" w:rsidRPr="00C37C6E" w:rsidRDefault="00780F11" w:rsidP="00780F11">
            <w:pPr>
              <w:spacing w:before="40" w:after="40"/>
              <w:rPr>
                <w:rFonts w:cs="Segoe UI"/>
                <w:sz w:val="17"/>
                <w:szCs w:val="17"/>
              </w:rPr>
            </w:pPr>
          </w:p>
        </w:tc>
        <w:tc>
          <w:tcPr>
            <w:tcW w:w="493" w:type="dxa"/>
          </w:tcPr>
          <w:p w14:paraId="2B61F6B7" w14:textId="77777777" w:rsidR="00780F11" w:rsidRPr="00C37C6E" w:rsidRDefault="00780F11" w:rsidP="00780F11">
            <w:pPr>
              <w:spacing w:before="40" w:after="40"/>
              <w:rPr>
                <w:rFonts w:cs="Segoe UI"/>
                <w:sz w:val="17"/>
                <w:szCs w:val="17"/>
              </w:rPr>
            </w:pPr>
          </w:p>
        </w:tc>
        <w:tc>
          <w:tcPr>
            <w:tcW w:w="737" w:type="dxa"/>
          </w:tcPr>
          <w:p w14:paraId="68428659" w14:textId="77777777" w:rsidR="00780F11" w:rsidRPr="00C37C6E" w:rsidRDefault="00780F11" w:rsidP="00780F11">
            <w:pPr>
              <w:spacing w:before="40" w:after="40"/>
              <w:rPr>
                <w:rFonts w:cs="Segoe UI"/>
                <w:sz w:val="17"/>
                <w:szCs w:val="17"/>
              </w:rPr>
            </w:pPr>
          </w:p>
        </w:tc>
        <w:tc>
          <w:tcPr>
            <w:tcW w:w="1550" w:type="dxa"/>
          </w:tcPr>
          <w:p w14:paraId="5B28E331" w14:textId="77777777" w:rsidR="00780F11" w:rsidRPr="00C37C6E" w:rsidRDefault="00780F11" w:rsidP="00780F11">
            <w:pPr>
              <w:spacing w:before="40" w:after="40"/>
              <w:rPr>
                <w:rFonts w:cs="Segoe UI"/>
                <w:sz w:val="17"/>
                <w:szCs w:val="17"/>
              </w:rPr>
            </w:pPr>
          </w:p>
        </w:tc>
      </w:tr>
    </w:tbl>
    <w:p w14:paraId="56B10C3E" w14:textId="77777777" w:rsidR="00DD6E45" w:rsidRPr="00DD6E45" w:rsidRDefault="00DD6E45" w:rsidP="00DD6E45">
      <w:pPr>
        <w:spacing w:before="40" w:after="40"/>
        <w:rPr>
          <w:rFonts w:cs="Segoe UI"/>
          <w:sz w:val="17"/>
          <w:szCs w:val="17"/>
        </w:rPr>
      </w:pPr>
    </w:p>
    <w:tbl>
      <w:tblPr>
        <w:tblW w:w="14160"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9"/>
        <w:gridCol w:w="4292"/>
        <w:gridCol w:w="1574"/>
        <w:gridCol w:w="1574"/>
        <w:gridCol w:w="1574"/>
        <w:gridCol w:w="1575"/>
        <w:gridCol w:w="3112"/>
      </w:tblGrid>
      <w:tr w:rsidR="00DD6E45" w:rsidRPr="00DD6E45" w14:paraId="792D8698" w14:textId="77777777" w:rsidTr="003A79BA">
        <w:trPr>
          <w:trHeight w:val="283"/>
        </w:trPr>
        <w:tc>
          <w:tcPr>
            <w:tcW w:w="459" w:type="dxa"/>
            <w:tcBorders>
              <w:top w:val="single" w:sz="4" w:space="0" w:color="auto"/>
              <w:left w:val="nil"/>
              <w:bottom w:val="nil"/>
              <w:right w:val="single" w:sz="4" w:space="0" w:color="auto"/>
            </w:tcBorders>
          </w:tcPr>
          <w:p w14:paraId="612F8EE6" w14:textId="77777777" w:rsidR="00DD6E45" w:rsidRPr="00DD6E45" w:rsidRDefault="00DD6E45" w:rsidP="00DD6E45">
            <w:pPr>
              <w:spacing w:before="40" w:after="40"/>
              <w:rPr>
                <w:rFonts w:cs="Segoe UI"/>
                <w:sz w:val="17"/>
                <w:szCs w:val="17"/>
              </w:rPr>
            </w:pPr>
          </w:p>
        </w:tc>
        <w:tc>
          <w:tcPr>
            <w:tcW w:w="4292" w:type="dxa"/>
            <w:tcBorders>
              <w:top w:val="single" w:sz="4" w:space="0" w:color="auto"/>
              <w:left w:val="single" w:sz="4" w:space="0" w:color="auto"/>
              <w:bottom w:val="single" w:sz="4" w:space="0" w:color="auto"/>
              <w:right w:val="single" w:sz="4" w:space="0" w:color="auto"/>
            </w:tcBorders>
            <w:noWrap/>
          </w:tcPr>
          <w:p w14:paraId="7889E85D" w14:textId="77777777" w:rsidR="00DD6E45" w:rsidRPr="00DD6E45" w:rsidRDefault="00DD6E45" w:rsidP="00DD6E45">
            <w:pPr>
              <w:spacing w:before="40" w:after="40"/>
              <w:rPr>
                <w:rFonts w:cs="Segoe UI"/>
                <w:sz w:val="17"/>
                <w:szCs w:val="17"/>
              </w:rPr>
            </w:pPr>
          </w:p>
        </w:tc>
        <w:tc>
          <w:tcPr>
            <w:tcW w:w="1574" w:type="dxa"/>
            <w:tcBorders>
              <w:top w:val="single" w:sz="4" w:space="0" w:color="auto"/>
              <w:left w:val="single" w:sz="4" w:space="0" w:color="auto"/>
              <w:bottom w:val="single" w:sz="4" w:space="0" w:color="auto"/>
              <w:right w:val="single" w:sz="4" w:space="0" w:color="auto"/>
            </w:tcBorders>
            <w:noWrap/>
            <w:vAlign w:val="center"/>
          </w:tcPr>
          <w:p w14:paraId="5DA43DAE" w14:textId="77777777" w:rsidR="00DD6E45" w:rsidRPr="00DD6E45" w:rsidRDefault="00DD6E45" w:rsidP="003A79BA">
            <w:pPr>
              <w:spacing w:before="40" w:after="40"/>
              <w:jc w:val="center"/>
              <w:rPr>
                <w:rFonts w:cs="Segoe UI"/>
                <w:sz w:val="17"/>
                <w:szCs w:val="17"/>
              </w:rPr>
            </w:pPr>
            <w:r w:rsidRPr="00DD6E45">
              <w:rPr>
                <w:rFonts w:cs="Segoe UI"/>
                <w:sz w:val="17"/>
                <w:szCs w:val="17"/>
              </w:rPr>
              <w:t>50%</w:t>
            </w:r>
          </w:p>
        </w:tc>
        <w:tc>
          <w:tcPr>
            <w:tcW w:w="1574" w:type="dxa"/>
            <w:tcBorders>
              <w:top w:val="single" w:sz="4" w:space="0" w:color="auto"/>
              <w:left w:val="single" w:sz="4" w:space="0" w:color="auto"/>
              <w:bottom w:val="single" w:sz="4" w:space="0" w:color="auto"/>
              <w:right w:val="single" w:sz="4" w:space="0" w:color="auto"/>
            </w:tcBorders>
            <w:vAlign w:val="center"/>
          </w:tcPr>
          <w:p w14:paraId="00DF2CD5" w14:textId="77777777" w:rsidR="00DD6E45" w:rsidRPr="00DD6E45" w:rsidRDefault="00DD6E45" w:rsidP="003A79BA">
            <w:pPr>
              <w:spacing w:before="40" w:after="40"/>
              <w:jc w:val="center"/>
              <w:rPr>
                <w:rFonts w:cs="Segoe UI"/>
                <w:sz w:val="17"/>
                <w:szCs w:val="17"/>
              </w:rPr>
            </w:pPr>
            <w:r w:rsidRPr="00DD6E45">
              <w:rPr>
                <w:rFonts w:cs="Segoe UI"/>
                <w:sz w:val="17"/>
                <w:szCs w:val="17"/>
              </w:rPr>
              <w:t>100%</w:t>
            </w:r>
          </w:p>
        </w:tc>
        <w:tc>
          <w:tcPr>
            <w:tcW w:w="1574" w:type="dxa"/>
            <w:tcBorders>
              <w:top w:val="single" w:sz="4" w:space="0" w:color="auto"/>
              <w:left w:val="single" w:sz="4" w:space="0" w:color="auto"/>
              <w:bottom w:val="single" w:sz="4" w:space="0" w:color="auto"/>
              <w:right w:val="single" w:sz="4" w:space="0" w:color="auto"/>
            </w:tcBorders>
            <w:vAlign w:val="center"/>
            <w:hideMark/>
          </w:tcPr>
          <w:p w14:paraId="0CC79B15" w14:textId="77777777" w:rsidR="00DD6E45" w:rsidRPr="00DD6E45" w:rsidRDefault="00DD6E45" w:rsidP="003A79BA">
            <w:pPr>
              <w:spacing w:before="40" w:after="40"/>
              <w:jc w:val="center"/>
              <w:rPr>
                <w:rFonts w:cs="Segoe UI"/>
                <w:sz w:val="17"/>
                <w:szCs w:val="17"/>
              </w:rPr>
            </w:pPr>
            <w:r w:rsidRPr="00DD6E45">
              <w:rPr>
                <w:rFonts w:cs="Segoe UI"/>
                <w:sz w:val="17"/>
                <w:szCs w:val="17"/>
              </w:rPr>
              <w:t>150%</w:t>
            </w:r>
          </w:p>
        </w:tc>
        <w:tc>
          <w:tcPr>
            <w:tcW w:w="1575" w:type="dxa"/>
            <w:tcBorders>
              <w:top w:val="single" w:sz="4" w:space="0" w:color="auto"/>
              <w:left w:val="single" w:sz="4" w:space="0" w:color="auto"/>
              <w:bottom w:val="single" w:sz="4" w:space="0" w:color="auto"/>
              <w:right w:val="single" w:sz="4" w:space="0" w:color="auto"/>
            </w:tcBorders>
            <w:noWrap/>
            <w:vAlign w:val="center"/>
            <w:hideMark/>
          </w:tcPr>
          <w:p w14:paraId="609534D8" w14:textId="77777777" w:rsidR="00DD6E45" w:rsidRPr="00DD6E45" w:rsidRDefault="00DD6E45" w:rsidP="003A79BA">
            <w:pPr>
              <w:spacing w:before="40" w:after="40"/>
              <w:jc w:val="center"/>
              <w:rPr>
                <w:rFonts w:cs="Segoe UI"/>
                <w:sz w:val="17"/>
                <w:szCs w:val="17"/>
              </w:rPr>
            </w:pPr>
            <w:r w:rsidRPr="00DD6E45">
              <w:rPr>
                <w:rFonts w:cs="Segoe UI"/>
                <w:sz w:val="17"/>
                <w:szCs w:val="17"/>
              </w:rPr>
              <w:t>Other</w:t>
            </w:r>
          </w:p>
        </w:tc>
        <w:tc>
          <w:tcPr>
            <w:tcW w:w="3112" w:type="dxa"/>
            <w:tcBorders>
              <w:top w:val="single" w:sz="4" w:space="0" w:color="auto"/>
              <w:left w:val="single" w:sz="4" w:space="0" w:color="auto"/>
              <w:bottom w:val="single" w:sz="4" w:space="0" w:color="auto"/>
              <w:right w:val="single" w:sz="4" w:space="0" w:color="auto"/>
            </w:tcBorders>
            <w:noWrap/>
            <w:vAlign w:val="center"/>
            <w:hideMark/>
          </w:tcPr>
          <w:p w14:paraId="57191AFF" w14:textId="77777777" w:rsidR="00DD6E45" w:rsidRPr="00DD6E45" w:rsidRDefault="00DD6E45" w:rsidP="00DD6E45">
            <w:pPr>
              <w:spacing w:before="40" w:after="40"/>
              <w:rPr>
                <w:rFonts w:cs="Segoe UI"/>
                <w:sz w:val="17"/>
                <w:szCs w:val="17"/>
              </w:rPr>
            </w:pPr>
            <w:r w:rsidRPr="00DD6E45">
              <w:rPr>
                <w:rFonts w:cs="Segoe UI"/>
                <w:sz w:val="17"/>
                <w:szCs w:val="17"/>
              </w:rPr>
              <w:t>Total credit exposure amount (post-CCF and post-CRM)</w:t>
            </w:r>
          </w:p>
        </w:tc>
      </w:tr>
      <w:tr w:rsidR="00DD6E45" w:rsidRPr="00DD6E45" w14:paraId="3534F24B" w14:textId="77777777" w:rsidTr="00321677">
        <w:trPr>
          <w:trHeight w:val="283"/>
        </w:trPr>
        <w:tc>
          <w:tcPr>
            <w:tcW w:w="459" w:type="dxa"/>
            <w:tcBorders>
              <w:top w:val="nil"/>
              <w:left w:val="nil"/>
              <w:bottom w:val="single" w:sz="6" w:space="0" w:color="auto"/>
              <w:right w:val="single" w:sz="4" w:space="0" w:color="auto"/>
            </w:tcBorders>
            <w:hideMark/>
          </w:tcPr>
          <w:p w14:paraId="62916CE1" w14:textId="77777777" w:rsidR="00DD6E45" w:rsidRPr="00DD6E45" w:rsidRDefault="00DD6E45" w:rsidP="00DD6E45">
            <w:pPr>
              <w:spacing w:before="40" w:after="40"/>
              <w:rPr>
                <w:rFonts w:cs="Segoe UI"/>
                <w:sz w:val="17"/>
                <w:szCs w:val="17"/>
              </w:rPr>
            </w:pPr>
            <w:r w:rsidRPr="00DD6E45">
              <w:rPr>
                <w:rFonts w:cs="Segoe UI"/>
                <w:sz w:val="17"/>
                <w:szCs w:val="17"/>
              </w:rPr>
              <w:t>10</w:t>
            </w:r>
          </w:p>
        </w:tc>
        <w:tc>
          <w:tcPr>
            <w:tcW w:w="4292" w:type="dxa"/>
            <w:tcBorders>
              <w:top w:val="single" w:sz="4" w:space="0" w:color="auto"/>
              <w:left w:val="single" w:sz="4" w:space="0" w:color="auto"/>
              <w:bottom w:val="single" w:sz="4" w:space="0" w:color="auto"/>
              <w:right w:val="single" w:sz="4" w:space="0" w:color="auto"/>
            </w:tcBorders>
            <w:noWrap/>
            <w:hideMark/>
          </w:tcPr>
          <w:p w14:paraId="000AD0BB" w14:textId="77777777" w:rsidR="00DD6E45" w:rsidRPr="00DD6E45" w:rsidRDefault="00DD6E45" w:rsidP="00DD6E45">
            <w:pPr>
              <w:spacing w:before="40" w:after="40"/>
              <w:rPr>
                <w:rFonts w:cs="Segoe UI"/>
                <w:sz w:val="17"/>
                <w:szCs w:val="17"/>
              </w:rPr>
            </w:pPr>
            <w:r w:rsidRPr="00DD6E45">
              <w:rPr>
                <w:rFonts w:cs="Segoe UI"/>
                <w:sz w:val="17"/>
                <w:szCs w:val="17"/>
              </w:rPr>
              <w:t>Defaulted exposures</w:t>
            </w:r>
          </w:p>
          <w:p w14:paraId="39F63302" w14:textId="77777777" w:rsidR="00DD6E45" w:rsidRPr="00DD6E45" w:rsidRDefault="00DD6E45" w:rsidP="00DD6E45">
            <w:pPr>
              <w:spacing w:before="40" w:after="40"/>
              <w:rPr>
                <w:rFonts w:cs="Segoe UI"/>
                <w:sz w:val="17"/>
                <w:szCs w:val="17"/>
              </w:rPr>
            </w:pPr>
          </w:p>
        </w:tc>
        <w:tc>
          <w:tcPr>
            <w:tcW w:w="1574" w:type="dxa"/>
            <w:tcBorders>
              <w:top w:val="single" w:sz="4" w:space="0" w:color="auto"/>
              <w:left w:val="single" w:sz="4" w:space="0" w:color="auto"/>
              <w:bottom w:val="single" w:sz="4" w:space="0" w:color="auto"/>
              <w:right w:val="single" w:sz="4" w:space="0" w:color="auto"/>
            </w:tcBorders>
            <w:shd w:val="clear" w:color="auto" w:fill="BFBFBF"/>
            <w:noWrap/>
          </w:tcPr>
          <w:p w14:paraId="350F997D" w14:textId="77777777" w:rsidR="00DD6E45" w:rsidRPr="00DD6E45" w:rsidRDefault="00DD6E45" w:rsidP="00DD6E45">
            <w:pPr>
              <w:spacing w:before="40" w:after="40"/>
              <w:rPr>
                <w:rFonts w:cs="Segoe UI"/>
                <w:sz w:val="17"/>
                <w:szCs w:val="17"/>
              </w:rPr>
            </w:pPr>
          </w:p>
        </w:tc>
        <w:tc>
          <w:tcPr>
            <w:tcW w:w="1574" w:type="dxa"/>
            <w:tcBorders>
              <w:top w:val="single" w:sz="4" w:space="0" w:color="auto"/>
              <w:left w:val="single" w:sz="4" w:space="0" w:color="auto"/>
              <w:bottom w:val="single" w:sz="4" w:space="0" w:color="auto"/>
              <w:right w:val="single" w:sz="4" w:space="0" w:color="auto"/>
            </w:tcBorders>
          </w:tcPr>
          <w:p w14:paraId="328015A5" w14:textId="77777777" w:rsidR="00DD6E45" w:rsidRPr="00DD6E45" w:rsidRDefault="00DD6E45" w:rsidP="00DD6E45">
            <w:pPr>
              <w:spacing w:before="40" w:after="40"/>
              <w:rPr>
                <w:rFonts w:cs="Segoe UI"/>
                <w:sz w:val="17"/>
                <w:szCs w:val="17"/>
              </w:rPr>
            </w:pPr>
          </w:p>
        </w:tc>
        <w:tc>
          <w:tcPr>
            <w:tcW w:w="1574" w:type="dxa"/>
            <w:tcBorders>
              <w:top w:val="single" w:sz="4" w:space="0" w:color="auto"/>
              <w:left w:val="single" w:sz="4" w:space="0" w:color="auto"/>
              <w:bottom w:val="single" w:sz="4" w:space="0" w:color="auto"/>
              <w:right w:val="single" w:sz="4" w:space="0" w:color="auto"/>
            </w:tcBorders>
          </w:tcPr>
          <w:p w14:paraId="76CB2E7C" w14:textId="77777777" w:rsidR="00DD6E45" w:rsidRPr="00DD6E45" w:rsidRDefault="00DD6E45" w:rsidP="00DD6E45">
            <w:pPr>
              <w:spacing w:before="40" w:after="40"/>
              <w:rPr>
                <w:rFonts w:cs="Segoe UI"/>
                <w:sz w:val="17"/>
                <w:szCs w:val="17"/>
              </w:rPr>
            </w:pPr>
          </w:p>
        </w:tc>
        <w:tc>
          <w:tcPr>
            <w:tcW w:w="1575" w:type="dxa"/>
            <w:tcBorders>
              <w:top w:val="single" w:sz="4" w:space="0" w:color="auto"/>
              <w:left w:val="single" w:sz="4" w:space="0" w:color="auto"/>
              <w:bottom w:val="single" w:sz="4" w:space="0" w:color="auto"/>
              <w:right w:val="single" w:sz="4" w:space="0" w:color="auto"/>
            </w:tcBorders>
            <w:noWrap/>
          </w:tcPr>
          <w:p w14:paraId="6BC33930" w14:textId="77777777" w:rsidR="00DD6E45" w:rsidRPr="00DD6E45" w:rsidRDefault="00DD6E45" w:rsidP="00DD6E45">
            <w:pPr>
              <w:spacing w:before="40" w:after="40"/>
              <w:rPr>
                <w:rFonts w:cs="Segoe UI"/>
                <w:sz w:val="17"/>
                <w:szCs w:val="17"/>
              </w:rPr>
            </w:pPr>
          </w:p>
        </w:tc>
        <w:tc>
          <w:tcPr>
            <w:tcW w:w="3112" w:type="dxa"/>
            <w:tcBorders>
              <w:top w:val="single" w:sz="4" w:space="0" w:color="auto"/>
              <w:left w:val="single" w:sz="4" w:space="0" w:color="auto"/>
              <w:bottom w:val="single" w:sz="4" w:space="0" w:color="auto"/>
              <w:right w:val="single" w:sz="4" w:space="0" w:color="auto"/>
            </w:tcBorders>
            <w:noWrap/>
          </w:tcPr>
          <w:p w14:paraId="3B75E73D" w14:textId="77777777" w:rsidR="00DD6E45" w:rsidRPr="00DD6E45" w:rsidRDefault="00DD6E45" w:rsidP="00DD6E45">
            <w:pPr>
              <w:spacing w:before="40" w:after="40"/>
              <w:rPr>
                <w:rFonts w:cs="Segoe UI"/>
                <w:sz w:val="17"/>
                <w:szCs w:val="17"/>
              </w:rPr>
            </w:pPr>
          </w:p>
        </w:tc>
      </w:tr>
    </w:tbl>
    <w:p w14:paraId="4B3FE6A3" w14:textId="77777777" w:rsidR="00DD6E45" w:rsidRPr="00DD6E45" w:rsidRDefault="00DD6E45" w:rsidP="00DD6E45">
      <w:pPr>
        <w:spacing w:before="40" w:after="40"/>
        <w:rPr>
          <w:rFonts w:cs="Segoe UI"/>
          <w:sz w:val="17"/>
          <w:szCs w:val="17"/>
        </w:rPr>
      </w:pPr>
    </w:p>
    <w:tbl>
      <w:tblPr>
        <w:tblW w:w="14160"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9"/>
        <w:gridCol w:w="4291"/>
        <w:gridCol w:w="2099"/>
        <w:gridCol w:w="2099"/>
        <w:gridCol w:w="2100"/>
        <w:gridCol w:w="3112"/>
      </w:tblGrid>
      <w:tr w:rsidR="00DD6E45" w:rsidRPr="00DD6E45" w14:paraId="56E89C5B" w14:textId="77777777" w:rsidTr="003A79BA">
        <w:trPr>
          <w:trHeight w:val="283"/>
        </w:trPr>
        <w:tc>
          <w:tcPr>
            <w:tcW w:w="459" w:type="dxa"/>
            <w:tcBorders>
              <w:top w:val="single" w:sz="4" w:space="0" w:color="auto"/>
              <w:left w:val="nil"/>
              <w:bottom w:val="nil"/>
              <w:right w:val="single" w:sz="4" w:space="0" w:color="auto"/>
            </w:tcBorders>
          </w:tcPr>
          <w:p w14:paraId="6D7FC850" w14:textId="77777777" w:rsidR="00DD6E45" w:rsidRPr="00DD6E45" w:rsidRDefault="00DD6E45" w:rsidP="00DD6E45">
            <w:pPr>
              <w:spacing w:before="40" w:after="40"/>
              <w:rPr>
                <w:rFonts w:cs="Segoe UI"/>
                <w:sz w:val="17"/>
                <w:szCs w:val="17"/>
              </w:rPr>
            </w:pPr>
          </w:p>
        </w:tc>
        <w:tc>
          <w:tcPr>
            <w:tcW w:w="4291" w:type="dxa"/>
            <w:tcBorders>
              <w:top w:val="single" w:sz="4" w:space="0" w:color="auto"/>
              <w:left w:val="single" w:sz="4" w:space="0" w:color="auto"/>
              <w:bottom w:val="single" w:sz="4" w:space="0" w:color="auto"/>
              <w:right w:val="single" w:sz="4" w:space="0" w:color="auto"/>
            </w:tcBorders>
            <w:noWrap/>
          </w:tcPr>
          <w:p w14:paraId="5A34A1BE" w14:textId="77777777" w:rsidR="00DD6E45" w:rsidRPr="00DD6E45" w:rsidRDefault="00DD6E45" w:rsidP="00DD6E45">
            <w:pPr>
              <w:spacing w:before="40" w:after="40"/>
              <w:rPr>
                <w:rFonts w:cs="Segoe UI"/>
                <w:sz w:val="17"/>
                <w:szCs w:val="17"/>
              </w:rPr>
            </w:pPr>
          </w:p>
        </w:tc>
        <w:tc>
          <w:tcPr>
            <w:tcW w:w="2099" w:type="dxa"/>
            <w:tcBorders>
              <w:top w:val="single" w:sz="4" w:space="0" w:color="auto"/>
              <w:left w:val="single" w:sz="4" w:space="0" w:color="auto"/>
              <w:bottom w:val="single" w:sz="4" w:space="0" w:color="auto"/>
              <w:right w:val="single" w:sz="4" w:space="0" w:color="auto"/>
            </w:tcBorders>
            <w:noWrap/>
            <w:vAlign w:val="center"/>
            <w:hideMark/>
          </w:tcPr>
          <w:p w14:paraId="302DD974" w14:textId="77777777" w:rsidR="00DD6E45" w:rsidRPr="00DD6E45" w:rsidRDefault="00DD6E45" w:rsidP="003A79BA">
            <w:pPr>
              <w:spacing w:before="40" w:after="40"/>
              <w:jc w:val="center"/>
              <w:rPr>
                <w:rFonts w:cs="Segoe UI"/>
                <w:sz w:val="17"/>
                <w:szCs w:val="17"/>
              </w:rPr>
            </w:pPr>
            <w:r w:rsidRPr="00DD6E45">
              <w:rPr>
                <w:rFonts w:cs="Segoe UI"/>
                <w:sz w:val="17"/>
                <w:szCs w:val="17"/>
              </w:rPr>
              <w:t>100%</w:t>
            </w:r>
          </w:p>
        </w:tc>
        <w:tc>
          <w:tcPr>
            <w:tcW w:w="2099" w:type="dxa"/>
            <w:tcBorders>
              <w:top w:val="single" w:sz="4" w:space="0" w:color="auto"/>
              <w:left w:val="single" w:sz="4" w:space="0" w:color="auto"/>
              <w:bottom w:val="single" w:sz="4" w:space="0" w:color="auto"/>
              <w:right w:val="single" w:sz="4" w:space="0" w:color="auto"/>
            </w:tcBorders>
            <w:vAlign w:val="center"/>
          </w:tcPr>
          <w:p w14:paraId="69FC1267" w14:textId="77777777" w:rsidR="00DD6E45" w:rsidRPr="00DD6E45" w:rsidRDefault="00DD6E45" w:rsidP="003A79BA">
            <w:pPr>
              <w:spacing w:before="40" w:after="40"/>
              <w:jc w:val="center"/>
              <w:rPr>
                <w:rFonts w:cs="Segoe UI"/>
                <w:sz w:val="17"/>
                <w:szCs w:val="17"/>
              </w:rPr>
            </w:pPr>
            <w:r w:rsidRPr="00DD6E45">
              <w:rPr>
                <w:rFonts w:cs="Segoe UI"/>
                <w:sz w:val="17"/>
                <w:szCs w:val="17"/>
              </w:rPr>
              <w:t>1250%</w:t>
            </w:r>
          </w:p>
        </w:tc>
        <w:tc>
          <w:tcPr>
            <w:tcW w:w="2100" w:type="dxa"/>
            <w:tcBorders>
              <w:top w:val="single" w:sz="4" w:space="0" w:color="auto"/>
              <w:left w:val="single" w:sz="4" w:space="0" w:color="auto"/>
              <w:bottom w:val="single" w:sz="4" w:space="0" w:color="auto"/>
              <w:right w:val="single" w:sz="4" w:space="0" w:color="auto"/>
            </w:tcBorders>
            <w:noWrap/>
            <w:vAlign w:val="center"/>
            <w:hideMark/>
          </w:tcPr>
          <w:p w14:paraId="065ADC67" w14:textId="77777777" w:rsidR="00DD6E45" w:rsidRPr="00DD6E45" w:rsidRDefault="00DD6E45" w:rsidP="003A79BA">
            <w:pPr>
              <w:spacing w:before="40" w:after="40"/>
              <w:jc w:val="center"/>
              <w:rPr>
                <w:rFonts w:cs="Segoe UI"/>
                <w:sz w:val="17"/>
                <w:szCs w:val="17"/>
              </w:rPr>
            </w:pPr>
            <w:r w:rsidRPr="00DD6E45">
              <w:rPr>
                <w:rFonts w:cs="Segoe UI"/>
                <w:sz w:val="17"/>
                <w:szCs w:val="17"/>
              </w:rPr>
              <w:t>Other</w:t>
            </w:r>
          </w:p>
        </w:tc>
        <w:tc>
          <w:tcPr>
            <w:tcW w:w="3112" w:type="dxa"/>
            <w:tcBorders>
              <w:top w:val="single" w:sz="4" w:space="0" w:color="auto"/>
              <w:left w:val="single" w:sz="4" w:space="0" w:color="auto"/>
              <w:bottom w:val="single" w:sz="4" w:space="0" w:color="auto"/>
              <w:right w:val="single" w:sz="4" w:space="0" w:color="auto"/>
            </w:tcBorders>
            <w:noWrap/>
            <w:vAlign w:val="center"/>
            <w:hideMark/>
          </w:tcPr>
          <w:p w14:paraId="66C60CDE" w14:textId="77777777" w:rsidR="00DD6E45" w:rsidRPr="00DD6E45" w:rsidRDefault="00DD6E45" w:rsidP="00DD6E45">
            <w:pPr>
              <w:spacing w:before="40" w:after="40"/>
              <w:rPr>
                <w:rFonts w:cs="Segoe UI"/>
                <w:sz w:val="17"/>
                <w:szCs w:val="17"/>
              </w:rPr>
            </w:pPr>
            <w:r w:rsidRPr="00DD6E45">
              <w:rPr>
                <w:rFonts w:cs="Segoe UI"/>
                <w:sz w:val="17"/>
                <w:szCs w:val="17"/>
              </w:rPr>
              <w:t>Total credit exposure amount (post-CCF and post-CRM)</w:t>
            </w:r>
          </w:p>
        </w:tc>
      </w:tr>
      <w:tr w:rsidR="00DD6E45" w:rsidRPr="00DD6E45" w14:paraId="03FC1DE8" w14:textId="77777777" w:rsidTr="00321677">
        <w:trPr>
          <w:trHeight w:val="283"/>
        </w:trPr>
        <w:tc>
          <w:tcPr>
            <w:tcW w:w="459" w:type="dxa"/>
            <w:tcBorders>
              <w:top w:val="nil"/>
              <w:left w:val="nil"/>
              <w:bottom w:val="single" w:sz="6" w:space="0" w:color="auto"/>
              <w:right w:val="single" w:sz="4" w:space="0" w:color="auto"/>
            </w:tcBorders>
            <w:hideMark/>
          </w:tcPr>
          <w:p w14:paraId="34C324A1" w14:textId="77777777" w:rsidR="00DD6E45" w:rsidRPr="00DD6E45" w:rsidRDefault="00DD6E45" w:rsidP="00DD6E45">
            <w:pPr>
              <w:spacing w:before="40" w:after="40"/>
              <w:rPr>
                <w:rFonts w:cs="Segoe UI"/>
                <w:sz w:val="17"/>
                <w:szCs w:val="17"/>
              </w:rPr>
            </w:pPr>
            <w:r w:rsidRPr="00DD6E45">
              <w:rPr>
                <w:rFonts w:cs="Segoe UI"/>
                <w:sz w:val="17"/>
                <w:szCs w:val="17"/>
              </w:rPr>
              <w:t>11</w:t>
            </w:r>
          </w:p>
        </w:tc>
        <w:tc>
          <w:tcPr>
            <w:tcW w:w="4291" w:type="dxa"/>
            <w:tcBorders>
              <w:top w:val="single" w:sz="4" w:space="0" w:color="auto"/>
              <w:left w:val="single" w:sz="4" w:space="0" w:color="auto"/>
              <w:bottom w:val="single" w:sz="4" w:space="0" w:color="auto"/>
              <w:right w:val="single" w:sz="4" w:space="0" w:color="auto"/>
            </w:tcBorders>
            <w:noWrap/>
            <w:hideMark/>
          </w:tcPr>
          <w:p w14:paraId="3D60F899" w14:textId="77777777" w:rsidR="00DD6E45" w:rsidRPr="00DD6E45" w:rsidRDefault="00DD6E45" w:rsidP="00DD6E45">
            <w:pPr>
              <w:spacing w:before="40" w:after="40"/>
              <w:rPr>
                <w:rFonts w:cs="Segoe UI"/>
                <w:sz w:val="17"/>
                <w:szCs w:val="17"/>
              </w:rPr>
            </w:pPr>
            <w:r w:rsidRPr="00DD6E45">
              <w:rPr>
                <w:rFonts w:cs="Segoe UI"/>
                <w:sz w:val="17"/>
                <w:szCs w:val="17"/>
              </w:rPr>
              <w:t>Other exposures</w:t>
            </w:r>
          </w:p>
        </w:tc>
        <w:tc>
          <w:tcPr>
            <w:tcW w:w="2099" w:type="dxa"/>
            <w:tcBorders>
              <w:top w:val="single" w:sz="4" w:space="0" w:color="auto"/>
              <w:left w:val="single" w:sz="4" w:space="0" w:color="auto"/>
              <w:bottom w:val="single" w:sz="4" w:space="0" w:color="auto"/>
              <w:right w:val="single" w:sz="4" w:space="0" w:color="auto"/>
            </w:tcBorders>
            <w:noWrap/>
          </w:tcPr>
          <w:p w14:paraId="4C2DE3B1" w14:textId="77777777" w:rsidR="00DD6E45" w:rsidRPr="00DD6E45" w:rsidRDefault="00DD6E45" w:rsidP="00DD6E45">
            <w:pPr>
              <w:spacing w:before="40" w:after="40"/>
              <w:rPr>
                <w:rFonts w:cs="Segoe UI"/>
                <w:sz w:val="17"/>
                <w:szCs w:val="17"/>
              </w:rPr>
            </w:pPr>
          </w:p>
        </w:tc>
        <w:tc>
          <w:tcPr>
            <w:tcW w:w="2099" w:type="dxa"/>
            <w:tcBorders>
              <w:top w:val="single" w:sz="4" w:space="0" w:color="auto"/>
              <w:left w:val="single" w:sz="4" w:space="0" w:color="auto"/>
              <w:bottom w:val="single" w:sz="4" w:space="0" w:color="auto"/>
              <w:right w:val="single" w:sz="4" w:space="0" w:color="auto"/>
            </w:tcBorders>
          </w:tcPr>
          <w:p w14:paraId="1784DC8A" w14:textId="77777777" w:rsidR="00DD6E45" w:rsidRPr="00DD6E45" w:rsidRDefault="00DD6E45" w:rsidP="00DD6E45">
            <w:pPr>
              <w:spacing w:before="40" w:after="40"/>
              <w:rPr>
                <w:rFonts w:cs="Segoe UI"/>
                <w:sz w:val="17"/>
                <w:szCs w:val="17"/>
              </w:rPr>
            </w:pPr>
          </w:p>
        </w:tc>
        <w:tc>
          <w:tcPr>
            <w:tcW w:w="2100" w:type="dxa"/>
            <w:tcBorders>
              <w:top w:val="single" w:sz="4" w:space="0" w:color="auto"/>
              <w:left w:val="single" w:sz="4" w:space="0" w:color="auto"/>
              <w:bottom w:val="single" w:sz="4" w:space="0" w:color="auto"/>
              <w:right w:val="single" w:sz="4" w:space="0" w:color="auto"/>
            </w:tcBorders>
            <w:noWrap/>
          </w:tcPr>
          <w:p w14:paraId="5F0D4870" w14:textId="77777777" w:rsidR="00DD6E45" w:rsidRPr="00DD6E45" w:rsidRDefault="00DD6E45" w:rsidP="00DD6E45">
            <w:pPr>
              <w:spacing w:before="40" w:after="40"/>
              <w:rPr>
                <w:rFonts w:cs="Segoe UI"/>
                <w:sz w:val="17"/>
                <w:szCs w:val="17"/>
              </w:rPr>
            </w:pPr>
          </w:p>
        </w:tc>
        <w:tc>
          <w:tcPr>
            <w:tcW w:w="3112" w:type="dxa"/>
            <w:tcBorders>
              <w:top w:val="single" w:sz="4" w:space="0" w:color="auto"/>
              <w:left w:val="single" w:sz="4" w:space="0" w:color="auto"/>
              <w:bottom w:val="single" w:sz="4" w:space="0" w:color="auto"/>
              <w:right w:val="single" w:sz="4" w:space="0" w:color="auto"/>
            </w:tcBorders>
            <w:noWrap/>
          </w:tcPr>
          <w:p w14:paraId="1BA0D445" w14:textId="77777777" w:rsidR="00DD6E45" w:rsidRPr="00DD6E45" w:rsidRDefault="00DD6E45" w:rsidP="00DD6E45">
            <w:pPr>
              <w:spacing w:before="40" w:after="40"/>
              <w:rPr>
                <w:rFonts w:cs="Segoe UI"/>
                <w:sz w:val="17"/>
                <w:szCs w:val="17"/>
              </w:rPr>
            </w:pPr>
          </w:p>
        </w:tc>
      </w:tr>
    </w:tbl>
    <w:p w14:paraId="28756A75" w14:textId="77777777" w:rsidR="00955944" w:rsidRPr="00DD6E45" w:rsidRDefault="00955944" w:rsidP="00955944">
      <w:pPr>
        <w:spacing w:before="40" w:after="40"/>
        <w:rPr>
          <w:rFonts w:cs="Segoe UI"/>
          <w:sz w:val="17"/>
          <w:szCs w:val="17"/>
        </w:rPr>
      </w:pPr>
    </w:p>
    <w:p w14:paraId="494AC846" w14:textId="77777777" w:rsidR="00955944" w:rsidRPr="00DD6E45" w:rsidRDefault="00955944" w:rsidP="00955944">
      <w:pPr>
        <w:spacing w:before="40" w:after="40"/>
        <w:rPr>
          <w:rFonts w:cs="Segoe UI"/>
          <w:sz w:val="17"/>
          <w:szCs w:val="17"/>
        </w:rPr>
      </w:pPr>
    </w:p>
    <w:p w14:paraId="7A1401A7" w14:textId="77777777" w:rsidR="00DD6E45" w:rsidRPr="00DD6E45" w:rsidRDefault="00DD6E45" w:rsidP="00DD6E45">
      <w:pPr>
        <w:spacing w:before="40" w:after="40"/>
        <w:rPr>
          <w:rFonts w:cs="Segoe UI"/>
          <w:sz w:val="17"/>
          <w:szCs w:val="17"/>
        </w:rPr>
      </w:pPr>
    </w:p>
    <w:tbl>
      <w:tblPr>
        <w:tblW w:w="14166"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9"/>
        <w:gridCol w:w="4291"/>
        <w:gridCol w:w="2099"/>
        <w:gridCol w:w="2099"/>
        <w:gridCol w:w="2100"/>
        <w:gridCol w:w="3118"/>
      </w:tblGrid>
      <w:tr w:rsidR="00DD6E45" w:rsidRPr="00DD6E45" w14:paraId="1C45E3C9" w14:textId="77777777" w:rsidTr="003A79BA">
        <w:trPr>
          <w:trHeight w:val="283"/>
        </w:trPr>
        <w:tc>
          <w:tcPr>
            <w:tcW w:w="459" w:type="dxa"/>
            <w:tcBorders>
              <w:top w:val="single" w:sz="4" w:space="0" w:color="auto"/>
              <w:left w:val="nil"/>
              <w:bottom w:val="nil"/>
              <w:right w:val="single" w:sz="4" w:space="0" w:color="auto"/>
            </w:tcBorders>
          </w:tcPr>
          <w:p w14:paraId="6C906298" w14:textId="77777777" w:rsidR="00DD6E45" w:rsidRPr="00DD6E45" w:rsidRDefault="00DD6E45" w:rsidP="00DD6E45">
            <w:pPr>
              <w:spacing w:before="40" w:after="40"/>
              <w:rPr>
                <w:rFonts w:cs="Segoe UI"/>
                <w:sz w:val="17"/>
                <w:szCs w:val="17"/>
              </w:rPr>
            </w:pPr>
          </w:p>
        </w:tc>
        <w:tc>
          <w:tcPr>
            <w:tcW w:w="4291" w:type="dxa"/>
            <w:tcBorders>
              <w:top w:val="single" w:sz="4" w:space="0" w:color="auto"/>
              <w:left w:val="single" w:sz="4" w:space="0" w:color="auto"/>
              <w:bottom w:val="single" w:sz="4" w:space="0" w:color="auto"/>
              <w:right w:val="single" w:sz="4" w:space="0" w:color="auto"/>
            </w:tcBorders>
            <w:noWrap/>
          </w:tcPr>
          <w:p w14:paraId="7A235607" w14:textId="77777777" w:rsidR="00DD6E45" w:rsidRPr="00DD6E45" w:rsidRDefault="00DD6E45" w:rsidP="00DD6E45">
            <w:pPr>
              <w:spacing w:before="40" w:after="40"/>
              <w:rPr>
                <w:rFonts w:cs="Segoe UI"/>
                <w:sz w:val="17"/>
                <w:szCs w:val="17"/>
              </w:rPr>
            </w:pPr>
          </w:p>
        </w:tc>
        <w:tc>
          <w:tcPr>
            <w:tcW w:w="2099" w:type="dxa"/>
            <w:tcBorders>
              <w:top w:val="single" w:sz="4" w:space="0" w:color="auto"/>
              <w:left w:val="single" w:sz="4" w:space="0" w:color="auto"/>
              <w:bottom w:val="single" w:sz="4" w:space="0" w:color="auto"/>
              <w:right w:val="single" w:sz="4" w:space="0" w:color="auto"/>
            </w:tcBorders>
            <w:noWrap/>
            <w:vAlign w:val="center"/>
            <w:hideMark/>
          </w:tcPr>
          <w:p w14:paraId="38A851A4" w14:textId="77777777" w:rsidR="00DD6E45" w:rsidRPr="00DD6E45" w:rsidRDefault="00DD6E45" w:rsidP="003A79BA">
            <w:pPr>
              <w:spacing w:before="40" w:after="40"/>
              <w:jc w:val="center"/>
              <w:rPr>
                <w:rFonts w:cs="Segoe UI"/>
                <w:sz w:val="17"/>
                <w:szCs w:val="17"/>
              </w:rPr>
            </w:pPr>
            <w:r w:rsidRPr="00DD6E45">
              <w:rPr>
                <w:rFonts w:cs="Segoe UI"/>
                <w:sz w:val="17"/>
                <w:szCs w:val="17"/>
              </w:rPr>
              <w:t>0%</w:t>
            </w:r>
          </w:p>
        </w:tc>
        <w:tc>
          <w:tcPr>
            <w:tcW w:w="2099" w:type="dxa"/>
            <w:tcBorders>
              <w:top w:val="single" w:sz="4" w:space="0" w:color="auto"/>
              <w:left w:val="single" w:sz="4" w:space="0" w:color="auto"/>
              <w:bottom w:val="single" w:sz="4" w:space="0" w:color="auto"/>
              <w:right w:val="single" w:sz="4" w:space="0" w:color="auto"/>
            </w:tcBorders>
            <w:vAlign w:val="center"/>
            <w:hideMark/>
          </w:tcPr>
          <w:p w14:paraId="2C50C73D" w14:textId="77777777" w:rsidR="00DD6E45" w:rsidRPr="00DD6E45" w:rsidRDefault="00DD6E45" w:rsidP="003A79BA">
            <w:pPr>
              <w:spacing w:before="40" w:after="40"/>
              <w:jc w:val="center"/>
              <w:rPr>
                <w:rFonts w:cs="Segoe UI"/>
                <w:sz w:val="17"/>
                <w:szCs w:val="17"/>
              </w:rPr>
            </w:pPr>
            <w:r w:rsidRPr="00DD6E45">
              <w:rPr>
                <w:rFonts w:cs="Segoe UI"/>
                <w:sz w:val="17"/>
                <w:szCs w:val="17"/>
              </w:rPr>
              <w:t>100%</w:t>
            </w:r>
          </w:p>
        </w:tc>
        <w:tc>
          <w:tcPr>
            <w:tcW w:w="2100" w:type="dxa"/>
            <w:tcBorders>
              <w:top w:val="single" w:sz="4" w:space="0" w:color="auto"/>
              <w:left w:val="single" w:sz="4" w:space="0" w:color="auto"/>
              <w:bottom w:val="single" w:sz="4" w:space="0" w:color="auto"/>
              <w:right w:val="single" w:sz="4" w:space="0" w:color="auto"/>
            </w:tcBorders>
            <w:noWrap/>
            <w:vAlign w:val="center"/>
            <w:hideMark/>
          </w:tcPr>
          <w:p w14:paraId="31F82DA7" w14:textId="77777777" w:rsidR="00DD6E45" w:rsidRPr="00DD6E45" w:rsidRDefault="00DD6E45" w:rsidP="003A79BA">
            <w:pPr>
              <w:spacing w:before="40" w:after="40"/>
              <w:jc w:val="center"/>
              <w:rPr>
                <w:rFonts w:cs="Segoe UI"/>
                <w:sz w:val="17"/>
                <w:szCs w:val="17"/>
              </w:rPr>
            </w:pPr>
            <w:r w:rsidRPr="00DD6E45">
              <w:rPr>
                <w:rFonts w:cs="Segoe UI"/>
                <w:sz w:val="17"/>
                <w:szCs w:val="17"/>
              </w:rPr>
              <w:t>Other</w:t>
            </w:r>
          </w:p>
        </w:tc>
        <w:tc>
          <w:tcPr>
            <w:tcW w:w="3118" w:type="dxa"/>
            <w:tcBorders>
              <w:top w:val="single" w:sz="4" w:space="0" w:color="auto"/>
              <w:left w:val="single" w:sz="4" w:space="0" w:color="auto"/>
              <w:bottom w:val="single" w:sz="4" w:space="0" w:color="auto"/>
              <w:right w:val="single" w:sz="4" w:space="0" w:color="auto"/>
            </w:tcBorders>
            <w:noWrap/>
            <w:vAlign w:val="center"/>
            <w:hideMark/>
          </w:tcPr>
          <w:p w14:paraId="18FC25E1" w14:textId="77777777" w:rsidR="00DD6E45" w:rsidRPr="00DD6E45" w:rsidRDefault="00DD6E45" w:rsidP="00DD6E45">
            <w:pPr>
              <w:spacing w:before="40" w:after="40"/>
              <w:rPr>
                <w:rFonts w:cs="Segoe UI"/>
                <w:sz w:val="17"/>
                <w:szCs w:val="17"/>
              </w:rPr>
            </w:pPr>
            <w:r w:rsidRPr="00DD6E45">
              <w:rPr>
                <w:rFonts w:cs="Segoe UI"/>
                <w:sz w:val="17"/>
                <w:szCs w:val="17"/>
              </w:rPr>
              <w:t>Total credit exposure amount (post-CCF and post-CRM)</w:t>
            </w:r>
          </w:p>
        </w:tc>
      </w:tr>
      <w:tr w:rsidR="00DD6E45" w:rsidRPr="00DD6E45" w14:paraId="459BC05B" w14:textId="77777777" w:rsidTr="00321677">
        <w:trPr>
          <w:trHeight w:val="283"/>
        </w:trPr>
        <w:tc>
          <w:tcPr>
            <w:tcW w:w="459" w:type="dxa"/>
            <w:tcBorders>
              <w:top w:val="nil"/>
              <w:left w:val="nil"/>
              <w:bottom w:val="single" w:sz="6" w:space="0" w:color="auto"/>
              <w:right w:val="single" w:sz="4" w:space="0" w:color="auto"/>
            </w:tcBorders>
            <w:hideMark/>
          </w:tcPr>
          <w:p w14:paraId="40404E97" w14:textId="77777777" w:rsidR="00DD6E45" w:rsidRPr="00DD6E45" w:rsidRDefault="00DD6E45" w:rsidP="00DD6E45">
            <w:pPr>
              <w:spacing w:before="40" w:after="40"/>
              <w:rPr>
                <w:rFonts w:cs="Segoe UI"/>
                <w:sz w:val="17"/>
                <w:szCs w:val="17"/>
              </w:rPr>
            </w:pPr>
            <w:r w:rsidRPr="00DD6E45">
              <w:rPr>
                <w:rFonts w:cs="Segoe UI"/>
                <w:sz w:val="17"/>
                <w:szCs w:val="17"/>
              </w:rPr>
              <w:t>11a</w:t>
            </w:r>
          </w:p>
        </w:tc>
        <w:tc>
          <w:tcPr>
            <w:tcW w:w="4291" w:type="dxa"/>
            <w:tcBorders>
              <w:top w:val="single" w:sz="4" w:space="0" w:color="auto"/>
              <w:left w:val="single" w:sz="4" w:space="0" w:color="auto"/>
              <w:bottom w:val="single" w:sz="4" w:space="0" w:color="auto"/>
              <w:right w:val="single" w:sz="4" w:space="0" w:color="auto"/>
            </w:tcBorders>
            <w:noWrap/>
            <w:hideMark/>
          </w:tcPr>
          <w:p w14:paraId="7E13D603" w14:textId="77777777" w:rsidR="00DD6E45" w:rsidRPr="00DD6E45" w:rsidRDefault="00DD6E45" w:rsidP="00DD6E45">
            <w:pPr>
              <w:spacing w:before="40" w:after="40"/>
              <w:rPr>
                <w:rFonts w:cs="Segoe UI"/>
                <w:sz w:val="17"/>
                <w:szCs w:val="17"/>
              </w:rPr>
            </w:pPr>
            <w:r w:rsidRPr="00DD6E45">
              <w:rPr>
                <w:rFonts w:cs="Segoe UI"/>
                <w:sz w:val="17"/>
                <w:szCs w:val="17"/>
              </w:rPr>
              <w:t>Cash and gold</w:t>
            </w:r>
          </w:p>
        </w:tc>
        <w:tc>
          <w:tcPr>
            <w:tcW w:w="2099" w:type="dxa"/>
            <w:tcBorders>
              <w:top w:val="single" w:sz="4" w:space="0" w:color="auto"/>
              <w:left w:val="single" w:sz="4" w:space="0" w:color="auto"/>
              <w:bottom w:val="single" w:sz="4" w:space="0" w:color="auto"/>
              <w:right w:val="single" w:sz="4" w:space="0" w:color="auto"/>
            </w:tcBorders>
            <w:noWrap/>
          </w:tcPr>
          <w:p w14:paraId="5A062527" w14:textId="77777777" w:rsidR="00DD6E45" w:rsidRPr="00DD6E45" w:rsidRDefault="00DD6E45" w:rsidP="00DD6E45">
            <w:pPr>
              <w:spacing w:before="40" w:after="40"/>
              <w:rPr>
                <w:rFonts w:cs="Segoe UI"/>
                <w:sz w:val="17"/>
                <w:szCs w:val="17"/>
              </w:rPr>
            </w:pPr>
          </w:p>
        </w:tc>
        <w:tc>
          <w:tcPr>
            <w:tcW w:w="2099" w:type="dxa"/>
            <w:tcBorders>
              <w:top w:val="single" w:sz="4" w:space="0" w:color="auto"/>
              <w:left w:val="single" w:sz="4" w:space="0" w:color="auto"/>
              <w:bottom w:val="single" w:sz="4" w:space="0" w:color="auto"/>
              <w:right w:val="single" w:sz="4" w:space="0" w:color="auto"/>
            </w:tcBorders>
          </w:tcPr>
          <w:p w14:paraId="38CC30F2" w14:textId="77777777" w:rsidR="00DD6E45" w:rsidRPr="00DD6E45" w:rsidRDefault="00DD6E45" w:rsidP="00DD6E45">
            <w:pPr>
              <w:spacing w:before="40" w:after="40"/>
              <w:rPr>
                <w:rFonts w:cs="Segoe UI"/>
                <w:sz w:val="17"/>
                <w:szCs w:val="17"/>
              </w:rPr>
            </w:pPr>
          </w:p>
        </w:tc>
        <w:tc>
          <w:tcPr>
            <w:tcW w:w="2100" w:type="dxa"/>
            <w:tcBorders>
              <w:top w:val="single" w:sz="4" w:space="0" w:color="auto"/>
              <w:left w:val="single" w:sz="4" w:space="0" w:color="auto"/>
              <w:bottom w:val="single" w:sz="4" w:space="0" w:color="auto"/>
              <w:right w:val="single" w:sz="4" w:space="0" w:color="auto"/>
            </w:tcBorders>
            <w:noWrap/>
          </w:tcPr>
          <w:p w14:paraId="0C7E7D59" w14:textId="77777777" w:rsidR="00DD6E45" w:rsidRPr="00DD6E45" w:rsidRDefault="00DD6E45" w:rsidP="00DD6E45">
            <w:pPr>
              <w:spacing w:before="40" w:after="40"/>
              <w:rPr>
                <w:rFonts w:cs="Segoe UI"/>
                <w:sz w:val="17"/>
                <w:szCs w:val="17"/>
              </w:rPr>
            </w:pPr>
          </w:p>
        </w:tc>
        <w:tc>
          <w:tcPr>
            <w:tcW w:w="3118" w:type="dxa"/>
            <w:tcBorders>
              <w:top w:val="single" w:sz="4" w:space="0" w:color="auto"/>
              <w:left w:val="single" w:sz="4" w:space="0" w:color="auto"/>
              <w:bottom w:val="single" w:sz="4" w:space="0" w:color="auto"/>
              <w:right w:val="single" w:sz="4" w:space="0" w:color="auto"/>
            </w:tcBorders>
            <w:noWrap/>
          </w:tcPr>
          <w:p w14:paraId="6B9B731B" w14:textId="77777777" w:rsidR="00DD6E45" w:rsidRPr="00DD6E45" w:rsidRDefault="00DD6E45" w:rsidP="00DD6E45">
            <w:pPr>
              <w:spacing w:before="40" w:after="40"/>
              <w:rPr>
                <w:rFonts w:cs="Segoe UI"/>
                <w:sz w:val="17"/>
                <w:szCs w:val="17"/>
              </w:rPr>
            </w:pPr>
          </w:p>
        </w:tc>
      </w:tr>
    </w:tbl>
    <w:p w14:paraId="032F2C1E" w14:textId="77777777" w:rsidR="00DD6E45" w:rsidRPr="00DD6E45" w:rsidRDefault="00DD6E45" w:rsidP="00DD6E45">
      <w:pPr>
        <w:spacing w:before="40" w:after="40"/>
        <w:rPr>
          <w:rFonts w:cs="Segoe UI"/>
          <w:sz w:val="17"/>
          <w:szCs w:val="17"/>
        </w:rPr>
      </w:pPr>
    </w:p>
    <w:tbl>
      <w:tblPr>
        <w:tblW w:w="14160"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9"/>
        <w:gridCol w:w="4291"/>
        <w:gridCol w:w="2099"/>
        <w:gridCol w:w="2099"/>
        <w:gridCol w:w="2100"/>
        <w:gridCol w:w="3112"/>
      </w:tblGrid>
      <w:tr w:rsidR="00A13869" w:rsidRPr="00DD6E45" w14:paraId="7479BF75" w14:textId="77777777" w:rsidTr="003A79BA">
        <w:trPr>
          <w:trHeight w:val="283"/>
        </w:trPr>
        <w:tc>
          <w:tcPr>
            <w:tcW w:w="459" w:type="dxa"/>
            <w:tcBorders>
              <w:top w:val="single" w:sz="4" w:space="0" w:color="auto"/>
              <w:left w:val="nil"/>
              <w:bottom w:val="nil"/>
              <w:right w:val="single" w:sz="4" w:space="0" w:color="auto"/>
            </w:tcBorders>
          </w:tcPr>
          <w:p w14:paraId="43BC3232" w14:textId="77777777" w:rsidR="00A13869" w:rsidRPr="00DD6E45" w:rsidRDefault="00A13869" w:rsidP="00A13869">
            <w:pPr>
              <w:spacing w:before="40" w:after="40"/>
              <w:rPr>
                <w:rFonts w:cs="Segoe UI"/>
                <w:sz w:val="17"/>
                <w:szCs w:val="17"/>
              </w:rPr>
            </w:pPr>
          </w:p>
        </w:tc>
        <w:tc>
          <w:tcPr>
            <w:tcW w:w="4291" w:type="dxa"/>
            <w:tcBorders>
              <w:top w:val="single" w:sz="4" w:space="0" w:color="auto"/>
              <w:left w:val="single" w:sz="4" w:space="0" w:color="auto"/>
              <w:bottom w:val="single" w:sz="4" w:space="0" w:color="auto"/>
              <w:right w:val="single" w:sz="4" w:space="0" w:color="auto"/>
            </w:tcBorders>
            <w:noWrap/>
          </w:tcPr>
          <w:p w14:paraId="25DE83F5" w14:textId="77777777" w:rsidR="00A13869" w:rsidRPr="00DD6E45" w:rsidRDefault="00A13869" w:rsidP="00A13869">
            <w:pPr>
              <w:spacing w:before="40" w:after="40"/>
              <w:rPr>
                <w:rFonts w:cs="Segoe UI"/>
                <w:sz w:val="17"/>
                <w:szCs w:val="17"/>
              </w:rPr>
            </w:pPr>
          </w:p>
        </w:tc>
        <w:tc>
          <w:tcPr>
            <w:tcW w:w="2099" w:type="dxa"/>
            <w:tcBorders>
              <w:top w:val="single" w:sz="4" w:space="0" w:color="auto"/>
              <w:left w:val="single" w:sz="4" w:space="0" w:color="auto"/>
              <w:bottom w:val="single" w:sz="4" w:space="0" w:color="auto"/>
              <w:right w:val="single" w:sz="4" w:space="0" w:color="auto"/>
            </w:tcBorders>
            <w:noWrap/>
            <w:vAlign w:val="center"/>
            <w:hideMark/>
          </w:tcPr>
          <w:p w14:paraId="647905AC" w14:textId="77777777" w:rsidR="00A13869" w:rsidRPr="00DD6E45" w:rsidRDefault="00A13869" w:rsidP="003A79BA">
            <w:pPr>
              <w:spacing w:before="40" w:after="40"/>
              <w:jc w:val="center"/>
              <w:rPr>
                <w:rFonts w:cs="Segoe UI"/>
                <w:sz w:val="17"/>
                <w:szCs w:val="17"/>
              </w:rPr>
            </w:pPr>
            <w:r w:rsidRPr="00DD6E45">
              <w:rPr>
                <w:rFonts w:cs="Segoe UI"/>
                <w:sz w:val="17"/>
                <w:szCs w:val="17"/>
              </w:rPr>
              <w:t>0%</w:t>
            </w:r>
          </w:p>
        </w:tc>
        <w:tc>
          <w:tcPr>
            <w:tcW w:w="2099" w:type="dxa"/>
            <w:tcBorders>
              <w:top w:val="single" w:sz="4" w:space="0" w:color="auto"/>
              <w:left w:val="single" w:sz="4" w:space="0" w:color="auto"/>
              <w:bottom w:val="single" w:sz="4" w:space="0" w:color="auto"/>
              <w:right w:val="single" w:sz="4" w:space="0" w:color="auto"/>
            </w:tcBorders>
            <w:noWrap/>
            <w:vAlign w:val="center"/>
            <w:hideMark/>
          </w:tcPr>
          <w:p w14:paraId="51714AA3" w14:textId="3322E17C" w:rsidR="00A13869" w:rsidRPr="00B350EF" w:rsidRDefault="00A13869" w:rsidP="003A79BA">
            <w:pPr>
              <w:spacing w:before="40" w:after="40"/>
              <w:jc w:val="center"/>
              <w:rPr>
                <w:rFonts w:cs="Segoe UI"/>
                <w:sz w:val="17"/>
                <w:szCs w:val="17"/>
              </w:rPr>
            </w:pPr>
            <w:r w:rsidRPr="00B350EF">
              <w:rPr>
                <w:rFonts w:eastAsia="MS PGothic" w:cs="Segoe UI"/>
                <w:szCs w:val="17"/>
                <w:lang w:eastAsia="ja-JP"/>
              </w:rPr>
              <w:t>20%</w:t>
            </w:r>
          </w:p>
        </w:tc>
        <w:tc>
          <w:tcPr>
            <w:tcW w:w="2100" w:type="dxa"/>
            <w:tcBorders>
              <w:top w:val="single" w:sz="4" w:space="0" w:color="auto"/>
              <w:left w:val="single" w:sz="4" w:space="0" w:color="auto"/>
              <w:bottom w:val="single" w:sz="4" w:space="0" w:color="auto"/>
              <w:right w:val="single" w:sz="4" w:space="0" w:color="auto"/>
            </w:tcBorders>
            <w:vAlign w:val="center"/>
            <w:hideMark/>
          </w:tcPr>
          <w:p w14:paraId="024925E9" w14:textId="77777777" w:rsidR="00A13869" w:rsidRPr="00DD6E45" w:rsidRDefault="00A13869" w:rsidP="003A79BA">
            <w:pPr>
              <w:spacing w:before="40" w:after="40"/>
              <w:jc w:val="center"/>
              <w:rPr>
                <w:rFonts w:cs="Segoe UI"/>
                <w:sz w:val="17"/>
                <w:szCs w:val="17"/>
              </w:rPr>
            </w:pPr>
            <w:r w:rsidRPr="00DD6E45">
              <w:rPr>
                <w:rFonts w:cs="Segoe UI"/>
                <w:sz w:val="17"/>
                <w:szCs w:val="17"/>
              </w:rPr>
              <w:t>Other</w:t>
            </w:r>
          </w:p>
        </w:tc>
        <w:tc>
          <w:tcPr>
            <w:tcW w:w="3112" w:type="dxa"/>
            <w:tcBorders>
              <w:top w:val="single" w:sz="4" w:space="0" w:color="auto"/>
              <w:left w:val="single" w:sz="4" w:space="0" w:color="auto"/>
              <w:bottom w:val="single" w:sz="4" w:space="0" w:color="auto"/>
              <w:right w:val="single" w:sz="4" w:space="0" w:color="auto"/>
            </w:tcBorders>
            <w:noWrap/>
            <w:vAlign w:val="center"/>
            <w:hideMark/>
          </w:tcPr>
          <w:p w14:paraId="4B401530" w14:textId="77777777" w:rsidR="00A13869" w:rsidRPr="00DD6E45" w:rsidRDefault="00A13869" w:rsidP="00A13869">
            <w:pPr>
              <w:spacing w:before="40" w:after="40"/>
              <w:rPr>
                <w:rFonts w:cs="Segoe UI"/>
                <w:sz w:val="17"/>
                <w:szCs w:val="17"/>
              </w:rPr>
            </w:pPr>
            <w:r w:rsidRPr="00DD6E45">
              <w:rPr>
                <w:rFonts w:cs="Segoe UI"/>
                <w:sz w:val="17"/>
                <w:szCs w:val="17"/>
              </w:rPr>
              <w:t>Total credit exposure amount (post-CCF and post-CRM)</w:t>
            </w:r>
          </w:p>
        </w:tc>
      </w:tr>
      <w:tr w:rsidR="00924CB1" w:rsidRPr="00DD6E45" w14:paraId="6F2BAE63" w14:textId="77777777" w:rsidTr="00AF458A">
        <w:trPr>
          <w:trHeight w:val="283"/>
        </w:trPr>
        <w:tc>
          <w:tcPr>
            <w:tcW w:w="459" w:type="dxa"/>
            <w:tcBorders>
              <w:top w:val="nil"/>
              <w:left w:val="nil"/>
              <w:bottom w:val="single" w:sz="6" w:space="0" w:color="auto"/>
              <w:right w:val="single" w:sz="4" w:space="0" w:color="auto"/>
            </w:tcBorders>
            <w:hideMark/>
          </w:tcPr>
          <w:p w14:paraId="7DB2E75B" w14:textId="77777777" w:rsidR="00924CB1" w:rsidRPr="00DD6E45" w:rsidRDefault="00924CB1" w:rsidP="00924CB1">
            <w:pPr>
              <w:spacing w:before="40" w:after="40"/>
              <w:rPr>
                <w:rFonts w:cs="Segoe UI"/>
                <w:sz w:val="17"/>
                <w:szCs w:val="17"/>
              </w:rPr>
            </w:pPr>
            <w:r w:rsidRPr="00DD6E45">
              <w:rPr>
                <w:rFonts w:cs="Segoe UI"/>
                <w:sz w:val="17"/>
                <w:szCs w:val="17"/>
              </w:rPr>
              <w:t>11b</w:t>
            </w:r>
          </w:p>
        </w:tc>
        <w:tc>
          <w:tcPr>
            <w:tcW w:w="4291" w:type="dxa"/>
            <w:tcBorders>
              <w:top w:val="single" w:sz="4" w:space="0" w:color="auto"/>
              <w:left w:val="single" w:sz="4" w:space="0" w:color="auto"/>
              <w:bottom w:val="single" w:sz="4" w:space="0" w:color="auto"/>
              <w:right w:val="single" w:sz="4" w:space="0" w:color="auto"/>
            </w:tcBorders>
            <w:noWrap/>
            <w:hideMark/>
          </w:tcPr>
          <w:p w14:paraId="53629800" w14:textId="77777777" w:rsidR="00924CB1" w:rsidRPr="00DD6E45" w:rsidRDefault="00924CB1" w:rsidP="00924CB1">
            <w:pPr>
              <w:spacing w:before="40" w:after="40"/>
              <w:rPr>
                <w:rFonts w:cs="Segoe UI"/>
                <w:sz w:val="17"/>
                <w:szCs w:val="17"/>
              </w:rPr>
            </w:pPr>
            <w:r w:rsidRPr="00DD6E45">
              <w:rPr>
                <w:rFonts w:cs="Segoe UI"/>
                <w:sz w:val="17"/>
                <w:szCs w:val="17"/>
              </w:rPr>
              <w:t>Items in the process of clearing or settlement</w:t>
            </w:r>
          </w:p>
        </w:tc>
        <w:tc>
          <w:tcPr>
            <w:tcW w:w="2099" w:type="dxa"/>
            <w:tcBorders>
              <w:top w:val="single" w:sz="4" w:space="0" w:color="auto"/>
              <w:left w:val="single" w:sz="4" w:space="0" w:color="auto"/>
              <w:bottom w:val="single" w:sz="4" w:space="0" w:color="auto"/>
              <w:right w:val="single" w:sz="4" w:space="0" w:color="auto"/>
            </w:tcBorders>
            <w:noWrap/>
          </w:tcPr>
          <w:p w14:paraId="086E2147" w14:textId="77777777" w:rsidR="00924CB1" w:rsidRPr="00DD6E45" w:rsidRDefault="00924CB1" w:rsidP="00924CB1">
            <w:pPr>
              <w:spacing w:before="40" w:after="40"/>
              <w:rPr>
                <w:rFonts w:cs="Segoe UI"/>
                <w:sz w:val="17"/>
                <w:szCs w:val="17"/>
              </w:rPr>
            </w:pPr>
          </w:p>
        </w:tc>
        <w:tc>
          <w:tcPr>
            <w:tcW w:w="2099" w:type="dxa"/>
            <w:tcBorders>
              <w:top w:val="single" w:sz="4" w:space="0" w:color="auto"/>
              <w:left w:val="single" w:sz="4" w:space="0" w:color="auto"/>
              <w:bottom w:val="single" w:sz="4" w:space="0" w:color="auto"/>
              <w:right w:val="single" w:sz="4" w:space="0" w:color="auto"/>
            </w:tcBorders>
            <w:noWrap/>
          </w:tcPr>
          <w:p w14:paraId="03FF5C24" w14:textId="77777777" w:rsidR="00924CB1" w:rsidRPr="00DD6E45" w:rsidRDefault="00924CB1" w:rsidP="00924CB1">
            <w:pPr>
              <w:spacing w:before="40" w:after="40"/>
              <w:rPr>
                <w:rFonts w:cs="Segoe UI"/>
                <w:sz w:val="17"/>
                <w:szCs w:val="17"/>
              </w:rPr>
            </w:pPr>
          </w:p>
        </w:tc>
        <w:tc>
          <w:tcPr>
            <w:tcW w:w="2100" w:type="dxa"/>
            <w:tcBorders>
              <w:top w:val="single" w:sz="4" w:space="0" w:color="auto"/>
              <w:left w:val="single" w:sz="4" w:space="0" w:color="auto"/>
              <w:bottom w:val="single" w:sz="4" w:space="0" w:color="auto"/>
              <w:right w:val="single" w:sz="4" w:space="0" w:color="auto"/>
            </w:tcBorders>
          </w:tcPr>
          <w:p w14:paraId="767E7F28" w14:textId="77777777" w:rsidR="00924CB1" w:rsidRPr="00DD6E45" w:rsidRDefault="00924CB1" w:rsidP="00924CB1">
            <w:pPr>
              <w:spacing w:before="40" w:after="40"/>
              <w:rPr>
                <w:rFonts w:cs="Segoe UI"/>
                <w:sz w:val="17"/>
                <w:szCs w:val="17"/>
              </w:rPr>
            </w:pPr>
          </w:p>
        </w:tc>
        <w:tc>
          <w:tcPr>
            <w:tcW w:w="3112" w:type="dxa"/>
            <w:tcBorders>
              <w:top w:val="single" w:sz="4" w:space="0" w:color="auto"/>
              <w:left w:val="single" w:sz="4" w:space="0" w:color="auto"/>
              <w:bottom w:val="single" w:sz="4" w:space="0" w:color="auto"/>
              <w:right w:val="single" w:sz="4" w:space="0" w:color="auto"/>
            </w:tcBorders>
            <w:noWrap/>
          </w:tcPr>
          <w:p w14:paraId="6DE11691" w14:textId="77777777" w:rsidR="00924CB1" w:rsidRPr="00DD6E45" w:rsidRDefault="00924CB1" w:rsidP="00924CB1">
            <w:pPr>
              <w:spacing w:before="40" w:after="40"/>
              <w:rPr>
                <w:rFonts w:cs="Segoe UI"/>
                <w:sz w:val="17"/>
                <w:szCs w:val="17"/>
              </w:rPr>
            </w:pPr>
          </w:p>
        </w:tc>
      </w:tr>
    </w:tbl>
    <w:p w14:paraId="79CDF396" w14:textId="77777777" w:rsidR="00DD6E45" w:rsidRPr="00DD6E45" w:rsidRDefault="00DD6E45" w:rsidP="00DD6E45">
      <w:pPr>
        <w:spacing w:before="40" w:after="40"/>
        <w:rPr>
          <w:rFonts w:cs="Segoe UI"/>
          <w:sz w:val="17"/>
          <w:szCs w:val="17"/>
        </w:rPr>
      </w:pPr>
    </w:p>
    <w:p w14:paraId="27ECF3B2" w14:textId="77777777" w:rsidR="00381B4D" w:rsidRDefault="00381B4D" w:rsidP="00381B4D">
      <w:pPr>
        <w:spacing w:before="40" w:after="40"/>
        <w:rPr>
          <w:u w:val="single"/>
        </w:rPr>
      </w:pPr>
    </w:p>
    <w:p w14:paraId="35DA1586" w14:textId="025C2E6F" w:rsidR="001929CC" w:rsidRPr="00CB3BC5" w:rsidRDefault="00381B4D" w:rsidP="00381B4D">
      <w:pPr>
        <w:spacing w:before="40" w:after="40"/>
        <w:rPr>
          <w:rFonts w:cs="Segoe UI"/>
          <w:sz w:val="17"/>
          <w:szCs w:val="17"/>
        </w:rPr>
      </w:pPr>
      <w:r w:rsidRPr="00AF458A">
        <w:br w:type="page"/>
      </w:r>
    </w:p>
    <w:p w14:paraId="0A78778C" w14:textId="77777777" w:rsidR="001929CC" w:rsidRDefault="001929CC" w:rsidP="001929CC">
      <w:pPr>
        <w:spacing w:before="40" w:after="40"/>
        <w:rPr>
          <w:sz w:val="22"/>
        </w:rPr>
      </w:pPr>
      <w:r w:rsidRPr="005516BB">
        <w:rPr>
          <w:u w:val="single"/>
        </w:rPr>
        <w:lastRenderedPageBreak/>
        <w:t>Exposure amounts and CCFs applied to off-balance sheet exposures, categorised based on risk bucket of converted exposures</w:t>
      </w:r>
      <w:r>
        <w:rPr>
          <w:u w:val="single"/>
        </w:rPr>
        <w:t xml:space="preserve"> (STC version)</w:t>
      </w:r>
    </w:p>
    <w:tbl>
      <w:tblPr>
        <w:tblW w:w="14166"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558"/>
        <w:gridCol w:w="4395"/>
        <w:gridCol w:w="2303"/>
        <w:gridCol w:w="2303"/>
        <w:gridCol w:w="2303"/>
        <w:gridCol w:w="2304"/>
      </w:tblGrid>
      <w:tr w:rsidR="001929CC" w:rsidRPr="005516BB" w14:paraId="2605D6ED" w14:textId="77777777" w:rsidTr="001929CC">
        <w:trPr>
          <w:trHeight w:val="402"/>
          <w:tblHeader/>
        </w:trPr>
        <w:tc>
          <w:tcPr>
            <w:tcW w:w="558" w:type="dxa"/>
            <w:tcBorders>
              <w:top w:val="nil"/>
              <w:left w:val="nil"/>
              <w:bottom w:val="nil"/>
              <w:right w:val="single" w:sz="4" w:space="0" w:color="auto"/>
            </w:tcBorders>
          </w:tcPr>
          <w:p w14:paraId="4A8EDC5F" w14:textId="77777777" w:rsidR="001929CC" w:rsidRPr="005516BB" w:rsidRDefault="001929CC" w:rsidP="001929CC">
            <w:pPr>
              <w:pStyle w:val="TableText"/>
              <w:snapToGrid w:val="0"/>
              <w:rPr>
                <w:rFonts w:eastAsia="MS PGothic"/>
                <w:szCs w:val="17"/>
                <w:lang w:eastAsia="ja-JP"/>
              </w:rPr>
            </w:pPr>
          </w:p>
        </w:tc>
        <w:tc>
          <w:tcPr>
            <w:tcW w:w="4395" w:type="dxa"/>
            <w:vMerge w:val="restart"/>
            <w:tcBorders>
              <w:top w:val="single" w:sz="4" w:space="0" w:color="auto"/>
              <w:left w:val="single" w:sz="4" w:space="0" w:color="auto"/>
              <w:bottom w:val="single" w:sz="4" w:space="0" w:color="auto"/>
              <w:right w:val="single" w:sz="4" w:space="0" w:color="auto"/>
            </w:tcBorders>
            <w:noWrap/>
            <w:vAlign w:val="center"/>
          </w:tcPr>
          <w:p w14:paraId="65A91049" w14:textId="77777777" w:rsidR="001929CC" w:rsidRPr="005516BB" w:rsidRDefault="001929CC" w:rsidP="001929CC">
            <w:pPr>
              <w:pStyle w:val="TableText"/>
              <w:snapToGrid w:val="0"/>
              <w:jc w:val="center"/>
              <w:rPr>
                <w:rFonts w:eastAsia="MS PGothic"/>
                <w:szCs w:val="17"/>
                <w:lang w:eastAsia="ja-JP"/>
              </w:rPr>
            </w:pPr>
            <w:r w:rsidRPr="005516BB">
              <w:rPr>
                <w:rFonts w:eastAsia="MS PGothic"/>
                <w:szCs w:val="17"/>
                <w:lang w:eastAsia="ja-JP"/>
              </w:rPr>
              <w:t xml:space="preserve">Risk </w:t>
            </w:r>
            <w:r w:rsidRPr="002B6637">
              <w:rPr>
                <w:rFonts w:eastAsia="MS PGothic"/>
                <w:szCs w:val="17"/>
                <w:lang w:eastAsia="ja-JP"/>
              </w:rPr>
              <w:t>Weight</w:t>
            </w:r>
            <w:r w:rsidRPr="002B6637">
              <w:rPr>
                <w:rFonts w:eastAsia="MS PGothic"/>
                <w:szCs w:val="17"/>
                <w:vertAlign w:val="superscript"/>
                <w:lang w:eastAsia="ja-JP"/>
              </w:rPr>
              <w:t>#</w:t>
            </w:r>
          </w:p>
        </w:tc>
        <w:tc>
          <w:tcPr>
            <w:tcW w:w="2303" w:type="dxa"/>
            <w:tcBorders>
              <w:top w:val="single" w:sz="6" w:space="0" w:color="auto"/>
              <w:left w:val="single" w:sz="4" w:space="0" w:color="auto"/>
              <w:bottom w:val="single" w:sz="6" w:space="0" w:color="auto"/>
              <w:right w:val="single" w:sz="6" w:space="0" w:color="auto"/>
            </w:tcBorders>
            <w:noWrap/>
            <w:vAlign w:val="center"/>
          </w:tcPr>
          <w:p w14:paraId="21E2B051" w14:textId="77777777" w:rsidR="001929CC" w:rsidRPr="005516BB" w:rsidRDefault="001929CC" w:rsidP="001929CC">
            <w:pPr>
              <w:pStyle w:val="TableText"/>
              <w:snapToGrid w:val="0"/>
              <w:jc w:val="center"/>
              <w:rPr>
                <w:rFonts w:cs="Segoe UI"/>
                <w:szCs w:val="17"/>
                <w:lang w:eastAsia="en-GB"/>
              </w:rPr>
            </w:pPr>
            <w:r w:rsidRPr="005516BB">
              <w:rPr>
                <w:rFonts w:cs="Segoe UI"/>
                <w:szCs w:val="17"/>
                <w:lang w:eastAsia="en-GB"/>
              </w:rPr>
              <w:t>(a)</w:t>
            </w:r>
          </w:p>
        </w:tc>
        <w:tc>
          <w:tcPr>
            <w:tcW w:w="2303" w:type="dxa"/>
            <w:tcBorders>
              <w:top w:val="single" w:sz="6" w:space="0" w:color="auto"/>
              <w:left w:val="single" w:sz="6" w:space="0" w:color="auto"/>
              <w:bottom w:val="single" w:sz="6" w:space="0" w:color="auto"/>
              <w:right w:val="single" w:sz="6" w:space="0" w:color="auto"/>
            </w:tcBorders>
            <w:noWrap/>
            <w:vAlign w:val="center"/>
          </w:tcPr>
          <w:p w14:paraId="1092C734" w14:textId="77777777" w:rsidR="001929CC" w:rsidRPr="005516BB" w:rsidRDefault="001929CC" w:rsidP="001929CC">
            <w:pPr>
              <w:pStyle w:val="TableText"/>
              <w:snapToGrid w:val="0"/>
              <w:jc w:val="center"/>
              <w:rPr>
                <w:rFonts w:cs="Segoe UI"/>
                <w:szCs w:val="17"/>
                <w:lang w:eastAsia="en-GB"/>
              </w:rPr>
            </w:pPr>
            <w:r w:rsidRPr="005516BB">
              <w:rPr>
                <w:rFonts w:cs="Segoe UI"/>
                <w:szCs w:val="17"/>
                <w:lang w:eastAsia="en-GB"/>
              </w:rPr>
              <w:t>(b)</w:t>
            </w:r>
          </w:p>
        </w:tc>
        <w:tc>
          <w:tcPr>
            <w:tcW w:w="2303" w:type="dxa"/>
            <w:tcBorders>
              <w:top w:val="single" w:sz="6" w:space="0" w:color="auto"/>
              <w:left w:val="single" w:sz="6" w:space="0" w:color="auto"/>
              <w:bottom w:val="single" w:sz="6" w:space="0" w:color="auto"/>
              <w:right w:val="single" w:sz="6" w:space="0" w:color="auto"/>
            </w:tcBorders>
            <w:noWrap/>
            <w:vAlign w:val="center"/>
          </w:tcPr>
          <w:p w14:paraId="69F0DD12" w14:textId="77777777" w:rsidR="001929CC" w:rsidRPr="005516BB" w:rsidRDefault="001929CC" w:rsidP="001929CC">
            <w:pPr>
              <w:pStyle w:val="TableText"/>
              <w:snapToGrid w:val="0"/>
              <w:jc w:val="center"/>
              <w:rPr>
                <w:rFonts w:cs="Segoe UI"/>
                <w:szCs w:val="17"/>
                <w:lang w:eastAsia="en-GB"/>
              </w:rPr>
            </w:pPr>
            <w:r w:rsidRPr="005516BB">
              <w:rPr>
                <w:rFonts w:cs="Segoe UI"/>
                <w:szCs w:val="17"/>
                <w:lang w:eastAsia="en-GB"/>
              </w:rPr>
              <w:t>(c)</w:t>
            </w:r>
          </w:p>
        </w:tc>
        <w:tc>
          <w:tcPr>
            <w:tcW w:w="2304" w:type="dxa"/>
            <w:tcBorders>
              <w:top w:val="single" w:sz="6" w:space="0" w:color="auto"/>
              <w:left w:val="single" w:sz="6" w:space="0" w:color="auto"/>
              <w:bottom w:val="single" w:sz="6" w:space="0" w:color="auto"/>
              <w:right w:val="single" w:sz="6" w:space="0" w:color="auto"/>
            </w:tcBorders>
            <w:vAlign w:val="center"/>
          </w:tcPr>
          <w:p w14:paraId="585DEACE" w14:textId="77777777" w:rsidR="001929CC" w:rsidRPr="005516BB" w:rsidRDefault="001929CC" w:rsidP="001929CC">
            <w:pPr>
              <w:pStyle w:val="TableText"/>
              <w:snapToGrid w:val="0"/>
              <w:jc w:val="center"/>
              <w:rPr>
                <w:rFonts w:cs="Segoe UI"/>
                <w:szCs w:val="17"/>
                <w:lang w:eastAsia="en-GB"/>
              </w:rPr>
            </w:pPr>
            <w:r w:rsidRPr="005516BB">
              <w:rPr>
                <w:rFonts w:cs="Segoe UI"/>
                <w:szCs w:val="17"/>
                <w:lang w:eastAsia="en-GB"/>
              </w:rPr>
              <w:t>(d)</w:t>
            </w:r>
          </w:p>
        </w:tc>
      </w:tr>
      <w:tr w:rsidR="001929CC" w:rsidRPr="005516BB" w14:paraId="49069549" w14:textId="77777777" w:rsidTr="001929CC">
        <w:trPr>
          <w:cantSplit/>
          <w:trHeight w:val="586"/>
          <w:tblHeader/>
        </w:trPr>
        <w:tc>
          <w:tcPr>
            <w:tcW w:w="558" w:type="dxa"/>
            <w:tcBorders>
              <w:top w:val="nil"/>
              <w:left w:val="nil"/>
              <w:bottom w:val="single" w:sz="6" w:space="0" w:color="auto"/>
              <w:right w:val="single" w:sz="4" w:space="0" w:color="auto"/>
            </w:tcBorders>
          </w:tcPr>
          <w:p w14:paraId="4912FFC3" w14:textId="77777777" w:rsidR="001929CC" w:rsidRPr="005516BB" w:rsidRDefault="001929CC" w:rsidP="001929CC">
            <w:pPr>
              <w:pStyle w:val="TableText"/>
              <w:snapToGrid w:val="0"/>
              <w:rPr>
                <w:rFonts w:eastAsia="MS PGothic"/>
                <w:szCs w:val="17"/>
                <w:lang w:eastAsia="ja-JP"/>
              </w:rPr>
            </w:pPr>
          </w:p>
        </w:tc>
        <w:tc>
          <w:tcPr>
            <w:tcW w:w="4395" w:type="dxa"/>
            <w:vMerge/>
            <w:tcBorders>
              <w:top w:val="single" w:sz="4" w:space="0" w:color="auto"/>
              <w:left w:val="single" w:sz="4" w:space="0" w:color="auto"/>
              <w:bottom w:val="single" w:sz="4" w:space="0" w:color="auto"/>
              <w:right w:val="single" w:sz="4" w:space="0" w:color="auto"/>
            </w:tcBorders>
            <w:noWrap/>
            <w:vAlign w:val="center"/>
          </w:tcPr>
          <w:p w14:paraId="78EAC87C" w14:textId="77777777" w:rsidR="001929CC" w:rsidRPr="005516BB" w:rsidRDefault="001929CC" w:rsidP="001929CC">
            <w:pPr>
              <w:pStyle w:val="TableText"/>
              <w:snapToGrid w:val="0"/>
              <w:jc w:val="center"/>
              <w:rPr>
                <w:rFonts w:eastAsia="MS PGothic"/>
                <w:szCs w:val="17"/>
                <w:lang w:eastAsia="ja-JP"/>
              </w:rPr>
            </w:pPr>
          </w:p>
        </w:tc>
        <w:tc>
          <w:tcPr>
            <w:tcW w:w="2303" w:type="dxa"/>
            <w:tcBorders>
              <w:top w:val="single" w:sz="6" w:space="0" w:color="auto"/>
              <w:left w:val="single" w:sz="4" w:space="0" w:color="auto"/>
              <w:bottom w:val="single" w:sz="6" w:space="0" w:color="auto"/>
              <w:right w:val="single" w:sz="6" w:space="0" w:color="auto"/>
            </w:tcBorders>
            <w:noWrap/>
            <w:vAlign w:val="center"/>
          </w:tcPr>
          <w:p w14:paraId="621A256C" w14:textId="77777777" w:rsidR="001929CC" w:rsidRPr="005516BB" w:rsidRDefault="001929CC" w:rsidP="001929CC">
            <w:pPr>
              <w:pStyle w:val="TableText"/>
              <w:snapToGrid w:val="0"/>
              <w:jc w:val="center"/>
              <w:rPr>
                <w:rFonts w:eastAsia="MS PGothic"/>
                <w:szCs w:val="17"/>
                <w:lang w:eastAsia="ja-JP"/>
              </w:rPr>
            </w:pPr>
            <w:r w:rsidRPr="005516BB">
              <w:rPr>
                <w:rFonts w:eastAsia="MS PGothic"/>
                <w:szCs w:val="17"/>
                <w:lang w:eastAsia="ja-JP"/>
              </w:rPr>
              <w:t>On-balance sheet exposure</w:t>
            </w:r>
          </w:p>
        </w:tc>
        <w:tc>
          <w:tcPr>
            <w:tcW w:w="2303" w:type="dxa"/>
            <w:tcBorders>
              <w:top w:val="single" w:sz="2" w:space="0" w:color="auto"/>
              <w:left w:val="single" w:sz="6" w:space="0" w:color="auto"/>
              <w:bottom w:val="single" w:sz="6" w:space="0" w:color="auto"/>
              <w:right w:val="single" w:sz="6" w:space="0" w:color="auto"/>
            </w:tcBorders>
            <w:noWrap/>
            <w:vAlign w:val="center"/>
          </w:tcPr>
          <w:p w14:paraId="201A7B20" w14:textId="77777777" w:rsidR="001929CC" w:rsidRPr="005516BB" w:rsidRDefault="001929CC" w:rsidP="001929CC">
            <w:pPr>
              <w:pStyle w:val="NormalWeb"/>
              <w:spacing w:before="0" w:beforeAutospacing="0" w:after="0" w:afterAutospacing="0"/>
              <w:jc w:val="center"/>
              <w:textAlignment w:val="baseline"/>
              <w:rPr>
                <w:rFonts w:ascii="Segoe UI" w:eastAsia="MS PGothic" w:hAnsi="Segoe UI"/>
                <w:sz w:val="17"/>
                <w:szCs w:val="17"/>
                <w:lang w:eastAsia="ja-JP"/>
              </w:rPr>
            </w:pPr>
            <w:r w:rsidRPr="005516BB">
              <w:rPr>
                <w:rFonts w:ascii="Segoe UI" w:eastAsia="MS PGothic" w:hAnsi="Segoe UI"/>
                <w:sz w:val="17"/>
                <w:szCs w:val="17"/>
                <w:lang w:eastAsia="ja-JP"/>
              </w:rPr>
              <w:t>Off-balance sheet exposure</w:t>
            </w:r>
          </w:p>
          <w:p w14:paraId="32F23AC4" w14:textId="77777777" w:rsidR="001929CC" w:rsidRPr="005516BB" w:rsidRDefault="001929CC" w:rsidP="001929CC">
            <w:pPr>
              <w:pStyle w:val="TableText"/>
              <w:snapToGrid w:val="0"/>
              <w:jc w:val="center"/>
              <w:rPr>
                <w:rFonts w:eastAsia="MS PGothic"/>
                <w:szCs w:val="17"/>
                <w:lang w:eastAsia="ja-JP"/>
              </w:rPr>
            </w:pPr>
            <w:r w:rsidRPr="005516BB">
              <w:rPr>
                <w:rFonts w:eastAsia="MS PGothic"/>
                <w:szCs w:val="17"/>
                <w:lang w:eastAsia="ja-JP"/>
              </w:rPr>
              <w:t>(pre-CCF)</w:t>
            </w:r>
          </w:p>
        </w:tc>
        <w:tc>
          <w:tcPr>
            <w:tcW w:w="2303" w:type="dxa"/>
            <w:tcBorders>
              <w:top w:val="single" w:sz="6" w:space="0" w:color="auto"/>
              <w:left w:val="single" w:sz="6" w:space="0" w:color="auto"/>
              <w:bottom w:val="single" w:sz="6" w:space="0" w:color="auto"/>
              <w:right w:val="single" w:sz="6" w:space="0" w:color="auto"/>
            </w:tcBorders>
            <w:noWrap/>
            <w:vAlign w:val="center"/>
          </w:tcPr>
          <w:p w14:paraId="11C53744" w14:textId="77777777" w:rsidR="001929CC" w:rsidRPr="005516BB" w:rsidRDefault="001929CC" w:rsidP="001929CC">
            <w:pPr>
              <w:pStyle w:val="TableText"/>
              <w:snapToGrid w:val="0"/>
              <w:jc w:val="center"/>
              <w:rPr>
                <w:rFonts w:eastAsia="MS PGothic"/>
                <w:szCs w:val="17"/>
                <w:lang w:eastAsia="ja-JP"/>
              </w:rPr>
            </w:pPr>
            <w:r w:rsidRPr="005516BB">
              <w:rPr>
                <w:rFonts w:eastAsia="MS PGothic"/>
                <w:szCs w:val="17"/>
                <w:lang w:eastAsia="ja-JP"/>
              </w:rPr>
              <w:t>Weighted average CCF*</w:t>
            </w:r>
          </w:p>
        </w:tc>
        <w:tc>
          <w:tcPr>
            <w:tcW w:w="2304" w:type="dxa"/>
            <w:tcBorders>
              <w:top w:val="single" w:sz="6" w:space="0" w:color="auto"/>
              <w:left w:val="single" w:sz="6" w:space="0" w:color="auto"/>
              <w:bottom w:val="single" w:sz="6" w:space="0" w:color="auto"/>
              <w:right w:val="single" w:sz="6" w:space="0" w:color="auto"/>
            </w:tcBorders>
            <w:vAlign w:val="center"/>
          </w:tcPr>
          <w:p w14:paraId="55E5D8CF" w14:textId="77777777" w:rsidR="001929CC" w:rsidRPr="005516BB" w:rsidRDefault="001929CC" w:rsidP="001929CC">
            <w:pPr>
              <w:pStyle w:val="NormalWeb"/>
              <w:spacing w:before="0" w:beforeAutospacing="0" w:after="0" w:afterAutospacing="0"/>
              <w:jc w:val="center"/>
              <w:textAlignment w:val="baseline"/>
              <w:rPr>
                <w:rFonts w:ascii="Segoe UI" w:eastAsia="MS PGothic" w:hAnsi="Segoe UI"/>
                <w:sz w:val="17"/>
                <w:szCs w:val="17"/>
                <w:lang w:eastAsia="ja-JP"/>
              </w:rPr>
            </w:pPr>
            <w:r w:rsidRPr="005516BB">
              <w:rPr>
                <w:rFonts w:ascii="Segoe UI" w:eastAsia="MS PGothic" w:hAnsi="Segoe UI"/>
                <w:sz w:val="17"/>
                <w:szCs w:val="17"/>
                <w:lang w:eastAsia="ja-JP"/>
              </w:rPr>
              <w:t>Exposure</w:t>
            </w:r>
          </w:p>
          <w:p w14:paraId="6DBB645F" w14:textId="77777777" w:rsidR="001929CC" w:rsidRPr="005516BB" w:rsidRDefault="001929CC" w:rsidP="001929CC">
            <w:pPr>
              <w:pStyle w:val="TableText"/>
              <w:snapToGrid w:val="0"/>
              <w:jc w:val="center"/>
              <w:rPr>
                <w:rFonts w:eastAsia="MS PGothic"/>
                <w:szCs w:val="17"/>
                <w:lang w:eastAsia="ja-JP"/>
              </w:rPr>
            </w:pPr>
            <w:r w:rsidRPr="005516BB">
              <w:rPr>
                <w:rFonts w:eastAsia="MS PGothic"/>
                <w:szCs w:val="17"/>
                <w:lang w:eastAsia="ja-JP"/>
              </w:rPr>
              <w:t>(post-CCF and post-CRM)</w:t>
            </w:r>
          </w:p>
        </w:tc>
      </w:tr>
      <w:tr w:rsidR="001929CC" w:rsidRPr="005516BB" w14:paraId="6B5EB9B9" w14:textId="77777777" w:rsidTr="001929CC">
        <w:trPr>
          <w:trHeight w:val="283"/>
        </w:trPr>
        <w:tc>
          <w:tcPr>
            <w:tcW w:w="558" w:type="dxa"/>
            <w:tcBorders>
              <w:top w:val="single" w:sz="6" w:space="0" w:color="auto"/>
              <w:left w:val="nil"/>
              <w:right w:val="single" w:sz="6" w:space="0" w:color="auto"/>
            </w:tcBorders>
          </w:tcPr>
          <w:p w14:paraId="1C99E644" w14:textId="77777777" w:rsidR="001929CC" w:rsidRPr="005516BB" w:rsidRDefault="001929CC" w:rsidP="001929CC">
            <w:pPr>
              <w:pStyle w:val="TableText"/>
              <w:snapToGrid w:val="0"/>
              <w:rPr>
                <w:rFonts w:cs="Segoe UI"/>
                <w:szCs w:val="17"/>
                <w:lang w:eastAsia="en-GB"/>
              </w:rPr>
            </w:pPr>
            <w:r w:rsidRPr="005516BB">
              <w:rPr>
                <w:szCs w:val="17"/>
              </w:rPr>
              <w:t>1</w:t>
            </w:r>
          </w:p>
        </w:tc>
        <w:tc>
          <w:tcPr>
            <w:tcW w:w="4395" w:type="dxa"/>
            <w:tcBorders>
              <w:top w:val="single" w:sz="4" w:space="0" w:color="auto"/>
              <w:left w:val="nil"/>
              <w:right w:val="single" w:sz="6" w:space="0" w:color="auto"/>
            </w:tcBorders>
            <w:noWrap/>
          </w:tcPr>
          <w:p w14:paraId="572382E3" w14:textId="77777777" w:rsidR="001929CC" w:rsidRPr="005516BB" w:rsidRDefault="001929CC" w:rsidP="001929CC">
            <w:pPr>
              <w:pStyle w:val="TableText"/>
              <w:snapToGrid w:val="0"/>
              <w:jc w:val="center"/>
              <w:rPr>
                <w:rFonts w:cs="Segoe UI"/>
                <w:szCs w:val="17"/>
                <w:lang w:eastAsia="en-GB"/>
              </w:rPr>
            </w:pPr>
            <w:r w:rsidRPr="005516BB">
              <w:rPr>
                <w:szCs w:val="17"/>
              </w:rPr>
              <w:t>Less than 40%</w:t>
            </w:r>
          </w:p>
        </w:tc>
        <w:tc>
          <w:tcPr>
            <w:tcW w:w="2303" w:type="dxa"/>
            <w:tcBorders>
              <w:top w:val="single" w:sz="6" w:space="0" w:color="auto"/>
              <w:left w:val="single" w:sz="6" w:space="0" w:color="auto"/>
              <w:bottom w:val="single" w:sz="6" w:space="0" w:color="BCBDBC"/>
              <w:right w:val="single" w:sz="6" w:space="0" w:color="auto"/>
            </w:tcBorders>
            <w:noWrap/>
            <w:vAlign w:val="center"/>
          </w:tcPr>
          <w:p w14:paraId="0861238C"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auto"/>
              <w:left w:val="single" w:sz="6" w:space="0" w:color="auto"/>
              <w:bottom w:val="single" w:sz="6" w:space="0" w:color="BCBDBC"/>
              <w:right w:val="single" w:sz="6" w:space="0" w:color="auto"/>
            </w:tcBorders>
            <w:noWrap/>
            <w:vAlign w:val="center"/>
          </w:tcPr>
          <w:p w14:paraId="119D669D"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auto"/>
              <w:left w:val="single" w:sz="6" w:space="0" w:color="auto"/>
              <w:bottom w:val="single" w:sz="6" w:space="0" w:color="BCBDBC"/>
              <w:right w:val="single" w:sz="6" w:space="0" w:color="auto"/>
            </w:tcBorders>
            <w:noWrap/>
            <w:vAlign w:val="center"/>
          </w:tcPr>
          <w:p w14:paraId="5E7643B7" w14:textId="77777777" w:rsidR="001929CC" w:rsidRPr="005516BB" w:rsidRDefault="001929CC" w:rsidP="001929CC">
            <w:pPr>
              <w:pStyle w:val="TableText"/>
              <w:snapToGrid w:val="0"/>
              <w:rPr>
                <w:rFonts w:eastAsia="MS PGothic"/>
                <w:szCs w:val="17"/>
                <w:lang w:eastAsia="ja-JP"/>
              </w:rPr>
            </w:pPr>
          </w:p>
        </w:tc>
        <w:tc>
          <w:tcPr>
            <w:tcW w:w="2304" w:type="dxa"/>
            <w:tcBorders>
              <w:top w:val="single" w:sz="6" w:space="0" w:color="auto"/>
              <w:left w:val="single" w:sz="6" w:space="0" w:color="auto"/>
              <w:bottom w:val="single" w:sz="6" w:space="0" w:color="BCBDBC"/>
              <w:right w:val="single" w:sz="6" w:space="0" w:color="auto"/>
            </w:tcBorders>
          </w:tcPr>
          <w:p w14:paraId="7A10A389" w14:textId="77777777" w:rsidR="001929CC" w:rsidRPr="005516BB" w:rsidRDefault="001929CC" w:rsidP="001929CC">
            <w:pPr>
              <w:pStyle w:val="TableText"/>
              <w:snapToGrid w:val="0"/>
              <w:rPr>
                <w:rFonts w:eastAsia="MS PGothic"/>
                <w:szCs w:val="17"/>
                <w:lang w:eastAsia="ja-JP"/>
              </w:rPr>
            </w:pPr>
          </w:p>
        </w:tc>
      </w:tr>
      <w:tr w:rsidR="001929CC" w:rsidRPr="005516BB" w14:paraId="00566948" w14:textId="77777777" w:rsidTr="001929CC">
        <w:trPr>
          <w:trHeight w:val="283"/>
        </w:trPr>
        <w:tc>
          <w:tcPr>
            <w:tcW w:w="558" w:type="dxa"/>
            <w:tcBorders>
              <w:left w:val="nil"/>
              <w:right w:val="single" w:sz="6" w:space="0" w:color="auto"/>
            </w:tcBorders>
          </w:tcPr>
          <w:p w14:paraId="2C07F142" w14:textId="77777777" w:rsidR="001929CC" w:rsidRPr="005516BB" w:rsidRDefault="001929CC" w:rsidP="001929CC">
            <w:pPr>
              <w:pStyle w:val="TableText"/>
              <w:snapToGrid w:val="0"/>
              <w:rPr>
                <w:rFonts w:cs="Segoe UI"/>
                <w:szCs w:val="17"/>
                <w:lang w:eastAsia="en-GB"/>
              </w:rPr>
            </w:pPr>
            <w:r w:rsidRPr="005516BB">
              <w:rPr>
                <w:szCs w:val="17"/>
              </w:rPr>
              <w:t>2</w:t>
            </w:r>
          </w:p>
        </w:tc>
        <w:tc>
          <w:tcPr>
            <w:tcW w:w="4395" w:type="dxa"/>
            <w:tcBorders>
              <w:left w:val="nil"/>
              <w:right w:val="single" w:sz="6" w:space="0" w:color="auto"/>
            </w:tcBorders>
            <w:noWrap/>
          </w:tcPr>
          <w:p w14:paraId="47BF3EFA" w14:textId="77777777" w:rsidR="001929CC" w:rsidRPr="005516BB" w:rsidRDefault="001929CC" w:rsidP="001929CC">
            <w:pPr>
              <w:pStyle w:val="TableText"/>
              <w:snapToGrid w:val="0"/>
              <w:jc w:val="center"/>
              <w:rPr>
                <w:rFonts w:cs="Segoe UI"/>
                <w:szCs w:val="17"/>
                <w:lang w:eastAsia="en-GB"/>
              </w:rPr>
            </w:pPr>
            <w:r w:rsidRPr="005516BB">
              <w:rPr>
                <w:szCs w:val="17"/>
              </w:rPr>
              <w:t>40-70%</w:t>
            </w:r>
          </w:p>
        </w:tc>
        <w:tc>
          <w:tcPr>
            <w:tcW w:w="2303" w:type="dxa"/>
            <w:tcBorders>
              <w:top w:val="single" w:sz="6" w:space="0" w:color="BCBDBC"/>
              <w:left w:val="single" w:sz="6" w:space="0" w:color="auto"/>
              <w:bottom w:val="single" w:sz="6" w:space="0" w:color="BCBDBC"/>
              <w:right w:val="single" w:sz="6" w:space="0" w:color="auto"/>
            </w:tcBorders>
            <w:noWrap/>
            <w:vAlign w:val="center"/>
          </w:tcPr>
          <w:p w14:paraId="0EDFDA09"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3CBC3D3F"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1C8679A6" w14:textId="77777777" w:rsidR="001929CC" w:rsidRPr="005516BB" w:rsidRDefault="001929CC" w:rsidP="001929CC">
            <w:pPr>
              <w:pStyle w:val="TableText"/>
              <w:snapToGrid w:val="0"/>
              <w:rPr>
                <w:rFonts w:eastAsia="MS PGothic"/>
                <w:szCs w:val="17"/>
                <w:lang w:eastAsia="ja-JP"/>
              </w:rPr>
            </w:pPr>
          </w:p>
        </w:tc>
        <w:tc>
          <w:tcPr>
            <w:tcW w:w="2304" w:type="dxa"/>
            <w:tcBorders>
              <w:top w:val="single" w:sz="6" w:space="0" w:color="BCBDBC"/>
              <w:left w:val="single" w:sz="6" w:space="0" w:color="auto"/>
              <w:bottom w:val="single" w:sz="6" w:space="0" w:color="BCBDBC"/>
              <w:right w:val="single" w:sz="6" w:space="0" w:color="auto"/>
            </w:tcBorders>
          </w:tcPr>
          <w:p w14:paraId="6DF58E06" w14:textId="77777777" w:rsidR="001929CC" w:rsidRPr="005516BB" w:rsidRDefault="001929CC" w:rsidP="001929CC">
            <w:pPr>
              <w:pStyle w:val="TableText"/>
              <w:snapToGrid w:val="0"/>
              <w:rPr>
                <w:rFonts w:eastAsia="MS PGothic"/>
                <w:szCs w:val="17"/>
                <w:lang w:eastAsia="ja-JP"/>
              </w:rPr>
            </w:pPr>
          </w:p>
        </w:tc>
      </w:tr>
      <w:tr w:rsidR="001929CC" w:rsidRPr="005516BB" w14:paraId="0799C51D" w14:textId="77777777" w:rsidTr="001929CC">
        <w:trPr>
          <w:trHeight w:val="283"/>
        </w:trPr>
        <w:tc>
          <w:tcPr>
            <w:tcW w:w="558" w:type="dxa"/>
            <w:tcBorders>
              <w:left w:val="nil"/>
              <w:right w:val="single" w:sz="6" w:space="0" w:color="auto"/>
            </w:tcBorders>
          </w:tcPr>
          <w:p w14:paraId="0E118E41" w14:textId="77777777" w:rsidR="001929CC" w:rsidRPr="005516BB" w:rsidRDefault="001929CC" w:rsidP="001929CC">
            <w:pPr>
              <w:pStyle w:val="TableText"/>
              <w:snapToGrid w:val="0"/>
              <w:rPr>
                <w:rFonts w:cs="Segoe UI"/>
                <w:szCs w:val="17"/>
                <w:lang w:eastAsia="en-GB"/>
              </w:rPr>
            </w:pPr>
            <w:r w:rsidRPr="005516BB">
              <w:rPr>
                <w:szCs w:val="17"/>
              </w:rPr>
              <w:t>3</w:t>
            </w:r>
          </w:p>
        </w:tc>
        <w:tc>
          <w:tcPr>
            <w:tcW w:w="4395" w:type="dxa"/>
            <w:tcBorders>
              <w:left w:val="nil"/>
              <w:right w:val="single" w:sz="6" w:space="0" w:color="auto"/>
            </w:tcBorders>
            <w:noWrap/>
          </w:tcPr>
          <w:p w14:paraId="528B15B3" w14:textId="77777777" w:rsidR="001929CC" w:rsidRPr="005516BB" w:rsidRDefault="001929CC" w:rsidP="001929CC">
            <w:pPr>
              <w:pStyle w:val="TableText"/>
              <w:snapToGrid w:val="0"/>
              <w:ind w:leftChars="88" w:left="176"/>
              <w:jc w:val="center"/>
              <w:rPr>
                <w:rFonts w:cs="Segoe UI"/>
                <w:szCs w:val="17"/>
                <w:lang w:eastAsia="en-GB"/>
              </w:rPr>
            </w:pPr>
            <w:r w:rsidRPr="005516BB">
              <w:rPr>
                <w:szCs w:val="17"/>
              </w:rPr>
              <w:t>75%</w:t>
            </w:r>
          </w:p>
        </w:tc>
        <w:tc>
          <w:tcPr>
            <w:tcW w:w="2303" w:type="dxa"/>
            <w:tcBorders>
              <w:top w:val="single" w:sz="6" w:space="0" w:color="BCBDBC"/>
              <w:left w:val="single" w:sz="6" w:space="0" w:color="auto"/>
              <w:bottom w:val="single" w:sz="6" w:space="0" w:color="BCBDBC"/>
              <w:right w:val="single" w:sz="6" w:space="0" w:color="auto"/>
            </w:tcBorders>
            <w:noWrap/>
            <w:vAlign w:val="center"/>
          </w:tcPr>
          <w:p w14:paraId="3CCC642D"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082BF0D6"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18C2F718" w14:textId="77777777" w:rsidR="001929CC" w:rsidRPr="005516BB" w:rsidRDefault="001929CC" w:rsidP="001929CC">
            <w:pPr>
              <w:pStyle w:val="TableText"/>
              <w:snapToGrid w:val="0"/>
              <w:rPr>
                <w:rFonts w:eastAsia="MS PGothic"/>
                <w:szCs w:val="17"/>
                <w:lang w:eastAsia="ja-JP"/>
              </w:rPr>
            </w:pPr>
          </w:p>
        </w:tc>
        <w:tc>
          <w:tcPr>
            <w:tcW w:w="2304" w:type="dxa"/>
            <w:tcBorders>
              <w:top w:val="single" w:sz="6" w:space="0" w:color="BCBDBC"/>
              <w:left w:val="single" w:sz="6" w:space="0" w:color="auto"/>
              <w:bottom w:val="single" w:sz="6" w:space="0" w:color="BCBDBC"/>
              <w:right w:val="single" w:sz="6" w:space="0" w:color="auto"/>
            </w:tcBorders>
          </w:tcPr>
          <w:p w14:paraId="0A8E13C9" w14:textId="77777777" w:rsidR="001929CC" w:rsidRPr="005516BB" w:rsidRDefault="001929CC" w:rsidP="001929CC">
            <w:pPr>
              <w:pStyle w:val="TableText"/>
              <w:snapToGrid w:val="0"/>
              <w:rPr>
                <w:rFonts w:eastAsia="MS PGothic"/>
                <w:szCs w:val="17"/>
                <w:lang w:eastAsia="ja-JP"/>
              </w:rPr>
            </w:pPr>
          </w:p>
        </w:tc>
      </w:tr>
      <w:tr w:rsidR="001929CC" w:rsidRPr="005516BB" w14:paraId="645B0325" w14:textId="77777777" w:rsidTr="001929CC">
        <w:trPr>
          <w:trHeight w:val="283"/>
        </w:trPr>
        <w:tc>
          <w:tcPr>
            <w:tcW w:w="558" w:type="dxa"/>
            <w:tcBorders>
              <w:left w:val="nil"/>
              <w:right w:val="single" w:sz="6" w:space="0" w:color="auto"/>
            </w:tcBorders>
          </w:tcPr>
          <w:p w14:paraId="312B9AC4" w14:textId="77777777" w:rsidR="001929CC" w:rsidRPr="005516BB" w:rsidRDefault="001929CC" w:rsidP="001929CC">
            <w:pPr>
              <w:pStyle w:val="TableText"/>
              <w:snapToGrid w:val="0"/>
              <w:rPr>
                <w:rFonts w:cs="Segoe UI"/>
                <w:szCs w:val="17"/>
                <w:lang w:eastAsia="en-GB"/>
              </w:rPr>
            </w:pPr>
            <w:r w:rsidRPr="005516BB">
              <w:rPr>
                <w:szCs w:val="17"/>
              </w:rPr>
              <w:t>4</w:t>
            </w:r>
          </w:p>
        </w:tc>
        <w:tc>
          <w:tcPr>
            <w:tcW w:w="4395" w:type="dxa"/>
            <w:tcBorders>
              <w:left w:val="nil"/>
              <w:right w:val="single" w:sz="6" w:space="0" w:color="auto"/>
            </w:tcBorders>
            <w:noWrap/>
          </w:tcPr>
          <w:p w14:paraId="70DD11A4" w14:textId="77777777" w:rsidR="001929CC" w:rsidRPr="005516BB" w:rsidRDefault="001929CC" w:rsidP="001929CC">
            <w:pPr>
              <w:pStyle w:val="TableText"/>
              <w:snapToGrid w:val="0"/>
              <w:ind w:leftChars="88" w:left="176"/>
              <w:jc w:val="center"/>
              <w:rPr>
                <w:rFonts w:cs="Segoe UI"/>
                <w:szCs w:val="17"/>
                <w:lang w:eastAsia="en-GB"/>
              </w:rPr>
            </w:pPr>
            <w:r w:rsidRPr="005516BB">
              <w:rPr>
                <w:szCs w:val="17"/>
              </w:rPr>
              <w:t>85%</w:t>
            </w:r>
          </w:p>
        </w:tc>
        <w:tc>
          <w:tcPr>
            <w:tcW w:w="2303" w:type="dxa"/>
            <w:tcBorders>
              <w:top w:val="single" w:sz="6" w:space="0" w:color="BCBDBC"/>
              <w:left w:val="single" w:sz="6" w:space="0" w:color="auto"/>
              <w:bottom w:val="single" w:sz="6" w:space="0" w:color="BCBDBC"/>
              <w:right w:val="single" w:sz="6" w:space="0" w:color="auto"/>
            </w:tcBorders>
            <w:noWrap/>
            <w:vAlign w:val="center"/>
          </w:tcPr>
          <w:p w14:paraId="6BFAA282"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09393EA8"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74255605" w14:textId="77777777" w:rsidR="001929CC" w:rsidRPr="005516BB" w:rsidRDefault="001929CC" w:rsidP="001929CC">
            <w:pPr>
              <w:pStyle w:val="TableText"/>
              <w:snapToGrid w:val="0"/>
              <w:rPr>
                <w:rFonts w:eastAsia="MS PGothic"/>
                <w:szCs w:val="17"/>
                <w:lang w:eastAsia="ja-JP"/>
              </w:rPr>
            </w:pPr>
          </w:p>
        </w:tc>
        <w:tc>
          <w:tcPr>
            <w:tcW w:w="2304" w:type="dxa"/>
            <w:tcBorders>
              <w:top w:val="single" w:sz="6" w:space="0" w:color="BCBDBC"/>
              <w:left w:val="single" w:sz="6" w:space="0" w:color="auto"/>
              <w:bottom w:val="single" w:sz="6" w:space="0" w:color="BCBDBC"/>
              <w:right w:val="single" w:sz="6" w:space="0" w:color="auto"/>
            </w:tcBorders>
          </w:tcPr>
          <w:p w14:paraId="5761F759" w14:textId="77777777" w:rsidR="001929CC" w:rsidRPr="005516BB" w:rsidRDefault="001929CC" w:rsidP="001929CC">
            <w:pPr>
              <w:pStyle w:val="TableText"/>
              <w:snapToGrid w:val="0"/>
              <w:rPr>
                <w:rFonts w:eastAsia="MS PGothic"/>
                <w:szCs w:val="17"/>
                <w:lang w:eastAsia="ja-JP"/>
              </w:rPr>
            </w:pPr>
          </w:p>
        </w:tc>
      </w:tr>
      <w:tr w:rsidR="001929CC" w:rsidRPr="005516BB" w14:paraId="19903369" w14:textId="77777777" w:rsidTr="001929CC">
        <w:trPr>
          <w:trHeight w:val="283"/>
        </w:trPr>
        <w:tc>
          <w:tcPr>
            <w:tcW w:w="558" w:type="dxa"/>
            <w:tcBorders>
              <w:left w:val="nil"/>
              <w:right w:val="single" w:sz="6" w:space="0" w:color="auto"/>
            </w:tcBorders>
          </w:tcPr>
          <w:p w14:paraId="12949F46" w14:textId="77777777" w:rsidR="001929CC" w:rsidRPr="005516BB" w:rsidRDefault="001929CC" w:rsidP="001929CC">
            <w:pPr>
              <w:pStyle w:val="TableText"/>
              <w:snapToGrid w:val="0"/>
              <w:rPr>
                <w:rFonts w:cs="Segoe UI"/>
                <w:szCs w:val="17"/>
                <w:lang w:eastAsia="en-GB"/>
              </w:rPr>
            </w:pPr>
            <w:r w:rsidRPr="005516BB">
              <w:rPr>
                <w:szCs w:val="17"/>
              </w:rPr>
              <w:t>5</w:t>
            </w:r>
          </w:p>
        </w:tc>
        <w:tc>
          <w:tcPr>
            <w:tcW w:w="4395" w:type="dxa"/>
            <w:tcBorders>
              <w:left w:val="nil"/>
              <w:right w:val="single" w:sz="6" w:space="0" w:color="auto"/>
            </w:tcBorders>
            <w:noWrap/>
          </w:tcPr>
          <w:p w14:paraId="6AAF0B6E" w14:textId="77777777" w:rsidR="001929CC" w:rsidRPr="005516BB" w:rsidRDefault="001929CC" w:rsidP="001929CC">
            <w:pPr>
              <w:pStyle w:val="TableText"/>
              <w:snapToGrid w:val="0"/>
              <w:jc w:val="center"/>
              <w:rPr>
                <w:rFonts w:cs="Segoe UI"/>
                <w:szCs w:val="17"/>
                <w:lang w:eastAsia="en-GB"/>
              </w:rPr>
            </w:pPr>
            <w:r w:rsidRPr="005516BB">
              <w:rPr>
                <w:szCs w:val="17"/>
              </w:rPr>
              <w:t>90-</w:t>
            </w:r>
            <w:r>
              <w:rPr>
                <w:szCs w:val="17"/>
              </w:rPr>
              <w:t xml:space="preserve"> </w:t>
            </w:r>
            <w:r w:rsidRPr="005516BB">
              <w:rPr>
                <w:szCs w:val="17"/>
              </w:rPr>
              <w:t>100%</w:t>
            </w:r>
          </w:p>
        </w:tc>
        <w:tc>
          <w:tcPr>
            <w:tcW w:w="2303" w:type="dxa"/>
            <w:tcBorders>
              <w:top w:val="single" w:sz="6" w:space="0" w:color="BCBDBC"/>
              <w:left w:val="single" w:sz="6" w:space="0" w:color="auto"/>
              <w:bottom w:val="single" w:sz="6" w:space="0" w:color="BCBDBC"/>
              <w:right w:val="single" w:sz="6" w:space="0" w:color="auto"/>
            </w:tcBorders>
            <w:noWrap/>
            <w:vAlign w:val="center"/>
          </w:tcPr>
          <w:p w14:paraId="58567458"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07BA37B4"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0DF79ECE" w14:textId="77777777" w:rsidR="001929CC" w:rsidRPr="005516BB" w:rsidRDefault="001929CC" w:rsidP="001929CC">
            <w:pPr>
              <w:pStyle w:val="TableText"/>
              <w:snapToGrid w:val="0"/>
              <w:rPr>
                <w:rFonts w:eastAsia="MS PGothic"/>
                <w:szCs w:val="17"/>
                <w:lang w:eastAsia="ja-JP"/>
              </w:rPr>
            </w:pPr>
          </w:p>
        </w:tc>
        <w:tc>
          <w:tcPr>
            <w:tcW w:w="2304" w:type="dxa"/>
            <w:tcBorders>
              <w:top w:val="single" w:sz="6" w:space="0" w:color="BCBDBC"/>
              <w:left w:val="single" w:sz="6" w:space="0" w:color="auto"/>
              <w:bottom w:val="single" w:sz="6" w:space="0" w:color="BCBDBC"/>
              <w:right w:val="single" w:sz="6" w:space="0" w:color="auto"/>
            </w:tcBorders>
          </w:tcPr>
          <w:p w14:paraId="6F93F0F7" w14:textId="77777777" w:rsidR="001929CC" w:rsidRPr="005516BB" w:rsidRDefault="001929CC" w:rsidP="001929CC">
            <w:pPr>
              <w:pStyle w:val="TableText"/>
              <w:snapToGrid w:val="0"/>
              <w:rPr>
                <w:rFonts w:eastAsia="MS PGothic"/>
                <w:szCs w:val="17"/>
                <w:lang w:eastAsia="ja-JP"/>
              </w:rPr>
            </w:pPr>
          </w:p>
        </w:tc>
      </w:tr>
      <w:tr w:rsidR="001929CC" w:rsidRPr="005516BB" w14:paraId="23DD76B4" w14:textId="77777777" w:rsidTr="001929CC">
        <w:trPr>
          <w:trHeight w:val="283"/>
        </w:trPr>
        <w:tc>
          <w:tcPr>
            <w:tcW w:w="558" w:type="dxa"/>
            <w:tcBorders>
              <w:left w:val="nil"/>
              <w:right w:val="single" w:sz="6" w:space="0" w:color="auto"/>
            </w:tcBorders>
          </w:tcPr>
          <w:p w14:paraId="4C110A67" w14:textId="77777777" w:rsidR="001929CC" w:rsidRPr="005516BB" w:rsidRDefault="001929CC" w:rsidP="001929CC">
            <w:pPr>
              <w:pStyle w:val="TableText"/>
              <w:snapToGrid w:val="0"/>
              <w:rPr>
                <w:rFonts w:cs="Segoe UI"/>
                <w:szCs w:val="17"/>
                <w:lang w:eastAsia="en-GB"/>
              </w:rPr>
            </w:pPr>
            <w:r w:rsidRPr="005516BB">
              <w:rPr>
                <w:szCs w:val="17"/>
              </w:rPr>
              <w:t>6</w:t>
            </w:r>
          </w:p>
        </w:tc>
        <w:tc>
          <w:tcPr>
            <w:tcW w:w="4395" w:type="dxa"/>
            <w:tcBorders>
              <w:left w:val="nil"/>
              <w:right w:val="single" w:sz="6" w:space="0" w:color="auto"/>
            </w:tcBorders>
            <w:noWrap/>
          </w:tcPr>
          <w:p w14:paraId="44C8E14B" w14:textId="77777777" w:rsidR="001929CC" w:rsidRPr="005516BB" w:rsidRDefault="001929CC" w:rsidP="001929CC">
            <w:pPr>
              <w:pStyle w:val="TableText"/>
              <w:snapToGrid w:val="0"/>
              <w:jc w:val="center"/>
              <w:rPr>
                <w:rFonts w:cs="Segoe UI"/>
                <w:szCs w:val="17"/>
                <w:lang w:eastAsia="en-GB"/>
              </w:rPr>
            </w:pPr>
            <w:r w:rsidRPr="005516BB">
              <w:rPr>
                <w:szCs w:val="17"/>
              </w:rPr>
              <w:t>105-130%</w:t>
            </w:r>
          </w:p>
        </w:tc>
        <w:tc>
          <w:tcPr>
            <w:tcW w:w="2303" w:type="dxa"/>
            <w:tcBorders>
              <w:top w:val="single" w:sz="6" w:space="0" w:color="BCBDBC"/>
              <w:left w:val="single" w:sz="6" w:space="0" w:color="auto"/>
              <w:bottom w:val="single" w:sz="6" w:space="0" w:color="BCBDBC"/>
              <w:right w:val="single" w:sz="6" w:space="0" w:color="auto"/>
            </w:tcBorders>
            <w:noWrap/>
            <w:vAlign w:val="center"/>
          </w:tcPr>
          <w:p w14:paraId="6977C5D9"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32EDFA3D"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6EA5B8EB" w14:textId="77777777" w:rsidR="001929CC" w:rsidRPr="005516BB" w:rsidRDefault="001929CC" w:rsidP="001929CC">
            <w:pPr>
              <w:pStyle w:val="TableText"/>
              <w:snapToGrid w:val="0"/>
              <w:rPr>
                <w:rFonts w:eastAsia="MS PGothic"/>
                <w:szCs w:val="17"/>
                <w:lang w:eastAsia="ja-JP"/>
              </w:rPr>
            </w:pPr>
          </w:p>
        </w:tc>
        <w:tc>
          <w:tcPr>
            <w:tcW w:w="2304" w:type="dxa"/>
            <w:tcBorders>
              <w:top w:val="single" w:sz="6" w:space="0" w:color="BCBDBC"/>
              <w:left w:val="single" w:sz="6" w:space="0" w:color="auto"/>
              <w:bottom w:val="single" w:sz="6" w:space="0" w:color="BCBDBC"/>
              <w:right w:val="single" w:sz="6" w:space="0" w:color="auto"/>
            </w:tcBorders>
          </w:tcPr>
          <w:p w14:paraId="66B40981" w14:textId="77777777" w:rsidR="001929CC" w:rsidRPr="005516BB" w:rsidRDefault="001929CC" w:rsidP="001929CC">
            <w:pPr>
              <w:pStyle w:val="TableText"/>
              <w:snapToGrid w:val="0"/>
              <w:rPr>
                <w:rFonts w:eastAsia="MS PGothic"/>
                <w:szCs w:val="17"/>
                <w:lang w:eastAsia="ja-JP"/>
              </w:rPr>
            </w:pPr>
          </w:p>
        </w:tc>
      </w:tr>
      <w:tr w:rsidR="001929CC" w:rsidRPr="005516BB" w14:paraId="7EC66A57" w14:textId="77777777" w:rsidTr="001929CC">
        <w:trPr>
          <w:trHeight w:val="283"/>
        </w:trPr>
        <w:tc>
          <w:tcPr>
            <w:tcW w:w="558" w:type="dxa"/>
            <w:tcBorders>
              <w:left w:val="nil"/>
              <w:right w:val="single" w:sz="6" w:space="0" w:color="auto"/>
            </w:tcBorders>
          </w:tcPr>
          <w:p w14:paraId="021F8CE5" w14:textId="77777777" w:rsidR="001929CC" w:rsidRPr="005516BB" w:rsidRDefault="001929CC" w:rsidP="001929CC">
            <w:pPr>
              <w:pStyle w:val="TableText"/>
              <w:snapToGrid w:val="0"/>
              <w:rPr>
                <w:rFonts w:cs="Segoe UI"/>
                <w:szCs w:val="17"/>
                <w:lang w:eastAsia="en-GB"/>
              </w:rPr>
            </w:pPr>
            <w:r w:rsidRPr="005516BB">
              <w:rPr>
                <w:szCs w:val="17"/>
              </w:rPr>
              <w:t>7</w:t>
            </w:r>
          </w:p>
        </w:tc>
        <w:tc>
          <w:tcPr>
            <w:tcW w:w="4395" w:type="dxa"/>
            <w:tcBorders>
              <w:left w:val="nil"/>
              <w:right w:val="single" w:sz="6" w:space="0" w:color="auto"/>
            </w:tcBorders>
            <w:noWrap/>
          </w:tcPr>
          <w:p w14:paraId="0F6CD4D5" w14:textId="77777777" w:rsidR="001929CC" w:rsidRPr="005516BB" w:rsidRDefault="001929CC" w:rsidP="001929CC">
            <w:pPr>
              <w:pStyle w:val="TableText"/>
              <w:snapToGrid w:val="0"/>
              <w:jc w:val="center"/>
              <w:rPr>
                <w:rFonts w:cs="Segoe UI"/>
                <w:szCs w:val="17"/>
                <w:lang w:eastAsia="en-GB"/>
              </w:rPr>
            </w:pPr>
            <w:r w:rsidRPr="005516BB">
              <w:rPr>
                <w:szCs w:val="17"/>
              </w:rPr>
              <w:t>150%</w:t>
            </w:r>
          </w:p>
        </w:tc>
        <w:tc>
          <w:tcPr>
            <w:tcW w:w="2303" w:type="dxa"/>
            <w:tcBorders>
              <w:top w:val="single" w:sz="6" w:space="0" w:color="BCBDBC"/>
              <w:left w:val="single" w:sz="6" w:space="0" w:color="auto"/>
              <w:bottom w:val="single" w:sz="6" w:space="0" w:color="BCBDBC"/>
              <w:right w:val="single" w:sz="6" w:space="0" w:color="auto"/>
            </w:tcBorders>
            <w:noWrap/>
            <w:vAlign w:val="center"/>
          </w:tcPr>
          <w:p w14:paraId="5D2DA63A"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3B4EEE6A"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5E1D2F33" w14:textId="77777777" w:rsidR="001929CC" w:rsidRPr="005516BB" w:rsidRDefault="001929CC" w:rsidP="001929CC">
            <w:pPr>
              <w:pStyle w:val="TableText"/>
              <w:snapToGrid w:val="0"/>
              <w:rPr>
                <w:rFonts w:eastAsia="MS PGothic"/>
                <w:szCs w:val="17"/>
                <w:lang w:eastAsia="ja-JP"/>
              </w:rPr>
            </w:pPr>
          </w:p>
        </w:tc>
        <w:tc>
          <w:tcPr>
            <w:tcW w:w="2304" w:type="dxa"/>
            <w:tcBorders>
              <w:top w:val="single" w:sz="6" w:space="0" w:color="BCBDBC"/>
              <w:left w:val="single" w:sz="6" w:space="0" w:color="auto"/>
              <w:bottom w:val="single" w:sz="6" w:space="0" w:color="BCBDBC"/>
              <w:right w:val="single" w:sz="6" w:space="0" w:color="auto"/>
            </w:tcBorders>
          </w:tcPr>
          <w:p w14:paraId="20A89770" w14:textId="77777777" w:rsidR="001929CC" w:rsidRPr="005516BB" w:rsidRDefault="001929CC" w:rsidP="001929CC">
            <w:pPr>
              <w:pStyle w:val="TableText"/>
              <w:snapToGrid w:val="0"/>
              <w:rPr>
                <w:rFonts w:eastAsia="MS PGothic"/>
                <w:szCs w:val="17"/>
                <w:lang w:eastAsia="ja-JP"/>
              </w:rPr>
            </w:pPr>
          </w:p>
        </w:tc>
      </w:tr>
      <w:tr w:rsidR="001929CC" w:rsidRPr="005516BB" w14:paraId="6B2D5C62" w14:textId="77777777" w:rsidTr="001929CC">
        <w:trPr>
          <w:trHeight w:val="283"/>
        </w:trPr>
        <w:tc>
          <w:tcPr>
            <w:tcW w:w="558" w:type="dxa"/>
            <w:tcBorders>
              <w:left w:val="nil"/>
              <w:right w:val="single" w:sz="6" w:space="0" w:color="auto"/>
            </w:tcBorders>
          </w:tcPr>
          <w:p w14:paraId="1CEA96D3" w14:textId="77777777" w:rsidR="001929CC" w:rsidRPr="005516BB" w:rsidRDefault="001929CC" w:rsidP="001929CC">
            <w:pPr>
              <w:pStyle w:val="TableText"/>
              <w:snapToGrid w:val="0"/>
              <w:rPr>
                <w:rFonts w:cs="Segoe UI"/>
                <w:szCs w:val="17"/>
                <w:lang w:eastAsia="en-GB"/>
              </w:rPr>
            </w:pPr>
            <w:r w:rsidRPr="005516BB">
              <w:rPr>
                <w:szCs w:val="17"/>
              </w:rPr>
              <w:t>8</w:t>
            </w:r>
          </w:p>
        </w:tc>
        <w:tc>
          <w:tcPr>
            <w:tcW w:w="4395" w:type="dxa"/>
            <w:tcBorders>
              <w:left w:val="nil"/>
              <w:right w:val="single" w:sz="6" w:space="0" w:color="auto"/>
            </w:tcBorders>
            <w:noWrap/>
          </w:tcPr>
          <w:p w14:paraId="6EA8E302" w14:textId="77777777" w:rsidR="001929CC" w:rsidRPr="005516BB" w:rsidRDefault="001929CC" w:rsidP="001929CC">
            <w:pPr>
              <w:pStyle w:val="TableText"/>
              <w:snapToGrid w:val="0"/>
              <w:jc w:val="center"/>
              <w:rPr>
                <w:rFonts w:cs="Segoe UI"/>
                <w:szCs w:val="17"/>
                <w:lang w:eastAsia="en-GB"/>
              </w:rPr>
            </w:pPr>
            <w:r w:rsidRPr="005516BB">
              <w:rPr>
                <w:szCs w:val="17"/>
              </w:rPr>
              <w:t>250%</w:t>
            </w:r>
          </w:p>
        </w:tc>
        <w:tc>
          <w:tcPr>
            <w:tcW w:w="2303" w:type="dxa"/>
            <w:tcBorders>
              <w:top w:val="single" w:sz="6" w:space="0" w:color="BCBDBC"/>
              <w:left w:val="single" w:sz="6" w:space="0" w:color="auto"/>
              <w:bottom w:val="single" w:sz="6" w:space="0" w:color="BCBDBC"/>
              <w:right w:val="single" w:sz="6" w:space="0" w:color="auto"/>
            </w:tcBorders>
            <w:noWrap/>
            <w:vAlign w:val="center"/>
          </w:tcPr>
          <w:p w14:paraId="6019B312"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54F79061"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386AC715" w14:textId="77777777" w:rsidR="001929CC" w:rsidRPr="005516BB" w:rsidRDefault="001929CC" w:rsidP="001929CC">
            <w:pPr>
              <w:pStyle w:val="TableText"/>
              <w:snapToGrid w:val="0"/>
              <w:rPr>
                <w:rFonts w:eastAsia="MS PGothic"/>
                <w:szCs w:val="17"/>
                <w:lang w:eastAsia="ja-JP"/>
              </w:rPr>
            </w:pPr>
          </w:p>
        </w:tc>
        <w:tc>
          <w:tcPr>
            <w:tcW w:w="2304" w:type="dxa"/>
            <w:tcBorders>
              <w:top w:val="single" w:sz="6" w:space="0" w:color="BCBDBC"/>
              <w:left w:val="single" w:sz="6" w:space="0" w:color="auto"/>
              <w:bottom w:val="single" w:sz="6" w:space="0" w:color="BCBDBC"/>
              <w:right w:val="single" w:sz="6" w:space="0" w:color="auto"/>
            </w:tcBorders>
          </w:tcPr>
          <w:p w14:paraId="73645568" w14:textId="77777777" w:rsidR="001929CC" w:rsidRPr="005516BB" w:rsidRDefault="001929CC" w:rsidP="001929CC">
            <w:pPr>
              <w:pStyle w:val="TableText"/>
              <w:snapToGrid w:val="0"/>
              <w:rPr>
                <w:rFonts w:eastAsia="MS PGothic"/>
                <w:szCs w:val="17"/>
                <w:lang w:eastAsia="ja-JP"/>
              </w:rPr>
            </w:pPr>
          </w:p>
        </w:tc>
      </w:tr>
      <w:tr w:rsidR="001929CC" w:rsidRPr="005516BB" w14:paraId="380C2B5C" w14:textId="77777777" w:rsidTr="001929CC">
        <w:trPr>
          <w:trHeight w:val="283"/>
        </w:trPr>
        <w:tc>
          <w:tcPr>
            <w:tcW w:w="558" w:type="dxa"/>
            <w:tcBorders>
              <w:left w:val="nil"/>
              <w:right w:val="single" w:sz="6" w:space="0" w:color="auto"/>
            </w:tcBorders>
          </w:tcPr>
          <w:p w14:paraId="463E0121" w14:textId="77777777" w:rsidR="001929CC" w:rsidRPr="005516BB" w:rsidRDefault="001929CC" w:rsidP="001929CC">
            <w:pPr>
              <w:pStyle w:val="TableText"/>
              <w:snapToGrid w:val="0"/>
              <w:rPr>
                <w:rFonts w:cs="Segoe UI"/>
                <w:szCs w:val="17"/>
                <w:lang w:eastAsia="en-GB"/>
              </w:rPr>
            </w:pPr>
            <w:r w:rsidRPr="005516BB">
              <w:rPr>
                <w:szCs w:val="17"/>
              </w:rPr>
              <w:t>9</w:t>
            </w:r>
          </w:p>
        </w:tc>
        <w:tc>
          <w:tcPr>
            <w:tcW w:w="4395" w:type="dxa"/>
            <w:tcBorders>
              <w:left w:val="nil"/>
              <w:right w:val="single" w:sz="6" w:space="0" w:color="auto"/>
            </w:tcBorders>
            <w:noWrap/>
          </w:tcPr>
          <w:p w14:paraId="53BE2D9F" w14:textId="77777777" w:rsidR="001929CC" w:rsidRPr="005516BB" w:rsidRDefault="001929CC" w:rsidP="001929CC">
            <w:pPr>
              <w:pStyle w:val="TableText"/>
              <w:snapToGrid w:val="0"/>
              <w:jc w:val="center"/>
              <w:rPr>
                <w:rFonts w:cs="Segoe UI"/>
                <w:szCs w:val="17"/>
                <w:lang w:eastAsia="en-GB"/>
              </w:rPr>
            </w:pPr>
            <w:r w:rsidRPr="005516BB">
              <w:rPr>
                <w:szCs w:val="17"/>
              </w:rPr>
              <w:t>400%</w:t>
            </w:r>
          </w:p>
        </w:tc>
        <w:tc>
          <w:tcPr>
            <w:tcW w:w="2303" w:type="dxa"/>
            <w:tcBorders>
              <w:top w:val="single" w:sz="6" w:space="0" w:color="BCBDBC"/>
              <w:left w:val="single" w:sz="6" w:space="0" w:color="auto"/>
              <w:bottom w:val="single" w:sz="6" w:space="0" w:color="BCBDBC"/>
              <w:right w:val="single" w:sz="6" w:space="0" w:color="auto"/>
            </w:tcBorders>
            <w:noWrap/>
            <w:vAlign w:val="center"/>
          </w:tcPr>
          <w:p w14:paraId="41E91669"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260D9855"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7299B4B7" w14:textId="77777777" w:rsidR="001929CC" w:rsidRPr="005516BB" w:rsidRDefault="001929CC" w:rsidP="001929CC">
            <w:pPr>
              <w:pStyle w:val="TableText"/>
              <w:snapToGrid w:val="0"/>
              <w:rPr>
                <w:rFonts w:eastAsia="MS PGothic"/>
                <w:szCs w:val="17"/>
                <w:lang w:eastAsia="ja-JP"/>
              </w:rPr>
            </w:pPr>
          </w:p>
        </w:tc>
        <w:tc>
          <w:tcPr>
            <w:tcW w:w="2304" w:type="dxa"/>
            <w:tcBorders>
              <w:top w:val="single" w:sz="6" w:space="0" w:color="BCBDBC"/>
              <w:left w:val="single" w:sz="6" w:space="0" w:color="auto"/>
              <w:bottom w:val="single" w:sz="6" w:space="0" w:color="BCBDBC"/>
              <w:right w:val="single" w:sz="6" w:space="0" w:color="auto"/>
            </w:tcBorders>
          </w:tcPr>
          <w:p w14:paraId="0DB6C765" w14:textId="77777777" w:rsidR="001929CC" w:rsidRPr="005516BB" w:rsidRDefault="001929CC" w:rsidP="001929CC">
            <w:pPr>
              <w:pStyle w:val="TableText"/>
              <w:snapToGrid w:val="0"/>
              <w:rPr>
                <w:rFonts w:eastAsia="MS PGothic"/>
                <w:szCs w:val="17"/>
                <w:lang w:eastAsia="ja-JP"/>
              </w:rPr>
            </w:pPr>
          </w:p>
        </w:tc>
      </w:tr>
      <w:tr w:rsidR="001929CC" w:rsidRPr="005516BB" w14:paraId="0D7124CD" w14:textId="77777777" w:rsidTr="001929CC">
        <w:trPr>
          <w:trHeight w:val="283"/>
        </w:trPr>
        <w:tc>
          <w:tcPr>
            <w:tcW w:w="558" w:type="dxa"/>
            <w:tcBorders>
              <w:left w:val="nil"/>
              <w:right w:val="single" w:sz="6" w:space="0" w:color="auto"/>
            </w:tcBorders>
          </w:tcPr>
          <w:p w14:paraId="45E82EB4" w14:textId="77777777" w:rsidR="001929CC" w:rsidRPr="005516BB" w:rsidRDefault="001929CC" w:rsidP="001929CC">
            <w:pPr>
              <w:pStyle w:val="TableText"/>
              <w:snapToGrid w:val="0"/>
              <w:rPr>
                <w:szCs w:val="17"/>
              </w:rPr>
            </w:pPr>
            <w:r w:rsidRPr="005516BB">
              <w:rPr>
                <w:rFonts w:cs="Segoe UI"/>
                <w:szCs w:val="17"/>
                <w:lang w:eastAsia="en-GB"/>
              </w:rPr>
              <w:t>10</w:t>
            </w:r>
          </w:p>
        </w:tc>
        <w:tc>
          <w:tcPr>
            <w:tcW w:w="4395" w:type="dxa"/>
            <w:tcBorders>
              <w:left w:val="nil"/>
              <w:right w:val="single" w:sz="6" w:space="0" w:color="auto"/>
            </w:tcBorders>
            <w:noWrap/>
          </w:tcPr>
          <w:p w14:paraId="775497C3" w14:textId="77777777" w:rsidR="001929CC" w:rsidRPr="005516BB" w:rsidRDefault="001929CC" w:rsidP="001929CC">
            <w:pPr>
              <w:pStyle w:val="TableText"/>
              <w:snapToGrid w:val="0"/>
              <w:jc w:val="center"/>
              <w:rPr>
                <w:szCs w:val="17"/>
              </w:rPr>
            </w:pPr>
            <w:r w:rsidRPr="005516BB">
              <w:rPr>
                <w:rFonts w:cs="Segoe UI"/>
                <w:szCs w:val="17"/>
                <w:lang w:eastAsia="en-GB"/>
              </w:rPr>
              <w:t>1,250%</w:t>
            </w:r>
          </w:p>
        </w:tc>
        <w:tc>
          <w:tcPr>
            <w:tcW w:w="2303" w:type="dxa"/>
            <w:tcBorders>
              <w:top w:val="single" w:sz="6" w:space="0" w:color="BCBDBC"/>
              <w:left w:val="single" w:sz="6" w:space="0" w:color="auto"/>
              <w:bottom w:val="single" w:sz="6" w:space="0" w:color="BCBDBC"/>
              <w:right w:val="single" w:sz="6" w:space="0" w:color="auto"/>
            </w:tcBorders>
            <w:noWrap/>
            <w:vAlign w:val="center"/>
          </w:tcPr>
          <w:p w14:paraId="034F1505"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0BE619FD"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157FC918" w14:textId="77777777" w:rsidR="001929CC" w:rsidRPr="005516BB" w:rsidRDefault="001929CC" w:rsidP="001929CC">
            <w:pPr>
              <w:pStyle w:val="TableText"/>
              <w:snapToGrid w:val="0"/>
              <w:rPr>
                <w:rFonts w:eastAsia="MS PGothic"/>
                <w:szCs w:val="17"/>
                <w:lang w:eastAsia="ja-JP"/>
              </w:rPr>
            </w:pPr>
          </w:p>
        </w:tc>
        <w:tc>
          <w:tcPr>
            <w:tcW w:w="2304" w:type="dxa"/>
            <w:tcBorders>
              <w:top w:val="single" w:sz="6" w:space="0" w:color="BCBDBC"/>
              <w:left w:val="single" w:sz="6" w:space="0" w:color="auto"/>
              <w:bottom w:val="single" w:sz="6" w:space="0" w:color="BCBDBC"/>
              <w:right w:val="single" w:sz="6" w:space="0" w:color="auto"/>
            </w:tcBorders>
          </w:tcPr>
          <w:p w14:paraId="62526171" w14:textId="77777777" w:rsidR="001929CC" w:rsidRPr="005516BB" w:rsidRDefault="001929CC" w:rsidP="001929CC">
            <w:pPr>
              <w:pStyle w:val="TableText"/>
              <w:snapToGrid w:val="0"/>
              <w:rPr>
                <w:rFonts w:eastAsia="MS PGothic"/>
                <w:szCs w:val="17"/>
                <w:lang w:eastAsia="ja-JP"/>
              </w:rPr>
            </w:pPr>
          </w:p>
        </w:tc>
      </w:tr>
      <w:tr w:rsidR="001929CC" w:rsidRPr="005516BB" w14:paraId="403EC7D0" w14:textId="77777777" w:rsidTr="001929CC">
        <w:trPr>
          <w:trHeight w:val="283"/>
        </w:trPr>
        <w:tc>
          <w:tcPr>
            <w:tcW w:w="558" w:type="dxa"/>
            <w:tcBorders>
              <w:left w:val="nil"/>
              <w:bottom w:val="single" w:sz="4" w:space="0" w:color="auto"/>
              <w:right w:val="single" w:sz="6" w:space="0" w:color="auto"/>
            </w:tcBorders>
          </w:tcPr>
          <w:p w14:paraId="489D881E" w14:textId="77777777" w:rsidR="001929CC" w:rsidRPr="005516BB" w:rsidRDefault="001929CC" w:rsidP="001929CC">
            <w:pPr>
              <w:pStyle w:val="TableText"/>
              <w:snapToGrid w:val="0"/>
              <w:rPr>
                <w:szCs w:val="17"/>
              </w:rPr>
            </w:pPr>
            <w:r w:rsidRPr="005516BB">
              <w:rPr>
                <w:rFonts w:cs="Segoe UI"/>
                <w:szCs w:val="17"/>
                <w:lang w:eastAsia="en-GB"/>
              </w:rPr>
              <w:t>11</w:t>
            </w:r>
          </w:p>
        </w:tc>
        <w:tc>
          <w:tcPr>
            <w:tcW w:w="4395" w:type="dxa"/>
            <w:tcBorders>
              <w:left w:val="nil"/>
              <w:bottom w:val="single" w:sz="4" w:space="0" w:color="auto"/>
              <w:right w:val="single" w:sz="6" w:space="0" w:color="auto"/>
            </w:tcBorders>
            <w:noWrap/>
          </w:tcPr>
          <w:p w14:paraId="5E7BB0DA" w14:textId="77777777" w:rsidR="001929CC" w:rsidRPr="005516BB" w:rsidRDefault="001929CC" w:rsidP="001929CC">
            <w:pPr>
              <w:pStyle w:val="TableText"/>
              <w:snapToGrid w:val="0"/>
              <w:jc w:val="center"/>
              <w:rPr>
                <w:szCs w:val="17"/>
              </w:rPr>
            </w:pPr>
            <w:r w:rsidRPr="005516BB">
              <w:rPr>
                <w:rFonts w:cs="Segoe UI"/>
                <w:b/>
                <w:szCs w:val="17"/>
                <w:lang w:eastAsia="en-GB"/>
              </w:rPr>
              <w:t>Total exposures</w:t>
            </w:r>
          </w:p>
        </w:tc>
        <w:tc>
          <w:tcPr>
            <w:tcW w:w="2303" w:type="dxa"/>
            <w:tcBorders>
              <w:top w:val="single" w:sz="6" w:space="0" w:color="BCBDBC"/>
              <w:left w:val="single" w:sz="6" w:space="0" w:color="auto"/>
              <w:bottom w:val="single" w:sz="4" w:space="0" w:color="auto"/>
              <w:right w:val="single" w:sz="6" w:space="0" w:color="auto"/>
            </w:tcBorders>
            <w:noWrap/>
            <w:vAlign w:val="center"/>
          </w:tcPr>
          <w:p w14:paraId="4A3C7FC0"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BCBDBC"/>
              <w:left w:val="single" w:sz="6" w:space="0" w:color="auto"/>
              <w:bottom w:val="single" w:sz="4" w:space="0" w:color="auto"/>
              <w:right w:val="single" w:sz="6" w:space="0" w:color="auto"/>
            </w:tcBorders>
            <w:noWrap/>
            <w:vAlign w:val="center"/>
          </w:tcPr>
          <w:p w14:paraId="0DFDB973" w14:textId="77777777" w:rsidR="001929CC" w:rsidRPr="005516BB" w:rsidRDefault="001929CC" w:rsidP="001929CC">
            <w:pPr>
              <w:pStyle w:val="TableText"/>
              <w:snapToGrid w:val="0"/>
              <w:rPr>
                <w:rFonts w:eastAsia="MS PGothic"/>
                <w:szCs w:val="17"/>
                <w:lang w:eastAsia="ja-JP"/>
              </w:rPr>
            </w:pPr>
          </w:p>
        </w:tc>
        <w:tc>
          <w:tcPr>
            <w:tcW w:w="2303" w:type="dxa"/>
            <w:tcBorders>
              <w:top w:val="single" w:sz="6" w:space="0" w:color="BCBDBC"/>
              <w:left w:val="single" w:sz="6" w:space="0" w:color="auto"/>
              <w:bottom w:val="single" w:sz="4" w:space="0" w:color="auto"/>
              <w:right w:val="single" w:sz="6" w:space="0" w:color="auto"/>
            </w:tcBorders>
            <w:noWrap/>
            <w:vAlign w:val="center"/>
          </w:tcPr>
          <w:p w14:paraId="59C03C4E" w14:textId="77777777" w:rsidR="001929CC" w:rsidRPr="005516BB" w:rsidRDefault="001929CC" w:rsidP="001929CC">
            <w:pPr>
              <w:pStyle w:val="TableText"/>
              <w:snapToGrid w:val="0"/>
              <w:rPr>
                <w:rFonts w:eastAsia="MS PGothic"/>
                <w:szCs w:val="17"/>
                <w:lang w:eastAsia="ja-JP"/>
              </w:rPr>
            </w:pPr>
          </w:p>
        </w:tc>
        <w:tc>
          <w:tcPr>
            <w:tcW w:w="2304" w:type="dxa"/>
            <w:tcBorders>
              <w:top w:val="single" w:sz="6" w:space="0" w:color="BCBDBC"/>
              <w:left w:val="single" w:sz="6" w:space="0" w:color="auto"/>
              <w:bottom w:val="single" w:sz="4" w:space="0" w:color="auto"/>
              <w:right w:val="single" w:sz="6" w:space="0" w:color="auto"/>
            </w:tcBorders>
          </w:tcPr>
          <w:p w14:paraId="3ED659C6" w14:textId="77777777" w:rsidR="001929CC" w:rsidRPr="005516BB" w:rsidRDefault="001929CC" w:rsidP="001929CC">
            <w:pPr>
              <w:pStyle w:val="TableText"/>
              <w:snapToGrid w:val="0"/>
              <w:rPr>
                <w:rFonts w:eastAsia="MS PGothic"/>
                <w:szCs w:val="17"/>
                <w:lang w:eastAsia="ja-JP"/>
              </w:rPr>
            </w:pPr>
          </w:p>
        </w:tc>
      </w:tr>
      <w:tr w:rsidR="001929CC" w:rsidRPr="005516BB" w14:paraId="03D5542E" w14:textId="77777777" w:rsidTr="001929CC">
        <w:trPr>
          <w:trHeight w:val="283"/>
        </w:trPr>
        <w:tc>
          <w:tcPr>
            <w:tcW w:w="14166" w:type="dxa"/>
            <w:gridSpan w:val="6"/>
            <w:tcBorders>
              <w:top w:val="single" w:sz="4" w:space="0" w:color="auto"/>
              <w:left w:val="nil"/>
              <w:bottom w:val="single" w:sz="4" w:space="0" w:color="auto"/>
              <w:right w:val="single" w:sz="6" w:space="0" w:color="auto"/>
            </w:tcBorders>
          </w:tcPr>
          <w:p w14:paraId="438449F5" w14:textId="7DA1E507" w:rsidR="001929CC" w:rsidRPr="005516BB" w:rsidRDefault="001929CC" w:rsidP="001929CC">
            <w:pPr>
              <w:keepLines/>
              <w:tabs>
                <w:tab w:val="left" w:pos="397"/>
                <w:tab w:val="left" w:pos="794"/>
                <w:tab w:val="left" w:pos="1191"/>
              </w:tabs>
              <w:snapToGrid w:val="0"/>
              <w:spacing w:before="20" w:after="20"/>
              <w:rPr>
                <w:rFonts w:cs="Segoe UI"/>
                <w:i/>
                <w:sz w:val="17"/>
                <w:szCs w:val="17"/>
                <w:lang w:eastAsia="en-GB"/>
              </w:rPr>
            </w:pPr>
            <w:r w:rsidRPr="005516BB">
              <w:rPr>
                <w:rFonts w:cs="Segoe UI"/>
                <w:i/>
                <w:sz w:val="17"/>
                <w:szCs w:val="17"/>
                <w:lang w:eastAsia="en-GB"/>
              </w:rPr>
              <w:t>Point</w:t>
            </w:r>
            <w:r w:rsidR="00E279E9">
              <w:rPr>
                <w:rFonts w:cs="Segoe UI"/>
                <w:i/>
                <w:sz w:val="17"/>
                <w:szCs w:val="17"/>
                <w:lang w:eastAsia="en-GB"/>
              </w:rPr>
              <w:t>s</w:t>
            </w:r>
            <w:r w:rsidRPr="005516BB">
              <w:rPr>
                <w:rFonts w:cs="Segoe UI"/>
                <w:i/>
                <w:sz w:val="17"/>
                <w:szCs w:val="17"/>
                <w:lang w:eastAsia="en-GB"/>
              </w:rPr>
              <w:t xml:space="preserve"> to note:</w:t>
            </w:r>
          </w:p>
          <w:p w14:paraId="45161C36" w14:textId="77777777" w:rsidR="001929CC" w:rsidRDefault="001929CC" w:rsidP="001929CC">
            <w:pPr>
              <w:pStyle w:val="TableText"/>
              <w:snapToGrid w:val="0"/>
              <w:rPr>
                <w:rFonts w:cs="Segoe UI"/>
                <w:szCs w:val="17"/>
                <w:lang w:eastAsia="en-GB"/>
              </w:rPr>
            </w:pPr>
            <w:r w:rsidRPr="003F57C5">
              <w:rPr>
                <w:rFonts w:cs="Segoe UI"/>
                <w:szCs w:val="17"/>
                <w:lang w:eastAsia="en-GB"/>
              </w:rPr>
              <w:t># An AI should add additional rows for the applicable risk weights that are not listed in the table, if any.</w:t>
            </w:r>
          </w:p>
          <w:p w14:paraId="7C452625" w14:textId="77777777" w:rsidR="001929CC" w:rsidRPr="005516BB" w:rsidRDefault="001929CC" w:rsidP="001929CC">
            <w:pPr>
              <w:pStyle w:val="TableText"/>
              <w:snapToGrid w:val="0"/>
              <w:rPr>
                <w:rFonts w:eastAsia="MS PGothic"/>
                <w:szCs w:val="17"/>
                <w:lang w:eastAsia="ja-JP"/>
              </w:rPr>
            </w:pPr>
            <w:r w:rsidRPr="005516BB">
              <w:rPr>
                <w:rFonts w:cs="Segoe UI"/>
                <w:szCs w:val="17"/>
                <w:lang w:eastAsia="en-GB"/>
              </w:rPr>
              <w:t>* Weighting is based on off-balance sheet exposure (pre-CCF).</w:t>
            </w:r>
          </w:p>
        </w:tc>
      </w:tr>
    </w:tbl>
    <w:p w14:paraId="2A0B0A35" w14:textId="77777777" w:rsidR="001929CC" w:rsidRDefault="001929CC" w:rsidP="001929CC">
      <w:pPr>
        <w:spacing w:before="40" w:after="40"/>
        <w:rPr>
          <w:u w:val="single"/>
        </w:rPr>
      </w:pPr>
    </w:p>
    <w:p w14:paraId="04934E27" w14:textId="77777777" w:rsidR="001929CC" w:rsidRDefault="001929CC" w:rsidP="001929CC">
      <w:pPr>
        <w:spacing w:before="40" w:after="40"/>
        <w:rPr>
          <w:u w:val="single"/>
        </w:rPr>
      </w:pPr>
    </w:p>
    <w:p w14:paraId="2229D8CE" w14:textId="77777777" w:rsidR="001929CC" w:rsidRDefault="001929CC" w:rsidP="001929CC">
      <w:pPr>
        <w:spacing w:before="40" w:after="40"/>
        <w:rPr>
          <w:u w:val="single"/>
        </w:rPr>
      </w:pPr>
      <w:r>
        <w:rPr>
          <w:u w:val="single"/>
        </w:rPr>
        <w:br w:type="page"/>
      </w:r>
      <w:r>
        <w:rPr>
          <w:u w:val="single"/>
        </w:rPr>
        <w:lastRenderedPageBreak/>
        <w:t>Version for AIs using BSC approach (“BSC version”)</w:t>
      </w:r>
    </w:p>
    <w:p w14:paraId="69AAA145" w14:textId="77777777" w:rsidR="001929CC" w:rsidRDefault="001929CC" w:rsidP="001929CC">
      <w:pPr>
        <w:spacing w:before="40" w:after="40"/>
        <w:rPr>
          <w:u w:val="single"/>
        </w:rPr>
      </w:pPr>
    </w:p>
    <w:tbl>
      <w:tblPr>
        <w:tblW w:w="14166"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7"/>
        <w:gridCol w:w="312"/>
        <w:gridCol w:w="3907"/>
        <w:gridCol w:w="1108"/>
        <w:gridCol w:w="1108"/>
        <w:gridCol w:w="554"/>
        <w:gridCol w:w="555"/>
        <w:gridCol w:w="1108"/>
        <w:gridCol w:w="1939"/>
        <w:gridCol w:w="3055"/>
        <w:gridCol w:w="63"/>
      </w:tblGrid>
      <w:tr w:rsidR="001929CC" w:rsidRPr="0085293F" w14:paraId="6CB0A1C2" w14:textId="77777777" w:rsidTr="001929CC">
        <w:trPr>
          <w:gridAfter w:val="1"/>
          <w:wAfter w:w="63" w:type="dxa"/>
          <w:trHeight w:val="283"/>
        </w:trPr>
        <w:tc>
          <w:tcPr>
            <w:tcW w:w="457" w:type="dxa"/>
            <w:tcBorders>
              <w:top w:val="single" w:sz="4" w:space="0" w:color="auto"/>
              <w:left w:val="nil"/>
              <w:bottom w:val="nil"/>
              <w:right w:val="single" w:sz="4" w:space="0" w:color="auto"/>
            </w:tcBorders>
          </w:tcPr>
          <w:p w14:paraId="51F9BE64" w14:textId="77777777" w:rsidR="001929CC" w:rsidRPr="0085293F" w:rsidRDefault="001929CC" w:rsidP="001929CC">
            <w:pPr>
              <w:pStyle w:val="TableText"/>
              <w:rPr>
                <w:rFonts w:cs="Segoe UI"/>
                <w:szCs w:val="17"/>
                <w:lang w:eastAsia="en-GB"/>
              </w:rPr>
            </w:pPr>
            <w:r w:rsidRPr="0085293F">
              <w:rPr>
                <w:rFonts w:cs="Segoe UI"/>
                <w:szCs w:val="17"/>
              </w:rPr>
              <w:br w:type="page"/>
            </w:r>
          </w:p>
        </w:tc>
        <w:tc>
          <w:tcPr>
            <w:tcW w:w="4219" w:type="dxa"/>
            <w:gridSpan w:val="2"/>
            <w:tcBorders>
              <w:top w:val="single" w:sz="4" w:space="0" w:color="auto"/>
              <w:left w:val="single" w:sz="4" w:space="0" w:color="auto"/>
              <w:bottom w:val="single" w:sz="4" w:space="0" w:color="auto"/>
              <w:right w:val="single" w:sz="4" w:space="0" w:color="auto"/>
            </w:tcBorders>
            <w:noWrap/>
          </w:tcPr>
          <w:p w14:paraId="7509D280" w14:textId="77777777" w:rsidR="001929CC" w:rsidRPr="0085293F" w:rsidRDefault="001929CC" w:rsidP="001929CC">
            <w:pPr>
              <w:pStyle w:val="TableText"/>
              <w:rPr>
                <w:rFonts w:cs="Segoe UI"/>
                <w:szCs w:val="17"/>
                <w:lang w:eastAsia="en-GB"/>
              </w:rPr>
            </w:pPr>
          </w:p>
        </w:tc>
        <w:tc>
          <w:tcPr>
            <w:tcW w:w="1108" w:type="dxa"/>
            <w:tcBorders>
              <w:top w:val="single" w:sz="4" w:space="0" w:color="auto"/>
              <w:left w:val="single" w:sz="4" w:space="0" w:color="auto"/>
              <w:bottom w:val="single" w:sz="4" w:space="0" w:color="auto"/>
              <w:right w:val="single" w:sz="4" w:space="0" w:color="auto"/>
            </w:tcBorders>
            <w:noWrap/>
            <w:vAlign w:val="center"/>
            <w:hideMark/>
          </w:tcPr>
          <w:p w14:paraId="14DD5FFB"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0%</w:t>
            </w:r>
          </w:p>
        </w:tc>
        <w:tc>
          <w:tcPr>
            <w:tcW w:w="1108" w:type="dxa"/>
            <w:tcBorders>
              <w:top w:val="single" w:sz="4" w:space="0" w:color="auto"/>
              <w:left w:val="single" w:sz="4" w:space="0" w:color="auto"/>
              <w:bottom w:val="single" w:sz="4" w:space="0" w:color="auto"/>
              <w:right w:val="single" w:sz="4" w:space="0" w:color="auto"/>
            </w:tcBorders>
            <w:vAlign w:val="center"/>
          </w:tcPr>
          <w:p w14:paraId="0BB7CDD2" w14:textId="77777777" w:rsidR="001929CC" w:rsidRPr="007D7F3B" w:rsidRDefault="001929CC" w:rsidP="001929CC">
            <w:pPr>
              <w:pStyle w:val="TableText"/>
              <w:jc w:val="center"/>
              <w:rPr>
                <w:rFonts w:eastAsia="MS PGothic" w:cs="Segoe UI"/>
                <w:szCs w:val="17"/>
                <w:lang w:eastAsia="ja-JP"/>
              </w:rPr>
            </w:pPr>
            <w:r w:rsidRPr="002B6637">
              <w:rPr>
                <w:rFonts w:eastAsia="MS PGothic" w:cs="Segoe UI"/>
                <w:szCs w:val="17"/>
                <w:lang w:eastAsia="ja-JP"/>
              </w:rPr>
              <w:t>10%</w:t>
            </w:r>
          </w:p>
        </w:tc>
        <w:tc>
          <w:tcPr>
            <w:tcW w:w="1109" w:type="dxa"/>
            <w:gridSpan w:val="2"/>
            <w:tcBorders>
              <w:top w:val="single" w:sz="4" w:space="0" w:color="auto"/>
              <w:left w:val="single" w:sz="4" w:space="0" w:color="auto"/>
              <w:bottom w:val="single" w:sz="4" w:space="0" w:color="auto"/>
              <w:right w:val="single" w:sz="4" w:space="0" w:color="auto"/>
            </w:tcBorders>
            <w:noWrap/>
            <w:vAlign w:val="center"/>
            <w:hideMark/>
          </w:tcPr>
          <w:p w14:paraId="255F9628"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20%</w:t>
            </w:r>
          </w:p>
        </w:tc>
        <w:tc>
          <w:tcPr>
            <w:tcW w:w="1108" w:type="dxa"/>
            <w:tcBorders>
              <w:top w:val="single" w:sz="4" w:space="0" w:color="auto"/>
              <w:left w:val="single" w:sz="4" w:space="0" w:color="auto"/>
              <w:bottom w:val="single" w:sz="4" w:space="0" w:color="auto"/>
              <w:right w:val="single" w:sz="4" w:space="0" w:color="auto"/>
            </w:tcBorders>
            <w:vAlign w:val="center"/>
            <w:hideMark/>
          </w:tcPr>
          <w:p w14:paraId="5F103E18"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100%</w:t>
            </w:r>
          </w:p>
        </w:tc>
        <w:tc>
          <w:tcPr>
            <w:tcW w:w="1939" w:type="dxa"/>
            <w:tcBorders>
              <w:top w:val="single" w:sz="4" w:space="0" w:color="auto"/>
              <w:left w:val="single" w:sz="4" w:space="0" w:color="auto"/>
              <w:bottom w:val="single" w:sz="4" w:space="0" w:color="auto"/>
              <w:right w:val="single" w:sz="4" w:space="0" w:color="auto"/>
            </w:tcBorders>
            <w:vAlign w:val="center"/>
            <w:hideMark/>
          </w:tcPr>
          <w:p w14:paraId="0D2AF617"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Other</w:t>
            </w:r>
          </w:p>
        </w:tc>
        <w:tc>
          <w:tcPr>
            <w:tcW w:w="3055" w:type="dxa"/>
            <w:tcBorders>
              <w:top w:val="single" w:sz="4" w:space="0" w:color="auto"/>
              <w:left w:val="single" w:sz="4" w:space="0" w:color="auto"/>
              <w:bottom w:val="single" w:sz="4" w:space="0" w:color="auto"/>
              <w:right w:val="single" w:sz="4" w:space="0" w:color="auto"/>
            </w:tcBorders>
            <w:noWrap/>
            <w:vAlign w:val="center"/>
            <w:hideMark/>
          </w:tcPr>
          <w:p w14:paraId="442F7BE4" w14:textId="77777777" w:rsidR="001929CC" w:rsidRPr="0085293F" w:rsidRDefault="001929CC" w:rsidP="001929CC">
            <w:pPr>
              <w:pStyle w:val="TableText"/>
              <w:rPr>
                <w:rFonts w:cs="Segoe UI"/>
                <w:szCs w:val="17"/>
                <w:lang w:eastAsia="en-GB"/>
              </w:rPr>
            </w:pPr>
            <w:r w:rsidRPr="0085293F">
              <w:rPr>
                <w:rFonts w:cs="Segoe UI"/>
                <w:szCs w:val="17"/>
                <w:lang w:eastAsia="en-GB"/>
              </w:rPr>
              <w:t>Total credit exposure amount (post-CCF and post-CRM)</w:t>
            </w:r>
          </w:p>
        </w:tc>
      </w:tr>
      <w:tr w:rsidR="001929CC" w:rsidRPr="0085293F" w14:paraId="07885E7A" w14:textId="77777777" w:rsidTr="001929CC">
        <w:trPr>
          <w:gridAfter w:val="1"/>
          <w:wAfter w:w="63" w:type="dxa"/>
          <w:trHeight w:val="283"/>
        </w:trPr>
        <w:tc>
          <w:tcPr>
            <w:tcW w:w="457" w:type="dxa"/>
            <w:tcBorders>
              <w:top w:val="nil"/>
              <w:left w:val="nil"/>
              <w:bottom w:val="single" w:sz="4" w:space="0" w:color="auto"/>
              <w:right w:val="single" w:sz="4" w:space="0" w:color="auto"/>
            </w:tcBorders>
            <w:hideMark/>
          </w:tcPr>
          <w:p w14:paraId="4F3A77B4" w14:textId="77777777" w:rsidR="001929CC" w:rsidRPr="0085293F" w:rsidRDefault="001929CC" w:rsidP="001929CC">
            <w:pPr>
              <w:pStyle w:val="TableText"/>
              <w:rPr>
                <w:rFonts w:cs="Segoe UI"/>
                <w:szCs w:val="17"/>
                <w:lang w:eastAsia="en-GB"/>
              </w:rPr>
            </w:pPr>
            <w:r w:rsidRPr="0085293F">
              <w:rPr>
                <w:rFonts w:cs="Segoe UI"/>
                <w:szCs w:val="17"/>
                <w:lang w:eastAsia="en-GB"/>
              </w:rPr>
              <w:t>1</w:t>
            </w:r>
          </w:p>
        </w:tc>
        <w:tc>
          <w:tcPr>
            <w:tcW w:w="4219" w:type="dxa"/>
            <w:gridSpan w:val="2"/>
            <w:tcBorders>
              <w:top w:val="single" w:sz="4" w:space="0" w:color="auto"/>
              <w:left w:val="single" w:sz="4" w:space="0" w:color="auto"/>
              <w:bottom w:val="single" w:sz="4" w:space="0" w:color="auto"/>
              <w:right w:val="single" w:sz="4" w:space="0" w:color="auto"/>
            </w:tcBorders>
            <w:noWrap/>
            <w:hideMark/>
          </w:tcPr>
          <w:p w14:paraId="110F0158" w14:textId="77777777" w:rsidR="001929CC" w:rsidRPr="0085293F" w:rsidRDefault="001929CC" w:rsidP="001929CC">
            <w:pPr>
              <w:pStyle w:val="TableText"/>
              <w:rPr>
                <w:rFonts w:cs="Segoe UI"/>
                <w:szCs w:val="17"/>
                <w:lang w:eastAsia="en-GB"/>
              </w:rPr>
            </w:pPr>
            <w:r w:rsidRPr="0085293F">
              <w:rPr>
                <w:rFonts w:cs="Segoe UI"/>
                <w:szCs w:val="17"/>
                <w:lang w:eastAsia="en-GB"/>
              </w:rPr>
              <w:t>Sovereign exposures</w:t>
            </w:r>
          </w:p>
        </w:tc>
        <w:tc>
          <w:tcPr>
            <w:tcW w:w="1108" w:type="dxa"/>
            <w:tcBorders>
              <w:top w:val="single" w:sz="4" w:space="0" w:color="auto"/>
              <w:left w:val="single" w:sz="4" w:space="0" w:color="auto"/>
              <w:bottom w:val="single" w:sz="4" w:space="0" w:color="auto"/>
              <w:right w:val="single" w:sz="4" w:space="0" w:color="auto"/>
            </w:tcBorders>
            <w:noWrap/>
          </w:tcPr>
          <w:p w14:paraId="07B3555A" w14:textId="77777777" w:rsidR="001929CC" w:rsidRPr="0085293F" w:rsidRDefault="001929CC" w:rsidP="001929CC">
            <w:pPr>
              <w:pStyle w:val="TableText"/>
              <w:rPr>
                <w:rFonts w:eastAsia="MS PGothic" w:cs="Segoe UI"/>
                <w:szCs w:val="17"/>
                <w:lang w:eastAsia="ja-JP"/>
              </w:rPr>
            </w:pPr>
          </w:p>
        </w:tc>
        <w:tc>
          <w:tcPr>
            <w:tcW w:w="1108" w:type="dxa"/>
            <w:tcBorders>
              <w:top w:val="single" w:sz="4" w:space="0" w:color="auto"/>
              <w:left w:val="single" w:sz="4" w:space="0" w:color="auto"/>
              <w:bottom w:val="single" w:sz="4" w:space="0" w:color="auto"/>
              <w:right w:val="single" w:sz="4" w:space="0" w:color="auto"/>
            </w:tcBorders>
          </w:tcPr>
          <w:p w14:paraId="05DE2302" w14:textId="77777777" w:rsidR="001929CC" w:rsidRPr="0085293F" w:rsidRDefault="001929CC" w:rsidP="001929CC">
            <w:pPr>
              <w:pStyle w:val="TableText"/>
              <w:rPr>
                <w:rFonts w:eastAsia="MS PGothic" w:cs="Segoe UI"/>
                <w:szCs w:val="17"/>
                <w:lang w:eastAsia="ja-JP"/>
              </w:rPr>
            </w:pPr>
          </w:p>
        </w:tc>
        <w:tc>
          <w:tcPr>
            <w:tcW w:w="1109" w:type="dxa"/>
            <w:gridSpan w:val="2"/>
            <w:tcBorders>
              <w:top w:val="single" w:sz="4" w:space="0" w:color="auto"/>
              <w:left w:val="single" w:sz="4" w:space="0" w:color="auto"/>
              <w:bottom w:val="single" w:sz="4" w:space="0" w:color="auto"/>
              <w:right w:val="single" w:sz="4" w:space="0" w:color="auto"/>
            </w:tcBorders>
            <w:noWrap/>
          </w:tcPr>
          <w:p w14:paraId="35F1B7E1" w14:textId="77777777" w:rsidR="001929CC" w:rsidRPr="0085293F" w:rsidRDefault="001929CC" w:rsidP="001929CC">
            <w:pPr>
              <w:pStyle w:val="TableText"/>
              <w:rPr>
                <w:rFonts w:eastAsia="MS PGothic" w:cs="Segoe UI"/>
                <w:szCs w:val="17"/>
                <w:lang w:eastAsia="ja-JP"/>
              </w:rPr>
            </w:pPr>
          </w:p>
        </w:tc>
        <w:tc>
          <w:tcPr>
            <w:tcW w:w="1108" w:type="dxa"/>
            <w:tcBorders>
              <w:top w:val="single" w:sz="4" w:space="0" w:color="auto"/>
              <w:left w:val="single" w:sz="4" w:space="0" w:color="auto"/>
              <w:bottom w:val="single" w:sz="4" w:space="0" w:color="auto"/>
              <w:right w:val="single" w:sz="4" w:space="0" w:color="auto"/>
            </w:tcBorders>
          </w:tcPr>
          <w:p w14:paraId="1527F667" w14:textId="77777777" w:rsidR="001929CC" w:rsidRPr="0085293F" w:rsidRDefault="001929CC" w:rsidP="001929CC">
            <w:pPr>
              <w:pStyle w:val="TableText"/>
              <w:rPr>
                <w:rFonts w:eastAsia="MS PGothic" w:cs="Segoe UI"/>
                <w:szCs w:val="17"/>
                <w:lang w:eastAsia="ja-JP"/>
              </w:rPr>
            </w:pPr>
          </w:p>
        </w:tc>
        <w:tc>
          <w:tcPr>
            <w:tcW w:w="1939" w:type="dxa"/>
            <w:tcBorders>
              <w:top w:val="single" w:sz="4" w:space="0" w:color="auto"/>
              <w:left w:val="single" w:sz="4" w:space="0" w:color="auto"/>
              <w:bottom w:val="single" w:sz="4" w:space="0" w:color="auto"/>
              <w:right w:val="single" w:sz="4" w:space="0" w:color="auto"/>
            </w:tcBorders>
          </w:tcPr>
          <w:p w14:paraId="392481B8" w14:textId="77777777" w:rsidR="001929CC" w:rsidRPr="0085293F" w:rsidRDefault="001929CC" w:rsidP="001929CC">
            <w:pPr>
              <w:pStyle w:val="TableText"/>
              <w:rPr>
                <w:rFonts w:eastAsia="MS PGothic" w:cs="Segoe UI"/>
                <w:szCs w:val="17"/>
                <w:lang w:eastAsia="ja-JP"/>
              </w:rPr>
            </w:pPr>
          </w:p>
        </w:tc>
        <w:tc>
          <w:tcPr>
            <w:tcW w:w="3055" w:type="dxa"/>
            <w:tcBorders>
              <w:top w:val="single" w:sz="4" w:space="0" w:color="auto"/>
              <w:left w:val="single" w:sz="4" w:space="0" w:color="auto"/>
              <w:bottom w:val="single" w:sz="4" w:space="0" w:color="auto"/>
              <w:right w:val="single" w:sz="4" w:space="0" w:color="auto"/>
            </w:tcBorders>
            <w:noWrap/>
          </w:tcPr>
          <w:p w14:paraId="48914171" w14:textId="77777777" w:rsidR="001929CC" w:rsidRPr="0085293F" w:rsidRDefault="001929CC" w:rsidP="001929CC">
            <w:pPr>
              <w:pStyle w:val="TableText"/>
              <w:rPr>
                <w:rFonts w:cs="Segoe UI"/>
                <w:szCs w:val="17"/>
                <w:lang w:eastAsia="en-GB"/>
              </w:rPr>
            </w:pPr>
          </w:p>
        </w:tc>
      </w:tr>
      <w:tr w:rsidR="001929CC" w:rsidRPr="0085293F" w14:paraId="4706EDB7" w14:textId="77777777" w:rsidTr="001929CC">
        <w:trPr>
          <w:gridAfter w:val="9"/>
          <w:wAfter w:w="13397" w:type="dxa"/>
          <w:trHeight w:val="283"/>
        </w:trPr>
        <w:tc>
          <w:tcPr>
            <w:tcW w:w="769" w:type="dxa"/>
            <w:gridSpan w:val="2"/>
            <w:tcBorders>
              <w:top w:val="single" w:sz="4" w:space="0" w:color="auto"/>
              <w:left w:val="nil"/>
              <w:bottom w:val="nil"/>
              <w:right w:val="nil"/>
            </w:tcBorders>
          </w:tcPr>
          <w:p w14:paraId="159D1A4E" w14:textId="77777777" w:rsidR="001929CC" w:rsidRPr="0085293F" w:rsidRDefault="001929CC" w:rsidP="001929CC">
            <w:pPr>
              <w:pStyle w:val="TableText"/>
              <w:rPr>
                <w:rFonts w:eastAsia="MS PGothic" w:cs="Segoe UI"/>
                <w:szCs w:val="17"/>
                <w:lang w:eastAsia="ja-JP"/>
              </w:rPr>
            </w:pPr>
          </w:p>
        </w:tc>
      </w:tr>
      <w:tr w:rsidR="001929CC" w:rsidRPr="0085293F" w14:paraId="0A0361F1" w14:textId="77777777" w:rsidTr="001929CC">
        <w:trPr>
          <w:trHeight w:val="283"/>
        </w:trPr>
        <w:tc>
          <w:tcPr>
            <w:tcW w:w="457" w:type="dxa"/>
            <w:tcBorders>
              <w:top w:val="single" w:sz="4" w:space="0" w:color="auto"/>
              <w:left w:val="nil"/>
              <w:bottom w:val="nil"/>
              <w:right w:val="single" w:sz="4" w:space="0" w:color="auto"/>
            </w:tcBorders>
          </w:tcPr>
          <w:p w14:paraId="6FDA54FA" w14:textId="77777777" w:rsidR="001929CC" w:rsidRPr="0085293F" w:rsidRDefault="001929CC" w:rsidP="001929CC">
            <w:pPr>
              <w:pStyle w:val="TableText"/>
              <w:rPr>
                <w:rFonts w:cs="Segoe UI"/>
                <w:szCs w:val="17"/>
                <w:lang w:eastAsia="en-GB"/>
              </w:rPr>
            </w:pPr>
            <w:r w:rsidRPr="0085293F">
              <w:rPr>
                <w:rFonts w:cs="Segoe UI"/>
                <w:szCs w:val="17"/>
              </w:rPr>
              <w:br w:type="page"/>
            </w:r>
          </w:p>
        </w:tc>
        <w:tc>
          <w:tcPr>
            <w:tcW w:w="4219" w:type="dxa"/>
            <w:gridSpan w:val="2"/>
            <w:tcBorders>
              <w:top w:val="single" w:sz="4" w:space="0" w:color="auto"/>
              <w:left w:val="single" w:sz="4" w:space="0" w:color="auto"/>
              <w:bottom w:val="single" w:sz="4" w:space="0" w:color="auto"/>
              <w:right w:val="single" w:sz="4" w:space="0" w:color="auto"/>
            </w:tcBorders>
            <w:noWrap/>
          </w:tcPr>
          <w:p w14:paraId="25FAF04F" w14:textId="77777777" w:rsidR="001929CC" w:rsidRPr="0085293F" w:rsidRDefault="001929CC" w:rsidP="001929CC">
            <w:pPr>
              <w:pStyle w:val="TableText"/>
              <w:rPr>
                <w:rFonts w:cs="Segoe UI"/>
                <w:szCs w:val="17"/>
                <w:lang w:eastAsia="en-GB"/>
              </w:rPr>
            </w:pPr>
          </w:p>
        </w:tc>
        <w:tc>
          <w:tcPr>
            <w:tcW w:w="2216" w:type="dxa"/>
            <w:gridSpan w:val="2"/>
            <w:tcBorders>
              <w:top w:val="single" w:sz="4" w:space="0" w:color="auto"/>
              <w:left w:val="single" w:sz="4" w:space="0" w:color="auto"/>
              <w:bottom w:val="single" w:sz="4" w:space="0" w:color="auto"/>
              <w:right w:val="single" w:sz="4" w:space="0" w:color="auto"/>
            </w:tcBorders>
            <w:noWrap/>
            <w:vAlign w:val="center"/>
            <w:hideMark/>
          </w:tcPr>
          <w:p w14:paraId="26E1D959"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20%</w:t>
            </w:r>
          </w:p>
        </w:tc>
        <w:tc>
          <w:tcPr>
            <w:tcW w:w="2217" w:type="dxa"/>
            <w:gridSpan w:val="3"/>
            <w:tcBorders>
              <w:top w:val="single" w:sz="4" w:space="0" w:color="auto"/>
              <w:left w:val="single" w:sz="4" w:space="0" w:color="auto"/>
              <w:bottom w:val="single" w:sz="4" w:space="0" w:color="auto"/>
              <w:right w:val="single" w:sz="4" w:space="0" w:color="auto"/>
            </w:tcBorders>
            <w:noWrap/>
            <w:vAlign w:val="center"/>
            <w:hideMark/>
          </w:tcPr>
          <w:p w14:paraId="415BEC38"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100%</w:t>
            </w:r>
          </w:p>
        </w:tc>
        <w:tc>
          <w:tcPr>
            <w:tcW w:w="1939" w:type="dxa"/>
            <w:tcBorders>
              <w:top w:val="single" w:sz="4" w:space="0" w:color="auto"/>
              <w:left w:val="single" w:sz="4" w:space="0" w:color="auto"/>
              <w:bottom w:val="single" w:sz="4" w:space="0" w:color="auto"/>
              <w:right w:val="single" w:sz="4" w:space="0" w:color="auto"/>
            </w:tcBorders>
            <w:vAlign w:val="center"/>
            <w:hideMark/>
          </w:tcPr>
          <w:p w14:paraId="7E8205B8"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Other</w:t>
            </w:r>
          </w:p>
        </w:tc>
        <w:tc>
          <w:tcPr>
            <w:tcW w:w="3118" w:type="dxa"/>
            <w:gridSpan w:val="2"/>
            <w:tcBorders>
              <w:top w:val="single" w:sz="4" w:space="0" w:color="auto"/>
              <w:left w:val="single" w:sz="4" w:space="0" w:color="auto"/>
              <w:bottom w:val="single" w:sz="4" w:space="0" w:color="auto"/>
              <w:right w:val="single" w:sz="4" w:space="0" w:color="auto"/>
            </w:tcBorders>
            <w:noWrap/>
            <w:vAlign w:val="center"/>
            <w:hideMark/>
          </w:tcPr>
          <w:p w14:paraId="5D225AD4" w14:textId="77777777" w:rsidR="001929CC" w:rsidRPr="0085293F" w:rsidRDefault="001929CC" w:rsidP="001929CC">
            <w:pPr>
              <w:pStyle w:val="TableText"/>
              <w:rPr>
                <w:rFonts w:cs="Segoe UI"/>
                <w:szCs w:val="17"/>
                <w:lang w:eastAsia="en-GB"/>
              </w:rPr>
            </w:pPr>
            <w:r w:rsidRPr="0085293F">
              <w:rPr>
                <w:rFonts w:cs="Segoe UI"/>
                <w:szCs w:val="17"/>
                <w:lang w:eastAsia="en-GB"/>
              </w:rPr>
              <w:t>Total credit exposure amount (post-CCF and post-CRM)</w:t>
            </w:r>
          </w:p>
        </w:tc>
      </w:tr>
      <w:tr w:rsidR="001929CC" w:rsidRPr="0085293F" w14:paraId="7AE5D0BA" w14:textId="77777777" w:rsidTr="001929CC">
        <w:trPr>
          <w:trHeight w:val="283"/>
        </w:trPr>
        <w:tc>
          <w:tcPr>
            <w:tcW w:w="457" w:type="dxa"/>
            <w:tcBorders>
              <w:top w:val="nil"/>
              <w:left w:val="nil"/>
              <w:bottom w:val="single" w:sz="4" w:space="0" w:color="auto"/>
              <w:right w:val="single" w:sz="4" w:space="0" w:color="auto"/>
            </w:tcBorders>
            <w:hideMark/>
          </w:tcPr>
          <w:p w14:paraId="3ED115BF" w14:textId="77777777" w:rsidR="001929CC" w:rsidRPr="0085293F" w:rsidRDefault="001929CC" w:rsidP="001929CC">
            <w:pPr>
              <w:pStyle w:val="TableText"/>
              <w:rPr>
                <w:rFonts w:cs="Segoe UI"/>
                <w:szCs w:val="17"/>
                <w:lang w:eastAsia="en-GB"/>
              </w:rPr>
            </w:pPr>
            <w:r w:rsidRPr="0085293F">
              <w:rPr>
                <w:rFonts w:cs="Segoe UI"/>
                <w:szCs w:val="17"/>
                <w:lang w:eastAsia="en-GB"/>
              </w:rPr>
              <w:t>2</w:t>
            </w:r>
          </w:p>
        </w:tc>
        <w:tc>
          <w:tcPr>
            <w:tcW w:w="4219" w:type="dxa"/>
            <w:gridSpan w:val="2"/>
            <w:tcBorders>
              <w:top w:val="single" w:sz="4" w:space="0" w:color="auto"/>
              <w:left w:val="single" w:sz="4" w:space="0" w:color="auto"/>
              <w:bottom w:val="single" w:sz="4" w:space="0" w:color="auto"/>
              <w:right w:val="single" w:sz="4" w:space="0" w:color="auto"/>
            </w:tcBorders>
            <w:noWrap/>
            <w:hideMark/>
          </w:tcPr>
          <w:p w14:paraId="763C06E4" w14:textId="77777777" w:rsidR="001929CC" w:rsidRPr="0085293F" w:rsidRDefault="001929CC" w:rsidP="001929CC">
            <w:pPr>
              <w:pStyle w:val="TableText"/>
              <w:rPr>
                <w:rFonts w:cs="Segoe UI"/>
                <w:szCs w:val="17"/>
                <w:lang w:eastAsia="en-GB"/>
              </w:rPr>
            </w:pPr>
            <w:r w:rsidRPr="0085293F">
              <w:rPr>
                <w:rFonts w:cs="Segoe UI"/>
                <w:szCs w:val="17"/>
                <w:lang w:eastAsia="en-GB"/>
              </w:rPr>
              <w:t>Public sector entity exposures</w:t>
            </w:r>
          </w:p>
        </w:tc>
        <w:tc>
          <w:tcPr>
            <w:tcW w:w="2216" w:type="dxa"/>
            <w:gridSpan w:val="2"/>
            <w:tcBorders>
              <w:top w:val="single" w:sz="4" w:space="0" w:color="auto"/>
              <w:left w:val="single" w:sz="4" w:space="0" w:color="auto"/>
              <w:bottom w:val="single" w:sz="4" w:space="0" w:color="auto"/>
              <w:right w:val="single" w:sz="4" w:space="0" w:color="auto"/>
            </w:tcBorders>
            <w:noWrap/>
          </w:tcPr>
          <w:p w14:paraId="77E1561B" w14:textId="77777777" w:rsidR="001929CC" w:rsidRPr="0085293F" w:rsidRDefault="001929CC" w:rsidP="001929CC">
            <w:pPr>
              <w:pStyle w:val="TableText"/>
              <w:rPr>
                <w:rFonts w:eastAsia="MS PGothic" w:cs="Segoe UI"/>
                <w:szCs w:val="17"/>
                <w:lang w:eastAsia="ja-JP"/>
              </w:rPr>
            </w:pPr>
          </w:p>
        </w:tc>
        <w:tc>
          <w:tcPr>
            <w:tcW w:w="2217" w:type="dxa"/>
            <w:gridSpan w:val="3"/>
            <w:tcBorders>
              <w:top w:val="single" w:sz="4" w:space="0" w:color="auto"/>
              <w:left w:val="single" w:sz="4" w:space="0" w:color="auto"/>
              <w:bottom w:val="single" w:sz="4" w:space="0" w:color="auto"/>
              <w:right w:val="single" w:sz="4" w:space="0" w:color="auto"/>
            </w:tcBorders>
            <w:noWrap/>
          </w:tcPr>
          <w:p w14:paraId="1AB13EA0" w14:textId="77777777" w:rsidR="001929CC" w:rsidRPr="0085293F" w:rsidRDefault="001929CC" w:rsidP="001929CC">
            <w:pPr>
              <w:pStyle w:val="TableText"/>
              <w:rPr>
                <w:rFonts w:eastAsia="MS PGothic" w:cs="Segoe UI"/>
                <w:szCs w:val="17"/>
                <w:lang w:eastAsia="ja-JP"/>
              </w:rPr>
            </w:pPr>
          </w:p>
        </w:tc>
        <w:tc>
          <w:tcPr>
            <w:tcW w:w="1939" w:type="dxa"/>
            <w:tcBorders>
              <w:top w:val="single" w:sz="4" w:space="0" w:color="auto"/>
              <w:left w:val="single" w:sz="4" w:space="0" w:color="auto"/>
              <w:bottom w:val="single" w:sz="4" w:space="0" w:color="auto"/>
              <w:right w:val="single" w:sz="4" w:space="0" w:color="auto"/>
            </w:tcBorders>
          </w:tcPr>
          <w:p w14:paraId="1CBC3A7F" w14:textId="77777777" w:rsidR="001929CC" w:rsidRPr="0085293F" w:rsidRDefault="001929CC" w:rsidP="001929CC">
            <w:pPr>
              <w:pStyle w:val="TableText"/>
              <w:rPr>
                <w:rFonts w:eastAsia="MS PGothic" w:cs="Segoe UI"/>
                <w:szCs w:val="17"/>
                <w:lang w:eastAsia="ja-JP"/>
              </w:rPr>
            </w:pPr>
          </w:p>
        </w:tc>
        <w:tc>
          <w:tcPr>
            <w:tcW w:w="3118" w:type="dxa"/>
            <w:gridSpan w:val="2"/>
            <w:tcBorders>
              <w:top w:val="single" w:sz="4" w:space="0" w:color="auto"/>
              <w:left w:val="single" w:sz="4" w:space="0" w:color="auto"/>
              <w:bottom w:val="single" w:sz="4" w:space="0" w:color="auto"/>
              <w:right w:val="single" w:sz="4" w:space="0" w:color="auto"/>
            </w:tcBorders>
            <w:noWrap/>
          </w:tcPr>
          <w:p w14:paraId="7C1CE0B7" w14:textId="77777777" w:rsidR="001929CC" w:rsidRPr="0085293F" w:rsidRDefault="001929CC" w:rsidP="001929CC">
            <w:pPr>
              <w:pStyle w:val="TableText"/>
              <w:rPr>
                <w:rFonts w:cs="Segoe UI"/>
                <w:szCs w:val="17"/>
                <w:lang w:eastAsia="en-GB"/>
              </w:rPr>
            </w:pPr>
          </w:p>
        </w:tc>
      </w:tr>
      <w:tr w:rsidR="001929CC" w:rsidRPr="0085293F" w14:paraId="60CDAB51" w14:textId="77777777" w:rsidTr="001929CC">
        <w:trPr>
          <w:gridAfter w:val="9"/>
          <w:wAfter w:w="13397" w:type="dxa"/>
          <w:trHeight w:val="283"/>
        </w:trPr>
        <w:tc>
          <w:tcPr>
            <w:tcW w:w="769" w:type="dxa"/>
            <w:gridSpan w:val="2"/>
            <w:tcBorders>
              <w:top w:val="single" w:sz="4" w:space="0" w:color="auto"/>
              <w:left w:val="nil"/>
              <w:bottom w:val="nil"/>
              <w:right w:val="nil"/>
            </w:tcBorders>
          </w:tcPr>
          <w:p w14:paraId="5D856056" w14:textId="77777777" w:rsidR="001929CC" w:rsidRPr="0085293F" w:rsidRDefault="001929CC" w:rsidP="001929CC">
            <w:pPr>
              <w:pStyle w:val="TableText"/>
              <w:rPr>
                <w:rFonts w:eastAsia="MS PGothic" w:cs="Segoe UI"/>
                <w:szCs w:val="17"/>
                <w:lang w:eastAsia="ja-JP"/>
              </w:rPr>
            </w:pPr>
          </w:p>
        </w:tc>
      </w:tr>
      <w:tr w:rsidR="001929CC" w:rsidRPr="0085293F" w14:paraId="60D80CA4" w14:textId="77777777" w:rsidTr="001929CC">
        <w:trPr>
          <w:trHeight w:val="283"/>
        </w:trPr>
        <w:tc>
          <w:tcPr>
            <w:tcW w:w="457" w:type="dxa"/>
            <w:tcBorders>
              <w:top w:val="single" w:sz="4" w:space="0" w:color="auto"/>
              <w:left w:val="nil"/>
              <w:bottom w:val="nil"/>
              <w:right w:val="single" w:sz="4" w:space="0" w:color="auto"/>
            </w:tcBorders>
          </w:tcPr>
          <w:p w14:paraId="4D3227BA" w14:textId="77777777" w:rsidR="001929CC" w:rsidRPr="0085293F" w:rsidRDefault="001929CC" w:rsidP="001929CC">
            <w:pPr>
              <w:pStyle w:val="TableText"/>
              <w:rPr>
                <w:rFonts w:cs="Segoe UI"/>
                <w:szCs w:val="17"/>
                <w:lang w:eastAsia="en-GB"/>
              </w:rPr>
            </w:pPr>
            <w:r w:rsidRPr="0085293F">
              <w:rPr>
                <w:rFonts w:cs="Segoe UI"/>
                <w:szCs w:val="17"/>
              </w:rPr>
              <w:br w:type="page"/>
            </w:r>
          </w:p>
        </w:tc>
        <w:tc>
          <w:tcPr>
            <w:tcW w:w="4219" w:type="dxa"/>
            <w:gridSpan w:val="2"/>
            <w:tcBorders>
              <w:top w:val="single" w:sz="4" w:space="0" w:color="auto"/>
              <w:left w:val="single" w:sz="4" w:space="0" w:color="auto"/>
              <w:bottom w:val="single" w:sz="4" w:space="0" w:color="auto"/>
              <w:right w:val="single" w:sz="4" w:space="0" w:color="auto"/>
            </w:tcBorders>
            <w:noWrap/>
          </w:tcPr>
          <w:p w14:paraId="182AFA97" w14:textId="77777777" w:rsidR="001929CC" w:rsidRPr="0085293F" w:rsidRDefault="001929CC" w:rsidP="001929CC">
            <w:pPr>
              <w:pStyle w:val="TableText"/>
              <w:rPr>
                <w:rFonts w:cs="Segoe UI"/>
                <w:szCs w:val="17"/>
                <w:lang w:eastAsia="en-GB"/>
              </w:rPr>
            </w:pPr>
          </w:p>
        </w:tc>
        <w:tc>
          <w:tcPr>
            <w:tcW w:w="2770" w:type="dxa"/>
            <w:gridSpan w:val="3"/>
            <w:tcBorders>
              <w:top w:val="single" w:sz="4" w:space="0" w:color="auto"/>
              <w:left w:val="single" w:sz="4" w:space="0" w:color="auto"/>
              <w:bottom w:val="single" w:sz="4" w:space="0" w:color="auto"/>
              <w:right w:val="single" w:sz="4" w:space="0" w:color="auto"/>
            </w:tcBorders>
            <w:noWrap/>
            <w:vAlign w:val="center"/>
            <w:hideMark/>
          </w:tcPr>
          <w:p w14:paraId="43DC3B89"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0%</w:t>
            </w:r>
          </w:p>
        </w:tc>
        <w:tc>
          <w:tcPr>
            <w:tcW w:w="3602" w:type="dxa"/>
            <w:gridSpan w:val="3"/>
            <w:tcBorders>
              <w:top w:val="single" w:sz="4" w:space="0" w:color="auto"/>
              <w:left w:val="single" w:sz="4" w:space="0" w:color="auto"/>
              <w:bottom w:val="single" w:sz="4" w:space="0" w:color="auto"/>
              <w:right w:val="single" w:sz="4" w:space="0" w:color="auto"/>
            </w:tcBorders>
            <w:noWrap/>
            <w:vAlign w:val="center"/>
            <w:hideMark/>
          </w:tcPr>
          <w:p w14:paraId="72E4D7F3"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Other</w:t>
            </w:r>
          </w:p>
        </w:tc>
        <w:tc>
          <w:tcPr>
            <w:tcW w:w="3118" w:type="dxa"/>
            <w:gridSpan w:val="2"/>
            <w:tcBorders>
              <w:top w:val="single" w:sz="4" w:space="0" w:color="auto"/>
              <w:left w:val="single" w:sz="4" w:space="0" w:color="auto"/>
              <w:bottom w:val="single" w:sz="4" w:space="0" w:color="auto"/>
              <w:right w:val="single" w:sz="4" w:space="0" w:color="auto"/>
            </w:tcBorders>
            <w:noWrap/>
            <w:vAlign w:val="center"/>
            <w:hideMark/>
          </w:tcPr>
          <w:p w14:paraId="503D75AB" w14:textId="77777777" w:rsidR="001929CC" w:rsidRPr="0085293F" w:rsidRDefault="001929CC" w:rsidP="001929CC">
            <w:pPr>
              <w:pStyle w:val="TableText"/>
              <w:rPr>
                <w:rFonts w:cs="Segoe UI"/>
                <w:szCs w:val="17"/>
                <w:lang w:eastAsia="en-GB"/>
              </w:rPr>
            </w:pPr>
            <w:r w:rsidRPr="0085293F">
              <w:rPr>
                <w:rFonts w:cs="Segoe UI"/>
                <w:szCs w:val="17"/>
                <w:lang w:eastAsia="en-GB"/>
              </w:rPr>
              <w:t>Total credit exposure amount (post-CCF and post-CRM)</w:t>
            </w:r>
          </w:p>
        </w:tc>
      </w:tr>
      <w:tr w:rsidR="001929CC" w:rsidRPr="0085293F" w14:paraId="7DC18EB8" w14:textId="77777777" w:rsidTr="001929CC">
        <w:trPr>
          <w:trHeight w:val="283"/>
        </w:trPr>
        <w:tc>
          <w:tcPr>
            <w:tcW w:w="457" w:type="dxa"/>
            <w:tcBorders>
              <w:top w:val="nil"/>
              <w:left w:val="nil"/>
              <w:bottom w:val="single" w:sz="4" w:space="0" w:color="auto"/>
              <w:right w:val="single" w:sz="4" w:space="0" w:color="auto"/>
            </w:tcBorders>
            <w:hideMark/>
          </w:tcPr>
          <w:p w14:paraId="5B69E284" w14:textId="77777777" w:rsidR="001929CC" w:rsidRPr="0085293F" w:rsidRDefault="001929CC" w:rsidP="001929CC">
            <w:pPr>
              <w:pStyle w:val="TableText"/>
              <w:rPr>
                <w:rFonts w:cs="Segoe UI"/>
                <w:szCs w:val="17"/>
                <w:lang w:eastAsia="en-GB"/>
              </w:rPr>
            </w:pPr>
            <w:r w:rsidRPr="0085293F">
              <w:rPr>
                <w:rFonts w:cs="Segoe UI"/>
                <w:szCs w:val="17"/>
                <w:lang w:eastAsia="en-GB"/>
              </w:rPr>
              <w:t>3</w:t>
            </w:r>
          </w:p>
        </w:tc>
        <w:tc>
          <w:tcPr>
            <w:tcW w:w="4219" w:type="dxa"/>
            <w:gridSpan w:val="2"/>
            <w:tcBorders>
              <w:top w:val="single" w:sz="4" w:space="0" w:color="auto"/>
              <w:left w:val="single" w:sz="4" w:space="0" w:color="auto"/>
              <w:bottom w:val="single" w:sz="4" w:space="0" w:color="auto"/>
              <w:right w:val="single" w:sz="4" w:space="0" w:color="auto"/>
            </w:tcBorders>
            <w:noWrap/>
            <w:hideMark/>
          </w:tcPr>
          <w:p w14:paraId="0823D439" w14:textId="77777777" w:rsidR="001929CC" w:rsidRPr="0085293F" w:rsidRDefault="001929CC" w:rsidP="001929CC">
            <w:pPr>
              <w:pStyle w:val="TableText"/>
              <w:rPr>
                <w:rFonts w:cs="Segoe UI"/>
                <w:szCs w:val="17"/>
                <w:lang w:eastAsia="en-GB"/>
              </w:rPr>
            </w:pPr>
            <w:r w:rsidRPr="0085293F">
              <w:rPr>
                <w:rFonts w:cs="Segoe UI"/>
                <w:szCs w:val="17"/>
                <w:lang w:eastAsia="en-GB"/>
              </w:rPr>
              <w:t>Multilateral development bank exposures</w:t>
            </w:r>
          </w:p>
        </w:tc>
        <w:tc>
          <w:tcPr>
            <w:tcW w:w="2770" w:type="dxa"/>
            <w:gridSpan w:val="3"/>
            <w:tcBorders>
              <w:top w:val="single" w:sz="4" w:space="0" w:color="auto"/>
              <w:left w:val="single" w:sz="4" w:space="0" w:color="auto"/>
              <w:bottom w:val="single" w:sz="4" w:space="0" w:color="auto"/>
              <w:right w:val="single" w:sz="4" w:space="0" w:color="auto"/>
            </w:tcBorders>
            <w:noWrap/>
          </w:tcPr>
          <w:p w14:paraId="61914242" w14:textId="77777777" w:rsidR="001929CC" w:rsidRPr="0085293F" w:rsidRDefault="001929CC" w:rsidP="001929CC">
            <w:pPr>
              <w:pStyle w:val="TableText"/>
              <w:rPr>
                <w:rFonts w:eastAsia="MS PGothic" w:cs="Segoe UI"/>
                <w:szCs w:val="17"/>
                <w:lang w:eastAsia="ja-JP"/>
              </w:rPr>
            </w:pPr>
          </w:p>
        </w:tc>
        <w:tc>
          <w:tcPr>
            <w:tcW w:w="3602" w:type="dxa"/>
            <w:gridSpan w:val="3"/>
            <w:tcBorders>
              <w:top w:val="single" w:sz="4" w:space="0" w:color="auto"/>
              <w:left w:val="single" w:sz="4" w:space="0" w:color="auto"/>
              <w:bottom w:val="single" w:sz="4" w:space="0" w:color="auto"/>
              <w:right w:val="single" w:sz="4" w:space="0" w:color="auto"/>
            </w:tcBorders>
            <w:noWrap/>
          </w:tcPr>
          <w:p w14:paraId="1CA7B69F" w14:textId="77777777" w:rsidR="001929CC" w:rsidRPr="0085293F" w:rsidRDefault="001929CC" w:rsidP="001929CC">
            <w:pPr>
              <w:pStyle w:val="TableText"/>
              <w:rPr>
                <w:rFonts w:eastAsia="MS PGothic" w:cs="Segoe UI"/>
                <w:szCs w:val="17"/>
                <w:lang w:eastAsia="ja-JP"/>
              </w:rPr>
            </w:pPr>
          </w:p>
        </w:tc>
        <w:tc>
          <w:tcPr>
            <w:tcW w:w="3118" w:type="dxa"/>
            <w:gridSpan w:val="2"/>
            <w:tcBorders>
              <w:top w:val="single" w:sz="4" w:space="0" w:color="auto"/>
              <w:left w:val="single" w:sz="4" w:space="0" w:color="auto"/>
              <w:bottom w:val="single" w:sz="4" w:space="0" w:color="auto"/>
              <w:right w:val="single" w:sz="4" w:space="0" w:color="auto"/>
            </w:tcBorders>
            <w:noWrap/>
          </w:tcPr>
          <w:p w14:paraId="6915A0AA" w14:textId="77777777" w:rsidR="001929CC" w:rsidRPr="0085293F" w:rsidRDefault="001929CC" w:rsidP="001929CC">
            <w:pPr>
              <w:pStyle w:val="TableText"/>
              <w:rPr>
                <w:rFonts w:eastAsia="MS PGothic" w:cs="Segoe UI"/>
                <w:szCs w:val="17"/>
                <w:lang w:eastAsia="ja-JP"/>
              </w:rPr>
            </w:pPr>
          </w:p>
        </w:tc>
      </w:tr>
    </w:tbl>
    <w:p w14:paraId="058D1771" w14:textId="77777777" w:rsidR="001929CC" w:rsidRPr="0085293F" w:rsidRDefault="001929CC" w:rsidP="001929CC">
      <w:pPr>
        <w:rPr>
          <w:rFonts w:cs="Segoe UI"/>
          <w:sz w:val="17"/>
          <w:szCs w:val="17"/>
        </w:rPr>
      </w:pPr>
    </w:p>
    <w:tbl>
      <w:tblPr>
        <w:tblW w:w="14166"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61"/>
        <w:gridCol w:w="4263"/>
        <w:gridCol w:w="3165"/>
        <w:gridCol w:w="3165"/>
        <w:gridCol w:w="3112"/>
      </w:tblGrid>
      <w:tr w:rsidR="001929CC" w:rsidRPr="0085293F" w14:paraId="4F25661F" w14:textId="77777777" w:rsidTr="001929CC">
        <w:trPr>
          <w:trHeight w:val="283"/>
        </w:trPr>
        <w:tc>
          <w:tcPr>
            <w:tcW w:w="461" w:type="dxa"/>
            <w:tcBorders>
              <w:top w:val="single" w:sz="4" w:space="0" w:color="auto"/>
              <w:left w:val="nil"/>
              <w:bottom w:val="nil"/>
              <w:right w:val="single" w:sz="4" w:space="0" w:color="auto"/>
            </w:tcBorders>
          </w:tcPr>
          <w:p w14:paraId="10C9016D" w14:textId="77777777" w:rsidR="001929CC" w:rsidRPr="0085293F" w:rsidRDefault="001929CC" w:rsidP="001929CC">
            <w:pPr>
              <w:pStyle w:val="TableText"/>
              <w:rPr>
                <w:rFonts w:cs="Segoe UI"/>
                <w:szCs w:val="17"/>
                <w:lang w:eastAsia="en-GB"/>
              </w:rPr>
            </w:pPr>
          </w:p>
        </w:tc>
        <w:tc>
          <w:tcPr>
            <w:tcW w:w="4263" w:type="dxa"/>
            <w:tcBorders>
              <w:top w:val="single" w:sz="4" w:space="0" w:color="auto"/>
              <w:left w:val="single" w:sz="4" w:space="0" w:color="auto"/>
              <w:bottom w:val="single" w:sz="4" w:space="0" w:color="auto"/>
              <w:right w:val="single" w:sz="4" w:space="0" w:color="auto"/>
            </w:tcBorders>
            <w:noWrap/>
          </w:tcPr>
          <w:p w14:paraId="0A486EFE" w14:textId="77777777" w:rsidR="001929CC" w:rsidRPr="0085293F" w:rsidRDefault="001929CC" w:rsidP="001929CC">
            <w:pPr>
              <w:pStyle w:val="TableText"/>
              <w:rPr>
                <w:rFonts w:cs="Segoe UI"/>
                <w:szCs w:val="17"/>
                <w:lang w:eastAsia="en-GB"/>
              </w:rPr>
            </w:pP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17D6C930"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50%</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25F0F1C8"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Other</w:t>
            </w:r>
          </w:p>
        </w:tc>
        <w:tc>
          <w:tcPr>
            <w:tcW w:w="3112" w:type="dxa"/>
            <w:tcBorders>
              <w:top w:val="single" w:sz="4" w:space="0" w:color="auto"/>
              <w:left w:val="single" w:sz="4" w:space="0" w:color="auto"/>
              <w:bottom w:val="single" w:sz="4" w:space="0" w:color="auto"/>
              <w:right w:val="single" w:sz="4" w:space="0" w:color="auto"/>
            </w:tcBorders>
            <w:noWrap/>
            <w:vAlign w:val="center"/>
            <w:hideMark/>
          </w:tcPr>
          <w:p w14:paraId="27785A1A" w14:textId="77777777" w:rsidR="001929CC" w:rsidRPr="0085293F" w:rsidRDefault="001929CC" w:rsidP="001929CC">
            <w:pPr>
              <w:pStyle w:val="TableText"/>
              <w:rPr>
                <w:rFonts w:eastAsia="MS PGothic" w:cs="Segoe UI"/>
                <w:szCs w:val="17"/>
                <w:lang w:eastAsia="ja-JP"/>
              </w:rPr>
            </w:pPr>
            <w:r w:rsidRPr="0085293F">
              <w:rPr>
                <w:rFonts w:cs="Segoe UI"/>
                <w:szCs w:val="17"/>
                <w:lang w:eastAsia="en-GB"/>
              </w:rPr>
              <w:t>Total credit exposure amount (post-CCF and post-CRM)</w:t>
            </w:r>
          </w:p>
        </w:tc>
      </w:tr>
      <w:tr w:rsidR="001929CC" w:rsidRPr="0085293F" w14:paraId="365FA85D" w14:textId="77777777" w:rsidTr="001929CC">
        <w:trPr>
          <w:trHeight w:val="283"/>
        </w:trPr>
        <w:tc>
          <w:tcPr>
            <w:tcW w:w="461" w:type="dxa"/>
            <w:tcBorders>
              <w:top w:val="nil"/>
              <w:left w:val="nil"/>
              <w:bottom w:val="single" w:sz="6" w:space="0" w:color="000000"/>
              <w:right w:val="single" w:sz="4" w:space="0" w:color="auto"/>
            </w:tcBorders>
            <w:hideMark/>
          </w:tcPr>
          <w:p w14:paraId="68CB8275" w14:textId="77777777" w:rsidR="001929CC" w:rsidRPr="0085293F" w:rsidRDefault="001929CC" w:rsidP="001929CC">
            <w:pPr>
              <w:pStyle w:val="TableText"/>
              <w:rPr>
                <w:rFonts w:cs="Segoe UI"/>
                <w:szCs w:val="17"/>
                <w:lang w:eastAsia="en-GB"/>
              </w:rPr>
            </w:pPr>
            <w:r w:rsidRPr="0085293F">
              <w:rPr>
                <w:rFonts w:cs="Segoe UI"/>
                <w:szCs w:val="17"/>
                <w:lang w:eastAsia="en-GB"/>
              </w:rPr>
              <w:t>4</w:t>
            </w:r>
          </w:p>
        </w:tc>
        <w:tc>
          <w:tcPr>
            <w:tcW w:w="4263" w:type="dxa"/>
            <w:tcBorders>
              <w:top w:val="single" w:sz="4" w:space="0" w:color="auto"/>
              <w:left w:val="single" w:sz="4" w:space="0" w:color="auto"/>
              <w:bottom w:val="single" w:sz="4" w:space="0" w:color="auto"/>
              <w:right w:val="single" w:sz="4" w:space="0" w:color="auto"/>
            </w:tcBorders>
            <w:noWrap/>
            <w:hideMark/>
          </w:tcPr>
          <w:p w14:paraId="6258C27B" w14:textId="77777777" w:rsidR="001929CC" w:rsidRPr="0085293F" w:rsidRDefault="001929CC" w:rsidP="001929CC">
            <w:pPr>
              <w:pStyle w:val="TableText"/>
              <w:rPr>
                <w:rFonts w:cs="Segoe UI"/>
                <w:szCs w:val="17"/>
                <w:lang w:eastAsia="en-GB"/>
              </w:rPr>
            </w:pPr>
            <w:r w:rsidRPr="0085293F">
              <w:rPr>
                <w:rFonts w:cs="Segoe UI"/>
                <w:szCs w:val="17"/>
                <w:lang w:eastAsia="en-GB"/>
              </w:rPr>
              <w:t>Unspecified multilateral body exposures</w:t>
            </w:r>
          </w:p>
        </w:tc>
        <w:tc>
          <w:tcPr>
            <w:tcW w:w="3165" w:type="dxa"/>
            <w:tcBorders>
              <w:top w:val="single" w:sz="4" w:space="0" w:color="auto"/>
              <w:left w:val="single" w:sz="4" w:space="0" w:color="auto"/>
              <w:bottom w:val="single" w:sz="4" w:space="0" w:color="auto"/>
              <w:right w:val="single" w:sz="4" w:space="0" w:color="auto"/>
            </w:tcBorders>
            <w:noWrap/>
          </w:tcPr>
          <w:p w14:paraId="0229CBD1" w14:textId="77777777" w:rsidR="001929CC" w:rsidRPr="0085293F" w:rsidRDefault="001929CC" w:rsidP="001929CC">
            <w:pPr>
              <w:pStyle w:val="TableText"/>
              <w:rPr>
                <w:rFonts w:eastAsia="MS PGothic" w:cs="Segoe UI"/>
                <w:szCs w:val="17"/>
                <w:lang w:eastAsia="ja-JP"/>
              </w:rPr>
            </w:pPr>
          </w:p>
        </w:tc>
        <w:tc>
          <w:tcPr>
            <w:tcW w:w="3165" w:type="dxa"/>
            <w:tcBorders>
              <w:top w:val="single" w:sz="4" w:space="0" w:color="auto"/>
              <w:left w:val="single" w:sz="4" w:space="0" w:color="auto"/>
              <w:bottom w:val="single" w:sz="4" w:space="0" w:color="auto"/>
              <w:right w:val="single" w:sz="4" w:space="0" w:color="auto"/>
            </w:tcBorders>
            <w:noWrap/>
          </w:tcPr>
          <w:p w14:paraId="187CD051" w14:textId="77777777" w:rsidR="001929CC" w:rsidRPr="0085293F" w:rsidRDefault="001929CC" w:rsidP="001929CC">
            <w:pPr>
              <w:pStyle w:val="TableText"/>
              <w:rPr>
                <w:rFonts w:eastAsia="MS PGothic" w:cs="Segoe UI"/>
                <w:szCs w:val="17"/>
                <w:lang w:eastAsia="ja-JP"/>
              </w:rPr>
            </w:pPr>
          </w:p>
        </w:tc>
        <w:tc>
          <w:tcPr>
            <w:tcW w:w="3112" w:type="dxa"/>
            <w:tcBorders>
              <w:top w:val="single" w:sz="4" w:space="0" w:color="auto"/>
              <w:left w:val="single" w:sz="4" w:space="0" w:color="auto"/>
              <w:bottom w:val="single" w:sz="4" w:space="0" w:color="auto"/>
              <w:right w:val="single" w:sz="4" w:space="0" w:color="auto"/>
            </w:tcBorders>
            <w:noWrap/>
          </w:tcPr>
          <w:p w14:paraId="07508088" w14:textId="77777777" w:rsidR="001929CC" w:rsidRPr="0085293F" w:rsidRDefault="001929CC" w:rsidP="001929CC">
            <w:pPr>
              <w:pStyle w:val="TableText"/>
              <w:rPr>
                <w:rFonts w:eastAsia="MS PGothic" w:cs="Segoe UI"/>
                <w:szCs w:val="17"/>
                <w:lang w:eastAsia="ja-JP"/>
              </w:rPr>
            </w:pPr>
          </w:p>
        </w:tc>
      </w:tr>
    </w:tbl>
    <w:p w14:paraId="0ECAD227" w14:textId="77777777" w:rsidR="001929CC" w:rsidRPr="0085293F" w:rsidRDefault="001929CC" w:rsidP="001929CC">
      <w:pPr>
        <w:rPr>
          <w:rFonts w:cs="Segoe UI"/>
          <w:sz w:val="17"/>
          <w:szCs w:val="17"/>
        </w:rPr>
      </w:pPr>
    </w:p>
    <w:tbl>
      <w:tblPr>
        <w:tblW w:w="14166"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7"/>
        <w:gridCol w:w="4221"/>
        <w:gridCol w:w="2073"/>
        <w:gridCol w:w="2073"/>
        <w:gridCol w:w="2224"/>
        <w:gridCol w:w="3118"/>
      </w:tblGrid>
      <w:tr w:rsidR="001929CC" w:rsidRPr="0085293F" w14:paraId="013E5948" w14:textId="77777777" w:rsidTr="001929CC">
        <w:trPr>
          <w:trHeight w:val="283"/>
        </w:trPr>
        <w:tc>
          <w:tcPr>
            <w:tcW w:w="457" w:type="dxa"/>
            <w:tcBorders>
              <w:top w:val="single" w:sz="4" w:space="0" w:color="auto"/>
              <w:left w:val="nil"/>
              <w:bottom w:val="nil"/>
              <w:right w:val="single" w:sz="4" w:space="0" w:color="auto"/>
            </w:tcBorders>
          </w:tcPr>
          <w:p w14:paraId="15ECD7E5" w14:textId="77777777" w:rsidR="001929CC" w:rsidRPr="0085293F" w:rsidRDefault="001929CC" w:rsidP="001929CC">
            <w:pPr>
              <w:pStyle w:val="TableText"/>
              <w:rPr>
                <w:rFonts w:cs="Segoe UI"/>
                <w:szCs w:val="17"/>
                <w:lang w:eastAsia="en-GB"/>
              </w:rPr>
            </w:pPr>
            <w:r w:rsidRPr="0085293F">
              <w:rPr>
                <w:rFonts w:cs="Segoe UI"/>
                <w:szCs w:val="17"/>
              </w:rPr>
              <w:br w:type="page"/>
            </w:r>
          </w:p>
        </w:tc>
        <w:tc>
          <w:tcPr>
            <w:tcW w:w="4221" w:type="dxa"/>
            <w:tcBorders>
              <w:top w:val="single" w:sz="4" w:space="0" w:color="auto"/>
              <w:left w:val="single" w:sz="4" w:space="0" w:color="auto"/>
              <w:bottom w:val="single" w:sz="4" w:space="0" w:color="auto"/>
              <w:right w:val="single" w:sz="4" w:space="0" w:color="auto"/>
            </w:tcBorders>
            <w:noWrap/>
          </w:tcPr>
          <w:p w14:paraId="3A2328BC" w14:textId="77777777" w:rsidR="001929CC" w:rsidRPr="0085293F" w:rsidRDefault="001929CC" w:rsidP="001929CC">
            <w:pPr>
              <w:pStyle w:val="TableText"/>
              <w:rPr>
                <w:rFonts w:cs="Segoe UI"/>
                <w:szCs w:val="17"/>
                <w:lang w:eastAsia="en-GB"/>
              </w:rPr>
            </w:pPr>
          </w:p>
        </w:tc>
        <w:tc>
          <w:tcPr>
            <w:tcW w:w="2073" w:type="dxa"/>
            <w:tcBorders>
              <w:top w:val="single" w:sz="4" w:space="0" w:color="auto"/>
              <w:left w:val="single" w:sz="4" w:space="0" w:color="auto"/>
              <w:bottom w:val="single" w:sz="4" w:space="0" w:color="auto"/>
              <w:right w:val="single" w:sz="4" w:space="0" w:color="auto"/>
            </w:tcBorders>
            <w:noWrap/>
            <w:vAlign w:val="center"/>
            <w:hideMark/>
          </w:tcPr>
          <w:p w14:paraId="71DE8524"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20%</w:t>
            </w:r>
          </w:p>
        </w:tc>
        <w:tc>
          <w:tcPr>
            <w:tcW w:w="2073" w:type="dxa"/>
            <w:tcBorders>
              <w:top w:val="single" w:sz="4" w:space="0" w:color="auto"/>
              <w:left w:val="single" w:sz="4" w:space="0" w:color="auto"/>
              <w:bottom w:val="single" w:sz="4" w:space="0" w:color="auto"/>
              <w:right w:val="single" w:sz="4" w:space="0" w:color="auto"/>
            </w:tcBorders>
            <w:vAlign w:val="center"/>
          </w:tcPr>
          <w:p w14:paraId="00A6B5E9"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100%</w:t>
            </w:r>
          </w:p>
        </w:tc>
        <w:tc>
          <w:tcPr>
            <w:tcW w:w="2224" w:type="dxa"/>
            <w:tcBorders>
              <w:top w:val="single" w:sz="4" w:space="0" w:color="auto"/>
              <w:left w:val="single" w:sz="4" w:space="0" w:color="auto"/>
              <w:bottom w:val="single" w:sz="4" w:space="0" w:color="auto"/>
              <w:right w:val="single" w:sz="4" w:space="0" w:color="auto"/>
            </w:tcBorders>
            <w:noWrap/>
            <w:vAlign w:val="center"/>
            <w:hideMark/>
          </w:tcPr>
          <w:p w14:paraId="169D5AA1"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Other</w:t>
            </w:r>
          </w:p>
        </w:tc>
        <w:tc>
          <w:tcPr>
            <w:tcW w:w="3118" w:type="dxa"/>
            <w:tcBorders>
              <w:top w:val="single" w:sz="4" w:space="0" w:color="auto"/>
              <w:left w:val="single" w:sz="4" w:space="0" w:color="auto"/>
              <w:bottom w:val="single" w:sz="4" w:space="0" w:color="auto"/>
              <w:right w:val="single" w:sz="4" w:space="0" w:color="auto"/>
            </w:tcBorders>
            <w:noWrap/>
            <w:vAlign w:val="center"/>
            <w:hideMark/>
          </w:tcPr>
          <w:p w14:paraId="2DAA81B2" w14:textId="77777777" w:rsidR="001929CC" w:rsidRPr="0085293F" w:rsidRDefault="001929CC" w:rsidP="001929CC">
            <w:pPr>
              <w:pStyle w:val="TableText"/>
              <w:rPr>
                <w:rFonts w:cs="Segoe UI"/>
                <w:szCs w:val="17"/>
                <w:lang w:eastAsia="en-GB"/>
              </w:rPr>
            </w:pPr>
            <w:r w:rsidRPr="0085293F">
              <w:rPr>
                <w:rFonts w:cs="Segoe UI"/>
                <w:szCs w:val="17"/>
                <w:lang w:eastAsia="en-GB"/>
              </w:rPr>
              <w:t>Total credit exposure amount (post-CCF and post-CRM)</w:t>
            </w:r>
          </w:p>
        </w:tc>
      </w:tr>
      <w:tr w:rsidR="001929CC" w:rsidRPr="0085293F" w14:paraId="51DB74FF" w14:textId="77777777" w:rsidTr="001929CC">
        <w:trPr>
          <w:trHeight w:val="283"/>
        </w:trPr>
        <w:tc>
          <w:tcPr>
            <w:tcW w:w="457" w:type="dxa"/>
            <w:tcBorders>
              <w:top w:val="nil"/>
              <w:left w:val="nil"/>
              <w:bottom w:val="single" w:sz="4" w:space="0" w:color="auto"/>
              <w:right w:val="single" w:sz="4" w:space="0" w:color="auto"/>
            </w:tcBorders>
            <w:hideMark/>
          </w:tcPr>
          <w:p w14:paraId="4FF3BF30" w14:textId="77777777" w:rsidR="001929CC" w:rsidRPr="0085293F" w:rsidRDefault="001929CC" w:rsidP="001929CC">
            <w:pPr>
              <w:pStyle w:val="TableText"/>
              <w:rPr>
                <w:rFonts w:cs="Segoe UI"/>
                <w:szCs w:val="17"/>
                <w:lang w:eastAsia="en-GB"/>
              </w:rPr>
            </w:pPr>
            <w:r w:rsidRPr="0085293F">
              <w:rPr>
                <w:rFonts w:cs="Segoe UI"/>
                <w:szCs w:val="17"/>
                <w:lang w:eastAsia="en-GB"/>
              </w:rPr>
              <w:t>5</w:t>
            </w:r>
          </w:p>
        </w:tc>
        <w:tc>
          <w:tcPr>
            <w:tcW w:w="4221" w:type="dxa"/>
            <w:tcBorders>
              <w:top w:val="single" w:sz="4" w:space="0" w:color="auto"/>
              <w:left w:val="single" w:sz="4" w:space="0" w:color="auto"/>
              <w:bottom w:val="single" w:sz="4" w:space="0" w:color="auto"/>
              <w:right w:val="single" w:sz="4" w:space="0" w:color="auto"/>
            </w:tcBorders>
            <w:noWrap/>
            <w:hideMark/>
          </w:tcPr>
          <w:p w14:paraId="54FA7415" w14:textId="77777777" w:rsidR="001929CC" w:rsidRPr="0085293F" w:rsidRDefault="001929CC" w:rsidP="001929CC">
            <w:pPr>
              <w:pStyle w:val="TableText"/>
              <w:rPr>
                <w:rFonts w:cs="Segoe UI"/>
                <w:szCs w:val="17"/>
                <w:lang w:eastAsia="en-GB"/>
              </w:rPr>
            </w:pPr>
            <w:r w:rsidRPr="0085293F">
              <w:rPr>
                <w:rFonts w:cs="Segoe UI"/>
                <w:szCs w:val="17"/>
                <w:lang w:eastAsia="en-GB"/>
              </w:rPr>
              <w:t>Bank exposures</w:t>
            </w:r>
          </w:p>
        </w:tc>
        <w:tc>
          <w:tcPr>
            <w:tcW w:w="2073" w:type="dxa"/>
            <w:tcBorders>
              <w:top w:val="single" w:sz="4" w:space="0" w:color="auto"/>
              <w:left w:val="single" w:sz="4" w:space="0" w:color="auto"/>
              <w:bottom w:val="single" w:sz="4" w:space="0" w:color="auto"/>
              <w:right w:val="single" w:sz="4" w:space="0" w:color="auto"/>
            </w:tcBorders>
            <w:noWrap/>
          </w:tcPr>
          <w:p w14:paraId="27443CF2" w14:textId="77777777" w:rsidR="001929CC" w:rsidRPr="0085293F" w:rsidRDefault="001929CC" w:rsidP="001929CC">
            <w:pPr>
              <w:pStyle w:val="TableText"/>
              <w:rPr>
                <w:rFonts w:eastAsia="MS PGothic" w:cs="Segoe UI"/>
                <w:szCs w:val="17"/>
                <w:lang w:eastAsia="ja-JP"/>
              </w:rPr>
            </w:pPr>
          </w:p>
        </w:tc>
        <w:tc>
          <w:tcPr>
            <w:tcW w:w="2073" w:type="dxa"/>
            <w:tcBorders>
              <w:top w:val="single" w:sz="4" w:space="0" w:color="auto"/>
              <w:left w:val="single" w:sz="4" w:space="0" w:color="auto"/>
              <w:bottom w:val="single" w:sz="4" w:space="0" w:color="auto"/>
              <w:right w:val="single" w:sz="4" w:space="0" w:color="auto"/>
            </w:tcBorders>
          </w:tcPr>
          <w:p w14:paraId="7FE2D84B" w14:textId="77777777" w:rsidR="001929CC" w:rsidRPr="0085293F" w:rsidRDefault="001929CC" w:rsidP="001929CC">
            <w:pPr>
              <w:pStyle w:val="TableText"/>
              <w:rPr>
                <w:rFonts w:eastAsia="MS PGothic" w:cs="Segoe UI"/>
                <w:szCs w:val="17"/>
                <w:lang w:eastAsia="ja-JP"/>
              </w:rPr>
            </w:pPr>
          </w:p>
        </w:tc>
        <w:tc>
          <w:tcPr>
            <w:tcW w:w="2224" w:type="dxa"/>
            <w:tcBorders>
              <w:top w:val="single" w:sz="4" w:space="0" w:color="auto"/>
              <w:left w:val="single" w:sz="4" w:space="0" w:color="auto"/>
              <w:bottom w:val="single" w:sz="4" w:space="0" w:color="auto"/>
              <w:right w:val="single" w:sz="4" w:space="0" w:color="auto"/>
            </w:tcBorders>
            <w:noWrap/>
          </w:tcPr>
          <w:p w14:paraId="3C90A0EB" w14:textId="77777777" w:rsidR="001929CC" w:rsidRPr="0085293F" w:rsidRDefault="001929CC" w:rsidP="001929CC">
            <w:pPr>
              <w:pStyle w:val="TableText"/>
              <w:rPr>
                <w:rFonts w:eastAsia="MS PGothic" w:cs="Segoe UI"/>
                <w:szCs w:val="17"/>
                <w:lang w:eastAsia="ja-JP"/>
              </w:rPr>
            </w:pPr>
          </w:p>
        </w:tc>
        <w:tc>
          <w:tcPr>
            <w:tcW w:w="3118" w:type="dxa"/>
            <w:tcBorders>
              <w:top w:val="single" w:sz="4" w:space="0" w:color="auto"/>
              <w:left w:val="single" w:sz="4" w:space="0" w:color="auto"/>
              <w:bottom w:val="single" w:sz="4" w:space="0" w:color="auto"/>
              <w:right w:val="single" w:sz="4" w:space="0" w:color="auto"/>
            </w:tcBorders>
            <w:noWrap/>
          </w:tcPr>
          <w:p w14:paraId="137A31F6" w14:textId="77777777" w:rsidR="001929CC" w:rsidRPr="0085293F" w:rsidRDefault="001929CC" w:rsidP="001929CC">
            <w:pPr>
              <w:pStyle w:val="TableText"/>
              <w:rPr>
                <w:rFonts w:eastAsia="MS PGothic" w:cs="Segoe UI"/>
                <w:szCs w:val="17"/>
                <w:lang w:eastAsia="ja-JP"/>
              </w:rPr>
            </w:pPr>
          </w:p>
        </w:tc>
      </w:tr>
    </w:tbl>
    <w:p w14:paraId="6B24312D" w14:textId="77777777" w:rsidR="001929CC" w:rsidRDefault="001929CC" w:rsidP="001929CC">
      <w:pPr>
        <w:spacing w:before="40" w:after="40"/>
        <w:rPr>
          <w:rFonts w:cs="Segoe UI"/>
          <w:sz w:val="17"/>
          <w:szCs w:val="17"/>
          <w:u w:val="single"/>
        </w:rPr>
      </w:pPr>
    </w:p>
    <w:p w14:paraId="667F83AE" w14:textId="77777777" w:rsidR="001929CC" w:rsidRPr="0085293F" w:rsidRDefault="001929CC" w:rsidP="001929CC">
      <w:pPr>
        <w:spacing w:before="40" w:after="40"/>
        <w:rPr>
          <w:rFonts w:cs="Segoe UI"/>
          <w:sz w:val="17"/>
          <w:szCs w:val="17"/>
          <w:u w:val="single"/>
        </w:rPr>
      </w:pPr>
    </w:p>
    <w:tbl>
      <w:tblPr>
        <w:tblW w:w="14166"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61"/>
        <w:gridCol w:w="4263"/>
        <w:gridCol w:w="2374"/>
        <w:gridCol w:w="2374"/>
        <w:gridCol w:w="1582"/>
        <w:gridCol w:w="3112"/>
      </w:tblGrid>
      <w:tr w:rsidR="001929CC" w:rsidRPr="0085293F" w14:paraId="26B2B682" w14:textId="77777777" w:rsidTr="001929CC">
        <w:trPr>
          <w:trHeight w:val="283"/>
        </w:trPr>
        <w:tc>
          <w:tcPr>
            <w:tcW w:w="461" w:type="dxa"/>
            <w:tcBorders>
              <w:top w:val="single" w:sz="4" w:space="0" w:color="auto"/>
              <w:left w:val="nil"/>
              <w:bottom w:val="nil"/>
              <w:right w:val="single" w:sz="4" w:space="0" w:color="auto"/>
            </w:tcBorders>
          </w:tcPr>
          <w:p w14:paraId="44EB9FA0" w14:textId="77777777" w:rsidR="001929CC" w:rsidRPr="0085293F" w:rsidRDefault="001929CC" w:rsidP="001929CC">
            <w:pPr>
              <w:pStyle w:val="TableText"/>
              <w:rPr>
                <w:rFonts w:cs="Segoe UI"/>
                <w:szCs w:val="17"/>
                <w:lang w:eastAsia="en-GB"/>
              </w:rPr>
            </w:pPr>
          </w:p>
        </w:tc>
        <w:tc>
          <w:tcPr>
            <w:tcW w:w="4263" w:type="dxa"/>
            <w:tcBorders>
              <w:top w:val="single" w:sz="4" w:space="0" w:color="auto"/>
              <w:left w:val="single" w:sz="4" w:space="0" w:color="auto"/>
              <w:bottom w:val="single" w:sz="4" w:space="0" w:color="auto"/>
              <w:right w:val="single" w:sz="4" w:space="0" w:color="auto"/>
            </w:tcBorders>
            <w:noWrap/>
          </w:tcPr>
          <w:p w14:paraId="1E5788CE" w14:textId="77777777" w:rsidR="001929CC" w:rsidRPr="0085293F" w:rsidRDefault="001929CC" w:rsidP="001929CC">
            <w:pPr>
              <w:pStyle w:val="TableText"/>
              <w:rPr>
                <w:rFonts w:cs="Segoe UI"/>
                <w:szCs w:val="17"/>
                <w:lang w:eastAsia="en-GB"/>
              </w:rPr>
            </w:pPr>
          </w:p>
        </w:tc>
        <w:tc>
          <w:tcPr>
            <w:tcW w:w="2374" w:type="dxa"/>
            <w:tcBorders>
              <w:top w:val="single" w:sz="4" w:space="0" w:color="auto"/>
              <w:left w:val="single" w:sz="4" w:space="0" w:color="auto"/>
              <w:bottom w:val="single" w:sz="4" w:space="0" w:color="auto"/>
              <w:right w:val="single" w:sz="4" w:space="0" w:color="auto"/>
            </w:tcBorders>
            <w:noWrap/>
            <w:vAlign w:val="center"/>
            <w:hideMark/>
          </w:tcPr>
          <w:p w14:paraId="1F280BD9"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10%</w:t>
            </w:r>
          </w:p>
        </w:tc>
        <w:tc>
          <w:tcPr>
            <w:tcW w:w="2374" w:type="dxa"/>
            <w:tcBorders>
              <w:top w:val="single" w:sz="4" w:space="0" w:color="auto"/>
              <w:left w:val="single" w:sz="4" w:space="0" w:color="auto"/>
              <w:bottom w:val="single" w:sz="4" w:space="0" w:color="auto"/>
              <w:right w:val="single" w:sz="4" w:space="0" w:color="auto"/>
            </w:tcBorders>
            <w:vAlign w:val="center"/>
          </w:tcPr>
          <w:p w14:paraId="5E5B4278"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50%</w:t>
            </w:r>
          </w:p>
        </w:tc>
        <w:tc>
          <w:tcPr>
            <w:tcW w:w="1582" w:type="dxa"/>
            <w:tcBorders>
              <w:top w:val="single" w:sz="4" w:space="0" w:color="auto"/>
              <w:left w:val="single" w:sz="4" w:space="0" w:color="auto"/>
              <w:bottom w:val="single" w:sz="4" w:space="0" w:color="auto"/>
              <w:right w:val="single" w:sz="4" w:space="0" w:color="auto"/>
            </w:tcBorders>
            <w:noWrap/>
            <w:vAlign w:val="center"/>
            <w:hideMark/>
          </w:tcPr>
          <w:p w14:paraId="6E11F019"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Other</w:t>
            </w:r>
          </w:p>
        </w:tc>
        <w:tc>
          <w:tcPr>
            <w:tcW w:w="3112" w:type="dxa"/>
            <w:tcBorders>
              <w:top w:val="single" w:sz="4" w:space="0" w:color="auto"/>
              <w:left w:val="single" w:sz="4" w:space="0" w:color="auto"/>
              <w:bottom w:val="single" w:sz="4" w:space="0" w:color="auto"/>
              <w:right w:val="single" w:sz="4" w:space="0" w:color="auto"/>
            </w:tcBorders>
            <w:noWrap/>
            <w:vAlign w:val="center"/>
            <w:hideMark/>
          </w:tcPr>
          <w:p w14:paraId="4134EE9C" w14:textId="77777777" w:rsidR="001929CC" w:rsidRPr="0085293F" w:rsidRDefault="001929CC" w:rsidP="001929CC">
            <w:pPr>
              <w:pStyle w:val="TableText"/>
              <w:rPr>
                <w:rFonts w:eastAsia="MS PGothic" w:cs="Segoe UI"/>
                <w:szCs w:val="17"/>
                <w:lang w:eastAsia="ja-JP"/>
              </w:rPr>
            </w:pPr>
            <w:r w:rsidRPr="0085293F">
              <w:rPr>
                <w:rFonts w:cs="Segoe UI"/>
                <w:szCs w:val="17"/>
                <w:lang w:eastAsia="en-GB"/>
              </w:rPr>
              <w:t>Total credit exposure amount (post-CCF and post-CRM)</w:t>
            </w:r>
          </w:p>
        </w:tc>
      </w:tr>
      <w:tr w:rsidR="001929CC" w:rsidRPr="0085293F" w14:paraId="5C771F00" w14:textId="77777777" w:rsidTr="001929CC">
        <w:trPr>
          <w:trHeight w:val="283"/>
        </w:trPr>
        <w:tc>
          <w:tcPr>
            <w:tcW w:w="461" w:type="dxa"/>
            <w:tcBorders>
              <w:top w:val="nil"/>
              <w:left w:val="nil"/>
              <w:bottom w:val="single" w:sz="6" w:space="0" w:color="000000"/>
              <w:right w:val="single" w:sz="4" w:space="0" w:color="auto"/>
            </w:tcBorders>
            <w:hideMark/>
          </w:tcPr>
          <w:p w14:paraId="311058EB" w14:textId="77777777" w:rsidR="001929CC" w:rsidRPr="0085293F" w:rsidRDefault="001929CC" w:rsidP="001929CC">
            <w:pPr>
              <w:pStyle w:val="TableText"/>
              <w:rPr>
                <w:rFonts w:cs="Segoe UI"/>
                <w:szCs w:val="17"/>
                <w:lang w:eastAsia="en-GB"/>
              </w:rPr>
            </w:pPr>
            <w:r w:rsidRPr="0085293F">
              <w:rPr>
                <w:rFonts w:cs="Segoe UI"/>
                <w:szCs w:val="17"/>
                <w:lang w:eastAsia="en-GB"/>
              </w:rPr>
              <w:t>6</w:t>
            </w:r>
          </w:p>
        </w:tc>
        <w:tc>
          <w:tcPr>
            <w:tcW w:w="4263" w:type="dxa"/>
            <w:tcBorders>
              <w:top w:val="single" w:sz="4" w:space="0" w:color="auto"/>
              <w:left w:val="single" w:sz="4" w:space="0" w:color="auto"/>
              <w:bottom w:val="single" w:sz="4" w:space="0" w:color="auto"/>
              <w:right w:val="single" w:sz="4" w:space="0" w:color="auto"/>
            </w:tcBorders>
            <w:noWrap/>
            <w:hideMark/>
          </w:tcPr>
          <w:p w14:paraId="5B2FF1FB" w14:textId="77777777" w:rsidR="001929CC" w:rsidRPr="0085293F" w:rsidRDefault="001929CC" w:rsidP="001929CC">
            <w:pPr>
              <w:pStyle w:val="TableText"/>
              <w:rPr>
                <w:rFonts w:cs="Segoe UI"/>
                <w:szCs w:val="17"/>
                <w:lang w:eastAsia="en-GB"/>
              </w:rPr>
            </w:pPr>
            <w:r w:rsidRPr="0085293F">
              <w:rPr>
                <w:rFonts w:cs="Segoe UI"/>
                <w:szCs w:val="17"/>
                <w:lang w:eastAsia="en-GB"/>
              </w:rPr>
              <w:t>Eligible covered bond exposures</w:t>
            </w:r>
          </w:p>
        </w:tc>
        <w:tc>
          <w:tcPr>
            <w:tcW w:w="2374" w:type="dxa"/>
            <w:tcBorders>
              <w:top w:val="single" w:sz="4" w:space="0" w:color="auto"/>
              <w:left w:val="single" w:sz="4" w:space="0" w:color="auto"/>
              <w:bottom w:val="single" w:sz="4" w:space="0" w:color="auto"/>
              <w:right w:val="single" w:sz="4" w:space="0" w:color="auto"/>
            </w:tcBorders>
            <w:noWrap/>
          </w:tcPr>
          <w:p w14:paraId="59631661" w14:textId="77777777" w:rsidR="001929CC" w:rsidRPr="0085293F" w:rsidRDefault="001929CC" w:rsidP="001929CC">
            <w:pPr>
              <w:pStyle w:val="TableText"/>
              <w:rPr>
                <w:rFonts w:eastAsia="MS PGothic" w:cs="Segoe UI"/>
                <w:szCs w:val="17"/>
                <w:lang w:eastAsia="ja-JP"/>
              </w:rPr>
            </w:pPr>
          </w:p>
        </w:tc>
        <w:tc>
          <w:tcPr>
            <w:tcW w:w="2374" w:type="dxa"/>
            <w:tcBorders>
              <w:top w:val="single" w:sz="4" w:space="0" w:color="auto"/>
              <w:left w:val="single" w:sz="4" w:space="0" w:color="auto"/>
              <w:bottom w:val="single" w:sz="4" w:space="0" w:color="auto"/>
              <w:right w:val="single" w:sz="4" w:space="0" w:color="auto"/>
            </w:tcBorders>
          </w:tcPr>
          <w:p w14:paraId="495E6C2B" w14:textId="77777777" w:rsidR="001929CC" w:rsidRPr="0085293F" w:rsidRDefault="001929CC" w:rsidP="001929CC">
            <w:pPr>
              <w:pStyle w:val="TableText"/>
              <w:rPr>
                <w:rFonts w:eastAsia="MS PGothic" w:cs="Segoe UI"/>
                <w:szCs w:val="17"/>
                <w:lang w:eastAsia="ja-JP"/>
              </w:rPr>
            </w:pPr>
          </w:p>
        </w:tc>
        <w:tc>
          <w:tcPr>
            <w:tcW w:w="1582" w:type="dxa"/>
            <w:tcBorders>
              <w:top w:val="single" w:sz="4" w:space="0" w:color="auto"/>
              <w:left w:val="single" w:sz="4" w:space="0" w:color="auto"/>
              <w:bottom w:val="single" w:sz="4" w:space="0" w:color="auto"/>
              <w:right w:val="single" w:sz="4" w:space="0" w:color="auto"/>
            </w:tcBorders>
            <w:noWrap/>
          </w:tcPr>
          <w:p w14:paraId="46687ACC" w14:textId="77777777" w:rsidR="001929CC" w:rsidRPr="0085293F" w:rsidRDefault="001929CC" w:rsidP="001929CC">
            <w:pPr>
              <w:pStyle w:val="TableText"/>
              <w:rPr>
                <w:rFonts w:eastAsia="MS PGothic" w:cs="Segoe UI"/>
                <w:szCs w:val="17"/>
                <w:lang w:eastAsia="ja-JP"/>
              </w:rPr>
            </w:pPr>
          </w:p>
        </w:tc>
        <w:tc>
          <w:tcPr>
            <w:tcW w:w="3112" w:type="dxa"/>
            <w:tcBorders>
              <w:top w:val="single" w:sz="4" w:space="0" w:color="auto"/>
              <w:left w:val="single" w:sz="4" w:space="0" w:color="auto"/>
              <w:bottom w:val="single" w:sz="4" w:space="0" w:color="auto"/>
              <w:right w:val="single" w:sz="4" w:space="0" w:color="auto"/>
            </w:tcBorders>
            <w:noWrap/>
          </w:tcPr>
          <w:p w14:paraId="313BC165" w14:textId="77777777" w:rsidR="001929CC" w:rsidRPr="0085293F" w:rsidRDefault="001929CC" w:rsidP="001929CC">
            <w:pPr>
              <w:pStyle w:val="TableText"/>
              <w:rPr>
                <w:rFonts w:eastAsia="MS PGothic" w:cs="Segoe UI"/>
                <w:szCs w:val="17"/>
                <w:lang w:eastAsia="ja-JP"/>
              </w:rPr>
            </w:pPr>
          </w:p>
        </w:tc>
      </w:tr>
    </w:tbl>
    <w:p w14:paraId="60ED1EA3" w14:textId="77777777" w:rsidR="001929CC" w:rsidRPr="0085293F" w:rsidRDefault="001929CC" w:rsidP="001929CC">
      <w:pPr>
        <w:spacing w:before="40" w:after="40"/>
        <w:rPr>
          <w:rFonts w:cs="Segoe UI"/>
          <w:sz w:val="17"/>
          <w:szCs w:val="17"/>
          <w:u w:val="single"/>
        </w:rPr>
      </w:pPr>
    </w:p>
    <w:tbl>
      <w:tblPr>
        <w:tblW w:w="14166"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61"/>
        <w:gridCol w:w="4263"/>
        <w:gridCol w:w="4748"/>
        <w:gridCol w:w="1582"/>
        <w:gridCol w:w="3112"/>
      </w:tblGrid>
      <w:tr w:rsidR="00092E43" w:rsidRPr="0085293F" w14:paraId="240E8D1A" w14:textId="77777777" w:rsidTr="001929CC">
        <w:trPr>
          <w:trHeight w:val="283"/>
        </w:trPr>
        <w:tc>
          <w:tcPr>
            <w:tcW w:w="461" w:type="dxa"/>
            <w:tcBorders>
              <w:top w:val="single" w:sz="4" w:space="0" w:color="auto"/>
              <w:left w:val="nil"/>
              <w:bottom w:val="nil"/>
              <w:right w:val="single" w:sz="4" w:space="0" w:color="auto"/>
            </w:tcBorders>
          </w:tcPr>
          <w:p w14:paraId="03BD32AD" w14:textId="77777777" w:rsidR="00092E43" w:rsidRPr="0085293F" w:rsidRDefault="00092E43" w:rsidP="00092E43">
            <w:pPr>
              <w:pStyle w:val="TableText"/>
              <w:rPr>
                <w:rFonts w:cs="Segoe UI"/>
                <w:szCs w:val="17"/>
                <w:lang w:eastAsia="en-GB"/>
              </w:rPr>
            </w:pPr>
          </w:p>
        </w:tc>
        <w:tc>
          <w:tcPr>
            <w:tcW w:w="4263" w:type="dxa"/>
            <w:tcBorders>
              <w:top w:val="single" w:sz="4" w:space="0" w:color="auto"/>
              <w:left w:val="single" w:sz="4" w:space="0" w:color="auto"/>
              <w:bottom w:val="single" w:sz="4" w:space="0" w:color="auto"/>
              <w:right w:val="single" w:sz="4" w:space="0" w:color="auto"/>
            </w:tcBorders>
            <w:noWrap/>
          </w:tcPr>
          <w:p w14:paraId="0C4DDA10" w14:textId="77777777" w:rsidR="00092E43" w:rsidRPr="0085293F" w:rsidRDefault="00092E43" w:rsidP="00092E43">
            <w:pPr>
              <w:pStyle w:val="TableText"/>
              <w:rPr>
                <w:rFonts w:cs="Segoe UI"/>
                <w:szCs w:val="17"/>
                <w:lang w:eastAsia="en-GB"/>
              </w:rPr>
            </w:pPr>
          </w:p>
        </w:tc>
        <w:tc>
          <w:tcPr>
            <w:tcW w:w="4748" w:type="dxa"/>
            <w:tcBorders>
              <w:top w:val="single" w:sz="4" w:space="0" w:color="auto"/>
              <w:left w:val="single" w:sz="4" w:space="0" w:color="auto"/>
              <w:bottom w:val="single" w:sz="4" w:space="0" w:color="auto"/>
              <w:right w:val="single" w:sz="4" w:space="0" w:color="auto"/>
            </w:tcBorders>
            <w:noWrap/>
            <w:vAlign w:val="center"/>
            <w:hideMark/>
          </w:tcPr>
          <w:p w14:paraId="21B348AB" w14:textId="5C3116E8" w:rsidR="00092E43" w:rsidRPr="0085293F" w:rsidRDefault="00092E43" w:rsidP="00092E43">
            <w:pPr>
              <w:pStyle w:val="TableText"/>
              <w:jc w:val="center"/>
              <w:rPr>
                <w:rFonts w:eastAsia="MS PGothic" w:cs="Segoe UI"/>
                <w:szCs w:val="17"/>
                <w:lang w:eastAsia="ja-JP"/>
              </w:rPr>
            </w:pPr>
            <w:r w:rsidRPr="003A2C33">
              <w:rPr>
                <w:rFonts w:eastAsia="MS PGothic" w:cs="Segoe UI"/>
                <w:szCs w:val="17"/>
                <w:lang w:eastAsia="ja-JP"/>
              </w:rPr>
              <w:t>0%</w:t>
            </w:r>
          </w:p>
        </w:tc>
        <w:tc>
          <w:tcPr>
            <w:tcW w:w="1582" w:type="dxa"/>
            <w:tcBorders>
              <w:top w:val="single" w:sz="4" w:space="0" w:color="auto"/>
              <w:left w:val="single" w:sz="4" w:space="0" w:color="auto"/>
              <w:bottom w:val="single" w:sz="4" w:space="0" w:color="auto"/>
              <w:right w:val="single" w:sz="4" w:space="0" w:color="auto"/>
            </w:tcBorders>
            <w:noWrap/>
            <w:vAlign w:val="center"/>
            <w:hideMark/>
          </w:tcPr>
          <w:p w14:paraId="75F78C14" w14:textId="77777777" w:rsidR="00092E43" w:rsidRPr="0085293F" w:rsidRDefault="00092E43" w:rsidP="00092E43">
            <w:pPr>
              <w:pStyle w:val="TableText"/>
              <w:jc w:val="center"/>
              <w:rPr>
                <w:rFonts w:eastAsia="MS PGothic" w:cs="Segoe UI"/>
                <w:szCs w:val="17"/>
                <w:lang w:eastAsia="ja-JP"/>
              </w:rPr>
            </w:pPr>
            <w:r w:rsidRPr="0085293F">
              <w:rPr>
                <w:rFonts w:eastAsia="MS PGothic" w:cs="Segoe UI"/>
                <w:szCs w:val="17"/>
                <w:lang w:eastAsia="ja-JP"/>
              </w:rPr>
              <w:t>Other</w:t>
            </w:r>
          </w:p>
        </w:tc>
        <w:tc>
          <w:tcPr>
            <w:tcW w:w="3112" w:type="dxa"/>
            <w:tcBorders>
              <w:top w:val="single" w:sz="4" w:space="0" w:color="auto"/>
              <w:left w:val="single" w:sz="4" w:space="0" w:color="auto"/>
              <w:bottom w:val="single" w:sz="4" w:space="0" w:color="auto"/>
              <w:right w:val="single" w:sz="4" w:space="0" w:color="auto"/>
            </w:tcBorders>
            <w:noWrap/>
            <w:vAlign w:val="center"/>
            <w:hideMark/>
          </w:tcPr>
          <w:p w14:paraId="34C5D1CE" w14:textId="77777777" w:rsidR="00092E43" w:rsidRPr="0085293F" w:rsidRDefault="00092E43" w:rsidP="00092E43">
            <w:pPr>
              <w:pStyle w:val="TableText"/>
              <w:rPr>
                <w:rFonts w:eastAsia="MS PGothic" w:cs="Segoe UI"/>
                <w:szCs w:val="17"/>
                <w:lang w:eastAsia="ja-JP"/>
              </w:rPr>
            </w:pPr>
            <w:r w:rsidRPr="0085293F">
              <w:rPr>
                <w:rFonts w:cs="Segoe UI"/>
                <w:szCs w:val="17"/>
                <w:lang w:eastAsia="en-GB"/>
              </w:rPr>
              <w:t>Total credit exposure amount (post-CCF and post-CRM)</w:t>
            </w:r>
          </w:p>
        </w:tc>
      </w:tr>
      <w:tr w:rsidR="00092E43" w:rsidRPr="0085293F" w14:paraId="542B7359" w14:textId="77777777" w:rsidTr="00092E43">
        <w:trPr>
          <w:trHeight w:val="283"/>
        </w:trPr>
        <w:tc>
          <w:tcPr>
            <w:tcW w:w="461" w:type="dxa"/>
            <w:tcBorders>
              <w:top w:val="nil"/>
              <w:left w:val="nil"/>
              <w:bottom w:val="single" w:sz="6" w:space="0" w:color="000000"/>
              <w:right w:val="single" w:sz="4" w:space="0" w:color="auto"/>
            </w:tcBorders>
            <w:hideMark/>
          </w:tcPr>
          <w:p w14:paraId="5D47D9F0" w14:textId="77777777" w:rsidR="00092E43" w:rsidRPr="0085293F" w:rsidRDefault="00092E43" w:rsidP="00092E43">
            <w:pPr>
              <w:pStyle w:val="TableText"/>
              <w:rPr>
                <w:rFonts w:cs="Segoe UI"/>
                <w:szCs w:val="17"/>
                <w:lang w:eastAsia="en-GB"/>
              </w:rPr>
            </w:pPr>
            <w:r w:rsidRPr="0085293F">
              <w:rPr>
                <w:rFonts w:cs="Segoe UI"/>
                <w:szCs w:val="17"/>
                <w:lang w:eastAsia="en-GB"/>
              </w:rPr>
              <w:t>7</w:t>
            </w:r>
          </w:p>
        </w:tc>
        <w:tc>
          <w:tcPr>
            <w:tcW w:w="4263" w:type="dxa"/>
            <w:tcBorders>
              <w:top w:val="single" w:sz="4" w:space="0" w:color="auto"/>
              <w:left w:val="single" w:sz="4" w:space="0" w:color="auto"/>
              <w:bottom w:val="single" w:sz="4" w:space="0" w:color="auto"/>
              <w:right w:val="single" w:sz="4" w:space="0" w:color="auto"/>
            </w:tcBorders>
            <w:noWrap/>
          </w:tcPr>
          <w:p w14:paraId="2880AE92" w14:textId="62489959" w:rsidR="00092E43" w:rsidRPr="007212CC" w:rsidRDefault="00092E43" w:rsidP="00092E43">
            <w:pPr>
              <w:pStyle w:val="TableText"/>
              <w:rPr>
                <w:rFonts w:cs="Segoe UI"/>
                <w:szCs w:val="17"/>
                <w:lang w:eastAsia="en-GB"/>
              </w:rPr>
            </w:pPr>
            <w:r w:rsidRPr="00970646">
              <w:rPr>
                <w:rFonts w:cs="Segoe UI"/>
                <w:szCs w:val="17"/>
                <w:lang w:eastAsia="en-GB"/>
              </w:rPr>
              <w:t>Exposures arising from IPO financing</w:t>
            </w:r>
          </w:p>
        </w:tc>
        <w:tc>
          <w:tcPr>
            <w:tcW w:w="4748" w:type="dxa"/>
            <w:tcBorders>
              <w:top w:val="single" w:sz="4" w:space="0" w:color="auto"/>
              <w:left w:val="single" w:sz="4" w:space="0" w:color="auto"/>
              <w:bottom w:val="single" w:sz="4" w:space="0" w:color="auto"/>
              <w:right w:val="single" w:sz="4" w:space="0" w:color="auto"/>
            </w:tcBorders>
            <w:noWrap/>
          </w:tcPr>
          <w:p w14:paraId="6BB5DD78" w14:textId="77777777" w:rsidR="00092E43" w:rsidRPr="0085293F" w:rsidRDefault="00092E43" w:rsidP="00092E43">
            <w:pPr>
              <w:pStyle w:val="TableText"/>
              <w:rPr>
                <w:rFonts w:eastAsia="MS PGothic" w:cs="Segoe UI"/>
                <w:szCs w:val="17"/>
                <w:lang w:eastAsia="ja-JP"/>
              </w:rPr>
            </w:pPr>
          </w:p>
        </w:tc>
        <w:tc>
          <w:tcPr>
            <w:tcW w:w="1582" w:type="dxa"/>
            <w:tcBorders>
              <w:top w:val="single" w:sz="4" w:space="0" w:color="auto"/>
              <w:left w:val="single" w:sz="4" w:space="0" w:color="auto"/>
              <w:bottom w:val="single" w:sz="4" w:space="0" w:color="auto"/>
              <w:right w:val="single" w:sz="4" w:space="0" w:color="auto"/>
            </w:tcBorders>
            <w:noWrap/>
          </w:tcPr>
          <w:p w14:paraId="3AFE3AE8" w14:textId="77777777" w:rsidR="00092E43" w:rsidRPr="0085293F" w:rsidRDefault="00092E43" w:rsidP="00092E43">
            <w:pPr>
              <w:pStyle w:val="TableText"/>
              <w:rPr>
                <w:rFonts w:eastAsia="MS PGothic" w:cs="Segoe UI"/>
                <w:szCs w:val="17"/>
                <w:lang w:eastAsia="ja-JP"/>
              </w:rPr>
            </w:pPr>
          </w:p>
        </w:tc>
        <w:tc>
          <w:tcPr>
            <w:tcW w:w="3112" w:type="dxa"/>
            <w:tcBorders>
              <w:top w:val="single" w:sz="4" w:space="0" w:color="auto"/>
              <w:left w:val="single" w:sz="4" w:space="0" w:color="auto"/>
              <w:bottom w:val="single" w:sz="4" w:space="0" w:color="auto"/>
              <w:right w:val="single" w:sz="4" w:space="0" w:color="auto"/>
            </w:tcBorders>
            <w:noWrap/>
          </w:tcPr>
          <w:p w14:paraId="4626A8ED" w14:textId="77777777" w:rsidR="00092E43" w:rsidRPr="0085293F" w:rsidRDefault="00092E43" w:rsidP="00092E43">
            <w:pPr>
              <w:pStyle w:val="TableText"/>
              <w:rPr>
                <w:rFonts w:eastAsia="MS PGothic" w:cs="Segoe UI"/>
                <w:szCs w:val="17"/>
                <w:lang w:eastAsia="ja-JP"/>
              </w:rPr>
            </w:pPr>
          </w:p>
        </w:tc>
      </w:tr>
    </w:tbl>
    <w:p w14:paraId="21F502B6" w14:textId="77777777" w:rsidR="001929CC" w:rsidRPr="0085293F" w:rsidRDefault="001929CC" w:rsidP="001929CC">
      <w:pPr>
        <w:spacing w:before="40" w:after="40"/>
        <w:rPr>
          <w:rFonts w:cs="Segoe UI"/>
          <w:sz w:val="17"/>
          <w:szCs w:val="17"/>
          <w:u w:val="single"/>
        </w:rPr>
      </w:pPr>
    </w:p>
    <w:tbl>
      <w:tblPr>
        <w:tblW w:w="14166"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9"/>
        <w:gridCol w:w="4352"/>
        <w:gridCol w:w="891"/>
        <w:gridCol w:w="891"/>
        <w:gridCol w:w="891"/>
        <w:gridCol w:w="891"/>
        <w:gridCol w:w="891"/>
        <w:gridCol w:w="891"/>
        <w:gridCol w:w="891"/>
        <w:gridCol w:w="3118"/>
      </w:tblGrid>
      <w:tr w:rsidR="001929CC" w:rsidRPr="0085293F" w14:paraId="222E1B7C" w14:textId="77777777" w:rsidTr="003A79BA">
        <w:trPr>
          <w:cantSplit/>
          <w:trHeight w:val="1134"/>
        </w:trPr>
        <w:tc>
          <w:tcPr>
            <w:tcW w:w="459" w:type="dxa"/>
            <w:tcBorders>
              <w:top w:val="single" w:sz="4" w:space="0" w:color="auto"/>
              <w:left w:val="nil"/>
              <w:bottom w:val="nil"/>
              <w:right w:val="single" w:sz="4" w:space="0" w:color="auto"/>
            </w:tcBorders>
          </w:tcPr>
          <w:p w14:paraId="4F75D0BD" w14:textId="77777777" w:rsidR="001929CC" w:rsidRPr="0085293F" w:rsidRDefault="001929CC" w:rsidP="001929CC">
            <w:pPr>
              <w:pStyle w:val="TableText"/>
              <w:rPr>
                <w:rFonts w:cs="Segoe UI"/>
                <w:szCs w:val="17"/>
                <w:lang w:eastAsia="en-GB"/>
              </w:rPr>
            </w:pPr>
          </w:p>
        </w:tc>
        <w:tc>
          <w:tcPr>
            <w:tcW w:w="4352" w:type="dxa"/>
            <w:tcBorders>
              <w:top w:val="single" w:sz="4" w:space="0" w:color="auto"/>
              <w:left w:val="single" w:sz="4" w:space="0" w:color="auto"/>
              <w:bottom w:val="single" w:sz="4" w:space="0" w:color="auto"/>
              <w:right w:val="single" w:sz="4" w:space="0" w:color="auto"/>
            </w:tcBorders>
            <w:noWrap/>
          </w:tcPr>
          <w:p w14:paraId="75D5CD94" w14:textId="77777777" w:rsidR="001929CC" w:rsidRPr="0085293F" w:rsidRDefault="001929CC" w:rsidP="001929CC">
            <w:pPr>
              <w:pStyle w:val="TableText"/>
              <w:rPr>
                <w:rFonts w:cs="Segoe UI"/>
                <w:szCs w:val="17"/>
                <w:lang w:eastAsia="en-GB"/>
              </w:rPr>
            </w:pPr>
          </w:p>
        </w:tc>
        <w:tc>
          <w:tcPr>
            <w:tcW w:w="891" w:type="dxa"/>
            <w:tcBorders>
              <w:top w:val="single" w:sz="4" w:space="0" w:color="auto"/>
              <w:left w:val="single" w:sz="4" w:space="0" w:color="auto"/>
              <w:bottom w:val="single" w:sz="4" w:space="0" w:color="auto"/>
              <w:right w:val="single" w:sz="4" w:space="0" w:color="auto"/>
            </w:tcBorders>
            <w:vAlign w:val="center"/>
          </w:tcPr>
          <w:p w14:paraId="263CAEB0" w14:textId="77777777" w:rsidR="001929CC" w:rsidRPr="00C01CF5" w:rsidRDefault="001929CC" w:rsidP="003A79BA">
            <w:pPr>
              <w:pStyle w:val="TableText"/>
              <w:jc w:val="center"/>
              <w:rPr>
                <w:rFonts w:eastAsia="MS PGothic" w:cs="Segoe UI"/>
                <w:szCs w:val="17"/>
                <w:lang w:eastAsia="ja-JP"/>
              </w:rPr>
            </w:pPr>
            <w:r w:rsidRPr="00C01CF5">
              <w:rPr>
                <w:rFonts w:eastAsia="MS PGothic" w:cs="Segoe UI"/>
                <w:szCs w:val="17"/>
                <w:lang w:eastAsia="ja-JP"/>
              </w:rPr>
              <w:t>40%</w:t>
            </w:r>
          </w:p>
        </w:tc>
        <w:tc>
          <w:tcPr>
            <w:tcW w:w="891" w:type="dxa"/>
            <w:tcBorders>
              <w:top w:val="single" w:sz="4" w:space="0" w:color="auto"/>
              <w:left w:val="single" w:sz="4" w:space="0" w:color="auto"/>
              <w:bottom w:val="single" w:sz="4" w:space="0" w:color="auto"/>
              <w:right w:val="single" w:sz="4" w:space="0" w:color="auto"/>
            </w:tcBorders>
            <w:vAlign w:val="center"/>
            <w:hideMark/>
          </w:tcPr>
          <w:p w14:paraId="01065C99" w14:textId="77777777" w:rsidR="001929CC" w:rsidRPr="00C01CF5" w:rsidRDefault="001929CC" w:rsidP="003A79BA">
            <w:pPr>
              <w:pStyle w:val="TableText"/>
              <w:jc w:val="center"/>
              <w:rPr>
                <w:rFonts w:eastAsia="MS PGothic" w:cs="Segoe UI"/>
                <w:szCs w:val="17"/>
                <w:lang w:eastAsia="ja-JP"/>
              </w:rPr>
            </w:pPr>
            <w:r w:rsidRPr="00C01CF5">
              <w:rPr>
                <w:rFonts w:eastAsia="MS PGothic" w:cs="Segoe UI"/>
                <w:szCs w:val="17"/>
                <w:lang w:eastAsia="ja-JP"/>
              </w:rPr>
              <w:t>50%</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6C1B1812" w14:textId="77777777" w:rsidR="001929CC" w:rsidRPr="00C01CF5" w:rsidRDefault="001929CC" w:rsidP="003A79BA">
            <w:pPr>
              <w:pStyle w:val="TableText"/>
              <w:jc w:val="center"/>
              <w:rPr>
                <w:rFonts w:eastAsia="MS PGothic" w:cs="Segoe UI"/>
                <w:szCs w:val="17"/>
                <w:lang w:eastAsia="ja-JP"/>
              </w:rPr>
            </w:pPr>
            <w:r w:rsidRPr="00C01CF5">
              <w:rPr>
                <w:rFonts w:eastAsia="MS PGothic" w:cs="Segoe UI"/>
                <w:szCs w:val="17"/>
                <w:lang w:eastAsia="ja-JP"/>
              </w:rPr>
              <w:t>70%</w:t>
            </w:r>
          </w:p>
        </w:tc>
        <w:tc>
          <w:tcPr>
            <w:tcW w:w="891" w:type="dxa"/>
            <w:tcBorders>
              <w:top w:val="single" w:sz="4" w:space="0" w:color="auto"/>
              <w:left w:val="single" w:sz="4" w:space="0" w:color="auto"/>
              <w:bottom w:val="single" w:sz="4" w:space="0" w:color="auto"/>
              <w:right w:val="single" w:sz="4" w:space="0" w:color="auto"/>
            </w:tcBorders>
            <w:vAlign w:val="center"/>
            <w:hideMark/>
          </w:tcPr>
          <w:p w14:paraId="6677571C" w14:textId="77777777" w:rsidR="001929CC" w:rsidRPr="00C01CF5" w:rsidRDefault="001929CC" w:rsidP="003A79BA">
            <w:pPr>
              <w:pStyle w:val="TableText"/>
              <w:jc w:val="center"/>
              <w:rPr>
                <w:rFonts w:eastAsia="MS PGothic" w:cs="Segoe UI"/>
                <w:szCs w:val="17"/>
                <w:lang w:eastAsia="ja-JP"/>
              </w:rPr>
            </w:pPr>
            <w:r w:rsidRPr="00C01CF5">
              <w:rPr>
                <w:rFonts w:eastAsia="MS PGothic" w:cs="Segoe UI"/>
                <w:szCs w:val="17"/>
                <w:lang w:eastAsia="ja-JP"/>
              </w:rPr>
              <w:t>100%</w:t>
            </w:r>
          </w:p>
        </w:tc>
        <w:tc>
          <w:tcPr>
            <w:tcW w:w="891" w:type="dxa"/>
            <w:tcBorders>
              <w:top w:val="single" w:sz="4" w:space="0" w:color="auto"/>
              <w:left w:val="single" w:sz="4" w:space="0" w:color="auto"/>
              <w:bottom w:val="single" w:sz="4" w:space="0" w:color="auto"/>
              <w:right w:val="single" w:sz="4" w:space="0" w:color="auto"/>
            </w:tcBorders>
            <w:vAlign w:val="center"/>
            <w:hideMark/>
          </w:tcPr>
          <w:p w14:paraId="0B55BA32" w14:textId="77777777" w:rsidR="001929CC" w:rsidRPr="00C01CF5" w:rsidRDefault="001929CC" w:rsidP="003A79BA">
            <w:pPr>
              <w:pStyle w:val="TableText"/>
              <w:jc w:val="center"/>
              <w:rPr>
                <w:rFonts w:eastAsia="MS PGothic" w:cs="Segoe UI"/>
                <w:szCs w:val="17"/>
                <w:lang w:eastAsia="ja-JP"/>
              </w:rPr>
            </w:pPr>
            <w:r w:rsidRPr="00C01CF5">
              <w:rPr>
                <w:rFonts w:eastAsia="MS PGothic" w:cs="Segoe UI"/>
                <w:szCs w:val="17"/>
                <w:lang w:eastAsia="ja-JP"/>
              </w:rPr>
              <w:t>120%</w:t>
            </w:r>
          </w:p>
        </w:tc>
        <w:tc>
          <w:tcPr>
            <w:tcW w:w="891" w:type="dxa"/>
            <w:tcBorders>
              <w:top w:val="single" w:sz="4" w:space="0" w:color="auto"/>
              <w:left w:val="single" w:sz="4" w:space="0" w:color="auto"/>
              <w:bottom w:val="single" w:sz="4" w:space="0" w:color="auto"/>
              <w:right w:val="single" w:sz="4" w:space="0" w:color="auto"/>
            </w:tcBorders>
            <w:vAlign w:val="center"/>
          </w:tcPr>
          <w:p w14:paraId="72D4CEA7" w14:textId="77777777" w:rsidR="001929CC" w:rsidRPr="00C01CF5" w:rsidRDefault="001929CC" w:rsidP="003A79BA">
            <w:pPr>
              <w:pStyle w:val="TableText"/>
              <w:jc w:val="center"/>
              <w:rPr>
                <w:rFonts w:eastAsia="MS PGothic" w:cs="Segoe UI"/>
                <w:szCs w:val="17"/>
                <w:lang w:eastAsia="ja-JP"/>
              </w:rPr>
            </w:pPr>
            <w:r w:rsidRPr="00C01CF5">
              <w:rPr>
                <w:rFonts w:eastAsia="MS PGothic" w:cs="Segoe UI"/>
                <w:szCs w:val="17"/>
                <w:lang w:eastAsia="ja-JP"/>
              </w:rPr>
              <w:t>150%</w:t>
            </w:r>
          </w:p>
        </w:tc>
        <w:tc>
          <w:tcPr>
            <w:tcW w:w="891" w:type="dxa"/>
            <w:tcBorders>
              <w:top w:val="single" w:sz="4" w:space="0" w:color="auto"/>
              <w:left w:val="single" w:sz="4" w:space="0" w:color="auto"/>
              <w:bottom w:val="single" w:sz="4" w:space="0" w:color="auto"/>
              <w:right w:val="single" w:sz="4" w:space="0" w:color="auto"/>
            </w:tcBorders>
            <w:vAlign w:val="center"/>
            <w:hideMark/>
          </w:tcPr>
          <w:p w14:paraId="6908C93D" w14:textId="77777777" w:rsidR="001929CC" w:rsidRPr="0085293F" w:rsidRDefault="001929CC" w:rsidP="003A79BA">
            <w:pPr>
              <w:pStyle w:val="TableText"/>
              <w:jc w:val="center"/>
              <w:rPr>
                <w:rFonts w:eastAsia="MS PGothic" w:cs="Segoe UI"/>
                <w:szCs w:val="17"/>
                <w:lang w:eastAsia="ja-JP"/>
              </w:rPr>
            </w:pPr>
            <w:r w:rsidRPr="0085293F">
              <w:rPr>
                <w:rFonts w:eastAsia="MS PGothic" w:cs="Segoe UI"/>
                <w:szCs w:val="17"/>
                <w:lang w:eastAsia="ja-JP"/>
              </w:rPr>
              <w:t>Other</w:t>
            </w:r>
          </w:p>
        </w:tc>
        <w:tc>
          <w:tcPr>
            <w:tcW w:w="3118" w:type="dxa"/>
            <w:tcBorders>
              <w:top w:val="single" w:sz="4" w:space="0" w:color="auto"/>
              <w:left w:val="single" w:sz="4" w:space="0" w:color="auto"/>
              <w:bottom w:val="single" w:sz="4" w:space="0" w:color="auto"/>
              <w:right w:val="single" w:sz="4" w:space="0" w:color="auto"/>
            </w:tcBorders>
            <w:noWrap/>
            <w:vAlign w:val="center"/>
            <w:hideMark/>
          </w:tcPr>
          <w:p w14:paraId="111D0AA5" w14:textId="744A9AD6" w:rsidR="00924CB1" w:rsidRPr="0085293F" w:rsidRDefault="001929CC" w:rsidP="0057741E">
            <w:pPr>
              <w:pStyle w:val="TableText"/>
              <w:rPr>
                <w:rFonts w:eastAsia="MS PGothic" w:cs="Segoe UI"/>
                <w:szCs w:val="17"/>
                <w:lang w:eastAsia="ja-JP"/>
              </w:rPr>
            </w:pPr>
            <w:r w:rsidRPr="0085293F">
              <w:rPr>
                <w:rFonts w:cs="Segoe UI"/>
                <w:szCs w:val="17"/>
                <w:lang w:eastAsia="en-GB"/>
              </w:rPr>
              <w:t>Total</w:t>
            </w:r>
            <w:r>
              <w:rPr>
                <w:rFonts w:cs="Segoe UI"/>
                <w:szCs w:val="17"/>
                <w:lang w:eastAsia="en-GB"/>
              </w:rPr>
              <w:t xml:space="preserve"> </w:t>
            </w:r>
            <w:r w:rsidRPr="0085293F">
              <w:rPr>
                <w:rFonts w:cs="Segoe UI"/>
                <w:szCs w:val="17"/>
                <w:lang w:eastAsia="en-GB"/>
              </w:rPr>
              <w:t>credit exposure amount (post-CCF and post-CRM)</w:t>
            </w:r>
          </w:p>
        </w:tc>
      </w:tr>
      <w:tr w:rsidR="001929CC" w:rsidRPr="0085293F" w14:paraId="3C1292C4" w14:textId="77777777" w:rsidTr="001929CC">
        <w:trPr>
          <w:trHeight w:val="283"/>
        </w:trPr>
        <w:tc>
          <w:tcPr>
            <w:tcW w:w="459" w:type="dxa"/>
            <w:tcBorders>
              <w:top w:val="nil"/>
              <w:left w:val="nil"/>
              <w:bottom w:val="single" w:sz="4" w:space="0" w:color="auto"/>
              <w:right w:val="single" w:sz="4" w:space="0" w:color="auto"/>
            </w:tcBorders>
            <w:hideMark/>
          </w:tcPr>
          <w:p w14:paraId="5DE118B8" w14:textId="77777777" w:rsidR="001929CC" w:rsidRPr="0085293F" w:rsidRDefault="001929CC" w:rsidP="001929CC">
            <w:pPr>
              <w:pStyle w:val="TableText"/>
              <w:rPr>
                <w:rFonts w:cs="Segoe UI"/>
                <w:szCs w:val="17"/>
                <w:lang w:eastAsia="en-GB"/>
              </w:rPr>
            </w:pPr>
            <w:r w:rsidRPr="0085293F">
              <w:rPr>
                <w:rFonts w:cs="Segoe UI"/>
                <w:szCs w:val="17"/>
                <w:lang w:eastAsia="en-GB"/>
              </w:rPr>
              <w:t>8</w:t>
            </w:r>
          </w:p>
        </w:tc>
        <w:tc>
          <w:tcPr>
            <w:tcW w:w="4352" w:type="dxa"/>
            <w:tcBorders>
              <w:top w:val="single" w:sz="4" w:space="0" w:color="auto"/>
              <w:left w:val="single" w:sz="4" w:space="0" w:color="auto"/>
              <w:bottom w:val="single" w:sz="4" w:space="0" w:color="auto"/>
              <w:right w:val="single" w:sz="4" w:space="0" w:color="auto"/>
            </w:tcBorders>
            <w:noWrap/>
            <w:hideMark/>
          </w:tcPr>
          <w:p w14:paraId="1F7E3F49" w14:textId="77777777" w:rsidR="001929CC" w:rsidRPr="0085293F" w:rsidRDefault="001929CC" w:rsidP="001929CC">
            <w:pPr>
              <w:pStyle w:val="TableText"/>
              <w:rPr>
                <w:rFonts w:cs="Segoe UI"/>
                <w:szCs w:val="17"/>
                <w:lang w:eastAsia="en-GB"/>
              </w:rPr>
            </w:pPr>
            <w:r w:rsidRPr="0085293F">
              <w:rPr>
                <w:rFonts w:cs="Segoe UI"/>
                <w:szCs w:val="17"/>
                <w:lang w:eastAsia="en-GB"/>
              </w:rPr>
              <w:t>Real estate exposures</w:t>
            </w:r>
          </w:p>
        </w:tc>
        <w:tc>
          <w:tcPr>
            <w:tcW w:w="891" w:type="dxa"/>
            <w:tcBorders>
              <w:top w:val="single" w:sz="4" w:space="0" w:color="auto"/>
              <w:left w:val="single" w:sz="4" w:space="0" w:color="auto"/>
              <w:bottom w:val="single" w:sz="4" w:space="0" w:color="auto"/>
              <w:right w:val="single" w:sz="4" w:space="0" w:color="auto"/>
            </w:tcBorders>
          </w:tcPr>
          <w:p w14:paraId="494E9156"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tcPr>
          <w:p w14:paraId="662A6476"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noWrap/>
          </w:tcPr>
          <w:p w14:paraId="035CE301"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tcPr>
          <w:p w14:paraId="1D7D5291"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tcPr>
          <w:p w14:paraId="6BD536CD"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tcPr>
          <w:p w14:paraId="6DA4442A"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tcPr>
          <w:p w14:paraId="51D7FC76" w14:textId="77777777" w:rsidR="001929CC" w:rsidRPr="0085293F" w:rsidRDefault="001929CC" w:rsidP="001929CC">
            <w:pPr>
              <w:pStyle w:val="TableText"/>
              <w:rPr>
                <w:rFonts w:eastAsia="MS PGothic" w:cs="Segoe UI"/>
                <w:szCs w:val="17"/>
                <w:lang w:eastAsia="ja-JP"/>
              </w:rPr>
            </w:pPr>
          </w:p>
        </w:tc>
        <w:tc>
          <w:tcPr>
            <w:tcW w:w="3118" w:type="dxa"/>
            <w:tcBorders>
              <w:top w:val="single" w:sz="4" w:space="0" w:color="auto"/>
              <w:left w:val="single" w:sz="4" w:space="0" w:color="auto"/>
              <w:bottom w:val="single" w:sz="4" w:space="0" w:color="auto"/>
              <w:right w:val="single" w:sz="4" w:space="0" w:color="auto"/>
            </w:tcBorders>
            <w:noWrap/>
          </w:tcPr>
          <w:p w14:paraId="65FD28C9" w14:textId="77777777" w:rsidR="001929CC" w:rsidRPr="0085293F" w:rsidRDefault="001929CC" w:rsidP="001929CC">
            <w:pPr>
              <w:pStyle w:val="TableText"/>
              <w:rPr>
                <w:rFonts w:eastAsia="MS PGothic" w:cs="Segoe UI"/>
                <w:szCs w:val="17"/>
                <w:lang w:eastAsia="ja-JP"/>
              </w:rPr>
            </w:pPr>
          </w:p>
        </w:tc>
      </w:tr>
      <w:tr w:rsidR="001929CC" w:rsidRPr="0085293F" w14:paraId="21E8B4A0" w14:textId="77777777" w:rsidTr="001929CC">
        <w:trPr>
          <w:trHeight w:val="283"/>
        </w:trPr>
        <w:tc>
          <w:tcPr>
            <w:tcW w:w="459" w:type="dxa"/>
            <w:tcBorders>
              <w:top w:val="single" w:sz="4" w:space="0" w:color="auto"/>
              <w:left w:val="nil"/>
              <w:bottom w:val="single" w:sz="4" w:space="0" w:color="auto"/>
              <w:right w:val="single" w:sz="4" w:space="0" w:color="auto"/>
            </w:tcBorders>
          </w:tcPr>
          <w:p w14:paraId="2F954AB0" w14:textId="77777777" w:rsidR="001929CC" w:rsidRPr="0085293F" w:rsidRDefault="001929CC" w:rsidP="001929CC">
            <w:pPr>
              <w:pStyle w:val="TableText"/>
              <w:rPr>
                <w:rFonts w:cs="Segoe UI"/>
                <w:szCs w:val="17"/>
                <w:lang w:eastAsia="en-GB"/>
              </w:rPr>
            </w:pPr>
            <w:r>
              <w:rPr>
                <w:rFonts w:cs="Segoe UI"/>
                <w:szCs w:val="17"/>
                <w:lang w:eastAsia="en-GB"/>
              </w:rPr>
              <w:t>8a</w:t>
            </w:r>
          </w:p>
        </w:tc>
        <w:tc>
          <w:tcPr>
            <w:tcW w:w="4352" w:type="dxa"/>
            <w:tcBorders>
              <w:top w:val="single" w:sz="4" w:space="0" w:color="auto"/>
              <w:left w:val="single" w:sz="4" w:space="0" w:color="auto"/>
              <w:bottom w:val="single" w:sz="4" w:space="0" w:color="auto"/>
              <w:right w:val="single" w:sz="4" w:space="0" w:color="auto"/>
            </w:tcBorders>
            <w:noWrap/>
            <w:hideMark/>
          </w:tcPr>
          <w:p w14:paraId="0D5F017B" w14:textId="77777777" w:rsidR="001929CC" w:rsidRPr="0085293F" w:rsidRDefault="001929CC" w:rsidP="001929CC">
            <w:pPr>
              <w:pStyle w:val="TableText"/>
              <w:ind w:left="794"/>
              <w:rPr>
                <w:rFonts w:cs="Segoe UI"/>
                <w:szCs w:val="17"/>
                <w:lang w:eastAsia="en-GB"/>
              </w:rPr>
            </w:pPr>
            <w:r w:rsidRPr="0085293F">
              <w:rPr>
                <w:rFonts w:cs="Segoe UI"/>
                <w:szCs w:val="17"/>
                <w:lang w:eastAsia="en-GB"/>
              </w:rPr>
              <w:t>Of which: regulatory residential real estate exposures</w:t>
            </w:r>
            <w:r>
              <w:rPr>
                <w:rFonts w:cs="Segoe UI"/>
                <w:szCs w:val="17"/>
                <w:lang w:eastAsia="en-GB"/>
              </w:rPr>
              <w:t xml:space="preserve"> (</w:t>
            </w:r>
            <w:r w:rsidRPr="001D566C">
              <w:rPr>
                <w:rFonts w:cs="Segoe UI"/>
                <w:szCs w:val="17"/>
                <w:lang w:eastAsia="en-GB"/>
              </w:rPr>
              <w:t>not materially dependent on cash flows generated by mortgaged properties</w:t>
            </w:r>
            <w:r>
              <w:rPr>
                <w:rFonts w:cs="Segoe UI"/>
                <w:szCs w:val="17"/>
                <w:lang w:eastAsia="en-GB"/>
              </w:rPr>
              <w:t>)</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10C8805D"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76F1177E"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shd w:val="clear" w:color="auto" w:fill="BFBFBF"/>
            <w:noWrap/>
          </w:tcPr>
          <w:p w14:paraId="1A1F4752"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3CFFC2B8"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shd w:val="clear" w:color="auto" w:fill="BFBFBF"/>
          </w:tcPr>
          <w:p w14:paraId="3ADDF3F2"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shd w:val="clear" w:color="auto" w:fill="BFBFBF"/>
          </w:tcPr>
          <w:p w14:paraId="6FE4625A"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tcPr>
          <w:p w14:paraId="279E15ED" w14:textId="77777777" w:rsidR="001929CC" w:rsidRPr="0085293F" w:rsidRDefault="001929CC" w:rsidP="001929CC">
            <w:pPr>
              <w:pStyle w:val="TableText"/>
              <w:rPr>
                <w:rFonts w:eastAsia="MS PGothic" w:cs="Segoe UI"/>
                <w:szCs w:val="17"/>
                <w:lang w:eastAsia="ja-JP"/>
              </w:rPr>
            </w:pPr>
          </w:p>
        </w:tc>
        <w:tc>
          <w:tcPr>
            <w:tcW w:w="3118" w:type="dxa"/>
            <w:tcBorders>
              <w:top w:val="single" w:sz="4" w:space="0" w:color="auto"/>
              <w:left w:val="single" w:sz="4" w:space="0" w:color="auto"/>
              <w:bottom w:val="single" w:sz="4" w:space="0" w:color="auto"/>
              <w:right w:val="single" w:sz="4" w:space="0" w:color="auto"/>
            </w:tcBorders>
            <w:noWrap/>
          </w:tcPr>
          <w:p w14:paraId="76BBE90E" w14:textId="77777777" w:rsidR="001929CC" w:rsidRPr="0085293F" w:rsidRDefault="001929CC" w:rsidP="001929CC">
            <w:pPr>
              <w:pStyle w:val="TableText"/>
              <w:rPr>
                <w:rFonts w:eastAsia="MS PGothic" w:cs="Segoe UI"/>
                <w:szCs w:val="17"/>
                <w:lang w:eastAsia="ja-JP"/>
              </w:rPr>
            </w:pPr>
          </w:p>
        </w:tc>
      </w:tr>
      <w:tr w:rsidR="001929CC" w:rsidRPr="0085293F" w14:paraId="18C25C6B" w14:textId="77777777" w:rsidTr="001929CC">
        <w:trPr>
          <w:trHeight w:val="283"/>
        </w:trPr>
        <w:tc>
          <w:tcPr>
            <w:tcW w:w="459" w:type="dxa"/>
            <w:tcBorders>
              <w:top w:val="single" w:sz="4" w:space="0" w:color="auto"/>
              <w:left w:val="nil"/>
              <w:bottom w:val="single" w:sz="4" w:space="0" w:color="auto"/>
              <w:right w:val="single" w:sz="4" w:space="0" w:color="auto"/>
            </w:tcBorders>
          </w:tcPr>
          <w:p w14:paraId="77661F62" w14:textId="77777777" w:rsidR="001929CC" w:rsidRPr="0085293F" w:rsidRDefault="001929CC" w:rsidP="001929CC">
            <w:pPr>
              <w:pStyle w:val="TableText"/>
              <w:rPr>
                <w:rFonts w:cs="Segoe UI"/>
                <w:szCs w:val="17"/>
                <w:lang w:eastAsia="en-GB"/>
              </w:rPr>
            </w:pPr>
            <w:r>
              <w:rPr>
                <w:rFonts w:cs="Segoe UI"/>
                <w:szCs w:val="17"/>
                <w:lang w:eastAsia="en-GB"/>
              </w:rPr>
              <w:t>8b</w:t>
            </w:r>
          </w:p>
        </w:tc>
        <w:tc>
          <w:tcPr>
            <w:tcW w:w="4352" w:type="dxa"/>
            <w:tcBorders>
              <w:top w:val="single" w:sz="4" w:space="0" w:color="auto"/>
              <w:left w:val="single" w:sz="4" w:space="0" w:color="auto"/>
              <w:bottom w:val="single" w:sz="4" w:space="0" w:color="auto"/>
              <w:right w:val="single" w:sz="4" w:space="0" w:color="auto"/>
            </w:tcBorders>
            <w:noWrap/>
          </w:tcPr>
          <w:p w14:paraId="23CEFAD3" w14:textId="77777777" w:rsidR="001929CC" w:rsidRPr="0085293F" w:rsidRDefault="001929CC" w:rsidP="001929CC">
            <w:pPr>
              <w:pStyle w:val="TableText"/>
              <w:ind w:left="794"/>
              <w:rPr>
                <w:rFonts w:cs="Segoe UI"/>
                <w:szCs w:val="17"/>
                <w:lang w:eastAsia="en-GB"/>
              </w:rPr>
            </w:pPr>
            <w:r w:rsidRPr="0085293F">
              <w:rPr>
                <w:rFonts w:cs="Segoe UI"/>
                <w:szCs w:val="17"/>
                <w:lang w:eastAsia="en-GB"/>
              </w:rPr>
              <w:t>Of which: regulatory residential real estate exposures</w:t>
            </w:r>
            <w:r>
              <w:rPr>
                <w:rFonts w:cs="Segoe UI"/>
                <w:szCs w:val="17"/>
                <w:lang w:eastAsia="en-GB"/>
              </w:rPr>
              <w:t xml:space="preserve"> (</w:t>
            </w:r>
            <w:r w:rsidRPr="001D566C">
              <w:rPr>
                <w:rFonts w:cs="Segoe UI"/>
                <w:szCs w:val="17"/>
                <w:lang w:eastAsia="en-GB"/>
              </w:rPr>
              <w:t>materially dependent on cash flows generated by mortgaged properties</w:t>
            </w:r>
            <w:r>
              <w:rPr>
                <w:rFonts w:cs="Segoe UI"/>
                <w:szCs w:val="17"/>
                <w:lang w:eastAsia="en-GB"/>
              </w:rPr>
              <w:t>)</w:t>
            </w:r>
          </w:p>
        </w:tc>
        <w:tc>
          <w:tcPr>
            <w:tcW w:w="891" w:type="dxa"/>
            <w:tcBorders>
              <w:top w:val="single" w:sz="4" w:space="0" w:color="auto"/>
              <w:left w:val="single" w:sz="4" w:space="0" w:color="auto"/>
              <w:bottom w:val="single" w:sz="4" w:space="0" w:color="auto"/>
              <w:right w:val="single" w:sz="4" w:space="0" w:color="auto"/>
            </w:tcBorders>
            <w:shd w:val="clear" w:color="auto" w:fill="BFBFBF"/>
          </w:tcPr>
          <w:p w14:paraId="56792CD2"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01B948AA"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shd w:val="clear" w:color="auto" w:fill="auto"/>
            <w:noWrap/>
          </w:tcPr>
          <w:p w14:paraId="3C25431A"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shd w:val="clear" w:color="auto" w:fill="BFBFBF"/>
          </w:tcPr>
          <w:p w14:paraId="7C8C0FC4"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2445C273"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shd w:val="clear" w:color="auto" w:fill="BFBFBF"/>
          </w:tcPr>
          <w:p w14:paraId="23416D27"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tcPr>
          <w:p w14:paraId="20052D90" w14:textId="77777777" w:rsidR="001929CC" w:rsidRPr="0085293F" w:rsidRDefault="001929CC" w:rsidP="001929CC">
            <w:pPr>
              <w:pStyle w:val="TableText"/>
              <w:rPr>
                <w:rFonts w:eastAsia="MS PGothic" w:cs="Segoe UI"/>
                <w:szCs w:val="17"/>
                <w:lang w:eastAsia="ja-JP"/>
              </w:rPr>
            </w:pPr>
          </w:p>
        </w:tc>
        <w:tc>
          <w:tcPr>
            <w:tcW w:w="3118" w:type="dxa"/>
            <w:tcBorders>
              <w:top w:val="single" w:sz="4" w:space="0" w:color="auto"/>
              <w:left w:val="single" w:sz="4" w:space="0" w:color="auto"/>
              <w:bottom w:val="single" w:sz="4" w:space="0" w:color="auto"/>
              <w:right w:val="single" w:sz="4" w:space="0" w:color="auto"/>
            </w:tcBorders>
            <w:noWrap/>
          </w:tcPr>
          <w:p w14:paraId="01B1B03A" w14:textId="77777777" w:rsidR="001929CC" w:rsidRPr="0085293F" w:rsidRDefault="001929CC" w:rsidP="001929CC">
            <w:pPr>
              <w:pStyle w:val="TableText"/>
              <w:rPr>
                <w:rFonts w:eastAsia="MS PGothic" w:cs="Segoe UI"/>
                <w:szCs w:val="17"/>
                <w:lang w:eastAsia="ja-JP"/>
              </w:rPr>
            </w:pPr>
          </w:p>
        </w:tc>
      </w:tr>
      <w:tr w:rsidR="001929CC" w:rsidRPr="0085293F" w14:paraId="6420A88D" w14:textId="77777777" w:rsidTr="001929CC">
        <w:trPr>
          <w:trHeight w:val="283"/>
        </w:trPr>
        <w:tc>
          <w:tcPr>
            <w:tcW w:w="459" w:type="dxa"/>
            <w:tcBorders>
              <w:top w:val="single" w:sz="4" w:space="0" w:color="auto"/>
              <w:left w:val="nil"/>
              <w:bottom w:val="single" w:sz="6" w:space="0" w:color="000000"/>
              <w:right w:val="single" w:sz="4" w:space="0" w:color="auto"/>
            </w:tcBorders>
          </w:tcPr>
          <w:p w14:paraId="736022F4" w14:textId="77777777" w:rsidR="001929CC" w:rsidRPr="0085293F" w:rsidRDefault="001929CC" w:rsidP="001929CC">
            <w:pPr>
              <w:pStyle w:val="TableText"/>
              <w:rPr>
                <w:rFonts w:cs="Segoe UI"/>
                <w:szCs w:val="17"/>
                <w:lang w:eastAsia="en-GB"/>
              </w:rPr>
            </w:pPr>
            <w:r w:rsidRPr="002B6637">
              <w:rPr>
                <w:rFonts w:cs="Segoe UI"/>
                <w:szCs w:val="17"/>
                <w:lang w:eastAsia="en-GB"/>
              </w:rPr>
              <w:t>8c</w:t>
            </w:r>
          </w:p>
        </w:tc>
        <w:tc>
          <w:tcPr>
            <w:tcW w:w="4352" w:type="dxa"/>
            <w:tcBorders>
              <w:top w:val="single" w:sz="4" w:space="0" w:color="auto"/>
              <w:left w:val="single" w:sz="4" w:space="0" w:color="auto"/>
              <w:bottom w:val="single" w:sz="4" w:space="0" w:color="auto"/>
              <w:right w:val="single" w:sz="4" w:space="0" w:color="auto"/>
            </w:tcBorders>
            <w:noWrap/>
            <w:hideMark/>
          </w:tcPr>
          <w:p w14:paraId="4A29D051" w14:textId="77777777" w:rsidR="001929CC" w:rsidRPr="0085293F" w:rsidRDefault="001929CC" w:rsidP="001929CC">
            <w:pPr>
              <w:pStyle w:val="TableText"/>
              <w:ind w:left="794"/>
              <w:rPr>
                <w:rFonts w:cs="Segoe UI"/>
                <w:szCs w:val="17"/>
                <w:lang w:eastAsia="en-GB"/>
              </w:rPr>
            </w:pPr>
            <w:r w:rsidRPr="0085293F">
              <w:rPr>
                <w:rFonts w:cs="Segoe UI"/>
                <w:szCs w:val="17"/>
                <w:lang w:eastAsia="en-GB"/>
              </w:rPr>
              <w:t>Of which: other real estate exposures</w:t>
            </w:r>
          </w:p>
        </w:tc>
        <w:tc>
          <w:tcPr>
            <w:tcW w:w="891" w:type="dxa"/>
            <w:tcBorders>
              <w:top w:val="single" w:sz="4" w:space="0" w:color="auto"/>
              <w:left w:val="single" w:sz="4" w:space="0" w:color="auto"/>
              <w:bottom w:val="single" w:sz="4" w:space="0" w:color="auto"/>
              <w:right w:val="single" w:sz="4" w:space="0" w:color="auto"/>
            </w:tcBorders>
            <w:shd w:val="clear" w:color="auto" w:fill="BFBFBF"/>
          </w:tcPr>
          <w:p w14:paraId="41299FFF"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shd w:val="clear" w:color="auto" w:fill="BFBFBF"/>
          </w:tcPr>
          <w:p w14:paraId="74EBDB0A"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shd w:val="clear" w:color="auto" w:fill="BFBFBF"/>
            <w:noWrap/>
          </w:tcPr>
          <w:p w14:paraId="173F13EF"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shd w:val="clear" w:color="auto" w:fill="BFBFBF"/>
          </w:tcPr>
          <w:p w14:paraId="69EC70B1"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shd w:val="clear" w:color="auto" w:fill="BFBFBF"/>
          </w:tcPr>
          <w:p w14:paraId="2EAC3156"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1EED6D76" w14:textId="77777777" w:rsidR="001929CC" w:rsidRPr="0085293F" w:rsidRDefault="001929CC" w:rsidP="001929CC">
            <w:pPr>
              <w:pStyle w:val="TableText"/>
              <w:rPr>
                <w:rFonts w:eastAsia="MS PGothic" w:cs="Segoe UI"/>
                <w:szCs w:val="17"/>
                <w:lang w:eastAsia="ja-JP"/>
              </w:rPr>
            </w:pPr>
          </w:p>
        </w:tc>
        <w:tc>
          <w:tcPr>
            <w:tcW w:w="891" w:type="dxa"/>
            <w:tcBorders>
              <w:top w:val="single" w:sz="4" w:space="0" w:color="auto"/>
              <w:left w:val="single" w:sz="4" w:space="0" w:color="auto"/>
              <w:bottom w:val="single" w:sz="4" w:space="0" w:color="auto"/>
              <w:right w:val="single" w:sz="4" w:space="0" w:color="auto"/>
            </w:tcBorders>
          </w:tcPr>
          <w:p w14:paraId="158D0AB5" w14:textId="77777777" w:rsidR="001929CC" w:rsidRPr="0085293F" w:rsidRDefault="001929CC" w:rsidP="001929CC">
            <w:pPr>
              <w:pStyle w:val="TableText"/>
              <w:rPr>
                <w:rFonts w:eastAsia="MS PGothic" w:cs="Segoe UI"/>
                <w:szCs w:val="17"/>
                <w:lang w:eastAsia="ja-JP"/>
              </w:rPr>
            </w:pPr>
          </w:p>
        </w:tc>
        <w:tc>
          <w:tcPr>
            <w:tcW w:w="3118" w:type="dxa"/>
            <w:tcBorders>
              <w:top w:val="single" w:sz="4" w:space="0" w:color="auto"/>
              <w:left w:val="single" w:sz="4" w:space="0" w:color="auto"/>
              <w:bottom w:val="single" w:sz="4" w:space="0" w:color="auto"/>
              <w:right w:val="single" w:sz="4" w:space="0" w:color="auto"/>
            </w:tcBorders>
            <w:noWrap/>
          </w:tcPr>
          <w:p w14:paraId="5EE07621" w14:textId="77777777" w:rsidR="001929CC" w:rsidRPr="0085293F" w:rsidRDefault="001929CC" w:rsidP="001929CC">
            <w:pPr>
              <w:pStyle w:val="TableText"/>
              <w:rPr>
                <w:rFonts w:eastAsia="MS PGothic" w:cs="Segoe UI"/>
                <w:szCs w:val="17"/>
                <w:lang w:eastAsia="ja-JP"/>
              </w:rPr>
            </w:pPr>
          </w:p>
        </w:tc>
      </w:tr>
    </w:tbl>
    <w:p w14:paraId="53EF1DE3" w14:textId="77777777" w:rsidR="001929CC" w:rsidRPr="0085293F" w:rsidRDefault="001929CC" w:rsidP="001929CC">
      <w:pPr>
        <w:spacing w:before="40" w:after="40"/>
        <w:rPr>
          <w:rFonts w:cs="Segoe UI"/>
          <w:sz w:val="17"/>
          <w:szCs w:val="17"/>
          <w:u w:val="single"/>
        </w:rPr>
      </w:pPr>
    </w:p>
    <w:tbl>
      <w:tblPr>
        <w:tblW w:w="14160"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9"/>
        <w:gridCol w:w="4292"/>
        <w:gridCol w:w="2099"/>
        <w:gridCol w:w="2099"/>
        <w:gridCol w:w="2099"/>
        <w:gridCol w:w="3112"/>
      </w:tblGrid>
      <w:tr w:rsidR="001929CC" w:rsidRPr="0085293F" w14:paraId="2DA31E6B" w14:textId="77777777" w:rsidTr="001929CC">
        <w:trPr>
          <w:trHeight w:val="283"/>
        </w:trPr>
        <w:tc>
          <w:tcPr>
            <w:tcW w:w="459" w:type="dxa"/>
            <w:tcBorders>
              <w:top w:val="single" w:sz="4" w:space="0" w:color="auto"/>
              <w:left w:val="nil"/>
              <w:bottom w:val="nil"/>
              <w:right w:val="single" w:sz="4" w:space="0" w:color="auto"/>
            </w:tcBorders>
          </w:tcPr>
          <w:p w14:paraId="175A6030" w14:textId="77777777" w:rsidR="001929CC" w:rsidRPr="0085293F" w:rsidRDefault="001929CC" w:rsidP="001929CC">
            <w:pPr>
              <w:pStyle w:val="TableText"/>
              <w:rPr>
                <w:rFonts w:cs="Segoe UI"/>
                <w:szCs w:val="17"/>
                <w:lang w:eastAsia="en-GB"/>
              </w:rPr>
            </w:pPr>
          </w:p>
        </w:tc>
        <w:tc>
          <w:tcPr>
            <w:tcW w:w="4292" w:type="dxa"/>
            <w:tcBorders>
              <w:top w:val="single" w:sz="4" w:space="0" w:color="auto"/>
              <w:left w:val="single" w:sz="4" w:space="0" w:color="auto"/>
              <w:bottom w:val="single" w:sz="4" w:space="0" w:color="auto"/>
              <w:right w:val="single" w:sz="4" w:space="0" w:color="auto"/>
            </w:tcBorders>
            <w:noWrap/>
          </w:tcPr>
          <w:p w14:paraId="0128D94C" w14:textId="77777777" w:rsidR="001929CC" w:rsidRPr="0085293F" w:rsidRDefault="001929CC" w:rsidP="001929CC">
            <w:pPr>
              <w:pStyle w:val="TableText"/>
              <w:rPr>
                <w:rFonts w:cs="Segoe UI"/>
                <w:szCs w:val="17"/>
                <w:lang w:eastAsia="en-GB"/>
              </w:rPr>
            </w:pPr>
          </w:p>
        </w:tc>
        <w:tc>
          <w:tcPr>
            <w:tcW w:w="2099" w:type="dxa"/>
            <w:tcBorders>
              <w:top w:val="single" w:sz="4" w:space="0" w:color="auto"/>
              <w:left w:val="single" w:sz="4" w:space="0" w:color="auto"/>
              <w:bottom w:val="single" w:sz="4" w:space="0" w:color="auto"/>
              <w:right w:val="single" w:sz="4" w:space="0" w:color="auto"/>
            </w:tcBorders>
            <w:noWrap/>
            <w:vAlign w:val="center"/>
            <w:hideMark/>
          </w:tcPr>
          <w:p w14:paraId="1724F381"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250%</w:t>
            </w:r>
          </w:p>
        </w:tc>
        <w:tc>
          <w:tcPr>
            <w:tcW w:w="2099" w:type="dxa"/>
            <w:tcBorders>
              <w:top w:val="single" w:sz="4" w:space="0" w:color="auto"/>
              <w:left w:val="single" w:sz="4" w:space="0" w:color="auto"/>
              <w:bottom w:val="single" w:sz="4" w:space="0" w:color="auto"/>
              <w:right w:val="single" w:sz="4" w:space="0" w:color="auto"/>
            </w:tcBorders>
            <w:noWrap/>
            <w:vAlign w:val="center"/>
            <w:hideMark/>
          </w:tcPr>
          <w:p w14:paraId="7F9E6CDC"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400%</w:t>
            </w:r>
          </w:p>
        </w:tc>
        <w:tc>
          <w:tcPr>
            <w:tcW w:w="2099" w:type="dxa"/>
            <w:tcBorders>
              <w:top w:val="single" w:sz="4" w:space="0" w:color="auto"/>
              <w:left w:val="single" w:sz="4" w:space="0" w:color="auto"/>
              <w:bottom w:val="single" w:sz="4" w:space="0" w:color="auto"/>
              <w:right w:val="single" w:sz="4" w:space="0" w:color="auto"/>
            </w:tcBorders>
            <w:noWrap/>
            <w:vAlign w:val="center"/>
            <w:hideMark/>
          </w:tcPr>
          <w:p w14:paraId="7BC326D2"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Other</w:t>
            </w:r>
          </w:p>
        </w:tc>
        <w:tc>
          <w:tcPr>
            <w:tcW w:w="3112" w:type="dxa"/>
            <w:tcBorders>
              <w:top w:val="single" w:sz="4" w:space="0" w:color="auto"/>
              <w:left w:val="single" w:sz="4" w:space="0" w:color="auto"/>
              <w:bottom w:val="single" w:sz="4" w:space="0" w:color="auto"/>
              <w:right w:val="single" w:sz="4" w:space="0" w:color="auto"/>
            </w:tcBorders>
            <w:noWrap/>
            <w:vAlign w:val="center"/>
            <w:hideMark/>
          </w:tcPr>
          <w:p w14:paraId="08B5484B" w14:textId="77777777" w:rsidR="001929CC" w:rsidRPr="0085293F" w:rsidRDefault="001929CC" w:rsidP="001929CC">
            <w:pPr>
              <w:pStyle w:val="TableText"/>
              <w:rPr>
                <w:rFonts w:eastAsia="MS PGothic" w:cs="Segoe UI"/>
                <w:szCs w:val="17"/>
                <w:lang w:eastAsia="ja-JP"/>
              </w:rPr>
            </w:pPr>
            <w:r w:rsidRPr="0085293F">
              <w:rPr>
                <w:rFonts w:cs="Segoe UI"/>
                <w:szCs w:val="17"/>
                <w:lang w:eastAsia="en-GB"/>
              </w:rPr>
              <w:t>Total</w:t>
            </w:r>
            <w:r>
              <w:rPr>
                <w:rFonts w:cs="Segoe UI"/>
                <w:szCs w:val="17"/>
                <w:lang w:eastAsia="en-GB"/>
              </w:rPr>
              <w:t xml:space="preserve"> </w:t>
            </w:r>
            <w:r w:rsidRPr="0085293F">
              <w:rPr>
                <w:rFonts w:cs="Segoe UI"/>
                <w:szCs w:val="17"/>
                <w:lang w:eastAsia="en-GB"/>
              </w:rPr>
              <w:t>credit exposure amount (post-CCF and post-CRM)</w:t>
            </w:r>
          </w:p>
        </w:tc>
      </w:tr>
      <w:tr w:rsidR="001929CC" w:rsidRPr="0085293F" w14:paraId="3319A1BD" w14:textId="77777777" w:rsidTr="001929CC">
        <w:trPr>
          <w:trHeight w:val="283"/>
        </w:trPr>
        <w:tc>
          <w:tcPr>
            <w:tcW w:w="459" w:type="dxa"/>
            <w:tcBorders>
              <w:top w:val="nil"/>
              <w:left w:val="nil"/>
              <w:bottom w:val="single" w:sz="4" w:space="0" w:color="auto"/>
              <w:right w:val="single" w:sz="4" w:space="0" w:color="auto"/>
            </w:tcBorders>
            <w:hideMark/>
          </w:tcPr>
          <w:p w14:paraId="65D2B90C" w14:textId="77777777" w:rsidR="001929CC" w:rsidRPr="0085293F" w:rsidRDefault="001929CC" w:rsidP="001929CC">
            <w:pPr>
              <w:pStyle w:val="TableText"/>
              <w:rPr>
                <w:rFonts w:cs="Segoe UI"/>
                <w:szCs w:val="17"/>
                <w:lang w:eastAsia="en-GB"/>
              </w:rPr>
            </w:pPr>
            <w:r w:rsidRPr="0085293F">
              <w:rPr>
                <w:rFonts w:cs="Segoe UI"/>
                <w:szCs w:val="17"/>
                <w:lang w:eastAsia="en-GB"/>
              </w:rPr>
              <w:t>9</w:t>
            </w:r>
          </w:p>
        </w:tc>
        <w:tc>
          <w:tcPr>
            <w:tcW w:w="4292" w:type="dxa"/>
            <w:tcBorders>
              <w:top w:val="single" w:sz="4" w:space="0" w:color="auto"/>
              <w:left w:val="single" w:sz="4" w:space="0" w:color="auto"/>
              <w:bottom w:val="single" w:sz="4" w:space="0" w:color="auto"/>
              <w:right w:val="single" w:sz="4" w:space="0" w:color="auto"/>
            </w:tcBorders>
            <w:noWrap/>
            <w:hideMark/>
          </w:tcPr>
          <w:p w14:paraId="6011FAD1" w14:textId="77777777" w:rsidR="001929CC" w:rsidRPr="0085293F" w:rsidRDefault="001929CC" w:rsidP="001929CC">
            <w:pPr>
              <w:pStyle w:val="TableText"/>
              <w:rPr>
                <w:rFonts w:cs="Segoe UI"/>
                <w:szCs w:val="17"/>
                <w:lang w:eastAsia="en-GB"/>
              </w:rPr>
            </w:pPr>
            <w:r w:rsidRPr="0085293F">
              <w:rPr>
                <w:rFonts w:cs="Segoe UI"/>
                <w:szCs w:val="17"/>
                <w:lang w:eastAsia="en-GB"/>
              </w:rPr>
              <w:t>Equity exposures</w:t>
            </w:r>
          </w:p>
        </w:tc>
        <w:tc>
          <w:tcPr>
            <w:tcW w:w="2099" w:type="dxa"/>
            <w:tcBorders>
              <w:top w:val="single" w:sz="4" w:space="0" w:color="auto"/>
              <w:left w:val="single" w:sz="4" w:space="0" w:color="auto"/>
              <w:bottom w:val="single" w:sz="4" w:space="0" w:color="auto"/>
              <w:right w:val="single" w:sz="4" w:space="0" w:color="auto"/>
            </w:tcBorders>
            <w:noWrap/>
          </w:tcPr>
          <w:p w14:paraId="2CD00EA0" w14:textId="77777777" w:rsidR="001929CC" w:rsidRPr="0085293F" w:rsidRDefault="001929CC" w:rsidP="001929CC">
            <w:pPr>
              <w:pStyle w:val="TableText"/>
              <w:rPr>
                <w:rFonts w:eastAsia="MS PGothic" w:cs="Segoe UI"/>
                <w:szCs w:val="17"/>
                <w:lang w:eastAsia="ja-JP"/>
              </w:rPr>
            </w:pPr>
          </w:p>
        </w:tc>
        <w:tc>
          <w:tcPr>
            <w:tcW w:w="2099" w:type="dxa"/>
            <w:tcBorders>
              <w:top w:val="single" w:sz="4" w:space="0" w:color="auto"/>
              <w:left w:val="single" w:sz="4" w:space="0" w:color="auto"/>
              <w:bottom w:val="single" w:sz="4" w:space="0" w:color="auto"/>
              <w:right w:val="single" w:sz="4" w:space="0" w:color="auto"/>
            </w:tcBorders>
            <w:noWrap/>
          </w:tcPr>
          <w:p w14:paraId="44CDDCC7" w14:textId="77777777" w:rsidR="001929CC" w:rsidRPr="0085293F" w:rsidRDefault="001929CC" w:rsidP="001929CC">
            <w:pPr>
              <w:pStyle w:val="TableText"/>
              <w:rPr>
                <w:rFonts w:eastAsia="MS PGothic" w:cs="Segoe UI"/>
                <w:szCs w:val="17"/>
                <w:lang w:eastAsia="ja-JP"/>
              </w:rPr>
            </w:pPr>
          </w:p>
        </w:tc>
        <w:tc>
          <w:tcPr>
            <w:tcW w:w="2099" w:type="dxa"/>
            <w:tcBorders>
              <w:top w:val="single" w:sz="4" w:space="0" w:color="auto"/>
              <w:left w:val="single" w:sz="4" w:space="0" w:color="auto"/>
              <w:bottom w:val="single" w:sz="4" w:space="0" w:color="auto"/>
              <w:right w:val="single" w:sz="4" w:space="0" w:color="auto"/>
            </w:tcBorders>
            <w:noWrap/>
          </w:tcPr>
          <w:p w14:paraId="289B912A" w14:textId="77777777" w:rsidR="001929CC" w:rsidRPr="0085293F" w:rsidRDefault="001929CC" w:rsidP="001929CC">
            <w:pPr>
              <w:pStyle w:val="TableText"/>
              <w:rPr>
                <w:rFonts w:eastAsia="MS PGothic" w:cs="Segoe UI"/>
                <w:szCs w:val="17"/>
                <w:lang w:eastAsia="ja-JP"/>
              </w:rPr>
            </w:pPr>
          </w:p>
        </w:tc>
        <w:tc>
          <w:tcPr>
            <w:tcW w:w="3112" w:type="dxa"/>
            <w:tcBorders>
              <w:top w:val="single" w:sz="4" w:space="0" w:color="auto"/>
              <w:left w:val="single" w:sz="4" w:space="0" w:color="auto"/>
              <w:bottom w:val="single" w:sz="4" w:space="0" w:color="auto"/>
              <w:right w:val="single" w:sz="4" w:space="0" w:color="auto"/>
            </w:tcBorders>
            <w:noWrap/>
          </w:tcPr>
          <w:p w14:paraId="731CCE0C" w14:textId="77777777" w:rsidR="001929CC" w:rsidRPr="0085293F" w:rsidRDefault="001929CC" w:rsidP="001929CC">
            <w:pPr>
              <w:pStyle w:val="TableText"/>
              <w:rPr>
                <w:rFonts w:eastAsia="MS PGothic" w:cs="Segoe UI"/>
                <w:szCs w:val="17"/>
                <w:lang w:eastAsia="ja-JP"/>
              </w:rPr>
            </w:pPr>
          </w:p>
        </w:tc>
      </w:tr>
    </w:tbl>
    <w:p w14:paraId="795EA167" w14:textId="77777777" w:rsidR="001929CC" w:rsidRPr="0085293F" w:rsidRDefault="001929CC" w:rsidP="001929CC">
      <w:pPr>
        <w:spacing w:before="40" w:after="40"/>
        <w:rPr>
          <w:rFonts w:cs="Segoe UI"/>
          <w:sz w:val="17"/>
          <w:szCs w:val="17"/>
        </w:rPr>
      </w:pPr>
    </w:p>
    <w:tbl>
      <w:tblPr>
        <w:tblW w:w="14160"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9"/>
        <w:gridCol w:w="4292"/>
        <w:gridCol w:w="1574"/>
        <w:gridCol w:w="1574"/>
        <w:gridCol w:w="1574"/>
        <w:gridCol w:w="1575"/>
        <w:gridCol w:w="3112"/>
      </w:tblGrid>
      <w:tr w:rsidR="001929CC" w:rsidRPr="0085293F" w14:paraId="4EA3AAD3" w14:textId="77777777" w:rsidTr="001929CC">
        <w:trPr>
          <w:trHeight w:val="283"/>
        </w:trPr>
        <w:tc>
          <w:tcPr>
            <w:tcW w:w="459" w:type="dxa"/>
            <w:tcBorders>
              <w:top w:val="single" w:sz="4" w:space="0" w:color="auto"/>
              <w:left w:val="nil"/>
              <w:bottom w:val="nil"/>
              <w:right w:val="single" w:sz="4" w:space="0" w:color="auto"/>
            </w:tcBorders>
          </w:tcPr>
          <w:p w14:paraId="3E62F324" w14:textId="77777777" w:rsidR="001929CC" w:rsidRPr="0085293F" w:rsidRDefault="001929CC" w:rsidP="001929CC">
            <w:pPr>
              <w:pStyle w:val="TableText"/>
              <w:rPr>
                <w:rFonts w:cs="Segoe UI"/>
                <w:szCs w:val="17"/>
                <w:lang w:eastAsia="en-GB"/>
              </w:rPr>
            </w:pPr>
          </w:p>
        </w:tc>
        <w:tc>
          <w:tcPr>
            <w:tcW w:w="4292" w:type="dxa"/>
            <w:tcBorders>
              <w:top w:val="single" w:sz="4" w:space="0" w:color="auto"/>
              <w:left w:val="single" w:sz="4" w:space="0" w:color="auto"/>
              <w:bottom w:val="single" w:sz="4" w:space="0" w:color="auto"/>
              <w:right w:val="single" w:sz="4" w:space="0" w:color="auto"/>
            </w:tcBorders>
            <w:noWrap/>
          </w:tcPr>
          <w:p w14:paraId="75167654" w14:textId="77777777" w:rsidR="001929CC" w:rsidRPr="0085293F" w:rsidRDefault="001929CC" w:rsidP="001929CC">
            <w:pPr>
              <w:pStyle w:val="TableText"/>
              <w:rPr>
                <w:rFonts w:cs="Segoe UI"/>
                <w:szCs w:val="17"/>
                <w:lang w:eastAsia="en-GB"/>
              </w:rPr>
            </w:pPr>
          </w:p>
        </w:tc>
        <w:tc>
          <w:tcPr>
            <w:tcW w:w="1574" w:type="dxa"/>
            <w:tcBorders>
              <w:top w:val="single" w:sz="4" w:space="0" w:color="auto"/>
              <w:left w:val="single" w:sz="4" w:space="0" w:color="auto"/>
              <w:bottom w:val="single" w:sz="4" w:space="0" w:color="auto"/>
              <w:right w:val="single" w:sz="4" w:space="0" w:color="auto"/>
            </w:tcBorders>
            <w:noWrap/>
            <w:vAlign w:val="center"/>
            <w:hideMark/>
          </w:tcPr>
          <w:p w14:paraId="79C674F1"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250%</w:t>
            </w:r>
          </w:p>
        </w:tc>
        <w:tc>
          <w:tcPr>
            <w:tcW w:w="1574" w:type="dxa"/>
            <w:tcBorders>
              <w:top w:val="single" w:sz="4" w:space="0" w:color="auto"/>
              <w:left w:val="single" w:sz="4" w:space="0" w:color="auto"/>
              <w:bottom w:val="single" w:sz="4" w:space="0" w:color="auto"/>
              <w:right w:val="single" w:sz="4" w:space="0" w:color="auto"/>
            </w:tcBorders>
            <w:noWrap/>
            <w:vAlign w:val="center"/>
            <w:hideMark/>
          </w:tcPr>
          <w:p w14:paraId="4D812847"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400%</w:t>
            </w:r>
          </w:p>
        </w:tc>
        <w:tc>
          <w:tcPr>
            <w:tcW w:w="1574" w:type="dxa"/>
            <w:tcBorders>
              <w:top w:val="single" w:sz="4" w:space="0" w:color="auto"/>
              <w:left w:val="single" w:sz="4" w:space="0" w:color="auto"/>
              <w:bottom w:val="single" w:sz="4" w:space="0" w:color="auto"/>
              <w:right w:val="single" w:sz="4" w:space="0" w:color="auto"/>
            </w:tcBorders>
            <w:vAlign w:val="center"/>
          </w:tcPr>
          <w:p w14:paraId="6EF306D4"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1250%</w:t>
            </w:r>
          </w:p>
        </w:tc>
        <w:tc>
          <w:tcPr>
            <w:tcW w:w="1575" w:type="dxa"/>
            <w:tcBorders>
              <w:top w:val="single" w:sz="4" w:space="0" w:color="auto"/>
              <w:left w:val="single" w:sz="4" w:space="0" w:color="auto"/>
              <w:bottom w:val="single" w:sz="4" w:space="0" w:color="auto"/>
              <w:right w:val="single" w:sz="4" w:space="0" w:color="auto"/>
            </w:tcBorders>
            <w:noWrap/>
            <w:vAlign w:val="center"/>
            <w:hideMark/>
          </w:tcPr>
          <w:p w14:paraId="7C59E773"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Other</w:t>
            </w:r>
          </w:p>
        </w:tc>
        <w:tc>
          <w:tcPr>
            <w:tcW w:w="3112" w:type="dxa"/>
            <w:tcBorders>
              <w:top w:val="single" w:sz="4" w:space="0" w:color="auto"/>
              <w:left w:val="single" w:sz="4" w:space="0" w:color="auto"/>
              <w:bottom w:val="single" w:sz="4" w:space="0" w:color="auto"/>
              <w:right w:val="single" w:sz="4" w:space="0" w:color="auto"/>
            </w:tcBorders>
            <w:noWrap/>
            <w:vAlign w:val="center"/>
            <w:hideMark/>
          </w:tcPr>
          <w:p w14:paraId="20113179" w14:textId="77777777" w:rsidR="001929CC" w:rsidRPr="0085293F" w:rsidRDefault="001929CC" w:rsidP="001929CC">
            <w:pPr>
              <w:pStyle w:val="TableText"/>
              <w:rPr>
                <w:rFonts w:eastAsia="MS PGothic" w:cs="Segoe UI"/>
                <w:szCs w:val="17"/>
                <w:lang w:eastAsia="ja-JP"/>
              </w:rPr>
            </w:pPr>
            <w:r w:rsidRPr="0085293F">
              <w:rPr>
                <w:rFonts w:cs="Segoe UI"/>
                <w:szCs w:val="17"/>
                <w:lang w:eastAsia="en-GB"/>
              </w:rPr>
              <w:t>Total</w:t>
            </w:r>
            <w:r>
              <w:rPr>
                <w:rFonts w:cs="Segoe UI"/>
                <w:szCs w:val="17"/>
                <w:lang w:eastAsia="en-GB"/>
              </w:rPr>
              <w:t xml:space="preserve"> </w:t>
            </w:r>
            <w:r w:rsidRPr="0085293F">
              <w:rPr>
                <w:rFonts w:cs="Segoe UI"/>
                <w:szCs w:val="17"/>
                <w:lang w:eastAsia="en-GB"/>
              </w:rPr>
              <w:t>credit exposure amount (post-CCF and post-CRM)</w:t>
            </w:r>
          </w:p>
        </w:tc>
      </w:tr>
      <w:tr w:rsidR="001929CC" w:rsidRPr="0085293F" w14:paraId="55443804" w14:textId="77777777" w:rsidTr="001929CC">
        <w:trPr>
          <w:trHeight w:val="283"/>
        </w:trPr>
        <w:tc>
          <w:tcPr>
            <w:tcW w:w="459" w:type="dxa"/>
            <w:tcBorders>
              <w:top w:val="nil"/>
              <w:left w:val="nil"/>
              <w:bottom w:val="single" w:sz="4" w:space="0" w:color="auto"/>
              <w:right w:val="single" w:sz="4" w:space="0" w:color="auto"/>
            </w:tcBorders>
            <w:hideMark/>
          </w:tcPr>
          <w:p w14:paraId="77DD3F82" w14:textId="77777777" w:rsidR="001929CC" w:rsidRPr="0085293F" w:rsidRDefault="001929CC" w:rsidP="001929CC">
            <w:pPr>
              <w:pStyle w:val="TableText"/>
              <w:rPr>
                <w:rFonts w:cs="Segoe UI"/>
                <w:szCs w:val="17"/>
                <w:lang w:eastAsia="en-GB"/>
              </w:rPr>
            </w:pPr>
            <w:r w:rsidRPr="0085293F">
              <w:rPr>
                <w:rFonts w:cs="Segoe UI"/>
                <w:szCs w:val="17"/>
                <w:lang w:eastAsia="en-GB"/>
              </w:rPr>
              <w:t>10</w:t>
            </w:r>
          </w:p>
        </w:tc>
        <w:tc>
          <w:tcPr>
            <w:tcW w:w="4292" w:type="dxa"/>
            <w:tcBorders>
              <w:top w:val="single" w:sz="4" w:space="0" w:color="auto"/>
              <w:left w:val="single" w:sz="4" w:space="0" w:color="auto"/>
              <w:bottom w:val="single" w:sz="4" w:space="0" w:color="auto"/>
              <w:right w:val="single" w:sz="4" w:space="0" w:color="auto"/>
            </w:tcBorders>
            <w:noWrap/>
            <w:hideMark/>
          </w:tcPr>
          <w:p w14:paraId="7DDA5CC7" w14:textId="77777777" w:rsidR="001929CC" w:rsidRPr="0085293F" w:rsidRDefault="001929CC" w:rsidP="001929CC">
            <w:pPr>
              <w:pStyle w:val="TableText"/>
              <w:rPr>
                <w:rFonts w:cs="Segoe UI"/>
                <w:szCs w:val="17"/>
                <w:lang w:eastAsia="en-GB"/>
              </w:rPr>
            </w:pPr>
            <w:r w:rsidRPr="0085293F">
              <w:rPr>
                <w:rFonts w:cs="Segoe UI"/>
                <w:szCs w:val="17"/>
                <w:lang w:eastAsia="en-GB"/>
              </w:rPr>
              <w:t>Significant capital investments in commercial entities</w:t>
            </w:r>
          </w:p>
        </w:tc>
        <w:tc>
          <w:tcPr>
            <w:tcW w:w="1574" w:type="dxa"/>
            <w:tcBorders>
              <w:top w:val="single" w:sz="4" w:space="0" w:color="auto"/>
              <w:left w:val="single" w:sz="4" w:space="0" w:color="auto"/>
              <w:bottom w:val="single" w:sz="4" w:space="0" w:color="auto"/>
              <w:right w:val="single" w:sz="4" w:space="0" w:color="auto"/>
            </w:tcBorders>
            <w:noWrap/>
          </w:tcPr>
          <w:p w14:paraId="3D26368E" w14:textId="77777777" w:rsidR="001929CC" w:rsidRPr="0085293F" w:rsidRDefault="001929CC" w:rsidP="001929CC">
            <w:pPr>
              <w:pStyle w:val="TableText"/>
              <w:rPr>
                <w:rFonts w:eastAsia="MS PGothic" w:cs="Segoe UI"/>
                <w:szCs w:val="17"/>
                <w:lang w:eastAsia="ja-JP"/>
              </w:rPr>
            </w:pPr>
          </w:p>
        </w:tc>
        <w:tc>
          <w:tcPr>
            <w:tcW w:w="1574" w:type="dxa"/>
            <w:tcBorders>
              <w:top w:val="single" w:sz="4" w:space="0" w:color="auto"/>
              <w:left w:val="single" w:sz="4" w:space="0" w:color="auto"/>
              <w:bottom w:val="single" w:sz="4" w:space="0" w:color="auto"/>
              <w:right w:val="single" w:sz="4" w:space="0" w:color="auto"/>
            </w:tcBorders>
            <w:noWrap/>
          </w:tcPr>
          <w:p w14:paraId="7E07AD97" w14:textId="77777777" w:rsidR="001929CC" w:rsidRPr="0085293F" w:rsidRDefault="001929CC" w:rsidP="001929CC">
            <w:pPr>
              <w:pStyle w:val="TableText"/>
              <w:rPr>
                <w:rFonts w:eastAsia="MS PGothic" w:cs="Segoe UI"/>
                <w:szCs w:val="17"/>
                <w:lang w:eastAsia="ja-JP"/>
              </w:rPr>
            </w:pPr>
          </w:p>
        </w:tc>
        <w:tc>
          <w:tcPr>
            <w:tcW w:w="1574" w:type="dxa"/>
            <w:tcBorders>
              <w:top w:val="single" w:sz="4" w:space="0" w:color="auto"/>
              <w:left w:val="single" w:sz="4" w:space="0" w:color="auto"/>
              <w:bottom w:val="single" w:sz="4" w:space="0" w:color="auto"/>
              <w:right w:val="single" w:sz="4" w:space="0" w:color="auto"/>
            </w:tcBorders>
          </w:tcPr>
          <w:p w14:paraId="079B690E" w14:textId="77777777" w:rsidR="001929CC" w:rsidRPr="0085293F" w:rsidRDefault="001929CC" w:rsidP="001929CC">
            <w:pPr>
              <w:pStyle w:val="TableText"/>
              <w:rPr>
                <w:rFonts w:eastAsia="MS PGothic" w:cs="Segoe UI"/>
                <w:szCs w:val="17"/>
                <w:lang w:eastAsia="ja-JP"/>
              </w:rPr>
            </w:pPr>
          </w:p>
        </w:tc>
        <w:tc>
          <w:tcPr>
            <w:tcW w:w="1575" w:type="dxa"/>
            <w:tcBorders>
              <w:top w:val="single" w:sz="4" w:space="0" w:color="auto"/>
              <w:left w:val="single" w:sz="4" w:space="0" w:color="auto"/>
              <w:bottom w:val="single" w:sz="4" w:space="0" w:color="auto"/>
              <w:right w:val="single" w:sz="4" w:space="0" w:color="auto"/>
            </w:tcBorders>
            <w:noWrap/>
          </w:tcPr>
          <w:p w14:paraId="7019E07A" w14:textId="77777777" w:rsidR="001929CC" w:rsidRPr="0085293F" w:rsidRDefault="001929CC" w:rsidP="001929CC">
            <w:pPr>
              <w:pStyle w:val="TableText"/>
              <w:rPr>
                <w:rFonts w:eastAsia="MS PGothic" w:cs="Segoe UI"/>
                <w:szCs w:val="17"/>
                <w:lang w:eastAsia="ja-JP"/>
              </w:rPr>
            </w:pPr>
          </w:p>
        </w:tc>
        <w:tc>
          <w:tcPr>
            <w:tcW w:w="3112" w:type="dxa"/>
            <w:tcBorders>
              <w:top w:val="single" w:sz="4" w:space="0" w:color="auto"/>
              <w:left w:val="single" w:sz="4" w:space="0" w:color="auto"/>
              <w:bottom w:val="single" w:sz="4" w:space="0" w:color="auto"/>
              <w:right w:val="single" w:sz="4" w:space="0" w:color="auto"/>
            </w:tcBorders>
            <w:noWrap/>
          </w:tcPr>
          <w:p w14:paraId="2BC59079" w14:textId="77777777" w:rsidR="001929CC" w:rsidRPr="0085293F" w:rsidRDefault="001929CC" w:rsidP="001929CC">
            <w:pPr>
              <w:pStyle w:val="TableText"/>
              <w:rPr>
                <w:rFonts w:eastAsia="MS PGothic" w:cs="Segoe UI"/>
                <w:szCs w:val="17"/>
                <w:lang w:eastAsia="ja-JP"/>
              </w:rPr>
            </w:pPr>
          </w:p>
        </w:tc>
      </w:tr>
    </w:tbl>
    <w:p w14:paraId="050078EA" w14:textId="77777777" w:rsidR="001929CC" w:rsidRPr="0085293F" w:rsidRDefault="001929CC" w:rsidP="001929CC">
      <w:pPr>
        <w:spacing w:before="40" w:after="40"/>
        <w:rPr>
          <w:rFonts w:cs="Segoe UI"/>
          <w:sz w:val="17"/>
          <w:szCs w:val="17"/>
        </w:rPr>
      </w:pPr>
    </w:p>
    <w:tbl>
      <w:tblPr>
        <w:tblW w:w="14160"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9"/>
        <w:gridCol w:w="4292"/>
        <w:gridCol w:w="1574"/>
        <w:gridCol w:w="1574"/>
        <w:gridCol w:w="1574"/>
        <w:gridCol w:w="1575"/>
        <w:gridCol w:w="3112"/>
      </w:tblGrid>
      <w:tr w:rsidR="001929CC" w:rsidRPr="0085293F" w14:paraId="5BE48CEF" w14:textId="77777777" w:rsidTr="001929CC">
        <w:trPr>
          <w:trHeight w:val="283"/>
        </w:trPr>
        <w:tc>
          <w:tcPr>
            <w:tcW w:w="459" w:type="dxa"/>
            <w:tcBorders>
              <w:top w:val="single" w:sz="4" w:space="0" w:color="auto"/>
              <w:left w:val="nil"/>
              <w:bottom w:val="nil"/>
              <w:right w:val="single" w:sz="4" w:space="0" w:color="auto"/>
            </w:tcBorders>
          </w:tcPr>
          <w:p w14:paraId="7E2B610D" w14:textId="77777777" w:rsidR="001929CC" w:rsidRPr="0085293F" w:rsidRDefault="001929CC" w:rsidP="001929CC">
            <w:pPr>
              <w:pStyle w:val="TableText"/>
              <w:rPr>
                <w:rFonts w:cs="Segoe UI"/>
                <w:szCs w:val="17"/>
                <w:lang w:eastAsia="en-GB"/>
              </w:rPr>
            </w:pPr>
          </w:p>
        </w:tc>
        <w:tc>
          <w:tcPr>
            <w:tcW w:w="4292" w:type="dxa"/>
            <w:tcBorders>
              <w:top w:val="single" w:sz="4" w:space="0" w:color="auto"/>
              <w:left w:val="single" w:sz="4" w:space="0" w:color="auto"/>
              <w:bottom w:val="single" w:sz="4" w:space="0" w:color="auto"/>
              <w:right w:val="single" w:sz="4" w:space="0" w:color="auto"/>
            </w:tcBorders>
            <w:noWrap/>
          </w:tcPr>
          <w:p w14:paraId="61372AD4" w14:textId="77777777" w:rsidR="001929CC" w:rsidRPr="0085293F" w:rsidRDefault="001929CC" w:rsidP="001929CC">
            <w:pPr>
              <w:pStyle w:val="TableText"/>
              <w:rPr>
                <w:rFonts w:cs="Segoe UI"/>
                <w:szCs w:val="17"/>
                <w:lang w:eastAsia="en-GB"/>
              </w:rPr>
            </w:pPr>
          </w:p>
        </w:tc>
        <w:tc>
          <w:tcPr>
            <w:tcW w:w="1574" w:type="dxa"/>
            <w:tcBorders>
              <w:top w:val="single" w:sz="4" w:space="0" w:color="auto"/>
              <w:left w:val="single" w:sz="4" w:space="0" w:color="auto"/>
              <w:bottom w:val="single" w:sz="4" w:space="0" w:color="auto"/>
              <w:right w:val="single" w:sz="4" w:space="0" w:color="auto"/>
            </w:tcBorders>
            <w:noWrap/>
            <w:vAlign w:val="center"/>
            <w:hideMark/>
          </w:tcPr>
          <w:p w14:paraId="1C72F1A4"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150%</w:t>
            </w:r>
          </w:p>
        </w:tc>
        <w:tc>
          <w:tcPr>
            <w:tcW w:w="1574" w:type="dxa"/>
            <w:tcBorders>
              <w:top w:val="single" w:sz="4" w:space="0" w:color="auto"/>
              <w:left w:val="single" w:sz="4" w:space="0" w:color="auto"/>
              <w:bottom w:val="single" w:sz="4" w:space="0" w:color="auto"/>
              <w:right w:val="single" w:sz="4" w:space="0" w:color="auto"/>
            </w:tcBorders>
            <w:noWrap/>
            <w:vAlign w:val="center"/>
            <w:hideMark/>
          </w:tcPr>
          <w:p w14:paraId="00ACE644"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250%</w:t>
            </w:r>
          </w:p>
        </w:tc>
        <w:tc>
          <w:tcPr>
            <w:tcW w:w="1574" w:type="dxa"/>
            <w:tcBorders>
              <w:top w:val="single" w:sz="4" w:space="0" w:color="auto"/>
              <w:left w:val="single" w:sz="4" w:space="0" w:color="auto"/>
              <w:bottom w:val="single" w:sz="4" w:space="0" w:color="auto"/>
              <w:right w:val="single" w:sz="4" w:space="0" w:color="auto"/>
            </w:tcBorders>
            <w:vAlign w:val="center"/>
          </w:tcPr>
          <w:p w14:paraId="040A6F56"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400%</w:t>
            </w:r>
          </w:p>
        </w:tc>
        <w:tc>
          <w:tcPr>
            <w:tcW w:w="1575" w:type="dxa"/>
            <w:tcBorders>
              <w:top w:val="single" w:sz="4" w:space="0" w:color="auto"/>
              <w:left w:val="single" w:sz="4" w:space="0" w:color="auto"/>
              <w:bottom w:val="single" w:sz="4" w:space="0" w:color="auto"/>
              <w:right w:val="single" w:sz="4" w:space="0" w:color="auto"/>
            </w:tcBorders>
            <w:noWrap/>
            <w:vAlign w:val="center"/>
            <w:hideMark/>
          </w:tcPr>
          <w:p w14:paraId="1F5DE54D"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Other</w:t>
            </w:r>
          </w:p>
        </w:tc>
        <w:tc>
          <w:tcPr>
            <w:tcW w:w="3112" w:type="dxa"/>
            <w:tcBorders>
              <w:top w:val="single" w:sz="4" w:space="0" w:color="auto"/>
              <w:left w:val="single" w:sz="4" w:space="0" w:color="auto"/>
              <w:bottom w:val="single" w:sz="4" w:space="0" w:color="auto"/>
              <w:right w:val="single" w:sz="4" w:space="0" w:color="auto"/>
            </w:tcBorders>
            <w:noWrap/>
            <w:vAlign w:val="center"/>
            <w:hideMark/>
          </w:tcPr>
          <w:p w14:paraId="70327CA4" w14:textId="77777777" w:rsidR="001929CC" w:rsidRPr="0085293F" w:rsidRDefault="001929CC" w:rsidP="001929CC">
            <w:pPr>
              <w:pStyle w:val="TableText"/>
              <w:rPr>
                <w:rFonts w:eastAsia="MS PGothic" w:cs="Segoe UI"/>
                <w:szCs w:val="17"/>
                <w:lang w:eastAsia="ja-JP"/>
              </w:rPr>
            </w:pPr>
            <w:r w:rsidRPr="0085293F">
              <w:rPr>
                <w:rFonts w:cs="Segoe UI"/>
                <w:szCs w:val="17"/>
                <w:lang w:eastAsia="en-GB"/>
              </w:rPr>
              <w:t>Total</w:t>
            </w:r>
            <w:r>
              <w:rPr>
                <w:rFonts w:cs="Segoe UI"/>
                <w:szCs w:val="17"/>
                <w:lang w:eastAsia="en-GB"/>
              </w:rPr>
              <w:t xml:space="preserve"> </w:t>
            </w:r>
            <w:r w:rsidRPr="0085293F">
              <w:rPr>
                <w:rFonts w:cs="Segoe UI"/>
                <w:szCs w:val="17"/>
                <w:lang w:eastAsia="en-GB"/>
              </w:rPr>
              <w:t>credit exposure amount (post-CCF and post-CRM)</w:t>
            </w:r>
          </w:p>
        </w:tc>
      </w:tr>
      <w:tr w:rsidR="001929CC" w:rsidRPr="002B6637" w14:paraId="48B67F68" w14:textId="77777777" w:rsidTr="001929CC">
        <w:trPr>
          <w:trHeight w:val="283"/>
        </w:trPr>
        <w:tc>
          <w:tcPr>
            <w:tcW w:w="459" w:type="dxa"/>
            <w:tcBorders>
              <w:top w:val="nil"/>
              <w:left w:val="nil"/>
              <w:bottom w:val="single" w:sz="4" w:space="0" w:color="auto"/>
              <w:right w:val="single" w:sz="4" w:space="0" w:color="auto"/>
            </w:tcBorders>
            <w:hideMark/>
          </w:tcPr>
          <w:p w14:paraId="69FF9DE4" w14:textId="77777777" w:rsidR="001929CC" w:rsidRPr="002B6637" w:rsidRDefault="001929CC" w:rsidP="001929CC">
            <w:pPr>
              <w:pStyle w:val="TableText"/>
              <w:rPr>
                <w:rFonts w:cs="Segoe UI"/>
                <w:szCs w:val="17"/>
                <w:lang w:eastAsia="en-GB"/>
              </w:rPr>
            </w:pPr>
            <w:r w:rsidRPr="002B6637">
              <w:rPr>
                <w:rFonts w:cs="Segoe UI"/>
                <w:szCs w:val="17"/>
                <w:lang w:eastAsia="en-GB"/>
              </w:rPr>
              <w:t>11</w:t>
            </w:r>
          </w:p>
        </w:tc>
        <w:tc>
          <w:tcPr>
            <w:tcW w:w="4292" w:type="dxa"/>
            <w:tcBorders>
              <w:top w:val="single" w:sz="4" w:space="0" w:color="auto"/>
              <w:left w:val="single" w:sz="4" w:space="0" w:color="auto"/>
              <w:bottom w:val="single" w:sz="4" w:space="0" w:color="auto"/>
              <w:right w:val="single" w:sz="4" w:space="0" w:color="auto"/>
            </w:tcBorders>
            <w:noWrap/>
            <w:hideMark/>
          </w:tcPr>
          <w:p w14:paraId="0E591158" w14:textId="77777777" w:rsidR="001929CC" w:rsidRPr="002B6637" w:rsidRDefault="001929CC" w:rsidP="001929CC">
            <w:pPr>
              <w:pStyle w:val="TableText"/>
              <w:rPr>
                <w:rFonts w:cs="Segoe UI"/>
                <w:szCs w:val="17"/>
                <w:lang w:eastAsia="en-GB"/>
              </w:rPr>
            </w:pPr>
            <w:r w:rsidRPr="002B6637">
              <w:rPr>
                <w:rFonts w:cs="Segoe UI"/>
                <w:szCs w:val="17"/>
                <w:lang w:eastAsia="en-GB"/>
              </w:rPr>
              <w:t>Holdings of capital instruments issued by, and non-capital LAC liabilities of, financial sector entities</w:t>
            </w:r>
          </w:p>
        </w:tc>
        <w:tc>
          <w:tcPr>
            <w:tcW w:w="1574" w:type="dxa"/>
            <w:tcBorders>
              <w:top w:val="single" w:sz="4" w:space="0" w:color="auto"/>
              <w:left w:val="single" w:sz="4" w:space="0" w:color="auto"/>
              <w:bottom w:val="single" w:sz="4" w:space="0" w:color="auto"/>
              <w:right w:val="single" w:sz="4" w:space="0" w:color="auto"/>
            </w:tcBorders>
            <w:noWrap/>
          </w:tcPr>
          <w:p w14:paraId="09FB0476" w14:textId="77777777" w:rsidR="001929CC" w:rsidRPr="002B6637" w:rsidRDefault="001929CC" w:rsidP="001929CC">
            <w:pPr>
              <w:pStyle w:val="TableText"/>
              <w:rPr>
                <w:rFonts w:eastAsia="MS PGothic" w:cs="Segoe UI"/>
                <w:szCs w:val="17"/>
                <w:lang w:eastAsia="ja-JP"/>
              </w:rPr>
            </w:pPr>
          </w:p>
        </w:tc>
        <w:tc>
          <w:tcPr>
            <w:tcW w:w="1574" w:type="dxa"/>
            <w:tcBorders>
              <w:top w:val="single" w:sz="4" w:space="0" w:color="auto"/>
              <w:left w:val="single" w:sz="4" w:space="0" w:color="auto"/>
              <w:bottom w:val="single" w:sz="4" w:space="0" w:color="auto"/>
              <w:right w:val="single" w:sz="4" w:space="0" w:color="auto"/>
            </w:tcBorders>
            <w:noWrap/>
          </w:tcPr>
          <w:p w14:paraId="7DE6CBC6" w14:textId="77777777" w:rsidR="001929CC" w:rsidRPr="002B6637" w:rsidRDefault="001929CC" w:rsidP="001929CC">
            <w:pPr>
              <w:pStyle w:val="TableText"/>
              <w:rPr>
                <w:rFonts w:eastAsia="MS PGothic" w:cs="Segoe UI"/>
                <w:szCs w:val="17"/>
                <w:lang w:eastAsia="ja-JP"/>
              </w:rPr>
            </w:pPr>
          </w:p>
        </w:tc>
        <w:tc>
          <w:tcPr>
            <w:tcW w:w="1574" w:type="dxa"/>
            <w:tcBorders>
              <w:top w:val="single" w:sz="4" w:space="0" w:color="auto"/>
              <w:left w:val="single" w:sz="4" w:space="0" w:color="auto"/>
              <w:bottom w:val="single" w:sz="4" w:space="0" w:color="auto"/>
              <w:right w:val="single" w:sz="4" w:space="0" w:color="auto"/>
            </w:tcBorders>
          </w:tcPr>
          <w:p w14:paraId="1A2471E1" w14:textId="77777777" w:rsidR="001929CC" w:rsidRPr="002B6637" w:rsidRDefault="001929CC" w:rsidP="001929CC">
            <w:pPr>
              <w:pStyle w:val="TableText"/>
              <w:rPr>
                <w:rFonts w:eastAsia="MS PGothic" w:cs="Segoe UI"/>
                <w:szCs w:val="17"/>
                <w:lang w:eastAsia="ja-JP"/>
              </w:rPr>
            </w:pPr>
          </w:p>
        </w:tc>
        <w:tc>
          <w:tcPr>
            <w:tcW w:w="1575" w:type="dxa"/>
            <w:tcBorders>
              <w:top w:val="single" w:sz="4" w:space="0" w:color="auto"/>
              <w:left w:val="single" w:sz="4" w:space="0" w:color="auto"/>
              <w:bottom w:val="single" w:sz="4" w:space="0" w:color="auto"/>
              <w:right w:val="single" w:sz="4" w:space="0" w:color="auto"/>
            </w:tcBorders>
            <w:noWrap/>
          </w:tcPr>
          <w:p w14:paraId="03317D77" w14:textId="77777777" w:rsidR="001929CC" w:rsidRPr="002B6637" w:rsidRDefault="001929CC" w:rsidP="001929CC">
            <w:pPr>
              <w:pStyle w:val="TableText"/>
              <w:rPr>
                <w:rFonts w:eastAsia="MS PGothic" w:cs="Segoe UI"/>
                <w:szCs w:val="17"/>
                <w:lang w:eastAsia="ja-JP"/>
              </w:rPr>
            </w:pPr>
          </w:p>
        </w:tc>
        <w:tc>
          <w:tcPr>
            <w:tcW w:w="3112" w:type="dxa"/>
            <w:tcBorders>
              <w:top w:val="single" w:sz="4" w:space="0" w:color="auto"/>
              <w:left w:val="single" w:sz="4" w:space="0" w:color="auto"/>
              <w:bottom w:val="single" w:sz="4" w:space="0" w:color="auto"/>
              <w:right w:val="single" w:sz="4" w:space="0" w:color="auto"/>
            </w:tcBorders>
            <w:noWrap/>
          </w:tcPr>
          <w:p w14:paraId="1CA6DE9A" w14:textId="77777777" w:rsidR="001929CC" w:rsidRPr="002B6637" w:rsidRDefault="001929CC" w:rsidP="001929CC">
            <w:pPr>
              <w:pStyle w:val="TableText"/>
              <w:rPr>
                <w:rFonts w:eastAsia="MS PGothic" w:cs="Segoe UI"/>
                <w:szCs w:val="17"/>
                <w:lang w:eastAsia="ja-JP"/>
              </w:rPr>
            </w:pPr>
          </w:p>
        </w:tc>
      </w:tr>
    </w:tbl>
    <w:p w14:paraId="1C4291E0" w14:textId="77777777" w:rsidR="001929CC" w:rsidRPr="002B6637" w:rsidRDefault="001929CC" w:rsidP="001929CC">
      <w:pPr>
        <w:spacing w:before="40" w:after="40"/>
        <w:rPr>
          <w:rFonts w:cs="Segoe UI"/>
          <w:sz w:val="17"/>
          <w:szCs w:val="17"/>
        </w:rPr>
      </w:pPr>
    </w:p>
    <w:tbl>
      <w:tblPr>
        <w:tblW w:w="14160"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9"/>
        <w:gridCol w:w="4292"/>
        <w:gridCol w:w="3148"/>
        <w:gridCol w:w="3149"/>
        <w:gridCol w:w="3112"/>
      </w:tblGrid>
      <w:tr w:rsidR="001929CC" w:rsidRPr="002B6637" w14:paraId="1740083B" w14:textId="77777777" w:rsidTr="001929CC">
        <w:trPr>
          <w:trHeight w:val="283"/>
        </w:trPr>
        <w:tc>
          <w:tcPr>
            <w:tcW w:w="459" w:type="dxa"/>
            <w:tcBorders>
              <w:top w:val="single" w:sz="4" w:space="0" w:color="auto"/>
              <w:left w:val="nil"/>
              <w:bottom w:val="nil"/>
              <w:right w:val="single" w:sz="4" w:space="0" w:color="auto"/>
            </w:tcBorders>
          </w:tcPr>
          <w:p w14:paraId="40E2F0BA" w14:textId="77777777" w:rsidR="001929CC" w:rsidRPr="002B6637" w:rsidRDefault="001929CC" w:rsidP="001929CC">
            <w:pPr>
              <w:pStyle w:val="TableText"/>
              <w:rPr>
                <w:rFonts w:cs="Segoe UI"/>
                <w:szCs w:val="17"/>
                <w:lang w:eastAsia="en-GB"/>
              </w:rPr>
            </w:pPr>
          </w:p>
        </w:tc>
        <w:tc>
          <w:tcPr>
            <w:tcW w:w="4292" w:type="dxa"/>
            <w:tcBorders>
              <w:top w:val="single" w:sz="4" w:space="0" w:color="auto"/>
              <w:left w:val="single" w:sz="4" w:space="0" w:color="auto"/>
              <w:bottom w:val="single" w:sz="4" w:space="0" w:color="auto"/>
              <w:right w:val="single" w:sz="4" w:space="0" w:color="auto"/>
            </w:tcBorders>
            <w:noWrap/>
          </w:tcPr>
          <w:p w14:paraId="5D39EBCE" w14:textId="77777777" w:rsidR="001929CC" w:rsidRPr="002B6637" w:rsidRDefault="001929CC" w:rsidP="001929CC">
            <w:pPr>
              <w:pStyle w:val="TableText"/>
              <w:rPr>
                <w:rFonts w:cs="Segoe UI"/>
                <w:szCs w:val="17"/>
                <w:lang w:eastAsia="en-GB"/>
              </w:rPr>
            </w:pPr>
          </w:p>
        </w:tc>
        <w:tc>
          <w:tcPr>
            <w:tcW w:w="3148" w:type="dxa"/>
            <w:tcBorders>
              <w:top w:val="single" w:sz="4" w:space="0" w:color="auto"/>
              <w:left w:val="single" w:sz="4" w:space="0" w:color="auto"/>
              <w:bottom w:val="single" w:sz="4" w:space="0" w:color="auto"/>
              <w:right w:val="single" w:sz="4" w:space="0" w:color="auto"/>
            </w:tcBorders>
            <w:noWrap/>
            <w:vAlign w:val="center"/>
            <w:hideMark/>
          </w:tcPr>
          <w:p w14:paraId="12182EAE" w14:textId="77777777" w:rsidR="001929CC" w:rsidRPr="002B6637" w:rsidRDefault="001929CC" w:rsidP="001929CC">
            <w:pPr>
              <w:pStyle w:val="TableText"/>
              <w:jc w:val="center"/>
              <w:rPr>
                <w:rFonts w:eastAsia="MS PGothic" w:cs="Segoe UI"/>
                <w:szCs w:val="17"/>
                <w:lang w:eastAsia="ja-JP"/>
              </w:rPr>
            </w:pPr>
            <w:r w:rsidRPr="002B6637">
              <w:rPr>
                <w:rFonts w:eastAsia="MS PGothic" w:cs="Segoe UI"/>
                <w:szCs w:val="17"/>
                <w:lang w:eastAsia="ja-JP"/>
              </w:rPr>
              <w:t>150%</w:t>
            </w:r>
          </w:p>
        </w:tc>
        <w:tc>
          <w:tcPr>
            <w:tcW w:w="3149" w:type="dxa"/>
            <w:tcBorders>
              <w:top w:val="single" w:sz="4" w:space="0" w:color="auto"/>
              <w:left w:val="single" w:sz="4" w:space="0" w:color="auto"/>
              <w:bottom w:val="single" w:sz="4" w:space="0" w:color="auto"/>
              <w:right w:val="single" w:sz="4" w:space="0" w:color="auto"/>
            </w:tcBorders>
            <w:noWrap/>
            <w:vAlign w:val="center"/>
            <w:hideMark/>
          </w:tcPr>
          <w:p w14:paraId="44C391D1" w14:textId="77777777" w:rsidR="001929CC" w:rsidRPr="002B6637" w:rsidRDefault="001929CC" w:rsidP="001929CC">
            <w:pPr>
              <w:pStyle w:val="TableText"/>
              <w:jc w:val="center"/>
              <w:rPr>
                <w:rFonts w:eastAsia="MS PGothic" w:cs="Segoe UI"/>
                <w:szCs w:val="17"/>
                <w:lang w:eastAsia="ja-JP"/>
              </w:rPr>
            </w:pPr>
            <w:r w:rsidRPr="002B6637">
              <w:rPr>
                <w:rFonts w:eastAsia="MS PGothic" w:cs="Segoe UI"/>
                <w:szCs w:val="17"/>
                <w:lang w:eastAsia="ja-JP"/>
              </w:rPr>
              <w:t>Other</w:t>
            </w:r>
          </w:p>
        </w:tc>
        <w:tc>
          <w:tcPr>
            <w:tcW w:w="3112" w:type="dxa"/>
            <w:tcBorders>
              <w:top w:val="single" w:sz="4" w:space="0" w:color="auto"/>
              <w:left w:val="single" w:sz="4" w:space="0" w:color="auto"/>
              <w:bottom w:val="single" w:sz="4" w:space="0" w:color="auto"/>
              <w:right w:val="single" w:sz="4" w:space="0" w:color="auto"/>
            </w:tcBorders>
            <w:noWrap/>
            <w:vAlign w:val="center"/>
            <w:hideMark/>
          </w:tcPr>
          <w:p w14:paraId="1DBDD924" w14:textId="77777777" w:rsidR="001929CC" w:rsidRPr="002B6637" w:rsidRDefault="001929CC" w:rsidP="001929CC">
            <w:pPr>
              <w:pStyle w:val="TableText"/>
              <w:rPr>
                <w:rFonts w:eastAsia="MS PGothic" w:cs="Segoe UI"/>
                <w:szCs w:val="17"/>
                <w:lang w:eastAsia="ja-JP"/>
              </w:rPr>
            </w:pPr>
            <w:r w:rsidRPr="002B6637">
              <w:rPr>
                <w:rFonts w:cs="Segoe UI"/>
                <w:szCs w:val="17"/>
                <w:lang w:eastAsia="en-GB"/>
              </w:rPr>
              <w:t>Total credit exposure amount (post CCF and post-CRM)</w:t>
            </w:r>
          </w:p>
        </w:tc>
      </w:tr>
      <w:tr w:rsidR="001929CC" w:rsidRPr="0085293F" w14:paraId="1DB5D21A" w14:textId="77777777" w:rsidTr="001929CC">
        <w:trPr>
          <w:trHeight w:val="283"/>
        </w:trPr>
        <w:tc>
          <w:tcPr>
            <w:tcW w:w="459" w:type="dxa"/>
            <w:tcBorders>
              <w:top w:val="nil"/>
              <w:left w:val="nil"/>
              <w:bottom w:val="single" w:sz="6" w:space="0" w:color="auto"/>
              <w:right w:val="single" w:sz="4" w:space="0" w:color="auto"/>
            </w:tcBorders>
            <w:hideMark/>
          </w:tcPr>
          <w:p w14:paraId="0E888439" w14:textId="77777777" w:rsidR="001929CC" w:rsidRPr="002B6637" w:rsidRDefault="001929CC" w:rsidP="001929CC">
            <w:pPr>
              <w:pStyle w:val="TableText"/>
              <w:rPr>
                <w:rFonts w:cs="Segoe UI"/>
                <w:szCs w:val="17"/>
                <w:lang w:eastAsia="en-GB"/>
              </w:rPr>
            </w:pPr>
            <w:r w:rsidRPr="002B6637">
              <w:rPr>
                <w:rFonts w:cs="Segoe UI"/>
                <w:szCs w:val="17"/>
                <w:lang w:eastAsia="en-GB"/>
              </w:rPr>
              <w:t>12</w:t>
            </w:r>
          </w:p>
        </w:tc>
        <w:tc>
          <w:tcPr>
            <w:tcW w:w="4292" w:type="dxa"/>
            <w:tcBorders>
              <w:top w:val="single" w:sz="4" w:space="0" w:color="auto"/>
              <w:left w:val="single" w:sz="4" w:space="0" w:color="auto"/>
              <w:bottom w:val="single" w:sz="4" w:space="0" w:color="auto"/>
              <w:right w:val="single" w:sz="4" w:space="0" w:color="auto"/>
            </w:tcBorders>
            <w:noWrap/>
            <w:hideMark/>
          </w:tcPr>
          <w:p w14:paraId="26452872" w14:textId="77777777" w:rsidR="001929CC" w:rsidRPr="002B6637" w:rsidRDefault="001929CC" w:rsidP="001929CC">
            <w:pPr>
              <w:pStyle w:val="TableText"/>
              <w:rPr>
                <w:rFonts w:cs="Segoe UI"/>
                <w:szCs w:val="17"/>
                <w:lang w:eastAsia="en-GB"/>
              </w:rPr>
            </w:pPr>
            <w:r w:rsidRPr="002B6637">
              <w:rPr>
                <w:rFonts w:cs="Segoe UI"/>
                <w:szCs w:val="17"/>
                <w:lang w:eastAsia="en-GB"/>
              </w:rPr>
              <w:t>Subordinated debts issued by banks and corporates</w:t>
            </w:r>
          </w:p>
        </w:tc>
        <w:tc>
          <w:tcPr>
            <w:tcW w:w="3148" w:type="dxa"/>
            <w:tcBorders>
              <w:top w:val="single" w:sz="4" w:space="0" w:color="auto"/>
              <w:left w:val="single" w:sz="4" w:space="0" w:color="auto"/>
              <w:bottom w:val="single" w:sz="4" w:space="0" w:color="auto"/>
              <w:right w:val="single" w:sz="4" w:space="0" w:color="auto"/>
            </w:tcBorders>
            <w:noWrap/>
          </w:tcPr>
          <w:p w14:paraId="462D578F" w14:textId="77777777" w:rsidR="001929CC" w:rsidRPr="0085293F" w:rsidRDefault="001929CC" w:rsidP="001929CC">
            <w:pPr>
              <w:pStyle w:val="TableText"/>
              <w:rPr>
                <w:rFonts w:eastAsia="MS PGothic" w:cs="Segoe UI"/>
                <w:szCs w:val="17"/>
                <w:lang w:eastAsia="ja-JP"/>
              </w:rPr>
            </w:pPr>
          </w:p>
        </w:tc>
        <w:tc>
          <w:tcPr>
            <w:tcW w:w="3149" w:type="dxa"/>
            <w:tcBorders>
              <w:top w:val="single" w:sz="4" w:space="0" w:color="auto"/>
              <w:left w:val="single" w:sz="4" w:space="0" w:color="auto"/>
              <w:bottom w:val="single" w:sz="4" w:space="0" w:color="auto"/>
              <w:right w:val="single" w:sz="4" w:space="0" w:color="auto"/>
            </w:tcBorders>
            <w:noWrap/>
          </w:tcPr>
          <w:p w14:paraId="5484E0FD" w14:textId="77777777" w:rsidR="001929CC" w:rsidRPr="0085293F" w:rsidRDefault="001929CC" w:rsidP="001929CC">
            <w:pPr>
              <w:pStyle w:val="TableText"/>
              <w:rPr>
                <w:rFonts w:eastAsia="MS PGothic" w:cs="Segoe UI"/>
                <w:szCs w:val="17"/>
                <w:lang w:eastAsia="ja-JP"/>
              </w:rPr>
            </w:pPr>
          </w:p>
        </w:tc>
        <w:tc>
          <w:tcPr>
            <w:tcW w:w="3112" w:type="dxa"/>
            <w:tcBorders>
              <w:top w:val="single" w:sz="4" w:space="0" w:color="auto"/>
              <w:left w:val="single" w:sz="4" w:space="0" w:color="auto"/>
              <w:bottom w:val="single" w:sz="4" w:space="0" w:color="auto"/>
              <w:right w:val="single" w:sz="4" w:space="0" w:color="auto"/>
            </w:tcBorders>
            <w:noWrap/>
          </w:tcPr>
          <w:p w14:paraId="08B8342A" w14:textId="77777777" w:rsidR="001929CC" w:rsidRPr="0085293F" w:rsidRDefault="001929CC" w:rsidP="001929CC">
            <w:pPr>
              <w:pStyle w:val="TableText"/>
              <w:rPr>
                <w:rFonts w:eastAsia="MS PGothic" w:cs="Segoe UI"/>
                <w:szCs w:val="17"/>
                <w:lang w:eastAsia="ja-JP"/>
              </w:rPr>
            </w:pPr>
          </w:p>
        </w:tc>
      </w:tr>
    </w:tbl>
    <w:p w14:paraId="6349F4AD" w14:textId="77777777" w:rsidR="001929CC" w:rsidRPr="0085293F" w:rsidRDefault="001929CC" w:rsidP="001929CC">
      <w:pPr>
        <w:spacing w:before="40" w:after="40"/>
        <w:rPr>
          <w:rFonts w:cs="Segoe UI"/>
          <w:sz w:val="17"/>
          <w:szCs w:val="17"/>
        </w:rPr>
      </w:pPr>
    </w:p>
    <w:tbl>
      <w:tblPr>
        <w:tblW w:w="14166"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9"/>
        <w:gridCol w:w="4253"/>
        <w:gridCol w:w="2112"/>
        <w:gridCol w:w="2112"/>
        <w:gridCol w:w="2112"/>
        <w:gridCol w:w="3118"/>
      </w:tblGrid>
      <w:tr w:rsidR="001929CC" w:rsidRPr="0085293F" w14:paraId="0B89C3EE" w14:textId="77777777" w:rsidTr="001929CC">
        <w:trPr>
          <w:trHeight w:val="283"/>
        </w:trPr>
        <w:tc>
          <w:tcPr>
            <w:tcW w:w="459" w:type="dxa"/>
            <w:tcBorders>
              <w:top w:val="single" w:sz="4" w:space="0" w:color="auto"/>
              <w:left w:val="nil"/>
              <w:bottom w:val="nil"/>
              <w:right w:val="single" w:sz="4" w:space="0" w:color="auto"/>
            </w:tcBorders>
          </w:tcPr>
          <w:p w14:paraId="273C8AC2" w14:textId="77777777" w:rsidR="001929CC" w:rsidRPr="0085293F" w:rsidRDefault="001929CC" w:rsidP="001929CC">
            <w:pPr>
              <w:pStyle w:val="TableText"/>
              <w:rPr>
                <w:rFonts w:cs="Segoe UI"/>
                <w:szCs w:val="17"/>
                <w:lang w:eastAsia="en-GB"/>
              </w:rPr>
            </w:pPr>
          </w:p>
        </w:tc>
        <w:tc>
          <w:tcPr>
            <w:tcW w:w="4253" w:type="dxa"/>
            <w:tcBorders>
              <w:top w:val="single" w:sz="4" w:space="0" w:color="auto"/>
              <w:left w:val="single" w:sz="4" w:space="0" w:color="auto"/>
              <w:bottom w:val="single" w:sz="4" w:space="0" w:color="auto"/>
              <w:right w:val="single" w:sz="4" w:space="0" w:color="auto"/>
            </w:tcBorders>
            <w:noWrap/>
          </w:tcPr>
          <w:p w14:paraId="58A3FC42" w14:textId="77777777" w:rsidR="001929CC" w:rsidRPr="0085293F" w:rsidRDefault="001929CC" w:rsidP="001929CC">
            <w:pPr>
              <w:pStyle w:val="TableText"/>
              <w:rPr>
                <w:rFonts w:cs="Segoe UI"/>
                <w:szCs w:val="17"/>
                <w:lang w:eastAsia="en-GB"/>
              </w:rPr>
            </w:pPr>
          </w:p>
        </w:tc>
        <w:tc>
          <w:tcPr>
            <w:tcW w:w="2112" w:type="dxa"/>
            <w:tcBorders>
              <w:top w:val="single" w:sz="4" w:space="0" w:color="auto"/>
              <w:left w:val="single" w:sz="4" w:space="0" w:color="auto"/>
              <w:bottom w:val="single" w:sz="4" w:space="0" w:color="auto"/>
              <w:right w:val="single" w:sz="4" w:space="0" w:color="auto"/>
            </w:tcBorders>
            <w:noWrap/>
            <w:vAlign w:val="center"/>
            <w:hideMark/>
          </w:tcPr>
          <w:p w14:paraId="26114A44"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0%</w:t>
            </w:r>
          </w:p>
        </w:tc>
        <w:tc>
          <w:tcPr>
            <w:tcW w:w="2112" w:type="dxa"/>
            <w:tcBorders>
              <w:top w:val="single" w:sz="4" w:space="0" w:color="auto"/>
              <w:left w:val="single" w:sz="4" w:space="0" w:color="auto"/>
              <w:bottom w:val="single" w:sz="4" w:space="0" w:color="auto"/>
              <w:right w:val="single" w:sz="4" w:space="0" w:color="auto"/>
            </w:tcBorders>
            <w:noWrap/>
            <w:vAlign w:val="center"/>
            <w:hideMark/>
          </w:tcPr>
          <w:p w14:paraId="005AE7D3"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100%</w:t>
            </w:r>
          </w:p>
        </w:tc>
        <w:tc>
          <w:tcPr>
            <w:tcW w:w="2112" w:type="dxa"/>
            <w:tcBorders>
              <w:top w:val="single" w:sz="4" w:space="0" w:color="auto"/>
              <w:left w:val="single" w:sz="4" w:space="0" w:color="auto"/>
              <w:bottom w:val="single" w:sz="4" w:space="0" w:color="auto"/>
              <w:right w:val="single" w:sz="4" w:space="0" w:color="auto"/>
            </w:tcBorders>
            <w:noWrap/>
            <w:vAlign w:val="center"/>
            <w:hideMark/>
          </w:tcPr>
          <w:p w14:paraId="3A7C4A51"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Other</w:t>
            </w:r>
          </w:p>
        </w:tc>
        <w:tc>
          <w:tcPr>
            <w:tcW w:w="3118" w:type="dxa"/>
            <w:tcBorders>
              <w:top w:val="single" w:sz="4" w:space="0" w:color="auto"/>
              <w:left w:val="single" w:sz="4" w:space="0" w:color="auto"/>
              <w:bottom w:val="single" w:sz="4" w:space="0" w:color="auto"/>
              <w:right w:val="single" w:sz="4" w:space="0" w:color="auto"/>
            </w:tcBorders>
            <w:noWrap/>
            <w:vAlign w:val="center"/>
            <w:hideMark/>
          </w:tcPr>
          <w:p w14:paraId="4D3BD5E6" w14:textId="77777777" w:rsidR="001929CC" w:rsidRPr="0085293F" w:rsidRDefault="001929CC" w:rsidP="001929CC">
            <w:pPr>
              <w:pStyle w:val="TableText"/>
              <w:rPr>
                <w:rFonts w:eastAsia="MS PGothic" w:cs="Segoe UI"/>
                <w:szCs w:val="17"/>
                <w:lang w:eastAsia="ja-JP"/>
              </w:rPr>
            </w:pPr>
            <w:r w:rsidRPr="0085293F">
              <w:rPr>
                <w:rFonts w:cs="Segoe UI"/>
                <w:szCs w:val="17"/>
                <w:lang w:eastAsia="en-GB"/>
              </w:rPr>
              <w:t>Total</w:t>
            </w:r>
            <w:r>
              <w:rPr>
                <w:rFonts w:cs="Segoe UI"/>
                <w:szCs w:val="17"/>
                <w:lang w:eastAsia="en-GB"/>
              </w:rPr>
              <w:t xml:space="preserve"> </w:t>
            </w:r>
            <w:r w:rsidRPr="0085293F">
              <w:rPr>
                <w:rFonts w:cs="Segoe UI"/>
                <w:szCs w:val="17"/>
                <w:lang w:eastAsia="en-GB"/>
              </w:rPr>
              <w:t>credit exposure amount (post-CCF and post-CRM)</w:t>
            </w:r>
          </w:p>
        </w:tc>
      </w:tr>
      <w:tr w:rsidR="001929CC" w:rsidRPr="0085293F" w14:paraId="3AFEF4DD" w14:textId="77777777" w:rsidTr="001929CC">
        <w:trPr>
          <w:trHeight w:val="283"/>
        </w:trPr>
        <w:tc>
          <w:tcPr>
            <w:tcW w:w="459" w:type="dxa"/>
            <w:tcBorders>
              <w:top w:val="nil"/>
              <w:left w:val="nil"/>
              <w:bottom w:val="single" w:sz="4" w:space="0" w:color="auto"/>
              <w:right w:val="single" w:sz="4" w:space="0" w:color="auto"/>
            </w:tcBorders>
            <w:hideMark/>
          </w:tcPr>
          <w:p w14:paraId="3F2E401A" w14:textId="77777777" w:rsidR="001929CC" w:rsidRPr="0085293F" w:rsidRDefault="001929CC" w:rsidP="001929CC">
            <w:pPr>
              <w:pStyle w:val="TableText"/>
              <w:rPr>
                <w:rFonts w:cs="Segoe UI"/>
                <w:szCs w:val="17"/>
                <w:lang w:eastAsia="en-GB"/>
              </w:rPr>
            </w:pPr>
            <w:r w:rsidRPr="0085293F">
              <w:rPr>
                <w:rFonts w:cs="Segoe UI"/>
                <w:szCs w:val="17"/>
                <w:lang w:eastAsia="en-GB"/>
              </w:rPr>
              <w:t>13</w:t>
            </w:r>
          </w:p>
        </w:tc>
        <w:tc>
          <w:tcPr>
            <w:tcW w:w="4253" w:type="dxa"/>
            <w:tcBorders>
              <w:top w:val="single" w:sz="4" w:space="0" w:color="auto"/>
              <w:left w:val="single" w:sz="4" w:space="0" w:color="auto"/>
              <w:bottom w:val="single" w:sz="4" w:space="0" w:color="auto"/>
              <w:right w:val="single" w:sz="4" w:space="0" w:color="auto"/>
            </w:tcBorders>
            <w:noWrap/>
            <w:hideMark/>
          </w:tcPr>
          <w:p w14:paraId="6C5DF996" w14:textId="77777777" w:rsidR="001929CC" w:rsidRPr="0085293F" w:rsidRDefault="001929CC" w:rsidP="001929CC">
            <w:pPr>
              <w:pStyle w:val="TableText"/>
              <w:rPr>
                <w:rFonts w:cs="Segoe UI"/>
                <w:szCs w:val="17"/>
                <w:lang w:eastAsia="en-GB"/>
              </w:rPr>
            </w:pPr>
            <w:r w:rsidRPr="0085293F">
              <w:rPr>
                <w:rFonts w:cs="Segoe UI"/>
                <w:szCs w:val="17"/>
                <w:lang w:eastAsia="en-GB"/>
              </w:rPr>
              <w:t>Cash and gold</w:t>
            </w:r>
          </w:p>
        </w:tc>
        <w:tc>
          <w:tcPr>
            <w:tcW w:w="2112" w:type="dxa"/>
            <w:tcBorders>
              <w:top w:val="single" w:sz="4" w:space="0" w:color="auto"/>
              <w:left w:val="single" w:sz="4" w:space="0" w:color="auto"/>
              <w:bottom w:val="single" w:sz="4" w:space="0" w:color="auto"/>
              <w:right w:val="single" w:sz="4" w:space="0" w:color="auto"/>
            </w:tcBorders>
            <w:noWrap/>
          </w:tcPr>
          <w:p w14:paraId="6C3CEF05" w14:textId="77777777" w:rsidR="001929CC" w:rsidRPr="0085293F" w:rsidRDefault="001929CC" w:rsidP="001929CC">
            <w:pPr>
              <w:pStyle w:val="TableText"/>
              <w:rPr>
                <w:rFonts w:eastAsia="MS PGothic" w:cs="Segoe UI"/>
                <w:szCs w:val="17"/>
                <w:lang w:eastAsia="ja-JP"/>
              </w:rPr>
            </w:pPr>
          </w:p>
        </w:tc>
        <w:tc>
          <w:tcPr>
            <w:tcW w:w="2112" w:type="dxa"/>
            <w:tcBorders>
              <w:top w:val="single" w:sz="4" w:space="0" w:color="auto"/>
              <w:left w:val="single" w:sz="4" w:space="0" w:color="auto"/>
              <w:bottom w:val="single" w:sz="4" w:space="0" w:color="auto"/>
              <w:right w:val="single" w:sz="4" w:space="0" w:color="auto"/>
            </w:tcBorders>
            <w:noWrap/>
          </w:tcPr>
          <w:p w14:paraId="78AA72A6" w14:textId="77777777" w:rsidR="001929CC" w:rsidRPr="0085293F" w:rsidRDefault="001929CC" w:rsidP="001929CC">
            <w:pPr>
              <w:pStyle w:val="TableText"/>
              <w:rPr>
                <w:rFonts w:eastAsia="MS PGothic" w:cs="Segoe UI"/>
                <w:szCs w:val="17"/>
                <w:lang w:eastAsia="ja-JP"/>
              </w:rPr>
            </w:pPr>
          </w:p>
        </w:tc>
        <w:tc>
          <w:tcPr>
            <w:tcW w:w="2112" w:type="dxa"/>
            <w:tcBorders>
              <w:top w:val="single" w:sz="4" w:space="0" w:color="auto"/>
              <w:left w:val="single" w:sz="4" w:space="0" w:color="auto"/>
              <w:bottom w:val="single" w:sz="4" w:space="0" w:color="auto"/>
              <w:right w:val="single" w:sz="4" w:space="0" w:color="auto"/>
            </w:tcBorders>
            <w:shd w:val="clear" w:color="auto" w:fill="auto"/>
            <w:noWrap/>
          </w:tcPr>
          <w:p w14:paraId="3DFD306F" w14:textId="77777777" w:rsidR="001929CC" w:rsidRPr="0085293F" w:rsidRDefault="001929CC" w:rsidP="001929CC">
            <w:pPr>
              <w:pStyle w:val="TableText"/>
              <w:rPr>
                <w:rFonts w:eastAsia="MS PGothic" w:cs="Segoe UI"/>
                <w:szCs w:val="17"/>
                <w:lang w:eastAsia="ja-JP"/>
              </w:rPr>
            </w:pPr>
          </w:p>
        </w:tc>
        <w:tc>
          <w:tcPr>
            <w:tcW w:w="3118" w:type="dxa"/>
            <w:tcBorders>
              <w:top w:val="single" w:sz="4" w:space="0" w:color="auto"/>
              <w:left w:val="single" w:sz="4" w:space="0" w:color="auto"/>
              <w:bottom w:val="single" w:sz="4" w:space="0" w:color="auto"/>
              <w:right w:val="single" w:sz="4" w:space="0" w:color="auto"/>
            </w:tcBorders>
            <w:noWrap/>
          </w:tcPr>
          <w:p w14:paraId="3537DBFB" w14:textId="77777777" w:rsidR="001929CC" w:rsidRPr="0085293F" w:rsidRDefault="001929CC" w:rsidP="001929CC">
            <w:pPr>
              <w:pStyle w:val="TableText"/>
              <w:rPr>
                <w:rFonts w:eastAsia="MS PGothic" w:cs="Segoe UI"/>
                <w:szCs w:val="17"/>
                <w:lang w:eastAsia="ja-JP"/>
              </w:rPr>
            </w:pPr>
          </w:p>
        </w:tc>
      </w:tr>
    </w:tbl>
    <w:p w14:paraId="6204A377" w14:textId="77777777" w:rsidR="001929CC" w:rsidRPr="0085293F" w:rsidRDefault="001929CC" w:rsidP="001929CC">
      <w:pPr>
        <w:spacing w:before="40" w:after="40"/>
        <w:rPr>
          <w:rFonts w:cs="Segoe UI"/>
          <w:sz w:val="17"/>
          <w:szCs w:val="17"/>
          <w:u w:val="single"/>
        </w:rPr>
      </w:pPr>
    </w:p>
    <w:tbl>
      <w:tblPr>
        <w:tblW w:w="14166"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9"/>
        <w:gridCol w:w="4253"/>
        <w:gridCol w:w="2112"/>
        <w:gridCol w:w="2112"/>
        <w:gridCol w:w="2112"/>
        <w:gridCol w:w="3118"/>
      </w:tblGrid>
      <w:tr w:rsidR="00092E43" w:rsidRPr="0085293F" w14:paraId="19AF1C4F" w14:textId="77777777" w:rsidTr="00AF458A">
        <w:trPr>
          <w:trHeight w:val="283"/>
        </w:trPr>
        <w:tc>
          <w:tcPr>
            <w:tcW w:w="459" w:type="dxa"/>
            <w:tcBorders>
              <w:top w:val="single" w:sz="4" w:space="0" w:color="auto"/>
              <w:left w:val="nil"/>
              <w:bottom w:val="nil"/>
              <w:right w:val="single" w:sz="4" w:space="0" w:color="auto"/>
            </w:tcBorders>
          </w:tcPr>
          <w:p w14:paraId="66FFFC9F" w14:textId="77777777" w:rsidR="00092E43" w:rsidRPr="0085293F" w:rsidRDefault="00092E43" w:rsidP="00092E43">
            <w:pPr>
              <w:pStyle w:val="TableText"/>
              <w:rPr>
                <w:rFonts w:cs="Segoe UI"/>
                <w:szCs w:val="17"/>
                <w:lang w:eastAsia="en-GB"/>
              </w:rPr>
            </w:pPr>
          </w:p>
        </w:tc>
        <w:tc>
          <w:tcPr>
            <w:tcW w:w="4253" w:type="dxa"/>
            <w:tcBorders>
              <w:top w:val="single" w:sz="4" w:space="0" w:color="auto"/>
              <w:left w:val="single" w:sz="4" w:space="0" w:color="auto"/>
              <w:bottom w:val="single" w:sz="4" w:space="0" w:color="auto"/>
              <w:right w:val="single" w:sz="4" w:space="0" w:color="auto"/>
            </w:tcBorders>
            <w:noWrap/>
          </w:tcPr>
          <w:p w14:paraId="058B4B4A" w14:textId="77777777" w:rsidR="00092E43" w:rsidRPr="0085293F" w:rsidRDefault="00092E43" w:rsidP="00092E43">
            <w:pPr>
              <w:pStyle w:val="TableText"/>
              <w:rPr>
                <w:rFonts w:cs="Segoe UI"/>
                <w:szCs w:val="17"/>
                <w:lang w:eastAsia="en-GB"/>
              </w:rPr>
            </w:pPr>
          </w:p>
        </w:tc>
        <w:tc>
          <w:tcPr>
            <w:tcW w:w="2112" w:type="dxa"/>
            <w:tcBorders>
              <w:top w:val="single" w:sz="4" w:space="0" w:color="auto"/>
              <w:left w:val="single" w:sz="4" w:space="0" w:color="auto"/>
              <w:bottom w:val="single" w:sz="4" w:space="0" w:color="auto"/>
              <w:right w:val="single" w:sz="4" w:space="0" w:color="auto"/>
            </w:tcBorders>
            <w:noWrap/>
            <w:vAlign w:val="center"/>
            <w:hideMark/>
          </w:tcPr>
          <w:p w14:paraId="4BD3FC19" w14:textId="77777777" w:rsidR="00092E43" w:rsidRPr="0085293F" w:rsidRDefault="00092E43" w:rsidP="00092E43">
            <w:pPr>
              <w:pStyle w:val="TableText"/>
              <w:jc w:val="center"/>
              <w:rPr>
                <w:rFonts w:eastAsia="MS PGothic" w:cs="Segoe UI"/>
                <w:szCs w:val="17"/>
                <w:lang w:eastAsia="ja-JP"/>
              </w:rPr>
            </w:pPr>
            <w:r w:rsidRPr="0085293F">
              <w:rPr>
                <w:rFonts w:eastAsia="MS PGothic" w:cs="Segoe UI"/>
                <w:szCs w:val="17"/>
                <w:lang w:eastAsia="ja-JP"/>
              </w:rPr>
              <w:t>0%</w:t>
            </w:r>
          </w:p>
        </w:tc>
        <w:tc>
          <w:tcPr>
            <w:tcW w:w="2112" w:type="dxa"/>
            <w:tcBorders>
              <w:top w:val="single" w:sz="4" w:space="0" w:color="auto"/>
              <w:left w:val="single" w:sz="4" w:space="0" w:color="auto"/>
              <w:bottom w:val="single" w:sz="4" w:space="0" w:color="auto"/>
              <w:right w:val="single" w:sz="4" w:space="0" w:color="auto"/>
            </w:tcBorders>
            <w:noWrap/>
            <w:vAlign w:val="center"/>
            <w:hideMark/>
          </w:tcPr>
          <w:p w14:paraId="715ECC9B" w14:textId="03C8E568" w:rsidR="00092E43" w:rsidRPr="0085293F" w:rsidRDefault="00092E43" w:rsidP="00092E43">
            <w:pPr>
              <w:pStyle w:val="TableText"/>
              <w:jc w:val="center"/>
              <w:rPr>
                <w:rFonts w:eastAsia="MS PGothic" w:cs="Segoe UI"/>
                <w:szCs w:val="17"/>
                <w:lang w:eastAsia="ja-JP"/>
              </w:rPr>
            </w:pPr>
            <w:r w:rsidRPr="0085293F">
              <w:rPr>
                <w:rFonts w:eastAsia="MS PGothic" w:cs="Segoe UI"/>
                <w:szCs w:val="17"/>
                <w:lang w:eastAsia="ja-JP"/>
              </w:rPr>
              <w:t>20%</w:t>
            </w:r>
          </w:p>
        </w:tc>
        <w:tc>
          <w:tcPr>
            <w:tcW w:w="2112" w:type="dxa"/>
            <w:tcBorders>
              <w:top w:val="single" w:sz="4" w:space="0" w:color="auto"/>
              <w:left w:val="single" w:sz="4" w:space="0" w:color="auto"/>
              <w:bottom w:val="single" w:sz="4" w:space="0" w:color="auto"/>
              <w:right w:val="single" w:sz="4" w:space="0" w:color="auto"/>
            </w:tcBorders>
            <w:noWrap/>
            <w:vAlign w:val="center"/>
            <w:hideMark/>
          </w:tcPr>
          <w:p w14:paraId="5CDC40C8" w14:textId="77777777" w:rsidR="00092E43" w:rsidRPr="0085293F" w:rsidRDefault="00092E43" w:rsidP="00092E43">
            <w:pPr>
              <w:pStyle w:val="TableText"/>
              <w:jc w:val="center"/>
              <w:rPr>
                <w:rFonts w:eastAsia="MS PGothic" w:cs="Segoe UI"/>
                <w:szCs w:val="17"/>
                <w:lang w:eastAsia="ja-JP"/>
              </w:rPr>
            </w:pPr>
            <w:r w:rsidRPr="0085293F">
              <w:rPr>
                <w:rFonts w:eastAsia="MS PGothic" w:cs="Segoe UI"/>
                <w:szCs w:val="17"/>
                <w:lang w:eastAsia="ja-JP"/>
              </w:rPr>
              <w:t>Other</w:t>
            </w:r>
          </w:p>
        </w:tc>
        <w:tc>
          <w:tcPr>
            <w:tcW w:w="3118" w:type="dxa"/>
            <w:tcBorders>
              <w:top w:val="single" w:sz="4" w:space="0" w:color="auto"/>
              <w:left w:val="single" w:sz="4" w:space="0" w:color="auto"/>
              <w:bottom w:val="single" w:sz="4" w:space="0" w:color="auto"/>
              <w:right w:val="single" w:sz="4" w:space="0" w:color="auto"/>
            </w:tcBorders>
            <w:noWrap/>
            <w:vAlign w:val="center"/>
            <w:hideMark/>
          </w:tcPr>
          <w:p w14:paraId="08AE16D8" w14:textId="77777777" w:rsidR="00092E43" w:rsidRPr="0085293F" w:rsidRDefault="00092E43" w:rsidP="00092E43">
            <w:pPr>
              <w:pStyle w:val="TableText"/>
              <w:rPr>
                <w:rFonts w:eastAsia="MS PGothic" w:cs="Segoe UI"/>
                <w:szCs w:val="17"/>
                <w:lang w:eastAsia="ja-JP"/>
              </w:rPr>
            </w:pPr>
            <w:r w:rsidRPr="0085293F">
              <w:rPr>
                <w:rFonts w:cs="Segoe UI"/>
                <w:szCs w:val="17"/>
                <w:lang w:eastAsia="en-GB"/>
              </w:rPr>
              <w:t>Total</w:t>
            </w:r>
            <w:r>
              <w:rPr>
                <w:rFonts w:cs="Segoe UI"/>
                <w:szCs w:val="17"/>
                <w:lang w:eastAsia="en-GB"/>
              </w:rPr>
              <w:t xml:space="preserve"> </w:t>
            </w:r>
            <w:r w:rsidRPr="0085293F">
              <w:rPr>
                <w:rFonts w:cs="Segoe UI"/>
                <w:szCs w:val="17"/>
                <w:lang w:eastAsia="en-GB"/>
              </w:rPr>
              <w:t>credit exposure amount (post-CCF and post-CRM)</w:t>
            </w:r>
          </w:p>
        </w:tc>
      </w:tr>
      <w:tr w:rsidR="001929CC" w:rsidRPr="0085293F" w14:paraId="27E65D41" w14:textId="77777777" w:rsidTr="00AF458A">
        <w:trPr>
          <w:trHeight w:val="283"/>
        </w:trPr>
        <w:tc>
          <w:tcPr>
            <w:tcW w:w="459" w:type="dxa"/>
            <w:tcBorders>
              <w:top w:val="nil"/>
              <w:left w:val="nil"/>
              <w:bottom w:val="single" w:sz="4" w:space="0" w:color="auto"/>
              <w:right w:val="single" w:sz="4" w:space="0" w:color="auto"/>
            </w:tcBorders>
            <w:hideMark/>
          </w:tcPr>
          <w:p w14:paraId="6DDDD33F" w14:textId="77777777" w:rsidR="001929CC" w:rsidRPr="0085293F" w:rsidRDefault="001929CC" w:rsidP="001929CC">
            <w:pPr>
              <w:pStyle w:val="TableText"/>
              <w:rPr>
                <w:rFonts w:cs="Segoe UI"/>
                <w:szCs w:val="17"/>
                <w:lang w:eastAsia="en-GB"/>
              </w:rPr>
            </w:pPr>
            <w:r w:rsidRPr="0085293F">
              <w:rPr>
                <w:rFonts w:cs="Segoe UI"/>
                <w:szCs w:val="17"/>
                <w:lang w:eastAsia="en-GB"/>
              </w:rPr>
              <w:t>14</w:t>
            </w:r>
          </w:p>
        </w:tc>
        <w:tc>
          <w:tcPr>
            <w:tcW w:w="4253" w:type="dxa"/>
            <w:tcBorders>
              <w:top w:val="single" w:sz="4" w:space="0" w:color="auto"/>
              <w:left w:val="single" w:sz="4" w:space="0" w:color="auto"/>
              <w:bottom w:val="single" w:sz="4" w:space="0" w:color="auto"/>
              <w:right w:val="single" w:sz="4" w:space="0" w:color="auto"/>
            </w:tcBorders>
            <w:noWrap/>
            <w:hideMark/>
          </w:tcPr>
          <w:p w14:paraId="71FDFBD7" w14:textId="77777777" w:rsidR="001929CC" w:rsidRPr="0085293F" w:rsidRDefault="001929CC" w:rsidP="001929CC">
            <w:pPr>
              <w:pStyle w:val="TableText"/>
              <w:rPr>
                <w:rFonts w:cs="Segoe UI"/>
                <w:szCs w:val="17"/>
                <w:lang w:eastAsia="en-GB"/>
              </w:rPr>
            </w:pPr>
            <w:r w:rsidRPr="002B6637">
              <w:rPr>
                <w:rFonts w:cs="Segoe UI"/>
                <w:szCs w:val="17"/>
                <w:lang w:eastAsia="en-GB"/>
              </w:rPr>
              <w:t>Ite</w:t>
            </w:r>
            <w:r w:rsidRPr="0085293F">
              <w:rPr>
                <w:rFonts w:cs="Segoe UI"/>
                <w:szCs w:val="17"/>
                <w:lang w:eastAsia="en-GB"/>
              </w:rPr>
              <w:t>ms in the process of clearing or settlement</w:t>
            </w:r>
          </w:p>
        </w:tc>
        <w:tc>
          <w:tcPr>
            <w:tcW w:w="2112" w:type="dxa"/>
            <w:tcBorders>
              <w:top w:val="single" w:sz="4" w:space="0" w:color="auto"/>
              <w:left w:val="single" w:sz="4" w:space="0" w:color="auto"/>
              <w:bottom w:val="single" w:sz="4" w:space="0" w:color="auto"/>
              <w:right w:val="single" w:sz="4" w:space="0" w:color="auto"/>
            </w:tcBorders>
            <w:noWrap/>
          </w:tcPr>
          <w:p w14:paraId="37B34CEF" w14:textId="77777777" w:rsidR="001929CC" w:rsidRPr="0085293F" w:rsidRDefault="001929CC" w:rsidP="001929CC">
            <w:pPr>
              <w:pStyle w:val="TableText"/>
              <w:rPr>
                <w:rFonts w:eastAsia="MS PGothic" w:cs="Segoe UI"/>
                <w:szCs w:val="17"/>
                <w:lang w:eastAsia="ja-JP"/>
              </w:rPr>
            </w:pPr>
          </w:p>
        </w:tc>
        <w:tc>
          <w:tcPr>
            <w:tcW w:w="2112" w:type="dxa"/>
            <w:tcBorders>
              <w:top w:val="single" w:sz="4" w:space="0" w:color="auto"/>
              <w:left w:val="single" w:sz="4" w:space="0" w:color="auto"/>
              <w:bottom w:val="single" w:sz="4" w:space="0" w:color="auto"/>
              <w:right w:val="single" w:sz="4" w:space="0" w:color="auto"/>
            </w:tcBorders>
            <w:noWrap/>
          </w:tcPr>
          <w:p w14:paraId="749B40F7" w14:textId="77777777" w:rsidR="001929CC" w:rsidRPr="0085293F" w:rsidRDefault="001929CC" w:rsidP="001929CC">
            <w:pPr>
              <w:pStyle w:val="TableText"/>
              <w:rPr>
                <w:rFonts w:eastAsia="MS PGothic" w:cs="Segoe UI"/>
                <w:szCs w:val="17"/>
                <w:lang w:eastAsia="ja-JP"/>
              </w:rPr>
            </w:pPr>
          </w:p>
        </w:tc>
        <w:tc>
          <w:tcPr>
            <w:tcW w:w="2112" w:type="dxa"/>
            <w:tcBorders>
              <w:top w:val="single" w:sz="4" w:space="0" w:color="auto"/>
              <w:left w:val="single" w:sz="4" w:space="0" w:color="auto"/>
              <w:bottom w:val="single" w:sz="4" w:space="0" w:color="auto"/>
              <w:right w:val="single" w:sz="4" w:space="0" w:color="auto"/>
            </w:tcBorders>
            <w:shd w:val="clear" w:color="auto" w:fill="auto"/>
            <w:noWrap/>
          </w:tcPr>
          <w:p w14:paraId="03184343" w14:textId="77777777" w:rsidR="001929CC" w:rsidRPr="0085293F" w:rsidRDefault="001929CC" w:rsidP="001929CC">
            <w:pPr>
              <w:pStyle w:val="TableText"/>
              <w:rPr>
                <w:rFonts w:eastAsia="MS PGothic" w:cs="Segoe UI"/>
                <w:szCs w:val="17"/>
                <w:lang w:eastAsia="ja-JP"/>
              </w:rPr>
            </w:pPr>
          </w:p>
        </w:tc>
        <w:tc>
          <w:tcPr>
            <w:tcW w:w="3118" w:type="dxa"/>
            <w:tcBorders>
              <w:top w:val="single" w:sz="4" w:space="0" w:color="auto"/>
              <w:left w:val="single" w:sz="4" w:space="0" w:color="auto"/>
              <w:bottom w:val="single" w:sz="4" w:space="0" w:color="auto"/>
              <w:right w:val="single" w:sz="4" w:space="0" w:color="auto"/>
            </w:tcBorders>
            <w:noWrap/>
          </w:tcPr>
          <w:p w14:paraId="54D91ACF" w14:textId="77777777" w:rsidR="001929CC" w:rsidRPr="0085293F" w:rsidRDefault="001929CC" w:rsidP="001929CC">
            <w:pPr>
              <w:pStyle w:val="TableText"/>
              <w:rPr>
                <w:rFonts w:eastAsia="MS PGothic" w:cs="Segoe UI"/>
                <w:szCs w:val="17"/>
                <w:lang w:eastAsia="ja-JP"/>
              </w:rPr>
            </w:pPr>
          </w:p>
        </w:tc>
      </w:tr>
    </w:tbl>
    <w:p w14:paraId="4B94603A" w14:textId="77777777" w:rsidR="001929CC" w:rsidRPr="0085293F" w:rsidRDefault="001929CC" w:rsidP="001929CC">
      <w:pPr>
        <w:spacing w:before="40" w:after="40"/>
        <w:rPr>
          <w:rFonts w:cs="Segoe UI"/>
          <w:sz w:val="17"/>
          <w:szCs w:val="17"/>
        </w:rPr>
      </w:pPr>
    </w:p>
    <w:tbl>
      <w:tblPr>
        <w:tblW w:w="14160"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9"/>
        <w:gridCol w:w="4291"/>
        <w:gridCol w:w="2099"/>
        <w:gridCol w:w="2099"/>
        <w:gridCol w:w="2100"/>
        <w:gridCol w:w="3112"/>
      </w:tblGrid>
      <w:tr w:rsidR="001929CC" w:rsidRPr="0085293F" w14:paraId="43B0DC4D" w14:textId="77777777" w:rsidTr="001929CC">
        <w:trPr>
          <w:trHeight w:val="283"/>
        </w:trPr>
        <w:tc>
          <w:tcPr>
            <w:tcW w:w="459" w:type="dxa"/>
            <w:tcBorders>
              <w:top w:val="single" w:sz="4" w:space="0" w:color="auto"/>
              <w:left w:val="nil"/>
              <w:bottom w:val="nil"/>
              <w:right w:val="single" w:sz="4" w:space="0" w:color="auto"/>
            </w:tcBorders>
          </w:tcPr>
          <w:p w14:paraId="163C7434" w14:textId="77777777" w:rsidR="001929CC" w:rsidRPr="0085293F" w:rsidRDefault="001929CC" w:rsidP="001929CC">
            <w:pPr>
              <w:pStyle w:val="TableText"/>
              <w:rPr>
                <w:rFonts w:cs="Segoe UI"/>
                <w:szCs w:val="17"/>
                <w:lang w:eastAsia="en-GB"/>
              </w:rPr>
            </w:pPr>
          </w:p>
        </w:tc>
        <w:tc>
          <w:tcPr>
            <w:tcW w:w="4291" w:type="dxa"/>
            <w:tcBorders>
              <w:top w:val="single" w:sz="4" w:space="0" w:color="auto"/>
              <w:left w:val="single" w:sz="4" w:space="0" w:color="auto"/>
              <w:bottom w:val="single" w:sz="4" w:space="0" w:color="auto"/>
              <w:right w:val="single" w:sz="4" w:space="0" w:color="auto"/>
            </w:tcBorders>
            <w:noWrap/>
          </w:tcPr>
          <w:p w14:paraId="2842AE48" w14:textId="77777777" w:rsidR="001929CC" w:rsidRPr="0085293F" w:rsidRDefault="001929CC" w:rsidP="001929CC">
            <w:pPr>
              <w:pStyle w:val="TableText"/>
              <w:rPr>
                <w:rFonts w:cs="Segoe UI"/>
                <w:szCs w:val="17"/>
                <w:lang w:eastAsia="en-GB"/>
              </w:rPr>
            </w:pPr>
          </w:p>
        </w:tc>
        <w:tc>
          <w:tcPr>
            <w:tcW w:w="2099" w:type="dxa"/>
            <w:tcBorders>
              <w:top w:val="single" w:sz="4" w:space="0" w:color="auto"/>
              <w:left w:val="single" w:sz="4" w:space="0" w:color="auto"/>
              <w:bottom w:val="single" w:sz="4" w:space="0" w:color="auto"/>
              <w:right w:val="single" w:sz="4" w:space="0" w:color="auto"/>
            </w:tcBorders>
            <w:noWrap/>
            <w:vAlign w:val="center"/>
            <w:hideMark/>
          </w:tcPr>
          <w:p w14:paraId="2124CD42"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100%</w:t>
            </w:r>
          </w:p>
        </w:tc>
        <w:tc>
          <w:tcPr>
            <w:tcW w:w="2099" w:type="dxa"/>
            <w:tcBorders>
              <w:top w:val="single" w:sz="4" w:space="0" w:color="auto"/>
              <w:left w:val="single" w:sz="4" w:space="0" w:color="auto"/>
              <w:bottom w:val="single" w:sz="4" w:space="0" w:color="auto"/>
              <w:right w:val="single" w:sz="4" w:space="0" w:color="auto"/>
            </w:tcBorders>
            <w:vAlign w:val="center"/>
            <w:hideMark/>
          </w:tcPr>
          <w:p w14:paraId="1BE3334C"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1250%</w:t>
            </w:r>
          </w:p>
        </w:tc>
        <w:tc>
          <w:tcPr>
            <w:tcW w:w="2100" w:type="dxa"/>
            <w:tcBorders>
              <w:top w:val="single" w:sz="4" w:space="0" w:color="auto"/>
              <w:left w:val="single" w:sz="4" w:space="0" w:color="auto"/>
              <w:bottom w:val="single" w:sz="4" w:space="0" w:color="auto"/>
              <w:right w:val="single" w:sz="4" w:space="0" w:color="auto"/>
            </w:tcBorders>
            <w:vAlign w:val="center"/>
            <w:hideMark/>
          </w:tcPr>
          <w:p w14:paraId="7633A7AC" w14:textId="77777777" w:rsidR="001929CC" w:rsidRPr="0085293F" w:rsidRDefault="001929CC" w:rsidP="001929CC">
            <w:pPr>
              <w:pStyle w:val="TableText"/>
              <w:jc w:val="center"/>
              <w:rPr>
                <w:rFonts w:eastAsia="MS PGothic" w:cs="Segoe UI"/>
                <w:szCs w:val="17"/>
                <w:lang w:eastAsia="ja-JP"/>
              </w:rPr>
            </w:pPr>
            <w:r w:rsidRPr="0085293F">
              <w:rPr>
                <w:rFonts w:eastAsia="MS PGothic" w:cs="Segoe UI"/>
                <w:szCs w:val="17"/>
                <w:lang w:eastAsia="ja-JP"/>
              </w:rPr>
              <w:t>Other</w:t>
            </w:r>
          </w:p>
        </w:tc>
        <w:tc>
          <w:tcPr>
            <w:tcW w:w="3112" w:type="dxa"/>
            <w:tcBorders>
              <w:top w:val="single" w:sz="4" w:space="0" w:color="auto"/>
              <w:left w:val="single" w:sz="4" w:space="0" w:color="auto"/>
              <w:bottom w:val="single" w:sz="4" w:space="0" w:color="auto"/>
              <w:right w:val="single" w:sz="4" w:space="0" w:color="auto"/>
            </w:tcBorders>
            <w:noWrap/>
            <w:vAlign w:val="center"/>
            <w:hideMark/>
          </w:tcPr>
          <w:p w14:paraId="36B4731C" w14:textId="77777777" w:rsidR="001929CC" w:rsidRPr="0085293F" w:rsidRDefault="001929CC" w:rsidP="001929CC">
            <w:pPr>
              <w:pStyle w:val="TableText"/>
              <w:rPr>
                <w:rFonts w:eastAsia="MS PGothic" w:cs="Segoe UI"/>
                <w:szCs w:val="17"/>
                <w:lang w:eastAsia="ja-JP"/>
              </w:rPr>
            </w:pPr>
            <w:r w:rsidRPr="0085293F">
              <w:rPr>
                <w:rFonts w:eastAsia="MS PGothic" w:cs="Segoe UI"/>
                <w:szCs w:val="17"/>
                <w:lang w:eastAsia="ja-JP"/>
              </w:rPr>
              <w:t>Total</w:t>
            </w:r>
            <w:r>
              <w:rPr>
                <w:rFonts w:eastAsia="MS PGothic" w:cs="Segoe UI"/>
                <w:szCs w:val="17"/>
                <w:lang w:eastAsia="ja-JP"/>
              </w:rPr>
              <w:t xml:space="preserve"> </w:t>
            </w:r>
            <w:r w:rsidRPr="0085293F">
              <w:rPr>
                <w:rFonts w:eastAsia="MS PGothic" w:cs="Segoe UI"/>
                <w:szCs w:val="17"/>
                <w:lang w:eastAsia="ja-JP"/>
              </w:rPr>
              <w:t>credit exposure amount (post-CCF and post-CRM)</w:t>
            </w:r>
          </w:p>
        </w:tc>
      </w:tr>
      <w:tr w:rsidR="001929CC" w:rsidRPr="0085293F" w14:paraId="48DABD94" w14:textId="77777777" w:rsidTr="001929CC">
        <w:trPr>
          <w:trHeight w:val="283"/>
        </w:trPr>
        <w:tc>
          <w:tcPr>
            <w:tcW w:w="459" w:type="dxa"/>
            <w:tcBorders>
              <w:top w:val="nil"/>
              <w:left w:val="nil"/>
              <w:bottom w:val="single" w:sz="6" w:space="0" w:color="auto"/>
              <w:right w:val="single" w:sz="4" w:space="0" w:color="auto"/>
            </w:tcBorders>
            <w:hideMark/>
          </w:tcPr>
          <w:p w14:paraId="73005BB9" w14:textId="77777777" w:rsidR="001929CC" w:rsidRPr="0085293F" w:rsidRDefault="001929CC" w:rsidP="001929CC">
            <w:pPr>
              <w:pStyle w:val="TableText"/>
              <w:rPr>
                <w:rFonts w:cs="Segoe UI"/>
                <w:szCs w:val="17"/>
                <w:lang w:eastAsia="en-GB"/>
              </w:rPr>
            </w:pPr>
            <w:r w:rsidRPr="0085293F">
              <w:rPr>
                <w:rFonts w:cs="Segoe UI"/>
                <w:szCs w:val="17"/>
                <w:lang w:eastAsia="en-GB"/>
              </w:rPr>
              <w:t>15</w:t>
            </w:r>
          </w:p>
        </w:tc>
        <w:tc>
          <w:tcPr>
            <w:tcW w:w="4291" w:type="dxa"/>
            <w:tcBorders>
              <w:top w:val="single" w:sz="4" w:space="0" w:color="auto"/>
              <w:left w:val="single" w:sz="4" w:space="0" w:color="auto"/>
              <w:bottom w:val="single" w:sz="4" w:space="0" w:color="auto"/>
              <w:right w:val="single" w:sz="4" w:space="0" w:color="auto"/>
            </w:tcBorders>
            <w:noWrap/>
            <w:hideMark/>
          </w:tcPr>
          <w:p w14:paraId="6FCBBBAB" w14:textId="77777777" w:rsidR="001929CC" w:rsidRPr="0085293F" w:rsidRDefault="001929CC" w:rsidP="001929CC">
            <w:pPr>
              <w:pStyle w:val="TableText"/>
              <w:rPr>
                <w:rFonts w:cs="Segoe UI"/>
                <w:szCs w:val="17"/>
                <w:lang w:eastAsia="en-GB"/>
              </w:rPr>
            </w:pPr>
            <w:r w:rsidRPr="0085293F">
              <w:rPr>
                <w:rFonts w:cs="Segoe UI"/>
                <w:szCs w:val="17"/>
                <w:lang w:eastAsia="en-GB"/>
              </w:rPr>
              <w:t>Other exposures</w:t>
            </w:r>
          </w:p>
        </w:tc>
        <w:tc>
          <w:tcPr>
            <w:tcW w:w="2099" w:type="dxa"/>
            <w:tcBorders>
              <w:top w:val="single" w:sz="4" w:space="0" w:color="auto"/>
              <w:left w:val="single" w:sz="4" w:space="0" w:color="auto"/>
              <w:bottom w:val="single" w:sz="4" w:space="0" w:color="auto"/>
              <w:right w:val="single" w:sz="4" w:space="0" w:color="auto"/>
            </w:tcBorders>
            <w:noWrap/>
          </w:tcPr>
          <w:p w14:paraId="75EB8BE0" w14:textId="77777777" w:rsidR="001929CC" w:rsidRPr="0085293F" w:rsidRDefault="001929CC" w:rsidP="001929CC">
            <w:pPr>
              <w:pStyle w:val="TableText"/>
              <w:rPr>
                <w:rFonts w:eastAsia="MS PGothic" w:cs="Segoe UI"/>
                <w:szCs w:val="17"/>
                <w:lang w:eastAsia="ja-JP"/>
              </w:rPr>
            </w:pPr>
          </w:p>
        </w:tc>
        <w:tc>
          <w:tcPr>
            <w:tcW w:w="2099" w:type="dxa"/>
            <w:tcBorders>
              <w:top w:val="single" w:sz="4" w:space="0" w:color="auto"/>
              <w:left w:val="single" w:sz="4" w:space="0" w:color="auto"/>
              <w:bottom w:val="single" w:sz="4" w:space="0" w:color="auto"/>
              <w:right w:val="single" w:sz="4" w:space="0" w:color="auto"/>
            </w:tcBorders>
          </w:tcPr>
          <w:p w14:paraId="6861FAD9" w14:textId="77777777" w:rsidR="001929CC" w:rsidRPr="0085293F" w:rsidRDefault="001929CC" w:rsidP="001929CC">
            <w:pPr>
              <w:pStyle w:val="TableText"/>
              <w:rPr>
                <w:rFonts w:eastAsia="MS PGothic" w:cs="Segoe UI"/>
                <w:szCs w:val="17"/>
                <w:lang w:eastAsia="ja-JP"/>
              </w:rPr>
            </w:pPr>
          </w:p>
        </w:tc>
        <w:tc>
          <w:tcPr>
            <w:tcW w:w="2100" w:type="dxa"/>
            <w:tcBorders>
              <w:top w:val="single" w:sz="4" w:space="0" w:color="auto"/>
              <w:left w:val="single" w:sz="4" w:space="0" w:color="auto"/>
              <w:bottom w:val="single" w:sz="4" w:space="0" w:color="auto"/>
              <w:right w:val="single" w:sz="4" w:space="0" w:color="auto"/>
            </w:tcBorders>
          </w:tcPr>
          <w:p w14:paraId="11E13505" w14:textId="77777777" w:rsidR="001929CC" w:rsidRPr="0085293F" w:rsidRDefault="001929CC" w:rsidP="001929CC">
            <w:pPr>
              <w:pStyle w:val="TableText"/>
              <w:rPr>
                <w:rFonts w:eastAsia="MS PGothic" w:cs="Segoe UI"/>
                <w:szCs w:val="17"/>
                <w:lang w:eastAsia="ja-JP"/>
              </w:rPr>
            </w:pPr>
          </w:p>
        </w:tc>
        <w:tc>
          <w:tcPr>
            <w:tcW w:w="3112" w:type="dxa"/>
            <w:tcBorders>
              <w:top w:val="single" w:sz="4" w:space="0" w:color="auto"/>
              <w:left w:val="single" w:sz="4" w:space="0" w:color="auto"/>
              <w:bottom w:val="single" w:sz="4" w:space="0" w:color="auto"/>
              <w:right w:val="single" w:sz="4" w:space="0" w:color="auto"/>
            </w:tcBorders>
            <w:noWrap/>
          </w:tcPr>
          <w:p w14:paraId="07BBC0A9" w14:textId="77777777" w:rsidR="001929CC" w:rsidRPr="0085293F" w:rsidRDefault="001929CC" w:rsidP="001929CC">
            <w:pPr>
              <w:pStyle w:val="TableText"/>
              <w:rPr>
                <w:rFonts w:eastAsia="MS PGothic" w:cs="Segoe UI"/>
                <w:szCs w:val="17"/>
                <w:lang w:eastAsia="ja-JP"/>
              </w:rPr>
            </w:pPr>
          </w:p>
        </w:tc>
      </w:tr>
    </w:tbl>
    <w:p w14:paraId="0AA7BAB9" w14:textId="77777777" w:rsidR="001929CC" w:rsidRDefault="001929CC" w:rsidP="001929CC">
      <w:pPr>
        <w:spacing w:before="40" w:after="40"/>
        <w:rPr>
          <w:sz w:val="22"/>
        </w:rPr>
      </w:pPr>
    </w:p>
    <w:p w14:paraId="5FB30A85" w14:textId="77777777" w:rsidR="001929CC" w:rsidRDefault="001929CC" w:rsidP="001929CC">
      <w:pPr>
        <w:spacing w:before="40" w:after="40"/>
        <w:rPr>
          <w:sz w:val="22"/>
        </w:rPr>
      </w:pPr>
      <w:r w:rsidRPr="001954AD">
        <w:rPr>
          <w:u w:val="single"/>
        </w:rPr>
        <w:t>Exposure amounts and CCFs applied to off-balance sheet exposures, categorised based on risk bucket of converted exposures</w:t>
      </w:r>
      <w:r>
        <w:rPr>
          <w:u w:val="single"/>
        </w:rPr>
        <w:t xml:space="preserve"> (BSC version)</w:t>
      </w:r>
    </w:p>
    <w:tbl>
      <w:tblPr>
        <w:tblW w:w="14166"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558"/>
        <w:gridCol w:w="4395"/>
        <w:gridCol w:w="2303"/>
        <w:gridCol w:w="2303"/>
        <w:gridCol w:w="2303"/>
        <w:gridCol w:w="2304"/>
      </w:tblGrid>
      <w:tr w:rsidR="001929CC" w:rsidRPr="0085293F" w14:paraId="290783DA" w14:textId="77777777" w:rsidTr="001929CC">
        <w:trPr>
          <w:trHeight w:val="402"/>
          <w:tblHeader/>
        </w:trPr>
        <w:tc>
          <w:tcPr>
            <w:tcW w:w="558" w:type="dxa"/>
            <w:tcBorders>
              <w:top w:val="nil"/>
              <w:left w:val="nil"/>
              <w:bottom w:val="nil"/>
              <w:right w:val="single" w:sz="4" w:space="0" w:color="auto"/>
            </w:tcBorders>
          </w:tcPr>
          <w:p w14:paraId="72A77CCF" w14:textId="77777777" w:rsidR="001929CC" w:rsidRPr="0085293F" w:rsidRDefault="001929CC" w:rsidP="001929CC">
            <w:pPr>
              <w:pStyle w:val="TableText"/>
              <w:snapToGrid w:val="0"/>
              <w:rPr>
                <w:rFonts w:eastAsia="MS PGothic" w:cs="Segoe UI"/>
                <w:szCs w:val="17"/>
                <w:lang w:eastAsia="ja-JP"/>
              </w:rPr>
            </w:pPr>
          </w:p>
        </w:tc>
        <w:tc>
          <w:tcPr>
            <w:tcW w:w="4395" w:type="dxa"/>
            <w:vMerge w:val="restart"/>
            <w:tcBorders>
              <w:top w:val="single" w:sz="4" w:space="0" w:color="auto"/>
              <w:left w:val="single" w:sz="4" w:space="0" w:color="auto"/>
              <w:bottom w:val="single" w:sz="4" w:space="0" w:color="auto"/>
              <w:right w:val="single" w:sz="4" w:space="0" w:color="auto"/>
            </w:tcBorders>
            <w:noWrap/>
            <w:vAlign w:val="center"/>
          </w:tcPr>
          <w:p w14:paraId="1E6C1201" w14:textId="77777777" w:rsidR="001929CC" w:rsidRPr="0085293F" w:rsidRDefault="001929CC" w:rsidP="001929CC">
            <w:pPr>
              <w:pStyle w:val="TableText"/>
              <w:snapToGrid w:val="0"/>
              <w:jc w:val="center"/>
              <w:rPr>
                <w:rFonts w:eastAsia="MS PGothic" w:cs="Segoe UI"/>
                <w:szCs w:val="17"/>
                <w:lang w:eastAsia="ja-JP"/>
              </w:rPr>
            </w:pPr>
            <w:r w:rsidRPr="0085293F">
              <w:rPr>
                <w:rFonts w:eastAsia="MS PGothic" w:cs="Segoe UI"/>
                <w:szCs w:val="17"/>
                <w:lang w:eastAsia="ja-JP"/>
              </w:rPr>
              <w:t xml:space="preserve">Risk </w:t>
            </w:r>
            <w:r w:rsidRPr="002E72D0">
              <w:rPr>
                <w:rFonts w:eastAsia="MS PGothic" w:cs="Segoe UI"/>
                <w:szCs w:val="17"/>
                <w:lang w:eastAsia="ja-JP"/>
              </w:rPr>
              <w:t>Weight</w:t>
            </w:r>
            <w:r w:rsidRPr="002E72D0">
              <w:rPr>
                <w:rFonts w:eastAsia="MS PGothic"/>
                <w:szCs w:val="17"/>
                <w:vertAlign w:val="superscript"/>
                <w:lang w:eastAsia="ja-JP"/>
              </w:rPr>
              <w:t>#</w:t>
            </w:r>
          </w:p>
        </w:tc>
        <w:tc>
          <w:tcPr>
            <w:tcW w:w="2303" w:type="dxa"/>
            <w:tcBorders>
              <w:top w:val="single" w:sz="4" w:space="0" w:color="auto"/>
              <w:left w:val="single" w:sz="4" w:space="0" w:color="auto"/>
              <w:bottom w:val="single" w:sz="4" w:space="0" w:color="auto"/>
              <w:right w:val="single" w:sz="4" w:space="0" w:color="auto"/>
            </w:tcBorders>
            <w:noWrap/>
            <w:vAlign w:val="center"/>
          </w:tcPr>
          <w:p w14:paraId="32FB6D22" w14:textId="77777777" w:rsidR="001929CC" w:rsidRPr="0085293F" w:rsidRDefault="001929CC" w:rsidP="001929CC">
            <w:pPr>
              <w:pStyle w:val="TableText"/>
              <w:snapToGrid w:val="0"/>
              <w:jc w:val="center"/>
              <w:rPr>
                <w:rFonts w:cs="Segoe UI"/>
                <w:szCs w:val="17"/>
                <w:lang w:eastAsia="en-GB"/>
              </w:rPr>
            </w:pPr>
            <w:r w:rsidRPr="0085293F">
              <w:rPr>
                <w:rFonts w:cs="Segoe UI"/>
                <w:szCs w:val="17"/>
                <w:lang w:eastAsia="en-GB"/>
              </w:rPr>
              <w:t>(a)</w:t>
            </w:r>
          </w:p>
        </w:tc>
        <w:tc>
          <w:tcPr>
            <w:tcW w:w="2303" w:type="dxa"/>
            <w:tcBorders>
              <w:top w:val="single" w:sz="4" w:space="0" w:color="auto"/>
              <w:left w:val="single" w:sz="4" w:space="0" w:color="auto"/>
              <w:bottom w:val="single" w:sz="4" w:space="0" w:color="auto"/>
              <w:right w:val="single" w:sz="4" w:space="0" w:color="auto"/>
            </w:tcBorders>
            <w:noWrap/>
            <w:vAlign w:val="center"/>
          </w:tcPr>
          <w:p w14:paraId="729670BD" w14:textId="77777777" w:rsidR="001929CC" w:rsidRPr="0085293F" w:rsidRDefault="001929CC" w:rsidP="001929CC">
            <w:pPr>
              <w:pStyle w:val="TableText"/>
              <w:snapToGrid w:val="0"/>
              <w:jc w:val="center"/>
              <w:rPr>
                <w:rFonts w:cs="Segoe UI"/>
                <w:szCs w:val="17"/>
                <w:lang w:eastAsia="en-GB"/>
              </w:rPr>
            </w:pPr>
            <w:r w:rsidRPr="0085293F">
              <w:rPr>
                <w:rFonts w:cs="Segoe UI"/>
                <w:szCs w:val="17"/>
                <w:lang w:eastAsia="en-GB"/>
              </w:rPr>
              <w:t>(b)</w:t>
            </w:r>
          </w:p>
        </w:tc>
        <w:tc>
          <w:tcPr>
            <w:tcW w:w="2303" w:type="dxa"/>
            <w:tcBorders>
              <w:top w:val="single" w:sz="4" w:space="0" w:color="auto"/>
              <w:left w:val="single" w:sz="4" w:space="0" w:color="auto"/>
              <w:bottom w:val="single" w:sz="4" w:space="0" w:color="auto"/>
              <w:right w:val="single" w:sz="4" w:space="0" w:color="auto"/>
            </w:tcBorders>
            <w:noWrap/>
            <w:vAlign w:val="center"/>
          </w:tcPr>
          <w:p w14:paraId="106FF621" w14:textId="77777777" w:rsidR="001929CC" w:rsidRPr="0085293F" w:rsidRDefault="001929CC" w:rsidP="001929CC">
            <w:pPr>
              <w:pStyle w:val="TableText"/>
              <w:snapToGrid w:val="0"/>
              <w:jc w:val="center"/>
              <w:rPr>
                <w:rFonts w:cs="Segoe UI"/>
                <w:szCs w:val="17"/>
                <w:lang w:eastAsia="en-GB"/>
              </w:rPr>
            </w:pPr>
            <w:r w:rsidRPr="0085293F">
              <w:rPr>
                <w:rFonts w:cs="Segoe UI"/>
                <w:szCs w:val="17"/>
                <w:lang w:eastAsia="en-GB"/>
              </w:rPr>
              <w:t>(c)</w:t>
            </w:r>
          </w:p>
        </w:tc>
        <w:tc>
          <w:tcPr>
            <w:tcW w:w="2304" w:type="dxa"/>
            <w:tcBorders>
              <w:top w:val="single" w:sz="4" w:space="0" w:color="auto"/>
              <w:left w:val="single" w:sz="4" w:space="0" w:color="auto"/>
              <w:bottom w:val="single" w:sz="4" w:space="0" w:color="auto"/>
              <w:right w:val="single" w:sz="4" w:space="0" w:color="auto"/>
            </w:tcBorders>
            <w:vAlign w:val="center"/>
          </w:tcPr>
          <w:p w14:paraId="32420005" w14:textId="77777777" w:rsidR="001929CC" w:rsidRPr="0085293F" w:rsidRDefault="001929CC" w:rsidP="001929CC">
            <w:pPr>
              <w:pStyle w:val="TableText"/>
              <w:snapToGrid w:val="0"/>
              <w:jc w:val="center"/>
              <w:rPr>
                <w:rFonts w:cs="Segoe UI"/>
                <w:szCs w:val="17"/>
                <w:lang w:eastAsia="en-GB"/>
              </w:rPr>
            </w:pPr>
            <w:r w:rsidRPr="0085293F">
              <w:rPr>
                <w:rFonts w:cs="Segoe UI"/>
                <w:szCs w:val="17"/>
                <w:lang w:eastAsia="en-GB"/>
              </w:rPr>
              <w:t>(d)</w:t>
            </w:r>
          </w:p>
        </w:tc>
      </w:tr>
      <w:tr w:rsidR="001929CC" w:rsidRPr="0085293F" w14:paraId="3ABAFDA4" w14:textId="77777777" w:rsidTr="001929CC">
        <w:trPr>
          <w:cantSplit/>
          <w:trHeight w:val="586"/>
          <w:tblHeader/>
        </w:trPr>
        <w:tc>
          <w:tcPr>
            <w:tcW w:w="558" w:type="dxa"/>
            <w:tcBorders>
              <w:top w:val="nil"/>
              <w:left w:val="nil"/>
              <w:bottom w:val="single" w:sz="4" w:space="0" w:color="auto"/>
              <w:right w:val="single" w:sz="4" w:space="0" w:color="auto"/>
            </w:tcBorders>
          </w:tcPr>
          <w:p w14:paraId="205A1957" w14:textId="77777777" w:rsidR="001929CC" w:rsidRPr="0085293F" w:rsidRDefault="001929CC" w:rsidP="001929CC">
            <w:pPr>
              <w:pStyle w:val="TableText"/>
              <w:snapToGrid w:val="0"/>
              <w:rPr>
                <w:rFonts w:eastAsia="MS PGothic" w:cs="Segoe UI"/>
                <w:szCs w:val="17"/>
                <w:lang w:eastAsia="ja-JP"/>
              </w:rPr>
            </w:pPr>
          </w:p>
        </w:tc>
        <w:tc>
          <w:tcPr>
            <w:tcW w:w="4395" w:type="dxa"/>
            <w:vMerge/>
            <w:tcBorders>
              <w:top w:val="single" w:sz="4" w:space="0" w:color="auto"/>
              <w:left w:val="single" w:sz="4" w:space="0" w:color="auto"/>
              <w:bottom w:val="single" w:sz="4" w:space="0" w:color="auto"/>
              <w:right w:val="single" w:sz="4" w:space="0" w:color="auto"/>
            </w:tcBorders>
            <w:noWrap/>
            <w:vAlign w:val="center"/>
          </w:tcPr>
          <w:p w14:paraId="3B8ADB99" w14:textId="77777777" w:rsidR="001929CC" w:rsidRPr="0085293F" w:rsidRDefault="001929CC" w:rsidP="001929CC">
            <w:pPr>
              <w:pStyle w:val="TableText"/>
              <w:snapToGrid w:val="0"/>
              <w:jc w:val="center"/>
              <w:rPr>
                <w:rFonts w:eastAsia="MS PGothic" w:cs="Segoe UI"/>
                <w:szCs w:val="17"/>
                <w:lang w:eastAsia="ja-JP"/>
              </w:rPr>
            </w:pPr>
          </w:p>
        </w:tc>
        <w:tc>
          <w:tcPr>
            <w:tcW w:w="2303" w:type="dxa"/>
            <w:tcBorders>
              <w:top w:val="single" w:sz="4" w:space="0" w:color="auto"/>
              <w:left w:val="single" w:sz="4" w:space="0" w:color="auto"/>
              <w:bottom w:val="single" w:sz="4" w:space="0" w:color="auto"/>
              <w:right w:val="single" w:sz="4" w:space="0" w:color="auto"/>
            </w:tcBorders>
            <w:noWrap/>
            <w:vAlign w:val="center"/>
          </w:tcPr>
          <w:p w14:paraId="591750E0" w14:textId="77777777" w:rsidR="001929CC" w:rsidRPr="0085293F" w:rsidRDefault="001929CC" w:rsidP="001929CC">
            <w:pPr>
              <w:pStyle w:val="TableText"/>
              <w:snapToGrid w:val="0"/>
              <w:jc w:val="center"/>
              <w:rPr>
                <w:rFonts w:eastAsia="MS PGothic" w:cs="Segoe UI"/>
                <w:szCs w:val="17"/>
                <w:lang w:eastAsia="ja-JP"/>
              </w:rPr>
            </w:pPr>
            <w:r w:rsidRPr="0085293F">
              <w:rPr>
                <w:rFonts w:eastAsia="MS PGothic" w:cs="Segoe UI"/>
                <w:szCs w:val="17"/>
                <w:lang w:eastAsia="ja-JP"/>
              </w:rPr>
              <w:t>On-balance sheet exposure</w:t>
            </w:r>
          </w:p>
        </w:tc>
        <w:tc>
          <w:tcPr>
            <w:tcW w:w="2303" w:type="dxa"/>
            <w:tcBorders>
              <w:top w:val="single" w:sz="4" w:space="0" w:color="auto"/>
              <w:left w:val="single" w:sz="4" w:space="0" w:color="auto"/>
              <w:bottom w:val="single" w:sz="4" w:space="0" w:color="auto"/>
              <w:right w:val="single" w:sz="4" w:space="0" w:color="auto"/>
            </w:tcBorders>
            <w:noWrap/>
            <w:vAlign w:val="center"/>
          </w:tcPr>
          <w:p w14:paraId="6E868879" w14:textId="77777777" w:rsidR="001929CC" w:rsidRPr="0085293F" w:rsidRDefault="001929CC" w:rsidP="001929CC">
            <w:pPr>
              <w:pStyle w:val="NormalWeb"/>
              <w:spacing w:before="0" w:beforeAutospacing="0" w:after="0" w:afterAutospacing="0"/>
              <w:jc w:val="center"/>
              <w:textAlignment w:val="baseline"/>
              <w:rPr>
                <w:rFonts w:ascii="Segoe UI" w:eastAsia="MS PGothic" w:hAnsi="Segoe UI" w:cs="Segoe UI"/>
                <w:sz w:val="17"/>
                <w:szCs w:val="17"/>
                <w:lang w:eastAsia="ja-JP"/>
              </w:rPr>
            </w:pPr>
            <w:r w:rsidRPr="0085293F">
              <w:rPr>
                <w:rFonts w:ascii="Segoe UI" w:eastAsia="MS PGothic" w:hAnsi="Segoe UI" w:cs="Segoe UI"/>
                <w:sz w:val="17"/>
                <w:szCs w:val="17"/>
                <w:lang w:eastAsia="ja-JP"/>
              </w:rPr>
              <w:t>Off-balance sheet exposure</w:t>
            </w:r>
          </w:p>
          <w:p w14:paraId="3A2E87C3" w14:textId="77777777" w:rsidR="001929CC" w:rsidRPr="0085293F" w:rsidRDefault="001929CC" w:rsidP="001929CC">
            <w:pPr>
              <w:pStyle w:val="TableText"/>
              <w:snapToGrid w:val="0"/>
              <w:jc w:val="center"/>
              <w:rPr>
                <w:rFonts w:eastAsia="MS PGothic" w:cs="Segoe UI"/>
                <w:szCs w:val="17"/>
                <w:lang w:eastAsia="ja-JP"/>
              </w:rPr>
            </w:pPr>
            <w:r w:rsidRPr="0085293F">
              <w:rPr>
                <w:rFonts w:eastAsia="MS PGothic" w:cs="Segoe UI"/>
                <w:szCs w:val="17"/>
                <w:lang w:eastAsia="ja-JP"/>
              </w:rPr>
              <w:t>(pre-CCF)</w:t>
            </w:r>
          </w:p>
        </w:tc>
        <w:tc>
          <w:tcPr>
            <w:tcW w:w="2303" w:type="dxa"/>
            <w:tcBorders>
              <w:top w:val="single" w:sz="4" w:space="0" w:color="auto"/>
              <w:left w:val="single" w:sz="4" w:space="0" w:color="auto"/>
              <w:bottom w:val="single" w:sz="4" w:space="0" w:color="auto"/>
              <w:right w:val="single" w:sz="4" w:space="0" w:color="auto"/>
            </w:tcBorders>
            <w:noWrap/>
            <w:vAlign w:val="center"/>
          </w:tcPr>
          <w:p w14:paraId="261B1CC8" w14:textId="77777777" w:rsidR="001929CC" w:rsidRPr="0085293F" w:rsidRDefault="001929CC" w:rsidP="001929CC">
            <w:pPr>
              <w:pStyle w:val="TableText"/>
              <w:snapToGrid w:val="0"/>
              <w:jc w:val="center"/>
              <w:rPr>
                <w:rFonts w:eastAsia="MS PGothic" w:cs="Segoe UI"/>
                <w:szCs w:val="17"/>
                <w:lang w:eastAsia="ja-JP"/>
              </w:rPr>
            </w:pPr>
            <w:r w:rsidRPr="0085293F">
              <w:rPr>
                <w:rFonts w:eastAsia="MS PGothic" w:cs="Segoe UI"/>
                <w:szCs w:val="17"/>
                <w:lang w:eastAsia="ja-JP"/>
              </w:rPr>
              <w:t>Weighted average CCF*</w:t>
            </w:r>
          </w:p>
        </w:tc>
        <w:tc>
          <w:tcPr>
            <w:tcW w:w="2304" w:type="dxa"/>
            <w:tcBorders>
              <w:top w:val="single" w:sz="4" w:space="0" w:color="auto"/>
              <w:left w:val="single" w:sz="4" w:space="0" w:color="auto"/>
              <w:bottom w:val="single" w:sz="4" w:space="0" w:color="auto"/>
              <w:right w:val="single" w:sz="4" w:space="0" w:color="auto"/>
            </w:tcBorders>
            <w:vAlign w:val="center"/>
          </w:tcPr>
          <w:p w14:paraId="792BEF6E" w14:textId="77777777" w:rsidR="001929CC" w:rsidRPr="0085293F" w:rsidRDefault="001929CC" w:rsidP="001929CC">
            <w:pPr>
              <w:pStyle w:val="NormalWeb"/>
              <w:spacing w:before="0" w:beforeAutospacing="0" w:after="0" w:afterAutospacing="0"/>
              <w:jc w:val="center"/>
              <w:textAlignment w:val="baseline"/>
              <w:rPr>
                <w:rFonts w:ascii="Segoe UI" w:eastAsia="MS PGothic" w:hAnsi="Segoe UI" w:cs="Segoe UI"/>
                <w:sz w:val="17"/>
                <w:szCs w:val="17"/>
                <w:lang w:eastAsia="ja-JP"/>
              </w:rPr>
            </w:pPr>
            <w:r w:rsidRPr="0085293F">
              <w:rPr>
                <w:rFonts w:ascii="Segoe UI" w:eastAsia="MS PGothic" w:hAnsi="Segoe UI" w:cs="Segoe UI"/>
                <w:sz w:val="17"/>
                <w:szCs w:val="17"/>
                <w:lang w:eastAsia="ja-JP"/>
              </w:rPr>
              <w:t>Exposure</w:t>
            </w:r>
          </w:p>
          <w:p w14:paraId="258D59CE" w14:textId="77777777" w:rsidR="001929CC" w:rsidRPr="0085293F" w:rsidRDefault="001929CC" w:rsidP="001929CC">
            <w:pPr>
              <w:pStyle w:val="TableText"/>
              <w:snapToGrid w:val="0"/>
              <w:jc w:val="center"/>
              <w:rPr>
                <w:rFonts w:eastAsia="MS PGothic" w:cs="Segoe UI"/>
                <w:szCs w:val="17"/>
                <w:lang w:eastAsia="ja-JP"/>
              </w:rPr>
            </w:pPr>
            <w:r w:rsidRPr="0085293F">
              <w:rPr>
                <w:rFonts w:eastAsia="MS PGothic" w:cs="Segoe UI"/>
                <w:szCs w:val="17"/>
                <w:lang w:eastAsia="ja-JP"/>
              </w:rPr>
              <w:t>(post-CCF and post-CRM)</w:t>
            </w:r>
          </w:p>
        </w:tc>
      </w:tr>
      <w:tr w:rsidR="001929CC" w:rsidRPr="0085293F" w14:paraId="377EC276" w14:textId="77777777" w:rsidTr="001929CC">
        <w:trPr>
          <w:trHeight w:val="283"/>
        </w:trPr>
        <w:tc>
          <w:tcPr>
            <w:tcW w:w="558" w:type="dxa"/>
            <w:tcBorders>
              <w:top w:val="single" w:sz="4" w:space="0" w:color="auto"/>
              <w:left w:val="nil"/>
              <w:bottom w:val="single" w:sz="6" w:space="0" w:color="BCBDBC"/>
              <w:right w:val="single" w:sz="4" w:space="0" w:color="auto"/>
            </w:tcBorders>
          </w:tcPr>
          <w:p w14:paraId="32A15332" w14:textId="77777777" w:rsidR="001929CC" w:rsidRPr="0085293F" w:rsidRDefault="001929CC" w:rsidP="001929CC">
            <w:pPr>
              <w:pStyle w:val="TableText"/>
              <w:snapToGrid w:val="0"/>
              <w:rPr>
                <w:rFonts w:cs="Segoe UI"/>
                <w:szCs w:val="17"/>
                <w:lang w:eastAsia="en-GB"/>
              </w:rPr>
            </w:pPr>
            <w:r w:rsidRPr="0085293F">
              <w:rPr>
                <w:rFonts w:cs="Segoe UI"/>
                <w:szCs w:val="17"/>
              </w:rPr>
              <w:t>1</w:t>
            </w:r>
          </w:p>
        </w:tc>
        <w:tc>
          <w:tcPr>
            <w:tcW w:w="4395" w:type="dxa"/>
            <w:tcBorders>
              <w:top w:val="single" w:sz="4" w:space="0" w:color="auto"/>
              <w:left w:val="single" w:sz="4" w:space="0" w:color="auto"/>
              <w:right w:val="single" w:sz="4" w:space="0" w:color="auto"/>
            </w:tcBorders>
            <w:noWrap/>
          </w:tcPr>
          <w:p w14:paraId="72017E1A" w14:textId="77777777" w:rsidR="001929CC" w:rsidRPr="0085293F" w:rsidRDefault="001929CC" w:rsidP="001929CC">
            <w:pPr>
              <w:pStyle w:val="TableText"/>
              <w:snapToGrid w:val="0"/>
              <w:jc w:val="center"/>
              <w:rPr>
                <w:rFonts w:cs="Segoe UI"/>
                <w:szCs w:val="17"/>
                <w:lang w:eastAsia="en-GB"/>
              </w:rPr>
            </w:pPr>
            <w:r w:rsidRPr="0085293F">
              <w:rPr>
                <w:rFonts w:cs="Segoe UI"/>
                <w:szCs w:val="17"/>
              </w:rPr>
              <w:t>Less than 40%</w:t>
            </w:r>
          </w:p>
        </w:tc>
        <w:tc>
          <w:tcPr>
            <w:tcW w:w="2303" w:type="dxa"/>
            <w:tcBorders>
              <w:top w:val="single" w:sz="4" w:space="0" w:color="auto"/>
              <w:left w:val="single" w:sz="4" w:space="0" w:color="auto"/>
              <w:bottom w:val="single" w:sz="6" w:space="0" w:color="BCBDBC"/>
              <w:right w:val="single" w:sz="4" w:space="0" w:color="auto"/>
            </w:tcBorders>
            <w:noWrap/>
            <w:vAlign w:val="center"/>
          </w:tcPr>
          <w:p w14:paraId="3E4F9C96" w14:textId="77777777" w:rsidR="001929CC" w:rsidRPr="0085293F" w:rsidRDefault="001929CC" w:rsidP="001929CC">
            <w:pPr>
              <w:pStyle w:val="TableText"/>
              <w:snapToGrid w:val="0"/>
              <w:rPr>
                <w:rFonts w:eastAsia="MS PGothic" w:cs="Segoe UI"/>
                <w:szCs w:val="17"/>
                <w:lang w:eastAsia="ja-JP"/>
              </w:rPr>
            </w:pPr>
          </w:p>
        </w:tc>
        <w:tc>
          <w:tcPr>
            <w:tcW w:w="2303" w:type="dxa"/>
            <w:tcBorders>
              <w:top w:val="single" w:sz="4" w:space="0" w:color="auto"/>
              <w:left w:val="single" w:sz="4" w:space="0" w:color="auto"/>
              <w:bottom w:val="single" w:sz="6" w:space="0" w:color="BCBDBC"/>
              <w:right w:val="single" w:sz="6" w:space="0" w:color="auto"/>
            </w:tcBorders>
            <w:noWrap/>
            <w:vAlign w:val="center"/>
          </w:tcPr>
          <w:p w14:paraId="0F370B20" w14:textId="77777777" w:rsidR="001929CC" w:rsidRPr="0085293F" w:rsidRDefault="001929CC" w:rsidP="001929CC">
            <w:pPr>
              <w:pStyle w:val="TableText"/>
              <w:snapToGrid w:val="0"/>
              <w:rPr>
                <w:rFonts w:eastAsia="MS PGothic" w:cs="Segoe UI"/>
                <w:szCs w:val="17"/>
                <w:lang w:eastAsia="ja-JP"/>
              </w:rPr>
            </w:pPr>
          </w:p>
        </w:tc>
        <w:tc>
          <w:tcPr>
            <w:tcW w:w="2303" w:type="dxa"/>
            <w:tcBorders>
              <w:top w:val="single" w:sz="4" w:space="0" w:color="auto"/>
              <w:left w:val="single" w:sz="6" w:space="0" w:color="auto"/>
              <w:bottom w:val="single" w:sz="6" w:space="0" w:color="BCBDBC"/>
              <w:right w:val="single" w:sz="6" w:space="0" w:color="auto"/>
            </w:tcBorders>
            <w:noWrap/>
            <w:vAlign w:val="center"/>
          </w:tcPr>
          <w:p w14:paraId="4DB27BED" w14:textId="77777777" w:rsidR="001929CC" w:rsidRPr="0085293F" w:rsidRDefault="001929CC" w:rsidP="001929CC">
            <w:pPr>
              <w:pStyle w:val="TableText"/>
              <w:snapToGrid w:val="0"/>
              <w:rPr>
                <w:rFonts w:eastAsia="MS PGothic" w:cs="Segoe UI"/>
                <w:szCs w:val="17"/>
                <w:lang w:eastAsia="ja-JP"/>
              </w:rPr>
            </w:pPr>
          </w:p>
        </w:tc>
        <w:tc>
          <w:tcPr>
            <w:tcW w:w="2304" w:type="dxa"/>
            <w:tcBorders>
              <w:top w:val="single" w:sz="4" w:space="0" w:color="auto"/>
              <w:left w:val="single" w:sz="6" w:space="0" w:color="auto"/>
              <w:bottom w:val="single" w:sz="6" w:space="0" w:color="BCBDBC"/>
              <w:right w:val="single" w:sz="6" w:space="0" w:color="auto"/>
            </w:tcBorders>
          </w:tcPr>
          <w:p w14:paraId="534920DE" w14:textId="77777777" w:rsidR="001929CC" w:rsidRPr="0085293F" w:rsidRDefault="001929CC" w:rsidP="001929CC">
            <w:pPr>
              <w:pStyle w:val="TableText"/>
              <w:snapToGrid w:val="0"/>
              <w:rPr>
                <w:rFonts w:eastAsia="MS PGothic" w:cs="Segoe UI"/>
                <w:szCs w:val="17"/>
                <w:lang w:eastAsia="ja-JP"/>
              </w:rPr>
            </w:pPr>
          </w:p>
        </w:tc>
      </w:tr>
      <w:tr w:rsidR="001929CC" w:rsidRPr="0085293F" w14:paraId="51DD2D95" w14:textId="77777777" w:rsidTr="001929CC">
        <w:trPr>
          <w:trHeight w:val="283"/>
        </w:trPr>
        <w:tc>
          <w:tcPr>
            <w:tcW w:w="558" w:type="dxa"/>
            <w:tcBorders>
              <w:top w:val="single" w:sz="6" w:space="0" w:color="BCBDBC"/>
              <w:left w:val="nil"/>
              <w:bottom w:val="single" w:sz="6" w:space="0" w:color="BCBDBC"/>
              <w:right w:val="single" w:sz="4" w:space="0" w:color="auto"/>
            </w:tcBorders>
          </w:tcPr>
          <w:p w14:paraId="14F6EC3B" w14:textId="77777777" w:rsidR="001929CC" w:rsidRPr="0085293F" w:rsidRDefault="001929CC" w:rsidP="001929CC">
            <w:pPr>
              <w:pStyle w:val="TableText"/>
              <w:snapToGrid w:val="0"/>
              <w:rPr>
                <w:rFonts w:cs="Segoe UI"/>
                <w:szCs w:val="17"/>
                <w:lang w:eastAsia="en-GB"/>
              </w:rPr>
            </w:pPr>
            <w:r w:rsidRPr="0085293F">
              <w:rPr>
                <w:rFonts w:cs="Segoe UI"/>
                <w:szCs w:val="17"/>
              </w:rPr>
              <w:t>2</w:t>
            </w:r>
          </w:p>
        </w:tc>
        <w:tc>
          <w:tcPr>
            <w:tcW w:w="4395" w:type="dxa"/>
            <w:tcBorders>
              <w:left w:val="single" w:sz="4" w:space="0" w:color="auto"/>
              <w:right w:val="single" w:sz="4" w:space="0" w:color="auto"/>
            </w:tcBorders>
            <w:noWrap/>
          </w:tcPr>
          <w:p w14:paraId="5FD15239" w14:textId="77777777" w:rsidR="001929CC" w:rsidRPr="0085293F" w:rsidRDefault="001929CC" w:rsidP="001929CC">
            <w:pPr>
              <w:pStyle w:val="TableText"/>
              <w:snapToGrid w:val="0"/>
              <w:jc w:val="center"/>
              <w:rPr>
                <w:rFonts w:cs="Segoe UI"/>
                <w:szCs w:val="17"/>
                <w:lang w:eastAsia="en-GB"/>
              </w:rPr>
            </w:pPr>
            <w:r w:rsidRPr="0085293F">
              <w:rPr>
                <w:rFonts w:cs="Segoe UI"/>
                <w:szCs w:val="17"/>
              </w:rPr>
              <w:t>40-70%</w:t>
            </w:r>
          </w:p>
        </w:tc>
        <w:tc>
          <w:tcPr>
            <w:tcW w:w="2303" w:type="dxa"/>
            <w:tcBorders>
              <w:top w:val="single" w:sz="6" w:space="0" w:color="BCBDBC"/>
              <w:left w:val="single" w:sz="4" w:space="0" w:color="auto"/>
              <w:bottom w:val="single" w:sz="6" w:space="0" w:color="BCBDBC"/>
              <w:right w:val="single" w:sz="4" w:space="0" w:color="auto"/>
            </w:tcBorders>
            <w:noWrap/>
            <w:vAlign w:val="center"/>
          </w:tcPr>
          <w:p w14:paraId="7C4C36C9" w14:textId="77777777" w:rsidR="001929CC" w:rsidRPr="0085293F" w:rsidRDefault="001929CC" w:rsidP="001929CC">
            <w:pPr>
              <w:pStyle w:val="TableText"/>
              <w:snapToGrid w:val="0"/>
              <w:rPr>
                <w:rFonts w:eastAsia="MS PGothic" w:cs="Segoe UI"/>
                <w:szCs w:val="17"/>
                <w:lang w:eastAsia="ja-JP"/>
              </w:rPr>
            </w:pPr>
          </w:p>
        </w:tc>
        <w:tc>
          <w:tcPr>
            <w:tcW w:w="2303" w:type="dxa"/>
            <w:tcBorders>
              <w:top w:val="single" w:sz="6" w:space="0" w:color="BCBDBC"/>
              <w:left w:val="single" w:sz="4" w:space="0" w:color="auto"/>
              <w:bottom w:val="single" w:sz="6" w:space="0" w:color="BCBDBC"/>
              <w:right w:val="single" w:sz="6" w:space="0" w:color="auto"/>
            </w:tcBorders>
            <w:noWrap/>
            <w:vAlign w:val="center"/>
          </w:tcPr>
          <w:p w14:paraId="12DEB44F" w14:textId="77777777" w:rsidR="001929CC" w:rsidRPr="0085293F" w:rsidRDefault="001929CC" w:rsidP="001929CC">
            <w:pPr>
              <w:pStyle w:val="TableText"/>
              <w:snapToGrid w:val="0"/>
              <w:rPr>
                <w:rFonts w:eastAsia="MS PGothic" w:cs="Segoe UI"/>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04B7F4C6" w14:textId="77777777" w:rsidR="001929CC" w:rsidRPr="0085293F" w:rsidRDefault="001929CC" w:rsidP="001929CC">
            <w:pPr>
              <w:pStyle w:val="TableText"/>
              <w:snapToGrid w:val="0"/>
              <w:rPr>
                <w:rFonts w:eastAsia="MS PGothic" w:cs="Segoe UI"/>
                <w:szCs w:val="17"/>
                <w:lang w:eastAsia="ja-JP"/>
              </w:rPr>
            </w:pPr>
          </w:p>
        </w:tc>
        <w:tc>
          <w:tcPr>
            <w:tcW w:w="2304" w:type="dxa"/>
            <w:tcBorders>
              <w:top w:val="single" w:sz="6" w:space="0" w:color="BCBDBC"/>
              <w:left w:val="single" w:sz="6" w:space="0" w:color="auto"/>
              <w:bottom w:val="single" w:sz="6" w:space="0" w:color="BCBDBC"/>
              <w:right w:val="single" w:sz="6" w:space="0" w:color="auto"/>
            </w:tcBorders>
          </w:tcPr>
          <w:p w14:paraId="2035FAA4" w14:textId="77777777" w:rsidR="001929CC" w:rsidRPr="0085293F" w:rsidRDefault="001929CC" w:rsidP="001929CC">
            <w:pPr>
              <w:pStyle w:val="TableText"/>
              <w:snapToGrid w:val="0"/>
              <w:rPr>
                <w:rFonts w:eastAsia="MS PGothic" w:cs="Segoe UI"/>
                <w:szCs w:val="17"/>
                <w:lang w:eastAsia="ja-JP"/>
              </w:rPr>
            </w:pPr>
          </w:p>
        </w:tc>
      </w:tr>
      <w:tr w:rsidR="001929CC" w:rsidRPr="0085293F" w14:paraId="69504E91" w14:textId="77777777" w:rsidTr="001929CC">
        <w:trPr>
          <w:trHeight w:val="283"/>
        </w:trPr>
        <w:tc>
          <w:tcPr>
            <w:tcW w:w="558" w:type="dxa"/>
            <w:tcBorders>
              <w:top w:val="single" w:sz="6" w:space="0" w:color="BCBDBC"/>
              <w:left w:val="nil"/>
              <w:bottom w:val="single" w:sz="6" w:space="0" w:color="BCBDBC"/>
              <w:right w:val="single" w:sz="4" w:space="0" w:color="auto"/>
            </w:tcBorders>
          </w:tcPr>
          <w:p w14:paraId="2D2A9C53" w14:textId="77777777" w:rsidR="001929CC" w:rsidRPr="0085293F" w:rsidRDefault="001929CC" w:rsidP="001929CC">
            <w:pPr>
              <w:pStyle w:val="TableText"/>
              <w:snapToGrid w:val="0"/>
              <w:rPr>
                <w:rFonts w:cs="Segoe UI"/>
                <w:szCs w:val="17"/>
                <w:lang w:eastAsia="en-GB"/>
              </w:rPr>
            </w:pPr>
            <w:r>
              <w:rPr>
                <w:rFonts w:cs="Segoe UI"/>
                <w:szCs w:val="17"/>
              </w:rPr>
              <w:t>3</w:t>
            </w:r>
          </w:p>
        </w:tc>
        <w:tc>
          <w:tcPr>
            <w:tcW w:w="4395" w:type="dxa"/>
            <w:tcBorders>
              <w:left w:val="single" w:sz="4" w:space="0" w:color="auto"/>
              <w:right w:val="single" w:sz="4" w:space="0" w:color="auto"/>
            </w:tcBorders>
            <w:noWrap/>
          </w:tcPr>
          <w:p w14:paraId="56BBE4E8" w14:textId="77777777" w:rsidR="001929CC" w:rsidRPr="00896CF8" w:rsidRDefault="001929CC" w:rsidP="001929CC">
            <w:pPr>
              <w:pStyle w:val="TableText"/>
              <w:snapToGrid w:val="0"/>
              <w:jc w:val="center"/>
              <w:rPr>
                <w:rFonts w:cs="Segoe UI"/>
                <w:szCs w:val="17"/>
                <w:highlight w:val="green"/>
                <w:lang w:eastAsia="en-GB"/>
              </w:rPr>
            </w:pPr>
            <w:r w:rsidRPr="002B6637">
              <w:rPr>
                <w:rFonts w:cs="Segoe UI"/>
                <w:szCs w:val="17"/>
              </w:rPr>
              <w:t>100%-120%</w:t>
            </w:r>
          </w:p>
        </w:tc>
        <w:tc>
          <w:tcPr>
            <w:tcW w:w="2303" w:type="dxa"/>
            <w:tcBorders>
              <w:top w:val="single" w:sz="6" w:space="0" w:color="BCBDBC"/>
              <w:left w:val="single" w:sz="4" w:space="0" w:color="auto"/>
              <w:bottom w:val="single" w:sz="6" w:space="0" w:color="BCBDBC"/>
              <w:right w:val="single" w:sz="4" w:space="0" w:color="auto"/>
            </w:tcBorders>
            <w:noWrap/>
            <w:vAlign w:val="center"/>
          </w:tcPr>
          <w:p w14:paraId="01498070" w14:textId="77777777" w:rsidR="001929CC" w:rsidRPr="0085293F" w:rsidRDefault="001929CC" w:rsidP="001929CC">
            <w:pPr>
              <w:pStyle w:val="TableText"/>
              <w:snapToGrid w:val="0"/>
              <w:rPr>
                <w:rFonts w:eastAsia="MS PGothic" w:cs="Segoe UI"/>
                <w:szCs w:val="17"/>
                <w:lang w:eastAsia="ja-JP"/>
              </w:rPr>
            </w:pPr>
          </w:p>
        </w:tc>
        <w:tc>
          <w:tcPr>
            <w:tcW w:w="2303" w:type="dxa"/>
            <w:tcBorders>
              <w:top w:val="single" w:sz="6" w:space="0" w:color="BCBDBC"/>
              <w:left w:val="single" w:sz="4" w:space="0" w:color="auto"/>
              <w:bottom w:val="single" w:sz="6" w:space="0" w:color="BCBDBC"/>
              <w:right w:val="single" w:sz="6" w:space="0" w:color="auto"/>
            </w:tcBorders>
            <w:noWrap/>
            <w:vAlign w:val="center"/>
          </w:tcPr>
          <w:p w14:paraId="7BD0E83B" w14:textId="77777777" w:rsidR="001929CC" w:rsidRPr="0085293F" w:rsidRDefault="001929CC" w:rsidP="001929CC">
            <w:pPr>
              <w:pStyle w:val="TableText"/>
              <w:snapToGrid w:val="0"/>
              <w:rPr>
                <w:rFonts w:eastAsia="MS PGothic" w:cs="Segoe UI"/>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186A0B56" w14:textId="77777777" w:rsidR="001929CC" w:rsidRPr="0085293F" w:rsidRDefault="001929CC" w:rsidP="001929CC">
            <w:pPr>
              <w:pStyle w:val="TableText"/>
              <w:snapToGrid w:val="0"/>
              <w:rPr>
                <w:rFonts w:eastAsia="MS PGothic" w:cs="Segoe UI"/>
                <w:szCs w:val="17"/>
                <w:lang w:eastAsia="ja-JP"/>
              </w:rPr>
            </w:pPr>
          </w:p>
        </w:tc>
        <w:tc>
          <w:tcPr>
            <w:tcW w:w="2304" w:type="dxa"/>
            <w:tcBorders>
              <w:top w:val="single" w:sz="6" w:space="0" w:color="BCBDBC"/>
              <w:left w:val="single" w:sz="6" w:space="0" w:color="auto"/>
              <w:bottom w:val="single" w:sz="6" w:space="0" w:color="BCBDBC"/>
              <w:right w:val="single" w:sz="6" w:space="0" w:color="auto"/>
            </w:tcBorders>
          </w:tcPr>
          <w:p w14:paraId="37419079" w14:textId="77777777" w:rsidR="001929CC" w:rsidRPr="0085293F" w:rsidRDefault="001929CC" w:rsidP="001929CC">
            <w:pPr>
              <w:pStyle w:val="TableText"/>
              <w:snapToGrid w:val="0"/>
              <w:rPr>
                <w:rFonts w:eastAsia="MS PGothic" w:cs="Segoe UI"/>
                <w:szCs w:val="17"/>
                <w:lang w:eastAsia="ja-JP"/>
              </w:rPr>
            </w:pPr>
          </w:p>
        </w:tc>
      </w:tr>
      <w:tr w:rsidR="001929CC" w:rsidRPr="0085293F" w14:paraId="302E574C" w14:textId="77777777" w:rsidTr="001929CC">
        <w:trPr>
          <w:trHeight w:val="283"/>
        </w:trPr>
        <w:tc>
          <w:tcPr>
            <w:tcW w:w="558" w:type="dxa"/>
            <w:tcBorders>
              <w:top w:val="single" w:sz="6" w:space="0" w:color="BCBDBC"/>
              <w:left w:val="nil"/>
              <w:bottom w:val="single" w:sz="6" w:space="0" w:color="BCBDBC"/>
              <w:right w:val="single" w:sz="4" w:space="0" w:color="auto"/>
            </w:tcBorders>
          </w:tcPr>
          <w:p w14:paraId="48E2FDFF" w14:textId="77777777" w:rsidR="001929CC" w:rsidRPr="0085293F" w:rsidRDefault="001929CC" w:rsidP="001929CC">
            <w:pPr>
              <w:pStyle w:val="TableText"/>
              <w:snapToGrid w:val="0"/>
              <w:rPr>
                <w:rFonts w:cs="Segoe UI"/>
                <w:szCs w:val="17"/>
                <w:lang w:eastAsia="en-GB"/>
              </w:rPr>
            </w:pPr>
            <w:r>
              <w:rPr>
                <w:rFonts w:cs="Segoe UI"/>
                <w:szCs w:val="17"/>
              </w:rPr>
              <w:t>4</w:t>
            </w:r>
          </w:p>
        </w:tc>
        <w:tc>
          <w:tcPr>
            <w:tcW w:w="4395" w:type="dxa"/>
            <w:tcBorders>
              <w:left w:val="single" w:sz="4" w:space="0" w:color="auto"/>
              <w:right w:val="single" w:sz="4" w:space="0" w:color="auto"/>
            </w:tcBorders>
            <w:noWrap/>
          </w:tcPr>
          <w:p w14:paraId="4736FA00" w14:textId="77777777" w:rsidR="001929CC" w:rsidRPr="0085293F" w:rsidRDefault="001929CC" w:rsidP="001929CC">
            <w:pPr>
              <w:pStyle w:val="TableText"/>
              <w:snapToGrid w:val="0"/>
              <w:jc w:val="center"/>
              <w:rPr>
                <w:rFonts w:cs="Segoe UI"/>
                <w:szCs w:val="17"/>
                <w:lang w:eastAsia="en-GB"/>
              </w:rPr>
            </w:pPr>
            <w:r w:rsidRPr="0085293F">
              <w:rPr>
                <w:rFonts w:cs="Segoe UI"/>
                <w:szCs w:val="17"/>
              </w:rPr>
              <w:t>150%</w:t>
            </w:r>
          </w:p>
        </w:tc>
        <w:tc>
          <w:tcPr>
            <w:tcW w:w="2303" w:type="dxa"/>
            <w:tcBorders>
              <w:top w:val="single" w:sz="6" w:space="0" w:color="BCBDBC"/>
              <w:left w:val="single" w:sz="4" w:space="0" w:color="auto"/>
              <w:bottom w:val="single" w:sz="6" w:space="0" w:color="BCBDBC"/>
              <w:right w:val="single" w:sz="4" w:space="0" w:color="auto"/>
            </w:tcBorders>
            <w:noWrap/>
            <w:vAlign w:val="center"/>
          </w:tcPr>
          <w:p w14:paraId="2321AE17" w14:textId="77777777" w:rsidR="001929CC" w:rsidRPr="0085293F" w:rsidRDefault="001929CC" w:rsidP="001929CC">
            <w:pPr>
              <w:pStyle w:val="TableText"/>
              <w:snapToGrid w:val="0"/>
              <w:rPr>
                <w:rFonts w:eastAsia="MS PGothic" w:cs="Segoe UI"/>
                <w:szCs w:val="17"/>
                <w:lang w:eastAsia="ja-JP"/>
              </w:rPr>
            </w:pPr>
          </w:p>
        </w:tc>
        <w:tc>
          <w:tcPr>
            <w:tcW w:w="2303" w:type="dxa"/>
            <w:tcBorders>
              <w:top w:val="single" w:sz="6" w:space="0" w:color="BCBDBC"/>
              <w:left w:val="single" w:sz="4" w:space="0" w:color="auto"/>
              <w:bottom w:val="single" w:sz="6" w:space="0" w:color="BCBDBC"/>
              <w:right w:val="single" w:sz="6" w:space="0" w:color="auto"/>
            </w:tcBorders>
            <w:noWrap/>
            <w:vAlign w:val="center"/>
          </w:tcPr>
          <w:p w14:paraId="5E2064E5" w14:textId="77777777" w:rsidR="001929CC" w:rsidRPr="0085293F" w:rsidRDefault="001929CC" w:rsidP="001929CC">
            <w:pPr>
              <w:pStyle w:val="TableText"/>
              <w:snapToGrid w:val="0"/>
              <w:rPr>
                <w:rFonts w:eastAsia="MS PGothic" w:cs="Segoe UI"/>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1BCB9C68" w14:textId="77777777" w:rsidR="001929CC" w:rsidRPr="0085293F" w:rsidRDefault="001929CC" w:rsidP="001929CC">
            <w:pPr>
              <w:pStyle w:val="TableText"/>
              <w:snapToGrid w:val="0"/>
              <w:rPr>
                <w:rFonts w:eastAsia="MS PGothic" w:cs="Segoe UI"/>
                <w:szCs w:val="17"/>
                <w:lang w:eastAsia="ja-JP"/>
              </w:rPr>
            </w:pPr>
          </w:p>
        </w:tc>
        <w:tc>
          <w:tcPr>
            <w:tcW w:w="2304" w:type="dxa"/>
            <w:tcBorders>
              <w:top w:val="single" w:sz="6" w:space="0" w:color="BCBDBC"/>
              <w:left w:val="single" w:sz="6" w:space="0" w:color="auto"/>
              <w:bottom w:val="single" w:sz="6" w:space="0" w:color="BCBDBC"/>
              <w:right w:val="single" w:sz="6" w:space="0" w:color="auto"/>
            </w:tcBorders>
          </w:tcPr>
          <w:p w14:paraId="6D3BF4E1" w14:textId="77777777" w:rsidR="001929CC" w:rsidRPr="0085293F" w:rsidRDefault="001929CC" w:rsidP="001929CC">
            <w:pPr>
              <w:pStyle w:val="TableText"/>
              <w:snapToGrid w:val="0"/>
              <w:rPr>
                <w:rFonts w:eastAsia="MS PGothic" w:cs="Segoe UI"/>
                <w:szCs w:val="17"/>
                <w:lang w:eastAsia="ja-JP"/>
              </w:rPr>
            </w:pPr>
          </w:p>
        </w:tc>
      </w:tr>
      <w:tr w:rsidR="001929CC" w:rsidRPr="0085293F" w14:paraId="7E32464C" w14:textId="77777777" w:rsidTr="001929CC">
        <w:trPr>
          <w:trHeight w:val="283"/>
        </w:trPr>
        <w:tc>
          <w:tcPr>
            <w:tcW w:w="558" w:type="dxa"/>
            <w:tcBorders>
              <w:top w:val="single" w:sz="6" w:space="0" w:color="BCBDBC"/>
              <w:left w:val="nil"/>
              <w:bottom w:val="single" w:sz="6" w:space="0" w:color="BCBDBC"/>
              <w:right w:val="single" w:sz="4" w:space="0" w:color="auto"/>
            </w:tcBorders>
          </w:tcPr>
          <w:p w14:paraId="7CD7C650" w14:textId="77777777" w:rsidR="001929CC" w:rsidRPr="0085293F" w:rsidRDefault="001929CC" w:rsidP="001929CC">
            <w:pPr>
              <w:pStyle w:val="TableText"/>
              <w:snapToGrid w:val="0"/>
              <w:rPr>
                <w:rFonts w:cs="Segoe UI"/>
                <w:szCs w:val="17"/>
                <w:lang w:eastAsia="en-GB"/>
              </w:rPr>
            </w:pPr>
            <w:r>
              <w:rPr>
                <w:rFonts w:cs="Segoe UI"/>
                <w:szCs w:val="17"/>
              </w:rPr>
              <w:t>5</w:t>
            </w:r>
          </w:p>
        </w:tc>
        <w:tc>
          <w:tcPr>
            <w:tcW w:w="4395" w:type="dxa"/>
            <w:tcBorders>
              <w:left w:val="single" w:sz="4" w:space="0" w:color="auto"/>
              <w:right w:val="single" w:sz="4" w:space="0" w:color="auto"/>
            </w:tcBorders>
            <w:noWrap/>
          </w:tcPr>
          <w:p w14:paraId="7CDFE4BE" w14:textId="77777777" w:rsidR="001929CC" w:rsidRPr="0085293F" w:rsidRDefault="001929CC" w:rsidP="001929CC">
            <w:pPr>
              <w:pStyle w:val="TableText"/>
              <w:snapToGrid w:val="0"/>
              <w:jc w:val="center"/>
              <w:rPr>
                <w:rFonts w:cs="Segoe UI"/>
                <w:szCs w:val="17"/>
                <w:lang w:eastAsia="en-GB"/>
              </w:rPr>
            </w:pPr>
            <w:r w:rsidRPr="0085293F">
              <w:rPr>
                <w:rFonts w:cs="Segoe UI"/>
                <w:szCs w:val="17"/>
              </w:rPr>
              <w:t>250%</w:t>
            </w:r>
          </w:p>
        </w:tc>
        <w:tc>
          <w:tcPr>
            <w:tcW w:w="2303" w:type="dxa"/>
            <w:tcBorders>
              <w:top w:val="single" w:sz="6" w:space="0" w:color="BCBDBC"/>
              <w:left w:val="single" w:sz="4" w:space="0" w:color="auto"/>
              <w:bottom w:val="single" w:sz="6" w:space="0" w:color="BCBDBC"/>
              <w:right w:val="single" w:sz="4" w:space="0" w:color="auto"/>
            </w:tcBorders>
            <w:noWrap/>
            <w:vAlign w:val="center"/>
          </w:tcPr>
          <w:p w14:paraId="34574CA1" w14:textId="77777777" w:rsidR="001929CC" w:rsidRPr="0085293F" w:rsidRDefault="001929CC" w:rsidP="001929CC">
            <w:pPr>
              <w:pStyle w:val="TableText"/>
              <w:snapToGrid w:val="0"/>
              <w:rPr>
                <w:rFonts w:eastAsia="MS PGothic" w:cs="Segoe UI"/>
                <w:szCs w:val="17"/>
                <w:lang w:eastAsia="ja-JP"/>
              </w:rPr>
            </w:pPr>
          </w:p>
        </w:tc>
        <w:tc>
          <w:tcPr>
            <w:tcW w:w="2303" w:type="dxa"/>
            <w:tcBorders>
              <w:top w:val="single" w:sz="6" w:space="0" w:color="BCBDBC"/>
              <w:left w:val="single" w:sz="4" w:space="0" w:color="auto"/>
              <w:bottom w:val="single" w:sz="6" w:space="0" w:color="BCBDBC"/>
              <w:right w:val="single" w:sz="6" w:space="0" w:color="auto"/>
            </w:tcBorders>
            <w:noWrap/>
            <w:vAlign w:val="center"/>
          </w:tcPr>
          <w:p w14:paraId="14237CDB" w14:textId="77777777" w:rsidR="001929CC" w:rsidRPr="0085293F" w:rsidRDefault="001929CC" w:rsidP="001929CC">
            <w:pPr>
              <w:pStyle w:val="TableText"/>
              <w:snapToGrid w:val="0"/>
              <w:rPr>
                <w:rFonts w:eastAsia="MS PGothic" w:cs="Segoe UI"/>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30799229" w14:textId="77777777" w:rsidR="001929CC" w:rsidRPr="0085293F" w:rsidRDefault="001929CC" w:rsidP="001929CC">
            <w:pPr>
              <w:pStyle w:val="TableText"/>
              <w:snapToGrid w:val="0"/>
              <w:rPr>
                <w:rFonts w:eastAsia="MS PGothic" w:cs="Segoe UI"/>
                <w:szCs w:val="17"/>
                <w:lang w:eastAsia="ja-JP"/>
              </w:rPr>
            </w:pPr>
          </w:p>
        </w:tc>
        <w:tc>
          <w:tcPr>
            <w:tcW w:w="2304" w:type="dxa"/>
            <w:tcBorders>
              <w:top w:val="single" w:sz="6" w:space="0" w:color="BCBDBC"/>
              <w:left w:val="single" w:sz="6" w:space="0" w:color="auto"/>
              <w:bottom w:val="single" w:sz="6" w:space="0" w:color="BCBDBC"/>
              <w:right w:val="single" w:sz="6" w:space="0" w:color="auto"/>
            </w:tcBorders>
          </w:tcPr>
          <w:p w14:paraId="42E8F600" w14:textId="77777777" w:rsidR="001929CC" w:rsidRPr="0085293F" w:rsidRDefault="001929CC" w:rsidP="001929CC">
            <w:pPr>
              <w:pStyle w:val="TableText"/>
              <w:snapToGrid w:val="0"/>
              <w:rPr>
                <w:rFonts w:eastAsia="MS PGothic" w:cs="Segoe UI"/>
                <w:szCs w:val="17"/>
                <w:lang w:eastAsia="ja-JP"/>
              </w:rPr>
            </w:pPr>
          </w:p>
        </w:tc>
      </w:tr>
      <w:tr w:rsidR="001929CC" w:rsidRPr="0085293F" w14:paraId="739A5C83" w14:textId="77777777" w:rsidTr="001929CC">
        <w:trPr>
          <w:trHeight w:val="283"/>
        </w:trPr>
        <w:tc>
          <w:tcPr>
            <w:tcW w:w="558" w:type="dxa"/>
            <w:tcBorders>
              <w:top w:val="single" w:sz="6" w:space="0" w:color="BCBDBC"/>
              <w:left w:val="nil"/>
              <w:bottom w:val="single" w:sz="6" w:space="0" w:color="BCBDBC"/>
              <w:right w:val="single" w:sz="4" w:space="0" w:color="auto"/>
            </w:tcBorders>
          </w:tcPr>
          <w:p w14:paraId="69BFCBD1" w14:textId="77777777" w:rsidR="001929CC" w:rsidRPr="0085293F" w:rsidRDefault="001929CC" w:rsidP="001929CC">
            <w:pPr>
              <w:pStyle w:val="TableText"/>
              <w:snapToGrid w:val="0"/>
              <w:rPr>
                <w:rFonts w:cs="Segoe UI"/>
                <w:szCs w:val="17"/>
                <w:lang w:eastAsia="en-GB"/>
              </w:rPr>
            </w:pPr>
            <w:r>
              <w:rPr>
                <w:rFonts w:cs="Segoe UI"/>
                <w:szCs w:val="17"/>
              </w:rPr>
              <w:t>6</w:t>
            </w:r>
          </w:p>
        </w:tc>
        <w:tc>
          <w:tcPr>
            <w:tcW w:w="4395" w:type="dxa"/>
            <w:tcBorders>
              <w:left w:val="single" w:sz="4" w:space="0" w:color="auto"/>
              <w:right w:val="single" w:sz="4" w:space="0" w:color="auto"/>
            </w:tcBorders>
            <w:noWrap/>
          </w:tcPr>
          <w:p w14:paraId="7DFAF4A7" w14:textId="77777777" w:rsidR="001929CC" w:rsidRPr="0085293F" w:rsidRDefault="001929CC" w:rsidP="001929CC">
            <w:pPr>
              <w:pStyle w:val="TableText"/>
              <w:snapToGrid w:val="0"/>
              <w:jc w:val="center"/>
              <w:rPr>
                <w:rFonts w:cs="Segoe UI"/>
                <w:szCs w:val="17"/>
                <w:lang w:eastAsia="en-GB"/>
              </w:rPr>
            </w:pPr>
            <w:r w:rsidRPr="0085293F">
              <w:rPr>
                <w:rFonts w:cs="Segoe UI"/>
                <w:szCs w:val="17"/>
              </w:rPr>
              <w:t>400%</w:t>
            </w:r>
          </w:p>
        </w:tc>
        <w:tc>
          <w:tcPr>
            <w:tcW w:w="2303" w:type="dxa"/>
            <w:tcBorders>
              <w:top w:val="single" w:sz="6" w:space="0" w:color="BCBDBC"/>
              <w:left w:val="single" w:sz="4" w:space="0" w:color="auto"/>
              <w:bottom w:val="single" w:sz="6" w:space="0" w:color="BCBDBC"/>
              <w:right w:val="single" w:sz="4" w:space="0" w:color="auto"/>
            </w:tcBorders>
            <w:noWrap/>
            <w:vAlign w:val="center"/>
          </w:tcPr>
          <w:p w14:paraId="1F88A1CE" w14:textId="77777777" w:rsidR="001929CC" w:rsidRPr="0085293F" w:rsidRDefault="001929CC" w:rsidP="001929CC">
            <w:pPr>
              <w:pStyle w:val="TableText"/>
              <w:snapToGrid w:val="0"/>
              <w:rPr>
                <w:rFonts w:eastAsia="MS PGothic" w:cs="Segoe UI"/>
                <w:szCs w:val="17"/>
                <w:lang w:eastAsia="ja-JP"/>
              </w:rPr>
            </w:pPr>
          </w:p>
        </w:tc>
        <w:tc>
          <w:tcPr>
            <w:tcW w:w="2303" w:type="dxa"/>
            <w:tcBorders>
              <w:top w:val="single" w:sz="6" w:space="0" w:color="BCBDBC"/>
              <w:left w:val="single" w:sz="4" w:space="0" w:color="auto"/>
              <w:bottom w:val="single" w:sz="6" w:space="0" w:color="BCBDBC"/>
              <w:right w:val="single" w:sz="6" w:space="0" w:color="auto"/>
            </w:tcBorders>
            <w:noWrap/>
            <w:vAlign w:val="center"/>
          </w:tcPr>
          <w:p w14:paraId="57B42E7B" w14:textId="77777777" w:rsidR="001929CC" w:rsidRPr="0085293F" w:rsidRDefault="001929CC" w:rsidP="001929CC">
            <w:pPr>
              <w:pStyle w:val="TableText"/>
              <w:snapToGrid w:val="0"/>
              <w:rPr>
                <w:rFonts w:eastAsia="MS PGothic" w:cs="Segoe UI"/>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36680BF0" w14:textId="77777777" w:rsidR="001929CC" w:rsidRPr="0085293F" w:rsidRDefault="001929CC" w:rsidP="001929CC">
            <w:pPr>
              <w:pStyle w:val="TableText"/>
              <w:snapToGrid w:val="0"/>
              <w:rPr>
                <w:rFonts w:eastAsia="MS PGothic" w:cs="Segoe UI"/>
                <w:szCs w:val="17"/>
                <w:lang w:eastAsia="ja-JP"/>
              </w:rPr>
            </w:pPr>
          </w:p>
        </w:tc>
        <w:tc>
          <w:tcPr>
            <w:tcW w:w="2304" w:type="dxa"/>
            <w:tcBorders>
              <w:top w:val="single" w:sz="6" w:space="0" w:color="BCBDBC"/>
              <w:left w:val="single" w:sz="6" w:space="0" w:color="auto"/>
              <w:bottom w:val="single" w:sz="6" w:space="0" w:color="BCBDBC"/>
              <w:right w:val="single" w:sz="6" w:space="0" w:color="auto"/>
            </w:tcBorders>
          </w:tcPr>
          <w:p w14:paraId="509EB534" w14:textId="77777777" w:rsidR="001929CC" w:rsidRPr="0085293F" w:rsidRDefault="001929CC" w:rsidP="001929CC">
            <w:pPr>
              <w:pStyle w:val="TableText"/>
              <w:snapToGrid w:val="0"/>
              <w:rPr>
                <w:rFonts w:eastAsia="MS PGothic" w:cs="Segoe UI"/>
                <w:szCs w:val="17"/>
                <w:lang w:eastAsia="ja-JP"/>
              </w:rPr>
            </w:pPr>
          </w:p>
        </w:tc>
      </w:tr>
      <w:tr w:rsidR="001929CC" w:rsidRPr="0085293F" w14:paraId="035D681D" w14:textId="77777777" w:rsidTr="001929CC">
        <w:trPr>
          <w:trHeight w:val="283"/>
        </w:trPr>
        <w:tc>
          <w:tcPr>
            <w:tcW w:w="558" w:type="dxa"/>
            <w:tcBorders>
              <w:top w:val="single" w:sz="6" w:space="0" w:color="BCBDBC"/>
              <w:left w:val="nil"/>
              <w:bottom w:val="single" w:sz="6" w:space="0" w:color="BCBDBC"/>
              <w:right w:val="single" w:sz="4" w:space="0" w:color="auto"/>
            </w:tcBorders>
          </w:tcPr>
          <w:p w14:paraId="03DBF884" w14:textId="77777777" w:rsidR="001929CC" w:rsidRPr="003F5B1F" w:rsidRDefault="001929CC" w:rsidP="001929CC">
            <w:pPr>
              <w:pStyle w:val="TableText"/>
              <w:snapToGrid w:val="0"/>
              <w:rPr>
                <w:rFonts w:cs="Segoe UI"/>
                <w:szCs w:val="17"/>
              </w:rPr>
            </w:pPr>
            <w:r w:rsidRPr="003F5B1F">
              <w:rPr>
                <w:rFonts w:cs="Segoe UI"/>
                <w:szCs w:val="17"/>
                <w:lang w:eastAsia="en-GB"/>
              </w:rPr>
              <w:t>7</w:t>
            </w:r>
          </w:p>
        </w:tc>
        <w:tc>
          <w:tcPr>
            <w:tcW w:w="4395" w:type="dxa"/>
            <w:tcBorders>
              <w:left w:val="single" w:sz="4" w:space="0" w:color="auto"/>
              <w:right w:val="single" w:sz="4" w:space="0" w:color="auto"/>
            </w:tcBorders>
            <w:noWrap/>
          </w:tcPr>
          <w:p w14:paraId="28D99B39" w14:textId="77777777" w:rsidR="001929CC" w:rsidRPr="0085293F" w:rsidRDefault="001929CC" w:rsidP="001929CC">
            <w:pPr>
              <w:pStyle w:val="TableText"/>
              <w:snapToGrid w:val="0"/>
              <w:jc w:val="center"/>
              <w:rPr>
                <w:rFonts w:cs="Segoe UI"/>
                <w:szCs w:val="17"/>
              </w:rPr>
            </w:pPr>
            <w:r w:rsidRPr="0085293F">
              <w:rPr>
                <w:rFonts w:cs="Segoe UI"/>
                <w:szCs w:val="17"/>
                <w:lang w:eastAsia="en-GB"/>
              </w:rPr>
              <w:t>1,250%</w:t>
            </w:r>
          </w:p>
        </w:tc>
        <w:tc>
          <w:tcPr>
            <w:tcW w:w="2303" w:type="dxa"/>
            <w:tcBorders>
              <w:top w:val="single" w:sz="6" w:space="0" w:color="BCBDBC"/>
              <w:left w:val="single" w:sz="4" w:space="0" w:color="auto"/>
              <w:bottom w:val="single" w:sz="6" w:space="0" w:color="BCBDBC"/>
              <w:right w:val="single" w:sz="4" w:space="0" w:color="auto"/>
            </w:tcBorders>
            <w:noWrap/>
            <w:vAlign w:val="center"/>
          </w:tcPr>
          <w:p w14:paraId="3F24A72F" w14:textId="77777777" w:rsidR="001929CC" w:rsidRPr="0085293F" w:rsidRDefault="001929CC" w:rsidP="001929CC">
            <w:pPr>
              <w:pStyle w:val="TableText"/>
              <w:snapToGrid w:val="0"/>
              <w:rPr>
                <w:rFonts w:eastAsia="MS PGothic" w:cs="Segoe UI"/>
                <w:szCs w:val="17"/>
                <w:lang w:eastAsia="ja-JP"/>
              </w:rPr>
            </w:pPr>
          </w:p>
        </w:tc>
        <w:tc>
          <w:tcPr>
            <w:tcW w:w="2303" w:type="dxa"/>
            <w:tcBorders>
              <w:top w:val="single" w:sz="6" w:space="0" w:color="BCBDBC"/>
              <w:left w:val="single" w:sz="4" w:space="0" w:color="auto"/>
              <w:bottom w:val="single" w:sz="6" w:space="0" w:color="BCBDBC"/>
              <w:right w:val="single" w:sz="6" w:space="0" w:color="auto"/>
            </w:tcBorders>
            <w:noWrap/>
            <w:vAlign w:val="center"/>
          </w:tcPr>
          <w:p w14:paraId="7C2E88DE" w14:textId="77777777" w:rsidR="001929CC" w:rsidRPr="0085293F" w:rsidRDefault="001929CC" w:rsidP="001929CC">
            <w:pPr>
              <w:pStyle w:val="TableText"/>
              <w:snapToGrid w:val="0"/>
              <w:rPr>
                <w:rFonts w:eastAsia="MS PGothic" w:cs="Segoe UI"/>
                <w:szCs w:val="17"/>
                <w:lang w:eastAsia="ja-JP"/>
              </w:rPr>
            </w:pPr>
          </w:p>
        </w:tc>
        <w:tc>
          <w:tcPr>
            <w:tcW w:w="2303" w:type="dxa"/>
            <w:tcBorders>
              <w:top w:val="single" w:sz="6" w:space="0" w:color="BCBDBC"/>
              <w:left w:val="single" w:sz="6" w:space="0" w:color="auto"/>
              <w:bottom w:val="single" w:sz="6" w:space="0" w:color="BCBDBC"/>
              <w:right w:val="single" w:sz="6" w:space="0" w:color="auto"/>
            </w:tcBorders>
            <w:noWrap/>
            <w:vAlign w:val="center"/>
          </w:tcPr>
          <w:p w14:paraId="2045A1D7" w14:textId="77777777" w:rsidR="001929CC" w:rsidRPr="0085293F" w:rsidRDefault="001929CC" w:rsidP="001929CC">
            <w:pPr>
              <w:pStyle w:val="TableText"/>
              <w:snapToGrid w:val="0"/>
              <w:rPr>
                <w:rFonts w:eastAsia="MS PGothic" w:cs="Segoe UI"/>
                <w:szCs w:val="17"/>
                <w:lang w:eastAsia="ja-JP"/>
              </w:rPr>
            </w:pPr>
          </w:p>
        </w:tc>
        <w:tc>
          <w:tcPr>
            <w:tcW w:w="2304" w:type="dxa"/>
            <w:tcBorders>
              <w:top w:val="single" w:sz="6" w:space="0" w:color="BCBDBC"/>
              <w:left w:val="single" w:sz="6" w:space="0" w:color="auto"/>
              <w:bottom w:val="single" w:sz="6" w:space="0" w:color="BCBDBC"/>
              <w:right w:val="single" w:sz="6" w:space="0" w:color="auto"/>
            </w:tcBorders>
          </w:tcPr>
          <w:p w14:paraId="2A5E6BE1" w14:textId="77777777" w:rsidR="001929CC" w:rsidRPr="0085293F" w:rsidRDefault="001929CC" w:rsidP="001929CC">
            <w:pPr>
              <w:pStyle w:val="TableText"/>
              <w:snapToGrid w:val="0"/>
              <w:rPr>
                <w:rFonts w:eastAsia="MS PGothic" w:cs="Segoe UI"/>
                <w:szCs w:val="17"/>
                <w:lang w:eastAsia="ja-JP"/>
              </w:rPr>
            </w:pPr>
          </w:p>
        </w:tc>
      </w:tr>
      <w:tr w:rsidR="001929CC" w:rsidRPr="0085293F" w14:paraId="526CC13C" w14:textId="77777777" w:rsidTr="001929CC">
        <w:trPr>
          <w:trHeight w:val="283"/>
        </w:trPr>
        <w:tc>
          <w:tcPr>
            <w:tcW w:w="558" w:type="dxa"/>
            <w:tcBorders>
              <w:top w:val="single" w:sz="6" w:space="0" w:color="BCBDBC"/>
              <w:left w:val="nil"/>
              <w:bottom w:val="single" w:sz="4" w:space="0" w:color="auto"/>
              <w:right w:val="single" w:sz="4" w:space="0" w:color="auto"/>
            </w:tcBorders>
          </w:tcPr>
          <w:p w14:paraId="316FDE0D" w14:textId="77777777" w:rsidR="001929CC" w:rsidRPr="003F5B1F" w:rsidRDefault="001929CC" w:rsidP="001929CC">
            <w:pPr>
              <w:pStyle w:val="TableText"/>
              <w:snapToGrid w:val="0"/>
              <w:rPr>
                <w:rFonts w:cs="Segoe UI"/>
                <w:szCs w:val="17"/>
              </w:rPr>
            </w:pPr>
            <w:r w:rsidRPr="003F5B1F">
              <w:rPr>
                <w:rFonts w:cs="Segoe UI"/>
                <w:szCs w:val="17"/>
              </w:rPr>
              <w:t>8</w:t>
            </w:r>
          </w:p>
        </w:tc>
        <w:tc>
          <w:tcPr>
            <w:tcW w:w="4395" w:type="dxa"/>
            <w:tcBorders>
              <w:left w:val="single" w:sz="4" w:space="0" w:color="auto"/>
              <w:bottom w:val="single" w:sz="4" w:space="0" w:color="auto"/>
              <w:right w:val="single" w:sz="4" w:space="0" w:color="auto"/>
            </w:tcBorders>
            <w:noWrap/>
          </w:tcPr>
          <w:p w14:paraId="2BA6776F" w14:textId="77777777" w:rsidR="001929CC" w:rsidRPr="0085293F" w:rsidRDefault="001929CC" w:rsidP="001929CC">
            <w:pPr>
              <w:pStyle w:val="TableText"/>
              <w:snapToGrid w:val="0"/>
              <w:jc w:val="center"/>
              <w:rPr>
                <w:rFonts w:cs="Segoe UI"/>
                <w:szCs w:val="17"/>
              </w:rPr>
            </w:pPr>
            <w:r w:rsidRPr="0085293F">
              <w:rPr>
                <w:rFonts w:cs="Segoe UI"/>
                <w:b/>
                <w:szCs w:val="17"/>
                <w:lang w:eastAsia="en-GB"/>
              </w:rPr>
              <w:t>Total exposures</w:t>
            </w:r>
          </w:p>
        </w:tc>
        <w:tc>
          <w:tcPr>
            <w:tcW w:w="2303" w:type="dxa"/>
            <w:tcBorders>
              <w:top w:val="single" w:sz="6" w:space="0" w:color="BCBDBC"/>
              <w:left w:val="single" w:sz="4" w:space="0" w:color="auto"/>
              <w:bottom w:val="single" w:sz="4" w:space="0" w:color="auto"/>
              <w:right w:val="single" w:sz="4" w:space="0" w:color="auto"/>
            </w:tcBorders>
            <w:noWrap/>
            <w:vAlign w:val="center"/>
          </w:tcPr>
          <w:p w14:paraId="2C40A794" w14:textId="77777777" w:rsidR="001929CC" w:rsidRPr="0085293F" w:rsidRDefault="001929CC" w:rsidP="001929CC">
            <w:pPr>
              <w:pStyle w:val="TableText"/>
              <w:snapToGrid w:val="0"/>
              <w:rPr>
                <w:rFonts w:eastAsia="MS PGothic" w:cs="Segoe UI"/>
                <w:szCs w:val="17"/>
                <w:lang w:eastAsia="ja-JP"/>
              </w:rPr>
            </w:pPr>
          </w:p>
        </w:tc>
        <w:tc>
          <w:tcPr>
            <w:tcW w:w="2303" w:type="dxa"/>
            <w:tcBorders>
              <w:top w:val="single" w:sz="6" w:space="0" w:color="BCBDBC"/>
              <w:left w:val="single" w:sz="4" w:space="0" w:color="auto"/>
              <w:bottom w:val="single" w:sz="4" w:space="0" w:color="auto"/>
              <w:right w:val="single" w:sz="6" w:space="0" w:color="auto"/>
            </w:tcBorders>
            <w:noWrap/>
            <w:vAlign w:val="center"/>
          </w:tcPr>
          <w:p w14:paraId="4769B2D4" w14:textId="77777777" w:rsidR="001929CC" w:rsidRPr="0085293F" w:rsidRDefault="001929CC" w:rsidP="001929CC">
            <w:pPr>
              <w:pStyle w:val="TableText"/>
              <w:snapToGrid w:val="0"/>
              <w:rPr>
                <w:rFonts w:eastAsia="MS PGothic" w:cs="Segoe UI"/>
                <w:szCs w:val="17"/>
                <w:lang w:eastAsia="ja-JP"/>
              </w:rPr>
            </w:pPr>
          </w:p>
        </w:tc>
        <w:tc>
          <w:tcPr>
            <w:tcW w:w="2303" w:type="dxa"/>
            <w:tcBorders>
              <w:top w:val="single" w:sz="6" w:space="0" w:color="BCBDBC"/>
              <w:left w:val="single" w:sz="6" w:space="0" w:color="auto"/>
              <w:bottom w:val="single" w:sz="4" w:space="0" w:color="auto"/>
              <w:right w:val="single" w:sz="6" w:space="0" w:color="auto"/>
            </w:tcBorders>
            <w:noWrap/>
            <w:vAlign w:val="center"/>
          </w:tcPr>
          <w:p w14:paraId="3CFE5598" w14:textId="77777777" w:rsidR="001929CC" w:rsidRPr="0085293F" w:rsidRDefault="001929CC" w:rsidP="001929CC">
            <w:pPr>
              <w:pStyle w:val="TableText"/>
              <w:snapToGrid w:val="0"/>
              <w:rPr>
                <w:rFonts w:eastAsia="MS PGothic" w:cs="Segoe UI"/>
                <w:szCs w:val="17"/>
                <w:lang w:eastAsia="ja-JP"/>
              </w:rPr>
            </w:pPr>
          </w:p>
        </w:tc>
        <w:tc>
          <w:tcPr>
            <w:tcW w:w="2304" w:type="dxa"/>
            <w:tcBorders>
              <w:top w:val="single" w:sz="6" w:space="0" w:color="BCBDBC"/>
              <w:left w:val="single" w:sz="6" w:space="0" w:color="auto"/>
              <w:bottom w:val="single" w:sz="4" w:space="0" w:color="auto"/>
              <w:right w:val="single" w:sz="6" w:space="0" w:color="auto"/>
            </w:tcBorders>
          </w:tcPr>
          <w:p w14:paraId="04267540" w14:textId="77777777" w:rsidR="001929CC" w:rsidRPr="0085293F" w:rsidRDefault="001929CC" w:rsidP="001929CC">
            <w:pPr>
              <w:pStyle w:val="TableText"/>
              <w:snapToGrid w:val="0"/>
              <w:rPr>
                <w:rFonts w:eastAsia="MS PGothic" w:cs="Segoe UI"/>
                <w:szCs w:val="17"/>
                <w:lang w:eastAsia="ja-JP"/>
              </w:rPr>
            </w:pPr>
          </w:p>
        </w:tc>
      </w:tr>
      <w:tr w:rsidR="001929CC" w:rsidRPr="0085293F" w14:paraId="5568AFE4" w14:textId="77777777" w:rsidTr="001929CC">
        <w:trPr>
          <w:trHeight w:val="283"/>
        </w:trPr>
        <w:tc>
          <w:tcPr>
            <w:tcW w:w="14166" w:type="dxa"/>
            <w:gridSpan w:val="6"/>
            <w:tcBorders>
              <w:top w:val="single" w:sz="4" w:space="0" w:color="auto"/>
              <w:left w:val="nil"/>
              <w:bottom w:val="single" w:sz="4" w:space="0" w:color="auto"/>
              <w:right w:val="single" w:sz="6" w:space="0" w:color="auto"/>
            </w:tcBorders>
          </w:tcPr>
          <w:p w14:paraId="313E0259" w14:textId="664E5E4E" w:rsidR="001929CC" w:rsidRPr="002B6637" w:rsidRDefault="001929CC" w:rsidP="001929CC">
            <w:pPr>
              <w:keepLines/>
              <w:tabs>
                <w:tab w:val="left" w:pos="397"/>
                <w:tab w:val="left" w:pos="794"/>
                <w:tab w:val="left" w:pos="1191"/>
              </w:tabs>
              <w:snapToGrid w:val="0"/>
              <w:spacing w:before="20" w:after="20"/>
              <w:rPr>
                <w:rFonts w:cs="Segoe UI"/>
                <w:i/>
                <w:sz w:val="17"/>
                <w:szCs w:val="17"/>
                <w:lang w:eastAsia="en-GB"/>
              </w:rPr>
            </w:pPr>
            <w:r w:rsidRPr="002B6637">
              <w:rPr>
                <w:rFonts w:cs="Segoe UI"/>
                <w:i/>
                <w:sz w:val="17"/>
                <w:szCs w:val="17"/>
                <w:lang w:eastAsia="en-GB"/>
              </w:rPr>
              <w:t>Point</w:t>
            </w:r>
            <w:r w:rsidR="00900385">
              <w:rPr>
                <w:rFonts w:cs="Segoe UI"/>
                <w:i/>
                <w:sz w:val="17"/>
                <w:szCs w:val="17"/>
                <w:lang w:eastAsia="en-GB"/>
              </w:rPr>
              <w:t>s</w:t>
            </w:r>
            <w:r w:rsidRPr="002B6637">
              <w:rPr>
                <w:rFonts w:cs="Segoe UI"/>
                <w:i/>
                <w:sz w:val="17"/>
                <w:szCs w:val="17"/>
                <w:lang w:eastAsia="en-GB"/>
              </w:rPr>
              <w:t xml:space="preserve"> to note:</w:t>
            </w:r>
          </w:p>
          <w:p w14:paraId="32ECEB39" w14:textId="77777777" w:rsidR="001929CC" w:rsidRPr="002B6637" w:rsidRDefault="001929CC" w:rsidP="001929CC">
            <w:pPr>
              <w:pStyle w:val="TableText"/>
              <w:snapToGrid w:val="0"/>
              <w:rPr>
                <w:rFonts w:cs="Segoe UI"/>
                <w:szCs w:val="17"/>
                <w:lang w:eastAsia="en-GB"/>
              </w:rPr>
            </w:pPr>
            <w:r w:rsidRPr="002B6637">
              <w:rPr>
                <w:rFonts w:cs="Segoe UI"/>
                <w:szCs w:val="17"/>
                <w:lang w:eastAsia="en-GB"/>
              </w:rPr>
              <w:t># An AI should add additional rows for the applicable risk weights that are not listed in the table, if any.</w:t>
            </w:r>
          </w:p>
          <w:p w14:paraId="4608A9D8" w14:textId="77777777" w:rsidR="001929CC" w:rsidRPr="0085293F" w:rsidRDefault="001929CC" w:rsidP="001929CC">
            <w:pPr>
              <w:pStyle w:val="TableText"/>
              <w:snapToGrid w:val="0"/>
              <w:rPr>
                <w:rFonts w:eastAsia="MS PGothic" w:cs="Segoe UI"/>
                <w:szCs w:val="17"/>
                <w:lang w:eastAsia="ja-JP"/>
              </w:rPr>
            </w:pPr>
            <w:r w:rsidRPr="002B6637">
              <w:rPr>
                <w:rFonts w:cs="Segoe UI"/>
                <w:szCs w:val="17"/>
                <w:lang w:eastAsia="en-GB"/>
              </w:rPr>
              <w:t>* Weighting is based on off-balance sheet exposure (pre-CCF).</w:t>
            </w:r>
          </w:p>
        </w:tc>
      </w:tr>
    </w:tbl>
    <w:p w14:paraId="5E42F7C9" w14:textId="77777777" w:rsidR="001929CC" w:rsidRDefault="001929CC" w:rsidP="001929CC">
      <w:pPr>
        <w:spacing w:before="40" w:after="40"/>
        <w:rPr>
          <w:u w:val="single"/>
        </w:rPr>
      </w:pPr>
    </w:p>
    <w:p w14:paraId="4A28B86E" w14:textId="77777777" w:rsidR="001929CC" w:rsidRPr="00AF458A" w:rsidRDefault="001929CC" w:rsidP="001929CC">
      <w:pPr>
        <w:spacing w:before="40" w:after="40"/>
        <w:rPr>
          <w:rFonts w:cs="Segoe UI"/>
          <w:sz w:val="17"/>
          <w:szCs w:val="17"/>
        </w:rPr>
      </w:pPr>
      <w:r w:rsidRPr="00AF458A">
        <w:br w:type="page"/>
      </w: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2899"/>
      </w:tblGrid>
      <w:tr w:rsidR="001929CC" w14:paraId="607E6BF0" w14:textId="77777777" w:rsidTr="001929CC">
        <w:trPr>
          <w:tblHeader/>
        </w:trPr>
        <w:tc>
          <w:tcPr>
            <w:tcW w:w="13892" w:type="dxa"/>
            <w:gridSpan w:val="2"/>
            <w:shd w:val="clear" w:color="auto" w:fill="BFBFBF"/>
          </w:tcPr>
          <w:p w14:paraId="173828B5" w14:textId="77777777" w:rsidR="001929CC" w:rsidRDefault="001929CC" w:rsidP="001929CC">
            <w:pPr>
              <w:pStyle w:val="TableNote"/>
              <w:keepNext/>
              <w:spacing w:before="40" w:after="40"/>
              <w:rPr>
                <w:rFonts w:eastAsia="新細明體"/>
                <w:b/>
                <w:sz w:val="17"/>
                <w:lang w:eastAsia="en-GB"/>
              </w:rPr>
            </w:pPr>
            <w:r>
              <w:rPr>
                <w:rFonts w:eastAsia="新細明體"/>
                <w:b/>
                <w:sz w:val="17"/>
                <w:lang w:eastAsia="en-GB"/>
              </w:rPr>
              <w:lastRenderedPageBreak/>
              <w:t>Explanatory Note</w:t>
            </w:r>
          </w:p>
        </w:tc>
      </w:tr>
      <w:tr w:rsidR="001929CC" w14:paraId="29BFFAD1" w14:textId="77777777" w:rsidTr="001929CC">
        <w:tc>
          <w:tcPr>
            <w:tcW w:w="13892" w:type="dxa"/>
            <w:gridSpan w:val="2"/>
            <w:shd w:val="clear" w:color="auto" w:fill="F2F2F2"/>
          </w:tcPr>
          <w:p w14:paraId="6CFFBB43" w14:textId="5B6C0753" w:rsidR="001929CC" w:rsidRDefault="001929CC" w:rsidP="00493532">
            <w:pPr>
              <w:pStyle w:val="TableNote"/>
              <w:keepNext/>
              <w:spacing w:before="40" w:after="40"/>
              <w:rPr>
                <w:i/>
                <w:sz w:val="17"/>
                <w:szCs w:val="17"/>
              </w:rPr>
            </w:pPr>
            <w:r>
              <w:rPr>
                <w:rFonts w:eastAsia="新細明體"/>
                <w:b/>
                <w:sz w:val="17"/>
                <w:lang w:eastAsia="en-GB"/>
              </w:rPr>
              <w:t>Rows</w:t>
            </w:r>
          </w:p>
        </w:tc>
      </w:tr>
      <w:tr w:rsidR="001929CC" w14:paraId="0B8406C4" w14:textId="77777777" w:rsidTr="001929CC">
        <w:tc>
          <w:tcPr>
            <w:tcW w:w="993" w:type="dxa"/>
          </w:tcPr>
          <w:p w14:paraId="4505F8F8"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All</w:t>
            </w:r>
          </w:p>
        </w:tc>
        <w:tc>
          <w:tcPr>
            <w:tcW w:w="12899" w:type="dxa"/>
          </w:tcPr>
          <w:p w14:paraId="112D2228" w14:textId="65E293DF" w:rsidR="001929CC" w:rsidRDefault="001929CC" w:rsidP="001929CC">
            <w:pPr>
              <w:pStyle w:val="TableNote"/>
              <w:keepNext/>
              <w:spacing w:before="40" w:after="40"/>
              <w:rPr>
                <w:i/>
                <w:sz w:val="17"/>
                <w:szCs w:val="17"/>
              </w:rPr>
            </w:pPr>
            <w:r>
              <w:rPr>
                <w:sz w:val="17"/>
                <w:szCs w:val="17"/>
              </w:rPr>
              <w:t xml:space="preserve">The rows and their respective definitions are aligned with the classification of exposures used in Part 4 (for STC approach) or Part 5 (for BSC approach) of the BCR.  Loan-splitting approach is not applicable to Hong Kong.  </w:t>
            </w:r>
          </w:p>
        </w:tc>
      </w:tr>
      <w:tr w:rsidR="001929CC" w14:paraId="5E35785F" w14:textId="77777777" w:rsidTr="001929CC">
        <w:tc>
          <w:tcPr>
            <w:tcW w:w="993" w:type="dxa"/>
          </w:tcPr>
          <w:p w14:paraId="58307EF4" w14:textId="4F1B525A" w:rsidR="001929CC" w:rsidRDefault="001929CC" w:rsidP="001929CC">
            <w:pPr>
              <w:pStyle w:val="TableNote"/>
              <w:keepNext/>
              <w:spacing w:before="40" w:after="40"/>
              <w:rPr>
                <w:sz w:val="17"/>
                <w:szCs w:val="17"/>
              </w:rPr>
            </w:pPr>
            <w:r>
              <w:rPr>
                <w:sz w:val="17"/>
                <w:szCs w:val="17"/>
              </w:rPr>
              <w:t>11 (STC) / 8 (BSC)</w:t>
            </w:r>
          </w:p>
        </w:tc>
        <w:tc>
          <w:tcPr>
            <w:tcW w:w="12899" w:type="dxa"/>
          </w:tcPr>
          <w:p w14:paraId="57832BD5" w14:textId="07AC2754" w:rsidR="001929CC" w:rsidRDefault="001929CC" w:rsidP="001929CC">
            <w:pPr>
              <w:pStyle w:val="TableNote"/>
              <w:keepNext/>
              <w:spacing w:before="40" w:after="40"/>
              <w:rPr>
                <w:sz w:val="17"/>
                <w:szCs w:val="17"/>
              </w:rPr>
            </w:pPr>
            <w:r>
              <w:rPr>
                <w:i/>
                <w:sz w:val="17"/>
                <w:szCs w:val="17"/>
              </w:rPr>
              <w:t xml:space="preserve">Total exposures </w:t>
            </w:r>
            <w:r>
              <w:rPr>
                <w:sz w:val="17"/>
                <w:szCs w:val="17"/>
              </w:rPr>
              <w:t>under the table “</w:t>
            </w:r>
            <w:r w:rsidRPr="00DD3379">
              <w:rPr>
                <w:sz w:val="17"/>
                <w:szCs w:val="17"/>
              </w:rPr>
              <w:t>Exposure amounts and CCFs applied to off-balance sheet exposures, categorised based on risk bucket of converted exposures</w:t>
            </w:r>
            <w:r>
              <w:rPr>
                <w:sz w:val="17"/>
                <w:szCs w:val="17"/>
              </w:rPr>
              <w:t xml:space="preserve">”: </w:t>
            </w:r>
            <w:r>
              <w:rPr>
                <w:rFonts w:cs="Segoe UI"/>
                <w:sz w:val="17"/>
                <w:szCs w:val="17"/>
              </w:rPr>
              <w:t xml:space="preserve">for AIs using the STC approach, </w:t>
            </w:r>
            <w:r>
              <w:rPr>
                <w:sz w:val="17"/>
                <w:szCs w:val="17"/>
              </w:rPr>
              <w:t xml:space="preserve">the value in [CR5(STC):11/d] is equal to the sum of values in [CR4(STC):12/c] and [CR4(STC):12/d]; </w:t>
            </w:r>
            <w:r>
              <w:rPr>
                <w:rFonts w:cs="Segoe UI"/>
                <w:sz w:val="17"/>
                <w:szCs w:val="17"/>
              </w:rPr>
              <w:t xml:space="preserve">for AIs using the BSC approach, </w:t>
            </w:r>
            <w:r>
              <w:rPr>
                <w:sz w:val="17"/>
                <w:szCs w:val="17"/>
              </w:rPr>
              <w:t>the value in [CR5(BSC):8/d] is equal to the sum of values in [CR4(BSC):16/c] and [CR4(BSC):16/d].</w:t>
            </w:r>
          </w:p>
        </w:tc>
      </w:tr>
    </w:tbl>
    <w:p w14:paraId="4457C73A" w14:textId="77777777" w:rsidR="001929CC" w:rsidRDefault="001929CC" w:rsidP="001929CC"/>
    <w:p w14:paraId="7682D96E" w14:textId="77777777" w:rsidR="001929CC" w:rsidRDefault="001929CC" w:rsidP="001929CC">
      <w:pPr>
        <w:pStyle w:val="Heading1"/>
        <w:tabs>
          <w:tab w:val="left" w:pos="426"/>
        </w:tabs>
        <w:ind w:leftChars="-283" w:left="-566"/>
        <w:sectPr w:rsidR="001929CC">
          <w:footerReference w:type="default" r:id="rId50"/>
          <w:pgSz w:w="16838" w:h="11906" w:orient="landscape" w:code="9"/>
          <w:pgMar w:top="1418" w:right="1440" w:bottom="1276" w:left="1440" w:header="851" w:footer="737" w:gutter="0"/>
          <w:cols w:space="425"/>
          <w:docGrid w:type="linesAndChars" w:linePitch="360"/>
        </w:sectPr>
      </w:pPr>
    </w:p>
    <w:p w14:paraId="7A27A8AB" w14:textId="7B623A9D" w:rsidR="008F723B" w:rsidRPr="00047EA8" w:rsidRDefault="008F723B" w:rsidP="007A0A42">
      <w:pPr>
        <w:pStyle w:val="IndentedHeading2"/>
        <w:keepNext/>
        <w:numPr>
          <w:ilvl w:val="0"/>
          <w:numId w:val="6"/>
        </w:numPr>
        <w:spacing w:before="0"/>
        <w:ind w:left="266" w:hanging="550"/>
        <w:rPr>
          <w:b w:val="0"/>
        </w:rPr>
      </w:pPr>
      <w:r w:rsidRPr="00047EA8">
        <w:rPr>
          <w:b w:val="0"/>
        </w:rPr>
        <w:lastRenderedPageBreak/>
        <w:t>Credit risk under internal ratings-based approach</w:t>
      </w:r>
    </w:p>
    <w:p w14:paraId="5B9E7C38" w14:textId="0F84F13F" w:rsidR="00BE0623" w:rsidRDefault="006D439A" w:rsidP="00941A15">
      <w:pPr>
        <w:pStyle w:val="Heading3"/>
        <w:ind w:left="-340" w:right="-340"/>
        <w:jc w:val="both"/>
      </w:pPr>
      <w:r>
        <w:t>Table CRE: Qualitative disclosures related to internal models for measuring credit risk under IRB approach</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6D439A" w14:paraId="47657A78" w14:textId="77777777" w:rsidTr="006C63B0">
        <w:tc>
          <w:tcPr>
            <w:tcW w:w="2008" w:type="dxa"/>
          </w:tcPr>
          <w:p w14:paraId="61B12204" w14:textId="77777777" w:rsidR="006D439A" w:rsidRDefault="006D439A" w:rsidP="006C63B0">
            <w:pPr>
              <w:spacing w:before="40" w:after="40"/>
              <w:rPr>
                <w:noProof/>
                <w:sz w:val="17"/>
                <w:lang w:eastAsia="en-GB"/>
              </w:rPr>
            </w:pPr>
            <w:r>
              <w:rPr>
                <w:b/>
                <w:sz w:val="17"/>
                <w:lang w:eastAsia="en-GB"/>
              </w:rPr>
              <w:t>Purpose:</w:t>
            </w:r>
          </w:p>
        </w:tc>
        <w:tc>
          <w:tcPr>
            <w:tcW w:w="7234" w:type="dxa"/>
          </w:tcPr>
          <w:p w14:paraId="6372D515" w14:textId="77777777" w:rsidR="006D439A" w:rsidRDefault="006D439A" w:rsidP="006C63B0">
            <w:pPr>
              <w:pStyle w:val="TableText"/>
              <w:jc w:val="both"/>
              <w:rPr>
                <w:lang w:eastAsia="en-GB"/>
              </w:rPr>
            </w:pPr>
            <w:r>
              <w:rPr>
                <w:lang w:eastAsia="en-GB"/>
              </w:rPr>
              <w:t>To provide additional information on the internal models used to calculate RWA for credit risk, describing the main characteristics of the models used at the group-wide level and the scope of models.</w:t>
            </w:r>
          </w:p>
        </w:tc>
      </w:tr>
      <w:tr w:rsidR="006D439A" w14:paraId="09DE944F" w14:textId="77777777" w:rsidTr="006C63B0">
        <w:tc>
          <w:tcPr>
            <w:tcW w:w="2008" w:type="dxa"/>
          </w:tcPr>
          <w:p w14:paraId="1B182064" w14:textId="77777777" w:rsidR="006D439A" w:rsidRDefault="006D439A" w:rsidP="006C63B0">
            <w:pPr>
              <w:spacing w:before="40" w:after="40"/>
              <w:rPr>
                <w:b/>
                <w:sz w:val="17"/>
                <w:lang w:eastAsia="en-GB"/>
              </w:rPr>
            </w:pPr>
            <w:r>
              <w:rPr>
                <w:b/>
                <w:sz w:val="17"/>
                <w:lang w:eastAsia="en-GB"/>
              </w:rPr>
              <w:t>Scope of application:</w:t>
            </w:r>
          </w:p>
        </w:tc>
        <w:tc>
          <w:tcPr>
            <w:tcW w:w="7234" w:type="dxa"/>
          </w:tcPr>
          <w:p w14:paraId="079F6B28" w14:textId="77777777" w:rsidR="006D439A" w:rsidRDefault="006D439A" w:rsidP="006C63B0">
            <w:pPr>
              <w:spacing w:before="40" w:after="40"/>
              <w:jc w:val="both"/>
              <w:rPr>
                <w:b/>
                <w:sz w:val="17"/>
                <w:lang w:eastAsia="en-GB"/>
              </w:rPr>
            </w:pPr>
            <w:r>
              <w:rPr>
                <w:sz w:val="17"/>
                <w:lang w:eastAsia="en-GB"/>
              </w:rPr>
              <w:t>The table is mandatory for AIs incorporated in Hong Kong that use the IRB calculation approaches for some or all of their exposures.  An AI should provide meaningful information to users on their use of internal models.  The AI should describe the main characteristics of the models used at the group-wide level (according to the scope of regulatory consolidation) and explain in a narrative commentary how the scope of models described is determined.  The commentary should include the percentage of RWAs covered by the models for each of the AI’s regulatory portfolios.</w:t>
            </w:r>
          </w:p>
        </w:tc>
      </w:tr>
      <w:tr w:rsidR="006D439A" w14:paraId="16936990" w14:textId="77777777" w:rsidTr="006C63B0">
        <w:tc>
          <w:tcPr>
            <w:tcW w:w="2008" w:type="dxa"/>
          </w:tcPr>
          <w:p w14:paraId="3AEC45B5" w14:textId="77777777" w:rsidR="006D439A" w:rsidRDefault="006D439A" w:rsidP="006C63B0">
            <w:pPr>
              <w:spacing w:before="40" w:after="40"/>
              <w:rPr>
                <w:b/>
                <w:sz w:val="17"/>
                <w:lang w:eastAsia="en-GB"/>
              </w:rPr>
            </w:pPr>
            <w:r>
              <w:rPr>
                <w:b/>
                <w:sz w:val="17"/>
                <w:lang w:eastAsia="en-GB"/>
              </w:rPr>
              <w:t>Content:</w:t>
            </w:r>
          </w:p>
        </w:tc>
        <w:tc>
          <w:tcPr>
            <w:tcW w:w="7234" w:type="dxa"/>
          </w:tcPr>
          <w:p w14:paraId="153B14A3" w14:textId="77777777" w:rsidR="006D439A" w:rsidRDefault="006D439A" w:rsidP="006C63B0">
            <w:pPr>
              <w:spacing w:before="40" w:after="40"/>
              <w:jc w:val="both"/>
              <w:rPr>
                <w:b/>
                <w:sz w:val="17"/>
                <w:lang w:eastAsia="en-GB"/>
              </w:rPr>
            </w:pPr>
            <w:r>
              <w:rPr>
                <w:sz w:val="17"/>
                <w:lang w:eastAsia="en-GB"/>
              </w:rPr>
              <w:t>Qualitative information.</w:t>
            </w:r>
          </w:p>
        </w:tc>
      </w:tr>
      <w:tr w:rsidR="006D439A" w14:paraId="0DFBD83E" w14:textId="77777777" w:rsidTr="006C63B0">
        <w:tc>
          <w:tcPr>
            <w:tcW w:w="2008" w:type="dxa"/>
          </w:tcPr>
          <w:p w14:paraId="30458391" w14:textId="77777777" w:rsidR="006D439A" w:rsidRDefault="006D439A" w:rsidP="006C63B0">
            <w:pPr>
              <w:spacing w:before="40" w:after="40"/>
              <w:rPr>
                <w:sz w:val="17"/>
                <w:lang w:eastAsia="en-GB"/>
              </w:rPr>
            </w:pPr>
            <w:r>
              <w:rPr>
                <w:b/>
                <w:sz w:val="17"/>
                <w:lang w:eastAsia="en-GB"/>
              </w:rPr>
              <w:t>Frequency:</w:t>
            </w:r>
          </w:p>
        </w:tc>
        <w:tc>
          <w:tcPr>
            <w:tcW w:w="7234" w:type="dxa"/>
          </w:tcPr>
          <w:p w14:paraId="75D52BBD" w14:textId="77777777" w:rsidR="006D439A" w:rsidRDefault="006D439A" w:rsidP="006C63B0">
            <w:pPr>
              <w:pStyle w:val="TableText"/>
              <w:jc w:val="both"/>
              <w:rPr>
                <w:lang w:eastAsia="en-GB"/>
              </w:rPr>
            </w:pPr>
            <w:r>
              <w:rPr>
                <w:lang w:eastAsia="en-GB"/>
              </w:rPr>
              <w:t>Annual.</w:t>
            </w:r>
          </w:p>
        </w:tc>
      </w:tr>
      <w:tr w:rsidR="006D439A" w14:paraId="2C87E176" w14:textId="77777777" w:rsidTr="006C63B0">
        <w:tc>
          <w:tcPr>
            <w:tcW w:w="2008" w:type="dxa"/>
          </w:tcPr>
          <w:p w14:paraId="11A36944" w14:textId="77777777" w:rsidR="006D439A" w:rsidRDefault="006D439A" w:rsidP="006C63B0">
            <w:pPr>
              <w:spacing w:before="40" w:after="40"/>
              <w:rPr>
                <w:sz w:val="17"/>
                <w:lang w:eastAsia="en-GB"/>
              </w:rPr>
            </w:pPr>
            <w:r>
              <w:rPr>
                <w:b/>
                <w:sz w:val="17"/>
                <w:lang w:eastAsia="en-GB"/>
              </w:rPr>
              <w:t>Format:</w:t>
            </w:r>
          </w:p>
        </w:tc>
        <w:tc>
          <w:tcPr>
            <w:tcW w:w="7234" w:type="dxa"/>
          </w:tcPr>
          <w:p w14:paraId="450A05A8" w14:textId="77777777" w:rsidR="006D439A" w:rsidRDefault="006D439A" w:rsidP="006C63B0">
            <w:pPr>
              <w:pStyle w:val="TableText"/>
              <w:jc w:val="both"/>
              <w:rPr>
                <w:lang w:eastAsia="en-GB"/>
              </w:rPr>
            </w:pPr>
            <w:r>
              <w:rPr>
                <w:lang w:eastAsia="en-GB"/>
              </w:rPr>
              <w:t>Flexible.  The commentary should include the percentage of RWAs covered by the models for each of the AI’s regulatory portfolios.</w:t>
            </w:r>
          </w:p>
        </w:tc>
      </w:tr>
      <w:tr w:rsidR="006D439A" w14:paraId="5C6FC4FC" w14:textId="77777777" w:rsidTr="006C63B0">
        <w:tc>
          <w:tcPr>
            <w:tcW w:w="2008" w:type="dxa"/>
          </w:tcPr>
          <w:p w14:paraId="73E14721" w14:textId="77777777" w:rsidR="006D439A" w:rsidRDefault="006D439A" w:rsidP="006C63B0">
            <w:pPr>
              <w:spacing w:before="40" w:after="40"/>
              <w:rPr>
                <w:b/>
                <w:sz w:val="17"/>
                <w:lang w:eastAsia="en-GB"/>
              </w:rPr>
            </w:pPr>
            <w:r>
              <w:rPr>
                <w:b/>
                <w:sz w:val="17"/>
                <w:lang w:eastAsia="en-GB"/>
              </w:rPr>
              <w:t>Corresponding BDR section:</w:t>
            </w:r>
          </w:p>
        </w:tc>
        <w:tc>
          <w:tcPr>
            <w:tcW w:w="7234" w:type="dxa"/>
          </w:tcPr>
          <w:p w14:paraId="24729FF8" w14:textId="77777777" w:rsidR="006D439A" w:rsidRDefault="006D439A" w:rsidP="006C63B0">
            <w:pPr>
              <w:pStyle w:val="TableText"/>
              <w:jc w:val="both"/>
              <w:rPr>
                <w:lang w:eastAsia="en-GB"/>
              </w:rPr>
            </w:pPr>
            <w:r>
              <w:rPr>
                <w:lang w:eastAsia="en-GB"/>
              </w:rPr>
              <w:t>16P</w:t>
            </w:r>
          </w:p>
        </w:tc>
      </w:tr>
    </w:tbl>
    <w:p w14:paraId="356684FB" w14:textId="3CE30651" w:rsidR="006D439A" w:rsidRDefault="006D439A" w:rsidP="00BE0623">
      <w:pPr>
        <w:spacing w:before="120" w:after="120"/>
        <w:rPr>
          <w:sz w:val="22"/>
        </w:rPr>
      </w:pPr>
    </w:p>
    <w:tbl>
      <w:tblPr>
        <w:tblpPr w:leftFromText="180" w:rightFromText="180" w:vertAnchor="text" w:tblpX="-426" w:tblpY="1"/>
        <w:tblOverlap w:val="never"/>
        <w:tblW w:w="9214" w:type="dxa"/>
        <w:tblCellMar>
          <w:left w:w="70" w:type="dxa"/>
          <w:right w:w="70" w:type="dxa"/>
        </w:tblCellMar>
        <w:tblLook w:val="00A0" w:firstRow="1" w:lastRow="0" w:firstColumn="1" w:lastColumn="0" w:noHBand="0" w:noVBand="0"/>
      </w:tblPr>
      <w:tblGrid>
        <w:gridCol w:w="567"/>
        <w:gridCol w:w="8647"/>
      </w:tblGrid>
      <w:tr w:rsidR="00BE0623" w14:paraId="1164976F" w14:textId="77777777" w:rsidTr="00E53042">
        <w:trPr>
          <w:trHeight w:val="448"/>
        </w:trPr>
        <w:tc>
          <w:tcPr>
            <w:tcW w:w="9214" w:type="dxa"/>
            <w:gridSpan w:val="2"/>
            <w:tcBorders>
              <w:top w:val="single" w:sz="4" w:space="0" w:color="auto"/>
              <w:bottom w:val="single" w:sz="4" w:space="0" w:color="auto"/>
            </w:tcBorders>
            <w:vAlign w:val="center"/>
          </w:tcPr>
          <w:p w14:paraId="6A1060F5" w14:textId="30817F2C" w:rsidR="00BE0623" w:rsidRDefault="00BE0623" w:rsidP="004E69B2">
            <w:pPr>
              <w:widowControl w:val="0"/>
              <w:spacing w:before="40" w:after="40"/>
              <w:jc w:val="both"/>
              <w:rPr>
                <w:sz w:val="17"/>
                <w:szCs w:val="17"/>
              </w:rPr>
            </w:pPr>
            <w:r>
              <w:rPr>
                <w:sz w:val="17"/>
                <w:szCs w:val="17"/>
                <w:lang w:eastAsia="fr-FR"/>
              </w:rPr>
              <w:t>An AI should provide the following information on its use of the internal models:</w:t>
            </w:r>
          </w:p>
        </w:tc>
      </w:tr>
      <w:tr w:rsidR="00BE0623" w14:paraId="594C9A13" w14:textId="77777777" w:rsidTr="00FC7627">
        <w:trPr>
          <w:trHeight w:val="318"/>
        </w:trPr>
        <w:tc>
          <w:tcPr>
            <w:tcW w:w="567" w:type="dxa"/>
            <w:tcBorders>
              <w:top w:val="single" w:sz="4" w:space="0" w:color="auto"/>
              <w:bottom w:val="single" w:sz="4" w:space="0" w:color="auto"/>
            </w:tcBorders>
            <w:noWrap/>
          </w:tcPr>
          <w:p w14:paraId="5B123D89" w14:textId="77777777" w:rsidR="00BE0623" w:rsidRDefault="00BE0623" w:rsidP="004E69B2">
            <w:pPr>
              <w:widowControl w:val="0"/>
              <w:spacing w:before="40" w:after="40"/>
              <w:rPr>
                <w:sz w:val="17"/>
                <w:szCs w:val="17"/>
              </w:rPr>
            </w:pPr>
            <w:r>
              <w:rPr>
                <w:sz w:val="17"/>
                <w:szCs w:val="17"/>
              </w:rPr>
              <w:t>(a)</w:t>
            </w:r>
          </w:p>
        </w:tc>
        <w:tc>
          <w:tcPr>
            <w:tcW w:w="8647" w:type="dxa"/>
            <w:tcBorders>
              <w:top w:val="single" w:sz="4" w:space="0" w:color="auto"/>
              <w:bottom w:val="single" w:sz="4" w:space="0" w:color="auto"/>
            </w:tcBorders>
            <w:noWrap/>
            <w:vAlign w:val="center"/>
          </w:tcPr>
          <w:p w14:paraId="65CFA428" w14:textId="77777777" w:rsidR="00BE0623" w:rsidRDefault="00BE0623" w:rsidP="008D652E">
            <w:pPr>
              <w:pStyle w:val="TableText"/>
              <w:numPr>
                <w:ilvl w:val="0"/>
                <w:numId w:val="10"/>
              </w:numPr>
              <w:jc w:val="both"/>
              <w:rPr>
                <w:lang w:eastAsia="fr-FR"/>
              </w:rPr>
            </w:pPr>
            <w:r>
              <w:rPr>
                <w:lang w:eastAsia="fr-FR"/>
              </w:rPr>
              <w:t>Internal model development, controls and changes;</w:t>
            </w:r>
          </w:p>
          <w:p w14:paraId="69D9883E" w14:textId="726D7284" w:rsidR="00BE0623" w:rsidRDefault="00BE0623" w:rsidP="008D652E">
            <w:pPr>
              <w:pStyle w:val="TableText"/>
              <w:numPr>
                <w:ilvl w:val="0"/>
                <w:numId w:val="10"/>
              </w:numPr>
              <w:jc w:val="both"/>
              <w:rPr>
                <w:lang w:eastAsia="fr-FR"/>
              </w:rPr>
            </w:pPr>
            <w:r>
              <w:rPr>
                <w:lang w:eastAsia="fr-FR"/>
              </w:rPr>
              <w:t>Role of the functions involved in the development, approval and subsequent changes of the credit risk models</w:t>
            </w:r>
            <w:r w:rsidR="005933F4">
              <w:rPr>
                <w:lang w:eastAsia="fr-FR"/>
              </w:rPr>
              <w:t>.</w:t>
            </w:r>
          </w:p>
        </w:tc>
      </w:tr>
      <w:tr w:rsidR="00BE0623" w14:paraId="03664627" w14:textId="77777777" w:rsidTr="00FC7627">
        <w:trPr>
          <w:trHeight w:val="318"/>
        </w:trPr>
        <w:tc>
          <w:tcPr>
            <w:tcW w:w="567" w:type="dxa"/>
            <w:tcBorders>
              <w:top w:val="single" w:sz="4" w:space="0" w:color="auto"/>
              <w:bottom w:val="single" w:sz="4" w:space="0" w:color="auto"/>
            </w:tcBorders>
            <w:noWrap/>
          </w:tcPr>
          <w:p w14:paraId="6ABFA5CA" w14:textId="77777777" w:rsidR="00BE0623" w:rsidRDefault="00BE0623" w:rsidP="004E69B2">
            <w:pPr>
              <w:widowControl w:val="0"/>
              <w:spacing w:before="40" w:after="40"/>
              <w:rPr>
                <w:sz w:val="17"/>
                <w:szCs w:val="17"/>
              </w:rPr>
            </w:pPr>
            <w:r>
              <w:rPr>
                <w:sz w:val="17"/>
                <w:szCs w:val="17"/>
              </w:rPr>
              <w:t>(b)</w:t>
            </w:r>
          </w:p>
        </w:tc>
        <w:tc>
          <w:tcPr>
            <w:tcW w:w="8647" w:type="dxa"/>
            <w:tcBorders>
              <w:top w:val="single" w:sz="4" w:space="0" w:color="auto"/>
              <w:bottom w:val="single" w:sz="4" w:space="0" w:color="auto"/>
            </w:tcBorders>
            <w:noWrap/>
            <w:vAlign w:val="center"/>
          </w:tcPr>
          <w:p w14:paraId="55481CE2" w14:textId="77777777" w:rsidR="00BE0623" w:rsidRDefault="00BE0623" w:rsidP="00FC7627">
            <w:pPr>
              <w:pStyle w:val="TableText"/>
              <w:numPr>
                <w:ilvl w:val="0"/>
                <w:numId w:val="11"/>
              </w:numPr>
              <w:ind w:left="357" w:hanging="357"/>
              <w:jc w:val="both"/>
              <w:rPr>
                <w:lang w:eastAsia="fr-FR"/>
              </w:rPr>
            </w:pPr>
            <w:r>
              <w:rPr>
                <w:lang w:eastAsia="fr-FR"/>
              </w:rPr>
              <w:t>Relationships between risk management function and internal audit function;</w:t>
            </w:r>
          </w:p>
          <w:p w14:paraId="4A88F686" w14:textId="6BCF2A36" w:rsidR="00BE0623" w:rsidRDefault="00BE0623" w:rsidP="00FC7627">
            <w:pPr>
              <w:pStyle w:val="TableText"/>
              <w:numPr>
                <w:ilvl w:val="0"/>
                <w:numId w:val="11"/>
              </w:numPr>
              <w:ind w:left="357" w:hanging="357"/>
              <w:jc w:val="both"/>
              <w:rPr>
                <w:lang w:eastAsia="fr-FR"/>
              </w:rPr>
            </w:pPr>
            <w:r>
              <w:rPr>
                <w:lang w:eastAsia="fr-FR"/>
              </w:rPr>
              <w:t>Procedure to ensure the independence of the function in charge of the review of the models from the functions responsible for the development of the models</w:t>
            </w:r>
            <w:r w:rsidR="005933F4">
              <w:rPr>
                <w:lang w:eastAsia="fr-FR"/>
              </w:rPr>
              <w:t>.</w:t>
            </w:r>
          </w:p>
        </w:tc>
      </w:tr>
      <w:tr w:rsidR="00BE0623" w14:paraId="083D00F7" w14:textId="77777777" w:rsidTr="00FC7627">
        <w:trPr>
          <w:trHeight w:val="318"/>
        </w:trPr>
        <w:tc>
          <w:tcPr>
            <w:tcW w:w="567" w:type="dxa"/>
            <w:tcBorders>
              <w:top w:val="single" w:sz="4" w:space="0" w:color="auto"/>
              <w:bottom w:val="single" w:sz="4" w:space="0" w:color="auto"/>
            </w:tcBorders>
            <w:noWrap/>
          </w:tcPr>
          <w:p w14:paraId="059E06FC" w14:textId="77777777" w:rsidR="00BE0623" w:rsidRDefault="00BE0623" w:rsidP="004E69B2">
            <w:pPr>
              <w:widowControl w:val="0"/>
              <w:spacing w:before="40" w:after="40"/>
              <w:rPr>
                <w:sz w:val="17"/>
                <w:szCs w:val="17"/>
              </w:rPr>
            </w:pPr>
            <w:r>
              <w:rPr>
                <w:sz w:val="17"/>
                <w:szCs w:val="17"/>
              </w:rPr>
              <w:t>(c)</w:t>
            </w:r>
          </w:p>
        </w:tc>
        <w:tc>
          <w:tcPr>
            <w:tcW w:w="8647" w:type="dxa"/>
            <w:tcBorders>
              <w:top w:val="single" w:sz="4" w:space="0" w:color="auto"/>
              <w:bottom w:val="single" w:sz="4" w:space="0" w:color="auto"/>
            </w:tcBorders>
            <w:noWrap/>
            <w:vAlign w:val="center"/>
          </w:tcPr>
          <w:p w14:paraId="1A7EA999" w14:textId="059347FE" w:rsidR="00BE0623" w:rsidRDefault="00BE0623" w:rsidP="004E69B2">
            <w:pPr>
              <w:pStyle w:val="TableText"/>
              <w:jc w:val="both"/>
              <w:rPr>
                <w:lang w:eastAsia="fr-FR"/>
              </w:rPr>
            </w:pPr>
            <w:r>
              <w:rPr>
                <w:lang w:eastAsia="fr-FR"/>
              </w:rPr>
              <w:t>Scope and main content of the reporting related to credit risk models</w:t>
            </w:r>
            <w:r w:rsidR="005933F4">
              <w:rPr>
                <w:lang w:eastAsia="fr-FR"/>
              </w:rPr>
              <w:t>.</w:t>
            </w:r>
          </w:p>
        </w:tc>
      </w:tr>
      <w:tr w:rsidR="00BE0623" w14:paraId="7E31C41A" w14:textId="77777777" w:rsidTr="00FC7627">
        <w:trPr>
          <w:trHeight w:val="318"/>
        </w:trPr>
        <w:tc>
          <w:tcPr>
            <w:tcW w:w="567" w:type="dxa"/>
            <w:tcBorders>
              <w:top w:val="single" w:sz="4" w:space="0" w:color="auto"/>
              <w:bottom w:val="single" w:sz="4" w:space="0" w:color="auto"/>
            </w:tcBorders>
            <w:noWrap/>
          </w:tcPr>
          <w:p w14:paraId="275AC7EB" w14:textId="77777777" w:rsidR="00BE0623" w:rsidRDefault="00BE0623" w:rsidP="004E69B2">
            <w:pPr>
              <w:widowControl w:val="0"/>
              <w:spacing w:before="40" w:after="40"/>
              <w:rPr>
                <w:sz w:val="17"/>
                <w:szCs w:val="17"/>
              </w:rPr>
            </w:pPr>
            <w:r>
              <w:rPr>
                <w:sz w:val="17"/>
                <w:szCs w:val="17"/>
              </w:rPr>
              <w:t>(d)</w:t>
            </w:r>
          </w:p>
        </w:tc>
        <w:tc>
          <w:tcPr>
            <w:tcW w:w="8647" w:type="dxa"/>
            <w:tcBorders>
              <w:top w:val="single" w:sz="4" w:space="0" w:color="auto"/>
              <w:bottom w:val="single" w:sz="4" w:space="0" w:color="auto"/>
            </w:tcBorders>
            <w:noWrap/>
            <w:vAlign w:val="center"/>
          </w:tcPr>
          <w:p w14:paraId="60B44116" w14:textId="77777777" w:rsidR="00BE0623" w:rsidRDefault="00BE0623" w:rsidP="004E69B2">
            <w:pPr>
              <w:pStyle w:val="TableText"/>
              <w:jc w:val="both"/>
              <w:rPr>
                <w:lang w:eastAsia="fr-FR"/>
              </w:rPr>
            </w:pPr>
            <w:r>
              <w:rPr>
                <w:lang w:eastAsia="fr-FR"/>
              </w:rPr>
              <w:t>Scope of approach approved by the MA pursuant to the BCR for an AI to calculate its credit risk for non-securitization exposures using the IRB approach, with a breakdown between the FIRB approach and the AIRB approach, if applicable.  In particular, the AI should include a description of the nature of the exposures (except for those exempted under the BCR) which are subject to the separately disclosed IRB calculation approach.</w:t>
            </w:r>
          </w:p>
        </w:tc>
      </w:tr>
      <w:tr w:rsidR="00BE0623" w14:paraId="76FFA513" w14:textId="77777777" w:rsidTr="00FC7627">
        <w:trPr>
          <w:trHeight w:val="318"/>
        </w:trPr>
        <w:tc>
          <w:tcPr>
            <w:tcW w:w="567" w:type="dxa"/>
            <w:tcBorders>
              <w:top w:val="single" w:sz="4" w:space="0" w:color="auto"/>
              <w:bottom w:val="single" w:sz="4" w:space="0" w:color="auto"/>
            </w:tcBorders>
            <w:noWrap/>
          </w:tcPr>
          <w:p w14:paraId="563D14DA" w14:textId="77777777" w:rsidR="00BE0623" w:rsidRDefault="00BE0623" w:rsidP="004E69B2">
            <w:pPr>
              <w:widowControl w:val="0"/>
              <w:spacing w:before="40" w:after="40"/>
              <w:rPr>
                <w:sz w:val="17"/>
                <w:szCs w:val="17"/>
              </w:rPr>
            </w:pPr>
            <w:r>
              <w:rPr>
                <w:sz w:val="17"/>
                <w:szCs w:val="17"/>
              </w:rPr>
              <w:t>(e)</w:t>
            </w:r>
          </w:p>
        </w:tc>
        <w:tc>
          <w:tcPr>
            <w:tcW w:w="8647" w:type="dxa"/>
            <w:tcBorders>
              <w:top w:val="single" w:sz="4" w:space="0" w:color="auto"/>
              <w:bottom w:val="single" w:sz="4" w:space="0" w:color="auto"/>
            </w:tcBorders>
            <w:noWrap/>
            <w:vAlign w:val="center"/>
          </w:tcPr>
          <w:p w14:paraId="0055CF55" w14:textId="77777777" w:rsidR="00BE0623" w:rsidRDefault="00BE0623" w:rsidP="004E69B2">
            <w:pPr>
              <w:pStyle w:val="TableText"/>
              <w:jc w:val="both"/>
              <w:rPr>
                <w:lang w:eastAsia="fr-FR"/>
              </w:rPr>
            </w:pPr>
            <w:r>
              <w:rPr>
                <w:lang w:eastAsia="fr-FR"/>
              </w:rPr>
              <w:t>For each of the portfolios, the AI should indicate the portion of EAD within the group (in percentage of total EAD) covered by the STC approach (if any), FIRB, AIRB and other IRB calculation approaches, as well as the portion of portfolios that are involved in a roll-out plan.</w:t>
            </w:r>
          </w:p>
        </w:tc>
      </w:tr>
      <w:tr w:rsidR="00BE0623" w14:paraId="7E2B775F" w14:textId="77777777" w:rsidTr="00FC7627">
        <w:trPr>
          <w:trHeight w:val="318"/>
        </w:trPr>
        <w:tc>
          <w:tcPr>
            <w:tcW w:w="567" w:type="dxa"/>
            <w:tcBorders>
              <w:top w:val="single" w:sz="4" w:space="0" w:color="auto"/>
              <w:bottom w:val="single" w:sz="4" w:space="0" w:color="auto"/>
            </w:tcBorders>
            <w:noWrap/>
          </w:tcPr>
          <w:p w14:paraId="486CC8C2" w14:textId="77777777" w:rsidR="00BE0623" w:rsidRDefault="00BE0623" w:rsidP="004E69B2">
            <w:pPr>
              <w:widowControl w:val="0"/>
              <w:spacing w:before="40" w:after="40"/>
              <w:rPr>
                <w:sz w:val="17"/>
                <w:szCs w:val="17"/>
              </w:rPr>
            </w:pPr>
            <w:r>
              <w:rPr>
                <w:sz w:val="17"/>
                <w:szCs w:val="17"/>
              </w:rPr>
              <w:lastRenderedPageBreak/>
              <w:t>(f)</w:t>
            </w:r>
          </w:p>
        </w:tc>
        <w:tc>
          <w:tcPr>
            <w:tcW w:w="8647" w:type="dxa"/>
            <w:tcBorders>
              <w:top w:val="single" w:sz="4" w:space="0" w:color="auto"/>
              <w:bottom w:val="single" w:sz="4" w:space="0" w:color="auto"/>
            </w:tcBorders>
            <w:noWrap/>
            <w:vAlign w:val="center"/>
          </w:tcPr>
          <w:p w14:paraId="105E9046" w14:textId="77777777" w:rsidR="00BE0623" w:rsidRDefault="00BE0623" w:rsidP="00FC7627">
            <w:pPr>
              <w:pStyle w:val="TableText"/>
              <w:numPr>
                <w:ilvl w:val="0"/>
                <w:numId w:val="12"/>
              </w:numPr>
              <w:ind w:left="357" w:hanging="351"/>
              <w:jc w:val="both"/>
              <w:rPr>
                <w:lang w:eastAsia="fr-FR"/>
              </w:rPr>
            </w:pPr>
            <w:r>
              <w:rPr>
                <w:lang w:eastAsia="fr-FR"/>
              </w:rPr>
              <w:t>The number of key models used with respect to each portfolio;</w:t>
            </w:r>
          </w:p>
          <w:p w14:paraId="16D18016" w14:textId="7E3D7DD0" w:rsidR="00BE0623" w:rsidRDefault="00BE0623" w:rsidP="00FC7627">
            <w:pPr>
              <w:pStyle w:val="TableText"/>
              <w:numPr>
                <w:ilvl w:val="0"/>
                <w:numId w:val="12"/>
              </w:numPr>
              <w:ind w:left="357" w:hanging="351"/>
              <w:jc w:val="both"/>
              <w:rPr>
                <w:lang w:eastAsia="fr-FR"/>
              </w:rPr>
            </w:pPr>
            <w:r>
              <w:rPr>
                <w:lang w:eastAsia="fr-FR"/>
              </w:rPr>
              <w:t>A brief discussion of the main differences among the models within the same portfolios</w:t>
            </w:r>
            <w:r w:rsidR="005933F4">
              <w:rPr>
                <w:lang w:eastAsia="fr-FR"/>
              </w:rPr>
              <w:t>.</w:t>
            </w:r>
          </w:p>
        </w:tc>
      </w:tr>
      <w:tr w:rsidR="00BE0623" w14:paraId="2C096CCE" w14:textId="77777777" w:rsidTr="00FC7627">
        <w:trPr>
          <w:trHeight w:val="318"/>
        </w:trPr>
        <w:tc>
          <w:tcPr>
            <w:tcW w:w="567" w:type="dxa"/>
            <w:tcBorders>
              <w:top w:val="single" w:sz="4" w:space="0" w:color="auto"/>
              <w:bottom w:val="single" w:sz="4" w:space="0" w:color="auto"/>
            </w:tcBorders>
            <w:noWrap/>
          </w:tcPr>
          <w:p w14:paraId="648F7E3B" w14:textId="77777777" w:rsidR="00BE0623" w:rsidRDefault="00BE0623" w:rsidP="004E69B2">
            <w:pPr>
              <w:widowControl w:val="0"/>
              <w:spacing w:before="40" w:after="40"/>
              <w:rPr>
                <w:sz w:val="17"/>
                <w:szCs w:val="17"/>
              </w:rPr>
            </w:pPr>
            <w:r>
              <w:rPr>
                <w:sz w:val="17"/>
                <w:szCs w:val="17"/>
              </w:rPr>
              <w:t>(g)</w:t>
            </w:r>
          </w:p>
        </w:tc>
        <w:tc>
          <w:tcPr>
            <w:tcW w:w="8647" w:type="dxa"/>
            <w:tcBorders>
              <w:top w:val="single" w:sz="4" w:space="0" w:color="auto"/>
              <w:bottom w:val="single" w:sz="4" w:space="0" w:color="auto"/>
            </w:tcBorders>
            <w:noWrap/>
            <w:vAlign w:val="center"/>
          </w:tcPr>
          <w:p w14:paraId="6FEA8E0C" w14:textId="77777777" w:rsidR="00BE0623" w:rsidRDefault="00BE0623" w:rsidP="004E69B2">
            <w:pPr>
              <w:pStyle w:val="TableText"/>
              <w:jc w:val="both"/>
              <w:rPr>
                <w:lang w:eastAsia="fr-FR"/>
              </w:rPr>
            </w:pPr>
            <w:r>
              <w:rPr>
                <w:lang w:eastAsia="fr-FR"/>
              </w:rPr>
              <w:t>Description of the main characteristics of the approved models:</w:t>
            </w:r>
          </w:p>
          <w:p w14:paraId="145862CA" w14:textId="77777777" w:rsidR="00BE0623" w:rsidRDefault="00BE0623" w:rsidP="00FC7627">
            <w:pPr>
              <w:pStyle w:val="TableText"/>
              <w:numPr>
                <w:ilvl w:val="0"/>
                <w:numId w:val="13"/>
              </w:numPr>
              <w:ind w:left="357" w:hanging="353"/>
              <w:jc w:val="both"/>
              <w:rPr>
                <w:lang w:eastAsia="fr-FR"/>
              </w:rPr>
            </w:pPr>
            <w:r>
              <w:rPr>
                <w:lang w:eastAsia="fr-FR"/>
              </w:rPr>
              <w:t>definitions, methods and data for estimation and validation of PD (e.g. how PDs are estimated for low default portfolios; if there are regulatory floors, the drivers for differences observed between PD and actual default rates at least for the last three reporting periods);</w:t>
            </w:r>
          </w:p>
          <w:p w14:paraId="1DD29FC0" w14:textId="77777777" w:rsidR="00BE0623" w:rsidRDefault="00BE0623" w:rsidP="00FC7627">
            <w:pPr>
              <w:pStyle w:val="TableText"/>
              <w:numPr>
                <w:ilvl w:val="0"/>
                <w:numId w:val="13"/>
              </w:numPr>
              <w:ind w:left="357" w:hanging="353"/>
              <w:jc w:val="both"/>
              <w:rPr>
                <w:lang w:eastAsia="fr-FR"/>
              </w:rPr>
            </w:pPr>
            <w:r>
              <w:rPr>
                <w:lang w:eastAsia="fr-FR"/>
              </w:rPr>
              <w:t>LGD (e.g. methods to calculate downturn LGD; how LGDs are estimated for low default portfolio; the time lapse between the default event and the closure of the exposure), where applicable; and</w:t>
            </w:r>
          </w:p>
          <w:p w14:paraId="34473D5A" w14:textId="77777777" w:rsidR="00BE0623" w:rsidRDefault="00BE0623" w:rsidP="00FC7627">
            <w:pPr>
              <w:pStyle w:val="TableText"/>
              <w:numPr>
                <w:ilvl w:val="0"/>
                <w:numId w:val="13"/>
              </w:numPr>
              <w:ind w:left="357" w:hanging="353"/>
              <w:jc w:val="both"/>
              <w:rPr>
                <w:lang w:eastAsia="fr-FR"/>
              </w:rPr>
            </w:pPr>
            <w:r>
              <w:rPr>
                <w:lang w:eastAsia="fr-FR"/>
              </w:rPr>
              <w:t>credit conversion factors, including assumptions employed in the derivation of these variables, where applicable.</w:t>
            </w:r>
          </w:p>
        </w:tc>
      </w:tr>
    </w:tbl>
    <w:p w14:paraId="009FDCC7" w14:textId="77777777" w:rsidR="00BE0623" w:rsidRDefault="00BE0623" w:rsidP="00BE0623"/>
    <w:p w14:paraId="0FE56BC7" w14:textId="77777777" w:rsidR="00BE0623" w:rsidRDefault="00BE0623" w:rsidP="00BE0623">
      <w:pPr>
        <w:spacing w:before="40" w:after="40"/>
        <w:rPr>
          <w:sz w:val="22"/>
        </w:rPr>
        <w:sectPr w:rsidR="00BE0623">
          <w:footerReference w:type="default" r:id="rId51"/>
          <w:pgSz w:w="11906" w:h="16838" w:code="9"/>
          <w:pgMar w:top="1440" w:right="1797" w:bottom="1440" w:left="1797" w:header="851" w:footer="737" w:gutter="0"/>
          <w:cols w:space="425"/>
          <w:docGrid w:type="linesAndChars" w:linePitch="360"/>
        </w:sectPr>
      </w:pPr>
    </w:p>
    <w:p w14:paraId="10B96606" w14:textId="77777777" w:rsidR="001929CC" w:rsidRDefault="001929CC" w:rsidP="001929CC">
      <w:pPr>
        <w:pStyle w:val="Heading3"/>
        <w:ind w:left="142"/>
      </w:pPr>
      <w:r>
        <w:lastRenderedPageBreak/>
        <w:t>Template CR6: Credit risk exposures by portfolio and PD ranges – for IRB approach</w:t>
      </w:r>
    </w:p>
    <w:tbl>
      <w:tblPr>
        <w:tblW w:w="13892" w:type="dxa"/>
        <w:tblInd w:w="108"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552"/>
        <w:gridCol w:w="11340"/>
      </w:tblGrid>
      <w:tr w:rsidR="001929CC" w14:paraId="15DDE643" w14:textId="77777777" w:rsidTr="001929CC">
        <w:tc>
          <w:tcPr>
            <w:tcW w:w="2552" w:type="dxa"/>
          </w:tcPr>
          <w:p w14:paraId="338BBBE3" w14:textId="77777777" w:rsidR="001929CC" w:rsidRDefault="001929CC" w:rsidP="001929CC">
            <w:pPr>
              <w:spacing w:before="40" w:after="40"/>
              <w:rPr>
                <w:noProof/>
                <w:sz w:val="17"/>
                <w:szCs w:val="17"/>
                <w:lang w:eastAsia="en-GB"/>
              </w:rPr>
            </w:pPr>
            <w:r>
              <w:rPr>
                <w:b/>
                <w:sz w:val="17"/>
                <w:szCs w:val="17"/>
                <w:lang w:eastAsia="en-GB"/>
              </w:rPr>
              <w:t>Purpose:</w:t>
            </w:r>
          </w:p>
        </w:tc>
        <w:tc>
          <w:tcPr>
            <w:tcW w:w="11340" w:type="dxa"/>
          </w:tcPr>
          <w:p w14:paraId="12B3C6CA" w14:textId="77777777" w:rsidR="001929CC" w:rsidRDefault="001929CC" w:rsidP="001929CC">
            <w:pPr>
              <w:pStyle w:val="TableText"/>
              <w:jc w:val="both"/>
              <w:rPr>
                <w:lang w:eastAsia="en-GB"/>
              </w:rPr>
            </w:pPr>
            <w:r>
              <w:t>To provide the main parameters of internal models used for the calculation of credit risk capital requirements under the IRB approach, for the purpose of enhancing the transparency of RWA calculations and the reliability of regulatory measures.</w:t>
            </w:r>
          </w:p>
        </w:tc>
      </w:tr>
      <w:tr w:rsidR="001929CC" w14:paraId="1CD01C5A" w14:textId="77777777" w:rsidTr="001929CC">
        <w:tc>
          <w:tcPr>
            <w:tcW w:w="2552" w:type="dxa"/>
          </w:tcPr>
          <w:p w14:paraId="7CD758A0" w14:textId="77777777" w:rsidR="001929CC" w:rsidRDefault="001929CC" w:rsidP="001929CC">
            <w:pPr>
              <w:spacing w:before="40" w:after="40"/>
              <w:rPr>
                <w:b/>
                <w:sz w:val="17"/>
                <w:szCs w:val="17"/>
                <w:lang w:eastAsia="en-GB"/>
              </w:rPr>
            </w:pPr>
            <w:r>
              <w:rPr>
                <w:b/>
                <w:sz w:val="17"/>
                <w:szCs w:val="17"/>
                <w:lang w:eastAsia="en-GB"/>
              </w:rPr>
              <w:t>Scope of application:</w:t>
            </w:r>
          </w:p>
        </w:tc>
        <w:tc>
          <w:tcPr>
            <w:tcW w:w="11340" w:type="dxa"/>
          </w:tcPr>
          <w:p w14:paraId="6C6FEC7B" w14:textId="77777777" w:rsidR="001929CC" w:rsidRDefault="001929CC" w:rsidP="001929CC">
            <w:pPr>
              <w:spacing w:before="40" w:after="40"/>
              <w:jc w:val="both"/>
              <w:rPr>
                <w:rFonts w:eastAsia="新細明體"/>
                <w:b/>
                <w:sz w:val="17"/>
                <w:lang w:eastAsia="en-GB"/>
              </w:rPr>
            </w:pPr>
            <w:r>
              <w:rPr>
                <w:rFonts w:eastAsia="新細明體"/>
                <w:sz w:val="17"/>
                <w:lang w:eastAsia="en-GB"/>
              </w:rPr>
              <w:t xml:space="preserve">The template is mandatory for AIs incorporated in Hong Kong that use the IRB calculation approaches for some or all of their exposures.  </w:t>
            </w:r>
          </w:p>
        </w:tc>
      </w:tr>
      <w:tr w:rsidR="001929CC" w14:paraId="734A0C96" w14:textId="77777777" w:rsidTr="001929CC">
        <w:trPr>
          <w:trHeight w:val="275"/>
        </w:trPr>
        <w:tc>
          <w:tcPr>
            <w:tcW w:w="2552" w:type="dxa"/>
          </w:tcPr>
          <w:p w14:paraId="76DC714C" w14:textId="77777777" w:rsidR="001929CC" w:rsidRDefault="001929CC" w:rsidP="001929CC">
            <w:pPr>
              <w:spacing w:before="40" w:after="40"/>
              <w:rPr>
                <w:b/>
                <w:sz w:val="17"/>
                <w:szCs w:val="17"/>
                <w:lang w:eastAsia="en-GB"/>
              </w:rPr>
            </w:pPr>
            <w:r>
              <w:rPr>
                <w:b/>
                <w:sz w:val="17"/>
                <w:szCs w:val="17"/>
                <w:lang w:eastAsia="en-GB"/>
              </w:rPr>
              <w:t>Content:</w:t>
            </w:r>
          </w:p>
        </w:tc>
        <w:tc>
          <w:tcPr>
            <w:tcW w:w="11340" w:type="dxa"/>
          </w:tcPr>
          <w:p w14:paraId="01F37131" w14:textId="77777777" w:rsidR="001929CC" w:rsidRDefault="001929CC" w:rsidP="001929CC">
            <w:pPr>
              <w:spacing w:before="40" w:after="40"/>
              <w:jc w:val="both"/>
              <w:rPr>
                <w:rFonts w:eastAsia="新細明體"/>
                <w:b/>
                <w:sz w:val="17"/>
                <w:lang w:eastAsia="en-GB"/>
              </w:rPr>
            </w:pPr>
            <w:r>
              <w:rPr>
                <w:rFonts w:eastAsia="新細明體"/>
                <w:sz w:val="17"/>
                <w:lang w:eastAsia="en-GB"/>
              </w:rPr>
              <w:t xml:space="preserve">Columns (a) and (b) are based on accounting carrying amounts and columns (c) to (l) regulatory amounts.  All values are based on the regulatory scope of consolidation for capital adequacy purposes. </w:t>
            </w:r>
          </w:p>
        </w:tc>
      </w:tr>
      <w:tr w:rsidR="001929CC" w14:paraId="5110A599" w14:textId="77777777" w:rsidTr="001929CC">
        <w:tc>
          <w:tcPr>
            <w:tcW w:w="2552" w:type="dxa"/>
          </w:tcPr>
          <w:p w14:paraId="7AD1C1A4" w14:textId="77777777" w:rsidR="001929CC" w:rsidRDefault="001929CC" w:rsidP="001929CC">
            <w:pPr>
              <w:spacing w:before="40" w:after="40"/>
              <w:rPr>
                <w:sz w:val="17"/>
                <w:szCs w:val="17"/>
                <w:lang w:eastAsia="en-GB"/>
              </w:rPr>
            </w:pPr>
            <w:r>
              <w:rPr>
                <w:b/>
                <w:sz w:val="17"/>
                <w:szCs w:val="17"/>
                <w:lang w:eastAsia="en-GB"/>
              </w:rPr>
              <w:t>Frequency:</w:t>
            </w:r>
          </w:p>
        </w:tc>
        <w:tc>
          <w:tcPr>
            <w:tcW w:w="11340" w:type="dxa"/>
          </w:tcPr>
          <w:p w14:paraId="5BFE97C1" w14:textId="77777777" w:rsidR="001929CC" w:rsidRDefault="001929CC" w:rsidP="001929CC">
            <w:pPr>
              <w:pStyle w:val="TableText"/>
              <w:jc w:val="both"/>
              <w:rPr>
                <w:lang w:eastAsia="en-GB"/>
              </w:rPr>
            </w:pPr>
            <w:r>
              <w:rPr>
                <w:lang w:eastAsia="en-GB"/>
              </w:rPr>
              <w:t>Semi-annual.</w:t>
            </w:r>
          </w:p>
        </w:tc>
      </w:tr>
      <w:tr w:rsidR="001929CC" w14:paraId="4ED66CF0" w14:textId="77777777" w:rsidTr="001929CC">
        <w:tc>
          <w:tcPr>
            <w:tcW w:w="2552" w:type="dxa"/>
          </w:tcPr>
          <w:p w14:paraId="06ADBA4C" w14:textId="77777777" w:rsidR="001929CC" w:rsidRDefault="001929CC" w:rsidP="001929CC">
            <w:pPr>
              <w:spacing w:before="40" w:after="40"/>
              <w:rPr>
                <w:sz w:val="17"/>
                <w:szCs w:val="17"/>
                <w:lang w:eastAsia="en-GB"/>
              </w:rPr>
            </w:pPr>
            <w:r>
              <w:rPr>
                <w:b/>
                <w:sz w:val="17"/>
                <w:szCs w:val="17"/>
                <w:lang w:eastAsia="en-GB"/>
              </w:rPr>
              <w:t>Format:</w:t>
            </w:r>
          </w:p>
        </w:tc>
        <w:tc>
          <w:tcPr>
            <w:tcW w:w="11340" w:type="dxa"/>
          </w:tcPr>
          <w:p w14:paraId="51D0B5AC" w14:textId="3964F0F6" w:rsidR="001929CC" w:rsidRDefault="001929CC" w:rsidP="000878BE">
            <w:pPr>
              <w:pStyle w:val="TableText"/>
              <w:tabs>
                <w:tab w:val="left" w:pos="9594"/>
              </w:tabs>
              <w:jc w:val="both"/>
              <w:rPr>
                <w:lang w:eastAsia="en-GB"/>
              </w:rPr>
            </w:pPr>
            <w:r>
              <w:rPr>
                <w:lang w:eastAsia="en-GB"/>
              </w:rPr>
              <w:t xml:space="preserve">Fixed.  </w:t>
            </w:r>
            <w:r>
              <w:rPr>
                <w:rFonts w:eastAsia="新細明體"/>
                <w:lang w:eastAsia="en-GB"/>
              </w:rPr>
              <w:t>Where an AI makes use of the FIRB approach, AIRB approach, and/or retail IRB approach, it should disclose the IRB calculation approaches in separate templates.  For each of these IRB calculation approaches used, an AI should disclose the portfolio types subject to the IRB calculation approaches by major IRB class and/or subclass (which are in line with the classification used in the BCR) as follows:-</w:t>
            </w:r>
            <w:r>
              <w:rPr>
                <w:szCs w:val="17"/>
              </w:rPr>
              <w:t xml:space="preserve"> (i) Sovereign; (ii) Bank; (iii) Corporate – specialized lending (other than HVCRE)</w:t>
            </w:r>
            <w:r w:rsidR="00A010C7">
              <w:rPr>
                <w:szCs w:val="17"/>
              </w:rPr>
              <w:t>*</w:t>
            </w:r>
            <w:r>
              <w:rPr>
                <w:szCs w:val="17"/>
              </w:rPr>
              <w:t>; (iv) Corporate – small-and-medium sized corporates; (v) Corporate – specialized lending (HVCRE)</w:t>
            </w:r>
            <w:r w:rsidR="00A010C7">
              <w:rPr>
                <w:szCs w:val="17"/>
              </w:rPr>
              <w:t>*</w:t>
            </w:r>
            <w:r>
              <w:rPr>
                <w:szCs w:val="17"/>
              </w:rPr>
              <w:t>; (vi) Corporate – large corporates; (vii) Corporate – f</w:t>
            </w:r>
            <w:r w:rsidRPr="00F36BA8">
              <w:rPr>
                <w:szCs w:val="17"/>
              </w:rPr>
              <w:t>inancial institutions treated as corporates</w:t>
            </w:r>
            <w:r>
              <w:rPr>
                <w:szCs w:val="17"/>
              </w:rPr>
              <w:t xml:space="preserve">; (viii) Corporate – other corporates; (ix) Retail – QRRE (transactor); (x) Retail – QRRE (revolver); (xi) Retail – Residential mortgage exposures (including both to individuals and to property-holding shell companies); (xii) Retail – small business retail exposures; and (xiii) Retail </w:t>
            </w:r>
            <w:r w:rsidR="00A53E3E">
              <w:rPr>
                <w:szCs w:val="17"/>
              </w:rPr>
              <w:t>–</w:t>
            </w:r>
            <w:r w:rsidR="00C54886">
              <w:rPr>
                <w:szCs w:val="17"/>
              </w:rPr>
              <w:t xml:space="preserve"> </w:t>
            </w:r>
            <w:r>
              <w:rPr>
                <w:szCs w:val="17"/>
              </w:rPr>
              <w:t>Other retail exposures to individuals.  Divide the table into various sections, one section for each type of the IRB classes / subclasses according to (i) to (xiii) aforementioned.</w:t>
            </w:r>
            <w:r w:rsidR="00A010C7">
              <w:rPr>
                <w:szCs w:val="17"/>
              </w:rPr>
              <w:t xml:space="preserve"> </w:t>
            </w:r>
            <w:r w:rsidR="009F6C48" w:rsidRPr="00612529">
              <w:rPr>
                <w:szCs w:val="17"/>
              </w:rPr>
              <w:t xml:space="preserve">(* Only for those </w:t>
            </w:r>
            <w:r w:rsidR="006E0F28">
              <w:rPr>
                <w:szCs w:val="17"/>
              </w:rPr>
              <w:t xml:space="preserve">specialized lending </w:t>
            </w:r>
            <w:r w:rsidR="009F6C48" w:rsidRPr="00612529">
              <w:rPr>
                <w:szCs w:val="17"/>
              </w:rPr>
              <w:t>subject to the FIRB or AIRB approach</w:t>
            </w:r>
            <w:r w:rsidR="009F6C48">
              <w:rPr>
                <w:szCs w:val="17"/>
              </w:rPr>
              <w:t>.</w:t>
            </w:r>
            <w:r w:rsidR="009F6C48" w:rsidRPr="00612529">
              <w:rPr>
                <w:szCs w:val="17"/>
              </w:rPr>
              <w:t>)</w:t>
            </w:r>
          </w:p>
        </w:tc>
      </w:tr>
      <w:tr w:rsidR="001929CC" w14:paraId="770389A6" w14:textId="77777777" w:rsidTr="001929CC">
        <w:tc>
          <w:tcPr>
            <w:tcW w:w="2552" w:type="dxa"/>
          </w:tcPr>
          <w:p w14:paraId="131E0AC8" w14:textId="77777777" w:rsidR="001929CC" w:rsidRDefault="001929CC" w:rsidP="001929CC">
            <w:pPr>
              <w:spacing w:before="40" w:after="40"/>
              <w:rPr>
                <w:b/>
                <w:sz w:val="17"/>
                <w:szCs w:val="17"/>
                <w:lang w:eastAsia="en-GB"/>
              </w:rPr>
            </w:pPr>
            <w:r>
              <w:rPr>
                <w:rFonts w:eastAsia="新細明體"/>
                <w:b/>
                <w:sz w:val="17"/>
                <w:szCs w:val="17"/>
                <w:lang w:eastAsia="en-GB"/>
              </w:rPr>
              <w:t>Accompanying narrative</w:t>
            </w:r>
            <w:r>
              <w:rPr>
                <w:rFonts w:eastAsia="新細明體"/>
                <w:sz w:val="17"/>
                <w:szCs w:val="17"/>
                <w:lang w:eastAsia="en-GB"/>
              </w:rPr>
              <w:t>:</w:t>
            </w:r>
          </w:p>
        </w:tc>
        <w:tc>
          <w:tcPr>
            <w:tcW w:w="11340" w:type="dxa"/>
          </w:tcPr>
          <w:p w14:paraId="02905B19" w14:textId="77777777" w:rsidR="001929CC" w:rsidRDefault="001929CC" w:rsidP="001929CC">
            <w:pPr>
              <w:pStyle w:val="TableText"/>
              <w:jc w:val="both"/>
              <w:rPr>
                <w:noProof/>
                <w:lang w:eastAsia="en-GB"/>
              </w:rPr>
            </w:pPr>
            <w:r>
              <w:rPr>
                <w:szCs w:val="17"/>
                <w:lang w:eastAsia="en-GB"/>
              </w:rPr>
              <w:t>An AI should supplement the template with a narrative commentary to explain any material changes in the current reporting period and the key drivers of such changes.</w:t>
            </w:r>
          </w:p>
        </w:tc>
      </w:tr>
      <w:tr w:rsidR="001929CC" w14:paraId="4AFAA976" w14:textId="77777777" w:rsidTr="001929CC">
        <w:tc>
          <w:tcPr>
            <w:tcW w:w="2552" w:type="dxa"/>
          </w:tcPr>
          <w:p w14:paraId="5DC48EA8" w14:textId="77777777" w:rsidR="001929CC" w:rsidRDefault="001929CC" w:rsidP="001929CC">
            <w:pPr>
              <w:spacing w:before="40" w:after="40"/>
              <w:rPr>
                <w:rFonts w:eastAsia="新細明體"/>
                <w:b/>
                <w:sz w:val="17"/>
                <w:szCs w:val="17"/>
                <w:lang w:eastAsia="en-GB"/>
              </w:rPr>
            </w:pPr>
            <w:r>
              <w:rPr>
                <w:rFonts w:eastAsia="新細明體"/>
                <w:b/>
                <w:sz w:val="17"/>
                <w:szCs w:val="17"/>
                <w:lang w:eastAsia="en-GB"/>
              </w:rPr>
              <w:t>Corresponding BDR section:</w:t>
            </w:r>
          </w:p>
        </w:tc>
        <w:tc>
          <w:tcPr>
            <w:tcW w:w="11340" w:type="dxa"/>
          </w:tcPr>
          <w:p w14:paraId="58A19C6B" w14:textId="77777777" w:rsidR="001929CC" w:rsidRDefault="001929CC" w:rsidP="001929CC">
            <w:pPr>
              <w:pStyle w:val="TableText"/>
              <w:jc w:val="both"/>
              <w:rPr>
                <w:szCs w:val="17"/>
                <w:lang w:eastAsia="en-GB"/>
              </w:rPr>
            </w:pPr>
            <w:r>
              <w:rPr>
                <w:szCs w:val="17"/>
                <w:lang w:eastAsia="en-GB"/>
              </w:rPr>
              <w:t>16Q</w:t>
            </w:r>
          </w:p>
        </w:tc>
      </w:tr>
    </w:tbl>
    <w:p w14:paraId="7471E8F7" w14:textId="77777777" w:rsidR="001929CC" w:rsidRDefault="001929CC" w:rsidP="001929CC">
      <w:pPr>
        <w:spacing w:before="40" w:after="40"/>
        <w:rPr>
          <w:sz w:val="22"/>
        </w:rPr>
      </w:pPr>
    </w:p>
    <w:tbl>
      <w:tblPr>
        <w:tblW w:w="13892" w:type="dxa"/>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1276"/>
        <w:gridCol w:w="1701"/>
        <w:gridCol w:w="909"/>
        <w:gridCol w:w="934"/>
        <w:gridCol w:w="885"/>
        <w:gridCol w:w="958"/>
        <w:gridCol w:w="861"/>
        <w:gridCol w:w="910"/>
        <w:gridCol w:w="910"/>
        <w:gridCol w:w="909"/>
        <w:gridCol w:w="910"/>
        <w:gridCol w:w="909"/>
        <w:gridCol w:w="828"/>
        <w:gridCol w:w="992"/>
      </w:tblGrid>
      <w:tr w:rsidR="001929CC" w14:paraId="72E763B3" w14:textId="77777777" w:rsidTr="001929CC">
        <w:trPr>
          <w:tblHeader/>
        </w:trPr>
        <w:tc>
          <w:tcPr>
            <w:tcW w:w="1276" w:type="dxa"/>
            <w:tcBorders>
              <w:top w:val="nil"/>
              <w:left w:val="nil"/>
              <w:bottom w:val="nil"/>
              <w:right w:val="single" w:sz="4" w:space="0" w:color="auto"/>
            </w:tcBorders>
          </w:tcPr>
          <w:p w14:paraId="5103390D" w14:textId="77777777" w:rsidR="001929CC" w:rsidRDefault="001929CC" w:rsidP="001929CC">
            <w:pPr>
              <w:snapToGrid w:val="0"/>
              <w:jc w:val="center"/>
              <w:rPr>
                <w:b/>
                <w:sz w:val="16"/>
                <w:szCs w:val="16"/>
                <w:lang w:eastAsia="en-GB"/>
              </w:rPr>
            </w:pPr>
          </w:p>
        </w:tc>
        <w:tc>
          <w:tcPr>
            <w:tcW w:w="1701" w:type="dxa"/>
            <w:tcBorders>
              <w:top w:val="single" w:sz="4" w:space="0" w:color="auto"/>
              <w:left w:val="single" w:sz="4" w:space="0" w:color="auto"/>
              <w:bottom w:val="nil"/>
              <w:right w:val="single" w:sz="4" w:space="0" w:color="auto"/>
            </w:tcBorders>
          </w:tcPr>
          <w:p w14:paraId="03B0822A" w14:textId="77777777" w:rsidR="001929CC" w:rsidRDefault="001929CC" w:rsidP="001929CC">
            <w:pPr>
              <w:snapToGrid w:val="0"/>
              <w:jc w:val="center"/>
              <w:rPr>
                <w:sz w:val="16"/>
                <w:szCs w:val="16"/>
                <w:lang w:eastAsia="en-GB"/>
              </w:rPr>
            </w:pPr>
          </w:p>
        </w:tc>
        <w:tc>
          <w:tcPr>
            <w:tcW w:w="909" w:type="dxa"/>
            <w:tcBorders>
              <w:top w:val="single" w:sz="4" w:space="0" w:color="auto"/>
              <w:left w:val="single" w:sz="4" w:space="0" w:color="auto"/>
              <w:bottom w:val="single" w:sz="4" w:space="0" w:color="auto"/>
              <w:right w:val="single" w:sz="4" w:space="0" w:color="auto"/>
            </w:tcBorders>
          </w:tcPr>
          <w:p w14:paraId="257E41F4" w14:textId="77777777" w:rsidR="001929CC" w:rsidRDefault="001929CC" w:rsidP="001929CC">
            <w:pPr>
              <w:snapToGrid w:val="0"/>
              <w:jc w:val="center"/>
              <w:rPr>
                <w:sz w:val="16"/>
                <w:szCs w:val="16"/>
                <w:lang w:eastAsia="en-GB"/>
              </w:rPr>
            </w:pPr>
            <w:r>
              <w:rPr>
                <w:sz w:val="16"/>
                <w:szCs w:val="16"/>
                <w:lang w:eastAsia="en-GB"/>
              </w:rPr>
              <w:t>(a)</w:t>
            </w:r>
          </w:p>
        </w:tc>
        <w:tc>
          <w:tcPr>
            <w:tcW w:w="934" w:type="dxa"/>
            <w:tcBorders>
              <w:top w:val="single" w:sz="4" w:space="0" w:color="auto"/>
              <w:left w:val="single" w:sz="4" w:space="0" w:color="auto"/>
              <w:bottom w:val="single" w:sz="4" w:space="0" w:color="auto"/>
              <w:right w:val="single" w:sz="4" w:space="0" w:color="auto"/>
            </w:tcBorders>
            <w:vAlign w:val="center"/>
          </w:tcPr>
          <w:p w14:paraId="77B4E60F" w14:textId="77777777" w:rsidR="001929CC" w:rsidRDefault="001929CC" w:rsidP="001929CC">
            <w:pPr>
              <w:snapToGrid w:val="0"/>
              <w:jc w:val="center"/>
              <w:rPr>
                <w:sz w:val="16"/>
                <w:szCs w:val="16"/>
                <w:lang w:eastAsia="en-GB"/>
              </w:rPr>
            </w:pPr>
            <w:r>
              <w:rPr>
                <w:sz w:val="16"/>
                <w:szCs w:val="16"/>
                <w:lang w:eastAsia="en-GB"/>
              </w:rPr>
              <w:t>(b)</w:t>
            </w:r>
          </w:p>
        </w:tc>
        <w:tc>
          <w:tcPr>
            <w:tcW w:w="885" w:type="dxa"/>
            <w:tcBorders>
              <w:top w:val="single" w:sz="4" w:space="0" w:color="auto"/>
              <w:left w:val="single" w:sz="4" w:space="0" w:color="auto"/>
              <w:bottom w:val="single" w:sz="4" w:space="0" w:color="auto"/>
              <w:right w:val="single" w:sz="4" w:space="0" w:color="auto"/>
            </w:tcBorders>
          </w:tcPr>
          <w:p w14:paraId="71EAC508" w14:textId="77777777" w:rsidR="001929CC" w:rsidRDefault="001929CC" w:rsidP="001929CC">
            <w:pPr>
              <w:snapToGrid w:val="0"/>
              <w:jc w:val="center"/>
              <w:rPr>
                <w:sz w:val="16"/>
                <w:szCs w:val="16"/>
                <w:lang w:eastAsia="en-GB"/>
              </w:rPr>
            </w:pPr>
            <w:r>
              <w:rPr>
                <w:sz w:val="16"/>
                <w:szCs w:val="16"/>
                <w:lang w:eastAsia="en-GB"/>
              </w:rPr>
              <w:t>(c)</w:t>
            </w:r>
          </w:p>
        </w:tc>
        <w:tc>
          <w:tcPr>
            <w:tcW w:w="958" w:type="dxa"/>
            <w:tcBorders>
              <w:top w:val="single" w:sz="4" w:space="0" w:color="auto"/>
              <w:left w:val="single" w:sz="4" w:space="0" w:color="auto"/>
              <w:bottom w:val="single" w:sz="4" w:space="0" w:color="auto"/>
              <w:right w:val="single" w:sz="4" w:space="0" w:color="auto"/>
            </w:tcBorders>
          </w:tcPr>
          <w:p w14:paraId="5695C036" w14:textId="77777777" w:rsidR="001929CC" w:rsidRDefault="001929CC" w:rsidP="001929CC">
            <w:pPr>
              <w:snapToGrid w:val="0"/>
              <w:jc w:val="center"/>
              <w:rPr>
                <w:sz w:val="16"/>
                <w:szCs w:val="16"/>
                <w:lang w:eastAsia="en-GB"/>
              </w:rPr>
            </w:pPr>
            <w:r>
              <w:rPr>
                <w:sz w:val="16"/>
                <w:szCs w:val="16"/>
                <w:lang w:eastAsia="en-GB"/>
              </w:rPr>
              <w:t>(d)</w:t>
            </w:r>
          </w:p>
        </w:tc>
        <w:tc>
          <w:tcPr>
            <w:tcW w:w="861" w:type="dxa"/>
            <w:tcBorders>
              <w:top w:val="single" w:sz="4" w:space="0" w:color="auto"/>
              <w:left w:val="single" w:sz="4" w:space="0" w:color="auto"/>
              <w:bottom w:val="single" w:sz="4" w:space="0" w:color="auto"/>
              <w:right w:val="single" w:sz="4" w:space="0" w:color="auto"/>
            </w:tcBorders>
            <w:vAlign w:val="center"/>
          </w:tcPr>
          <w:p w14:paraId="49FBBEA5" w14:textId="77777777" w:rsidR="001929CC" w:rsidRDefault="001929CC" w:rsidP="001929CC">
            <w:pPr>
              <w:snapToGrid w:val="0"/>
              <w:jc w:val="center"/>
              <w:rPr>
                <w:sz w:val="16"/>
                <w:szCs w:val="16"/>
                <w:lang w:eastAsia="en-GB"/>
              </w:rPr>
            </w:pPr>
            <w:r>
              <w:rPr>
                <w:sz w:val="16"/>
                <w:szCs w:val="16"/>
                <w:lang w:eastAsia="en-GB"/>
              </w:rPr>
              <w:t>(e)</w:t>
            </w:r>
          </w:p>
        </w:tc>
        <w:tc>
          <w:tcPr>
            <w:tcW w:w="910" w:type="dxa"/>
            <w:tcBorders>
              <w:top w:val="single" w:sz="4" w:space="0" w:color="auto"/>
              <w:left w:val="single" w:sz="4" w:space="0" w:color="auto"/>
              <w:bottom w:val="single" w:sz="4" w:space="0" w:color="auto"/>
              <w:right w:val="single" w:sz="4" w:space="0" w:color="auto"/>
            </w:tcBorders>
          </w:tcPr>
          <w:p w14:paraId="59CD906A" w14:textId="77777777" w:rsidR="001929CC" w:rsidRDefault="001929CC" w:rsidP="001929CC">
            <w:pPr>
              <w:snapToGrid w:val="0"/>
              <w:jc w:val="center"/>
              <w:rPr>
                <w:sz w:val="16"/>
                <w:szCs w:val="16"/>
                <w:lang w:eastAsia="en-GB"/>
              </w:rPr>
            </w:pPr>
            <w:r>
              <w:rPr>
                <w:sz w:val="16"/>
                <w:szCs w:val="16"/>
                <w:lang w:eastAsia="en-GB"/>
              </w:rPr>
              <w:t>(f)</w:t>
            </w:r>
          </w:p>
        </w:tc>
        <w:tc>
          <w:tcPr>
            <w:tcW w:w="910" w:type="dxa"/>
            <w:tcBorders>
              <w:top w:val="single" w:sz="4" w:space="0" w:color="auto"/>
              <w:left w:val="single" w:sz="4" w:space="0" w:color="auto"/>
              <w:bottom w:val="single" w:sz="4" w:space="0" w:color="auto"/>
              <w:right w:val="single" w:sz="4" w:space="0" w:color="auto"/>
            </w:tcBorders>
          </w:tcPr>
          <w:p w14:paraId="3E2A0F7F" w14:textId="77777777" w:rsidR="001929CC" w:rsidRDefault="001929CC" w:rsidP="001929CC">
            <w:pPr>
              <w:snapToGrid w:val="0"/>
              <w:jc w:val="center"/>
              <w:rPr>
                <w:sz w:val="16"/>
                <w:szCs w:val="16"/>
                <w:lang w:eastAsia="en-GB"/>
              </w:rPr>
            </w:pPr>
            <w:r>
              <w:rPr>
                <w:sz w:val="16"/>
                <w:szCs w:val="16"/>
                <w:lang w:eastAsia="en-GB"/>
              </w:rPr>
              <w:t>(g)</w:t>
            </w:r>
          </w:p>
        </w:tc>
        <w:tc>
          <w:tcPr>
            <w:tcW w:w="909" w:type="dxa"/>
            <w:tcBorders>
              <w:top w:val="single" w:sz="4" w:space="0" w:color="auto"/>
              <w:left w:val="single" w:sz="4" w:space="0" w:color="auto"/>
              <w:bottom w:val="single" w:sz="4" w:space="0" w:color="auto"/>
              <w:right w:val="single" w:sz="4" w:space="0" w:color="auto"/>
            </w:tcBorders>
          </w:tcPr>
          <w:p w14:paraId="6EA13E92" w14:textId="77777777" w:rsidR="001929CC" w:rsidRDefault="001929CC" w:rsidP="001929CC">
            <w:pPr>
              <w:snapToGrid w:val="0"/>
              <w:jc w:val="center"/>
              <w:rPr>
                <w:sz w:val="16"/>
                <w:szCs w:val="16"/>
                <w:lang w:eastAsia="en-GB"/>
              </w:rPr>
            </w:pPr>
            <w:r>
              <w:rPr>
                <w:sz w:val="16"/>
                <w:szCs w:val="16"/>
                <w:lang w:eastAsia="en-GB"/>
              </w:rPr>
              <w:t>(h)</w:t>
            </w:r>
          </w:p>
        </w:tc>
        <w:tc>
          <w:tcPr>
            <w:tcW w:w="910" w:type="dxa"/>
            <w:tcBorders>
              <w:top w:val="single" w:sz="4" w:space="0" w:color="auto"/>
              <w:left w:val="single" w:sz="4" w:space="0" w:color="auto"/>
              <w:bottom w:val="single" w:sz="4" w:space="0" w:color="auto"/>
              <w:right w:val="single" w:sz="4" w:space="0" w:color="auto"/>
            </w:tcBorders>
          </w:tcPr>
          <w:p w14:paraId="3AEA5329" w14:textId="77777777" w:rsidR="001929CC" w:rsidRDefault="001929CC" w:rsidP="001929CC">
            <w:pPr>
              <w:snapToGrid w:val="0"/>
              <w:jc w:val="center"/>
              <w:rPr>
                <w:sz w:val="16"/>
                <w:szCs w:val="16"/>
                <w:lang w:eastAsia="en-GB"/>
              </w:rPr>
            </w:pPr>
            <w:r>
              <w:rPr>
                <w:sz w:val="16"/>
                <w:szCs w:val="16"/>
                <w:lang w:eastAsia="en-GB"/>
              </w:rPr>
              <w:t>(i)</w:t>
            </w:r>
          </w:p>
        </w:tc>
        <w:tc>
          <w:tcPr>
            <w:tcW w:w="909" w:type="dxa"/>
            <w:tcBorders>
              <w:top w:val="single" w:sz="4" w:space="0" w:color="auto"/>
              <w:left w:val="single" w:sz="4" w:space="0" w:color="auto"/>
              <w:bottom w:val="single" w:sz="4" w:space="0" w:color="auto"/>
              <w:right w:val="single" w:sz="4" w:space="0" w:color="auto"/>
            </w:tcBorders>
          </w:tcPr>
          <w:p w14:paraId="4A8529EE" w14:textId="77777777" w:rsidR="001929CC" w:rsidRDefault="001929CC" w:rsidP="001929CC">
            <w:pPr>
              <w:snapToGrid w:val="0"/>
              <w:jc w:val="center"/>
              <w:rPr>
                <w:sz w:val="16"/>
                <w:szCs w:val="16"/>
                <w:lang w:eastAsia="en-GB"/>
              </w:rPr>
            </w:pPr>
            <w:r>
              <w:rPr>
                <w:sz w:val="16"/>
                <w:szCs w:val="16"/>
                <w:lang w:eastAsia="en-GB"/>
              </w:rPr>
              <w:t>(j)</w:t>
            </w:r>
          </w:p>
        </w:tc>
        <w:tc>
          <w:tcPr>
            <w:tcW w:w="828" w:type="dxa"/>
            <w:tcBorders>
              <w:top w:val="single" w:sz="4" w:space="0" w:color="auto"/>
              <w:left w:val="single" w:sz="4" w:space="0" w:color="auto"/>
              <w:bottom w:val="single" w:sz="4" w:space="0" w:color="auto"/>
              <w:right w:val="single" w:sz="4" w:space="0" w:color="auto"/>
            </w:tcBorders>
          </w:tcPr>
          <w:p w14:paraId="71A667B9" w14:textId="77777777" w:rsidR="001929CC" w:rsidRDefault="001929CC" w:rsidP="001929CC">
            <w:pPr>
              <w:snapToGrid w:val="0"/>
              <w:jc w:val="center"/>
              <w:rPr>
                <w:sz w:val="16"/>
                <w:szCs w:val="16"/>
                <w:lang w:eastAsia="en-GB"/>
              </w:rPr>
            </w:pPr>
            <w:r>
              <w:rPr>
                <w:sz w:val="16"/>
                <w:szCs w:val="16"/>
                <w:lang w:eastAsia="en-GB"/>
              </w:rPr>
              <w:t>(k)</w:t>
            </w:r>
          </w:p>
        </w:tc>
        <w:tc>
          <w:tcPr>
            <w:tcW w:w="992" w:type="dxa"/>
            <w:tcBorders>
              <w:top w:val="single" w:sz="4" w:space="0" w:color="auto"/>
              <w:left w:val="single" w:sz="4" w:space="0" w:color="auto"/>
              <w:bottom w:val="single" w:sz="4" w:space="0" w:color="auto"/>
              <w:right w:val="single" w:sz="6" w:space="0" w:color="auto"/>
            </w:tcBorders>
          </w:tcPr>
          <w:p w14:paraId="17E6235D" w14:textId="77777777" w:rsidR="001929CC" w:rsidRDefault="001929CC" w:rsidP="001929CC">
            <w:pPr>
              <w:snapToGrid w:val="0"/>
              <w:jc w:val="center"/>
              <w:rPr>
                <w:sz w:val="16"/>
                <w:szCs w:val="16"/>
                <w:lang w:eastAsia="en-GB"/>
              </w:rPr>
            </w:pPr>
            <w:r>
              <w:rPr>
                <w:sz w:val="16"/>
                <w:szCs w:val="16"/>
                <w:lang w:eastAsia="en-GB"/>
              </w:rPr>
              <w:t>(l)</w:t>
            </w:r>
          </w:p>
        </w:tc>
      </w:tr>
      <w:tr w:rsidR="001929CC" w14:paraId="0E54F084" w14:textId="77777777" w:rsidTr="001929CC">
        <w:trPr>
          <w:tblHeader/>
        </w:trPr>
        <w:tc>
          <w:tcPr>
            <w:tcW w:w="1276" w:type="dxa"/>
            <w:tcBorders>
              <w:top w:val="nil"/>
              <w:left w:val="nil"/>
              <w:bottom w:val="single" w:sz="4" w:space="0" w:color="auto"/>
              <w:right w:val="single" w:sz="4" w:space="0" w:color="auto"/>
            </w:tcBorders>
            <w:vAlign w:val="center"/>
          </w:tcPr>
          <w:p w14:paraId="31E8BDB8" w14:textId="77777777" w:rsidR="001929CC" w:rsidRDefault="001929CC" w:rsidP="001929CC">
            <w:pPr>
              <w:snapToGrid w:val="0"/>
              <w:jc w:val="center"/>
              <w:rPr>
                <w:b/>
                <w:sz w:val="16"/>
                <w:szCs w:val="16"/>
                <w:lang w:eastAsia="en-GB"/>
              </w:rPr>
            </w:pPr>
          </w:p>
        </w:tc>
        <w:tc>
          <w:tcPr>
            <w:tcW w:w="1701" w:type="dxa"/>
            <w:tcBorders>
              <w:top w:val="nil"/>
              <w:left w:val="single" w:sz="4" w:space="0" w:color="auto"/>
              <w:bottom w:val="single" w:sz="4" w:space="0" w:color="auto"/>
              <w:right w:val="single" w:sz="4" w:space="0" w:color="auto"/>
            </w:tcBorders>
            <w:vAlign w:val="center"/>
          </w:tcPr>
          <w:p w14:paraId="48C300B4" w14:textId="77777777" w:rsidR="001929CC" w:rsidRDefault="001929CC" w:rsidP="001929CC">
            <w:pPr>
              <w:snapToGrid w:val="0"/>
              <w:jc w:val="center"/>
              <w:rPr>
                <w:sz w:val="16"/>
                <w:szCs w:val="16"/>
                <w:lang w:eastAsia="en-GB"/>
              </w:rPr>
            </w:pPr>
            <w:r>
              <w:rPr>
                <w:sz w:val="16"/>
                <w:szCs w:val="16"/>
                <w:lang w:eastAsia="en-GB"/>
              </w:rPr>
              <w:t>PD scale</w:t>
            </w:r>
          </w:p>
        </w:tc>
        <w:tc>
          <w:tcPr>
            <w:tcW w:w="909" w:type="dxa"/>
            <w:tcBorders>
              <w:top w:val="single" w:sz="4" w:space="0" w:color="auto"/>
              <w:left w:val="single" w:sz="4" w:space="0" w:color="auto"/>
              <w:bottom w:val="single" w:sz="4" w:space="0" w:color="auto"/>
              <w:right w:val="single" w:sz="4" w:space="0" w:color="auto"/>
            </w:tcBorders>
            <w:vAlign w:val="center"/>
          </w:tcPr>
          <w:p w14:paraId="7BFED074" w14:textId="77777777" w:rsidR="001929CC" w:rsidRDefault="001929CC" w:rsidP="001929CC">
            <w:pPr>
              <w:snapToGrid w:val="0"/>
              <w:jc w:val="center"/>
              <w:rPr>
                <w:sz w:val="16"/>
                <w:szCs w:val="16"/>
                <w:lang w:eastAsia="en-GB"/>
              </w:rPr>
            </w:pPr>
            <w:r>
              <w:rPr>
                <w:sz w:val="16"/>
                <w:szCs w:val="16"/>
                <w:lang w:eastAsia="en-GB"/>
              </w:rPr>
              <w:t>Original on- balance</w:t>
            </w:r>
          </w:p>
          <w:p w14:paraId="798FF4E3" w14:textId="77777777" w:rsidR="001929CC" w:rsidRDefault="001929CC" w:rsidP="001929CC">
            <w:pPr>
              <w:snapToGrid w:val="0"/>
              <w:jc w:val="center"/>
              <w:rPr>
                <w:sz w:val="16"/>
                <w:szCs w:val="16"/>
                <w:lang w:eastAsia="en-GB"/>
              </w:rPr>
            </w:pPr>
            <w:r>
              <w:rPr>
                <w:sz w:val="16"/>
                <w:szCs w:val="16"/>
                <w:lang w:eastAsia="en-GB"/>
              </w:rPr>
              <w:t>sheet gross exposure</w:t>
            </w:r>
          </w:p>
        </w:tc>
        <w:tc>
          <w:tcPr>
            <w:tcW w:w="934" w:type="dxa"/>
            <w:tcBorders>
              <w:top w:val="single" w:sz="4" w:space="0" w:color="auto"/>
              <w:left w:val="single" w:sz="4" w:space="0" w:color="auto"/>
              <w:bottom w:val="single" w:sz="4" w:space="0" w:color="auto"/>
              <w:right w:val="single" w:sz="4" w:space="0" w:color="auto"/>
            </w:tcBorders>
            <w:vAlign w:val="center"/>
          </w:tcPr>
          <w:p w14:paraId="22B2A752" w14:textId="77777777" w:rsidR="001929CC" w:rsidRDefault="001929CC" w:rsidP="001929CC">
            <w:pPr>
              <w:snapToGrid w:val="0"/>
              <w:jc w:val="center"/>
              <w:rPr>
                <w:sz w:val="16"/>
                <w:szCs w:val="16"/>
                <w:lang w:eastAsia="en-GB"/>
              </w:rPr>
            </w:pPr>
            <w:r>
              <w:rPr>
                <w:sz w:val="16"/>
                <w:szCs w:val="16"/>
                <w:lang w:eastAsia="en-GB"/>
              </w:rPr>
              <w:t>Off- balance sheet</w:t>
            </w:r>
          </w:p>
          <w:p w14:paraId="3AC9BC32" w14:textId="77777777" w:rsidR="001929CC" w:rsidRDefault="001929CC" w:rsidP="001929CC">
            <w:pPr>
              <w:snapToGrid w:val="0"/>
              <w:jc w:val="center"/>
              <w:rPr>
                <w:sz w:val="16"/>
                <w:szCs w:val="16"/>
                <w:lang w:eastAsia="en-GB"/>
              </w:rPr>
            </w:pPr>
            <w:r>
              <w:rPr>
                <w:sz w:val="16"/>
                <w:szCs w:val="16"/>
                <w:lang w:eastAsia="en-GB"/>
              </w:rPr>
              <w:t>exposures</w:t>
            </w:r>
          </w:p>
          <w:p w14:paraId="6845A7F9" w14:textId="77777777" w:rsidR="001929CC" w:rsidRDefault="001929CC" w:rsidP="001929CC">
            <w:pPr>
              <w:snapToGrid w:val="0"/>
              <w:jc w:val="center"/>
              <w:rPr>
                <w:sz w:val="16"/>
                <w:szCs w:val="16"/>
                <w:lang w:eastAsia="en-GB"/>
              </w:rPr>
            </w:pPr>
            <w:r>
              <w:rPr>
                <w:sz w:val="16"/>
                <w:szCs w:val="16"/>
                <w:lang w:eastAsia="en-GB"/>
              </w:rPr>
              <w:t>pre-CCF</w:t>
            </w:r>
          </w:p>
        </w:tc>
        <w:tc>
          <w:tcPr>
            <w:tcW w:w="885" w:type="dxa"/>
            <w:tcBorders>
              <w:top w:val="single" w:sz="4" w:space="0" w:color="auto"/>
              <w:left w:val="single" w:sz="4" w:space="0" w:color="auto"/>
              <w:bottom w:val="single" w:sz="4" w:space="0" w:color="auto"/>
              <w:right w:val="single" w:sz="4" w:space="0" w:color="auto"/>
            </w:tcBorders>
            <w:vAlign w:val="center"/>
          </w:tcPr>
          <w:p w14:paraId="5349E52E" w14:textId="77777777" w:rsidR="001929CC" w:rsidRDefault="001929CC" w:rsidP="001929CC">
            <w:pPr>
              <w:snapToGrid w:val="0"/>
              <w:jc w:val="center"/>
              <w:rPr>
                <w:sz w:val="16"/>
                <w:szCs w:val="16"/>
                <w:lang w:eastAsia="en-GB"/>
              </w:rPr>
            </w:pPr>
            <w:r>
              <w:rPr>
                <w:sz w:val="16"/>
                <w:szCs w:val="16"/>
                <w:lang w:eastAsia="en-GB"/>
              </w:rPr>
              <w:t>Average CCF</w:t>
            </w:r>
          </w:p>
        </w:tc>
        <w:tc>
          <w:tcPr>
            <w:tcW w:w="958" w:type="dxa"/>
            <w:tcBorders>
              <w:top w:val="single" w:sz="4" w:space="0" w:color="auto"/>
              <w:left w:val="single" w:sz="4" w:space="0" w:color="auto"/>
              <w:bottom w:val="single" w:sz="4" w:space="0" w:color="auto"/>
              <w:right w:val="single" w:sz="4" w:space="0" w:color="auto"/>
            </w:tcBorders>
            <w:vAlign w:val="center"/>
          </w:tcPr>
          <w:p w14:paraId="54E9FADD" w14:textId="77777777" w:rsidR="001929CC" w:rsidRDefault="001929CC" w:rsidP="001929CC">
            <w:pPr>
              <w:snapToGrid w:val="0"/>
              <w:jc w:val="center"/>
              <w:rPr>
                <w:sz w:val="16"/>
                <w:szCs w:val="16"/>
                <w:lang w:eastAsia="en-GB"/>
              </w:rPr>
            </w:pPr>
            <w:r>
              <w:rPr>
                <w:sz w:val="16"/>
                <w:szCs w:val="16"/>
                <w:lang w:eastAsia="en-GB"/>
              </w:rPr>
              <w:t>EAD post-CRM and post-CCF</w:t>
            </w:r>
          </w:p>
        </w:tc>
        <w:tc>
          <w:tcPr>
            <w:tcW w:w="861" w:type="dxa"/>
            <w:tcBorders>
              <w:top w:val="single" w:sz="4" w:space="0" w:color="auto"/>
              <w:left w:val="single" w:sz="4" w:space="0" w:color="auto"/>
              <w:bottom w:val="single" w:sz="4" w:space="0" w:color="auto"/>
              <w:right w:val="single" w:sz="4" w:space="0" w:color="auto"/>
            </w:tcBorders>
            <w:vAlign w:val="center"/>
          </w:tcPr>
          <w:p w14:paraId="2F49D25E" w14:textId="77777777" w:rsidR="001929CC" w:rsidRDefault="001929CC" w:rsidP="001929CC">
            <w:pPr>
              <w:snapToGrid w:val="0"/>
              <w:jc w:val="center"/>
              <w:rPr>
                <w:sz w:val="16"/>
                <w:szCs w:val="16"/>
                <w:lang w:eastAsia="en-GB"/>
              </w:rPr>
            </w:pPr>
            <w:r>
              <w:rPr>
                <w:sz w:val="16"/>
                <w:szCs w:val="16"/>
                <w:lang w:eastAsia="en-GB"/>
              </w:rPr>
              <w:t>Average PD</w:t>
            </w:r>
          </w:p>
        </w:tc>
        <w:tc>
          <w:tcPr>
            <w:tcW w:w="910" w:type="dxa"/>
            <w:tcBorders>
              <w:top w:val="single" w:sz="4" w:space="0" w:color="auto"/>
              <w:left w:val="single" w:sz="4" w:space="0" w:color="auto"/>
              <w:bottom w:val="single" w:sz="4" w:space="0" w:color="auto"/>
              <w:right w:val="single" w:sz="4" w:space="0" w:color="auto"/>
            </w:tcBorders>
            <w:vAlign w:val="center"/>
          </w:tcPr>
          <w:p w14:paraId="3E183112" w14:textId="77777777" w:rsidR="001929CC" w:rsidRDefault="001929CC" w:rsidP="001929CC">
            <w:pPr>
              <w:snapToGrid w:val="0"/>
              <w:jc w:val="center"/>
              <w:rPr>
                <w:sz w:val="16"/>
                <w:szCs w:val="16"/>
                <w:lang w:eastAsia="en-GB"/>
              </w:rPr>
            </w:pPr>
            <w:r>
              <w:rPr>
                <w:sz w:val="16"/>
                <w:szCs w:val="16"/>
                <w:lang w:eastAsia="en-GB"/>
              </w:rPr>
              <w:t>Number of obligors</w:t>
            </w:r>
          </w:p>
        </w:tc>
        <w:tc>
          <w:tcPr>
            <w:tcW w:w="910" w:type="dxa"/>
            <w:tcBorders>
              <w:top w:val="single" w:sz="4" w:space="0" w:color="auto"/>
              <w:left w:val="single" w:sz="4" w:space="0" w:color="auto"/>
              <w:bottom w:val="single" w:sz="4" w:space="0" w:color="auto"/>
              <w:right w:val="single" w:sz="4" w:space="0" w:color="auto"/>
            </w:tcBorders>
            <w:vAlign w:val="center"/>
          </w:tcPr>
          <w:p w14:paraId="411F5FF9" w14:textId="77777777" w:rsidR="001929CC" w:rsidRDefault="001929CC" w:rsidP="001929CC">
            <w:pPr>
              <w:snapToGrid w:val="0"/>
              <w:jc w:val="center"/>
              <w:rPr>
                <w:sz w:val="16"/>
                <w:szCs w:val="16"/>
                <w:lang w:eastAsia="en-GB"/>
              </w:rPr>
            </w:pPr>
            <w:r>
              <w:rPr>
                <w:sz w:val="16"/>
                <w:szCs w:val="16"/>
                <w:lang w:eastAsia="en-GB"/>
              </w:rPr>
              <w:t>Average LGD</w:t>
            </w:r>
          </w:p>
        </w:tc>
        <w:tc>
          <w:tcPr>
            <w:tcW w:w="909" w:type="dxa"/>
            <w:tcBorders>
              <w:top w:val="single" w:sz="4" w:space="0" w:color="auto"/>
              <w:left w:val="single" w:sz="4" w:space="0" w:color="auto"/>
              <w:bottom w:val="single" w:sz="4" w:space="0" w:color="auto"/>
              <w:right w:val="single" w:sz="4" w:space="0" w:color="auto"/>
            </w:tcBorders>
            <w:vAlign w:val="center"/>
          </w:tcPr>
          <w:p w14:paraId="6BB1A487" w14:textId="77777777" w:rsidR="001929CC" w:rsidRDefault="001929CC" w:rsidP="001929CC">
            <w:pPr>
              <w:snapToGrid w:val="0"/>
              <w:jc w:val="center"/>
              <w:rPr>
                <w:sz w:val="16"/>
                <w:szCs w:val="16"/>
                <w:lang w:eastAsia="en-GB"/>
              </w:rPr>
            </w:pPr>
            <w:r>
              <w:rPr>
                <w:sz w:val="16"/>
                <w:szCs w:val="16"/>
                <w:lang w:eastAsia="en-GB"/>
              </w:rPr>
              <w:t>Average maturity</w:t>
            </w:r>
          </w:p>
        </w:tc>
        <w:tc>
          <w:tcPr>
            <w:tcW w:w="910" w:type="dxa"/>
            <w:tcBorders>
              <w:top w:val="single" w:sz="4" w:space="0" w:color="auto"/>
              <w:left w:val="single" w:sz="4" w:space="0" w:color="auto"/>
              <w:bottom w:val="single" w:sz="4" w:space="0" w:color="auto"/>
              <w:right w:val="single" w:sz="4" w:space="0" w:color="auto"/>
            </w:tcBorders>
            <w:vAlign w:val="center"/>
          </w:tcPr>
          <w:p w14:paraId="1901BD6A" w14:textId="77777777" w:rsidR="001929CC" w:rsidRDefault="001929CC" w:rsidP="001929CC">
            <w:pPr>
              <w:snapToGrid w:val="0"/>
              <w:jc w:val="center"/>
              <w:rPr>
                <w:sz w:val="16"/>
                <w:szCs w:val="16"/>
                <w:lang w:eastAsia="en-GB"/>
              </w:rPr>
            </w:pPr>
            <w:r>
              <w:rPr>
                <w:sz w:val="16"/>
                <w:szCs w:val="16"/>
                <w:lang w:eastAsia="en-GB"/>
              </w:rPr>
              <w:t>RWA</w:t>
            </w:r>
          </w:p>
        </w:tc>
        <w:tc>
          <w:tcPr>
            <w:tcW w:w="909" w:type="dxa"/>
            <w:tcBorders>
              <w:top w:val="single" w:sz="4" w:space="0" w:color="auto"/>
              <w:left w:val="single" w:sz="4" w:space="0" w:color="auto"/>
              <w:bottom w:val="single" w:sz="4" w:space="0" w:color="auto"/>
              <w:right w:val="single" w:sz="4" w:space="0" w:color="auto"/>
            </w:tcBorders>
            <w:vAlign w:val="center"/>
          </w:tcPr>
          <w:p w14:paraId="72CC5469" w14:textId="77777777" w:rsidR="001929CC" w:rsidRDefault="001929CC" w:rsidP="001929CC">
            <w:pPr>
              <w:snapToGrid w:val="0"/>
              <w:jc w:val="center"/>
              <w:rPr>
                <w:sz w:val="16"/>
                <w:szCs w:val="16"/>
                <w:lang w:eastAsia="en-GB"/>
              </w:rPr>
            </w:pPr>
            <w:r>
              <w:rPr>
                <w:sz w:val="16"/>
                <w:szCs w:val="16"/>
                <w:lang w:eastAsia="en-GB"/>
              </w:rPr>
              <w:t>RWA density</w:t>
            </w:r>
          </w:p>
        </w:tc>
        <w:tc>
          <w:tcPr>
            <w:tcW w:w="828" w:type="dxa"/>
            <w:tcBorders>
              <w:top w:val="single" w:sz="4" w:space="0" w:color="auto"/>
              <w:left w:val="single" w:sz="4" w:space="0" w:color="auto"/>
              <w:bottom w:val="single" w:sz="4" w:space="0" w:color="auto"/>
              <w:right w:val="single" w:sz="4" w:space="0" w:color="auto"/>
            </w:tcBorders>
            <w:vAlign w:val="center"/>
          </w:tcPr>
          <w:p w14:paraId="23CF363C" w14:textId="77777777" w:rsidR="001929CC" w:rsidRDefault="001929CC" w:rsidP="001929CC">
            <w:pPr>
              <w:snapToGrid w:val="0"/>
              <w:jc w:val="center"/>
              <w:rPr>
                <w:sz w:val="16"/>
                <w:szCs w:val="16"/>
                <w:lang w:eastAsia="en-GB"/>
              </w:rPr>
            </w:pPr>
            <w:r>
              <w:rPr>
                <w:sz w:val="16"/>
                <w:szCs w:val="16"/>
                <w:lang w:eastAsia="en-GB"/>
              </w:rPr>
              <w:t>EL</w:t>
            </w:r>
          </w:p>
        </w:tc>
        <w:tc>
          <w:tcPr>
            <w:tcW w:w="992" w:type="dxa"/>
            <w:tcBorders>
              <w:top w:val="single" w:sz="4" w:space="0" w:color="auto"/>
              <w:left w:val="single" w:sz="4" w:space="0" w:color="auto"/>
              <w:bottom w:val="single" w:sz="4" w:space="0" w:color="auto"/>
              <w:right w:val="single" w:sz="6" w:space="0" w:color="auto"/>
            </w:tcBorders>
            <w:vAlign w:val="center"/>
          </w:tcPr>
          <w:p w14:paraId="5F605976" w14:textId="77777777" w:rsidR="001929CC" w:rsidRDefault="001929CC" w:rsidP="001929CC">
            <w:pPr>
              <w:snapToGrid w:val="0"/>
              <w:jc w:val="center"/>
              <w:rPr>
                <w:sz w:val="16"/>
                <w:szCs w:val="16"/>
                <w:lang w:eastAsia="en-GB"/>
              </w:rPr>
            </w:pPr>
            <w:r>
              <w:rPr>
                <w:sz w:val="16"/>
                <w:szCs w:val="16"/>
                <w:lang w:eastAsia="en-GB"/>
              </w:rPr>
              <w:t>Provisions</w:t>
            </w:r>
          </w:p>
        </w:tc>
      </w:tr>
      <w:tr w:rsidR="001929CC" w14:paraId="4F74058B" w14:textId="77777777" w:rsidTr="001929CC">
        <w:trPr>
          <w:cantSplit/>
        </w:trPr>
        <w:tc>
          <w:tcPr>
            <w:tcW w:w="1276" w:type="dxa"/>
            <w:vMerge w:val="restart"/>
            <w:tcBorders>
              <w:top w:val="single" w:sz="4" w:space="0" w:color="auto"/>
              <w:left w:val="nil"/>
              <w:right w:val="single" w:sz="4" w:space="0" w:color="auto"/>
            </w:tcBorders>
          </w:tcPr>
          <w:p w14:paraId="6B9BB9F6" w14:textId="77777777" w:rsidR="001929CC" w:rsidRDefault="001929CC" w:rsidP="001929CC">
            <w:pPr>
              <w:snapToGrid w:val="0"/>
              <w:rPr>
                <w:spacing w:val="-16"/>
                <w:sz w:val="16"/>
                <w:szCs w:val="16"/>
                <w:lang w:eastAsia="en-GB"/>
              </w:rPr>
            </w:pPr>
            <w:r>
              <w:rPr>
                <w:sz w:val="16"/>
                <w:szCs w:val="16"/>
                <w:lang w:eastAsia="en-GB"/>
              </w:rPr>
              <w:t>Portfolio (i) – Sovereign</w:t>
            </w:r>
          </w:p>
        </w:tc>
        <w:tc>
          <w:tcPr>
            <w:tcW w:w="1701" w:type="dxa"/>
            <w:tcBorders>
              <w:top w:val="single" w:sz="4" w:space="0" w:color="auto"/>
              <w:left w:val="single" w:sz="4" w:space="0" w:color="auto"/>
              <w:right w:val="single" w:sz="4" w:space="0" w:color="auto"/>
            </w:tcBorders>
          </w:tcPr>
          <w:p w14:paraId="503A138B" w14:textId="77777777" w:rsidR="001929CC" w:rsidRDefault="001929CC" w:rsidP="001929CC">
            <w:pPr>
              <w:snapToGrid w:val="0"/>
              <w:jc w:val="center"/>
              <w:rPr>
                <w:sz w:val="16"/>
                <w:szCs w:val="16"/>
                <w:lang w:eastAsia="en-GB"/>
              </w:rPr>
            </w:pPr>
            <w:r>
              <w:rPr>
                <w:sz w:val="16"/>
                <w:szCs w:val="16"/>
                <w:lang w:eastAsia="en-GB"/>
              </w:rPr>
              <w:t>0.00 to &lt; 0.15</w:t>
            </w:r>
          </w:p>
        </w:tc>
        <w:tc>
          <w:tcPr>
            <w:tcW w:w="909" w:type="dxa"/>
            <w:tcBorders>
              <w:top w:val="single" w:sz="4" w:space="0" w:color="auto"/>
              <w:left w:val="single" w:sz="4" w:space="0" w:color="auto"/>
              <w:right w:val="single" w:sz="4" w:space="0" w:color="auto"/>
            </w:tcBorders>
          </w:tcPr>
          <w:p w14:paraId="5F0C9B07" w14:textId="77777777" w:rsidR="001929CC" w:rsidRDefault="001929CC" w:rsidP="001929CC">
            <w:pPr>
              <w:snapToGrid w:val="0"/>
              <w:rPr>
                <w:sz w:val="16"/>
                <w:szCs w:val="16"/>
                <w:lang w:eastAsia="en-GB"/>
              </w:rPr>
            </w:pPr>
          </w:p>
        </w:tc>
        <w:tc>
          <w:tcPr>
            <w:tcW w:w="934" w:type="dxa"/>
            <w:tcBorders>
              <w:top w:val="single" w:sz="4" w:space="0" w:color="auto"/>
              <w:left w:val="single" w:sz="4" w:space="0" w:color="auto"/>
              <w:right w:val="single" w:sz="4" w:space="0" w:color="auto"/>
            </w:tcBorders>
          </w:tcPr>
          <w:p w14:paraId="01A44C17" w14:textId="77777777" w:rsidR="001929CC" w:rsidRDefault="001929CC" w:rsidP="001929CC">
            <w:pPr>
              <w:snapToGrid w:val="0"/>
              <w:rPr>
                <w:sz w:val="16"/>
                <w:szCs w:val="16"/>
                <w:lang w:eastAsia="en-GB"/>
              </w:rPr>
            </w:pPr>
          </w:p>
        </w:tc>
        <w:tc>
          <w:tcPr>
            <w:tcW w:w="885" w:type="dxa"/>
            <w:tcBorders>
              <w:top w:val="single" w:sz="4" w:space="0" w:color="auto"/>
              <w:left w:val="single" w:sz="4" w:space="0" w:color="auto"/>
              <w:right w:val="single" w:sz="4" w:space="0" w:color="auto"/>
            </w:tcBorders>
          </w:tcPr>
          <w:p w14:paraId="1707BB17" w14:textId="77777777" w:rsidR="001929CC" w:rsidRDefault="001929CC" w:rsidP="001929CC">
            <w:pPr>
              <w:snapToGrid w:val="0"/>
              <w:rPr>
                <w:sz w:val="16"/>
                <w:szCs w:val="16"/>
                <w:lang w:eastAsia="en-GB"/>
              </w:rPr>
            </w:pPr>
          </w:p>
        </w:tc>
        <w:tc>
          <w:tcPr>
            <w:tcW w:w="958" w:type="dxa"/>
            <w:tcBorders>
              <w:top w:val="single" w:sz="4" w:space="0" w:color="auto"/>
              <w:left w:val="single" w:sz="4" w:space="0" w:color="auto"/>
              <w:right w:val="single" w:sz="4" w:space="0" w:color="auto"/>
            </w:tcBorders>
          </w:tcPr>
          <w:p w14:paraId="1EA125B2" w14:textId="77777777" w:rsidR="001929CC" w:rsidRDefault="001929CC" w:rsidP="001929CC">
            <w:pPr>
              <w:snapToGrid w:val="0"/>
              <w:rPr>
                <w:sz w:val="16"/>
                <w:szCs w:val="16"/>
                <w:lang w:eastAsia="en-GB"/>
              </w:rPr>
            </w:pPr>
          </w:p>
        </w:tc>
        <w:tc>
          <w:tcPr>
            <w:tcW w:w="861" w:type="dxa"/>
            <w:tcBorders>
              <w:top w:val="single" w:sz="4" w:space="0" w:color="auto"/>
              <w:left w:val="single" w:sz="4" w:space="0" w:color="auto"/>
              <w:right w:val="single" w:sz="4" w:space="0" w:color="auto"/>
            </w:tcBorders>
          </w:tcPr>
          <w:p w14:paraId="272FCF75" w14:textId="77777777" w:rsidR="001929CC" w:rsidRDefault="001929CC" w:rsidP="001929CC">
            <w:pPr>
              <w:snapToGrid w:val="0"/>
              <w:rPr>
                <w:sz w:val="16"/>
                <w:szCs w:val="16"/>
                <w:lang w:eastAsia="en-GB"/>
              </w:rPr>
            </w:pPr>
          </w:p>
        </w:tc>
        <w:tc>
          <w:tcPr>
            <w:tcW w:w="910" w:type="dxa"/>
            <w:tcBorders>
              <w:top w:val="single" w:sz="4" w:space="0" w:color="auto"/>
              <w:left w:val="single" w:sz="4" w:space="0" w:color="auto"/>
              <w:right w:val="single" w:sz="4" w:space="0" w:color="auto"/>
            </w:tcBorders>
          </w:tcPr>
          <w:p w14:paraId="703676A8" w14:textId="77777777" w:rsidR="001929CC" w:rsidRDefault="001929CC" w:rsidP="001929CC">
            <w:pPr>
              <w:snapToGrid w:val="0"/>
              <w:rPr>
                <w:sz w:val="16"/>
                <w:szCs w:val="16"/>
                <w:lang w:eastAsia="en-GB"/>
              </w:rPr>
            </w:pPr>
          </w:p>
        </w:tc>
        <w:tc>
          <w:tcPr>
            <w:tcW w:w="910" w:type="dxa"/>
            <w:tcBorders>
              <w:top w:val="single" w:sz="4" w:space="0" w:color="auto"/>
              <w:left w:val="single" w:sz="4" w:space="0" w:color="auto"/>
              <w:right w:val="single" w:sz="4" w:space="0" w:color="auto"/>
            </w:tcBorders>
          </w:tcPr>
          <w:p w14:paraId="74730799" w14:textId="77777777" w:rsidR="001929CC" w:rsidRDefault="001929CC" w:rsidP="001929CC">
            <w:pPr>
              <w:snapToGrid w:val="0"/>
              <w:rPr>
                <w:sz w:val="16"/>
                <w:szCs w:val="16"/>
                <w:lang w:eastAsia="en-GB"/>
              </w:rPr>
            </w:pPr>
          </w:p>
        </w:tc>
        <w:tc>
          <w:tcPr>
            <w:tcW w:w="909" w:type="dxa"/>
            <w:tcBorders>
              <w:top w:val="single" w:sz="4" w:space="0" w:color="auto"/>
              <w:left w:val="single" w:sz="4" w:space="0" w:color="auto"/>
              <w:right w:val="single" w:sz="4" w:space="0" w:color="auto"/>
            </w:tcBorders>
          </w:tcPr>
          <w:p w14:paraId="7BF764DA" w14:textId="77777777" w:rsidR="001929CC" w:rsidRDefault="001929CC" w:rsidP="001929CC">
            <w:pPr>
              <w:snapToGrid w:val="0"/>
              <w:rPr>
                <w:sz w:val="16"/>
                <w:szCs w:val="16"/>
                <w:lang w:eastAsia="en-GB"/>
              </w:rPr>
            </w:pPr>
          </w:p>
        </w:tc>
        <w:tc>
          <w:tcPr>
            <w:tcW w:w="910" w:type="dxa"/>
            <w:tcBorders>
              <w:top w:val="single" w:sz="4" w:space="0" w:color="auto"/>
              <w:left w:val="single" w:sz="4" w:space="0" w:color="auto"/>
              <w:right w:val="single" w:sz="4" w:space="0" w:color="auto"/>
            </w:tcBorders>
          </w:tcPr>
          <w:p w14:paraId="5CE4EB2A" w14:textId="77777777" w:rsidR="001929CC" w:rsidRDefault="001929CC" w:rsidP="001929CC">
            <w:pPr>
              <w:snapToGrid w:val="0"/>
              <w:rPr>
                <w:sz w:val="16"/>
                <w:szCs w:val="16"/>
                <w:lang w:eastAsia="en-GB"/>
              </w:rPr>
            </w:pPr>
          </w:p>
        </w:tc>
        <w:tc>
          <w:tcPr>
            <w:tcW w:w="909" w:type="dxa"/>
            <w:tcBorders>
              <w:top w:val="single" w:sz="4" w:space="0" w:color="auto"/>
              <w:left w:val="single" w:sz="4" w:space="0" w:color="auto"/>
              <w:right w:val="single" w:sz="4" w:space="0" w:color="auto"/>
            </w:tcBorders>
          </w:tcPr>
          <w:p w14:paraId="551EA0B8" w14:textId="77777777" w:rsidR="001929CC" w:rsidRDefault="001929CC" w:rsidP="001929CC">
            <w:pPr>
              <w:snapToGrid w:val="0"/>
              <w:rPr>
                <w:sz w:val="16"/>
                <w:szCs w:val="16"/>
                <w:lang w:eastAsia="en-GB"/>
              </w:rPr>
            </w:pPr>
          </w:p>
        </w:tc>
        <w:tc>
          <w:tcPr>
            <w:tcW w:w="828" w:type="dxa"/>
            <w:tcBorders>
              <w:top w:val="single" w:sz="4" w:space="0" w:color="auto"/>
              <w:left w:val="single" w:sz="4" w:space="0" w:color="auto"/>
              <w:right w:val="single" w:sz="4" w:space="0" w:color="auto"/>
            </w:tcBorders>
          </w:tcPr>
          <w:p w14:paraId="1308935B" w14:textId="77777777" w:rsidR="001929CC" w:rsidRDefault="001929CC" w:rsidP="001929CC">
            <w:pPr>
              <w:snapToGrid w:val="0"/>
              <w:rPr>
                <w:sz w:val="16"/>
                <w:szCs w:val="16"/>
                <w:lang w:eastAsia="en-GB"/>
              </w:rPr>
            </w:pPr>
          </w:p>
        </w:tc>
        <w:tc>
          <w:tcPr>
            <w:tcW w:w="992" w:type="dxa"/>
            <w:tcBorders>
              <w:top w:val="single" w:sz="4" w:space="0" w:color="auto"/>
              <w:left w:val="single" w:sz="4" w:space="0" w:color="auto"/>
              <w:right w:val="single" w:sz="6" w:space="0" w:color="auto"/>
            </w:tcBorders>
            <w:shd w:val="clear" w:color="auto" w:fill="BFBFBF"/>
          </w:tcPr>
          <w:p w14:paraId="4B09BBBC" w14:textId="77777777" w:rsidR="001929CC" w:rsidRDefault="001929CC" w:rsidP="001929CC">
            <w:pPr>
              <w:snapToGrid w:val="0"/>
              <w:rPr>
                <w:sz w:val="16"/>
                <w:szCs w:val="16"/>
                <w:lang w:eastAsia="en-GB"/>
              </w:rPr>
            </w:pPr>
          </w:p>
        </w:tc>
      </w:tr>
      <w:tr w:rsidR="001929CC" w14:paraId="2569F21C" w14:textId="77777777" w:rsidTr="001929CC">
        <w:trPr>
          <w:cantSplit/>
        </w:trPr>
        <w:tc>
          <w:tcPr>
            <w:tcW w:w="1276" w:type="dxa"/>
            <w:vMerge/>
            <w:tcBorders>
              <w:left w:val="nil"/>
              <w:right w:val="single" w:sz="4" w:space="0" w:color="auto"/>
            </w:tcBorders>
          </w:tcPr>
          <w:p w14:paraId="31059511" w14:textId="77777777" w:rsidR="001929CC" w:rsidRDefault="001929CC" w:rsidP="001929CC">
            <w:pPr>
              <w:snapToGrid w:val="0"/>
              <w:rPr>
                <w:sz w:val="16"/>
                <w:szCs w:val="16"/>
                <w:lang w:eastAsia="en-GB"/>
              </w:rPr>
            </w:pPr>
          </w:p>
        </w:tc>
        <w:tc>
          <w:tcPr>
            <w:tcW w:w="1701" w:type="dxa"/>
            <w:tcBorders>
              <w:left w:val="single" w:sz="4" w:space="0" w:color="auto"/>
              <w:right w:val="single" w:sz="4" w:space="0" w:color="auto"/>
            </w:tcBorders>
          </w:tcPr>
          <w:p w14:paraId="3E347269" w14:textId="77777777" w:rsidR="001929CC" w:rsidRDefault="001929CC" w:rsidP="001929CC">
            <w:pPr>
              <w:snapToGrid w:val="0"/>
              <w:jc w:val="center"/>
              <w:rPr>
                <w:sz w:val="16"/>
                <w:szCs w:val="16"/>
                <w:lang w:eastAsia="en-GB"/>
              </w:rPr>
            </w:pPr>
            <w:r>
              <w:rPr>
                <w:sz w:val="16"/>
                <w:szCs w:val="16"/>
                <w:lang w:eastAsia="en-GB"/>
              </w:rPr>
              <w:t>0.15 to &lt; 0.25</w:t>
            </w:r>
          </w:p>
        </w:tc>
        <w:tc>
          <w:tcPr>
            <w:tcW w:w="909" w:type="dxa"/>
            <w:tcBorders>
              <w:left w:val="single" w:sz="4" w:space="0" w:color="auto"/>
              <w:right w:val="single" w:sz="4" w:space="0" w:color="auto"/>
            </w:tcBorders>
          </w:tcPr>
          <w:p w14:paraId="7D15F9B0" w14:textId="77777777" w:rsidR="001929CC" w:rsidRDefault="001929CC" w:rsidP="001929CC">
            <w:pPr>
              <w:snapToGrid w:val="0"/>
              <w:rPr>
                <w:sz w:val="16"/>
                <w:szCs w:val="16"/>
                <w:lang w:eastAsia="en-GB"/>
              </w:rPr>
            </w:pPr>
          </w:p>
        </w:tc>
        <w:tc>
          <w:tcPr>
            <w:tcW w:w="934" w:type="dxa"/>
            <w:tcBorders>
              <w:left w:val="single" w:sz="4" w:space="0" w:color="auto"/>
              <w:right w:val="single" w:sz="4" w:space="0" w:color="auto"/>
            </w:tcBorders>
          </w:tcPr>
          <w:p w14:paraId="4F18C315" w14:textId="77777777" w:rsidR="001929CC" w:rsidRDefault="001929CC" w:rsidP="001929CC">
            <w:pPr>
              <w:snapToGrid w:val="0"/>
              <w:rPr>
                <w:sz w:val="16"/>
                <w:szCs w:val="16"/>
                <w:lang w:eastAsia="en-GB"/>
              </w:rPr>
            </w:pPr>
          </w:p>
        </w:tc>
        <w:tc>
          <w:tcPr>
            <w:tcW w:w="885" w:type="dxa"/>
            <w:tcBorders>
              <w:left w:val="single" w:sz="4" w:space="0" w:color="auto"/>
              <w:right w:val="single" w:sz="4" w:space="0" w:color="auto"/>
            </w:tcBorders>
          </w:tcPr>
          <w:p w14:paraId="0400D712" w14:textId="77777777" w:rsidR="001929CC" w:rsidRDefault="001929CC" w:rsidP="001929CC">
            <w:pPr>
              <w:snapToGrid w:val="0"/>
              <w:rPr>
                <w:sz w:val="16"/>
                <w:szCs w:val="16"/>
                <w:lang w:eastAsia="en-GB"/>
              </w:rPr>
            </w:pPr>
          </w:p>
        </w:tc>
        <w:tc>
          <w:tcPr>
            <w:tcW w:w="958" w:type="dxa"/>
            <w:tcBorders>
              <w:left w:val="single" w:sz="4" w:space="0" w:color="auto"/>
              <w:right w:val="single" w:sz="4" w:space="0" w:color="auto"/>
            </w:tcBorders>
          </w:tcPr>
          <w:p w14:paraId="2F478A3B" w14:textId="77777777" w:rsidR="001929CC" w:rsidRDefault="001929CC" w:rsidP="001929CC">
            <w:pPr>
              <w:snapToGrid w:val="0"/>
              <w:rPr>
                <w:sz w:val="16"/>
                <w:szCs w:val="16"/>
                <w:lang w:eastAsia="en-GB"/>
              </w:rPr>
            </w:pPr>
          </w:p>
        </w:tc>
        <w:tc>
          <w:tcPr>
            <w:tcW w:w="861" w:type="dxa"/>
            <w:tcBorders>
              <w:left w:val="single" w:sz="4" w:space="0" w:color="auto"/>
              <w:right w:val="single" w:sz="4" w:space="0" w:color="auto"/>
            </w:tcBorders>
          </w:tcPr>
          <w:p w14:paraId="668ED837"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1109AD92"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3B54699F" w14:textId="77777777" w:rsidR="001929CC" w:rsidRDefault="001929CC" w:rsidP="001929CC">
            <w:pPr>
              <w:snapToGrid w:val="0"/>
              <w:rPr>
                <w:sz w:val="16"/>
                <w:szCs w:val="16"/>
                <w:lang w:eastAsia="en-GB"/>
              </w:rPr>
            </w:pPr>
          </w:p>
        </w:tc>
        <w:tc>
          <w:tcPr>
            <w:tcW w:w="909" w:type="dxa"/>
            <w:tcBorders>
              <w:left w:val="single" w:sz="4" w:space="0" w:color="auto"/>
              <w:right w:val="single" w:sz="4" w:space="0" w:color="auto"/>
            </w:tcBorders>
          </w:tcPr>
          <w:p w14:paraId="3064B95A"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23277B34" w14:textId="77777777" w:rsidR="001929CC" w:rsidRDefault="001929CC" w:rsidP="001929CC">
            <w:pPr>
              <w:snapToGrid w:val="0"/>
              <w:rPr>
                <w:sz w:val="16"/>
                <w:szCs w:val="16"/>
                <w:lang w:eastAsia="en-GB"/>
              </w:rPr>
            </w:pPr>
          </w:p>
        </w:tc>
        <w:tc>
          <w:tcPr>
            <w:tcW w:w="909" w:type="dxa"/>
            <w:tcBorders>
              <w:left w:val="single" w:sz="4" w:space="0" w:color="auto"/>
              <w:right w:val="single" w:sz="4" w:space="0" w:color="auto"/>
            </w:tcBorders>
          </w:tcPr>
          <w:p w14:paraId="3CAE34A3" w14:textId="77777777" w:rsidR="001929CC" w:rsidRDefault="001929CC" w:rsidP="001929CC">
            <w:pPr>
              <w:snapToGrid w:val="0"/>
              <w:rPr>
                <w:sz w:val="16"/>
                <w:szCs w:val="16"/>
                <w:lang w:eastAsia="en-GB"/>
              </w:rPr>
            </w:pPr>
          </w:p>
        </w:tc>
        <w:tc>
          <w:tcPr>
            <w:tcW w:w="828" w:type="dxa"/>
            <w:tcBorders>
              <w:left w:val="single" w:sz="4" w:space="0" w:color="auto"/>
              <w:right w:val="single" w:sz="4" w:space="0" w:color="auto"/>
            </w:tcBorders>
          </w:tcPr>
          <w:p w14:paraId="02261448" w14:textId="77777777" w:rsidR="001929CC" w:rsidRDefault="001929CC" w:rsidP="001929CC">
            <w:pPr>
              <w:snapToGrid w:val="0"/>
              <w:rPr>
                <w:sz w:val="16"/>
                <w:szCs w:val="16"/>
                <w:lang w:eastAsia="en-GB"/>
              </w:rPr>
            </w:pPr>
          </w:p>
        </w:tc>
        <w:tc>
          <w:tcPr>
            <w:tcW w:w="992" w:type="dxa"/>
            <w:tcBorders>
              <w:left w:val="single" w:sz="4" w:space="0" w:color="auto"/>
              <w:right w:val="single" w:sz="6" w:space="0" w:color="auto"/>
            </w:tcBorders>
            <w:shd w:val="clear" w:color="auto" w:fill="BFBFBF"/>
          </w:tcPr>
          <w:p w14:paraId="09E4B114" w14:textId="77777777" w:rsidR="001929CC" w:rsidRDefault="001929CC" w:rsidP="001929CC">
            <w:pPr>
              <w:snapToGrid w:val="0"/>
              <w:rPr>
                <w:sz w:val="16"/>
                <w:szCs w:val="16"/>
                <w:lang w:eastAsia="en-GB"/>
              </w:rPr>
            </w:pPr>
          </w:p>
        </w:tc>
      </w:tr>
      <w:tr w:rsidR="001929CC" w14:paraId="0826ED1B" w14:textId="77777777" w:rsidTr="001929CC">
        <w:trPr>
          <w:cantSplit/>
        </w:trPr>
        <w:tc>
          <w:tcPr>
            <w:tcW w:w="1276" w:type="dxa"/>
            <w:vMerge/>
            <w:tcBorders>
              <w:left w:val="nil"/>
              <w:right w:val="single" w:sz="4" w:space="0" w:color="auto"/>
            </w:tcBorders>
          </w:tcPr>
          <w:p w14:paraId="6C79DC39" w14:textId="77777777" w:rsidR="001929CC" w:rsidRDefault="001929CC" w:rsidP="001929CC">
            <w:pPr>
              <w:snapToGrid w:val="0"/>
              <w:rPr>
                <w:sz w:val="16"/>
                <w:szCs w:val="16"/>
                <w:lang w:eastAsia="en-GB"/>
              </w:rPr>
            </w:pPr>
          </w:p>
        </w:tc>
        <w:tc>
          <w:tcPr>
            <w:tcW w:w="1701" w:type="dxa"/>
            <w:tcBorders>
              <w:left w:val="single" w:sz="4" w:space="0" w:color="auto"/>
              <w:right w:val="single" w:sz="4" w:space="0" w:color="auto"/>
            </w:tcBorders>
          </w:tcPr>
          <w:p w14:paraId="1A027347" w14:textId="77777777" w:rsidR="001929CC" w:rsidRDefault="001929CC" w:rsidP="001929CC">
            <w:pPr>
              <w:snapToGrid w:val="0"/>
              <w:jc w:val="center"/>
              <w:rPr>
                <w:sz w:val="16"/>
                <w:szCs w:val="16"/>
                <w:lang w:eastAsia="en-GB"/>
              </w:rPr>
            </w:pPr>
            <w:r>
              <w:rPr>
                <w:sz w:val="16"/>
                <w:szCs w:val="16"/>
                <w:lang w:eastAsia="en-GB"/>
              </w:rPr>
              <w:t>0.25 to &lt; 0.50</w:t>
            </w:r>
          </w:p>
        </w:tc>
        <w:tc>
          <w:tcPr>
            <w:tcW w:w="909" w:type="dxa"/>
            <w:tcBorders>
              <w:left w:val="single" w:sz="4" w:space="0" w:color="auto"/>
              <w:right w:val="single" w:sz="4" w:space="0" w:color="auto"/>
            </w:tcBorders>
          </w:tcPr>
          <w:p w14:paraId="6B0D30B3" w14:textId="77777777" w:rsidR="001929CC" w:rsidRDefault="001929CC" w:rsidP="001929CC">
            <w:pPr>
              <w:snapToGrid w:val="0"/>
              <w:rPr>
                <w:sz w:val="16"/>
                <w:szCs w:val="16"/>
                <w:lang w:eastAsia="en-GB"/>
              </w:rPr>
            </w:pPr>
          </w:p>
        </w:tc>
        <w:tc>
          <w:tcPr>
            <w:tcW w:w="934" w:type="dxa"/>
            <w:tcBorders>
              <w:left w:val="single" w:sz="4" w:space="0" w:color="auto"/>
              <w:right w:val="single" w:sz="4" w:space="0" w:color="auto"/>
            </w:tcBorders>
          </w:tcPr>
          <w:p w14:paraId="74122EEC" w14:textId="77777777" w:rsidR="001929CC" w:rsidRDefault="001929CC" w:rsidP="001929CC">
            <w:pPr>
              <w:snapToGrid w:val="0"/>
              <w:rPr>
                <w:sz w:val="16"/>
                <w:szCs w:val="16"/>
                <w:lang w:eastAsia="en-GB"/>
              </w:rPr>
            </w:pPr>
          </w:p>
        </w:tc>
        <w:tc>
          <w:tcPr>
            <w:tcW w:w="885" w:type="dxa"/>
            <w:tcBorders>
              <w:left w:val="single" w:sz="4" w:space="0" w:color="auto"/>
              <w:right w:val="single" w:sz="4" w:space="0" w:color="auto"/>
            </w:tcBorders>
          </w:tcPr>
          <w:p w14:paraId="789F0326" w14:textId="77777777" w:rsidR="001929CC" w:rsidRDefault="001929CC" w:rsidP="001929CC">
            <w:pPr>
              <w:snapToGrid w:val="0"/>
              <w:rPr>
                <w:sz w:val="16"/>
                <w:szCs w:val="16"/>
                <w:lang w:eastAsia="en-GB"/>
              </w:rPr>
            </w:pPr>
          </w:p>
        </w:tc>
        <w:tc>
          <w:tcPr>
            <w:tcW w:w="958" w:type="dxa"/>
            <w:tcBorders>
              <w:left w:val="single" w:sz="4" w:space="0" w:color="auto"/>
              <w:right w:val="single" w:sz="4" w:space="0" w:color="auto"/>
            </w:tcBorders>
          </w:tcPr>
          <w:p w14:paraId="0748CCE8" w14:textId="77777777" w:rsidR="001929CC" w:rsidRDefault="001929CC" w:rsidP="001929CC">
            <w:pPr>
              <w:snapToGrid w:val="0"/>
              <w:rPr>
                <w:sz w:val="16"/>
                <w:szCs w:val="16"/>
                <w:lang w:eastAsia="en-GB"/>
              </w:rPr>
            </w:pPr>
          </w:p>
        </w:tc>
        <w:tc>
          <w:tcPr>
            <w:tcW w:w="861" w:type="dxa"/>
            <w:tcBorders>
              <w:left w:val="single" w:sz="4" w:space="0" w:color="auto"/>
              <w:right w:val="single" w:sz="4" w:space="0" w:color="auto"/>
            </w:tcBorders>
          </w:tcPr>
          <w:p w14:paraId="0EE99CC0"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332F3BA1"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360F6D13" w14:textId="77777777" w:rsidR="001929CC" w:rsidRDefault="001929CC" w:rsidP="001929CC">
            <w:pPr>
              <w:snapToGrid w:val="0"/>
              <w:rPr>
                <w:sz w:val="16"/>
                <w:szCs w:val="16"/>
                <w:lang w:eastAsia="en-GB"/>
              </w:rPr>
            </w:pPr>
          </w:p>
        </w:tc>
        <w:tc>
          <w:tcPr>
            <w:tcW w:w="909" w:type="dxa"/>
            <w:tcBorders>
              <w:left w:val="single" w:sz="4" w:space="0" w:color="auto"/>
              <w:right w:val="single" w:sz="4" w:space="0" w:color="auto"/>
            </w:tcBorders>
          </w:tcPr>
          <w:p w14:paraId="08D846BA"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6C1DF25C" w14:textId="77777777" w:rsidR="001929CC" w:rsidRDefault="001929CC" w:rsidP="001929CC">
            <w:pPr>
              <w:snapToGrid w:val="0"/>
              <w:rPr>
                <w:sz w:val="16"/>
                <w:szCs w:val="16"/>
                <w:lang w:eastAsia="en-GB"/>
              </w:rPr>
            </w:pPr>
          </w:p>
        </w:tc>
        <w:tc>
          <w:tcPr>
            <w:tcW w:w="909" w:type="dxa"/>
            <w:tcBorders>
              <w:left w:val="single" w:sz="4" w:space="0" w:color="auto"/>
              <w:right w:val="single" w:sz="4" w:space="0" w:color="auto"/>
            </w:tcBorders>
          </w:tcPr>
          <w:p w14:paraId="53E79461" w14:textId="77777777" w:rsidR="001929CC" w:rsidRDefault="001929CC" w:rsidP="001929CC">
            <w:pPr>
              <w:snapToGrid w:val="0"/>
              <w:rPr>
                <w:sz w:val="16"/>
                <w:szCs w:val="16"/>
                <w:lang w:eastAsia="en-GB"/>
              </w:rPr>
            </w:pPr>
          </w:p>
        </w:tc>
        <w:tc>
          <w:tcPr>
            <w:tcW w:w="828" w:type="dxa"/>
            <w:tcBorders>
              <w:left w:val="single" w:sz="4" w:space="0" w:color="auto"/>
              <w:right w:val="single" w:sz="4" w:space="0" w:color="auto"/>
            </w:tcBorders>
          </w:tcPr>
          <w:p w14:paraId="763428DF" w14:textId="77777777" w:rsidR="001929CC" w:rsidRDefault="001929CC" w:rsidP="001929CC">
            <w:pPr>
              <w:snapToGrid w:val="0"/>
              <w:rPr>
                <w:sz w:val="16"/>
                <w:szCs w:val="16"/>
                <w:lang w:eastAsia="en-GB"/>
              </w:rPr>
            </w:pPr>
          </w:p>
        </w:tc>
        <w:tc>
          <w:tcPr>
            <w:tcW w:w="992" w:type="dxa"/>
            <w:tcBorders>
              <w:left w:val="single" w:sz="4" w:space="0" w:color="auto"/>
              <w:right w:val="single" w:sz="6" w:space="0" w:color="auto"/>
            </w:tcBorders>
            <w:shd w:val="clear" w:color="auto" w:fill="BFBFBF"/>
          </w:tcPr>
          <w:p w14:paraId="4A10F8D5" w14:textId="77777777" w:rsidR="001929CC" w:rsidRDefault="001929CC" w:rsidP="001929CC">
            <w:pPr>
              <w:snapToGrid w:val="0"/>
              <w:rPr>
                <w:sz w:val="16"/>
                <w:szCs w:val="16"/>
                <w:lang w:eastAsia="en-GB"/>
              </w:rPr>
            </w:pPr>
          </w:p>
        </w:tc>
      </w:tr>
      <w:tr w:rsidR="001929CC" w14:paraId="2DD3F0EA" w14:textId="77777777" w:rsidTr="001929CC">
        <w:trPr>
          <w:cantSplit/>
        </w:trPr>
        <w:tc>
          <w:tcPr>
            <w:tcW w:w="1276" w:type="dxa"/>
            <w:vMerge/>
            <w:tcBorders>
              <w:left w:val="nil"/>
              <w:right w:val="single" w:sz="4" w:space="0" w:color="auto"/>
            </w:tcBorders>
          </w:tcPr>
          <w:p w14:paraId="5862E399" w14:textId="77777777" w:rsidR="001929CC" w:rsidRDefault="001929CC" w:rsidP="001929CC">
            <w:pPr>
              <w:snapToGrid w:val="0"/>
              <w:rPr>
                <w:sz w:val="16"/>
                <w:szCs w:val="16"/>
                <w:lang w:eastAsia="en-GB"/>
              </w:rPr>
            </w:pPr>
          </w:p>
        </w:tc>
        <w:tc>
          <w:tcPr>
            <w:tcW w:w="1701" w:type="dxa"/>
            <w:tcBorders>
              <w:left w:val="single" w:sz="4" w:space="0" w:color="auto"/>
              <w:right w:val="single" w:sz="4" w:space="0" w:color="auto"/>
            </w:tcBorders>
          </w:tcPr>
          <w:p w14:paraId="64C246A9" w14:textId="77777777" w:rsidR="001929CC" w:rsidRDefault="001929CC" w:rsidP="001929CC">
            <w:pPr>
              <w:snapToGrid w:val="0"/>
              <w:jc w:val="center"/>
              <w:rPr>
                <w:sz w:val="16"/>
                <w:szCs w:val="16"/>
                <w:lang w:eastAsia="en-GB"/>
              </w:rPr>
            </w:pPr>
            <w:r>
              <w:rPr>
                <w:sz w:val="16"/>
                <w:szCs w:val="16"/>
                <w:lang w:eastAsia="en-GB"/>
              </w:rPr>
              <w:t>0.50 to &lt; 0.75</w:t>
            </w:r>
          </w:p>
        </w:tc>
        <w:tc>
          <w:tcPr>
            <w:tcW w:w="909" w:type="dxa"/>
            <w:tcBorders>
              <w:left w:val="single" w:sz="4" w:space="0" w:color="auto"/>
              <w:right w:val="single" w:sz="4" w:space="0" w:color="auto"/>
            </w:tcBorders>
          </w:tcPr>
          <w:p w14:paraId="0C1DB8AF" w14:textId="77777777" w:rsidR="001929CC" w:rsidRDefault="001929CC" w:rsidP="001929CC">
            <w:pPr>
              <w:snapToGrid w:val="0"/>
              <w:rPr>
                <w:sz w:val="16"/>
                <w:szCs w:val="16"/>
                <w:lang w:eastAsia="en-GB"/>
              </w:rPr>
            </w:pPr>
          </w:p>
        </w:tc>
        <w:tc>
          <w:tcPr>
            <w:tcW w:w="934" w:type="dxa"/>
            <w:tcBorders>
              <w:left w:val="single" w:sz="4" w:space="0" w:color="auto"/>
              <w:right w:val="single" w:sz="4" w:space="0" w:color="auto"/>
            </w:tcBorders>
          </w:tcPr>
          <w:p w14:paraId="6B42CBA4" w14:textId="77777777" w:rsidR="001929CC" w:rsidRDefault="001929CC" w:rsidP="001929CC">
            <w:pPr>
              <w:snapToGrid w:val="0"/>
              <w:rPr>
                <w:sz w:val="16"/>
                <w:szCs w:val="16"/>
                <w:lang w:eastAsia="en-GB"/>
              </w:rPr>
            </w:pPr>
          </w:p>
        </w:tc>
        <w:tc>
          <w:tcPr>
            <w:tcW w:w="885" w:type="dxa"/>
            <w:tcBorders>
              <w:left w:val="single" w:sz="4" w:space="0" w:color="auto"/>
              <w:right w:val="single" w:sz="4" w:space="0" w:color="auto"/>
            </w:tcBorders>
          </w:tcPr>
          <w:p w14:paraId="7C8B4A03" w14:textId="77777777" w:rsidR="001929CC" w:rsidRDefault="001929CC" w:rsidP="001929CC">
            <w:pPr>
              <w:snapToGrid w:val="0"/>
              <w:rPr>
                <w:sz w:val="16"/>
                <w:szCs w:val="16"/>
                <w:lang w:eastAsia="en-GB"/>
              </w:rPr>
            </w:pPr>
          </w:p>
        </w:tc>
        <w:tc>
          <w:tcPr>
            <w:tcW w:w="958" w:type="dxa"/>
            <w:tcBorders>
              <w:left w:val="single" w:sz="4" w:space="0" w:color="auto"/>
              <w:right w:val="single" w:sz="4" w:space="0" w:color="auto"/>
            </w:tcBorders>
          </w:tcPr>
          <w:p w14:paraId="06A3439D" w14:textId="77777777" w:rsidR="001929CC" w:rsidRDefault="001929CC" w:rsidP="001929CC">
            <w:pPr>
              <w:snapToGrid w:val="0"/>
              <w:rPr>
                <w:sz w:val="16"/>
                <w:szCs w:val="16"/>
                <w:lang w:eastAsia="en-GB"/>
              </w:rPr>
            </w:pPr>
          </w:p>
        </w:tc>
        <w:tc>
          <w:tcPr>
            <w:tcW w:w="861" w:type="dxa"/>
            <w:tcBorders>
              <w:left w:val="single" w:sz="4" w:space="0" w:color="auto"/>
              <w:right w:val="single" w:sz="4" w:space="0" w:color="auto"/>
            </w:tcBorders>
          </w:tcPr>
          <w:p w14:paraId="40658E84"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13192570"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46BDF81A" w14:textId="77777777" w:rsidR="001929CC" w:rsidRDefault="001929CC" w:rsidP="001929CC">
            <w:pPr>
              <w:snapToGrid w:val="0"/>
              <w:rPr>
                <w:sz w:val="16"/>
                <w:szCs w:val="16"/>
                <w:lang w:eastAsia="en-GB"/>
              </w:rPr>
            </w:pPr>
          </w:p>
        </w:tc>
        <w:tc>
          <w:tcPr>
            <w:tcW w:w="909" w:type="dxa"/>
            <w:tcBorders>
              <w:left w:val="single" w:sz="4" w:space="0" w:color="auto"/>
              <w:right w:val="single" w:sz="4" w:space="0" w:color="auto"/>
            </w:tcBorders>
          </w:tcPr>
          <w:p w14:paraId="00E3E30D"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418A28E3" w14:textId="77777777" w:rsidR="001929CC" w:rsidRDefault="001929CC" w:rsidP="001929CC">
            <w:pPr>
              <w:snapToGrid w:val="0"/>
              <w:rPr>
                <w:sz w:val="16"/>
                <w:szCs w:val="16"/>
                <w:lang w:eastAsia="en-GB"/>
              </w:rPr>
            </w:pPr>
          </w:p>
        </w:tc>
        <w:tc>
          <w:tcPr>
            <w:tcW w:w="909" w:type="dxa"/>
            <w:tcBorders>
              <w:left w:val="single" w:sz="4" w:space="0" w:color="auto"/>
              <w:right w:val="single" w:sz="4" w:space="0" w:color="auto"/>
            </w:tcBorders>
          </w:tcPr>
          <w:p w14:paraId="6C4F6B06" w14:textId="77777777" w:rsidR="001929CC" w:rsidRDefault="001929CC" w:rsidP="001929CC">
            <w:pPr>
              <w:snapToGrid w:val="0"/>
              <w:rPr>
                <w:sz w:val="16"/>
                <w:szCs w:val="16"/>
                <w:lang w:eastAsia="en-GB"/>
              </w:rPr>
            </w:pPr>
          </w:p>
        </w:tc>
        <w:tc>
          <w:tcPr>
            <w:tcW w:w="828" w:type="dxa"/>
            <w:tcBorders>
              <w:left w:val="single" w:sz="4" w:space="0" w:color="auto"/>
              <w:right w:val="single" w:sz="4" w:space="0" w:color="auto"/>
            </w:tcBorders>
          </w:tcPr>
          <w:p w14:paraId="3DC9B353" w14:textId="77777777" w:rsidR="001929CC" w:rsidRDefault="001929CC" w:rsidP="001929CC">
            <w:pPr>
              <w:snapToGrid w:val="0"/>
              <w:rPr>
                <w:sz w:val="16"/>
                <w:szCs w:val="16"/>
                <w:lang w:eastAsia="en-GB"/>
              </w:rPr>
            </w:pPr>
          </w:p>
        </w:tc>
        <w:tc>
          <w:tcPr>
            <w:tcW w:w="992" w:type="dxa"/>
            <w:tcBorders>
              <w:left w:val="single" w:sz="4" w:space="0" w:color="auto"/>
              <w:right w:val="single" w:sz="6" w:space="0" w:color="auto"/>
            </w:tcBorders>
            <w:shd w:val="clear" w:color="auto" w:fill="BFBFBF"/>
          </w:tcPr>
          <w:p w14:paraId="7DF15196" w14:textId="77777777" w:rsidR="001929CC" w:rsidRDefault="001929CC" w:rsidP="001929CC">
            <w:pPr>
              <w:snapToGrid w:val="0"/>
              <w:rPr>
                <w:sz w:val="16"/>
                <w:szCs w:val="16"/>
                <w:lang w:eastAsia="en-GB"/>
              </w:rPr>
            </w:pPr>
          </w:p>
        </w:tc>
      </w:tr>
      <w:tr w:rsidR="001929CC" w14:paraId="662554CD" w14:textId="77777777" w:rsidTr="001929CC">
        <w:trPr>
          <w:cantSplit/>
        </w:trPr>
        <w:tc>
          <w:tcPr>
            <w:tcW w:w="1276" w:type="dxa"/>
            <w:vMerge/>
            <w:tcBorders>
              <w:left w:val="nil"/>
              <w:right w:val="single" w:sz="4" w:space="0" w:color="auto"/>
            </w:tcBorders>
          </w:tcPr>
          <w:p w14:paraId="36CDF994" w14:textId="77777777" w:rsidR="001929CC" w:rsidRDefault="001929CC" w:rsidP="001929CC">
            <w:pPr>
              <w:snapToGrid w:val="0"/>
              <w:rPr>
                <w:sz w:val="16"/>
                <w:szCs w:val="16"/>
                <w:lang w:eastAsia="en-GB"/>
              </w:rPr>
            </w:pPr>
          </w:p>
        </w:tc>
        <w:tc>
          <w:tcPr>
            <w:tcW w:w="1701" w:type="dxa"/>
            <w:tcBorders>
              <w:left w:val="single" w:sz="4" w:space="0" w:color="auto"/>
              <w:right w:val="single" w:sz="4" w:space="0" w:color="auto"/>
            </w:tcBorders>
          </w:tcPr>
          <w:p w14:paraId="16EC81ED" w14:textId="77777777" w:rsidR="001929CC" w:rsidRDefault="001929CC" w:rsidP="001929CC">
            <w:pPr>
              <w:snapToGrid w:val="0"/>
              <w:jc w:val="center"/>
              <w:rPr>
                <w:sz w:val="16"/>
                <w:szCs w:val="16"/>
                <w:lang w:eastAsia="en-GB"/>
              </w:rPr>
            </w:pPr>
            <w:r>
              <w:rPr>
                <w:sz w:val="16"/>
                <w:szCs w:val="16"/>
                <w:lang w:eastAsia="en-GB"/>
              </w:rPr>
              <w:t>0.75 to &lt; 2.50</w:t>
            </w:r>
          </w:p>
        </w:tc>
        <w:tc>
          <w:tcPr>
            <w:tcW w:w="909" w:type="dxa"/>
            <w:tcBorders>
              <w:left w:val="single" w:sz="4" w:space="0" w:color="auto"/>
              <w:right w:val="single" w:sz="4" w:space="0" w:color="auto"/>
            </w:tcBorders>
          </w:tcPr>
          <w:p w14:paraId="0A412ECD" w14:textId="77777777" w:rsidR="001929CC" w:rsidRDefault="001929CC" w:rsidP="001929CC">
            <w:pPr>
              <w:snapToGrid w:val="0"/>
              <w:rPr>
                <w:sz w:val="16"/>
                <w:szCs w:val="16"/>
                <w:lang w:eastAsia="en-GB"/>
              </w:rPr>
            </w:pPr>
          </w:p>
        </w:tc>
        <w:tc>
          <w:tcPr>
            <w:tcW w:w="934" w:type="dxa"/>
            <w:tcBorders>
              <w:left w:val="single" w:sz="4" w:space="0" w:color="auto"/>
              <w:right w:val="single" w:sz="4" w:space="0" w:color="auto"/>
            </w:tcBorders>
          </w:tcPr>
          <w:p w14:paraId="01AD2FD0" w14:textId="77777777" w:rsidR="001929CC" w:rsidRDefault="001929CC" w:rsidP="001929CC">
            <w:pPr>
              <w:snapToGrid w:val="0"/>
              <w:rPr>
                <w:sz w:val="16"/>
                <w:szCs w:val="16"/>
                <w:lang w:eastAsia="en-GB"/>
              </w:rPr>
            </w:pPr>
          </w:p>
        </w:tc>
        <w:tc>
          <w:tcPr>
            <w:tcW w:w="885" w:type="dxa"/>
            <w:tcBorders>
              <w:left w:val="single" w:sz="4" w:space="0" w:color="auto"/>
              <w:right w:val="single" w:sz="4" w:space="0" w:color="auto"/>
            </w:tcBorders>
          </w:tcPr>
          <w:p w14:paraId="6C100106" w14:textId="77777777" w:rsidR="001929CC" w:rsidRDefault="001929CC" w:rsidP="001929CC">
            <w:pPr>
              <w:snapToGrid w:val="0"/>
              <w:rPr>
                <w:sz w:val="16"/>
                <w:szCs w:val="16"/>
                <w:lang w:eastAsia="en-GB"/>
              </w:rPr>
            </w:pPr>
          </w:p>
        </w:tc>
        <w:tc>
          <w:tcPr>
            <w:tcW w:w="958" w:type="dxa"/>
            <w:tcBorders>
              <w:left w:val="single" w:sz="4" w:space="0" w:color="auto"/>
              <w:right w:val="single" w:sz="4" w:space="0" w:color="auto"/>
            </w:tcBorders>
          </w:tcPr>
          <w:p w14:paraId="3D042171" w14:textId="77777777" w:rsidR="001929CC" w:rsidRDefault="001929CC" w:rsidP="001929CC">
            <w:pPr>
              <w:snapToGrid w:val="0"/>
              <w:rPr>
                <w:sz w:val="16"/>
                <w:szCs w:val="16"/>
                <w:lang w:eastAsia="en-GB"/>
              </w:rPr>
            </w:pPr>
          </w:p>
        </w:tc>
        <w:tc>
          <w:tcPr>
            <w:tcW w:w="861" w:type="dxa"/>
            <w:tcBorders>
              <w:left w:val="single" w:sz="4" w:space="0" w:color="auto"/>
              <w:right w:val="single" w:sz="4" w:space="0" w:color="auto"/>
            </w:tcBorders>
          </w:tcPr>
          <w:p w14:paraId="6283C9EF"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74E6C683"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545A96FC" w14:textId="77777777" w:rsidR="001929CC" w:rsidRDefault="001929CC" w:rsidP="001929CC">
            <w:pPr>
              <w:snapToGrid w:val="0"/>
              <w:rPr>
                <w:sz w:val="16"/>
                <w:szCs w:val="16"/>
                <w:lang w:eastAsia="en-GB"/>
              </w:rPr>
            </w:pPr>
          </w:p>
        </w:tc>
        <w:tc>
          <w:tcPr>
            <w:tcW w:w="909" w:type="dxa"/>
            <w:tcBorders>
              <w:left w:val="single" w:sz="4" w:space="0" w:color="auto"/>
              <w:right w:val="single" w:sz="4" w:space="0" w:color="auto"/>
            </w:tcBorders>
          </w:tcPr>
          <w:p w14:paraId="325F2414"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06F7E7A4" w14:textId="77777777" w:rsidR="001929CC" w:rsidRDefault="001929CC" w:rsidP="001929CC">
            <w:pPr>
              <w:snapToGrid w:val="0"/>
              <w:rPr>
                <w:sz w:val="16"/>
                <w:szCs w:val="16"/>
                <w:lang w:eastAsia="en-GB"/>
              </w:rPr>
            </w:pPr>
          </w:p>
        </w:tc>
        <w:tc>
          <w:tcPr>
            <w:tcW w:w="909" w:type="dxa"/>
            <w:tcBorders>
              <w:left w:val="single" w:sz="4" w:space="0" w:color="auto"/>
              <w:right w:val="single" w:sz="4" w:space="0" w:color="auto"/>
            </w:tcBorders>
          </w:tcPr>
          <w:p w14:paraId="6F7E1FEB" w14:textId="77777777" w:rsidR="001929CC" w:rsidRDefault="001929CC" w:rsidP="001929CC">
            <w:pPr>
              <w:snapToGrid w:val="0"/>
              <w:rPr>
                <w:sz w:val="16"/>
                <w:szCs w:val="16"/>
                <w:lang w:eastAsia="en-GB"/>
              </w:rPr>
            </w:pPr>
          </w:p>
        </w:tc>
        <w:tc>
          <w:tcPr>
            <w:tcW w:w="828" w:type="dxa"/>
            <w:tcBorders>
              <w:left w:val="single" w:sz="4" w:space="0" w:color="auto"/>
              <w:right w:val="single" w:sz="4" w:space="0" w:color="auto"/>
            </w:tcBorders>
          </w:tcPr>
          <w:p w14:paraId="549B740E" w14:textId="77777777" w:rsidR="001929CC" w:rsidRDefault="001929CC" w:rsidP="001929CC">
            <w:pPr>
              <w:snapToGrid w:val="0"/>
              <w:rPr>
                <w:sz w:val="16"/>
                <w:szCs w:val="16"/>
                <w:lang w:eastAsia="en-GB"/>
              </w:rPr>
            </w:pPr>
          </w:p>
        </w:tc>
        <w:tc>
          <w:tcPr>
            <w:tcW w:w="992" w:type="dxa"/>
            <w:tcBorders>
              <w:left w:val="single" w:sz="4" w:space="0" w:color="auto"/>
              <w:right w:val="single" w:sz="6" w:space="0" w:color="auto"/>
            </w:tcBorders>
            <w:shd w:val="clear" w:color="auto" w:fill="BFBFBF"/>
          </w:tcPr>
          <w:p w14:paraId="6AC01653" w14:textId="77777777" w:rsidR="001929CC" w:rsidRDefault="001929CC" w:rsidP="001929CC">
            <w:pPr>
              <w:snapToGrid w:val="0"/>
              <w:rPr>
                <w:sz w:val="16"/>
                <w:szCs w:val="16"/>
                <w:lang w:eastAsia="en-GB"/>
              </w:rPr>
            </w:pPr>
          </w:p>
        </w:tc>
      </w:tr>
      <w:tr w:rsidR="001929CC" w14:paraId="1475EA94" w14:textId="77777777" w:rsidTr="001929CC">
        <w:trPr>
          <w:cantSplit/>
        </w:trPr>
        <w:tc>
          <w:tcPr>
            <w:tcW w:w="1276" w:type="dxa"/>
            <w:vMerge/>
            <w:tcBorders>
              <w:left w:val="nil"/>
              <w:right w:val="single" w:sz="4" w:space="0" w:color="auto"/>
            </w:tcBorders>
          </w:tcPr>
          <w:p w14:paraId="413336D5" w14:textId="77777777" w:rsidR="001929CC" w:rsidRDefault="001929CC" w:rsidP="001929CC">
            <w:pPr>
              <w:snapToGrid w:val="0"/>
              <w:rPr>
                <w:sz w:val="16"/>
                <w:szCs w:val="16"/>
                <w:lang w:eastAsia="en-GB"/>
              </w:rPr>
            </w:pPr>
          </w:p>
        </w:tc>
        <w:tc>
          <w:tcPr>
            <w:tcW w:w="1701" w:type="dxa"/>
            <w:tcBorders>
              <w:left w:val="single" w:sz="4" w:space="0" w:color="auto"/>
              <w:right w:val="single" w:sz="4" w:space="0" w:color="auto"/>
            </w:tcBorders>
          </w:tcPr>
          <w:p w14:paraId="64CB549B" w14:textId="77777777" w:rsidR="001929CC" w:rsidRDefault="001929CC" w:rsidP="001929CC">
            <w:pPr>
              <w:snapToGrid w:val="0"/>
              <w:jc w:val="center"/>
              <w:rPr>
                <w:sz w:val="16"/>
                <w:szCs w:val="16"/>
                <w:lang w:eastAsia="en-GB"/>
              </w:rPr>
            </w:pPr>
            <w:r>
              <w:rPr>
                <w:sz w:val="16"/>
                <w:szCs w:val="16"/>
                <w:lang w:eastAsia="en-GB"/>
              </w:rPr>
              <w:t>2.50 to &lt; 10.00</w:t>
            </w:r>
          </w:p>
        </w:tc>
        <w:tc>
          <w:tcPr>
            <w:tcW w:w="909" w:type="dxa"/>
            <w:tcBorders>
              <w:left w:val="single" w:sz="4" w:space="0" w:color="auto"/>
              <w:right w:val="single" w:sz="4" w:space="0" w:color="auto"/>
            </w:tcBorders>
          </w:tcPr>
          <w:p w14:paraId="6779A63B" w14:textId="77777777" w:rsidR="001929CC" w:rsidRDefault="001929CC" w:rsidP="001929CC">
            <w:pPr>
              <w:snapToGrid w:val="0"/>
              <w:rPr>
                <w:sz w:val="16"/>
                <w:szCs w:val="16"/>
                <w:lang w:eastAsia="en-GB"/>
              </w:rPr>
            </w:pPr>
          </w:p>
        </w:tc>
        <w:tc>
          <w:tcPr>
            <w:tcW w:w="934" w:type="dxa"/>
            <w:tcBorders>
              <w:left w:val="single" w:sz="4" w:space="0" w:color="auto"/>
              <w:right w:val="single" w:sz="4" w:space="0" w:color="auto"/>
            </w:tcBorders>
          </w:tcPr>
          <w:p w14:paraId="40EB232A" w14:textId="77777777" w:rsidR="001929CC" w:rsidRDefault="001929CC" w:rsidP="001929CC">
            <w:pPr>
              <w:snapToGrid w:val="0"/>
              <w:rPr>
                <w:sz w:val="16"/>
                <w:szCs w:val="16"/>
                <w:lang w:eastAsia="en-GB"/>
              </w:rPr>
            </w:pPr>
          </w:p>
        </w:tc>
        <w:tc>
          <w:tcPr>
            <w:tcW w:w="885" w:type="dxa"/>
            <w:tcBorders>
              <w:left w:val="single" w:sz="4" w:space="0" w:color="auto"/>
              <w:right w:val="single" w:sz="4" w:space="0" w:color="auto"/>
            </w:tcBorders>
          </w:tcPr>
          <w:p w14:paraId="17B0D428" w14:textId="77777777" w:rsidR="001929CC" w:rsidRDefault="001929CC" w:rsidP="001929CC">
            <w:pPr>
              <w:snapToGrid w:val="0"/>
              <w:rPr>
                <w:sz w:val="16"/>
                <w:szCs w:val="16"/>
                <w:lang w:eastAsia="en-GB"/>
              </w:rPr>
            </w:pPr>
          </w:p>
        </w:tc>
        <w:tc>
          <w:tcPr>
            <w:tcW w:w="958" w:type="dxa"/>
            <w:tcBorders>
              <w:left w:val="single" w:sz="4" w:space="0" w:color="auto"/>
              <w:right w:val="single" w:sz="4" w:space="0" w:color="auto"/>
            </w:tcBorders>
          </w:tcPr>
          <w:p w14:paraId="75C7CA76" w14:textId="77777777" w:rsidR="001929CC" w:rsidRDefault="001929CC" w:rsidP="001929CC">
            <w:pPr>
              <w:snapToGrid w:val="0"/>
              <w:rPr>
                <w:sz w:val="16"/>
                <w:szCs w:val="16"/>
                <w:lang w:eastAsia="en-GB"/>
              </w:rPr>
            </w:pPr>
          </w:p>
        </w:tc>
        <w:tc>
          <w:tcPr>
            <w:tcW w:w="861" w:type="dxa"/>
            <w:tcBorders>
              <w:left w:val="single" w:sz="4" w:space="0" w:color="auto"/>
              <w:right w:val="single" w:sz="4" w:space="0" w:color="auto"/>
            </w:tcBorders>
          </w:tcPr>
          <w:p w14:paraId="0CAEF919"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2F96DAAC"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494FC0DD" w14:textId="77777777" w:rsidR="001929CC" w:rsidRDefault="001929CC" w:rsidP="001929CC">
            <w:pPr>
              <w:snapToGrid w:val="0"/>
              <w:rPr>
                <w:sz w:val="16"/>
                <w:szCs w:val="16"/>
                <w:lang w:eastAsia="en-GB"/>
              </w:rPr>
            </w:pPr>
          </w:p>
        </w:tc>
        <w:tc>
          <w:tcPr>
            <w:tcW w:w="909" w:type="dxa"/>
            <w:tcBorders>
              <w:left w:val="single" w:sz="4" w:space="0" w:color="auto"/>
              <w:right w:val="single" w:sz="4" w:space="0" w:color="auto"/>
            </w:tcBorders>
          </w:tcPr>
          <w:p w14:paraId="13A6C9F6"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009E9685" w14:textId="77777777" w:rsidR="001929CC" w:rsidRDefault="001929CC" w:rsidP="001929CC">
            <w:pPr>
              <w:snapToGrid w:val="0"/>
              <w:rPr>
                <w:sz w:val="16"/>
                <w:szCs w:val="16"/>
                <w:lang w:eastAsia="en-GB"/>
              </w:rPr>
            </w:pPr>
          </w:p>
        </w:tc>
        <w:tc>
          <w:tcPr>
            <w:tcW w:w="909" w:type="dxa"/>
            <w:tcBorders>
              <w:left w:val="single" w:sz="4" w:space="0" w:color="auto"/>
              <w:right w:val="single" w:sz="4" w:space="0" w:color="auto"/>
            </w:tcBorders>
          </w:tcPr>
          <w:p w14:paraId="5F012FFA" w14:textId="77777777" w:rsidR="001929CC" w:rsidRDefault="001929CC" w:rsidP="001929CC">
            <w:pPr>
              <w:snapToGrid w:val="0"/>
              <w:rPr>
                <w:sz w:val="16"/>
                <w:szCs w:val="16"/>
                <w:lang w:eastAsia="en-GB"/>
              </w:rPr>
            </w:pPr>
          </w:p>
        </w:tc>
        <w:tc>
          <w:tcPr>
            <w:tcW w:w="828" w:type="dxa"/>
            <w:tcBorders>
              <w:left w:val="single" w:sz="4" w:space="0" w:color="auto"/>
              <w:right w:val="single" w:sz="4" w:space="0" w:color="auto"/>
            </w:tcBorders>
          </w:tcPr>
          <w:p w14:paraId="4B9A647C" w14:textId="77777777" w:rsidR="001929CC" w:rsidRDefault="001929CC" w:rsidP="001929CC">
            <w:pPr>
              <w:snapToGrid w:val="0"/>
              <w:rPr>
                <w:sz w:val="16"/>
                <w:szCs w:val="16"/>
                <w:lang w:eastAsia="en-GB"/>
              </w:rPr>
            </w:pPr>
          </w:p>
        </w:tc>
        <w:tc>
          <w:tcPr>
            <w:tcW w:w="992" w:type="dxa"/>
            <w:tcBorders>
              <w:left w:val="single" w:sz="4" w:space="0" w:color="auto"/>
              <w:right w:val="single" w:sz="6" w:space="0" w:color="auto"/>
            </w:tcBorders>
            <w:shd w:val="clear" w:color="auto" w:fill="BFBFBF"/>
          </w:tcPr>
          <w:p w14:paraId="7D0DC61B" w14:textId="77777777" w:rsidR="001929CC" w:rsidRDefault="001929CC" w:rsidP="001929CC">
            <w:pPr>
              <w:snapToGrid w:val="0"/>
              <w:rPr>
                <w:sz w:val="16"/>
                <w:szCs w:val="16"/>
                <w:lang w:eastAsia="en-GB"/>
              </w:rPr>
            </w:pPr>
          </w:p>
        </w:tc>
      </w:tr>
      <w:tr w:rsidR="001929CC" w14:paraId="212F40BD" w14:textId="77777777" w:rsidTr="001929CC">
        <w:trPr>
          <w:cantSplit/>
        </w:trPr>
        <w:tc>
          <w:tcPr>
            <w:tcW w:w="1276" w:type="dxa"/>
            <w:vMerge/>
            <w:tcBorders>
              <w:left w:val="nil"/>
              <w:right w:val="single" w:sz="4" w:space="0" w:color="auto"/>
            </w:tcBorders>
          </w:tcPr>
          <w:p w14:paraId="0AB4F17B" w14:textId="77777777" w:rsidR="001929CC" w:rsidRDefault="001929CC" w:rsidP="001929CC">
            <w:pPr>
              <w:snapToGrid w:val="0"/>
              <w:rPr>
                <w:sz w:val="16"/>
                <w:szCs w:val="16"/>
                <w:lang w:eastAsia="en-GB"/>
              </w:rPr>
            </w:pPr>
          </w:p>
        </w:tc>
        <w:tc>
          <w:tcPr>
            <w:tcW w:w="1701" w:type="dxa"/>
            <w:tcBorders>
              <w:left w:val="single" w:sz="4" w:space="0" w:color="auto"/>
              <w:right w:val="single" w:sz="4" w:space="0" w:color="auto"/>
            </w:tcBorders>
          </w:tcPr>
          <w:p w14:paraId="5AA0BA9F" w14:textId="77777777" w:rsidR="001929CC" w:rsidRDefault="001929CC" w:rsidP="001929CC">
            <w:pPr>
              <w:snapToGrid w:val="0"/>
              <w:jc w:val="center"/>
              <w:rPr>
                <w:sz w:val="16"/>
                <w:szCs w:val="16"/>
                <w:lang w:eastAsia="en-GB"/>
              </w:rPr>
            </w:pPr>
            <w:r>
              <w:rPr>
                <w:sz w:val="16"/>
                <w:szCs w:val="16"/>
                <w:lang w:eastAsia="en-GB"/>
              </w:rPr>
              <w:t>10.00 to &lt; 100.00</w:t>
            </w:r>
          </w:p>
        </w:tc>
        <w:tc>
          <w:tcPr>
            <w:tcW w:w="909" w:type="dxa"/>
            <w:tcBorders>
              <w:left w:val="single" w:sz="4" w:space="0" w:color="auto"/>
              <w:right w:val="single" w:sz="4" w:space="0" w:color="auto"/>
            </w:tcBorders>
          </w:tcPr>
          <w:p w14:paraId="632455C7" w14:textId="77777777" w:rsidR="001929CC" w:rsidRDefault="001929CC" w:rsidP="001929CC">
            <w:pPr>
              <w:snapToGrid w:val="0"/>
              <w:rPr>
                <w:sz w:val="16"/>
                <w:szCs w:val="16"/>
                <w:lang w:eastAsia="en-GB"/>
              </w:rPr>
            </w:pPr>
          </w:p>
        </w:tc>
        <w:tc>
          <w:tcPr>
            <w:tcW w:w="934" w:type="dxa"/>
            <w:tcBorders>
              <w:left w:val="single" w:sz="4" w:space="0" w:color="auto"/>
              <w:right w:val="single" w:sz="4" w:space="0" w:color="auto"/>
            </w:tcBorders>
          </w:tcPr>
          <w:p w14:paraId="03FBA257" w14:textId="77777777" w:rsidR="001929CC" w:rsidRDefault="001929CC" w:rsidP="001929CC">
            <w:pPr>
              <w:snapToGrid w:val="0"/>
              <w:rPr>
                <w:sz w:val="16"/>
                <w:szCs w:val="16"/>
                <w:lang w:eastAsia="en-GB"/>
              </w:rPr>
            </w:pPr>
          </w:p>
        </w:tc>
        <w:tc>
          <w:tcPr>
            <w:tcW w:w="885" w:type="dxa"/>
            <w:tcBorders>
              <w:left w:val="single" w:sz="4" w:space="0" w:color="auto"/>
              <w:right w:val="single" w:sz="4" w:space="0" w:color="auto"/>
            </w:tcBorders>
          </w:tcPr>
          <w:p w14:paraId="678F9E6C" w14:textId="77777777" w:rsidR="001929CC" w:rsidRDefault="001929CC" w:rsidP="001929CC">
            <w:pPr>
              <w:snapToGrid w:val="0"/>
              <w:rPr>
                <w:sz w:val="16"/>
                <w:szCs w:val="16"/>
                <w:lang w:eastAsia="en-GB"/>
              </w:rPr>
            </w:pPr>
          </w:p>
        </w:tc>
        <w:tc>
          <w:tcPr>
            <w:tcW w:w="958" w:type="dxa"/>
            <w:tcBorders>
              <w:left w:val="single" w:sz="4" w:space="0" w:color="auto"/>
              <w:right w:val="single" w:sz="4" w:space="0" w:color="auto"/>
            </w:tcBorders>
          </w:tcPr>
          <w:p w14:paraId="0BBD85A1" w14:textId="77777777" w:rsidR="001929CC" w:rsidRDefault="001929CC" w:rsidP="001929CC">
            <w:pPr>
              <w:snapToGrid w:val="0"/>
              <w:rPr>
                <w:sz w:val="16"/>
                <w:szCs w:val="16"/>
                <w:lang w:eastAsia="en-GB"/>
              </w:rPr>
            </w:pPr>
          </w:p>
        </w:tc>
        <w:tc>
          <w:tcPr>
            <w:tcW w:w="861" w:type="dxa"/>
            <w:tcBorders>
              <w:left w:val="single" w:sz="4" w:space="0" w:color="auto"/>
              <w:right w:val="single" w:sz="4" w:space="0" w:color="auto"/>
            </w:tcBorders>
          </w:tcPr>
          <w:p w14:paraId="00BC36A7"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4F894AE1"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610A8C01" w14:textId="77777777" w:rsidR="001929CC" w:rsidRDefault="001929CC" w:rsidP="001929CC">
            <w:pPr>
              <w:snapToGrid w:val="0"/>
              <w:rPr>
                <w:sz w:val="16"/>
                <w:szCs w:val="16"/>
                <w:lang w:eastAsia="en-GB"/>
              </w:rPr>
            </w:pPr>
          </w:p>
        </w:tc>
        <w:tc>
          <w:tcPr>
            <w:tcW w:w="909" w:type="dxa"/>
            <w:tcBorders>
              <w:left w:val="single" w:sz="4" w:space="0" w:color="auto"/>
              <w:right w:val="single" w:sz="4" w:space="0" w:color="auto"/>
            </w:tcBorders>
          </w:tcPr>
          <w:p w14:paraId="6CA9E7BD"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4D2C34A5" w14:textId="77777777" w:rsidR="001929CC" w:rsidRDefault="001929CC" w:rsidP="001929CC">
            <w:pPr>
              <w:snapToGrid w:val="0"/>
              <w:rPr>
                <w:sz w:val="16"/>
                <w:szCs w:val="16"/>
                <w:lang w:eastAsia="en-GB"/>
              </w:rPr>
            </w:pPr>
          </w:p>
        </w:tc>
        <w:tc>
          <w:tcPr>
            <w:tcW w:w="909" w:type="dxa"/>
            <w:tcBorders>
              <w:left w:val="single" w:sz="4" w:space="0" w:color="auto"/>
              <w:right w:val="single" w:sz="4" w:space="0" w:color="auto"/>
            </w:tcBorders>
          </w:tcPr>
          <w:p w14:paraId="33EC88DD" w14:textId="77777777" w:rsidR="001929CC" w:rsidRDefault="001929CC" w:rsidP="001929CC">
            <w:pPr>
              <w:snapToGrid w:val="0"/>
              <w:rPr>
                <w:sz w:val="16"/>
                <w:szCs w:val="16"/>
                <w:lang w:eastAsia="en-GB"/>
              </w:rPr>
            </w:pPr>
          </w:p>
        </w:tc>
        <w:tc>
          <w:tcPr>
            <w:tcW w:w="828" w:type="dxa"/>
            <w:tcBorders>
              <w:left w:val="single" w:sz="4" w:space="0" w:color="auto"/>
              <w:right w:val="single" w:sz="4" w:space="0" w:color="auto"/>
            </w:tcBorders>
          </w:tcPr>
          <w:p w14:paraId="144B67D8" w14:textId="77777777" w:rsidR="001929CC" w:rsidRDefault="001929CC" w:rsidP="001929CC">
            <w:pPr>
              <w:snapToGrid w:val="0"/>
              <w:rPr>
                <w:sz w:val="16"/>
                <w:szCs w:val="16"/>
                <w:lang w:eastAsia="en-GB"/>
              </w:rPr>
            </w:pPr>
          </w:p>
        </w:tc>
        <w:tc>
          <w:tcPr>
            <w:tcW w:w="992" w:type="dxa"/>
            <w:tcBorders>
              <w:left w:val="single" w:sz="4" w:space="0" w:color="auto"/>
              <w:right w:val="single" w:sz="6" w:space="0" w:color="auto"/>
            </w:tcBorders>
            <w:shd w:val="clear" w:color="auto" w:fill="BFBFBF"/>
          </w:tcPr>
          <w:p w14:paraId="2BDB8FFA" w14:textId="77777777" w:rsidR="001929CC" w:rsidRDefault="001929CC" w:rsidP="001929CC">
            <w:pPr>
              <w:snapToGrid w:val="0"/>
              <w:rPr>
                <w:sz w:val="16"/>
                <w:szCs w:val="16"/>
                <w:lang w:eastAsia="en-GB"/>
              </w:rPr>
            </w:pPr>
          </w:p>
        </w:tc>
      </w:tr>
      <w:tr w:rsidR="001929CC" w14:paraId="631F3007" w14:textId="77777777" w:rsidTr="001929CC">
        <w:trPr>
          <w:cantSplit/>
        </w:trPr>
        <w:tc>
          <w:tcPr>
            <w:tcW w:w="1276" w:type="dxa"/>
            <w:vMerge/>
            <w:tcBorders>
              <w:left w:val="nil"/>
              <w:right w:val="single" w:sz="4" w:space="0" w:color="auto"/>
            </w:tcBorders>
          </w:tcPr>
          <w:p w14:paraId="2CD3611D" w14:textId="77777777" w:rsidR="001929CC" w:rsidRDefault="001929CC" w:rsidP="001929CC">
            <w:pPr>
              <w:snapToGrid w:val="0"/>
              <w:rPr>
                <w:sz w:val="16"/>
                <w:szCs w:val="16"/>
                <w:lang w:eastAsia="en-GB"/>
              </w:rPr>
            </w:pPr>
          </w:p>
        </w:tc>
        <w:tc>
          <w:tcPr>
            <w:tcW w:w="1701" w:type="dxa"/>
            <w:tcBorders>
              <w:left w:val="single" w:sz="4" w:space="0" w:color="auto"/>
              <w:right w:val="single" w:sz="4" w:space="0" w:color="auto"/>
            </w:tcBorders>
          </w:tcPr>
          <w:p w14:paraId="44414FD4" w14:textId="77777777" w:rsidR="001929CC" w:rsidRDefault="001929CC" w:rsidP="001929CC">
            <w:pPr>
              <w:snapToGrid w:val="0"/>
              <w:jc w:val="center"/>
              <w:rPr>
                <w:sz w:val="16"/>
                <w:szCs w:val="16"/>
                <w:lang w:eastAsia="en-GB"/>
              </w:rPr>
            </w:pPr>
            <w:r>
              <w:rPr>
                <w:sz w:val="16"/>
                <w:szCs w:val="16"/>
                <w:lang w:eastAsia="en-GB"/>
              </w:rPr>
              <w:t>100.00 (Default)</w:t>
            </w:r>
          </w:p>
        </w:tc>
        <w:tc>
          <w:tcPr>
            <w:tcW w:w="909" w:type="dxa"/>
            <w:tcBorders>
              <w:left w:val="single" w:sz="4" w:space="0" w:color="auto"/>
              <w:right w:val="single" w:sz="4" w:space="0" w:color="auto"/>
            </w:tcBorders>
          </w:tcPr>
          <w:p w14:paraId="18A05DFF" w14:textId="77777777" w:rsidR="001929CC" w:rsidRDefault="001929CC" w:rsidP="001929CC">
            <w:pPr>
              <w:snapToGrid w:val="0"/>
              <w:rPr>
                <w:sz w:val="16"/>
                <w:szCs w:val="16"/>
                <w:lang w:eastAsia="en-GB"/>
              </w:rPr>
            </w:pPr>
          </w:p>
        </w:tc>
        <w:tc>
          <w:tcPr>
            <w:tcW w:w="934" w:type="dxa"/>
            <w:tcBorders>
              <w:left w:val="single" w:sz="4" w:space="0" w:color="auto"/>
              <w:right w:val="single" w:sz="4" w:space="0" w:color="auto"/>
            </w:tcBorders>
          </w:tcPr>
          <w:p w14:paraId="5B42BB47" w14:textId="77777777" w:rsidR="001929CC" w:rsidRDefault="001929CC" w:rsidP="001929CC">
            <w:pPr>
              <w:snapToGrid w:val="0"/>
              <w:rPr>
                <w:sz w:val="16"/>
                <w:szCs w:val="16"/>
                <w:lang w:eastAsia="en-GB"/>
              </w:rPr>
            </w:pPr>
          </w:p>
        </w:tc>
        <w:tc>
          <w:tcPr>
            <w:tcW w:w="885" w:type="dxa"/>
            <w:tcBorders>
              <w:left w:val="single" w:sz="4" w:space="0" w:color="auto"/>
              <w:right w:val="single" w:sz="4" w:space="0" w:color="auto"/>
            </w:tcBorders>
          </w:tcPr>
          <w:p w14:paraId="2A17831D" w14:textId="77777777" w:rsidR="001929CC" w:rsidRDefault="001929CC" w:rsidP="001929CC">
            <w:pPr>
              <w:snapToGrid w:val="0"/>
              <w:rPr>
                <w:sz w:val="16"/>
                <w:szCs w:val="16"/>
                <w:lang w:eastAsia="en-GB"/>
              </w:rPr>
            </w:pPr>
          </w:p>
        </w:tc>
        <w:tc>
          <w:tcPr>
            <w:tcW w:w="958" w:type="dxa"/>
            <w:tcBorders>
              <w:left w:val="single" w:sz="4" w:space="0" w:color="auto"/>
              <w:right w:val="single" w:sz="4" w:space="0" w:color="auto"/>
            </w:tcBorders>
          </w:tcPr>
          <w:p w14:paraId="630DADB9" w14:textId="77777777" w:rsidR="001929CC" w:rsidRDefault="001929CC" w:rsidP="001929CC">
            <w:pPr>
              <w:snapToGrid w:val="0"/>
              <w:rPr>
                <w:sz w:val="16"/>
                <w:szCs w:val="16"/>
                <w:lang w:eastAsia="en-GB"/>
              </w:rPr>
            </w:pPr>
          </w:p>
        </w:tc>
        <w:tc>
          <w:tcPr>
            <w:tcW w:w="861" w:type="dxa"/>
            <w:tcBorders>
              <w:left w:val="single" w:sz="4" w:space="0" w:color="auto"/>
              <w:right w:val="single" w:sz="4" w:space="0" w:color="auto"/>
            </w:tcBorders>
          </w:tcPr>
          <w:p w14:paraId="1ECE8945"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7474E797"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43E58FA8" w14:textId="77777777" w:rsidR="001929CC" w:rsidRDefault="001929CC" w:rsidP="001929CC">
            <w:pPr>
              <w:snapToGrid w:val="0"/>
              <w:rPr>
                <w:sz w:val="16"/>
                <w:szCs w:val="16"/>
                <w:lang w:eastAsia="en-GB"/>
              </w:rPr>
            </w:pPr>
          </w:p>
        </w:tc>
        <w:tc>
          <w:tcPr>
            <w:tcW w:w="909" w:type="dxa"/>
            <w:tcBorders>
              <w:left w:val="single" w:sz="4" w:space="0" w:color="auto"/>
              <w:right w:val="single" w:sz="4" w:space="0" w:color="auto"/>
            </w:tcBorders>
          </w:tcPr>
          <w:p w14:paraId="58C4E6FD" w14:textId="77777777" w:rsidR="001929CC" w:rsidRDefault="001929CC" w:rsidP="001929CC">
            <w:pPr>
              <w:snapToGrid w:val="0"/>
              <w:rPr>
                <w:sz w:val="16"/>
                <w:szCs w:val="16"/>
                <w:lang w:eastAsia="en-GB"/>
              </w:rPr>
            </w:pPr>
          </w:p>
        </w:tc>
        <w:tc>
          <w:tcPr>
            <w:tcW w:w="910" w:type="dxa"/>
            <w:tcBorders>
              <w:left w:val="single" w:sz="4" w:space="0" w:color="auto"/>
              <w:right w:val="single" w:sz="4" w:space="0" w:color="auto"/>
            </w:tcBorders>
          </w:tcPr>
          <w:p w14:paraId="14DE5247" w14:textId="77777777" w:rsidR="001929CC" w:rsidRDefault="001929CC" w:rsidP="001929CC">
            <w:pPr>
              <w:snapToGrid w:val="0"/>
              <w:rPr>
                <w:sz w:val="16"/>
                <w:szCs w:val="16"/>
                <w:lang w:eastAsia="en-GB"/>
              </w:rPr>
            </w:pPr>
          </w:p>
        </w:tc>
        <w:tc>
          <w:tcPr>
            <w:tcW w:w="909" w:type="dxa"/>
            <w:tcBorders>
              <w:left w:val="single" w:sz="4" w:space="0" w:color="auto"/>
              <w:right w:val="single" w:sz="4" w:space="0" w:color="auto"/>
            </w:tcBorders>
          </w:tcPr>
          <w:p w14:paraId="30072385" w14:textId="77777777" w:rsidR="001929CC" w:rsidRDefault="001929CC" w:rsidP="001929CC">
            <w:pPr>
              <w:snapToGrid w:val="0"/>
              <w:rPr>
                <w:sz w:val="16"/>
                <w:szCs w:val="16"/>
                <w:lang w:eastAsia="en-GB"/>
              </w:rPr>
            </w:pPr>
          </w:p>
        </w:tc>
        <w:tc>
          <w:tcPr>
            <w:tcW w:w="828" w:type="dxa"/>
            <w:tcBorders>
              <w:left w:val="single" w:sz="4" w:space="0" w:color="auto"/>
              <w:right w:val="single" w:sz="4" w:space="0" w:color="auto"/>
            </w:tcBorders>
          </w:tcPr>
          <w:p w14:paraId="1CEA61DC" w14:textId="77777777" w:rsidR="001929CC" w:rsidRDefault="001929CC" w:rsidP="001929CC">
            <w:pPr>
              <w:snapToGrid w:val="0"/>
              <w:rPr>
                <w:sz w:val="16"/>
                <w:szCs w:val="16"/>
                <w:lang w:eastAsia="en-GB"/>
              </w:rPr>
            </w:pPr>
          </w:p>
        </w:tc>
        <w:tc>
          <w:tcPr>
            <w:tcW w:w="992" w:type="dxa"/>
            <w:tcBorders>
              <w:left w:val="single" w:sz="4" w:space="0" w:color="auto"/>
              <w:right w:val="single" w:sz="6" w:space="0" w:color="auto"/>
            </w:tcBorders>
            <w:shd w:val="clear" w:color="auto" w:fill="BFBFBF"/>
          </w:tcPr>
          <w:p w14:paraId="66B905C4" w14:textId="77777777" w:rsidR="001929CC" w:rsidRDefault="001929CC" w:rsidP="001929CC">
            <w:pPr>
              <w:snapToGrid w:val="0"/>
              <w:rPr>
                <w:sz w:val="16"/>
                <w:szCs w:val="16"/>
                <w:lang w:eastAsia="en-GB"/>
              </w:rPr>
            </w:pPr>
          </w:p>
        </w:tc>
      </w:tr>
      <w:tr w:rsidR="001929CC" w14:paraId="3586A3B4" w14:textId="77777777" w:rsidTr="001929CC">
        <w:trPr>
          <w:cantSplit/>
        </w:trPr>
        <w:tc>
          <w:tcPr>
            <w:tcW w:w="1276" w:type="dxa"/>
            <w:vMerge/>
            <w:tcBorders>
              <w:left w:val="nil"/>
              <w:bottom w:val="single" w:sz="6" w:space="0" w:color="auto"/>
              <w:right w:val="single" w:sz="4" w:space="0" w:color="auto"/>
            </w:tcBorders>
          </w:tcPr>
          <w:p w14:paraId="3E82781A" w14:textId="77777777" w:rsidR="001929CC" w:rsidRDefault="001929CC" w:rsidP="001929CC">
            <w:pPr>
              <w:snapToGrid w:val="0"/>
              <w:rPr>
                <w:sz w:val="16"/>
                <w:szCs w:val="16"/>
                <w:lang w:eastAsia="en-GB"/>
              </w:rPr>
            </w:pPr>
          </w:p>
        </w:tc>
        <w:tc>
          <w:tcPr>
            <w:tcW w:w="1701" w:type="dxa"/>
            <w:tcBorders>
              <w:left w:val="single" w:sz="4" w:space="0" w:color="auto"/>
              <w:bottom w:val="single" w:sz="6" w:space="0" w:color="auto"/>
              <w:right w:val="single" w:sz="4" w:space="0" w:color="auto"/>
            </w:tcBorders>
          </w:tcPr>
          <w:p w14:paraId="2E464514" w14:textId="77777777" w:rsidR="001929CC" w:rsidRDefault="001929CC" w:rsidP="001929CC">
            <w:pPr>
              <w:snapToGrid w:val="0"/>
              <w:jc w:val="center"/>
              <w:rPr>
                <w:sz w:val="16"/>
                <w:szCs w:val="16"/>
                <w:lang w:eastAsia="en-GB"/>
              </w:rPr>
            </w:pPr>
            <w:r>
              <w:rPr>
                <w:sz w:val="16"/>
                <w:szCs w:val="16"/>
                <w:lang w:eastAsia="en-GB"/>
              </w:rPr>
              <w:t>Sub-total</w:t>
            </w:r>
          </w:p>
        </w:tc>
        <w:tc>
          <w:tcPr>
            <w:tcW w:w="909" w:type="dxa"/>
            <w:tcBorders>
              <w:left w:val="single" w:sz="4" w:space="0" w:color="auto"/>
              <w:bottom w:val="single" w:sz="6" w:space="0" w:color="auto"/>
              <w:right w:val="single" w:sz="4" w:space="0" w:color="auto"/>
            </w:tcBorders>
          </w:tcPr>
          <w:p w14:paraId="58D4DC9E" w14:textId="77777777" w:rsidR="001929CC" w:rsidRDefault="001929CC" w:rsidP="001929CC">
            <w:pPr>
              <w:snapToGrid w:val="0"/>
              <w:rPr>
                <w:sz w:val="16"/>
                <w:szCs w:val="16"/>
                <w:lang w:eastAsia="en-GB"/>
              </w:rPr>
            </w:pPr>
          </w:p>
        </w:tc>
        <w:tc>
          <w:tcPr>
            <w:tcW w:w="934" w:type="dxa"/>
            <w:tcBorders>
              <w:left w:val="single" w:sz="4" w:space="0" w:color="auto"/>
              <w:bottom w:val="single" w:sz="6" w:space="0" w:color="auto"/>
              <w:right w:val="single" w:sz="4" w:space="0" w:color="auto"/>
            </w:tcBorders>
          </w:tcPr>
          <w:p w14:paraId="792076C2" w14:textId="77777777" w:rsidR="001929CC" w:rsidRDefault="001929CC" w:rsidP="001929CC">
            <w:pPr>
              <w:snapToGrid w:val="0"/>
              <w:rPr>
                <w:sz w:val="16"/>
                <w:szCs w:val="16"/>
                <w:lang w:eastAsia="en-GB"/>
              </w:rPr>
            </w:pPr>
          </w:p>
        </w:tc>
        <w:tc>
          <w:tcPr>
            <w:tcW w:w="885" w:type="dxa"/>
            <w:tcBorders>
              <w:left w:val="single" w:sz="4" w:space="0" w:color="auto"/>
              <w:bottom w:val="single" w:sz="6" w:space="0" w:color="auto"/>
              <w:right w:val="single" w:sz="4" w:space="0" w:color="auto"/>
            </w:tcBorders>
          </w:tcPr>
          <w:p w14:paraId="6D78D6C0" w14:textId="77777777" w:rsidR="001929CC" w:rsidRDefault="001929CC" w:rsidP="001929CC">
            <w:pPr>
              <w:snapToGrid w:val="0"/>
              <w:rPr>
                <w:sz w:val="16"/>
                <w:szCs w:val="16"/>
                <w:lang w:eastAsia="en-GB"/>
              </w:rPr>
            </w:pPr>
          </w:p>
        </w:tc>
        <w:tc>
          <w:tcPr>
            <w:tcW w:w="958" w:type="dxa"/>
            <w:tcBorders>
              <w:left w:val="single" w:sz="4" w:space="0" w:color="auto"/>
              <w:bottom w:val="single" w:sz="6" w:space="0" w:color="auto"/>
              <w:right w:val="single" w:sz="4" w:space="0" w:color="auto"/>
            </w:tcBorders>
          </w:tcPr>
          <w:p w14:paraId="4FD381B4" w14:textId="77777777" w:rsidR="001929CC" w:rsidRDefault="001929CC" w:rsidP="001929CC">
            <w:pPr>
              <w:snapToGrid w:val="0"/>
              <w:rPr>
                <w:sz w:val="16"/>
                <w:szCs w:val="16"/>
                <w:lang w:eastAsia="en-GB"/>
              </w:rPr>
            </w:pPr>
          </w:p>
        </w:tc>
        <w:tc>
          <w:tcPr>
            <w:tcW w:w="861" w:type="dxa"/>
            <w:tcBorders>
              <w:left w:val="single" w:sz="4" w:space="0" w:color="auto"/>
              <w:bottom w:val="single" w:sz="6" w:space="0" w:color="auto"/>
              <w:right w:val="single" w:sz="4" w:space="0" w:color="auto"/>
            </w:tcBorders>
          </w:tcPr>
          <w:p w14:paraId="0023BD45" w14:textId="77777777" w:rsidR="001929CC" w:rsidRDefault="001929CC" w:rsidP="001929CC">
            <w:pPr>
              <w:snapToGrid w:val="0"/>
              <w:rPr>
                <w:sz w:val="16"/>
                <w:szCs w:val="16"/>
                <w:lang w:eastAsia="en-GB"/>
              </w:rPr>
            </w:pPr>
          </w:p>
        </w:tc>
        <w:tc>
          <w:tcPr>
            <w:tcW w:w="910" w:type="dxa"/>
            <w:tcBorders>
              <w:left w:val="single" w:sz="4" w:space="0" w:color="auto"/>
              <w:bottom w:val="single" w:sz="6" w:space="0" w:color="auto"/>
              <w:right w:val="single" w:sz="4" w:space="0" w:color="auto"/>
            </w:tcBorders>
          </w:tcPr>
          <w:p w14:paraId="7620C29A" w14:textId="77777777" w:rsidR="001929CC" w:rsidRDefault="001929CC" w:rsidP="001929CC">
            <w:pPr>
              <w:snapToGrid w:val="0"/>
              <w:rPr>
                <w:sz w:val="16"/>
                <w:szCs w:val="16"/>
                <w:lang w:eastAsia="en-GB"/>
              </w:rPr>
            </w:pPr>
          </w:p>
        </w:tc>
        <w:tc>
          <w:tcPr>
            <w:tcW w:w="910" w:type="dxa"/>
            <w:tcBorders>
              <w:left w:val="single" w:sz="4" w:space="0" w:color="auto"/>
              <w:bottom w:val="single" w:sz="6" w:space="0" w:color="auto"/>
              <w:right w:val="single" w:sz="4" w:space="0" w:color="auto"/>
            </w:tcBorders>
          </w:tcPr>
          <w:p w14:paraId="61D6732C" w14:textId="77777777" w:rsidR="001929CC" w:rsidRDefault="001929CC" w:rsidP="001929CC">
            <w:pPr>
              <w:snapToGrid w:val="0"/>
              <w:rPr>
                <w:sz w:val="16"/>
                <w:szCs w:val="16"/>
                <w:lang w:eastAsia="en-GB"/>
              </w:rPr>
            </w:pPr>
          </w:p>
        </w:tc>
        <w:tc>
          <w:tcPr>
            <w:tcW w:w="909" w:type="dxa"/>
            <w:tcBorders>
              <w:left w:val="single" w:sz="4" w:space="0" w:color="auto"/>
              <w:bottom w:val="single" w:sz="6" w:space="0" w:color="auto"/>
              <w:right w:val="single" w:sz="4" w:space="0" w:color="auto"/>
            </w:tcBorders>
          </w:tcPr>
          <w:p w14:paraId="7B0D567E" w14:textId="77777777" w:rsidR="001929CC" w:rsidRDefault="001929CC" w:rsidP="001929CC">
            <w:pPr>
              <w:snapToGrid w:val="0"/>
              <w:rPr>
                <w:sz w:val="16"/>
                <w:szCs w:val="16"/>
                <w:lang w:eastAsia="en-GB"/>
              </w:rPr>
            </w:pPr>
          </w:p>
        </w:tc>
        <w:tc>
          <w:tcPr>
            <w:tcW w:w="910" w:type="dxa"/>
            <w:tcBorders>
              <w:left w:val="single" w:sz="4" w:space="0" w:color="auto"/>
              <w:bottom w:val="single" w:sz="6" w:space="0" w:color="auto"/>
              <w:right w:val="single" w:sz="4" w:space="0" w:color="auto"/>
            </w:tcBorders>
          </w:tcPr>
          <w:p w14:paraId="49BC151C" w14:textId="77777777" w:rsidR="001929CC" w:rsidRDefault="001929CC" w:rsidP="001929CC">
            <w:pPr>
              <w:snapToGrid w:val="0"/>
              <w:rPr>
                <w:sz w:val="16"/>
                <w:szCs w:val="16"/>
                <w:lang w:eastAsia="en-GB"/>
              </w:rPr>
            </w:pPr>
          </w:p>
        </w:tc>
        <w:tc>
          <w:tcPr>
            <w:tcW w:w="909" w:type="dxa"/>
            <w:tcBorders>
              <w:left w:val="single" w:sz="4" w:space="0" w:color="auto"/>
              <w:bottom w:val="single" w:sz="6" w:space="0" w:color="auto"/>
              <w:right w:val="single" w:sz="4" w:space="0" w:color="auto"/>
            </w:tcBorders>
          </w:tcPr>
          <w:p w14:paraId="4F82BE65" w14:textId="77777777" w:rsidR="001929CC" w:rsidRDefault="001929CC" w:rsidP="001929CC">
            <w:pPr>
              <w:snapToGrid w:val="0"/>
              <w:rPr>
                <w:sz w:val="16"/>
                <w:szCs w:val="16"/>
                <w:lang w:eastAsia="en-GB"/>
              </w:rPr>
            </w:pPr>
          </w:p>
        </w:tc>
        <w:tc>
          <w:tcPr>
            <w:tcW w:w="828" w:type="dxa"/>
            <w:tcBorders>
              <w:left w:val="single" w:sz="4" w:space="0" w:color="auto"/>
              <w:bottom w:val="single" w:sz="6" w:space="0" w:color="auto"/>
              <w:right w:val="single" w:sz="4" w:space="0" w:color="auto"/>
            </w:tcBorders>
          </w:tcPr>
          <w:p w14:paraId="65CEFFC2" w14:textId="77777777" w:rsidR="001929CC" w:rsidRDefault="001929CC" w:rsidP="001929CC">
            <w:pPr>
              <w:snapToGrid w:val="0"/>
              <w:rPr>
                <w:sz w:val="16"/>
                <w:szCs w:val="16"/>
                <w:lang w:eastAsia="en-GB"/>
              </w:rPr>
            </w:pPr>
          </w:p>
        </w:tc>
        <w:tc>
          <w:tcPr>
            <w:tcW w:w="992" w:type="dxa"/>
            <w:tcBorders>
              <w:left w:val="single" w:sz="4" w:space="0" w:color="auto"/>
              <w:bottom w:val="single" w:sz="6" w:space="0" w:color="auto"/>
              <w:right w:val="single" w:sz="6" w:space="0" w:color="auto"/>
            </w:tcBorders>
          </w:tcPr>
          <w:p w14:paraId="513691DD" w14:textId="77777777" w:rsidR="001929CC" w:rsidRDefault="001929CC" w:rsidP="001929CC">
            <w:pPr>
              <w:snapToGrid w:val="0"/>
              <w:rPr>
                <w:sz w:val="16"/>
                <w:szCs w:val="16"/>
                <w:lang w:eastAsia="en-GB"/>
              </w:rPr>
            </w:pPr>
          </w:p>
        </w:tc>
      </w:tr>
      <w:tr w:rsidR="001929CC" w14:paraId="542F9246" w14:textId="77777777" w:rsidTr="001929CC">
        <w:trPr>
          <w:cantSplit/>
        </w:trPr>
        <w:tc>
          <w:tcPr>
            <w:tcW w:w="1276" w:type="dxa"/>
            <w:vMerge w:val="restart"/>
            <w:tcBorders>
              <w:top w:val="single" w:sz="6" w:space="0" w:color="auto"/>
              <w:left w:val="nil"/>
              <w:right w:val="single" w:sz="4" w:space="0" w:color="auto"/>
            </w:tcBorders>
          </w:tcPr>
          <w:p w14:paraId="0942F0C2" w14:textId="77777777" w:rsidR="001929CC" w:rsidRDefault="001929CC" w:rsidP="001929CC">
            <w:pPr>
              <w:snapToGrid w:val="0"/>
              <w:rPr>
                <w:sz w:val="16"/>
                <w:szCs w:val="16"/>
                <w:lang w:eastAsia="en-GB"/>
              </w:rPr>
            </w:pPr>
            <w:r>
              <w:rPr>
                <w:sz w:val="16"/>
                <w:szCs w:val="16"/>
                <w:lang w:eastAsia="en-GB"/>
              </w:rPr>
              <w:t>Portfolio (ii) – Bank</w:t>
            </w:r>
          </w:p>
        </w:tc>
        <w:tc>
          <w:tcPr>
            <w:tcW w:w="1701" w:type="dxa"/>
            <w:tcBorders>
              <w:top w:val="single" w:sz="6" w:space="0" w:color="auto"/>
              <w:left w:val="single" w:sz="4" w:space="0" w:color="auto"/>
              <w:bottom w:val="single" w:sz="4" w:space="0" w:color="A6A6A6"/>
              <w:right w:val="single" w:sz="4" w:space="0" w:color="auto"/>
            </w:tcBorders>
          </w:tcPr>
          <w:p w14:paraId="681AF713" w14:textId="77777777" w:rsidR="001929CC" w:rsidRDefault="001929CC" w:rsidP="001929CC">
            <w:pPr>
              <w:snapToGrid w:val="0"/>
              <w:jc w:val="center"/>
              <w:rPr>
                <w:sz w:val="16"/>
                <w:szCs w:val="16"/>
                <w:lang w:eastAsia="en-GB"/>
              </w:rPr>
            </w:pPr>
            <w:r>
              <w:rPr>
                <w:sz w:val="16"/>
                <w:szCs w:val="16"/>
                <w:lang w:eastAsia="en-GB"/>
              </w:rPr>
              <w:t>0.00 to &lt; 0.15</w:t>
            </w:r>
          </w:p>
        </w:tc>
        <w:tc>
          <w:tcPr>
            <w:tcW w:w="909" w:type="dxa"/>
            <w:tcBorders>
              <w:top w:val="single" w:sz="6" w:space="0" w:color="auto"/>
              <w:left w:val="single" w:sz="4" w:space="0" w:color="auto"/>
              <w:bottom w:val="single" w:sz="4" w:space="0" w:color="A6A6A6"/>
              <w:right w:val="single" w:sz="4" w:space="0" w:color="auto"/>
            </w:tcBorders>
          </w:tcPr>
          <w:p w14:paraId="6D85815F" w14:textId="77777777" w:rsidR="001929CC" w:rsidRDefault="001929CC" w:rsidP="001929CC">
            <w:pPr>
              <w:snapToGrid w:val="0"/>
              <w:rPr>
                <w:sz w:val="16"/>
                <w:szCs w:val="16"/>
                <w:lang w:eastAsia="en-GB"/>
              </w:rPr>
            </w:pPr>
          </w:p>
        </w:tc>
        <w:tc>
          <w:tcPr>
            <w:tcW w:w="934" w:type="dxa"/>
            <w:tcBorders>
              <w:top w:val="single" w:sz="6" w:space="0" w:color="auto"/>
              <w:left w:val="single" w:sz="4" w:space="0" w:color="auto"/>
              <w:bottom w:val="single" w:sz="4" w:space="0" w:color="A6A6A6"/>
              <w:right w:val="single" w:sz="4" w:space="0" w:color="auto"/>
            </w:tcBorders>
          </w:tcPr>
          <w:p w14:paraId="35C101D0" w14:textId="77777777" w:rsidR="001929CC" w:rsidRDefault="001929CC" w:rsidP="001929CC">
            <w:pPr>
              <w:snapToGrid w:val="0"/>
              <w:rPr>
                <w:sz w:val="16"/>
                <w:szCs w:val="16"/>
                <w:lang w:eastAsia="en-GB"/>
              </w:rPr>
            </w:pPr>
          </w:p>
        </w:tc>
        <w:tc>
          <w:tcPr>
            <w:tcW w:w="885" w:type="dxa"/>
            <w:tcBorders>
              <w:top w:val="single" w:sz="6" w:space="0" w:color="auto"/>
              <w:left w:val="single" w:sz="4" w:space="0" w:color="auto"/>
              <w:bottom w:val="single" w:sz="4" w:space="0" w:color="A6A6A6"/>
              <w:right w:val="single" w:sz="4" w:space="0" w:color="auto"/>
            </w:tcBorders>
          </w:tcPr>
          <w:p w14:paraId="486F5C68" w14:textId="77777777" w:rsidR="001929CC" w:rsidRDefault="001929CC" w:rsidP="001929CC">
            <w:pPr>
              <w:snapToGrid w:val="0"/>
              <w:rPr>
                <w:sz w:val="16"/>
                <w:szCs w:val="16"/>
                <w:lang w:eastAsia="en-GB"/>
              </w:rPr>
            </w:pPr>
          </w:p>
        </w:tc>
        <w:tc>
          <w:tcPr>
            <w:tcW w:w="958" w:type="dxa"/>
            <w:tcBorders>
              <w:top w:val="single" w:sz="6" w:space="0" w:color="auto"/>
              <w:left w:val="single" w:sz="4" w:space="0" w:color="auto"/>
              <w:bottom w:val="single" w:sz="4" w:space="0" w:color="A6A6A6"/>
              <w:right w:val="single" w:sz="4" w:space="0" w:color="auto"/>
            </w:tcBorders>
          </w:tcPr>
          <w:p w14:paraId="7338E56F" w14:textId="77777777" w:rsidR="001929CC" w:rsidRDefault="001929CC" w:rsidP="001929CC">
            <w:pPr>
              <w:snapToGrid w:val="0"/>
              <w:rPr>
                <w:sz w:val="16"/>
                <w:szCs w:val="16"/>
                <w:lang w:eastAsia="en-GB"/>
              </w:rPr>
            </w:pPr>
          </w:p>
        </w:tc>
        <w:tc>
          <w:tcPr>
            <w:tcW w:w="861" w:type="dxa"/>
            <w:tcBorders>
              <w:top w:val="single" w:sz="6" w:space="0" w:color="auto"/>
              <w:left w:val="single" w:sz="4" w:space="0" w:color="auto"/>
              <w:bottom w:val="single" w:sz="4" w:space="0" w:color="A6A6A6"/>
              <w:right w:val="single" w:sz="4" w:space="0" w:color="auto"/>
            </w:tcBorders>
          </w:tcPr>
          <w:p w14:paraId="68C6C37D" w14:textId="77777777" w:rsidR="001929CC" w:rsidRDefault="001929CC" w:rsidP="001929CC">
            <w:pPr>
              <w:snapToGrid w:val="0"/>
              <w:rPr>
                <w:sz w:val="16"/>
                <w:szCs w:val="16"/>
                <w:lang w:eastAsia="en-GB"/>
              </w:rPr>
            </w:pPr>
          </w:p>
        </w:tc>
        <w:tc>
          <w:tcPr>
            <w:tcW w:w="910" w:type="dxa"/>
            <w:tcBorders>
              <w:top w:val="single" w:sz="6" w:space="0" w:color="auto"/>
              <w:left w:val="single" w:sz="4" w:space="0" w:color="auto"/>
              <w:bottom w:val="single" w:sz="4" w:space="0" w:color="A6A6A6"/>
              <w:right w:val="single" w:sz="4" w:space="0" w:color="auto"/>
            </w:tcBorders>
          </w:tcPr>
          <w:p w14:paraId="2C468F78" w14:textId="77777777" w:rsidR="001929CC" w:rsidRDefault="001929CC" w:rsidP="001929CC">
            <w:pPr>
              <w:snapToGrid w:val="0"/>
              <w:rPr>
                <w:sz w:val="16"/>
                <w:szCs w:val="16"/>
                <w:lang w:eastAsia="en-GB"/>
              </w:rPr>
            </w:pPr>
          </w:p>
        </w:tc>
        <w:tc>
          <w:tcPr>
            <w:tcW w:w="910" w:type="dxa"/>
            <w:tcBorders>
              <w:top w:val="single" w:sz="6" w:space="0" w:color="auto"/>
              <w:left w:val="single" w:sz="4" w:space="0" w:color="auto"/>
              <w:bottom w:val="single" w:sz="4" w:space="0" w:color="A6A6A6"/>
              <w:right w:val="single" w:sz="4" w:space="0" w:color="auto"/>
            </w:tcBorders>
          </w:tcPr>
          <w:p w14:paraId="29FAA824" w14:textId="77777777" w:rsidR="001929CC" w:rsidRDefault="001929CC" w:rsidP="001929CC">
            <w:pPr>
              <w:snapToGrid w:val="0"/>
              <w:rPr>
                <w:sz w:val="16"/>
                <w:szCs w:val="16"/>
                <w:lang w:eastAsia="en-GB"/>
              </w:rPr>
            </w:pPr>
          </w:p>
        </w:tc>
        <w:tc>
          <w:tcPr>
            <w:tcW w:w="909" w:type="dxa"/>
            <w:tcBorders>
              <w:top w:val="single" w:sz="6" w:space="0" w:color="auto"/>
              <w:left w:val="single" w:sz="4" w:space="0" w:color="auto"/>
              <w:bottom w:val="single" w:sz="4" w:space="0" w:color="A6A6A6"/>
              <w:right w:val="single" w:sz="4" w:space="0" w:color="auto"/>
            </w:tcBorders>
          </w:tcPr>
          <w:p w14:paraId="101133BD" w14:textId="77777777" w:rsidR="001929CC" w:rsidRDefault="001929CC" w:rsidP="001929CC">
            <w:pPr>
              <w:snapToGrid w:val="0"/>
              <w:rPr>
                <w:sz w:val="16"/>
                <w:szCs w:val="16"/>
                <w:lang w:eastAsia="en-GB"/>
              </w:rPr>
            </w:pPr>
          </w:p>
        </w:tc>
        <w:tc>
          <w:tcPr>
            <w:tcW w:w="910" w:type="dxa"/>
            <w:tcBorders>
              <w:top w:val="single" w:sz="6" w:space="0" w:color="auto"/>
              <w:left w:val="single" w:sz="4" w:space="0" w:color="auto"/>
              <w:bottom w:val="single" w:sz="4" w:space="0" w:color="A6A6A6"/>
              <w:right w:val="single" w:sz="4" w:space="0" w:color="auto"/>
            </w:tcBorders>
          </w:tcPr>
          <w:p w14:paraId="7EFA9826" w14:textId="77777777" w:rsidR="001929CC" w:rsidRDefault="001929CC" w:rsidP="001929CC">
            <w:pPr>
              <w:snapToGrid w:val="0"/>
              <w:rPr>
                <w:sz w:val="16"/>
                <w:szCs w:val="16"/>
                <w:lang w:eastAsia="en-GB"/>
              </w:rPr>
            </w:pPr>
          </w:p>
        </w:tc>
        <w:tc>
          <w:tcPr>
            <w:tcW w:w="909" w:type="dxa"/>
            <w:tcBorders>
              <w:top w:val="single" w:sz="6" w:space="0" w:color="auto"/>
              <w:left w:val="single" w:sz="4" w:space="0" w:color="auto"/>
              <w:bottom w:val="single" w:sz="4" w:space="0" w:color="A6A6A6"/>
              <w:right w:val="single" w:sz="4" w:space="0" w:color="auto"/>
            </w:tcBorders>
          </w:tcPr>
          <w:p w14:paraId="6EABD660" w14:textId="77777777" w:rsidR="001929CC" w:rsidRDefault="001929CC" w:rsidP="001929CC">
            <w:pPr>
              <w:snapToGrid w:val="0"/>
              <w:rPr>
                <w:sz w:val="16"/>
                <w:szCs w:val="16"/>
                <w:lang w:eastAsia="en-GB"/>
              </w:rPr>
            </w:pPr>
          </w:p>
        </w:tc>
        <w:tc>
          <w:tcPr>
            <w:tcW w:w="828" w:type="dxa"/>
            <w:tcBorders>
              <w:top w:val="single" w:sz="6" w:space="0" w:color="auto"/>
              <w:left w:val="single" w:sz="4" w:space="0" w:color="auto"/>
              <w:bottom w:val="single" w:sz="4" w:space="0" w:color="A6A6A6"/>
              <w:right w:val="single" w:sz="4" w:space="0" w:color="auto"/>
            </w:tcBorders>
          </w:tcPr>
          <w:p w14:paraId="514C025B" w14:textId="77777777" w:rsidR="001929CC" w:rsidRDefault="001929CC" w:rsidP="001929CC">
            <w:pPr>
              <w:snapToGrid w:val="0"/>
              <w:rPr>
                <w:sz w:val="16"/>
                <w:szCs w:val="16"/>
                <w:lang w:eastAsia="en-GB"/>
              </w:rPr>
            </w:pPr>
          </w:p>
        </w:tc>
        <w:tc>
          <w:tcPr>
            <w:tcW w:w="992" w:type="dxa"/>
            <w:tcBorders>
              <w:top w:val="single" w:sz="6" w:space="0" w:color="auto"/>
              <w:left w:val="single" w:sz="4" w:space="0" w:color="auto"/>
              <w:bottom w:val="single" w:sz="4" w:space="0" w:color="A6A6A6"/>
              <w:right w:val="single" w:sz="6" w:space="0" w:color="auto"/>
            </w:tcBorders>
            <w:shd w:val="clear" w:color="auto" w:fill="BFBFBF"/>
          </w:tcPr>
          <w:p w14:paraId="6C034309" w14:textId="77777777" w:rsidR="001929CC" w:rsidRDefault="001929CC" w:rsidP="001929CC">
            <w:pPr>
              <w:snapToGrid w:val="0"/>
              <w:rPr>
                <w:sz w:val="16"/>
                <w:szCs w:val="16"/>
                <w:lang w:eastAsia="en-GB"/>
              </w:rPr>
            </w:pPr>
          </w:p>
        </w:tc>
      </w:tr>
      <w:tr w:rsidR="001929CC" w14:paraId="18252628" w14:textId="77777777" w:rsidTr="001929CC">
        <w:trPr>
          <w:cantSplit/>
        </w:trPr>
        <w:tc>
          <w:tcPr>
            <w:tcW w:w="1276" w:type="dxa"/>
            <w:vMerge/>
            <w:tcBorders>
              <w:left w:val="nil"/>
              <w:right w:val="single" w:sz="4" w:space="0" w:color="auto"/>
            </w:tcBorders>
          </w:tcPr>
          <w:p w14:paraId="400B77BF" w14:textId="77777777" w:rsidR="001929CC" w:rsidRDefault="001929CC" w:rsidP="001929CC">
            <w:pPr>
              <w:snapToGrid w:val="0"/>
              <w:rPr>
                <w:sz w:val="16"/>
                <w:szCs w:val="16"/>
                <w:lang w:eastAsia="en-GB"/>
              </w:rPr>
            </w:pPr>
          </w:p>
        </w:tc>
        <w:tc>
          <w:tcPr>
            <w:tcW w:w="1701" w:type="dxa"/>
            <w:tcBorders>
              <w:left w:val="single" w:sz="4" w:space="0" w:color="auto"/>
              <w:bottom w:val="single" w:sz="4" w:space="0" w:color="A6A6A6"/>
              <w:right w:val="single" w:sz="4" w:space="0" w:color="auto"/>
            </w:tcBorders>
          </w:tcPr>
          <w:p w14:paraId="12FDBEF2" w14:textId="77777777" w:rsidR="001929CC" w:rsidRDefault="001929CC" w:rsidP="001929CC">
            <w:pPr>
              <w:snapToGrid w:val="0"/>
              <w:jc w:val="center"/>
              <w:rPr>
                <w:sz w:val="16"/>
                <w:szCs w:val="16"/>
                <w:lang w:eastAsia="en-GB"/>
              </w:rPr>
            </w:pPr>
            <w:r>
              <w:rPr>
                <w:sz w:val="16"/>
                <w:szCs w:val="16"/>
                <w:lang w:eastAsia="en-GB"/>
              </w:rPr>
              <w:t>0.15 to &lt; 0.25</w:t>
            </w:r>
          </w:p>
        </w:tc>
        <w:tc>
          <w:tcPr>
            <w:tcW w:w="909" w:type="dxa"/>
            <w:tcBorders>
              <w:left w:val="single" w:sz="4" w:space="0" w:color="auto"/>
              <w:bottom w:val="single" w:sz="4" w:space="0" w:color="A6A6A6"/>
              <w:right w:val="single" w:sz="4" w:space="0" w:color="auto"/>
            </w:tcBorders>
          </w:tcPr>
          <w:p w14:paraId="2B92F440" w14:textId="77777777" w:rsidR="001929CC" w:rsidRDefault="001929CC" w:rsidP="001929CC">
            <w:pPr>
              <w:snapToGrid w:val="0"/>
              <w:rPr>
                <w:sz w:val="16"/>
                <w:szCs w:val="16"/>
                <w:lang w:eastAsia="en-GB"/>
              </w:rPr>
            </w:pPr>
          </w:p>
        </w:tc>
        <w:tc>
          <w:tcPr>
            <w:tcW w:w="934" w:type="dxa"/>
            <w:tcBorders>
              <w:left w:val="single" w:sz="4" w:space="0" w:color="auto"/>
              <w:bottom w:val="single" w:sz="4" w:space="0" w:color="A6A6A6"/>
              <w:right w:val="single" w:sz="4" w:space="0" w:color="auto"/>
            </w:tcBorders>
          </w:tcPr>
          <w:p w14:paraId="3FB106C7" w14:textId="77777777" w:rsidR="001929CC" w:rsidRDefault="001929CC" w:rsidP="001929CC">
            <w:pPr>
              <w:snapToGrid w:val="0"/>
              <w:rPr>
                <w:sz w:val="16"/>
                <w:szCs w:val="16"/>
                <w:lang w:eastAsia="en-GB"/>
              </w:rPr>
            </w:pPr>
          </w:p>
        </w:tc>
        <w:tc>
          <w:tcPr>
            <w:tcW w:w="885" w:type="dxa"/>
            <w:tcBorders>
              <w:left w:val="single" w:sz="4" w:space="0" w:color="auto"/>
              <w:bottom w:val="single" w:sz="4" w:space="0" w:color="A6A6A6"/>
              <w:right w:val="single" w:sz="4" w:space="0" w:color="auto"/>
            </w:tcBorders>
          </w:tcPr>
          <w:p w14:paraId="055DDDBC" w14:textId="77777777" w:rsidR="001929CC" w:rsidRDefault="001929CC" w:rsidP="001929CC">
            <w:pPr>
              <w:snapToGrid w:val="0"/>
              <w:rPr>
                <w:sz w:val="16"/>
                <w:szCs w:val="16"/>
                <w:lang w:eastAsia="en-GB"/>
              </w:rPr>
            </w:pPr>
          </w:p>
        </w:tc>
        <w:tc>
          <w:tcPr>
            <w:tcW w:w="958" w:type="dxa"/>
            <w:tcBorders>
              <w:left w:val="single" w:sz="4" w:space="0" w:color="auto"/>
              <w:bottom w:val="single" w:sz="4" w:space="0" w:color="A6A6A6"/>
              <w:right w:val="single" w:sz="4" w:space="0" w:color="auto"/>
            </w:tcBorders>
          </w:tcPr>
          <w:p w14:paraId="7D1015D0" w14:textId="77777777" w:rsidR="001929CC" w:rsidRDefault="001929CC" w:rsidP="001929CC">
            <w:pPr>
              <w:snapToGrid w:val="0"/>
              <w:rPr>
                <w:sz w:val="16"/>
                <w:szCs w:val="16"/>
                <w:lang w:eastAsia="en-GB"/>
              </w:rPr>
            </w:pPr>
          </w:p>
        </w:tc>
        <w:tc>
          <w:tcPr>
            <w:tcW w:w="861" w:type="dxa"/>
            <w:tcBorders>
              <w:left w:val="single" w:sz="4" w:space="0" w:color="auto"/>
              <w:bottom w:val="single" w:sz="4" w:space="0" w:color="A6A6A6"/>
              <w:right w:val="single" w:sz="4" w:space="0" w:color="auto"/>
            </w:tcBorders>
          </w:tcPr>
          <w:p w14:paraId="6D21C652"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43C21812"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0822541E" w14:textId="77777777" w:rsidR="001929CC" w:rsidRDefault="001929CC" w:rsidP="001929CC">
            <w:pPr>
              <w:snapToGrid w:val="0"/>
              <w:rPr>
                <w:sz w:val="16"/>
                <w:szCs w:val="16"/>
                <w:lang w:eastAsia="en-GB"/>
              </w:rPr>
            </w:pPr>
          </w:p>
        </w:tc>
        <w:tc>
          <w:tcPr>
            <w:tcW w:w="909" w:type="dxa"/>
            <w:tcBorders>
              <w:left w:val="single" w:sz="4" w:space="0" w:color="auto"/>
              <w:bottom w:val="single" w:sz="4" w:space="0" w:color="A6A6A6"/>
              <w:right w:val="single" w:sz="4" w:space="0" w:color="auto"/>
            </w:tcBorders>
          </w:tcPr>
          <w:p w14:paraId="2801B3C1"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6459B712" w14:textId="77777777" w:rsidR="001929CC" w:rsidRDefault="001929CC" w:rsidP="001929CC">
            <w:pPr>
              <w:snapToGrid w:val="0"/>
              <w:rPr>
                <w:sz w:val="16"/>
                <w:szCs w:val="16"/>
                <w:lang w:eastAsia="en-GB"/>
              </w:rPr>
            </w:pPr>
          </w:p>
        </w:tc>
        <w:tc>
          <w:tcPr>
            <w:tcW w:w="909" w:type="dxa"/>
            <w:tcBorders>
              <w:left w:val="single" w:sz="4" w:space="0" w:color="auto"/>
              <w:bottom w:val="single" w:sz="4" w:space="0" w:color="A6A6A6"/>
              <w:right w:val="single" w:sz="4" w:space="0" w:color="auto"/>
            </w:tcBorders>
          </w:tcPr>
          <w:p w14:paraId="60D12413" w14:textId="77777777" w:rsidR="001929CC" w:rsidRDefault="001929CC" w:rsidP="001929CC">
            <w:pPr>
              <w:snapToGrid w:val="0"/>
              <w:rPr>
                <w:sz w:val="16"/>
                <w:szCs w:val="16"/>
                <w:lang w:eastAsia="en-GB"/>
              </w:rPr>
            </w:pPr>
          </w:p>
        </w:tc>
        <w:tc>
          <w:tcPr>
            <w:tcW w:w="828" w:type="dxa"/>
            <w:tcBorders>
              <w:left w:val="single" w:sz="4" w:space="0" w:color="auto"/>
              <w:bottom w:val="single" w:sz="4" w:space="0" w:color="A6A6A6"/>
              <w:right w:val="single" w:sz="4" w:space="0" w:color="auto"/>
            </w:tcBorders>
          </w:tcPr>
          <w:p w14:paraId="5261D461" w14:textId="77777777" w:rsidR="001929CC" w:rsidRDefault="001929CC" w:rsidP="001929CC">
            <w:pPr>
              <w:snapToGrid w:val="0"/>
              <w:rPr>
                <w:sz w:val="16"/>
                <w:szCs w:val="16"/>
                <w:lang w:eastAsia="en-GB"/>
              </w:rPr>
            </w:pPr>
          </w:p>
        </w:tc>
        <w:tc>
          <w:tcPr>
            <w:tcW w:w="992" w:type="dxa"/>
            <w:tcBorders>
              <w:left w:val="single" w:sz="4" w:space="0" w:color="auto"/>
              <w:bottom w:val="single" w:sz="4" w:space="0" w:color="A6A6A6"/>
              <w:right w:val="single" w:sz="6" w:space="0" w:color="auto"/>
            </w:tcBorders>
            <w:shd w:val="clear" w:color="auto" w:fill="BFBFBF"/>
          </w:tcPr>
          <w:p w14:paraId="0E1D6129" w14:textId="77777777" w:rsidR="001929CC" w:rsidRDefault="001929CC" w:rsidP="001929CC">
            <w:pPr>
              <w:snapToGrid w:val="0"/>
              <w:rPr>
                <w:sz w:val="16"/>
                <w:szCs w:val="16"/>
                <w:lang w:eastAsia="en-GB"/>
              </w:rPr>
            </w:pPr>
          </w:p>
        </w:tc>
      </w:tr>
      <w:tr w:rsidR="001929CC" w14:paraId="421C2785" w14:textId="77777777" w:rsidTr="001929CC">
        <w:trPr>
          <w:cantSplit/>
        </w:trPr>
        <w:tc>
          <w:tcPr>
            <w:tcW w:w="1276" w:type="dxa"/>
            <w:vMerge/>
            <w:tcBorders>
              <w:left w:val="nil"/>
              <w:right w:val="single" w:sz="4" w:space="0" w:color="auto"/>
            </w:tcBorders>
          </w:tcPr>
          <w:p w14:paraId="64359236" w14:textId="77777777" w:rsidR="001929CC" w:rsidRDefault="001929CC" w:rsidP="001929CC">
            <w:pPr>
              <w:snapToGrid w:val="0"/>
              <w:rPr>
                <w:sz w:val="16"/>
                <w:szCs w:val="16"/>
                <w:lang w:eastAsia="en-GB"/>
              </w:rPr>
            </w:pPr>
          </w:p>
        </w:tc>
        <w:tc>
          <w:tcPr>
            <w:tcW w:w="1701" w:type="dxa"/>
            <w:tcBorders>
              <w:left w:val="single" w:sz="4" w:space="0" w:color="auto"/>
              <w:bottom w:val="single" w:sz="4" w:space="0" w:color="A6A6A6"/>
              <w:right w:val="single" w:sz="4" w:space="0" w:color="auto"/>
            </w:tcBorders>
          </w:tcPr>
          <w:p w14:paraId="76371EF8" w14:textId="77777777" w:rsidR="001929CC" w:rsidRDefault="001929CC" w:rsidP="001929CC">
            <w:pPr>
              <w:snapToGrid w:val="0"/>
              <w:jc w:val="center"/>
              <w:rPr>
                <w:sz w:val="16"/>
                <w:szCs w:val="16"/>
                <w:lang w:eastAsia="en-GB"/>
              </w:rPr>
            </w:pPr>
            <w:r>
              <w:rPr>
                <w:sz w:val="16"/>
                <w:szCs w:val="16"/>
                <w:lang w:eastAsia="en-GB"/>
              </w:rPr>
              <w:t>0.25 to &lt; 0.50</w:t>
            </w:r>
          </w:p>
        </w:tc>
        <w:tc>
          <w:tcPr>
            <w:tcW w:w="909" w:type="dxa"/>
            <w:tcBorders>
              <w:left w:val="single" w:sz="4" w:space="0" w:color="auto"/>
              <w:bottom w:val="single" w:sz="4" w:space="0" w:color="A6A6A6"/>
              <w:right w:val="single" w:sz="4" w:space="0" w:color="auto"/>
            </w:tcBorders>
          </w:tcPr>
          <w:p w14:paraId="3BAC0BE0" w14:textId="77777777" w:rsidR="001929CC" w:rsidRDefault="001929CC" w:rsidP="001929CC">
            <w:pPr>
              <w:snapToGrid w:val="0"/>
              <w:rPr>
                <w:sz w:val="16"/>
                <w:szCs w:val="16"/>
                <w:lang w:eastAsia="en-GB"/>
              </w:rPr>
            </w:pPr>
          </w:p>
        </w:tc>
        <w:tc>
          <w:tcPr>
            <w:tcW w:w="934" w:type="dxa"/>
            <w:tcBorders>
              <w:left w:val="single" w:sz="4" w:space="0" w:color="auto"/>
              <w:bottom w:val="single" w:sz="4" w:space="0" w:color="A6A6A6"/>
              <w:right w:val="single" w:sz="4" w:space="0" w:color="auto"/>
            </w:tcBorders>
          </w:tcPr>
          <w:p w14:paraId="52506CE9" w14:textId="77777777" w:rsidR="001929CC" w:rsidRDefault="001929CC" w:rsidP="001929CC">
            <w:pPr>
              <w:snapToGrid w:val="0"/>
              <w:rPr>
                <w:sz w:val="16"/>
                <w:szCs w:val="16"/>
                <w:lang w:eastAsia="en-GB"/>
              </w:rPr>
            </w:pPr>
          </w:p>
        </w:tc>
        <w:tc>
          <w:tcPr>
            <w:tcW w:w="885" w:type="dxa"/>
            <w:tcBorders>
              <w:left w:val="single" w:sz="4" w:space="0" w:color="auto"/>
              <w:bottom w:val="single" w:sz="4" w:space="0" w:color="A6A6A6"/>
              <w:right w:val="single" w:sz="4" w:space="0" w:color="auto"/>
            </w:tcBorders>
          </w:tcPr>
          <w:p w14:paraId="726F0CFE" w14:textId="77777777" w:rsidR="001929CC" w:rsidRDefault="001929CC" w:rsidP="001929CC">
            <w:pPr>
              <w:snapToGrid w:val="0"/>
              <w:rPr>
                <w:sz w:val="16"/>
                <w:szCs w:val="16"/>
                <w:lang w:eastAsia="en-GB"/>
              </w:rPr>
            </w:pPr>
          </w:p>
        </w:tc>
        <w:tc>
          <w:tcPr>
            <w:tcW w:w="958" w:type="dxa"/>
            <w:tcBorders>
              <w:left w:val="single" w:sz="4" w:space="0" w:color="auto"/>
              <w:bottom w:val="single" w:sz="4" w:space="0" w:color="A6A6A6"/>
              <w:right w:val="single" w:sz="4" w:space="0" w:color="auto"/>
            </w:tcBorders>
          </w:tcPr>
          <w:p w14:paraId="2952711F" w14:textId="77777777" w:rsidR="001929CC" w:rsidRDefault="001929CC" w:rsidP="001929CC">
            <w:pPr>
              <w:snapToGrid w:val="0"/>
              <w:rPr>
                <w:sz w:val="16"/>
                <w:szCs w:val="16"/>
                <w:lang w:eastAsia="en-GB"/>
              </w:rPr>
            </w:pPr>
          </w:p>
        </w:tc>
        <w:tc>
          <w:tcPr>
            <w:tcW w:w="861" w:type="dxa"/>
            <w:tcBorders>
              <w:left w:val="single" w:sz="4" w:space="0" w:color="auto"/>
              <w:bottom w:val="single" w:sz="4" w:space="0" w:color="A6A6A6"/>
              <w:right w:val="single" w:sz="4" w:space="0" w:color="auto"/>
            </w:tcBorders>
          </w:tcPr>
          <w:p w14:paraId="5ACA8E0C"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27B84FC2"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64D88071" w14:textId="77777777" w:rsidR="001929CC" w:rsidRDefault="001929CC" w:rsidP="001929CC">
            <w:pPr>
              <w:snapToGrid w:val="0"/>
              <w:rPr>
                <w:sz w:val="16"/>
                <w:szCs w:val="16"/>
                <w:lang w:eastAsia="en-GB"/>
              </w:rPr>
            </w:pPr>
          </w:p>
        </w:tc>
        <w:tc>
          <w:tcPr>
            <w:tcW w:w="909" w:type="dxa"/>
            <w:tcBorders>
              <w:left w:val="single" w:sz="4" w:space="0" w:color="auto"/>
              <w:bottom w:val="single" w:sz="4" w:space="0" w:color="A6A6A6"/>
              <w:right w:val="single" w:sz="4" w:space="0" w:color="auto"/>
            </w:tcBorders>
          </w:tcPr>
          <w:p w14:paraId="60C46D61"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6AA50584" w14:textId="77777777" w:rsidR="001929CC" w:rsidRDefault="001929CC" w:rsidP="001929CC">
            <w:pPr>
              <w:snapToGrid w:val="0"/>
              <w:rPr>
                <w:sz w:val="16"/>
                <w:szCs w:val="16"/>
                <w:lang w:eastAsia="en-GB"/>
              </w:rPr>
            </w:pPr>
          </w:p>
        </w:tc>
        <w:tc>
          <w:tcPr>
            <w:tcW w:w="909" w:type="dxa"/>
            <w:tcBorders>
              <w:left w:val="single" w:sz="4" w:space="0" w:color="auto"/>
              <w:bottom w:val="single" w:sz="4" w:space="0" w:color="A6A6A6"/>
              <w:right w:val="single" w:sz="4" w:space="0" w:color="auto"/>
            </w:tcBorders>
          </w:tcPr>
          <w:p w14:paraId="57D18CA4" w14:textId="77777777" w:rsidR="001929CC" w:rsidRDefault="001929CC" w:rsidP="001929CC">
            <w:pPr>
              <w:snapToGrid w:val="0"/>
              <w:rPr>
                <w:sz w:val="16"/>
                <w:szCs w:val="16"/>
                <w:lang w:eastAsia="en-GB"/>
              </w:rPr>
            </w:pPr>
          </w:p>
        </w:tc>
        <w:tc>
          <w:tcPr>
            <w:tcW w:w="828" w:type="dxa"/>
            <w:tcBorders>
              <w:left w:val="single" w:sz="4" w:space="0" w:color="auto"/>
              <w:bottom w:val="single" w:sz="4" w:space="0" w:color="A6A6A6"/>
              <w:right w:val="single" w:sz="4" w:space="0" w:color="auto"/>
            </w:tcBorders>
          </w:tcPr>
          <w:p w14:paraId="1D0D5ACE" w14:textId="77777777" w:rsidR="001929CC" w:rsidRDefault="001929CC" w:rsidP="001929CC">
            <w:pPr>
              <w:snapToGrid w:val="0"/>
              <w:rPr>
                <w:sz w:val="16"/>
                <w:szCs w:val="16"/>
                <w:lang w:eastAsia="en-GB"/>
              </w:rPr>
            </w:pPr>
          </w:p>
        </w:tc>
        <w:tc>
          <w:tcPr>
            <w:tcW w:w="992" w:type="dxa"/>
            <w:tcBorders>
              <w:left w:val="single" w:sz="4" w:space="0" w:color="auto"/>
              <w:bottom w:val="single" w:sz="4" w:space="0" w:color="A6A6A6"/>
              <w:right w:val="single" w:sz="6" w:space="0" w:color="auto"/>
            </w:tcBorders>
            <w:shd w:val="clear" w:color="auto" w:fill="BFBFBF"/>
          </w:tcPr>
          <w:p w14:paraId="2461418B" w14:textId="77777777" w:rsidR="001929CC" w:rsidRDefault="001929CC" w:rsidP="001929CC">
            <w:pPr>
              <w:snapToGrid w:val="0"/>
              <w:rPr>
                <w:sz w:val="16"/>
                <w:szCs w:val="16"/>
                <w:lang w:eastAsia="en-GB"/>
              </w:rPr>
            </w:pPr>
          </w:p>
        </w:tc>
      </w:tr>
      <w:tr w:rsidR="001929CC" w14:paraId="57EF9E60" w14:textId="77777777" w:rsidTr="001929CC">
        <w:trPr>
          <w:cantSplit/>
        </w:trPr>
        <w:tc>
          <w:tcPr>
            <w:tcW w:w="1276" w:type="dxa"/>
            <w:vMerge/>
            <w:tcBorders>
              <w:left w:val="nil"/>
              <w:right w:val="single" w:sz="4" w:space="0" w:color="auto"/>
            </w:tcBorders>
          </w:tcPr>
          <w:p w14:paraId="4D24F1BB" w14:textId="77777777" w:rsidR="001929CC" w:rsidRDefault="001929CC" w:rsidP="001929CC">
            <w:pPr>
              <w:snapToGrid w:val="0"/>
              <w:rPr>
                <w:sz w:val="16"/>
                <w:szCs w:val="16"/>
                <w:lang w:eastAsia="en-GB"/>
              </w:rPr>
            </w:pPr>
          </w:p>
        </w:tc>
        <w:tc>
          <w:tcPr>
            <w:tcW w:w="1701" w:type="dxa"/>
            <w:tcBorders>
              <w:left w:val="single" w:sz="4" w:space="0" w:color="auto"/>
              <w:bottom w:val="single" w:sz="4" w:space="0" w:color="A6A6A6"/>
              <w:right w:val="single" w:sz="4" w:space="0" w:color="auto"/>
            </w:tcBorders>
          </w:tcPr>
          <w:p w14:paraId="1D5A79AA" w14:textId="77777777" w:rsidR="001929CC" w:rsidRDefault="001929CC" w:rsidP="001929CC">
            <w:pPr>
              <w:snapToGrid w:val="0"/>
              <w:jc w:val="center"/>
              <w:rPr>
                <w:sz w:val="16"/>
                <w:szCs w:val="16"/>
                <w:lang w:eastAsia="en-GB"/>
              </w:rPr>
            </w:pPr>
            <w:r>
              <w:rPr>
                <w:sz w:val="16"/>
                <w:szCs w:val="16"/>
                <w:lang w:eastAsia="en-GB"/>
              </w:rPr>
              <w:t>0.50 to &lt; 0.75</w:t>
            </w:r>
          </w:p>
        </w:tc>
        <w:tc>
          <w:tcPr>
            <w:tcW w:w="909" w:type="dxa"/>
            <w:tcBorders>
              <w:left w:val="single" w:sz="4" w:space="0" w:color="auto"/>
              <w:bottom w:val="single" w:sz="4" w:space="0" w:color="A6A6A6"/>
              <w:right w:val="single" w:sz="4" w:space="0" w:color="auto"/>
            </w:tcBorders>
          </w:tcPr>
          <w:p w14:paraId="32FA235C" w14:textId="77777777" w:rsidR="001929CC" w:rsidRDefault="001929CC" w:rsidP="001929CC">
            <w:pPr>
              <w:snapToGrid w:val="0"/>
              <w:rPr>
                <w:sz w:val="16"/>
                <w:szCs w:val="16"/>
                <w:lang w:eastAsia="en-GB"/>
              </w:rPr>
            </w:pPr>
          </w:p>
        </w:tc>
        <w:tc>
          <w:tcPr>
            <w:tcW w:w="934" w:type="dxa"/>
            <w:tcBorders>
              <w:left w:val="single" w:sz="4" w:space="0" w:color="auto"/>
              <w:bottom w:val="single" w:sz="4" w:space="0" w:color="A6A6A6"/>
              <w:right w:val="single" w:sz="4" w:space="0" w:color="auto"/>
            </w:tcBorders>
          </w:tcPr>
          <w:p w14:paraId="412B4787" w14:textId="77777777" w:rsidR="001929CC" w:rsidRDefault="001929CC" w:rsidP="001929CC">
            <w:pPr>
              <w:snapToGrid w:val="0"/>
              <w:rPr>
                <w:sz w:val="16"/>
                <w:szCs w:val="16"/>
                <w:lang w:eastAsia="en-GB"/>
              </w:rPr>
            </w:pPr>
          </w:p>
        </w:tc>
        <w:tc>
          <w:tcPr>
            <w:tcW w:w="885" w:type="dxa"/>
            <w:tcBorders>
              <w:left w:val="single" w:sz="4" w:space="0" w:color="auto"/>
              <w:bottom w:val="single" w:sz="4" w:space="0" w:color="A6A6A6"/>
              <w:right w:val="single" w:sz="4" w:space="0" w:color="auto"/>
            </w:tcBorders>
          </w:tcPr>
          <w:p w14:paraId="3463EE58" w14:textId="77777777" w:rsidR="001929CC" w:rsidRDefault="001929CC" w:rsidP="001929CC">
            <w:pPr>
              <w:snapToGrid w:val="0"/>
              <w:rPr>
                <w:sz w:val="16"/>
                <w:szCs w:val="16"/>
                <w:lang w:eastAsia="en-GB"/>
              </w:rPr>
            </w:pPr>
          </w:p>
        </w:tc>
        <w:tc>
          <w:tcPr>
            <w:tcW w:w="958" w:type="dxa"/>
            <w:tcBorders>
              <w:left w:val="single" w:sz="4" w:space="0" w:color="auto"/>
              <w:bottom w:val="single" w:sz="4" w:space="0" w:color="A6A6A6"/>
              <w:right w:val="single" w:sz="4" w:space="0" w:color="auto"/>
            </w:tcBorders>
          </w:tcPr>
          <w:p w14:paraId="78BB79CF" w14:textId="77777777" w:rsidR="001929CC" w:rsidRDefault="001929CC" w:rsidP="001929CC">
            <w:pPr>
              <w:snapToGrid w:val="0"/>
              <w:rPr>
                <w:sz w:val="16"/>
                <w:szCs w:val="16"/>
                <w:lang w:eastAsia="en-GB"/>
              </w:rPr>
            </w:pPr>
          </w:p>
        </w:tc>
        <w:tc>
          <w:tcPr>
            <w:tcW w:w="861" w:type="dxa"/>
            <w:tcBorders>
              <w:left w:val="single" w:sz="4" w:space="0" w:color="auto"/>
              <w:bottom w:val="single" w:sz="4" w:space="0" w:color="A6A6A6"/>
              <w:right w:val="single" w:sz="4" w:space="0" w:color="auto"/>
            </w:tcBorders>
          </w:tcPr>
          <w:p w14:paraId="4B3D0437"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7ED7A24B"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317A222A" w14:textId="77777777" w:rsidR="001929CC" w:rsidRDefault="001929CC" w:rsidP="001929CC">
            <w:pPr>
              <w:snapToGrid w:val="0"/>
              <w:rPr>
                <w:sz w:val="16"/>
                <w:szCs w:val="16"/>
                <w:lang w:eastAsia="en-GB"/>
              </w:rPr>
            </w:pPr>
          </w:p>
        </w:tc>
        <w:tc>
          <w:tcPr>
            <w:tcW w:w="909" w:type="dxa"/>
            <w:tcBorders>
              <w:left w:val="single" w:sz="4" w:space="0" w:color="auto"/>
              <w:bottom w:val="single" w:sz="4" w:space="0" w:color="A6A6A6"/>
              <w:right w:val="single" w:sz="4" w:space="0" w:color="auto"/>
            </w:tcBorders>
          </w:tcPr>
          <w:p w14:paraId="357D761B"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2928C346" w14:textId="77777777" w:rsidR="001929CC" w:rsidRDefault="001929CC" w:rsidP="001929CC">
            <w:pPr>
              <w:snapToGrid w:val="0"/>
              <w:rPr>
                <w:sz w:val="16"/>
                <w:szCs w:val="16"/>
                <w:lang w:eastAsia="en-GB"/>
              </w:rPr>
            </w:pPr>
          </w:p>
        </w:tc>
        <w:tc>
          <w:tcPr>
            <w:tcW w:w="909" w:type="dxa"/>
            <w:tcBorders>
              <w:left w:val="single" w:sz="4" w:space="0" w:color="auto"/>
              <w:bottom w:val="single" w:sz="4" w:space="0" w:color="A6A6A6"/>
              <w:right w:val="single" w:sz="4" w:space="0" w:color="auto"/>
            </w:tcBorders>
          </w:tcPr>
          <w:p w14:paraId="1BD829A0" w14:textId="77777777" w:rsidR="001929CC" w:rsidRDefault="001929CC" w:rsidP="001929CC">
            <w:pPr>
              <w:snapToGrid w:val="0"/>
              <w:rPr>
                <w:sz w:val="16"/>
                <w:szCs w:val="16"/>
                <w:lang w:eastAsia="en-GB"/>
              </w:rPr>
            </w:pPr>
          </w:p>
        </w:tc>
        <w:tc>
          <w:tcPr>
            <w:tcW w:w="828" w:type="dxa"/>
            <w:tcBorders>
              <w:left w:val="single" w:sz="4" w:space="0" w:color="auto"/>
              <w:bottom w:val="single" w:sz="4" w:space="0" w:color="A6A6A6"/>
              <w:right w:val="single" w:sz="4" w:space="0" w:color="auto"/>
            </w:tcBorders>
          </w:tcPr>
          <w:p w14:paraId="4EC1A6C2" w14:textId="77777777" w:rsidR="001929CC" w:rsidRDefault="001929CC" w:rsidP="001929CC">
            <w:pPr>
              <w:snapToGrid w:val="0"/>
              <w:rPr>
                <w:sz w:val="16"/>
                <w:szCs w:val="16"/>
                <w:lang w:eastAsia="en-GB"/>
              </w:rPr>
            </w:pPr>
          </w:p>
        </w:tc>
        <w:tc>
          <w:tcPr>
            <w:tcW w:w="992" w:type="dxa"/>
            <w:tcBorders>
              <w:left w:val="single" w:sz="4" w:space="0" w:color="auto"/>
              <w:bottom w:val="single" w:sz="4" w:space="0" w:color="A6A6A6"/>
              <w:right w:val="single" w:sz="6" w:space="0" w:color="auto"/>
            </w:tcBorders>
            <w:shd w:val="clear" w:color="auto" w:fill="BFBFBF"/>
          </w:tcPr>
          <w:p w14:paraId="76272CD3" w14:textId="77777777" w:rsidR="001929CC" w:rsidRDefault="001929CC" w:rsidP="001929CC">
            <w:pPr>
              <w:snapToGrid w:val="0"/>
              <w:rPr>
                <w:sz w:val="16"/>
                <w:szCs w:val="16"/>
                <w:lang w:eastAsia="en-GB"/>
              </w:rPr>
            </w:pPr>
          </w:p>
        </w:tc>
      </w:tr>
      <w:tr w:rsidR="001929CC" w14:paraId="476F4018" w14:textId="77777777" w:rsidTr="001929CC">
        <w:trPr>
          <w:cantSplit/>
        </w:trPr>
        <w:tc>
          <w:tcPr>
            <w:tcW w:w="1276" w:type="dxa"/>
            <w:vMerge/>
            <w:tcBorders>
              <w:left w:val="nil"/>
              <w:right w:val="single" w:sz="4" w:space="0" w:color="auto"/>
            </w:tcBorders>
          </w:tcPr>
          <w:p w14:paraId="1E9BAF4E" w14:textId="77777777" w:rsidR="001929CC" w:rsidRDefault="001929CC" w:rsidP="001929CC">
            <w:pPr>
              <w:snapToGrid w:val="0"/>
              <w:rPr>
                <w:sz w:val="16"/>
                <w:szCs w:val="16"/>
                <w:lang w:eastAsia="en-GB"/>
              </w:rPr>
            </w:pPr>
          </w:p>
        </w:tc>
        <w:tc>
          <w:tcPr>
            <w:tcW w:w="1701" w:type="dxa"/>
            <w:tcBorders>
              <w:left w:val="single" w:sz="4" w:space="0" w:color="auto"/>
              <w:bottom w:val="single" w:sz="4" w:space="0" w:color="A6A6A6"/>
              <w:right w:val="single" w:sz="4" w:space="0" w:color="auto"/>
            </w:tcBorders>
          </w:tcPr>
          <w:p w14:paraId="55A1026D" w14:textId="77777777" w:rsidR="001929CC" w:rsidRDefault="001929CC" w:rsidP="001929CC">
            <w:pPr>
              <w:snapToGrid w:val="0"/>
              <w:jc w:val="center"/>
              <w:rPr>
                <w:sz w:val="16"/>
                <w:szCs w:val="16"/>
                <w:lang w:eastAsia="en-GB"/>
              </w:rPr>
            </w:pPr>
            <w:r>
              <w:rPr>
                <w:sz w:val="16"/>
                <w:szCs w:val="16"/>
                <w:lang w:eastAsia="en-GB"/>
              </w:rPr>
              <w:t>0.75 to &lt; 2.50</w:t>
            </w:r>
          </w:p>
        </w:tc>
        <w:tc>
          <w:tcPr>
            <w:tcW w:w="909" w:type="dxa"/>
            <w:tcBorders>
              <w:left w:val="single" w:sz="4" w:space="0" w:color="auto"/>
              <w:bottom w:val="single" w:sz="4" w:space="0" w:color="A6A6A6"/>
              <w:right w:val="single" w:sz="4" w:space="0" w:color="auto"/>
            </w:tcBorders>
          </w:tcPr>
          <w:p w14:paraId="1CE6E731" w14:textId="77777777" w:rsidR="001929CC" w:rsidRDefault="001929CC" w:rsidP="001929CC">
            <w:pPr>
              <w:snapToGrid w:val="0"/>
              <w:rPr>
                <w:sz w:val="16"/>
                <w:szCs w:val="16"/>
                <w:lang w:eastAsia="en-GB"/>
              </w:rPr>
            </w:pPr>
          </w:p>
        </w:tc>
        <w:tc>
          <w:tcPr>
            <w:tcW w:w="934" w:type="dxa"/>
            <w:tcBorders>
              <w:left w:val="single" w:sz="4" w:space="0" w:color="auto"/>
              <w:bottom w:val="single" w:sz="4" w:space="0" w:color="A6A6A6"/>
              <w:right w:val="single" w:sz="4" w:space="0" w:color="auto"/>
            </w:tcBorders>
          </w:tcPr>
          <w:p w14:paraId="6140033D" w14:textId="77777777" w:rsidR="001929CC" w:rsidRDefault="001929CC" w:rsidP="001929CC">
            <w:pPr>
              <w:snapToGrid w:val="0"/>
              <w:rPr>
                <w:sz w:val="16"/>
                <w:szCs w:val="16"/>
                <w:lang w:eastAsia="en-GB"/>
              </w:rPr>
            </w:pPr>
          </w:p>
        </w:tc>
        <w:tc>
          <w:tcPr>
            <w:tcW w:w="885" w:type="dxa"/>
            <w:tcBorders>
              <w:left w:val="single" w:sz="4" w:space="0" w:color="auto"/>
              <w:bottom w:val="single" w:sz="4" w:space="0" w:color="A6A6A6"/>
              <w:right w:val="single" w:sz="4" w:space="0" w:color="auto"/>
            </w:tcBorders>
          </w:tcPr>
          <w:p w14:paraId="6FC91D17" w14:textId="77777777" w:rsidR="001929CC" w:rsidRDefault="001929CC" w:rsidP="001929CC">
            <w:pPr>
              <w:snapToGrid w:val="0"/>
              <w:rPr>
                <w:sz w:val="16"/>
                <w:szCs w:val="16"/>
                <w:lang w:eastAsia="en-GB"/>
              </w:rPr>
            </w:pPr>
          </w:p>
        </w:tc>
        <w:tc>
          <w:tcPr>
            <w:tcW w:w="958" w:type="dxa"/>
            <w:tcBorders>
              <w:left w:val="single" w:sz="4" w:space="0" w:color="auto"/>
              <w:bottom w:val="single" w:sz="4" w:space="0" w:color="A6A6A6"/>
              <w:right w:val="single" w:sz="4" w:space="0" w:color="auto"/>
            </w:tcBorders>
          </w:tcPr>
          <w:p w14:paraId="116DE4B5" w14:textId="77777777" w:rsidR="001929CC" w:rsidRDefault="001929CC" w:rsidP="001929CC">
            <w:pPr>
              <w:snapToGrid w:val="0"/>
              <w:rPr>
                <w:sz w:val="16"/>
                <w:szCs w:val="16"/>
                <w:lang w:eastAsia="en-GB"/>
              </w:rPr>
            </w:pPr>
          </w:p>
        </w:tc>
        <w:tc>
          <w:tcPr>
            <w:tcW w:w="861" w:type="dxa"/>
            <w:tcBorders>
              <w:left w:val="single" w:sz="4" w:space="0" w:color="auto"/>
              <w:bottom w:val="single" w:sz="4" w:space="0" w:color="A6A6A6"/>
              <w:right w:val="single" w:sz="4" w:space="0" w:color="auto"/>
            </w:tcBorders>
          </w:tcPr>
          <w:p w14:paraId="3FEBB637"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50BA3A3D"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13592355" w14:textId="77777777" w:rsidR="001929CC" w:rsidRDefault="001929CC" w:rsidP="001929CC">
            <w:pPr>
              <w:snapToGrid w:val="0"/>
              <w:rPr>
                <w:sz w:val="16"/>
                <w:szCs w:val="16"/>
                <w:lang w:eastAsia="en-GB"/>
              </w:rPr>
            </w:pPr>
          </w:p>
        </w:tc>
        <w:tc>
          <w:tcPr>
            <w:tcW w:w="909" w:type="dxa"/>
            <w:tcBorders>
              <w:left w:val="single" w:sz="4" w:space="0" w:color="auto"/>
              <w:bottom w:val="single" w:sz="4" w:space="0" w:color="A6A6A6"/>
              <w:right w:val="single" w:sz="4" w:space="0" w:color="auto"/>
            </w:tcBorders>
          </w:tcPr>
          <w:p w14:paraId="5DAD404E"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5A88D4AA" w14:textId="77777777" w:rsidR="001929CC" w:rsidRDefault="001929CC" w:rsidP="001929CC">
            <w:pPr>
              <w:snapToGrid w:val="0"/>
              <w:rPr>
                <w:sz w:val="16"/>
                <w:szCs w:val="16"/>
                <w:lang w:eastAsia="en-GB"/>
              </w:rPr>
            </w:pPr>
          </w:p>
        </w:tc>
        <w:tc>
          <w:tcPr>
            <w:tcW w:w="909" w:type="dxa"/>
            <w:tcBorders>
              <w:left w:val="single" w:sz="4" w:space="0" w:color="auto"/>
              <w:bottom w:val="single" w:sz="4" w:space="0" w:color="A6A6A6"/>
              <w:right w:val="single" w:sz="4" w:space="0" w:color="auto"/>
            </w:tcBorders>
          </w:tcPr>
          <w:p w14:paraId="4E535FEA" w14:textId="77777777" w:rsidR="001929CC" w:rsidRDefault="001929CC" w:rsidP="001929CC">
            <w:pPr>
              <w:snapToGrid w:val="0"/>
              <w:rPr>
                <w:sz w:val="16"/>
                <w:szCs w:val="16"/>
                <w:lang w:eastAsia="en-GB"/>
              </w:rPr>
            </w:pPr>
          </w:p>
        </w:tc>
        <w:tc>
          <w:tcPr>
            <w:tcW w:w="828" w:type="dxa"/>
            <w:tcBorders>
              <w:left w:val="single" w:sz="4" w:space="0" w:color="auto"/>
              <w:bottom w:val="single" w:sz="4" w:space="0" w:color="A6A6A6"/>
              <w:right w:val="single" w:sz="4" w:space="0" w:color="auto"/>
            </w:tcBorders>
          </w:tcPr>
          <w:p w14:paraId="6F936BE5" w14:textId="77777777" w:rsidR="001929CC" w:rsidRDefault="001929CC" w:rsidP="001929CC">
            <w:pPr>
              <w:snapToGrid w:val="0"/>
              <w:rPr>
                <w:sz w:val="16"/>
                <w:szCs w:val="16"/>
                <w:lang w:eastAsia="en-GB"/>
              </w:rPr>
            </w:pPr>
          </w:p>
        </w:tc>
        <w:tc>
          <w:tcPr>
            <w:tcW w:w="992" w:type="dxa"/>
            <w:tcBorders>
              <w:left w:val="single" w:sz="4" w:space="0" w:color="auto"/>
              <w:bottom w:val="single" w:sz="4" w:space="0" w:color="A6A6A6"/>
              <w:right w:val="single" w:sz="6" w:space="0" w:color="auto"/>
            </w:tcBorders>
            <w:shd w:val="clear" w:color="auto" w:fill="BFBFBF"/>
          </w:tcPr>
          <w:p w14:paraId="059F32DF" w14:textId="77777777" w:rsidR="001929CC" w:rsidRDefault="001929CC" w:rsidP="001929CC">
            <w:pPr>
              <w:snapToGrid w:val="0"/>
              <w:rPr>
                <w:sz w:val="16"/>
                <w:szCs w:val="16"/>
                <w:lang w:eastAsia="en-GB"/>
              </w:rPr>
            </w:pPr>
          </w:p>
        </w:tc>
      </w:tr>
      <w:tr w:rsidR="001929CC" w14:paraId="7A5D140B" w14:textId="77777777" w:rsidTr="001929CC">
        <w:trPr>
          <w:cantSplit/>
        </w:trPr>
        <w:tc>
          <w:tcPr>
            <w:tcW w:w="1276" w:type="dxa"/>
            <w:vMerge/>
            <w:tcBorders>
              <w:left w:val="nil"/>
              <w:right w:val="single" w:sz="4" w:space="0" w:color="auto"/>
            </w:tcBorders>
          </w:tcPr>
          <w:p w14:paraId="11FAC392" w14:textId="77777777" w:rsidR="001929CC" w:rsidRDefault="001929CC" w:rsidP="001929CC">
            <w:pPr>
              <w:snapToGrid w:val="0"/>
              <w:rPr>
                <w:sz w:val="16"/>
                <w:szCs w:val="16"/>
                <w:lang w:eastAsia="en-GB"/>
              </w:rPr>
            </w:pPr>
          </w:p>
        </w:tc>
        <w:tc>
          <w:tcPr>
            <w:tcW w:w="1701" w:type="dxa"/>
            <w:tcBorders>
              <w:left w:val="single" w:sz="4" w:space="0" w:color="auto"/>
              <w:bottom w:val="single" w:sz="4" w:space="0" w:color="A6A6A6"/>
              <w:right w:val="single" w:sz="4" w:space="0" w:color="auto"/>
            </w:tcBorders>
          </w:tcPr>
          <w:p w14:paraId="5C2D6C43" w14:textId="77777777" w:rsidR="001929CC" w:rsidRDefault="001929CC" w:rsidP="001929CC">
            <w:pPr>
              <w:snapToGrid w:val="0"/>
              <w:jc w:val="center"/>
              <w:rPr>
                <w:sz w:val="16"/>
                <w:szCs w:val="16"/>
                <w:lang w:eastAsia="en-GB"/>
              </w:rPr>
            </w:pPr>
            <w:r>
              <w:rPr>
                <w:sz w:val="16"/>
                <w:szCs w:val="16"/>
                <w:lang w:eastAsia="en-GB"/>
              </w:rPr>
              <w:t>2.50 to &lt; 10.00</w:t>
            </w:r>
          </w:p>
        </w:tc>
        <w:tc>
          <w:tcPr>
            <w:tcW w:w="909" w:type="dxa"/>
            <w:tcBorders>
              <w:left w:val="single" w:sz="4" w:space="0" w:color="auto"/>
              <w:bottom w:val="single" w:sz="4" w:space="0" w:color="A6A6A6"/>
              <w:right w:val="single" w:sz="4" w:space="0" w:color="auto"/>
            </w:tcBorders>
          </w:tcPr>
          <w:p w14:paraId="559F3755" w14:textId="77777777" w:rsidR="001929CC" w:rsidRDefault="001929CC" w:rsidP="001929CC">
            <w:pPr>
              <w:snapToGrid w:val="0"/>
              <w:rPr>
                <w:sz w:val="16"/>
                <w:szCs w:val="16"/>
                <w:lang w:eastAsia="en-GB"/>
              </w:rPr>
            </w:pPr>
          </w:p>
        </w:tc>
        <w:tc>
          <w:tcPr>
            <w:tcW w:w="934" w:type="dxa"/>
            <w:tcBorders>
              <w:left w:val="single" w:sz="4" w:space="0" w:color="auto"/>
              <w:bottom w:val="single" w:sz="4" w:space="0" w:color="A6A6A6"/>
              <w:right w:val="single" w:sz="4" w:space="0" w:color="auto"/>
            </w:tcBorders>
          </w:tcPr>
          <w:p w14:paraId="581A8E6C" w14:textId="77777777" w:rsidR="001929CC" w:rsidRDefault="001929CC" w:rsidP="001929CC">
            <w:pPr>
              <w:snapToGrid w:val="0"/>
              <w:rPr>
                <w:sz w:val="16"/>
                <w:szCs w:val="16"/>
                <w:lang w:eastAsia="en-GB"/>
              </w:rPr>
            </w:pPr>
          </w:p>
        </w:tc>
        <w:tc>
          <w:tcPr>
            <w:tcW w:w="885" w:type="dxa"/>
            <w:tcBorders>
              <w:left w:val="single" w:sz="4" w:space="0" w:color="auto"/>
              <w:bottom w:val="single" w:sz="4" w:space="0" w:color="A6A6A6"/>
              <w:right w:val="single" w:sz="4" w:space="0" w:color="auto"/>
            </w:tcBorders>
          </w:tcPr>
          <w:p w14:paraId="0DD69736" w14:textId="77777777" w:rsidR="001929CC" w:rsidRDefault="001929CC" w:rsidP="001929CC">
            <w:pPr>
              <w:snapToGrid w:val="0"/>
              <w:rPr>
                <w:sz w:val="16"/>
                <w:szCs w:val="16"/>
                <w:lang w:eastAsia="en-GB"/>
              </w:rPr>
            </w:pPr>
          </w:p>
        </w:tc>
        <w:tc>
          <w:tcPr>
            <w:tcW w:w="958" w:type="dxa"/>
            <w:tcBorders>
              <w:left w:val="single" w:sz="4" w:space="0" w:color="auto"/>
              <w:bottom w:val="single" w:sz="4" w:space="0" w:color="A6A6A6"/>
              <w:right w:val="single" w:sz="4" w:space="0" w:color="auto"/>
            </w:tcBorders>
          </w:tcPr>
          <w:p w14:paraId="7C739B26" w14:textId="77777777" w:rsidR="001929CC" w:rsidRDefault="001929CC" w:rsidP="001929CC">
            <w:pPr>
              <w:snapToGrid w:val="0"/>
              <w:rPr>
                <w:sz w:val="16"/>
                <w:szCs w:val="16"/>
                <w:lang w:eastAsia="en-GB"/>
              </w:rPr>
            </w:pPr>
          </w:p>
        </w:tc>
        <w:tc>
          <w:tcPr>
            <w:tcW w:w="861" w:type="dxa"/>
            <w:tcBorders>
              <w:left w:val="single" w:sz="4" w:space="0" w:color="auto"/>
              <w:bottom w:val="single" w:sz="4" w:space="0" w:color="A6A6A6"/>
              <w:right w:val="single" w:sz="4" w:space="0" w:color="auto"/>
            </w:tcBorders>
          </w:tcPr>
          <w:p w14:paraId="7A140B45"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6E0149AE"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42747C8A" w14:textId="77777777" w:rsidR="001929CC" w:rsidRDefault="001929CC" w:rsidP="001929CC">
            <w:pPr>
              <w:snapToGrid w:val="0"/>
              <w:rPr>
                <w:sz w:val="16"/>
                <w:szCs w:val="16"/>
                <w:lang w:eastAsia="en-GB"/>
              </w:rPr>
            </w:pPr>
          </w:p>
        </w:tc>
        <w:tc>
          <w:tcPr>
            <w:tcW w:w="909" w:type="dxa"/>
            <w:tcBorders>
              <w:left w:val="single" w:sz="4" w:space="0" w:color="auto"/>
              <w:bottom w:val="single" w:sz="4" w:space="0" w:color="A6A6A6"/>
              <w:right w:val="single" w:sz="4" w:space="0" w:color="auto"/>
            </w:tcBorders>
          </w:tcPr>
          <w:p w14:paraId="09DA9C5E"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22AD7AA6" w14:textId="77777777" w:rsidR="001929CC" w:rsidRDefault="001929CC" w:rsidP="001929CC">
            <w:pPr>
              <w:snapToGrid w:val="0"/>
              <w:rPr>
                <w:sz w:val="16"/>
                <w:szCs w:val="16"/>
                <w:lang w:eastAsia="en-GB"/>
              </w:rPr>
            </w:pPr>
          </w:p>
        </w:tc>
        <w:tc>
          <w:tcPr>
            <w:tcW w:w="909" w:type="dxa"/>
            <w:tcBorders>
              <w:left w:val="single" w:sz="4" w:space="0" w:color="auto"/>
              <w:bottom w:val="single" w:sz="4" w:space="0" w:color="A6A6A6"/>
              <w:right w:val="single" w:sz="4" w:space="0" w:color="auto"/>
            </w:tcBorders>
          </w:tcPr>
          <w:p w14:paraId="7446E421" w14:textId="77777777" w:rsidR="001929CC" w:rsidRDefault="001929CC" w:rsidP="001929CC">
            <w:pPr>
              <w:snapToGrid w:val="0"/>
              <w:rPr>
                <w:sz w:val="16"/>
                <w:szCs w:val="16"/>
                <w:lang w:eastAsia="en-GB"/>
              </w:rPr>
            </w:pPr>
          </w:p>
        </w:tc>
        <w:tc>
          <w:tcPr>
            <w:tcW w:w="828" w:type="dxa"/>
            <w:tcBorders>
              <w:left w:val="single" w:sz="4" w:space="0" w:color="auto"/>
              <w:bottom w:val="single" w:sz="4" w:space="0" w:color="A6A6A6"/>
              <w:right w:val="single" w:sz="4" w:space="0" w:color="auto"/>
            </w:tcBorders>
          </w:tcPr>
          <w:p w14:paraId="5EAABE2C" w14:textId="77777777" w:rsidR="001929CC" w:rsidRDefault="001929CC" w:rsidP="001929CC">
            <w:pPr>
              <w:snapToGrid w:val="0"/>
              <w:rPr>
                <w:sz w:val="16"/>
                <w:szCs w:val="16"/>
                <w:lang w:eastAsia="en-GB"/>
              </w:rPr>
            </w:pPr>
          </w:p>
        </w:tc>
        <w:tc>
          <w:tcPr>
            <w:tcW w:w="992" w:type="dxa"/>
            <w:tcBorders>
              <w:left w:val="single" w:sz="4" w:space="0" w:color="auto"/>
              <w:bottom w:val="single" w:sz="4" w:space="0" w:color="A6A6A6"/>
              <w:right w:val="single" w:sz="6" w:space="0" w:color="auto"/>
            </w:tcBorders>
            <w:shd w:val="clear" w:color="auto" w:fill="BFBFBF"/>
          </w:tcPr>
          <w:p w14:paraId="574E854F" w14:textId="77777777" w:rsidR="001929CC" w:rsidRDefault="001929CC" w:rsidP="001929CC">
            <w:pPr>
              <w:snapToGrid w:val="0"/>
              <w:rPr>
                <w:sz w:val="16"/>
                <w:szCs w:val="16"/>
                <w:lang w:eastAsia="en-GB"/>
              </w:rPr>
            </w:pPr>
          </w:p>
        </w:tc>
      </w:tr>
      <w:tr w:rsidR="001929CC" w14:paraId="4527A8EE" w14:textId="77777777" w:rsidTr="001929CC">
        <w:trPr>
          <w:cantSplit/>
        </w:trPr>
        <w:tc>
          <w:tcPr>
            <w:tcW w:w="1276" w:type="dxa"/>
            <w:vMerge/>
            <w:tcBorders>
              <w:left w:val="nil"/>
              <w:right w:val="single" w:sz="4" w:space="0" w:color="auto"/>
            </w:tcBorders>
          </w:tcPr>
          <w:p w14:paraId="5FD6DCDC" w14:textId="77777777" w:rsidR="001929CC" w:rsidRDefault="001929CC" w:rsidP="001929CC">
            <w:pPr>
              <w:snapToGrid w:val="0"/>
              <w:rPr>
                <w:sz w:val="16"/>
                <w:szCs w:val="16"/>
                <w:lang w:eastAsia="en-GB"/>
              </w:rPr>
            </w:pPr>
          </w:p>
        </w:tc>
        <w:tc>
          <w:tcPr>
            <w:tcW w:w="1701" w:type="dxa"/>
            <w:tcBorders>
              <w:left w:val="single" w:sz="4" w:space="0" w:color="auto"/>
              <w:bottom w:val="single" w:sz="4" w:space="0" w:color="A6A6A6"/>
              <w:right w:val="single" w:sz="4" w:space="0" w:color="auto"/>
            </w:tcBorders>
          </w:tcPr>
          <w:p w14:paraId="50E3CF4B" w14:textId="77777777" w:rsidR="001929CC" w:rsidRDefault="001929CC" w:rsidP="001929CC">
            <w:pPr>
              <w:snapToGrid w:val="0"/>
              <w:jc w:val="center"/>
              <w:rPr>
                <w:sz w:val="16"/>
                <w:szCs w:val="16"/>
                <w:lang w:eastAsia="en-GB"/>
              </w:rPr>
            </w:pPr>
            <w:r>
              <w:rPr>
                <w:sz w:val="16"/>
                <w:szCs w:val="16"/>
                <w:lang w:eastAsia="en-GB"/>
              </w:rPr>
              <w:t>10.00 to &lt; 100.00</w:t>
            </w:r>
          </w:p>
        </w:tc>
        <w:tc>
          <w:tcPr>
            <w:tcW w:w="909" w:type="dxa"/>
            <w:tcBorders>
              <w:left w:val="single" w:sz="4" w:space="0" w:color="auto"/>
              <w:bottom w:val="single" w:sz="4" w:space="0" w:color="A6A6A6"/>
              <w:right w:val="single" w:sz="4" w:space="0" w:color="auto"/>
            </w:tcBorders>
          </w:tcPr>
          <w:p w14:paraId="4E945540" w14:textId="77777777" w:rsidR="001929CC" w:rsidRDefault="001929CC" w:rsidP="001929CC">
            <w:pPr>
              <w:snapToGrid w:val="0"/>
              <w:rPr>
                <w:sz w:val="16"/>
                <w:szCs w:val="16"/>
                <w:lang w:eastAsia="en-GB"/>
              </w:rPr>
            </w:pPr>
          </w:p>
        </w:tc>
        <w:tc>
          <w:tcPr>
            <w:tcW w:w="934" w:type="dxa"/>
            <w:tcBorders>
              <w:left w:val="single" w:sz="4" w:space="0" w:color="auto"/>
              <w:bottom w:val="single" w:sz="4" w:space="0" w:color="A6A6A6"/>
              <w:right w:val="single" w:sz="4" w:space="0" w:color="auto"/>
            </w:tcBorders>
          </w:tcPr>
          <w:p w14:paraId="2B974C65" w14:textId="77777777" w:rsidR="001929CC" w:rsidRDefault="001929CC" w:rsidP="001929CC">
            <w:pPr>
              <w:snapToGrid w:val="0"/>
              <w:rPr>
                <w:sz w:val="16"/>
                <w:szCs w:val="16"/>
                <w:lang w:eastAsia="en-GB"/>
              </w:rPr>
            </w:pPr>
          </w:p>
        </w:tc>
        <w:tc>
          <w:tcPr>
            <w:tcW w:w="885" w:type="dxa"/>
            <w:tcBorders>
              <w:left w:val="single" w:sz="4" w:space="0" w:color="auto"/>
              <w:bottom w:val="single" w:sz="4" w:space="0" w:color="A6A6A6"/>
              <w:right w:val="single" w:sz="4" w:space="0" w:color="auto"/>
            </w:tcBorders>
          </w:tcPr>
          <w:p w14:paraId="665A97DB" w14:textId="77777777" w:rsidR="001929CC" w:rsidRDefault="001929CC" w:rsidP="001929CC">
            <w:pPr>
              <w:snapToGrid w:val="0"/>
              <w:rPr>
                <w:sz w:val="16"/>
                <w:szCs w:val="16"/>
                <w:lang w:eastAsia="en-GB"/>
              </w:rPr>
            </w:pPr>
          </w:p>
        </w:tc>
        <w:tc>
          <w:tcPr>
            <w:tcW w:w="958" w:type="dxa"/>
            <w:tcBorders>
              <w:left w:val="single" w:sz="4" w:space="0" w:color="auto"/>
              <w:bottom w:val="single" w:sz="4" w:space="0" w:color="A6A6A6"/>
              <w:right w:val="single" w:sz="4" w:space="0" w:color="auto"/>
            </w:tcBorders>
          </w:tcPr>
          <w:p w14:paraId="3C808C3E" w14:textId="77777777" w:rsidR="001929CC" w:rsidRDefault="001929CC" w:rsidP="001929CC">
            <w:pPr>
              <w:snapToGrid w:val="0"/>
              <w:rPr>
                <w:sz w:val="16"/>
                <w:szCs w:val="16"/>
                <w:lang w:eastAsia="en-GB"/>
              </w:rPr>
            </w:pPr>
          </w:p>
        </w:tc>
        <w:tc>
          <w:tcPr>
            <w:tcW w:w="861" w:type="dxa"/>
            <w:tcBorders>
              <w:left w:val="single" w:sz="4" w:space="0" w:color="auto"/>
              <w:bottom w:val="single" w:sz="4" w:space="0" w:color="A6A6A6"/>
              <w:right w:val="single" w:sz="4" w:space="0" w:color="auto"/>
            </w:tcBorders>
          </w:tcPr>
          <w:p w14:paraId="2A90FEA4"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1785A46F"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7D01FB68" w14:textId="77777777" w:rsidR="001929CC" w:rsidRDefault="001929CC" w:rsidP="001929CC">
            <w:pPr>
              <w:snapToGrid w:val="0"/>
              <w:rPr>
                <w:sz w:val="16"/>
                <w:szCs w:val="16"/>
                <w:lang w:eastAsia="en-GB"/>
              </w:rPr>
            </w:pPr>
          </w:p>
        </w:tc>
        <w:tc>
          <w:tcPr>
            <w:tcW w:w="909" w:type="dxa"/>
            <w:tcBorders>
              <w:left w:val="single" w:sz="4" w:space="0" w:color="auto"/>
              <w:bottom w:val="single" w:sz="4" w:space="0" w:color="A6A6A6"/>
              <w:right w:val="single" w:sz="4" w:space="0" w:color="auto"/>
            </w:tcBorders>
          </w:tcPr>
          <w:p w14:paraId="5016B0C1"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1187AC37" w14:textId="77777777" w:rsidR="001929CC" w:rsidRDefault="001929CC" w:rsidP="001929CC">
            <w:pPr>
              <w:snapToGrid w:val="0"/>
              <w:rPr>
                <w:sz w:val="16"/>
                <w:szCs w:val="16"/>
                <w:lang w:eastAsia="en-GB"/>
              </w:rPr>
            </w:pPr>
          </w:p>
        </w:tc>
        <w:tc>
          <w:tcPr>
            <w:tcW w:w="909" w:type="dxa"/>
            <w:tcBorders>
              <w:left w:val="single" w:sz="4" w:space="0" w:color="auto"/>
              <w:bottom w:val="single" w:sz="4" w:space="0" w:color="A6A6A6"/>
              <w:right w:val="single" w:sz="4" w:space="0" w:color="auto"/>
            </w:tcBorders>
          </w:tcPr>
          <w:p w14:paraId="1CE67421" w14:textId="77777777" w:rsidR="001929CC" w:rsidRDefault="001929CC" w:rsidP="001929CC">
            <w:pPr>
              <w:snapToGrid w:val="0"/>
              <w:rPr>
                <w:sz w:val="16"/>
                <w:szCs w:val="16"/>
                <w:lang w:eastAsia="en-GB"/>
              </w:rPr>
            </w:pPr>
          </w:p>
        </w:tc>
        <w:tc>
          <w:tcPr>
            <w:tcW w:w="828" w:type="dxa"/>
            <w:tcBorders>
              <w:left w:val="single" w:sz="4" w:space="0" w:color="auto"/>
              <w:bottom w:val="single" w:sz="4" w:space="0" w:color="A6A6A6"/>
              <w:right w:val="single" w:sz="4" w:space="0" w:color="auto"/>
            </w:tcBorders>
          </w:tcPr>
          <w:p w14:paraId="5001C7AA" w14:textId="77777777" w:rsidR="001929CC" w:rsidRDefault="001929CC" w:rsidP="001929CC">
            <w:pPr>
              <w:snapToGrid w:val="0"/>
              <w:rPr>
                <w:sz w:val="16"/>
                <w:szCs w:val="16"/>
                <w:lang w:eastAsia="en-GB"/>
              </w:rPr>
            </w:pPr>
          </w:p>
        </w:tc>
        <w:tc>
          <w:tcPr>
            <w:tcW w:w="992" w:type="dxa"/>
            <w:tcBorders>
              <w:left w:val="single" w:sz="4" w:space="0" w:color="auto"/>
              <w:bottom w:val="single" w:sz="4" w:space="0" w:color="A6A6A6"/>
              <w:right w:val="single" w:sz="6" w:space="0" w:color="auto"/>
            </w:tcBorders>
            <w:shd w:val="clear" w:color="auto" w:fill="BFBFBF"/>
          </w:tcPr>
          <w:p w14:paraId="6F55AF01" w14:textId="77777777" w:rsidR="001929CC" w:rsidRDefault="001929CC" w:rsidP="001929CC">
            <w:pPr>
              <w:snapToGrid w:val="0"/>
              <w:rPr>
                <w:sz w:val="16"/>
                <w:szCs w:val="16"/>
                <w:lang w:eastAsia="en-GB"/>
              </w:rPr>
            </w:pPr>
          </w:p>
        </w:tc>
      </w:tr>
      <w:tr w:rsidR="001929CC" w14:paraId="551313A8" w14:textId="77777777" w:rsidTr="001929CC">
        <w:trPr>
          <w:cantSplit/>
        </w:trPr>
        <w:tc>
          <w:tcPr>
            <w:tcW w:w="1276" w:type="dxa"/>
            <w:vMerge/>
            <w:tcBorders>
              <w:left w:val="nil"/>
              <w:right w:val="single" w:sz="4" w:space="0" w:color="auto"/>
            </w:tcBorders>
          </w:tcPr>
          <w:p w14:paraId="1D889E23" w14:textId="77777777" w:rsidR="001929CC" w:rsidRDefault="001929CC" w:rsidP="001929CC">
            <w:pPr>
              <w:snapToGrid w:val="0"/>
              <w:rPr>
                <w:sz w:val="16"/>
                <w:szCs w:val="16"/>
                <w:lang w:eastAsia="en-GB"/>
              </w:rPr>
            </w:pPr>
          </w:p>
        </w:tc>
        <w:tc>
          <w:tcPr>
            <w:tcW w:w="1701" w:type="dxa"/>
            <w:tcBorders>
              <w:left w:val="single" w:sz="4" w:space="0" w:color="auto"/>
              <w:bottom w:val="single" w:sz="4" w:space="0" w:color="A6A6A6"/>
              <w:right w:val="single" w:sz="4" w:space="0" w:color="auto"/>
            </w:tcBorders>
          </w:tcPr>
          <w:p w14:paraId="1D2758DE" w14:textId="77777777" w:rsidR="001929CC" w:rsidRDefault="001929CC" w:rsidP="001929CC">
            <w:pPr>
              <w:snapToGrid w:val="0"/>
              <w:jc w:val="center"/>
              <w:rPr>
                <w:sz w:val="16"/>
                <w:szCs w:val="16"/>
                <w:lang w:eastAsia="en-GB"/>
              </w:rPr>
            </w:pPr>
            <w:r>
              <w:rPr>
                <w:sz w:val="16"/>
                <w:szCs w:val="16"/>
                <w:lang w:eastAsia="en-GB"/>
              </w:rPr>
              <w:t>100.00 (Default)</w:t>
            </w:r>
          </w:p>
        </w:tc>
        <w:tc>
          <w:tcPr>
            <w:tcW w:w="909" w:type="dxa"/>
            <w:tcBorders>
              <w:left w:val="single" w:sz="4" w:space="0" w:color="auto"/>
              <w:bottom w:val="single" w:sz="4" w:space="0" w:color="A6A6A6"/>
              <w:right w:val="single" w:sz="4" w:space="0" w:color="auto"/>
            </w:tcBorders>
          </w:tcPr>
          <w:p w14:paraId="09890050" w14:textId="77777777" w:rsidR="001929CC" w:rsidRDefault="001929CC" w:rsidP="001929CC">
            <w:pPr>
              <w:snapToGrid w:val="0"/>
              <w:rPr>
                <w:sz w:val="16"/>
                <w:szCs w:val="16"/>
                <w:lang w:eastAsia="en-GB"/>
              </w:rPr>
            </w:pPr>
          </w:p>
        </w:tc>
        <w:tc>
          <w:tcPr>
            <w:tcW w:w="934" w:type="dxa"/>
            <w:tcBorders>
              <w:left w:val="single" w:sz="4" w:space="0" w:color="auto"/>
              <w:bottom w:val="single" w:sz="4" w:space="0" w:color="A6A6A6"/>
              <w:right w:val="single" w:sz="4" w:space="0" w:color="auto"/>
            </w:tcBorders>
          </w:tcPr>
          <w:p w14:paraId="67DDB15C" w14:textId="77777777" w:rsidR="001929CC" w:rsidRDefault="001929CC" w:rsidP="001929CC">
            <w:pPr>
              <w:snapToGrid w:val="0"/>
              <w:rPr>
                <w:sz w:val="16"/>
                <w:szCs w:val="16"/>
                <w:lang w:eastAsia="en-GB"/>
              </w:rPr>
            </w:pPr>
          </w:p>
        </w:tc>
        <w:tc>
          <w:tcPr>
            <w:tcW w:w="885" w:type="dxa"/>
            <w:tcBorders>
              <w:left w:val="single" w:sz="4" w:space="0" w:color="auto"/>
              <w:bottom w:val="single" w:sz="4" w:space="0" w:color="A6A6A6"/>
              <w:right w:val="single" w:sz="4" w:space="0" w:color="auto"/>
            </w:tcBorders>
          </w:tcPr>
          <w:p w14:paraId="3EEA0E62" w14:textId="77777777" w:rsidR="001929CC" w:rsidRDefault="001929CC" w:rsidP="001929CC">
            <w:pPr>
              <w:snapToGrid w:val="0"/>
              <w:rPr>
                <w:sz w:val="16"/>
                <w:szCs w:val="16"/>
                <w:lang w:eastAsia="en-GB"/>
              </w:rPr>
            </w:pPr>
          </w:p>
        </w:tc>
        <w:tc>
          <w:tcPr>
            <w:tcW w:w="958" w:type="dxa"/>
            <w:tcBorders>
              <w:left w:val="single" w:sz="4" w:space="0" w:color="auto"/>
              <w:bottom w:val="single" w:sz="4" w:space="0" w:color="A6A6A6"/>
              <w:right w:val="single" w:sz="4" w:space="0" w:color="auto"/>
            </w:tcBorders>
          </w:tcPr>
          <w:p w14:paraId="34369806" w14:textId="77777777" w:rsidR="001929CC" w:rsidRDefault="001929CC" w:rsidP="001929CC">
            <w:pPr>
              <w:snapToGrid w:val="0"/>
              <w:rPr>
                <w:sz w:val="16"/>
                <w:szCs w:val="16"/>
                <w:lang w:eastAsia="en-GB"/>
              </w:rPr>
            </w:pPr>
          </w:p>
        </w:tc>
        <w:tc>
          <w:tcPr>
            <w:tcW w:w="861" w:type="dxa"/>
            <w:tcBorders>
              <w:left w:val="single" w:sz="4" w:space="0" w:color="auto"/>
              <w:bottom w:val="single" w:sz="4" w:space="0" w:color="A6A6A6"/>
              <w:right w:val="single" w:sz="4" w:space="0" w:color="auto"/>
            </w:tcBorders>
          </w:tcPr>
          <w:p w14:paraId="2D72F087"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2D82366C"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776E9CBB" w14:textId="77777777" w:rsidR="001929CC" w:rsidRDefault="001929CC" w:rsidP="001929CC">
            <w:pPr>
              <w:snapToGrid w:val="0"/>
              <w:rPr>
                <w:sz w:val="16"/>
                <w:szCs w:val="16"/>
                <w:lang w:eastAsia="en-GB"/>
              </w:rPr>
            </w:pPr>
          </w:p>
        </w:tc>
        <w:tc>
          <w:tcPr>
            <w:tcW w:w="909" w:type="dxa"/>
            <w:tcBorders>
              <w:left w:val="single" w:sz="4" w:space="0" w:color="auto"/>
              <w:bottom w:val="single" w:sz="4" w:space="0" w:color="A6A6A6"/>
              <w:right w:val="single" w:sz="4" w:space="0" w:color="auto"/>
            </w:tcBorders>
          </w:tcPr>
          <w:p w14:paraId="697FA76B" w14:textId="77777777" w:rsidR="001929CC" w:rsidRDefault="001929CC" w:rsidP="001929CC">
            <w:pPr>
              <w:snapToGrid w:val="0"/>
              <w:rPr>
                <w:sz w:val="16"/>
                <w:szCs w:val="16"/>
                <w:lang w:eastAsia="en-GB"/>
              </w:rPr>
            </w:pPr>
          </w:p>
        </w:tc>
        <w:tc>
          <w:tcPr>
            <w:tcW w:w="910" w:type="dxa"/>
            <w:tcBorders>
              <w:left w:val="single" w:sz="4" w:space="0" w:color="auto"/>
              <w:bottom w:val="single" w:sz="4" w:space="0" w:color="A6A6A6"/>
              <w:right w:val="single" w:sz="4" w:space="0" w:color="auto"/>
            </w:tcBorders>
          </w:tcPr>
          <w:p w14:paraId="6146ACE1" w14:textId="77777777" w:rsidR="001929CC" w:rsidRDefault="001929CC" w:rsidP="001929CC">
            <w:pPr>
              <w:snapToGrid w:val="0"/>
              <w:rPr>
                <w:sz w:val="16"/>
                <w:szCs w:val="16"/>
                <w:lang w:eastAsia="en-GB"/>
              </w:rPr>
            </w:pPr>
          </w:p>
        </w:tc>
        <w:tc>
          <w:tcPr>
            <w:tcW w:w="909" w:type="dxa"/>
            <w:tcBorders>
              <w:left w:val="single" w:sz="4" w:space="0" w:color="auto"/>
              <w:bottom w:val="single" w:sz="4" w:space="0" w:color="A6A6A6"/>
              <w:right w:val="single" w:sz="4" w:space="0" w:color="auto"/>
            </w:tcBorders>
          </w:tcPr>
          <w:p w14:paraId="6F631AFD" w14:textId="77777777" w:rsidR="001929CC" w:rsidRDefault="001929CC" w:rsidP="001929CC">
            <w:pPr>
              <w:snapToGrid w:val="0"/>
              <w:rPr>
                <w:sz w:val="16"/>
                <w:szCs w:val="16"/>
                <w:lang w:eastAsia="en-GB"/>
              </w:rPr>
            </w:pPr>
          </w:p>
        </w:tc>
        <w:tc>
          <w:tcPr>
            <w:tcW w:w="828" w:type="dxa"/>
            <w:tcBorders>
              <w:left w:val="single" w:sz="4" w:space="0" w:color="auto"/>
              <w:bottom w:val="single" w:sz="4" w:space="0" w:color="A6A6A6"/>
              <w:right w:val="single" w:sz="4" w:space="0" w:color="auto"/>
            </w:tcBorders>
          </w:tcPr>
          <w:p w14:paraId="480F414A" w14:textId="77777777" w:rsidR="001929CC" w:rsidRDefault="001929CC" w:rsidP="001929CC">
            <w:pPr>
              <w:snapToGrid w:val="0"/>
              <w:rPr>
                <w:sz w:val="16"/>
                <w:szCs w:val="16"/>
                <w:lang w:eastAsia="en-GB"/>
              </w:rPr>
            </w:pPr>
          </w:p>
        </w:tc>
        <w:tc>
          <w:tcPr>
            <w:tcW w:w="992" w:type="dxa"/>
            <w:tcBorders>
              <w:left w:val="single" w:sz="4" w:space="0" w:color="auto"/>
              <w:bottom w:val="single" w:sz="4" w:space="0" w:color="A6A6A6"/>
              <w:right w:val="single" w:sz="6" w:space="0" w:color="auto"/>
            </w:tcBorders>
            <w:shd w:val="clear" w:color="auto" w:fill="BFBFBF"/>
          </w:tcPr>
          <w:p w14:paraId="0C488496" w14:textId="77777777" w:rsidR="001929CC" w:rsidRDefault="001929CC" w:rsidP="001929CC">
            <w:pPr>
              <w:snapToGrid w:val="0"/>
              <w:rPr>
                <w:sz w:val="16"/>
                <w:szCs w:val="16"/>
                <w:lang w:eastAsia="en-GB"/>
              </w:rPr>
            </w:pPr>
          </w:p>
        </w:tc>
      </w:tr>
      <w:tr w:rsidR="001929CC" w14:paraId="763E8E3F" w14:textId="77777777" w:rsidTr="001929CC">
        <w:trPr>
          <w:cantSplit/>
        </w:trPr>
        <w:tc>
          <w:tcPr>
            <w:tcW w:w="1276" w:type="dxa"/>
            <w:vMerge/>
            <w:tcBorders>
              <w:left w:val="nil"/>
              <w:bottom w:val="single" w:sz="6" w:space="0" w:color="auto"/>
              <w:right w:val="single" w:sz="4" w:space="0" w:color="auto"/>
            </w:tcBorders>
          </w:tcPr>
          <w:p w14:paraId="57E5F177" w14:textId="77777777" w:rsidR="001929CC" w:rsidRDefault="001929CC" w:rsidP="001929CC">
            <w:pPr>
              <w:snapToGrid w:val="0"/>
              <w:rPr>
                <w:sz w:val="16"/>
                <w:szCs w:val="16"/>
                <w:lang w:eastAsia="en-GB"/>
              </w:rPr>
            </w:pPr>
          </w:p>
        </w:tc>
        <w:tc>
          <w:tcPr>
            <w:tcW w:w="1701" w:type="dxa"/>
            <w:tcBorders>
              <w:left w:val="single" w:sz="4" w:space="0" w:color="auto"/>
              <w:bottom w:val="single" w:sz="6" w:space="0" w:color="auto"/>
              <w:right w:val="single" w:sz="4" w:space="0" w:color="auto"/>
            </w:tcBorders>
          </w:tcPr>
          <w:p w14:paraId="2B6D4F7A" w14:textId="77777777" w:rsidR="001929CC" w:rsidRDefault="001929CC" w:rsidP="001929CC">
            <w:pPr>
              <w:snapToGrid w:val="0"/>
              <w:jc w:val="center"/>
              <w:rPr>
                <w:sz w:val="16"/>
                <w:szCs w:val="16"/>
                <w:lang w:eastAsia="en-GB"/>
              </w:rPr>
            </w:pPr>
            <w:r>
              <w:rPr>
                <w:sz w:val="16"/>
                <w:szCs w:val="16"/>
                <w:lang w:eastAsia="en-GB"/>
              </w:rPr>
              <w:t>Sub-total</w:t>
            </w:r>
          </w:p>
        </w:tc>
        <w:tc>
          <w:tcPr>
            <w:tcW w:w="909" w:type="dxa"/>
            <w:tcBorders>
              <w:left w:val="single" w:sz="4" w:space="0" w:color="auto"/>
              <w:bottom w:val="single" w:sz="6" w:space="0" w:color="auto"/>
              <w:right w:val="single" w:sz="4" w:space="0" w:color="auto"/>
            </w:tcBorders>
          </w:tcPr>
          <w:p w14:paraId="1B8ECEB8" w14:textId="77777777" w:rsidR="001929CC" w:rsidRDefault="001929CC" w:rsidP="001929CC">
            <w:pPr>
              <w:snapToGrid w:val="0"/>
              <w:rPr>
                <w:sz w:val="16"/>
                <w:szCs w:val="16"/>
                <w:lang w:eastAsia="en-GB"/>
              </w:rPr>
            </w:pPr>
          </w:p>
        </w:tc>
        <w:tc>
          <w:tcPr>
            <w:tcW w:w="934" w:type="dxa"/>
            <w:tcBorders>
              <w:left w:val="single" w:sz="4" w:space="0" w:color="auto"/>
              <w:bottom w:val="single" w:sz="6" w:space="0" w:color="auto"/>
              <w:right w:val="single" w:sz="4" w:space="0" w:color="auto"/>
            </w:tcBorders>
          </w:tcPr>
          <w:p w14:paraId="509D22B0" w14:textId="77777777" w:rsidR="001929CC" w:rsidRDefault="001929CC" w:rsidP="001929CC">
            <w:pPr>
              <w:snapToGrid w:val="0"/>
              <w:rPr>
                <w:sz w:val="16"/>
                <w:szCs w:val="16"/>
                <w:lang w:eastAsia="en-GB"/>
              </w:rPr>
            </w:pPr>
          </w:p>
        </w:tc>
        <w:tc>
          <w:tcPr>
            <w:tcW w:w="885" w:type="dxa"/>
            <w:tcBorders>
              <w:left w:val="single" w:sz="4" w:space="0" w:color="auto"/>
              <w:bottom w:val="single" w:sz="6" w:space="0" w:color="auto"/>
              <w:right w:val="single" w:sz="4" w:space="0" w:color="auto"/>
            </w:tcBorders>
          </w:tcPr>
          <w:p w14:paraId="37489C78" w14:textId="77777777" w:rsidR="001929CC" w:rsidRDefault="001929CC" w:rsidP="001929CC">
            <w:pPr>
              <w:snapToGrid w:val="0"/>
              <w:rPr>
                <w:sz w:val="16"/>
                <w:szCs w:val="16"/>
                <w:lang w:eastAsia="en-GB"/>
              </w:rPr>
            </w:pPr>
          </w:p>
        </w:tc>
        <w:tc>
          <w:tcPr>
            <w:tcW w:w="958" w:type="dxa"/>
            <w:tcBorders>
              <w:left w:val="single" w:sz="4" w:space="0" w:color="auto"/>
              <w:bottom w:val="single" w:sz="6" w:space="0" w:color="auto"/>
              <w:right w:val="single" w:sz="4" w:space="0" w:color="auto"/>
            </w:tcBorders>
          </w:tcPr>
          <w:p w14:paraId="77A77BF6" w14:textId="77777777" w:rsidR="001929CC" w:rsidRDefault="001929CC" w:rsidP="001929CC">
            <w:pPr>
              <w:snapToGrid w:val="0"/>
              <w:rPr>
                <w:sz w:val="16"/>
                <w:szCs w:val="16"/>
                <w:lang w:eastAsia="en-GB"/>
              </w:rPr>
            </w:pPr>
          </w:p>
        </w:tc>
        <w:tc>
          <w:tcPr>
            <w:tcW w:w="861" w:type="dxa"/>
            <w:tcBorders>
              <w:left w:val="single" w:sz="4" w:space="0" w:color="auto"/>
              <w:bottom w:val="single" w:sz="6" w:space="0" w:color="auto"/>
              <w:right w:val="single" w:sz="4" w:space="0" w:color="auto"/>
            </w:tcBorders>
          </w:tcPr>
          <w:p w14:paraId="6F4B7A6F" w14:textId="77777777" w:rsidR="001929CC" w:rsidRDefault="001929CC" w:rsidP="001929CC">
            <w:pPr>
              <w:snapToGrid w:val="0"/>
              <w:rPr>
                <w:sz w:val="16"/>
                <w:szCs w:val="16"/>
                <w:lang w:eastAsia="en-GB"/>
              </w:rPr>
            </w:pPr>
          </w:p>
        </w:tc>
        <w:tc>
          <w:tcPr>
            <w:tcW w:w="910" w:type="dxa"/>
            <w:tcBorders>
              <w:left w:val="single" w:sz="4" w:space="0" w:color="auto"/>
              <w:bottom w:val="single" w:sz="6" w:space="0" w:color="auto"/>
              <w:right w:val="single" w:sz="4" w:space="0" w:color="auto"/>
            </w:tcBorders>
          </w:tcPr>
          <w:p w14:paraId="3DA4EE15" w14:textId="77777777" w:rsidR="001929CC" w:rsidRDefault="001929CC" w:rsidP="001929CC">
            <w:pPr>
              <w:snapToGrid w:val="0"/>
              <w:rPr>
                <w:sz w:val="16"/>
                <w:szCs w:val="16"/>
                <w:lang w:eastAsia="en-GB"/>
              </w:rPr>
            </w:pPr>
          </w:p>
        </w:tc>
        <w:tc>
          <w:tcPr>
            <w:tcW w:w="910" w:type="dxa"/>
            <w:tcBorders>
              <w:left w:val="single" w:sz="4" w:space="0" w:color="auto"/>
              <w:bottom w:val="single" w:sz="6" w:space="0" w:color="auto"/>
              <w:right w:val="single" w:sz="4" w:space="0" w:color="auto"/>
            </w:tcBorders>
          </w:tcPr>
          <w:p w14:paraId="7B4E7BE9" w14:textId="77777777" w:rsidR="001929CC" w:rsidRDefault="001929CC" w:rsidP="001929CC">
            <w:pPr>
              <w:snapToGrid w:val="0"/>
              <w:rPr>
                <w:sz w:val="16"/>
                <w:szCs w:val="16"/>
                <w:lang w:eastAsia="en-GB"/>
              </w:rPr>
            </w:pPr>
          </w:p>
        </w:tc>
        <w:tc>
          <w:tcPr>
            <w:tcW w:w="909" w:type="dxa"/>
            <w:tcBorders>
              <w:left w:val="single" w:sz="4" w:space="0" w:color="auto"/>
              <w:bottom w:val="single" w:sz="6" w:space="0" w:color="auto"/>
              <w:right w:val="single" w:sz="4" w:space="0" w:color="auto"/>
            </w:tcBorders>
          </w:tcPr>
          <w:p w14:paraId="0CF48326" w14:textId="77777777" w:rsidR="001929CC" w:rsidRDefault="001929CC" w:rsidP="001929CC">
            <w:pPr>
              <w:snapToGrid w:val="0"/>
              <w:rPr>
                <w:sz w:val="16"/>
                <w:szCs w:val="16"/>
                <w:lang w:eastAsia="en-GB"/>
              </w:rPr>
            </w:pPr>
          </w:p>
        </w:tc>
        <w:tc>
          <w:tcPr>
            <w:tcW w:w="910" w:type="dxa"/>
            <w:tcBorders>
              <w:left w:val="single" w:sz="4" w:space="0" w:color="auto"/>
              <w:bottom w:val="single" w:sz="6" w:space="0" w:color="auto"/>
              <w:right w:val="single" w:sz="4" w:space="0" w:color="auto"/>
            </w:tcBorders>
          </w:tcPr>
          <w:p w14:paraId="1B57F2B1" w14:textId="77777777" w:rsidR="001929CC" w:rsidRDefault="001929CC" w:rsidP="001929CC">
            <w:pPr>
              <w:snapToGrid w:val="0"/>
              <w:rPr>
                <w:sz w:val="16"/>
                <w:szCs w:val="16"/>
                <w:lang w:eastAsia="en-GB"/>
              </w:rPr>
            </w:pPr>
          </w:p>
        </w:tc>
        <w:tc>
          <w:tcPr>
            <w:tcW w:w="909" w:type="dxa"/>
            <w:tcBorders>
              <w:left w:val="single" w:sz="4" w:space="0" w:color="auto"/>
              <w:bottom w:val="single" w:sz="6" w:space="0" w:color="auto"/>
              <w:right w:val="single" w:sz="4" w:space="0" w:color="auto"/>
            </w:tcBorders>
          </w:tcPr>
          <w:p w14:paraId="18063862" w14:textId="77777777" w:rsidR="001929CC" w:rsidRDefault="001929CC" w:rsidP="001929CC">
            <w:pPr>
              <w:snapToGrid w:val="0"/>
              <w:rPr>
                <w:sz w:val="16"/>
                <w:szCs w:val="16"/>
                <w:lang w:eastAsia="en-GB"/>
              </w:rPr>
            </w:pPr>
          </w:p>
        </w:tc>
        <w:tc>
          <w:tcPr>
            <w:tcW w:w="828" w:type="dxa"/>
            <w:tcBorders>
              <w:left w:val="single" w:sz="4" w:space="0" w:color="auto"/>
              <w:bottom w:val="single" w:sz="6" w:space="0" w:color="auto"/>
              <w:right w:val="single" w:sz="4" w:space="0" w:color="auto"/>
            </w:tcBorders>
          </w:tcPr>
          <w:p w14:paraId="41ADD767" w14:textId="77777777" w:rsidR="001929CC" w:rsidRDefault="001929CC" w:rsidP="001929CC">
            <w:pPr>
              <w:snapToGrid w:val="0"/>
              <w:rPr>
                <w:sz w:val="16"/>
                <w:szCs w:val="16"/>
                <w:lang w:eastAsia="en-GB"/>
              </w:rPr>
            </w:pPr>
          </w:p>
        </w:tc>
        <w:tc>
          <w:tcPr>
            <w:tcW w:w="992" w:type="dxa"/>
            <w:tcBorders>
              <w:left w:val="single" w:sz="4" w:space="0" w:color="auto"/>
              <w:bottom w:val="single" w:sz="6" w:space="0" w:color="auto"/>
              <w:right w:val="single" w:sz="6" w:space="0" w:color="auto"/>
            </w:tcBorders>
          </w:tcPr>
          <w:p w14:paraId="452D4F0D" w14:textId="77777777" w:rsidR="001929CC" w:rsidRDefault="001929CC" w:rsidP="001929CC">
            <w:pPr>
              <w:snapToGrid w:val="0"/>
              <w:rPr>
                <w:sz w:val="16"/>
                <w:szCs w:val="16"/>
                <w:lang w:eastAsia="en-GB"/>
              </w:rPr>
            </w:pPr>
          </w:p>
        </w:tc>
      </w:tr>
      <w:tr w:rsidR="001929CC" w14:paraId="53596B73" w14:textId="77777777" w:rsidTr="001929CC">
        <w:tc>
          <w:tcPr>
            <w:tcW w:w="1276" w:type="dxa"/>
            <w:tcBorders>
              <w:top w:val="single" w:sz="6" w:space="0" w:color="auto"/>
              <w:left w:val="nil"/>
              <w:bottom w:val="single" w:sz="6" w:space="0" w:color="auto"/>
              <w:right w:val="single" w:sz="4" w:space="0" w:color="auto"/>
            </w:tcBorders>
          </w:tcPr>
          <w:p w14:paraId="58E3EFA3" w14:textId="77777777" w:rsidR="001929CC" w:rsidRDefault="001929CC" w:rsidP="001929CC">
            <w:pPr>
              <w:snapToGrid w:val="0"/>
              <w:rPr>
                <w:sz w:val="16"/>
                <w:szCs w:val="16"/>
                <w:lang w:eastAsia="en-GB"/>
              </w:rPr>
            </w:pPr>
            <w:r>
              <w:rPr>
                <w:sz w:val="16"/>
                <w:szCs w:val="16"/>
                <w:lang w:eastAsia="en-GB"/>
              </w:rPr>
              <w:t>Portfolio (iii)…</w:t>
            </w:r>
          </w:p>
        </w:tc>
        <w:tc>
          <w:tcPr>
            <w:tcW w:w="1701" w:type="dxa"/>
            <w:tcBorders>
              <w:top w:val="single" w:sz="6" w:space="0" w:color="auto"/>
              <w:left w:val="single" w:sz="4" w:space="0" w:color="auto"/>
              <w:bottom w:val="single" w:sz="6" w:space="0" w:color="auto"/>
              <w:right w:val="single" w:sz="4" w:space="0" w:color="auto"/>
            </w:tcBorders>
          </w:tcPr>
          <w:p w14:paraId="3B6D17A8" w14:textId="77777777" w:rsidR="001929CC" w:rsidRDefault="001929CC" w:rsidP="001929CC">
            <w:pPr>
              <w:snapToGrid w:val="0"/>
              <w:jc w:val="center"/>
              <w:rPr>
                <w:sz w:val="16"/>
                <w:szCs w:val="16"/>
                <w:lang w:eastAsia="en-GB"/>
              </w:rPr>
            </w:pPr>
            <w:r>
              <w:rPr>
                <w:sz w:val="16"/>
                <w:szCs w:val="16"/>
                <w:lang w:eastAsia="en-GB"/>
              </w:rPr>
              <w:t>…</w:t>
            </w:r>
          </w:p>
        </w:tc>
        <w:tc>
          <w:tcPr>
            <w:tcW w:w="909" w:type="dxa"/>
            <w:tcBorders>
              <w:top w:val="single" w:sz="6" w:space="0" w:color="auto"/>
              <w:left w:val="single" w:sz="4" w:space="0" w:color="auto"/>
              <w:bottom w:val="single" w:sz="6" w:space="0" w:color="auto"/>
              <w:right w:val="single" w:sz="4" w:space="0" w:color="auto"/>
            </w:tcBorders>
          </w:tcPr>
          <w:p w14:paraId="633160E5" w14:textId="77777777" w:rsidR="001929CC" w:rsidRDefault="001929CC" w:rsidP="001929CC">
            <w:pPr>
              <w:snapToGrid w:val="0"/>
              <w:rPr>
                <w:sz w:val="16"/>
                <w:szCs w:val="16"/>
                <w:lang w:eastAsia="en-GB"/>
              </w:rPr>
            </w:pPr>
          </w:p>
        </w:tc>
        <w:tc>
          <w:tcPr>
            <w:tcW w:w="934" w:type="dxa"/>
            <w:tcBorders>
              <w:top w:val="single" w:sz="6" w:space="0" w:color="auto"/>
              <w:left w:val="single" w:sz="4" w:space="0" w:color="auto"/>
              <w:bottom w:val="single" w:sz="6" w:space="0" w:color="auto"/>
              <w:right w:val="single" w:sz="4" w:space="0" w:color="auto"/>
            </w:tcBorders>
          </w:tcPr>
          <w:p w14:paraId="785F1B5D" w14:textId="77777777" w:rsidR="001929CC" w:rsidRDefault="001929CC" w:rsidP="001929CC">
            <w:pPr>
              <w:snapToGrid w:val="0"/>
              <w:rPr>
                <w:sz w:val="16"/>
                <w:szCs w:val="16"/>
                <w:lang w:eastAsia="en-GB"/>
              </w:rPr>
            </w:pPr>
          </w:p>
        </w:tc>
        <w:tc>
          <w:tcPr>
            <w:tcW w:w="885" w:type="dxa"/>
            <w:tcBorders>
              <w:top w:val="single" w:sz="6" w:space="0" w:color="auto"/>
              <w:left w:val="single" w:sz="4" w:space="0" w:color="auto"/>
              <w:bottom w:val="single" w:sz="6" w:space="0" w:color="auto"/>
              <w:right w:val="single" w:sz="4" w:space="0" w:color="auto"/>
            </w:tcBorders>
          </w:tcPr>
          <w:p w14:paraId="73A9A762" w14:textId="77777777" w:rsidR="001929CC" w:rsidRDefault="001929CC" w:rsidP="001929CC">
            <w:pPr>
              <w:snapToGrid w:val="0"/>
              <w:rPr>
                <w:sz w:val="16"/>
                <w:szCs w:val="16"/>
                <w:lang w:eastAsia="en-GB"/>
              </w:rPr>
            </w:pPr>
          </w:p>
        </w:tc>
        <w:tc>
          <w:tcPr>
            <w:tcW w:w="958" w:type="dxa"/>
            <w:tcBorders>
              <w:top w:val="single" w:sz="6" w:space="0" w:color="auto"/>
              <w:left w:val="single" w:sz="4" w:space="0" w:color="auto"/>
              <w:bottom w:val="single" w:sz="6" w:space="0" w:color="auto"/>
              <w:right w:val="single" w:sz="4" w:space="0" w:color="auto"/>
            </w:tcBorders>
          </w:tcPr>
          <w:p w14:paraId="4E874A52" w14:textId="77777777" w:rsidR="001929CC" w:rsidRDefault="001929CC" w:rsidP="001929CC">
            <w:pPr>
              <w:snapToGrid w:val="0"/>
              <w:rPr>
                <w:sz w:val="16"/>
                <w:szCs w:val="16"/>
                <w:lang w:eastAsia="en-GB"/>
              </w:rPr>
            </w:pPr>
          </w:p>
        </w:tc>
        <w:tc>
          <w:tcPr>
            <w:tcW w:w="861" w:type="dxa"/>
            <w:tcBorders>
              <w:top w:val="single" w:sz="6" w:space="0" w:color="auto"/>
              <w:left w:val="single" w:sz="4" w:space="0" w:color="auto"/>
              <w:bottom w:val="single" w:sz="6" w:space="0" w:color="auto"/>
              <w:right w:val="single" w:sz="4" w:space="0" w:color="auto"/>
            </w:tcBorders>
          </w:tcPr>
          <w:p w14:paraId="373AFF09" w14:textId="77777777" w:rsidR="001929CC" w:rsidRDefault="001929CC" w:rsidP="001929CC">
            <w:pPr>
              <w:snapToGrid w:val="0"/>
              <w:rPr>
                <w:sz w:val="16"/>
                <w:szCs w:val="16"/>
                <w:lang w:eastAsia="en-GB"/>
              </w:rPr>
            </w:pPr>
          </w:p>
        </w:tc>
        <w:tc>
          <w:tcPr>
            <w:tcW w:w="910" w:type="dxa"/>
            <w:tcBorders>
              <w:top w:val="single" w:sz="6" w:space="0" w:color="auto"/>
              <w:left w:val="single" w:sz="4" w:space="0" w:color="auto"/>
              <w:bottom w:val="single" w:sz="6" w:space="0" w:color="auto"/>
              <w:right w:val="single" w:sz="4" w:space="0" w:color="auto"/>
            </w:tcBorders>
          </w:tcPr>
          <w:p w14:paraId="6D56CE8A" w14:textId="77777777" w:rsidR="001929CC" w:rsidRDefault="001929CC" w:rsidP="001929CC">
            <w:pPr>
              <w:snapToGrid w:val="0"/>
              <w:rPr>
                <w:sz w:val="16"/>
                <w:szCs w:val="16"/>
                <w:lang w:eastAsia="en-GB"/>
              </w:rPr>
            </w:pPr>
          </w:p>
        </w:tc>
        <w:tc>
          <w:tcPr>
            <w:tcW w:w="910" w:type="dxa"/>
            <w:tcBorders>
              <w:top w:val="single" w:sz="6" w:space="0" w:color="auto"/>
              <w:left w:val="single" w:sz="4" w:space="0" w:color="auto"/>
              <w:bottom w:val="single" w:sz="6" w:space="0" w:color="auto"/>
              <w:right w:val="single" w:sz="4" w:space="0" w:color="auto"/>
            </w:tcBorders>
          </w:tcPr>
          <w:p w14:paraId="363E6EE8" w14:textId="77777777" w:rsidR="001929CC" w:rsidRDefault="001929CC" w:rsidP="001929CC">
            <w:pPr>
              <w:snapToGrid w:val="0"/>
              <w:rPr>
                <w:sz w:val="16"/>
                <w:szCs w:val="16"/>
                <w:lang w:eastAsia="en-GB"/>
              </w:rPr>
            </w:pPr>
          </w:p>
        </w:tc>
        <w:tc>
          <w:tcPr>
            <w:tcW w:w="909" w:type="dxa"/>
            <w:tcBorders>
              <w:top w:val="single" w:sz="6" w:space="0" w:color="auto"/>
              <w:left w:val="single" w:sz="4" w:space="0" w:color="auto"/>
              <w:bottom w:val="single" w:sz="6" w:space="0" w:color="auto"/>
              <w:right w:val="single" w:sz="4" w:space="0" w:color="auto"/>
            </w:tcBorders>
          </w:tcPr>
          <w:p w14:paraId="14318DFB" w14:textId="77777777" w:rsidR="001929CC" w:rsidRDefault="001929CC" w:rsidP="001929CC">
            <w:pPr>
              <w:snapToGrid w:val="0"/>
              <w:rPr>
                <w:sz w:val="16"/>
                <w:szCs w:val="16"/>
                <w:lang w:eastAsia="en-GB"/>
              </w:rPr>
            </w:pPr>
          </w:p>
        </w:tc>
        <w:tc>
          <w:tcPr>
            <w:tcW w:w="910" w:type="dxa"/>
            <w:tcBorders>
              <w:top w:val="single" w:sz="6" w:space="0" w:color="auto"/>
              <w:left w:val="single" w:sz="4" w:space="0" w:color="auto"/>
              <w:bottom w:val="single" w:sz="6" w:space="0" w:color="auto"/>
              <w:right w:val="single" w:sz="4" w:space="0" w:color="auto"/>
            </w:tcBorders>
          </w:tcPr>
          <w:p w14:paraId="4C20858A" w14:textId="77777777" w:rsidR="001929CC" w:rsidRDefault="001929CC" w:rsidP="001929CC">
            <w:pPr>
              <w:snapToGrid w:val="0"/>
              <w:rPr>
                <w:sz w:val="16"/>
                <w:szCs w:val="16"/>
                <w:lang w:eastAsia="en-GB"/>
              </w:rPr>
            </w:pPr>
          </w:p>
        </w:tc>
        <w:tc>
          <w:tcPr>
            <w:tcW w:w="909" w:type="dxa"/>
            <w:tcBorders>
              <w:top w:val="single" w:sz="6" w:space="0" w:color="auto"/>
              <w:left w:val="single" w:sz="4" w:space="0" w:color="auto"/>
              <w:bottom w:val="single" w:sz="6" w:space="0" w:color="auto"/>
              <w:right w:val="single" w:sz="4" w:space="0" w:color="auto"/>
            </w:tcBorders>
          </w:tcPr>
          <w:p w14:paraId="16AFD12F" w14:textId="77777777" w:rsidR="001929CC" w:rsidRDefault="001929CC" w:rsidP="001929CC">
            <w:pPr>
              <w:snapToGrid w:val="0"/>
              <w:rPr>
                <w:sz w:val="16"/>
                <w:szCs w:val="16"/>
                <w:lang w:eastAsia="en-GB"/>
              </w:rPr>
            </w:pPr>
          </w:p>
        </w:tc>
        <w:tc>
          <w:tcPr>
            <w:tcW w:w="828" w:type="dxa"/>
            <w:tcBorders>
              <w:top w:val="single" w:sz="6" w:space="0" w:color="auto"/>
              <w:left w:val="single" w:sz="4" w:space="0" w:color="auto"/>
              <w:bottom w:val="single" w:sz="6" w:space="0" w:color="auto"/>
              <w:right w:val="single" w:sz="4" w:space="0" w:color="auto"/>
            </w:tcBorders>
          </w:tcPr>
          <w:p w14:paraId="71F8A793" w14:textId="77777777" w:rsidR="001929CC" w:rsidRDefault="001929CC" w:rsidP="001929CC">
            <w:pPr>
              <w:snapToGrid w:val="0"/>
              <w:rPr>
                <w:sz w:val="16"/>
                <w:szCs w:val="16"/>
                <w:lang w:eastAsia="en-GB"/>
              </w:rPr>
            </w:pPr>
          </w:p>
        </w:tc>
        <w:tc>
          <w:tcPr>
            <w:tcW w:w="992" w:type="dxa"/>
            <w:tcBorders>
              <w:top w:val="single" w:sz="6" w:space="0" w:color="auto"/>
              <w:left w:val="single" w:sz="4" w:space="0" w:color="auto"/>
              <w:bottom w:val="single" w:sz="6" w:space="0" w:color="auto"/>
              <w:right w:val="single" w:sz="6" w:space="0" w:color="auto"/>
            </w:tcBorders>
          </w:tcPr>
          <w:p w14:paraId="6B41B8BF" w14:textId="77777777" w:rsidR="001929CC" w:rsidRDefault="001929CC" w:rsidP="001929CC">
            <w:pPr>
              <w:snapToGrid w:val="0"/>
              <w:rPr>
                <w:sz w:val="16"/>
                <w:szCs w:val="16"/>
                <w:lang w:eastAsia="en-GB"/>
              </w:rPr>
            </w:pPr>
          </w:p>
        </w:tc>
      </w:tr>
      <w:tr w:rsidR="001929CC" w14:paraId="55C50185" w14:textId="77777777" w:rsidTr="001929CC">
        <w:tc>
          <w:tcPr>
            <w:tcW w:w="1276" w:type="dxa"/>
            <w:tcBorders>
              <w:top w:val="single" w:sz="6" w:space="0" w:color="auto"/>
              <w:left w:val="nil"/>
              <w:bottom w:val="single" w:sz="6" w:space="0" w:color="auto"/>
              <w:right w:val="single" w:sz="4" w:space="0" w:color="auto"/>
            </w:tcBorders>
          </w:tcPr>
          <w:p w14:paraId="287C028E" w14:textId="77777777" w:rsidR="001929CC" w:rsidRDefault="001929CC" w:rsidP="001929CC">
            <w:pPr>
              <w:snapToGrid w:val="0"/>
              <w:rPr>
                <w:sz w:val="16"/>
                <w:szCs w:val="16"/>
                <w:lang w:eastAsia="en-GB"/>
              </w:rPr>
            </w:pPr>
            <w:r>
              <w:rPr>
                <w:sz w:val="16"/>
                <w:szCs w:val="16"/>
                <w:lang w:eastAsia="en-GB"/>
              </w:rPr>
              <w:t>Portfolio (iv)…</w:t>
            </w:r>
          </w:p>
        </w:tc>
        <w:tc>
          <w:tcPr>
            <w:tcW w:w="1701" w:type="dxa"/>
            <w:tcBorders>
              <w:top w:val="single" w:sz="6" w:space="0" w:color="auto"/>
              <w:left w:val="single" w:sz="4" w:space="0" w:color="auto"/>
              <w:bottom w:val="single" w:sz="6" w:space="0" w:color="auto"/>
              <w:right w:val="single" w:sz="4" w:space="0" w:color="auto"/>
            </w:tcBorders>
          </w:tcPr>
          <w:p w14:paraId="387ACB04" w14:textId="77777777" w:rsidR="001929CC" w:rsidRDefault="001929CC" w:rsidP="001929CC">
            <w:pPr>
              <w:snapToGrid w:val="0"/>
              <w:jc w:val="center"/>
              <w:rPr>
                <w:sz w:val="16"/>
                <w:szCs w:val="16"/>
                <w:lang w:eastAsia="en-GB"/>
              </w:rPr>
            </w:pPr>
            <w:r>
              <w:rPr>
                <w:sz w:val="16"/>
                <w:szCs w:val="16"/>
                <w:lang w:eastAsia="en-GB"/>
              </w:rPr>
              <w:t>…</w:t>
            </w:r>
          </w:p>
        </w:tc>
        <w:tc>
          <w:tcPr>
            <w:tcW w:w="909" w:type="dxa"/>
            <w:tcBorders>
              <w:top w:val="single" w:sz="6" w:space="0" w:color="auto"/>
              <w:left w:val="single" w:sz="4" w:space="0" w:color="auto"/>
              <w:bottom w:val="single" w:sz="6" w:space="0" w:color="auto"/>
              <w:right w:val="single" w:sz="4" w:space="0" w:color="auto"/>
            </w:tcBorders>
          </w:tcPr>
          <w:p w14:paraId="59CB3297" w14:textId="77777777" w:rsidR="001929CC" w:rsidRDefault="001929CC" w:rsidP="001929CC">
            <w:pPr>
              <w:snapToGrid w:val="0"/>
              <w:rPr>
                <w:sz w:val="16"/>
                <w:szCs w:val="16"/>
                <w:lang w:eastAsia="en-GB"/>
              </w:rPr>
            </w:pPr>
          </w:p>
        </w:tc>
        <w:tc>
          <w:tcPr>
            <w:tcW w:w="934" w:type="dxa"/>
            <w:tcBorders>
              <w:top w:val="single" w:sz="6" w:space="0" w:color="auto"/>
              <w:left w:val="single" w:sz="4" w:space="0" w:color="auto"/>
              <w:bottom w:val="single" w:sz="6" w:space="0" w:color="auto"/>
              <w:right w:val="single" w:sz="4" w:space="0" w:color="auto"/>
            </w:tcBorders>
          </w:tcPr>
          <w:p w14:paraId="6360B866" w14:textId="77777777" w:rsidR="001929CC" w:rsidRDefault="001929CC" w:rsidP="001929CC">
            <w:pPr>
              <w:snapToGrid w:val="0"/>
              <w:rPr>
                <w:sz w:val="16"/>
                <w:szCs w:val="16"/>
                <w:lang w:eastAsia="en-GB"/>
              </w:rPr>
            </w:pPr>
          </w:p>
        </w:tc>
        <w:tc>
          <w:tcPr>
            <w:tcW w:w="885" w:type="dxa"/>
            <w:tcBorders>
              <w:top w:val="single" w:sz="6" w:space="0" w:color="auto"/>
              <w:left w:val="single" w:sz="4" w:space="0" w:color="auto"/>
              <w:bottom w:val="single" w:sz="6" w:space="0" w:color="auto"/>
              <w:right w:val="single" w:sz="4" w:space="0" w:color="auto"/>
            </w:tcBorders>
          </w:tcPr>
          <w:p w14:paraId="108F1054" w14:textId="77777777" w:rsidR="001929CC" w:rsidRDefault="001929CC" w:rsidP="001929CC">
            <w:pPr>
              <w:snapToGrid w:val="0"/>
              <w:rPr>
                <w:sz w:val="16"/>
                <w:szCs w:val="16"/>
                <w:lang w:eastAsia="en-GB"/>
              </w:rPr>
            </w:pPr>
          </w:p>
        </w:tc>
        <w:tc>
          <w:tcPr>
            <w:tcW w:w="958" w:type="dxa"/>
            <w:tcBorders>
              <w:top w:val="single" w:sz="6" w:space="0" w:color="auto"/>
              <w:left w:val="single" w:sz="4" w:space="0" w:color="auto"/>
              <w:bottom w:val="single" w:sz="6" w:space="0" w:color="auto"/>
              <w:right w:val="single" w:sz="4" w:space="0" w:color="auto"/>
            </w:tcBorders>
          </w:tcPr>
          <w:p w14:paraId="5B720FE0" w14:textId="77777777" w:rsidR="001929CC" w:rsidRDefault="001929CC" w:rsidP="001929CC">
            <w:pPr>
              <w:snapToGrid w:val="0"/>
              <w:rPr>
                <w:sz w:val="16"/>
                <w:szCs w:val="16"/>
                <w:lang w:eastAsia="en-GB"/>
              </w:rPr>
            </w:pPr>
          </w:p>
        </w:tc>
        <w:tc>
          <w:tcPr>
            <w:tcW w:w="861" w:type="dxa"/>
            <w:tcBorders>
              <w:top w:val="single" w:sz="6" w:space="0" w:color="auto"/>
              <w:left w:val="single" w:sz="4" w:space="0" w:color="auto"/>
              <w:bottom w:val="single" w:sz="6" w:space="0" w:color="auto"/>
              <w:right w:val="single" w:sz="4" w:space="0" w:color="auto"/>
            </w:tcBorders>
          </w:tcPr>
          <w:p w14:paraId="41D7E868" w14:textId="77777777" w:rsidR="001929CC" w:rsidRDefault="001929CC" w:rsidP="001929CC">
            <w:pPr>
              <w:snapToGrid w:val="0"/>
              <w:rPr>
                <w:sz w:val="16"/>
                <w:szCs w:val="16"/>
                <w:lang w:eastAsia="en-GB"/>
              </w:rPr>
            </w:pPr>
          </w:p>
        </w:tc>
        <w:tc>
          <w:tcPr>
            <w:tcW w:w="910" w:type="dxa"/>
            <w:tcBorders>
              <w:top w:val="single" w:sz="6" w:space="0" w:color="auto"/>
              <w:left w:val="single" w:sz="4" w:space="0" w:color="auto"/>
              <w:bottom w:val="single" w:sz="6" w:space="0" w:color="auto"/>
              <w:right w:val="single" w:sz="4" w:space="0" w:color="auto"/>
            </w:tcBorders>
          </w:tcPr>
          <w:p w14:paraId="12FBA411" w14:textId="77777777" w:rsidR="001929CC" w:rsidRDefault="001929CC" w:rsidP="001929CC">
            <w:pPr>
              <w:snapToGrid w:val="0"/>
              <w:rPr>
                <w:sz w:val="16"/>
                <w:szCs w:val="16"/>
                <w:lang w:eastAsia="en-GB"/>
              </w:rPr>
            </w:pPr>
          </w:p>
        </w:tc>
        <w:tc>
          <w:tcPr>
            <w:tcW w:w="910" w:type="dxa"/>
            <w:tcBorders>
              <w:top w:val="single" w:sz="6" w:space="0" w:color="auto"/>
              <w:left w:val="single" w:sz="4" w:space="0" w:color="auto"/>
              <w:bottom w:val="single" w:sz="6" w:space="0" w:color="auto"/>
              <w:right w:val="single" w:sz="4" w:space="0" w:color="auto"/>
            </w:tcBorders>
          </w:tcPr>
          <w:p w14:paraId="5AD1E230" w14:textId="77777777" w:rsidR="001929CC" w:rsidRDefault="001929CC" w:rsidP="001929CC">
            <w:pPr>
              <w:snapToGrid w:val="0"/>
              <w:rPr>
                <w:sz w:val="16"/>
                <w:szCs w:val="16"/>
                <w:lang w:eastAsia="en-GB"/>
              </w:rPr>
            </w:pPr>
          </w:p>
        </w:tc>
        <w:tc>
          <w:tcPr>
            <w:tcW w:w="909" w:type="dxa"/>
            <w:tcBorders>
              <w:top w:val="single" w:sz="6" w:space="0" w:color="auto"/>
              <w:left w:val="single" w:sz="4" w:space="0" w:color="auto"/>
              <w:bottom w:val="single" w:sz="6" w:space="0" w:color="auto"/>
              <w:right w:val="single" w:sz="4" w:space="0" w:color="auto"/>
            </w:tcBorders>
          </w:tcPr>
          <w:p w14:paraId="40DF2640" w14:textId="77777777" w:rsidR="001929CC" w:rsidRDefault="001929CC" w:rsidP="001929CC">
            <w:pPr>
              <w:snapToGrid w:val="0"/>
              <w:rPr>
                <w:sz w:val="16"/>
                <w:szCs w:val="16"/>
                <w:lang w:eastAsia="en-GB"/>
              </w:rPr>
            </w:pPr>
          </w:p>
        </w:tc>
        <w:tc>
          <w:tcPr>
            <w:tcW w:w="910" w:type="dxa"/>
            <w:tcBorders>
              <w:top w:val="single" w:sz="6" w:space="0" w:color="auto"/>
              <w:left w:val="single" w:sz="4" w:space="0" w:color="auto"/>
              <w:bottom w:val="single" w:sz="6" w:space="0" w:color="auto"/>
              <w:right w:val="single" w:sz="4" w:space="0" w:color="auto"/>
            </w:tcBorders>
          </w:tcPr>
          <w:p w14:paraId="4BCB44C8" w14:textId="77777777" w:rsidR="001929CC" w:rsidRDefault="001929CC" w:rsidP="001929CC">
            <w:pPr>
              <w:snapToGrid w:val="0"/>
              <w:rPr>
                <w:sz w:val="16"/>
                <w:szCs w:val="16"/>
                <w:lang w:eastAsia="en-GB"/>
              </w:rPr>
            </w:pPr>
          </w:p>
        </w:tc>
        <w:tc>
          <w:tcPr>
            <w:tcW w:w="909" w:type="dxa"/>
            <w:tcBorders>
              <w:top w:val="single" w:sz="6" w:space="0" w:color="auto"/>
              <w:left w:val="single" w:sz="4" w:space="0" w:color="auto"/>
              <w:bottom w:val="single" w:sz="6" w:space="0" w:color="auto"/>
              <w:right w:val="single" w:sz="4" w:space="0" w:color="auto"/>
            </w:tcBorders>
          </w:tcPr>
          <w:p w14:paraId="501A9D33" w14:textId="77777777" w:rsidR="001929CC" w:rsidRDefault="001929CC" w:rsidP="001929CC">
            <w:pPr>
              <w:snapToGrid w:val="0"/>
              <w:rPr>
                <w:sz w:val="16"/>
                <w:szCs w:val="16"/>
                <w:lang w:eastAsia="en-GB"/>
              </w:rPr>
            </w:pPr>
          </w:p>
        </w:tc>
        <w:tc>
          <w:tcPr>
            <w:tcW w:w="828" w:type="dxa"/>
            <w:tcBorders>
              <w:top w:val="single" w:sz="6" w:space="0" w:color="auto"/>
              <w:left w:val="single" w:sz="4" w:space="0" w:color="auto"/>
              <w:bottom w:val="single" w:sz="6" w:space="0" w:color="auto"/>
              <w:right w:val="single" w:sz="4" w:space="0" w:color="auto"/>
            </w:tcBorders>
          </w:tcPr>
          <w:p w14:paraId="280D80A0" w14:textId="77777777" w:rsidR="001929CC" w:rsidRDefault="001929CC" w:rsidP="001929CC">
            <w:pPr>
              <w:snapToGrid w:val="0"/>
              <w:rPr>
                <w:sz w:val="16"/>
                <w:szCs w:val="16"/>
                <w:lang w:eastAsia="en-GB"/>
              </w:rPr>
            </w:pPr>
          </w:p>
        </w:tc>
        <w:tc>
          <w:tcPr>
            <w:tcW w:w="992" w:type="dxa"/>
            <w:tcBorders>
              <w:top w:val="single" w:sz="6" w:space="0" w:color="auto"/>
              <w:left w:val="single" w:sz="4" w:space="0" w:color="auto"/>
              <w:bottom w:val="single" w:sz="6" w:space="0" w:color="auto"/>
              <w:right w:val="single" w:sz="6" w:space="0" w:color="auto"/>
            </w:tcBorders>
          </w:tcPr>
          <w:p w14:paraId="290C3E76" w14:textId="77777777" w:rsidR="001929CC" w:rsidRDefault="001929CC" w:rsidP="001929CC">
            <w:pPr>
              <w:snapToGrid w:val="0"/>
              <w:rPr>
                <w:sz w:val="16"/>
                <w:szCs w:val="16"/>
                <w:lang w:eastAsia="en-GB"/>
              </w:rPr>
            </w:pPr>
          </w:p>
        </w:tc>
      </w:tr>
      <w:tr w:rsidR="001929CC" w14:paraId="0FC27C54" w14:textId="77777777" w:rsidTr="001929CC">
        <w:tc>
          <w:tcPr>
            <w:tcW w:w="1276" w:type="dxa"/>
            <w:tcBorders>
              <w:top w:val="single" w:sz="6" w:space="0" w:color="auto"/>
              <w:left w:val="nil"/>
              <w:bottom w:val="single" w:sz="6" w:space="0" w:color="auto"/>
              <w:right w:val="single" w:sz="4" w:space="0" w:color="auto"/>
            </w:tcBorders>
          </w:tcPr>
          <w:p w14:paraId="01D81E31" w14:textId="77777777" w:rsidR="001929CC" w:rsidRDefault="001929CC" w:rsidP="001929CC">
            <w:pPr>
              <w:snapToGrid w:val="0"/>
              <w:rPr>
                <w:sz w:val="16"/>
                <w:szCs w:val="16"/>
                <w:lang w:eastAsia="en-GB"/>
              </w:rPr>
            </w:pPr>
            <w:r>
              <w:rPr>
                <w:sz w:val="16"/>
                <w:szCs w:val="16"/>
                <w:lang w:eastAsia="en-GB"/>
              </w:rPr>
              <w:t>…</w:t>
            </w:r>
          </w:p>
        </w:tc>
        <w:tc>
          <w:tcPr>
            <w:tcW w:w="1701" w:type="dxa"/>
            <w:tcBorders>
              <w:top w:val="single" w:sz="6" w:space="0" w:color="auto"/>
              <w:left w:val="single" w:sz="4" w:space="0" w:color="auto"/>
              <w:bottom w:val="single" w:sz="6" w:space="0" w:color="auto"/>
              <w:right w:val="single" w:sz="4" w:space="0" w:color="auto"/>
            </w:tcBorders>
          </w:tcPr>
          <w:p w14:paraId="5B0AED3B" w14:textId="77777777" w:rsidR="001929CC" w:rsidRDefault="001929CC" w:rsidP="001929CC">
            <w:pPr>
              <w:snapToGrid w:val="0"/>
              <w:jc w:val="center"/>
              <w:rPr>
                <w:sz w:val="16"/>
                <w:szCs w:val="16"/>
                <w:lang w:eastAsia="en-GB"/>
              </w:rPr>
            </w:pPr>
            <w:r>
              <w:rPr>
                <w:sz w:val="16"/>
                <w:szCs w:val="16"/>
                <w:lang w:eastAsia="en-GB"/>
              </w:rPr>
              <w:t>…</w:t>
            </w:r>
          </w:p>
        </w:tc>
        <w:tc>
          <w:tcPr>
            <w:tcW w:w="909" w:type="dxa"/>
            <w:tcBorders>
              <w:top w:val="single" w:sz="6" w:space="0" w:color="auto"/>
              <w:left w:val="single" w:sz="4" w:space="0" w:color="auto"/>
              <w:bottom w:val="single" w:sz="6" w:space="0" w:color="auto"/>
              <w:right w:val="single" w:sz="4" w:space="0" w:color="auto"/>
            </w:tcBorders>
          </w:tcPr>
          <w:p w14:paraId="4D3BC973" w14:textId="77777777" w:rsidR="001929CC" w:rsidRDefault="001929CC" w:rsidP="001929CC">
            <w:pPr>
              <w:snapToGrid w:val="0"/>
              <w:rPr>
                <w:sz w:val="16"/>
                <w:szCs w:val="16"/>
                <w:lang w:eastAsia="en-GB"/>
              </w:rPr>
            </w:pPr>
          </w:p>
        </w:tc>
        <w:tc>
          <w:tcPr>
            <w:tcW w:w="934" w:type="dxa"/>
            <w:tcBorders>
              <w:top w:val="single" w:sz="6" w:space="0" w:color="auto"/>
              <w:left w:val="single" w:sz="4" w:space="0" w:color="auto"/>
              <w:bottom w:val="single" w:sz="6" w:space="0" w:color="auto"/>
              <w:right w:val="single" w:sz="4" w:space="0" w:color="auto"/>
            </w:tcBorders>
          </w:tcPr>
          <w:p w14:paraId="09AC2988" w14:textId="77777777" w:rsidR="001929CC" w:rsidRDefault="001929CC" w:rsidP="001929CC">
            <w:pPr>
              <w:snapToGrid w:val="0"/>
              <w:rPr>
                <w:sz w:val="16"/>
                <w:szCs w:val="16"/>
                <w:lang w:eastAsia="en-GB"/>
              </w:rPr>
            </w:pPr>
          </w:p>
        </w:tc>
        <w:tc>
          <w:tcPr>
            <w:tcW w:w="885" w:type="dxa"/>
            <w:tcBorders>
              <w:top w:val="single" w:sz="6" w:space="0" w:color="auto"/>
              <w:left w:val="single" w:sz="4" w:space="0" w:color="auto"/>
              <w:bottom w:val="single" w:sz="6" w:space="0" w:color="auto"/>
              <w:right w:val="single" w:sz="4" w:space="0" w:color="auto"/>
            </w:tcBorders>
          </w:tcPr>
          <w:p w14:paraId="2CC1F756" w14:textId="77777777" w:rsidR="001929CC" w:rsidRDefault="001929CC" w:rsidP="001929CC">
            <w:pPr>
              <w:snapToGrid w:val="0"/>
              <w:rPr>
                <w:sz w:val="16"/>
                <w:szCs w:val="16"/>
                <w:lang w:eastAsia="en-GB"/>
              </w:rPr>
            </w:pPr>
          </w:p>
        </w:tc>
        <w:tc>
          <w:tcPr>
            <w:tcW w:w="958" w:type="dxa"/>
            <w:tcBorders>
              <w:top w:val="single" w:sz="6" w:space="0" w:color="auto"/>
              <w:left w:val="single" w:sz="4" w:space="0" w:color="auto"/>
              <w:bottom w:val="single" w:sz="6" w:space="0" w:color="auto"/>
              <w:right w:val="single" w:sz="4" w:space="0" w:color="auto"/>
            </w:tcBorders>
          </w:tcPr>
          <w:p w14:paraId="283A692C" w14:textId="77777777" w:rsidR="001929CC" w:rsidRDefault="001929CC" w:rsidP="001929CC">
            <w:pPr>
              <w:snapToGrid w:val="0"/>
              <w:rPr>
                <w:sz w:val="16"/>
                <w:szCs w:val="16"/>
                <w:lang w:eastAsia="en-GB"/>
              </w:rPr>
            </w:pPr>
          </w:p>
        </w:tc>
        <w:tc>
          <w:tcPr>
            <w:tcW w:w="861" w:type="dxa"/>
            <w:tcBorders>
              <w:top w:val="single" w:sz="6" w:space="0" w:color="auto"/>
              <w:left w:val="single" w:sz="4" w:space="0" w:color="auto"/>
              <w:bottom w:val="single" w:sz="6" w:space="0" w:color="auto"/>
              <w:right w:val="single" w:sz="4" w:space="0" w:color="auto"/>
            </w:tcBorders>
          </w:tcPr>
          <w:p w14:paraId="63E18909" w14:textId="77777777" w:rsidR="001929CC" w:rsidRDefault="001929CC" w:rsidP="001929CC">
            <w:pPr>
              <w:snapToGrid w:val="0"/>
              <w:rPr>
                <w:sz w:val="16"/>
                <w:szCs w:val="16"/>
                <w:lang w:eastAsia="en-GB"/>
              </w:rPr>
            </w:pPr>
          </w:p>
        </w:tc>
        <w:tc>
          <w:tcPr>
            <w:tcW w:w="910" w:type="dxa"/>
            <w:tcBorders>
              <w:top w:val="single" w:sz="6" w:space="0" w:color="auto"/>
              <w:left w:val="single" w:sz="4" w:space="0" w:color="auto"/>
              <w:bottom w:val="single" w:sz="6" w:space="0" w:color="auto"/>
              <w:right w:val="single" w:sz="4" w:space="0" w:color="auto"/>
            </w:tcBorders>
          </w:tcPr>
          <w:p w14:paraId="5E53061E" w14:textId="77777777" w:rsidR="001929CC" w:rsidRDefault="001929CC" w:rsidP="001929CC">
            <w:pPr>
              <w:snapToGrid w:val="0"/>
              <w:rPr>
                <w:sz w:val="16"/>
                <w:szCs w:val="16"/>
                <w:lang w:eastAsia="en-GB"/>
              </w:rPr>
            </w:pPr>
          </w:p>
        </w:tc>
        <w:tc>
          <w:tcPr>
            <w:tcW w:w="910" w:type="dxa"/>
            <w:tcBorders>
              <w:top w:val="single" w:sz="6" w:space="0" w:color="auto"/>
              <w:left w:val="single" w:sz="4" w:space="0" w:color="auto"/>
              <w:bottom w:val="single" w:sz="6" w:space="0" w:color="auto"/>
              <w:right w:val="single" w:sz="4" w:space="0" w:color="auto"/>
            </w:tcBorders>
          </w:tcPr>
          <w:p w14:paraId="321EA3A9" w14:textId="77777777" w:rsidR="001929CC" w:rsidRDefault="001929CC" w:rsidP="001929CC">
            <w:pPr>
              <w:snapToGrid w:val="0"/>
              <w:rPr>
                <w:sz w:val="16"/>
                <w:szCs w:val="16"/>
                <w:lang w:eastAsia="en-GB"/>
              </w:rPr>
            </w:pPr>
          </w:p>
        </w:tc>
        <w:tc>
          <w:tcPr>
            <w:tcW w:w="909" w:type="dxa"/>
            <w:tcBorders>
              <w:top w:val="single" w:sz="6" w:space="0" w:color="auto"/>
              <w:left w:val="single" w:sz="4" w:space="0" w:color="auto"/>
              <w:bottom w:val="single" w:sz="6" w:space="0" w:color="auto"/>
              <w:right w:val="single" w:sz="4" w:space="0" w:color="auto"/>
            </w:tcBorders>
          </w:tcPr>
          <w:p w14:paraId="5C796069" w14:textId="77777777" w:rsidR="001929CC" w:rsidRDefault="001929CC" w:rsidP="001929CC">
            <w:pPr>
              <w:snapToGrid w:val="0"/>
              <w:rPr>
                <w:sz w:val="16"/>
                <w:szCs w:val="16"/>
                <w:lang w:eastAsia="en-GB"/>
              </w:rPr>
            </w:pPr>
          </w:p>
        </w:tc>
        <w:tc>
          <w:tcPr>
            <w:tcW w:w="910" w:type="dxa"/>
            <w:tcBorders>
              <w:top w:val="single" w:sz="6" w:space="0" w:color="auto"/>
              <w:left w:val="single" w:sz="4" w:space="0" w:color="auto"/>
              <w:bottom w:val="single" w:sz="6" w:space="0" w:color="auto"/>
              <w:right w:val="single" w:sz="4" w:space="0" w:color="auto"/>
            </w:tcBorders>
          </w:tcPr>
          <w:p w14:paraId="37748A11" w14:textId="77777777" w:rsidR="001929CC" w:rsidRDefault="001929CC" w:rsidP="001929CC">
            <w:pPr>
              <w:snapToGrid w:val="0"/>
              <w:rPr>
                <w:sz w:val="16"/>
                <w:szCs w:val="16"/>
                <w:lang w:eastAsia="en-GB"/>
              </w:rPr>
            </w:pPr>
          </w:p>
        </w:tc>
        <w:tc>
          <w:tcPr>
            <w:tcW w:w="909" w:type="dxa"/>
            <w:tcBorders>
              <w:top w:val="single" w:sz="6" w:space="0" w:color="auto"/>
              <w:left w:val="single" w:sz="4" w:space="0" w:color="auto"/>
              <w:bottom w:val="single" w:sz="6" w:space="0" w:color="auto"/>
              <w:right w:val="single" w:sz="4" w:space="0" w:color="auto"/>
            </w:tcBorders>
          </w:tcPr>
          <w:p w14:paraId="0CE17390" w14:textId="77777777" w:rsidR="001929CC" w:rsidRDefault="001929CC" w:rsidP="001929CC">
            <w:pPr>
              <w:snapToGrid w:val="0"/>
              <w:rPr>
                <w:sz w:val="16"/>
                <w:szCs w:val="16"/>
                <w:lang w:eastAsia="en-GB"/>
              </w:rPr>
            </w:pPr>
          </w:p>
        </w:tc>
        <w:tc>
          <w:tcPr>
            <w:tcW w:w="828" w:type="dxa"/>
            <w:tcBorders>
              <w:top w:val="single" w:sz="6" w:space="0" w:color="auto"/>
              <w:left w:val="single" w:sz="4" w:space="0" w:color="auto"/>
              <w:bottom w:val="single" w:sz="6" w:space="0" w:color="auto"/>
              <w:right w:val="single" w:sz="4" w:space="0" w:color="auto"/>
            </w:tcBorders>
          </w:tcPr>
          <w:p w14:paraId="401B166E" w14:textId="77777777" w:rsidR="001929CC" w:rsidRDefault="001929CC" w:rsidP="001929CC">
            <w:pPr>
              <w:snapToGrid w:val="0"/>
              <w:rPr>
                <w:sz w:val="16"/>
                <w:szCs w:val="16"/>
                <w:lang w:eastAsia="en-GB"/>
              </w:rPr>
            </w:pPr>
          </w:p>
        </w:tc>
        <w:tc>
          <w:tcPr>
            <w:tcW w:w="992" w:type="dxa"/>
            <w:tcBorders>
              <w:top w:val="single" w:sz="6" w:space="0" w:color="auto"/>
              <w:left w:val="single" w:sz="4" w:space="0" w:color="auto"/>
              <w:bottom w:val="single" w:sz="6" w:space="0" w:color="auto"/>
              <w:right w:val="single" w:sz="6" w:space="0" w:color="auto"/>
            </w:tcBorders>
          </w:tcPr>
          <w:p w14:paraId="6A385FDC" w14:textId="77777777" w:rsidR="001929CC" w:rsidRDefault="001929CC" w:rsidP="001929CC">
            <w:pPr>
              <w:snapToGrid w:val="0"/>
              <w:rPr>
                <w:sz w:val="16"/>
                <w:szCs w:val="16"/>
                <w:lang w:eastAsia="en-GB"/>
              </w:rPr>
            </w:pPr>
          </w:p>
        </w:tc>
      </w:tr>
      <w:tr w:rsidR="001929CC" w14:paraId="101764E2" w14:textId="77777777" w:rsidTr="001929CC">
        <w:tc>
          <w:tcPr>
            <w:tcW w:w="2977" w:type="dxa"/>
            <w:gridSpan w:val="2"/>
            <w:tcBorders>
              <w:top w:val="single" w:sz="6" w:space="0" w:color="auto"/>
              <w:left w:val="nil"/>
              <w:bottom w:val="single" w:sz="4" w:space="0" w:color="auto"/>
              <w:right w:val="single" w:sz="4" w:space="0" w:color="auto"/>
            </w:tcBorders>
          </w:tcPr>
          <w:p w14:paraId="33284A3B" w14:textId="77777777" w:rsidR="001929CC" w:rsidRDefault="001929CC" w:rsidP="001929CC">
            <w:pPr>
              <w:snapToGrid w:val="0"/>
              <w:rPr>
                <w:b/>
                <w:sz w:val="16"/>
                <w:szCs w:val="16"/>
                <w:lang w:eastAsia="en-GB"/>
              </w:rPr>
            </w:pPr>
            <w:r>
              <w:rPr>
                <w:b/>
                <w:sz w:val="16"/>
                <w:szCs w:val="16"/>
                <w:lang w:eastAsia="en-GB"/>
              </w:rPr>
              <w:t>Total (sum of all portfolios)</w:t>
            </w:r>
          </w:p>
        </w:tc>
        <w:tc>
          <w:tcPr>
            <w:tcW w:w="909" w:type="dxa"/>
            <w:tcBorders>
              <w:top w:val="single" w:sz="6" w:space="0" w:color="auto"/>
              <w:left w:val="single" w:sz="4" w:space="0" w:color="auto"/>
              <w:bottom w:val="single" w:sz="4" w:space="0" w:color="auto"/>
              <w:right w:val="single" w:sz="4" w:space="0" w:color="auto"/>
            </w:tcBorders>
          </w:tcPr>
          <w:p w14:paraId="2BB47740" w14:textId="77777777" w:rsidR="001929CC" w:rsidRDefault="001929CC" w:rsidP="001929CC">
            <w:pPr>
              <w:snapToGrid w:val="0"/>
              <w:rPr>
                <w:sz w:val="16"/>
                <w:szCs w:val="16"/>
                <w:lang w:eastAsia="en-GB"/>
              </w:rPr>
            </w:pPr>
          </w:p>
        </w:tc>
        <w:tc>
          <w:tcPr>
            <w:tcW w:w="934" w:type="dxa"/>
            <w:tcBorders>
              <w:top w:val="single" w:sz="6" w:space="0" w:color="auto"/>
              <w:left w:val="single" w:sz="4" w:space="0" w:color="auto"/>
              <w:bottom w:val="single" w:sz="4" w:space="0" w:color="auto"/>
              <w:right w:val="single" w:sz="4" w:space="0" w:color="auto"/>
            </w:tcBorders>
          </w:tcPr>
          <w:p w14:paraId="454FA678" w14:textId="77777777" w:rsidR="001929CC" w:rsidRDefault="001929CC" w:rsidP="001929CC">
            <w:pPr>
              <w:snapToGrid w:val="0"/>
              <w:rPr>
                <w:sz w:val="16"/>
                <w:szCs w:val="16"/>
                <w:lang w:eastAsia="en-GB"/>
              </w:rPr>
            </w:pPr>
          </w:p>
        </w:tc>
        <w:tc>
          <w:tcPr>
            <w:tcW w:w="885" w:type="dxa"/>
            <w:tcBorders>
              <w:top w:val="single" w:sz="6" w:space="0" w:color="auto"/>
              <w:left w:val="single" w:sz="4" w:space="0" w:color="auto"/>
              <w:bottom w:val="single" w:sz="4" w:space="0" w:color="auto"/>
              <w:right w:val="single" w:sz="4" w:space="0" w:color="auto"/>
            </w:tcBorders>
          </w:tcPr>
          <w:p w14:paraId="1BB229BB" w14:textId="77777777" w:rsidR="001929CC" w:rsidRDefault="001929CC" w:rsidP="001929CC">
            <w:pPr>
              <w:snapToGrid w:val="0"/>
              <w:rPr>
                <w:sz w:val="16"/>
                <w:szCs w:val="16"/>
                <w:lang w:eastAsia="en-GB"/>
              </w:rPr>
            </w:pPr>
          </w:p>
        </w:tc>
        <w:tc>
          <w:tcPr>
            <w:tcW w:w="958" w:type="dxa"/>
            <w:tcBorders>
              <w:top w:val="single" w:sz="6" w:space="0" w:color="auto"/>
              <w:left w:val="single" w:sz="4" w:space="0" w:color="auto"/>
              <w:bottom w:val="single" w:sz="4" w:space="0" w:color="auto"/>
              <w:right w:val="single" w:sz="4" w:space="0" w:color="auto"/>
            </w:tcBorders>
          </w:tcPr>
          <w:p w14:paraId="1CF7A023" w14:textId="77777777" w:rsidR="001929CC" w:rsidRDefault="001929CC" w:rsidP="001929CC">
            <w:pPr>
              <w:snapToGrid w:val="0"/>
              <w:rPr>
                <w:sz w:val="16"/>
                <w:szCs w:val="16"/>
                <w:lang w:eastAsia="en-GB"/>
              </w:rPr>
            </w:pPr>
          </w:p>
        </w:tc>
        <w:tc>
          <w:tcPr>
            <w:tcW w:w="861" w:type="dxa"/>
            <w:tcBorders>
              <w:top w:val="single" w:sz="6" w:space="0" w:color="auto"/>
              <w:left w:val="single" w:sz="4" w:space="0" w:color="auto"/>
              <w:bottom w:val="single" w:sz="4" w:space="0" w:color="auto"/>
              <w:right w:val="single" w:sz="4" w:space="0" w:color="auto"/>
            </w:tcBorders>
          </w:tcPr>
          <w:p w14:paraId="62C710D7" w14:textId="77777777" w:rsidR="001929CC" w:rsidRDefault="001929CC" w:rsidP="001929CC">
            <w:pPr>
              <w:snapToGrid w:val="0"/>
              <w:rPr>
                <w:sz w:val="16"/>
                <w:szCs w:val="16"/>
                <w:lang w:eastAsia="en-GB"/>
              </w:rPr>
            </w:pPr>
          </w:p>
        </w:tc>
        <w:tc>
          <w:tcPr>
            <w:tcW w:w="910" w:type="dxa"/>
            <w:tcBorders>
              <w:top w:val="single" w:sz="6" w:space="0" w:color="auto"/>
              <w:left w:val="single" w:sz="4" w:space="0" w:color="auto"/>
              <w:bottom w:val="single" w:sz="4" w:space="0" w:color="auto"/>
              <w:right w:val="single" w:sz="4" w:space="0" w:color="auto"/>
            </w:tcBorders>
          </w:tcPr>
          <w:p w14:paraId="09DDF5CE" w14:textId="77777777" w:rsidR="001929CC" w:rsidRDefault="001929CC" w:rsidP="001929CC">
            <w:pPr>
              <w:snapToGrid w:val="0"/>
              <w:rPr>
                <w:sz w:val="16"/>
                <w:szCs w:val="16"/>
                <w:lang w:eastAsia="en-GB"/>
              </w:rPr>
            </w:pPr>
          </w:p>
        </w:tc>
        <w:tc>
          <w:tcPr>
            <w:tcW w:w="910" w:type="dxa"/>
            <w:tcBorders>
              <w:top w:val="single" w:sz="6" w:space="0" w:color="auto"/>
              <w:left w:val="single" w:sz="4" w:space="0" w:color="auto"/>
              <w:bottom w:val="single" w:sz="4" w:space="0" w:color="auto"/>
              <w:right w:val="single" w:sz="4" w:space="0" w:color="auto"/>
            </w:tcBorders>
          </w:tcPr>
          <w:p w14:paraId="232B9051" w14:textId="77777777" w:rsidR="001929CC" w:rsidRDefault="001929CC" w:rsidP="001929CC">
            <w:pPr>
              <w:snapToGrid w:val="0"/>
              <w:rPr>
                <w:sz w:val="16"/>
                <w:szCs w:val="16"/>
                <w:lang w:eastAsia="en-GB"/>
              </w:rPr>
            </w:pPr>
          </w:p>
        </w:tc>
        <w:tc>
          <w:tcPr>
            <w:tcW w:w="909" w:type="dxa"/>
            <w:tcBorders>
              <w:top w:val="single" w:sz="6" w:space="0" w:color="auto"/>
              <w:left w:val="single" w:sz="4" w:space="0" w:color="auto"/>
              <w:bottom w:val="single" w:sz="4" w:space="0" w:color="auto"/>
              <w:right w:val="single" w:sz="4" w:space="0" w:color="auto"/>
            </w:tcBorders>
          </w:tcPr>
          <w:p w14:paraId="594C3AE8" w14:textId="77777777" w:rsidR="001929CC" w:rsidRDefault="001929CC" w:rsidP="001929CC">
            <w:pPr>
              <w:snapToGrid w:val="0"/>
              <w:rPr>
                <w:sz w:val="16"/>
                <w:szCs w:val="16"/>
                <w:lang w:eastAsia="en-GB"/>
              </w:rPr>
            </w:pPr>
          </w:p>
        </w:tc>
        <w:tc>
          <w:tcPr>
            <w:tcW w:w="910" w:type="dxa"/>
            <w:tcBorders>
              <w:top w:val="single" w:sz="6" w:space="0" w:color="auto"/>
              <w:left w:val="single" w:sz="4" w:space="0" w:color="auto"/>
              <w:bottom w:val="single" w:sz="4" w:space="0" w:color="auto"/>
              <w:right w:val="single" w:sz="4" w:space="0" w:color="auto"/>
            </w:tcBorders>
          </w:tcPr>
          <w:p w14:paraId="5C7CBB0F" w14:textId="77777777" w:rsidR="001929CC" w:rsidRDefault="001929CC" w:rsidP="001929CC">
            <w:pPr>
              <w:snapToGrid w:val="0"/>
              <w:rPr>
                <w:sz w:val="16"/>
                <w:szCs w:val="16"/>
                <w:lang w:eastAsia="en-GB"/>
              </w:rPr>
            </w:pPr>
          </w:p>
        </w:tc>
        <w:tc>
          <w:tcPr>
            <w:tcW w:w="909" w:type="dxa"/>
            <w:tcBorders>
              <w:top w:val="single" w:sz="6" w:space="0" w:color="auto"/>
              <w:left w:val="single" w:sz="4" w:space="0" w:color="auto"/>
              <w:bottom w:val="single" w:sz="4" w:space="0" w:color="auto"/>
              <w:right w:val="single" w:sz="4" w:space="0" w:color="auto"/>
            </w:tcBorders>
          </w:tcPr>
          <w:p w14:paraId="3821140E" w14:textId="77777777" w:rsidR="001929CC" w:rsidRDefault="001929CC" w:rsidP="001929CC">
            <w:pPr>
              <w:snapToGrid w:val="0"/>
              <w:rPr>
                <w:sz w:val="16"/>
                <w:szCs w:val="16"/>
                <w:lang w:eastAsia="en-GB"/>
              </w:rPr>
            </w:pPr>
          </w:p>
        </w:tc>
        <w:tc>
          <w:tcPr>
            <w:tcW w:w="828" w:type="dxa"/>
            <w:tcBorders>
              <w:top w:val="single" w:sz="6" w:space="0" w:color="auto"/>
              <w:left w:val="single" w:sz="4" w:space="0" w:color="auto"/>
              <w:bottom w:val="single" w:sz="4" w:space="0" w:color="auto"/>
              <w:right w:val="single" w:sz="4" w:space="0" w:color="auto"/>
            </w:tcBorders>
          </w:tcPr>
          <w:p w14:paraId="680B1C40" w14:textId="77777777" w:rsidR="001929CC" w:rsidRDefault="001929CC" w:rsidP="001929CC">
            <w:pPr>
              <w:snapToGrid w:val="0"/>
              <w:rPr>
                <w:sz w:val="16"/>
                <w:szCs w:val="16"/>
                <w:lang w:eastAsia="en-GB"/>
              </w:rPr>
            </w:pPr>
          </w:p>
        </w:tc>
        <w:tc>
          <w:tcPr>
            <w:tcW w:w="992" w:type="dxa"/>
            <w:tcBorders>
              <w:top w:val="single" w:sz="6" w:space="0" w:color="auto"/>
              <w:left w:val="single" w:sz="4" w:space="0" w:color="auto"/>
              <w:bottom w:val="single" w:sz="4" w:space="0" w:color="auto"/>
              <w:right w:val="single" w:sz="6" w:space="0" w:color="auto"/>
            </w:tcBorders>
            <w:shd w:val="clear" w:color="auto" w:fill="FFFFFF"/>
          </w:tcPr>
          <w:p w14:paraId="0D47A1D0" w14:textId="77777777" w:rsidR="001929CC" w:rsidRDefault="001929CC" w:rsidP="001929CC">
            <w:pPr>
              <w:snapToGrid w:val="0"/>
              <w:rPr>
                <w:sz w:val="16"/>
                <w:szCs w:val="16"/>
                <w:lang w:eastAsia="en-GB"/>
              </w:rPr>
            </w:pPr>
          </w:p>
        </w:tc>
      </w:tr>
    </w:tbl>
    <w:p w14:paraId="6C85EE0B" w14:textId="77777777" w:rsidR="001929CC" w:rsidRDefault="001929CC" w:rsidP="001929CC">
      <w:pPr>
        <w:spacing w:before="40" w:after="40"/>
        <w:rPr>
          <w:sz w:val="22"/>
        </w:rPr>
      </w:pP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3041"/>
      </w:tblGrid>
      <w:tr w:rsidR="001929CC" w14:paraId="3FF4CFCC" w14:textId="77777777" w:rsidTr="001929CC">
        <w:trPr>
          <w:cantSplit/>
          <w:tblHeader/>
        </w:trPr>
        <w:tc>
          <w:tcPr>
            <w:tcW w:w="13892" w:type="dxa"/>
            <w:gridSpan w:val="2"/>
            <w:shd w:val="clear" w:color="auto" w:fill="BFBFBF"/>
          </w:tcPr>
          <w:p w14:paraId="690A01D2" w14:textId="77777777" w:rsidR="001929CC" w:rsidRDefault="001929CC" w:rsidP="001929CC">
            <w:pPr>
              <w:pStyle w:val="TableNote"/>
              <w:keepNext/>
              <w:spacing w:before="40" w:after="40"/>
              <w:rPr>
                <w:rFonts w:eastAsia="新細明體"/>
                <w:b/>
                <w:sz w:val="17"/>
                <w:szCs w:val="17"/>
                <w:lang w:eastAsia="en-GB"/>
              </w:rPr>
            </w:pPr>
            <w:r>
              <w:rPr>
                <w:rFonts w:eastAsia="新細明體"/>
                <w:b/>
                <w:sz w:val="17"/>
                <w:szCs w:val="17"/>
                <w:lang w:eastAsia="en-GB"/>
              </w:rPr>
              <w:lastRenderedPageBreak/>
              <w:t>Explanatory Note</w:t>
            </w:r>
          </w:p>
        </w:tc>
      </w:tr>
      <w:tr w:rsidR="001929CC" w14:paraId="50C8C31D" w14:textId="77777777" w:rsidTr="001929CC">
        <w:trPr>
          <w:cantSplit/>
        </w:trPr>
        <w:tc>
          <w:tcPr>
            <w:tcW w:w="13892" w:type="dxa"/>
            <w:gridSpan w:val="2"/>
            <w:shd w:val="clear" w:color="auto" w:fill="F2F2F2"/>
          </w:tcPr>
          <w:p w14:paraId="2DD49E47" w14:textId="77777777" w:rsidR="001929CC" w:rsidRDefault="001929CC" w:rsidP="001929CC">
            <w:pPr>
              <w:pStyle w:val="TableNote"/>
              <w:keepNext/>
              <w:spacing w:before="40" w:after="40"/>
              <w:rPr>
                <w:i/>
                <w:sz w:val="17"/>
                <w:szCs w:val="17"/>
              </w:rPr>
            </w:pPr>
            <w:r>
              <w:rPr>
                <w:rFonts w:eastAsia="新細明體"/>
                <w:b/>
                <w:sz w:val="17"/>
                <w:szCs w:val="17"/>
                <w:lang w:eastAsia="en-GB"/>
              </w:rPr>
              <w:t>Columns</w:t>
            </w:r>
          </w:p>
        </w:tc>
      </w:tr>
      <w:tr w:rsidR="001929CC" w14:paraId="7B1645C3" w14:textId="77777777" w:rsidTr="001929CC">
        <w:trPr>
          <w:cantSplit/>
        </w:trPr>
        <w:tc>
          <w:tcPr>
            <w:tcW w:w="851" w:type="dxa"/>
          </w:tcPr>
          <w:p w14:paraId="40F207A7" w14:textId="77777777" w:rsidR="001929CC" w:rsidRDefault="001929CC" w:rsidP="001929CC">
            <w:pPr>
              <w:pStyle w:val="TableNote"/>
              <w:keepNext/>
              <w:spacing w:before="40" w:after="40"/>
              <w:rPr>
                <w:rFonts w:cs="Segoe UI"/>
                <w:sz w:val="17"/>
                <w:szCs w:val="17"/>
                <w:lang w:eastAsia="en-GB"/>
              </w:rPr>
            </w:pPr>
            <w:r>
              <w:rPr>
                <w:i/>
                <w:sz w:val="17"/>
                <w:szCs w:val="17"/>
              </w:rPr>
              <w:t>PD scale</w:t>
            </w:r>
          </w:p>
        </w:tc>
        <w:tc>
          <w:tcPr>
            <w:tcW w:w="13041" w:type="dxa"/>
          </w:tcPr>
          <w:p w14:paraId="201C5C86" w14:textId="77777777" w:rsidR="001929CC" w:rsidRDefault="001929CC" w:rsidP="001929CC">
            <w:pPr>
              <w:pStyle w:val="TableNote"/>
              <w:keepNext/>
              <w:spacing w:before="40" w:after="40"/>
              <w:rPr>
                <w:sz w:val="17"/>
                <w:szCs w:val="17"/>
              </w:rPr>
            </w:pPr>
            <w:r>
              <w:rPr>
                <w:sz w:val="17"/>
                <w:szCs w:val="17"/>
              </w:rPr>
              <w:t>PD scale should not be changed.  An AI should map the PD scale it uses in the calculations of RWA into the PD scale provided in the template.</w:t>
            </w:r>
          </w:p>
        </w:tc>
      </w:tr>
      <w:tr w:rsidR="001929CC" w14:paraId="7A63FFE6" w14:textId="77777777" w:rsidTr="001929CC">
        <w:trPr>
          <w:cantSplit/>
        </w:trPr>
        <w:tc>
          <w:tcPr>
            <w:tcW w:w="851" w:type="dxa"/>
          </w:tcPr>
          <w:p w14:paraId="207F35D0"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(a)</w:t>
            </w:r>
          </w:p>
        </w:tc>
        <w:tc>
          <w:tcPr>
            <w:tcW w:w="13041" w:type="dxa"/>
          </w:tcPr>
          <w:p w14:paraId="4B403CA9" w14:textId="77777777" w:rsidR="001929CC" w:rsidRDefault="001929CC" w:rsidP="001929CC">
            <w:pPr>
              <w:pStyle w:val="TableNote"/>
              <w:keepNext/>
              <w:spacing w:before="40" w:after="40"/>
              <w:rPr>
                <w:sz w:val="17"/>
                <w:szCs w:val="17"/>
              </w:rPr>
            </w:pPr>
            <w:r>
              <w:rPr>
                <w:i/>
                <w:sz w:val="17"/>
                <w:szCs w:val="17"/>
              </w:rPr>
              <w:t>Original on-balance sheet gross exposure</w:t>
            </w:r>
            <w:r>
              <w:rPr>
                <w:sz w:val="17"/>
                <w:szCs w:val="17"/>
              </w:rPr>
              <w:t>: the amount of the on-balance sheet exposure gross of accounting provisions (before taking into account the effect of recognized CRM).</w:t>
            </w:r>
          </w:p>
        </w:tc>
      </w:tr>
      <w:tr w:rsidR="001929CC" w14:paraId="36D6BBB1" w14:textId="77777777" w:rsidTr="001929CC">
        <w:trPr>
          <w:cantSplit/>
        </w:trPr>
        <w:tc>
          <w:tcPr>
            <w:tcW w:w="851" w:type="dxa"/>
          </w:tcPr>
          <w:p w14:paraId="695D18F5"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(b)</w:t>
            </w:r>
          </w:p>
        </w:tc>
        <w:tc>
          <w:tcPr>
            <w:tcW w:w="13041" w:type="dxa"/>
          </w:tcPr>
          <w:p w14:paraId="33935954" w14:textId="77777777" w:rsidR="001929CC" w:rsidRDefault="001929CC" w:rsidP="001929CC">
            <w:pPr>
              <w:pStyle w:val="TableNote"/>
              <w:keepNext/>
              <w:spacing w:before="40" w:after="40"/>
              <w:rPr>
                <w:b/>
                <w:sz w:val="17"/>
                <w:szCs w:val="17"/>
                <w:lang w:eastAsia="en-GB"/>
              </w:rPr>
            </w:pPr>
            <w:r>
              <w:rPr>
                <w:i/>
                <w:sz w:val="17"/>
                <w:szCs w:val="17"/>
              </w:rPr>
              <w:t>Off-balance sheet exposure pre-CCF</w:t>
            </w:r>
            <w:r>
              <w:rPr>
                <w:sz w:val="17"/>
                <w:szCs w:val="17"/>
              </w:rPr>
              <w:t>: the exposure value determined under Part 6 of the BCR, as the case requires, without taking into account credit valuation adjustments and provisions, CCFs and the effect of recognized CRM.</w:t>
            </w:r>
          </w:p>
        </w:tc>
      </w:tr>
      <w:tr w:rsidR="001929CC" w14:paraId="771AC438" w14:textId="77777777" w:rsidTr="001929CC">
        <w:trPr>
          <w:cantSplit/>
        </w:trPr>
        <w:tc>
          <w:tcPr>
            <w:tcW w:w="851" w:type="dxa"/>
          </w:tcPr>
          <w:p w14:paraId="66EB3669"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(c)</w:t>
            </w:r>
          </w:p>
        </w:tc>
        <w:tc>
          <w:tcPr>
            <w:tcW w:w="13041" w:type="dxa"/>
          </w:tcPr>
          <w:p w14:paraId="6893546D" w14:textId="77777777" w:rsidR="001929CC" w:rsidRDefault="001929CC" w:rsidP="001929CC">
            <w:pPr>
              <w:pStyle w:val="TableNote"/>
              <w:keepNext/>
              <w:spacing w:before="40" w:after="40"/>
              <w:rPr>
                <w:sz w:val="17"/>
                <w:szCs w:val="17"/>
              </w:rPr>
            </w:pPr>
            <w:r>
              <w:rPr>
                <w:i/>
                <w:sz w:val="17"/>
                <w:szCs w:val="17"/>
              </w:rPr>
              <w:t>Average CCF</w:t>
            </w:r>
            <w:r>
              <w:rPr>
                <w:sz w:val="17"/>
                <w:szCs w:val="17"/>
              </w:rPr>
              <w:t>: this is derived from dividing the EAD post-CCF by the EAD pre-CCF determined in accordance with the BCR for off-balance sheet exposure.</w:t>
            </w:r>
          </w:p>
        </w:tc>
      </w:tr>
      <w:tr w:rsidR="001929CC" w14:paraId="0DFE29F4" w14:textId="77777777" w:rsidTr="001929CC">
        <w:trPr>
          <w:cantSplit/>
        </w:trPr>
        <w:tc>
          <w:tcPr>
            <w:tcW w:w="851" w:type="dxa"/>
          </w:tcPr>
          <w:p w14:paraId="58E68464"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(d)</w:t>
            </w:r>
          </w:p>
        </w:tc>
        <w:tc>
          <w:tcPr>
            <w:tcW w:w="13041" w:type="dxa"/>
          </w:tcPr>
          <w:p w14:paraId="1E71C779" w14:textId="77777777" w:rsidR="001929CC" w:rsidRDefault="001929CC" w:rsidP="001929CC">
            <w:pPr>
              <w:pStyle w:val="TableNote"/>
              <w:keepNext/>
              <w:spacing w:before="40" w:after="40"/>
              <w:rPr>
                <w:b/>
                <w:sz w:val="17"/>
                <w:szCs w:val="17"/>
                <w:lang w:eastAsia="en-GB"/>
              </w:rPr>
            </w:pPr>
            <w:r>
              <w:rPr>
                <w:i/>
                <w:sz w:val="17"/>
                <w:szCs w:val="17"/>
              </w:rPr>
              <w:t>EAD post-CRM and post-CCF</w:t>
            </w:r>
            <w:r>
              <w:rPr>
                <w:sz w:val="17"/>
                <w:szCs w:val="17"/>
              </w:rPr>
              <w:t>: the amount determined under the BCR and relevant to the capital requirements calculation.</w:t>
            </w:r>
          </w:p>
        </w:tc>
      </w:tr>
      <w:tr w:rsidR="001929CC" w14:paraId="37D35F85" w14:textId="77777777" w:rsidTr="001929CC">
        <w:trPr>
          <w:cantSplit/>
        </w:trPr>
        <w:tc>
          <w:tcPr>
            <w:tcW w:w="851" w:type="dxa"/>
          </w:tcPr>
          <w:p w14:paraId="6A9C2392"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(e)</w:t>
            </w:r>
          </w:p>
        </w:tc>
        <w:tc>
          <w:tcPr>
            <w:tcW w:w="13041" w:type="dxa"/>
          </w:tcPr>
          <w:p w14:paraId="030D7F25" w14:textId="77777777" w:rsidR="001929CC" w:rsidRDefault="001929CC" w:rsidP="001929CC">
            <w:pPr>
              <w:pStyle w:val="TableNote"/>
              <w:keepNext/>
              <w:spacing w:before="40" w:after="40"/>
              <w:rPr>
                <w:b/>
                <w:sz w:val="17"/>
                <w:szCs w:val="17"/>
                <w:lang w:eastAsia="en-GB"/>
              </w:rPr>
            </w:pPr>
            <w:r>
              <w:rPr>
                <w:i/>
                <w:sz w:val="17"/>
                <w:szCs w:val="17"/>
              </w:rPr>
              <w:t>Average PD</w:t>
            </w:r>
            <w:r>
              <w:rPr>
                <w:sz w:val="17"/>
                <w:szCs w:val="17"/>
              </w:rPr>
              <w:t>: the weighted average of obligor grade PD included in the same row, using the EAD of each obligor as the weight.</w:t>
            </w:r>
          </w:p>
        </w:tc>
      </w:tr>
      <w:tr w:rsidR="001929CC" w14:paraId="64672EFF" w14:textId="77777777" w:rsidTr="001929CC">
        <w:trPr>
          <w:cantSplit/>
        </w:trPr>
        <w:tc>
          <w:tcPr>
            <w:tcW w:w="851" w:type="dxa"/>
          </w:tcPr>
          <w:p w14:paraId="43044A2F"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(f)</w:t>
            </w:r>
          </w:p>
        </w:tc>
        <w:tc>
          <w:tcPr>
            <w:tcW w:w="13041" w:type="dxa"/>
          </w:tcPr>
          <w:p w14:paraId="169EC7E4" w14:textId="77777777" w:rsidR="001929CC" w:rsidRDefault="001929CC" w:rsidP="001929CC">
            <w:pPr>
              <w:pStyle w:val="TableNote"/>
              <w:keepNext/>
              <w:spacing w:before="40" w:after="40"/>
              <w:rPr>
                <w:b/>
                <w:sz w:val="17"/>
                <w:szCs w:val="17"/>
                <w:lang w:eastAsia="en-GB"/>
              </w:rPr>
            </w:pPr>
            <w:r>
              <w:rPr>
                <w:i/>
                <w:sz w:val="17"/>
                <w:szCs w:val="17"/>
              </w:rPr>
              <w:t>Number of obligors</w:t>
            </w:r>
            <w:r>
              <w:rPr>
                <w:sz w:val="17"/>
                <w:szCs w:val="17"/>
              </w:rPr>
              <w:t>: the number of individual included in the same row.  Approximation (round number) of obligor number is acceptable for disclosure purpose.</w:t>
            </w:r>
          </w:p>
        </w:tc>
      </w:tr>
      <w:tr w:rsidR="001929CC" w14:paraId="1267C989" w14:textId="77777777" w:rsidTr="001929CC">
        <w:trPr>
          <w:cantSplit/>
        </w:trPr>
        <w:tc>
          <w:tcPr>
            <w:tcW w:w="851" w:type="dxa"/>
          </w:tcPr>
          <w:p w14:paraId="6582DD2D"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(g)</w:t>
            </w:r>
          </w:p>
        </w:tc>
        <w:tc>
          <w:tcPr>
            <w:tcW w:w="13041" w:type="dxa"/>
          </w:tcPr>
          <w:p w14:paraId="686C00CE" w14:textId="77777777" w:rsidR="001929CC" w:rsidRDefault="001929CC" w:rsidP="001929CC">
            <w:pPr>
              <w:pStyle w:val="TableNote"/>
              <w:keepNext/>
              <w:spacing w:before="40" w:after="40"/>
              <w:rPr>
                <w:b/>
                <w:sz w:val="17"/>
                <w:szCs w:val="17"/>
                <w:lang w:eastAsia="en-GB"/>
              </w:rPr>
            </w:pPr>
            <w:r>
              <w:rPr>
                <w:i/>
                <w:sz w:val="17"/>
                <w:szCs w:val="17"/>
              </w:rPr>
              <w:t>Average LGD</w:t>
            </w:r>
            <w:r>
              <w:rPr>
                <w:sz w:val="17"/>
                <w:szCs w:val="17"/>
              </w:rPr>
              <w:t>: the weighted average of obligor grade LGD within the same PD band (or the same portfolio(s) for rows ‘sub-total’ and ‘total’ as appropriate), using the EAD of each obligor as the weight.  The LGD should be net of any recognized CRM effect.</w:t>
            </w:r>
          </w:p>
        </w:tc>
      </w:tr>
      <w:tr w:rsidR="001929CC" w14:paraId="73247C99" w14:textId="77777777" w:rsidTr="001929CC">
        <w:trPr>
          <w:cantSplit/>
        </w:trPr>
        <w:tc>
          <w:tcPr>
            <w:tcW w:w="851" w:type="dxa"/>
          </w:tcPr>
          <w:p w14:paraId="32AB596C"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(h)</w:t>
            </w:r>
          </w:p>
        </w:tc>
        <w:tc>
          <w:tcPr>
            <w:tcW w:w="13041" w:type="dxa"/>
          </w:tcPr>
          <w:p w14:paraId="7292571A" w14:textId="77777777" w:rsidR="001929CC" w:rsidRDefault="001929CC" w:rsidP="001929CC">
            <w:pPr>
              <w:pStyle w:val="TableNote"/>
              <w:keepNext/>
              <w:spacing w:before="40" w:after="40"/>
              <w:rPr>
                <w:b/>
                <w:sz w:val="17"/>
                <w:szCs w:val="17"/>
                <w:lang w:eastAsia="en-GB"/>
              </w:rPr>
            </w:pPr>
            <w:r>
              <w:rPr>
                <w:i/>
                <w:sz w:val="17"/>
                <w:szCs w:val="17"/>
              </w:rPr>
              <w:t>Average maturity</w:t>
            </w:r>
            <w:r>
              <w:rPr>
                <w:sz w:val="17"/>
                <w:szCs w:val="17"/>
              </w:rPr>
              <w:t>: the weighted average of obligor maturity within the same PD band (or the same portfolio(s) for rows ‘sub-total’ and ‘total’ as appropriate), presented in years, using the EAD of each obligor as the weight.  This parameter needs to be filled in only when it is used for calculating RWA.</w:t>
            </w:r>
          </w:p>
        </w:tc>
      </w:tr>
      <w:tr w:rsidR="001929CC" w14:paraId="2767CDA8" w14:textId="77777777" w:rsidTr="001929CC">
        <w:trPr>
          <w:cantSplit/>
        </w:trPr>
        <w:tc>
          <w:tcPr>
            <w:tcW w:w="851" w:type="dxa"/>
          </w:tcPr>
          <w:p w14:paraId="59CCF909"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(i)</w:t>
            </w:r>
          </w:p>
        </w:tc>
        <w:tc>
          <w:tcPr>
            <w:tcW w:w="13041" w:type="dxa"/>
          </w:tcPr>
          <w:p w14:paraId="277AA710" w14:textId="77777777" w:rsidR="001929CC" w:rsidRDefault="001929CC" w:rsidP="001929CC">
            <w:pPr>
              <w:pStyle w:val="TableNote"/>
              <w:keepNext/>
              <w:spacing w:before="40" w:after="40"/>
              <w:rPr>
                <w:b/>
                <w:sz w:val="17"/>
                <w:szCs w:val="17"/>
                <w:lang w:eastAsia="en-GB"/>
              </w:rPr>
            </w:pPr>
            <w:r>
              <w:rPr>
                <w:i/>
                <w:sz w:val="17"/>
                <w:szCs w:val="17"/>
                <w:lang w:eastAsia="en-GB"/>
              </w:rPr>
              <w:t>RWA</w:t>
            </w:r>
            <w:r>
              <w:rPr>
                <w:sz w:val="17"/>
                <w:szCs w:val="17"/>
                <w:lang w:eastAsia="en-GB"/>
              </w:rPr>
              <w:t xml:space="preserve">: the </w:t>
            </w:r>
            <w:r>
              <w:rPr>
                <w:rFonts w:cs="Segoe UI"/>
                <w:sz w:val="17"/>
                <w:szCs w:val="17"/>
              </w:rPr>
              <w:t xml:space="preserve">RWA </w:t>
            </w:r>
            <w:r>
              <w:rPr>
                <w:sz w:val="17"/>
                <w:szCs w:val="17"/>
              </w:rPr>
              <w:t>calculated</w:t>
            </w:r>
            <w:r>
              <w:rPr>
                <w:rFonts w:cs="Segoe UI"/>
                <w:sz w:val="17"/>
                <w:szCs w:val="17"/>
              </w:rPr>
              <w:t xml:space="preserve"> in accordance with Part 6 of the BCR.</w:t>
            </w:r>
          </w:p>
        </w:tc>
      </w:tr>
      <w:tr w:rsidR="001929CC" w14:paraId="09CF0A65" w14:textId="77777777" w:rsidTr="001929CC">
        <w:trPr>
          <w:cantSplit/>
        </w:trPr>
        <w:tc>
          <w:tcPr>
            <w:tcW w:w="851" w:type="dxa"/>
          </w:tcPr>
          <w:p w14:paraId="54496C63"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(j)</w:t>
            </w:r>
          </w:p>
        </w:tc>
        <w:tc>
          <w:tcPr>
            <w:tcW w:w="13041" w:type="dxa"/>
          </w:tcPr>
          <w:p w14:paraId="1FD00150" w14:textId="4590985C" w:rsidR="001929CC" w:rsidRDefault="001929CC" w:rsidP="001929CC">
            <w:pPr>
              <w:pStyle w:val="TableNote"/>
              <w:keepNext/>
              <w:spacing w:before="40" w:after="40"/>
              <w:rPr>
                <w:b/>
                <w:sz w:val="17"/>
                <w:szCs w:val="17"/>
                <w:lang w:eastAsia="en-GB"/>
              </w:rPr>
            </w:pPr>
            <w:r>
              <w:rPr>
                <w:i/>
                <w:sz w:val="17"/>
                <w:szCs w:val="17"/>
              </w:rPr>
              <w:t>RWA density</w:t>
            </w:r>
            <w:r>
              <w:rPr>
                <w:sz w:val="17"/>
                <w:szCs w:val="17"/>
              </w:rPr>
              <w:t>: this is derived from total RWA in column (i) divided by EAD post-CRM and post-CCF in column (d).  The resultant ratio should be expressed in percentage.</w:t>
            </w:r>
          </w:p>
        </w:tc>
      </w:tr>
      <w:tr w:rsidR="001929CC" w14:paraId="600526C7" w14:textId="77777777" w:rsidTr="001929CC">
        <w:trPr>
          <w:cantSplit/>
        </w:trPr>
        <w:tc>
          <w:tcPr>
            <w:tcW w:w="851" w:type="dxa"/>
          </w:tcPr>
          <w:p w14:paraId="66CE7E3C"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(k)</w:t>
            </w:r>
          </w:p>
        </w:tc>
        <w:tc>
          <w:tcPr>
            <w:tcW w:w="13041" w:type="dxa"/>
          </w:tcPr>
          <w:p w14:paraId="1ACDB0D2" w14:textId="77777777" w:rsidR="001929CC" w:rsidRDefault="001929CC" w:rsidP="001929CC">
            <w:pPr>
              <w:pStyle w:val="TableNote"/>
              <w:keepNext/>
              <w:spacing w:before="40" w:after="40"/>
              <w:rPr>
                <w:b/>
                <w:sz w:val="17"/>
                <w:szCs w:val="17"/>
                <w:lang w:eastAsia="en-GB"/>
              </w:rPr>
            </w:pPr>
            <w:r>
              <w:rPr>
                <w:i/>
                <w:sz w:val="17"/>
                <w:szCs w:val="17"/>
              </w:rPr>
              <w:t>EL</w:t>
            </w:r>
            <w:r>
              <w:rPr>
                <w:sz w:val="17"/>
                <w:szCs w:val="17"/>
              </w:rPr>
              <w:t>: the expected losses are calculated in accordance with the requirements under Division 11, Part 6 of the BCR.</w:t>
            </w:r>
          </w:p>
        </w:tc>
      </w:tr>
      <w:tr w:rsidR="001929CC" w14:paraId="2B55F43D" w14:textId="77777777" w:rsidTr="001929CC">
        <w:trPr>
          <w:cantSplit/>
        </w:trPr>
        <w:tc>
          <w:tcPr>
            <w:tcW w:w="851" w:type="dxa"/>
          </w:tcPr>
          <w:p w14:paraId="40AD8CDD"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(l)</w:t>
            </w:r>
          </w:p>
        </w:tc>
        <w:tc>
          <w:tcPr>
            <w:tcW w:w="13041" w:type="dxa"/>
          </w:tcPr>
          <w:p w14:paraId="5D01DBB1" w14:textId="77777777" w:rsidR="001929CC" w:rsidRDefault="001929CC" w:rsidP="001929CC">
            <w:pPr>
              <w:pStyle w:val="TableNote"/>
              <w:keepNext/>
              <w:spacing w:before="40" w:after="40"/>
              <w:rPr>
                <w:b/>
                <w:sz w:val="17"/>
                <w:szCs w:val="17"/>
                <w:lang w:eastAsia="en-GB"/>
              </w:rPr>
            </w:pPr>
            <w:r>
              <w:rPr>
                <w:i/>
                <w:sz w:val="17"/>
                <w:szCs w:val="17"/>
              </w:rPr>
              <w:t>Provisions</w:t>
            </w:r>
            <w:r>
              <w:rPr>
                <w:sz w:val="17"/>
                <w:szCs w:val="17"/>
              </w:rPr>
              <w:t>: the eligible provisions as defined under Division 1, Part 6 of the BCR.</w:t>
            </w:r>
          </w:p>
        </w:tc>
      </w:tr>
    </w:tbl>
    <w:p w14:paraId="1B8780F5" w14:textId="77777777" w:rsidR="001929CC" w:rsidRDefault="001929CC" w:rsidP="001929CC">
      <w:pPr>
        <w:spacing w:before="40" w:after="40"/>
        <w:jc w:val="both"/>
        <w:rPr>
          <w:rFonts w:eastAsia="新細明體"/>
          <w:sz w:val="22"/>
          <w:lang w:eastAsia="zh-TW"/>
        </w:rPr>
        <w:sectPr w:rsidR="001929CC">
          <w:footerReference w:type="default" r:id="rId52"/>
          <w:pgSz w:w="16838" w:h="11906" w:orient="landscape" w:code="9"/>
          <w:pgMar w:top="1418" w:right="1440" w:bottom="1276" w:left="1440" w:header="851" w:footer="737" w:gutter="0"/>
          <w:cols w:space="425"/>
          <w:docGrid w:type="linesAndChars" w:linePitch="360"/>
        </w:sectPr>
      </w:pPr>
    </w:p>
    <w:p w14:paraId="3842706B" w14:textId="77777777" w:rsidR="001929CC" w:rsidRDefault="001929CC" w:rsidP="001929CC">
      <w:pPr>
        <w:pStyle w:val="Heading3"/>
        <w:ind w:left="-426"/>
      </w:pPr>
      <w:r>
        <w:lastRenderedPageBreak/>
        <w:t>Template CR7: Effects on RWA of recognized credit derivative contracts used as recognized credit risk mitigation – for IRB approach</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1929CC" w14:paraId="3EDBE8A3" w14:textId="77777777" w:rsidTr="001929CC">
        <w:tc>
          <w:tcPr>
            <w:tcW w:w="2008" w:type="dxa"/>
          </w:tcPr>
          <w:p w14:paraId="67DF7EED" w14:textId="77777777" w:rsidR="001929CC" w:rsidRDefault="001929CC" w:rsidP="001929CC">
            <w:pPr>
              <w:spacing w:before="40" w:after="40"/>
              <w:rPr>
                <w:noProof/>
                <w:sz w:val="17"/>
                <w:lang w:eastAsia="en-GB"/>
              </w:rPr>
            </w:pPr>
            <w:r>
              <w:rPr>
                <w:b/>
                <w:sz w:val="17"/>
                <w:lang w:eastAsia="en-GB"/>
              </w:rPr>
              <w:t>Purpose:</w:t>
            </w:r>
            <w:r>
              <w:rPr>
                <w:sz w:val="17"/>
                <w:lang w:eastAsia="en-GB"/>
              </w:rPr>
              <w:t xml:space="preserve"> </w:t>
            </w:r>
          </w:p>
        </w:tc>
        <w:tc>
          <w:tcPr>
            <w:tcW w:w="7234" w:type="dxa"/>
          </w:tcPr>
          <w:p w14:paraId="041543EF" w14:textId="5731E287" w:rsidR="001929CC" w:rsidRDefault="001929CC" w:rsidP="001929CC">
            <w:pPr>
              <w:pStyle w:val="TableText"/>
              <w:jc w:val="both"/>
              <w:rPr>
                <w:lang w:eastAsia="en-GB"/>
              </w:rPr>
            </w:pPr>
            <w:r>
              <w:rPr>
                <w:lang w:eastAsia="en-GB"/>
              </w:rPr>
              <w:t xml:space="preserve">To disclose the effect of recognized credit derivative contracts on the calculation of credit risk capital requirements under the IRB approach.  The hypothetical RWA before taking into account the mitigation effect of recognized credit derivative contracts (column (a) below) is disclosed to evaluate the impact of recognized credit derivative contracts on RWA.  This is irrespective of how the recognized CRM are taken into account in calculating the RWA. </w:t>
            </w:r>
          </w:p>
        </w:tc>
      </w:tr>
      <w:tr w:rsidR="001929CC" w14:paraId="7B537031" w14:textId="77777777" w:rsidTr="001929CC">
        <w:tc>
          <w:tcPr>
            <w:tcW w:w="2008" w:type="dxa"/>
          </w:tcPr>
          <w:p w14:paraId="157893A1" w14:textId="77777777" w:rsidR="001929CC" w:rsidRDefault="001929CC" w:rsidP="001929CC">
            <w:pPr>
              <w:spacing w:before="40" w:after="40"/>
              <w:rPr>
                <w:b/>
                <w:sz w:val="17"/>
                <w:lang w:eastAsia="en-GB"/>
              </w:rPr>
            </w:pPr>
            <w:r>
              <w:rPr>
                <w:b/>
                <w:sz w:val="17"/>
                <w:lang w:eastAsia="en-GB"/>
              </w:rPr>
              <w:t xml:space="preserve">Scope of application: </w:t>
            </w:r>
          </w:p>
        </w:tc>
        <w:tc>
          <w:tcPr>
            <w:tcW w:w="7234" w:type="dxa"/>
          </w:tcPr>
          <w:p w14:paraId="4DC435DE" w14:textId="77777777" w:rsidR="001929CC" w:rsidRDefault="001929CC" w:rsidP="001929CC">
            <w:pPr>
              <w:spacing w:before="40" w:after="40"/>
              <w:jc w:val="both"/>
              <w:rPr>
                <w:rFonts w:eastAsia="新細明體"/>
                <w:b/>
                <w:sz w:val="17"/>
                <w:lang w:eastAsia="en-GB"/>
              </w:rPr>
            </w:pPr>
            <w:r>
              <w:rPr>
                <w:rFonts w:eastAsia="新細明體"/>
                <w:sz w:val="17"/>
                <w:lang w:eastAsia="en-GB"/>
              </w:rPr>
              <w:t>The template is mandatory for AIs incorporated in Hong Kong that use the IRB calculation approaches for some or all of their exposures.</w:t>
            </w:r>
          </w:p>
        </w:tc>
      </w:tr>
      <w:tr w:rsidR="001929CC" w14:paraId="50EB7E21" w14:textId="77777777" w:rsidTr="001929CC">
        <w:tc>
          <w:tcPr>
            <w:tcW w:w="2008" w:type="dxa"/>
          </w:tcPr>
          <w:p w14:paraId="4B04133E" w14:textId="77777777" w:rsidR="001929CC" w:rsidRDefault="001929CC" w:rsidP="001929CC">
            <w:pPr>
              <w:spacing w:before="40" w:after="40"/>
              <w:rPr>
                <w:b/>
                <w:sz w:val="17"/>
                <w:lang w:eastAsia="en-GB"/>
              </w:rPr>
            </w:pPr>
            <w:r>
              <w:rPr>
                <w:b/>
                <w:sz w:val="17"/>
                <w:lang w:eastAsia="en-GB"/>
              </w:rPr>
              <w:t xml:space="preserve">Content: </w:t>
            </w:r>
          </w:p>
        </w:tc>
        <w:tc>
          <w:tcPr>
            <w:tcW w:w="7234" w:type="dxa"/>
          </w:tcPr>
          <w:p w14:paraId="76630CB5" w14:textId="77777777" w:rsidR="001929CC" w:rsidRDefault="001929CC" w:rsidP="001929CC">
            <w:pPr>
              <w:spacing w:before="40" w:after="40"/>
              <w:jc w:val="both"/>
              <w:rPr>
                <w:rFonts w:eastAsia="新細明體"/>
                <w:b/>
                <w:sz w:val="17"/>
                <w:lang w:eastAsia="en-GB"/>
              </w:rPr>
            </w:pPr>
            <w:r>
              <w:rPr>
                <w:rFonts w:eastAsia="新細明體"/>
                <w:sz w:val="17"/>
                <w:lang w:eastAsia="en-GB"/>
              </w:rPr>
              <w:t>RWA.</w:t>
            </w:r>
          </w:p>
        </w:tc>
      </w:tr>
      <w:tr w:rsidR="001929CC" w14:paraId="6A32256A" w14:textId="77777777" w:rsidTr="001929CC">
        <w:tc>
          <w:tcPr>
            <w:tcW w:w="2008" w:type="dxa"/>
          </w:tcPr>
          <w:p w14:paraId="755293EC" w14:textId="77777777" w:rsidR="001929CC" w:rsidRDefault="001929CC" w:rsidP="001929CC">
            <w:pPr>
              <w:spacing w:before="40" w:after="40"/>
              <w:rPr>
                <w:sz w:val="17"/>
                <w:lang w:eastAsia="en-GB"/>
              </w:rPr>
            </w:pPr>
            <w:r>
              <w:rPr>
                <w:b/>
                <w:sz w:val="17"/>
                <w:lang w:eastAsia="en-GB"/>
              </w:rPr>
              <w:t>Frequency:</w:t>
            </w:r>
            <w:r>
              <w:rPr>
                <w:sz w:val="17"/>
                <w:lang w:eastAsia="en-GB"/>
              </w:rPr>
              <w:t xml:space="preserve"> </w:t>
            </w:r>
          </w:p>
        </w:tc>
        <w:tc>
          <w:tcPr>
            <w:tcW w:w="7234" w:type="dxa"/>
          </w:tcPr>
          <w:p w14:paraId="7C01C010" w14:textId="77777777" w:rsidR="001929CC" w:rsidRDefault="001929CC" w:rsidP="001929CC">
            <w:pPr>
              <w:pStyle w:val="TableText"/>
              <w:jc w:val="both"/>
              <w:rPr>
                <w:lang w:eastAsia="en-GB"/>
              </w:rPr>
            </w:pPr>
            <w:r>
              <w:rPr>
                <w:lang w:eastAsia="en-GB"/>
              </w:rPr>
              <w:t>Semi-annual.</w:t>
            </w:r>
          </w:p>
        </w:tc>
      </w:tr>
      <w:tr w:rsidR="001929CC" w14:paraId="700B01F2" w14:textId="77777777" w:rsidTr="001929CC">
        <w:tc>
          <w:tcPr>
            <w:tcW w:w="2008" w:type="dxa"/>
          </w:tcPr>
          <w:p w14:paraId="20D23A3D" w14:textId="77777777" w:rsidR="001929CC" w:rsidRDefault="001929CC" w:rsidP="001929CC">
            <w:pPr>
              <w:spacing w:before="40" w:after="40"/>
              <w:rPr>
                <w:sz w:val="17"/>
                <w:lang w:eastAsia="en-GB"/>
              </w:rPr>
            </w:pPr>
            <w:r>
              <w:rPr>
                <w:b/>
                <w:sz w:val="17"/>
                <w:lang w:eastAsia="en-GB"/>
              </w:rPr>
              <w:t>Format:</w:t>
            </w:r>
            <w:r>
              <w:rPr>
                <w:sz w:val="17"/>
                <w:lang w:eastAsia="en-GB"/>
              </w:rPr>
              <w:t xml:space="preserve"> </w:t>
            </w:r>
          </w:p>
        </w:tc>
        <w:tc>
          <w:tcPr>
            <w:tcW w:w="7234" w:type="dxa"/>
          </w:tcPr>
          <w:p w14:paraId="3C10EAC3" w14:textId="77777777" w:rsidR="001929CC" w:rsidRDefault="001929CC" w:rsidP="001929CC">
            <w:pPr>
              <w:pStyle w:val="TableText"/>
              <w:jc w:val="both"/>
              <w:rPr>
                <w:lang w:eastAsia="en-GB"/>
              </w:rPr>
            </w:pPr>
            <w:r>
              <w:rPr>
                <w:lang w:eastAsia="en-GB"/>
              </w:rPr>
              <w:t>Fixed.  Columns are fixed and the IRB class and subclass breakdown in the rows should follow the classification of exposures specified in Table 16, section 142 of the BCR.</w:t>
            </w:r>
          </w:p>
        </w:tc>
      </w:tr>
      <w:tr w:rsidR="001929CC" w14:paraId="29704062" w14:textId="77777777" w:rsidTr="001929CC">
        <w:tc>
          <w:tcPr>
            <w:tcW w:w="2008" w:type="dxa"/>
          </w:tcPr>
          <w:p w14:paraId="71568936" w14:textId="77777777" w:rsidR="001929CC" w:rsidRDefault="001929CC" w:rsidP="001929CC">
            <w:pPr>
              <w:spacing w:before="40" w:after="40"/>
              <w:rPr>
                <w:b/>
                <w:sz w:val="17"/>
                <w:lang w:eastAsia="en-GB"/>
              </w:rPr>
            </w:pPr>
            <w:r>
              <w:rPr>
                <w:rFonts w:eastAsia="新細明體"/>
                <w:b/>
                <w:sz w:val="17"/>
                <w:szCs w:val="17"/>
                <w:lang w:eastAsia="en-GB"/>
              </w:rPr>
              <w:t>Accompanying narrative</w:t>
            </w:r>
            <w:r>
              <w:rPr>
                <w:rFonts w:eastAsia="新細明體"/>
                <w:sz w:val="17"/>
                <w:szCs w:val="17"/>
                <w:lang w:eastAsia="en-GB"/>
              </w:rPr>
              <w:t>:</w:t>
            </w:r>
          </w:p>
        </w:tc>
        <w:tc>
          <w:tcPr>
            <w:tcW w:w="7234" w:type="dxa"/>
          </w:tcPr>
          <w:p w14:paraId="1FDAD6D4" w14:textId="77777777" w:rsidR="001929CC" w:rsidRDefault="001929CC" w:rsidP="001929CC">
            <w:pPr>
              <w:pStyle w:val="TableText"/>
              <w:jc w:val="both"/>
              <w:rPr>
                <w:noProof/>
                <w:lang w:eastAsia="en-GB"/>
              </w:rPr>
            </w:pPr>
            <w:r>
              <w:rPr>
                <w:lang w:eastAsia="en-GB"/>
              </w:rPr>
              <w:t xml:space="preserve">An AI should supplement the template with a narrative commentary to explain the effect on RWA of recognized credit derivative contracts used as credit risk mitigation. </w:t>
            </w:r>
          </w:p>
        </w:tc>
      </w:tr>
      <w:tr w:rsidR="001929CC" w14:paraId="552416D3" w14:textId="77777777" w:rsidTr="001929CC">
        <w:tc>
          <w:tcPr>
            <w:tcW w:w="2008" w:type="dxa"/>
          </w:tcPr>
          <w:p w14:paraId="5262C060" w14:textId="77777777" w:rsidR="001929CC" w:rsidRDefault="001929CC" w:rsidP="001929CC">
            <w:pPr>
              <w:spacing w:before="40" w:after="40"/>
              <w:rPr>
                <w:rFonts w:eastAsia="新細明體"/>
                <w:b/>
                <w:sz w:val="17"/>
                <w:szCs w:val="17"/>
                <w:lang w:eastAsia="en-GB"/>
              </w:rPr>
            </w:pPr>
            <w:r>
              <w:rPr>
                <w:rFonts w:eastAsia="新細明體"/>
                <w:b/>
                <w:sz w:val="17"/>
                <w:szCs w:val="17"/>
                <w:lang w:eastAsia="en-GB"/>
              </w:rPr>
              <w:t>Corresponding BDR section:</w:t>
            </w:r>
          </w:p>
        </w:tc>
        <w:tc>
          <w:tcPr>
            <w:tcW w:w="7234" w:type="dxa"/>
          </w:tcPr>
          <w:p w14:paraId="317AF55F" w14:textId="77777777" w:rsidR="001929CC" w:rsidRDefault="001929CC" w:rsidP="001929CC">
            <w:pPr>
              <w:pStyle w:val="TableText"/>
              <w:jc w:val="both"/>
              <w:rPr>
                <w:lang w:eastAsia="en-GB"/>
              </w:rPr>
            </w:pPr>
            <w:r>
              <w:rPr>
                <w:lang w:eastAsia="en-GB"/>
              </w:rPr>
              <w:t>16R</w:t>
            </w:r>
          </w:p>
        </w:tc>
      </w:tr>
    </w:tbl>
    <w:p w14:paraId="648C8A45" w14:textId="77777777" w:rsidR="001929CC" w:rsidRDefault="001929CC" w:rsidP="001929CC">
      <w:pPr>
        <w:spacing w:before="120" w:after="120"/>
        <w:rPr>
          <w:sz w:val="22"/>
        </w:rPr>
      </w:pPr>
    </w:p>
    <w:tbl>
      <w:tblPr>
        <w:tblW w:w="9214" w:type="dxa"/>
        <w:tblInd w:w="-567" w:type="dxa"/>
        <w:tblBorders>
          <w:top w:val="single" w:sz="8" w:space="0" w:color="BCBDBC"/>
          <w:left w:val="single" w:sz="8" w:space="0" w:color="BCBDBC"/>
          <w:bottom w:val="single" w:sz="8" w:space="0" w:color="BCBDBC"/>
          <w:right w:val="single" w:sz="8" w:space="0" w:color="BCBDBC"/>
          <w:insideH w:val="single" w:sz="6" w:space="0" w:color="BCBDBC"/>
          <w:insideV w:val="single" w:sz="6" w:space="0" w:color="BCBDBC"/>
        </w:tblBorders>
        <w:tblLayout w:type="fixed"/>
        <w:tblCellMar>
          <w:left w:w="0" w:type="dxa"/>
          <w:right w:w="0" w:type="dxa"/>
        </w:tblCellMar>
        <w:tblLook w:val="00A0" w:firstRow="1" w:lastRow="0" w:firstColumn="1" w:lastColumn="0" w:noHBand="0" w:noVBand="0"/>
      </w:tblPr>
      <w:tblGrid>
        <w:gridCol w:w="609"/>
        <w:gridCol w:w="5912"/>
        <w:gridCol w:w="1346"/>
        <w:gridCol w:w="1347"/>
      </w:tblGrid>
      <w:tr w:rsidR="001929CC" w14:paraId="6F4EB6D9" w14:textId="77777777" w:rsidTr="001929CC">
        <w:trPr>
          <w:trHeight w:val="263"/>
          <w:tblHeader/>
        </w:trPr>
        <w:tc>
          <w:tcPr>
            <w:tcW w:w="6521" w:type="dxa"/>
            <w:gridSpan w:val="2"/>
            <w:tcBorders>
              <w:top w:val="nil"/>
              <w:left w:val="nil"/>
              <w:bottom w:val="nil"/>
              <w:right w:val="single" w:sz="4" w:space="0" w:color="auto"/>
            </w:tcBorders>
            <w:vAlign w:val="center"/>
          </w:tcPr>
          <w:p w14:paraId="7EA16F4D" w14:textId="77777777" w:rsidR="001929CC" w:rsidRDefault="001929CC" w:rsidP="001929CC">
            <w:pPr>
              <w:pStyle w:val="TableText"/>
              <w:snapToGrid w:val="0"/>
              <w:rPr>
                <w:lang w:eastAsia="it-IT"/>
              </w:rPr>
            </w:pPr>
          </w:p>
        </w:tc>
        <w:tc>
          <w:tcPr>
            <w:tcW w:w="1346" w:type="dxa"/>
            <w:tcBorders>
              <w:top w:val="single" w:sz="6" w:space="0" w:color="auto"/>
              <w:left w:val="single" w:sz="6" w:space="0" w:color="auto"/>
              <w:bottom w:val="single" w:sz="6" w:space="0" w:color="auto"/>
              <w:right w:val="single" w:sz="6" w:space="0" w:color="auto"/>
            </w:tcBorders>
            <w:vAlign w:val="center"/>
          </w:tcPr>
          <w:p w14:paraId="1237CEF1" w14:textId="77777777" w:rsidR="001929CC" w:rsidRDefault="001929CC" w:rsidP="001929CC">
            <w:pPr>
              <w:pStyle w:val="TableText"/>
              <w:snapToGrid w:val="0"/>
              <w:jc w:val="center"/>
              <w:rPr>
                <w:bCs/>
                <w:lang w:eastAsia="it-IT"/>
              </w:rPr>
            </w:pPr>
            <w:r>
              <w:rPr>
                <w:bCs/>
                <w:lang w:eastAsia="it-IT"/>
              </w:rPr>
              <w:t>(a)</w:t>
            </w:r>
          </w:p>
        </w:tc>
        <w:tc>
          <w:tcPr>
            <w:tcW w:w="1347" w:type="dxa"/>
            <w:tcBorders>
              <w:top w:val="single" w:sz="6" w:space="0" w:color="auto"/>
              <w:left w:val="single" w:sz="6" w:space="0" w:color="auto"/>
              <w:bottom w:val="single" w:sz="6" w:space="0" w:color="auto"/>
              <w:right w:val="single" w:sz="4" w:space="0" w:color="auto"/>
            </w:tcBorders>
            <w:vAlign w:val="center"/>
          </w:tcPr>
          <w:p w14:paraId="020AB1AC" w14:textId="77777777" w:rsidR="001929CC" w:rsidRDefault="001929CC" w:rsidP="001929CC">
            <w:pPr>
              <w:pStyle w:val="TableText"/>
              <w:snapToGrid w:val="0"/>
              <w:jc w:val="center"/>
              <w:rPr>
                <w:bCs/>
                <w:lang w:eastAsia="it-IT"/>
              </w:rPr>
            </w:pPr>
            <w:r>
              <w:rPr>
                <w:bCs/>
                <w:lang w:eastAsia="it-IT"/>
              </w:rPr>
              <w:t>(b)</w:t>
            </w:r>
          </w:p>
        </w:tc>
      </w:tr>
      <w:tr w:rsidR="001929CC" w14:paraId="48CDD3A2" w14:textId="77777777" w:rsidTr="001929CC">
        <w:trPr>
          <w:trHeight w:val="528"/>
          <w:tblHeader/>
        </w:trPr>
        <w:tc>
          <w:tcPr>
            <w:tcW w:w="6521" w:type="dxa"/>
            <w:gridSpan w:val="2"/>
            <w:tcBorders>
              <w:top w:val="nil"/>
              <w:left w:val="nil"/>
              <w:bottom w:val="single" w:sz="6" w:space="0" w:color="auto"/>
              <w:right w:val="single" w:sz="6" w:space="0" w:color="auto"/>
            </w:tcBorders>
            <w:vAlign w:val="center"/>
          </w:tcPr>
          <w:p w14:paraId="39C998D9" w14:textId="77777777" w:rsidR="001929CC" w:rsidRDefault="001929CC" w:rsidP="001929CC">
            <w:pPr>
              <w:pStyle w:val="TableText"/>
              <w:snapToGrid w:val="0"/>
              <w:rPr>
                <w:lang w:eastAsia="it-IT"/>
              </w:rPr>
            </w:pPr>
          </w:p>
        </w:tc>
        <w:tc>
          <w:tcPr>
            <w:tcW w:w="1346" w:type="dxa"/>
            <w:tcBorders>
              <w:top w:val="single" w:sz="6" w:space="0" w:color="auto"/>
              <w:left w:val="single" w:sz="6" w:space="0" w:color="auto"/>
              <w:bottom w:val="single" w:sz="6" w:space="0" w:color="auto"/>
              <w:right w:val="single" w:sz="6" w:space="0" w:color="auto"/>
            </w:tcBorders>
            <w:vAlign w:val="center"/>
          </w:tcPr>
          <w:p w14:paraId="05F98A89" w14:textId="77777777" w:rsidR="001929CC" w:rsidRDefault="001929CC" w:rsidP="001929CC">
            <w:pPr>
              <w:pStyle w:val="TableText"/>
              <w:snapToGrid w:val="0"/>
              <w:jc w:val="center"/>
              <w:rPr>
                <w:b/>
                <w:bCs/>
                <w:noProof/>
                <w:lang w:eastAsia="it-IT"/>
              </w:rPr>
            </w:pPr>
            <w:r>
              <w:rPr>
                <w:lang w:eastAsia="it-IT"/>
              </w:rPr>
              <w:t xml:space="preserve">Pre-credit derivatives RWA </w:t>
            </w:r>
          </w:p>
        </w:tc>
        <w:tc>
          <w:tcPr>
            <w:tcW w:w="1347" w:type="dxa"/>
            <w:tcBorders>
              <w:top w:val="single" w:sz="6" w:space="0" w:color="auto"/>
              <w:left w:val="single" w:sz="6" w:space="0" w:color="auto"/>
              <w:bottom w:val="single" w:sz="6" w:space="0" w:color="auto"/>
              <w:right w:val="single" w:sz="4" w:space="0" w:color="auto"/>
            </w:tcBorders>
            <w:vAlign w:val="center"/>
          </w:tcPr>
          <w:p w14:paraId="51446B1B" w14:textId="77777777" w:rsidR="001929CC" w:rsidRDefault="001929CC" w:rsidP="001929CC">
            <w:pPr>
              <w:pStyle w:val="TableText"/>
              <w:snapToGrid w:val="0"/>
              <w:jc w:val="center"/>
              <w:rPr>
                <w:b/>
                <w:bCs/>
                <w:noProof/>
                <w:lang w:eastAsia="it-IT"/>
              </w:rPr>
            </w:pPr>
            <w:r>
              <w:rPr>
                <w:lang w:eastAsia="it-IT"/>
              </w:rPr>
              <w:t>Actual RWA</w:t>
            </w:r>
          </w:p>
        </w:tc>
      </w:tr>
      <w:tr w:rsidR="001929CC" w14:paraId="3EFD300C" w14:textId="77777777" w:rsidTr="001929CC">
        <w:trPr>
          <w:cantSplit/>
          <w:trHeight w:val="285"/>
        </w:trPr>
        <w:tc>
          <w:tcPr>
            <w:tcW w:w="609" w:type="dxa"/>
            <w:tcBorders>
              <w:top w:val="single" w:sz="6" w:space="0" w:color="auto"/>
              <w:left w:val="nil"/>
              <w:bottom w:val="single" w:sz="6" w:space="0" w:color="BCBDBC"/>
              <w:right w:val="single" w:sz="6" w:space="0" w:color="auto"/>
            </w:tcBorders>
          </w:tcPr>
          <w:p w14:paraId="1B3CCC1D" w14:textId="77777777" w:rsidR="001929CC" w:rsidRDefault="001929CC" w:rsidP="001929CC">
            <w:pPr>
              <w:pStyle w:val="TableText"/>
              <w:snapToGrid w:val="0"/>
              <w:ind w:left="57"/>
              <w:rPr>
                <w:sz w:val="16"/>
                <w:szCs w:val="16"/>
                <w:lang w:eastAsia="en-GB"/>
              </w:rPr>
            </w:pPr>
            <w:r>
              <w:rPr>
                <w:sz w:val="16"/>
                <w:szCs w:val="16"/>
                <w:lang w:eastAsia="en-GB"/>
              </w:rPr>
              <w:t>1</w:t>
            </w:r>
          </w:p>
        </w:tc>
        <w:tc>
          <w:tcPr>
            <w:tcW w:w="5912" w:type="dxa"/>
            <w:tcBorders>
              <w:top w:val="single" w:sz="6" w:space="0" w:color="auto"/>
              <w:left w:val="single" w:sz="6" w:space="0" w:color="auto"/>
              <w:bottom w:val="single" w:sz="6" w:space="0" w:color="BCBDBC"/>
              <w:right w:val="single" w:sz="6" w:space="0" w:color="auto"/>
            </w:tcBorders>
          </w:tcPr>
          <w:p w14:paraId="066F3B59" w14:textId="2FCC3E78" w:rsidR="001929CC" w:rsidRDefault="001929CC" w:rsidP="001929CC">
            <w:pPr>
              <w:pStyle w:val="TableText"/>
              <w:snapToGrid w:val="0"/>
              <w:ind w:left="57" w:rightChars="71" w:right="142"/>
              <w:rPr>
                <w:lang w:eastAsia="it-IT"/>
              </w:rPr>
            </w:pPr>
            <w:r>
              <w:rPr>
                <w:lang w:eastAsia="it-IT"/>
              </w:rPr>
              <w:t>Corporate – Specialized lending (project finance)</w:t>
            </w:r>
          </w:p>
        </w:tc>
        <w:tc>
          <w:tcPr>
            <w:tcW w:w="1346" w:type="dxa"/>
            <w:tcBorders>
              <w:top w:val="single" w:sz="6" w:space="0" w:color="auto"/>
              <w:left w:val="single" w:sz="6" w:space="0" w:color="auto"/>
              <w:bottom w:val="single" w:sz="6" w:space="0" w:color="BCBDBC"/>
              <w:right w:val="single" w:sz="6" w:space="0" w:color="auto"/>
            </w:tcBorders>
          </w:tcPr>
          <w:p w14:paraId="74446B65" w14:textId="77777777" w:rsidR="001929CC" w:rsidRDefault="001929CC" w:rsidP="001929CC">
            <w:pPr>
              <w:pStyle w:val="TableText"/>
              <w:snapToGrid w:val="0"/>
              <w:rPr>
                <w:lang w:eastAsia="it-IT"/>
              </w:rPr>
            </w:pPr>
          </w:p>
        </w:tc>
        <w:tc>
          <w:tcPr>
            <w:tcW w:w="1347" w:type="dxa"/>
            <w:tcBorders>
              <w:top w:val="single" w:sz="6" w:space="0" w:color="auto"/>
              <w:left w:val="single" w:sz="6" w:space="0" w:color="auto"/>
              <w:bottom w:val="single" w:sz="6" w:space="0" w:color="BCBDBC"/>
              <w:right w:val="single" w:sz="4" w:space="0" w:color="auto"/>
            </w:tcBorders>
          </w:tcPr>
          <w:p w14:paraId="7FD8E604" w14:textId="77777777" w:rsidR="001929CC" w:rsidRDefault="001929CC" w:rsidP="001929CC">
            <w:pPr>
              <w:pStyle w:val="TableText"/>
              <w:snapToGrid w:val="0"/>
              <w:rPr>
                <w:lang w:eastAsia="it-IT"/>
              </w:rPr>
            </w:pPr>
          </w:p>
        </w:tc>
      </w:tr>
      <w:tr w:rsidR="001929CC" w14:paraId="6667286D"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12291B4C" w14:textId="77777777" w:rsidR="001929CC" w:rsidRDefault="001929CC" w:rsidP="001929CC">
            <w:pPr>
              <w:pStyle w:val="TableText"/>
              <w:snapToGrid w:val="0"/>
              <w:ind w:left="57"/>
              <w:rPr>
                <w:sz w:val="16"/>
                <w:szCs w:val="16"/>
                <w:lang w:eastAsia="en-GB"/>
              </w:rPr>
            </w:pPr>
            <w:r>
              <w:rPr>
                <w:sz w:val="16"/>
                <w:szCs w:val="16"/>
                <w:lang w:eastAsia="en-GB"/>
              </w:rPr>
              <w:t>2</w:t>
            </w:r>
          </w:p>
        </w:tc>
        <w:tc>
          <w:tcPr>
            <w:tcW w:w="5912" w:type="dxa"/>
            <w:tcBorders>
              <w:top w:val="single" w:sz="6" w:space="0" w:color="BCBDBC"/>
              <w:left w:val="single" w:sz="6" w:space="0" w:color="auto"/>
              <w:bottom w:val="single" w:sz="6" w:space="0" w:color="BCBDBC"/>
              <w:right w:val="single" w:sz="6" w:space="0" w:color="auto"/>
            </w:tcBorders>
          </w:tcPr>
          <w:p w14:paraId="4E08EB68" w14:textId="49854AE0" w:rsidR="001929CC" w:rsidRDefault="001929CC" w:rsidP="001929CC">
            <w:pPr>
              <w:pStyle w:val="TableText"/>
              <w:snapToGrid w:val="0"/>
              <w:ind w:left="57" w:rightChars="71" w:right="142"/>
              <w:rPr>
                <w:lang w:eastAsia="it-IT"/>
              </w:rPr>
            </w:pPr>
            <w:r>
              <w:rPr>
                <w:lang w:eastAsia="it-IT"/>
              </w:rPr>
              <w:t>Corporate – Specialized lending (object finance)</w:t>
            </w:r>
          </w:p>
        </w:tc>
        <w:tc>
          <w:tcPr>
            <w:tcW w:w="1346" w:type="dxa"/>
            <w:tcBorders>
              <w:top w:val="single" w:sz="6" w:space="0" w:color="BCBDBC"/>
              <w:left w:val="single" w:sz="6" w:space="0" w:color="auto"/>
              <w:bottom w:val="single" w:sz="6" w:space="0" w:color="BCBDBC"/>
              <w:right w:val="single" w:sz="6" w:space="0" w:color="auto"/>
            </w:tcBorders>
          </w:tcPr>
          <w:p w14:paraId="473BC27B"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5AA0D062" w14:textId="77777777" w:rsidR="001929CC" w:rsidRDefault="001929CC" w:rsidP="001929CC">
            <w:pPr>
              <w:pStyle w:val="TableText"/>
              <w:snapToGrid w:val="0"/>
              <w:rPr>
                <w:lang w:eastAsia="it-IT"/>
              </w:rPr>
            </w:pPr>
          </w:p>
        </w:tc>
      </w:tr>
      <w:tr w:rsidR="001929CC" w14:paraId="6D2FC3E7"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1E86BBDC" w14:textId="77777777" w:rsidR="001929CC" w:rsidRDefault="001929CC" w:rsidP="001929CC">
            <w:pPr>
              <w:pStyle w:val="TableText"/>
              <w:snapToGrid w:val="0"/>
              <w:ind w:left="57"/>
              <w:rPr>
                <w:sz w:val="16"/>
                <w:szCs w:val="16"/>
                <w:lang w:eastAsia="en-GB"/>
              </w:rPr>
            </w:pPr>
            <w:r>
              <w:rPr>
                <w:sz w:val="16"/>
                <w:szCs w:val="16"/>
                <w:lang w:eastAsia="en-GB"/>
              </w:rPr>
              <w:t>3</w:t>
            </w:r>
          </w:p>
        </w:tc>
        <w:tc>
          <w:tcPr>
            <w:tcW w:w="5912" w:type="dxa"/>
            <w:tcBorders>
              <w:top w:val="single" w:sz="6" w:space="0" w:color="BCBDBC"/>
              <w:left w:val="single" w:sz="6" w:space="0" w:color="auto"/>
              <w:bottom w:val="single" w:sz="6" w:space="0" w:color="BCBDBC"/>
              <w:right w:val="single" w:sz="6" w:space="0" w:color="auto"/>
            </w:tcBorders>
          </w:tcPr>
          <w:p w14:paraId="31E1ADBB" w14:textId="19963F94" w:rsidR="001929CC" w:rsidRDefault="001929CC" w:rsidP="001929CC">
            <w:pPr>
              <w:pStyle w:val="TableText"/>
              <w:snapToGrid w:val="0"/>
              <w:ind w:left="57" w:rightChars="71" w:right="142"/>
              <w:rPr>
                <w:lang w:eastAsia="it-IT"/>
              </w:rPr>
            </w:pPr>
            <w:r>
              <w:rPr>
                <w:lang w:eastAsia="it-IT"/>
              </w:rPr>
              <w:t>Corporate – Specialized lending (commodities finance)</w:t>
            </w:r>
          </w:p>
        </w:tc>
        <w:tc>
          <w:tcPr>
            <w:tcW w:w="1346" w:type="dxa"/>
            <w:tcBorders>
              <w:top w:val="single" w:sz="6" w:space="0" w:color="BCBDBC"/>
              <w:left w:val="single" w:sz="6" w:space="0" w:color="auto"/>
              <w:bottom w:val="single" w:sz="6" w:space="0" w:color="BCBDBC"/>
              <w:right w:val="single" w:sz="6" w:space="0" w:color="auto"/>
            </w:tcBorders>
          </w:tcPr>
          <w:p w14:paraId="39D2AB5C"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6204CCC0" w14:textId="77777777" w:rsidR="001929CC" w:rsidRDefault="001929CC" w:rsidP="001929CC">
            <w:pPr>
              <w:pStyle w:val="TableText"/>
              <w:snapToGrid w:val="0"/>
              <w:rPr>
                <w:lang w:eastAsia="it-IT"/>
              </w:rPr>
            </w:pPr>
          </w:p>
        </w:tc>
      </w:tr>
      <w:tr w:rsidR="001929CC" w14:paraId="3F94D69E"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5C7B732C" w14:textId="77777777" w:rsidR="001929CC" w:rsidRDefault="001929CC" w:rsidP="001929CC">
            <w:pPr>
              <w:pStyle w:val="TableText"/>
              <w:snapToGrid w:val="0"/>
              <w:ind w:left="57"/>
              <w:rPr>
                <w:sz w:val="16"/>
                <w:szCs w:val="16"/>
                <w:lang w:eastAsia="en-GB"/>
              </w:rPr>
            </w:pPr>
            <w:r>
              <w:rPr>
                <w:sz w:val="16"/>
                <w:szCs w:val="16"/>
                <w:lang w:eastAsia="en-GB"/>
              </w:rPr>
              <w:t>4</w:t>
            </w:r>
          </w:p>
        </w:tc>
        <w:tc>
          <w:tcPr>
            <w:tcW w:w="5912" w:type="dxa"/>
            <w:tcBorders>
              <w:top w:val="single" w:sz="6" w:space="0" w:color="BCBDBC"/>
              <w:left w:val="single" w:sz="6" w:space="0" w:color="auto"/>
              <w:bottom w:val="single" w:sz="6" w:space="0" w:color="BCBDBC"/>
              <w:right w:val="single" w:sz="6" w:space="0" w:color="auto"/>
            </w:tcBorders>
          </w:tcPr>
          <w:p w14:paraId="06FE3B60" w14:textId="3411E031" w:rsidR="001929CC" w:rsidRDefault="001929CC" w:rsidP="001929CC">
            <w:pPr>
              <w:pStyle w:val="TableText"/>
              <w:snapToGrid w:val="0"/>
              <w:ind w:left="57" w:rightChars="71" w:right="142"/>
              <w:rPr>
                <w:lang w:eastAsia="it-IT"/>
              </w:rPr>
            </w:pPr>
            <w:r>
              <w:rPr>
                <w:lang w:eastAsia="it-IT"/>
              </w:rPr>
              <w:t>Corporate – Specialized lending (income-producing real estate)</w:t>
            </w:r>
          </w:p>
        </w:tc>
        <w:tc>
          <w:tcPr>
            <w:tcW w:w="1346" w:type="dxa"/>
            <w:tcBorders>
              <w:top w:val="single" w:sz="6" w:space="0" w:color="BCBDBC"/>
              <w:left w:val="single" w:sz="6" w:space="0" w:color="auto"/>
              <w:bottom w:val="single" w:sz="6" w:space="0" w:color="BCBDBC"/>
              <w:right w:val="single" w:sz="6" w:space="0" w:color="auto"/>
            </w:tcBorders>
          </w:tcPr>
          <w:p w14:paraId="623883ED"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2D2A01D3" w14:textId="77777777" w:rsidR="001929CC" w:rsidRDefault="001929CC" w:rsidP="001929CC">
            <w:pPr>
              <w:pStyle w:val="TableText"/>
              <w:snapToGrid w:val="0"/>
              <w:rPr>
                <w:lang w:eastAsia="it-IT"/>
              </w:rPr>
            </w:pPr>
          </w:p>
        </w:tc>
      </w:tr>
      <w:tr w:rsidR="001929CC" w14:paraId="5E900E66"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4BFA3281" w14:textId="77777777" w:rsidR="001929CC" w:rsidRDefault="001929CC" w:rsidP="001929CC">
            <w:pPr>
              <w:pStyle w:val="TableText"/>
              <w:snapToGrid w:val="0"/>
              <w:ind w:left="57"/>
              <w:rPr>
                <w:sz w:val="16"/>
                <w:szCs w:val="16"/>
                <w:lang w:eastAsia="en-GB"/>
              </w:rPr>
            </w:pPr>
            <w:r>
              <w:rPr>
                <w:sz w:val="16"/>
                <w:szCs w:val="16"/>
                <w:lang w:eastAsia="en-GB"/>
              </w:rPr>
              <w:t>5</w:t>
            </w:r>
          </w:p>
        </w:tc>
        <w:tc>
          <w:tcPr>
            <w:tcW w:w="5912" w:type="dxa"/>
            <w:tcBorders>
              <w:top w:val="single" w:sz="6" w:space="0" w:color="BCBDBC"/>
              <w:left w:val="single" w:sz="6" w:space="0" w:color="auto"/>
              <w:bottom w:val="single" w:sz="6" w:space="0" w:color="BCBDBC"/>
              <w:right w:val="single" w:sz="6" w:space="0" w:color="auto"/>
            </w:tcBorders>
          </w:tcPr>
          <w:p w14:paraId="5870672A" w14:textId="77777777" w:rsidR="001929CC" w:rsidRDefault="001929CC" w:rsidP="001929CC">
            <w:pPr>
              <w:pStyle w:val="TableText"/>
              <w:snapToGrid w:val="0"/>
              <w:ind w:left="57" w:rightChars="71" w:right="142"/>
              <w:rPr>
                <w:lang w:eastAsia="it-IT"/>
              </w:rPr>
            </w:pPr>
            <w:r>
              <w:rPr>
                <w:lang w:eastAsia="it-IT"/>
              </w:rPr>
              <w:t>Corporate – Specialized lending (high-volatility commercial real estate)</w:t>
            </w:r>
          </w:p>
        </w:tc>
        <w:tc>
          <w:tcPr>
            <w:tcW w:w="1346" w:type="dxa"/>
            <w:tcBorders>
              <w:top w:val="single" w:sz="6" w:space="0" w:color="BCBDBC"/>
              <w:left w:val="single" w:sz="6" w:space="0" w:color="auto"/>
              <w:bottom w:val="single" w:sz="6" w:space="0" w:color="BCBDBC"/>
              <w:right w:val="single" w:sz="6" w:space="0" w:color="auto"/>
            </w:tcBorders>
          </w:tcPr>
          <w:p w14:paraId="6B328A1A"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0CE8EB1A" w14:textId="77777777" w:rsidR="001929CC" w:rsidRDefault="001929CC" w:rsidP="001929CC">
            <w:pPr>
              <w:pStyle w:val="TableText"/>
              <w:snapToGrid w:val="0"/>
              <w:rPr>
                <w:lang w:eastAsia="it-IT"/>
              </w:rPr>
            </w:pPr>
          </w:p>
        </w:tc>
      </w:tr>
      <w:tr w:rsidR="001929CC" w14:paraId="68F4327E"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5785439B" w14:textId="77777777" w:rsidR="001929CC" w:rsidRDefault="001929CC" w:rsidP="001929CC">
            <w:pPr>
              <w:pStyle w:val="TableText"/>
              <w:snapToGrid w:val="0"/>
              <w:ind w:left="57"/>
              <w:rPr>
                <w:sz w:val="16"/>
                <w:szCs w:val="16"/>
                <w:lang w:eastAsia="en-GB"/>
              </w:rPr>
            </w:pPr>
            <w:r>
              <w:rPr>
                <w:sz w:val="16"/>
                <w:szCs w:val="16"/>
                <w:lang w:eastAsia="en-GB"/>
              </w:rPr>
              <w:t>6</w:t>
            </w:r>
          </w:p>
        </w:tc>
        <w:tc>
          <w:tcPr>
            <w:tcW w:w="5912" w:type="dxa"/>
            <w:tcBorders>
              <w:top w:val="single" w:sz="6" w:space="0" w:color="BCBDBC"/>
              <w:left w:val="single" w:sz="6" w:space="0" w:color="auto"/>
              <w:bottom w:val="single" w:sz="6" w:space="0" w:color="BCBDBC"/>
              <w:right w:val="single" w:sz="6" w:space="0" w:color="auto"/>
            </w:tcBorders>
          </w:tcPr>
          <w:p w14:paraId="2E7F885F" w14:textId="77777777" w:rsidR="001929CC" w:rsidRDefault="001929CC" w:rsidP="001929CC">
            <w:pPr>
              <w:pStyle w:val="TableText"/>
              <w:snapToGrid w:val="0"/>
              <w:ind w:left="57" w:rightChars="71" w:right="142"/>
              <w:rPr>
                <w:lang w:eastAsia="it-IT"/>
              </w:rPr>
            </w:pPr>
            <w:r>
              <w:rPr>
                <w:lang w:eastAsia="it-IT"/>
              </w:rPr>
              <w:t>Corporate – Small-and-medium sized corporates</w:t>
            </w:r>
          </w:p>
        </w:tc>
        <w:tc>
          <w:tcPr>
            <w:tcW w:w="1346" w:type="dxa"/>
            <w:tcBorders>
              <w:top w:val="single" w:sz="6" w:space="0" w:color="BCBDBC"/>
              <w:left w:val="single" w:sz="6" w:space="0" w:color="auto"/>
              <w:bottom w:val="single" w:sz="6" w:space="0" w:color="BCBDBC"/>
              <w:right w:val="single" w:sz="6" w:space="0" w:color="auto"/>
            </w:tcBorders>
          </w:tcPr>
          <w:p w14:paraId="6D9F7009"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189A0D12" w14:textId="77777777" w:rsidR="001929CC" w:rsidRDefault="001929CC" w:rsidP="001929CC">
            <w:pPr>
              <w:pStyle w:val="TableText"/>
              <w:snapToGrid w:val="0"/>
              <w:rPr>
                <w:lang w:eastAsia="it-IT"/>
              </w:rPr>
            </w:pPr>
          </w:p>
        </w:tc>
      </w:tr>
      <w:tr w:rsidR="001929CC" w14:paraId="5CFDF946"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7B420C7F" w14:textId="77777777" w:rsidR="001929CC" w:rsidRPr="008819FE" w:rsidRDefault="001929CC" w:rsidP="001929CC">
            <w:pPr>
              <w:pStyle w:val="TableText"/>
              <w:snapToGrid w:val="0"/>
              <w:ind w:left="57"/>
              <w:rPr>
                <w:sz w:val="16"/>
                <w:szCs w:val="16"/>
                <w:lang w:eastAsia="en-GB"/>
              </w:rPr>
            </w:pPr>
            <w:r w:rsidRPr="008819FE">
              <w:rPr>
                <w:sz w:val="16"/>
                <w:szCs w:val="16"/>
                <w:lang w:eastAsia="en-GB"/>
              </w:rPr>
              <w:t>7</w:t>
            </w:r>
          </w:p>
        </w:tc>
        <w:tc>
          <w:tcPr>
            <w:tcW w:w="5912" w:type="dxa"/>
            <w:tcBorders>
              <w:top w:val="single" w:sz="6" w:space="0" w:color="BCBDBC"/>
              <w:left w:val="single" w:sz="6" w:space="0" w:color="auto"/>
              <w:bottom w:val="single" w:sz="6" w:space="0" w:color="BCBDBC"/>
              <w:right w:val="single" w:sz="6" w:space="0" w:color="auto"/>
            </w:tcBorders>
          </w:tcPr>
          <w:p w14:paraId="2FE66697" w14:textId="77777777" w:rsidR="001929CC" w:rsidRPr="008819FE" w:rsidRDefault="001929CC" w:rsidP="001929CC">
            <w:pPr>
              <w:pStyle w:val="TableText"/>
              <w:snapToGrid w:val="0"/>
              <w:ind w:left="57" w:rightChars="71" w:right="142"/>
              <w:rPr>
                <w:lang w:eastAsia="it-IT"/>
              </w:rPr>
            </w:pPr>
            <w:r w:rsidRPr="008819FE">
              <w:rPr>
                <w:lang w:eastAsia="it-IT"/>
              </w:rPr>
              <w:t>Corporate – Large corporates</w:t>
            </w:r>
          </w:p>
        </w:tc>
        <w:tc>
          <w:tcPr>
            <w:tcW w:w="1346" w:type="dxa"/>
            <w:tcBorders>
              <w:top w:val="single" w:sz="6" w:space="0" w:color="BCBDBC"/>
              <w:left w:val="single" w:sz="6" w:space="0" w:color="auto"/>
              <w:bottom w:val="single" w:sz="6" w:space="0" w:color="BCBDBC"/>
              <w:right w:val="single" w:sz="6" w:space="0" w:color="auto"/>
            </w:tcBorders>
          </w:tcPr>
          <w:p w14:paraId="34FA6B79"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05F9D8C7" w14:textId="77777777" w:rsidR="001929CC" w:rsidRDefault="001929CC" w:rsidP="001929CC">
            <w:pPr>
              <w:pStyle w:val="TableText"/>
              <w:snapToGrid w:val="0"/>
              <w:rPr>
                <w:lang w:eastAsia="it-IT"/>
              </w:rPr>
            </w:pPr>
          </w:p>
        </w:tc>
      </w:tr>
      <w:tr w:rsidR="001929CC" w14:paraId="03CAE200"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1650C800" w14:textId="77777777" w:rsidR="001929CC" w:rsidRPr="008819FE" w:rsidRDefault="001929CC" w:rsidP="001929CC">
            <w:pPr>
              <w:pStyle w:val="TableText"/>
              <w:snapToGrid w:val="0"/>
              <w:ind w:left="57"/>
              <w:rPr>
                <w:sz w:val="16"/>
                <w:szCs w:val="16"/>
                <w:lang w:eastAsia="en-GB"/>
              </w:rPr>
            </w:pPr>
            <w:r w:rsidRPr="008819FE">
              <w:rPr>
                <w:sz w:val="16"/>
                <w:szCs w:val="16"/>
                <w:lang w:eastAsia="en-GB"/>
              </w:rPr>
              <w:t>8</w:t>
            </w:r>
          </w:p>
        </w:tc>
        <w:tc>
          <w:tcPr>
            <w:tcW w:w="5912" w:type="dxa"/>
            <w:tcBorders>
              <w:top w:val="single" w:sz="6" w:space="0" w:color="BCBDBC"/>
              <w:left w:val="single" w:sz="6" w:space="0" w:color="auto"/>
              <w:bottom w:val="single" w:sz="6" w:space="0" w:color="BCBDBC"/>
              <w:right w:val="single" w:sz="6" w:space="0" w:color="auto"/>
            </w:tcBorders>
          </w:tcPr>
          <w:p w14:paraId="34156C1C" w14:textId="2CD27FF5" w:rsidR="001929CC" w:rsidRPr="00192941" w:rsidRDefault="001929CC" w:rsidP="00F959EF">
            <w:pPr>
              <w:pStyle w:val="TableText"/>
              <w:snapToGrid w:val="0"/>
              <w:ind w:left="57" w:rightChars="71" w:right="142"/>
              <w:rPr>
                <w:lang w:eastAsia="it-IT"/>
              </w:rPr>
            </w:pPr>
            <w:r w:rsidRPr="008819FE">
              <w:rPr>
                <w:lang w:eastAsia="it-IT"/>
              </w:rPr>
              <w:t>Corporate –</w:t>
            </w:r>
            <w:r>
              <w:rPr>
                <w:lang w:eastAsia="it-IT"/>
              </w:rPr>
              <w:t xml:space="preserve"> Financial </w:t>
            </w:r>
            <w:r w:rsidRPr="00192941">
              <w:rPr>
                <w:lang w:eastAsia="it-IT"/>
              </w:rPr>
              <w:t>institutions treated as corporates</w:t>
            </w:r>
            <w:r w:rsidR="00F959EF" w:rsidRPr="00585D46">
              <w:t xml:space="preserve"> </w:t>
            </w:r>
          </w:p>
        </w:tc>
        <w:tc>
          <w:tcPr>
            <w:tcW w:w="1346" w:type="dxa"/>
            <w:tcBorders>
              <w:top w:val="single" w:sz="6" w:space="0" w:color="BCBDBC"/>
              <w:left w:val="single" w:sz="6" w:space="0" w:color="auto"/>
              <w:bottom w:val="single" w:sz="6" w:space="0" w:color="BCBDBC"/>
              <w:right w:val="single" w:sz="6" w:space="0" w:color="auto"/>
            </w:tcBorders>
          </w:tcPr>
          <w:p w14:paraId="34E14C48"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42384564" w14:textId="77777777" w:rsidR="001929CC" w:rsidRDefault="001929CC" w:rsidP="001929CC">
            <w:pPr>
              <w:pStyle w:val="TableText"/>
              <w:snapToGrid w:val="0"/>
              <w:rPr>
                <w:lang w:eastAsia="it-IT"/>
              </w:rPr>
            </w:pPr>
          </w:p>
        </w:tc>
      </w:tr>
      <w:tr w:rsidR="001929CC" w14:paraId="68A18344"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194CD738" w14:textId="2283B0C6" w:rsidR="001929CC" w:rsidRPr="008819FE" w:rsidRDefault="001929CC" w:rsidP="001929CC">
            <w:pPr>
              <w:pStyle w:val="TableText"/>
              <w:snapToGrid w:val="0"/>
              <w:ind w:left="57"/>
              <w:rPr>
                <w:sz w:val="16"/>
                <w:szCs w:val="16"/>
                <w:lang w:eastAsia="en-GB"/>
              </w:rPr>
            </w:pPr>
            <w:r w:rsidRPr="008819FE">
              <w:rPr>
                <w:sz w:val="16"/>
                <w:szCs w:val="16"/>
                <w:lang w:eastAsia="en-GB"/>
              </w:rPr>
              <w:t>9</w:t>
            </w:r>
          </w:p>
        </w:tc>
        <w:tc>
          <w:tcPr>
            <w:tcW w:w="5912" w:type="dxa"/>
            <w:tcBorders>
              <w:top w:val="single" w:sz="6" w:space="0" w:color="BCBDBC"/>
              <w:left w:val="single" w:sz="6" w:space="0" w:color="auto"/>
              <w:bottom w:val="single" w:sz="6" w:space="0" w:color="BCBDBC"/>
              <w:right w:val="single" w:sz="6" w:space="0" w:color="auto"/>
            </w:tcBorders>
          </w:tcPr>
          <w:p w14:paraId="33E9422E" w14:textId="77777777" w:rsidR="001929CC" w:rsidRPr="008819FE" w:rsidRDefault="001929CC" w:rsidP="001929CC">
            <w:pPr>
              <w:pStyle w:val="TableText"/>
              <w:snapToGrid w:val="0"/>
              <w:ind w:left="57" w:rightChars="71" w:right="142"/>
              <w:rPr>
                <w:lang w:eastAsia="it-IT"/>
              </w:rPr>
            </w:pPr>
            <w:r w:rsidRPr="008819FE">
              <w:rPr>
                <w:lang w:eastAsia="it-IT"/>
              </w:rPr>
              <w:t>Corporate – Other corporates</w:t>
            </w:r>
          </w:p>
        </w:tc>
        <w:tc>
          <w:tcPr>
            <w:tcW w:w="1346" w:type="dxa"/>
            <w:tcBorders>
              <w:top w:val="single" w:sz="6" w:space="0" w:color="BCBDBC"/>
              <w:left w:val="single" w:sz="6" w:space="0" w:color="auto"/>
              <w:bottom w:val="single" w:sz="6" w:space="0" w:color="BCBDBC"/>
              <w:right w:val="single" w:sz="6" w:space="0" w:color="auto"/>
            </w:tcBorders>
          </w:tcPr>
          <w:p w14:paraId="169CB974"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15834958" w14:textId="77777777" w:rsidR="001929CC" w:rsidRDefault="001929CC" w:rsidP="001929CC">
            <w:pPr>
              <w:pStyle w:val="TableText"/>
              <w:snapToGrid w:val="0"/>
              <w:rPr>
                <w:lang w:eastAsia="it-IT"/>
              </w:rPr>
            </w:pPr>
          </w:p>
        </w:tc>
      </w:tr>
      <w:tr w:rsidR="001929CC" w14:paraId="71FAEF0C"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1735C0CA" w14:textId="31215C72" w:rsidR="001929CC" w:rsidRPr="008819FE" w:rsidRDefault="001929CC" w:rsidP="001929CC">
            <w:pPr>
              <w:pStyle w:val="TableText"/>
              <w:snapToGrid w:val="0"/>
              <w:ind w:left="57"/>
              <w:rPr>
                <w:sz w:val="16"/>
                <w:szCs w:val="16"/>
                <w:lang w:eastAsia="en-GB"/>
              </w:rPr>
            </w:pPr>
            <w:r w:rsidRPr="008819FE">
              <w:rPr>
                <w:sz w:val="16"/>
                <w:szCs w:val="16"/>
                <w:lang w:eastAsia="en-GB"/>
              </w:rPr>
              <w:t>10</w:t>
            </w:r>
          </w:p>
        </w:tc>
        <w:tc>
          <w:tcPr>
            <w:tcW w:w="5912" w:type="dxa"/>
            <w:tcBorders>
              <w:top w:val="single" w:sz="6" w:space="0" w:color="BCBDBC"/>
              <w:left w:val="single" w:sz="6" w:space="0" w:color="auto"/>
              <w:bottom w:val="single" w:sz="6" w:space="0" w:color="BCBDBC"/>
              <w:right w:val="single" w:sz="6" w:space="0" w:color="auto"/>
            </w:tcBorders>
          </w:tcPr>
          <w:p w14:paraId="0431CD3E" w14:textId="77777777" w:rsidR="001929CC" w:rsidRPr="008819FE" w:rsidRDefault="001929CC" w:rsidP="001929CC">
            <w:pPr>
              <w:pStyle w:val="TableText"/>
              <w:snapToGrid w:val="0"/>
              <w:ind w:left="57" w:rightChars="71" w:right="142"/>
              <w:rPr>
                <w:lang w:eastAsia="it-IT"/>
              </w:rPr>
            </w:pPr>
            <w:r w:rsidRPr="008819FE">
              <w:rPr>
                <w:lang w:eastAsia="it-IT"/>
              </w:rPr>
              <w:t>Sovereign – Sovereigns</w:t>
            </w:r>
          </w:p>
        </w:tc>
        <w:tc>
          <w:tcPr>
            <w:tcW w:w="1346" w:type="dxa"/>
            <w:tcBorders>
              <w:top w:val="single" w:sz="6" w:space="0" w:color="BCBDBC"/>
              <w:left w:val="single" w:sz="6" w:space="0" w:color="auto"/>
              <w:bottom w:val="single" w:sz="6" w:space="0" w:color="BCBDBC"/>
              <w:right w:val="single" w:sz="6" w:space="0" w:color="auto"/>
            </w:tcBorders>
          </w:tcPr>
          <w:p w14:paraId="059B7E6C"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394D9FDF" w14:textId="77777777" w:rsidR="001929CC" w:rsidRDefault="001929CC" w:rsidP="001929CC">
            <w:pPr>
              <w:pStyle w:val="TableText"/>
              <w:snapToGrid w:val="0"/>
              <w:rPr>
                <w:lang w:eastAsia="it-IT"/>
              </w:rPr>
            </w:pPr>
          </w:p>
        </w:tc>
      </w:tr>
      <w:tr w:rsidR="001929CC" w14:paraId="53C61FFF"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42B192AD" w14:textId="67E443F3" w:rsidR="001929CC" w:rsidRPr="008819FE" w:rsidRDefault="001929CC" w:rsidP="001929CC">
            <w:pPr>
              <w:pStyle w:val="TableText"/>
              <w:snapToGrid w:val="0"/>
              <w:ind w:left="57"/>
              <w:rPr>
                <w:sz w:val="16"/>
                <w:szCs w:val="16"/>
                <w:lang w:eastAsia="en-GB"/>
              </w:rPr>
            </w:pPr>
            <w:r w:rsidRPr="008819FE">
              <w:rPr>
                <w:sz w:val="16"/>
                <w:szCs w:val="16"/>
                <w:lang w:eastAsia="en-GB"/>
              </w:rPr>
              <w:t>11</w:t>
            </w:r>
          </w:p>
        </w:tc>
        <w:tc>
          <w:tcPr>
            <w:tcW w:w="5912" w:type="dxa"/>
            <w:tcBorders>
              <w:top w:val="single" w:sz="6" w:space="0" w:color="BCBDBC"/>
              <w:left w:val="single" w:sz="6" w:space="0" w:color="auto"/>
              <w:bottom w:val="single" w:sz="6" w:space="0" w:color="BCBDBC"/>
              <w:right w:val="single" w:sz="6" w:space="0" w:color="auto"/>
            </w:tcBorders>
          </w:tcPr>
          <w:p w14:paraId="3154BF4E" w14:textId="77777777" w:rsidR="001929CC" w:rsidRPr="008819FE" w:rsidRDefault="001929CC" w:rsidP="001929CC">
            <w:pPr>
              <w:pStyle w:val="TableText"/>
              <w:snapToGrid w:val="0"/>
              <w:ind w:left="57" w:rightChars="71" w:right="142"/>
              <w:rPr>
                <w:lang w:eastAsia="it-IT"/>
              </w:rPr>
            </w:pPr>
            <w:r w:rsidRPr="008819FE">
              <w:rPr>
                <w:lang w:eastAsia="it-IT"/>
              </w:rPr>
              <w:t>Sovereign – Sovereign foreign public sector entities</w:t>
            </w:r>
          </w:p>
        </w:tc>
        <w:tc>
          <w:tcPr>
            <w:tcW w:w="1346" w:type="dxa"/>
            <w:tcBorders>
              <w:top w:val="single" w:sz="6" w:space="0" w:color="BCBDBC"/>
              <w:left w:val="single" w:sz="6" w:space="0" w:color="auto"/>
              <w:bottom w:val="single" w:sz="6" w:space="0" w:color="BCBDBC"/>
              <w:right w:val="single" w:sz="6" w:space="0" w:color="auto"/>
            </w:tcBorders>
          </w:tcPr>
          <w:p w14:paraId="1B3BDF9E"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62FE606D" w14:textId="77777777" w:rsidR="001929CC" w:rsidRDefault="001929CC" w:rsidP="001929CC">
            <w:pPr>
              <w:pStyle w:val="TableText"/>
              <w:snapToGrid w:val="0"/>
              <w:rPr>
                <w:lang w:eastAsia="it-IT"/>
              </w:rPr>
            </w:pPr>
          </w:p>
        </w:tc>
      </w:tr>
      <w:tr w:rsidR="001929CC" w14:paraId="2A0315CC"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72C650C7" w14:textId="3B0FA682" w:rsidR="001929CC" w:rsidRPr="008819FE" w:rsidRDefault="001929CC" w:rsidP="001929CC">
            <w:pPr>
              <w:pStyle w:val="TableText"/>
              <w:snapToGrid w:val="0"/>
              <w:ind w:left="57"/>
              <w:rPr>
                <w:sz w:val="16"/>
                <w:szCs w:val="16"/>
                <w:lang w:eastAsia="en-GB"/>
              </w:rPr>
            </w:pPr>
            <w:r w:rsidRPr="008819FE">
              <w:rPr>
                <w:sz w:val="16"/>
                <w:szCs w:val="16"/>
                <w:lang w:eastAsia="en-GB"/>
              </w:rPr>
              <w:t>12</w:t>
            </w:r>
          </w:p>
        </w:tc>
        <w:tc>
          <w:tcPr>
            <w:tcW w:w="5912" w:type="dxa"/>
            <w:tcBorders>
              <w:top w:val="single" w:sz="6" w:space="0" w:color="BCBDBC"/>
              <w:left w:val="single" w:sz="6" w:space="0" w:color="auto"/>
              <w:bottom w:val="single" w:sz="6" w:space="0" w:color="BCBDBC"/>
              <w:right w:val="single" w:sz="6" w:space="0" w:color="auto"/>
            </w:tcBorders>
          </w:tcPr>
          <w:p w14:paraId="3D15C5A6" w14:textId="77777777" w:rsidR="001929CC" w:rsidRPr="008819FE" w:rsidRDefault="001929CC" w:rsidP="001929CC">
            <w:pPr>
              <w:pStyle w:val="TableText"/>
              <w:snapToGrid w:val="0"/>
              <w:ind w:left="57" w:rightChars="71" w:right="142"/>
              <w:rPr>
                <w:lang w:eastAsia="it-IT"/>
              </w:rPr>
            </w:pPr>
            <w:r w:rsidRPr="008819FE">
              <w:rPr>
                <w:lang w:eastAsia="it-IT"/>
              </w:rPr>
              <w:t>Sovereign – Multilateral development banks</w:t>
            </w:r>
          </w:p>
        </w:tc>
        <w:tc>
          <w:tcPr>
            <w:tcW w:w="1346" w:type="dxa"/>
            <w:tcBorders>
              <w:top w:val="single" w:sz="6" w:space="0" w:color="BCBDBC"/>
              <w:left w:val="single" w:sz="6" w:space="0" w:color="auto"/>
              <w:bottom w:val="single" w:sz="6" w:space="0" w:color="BCBDBC"/>
              <w:right w:val="single" w:sz="6" w:space="0" w:color="auto"/>
            </w:tcBorders>
          </w:tcPr>
          <w:p w14:paraId="074C45C1"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141CA56D" w14:textId="77777777" w:rsidR="001929CC" w:rsidRDefault="001929CC" w:rsidP="001929CC">
            <w:pPr>
              <w:pStyle w:val="TableText"/>
              <w:snapToGrid w:val="0"/>
              <w:rPr>
                <w:lang w:eastAsia="it-IT"/>
              </w:rPr>
            </w:pPr>
          </w:p>
        </w:tc>
      </w:tr>
      <w:tr w:rsidR="001929CC" w14:paraId="617A1FFA"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53680CB9" w14:textId="62738BE9" w:rsidR="001929CC" w:rsidRPr="008819FE" w:rsidRDefault="001929CC" w:rsidP="001929CC">
            <w:pPr>
              <w:pStyle w:val="TableText"/>
              <w:snapToGrid w:val="0"/>
              <w:ind w:left="57"/>
              <w:rPr>
                <w:sz w:val="16"/>
                <w:szCs w:val="16"/>
                <w:lang w:eastAsia="en-GB"/>
              </w:rPr>
            </w:pPr>
            <w:r w:rsidRPr="008819FE">
              <w:rPr>
                <w:sz w:val="16"/>
                <w:szCs w:val="16"/>
                <w:lang w:eastAsia="en-GB"/>
              </w:rPr>
              <w:t>13</w:t>
            </w:r>
          </w:p>
        </w:tc>
        <w:tc>
          <w:tcPr>
            <w:tcW w:w="5912" w:type="dxa"/>
            <w:tcBorders>
              <w:top w:val="single" w:sz="6" w:space="0" w:color="BCBDBC"/>
              <w:left w:val="single" w:sz="6" w:space="0" w:color="auto"/>
              <w:bottom w:val="single" w:sz="6" w:space="0" w:color="BCBDBC"/>
              <w:right w:val="single" w:sz="6" w:space="0" w:color="auto"/>
            </w:tcBorders>
          </w:tcPr>
          <w:p w14:paraId="59BCF856" w14:textId="05CB5CD0" w:rsidR="001929CC" w:rsidRPr="008819FE" w:rsidRDefault="001929CC" w:rsidP="001929CC">
            <w:pPr>
              <w:pStyle w:val="TableText"/>
              <w:snapToGrid w:val="0"/>
              <w:ind w:left="57" w:rightChars="71" w:right="142"/>
              <w:rPr>
                <w:lang w:eastAsia="it-IT"/>
              </w:rPr>
            </w:pPr>
            <w:r w:rsidRPr="008819FE">
              <w:rPr>
                <w:lang w:eastAsia="it-IT"/>
              </w:rPr>
              <w:t>Bank – Banks (excluding covered bonds)</w:t>
            </w:r>
          </w:p>
        </w:tc>
        <w:tc>
          <w:tcPr>
            <w:tcW w:w="1346" w:type="dxa"/>
            <w:tcBorders>
              <w:top w:val="single" w:sz="6" w:space="0" w:color="BCBDBC"/>
              <w:left w:val="single" w:sz="6" w:space="0" w:color="auto"/>
              <w:bottom w:val="single" w:sz="6" w:space="0" w:color="BCBDBC"/>
              <w:right w:val="single" w:sz="6" w:space="0" w:color="auto"/>
            </w:tcBorders>
          </w:tcPr>
          <w:p w14:paraId="418FE0FF"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47B763BD" w14:textId="77777777" w:rsidR="001929CC" w:rsidRDefault="001929CC" w:rsidP="001929CC">
            <w:pPr>
              <w:pStyle w:val="TableText"/>
              <w:snapToGrid w:val="0"/>
              <w:rPr>
                <w:lang w:eastAsia="it-IT"/>
              </w:rPr>
            </w:pPr>
          </w:p>
        </w:tc>
      </w:tr>
      <w:tr w:rsidR="001929CC" w14:paraId="23BA89E7"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25299D41" w14:textId="65B45201" w:rsidR="001929CC" w:rsidRPr="008819FE" w:rsidRDefault="001929CC" w:rsidP="001929CC">
            <w:pPr>
              <w:pStyle w:val="TableText"/>
              <w:snapToGrid w:val="0"/>
              <w:ind w:left="57"/>
              <w:rPr>
                <w:sz w:val="16"/>
                <w:szCs w:val="16"/>
                <w:lang w:eastAsia="en-GB"/>
              </w:rPr>
            </w:pPr>
            <w:r w:rsidRPr="008819FE">
              <w:rPr>
                <w:sz w:val="16"/>
                <w:szCs w:val="16"/>
                <w:lang w:eastAsia="en-GB"/>
              </w:rPr>
              <w:t>14</w:t>
            </w:r>
          </w:p>
        </w:tc>
        <w:tc>
          <w:tcPr>
            <w:tcW w:w="5912" w:type="dxa"/>
            <w:tcBorders>
              <w:top w:val="single" w:sz="6" w:space="0" w:color="BCBDBC"/>
              <w:left w:val="single" w:sz="6" w:space="0" w:color="auto"/>
              <w:bottom w:val="single" w:sz="6" w:space="0" w:color="BCBDBC"/>
              <w:right w:val="single" w:sz="6" w:space="0" w:color="auto"/>
            </w:tcBorders>
          </w:tcPr>
          <w:p w14:paraId="48827B83" w14:textId="7164D52D" w:rsidR="001929CC" w:rsidRPr="008819FE" w:rsidRDefault="001929CC" w:rsidP="0092186A">
            <w:pPr>
              <w:pStyle w:val="TableText"/>
              <w:snapToGrid w:val="0"/>
              <w:ind w:left="57" w:rightChars="71" w:right="142"/>
              <w:rPr>
                <w:lang w:eastAsia="it-IT"/>
              </w:rPr>
            </w:pPr>
            <w:r w:rsidRPr="008819FE">
              <w:rPr>
                <w:lang w:eastAsia="it-IT"/>
              </w:rPr>
              <w:t xml:space="preserve">Bank – </w:t>
            </w:r>
            <w:r w:rsidRPr="00EF70B3">
              <w:rPr>
                <w:lang w:eastAsia="it-IT"/>
              </w:rPr>
              <w:t xml:space="preserve">Qualifying non-bank </w:t>
            </w:r>
            <w:r w:rsidRPr="008819FE">
              <w:rPr>
                <w:lang w:eastAsia="it-IT"/>
              </w:rPr>
              <w:t>financial institutions</w:t>
            </w:r>
            <w:r w:rsidR="00D06283">
              <w:rPr>
                <w:lang w:eastAsia="it-IT"/>
              </w:rPr>
              <w:t xml:space="preserve"> </w:t>
            </w:r>
          </w:p>
        </w:tc>
        <w:tc>
          <w:tcPr>
            <w:tcW w:w="1346" w:type="dxa"/>
            <w:tcBorders>
              <w:top w:val="single" w:sz="6" w:space="0" w:color="BCBDBC"/>
              <w:left w:val="single" w:sz="6" w:space="0" w:color="auto"/>
              <w:bottom w:val="single" w:sz="6" w:space="0" w:color="BCBDBC"/>
              <w:right w:val="single" w:sz="6" w:space="0" w:color="auto"/>
            </w:tcBorders>
          </w:tcPr>
          <w:p w14:paraId="50C93392"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51CC3FDB" w14:textId="77777777" w:rsidR="001929CC" w:rsidRDefault="001929CC" w:rsidP="001929CC">
            <w:pPr>
              <w:pStyle w:val="TableText"/>
              <w:snapToGrid w:val="0"/>
              <w:rPr>
                <w:lang w:eastAsia="it-IT"/>
              </w:rPr>
            </w:pPr>
          </w:p>
        </w:tc>
      </w:tr>
      <w:tr w:rsidR="001929CC" w14:paraId="29011A0D"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4649387C" w14:textId="44531390" w:rsidR="001929CC" w:rsidRPr="008819FE" w:rsidRDefault="001929CC" w:rsidP="001929CC">
            <w:pPr>
              <w:pStyle w:val="TableText"/>
              <w:snapToGrid w:val="0"/>
              <w:ind w:left="57"/>
              <w:rPr>
                <w:sz w:val="16"/>
                <w:szCs w:val="16"/>
                <w:lang w:eastAsia="en-GB"/>
              </w:rPr>
            </w:pPr>
            <w:r w:rsidRPr="008819FE">
              <w:rPr>
                <w:sz w:val="16"/>
                <w:szCs w:val="16"/>
                <w:lang w:eastAsia="en-GB"/>
              </w:rPr>
              <w:t>15</w:t>
            </w:r>
          </w:p>
        </w:tc>
        <w:tc>
          <w:tcPr>
            <w:tcW w:w="5912" w:type="dxa"/>
            <w:tcBorders>
              <w:top w:val="single" w:sz="6" w:space="0" w:color="BCBDBC"/>
              <w:left w:val="single" w:sz="6" w:space="0" w:color="auto"/>
              <w:bottom w:val="single" w:sz="6" w:space="0" w:color="BCBDBC"/>
              <w:right w:val="single" w:sz="6" w:space="0" w:color="auto"/>
            </w:tcBorders>
          </w:tcPr>
          <w:p w14:paraId="0208D786" w14:textId="38971CF2" w:rsidR="001929CC" w:rsidRPr="008819FE" w:rsidRDefault="001929CC" w:rsidP="001929CC">
            <w:pPr>
              <w:pStyle w:val="TableText"/>
              <w:snapToGrid w:val="0"/>
              <w:ind w:left="57" w:rightChars="71" w:right="142"/>
              <w:rPr>
                <w:lang w:eastAsia="it-IT"/>
              </w:rPr>
            </w:pPr>
            <w:r w:rsidRPr="008819FE">
              <w:rPr>
                <w:lang w:eastAsia="it-IT"/>
              </w:rPr>
              <w:t>Bank – Public sector entities (excluding sovereign foreign public sector entities)</w:t>
            </w:r>
          </w:p>
        </w:tc>
        <w:tc>
          <w:tcPr>
            <w:tcW w:w="1346" w:type="dxa"/>
            <w:tcBorders>
              <w:top w:val="single" w:sz="6" w:space="0" w:color="BCBDBC"/>
              <w:left w:val="single" w:sz="6" w:space="0" w:color="auto"/>
              <w:bottom w:val="single" w:sz="6" w:space="0" w:color="BCBDBC"/>
              <w:right w:val="single" w:sz="6" w:space="0" w:color="auto"/>
            </w:tcBorders>
          </w:tcPr>
          <w:p w14:paraId="2840E76E"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5CFB1FD5" w14:textId="77777777" w:rsidR="001929CC" w:rsidRDefault="001929CC" w:rsidP="001929CC">
            <w:pPr>
              <w:pStyle w:val="TableText"/>
              <w:snapToGrid w:val="0"/>
              <w:rPr>
                <w:lang w:eastAsia="it-IT"/>
              </w:rPr>
            </w:pPr>
          </w:p>
        </w:tc>
      </w:tr>
      <w:tr w:rsidR="001929CC" w14:paraId="327BE495"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2A513F3D" w14:textId="77777777" w:rsidR="001929CC" w:rsidRPr="008819FE" w:rsidRDefault="001929CC" w:rsidP="001929CC">
            <w:pPr>
              <w:pStyle w:val="TableText"/>
              <w:snapToGrid w:val="0"/>
              <w:ind w:left="57"/>
              <w:rPr>
                <w:sz w:val="16"/>
                <w:szCs w:val="16"/>
                <w:lang w:eastAsia="en-GB"/>
              </w:rPr>
            </w:pPr>
            <w:r w:rsidRPr="008819FE">
              <w:rPr>
                <w:sz w:val="16"/>
                <w:szCs w:val="16"/>
                <w:lang w:eastAsia="en-GB"/>
              </w:rPr>
              <w:t>16</w:t>
            </w:r>
          </w:p>
        </w:tc>
        <w:tc>
          <w:tcPr>
            <w:tcW w:w="5912" w:type="dxa"/>
            <w:tcBorders>
              <w:top w:val="single" w:sz="6" w:space="0" w:color="BCBDBC"/>
              <w:left w:val="single" w:sz="6" w:space="0" w:color="auto"/>
              <w:bottom w:val="single" w:sz="6" w:space="0" w:color="BCBDBC"/>
              <w:right w:val="single" w:sz="6" w:space="0" w:color="auto"/>
            </w:tcBorders>
          </w:tcPr>
          <w:p w14:paraId="09F3CAD3" w14:textId="77777777" w:rsidR="001929CC" w:rsidRPr="008819FE" w:rsidRDefault="001929CC" w:rsidP="001929CC">
            <w:pPr>
              <w:pStyle w:val="TableText"/>
              <w:snapToGrid w:val="0"/>
              <w:ind w:left="57" w:rightChars="71" w:right="142"/>
              <w:rPr>
                <w:lang w:eastAsia="it-IT"/>
              </w:rPr>
            </w:pPr>
            <w:r w:rsidRPr="008819FE">
              <w:rPr>
                <w:lang w:eastAsia="it-IT"/>
              </w:rPr>
              <w:t>Bank – Unspecified multilateral bodies</w:t>
            </w:r>
          </w:p>
        </w:tc>
        <w:tc>
          <w:tcPr>
            <w:tcW w:w="1346" w:type="dxa"/>
            <w:tcBorders>
              <w:top w:val="single" w:sz="6" w:space="0" w:color="BCBDBC"/>
              <w:left w:val="single" w:sz="6" w:space="0" w:color="auto"/>
              <w:bottom w:val="single" w:sz="6" w:space="0" w:color="BCBDBC"/>
              <w:right w:val="single" w:sz="6" w:space="0" w:color="auto"/>
            </w:tcBorders>
          </w:tcPr>
          <w:p w14:paraId="68B8B4F3"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1102C63E" w14:textId="77777777" w:rsidR="001929CC" w:rsidRDefault="001929CC" w:rsidP="001929CC">
            <w:pPr>
              <w:pStyle w:val="TableText"/>
              <w:snapToGrid w:val="0"/>
              <w:rPr>
                <w:lang w:eastAsia="it-IT"/>
              </w:rPr>
            </w:pPr>
          </w:p>
        </w:tc>
      </w:tr>
      <w:tr w:rsidR="001929CC" w14:paraId="03D99145"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55FCFA79" w14:textId="77777777" w:rsidR="001929CC" w:rsidRPr="008819FE" w:rsidRDefault="001929CC" w:rsidP="001929CC">
            <w:pPr>
              <w:pStyle w:val="TableText"/>
              <w:snapToGrid w:val="0"/>
              <w:ind w:left="57"/>
              <w:rPr>
                <w:sz w:val="16"/>
                <w:szCs w:val="16"/>
                <w:lang w:eastAsia="en-GB"/>
              </w:rPr>
            </w:pPr>
            <w:r w:rsidRPr="008819FE">
              <w:rPr>
                <w:sz w:val="16"/>
                <w:szCs w:val="16"/>
                <w:lang w:eastAsia="en-GB"/>
              </w:rPr>
              <w:t>17</w:t>
            </w:r>
          </w:p>
        </w:tc>
        <w:tc>
          <w:tcPr>
            <w:tcW w:w="5912" w:type="dxa"/>
            <w:tcBorders>
              <w:top w:val="single" w:sz="6" w:space="0" w:color="BCBDBC"/>
              <w:left w:val="single" w:sz="6" w:space="0" w:color="auto"/>
              <w:bottom w:val="single" w:sz="6" w:space="0" w:color="BCBDBC"/>
              <w:right w:val="single" w:sz="6" w:space="0" w:color="auto"/>
            </w:tcBorders>
          </w:tcPr>
          <w:p w14:paraId="6521E5B2" w14:textId="77777777" w:rsidR="001929CC" w:rsidRPr="008819FE" w:rsidRDefault="001929CC" w:rsidP="001929CC">
            <w:pPr>
              <w:pStyle w:val="TableText"/>
              <w:snapToGrid w:val="0"/>
              <w:ind w:left="57" w:rightChars="71" w:right="142"/>
              <w:rPr>
                <w:lang w:eastAsia="it-IT"/>
              </w:rPr>
            </w:pPr>
            <w:r w:rsidRPr="008819FE">
              <w:rPr>
                <w:lang w:eastAsia="it-IT"/>
              </w:rPr>
              <w:t>Bank – Covered bonds</w:t>
            </w:r>
          </w:p>
        </w:tc>
        <w:tc>
          <w:tcPr>
            <w:tcW w:w="1346" w:type="dxa"/>
            <w:tcBorders>
              <w:top w:val="single" w:sz="6" w:space="0" w:color="BCBDBC"/>
              <w:left w:val="single" w:sz="6" w:space="0" w:color="auto"/>
              <w:bottom w:val="single" w:sz="6" w:space="0" w:color="BCBDBC"/>
              <w:right w:val="single" w:sz="6" w:space="0" w:color="auto"/>
            </w:tcBorders>
          </w:tcPr>
          <w:p w14:paraId="6075D386"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2340B12B" w14:textId="77777777" w:rsidR="001929CC" w:rsidRDefault="001929CC" w:rsidP="001929CC">
            <w:pPr>
              <w:pStyle w:val="TableText"/>
              <w:snapToGrid w:val="0"/>
              <w:rPr>
                <w:lang w:eastAsia="it-IT"/>
              </w:rPr>
            </w:pPr>
          </w:p>
        </w:tc>
      </w:tr>
      <w:tr w:rsidR="001929CC" w14:paraId="299FAB3B"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4CA6C4F4" w14:textId="183E4ACE" w:rsidR="001929CC" w:rsidRPr="008819FE" w:rsidRDefault="001929CC" w:rsidP="001929CC">
            <w:pPr>
              <w:pStyle w:val="TableText"/>
              <w:snapToGrid w:val="0"/>
              <w:ind w:left="57"/>
              <w:rPr>
                <w:sz w:val="16"/>
                <w:szCs w:val="16"/>
                <w:lang w:eastAsia="en-GB"/>
              </w:rPr>
            </w:pPr>
            <w:r w:rsidRPr="008819FE">
              <w:rPr>
                <w:sz w:val="16"/>
                <w:szCs w:val="16"/>
                <w:lang w:eastAsia="en-GB"/>
              </w:rPr>
              <w:lastRenderedPageBreak/>
              <w:t>18</w:t>
            </w:r>
          </w:p>
        </w:tc>
        <w:tc>
          <w:tcPr>
            <w:tcW w:w="5912" w:type="dxa"/>
            <w:tcBorders>
              <w:top w:val="single" w:sz="6" w:space="0" w:color="BCBDBC"/>
              <w:left w:val="single" w:sz="6" w:space="0" w:color="auto"/>
              <w:bottom w:val="single" w:sz="6" w:space="0" w:color="BCBDBC"/>
              <w:right w:val="single" w:sz="6" w:space="0" w:color="auto"/>
            </w:tcBorders>
          </w:tcPr>
          <w:p w14:paraId="34DEAA05" w14:textId="77777777" w:rsidR="001929CC" w:rsidRPr="008819FE" w:rsidRDefault="001929CC" w:rsidP="001929CC">
            <w:pPr>
              <w:pStyle w:val="TableText"/>
              <w:snapToGrid w:val="0"/>
              <w:ind w:left="57" w:rightChars="71" w:right="142"/>
              <w:rPr>
                <w:lang w:eastAsia="it-IT"/>
              </w:rPr>
            </w:pPr>
            <w:r w:rsidRPr="008819FE">
              <w:rPr>
                <w:lang w:eastAsia="it-IT"/>
              </w:rPr>
              <w:t>Retail – Small business retail exposures</w:t>
            </w:r>
          </w:p>
        </w:tc>
        <w:tc>
          <w:tcPr>
            <w:tcW w:w="1346" w:type="dxa"/>
            <w:tcBorders>
              <w:top w:val="single" w:sz="6" w:space="0" w:color="BCBDBC"/>
              <w:left w:val="single" w:sz="6" w:space="0" w:color="auto"/>
              <w:bottom w:val="single" w:sz="6" w:space="0" w:color="BCBDBC"/>
              <w:right w:val="single" w:sz="6" w:space="0" w:color="auto"/>
            </w:tcBorders>
          </w:tcPr>
          <w:p w14:paraId="5D2D5270"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2EC07D9D" w14:textId="77777777" w:rsidR="001929CC" w:rsidRDefault="001929CC" w:rsidP="001929CC">
            <w:pPr>
              <w:pStyle w:val="TableText"/>
              <w:snapToGrid w:val="0"/>
              <w:rPr>
                <w:lang w:eastAsia="it-IT"/>
              </w:rPr>
            </w:pPr>
          </w:p>
        </w:tc>
      </w:tr>
      <w:tr w:rsidR="001929CC" w14:paraId="296974A6"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6D78BCF0" w14:textId="28C880FA" w:rsidR="001929CC" w:rsidRPr="008819FE" w:rsidRDefault="001929CC" w:rsidP="001929CC">
            <w:pPr>
              <w:pStyle w:val="TableText"/>
              <w:snapToGrid w:val="0"/>
              <w:ind w:left="57"/>
              <w:rPr>
                <w:sz w:val="16"/>
                <w:szCs w:val="16"/>
                <w:lang w:eastAsia="en-GB"/>
              </w:rPr>
            </w:pPr>
            <w:r w:rsidRPr="008819FE">
              <w:rPr>
                <w:sz w:val="16"/>
                <w:szCs w:val="16"/>
                <w:lang w:eastAsia="en-GB"/>
              </w:rPr>
              <w:t>19</w:t>
            </w:r>
          </w:p>
        </w:tc>
        <w:tc>
          <w:tcPr>
            <w:tcW w:w="5912" w:type="dxa"/>
            <w:tcBorders>
              <w:top w:val="single" w:sz="6" w:space="0" w:color="BCBDBC"/>
              <w:left w:val="single" w:sz="6" w:space="0" w:color="auto"/>
              <w:bottom w:val="single" w:sz="6" w:space="0" w:color="BCBDBC"/>
              <w:right w:val="single" w:sz="6" w:space="0" w:color="auto"/>
            </w:tcBorders>
          </w:tcPr>
          <w:p w14:paraId="4BF54078" w14:textId="77777777" w:rsidR="001929CC" w:rsidRPr="008819FE" w:rsidRDefault="001929CC" w:rsidP="001929CC">
            <w:pPr>
              <w:pStyle w:val="TableText"/>
              <w:snapToGrid w:val="0"/>
              <w:ind w:left="57" w:rightChars="71" w:right="142"/>
              <w:rPr>
                <w:lang w:eastAsia="it-IT"/>
              </w:rPr>
            </w:pPr>
            <w:r w:rsidRPr="008819FE">
              <w:rPr>
                <w:lang w:eastAsia="it-IT"/>
              </w:rPr>
              <w:t>Retail – Residential mortgages to individuals</w:t>
            </w:r>
          </w:p>
        </w:tc>
        <w:tc>
          <w:tcPr>
            <w:tcW w:w="1346" w:type="dxa"/>
            <w:tcBorders>
              <w:top w:val="single" w:sz="6" w:space="0" w:color="BCBDBC"/>
              <w:left w:val="single" w:sz="6" w:space="0" w:color="auto"/>
              <w:bottom w:val="single" w:sz="6" w:space="0" w:color="BCBDBC"/>
              <w:right w:val="single" w:sz="6" w:space="0" w:color="auto"/>
            </w:tcBorders>
          </w:tcPr>
          <w:p w14:paraId="1AB70A0C"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7B0928A6" w14:textId="77777777" w:rsidR="001929CC" w:rsidRDefault="001929CC" w:rsidP="001929CC">
            <w:pPr>
              <w:pStyle w:val="TableText"/>
              <w:snapToGrid w:val="0"/>
              <w:rPr>
                <w:lang w:eastAsia="it-IT"/>
              </w:rPr>
            </w:pPr>
          </w:p>
        </w:tc>
      </w:tr>
      <w:tr w:rsidR="001929CC" w14:paraId="7E673B70"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4DACC006" w14:textId="2F08BCE1" w:rsidR="001929CC" w:rsidRPr="008819FE" w:rsidRDefault="001929CC" w:rsidP="001929CC">
            <w:pPr>
              <w:pStyle w:val="TableText"/>
              <w:snapToGrid w:val="0"/>
              <w:ind w:left="57"/>
              <w:rPr>
                <w:sz w:val="16"/>
                <w:szCs w:val="16"/>
                <w:lang w:eastAsia="en-GB"/>
              </w:rPr>
            </w:pPr>
            <w:r w:rsidRPr="008819FE">
              <w:rPr>
                <w:sz w:val="16"/>
                <w:szCs w:val="16"/>
                <w:lang w:eastAsia="en-GB"/>
              </w:rPr>
              <w:t>20</w:t>
            </w:r>
          </w:p>
        </w:tc>
        <w:tc>
          <w:tcPr>
            <w:tcW w:w="5912" w:type="dxa"/>
            <w:tcBorders>
              <w:top w:val="single" w:sz="6" w:space="0" w:color="BCBDBC"/>
              <w:left w:val="single" w:sz="6" w:space="0" w:color="auto"/>
              <w:bottom w:val="single" w:sz="6" w:space="0" w:color="BCBDBC"/>
              <w:right w:val="single" w:sz="6" w:space="0" w:color="auto"/>
            </w:tcBorders>
          </w:tcPr>
          <w:p w14:paraId="774F7719" w14:textId="77777777" w:rsidR="001929CC" w:rsidRPr="008819FE" w:rsidRDefault="001929CC" w:rsidP="001929CC">
            <w:pPr>
              <w:pStyle w:val="TableText"/>
              <w:snapToGrid w:val="0"/>
              <w:ind w:left="57" w:rightChars="71" w:right="142"/>
              <w:rPr>
                <w:lang w:eastAsia="it-IT"/>
              </w:rPr>
            </w:pPr>
            <w:r w:rsidRPr="008819FE">
              <w:rPr>
                <w:lang w:eastAsia="it-IT"/>
              </w:rPr>
              <w:t>Retail – Residential mortgages to property-holding shell companies</w:t>
            </w:r>
          </w:p>
        </w:tc>
        <w:tc>
          <w:tcPr>
            <w:tcW w:w="1346" w:type="dxa"/>
            <w:tcBorders>
              <w:top w:val="single" w:sz="6" w:space="0" w:color="BCBDBC"/>
              <w:left w:val="single" w:sz="6" w:space="0" w:color="auto"/>
              <w:bottom w:val="single" w:sz="6" w:space="0" w:color="BCBDBC"/>
              <w:right w:val="single" w:sz="6" w:space="0" w:color="auto"/>
            </w:tcBorders>
          </w:tcPr>
          <w:p w14:paraId="3E9900E1"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0EC388E4" w14:textId="77777777" w:rsidR="001929CC" w:rsidRDefault="001929CC" w:rsidP="001929CC">
            <w:pPr>
              <w:pStyle w:val="TableText"/>
              <w:snapToGrid w:val="0"/>
              <w:rPr>
                <w:lang w:eastAsia="it-IT"/>
              </w:rPr>
            </w:pPr>
          </w:p>
        </w:tc>
      </w:tr>
      <w:tr w:rsidR="001929CC" w14:paraId="52FDBDFC"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596022C2" w14:textId="7D42D734" w:rsidR="001929CC" w:rsidRPr="008819FE" w:rsidRDefault="001929CC" w:rsidP="001929CC">
            <w:pPr>
              <w:pStyle w:val="TableText"/>
              <w:snapToGrid w:val="0"/>
              <w:ind w:left="57"/>
              <w:rPr>
                <w:sz w:val="16"/>
                <w:szCs w:val="16"/>
                <w:lang w:eastAsia="en-GB"/>
              </w:rPr>
            </w:pPr>
            <w:r w:rsidRPr="008819FE">
              <w:rPr>
                <w:sz w:val="16"/>
                <w:szCs w:val="16"/>
                <w:lang w:eastAsia="en-GB"/>
              </w:rPr>
              <w:t>21</w:t>
            </w:r>
          </w:p>
        </w:tc>
        <w:tc>
          <w:tcPr>
            <w:tcW w:w="5912" w:type="dxa"/>
            <w:tcBorders>
              <w:top w:val="single" w:sz="6" w:space="0" w:color="BCBDBC"/>
              <w:left w:val="single" w:sz="6" w:space="0" w:color="auto"/>
              <w:bottom w:val="single" w:sz="6" w:space="0" w:color="BCBDBC"/>
              <w:right w:val="single" w:sz="6" w:space="0" w:color="auto"/>
            </w:tcBorders>
          </w:tcPr>
          <w:p w14:paraId="58225C0B" w14:textId="77777777" w:rsidR="001929CC" w:rsidRPr="008819FE" w:rsidRDefault="001929CC" w:rsidP="001929CC">
            <w:pPr>
              <w:pStyle w:val="TableText"/>
              <w:snapToGrid w:val="0"/>
              <w:ind w:left="57" w:rightChars="71" w:right="142"/>
              <w:rPr>
                <w:lang w:eastAsia="it-IT"/>
              </w:rPr>
            </w:pPr>
            <w:r w:rsidRPr="008819FE">
              <w:rPr>
                <w:lang w:eastAsia="it-IT"/>
              </w:rPr>
              <w:t>Retail – Qualifying revolving retail exposures (QRRE) (transactor)</w:t>
            </w:r>
          </w:p>
        </w:tc>
        <w:tc>
          <w:tcPr>
            <w:tcW w:w="1346" w:type="dxa"/>
            <w:tcBorders>
              <w:top w:val="single" w:sz="6" w:space="0" w:color="BCBDBC"/>
              <w:left w:val="single" w:sz="6" w:space="0" w:color="auto"/>
              <w:bottom w:val="single" w:sz="6" w:space="0" w:color="BCBDBC"/>
              <w:right w:val="single" w:sz="6" w:space="0" w:color="auto"/>
            </w:tcBorders>
          </w:tcPr>
          <w:p w14:paraId="3931FD98"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4DDA83C3" w14:textId="77777777" w:rsidR="001929CC" w:rsidRDefault="001929CC" w:rsidP="001929CC">
            <w:pPr>
              <w:pStyle w:val="TableText"/>
              <w:snapToGrid w:val="0"/>
              <w:rPr>
                <w:lang w:eastAsia="it-IT"/>
              </w:rPr>
            </w:pPr>
          </w:p>
        </w:tc>
      </w:tr>
      <w:tr w:rsidR="001929CC" w14:paraId="2152B23D"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6B6E46D5" w14:textId="77777777" w:rsidR="001929CC" w:rsidRPr="008819FE" w:rsidRDefault="001929CC" w:rsidP="001929CC">
            <w:pPr>
              <w:pStyle w:val="TableText"/>
              <w:snapToGrid w:val="0"/>
              <w:ind w:left="57"/>
              <w:rPr>
                <w:sz w:val="16"/>
                <w:szCs w:val="16"/>
                <w:lang w:eastAsia="en-GB"/>
              </w:rPr>
            </w:pPr>
            <w:r w:rsidRPr="008819FE">
              <w:rPr>
                <w:sz w:val="16"/>
                <w:szCs w:val="16"/>
                <w:lang w:eastAsia="en-GB"/>
              </w:rPr>
              <w:t>22</w:t>
            </w:r>
          </w:p>
        </w:tc>
        <w:tc>
          <w:tcPr>
            <w:tcW w:w="5912" w:type="dxa"/>
            <w:tcBorders>
              <w:top w:val="single" w:sz="6" w:space="0" w:color="BCBDBC"/>
              <w:left w:val="single" w:sz="6" w:space="0" w:color="auto"/>
              <w:bottom w:val="single" w:sz="6" w:space="0" w:color="BCBDBC"/>
              <w:right w:val="single" w:sz="6" w:space="0" w:color="auto"/>
            </w:tcBorders>
          </w:tcPr>
          <w:p w14:paraId="00A054DD" w14:textId="77777777" w:rsidR="001929CC" w:rsidRPr="008819FE" w:rsidRDefault="001929CC" w:rsidP="001929CC">
            <w:pPr>
              <w:pStyle w:val="TableText"/>
              <w:snapToGrid w:val="0"/>
              <w:ind w:left="57" w:rightChars="71" w:right="142"/>
              <w:rPr>
                <w:lang w:eastAsia="it-IT"/>
              </w:rPr>
            </w:pPr>
            <w:r w:rsidRPr="008819FE">
              <w:rPr>
                <w:lang w:eastAsia="it-IT"/>
              </w:rPr>
              <w:t>Retail – QRRE (revolver)</w:t>
            </w:r>
          </w:p>
        </w:tc>
        <w:tc>
          <w:tcPr>
            <w:tcW w:w="1346" w:type="dxa"/>
            <w:tcBorders>
              <w:top w:val="single" w:sz="6" w:space="0" w:color="BCBDBC"/>
              <w:left w:val="single" w:sz="6" w:space="0" w:color="auto"/>
              <w:bottom w:val="single" w:sz="6" w:space="0" w:color="BCBDBC"/>
              <w:right w:val="single" w:sz="6" w:space="0" w:color="auto"/>
            </w:tcBorders>
          </w:tcPr>
          <w:p w14:paraId="21E462F3"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51B4D4C0" w14:textId="77777777" w:rsidR="001929CC" w:rsidRDefault="001929CC" w:rsidP="001929CC">
            <w:pPr>
              <w:pStyle w:val="TableText"/>
              <w:snapToGrid w:val="0"/>
              <w:rPr>
                <w:lang w:eastAsia="it-IT"/>
              </w:rPr>
            </w:pPr>
          </w:p>
        </w:tc>
      </w:tr>
      <w:tr w:rsidR="001929CC" w14:paraId="2A5139BC"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7C8CA047" w14:textId="0846F36F" w:rsidR="001929CC" w:rsidRPr="008819FE" w:rsidRDefault="001929CC" w:rsidP="001929CC">
            <w:pPr>
              <w:pStyle w:val="TableText"/>
              <w:snapToGrid w:val="0"/>
              <w:ind w:left="57"/>
              <w:rPr>
                <w:sz w:val="16"/>
                <w:szCs w:val="16"/>
                <w:lang w:eastAsia="en-GB"/>
              </w:rPr>
            </w:pPr>
            <w:r w:rsidRPr="008819FE">
              <w:rPr>
                <w:sz w:val="16"/>
                <w:szCs w:val="16"/>
                <w:lang w:eastAsia="en-GB"/>
              </w:rPr>
              <w:t>23</w:t>
            </w:r>
          </w:p>
        </w:tc>
        <w:tc>
          <w:tcPr>
            <w:tcW w:w="5912" w:type="dxa"/>
            <w:tcBorders>
              <w:top w:val="single" w:sz="6" w:space="0" w:color="BCBDBC"/>
              <w:left w:val="single" w:sz="6" w:space="0" w:color="auto"/>
              <w:bottom w:val="single" w:sz="6" w:space="0" w:color="BCBDBC"/>
              <w:right w:val="single" w:sz="6" w:space="0" w:color="auto"/>
            </w:tcBorders>
          </w:tcPr>
          <w:p w14:paraId="39EDC6FE" w14:textId="77777777" w:rsidR="001929CC" w:rsidRPr="008819FE" w:rsidRDefault="001929CC" w:rsidP="001929CC">
            <w:pPr>
              <w:pStyle w:val="TableText"/>
              <w:snapToGrid w:val="0"/>
              <w:ind w:left="57" w:rightChars="71" w:right="142"/>
              <w:rPr>
                <w:lang w:eastAsia="it-IT"/>
              </w:rPr>
            </w:pPr>
            <w:r w:rsidRPr="008819FE">
              <w:rPr>
                <w:lang w:eastAsia="it-IT"/>
              </w:rPr>
              <w:t>Retail – Other retail exposures to individuals</w:t>
            </w:r>
          </w:p>
        </w:tc>
        <w:tc>
          <w:tcPr>
            <w:tcW w:w="1346" w:type="dxa"/>
            <w:tcBorders>
              <w:top w:val="single" w:sz="6" w:space="0" w:color="BCBDBC"/>
              <w:left w:val="single" w:sz="6" w:space="0" w:color="auto"/>
              <w:bottom w:val="single" w:sz="6" w:space="0" w:color="BCBDBC"/>
              <w:right w:val="single" w:sz="6" w:space="0" w:color="auto"/>
            </w:tcBorders>
          </w:tcPr>
          <w:p w14:paraId="71F7DA35"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4C7B1E96" w14:textId="77777777" w:rsidR="001929CC" w:rsidRDefault="001929CC" w:rsidP="001929CC">
            <w:pPr>
              <w:pStyle w:val="TableText"/>
              <w:snapToGrid w:val="0"/>
              <w:rPr>
                <w:lang w:eastAsia="it-IT"/>
              </w:rPr>
            </w:pPr>
          </w:p>
        </w:tc>
      </w:tr>
      <w:tr w:rsidR="001929CC" w14:paraId="6AB95015"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31F997D1" w14:textId="24F5A173" w:rsidR="001929CC" w:rsidRPr="008819FE" w:rsidRDefault="001929CC" w:rsidP="001929CC">
            <w:pPr>
              <w:pStyle w:val="TableText"/>
              <w:snapToGrid w:val="0"/>
              <w:ind w:left="57"/>
              <w:rPr>
                <w:sz w:val="16"/>
                <w:szCs w:val="16"/>
                <w:lang w:eastAsia="en-GB"/>
              </w:rPr>
            </w:pPr>
            <w:r w:rsidRPr="008819FE">
              <w:rPr>
                <w:sz w:val="16"/>
                <w:szCs w:val="16"/>
                <w:lang w:eastAsia="en-GB"/>
              </w:rPr>
              <w:t>24</w:t>
            </w:r>
          </w:p>
        </w:tc>
        <w:tc>
          <w:tcPr>
            <w:tcW w:w="5912" w:type="dxa"/>
            <w:tcBorders>
              <w:top w:val="single" w:sz="6" w:space="0" w:color="BCBDBC"/>
              <w:left w:val="single" w:sz="6" w:space="0" w:color="auto"/>
              <w:bottom w:val="single" w:sz="6" w:space="0" w:color="BCBDBC"/>
              <w:right w:val="single" w:sz="6" w:space="0" w:color="auto"/>
            </w:tcBorders>
          </w:tcPr>
          <w:p w14:paraId="4F420DA8" w14:textId="7206D5CF" w:rsidR="001929CC" w:rsidRPr="008819FE" w:rsidRDefault="001929CC" w:rsidP="001929CC">
            <w:pPr>
              <w:pStyle w:val="TableText"/>
              <w:snapToGrid w:val="0"/>
              <w:ind w:left="57" w:rightChars="71" w:right="142"/>
              <w:rPr>
                <w:lang w:eastAsia="it-IT"/>
              </w:rPr>
            </w:pPr>
            <w:r>
              <w:rPr>
                <w:lang w:eastAsia="it-IT"/>
              </w:rPr>
              <w:t>CIS</w:t>
            </w:r>
            <w:r w:rsidRPr="008819FE">
              <w:rPr>
                <w:lang w:eastAsia="it-IT"/>
              </w:rPr>
              <w:t xml:space="preserve"> –CIS exposures</w:t>
            </w:r>
          </w:p>
        </w:tc>
        <w:tc>
          <w:tcPr>
            <w:tcW w:w="1346" w:type="dxa"/>
            <w:tcBorders>
              <w:top w:val="single" w:sz="6" w:space="0" w:color="BCBDBC"/>
              <w:left w:val="single" w:sz="6" w:space="0" w:color="auto"/>
              <w:bottom w:val="single" w:sz="6" w:space="0" w:color="BCBDBC"/>
              <w:right w:val="single" w:sz="6" w:space="0" w:color="auto"/>
            </w:tcBorders>
          </w:tcPr>
          <w:p w14:paraId="3412D2FA" w14:textId="77777777" w:rsidR="001929CC" w:rsidRDefault="001929CC" w:rsidP="001929CC">
            <w:pPr>
              <w:pStyle w:val="TableText"/>
              <w:snapToGrid w:val="0"/>
              <w:ind w:left="57"/>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51349EB4" w14:textId="77777777" w:rsidR="001929CC" w:rsidRDefault="001929CC" w:rsidP="001929CC">
            <w:pPr>
              <w:pStyle w:val="TableText"/>
              <w:snapToGrid w:val="0"/>
              <w:rPr>
                <w:lang w:eastAsia="it-IT"/>
              </w:rPr>
            </w:pPr>
          </w:p>
        </w:tc>
      </w:tr>
      <w:tr w:rsidR="001929CC" w14:paraId="53CCFB17"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624216A9" w14:textId="0B4548E2" w:rsidR="001929CC" w:rsidRPr="008819FE" w:rsidRDefault="001929CC" w:rsidP="001929CC">
            <w:pPr>
              <w:pStyle w:val="TableText"/>
              <w:snapToGrid w:val="0"/>
              <w:ind w:left="57"/>
              <w:rPr>
                <w:sz w:val="16"/>
                <w:szCs w:val="16"/>
                <w:lang w:eastAsia="en-GB"/>
              </w:rPr>
            </w:pPr>
            <w:r w:rsidRPr="008819FE">
              <w:rPr>
                <w:sz w:val="16"/>
                <w:szCs w:val="16"/>
                <w:lang w:eastAsia="en-GB"/>
              </w:rPr>
              <w:t>25</w:t>
            </w:r>
          </w:p>
        </w:tc>
        <w:tc>
          <w:tcPr>
            <w:tcW w:w="5912" w:type="dxa"/>
            <w:tcBorders>
              <w:top w:val="single" w:sz="6" w:space="0" w:color="BCBDBC"/>
              <w:left w:val="single" w:sz="6" w:space="0" w:color="auto"/>
              <w:bottom w:val="single" w:sz="6" w:space="0" w:color="BCBDBC"/>
              <w:right w:val="single" w:sz="6" w:space="0" w:color="auto"/>
            </w:tcBorders>
          </w:tcPr>
          <w:p w14:paraId="1C6C33DA" w14:textId="77777777" w:rsidR="001929CC" w:rsidRPr="008819FE" w:rsidRDefault="001929CC" w:rsidP="001929CC">
            <w:pPr>
              <w:pStyle w:val="TableText"/>
              <w:snapToGrid w:val="0"/>
              <w:ind w:left="57" w:rightChars="71" w:right="142"/>
              <w:rPr>
                <w:lang w:eastAsia="it-IT"/>
              </w:rPr>
            </w:pPr>
            <w:r w:rsidRPr="008819FE">
              <w:rPr>
                <w:lang w:eastAsia="it-IT"/>
              </w:rPr>
              <w:t>Other – Cash items</w:t>
            </w:r>
          </w:p>
        </w:tc>
        <w:tc>
          <w:tcPr>
            <w:tcW w:w="1346" w:type="dxa"/>
            <w:tcBorders>
              <w:top w:val="single" w:sz="6" w:space="0" w:color="BCBDBC"/>
              <w:left w:val="single" w:sz="6" w:space="0" w:color="auto"/>
              <w:bottom w:val="single" w:sz="6" w:space="0" w:color="BCBDBC"/>
              <w:right w:val="single" w:sz="6" w:space="0" w:color="auto"/>
            </w:tcBorders>
          </w:tcPr>
          <w:p w14:paraId="7E0DFF98"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7A135C68" w14:textId="77777777" w:rsidR="001929CC" w:rsidRDefault="001929CC" w:rsidP="001929CC">
            <w:pPr>
              <w:pStyle w:val="TableText"/>
              <w:snapToGrid w:val="0"/>
              <w:rPr>
                <w:lang w:eastAsia="it-IT"/>
              </w:rPr>
            </w:pPr>
          </w:p>
        </w:tc>
      </w:tr>
      <w:tr w:rsidR="001929CC" w14:paraId="33517B0F" w14:textId="77777777" w:rsidTr="001929CC">
        <w:trPr>
          <w:cantSplit/>
          <w:trHeight w:val="270"/>
        </w:trPr>
        <w:tc>
          <w:tcPr>
            <w:tcW w:w="609" w:type="dxa"/>
            <w:tcBorders>
              <w:top w:val="single" w:sz="6" w:space="0" w:color="BCBDBC"/>
              <w:left w:val="nil"/>
              <w:bottom w:val="single" w:sz="6" w:space="0" w:color="BCBDBC"/>
              <w:right w:val="single" w:sz="6" w:space="0" w:color="auto"/>
            </w:tcBorders>
          </w:tcPr>
          <w:p w14:paraId="79C97E30" w14:textId="7C09C21E" w:rsidR="001929CC" w:rsidRPr="008819FE" w:rsidRDefault="001929CC" w:rsidP="001929CC">
            <w:pPr>
              <w:pStyle w:val="TableText"/>
              <w:snapToGrid w:val="0"/>
              <w:ind w:left="57"/>
              <w:rPr>
                <w:sz w:val="16"/>
                <w:szCs w:val="16"/>
                <w:lang w:eastAsia="en-GB"/>
              </w:rPr>
            </w:pPr>
            <w:r w:rsidRPr="008819FE">
              <w:rPr>
                <w:sz w:val="16"/>
                <w:szCs w:val="16"/>
                <w:lang w:eastAsia="en-GB"/>
              </w:rPr>
              <w:t>26</w:t>
            </w:r>
          </w:p>
        </w:tc>
        <w:tc>
          <w:tcPr>
            <w:tcW w:w="5912" w:type="dxa"/>
            <w:tcBorders>
              <w:top w:val="single" w:sz="6" w:space="0" w:color="BCBDBC"/>
              <w:left w:val="single" w:sz="6" w:space="0" w:color="auto"/>
              <w:bottom w:val="single" w:sz="6" w:space="0" w:color="BCBDBC"/>
              <w:right w:val="single" w:sz="6" w:space="0" w:color="auto"/>
            </w:tcBorders>
          </w:tcPr>
          <w:p w14:paraId="41FAF9AA" w14:textId="77777777" w:rsidR="001929CC" w:rsidRPr="008819FE" w:rsidRDefault="001929CC" w:rsidP="001929CC">
            <w:pPr>
              <w:pStyle w:val="TableText"/>
              <w:snapToGrid w:val="0"/>
              <w:ind w:left="57" w:rightChars="71" w:right="142"/>
              <w:rPr>
                <w:lang w:eastAsia="it-IT"/>
              </w:rPr>
            </w:pPr>
            <w:r w:rsidRPr="008819FE">
              <w:rPr>
                <w:lang w:eastAsia="it-IT"/>
              </w:rPr>
              <w:t>Other – Other items</w:t>
            </w:r>
          </w:p>
        </w:tc>
        <w:tc>
          <w:tcPr>
            <w:tcW w:w="1346" w:type="dxa"/>
            <w:tcBorders>
              <w:top w:val="single" w:sz="6" w:space="0" w:color="BCBDBC"/>
              <w:left w:val="single" w:sz="6" w:space="0" w:color="auto"/>
              <w:bottom w:val="single" w:sz="6" w:space="0" w:color="BCBDBC"/>
              <w:right w:val="single" w:sz="6" w:space="0" w:color="auto"/>
            </w:tcBorders>
          </w:tcPr>
          <w:p w14:paraId="5448BCE8"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6" w:space="0" w:color="BCBDBC"/>
              <w:right w:val="single" w:sz="4" w:space="0" w:color="auto"/>
            </w:tcBorders>
          </w:tcPr>
          <w:p w14:paraId="0583FB6F" w14:textId="77777777" w:rsidR="001929CC" w:rsidRDefault="001929CC" w:rsidP="001929CC">
            <w:pPr>
              <w:pStyle w:val="TableText"/>
              <w:snapToGrid w:val="0"/>
              <w:rPr>
                <w:lang w:eastAsia="it-IT"/>
              </w:rPr>
            </w:pPr>
          </w:p>
        </w:tc>
      </w:tr>
      <w:tr w:rsidR="001929CC" w14:paraId="49C278F4" w14:textId="77777777" w:rsidTr="001929CC">
        <w:trPr>
          <w:cantSplit/>
          <w:trHeight w:val="285"/>
        </w:trPr>
        <w:tc>
          <w:tcPr>
            <w:tcW w:w="609" w:type="dxa"/>
            <w:tcBorders>
              <w:top w:val="single" w:sz="6" w:space="0" w:color="BCBDBC"/>
              <w:left w:val="nil"/>
              <w:bottom w:val="single" w:sz="4" w:space="0" w:color="auto"/>
              <w:right w:val="single" w:sz="6" w:space="0" w:color="auto"/>
            </w:tcBorders>
          </w:tcPr>
          <w:p w14:paraId="57EACEF5" w14:textId="1D68E5B2" w:rsidR="001929CC" w:rsidRPr="008819FE" w:rsidRDefault="001929CC" w:rsidP="001929CC">
            <w:pPr>
              <w:pStyle w:val="TableText"/>
              <w:snapToGrid w:val="0"/>
              <w:ind w:left="57"/>
              <w:rPr>
                <w:b/>
                <w:bCs/>
                <w:lang w:eastAsia="it-IT"/>
              </w:rPr>
            </w:pPr>
            <w:r w:rsidRPr="008819FE">
              <w:rPr>
                <w:b/>
                <w:bCs/>
                <w:lang w:eastAsia="it-IT"/>
              </w:rPr>
              <w:t>27</w:t>
            </w:r>
          </w:p>
        </w:tc>
        <w:tc>
          <w:tcPr>
            <w:tcW w:w="5912" w:type="dxa"/>
            <w:tcBorders>
              <w:top w:val="single" w:sz="6" w:space="0" w:color="BCBDBC"/>
              <w:left w:val="single" w:sz="6" w:space="0" w:color="auto"/>
              <w:bottom w:val="single" w:sz="4" w:space="0" w:color="auto"/>
              <w:right w:val="single" w:sz="6" w:space="0" w:color="auto"/>
            </w:tcBorders>
          </w:tcPr>
          <w:p w14:paraId="6612650B" w14:textId="77777777" w:rsidR="001929CC" w:rsidRPr="008819FE" w:rsidRDefault="001929CC" w:rsidP="001929CC">
            <w:pPr>
              <w:pStyle w:val="TableText"/>
              <w:snapToGrid w:val="0"/>
              <w:ind w:left="57"/>
              <w:rPr>
                <w:b/>
                <w:bCs/>
                <w:lang w:eastAsia="it-IT"/>
              </w:rPr>
            </w:pPr>
            <w:r w:rsidRPr="008819FE">
              <w:rPr>
                <w:b/>
                <w:bCs/>
                <w:lang w:eastAsia="it-IT"/>
              </w:rPr>
              <w:t>Total (under the IRB calculation approaches)</w:t>
            </w:r>
          </w:p>
        </w:tc>
        <w:tc>
          <w:tcPr>
            <w:tcW w:w="1346" w:type="dxa"/>
            <w:tcBorders>
              <w:top w:val="single" w:sz="6" w:space="0" w:color="BCBDBC"/>
              <w:left w:val="single" w:sz="6" w:space="0" w:color="auto"/>
              <w:bottom w:val="single" w:sz="4" w:space="0" w:color="auto"/>
              <w:right w:val="single" w:sz="6" w:space="0" w:color="auto"/>
            </w:tcBorders>
          </w:tcPr>
          <w:p w14:paraId="6ABB413E" w14:textId="77777777" w:rsidR="001929CC" w:rsidRDefault="001929CC" w:rsidP="001929CC">
            <w:pPr>
              <w:pStyle w:val="TableText"/>
              <w:snapToGrid w:val="0"/>
              <w:rPr>
                <w:lang w:eastAsia="it-IT"/>
              </w:rPr>
            </w:pPr>
          </w:p>
        </w:tc>
        <w:tc>
          <w:tcPr>
            <w:tcW w:w="1347" w:type="dxa"/>
            <w:tcBorders>
              <w:top w:val="single" w:sz="6" w:space="0" w:color="BCBDBC"/>
              <w:left w:val="single" w:sz="6" w:space="0" w:color="auto"/>
              <w:bottom w:val="single" w:sz="4" w:space="0" w:color="auto"/>
              <w:right w:val="single" w:sz="4" w:space="0" w:color="auto"/>
            </w:tcBorders>
          </w:tcPr>
          <w:p w14:paraId="2CC2D718" w14:textId="77777777" w:rsidR="001929CC" w:rsidRDefault="001929CC" w:rsidP="001929CC">
            <w:pPr>
              <w:pStyle w:val="TableText"/>
              <w:snapToGrid w:val="0"/>
              <w:rPr>
                <w:lang w:eastAsia="it-IT"/>
              </w:rPr>
            </w:pPr>
          </w:p>
        </w:tc>
      </w:tr>
    </w:tbl>
    <w:p w14:paraId="44A6FC30" w14:textId="77777777" w:rsidR="001929CC" w:rsidRDefault="001929CC" w:rsidP="001929CC">
      <w:pPr>
        <w:spacing w:before="120" w:after="120"/>
        <w:ind w:leftChars="-283" w:left="-566"/>
        <w:rPr>
          <w:sz w:val="22"/>
        </w:rPr>
      </w:pPr>
    </w:p>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47"/>
      </w:tblGrid>
      <w:tr w:rsidR="001929CC" w14:paraId="1B748FA3" w14:textId="77777777" w:rsidTr="001929CC">
        <w:trPr>
          <w:tblHeader/>
        </w:trPr>
        <w:tc>
          <w:tcPr>
            <w:tcW w:w="9214" w:type="dxa"/>
            <w:gridSpan w:val="2"/>
            <w:shd w:val="clear" w:color="auto" w:fill="BFBFBF"/>
          </w:tcPr>
          <w:p w14:paraId="55258538" w14:textId="77777777" w:rsidR="001929CC" w:rsidRDefault="001929CC" w:rsidP="001929CC">
            <w:pPr>
              <w:spacing w:before="40" w:after="40"/>
              <w:jc w:val="both"/>
              <w:rPr>
                <w:rFonts w:eastAsia="新細明體"/>
                <w:b/>
                <w:sz w:val="17"/>
                <w:szCs w:val="17"/>
                <w:lang w:eastAsia="en-GB"/>
              </w:rPr>
            </w:pPr>
            <w:r>
              <w:rPr>
                <w:rFonts w:eastAsia="新細明體"/>
                <w:b/>
                <w:sz w:val="17"/>
                <w:szCs w:val="17"/>
                <w:lang w:eastAsia="en-GB"/>
              </w:rPr>
              <w:t>Explanatory Note</w:t>
            </w:r>
          </w:p>
        </w:tc>
      </w:tr>
      <w:tr w:rsidR="001929CC" w14:paraId="46C6271F" w14:textId="77777777" w:rsidTr="001929CC">
        <w:trPr>
          <w:trHeight w:val="153"/>
        </w:trPr>
        <w:tc>
          <w:tcPr>
            <w:tcW w:w="9214" w:type="dxa"/>
            <w:gridSpan w:val="2"/>
            <w:shd w:val="clear" w:color="auto" w:fill="F2F2F2"/>
          </w:tcPr>
          <w:p w14:paraId="61B70EF8" w14:textId="77777777" w:rsidR="001929CC" w:rsidRDefault="001929CC" w:rsidP="001929CC">
            <w:pPr>
              <w:spacing w:before="40" w:after="40"/>
              <w:jc w:val="both"/>
              <w:rPr>
                <w:rFonts w:eastAsia="新細明體"/>
                <w:b/>
                <w:sz w:val="17"/>
                <w:szCs w:val="17"/>
                <w:lang w:eastAsia="en-GB"/>
              </w:rPr>
            </w:pPr>
            <w:r>
              <w:rPr>
                <w:rFonts w:eastAsia="新細明體"/>
                <w:b/>
                <w:sz w:val="17"/>
                <w:szCs w:val="17"/>
                <w:lang w:eastAsia="en-GB"/>
              </w:rPr>
              <w:t>Columns</w:t>
            </w:r>
          </w:p>
        </w:tc>
      </w:tr>
      <w:tr w:rsidR="001929CC" w14:paraId="54C298F4" w14:textId="77777777" w:rsidTr="001929CC">
        <w:tc>
          <w:tcPr>
            <w:tcW w:w="567" w:type="dxa"/>
          </w:tcPr>
          <w:p w14:paraId="3AD7A0BC" w14:textId="77777777" w:rsidR="001929CC" w:rsidRDefault="001929CC" w:rsidP="001929CC">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(a)</w:t>
            </w:r>
          </w:p>
        </w:tc>
        <w:tc>
          <w:tcPr>
            <w:tcW w:w="8647" w:type="dxa"/>
          </w:tcPr>
          <w:p w14:paraId="7D3E2948" w14:textId="77777777" w:rsidR="001929CC" w:rsidRDefault="001929CC" w:rsidP="001929CC">
            <w:pPr>
              <w:pStyle w:val="TableText"/>
              <w:keepNext/>
              <w:jc w:val="both"/>
              <w:rPr>
                <w:szCs w:val="17"/>
              </w:rPr>
            </w:pPr>
            <w:r>
              <w:rPr>
                <w:i/>
                <w:szCs w:val="17"/>
              </w:rPr>
              <w:t>Pre-credit derivatives RWA</w:t>
            </w:r>
            <w:r>
              <w:rPr>
                <w:szCs w:val="17"/>
              </w:rPr>
              <w:t xml:space="preserve">: the hypothetical RWA calculated assuming the absence of recognition of any </w:t>
            </w:r>
            <w:r>
              <w:rPr>
                <w:lang w:eastAsia="en-GB"/>
              </w:rPr>
              <w:t xml:space="preserve">recognized </w:t>
            </w:r>
            <w:r>
              <w:rPr>
                <w:szCs w:val="17"/>
              </w:rPr>
              <w:t>credit derivative contracts as CRM.</w:t>
            </w:r>
          </w:p>
        </w:tc>
      </w:tr>
      <w:tr w:rsidR="001929CC" w14:paraId="15ACDBC6" w14:textId="77777777" w:rsidTr="001929CC">
        <w:trPr>
          <w:trHeight w:val="373"/>
        </w:trPr>
        <w:tc>
          <w:tcPr>
            <w:tcW w:w="567" w:type="dxa"/>
          </w:tcPr>
          <w:p w14:paraId="4872B4C3" w14:textId="77777777" w:rsidR="001929CC" w:rsidRDefault="001929CC" w:rsidP="001929CC">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(b)</w:t>
            </w:r>
          </w:p>
        </w:tc>
        <w:tc>
          <w:tcPr>
            <w:tcW w:w="8647" w:type="dxa"/>
          </w:tcPr>
          <w:p w14:paraId="738D7ACC" w14:textId="5C40AD9C" w:rsidR="001929CC" w:rsidRDefault="001929CC" w:rsidP="001929CC">
            <w:pPr>
              <w:pStyle w:val="TableNote"/>
              <w:spacing w:before="40" w:after="40"/>
              <w:rPr>
                <w:sz w:val="17"/>
                <w:szCs w:val="17"/>
              </w:rPr>
            </w:pPr>
            <w:r>
              <w:rPr>
                <w:i/>
                <w:sz w:val="17"/>
                <w:szCs w:val="17"/>
              </w:rPr>
              <w:t>Actual RWA</w:t>
            </w:r>
            <w:r>
              <w:rPr>
                <w:sz w:val="17"/>
                <w:szCs w:val="17"/>
              </w:rPr>
              <w:t>: RWA calculated taking into account the CRM effect of the recognized credit derivative contracts in accordance with Division 10, Part 6 of the BCR.  If an AI does not consider the CRM effect of recognized credit derivative contracts in its RWA calculation of an exposure, or if certain exposures are not eligible for recognizing any CRM effect from credit derivative contracts, the AI should report identical amounts in both columns for these exposures.</w:t>
            </w:r>
          </w:p>
        </w:tc>
      </w:tr>
    </w:tbl>
    <w:p w14:paraId="2377F18E" w14:textId="77777777" w:rsidR="001929CC" w:rsidRDefault="001929CC" w:rsidP="001929CC">
      <w:pPr>
        <w:spacing w:before="120" w:after="120"/>
        <w:rPr>
          <w:sz w:val="22"/>
        </w:rPr>
      </w:pPr>
    </w:p>
    <w:p w14:paraId="4B7A9805" w14:textId="77777777" w:rsidR="001929CC" w:rsidRDefault="001929CC" w:rsidP="001929CC">
      <w:pPr>
        <w:spacing w:before="40" w:after="40"/>
        <w:jc w:val="both"/>
        <w:sectPr w:rsidR="001929CC" w:rsidSect="001929CC">
          <w:footerReference w:type="default" r:id="rId53"/>
          <w:pgSz w:w="11906" w:h="16838" w:code="9"/>
          <w:pgMar w:top="1440" w:right="1416" w:bottom="1440" w:left="1797" w:header="851" w:footer="737" w:gutter="0"/>
          <w:cols w:space="425"/>
          <w:docGrid w:type="linesAndChars" w:linePitch="360"/>
        </w:sectPr>
      </w:pPr>
    </w:p>
    <w:p w14:paraId="699C57B8" w14:textId="77B4CBC2" w:rsidR="00BE0623" w:rsidRDefault="00DF5B63" w:rsidP="005C2D42">
      <w:pPr>
        <w:pStyle w:val="Heading3"/>
        <w:ind w:left="-397"/>
      </w:pPr>
      <w:r>
        <w:lastRenderedPageBreak/>
        <w:t>Template CR8: RWA flow statements of credit risk exposures under IRB approach</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DF5B63" w14:paraId="4DB0F8B9" w14:textId="77777777" w:rsidTr="006C63B0">
        <w:tc>
          <w:tcPr>
            <w:tcW w:w="2008" w:type="dxa"/>
          </w:tcPr>
          <w:p w14:paraId="4824838B" w14:textId="77777777" w:rsidR="00DF5B63" w:rsidRDefault="00DF5B63" w:rsidP="006C63B0">
            <w:pPr>
              <w:spacing w:before="40" w:after="40"/>
              <w:rPr>
                <w:noProof/>
                <w:sz w:val="17"/>
                <w:lang w:eastAsia="en-GB"/>
              </w:rPr>
            </w:pPr>
            <w:r>
              <w:rPr>
                <w:b/>
                <w:sz w:val="17"/>
                <w:lang w:eastAsia="en-GB"/>
              </w:rPr>
              <w:t>Purpose:</w:t>
            </w:r>
            <w:r>
              <w:rPr>
                <w:sz w:val="17"/>
                <w:lang w:eastAsia="en-GB"/>
              </w:rPr>
              <w:t xml:space="preserve"> </w:t>
            </w:r>
          </w:p>
        </w:tc>
        <w:tc>
          <w:tcPr>
            <w:tcW w:w="7234" w:type="dxa"/>
          </w:tcPr>
          <w:p w14:paraId="3BD74CFA" w14:textId="77777777" w:rsidR="00DF5B63" w:rsidRDefault="00DF5B63" w:rsidP="006C63B0">
            <w:pPr>
              <w:spacing w:before="40" w:after="40"/>
              <w:jc w:val="both"/>
              <w:rPr>
                <w:rFonts w:eastAsia="新細明體"/>
                <w:sz w:val="17"/>
                <w:lang w:eastAsia="en-GB"/>
              </w:rPr>
            </w:pPr>
            <w:r>
              <w:rPr>
                <w:rFonts w:eastAsia="新細明體"/>
                <w:sz w:val="17"/>
                <w:lang w:eastAsia="en-GB"/>
              </w:rPr>
              <w:t>To present a flow statement explaining variations in the RWA for credit risk determined under the IRB approach.</w:t>
            </w:r>
          </w:p>
        </w:tc>
      </w:tr>
      <w:tr w:rsidR="00DF5B63" w14:paraId="21CF538C" w14:textId="77777777" w:rsidTr="006C63B0">
        <w:tc>
          <w:tcPr>
            <w:tcW w:w="2008" w:type="dxa"/>
          </w:tcPr>
          <w:p w14:paraId="1942AC3F" w14:textId="77777777" w:rsidR="00DF5B63" w:rsidRDefault="00DF5B63" w:rsidP="006C63B0">
            <w:pPr>
              <w:spacing w:before="40" w:after="40"/>
              <w:rPr>
                <w:b/>
                <w:sz w:val="17"/>
                <w:lang w:eastAsia="en-GB"/>
              </w:rPr>
            </w:pPr>
            <w:r>
              <w:rPr>
                <w:b/>
                <w:sz w:val="17"/>
                <w:lang w:eastAsia="en-GB"/>
              </w:rPr>
              <w:t xml:space="preserve">Scope of application: </w:t>
            </w:r>
          </w:p>
        </w:tc>
        <w:tc>
          <w:tcPr>
            <w:tcW w:w="7234" w:type="dxa"/>
          </w:tcPr>
          <w:p w14:paraId="2DD6BAF7" w14:textId="77777777" w:rsidR="00DF5B63" w:rsidRDefault="00DF5B63" w:rsidP="006C63B0">
            <w:pPr>
              <w:spacing w:before="40" w:after="40"/>
              <w:jc w:val="both"/>
              <w:rPr>
                <w:rFonts w:eastAsia="新細明體"/>
                <w:sz w:val="17"/>
                <w:lang w:eastAsia="en-GB"/>
              </w:rPr>
            </w:pPr>
            <w:r>
              <w:rPr>
                <w:rFonts w:eastAsia="新細明體"/>
                <w:sz w:val="17"/>
                <w:lang w:eastAsia="en-GB"/>
              </w:rPr>
              <w:t>The template is mandatory for AIs incorporated in Hong Kong that use the IRB calculation approaches for some or all of their exposures.</w:t>
            </w:r>
          </w:p>
        </w:tc>
      </w:tr>
      <w:tr w:rsidR="00DF5B63" w14:paraId="0A3D4D9F" w14:textId="77777777" w:rsidTr="006C63B0">
        <w:tc>
          <w:tcPr>
            <w:tcW w:w="2008" w:type="dxa"/>
          </w:tcPr>
          <w:p w14:paraId="29C4F615" w14:textId="77777777" w:rsidR="00DF5B63" w:rsidRDefault="00DF5B63" w:rsidP="006C63B0">
            <w:pPr>
              <w:spacing w:before="40" w:after="40"/>
              <w:rPr>
                <w:b/>
                <w:sz w:val="17"/>
                <w:lang w:eastAsia="en-GB"/>
              </w:rPr>
            </w:pPr>
            <w:r>
              <w:rPr>
                <w:b/>
                <w:sz w:val="17"/>
                <w:lang w:eastAsia="en-GB"/>
              </w:rPr>
              <w:t xml:space="preserve">Content: </w:t>
            </w:r>
          </w:p>
        </w:tc>
        <w:tc>
          <w:tcPr>
            <w:tcW w:w="7234" w:type="dxa"/>
          </w:tcPr>
          <w:p w14:paraId="04213D67" w14:textId="77777777" w:rsidR="00DF5B63" w:rsidRDefault="00DF5B63" w:rsidP="006C63B0">
            <w:pPr>
              <w:spacing w:before="40" w:after="40"/>
              <w:jc w:val="both"/>
              <w:rPr>
                <w:rFonts w:eastAsia="新細明體"/>
                <w:b/>
                <w:sz w:val="17"/>
                <w:lang w:eastAsia="en-GB"/>
              </w:rPr>
            </w:pPr>
            <w:r>
              <w:rPr>
                <w:rFonts w:eastAsia="新細明體"/>
                <w:sz w:val="17"/>
                <w:lang w:eastAsia="en-GB"/>
              </w:rPr>
              <w:t>RWA.</w:t>
            </w:r>
            <w:r>
              <w:t xml:space="preserve">  </w:t>
            </w:r>
            <w:r>
              <w:rPr>
                <w:sz w:val="17"/>
                <w:szCs w:val="17"/>
              </w:rPr>
              <w:t>Changes in RWA in the current reporting period for each of the key drivers should be based on an AI’s reasonable estimation of the figures.</w:t>
            </w:r>
          </w:p>
        </w:tc>
      </w:tr>
      <w:tr w:rsidR="00DF5B63" w14:paraId="0244D3BE" w14:textId="77777777" w:rsidTr="006C63B0">
        <w:tc>
          <w:tcPr>
            <w:tcW w:w="2008" w:type="dxa"/>
          </w:tcPr>
          <w:p w14:paraId="6CD77EE3" w14:textId="77777777" w:rsidR="00DF5B63" w:rsidRDefault="00DF5B63" w:rsidP="006C63B0">
            <w:pPr>
              <w:spacing w:before="40" w:after="40"/>
              <w:rPr>
                <w:sz w:val="17"/>
                <w:lang w:eastAsia="en-GB"/>
              </w:rPr>
            </w:pPr>
            <w:r>
              <w:rPr>
                <w:b/>
                <w:sz w:val="17"/>
                <w:lang w:eastAsia="en-GB"/>
              </w:rPr>
              <w:t>Frequency:</w:t>
            </w:r>
            <w:r>
              <w:rPr>
                <w:sz w:val="17"/>
                <w:lang w:eastAsia="en-GB"/>
              </w:rPr>
              <w:t xml:space="preserve"> </w:t>
            </w:r>
          </w:p>
        </w:tc>
        <w:tc>
          <w:tcPr>
            <w:tcW w:w="7234" w:type="dxa"/>
          </w:tcPr>
          <w:p w14:paraId="222BB829" w14:textId="77777777" w:rsidR="00DF5B63" w:rsidRDefault="00DF5B63" w:rsidP="006C63B0">
            <w:pPr>
              <w:pStyle w:val="TableText"/>
              <w:jc w:val="both"/>
              <w:rPr>
                <w:lang w:eastAsia="en-GB"/>
              </w:rPr>
            </w:pPr>
            <w:r>
              <w:rPr>
                <w:lang w:eastAsia="en-GB"/>
              </w:rPr>
              <w:t>Quarterly.</w:t>
            </w:r>
          </w:p>
        </w:tc>
      </w:tr>
      <w:tr w:rsidR="00DF5B63" w14:paraId="724FDC29" w14:textId="77777777" w:rsidTr="006C63B0">
        <w:tc>
          <w:tcPr>
            <w:tcW w:w="2008" w:type="dxa"/>
          </w:tcPr>
          <w:p w14:paraId="257BC125" w14:textId="77777777" w:rsidR="00DF5B63" w:rsidRDefault="00DF5B63" w:rsidP="006C63B0">
            <w:pPr>
              <w:spacing w:before="40" w:after="40"/>
              <w:rPr>
                <w:sz w:val="17"/>
                <w:lang w:eastAsia="en-GB"/>
              </w:rPr>
            </w:pPr>
            <w:r>
              <w:rPr>
                <w:b/>
                <w:sz w:val="17"/>
                <w:lang w:eastAsia="en-GB"/>
              </w:rPr>
              <w:t>Format:</w:t>
            </w:r>
            <w:r>
              <w:rPr>
                <w:sz w:val="17"/>
                <w:lang w:eastAsia="en-GB"/>
              </w:rPr>
              <w:t xml:space="preserve"> </w:t>
            </w:r>
          </w:p>
        </w:tc>
        <w:tc>
          <w:tcPr>
            <w:tcW w:w="7234" w:type="dxa"/>
          </w:tcPr>
          <w:p w14:paraId="17AD66DD" w14:textId="77777777" w:rsidR="00DF5B63" w:rsidRDefault="00DF5B63" w:rsidP="006C63B0">
            <w:pPr>
              <w:pStyle w:val="TableText"/>
              <w:jc w:val="both"/>
              <w:rPr>
                <w:lang w:eastAsia="en-GB"/>
              </w:rPr>
            </w:pPr>
            <w:r>
              <w:rPr>
                <w:lang w:eastAsia="en-GB"/>
              </w:rPr>
              <w:t xml:space="preserve">Fixed.  Columns and rows 1 and 9 should not be altered.  An AI should add additional rows between rows 7 and 8 to disclose additional elements, if any, that contribute materially to RWA variations. </w:t>
            </w:r>
          </w:p>
        </w:tc>
      </w:tr>
      <w:tr w:rsidR="00DF5B63" w14:paraId="6BFCA87D" w14:textId="77777777" w:rsidTr="006C63B0">
        <w:tc>
          <w:tcPr>
            <w:tcW w:w="2008" w:type="dxa"/>
          </w:tcPr>
          <w:p w14:paraId="7CBE13B7" w14:textId="77777777" w:rsidR="00DF5B63" w:rsidRDefault="00DF5B63" w:rsidP="006C63B0">
            <w:pPr>
              <w:spacing w:before="40" w:after="40"/>
              <w:rPr>
                <w:b/>
                <w:sz w:val="17"/>
                <w:lang w:eastAsia="en-GB"/>
              </w:rPr>
            </w:pPr>
            <w:r>
              <w:rPr>
                <w:rFonts w:eastAsia="新細明體"/>
                <w:b/>
                <w:sz w:val="17"/>
                <w:szCs w:val="17"/>
                <w:lang w:eastAsia="en-GB"/>
              </w:rPr>
              <w:t>Accompanying narrative</w:t>
            </w:r>
            <w:r>
              <w:rPr>
                <w:rFonts w:eastAsia="新細明體"/>
                <w:sz w:val="17"/>
                <w:szCs w:val="17"/>
                <w:lang w:eastAsia="en-GB"/>
              </w:rPr>
              <w:t>:</w:t>
            </w:r>
          </w:p>
        </w:tc>
        <w:tc>
          <w:tcPr>
            <w:tcW w:w="7234" w:type="dxa"/>
          </w:tcPr>
          <w:p w14:paraId="23075961" w14:textId="77777777" w:rsidR="00DF5B63" w:rsidRDefault="00DF5B63" w:rsidP="006C63B0">
            <w:pPr>
              <w:pStyle w:val="TableText"/>
              <w:jc w:val="both"/>
              <w:rPr>
                <w:noProof/>
                <w:lang w:eastAsia="en-GB"/>
              </w:rPr>
            </w:pPr>
            <w:r>
              <w:rPr>
                <w:szCs w:val="17"/>
                <w:lang w:eastAsia="en-GB"/>
              </w:rPr>
              <w:t>An AI should supplement the template with a narrative commentary to explain any material change in the current reporting period and the key drivers of such changes.</w:t>
            </w:r>
            <w:r>
              <w:rPr>
                <w:lang w:eastAsia="en-GB"/>
              </w:rPr>
              <w:t xml:space="preserve"> </w:t>
            </w:r>
          </w:p>
        </w:tc>
      </w:tr>
      <w:tr w:rsidR="00DF5B63" w14:paraId="5C6D098E" w14:textId="77777777" w:rsidTr="006C63B0">
        <w:tc>
          <w:tcPr>
            <w:tcW w:w="2008" w:type="dxa"/>
          </w:tcPr>
          <w:p w14:paraId="56D8C3D6" w14:textId="77777777" w:rsidR="00DF5B63" w:rsidRDefault="00DF5B63" w:rsidP="006C63B0">
            <w:pPr>
              <w:spacing w:before="40" w:after="40"/>
              <w:rPr>
                <w:rFonts w:eastAsia="新細明體"/>
                <w:b/>
                <w:sz w:val="17"/>
                <w:szCs w:val="17"/>
                <w:lang w:eastAsia="en-GB"/>
              </w:rPr>
            </w:pPr>
            <w:r>
              <w:rPr>
                <w:rFonts w:eastAsia="新細明體"/>
                <w:b/>
                <w:sz w:val="17"/>
                <w:szCs w:val="17"/>
                <w:lang w:eastAsia="en-GB"/>
              </w:rPr>
              <w:t>Corresponding BDR section:</w:t>
            </w:r>
          </w:p>
        </w:tc>
        <w:tc>
          <w:tcPr>
            <w:tcW w:w="7234" w:type="dxa"/>
          </w:tcPr>
          <w:p w14:paraId="54DDCF78" w14:textId="77777777" w:rsidR="00DF5B63" w:rsidRDefault="00DF5B63" w:rsidP="006C63B0">
            <w:pPr>
              <w:pStyle w:val="TableText"/>
              <w:jc w:val="both"/>
              <w:rPr>
                <w:szCs w:val="17"/>
                <w:lang w:eastAsia="en-GB"/>
              </w:rPr>
            </w:pPr>
            <w:r>
              <w:rPr>
                <w:szCs w:val="17"/>
                <w:lang w:eastAsia="en-GB"/>
              </w:rPr>
              <w:t>16S</w:t>
            </w:r>
          </w:p>
        </w:tc>
      </w:tr>
    </w:tbl>
    <w:p w14:paraId="14302B75" w14:textId="77777777" w:rsidR="00DF5B63" w:rsidRDefault="00DF5B63" w:rsidP="00BE0623">
      <w:pPr>
        <w:spacing w:before="120" w:after="120"/>
        <w:rPr>
          <w:sz w:val="22"/>
        </w:rPr>
      </w:pPr>
    </w:p>
    <w:tbl>
      <w:tblPr>
        <w:tblW w:w="9242" w:type="dxa"/>
        <w:tblInd w:w="-459"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ayout w:type="fixed"/>
        <w:tblLook w:val="00A0" w:firstRow="1" w:lastRow="0" w:firstColumn="1" w:lastColumn="0" w:noHBand="0" w:noVBand="0"/>
      </w:tblPr>
      <w:tblGrid>
        <w:gridCol w:w="567"/>
        <w:gridCol w:w="7458"/>
        <w:gridCol w:w="1217"/>
      </w:tblGrid>
      <w:tr w:rsidR="00BE0623" w14:paraId="671DA44B" w14:textId="77777777" w:rsidTr="006C63B0">
        <w:trPr>
          <w:cantSplit/>
          <w:trHeight w:val="107"/>
          <w:tblHeader/>
        </w:trPr>
        <w:tc>
          <w:tcPr>
            <w:tcW w:w="567" w:type="dxa"/>
            <w:tcBorders>
              <w:top w:val="nil"/>
              <w:left w:val="nil"/>
              <w:bottom w:val="nil"/>
              <w:right w:val="nil"/>
            </w:tcBorders>
          </w:tcPr>
          <w:p w14:paraId="2DDE1E8A" w14:textId="77777777" w:rsidR="00BE0623" w:rsidRDefault="00BE0623" w:rsidP="006C63B0">
            <w:pPr>
              <w:pStyle w:val="TableText"/>
              <w:snapToGrid w:val="0"/>
              <w:ind w:leftChars="-54" w:left="-108"/>
              <w:rPr>
                <w:lang w:eastAsia="en-GB"/>
              </w:rPr>
            </w:pPr>
          </w:p>
        </w:tc>
        <w:tc>
          <w:tcPr>
            <w:tcW w:w="7458" w:type="dxa"/>
            <w:tcBorders>
              <w:top w:val="nil"/>
              <w:left w:val="nil"/>
              <w:bottom w:val="nil"/>
              <w:right w:val="single" w:sz="4" w:space="0" w:color="auto"/>
            </w:tcBorders>
            <w:vAlign w:val="center"/>
          </w:tcPr>
          <w:p w14:paraId="3D4665CE" w14:textId="77777777" w:rsidR="00BE0623" w:rsidRDefault="00BE0623" w:rsidP="006C63B0">
            <w:pPr>
              <w:pStyle w:val="TableText"/>
              <w:snapToGrid w:val="0"/>
              <w:ind w:leftChars="-621" w:left="-1242"/>
              <w:rPr>
                <w:lang w:eastAsia="en-GB"/>
              </w:rPr>
            </w:pPr>
          </w:p>
        </w:tc>
        <w:tc>
          <w:tcPr>
            <w:tcW w:w="1217" w:type="dxa"/>
            <w:tcBorders>
              <w:top w:val="single" w:sz="4" w:space="0" w:color="auto"/>
              <w:left w:val="single" w:sz="4" w:space="0" w:color="auto"/>
              <w:bottom w:val="single" w:sz="4" w:space="0" w:color="auto"/>
              <w:right w:val="single" w:sz="4" w:space="0" w:color="auto"/>
            </w:tcBorders>
            <w:vAlign w:val="center"/>
          </w:tcPr>
          <w:p w14:paraId="50BC693A" w14:textId="77777777" w:rsidR="00BE0623" w:rsidRDefault="00BE0623" w:rsidP="006C63B0">
            <w:pPr>
              <w:pStyle w:val="TableText"/>
              <w:snapToGrid w:val="0"/>
              <w:jc w:val="center"/>
              <w:rPr>
                <w:bCs/>
                <w:szCs w:val="17"/>
                <w:lang w:eastAsia="it-IT"/>
              </w:rPr>
            </w:pPr>
            <w:r>
              <w:rPr>
                <w:bCs/>
                <w:szCs w:val="17"/>
                <w:lang w:eastAsia="it-IT"/>
              </w:rPr>
              <w:t>(a)</w:t>
            </w:r>
          </w:p>
        </w:tc>
      </w:tr>
      <w:tr w:rsidR="00BE0623" w14:paraId="079B0479" w14:textId="77777777" w:rsidTr="006C63B0">
        <w:trPr>
          <w:cantSplit/>
          <w:tblHeader/>
        </w:trPr>
        <w:tc>
          <w:tcPr>
            <w:tcW w:w="567" w:type="dxa"/>
            <w:tcBorders>
              <w:top w:val="nil"/>
              <w:left w:val="nil"/>
              <w:bottom w:val="single" w:sz="4" w:space="0" w:color="auto"/>
              <w:right w:val="nil"/>
            </w:tcBorders>
          </w:tcPr>
          <w:p w14:paraId="7734C35C" w14:textId="77777777" w:rsidR="00BE0623" w:rsidRDefault="00BE0623" w:rsidP="006C63B0">
            <w:pPr>
              <w:pStyle w:val="TableText"/>
              <w:snapToGrid w:val="0"/>
              <w:rPr>
                <w:lang w:eastAsia="en-GB"/>
              </w:rPr>
            </w:pPr>
          </w:p>
        </w:tc>
        <w:tc>
          <w:tcPr>
            <w:tcW w:w="7458" w:type="dxa"/>
            <w:tcBorders>
              <w:top w:val="nil"/>
              <w:left w:val="nil"/>
              <w:bottom w:val="single" w:sz="4" w:space="0" w:color="auto"/>
              <w:right w:val="single" w:sz="4" w:space="0" w:color="auto"/>
            </w:tcBorders>
            <w:vAlign w:val="center"/>
          </w:tcPr>
          <w:p w14:paraId="3E3792C3" w14:textId="77777777" w:rsidR="00BE0623" w:rsidRDefault="00BE0623" w:rsidP="006C63B0">
            <w:pPr>
              <w:pStyle w:val="TableText"/>
              <w:snapToGrid w:val="0"/>
              <w:rPr>
                <w:lang w:eastAsia="en-GB"/>
              </w:rPr>
            </w:pPr>
          </w:p>
        </w:tc>
        <w:tc>
          <w:tcPr>
            <w:tcW w:w="1217" w:type="dxa"/>
            <w:tcBorders>
              <w:top w:val="single" w:sz="4" w:space="0" w:color="auto"/>
              <w:left w:val="single" w:sz="4" w:space="0" w:color="auto"/>
              <w:bottom w:val="single" w:sz="4" w:space="0" w:color="auto"/>
              <w:right w:val="single" w:sz="4" w:space="0" w:color="auto"/>
            </w:tcBorders>
            <w:vAlign w:val="center"/>
          </w:tcPr>
          <w:p w14:paraId="750623DE" w14:textId="77777777" w:rsidR="00BE0623" w:rsidRDefault="00BE0623" w:rsidP="006C63B0">
            <w:pPr>
              <w:pStyle w:val="TableText"/>
              <w:snapToGrid w:val="0"/>
              <w:jc w:val="center"/>
              <w:rPr>
                <w:b/>
                <w:bCs/>
                <w:szCs w:val="17"/>
                <w:lang w:eastAsia="it-IT"/>
              </w:rPr>
            </w:pPr>
            <w:r>
              <w:rPr>
                <w:b/>
                <w:lang w:eastAsia="it-IT"/>
              </w:rPr>
              <w:t>Amount</w:t>
            </w:r>
          </w:p>
        </w:tc>
      </w:tr>
      <w:tr w:rsidR="00BE0623" w14:paraId="0A4A0198" w14:textId="77777777" w:rsidTr="006C63B0">
        <w:trPr>
          <w:cantSplit/>
          <w:tblHeader/>
        </w:trPr>
        <w:tc>
          <w:tcPr>
            <w:tcW w:w="567" w:type="dxa"/>
            <w:tcBorders>
              <w:top w:val="single" w:sz="4" w:space="0" w:color="auto"/>
              <w:left w:val="nil"/>
              <w:right w:val="single" w:sz="4" w:space="0" w:color="auto"/>
            </w:tcBorders>
          </w:tcPr>
          <w:p w14:paraId="61073D25" w14:textId="77777777" w:rsidR="00BE0623" w:rsidRDefault="00BE0623" w:rsidP="006C63B0">
            <w:pPr>
              <w:pStyle w:val="TableText"/>
              <w:snapToGrid w:val="0"/>
              <w:rPr>
                <w:b/>
                <w:lang w:eastAsia="en-GB"/>
              </w:rPr>
            </w:pPr>
            <w:r>
              <w:rPr>
                <w:b/>
                <w:lang w:eastAsia="en-GB"/>
              </w:rPr>
              <w:t>1</w:t>
            </w:r>
          </w:p>
        </w:tc>
        <w:tc>
          <w:tcPr>
            <w:tcW w:w="7458" w:type="dxa"/>
            <w:tcBorders>
              <w:top w:val="single" w:sz="4" w:space="0" w:color="auto"/>
              <w:left w:val="single" w:sz="4" w:space="0" w:color="auto"/>
              <w:right w:val="single" w:sz="4" w:space="0" w:color="auto"/>
            </w:tcBorders>
          </w:tcPr>
          <w:p w14:paraId="6DC18E34" w14:textId="77777777" w:rsidR="00BE0623" w:rsidRDefault="00BE0623" w:rsidP="006C63B0">
            <w:pPr>
              <w:pStyle w:val="TableText"/>
              <w:snapToGrid w:val="0"/>
              <w:rPr>
                <w:b/>
                <w:noProof/>
                <w:lang w:eastAsia="en-GB"/>
              </w:rPr>
            </w:pPr>
            <w:r>
              <w:rPr>
                <w:b/>
                <w:lang w:eastAsia="en-GB"/>
              </w:rPr>
              <w:t>RWA as at end of previous reporting period</w:t>
            </w:r>
          </w:p>
        </w:tc>
        <w:tc>
          <w:tcPr>
            <w:tcW w:w="1217" w:type="dxa"/>
            <w:tcBorders>
              <w:top w:val="single" w:sz="4" w:space="0" w:color="auto"/>
              <w:left w:val="single" w:sz="4" w:space="0" w:color="auto"/>
              <w:right w:val="single" w:sz="4" w:space="0" w:color="auto"/>
            </w:tcBorders>
            <w:vAlign w:val="center"/>
          </w:tcPr>
          <w:p w14:paraId="357951F5" w14:textId="77777777" w:rsidR="00BE0623" w:rsidRDefault="00BE0623" w:rsidP="006C63B0">
            <w:pPr>
              <w:pStyle w:val="TableText"/>
              <w:snapToGrid w:val="0"/>
              <w:rPr>
                <w:rFonts w:ascii="Arial" w:hAnsi="Arial"/>
                <w:bCs/>
                <w:lang w:eastAsia="en-GB"/>
              </w:rPr>
            </w:pPr>
          </w:p>
        </w:tc>
      </w:tr>
      <w:tr w:rsidR="00BE0623" w14:paraId="7E48847D" w14:textId="77777777" w:rsidTr="006C63B0">
        <w:trPr>
          <w:cantSplit/>
        </w:trPr>
        <w:tc>
          <w:tcPr>
            <w:tcW w:w="567" w:type="dxa"/>
            <w:tcBorders>
              <w:left w:val="nil"/>
              <w:right w:val="single" w:sz="4" w:space="0" w:color="auto"/>
            </w:tcBorders>
          </w:tcPr>
          <w:p w14:paraId="542BD2AC" w14:textId="77777777" w:rsidR="00BE0623" w:rsidRDefault="00BE0623" w:rsidP="006C63B0">
            <w:pPr>
              <w:pStyle w:val="TableText"/>
              <w:snapToGrid w:val="0"/>
              <w:rPr>
                <w:lang w:eastAsia="en-GB"/>
              </w:rPr>
            </w:pPr>
            <w:r>
              <w:rPr>
                <w:lang w:eastAsia="en-GB"/>
              </w:rPr>
              <w:t>2</w:t>
            </w:r>
          </w:p>
        </w:tc>
        <w:tc>
          <w:tcPr>
            <w:tcW w:w="7458" w:type="dxa"/>
            <w:tcBorders>
              <w:left w:val="single" w:sz="4" w:space="0" w:color="auto"/>
              <w:right w:val="single" w:sz="4" w:space="0" w:color="auto"/>
            </w:tcBorders>
          </w:tcPr>
          <w:p w14:paraId="303E0201" w14:textId="77777777" w:rsidR="00BE0623" w:rsidRDefault="00BE0623" w:rsidP="006C63B0">
            <w:pPr>
              <w:pStyle w:val="TableText"/>
              <w:snapToGrid w:val="0"/>
              <w:rPr>
                <w:lang w:eastAsia="en-GB"/>
              </w:rPr>
            </w:pPr>
            <w:r>
              <w:rPr>
                <w:lang w:eastAsia="en-GB"/>
              </w:rPr>
              <w:t>Asset size</w:t>
            </w:r>
          </w:p>
        </w:tc>
        <w:tc>
          <w:tcPr>
            <w:tcW w:w="1217" w:type="dxa"/>
            <w:tcBorders>
              <w:left w:val="single" w:sz="4" w:space="0" w:color="auto"/>
              <w:right w:val="single" w:sz="4" w:space="0" w:color="auto"/>
            </w:tcBorders>
          </w:tcPr>
          <w:p w14:paraId="55DF9AF5" w14:textId="77777777" w:rsidR="00BE0623" w:rsidRDefault="00BE0623" w:rsidP="006C63B0">
            <w:pPr>
              <w:pStyle w:val="TableText"/>
              <w:snapToGrid w:val="0"/>
              <w:rPr>
                <w:lang w:eastAsia="en-GB"/>
              </w:rPr>
            </w:pPr>
          </w:p>
        </w:tc>
      </w:tr>
      <w:tr w:rsidR="00BE0623" w14:paraId="7EFE8B28" w14:textId="77777777" w:rsidTr="006C63B0">
        <w:trPr>
          <w:cantSplit/>
        </w:trPr>
        <w:tc>
          <w:tcPr>
            <w:tcW w:w="567" w:type="dxa"/>
            <w:tcBorders>
              <w:left w:val="nil"/>
              <w:right w:val="single" w:sz="4" w:space="0" w:color="auto"/>
            </w:tcBorders>
          </w:tcPr>
          <w:p w14:paraId="3F0FA74C" w14:textId="77777777" w:rsidR="00BE0623" w:rsidRDefault="00BE0623" w:rsidP="006C63B0">
            <w:pPr>
              <w:pStyle w:val="TableText"/>
              <w:snapToGrid w:val="0"/>
              <w:rPr>
                <w:lang w:eastAsia="en-GB"/>
              </w:rPr>
            </w:pPr>
            <w:r>
              <w:rPr>
                <w:lang w:eastAsia="en-GB"/>
              </w:rPr>
              <w:t>3</w:t>
            </w:r>
          </w:p>
        </w:tc>
        <w:tc>
          <w:tcPr>
            <w:tcW w:w="7458" w:type="dxa"/>
            <w:tcBorders>
              <w:left w:val="single" w:sz="4" w:space="0" w:color="auto"/>
              <w:right w:val="single" w:sz="4" w:space="0" w:color="auto"/>
            </w:tcBorders>
          </w:tcPr>
          <w:p w14:paraId="5691DA10" w14:textId="77777777" w:rsidR="00BE0623" w:rsidRDefault="00BE0623" w:rsidP="006C63B0">
            <w:pPr>
              <w:pStyle w:val="TableText"/>
              <w:snapToGrid w:val="0"/>
              <w:rPr>
                <w:lang w:eastAsia="en-GB"/>
              </w:rPr>
            </w:pPr>
            <w:r>
              <w:rPr>
                <w:lang w:eastAsia="en-GB"/>
              </w:rPr>
              <w:t>Asset quality</w:t>
            </w:r>
          </w:p>
        </w:tc>
        <w:tc>
          <w:tcPr>
            <w:tcW w:w="1217" w:type="dxa"/>
            <w:tcBorders>
              <w:left w:val="single" w:sz="4" w:space="0" w:color="auto"/>
              <w:right w:val="single" w:sz="4" w:space="0" w:color="auto"/>
            </w:tcBorders>
          </w:tcPr>
          <w:p w14:paraId="34676E48" w14:textId="77777777" w:rsidR="00BE0623" w:rsidRDefault="00BE0623" w:rsidP="006C63B0">
            <w:pPr>
              <w:pStyle w:val="TableText"/>
              <w:snapToGrid w:val="0"/>
              <w:rPr>
                <w:lang w:eastAsia="en-GB"/>
              </w:rPr>
            </w:pPr>
          </w:p>
        </w:tc>
      </w:tr>
      <w:tr w:rsidR="00BE0623" w14:paraId="451F0DD2" w14:textId="77777777" w:rsidTr="006C63B0">
        <w:trPr>
          <w:cantSplit/>
        </w:trPr>
        <w:tc>
          <w:tcPr>
            <w:tcW w:w="567" w:type="dxa"/>
            <w:tcBorders>
              <w:left w:val="nil"/>
              <w:right w:val="single" w:sz="4" w:space="0" w:color="auto"/>
            </w:tcBorders>
          </w:tcPr>
          <w:p w14:paraId="062D76EB" w14:textId="77777777" w:rsidR="00BE0623" w:rsidRDefault="00BE0623" w:rsidP="006C63B0">
            <w:pPr>
              <w:pStyle w:val="TableText"/>
              <w:snapToGrid w:val="0"/>
              <w:rPr>
                <w:lang w:eastAsia="en-GB"/>
              </w:rPr>
            </w:pPr>
            <w:r>
              <w:rPr>
                <w:lang w:eastAsia="en-GB"/>
              </w:rPr>
              <w:t>4</w:t>
            </w:r>
          </w:p>
        </w:tc>
        <w:tc>
          <w:tcPr>
            <w:tcW w:w="7458" w:type="dxa"/>
            <w:tcBorders>
              <w:left w:val="single" w:sz="4" w:space="0" w:color="auto"/>
              <w:right w:val="single" w:sz="4" w:space="0" w:color="auto"/>
            </w:tcBorders>
          </w:tcPr>
          <w:p w14:paraId="1937D2BD" w14:textId="77777777" w:rsidR="00BE0623" w:rsidRDefault="00BE0623" w:rsidP="006C63B0">
            <w:pPr>
              <w:pStyle w:val="TableText"/>
              <w:snapToGrid w:val="0"/>
              <w:rPr>
                <w:lang w:eastAsia="en-GB"/>
              </w:rPr>
            </w:pPr>
            <w:r>
              <w:rPr>
                <w:lang w:eastAsia="en-GB"/>
              </w:rPr>
              <w:t>Model updates</w:t>
            </w:r>
          </w:p>
        </w:tc>
        <w:tc>
          <w:tcPr>
            <w:tcW w:w="1217" w:type="dxa"/>
            <w:tcBorders>
              <w:left w:val="single" w:sz="4" w:space="0" w:color="auto"/>
              <w:right w:val="single" w:sz="4" w:space="0" w:color="auto"/>
            </w:tcBorders>
          </w:tcPr>
          <w:p w14:paraId="0D9C6D70" w14:textId="77777777" w:rsidR="00BE0623" w:rsidRDefault="00BE0623" w:rsidP="006C63B0">
            <w:pPr>
              <w:pStyle w:val="TableText"/>
              <w:snapToGrid w:val="0"/>
              <w:rPr>
                <w:lang w:eastAsia="en-GB"/>
              </w:rPr>
            </w:pPr>
          </w:p>
        </w:tc>
      </w:tr>
      <w:tr w:rsidR="00BE0623" w14:paraId="30E609FA" w14:textId="77777777" w:rsidTr="006C63B0">
        <w:trPr>
          <w:cantSplit/>
        </w:trPr>
        <w:tc>
          <w:tcPr>
            <w:tcW w:w="567" w:type="dxa"/>
            <w:tcBorders>
              <w:left w:val="nil"/>
              <w:right w:val="single" w:sz="4" w:space="0" w:color="auto"/>
            </w:tcBorders>
          </w:tcPr>
          <w:p w14:paraId="53620A9A" w14:textId="77777777" w:rsidR="00BE0623" w:rsidRDefault="00BE0623" w:rsidP="006C63B0">
            <w:pPr>
              <w:pStyle w:val="TableText"/>
              <w:snapToGrid w:val="0"/>
              <w:rPr>
                <w:lang w:eastAsia="en-GB"/>
              </w:rPr>
            </w:pPr>
            <w:r>
              <w:rPr>
                <w:lang w:eastAsia="en-GB"/>
              </w:rPr>
              <w:t>5</w:t>
            </w:r>
          </w:p>
        </w:tc>
        <w:tc>
          <w:tcPr>
            <w:tcW w:w="7458" w:type="dxa"/>
            <w:tcBorders>
              <w:left w:val="single" w:sz="4" w:space="0" w:color="auto"/>
              <w:right w:val="single" w:sz="4" w:space="0" w:color="auto"/>
            </w:tcBorders>
          </w:tcPr>
          <w:p w14:paraId="733DA390" w14:textId="77777777" w:rsidR="00BE0623" w:rsidRDefault="00BE0623" w:rsidP="006C63B0">
            <w:pPr>
              <w:pStyle w:val="TableText"/>
              <w:snapToGrid w:val="0"/>
              <w:rPr>
                <w:lang w:eastAsia="en-GB"/>
              </w:rPr>
            </w:pPr>
            <w:r>
              <w:rPr>
                <w:lang w:eastAsia="en-GB"/>
              </w:rPr>
              <w:t>Methodology and policy</w:t>
            </w:r>
          </w:p>
        </w:tc>
        <w:tc>
          <w:tcPr>
            <w:tcW w:w="1217" w:type="dxa"/>
            <w:tcBorders>
              <w:left w:val="single" w:sz="4" w:space="0" w:color="auto"/>
              <w:right w:val="single" w:sz="4" w:space="0" w:color="auto"/>
            </w:tcBorders>
          </w:tcPr>
          <w:p w14:paraId="1EB8C18D" w14:textId="77777777" w:rsidR="00BE0623" w:rsidRDefault="00BE0623" w:rsidP="006C63B0">
            <w:pPr>
              <w:pStyle w:val="TableText"/>
              <w:snapToGrid w:val="0"/>
              <w:rPr>
                <w:lang w:eastAsia="en-GB"/>
              </w:rPr>
            </w:pPr>
          </w:p>
        </w:tc>
      </w:tr>
      <w:tr w:rsidR="00BE0623" w14:paraId="4BBE3A64" w14:textId="77777777" w:rsidTr="006C63B0">
        <w:trPr>
          <w:cantSplit/>
        </w:trPr>
        <w:tc>
          <w:tcPr>
            <w:tcW w:w="567" w:type="dxa"/>
            <w:tcBorders>
              <w:left w:val="nil"/>
              <w:right w:val="single" w:sz="4" w:space="0" w:color="auto"/>
            </w:tcBorders>
          </w:tcPr>
          <w:p w14:paraId="041987CD" w14:textId="77777777" w:rsidR="00BE0623" w:rsidRDefault="00BE0623" w:rsidP="006C63B0">
            <w:pPr>
              <w:pStyle w:val="TableText"/>
              <w:snapToGrid w:val="0"/>
              <w:rPr>
                <w:lang w:eastAsia="en-GB"/>
              </w:rPr>
            </w:pPr>
            <w:r>
              <w:rPr>
                <w:lang w:eastAsia="en-GB"/>
              </w:rPr>
              <w:t>6</w:t>
            </w:r>
          </w:p>
        </w:tc>
        <w:tc>
          <w:tcPr>
            <w:tcW w:w="7458" w:type="dxa"/>
            <w:tcBorders>
              <w:left w:val="single" w:sz="4" w:space="0" w:color="auto"/>
              <w:right w:val="single" w:sz="4" w:space="0" w:color="auto"/>
            </w:tcBorders>
          </w:tcPr>
          <w:p w14:paraId="627B7DFD" w14:textId="77777777" w:rsidR="00BE0623" w:rsidRDefault="00BE0623" w:rsidP="006C63B0">
            <w:pPr>
              <w:pStyle w:val="TableText"/>
              <w:snapToGrid w:val="0"/>
              <w:rPr>
                <w:lang w:eastAsia="en-GB"/>
              </w:rPr>
            </w:pPr>
            <w:r>
              <w:rPr>
                <w:lang w:eastAsia="en-GB"/>
              </w:rPr>
              <w:t>Acquisitions and disposals</w:t>
            </w:r>
          </w:p>
        </w:tc>
        <w:tc>
          <w:tcPr>
            <w:tcW w:w="1217" w:type="dxa"/>
            <w:tcBorders>
              <w:left w:val="single" w:sz="4" w:space="0" w:color="auto"/>
              <w:right w:val="single" w:sz="4" w:space="0" w:color="auto"/>
            </w:tcBorders>
          </w:tcPr>
          <w:p w14:paraId="369D4DCB" w14:textId="77777777" w:rsidR="00BE0623" w:rsidRDefault="00BE0623" w:rsidP="006C63B0">
            <w:pPr>
              <w:pStyle w:val="TableText"/>
              <w:snapToGrid w:val="0"/>
              <w:rPr>
                <w:lang w:eastAsia="en-GB"/>
              </w:rPr>
            </w:pPr>
          </w:p>
        </w:tc>
      </w:tr>
      <w:tr w:rsidR="00BE0623" w14:paraId="3C64A47F" w14:textId="77777777" w:rsidTr="006C63B0">
        <w:trPr>
          <w:cantSplit/>
        </w:trPr>
        <w:tc>
          <w:tcPr>
            <w:tcW w:w="567" w:type="dxa"/>
            <w:tcBorders>
              <w:left w:val="nil"/>
              <w:right w:val="single" w:sz="4" w:space="0" w:color="auto"/>
            </w:tcBorders>
          </w:tcPr>
          <w:p w14:paraId="5BD2D968" w14:textId="77777777" w:rsidR="00BE0623" w:rsidRDefault="00BE0623" w:rsidP="006C63B0">
            <w:pPr>
              <w:pStyle w:val="TableText"/>
              <w:snapToGrid w:val="0"/>
              <w:rPr>
                <w:lang w:eastAsia="en-GB"/>
              </w:rPr>
            </w:pPr>
            <w:r>
              <w:rPr>
                <w:lang w:eastAsia="en-GB"/>
              </w:rPr>
              <w:t>7</w:t>
            </w:r>
          </w:p>
        </w:tc>
        <w:tc>
          <w:tcPr>
            <w:tcW w:w="7458" w:type="dxa"/>
            <w:tcBorders>
              <w:left w:val="single" w:sz="4" w:space="0" w:color="auto"/>
              <w:right w:val="single" w:sz="4" w:space="0" w:color="auto"/>
            </w:tcBorders>
          </w:tcPr>
          <w:p w14:paraId="42EB44C5" w14:textId="77777777" w:rsidR="00BE0623" w:rsidRDefault="00BE0623" w:rsidP="006C63B0">
            <w:pPr>
              <w:pStyle w:val="TableText"/>
              <w:snapToGrid w:val="0"/>
              <w:rPr>
                <w:lang w:eastAsia="en-GB"/>
              </w:rPr>
            </w:pPr>
            <w:r>
              <w:rPr>
                <w:lang w:eastAsia="en-GB"/>
              </w:rPr>
              <w:t>Foreign exchange movements</w:t>
            </w:r>
          </w:p>
        </w:tc>
        <w:tc>
          <w:tcPr>
            <w:tcW w:w="1217" w:type="dxa"/>
            <w:tcBorders>
              <w:left w:val="single" w:sz="4" w:space="0" w:color="auto"/>
              <w:right w:val="single" w:sz="4" w:space="0" w:color="auto"/>
            </w:tcBorders>
          </w:tcPr>
          <w:p w14:paraId="56BA192D" w14:textId="77777777" w:rsidR="00BE0623" w:rsidRDefault="00BE0623" w:rsidP="006C63B0">
            <w:pPr>
              <w:pStyle w:val="TableText"/>
              <w:snapToGrid w:val="0"/>
              <w:rPr>
                <w:lang w:eastAsia="en-GB"/>
              </w:rPr>
            </w:pPr>
          </w:p>
        </w:tc>
      </w:tr>
      <w:tr w:rsidR="00BE0623" w14:paraId="2D554BF4" w14:textId="77777777" w:rsidTr="006C63B0">
        <w:trPr>
          <w:cantSplit/>
        </w:trPr>
        <w:tc>
          <w:tcPr>
            <w:tcW w:w="567" w:type="dxa"/>
            <w:tcBorders>
              <w:left w:val="nil"/>
              <w:right w:val="single" w:sz="4" w:space="0" w:color="auto"/>
            </w:tcBorders>
          </w:tcPr>
          <w:p w14:paraId="7C076B1C" w14:textId="77777777" w:rsidR="00BE0623" w:rsidRDefault="00BE0623" w:rsidP="006C63B0">
            <w:pPr>
              <w:pStyle w:val="TableText"/>
              <w:snapToGrid w:val="0"/>
              <w:rPr>
                <w:lang w:eastAsia="en-GB"/>
              </w:rPr>
            </w:pPr>
            <w:r>
              <w:rPr>
                <w:lang w:eastAsia="en-GB"/>
              </w:rPr>
              <w:t>8</w:t>
            </w:r>
          </w:p>
        </w:tc>
        <w:tc>
          <w:tcPr>
            <w:tcW w:w="7458" w:type="dxa"/>
            <w:tcBorders>
              <w:left w:val="single" w:sz="4" w:space="0" w:color="auto"/>
              <w:right w:val="single" w:sz="4" w:space="0" w:color="auto"/>
            </w:tcBorders>
          </w:tcPr>
          <w:p w14:paraId="43A4FC3F" w14:textId="77777777" w:rsidR="00BE0623" w:rsidRDefault="00BE0623" w:rsidP="006C63B0">
            <w:pPr>
              <w:pStyle w:val="TableText"/>
              <w:snapToGrid w:val="0"/>
              <w:rPr>
                <w:lang w:eastAsia="en-GB"/>
              </w:rPr>
            </w:pPr>
            <w:r>
              <w:rPr>
                <w:lang w:eastAsia="en-GB"/>
              </w:rPr>
              <w:t>Other</w:t>
            </w:r>
          </w:p>
        </w:tc>
        <w:tc>
          <w:tcPr>
            <w:tcW w:w="1217" w:type="dxa"/>
            <w:tcBorders>
              <w:left w:val="single" w:sz="4" w:space="0" w:color="auto"/>
              <w:right w:val="single" w:sz="4" w:space="0" w:color="auto"/>
            </w:tcBorders>
          </w:tcPr>
          <w:p w14:paraId="2B6DC618" w14:textId="77777777" w:rsidR="00BE0623" w:rsidRDefault="00BE0623" w:rsidP="006C63B0">
            <w:pPr>
              <w:pStyle w:val="TableText"/>
              <w:snapToGrid w:val="0"/>
              <w:rPr>
                <w:lang w:eastAsia="en-GB"/>
              </w:rPr>
            </w:pPr>
          </w:p>
        </w:tc>
      </w:tr>
      <w:tr w:rsidR="00BE0623" w14:paraId="1F7A51F9" w14:textId="77777777" w:rsidTr="006C63B0">
        <w:trPr>
          <w:cantSplit/>
        </w:trPr>
        <w:tc>
          <w:tcPr>
            <w:tcW w:w="567" w:type="dxa"/>
            <w:tcBorders>
              <w:left w:val="nil"/>
              <w:bottom w:val="single" w:sz="4" w:space="0" w:color="auto"/>
              <w:right w:val="single" w:sz="4" w:space="0" w:color="auto"/>
            </w:tcBorders>
          </w:tcPr>
          <w:p w14:paraId="3C4FA330" w14:textId="77777777" w:rsidR="00BE0623" w:rsidRDefault="00BE0623" w:rsidP="006C63B0">
            <w:pPr>
              <w:pStyle w:val="TableText"/>
              <w:snapToGrid w:val="0"/>
              <w:rPr>
                <w:b/>
                <w:lang w:eastAsia="en-GB"/>
              </w:rPr>
            </w:pPr>
            <w:r>
              <w:rPr>
                <w:b/>
                <w:lang w:eastAsia="en-GB"/>
              </w:rPr>
              <w:t>9</w:t>
            </w:r>
          </w:p>
        </w:tc>
        <w:tc>
          <w:tcPr>
            <w:tcW w:w="7458" w:type="dxa"/>
            <w:tcBorders>
              <w:left w:val="single" w:sz="4" w:space="0" w:color="auto"/>
              <w:bottom w:val="single" w:sz="4" w:space="0" w:color="auto"/>
              <w:right w:val="single" w:sz="4" w:space="0" w:color="auto"/>
            </w:tcBorders>
          </w:tcPr>
          <w:p w14:paraId="56343038" w14:textId="77777777" w:rsidR="00BE0623" w:rsidRDefault="00BE0623" w:rsidP="006C63B0">
            <w:pPr>
              <w:pStyle w:val="TableText"/>
              <w:snapToGrid w:val="0"/>
              <w:rPr>
                <w:b/>
                <w:noProof/>
                <w:lang w:eastAsia="en-GB"/>
              </w:rPr>
            </w:pPr>
            <w:r>
              <w:rPr>
                <w:b/>
                <w:lang w:eastAsia="en-GB"/>
              </w:rPr>
              <w:t>RWA as at end of reporting period</w:t>
            </w:r>
          </w:p>
        </w:tc>
        <w:tc>
          <w:tcPr>
            <w:tcW w:w="1217" w:type="dxa"/>
            <w:tcBorders>
              <w:left w:val="single" w:sz="4" w:space="0" w:color="auto"/>
              <w:bottom w:val="single" w:sz="4" w:space="0" w:color="auto"/>
              <w:right w:val="single" w:sz="4" w:space="0" w:color="auto"/>
            </w:tcBorders>
          </w:tcPr>
          <w:p w14:paraId="2B2AAEA2" w14:textId="77777777" w:rsidR="00BE0623" w:rsidRDefault="00BE0623" w:rsidP="006C63B0">
            <w:pPr>
              <w:pStyle w:val="TableText"/>
              <w:snapToGrid w:val="0"/>
              <w:rPr>
                <w:lang w:eastAsia="en-GB"/>
              </w:rPr>
            </w:pPr>
          </w:p>
        </w:tc>
      </w:tr>
    </w:tbl>
    <w:p w14:paraId="32A77E1F" w14:textId="77777777" w:rsidR="00BE0623" w:rsidRDefault="00BE0623" w:rsidP="00BE0623">
      <w:pPr>
        <w:spacing w:before="120" w:after="120"/>
        <w:ind w:leftChars="-283" w:left="-566"/>
        <w:rPr>
          <w:sz w:val="22"/>
        </w:rPr>
      </w:pPr>
    </w:p>
    <w:tbl>
      <w:tblPr>
        <w:tblW w:w="924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74"/>
      </w:tblGrid>
      <w:tr w:rsidR="00AA0ED6" w14:paraId="1356272C" w14:textId="77777777" w:rsidTr="00182E87">
        <w:trPr>
          <w:tblHeader/>
        </w:trPr>
        <w:tc>
          <w:tcPr>
            <w:tcW w:w="9241" w:type="dxa"/>
            <w:gridSpan w:val="2"/>
            <w:shd w:val="clear" w:color="auto" w:fill="BFBFBF"/>
          </w:tcPr>
          <w:p w14:paraId="37780B4C" w14:textId="77777777" w:rsidR="00AA0ED6" w:rsidRDefault="00AA0ED6" w:rsidP="005C2D42">
            <w:pPr>
              <w:widowControl w:val="0"/>
              <w:spacing w:before="40" w:after="40"/>
              <w:jc w:val="both"/>
              <w:rPr>
                <w:rFonts w:eastAsia="新細明體"/>
                <w:b/>
                <w:sz w:val="17"/>
                <w:szCs w:val="17"/>
                <w:lang w:eastAsia="en-GB"/>
              </w:rPr>
            </w:pPr>
            <w:r>
              <w:rPr>
                <w:rFonts w:eastAsia="新細明體"/>
                <w:b/>
                <w:sz w:val="17"/>
                <w:szCs w:val="17"/>
                <w:lang w:eastAsia="en-GB"/>
              </w:rPr>
              <w:t>Explanatory Note</w:t>
            </w:r>
          </w:p>
        </w:tc>
      </w:tr>
      <w:tr w:rsidR="00AA0ED6" w14:paraId="31DA7138" w14:textId="77777777" w:rsidTr="00182E87">
        <w:trPr>
          <w:trHeight w:val="153"/>
        </w:trPr>
        <w:tc>
          <w:tcPr>
            <w:tcW w:w="9241" w:type="dxa"/>
            <w:gridSpan w:val="2"/>
            <w:shd w:val="clear" w:color="auto" w:fill="F2F2F2"/>
          </w:tcPr>
          <w:p w14:paraId="6B297E2D" w14:textId="77777777" w:rsidR="00AA0ED6" w:rsidRDefault="00AA0ED6" w:rsidP="005C2D42">
            <w:pPr>
              <w:widowControl w:val="0"/>
              <w:spacing w:before="40" w:after="40"/>
              <w:jc w:val="both"/>
              <w:rPr>
                <w:rFonts w:eastAsia="新細明體"/>
                <w:b/>
                <w:sz w:val="17"/>
                <w:szCs w:val="17"/>
                <w:lang w:eastAsia="en-GB"/>
              </w:rPr>
            </w:pPr>
            <w:r>
              <w:rPr>
                <w:rFonts w:eastAsia="新細明體"/>
                <w:b/>
                <w:sz w:val="17"/>
                <w:szCs w:val="17"/>
                <w:lang w:eastAsia="en-GB"/>
              </w:rPr>
              <w:t>Rows</w:t>
            </w:r>
          </w:p>
        </w:tc>
      </w:tr>
      <w:tr w:rsidR="00AA0ED6" w14:paraId="7E948FED" w14:textId="77777777" w:rsidTr="00182E87">
        <w:tc>
          <w:tcPr>
            <w:tcW w:w="567" w:type="dxa"/>
          </w:tcPr>
          <w:p w14:paraId="24364856" w14:textId="77777777" w:rsidR="00AA0ED6" w:rsidRDefault="00AA0ED6" w:rsidP="005C2D42">
            <w:pPr>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1</w:t>
            </w:r>
          </w:p>
        </w:tc>
        <w:tc>
          <w:tcPr>
            <w:tcW w:w="8674" w:type="dxa"/>
          </w:tcPr>
          <w:p w14:paraId="5181E0A9" w14:textId="77777777" w:rsidR="00AA0ED6" w:rsidRDefault="00AA0ED6" w:rsidP="005C2D42">
            <w:pPr>
              <w:pStyle w:val="TableText"/>
              <w:keepNext/>
              <w:widowControl w:val="0"/>
              <w:jc w:val="both"/>
              <w:rPr>
                <w:szCs w:val="17"/>
              </w:rPr>
            </w:pPr>
            <w:r>
              <w:rPr>
                <w:i/>
                <w:szCs w:val="17"/>
              </w:rPr>
              <w:t>RWA as at end of previous reporting period</w:t>
            </w:r>
            <w:r>
              <w:rPr>
                <w:lang w:eastAsia="en-GB"/>
              </w:rPr>
              <w:t xml:space="preserve">: </w:t>
            </w:r>
            <w:r>
              <w:rPr>
                <w:rFonts w:cs="Segoe UI"/>
                <w:szCs w:val="17"/>
              </w:rPr>
              <w:t>this row equals the value in [CR8: 9/a] of the last reporting period.</w:t>
            </w:r>
          </w:p>
        </w:tc>
      </w:tr>
      <w:tr w:rsidR="00AA0ED6" w14:paraId="0C9FE4D1" w14:textId="77777777" w:rsidTr="00182E87">
        <w:tc>
          <w:tcPr>
            <w:tcW w:w="567" w:type="dxa"/>
          </w:tcPr>
          <w:p w14:paraId="246283D1" w14:textId="77777777" w:rsidR="00AA0ED6" w:rsidRDefault="00AA0ED6" w:rsidP="005C2D42">
            <w:pPr>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2</w:t>
            </w:r>
          </w:p>
        </w:tc>
        <w:tc>
          <w:tcPr>
            <w:tcW w:w="8674" w:type="dxa"/>
          </w:tcPr>
          <w:p w14:paraId="7267A132" w14:textId="77777777" w:rsidR="00AA0ED6" w:rsidRDefault="00AA0ED6" w:rsidP="005C2D42">
            <w:pPr>
              <w:pStyle w:val="TableText"/>
              <w:keepNext/>
              <w:widowControl w:val="0"/>
              <w:jc w:val="both"/>
              <w:rPr>
                <w:szCs w:val="17"/>
              </w:rPr>
            </w:pPr>
            <w:r>
              <w:rPr>
                <w:i/>
                <w:szCs w:val="17"/>
              </w:rPr>
              <w:t>Asset size</w:t>
            </w:r>
            <w:r>
              <w:rPr>
                <w:szCs w:val="17"/>
              </w:rPr>
              <w:t xml:space="preserve">: the variation in RWA due to the organic changes in book size and composition (including </w:t>
            </w:r>
            <w:r>
              <w:rPr>
                <w:rFonts w:eastAsia="MS Mincho"/>
                <w:szCs w:val="17"/>
                <w:lang w:eastAsia="ja-JP"/>
              </w:rPr>
              <w:t xml:space="preserve">origination of </w:t>
            </w:r>
            <w:r>
              <w:rPr>
                <w:szCs w:val="17"/>
              </w:rPr>
              <w:t>new business</w:t>
            </w:r>
            <w:r>
              <w:rPr>
                <w:rFonts w:eastAsia="MS Mincho"/>
                <w:szCs w:val="17"/>
                <w:lang w:eastAsia="ja-JP"/>
              </w:rPr>
              <w:t>es</w:t>
            </w:r>
            <w:r>
              <w:rPr>
                <w:szCs w:val="17"/>
              </w:rPr>
              <w:t xml:space="preserve"> and maturing </w:t>
            </w:r>
            <w:r>
              <w:rPr>
                <w:rFonts w:cs="Segoe UI"/>
                <w:szCs w:val="17"/>
              </w:rPr>
              <w:t>loans</w:t>
            </w:r>
            <w:r>
              <w:rPr>
                <w:rFonts w:eastAsia="MS Mincho"/>
                <w:szCs w:val="17"/>
                <w:lang w:eastAsia="ja-JP"/>
              </w:rPr>
              <w:t>) but excluding changes in book size due to acquisitions and disposal of entities.</w:t>
            </w:r>
          </w:p>
        </w:tc>
      </w:tr>
      <w:tr w:rsidR="00AA0ED6" w14:paraId="23FB1B56" w14:textId="77777777" w:rsidTr="00182E87">
        <w:tc>
          <w:tcPr>
            <w:tcW w:w="567" w:type="dxa"/>
          </w:tcPr>
          <w:p w14:paraId="6D19DDE5" w14:textId="77777777" w:rsidR="00AA0ED6" w:rsidRDefault="00AA0ED6" w:rsidP="005C2D42">
            <w:pPr>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3</w:t>
            </w:r>
          </w:p>
        </w:tc>
        <w:tc>
          <w:tcPr>
            <w:tcW w:w="8674" w:type="dxa"/>
          </w:tcPr>
          <w:p w14:paraId="14628E55" w14:textId="77777777" w:rsidR="00AA0ED6" w:rsidRDefault="00AA0ED6" w:rsidP="005C2D42">
            <w:pPr>
              <w:pStyle w:val="TableText"/>
              <w:keepNext/>
              <w:widowControl w:val="0"/>
              <w:jc w:val="both"/>
              <w:rPr>
                <w:szCs w:val="17"/>
              </w:rPr>
            </w:pPr>
            <w:r>
              <w:rPr>
                <w:i/>
                <w:szCs w:val="17"/>
              </w:rPr>
              <w:t>Asset quality</w:t>
            </w:r>
            <w:r>
              <w:rPr>
                <w:szCs w:val="17"/>
              </w:rPr>
              <w:t xml:space="preserve">: the variation in the assessed quality of the AI’s assets due to changes in borrower risk, such as rating </w:t>
            </w:r>
            <w:r>
              <w:rPr>
                <w:rFonts w:cs="Segoe UI"/>
                <w:szCs w:val="17"/>
              </w:rPr>
              <w:lastRenderedPageBreak/>
              <w:t>grade</w:t>
            </w:r>
            <w:r>
              <w:rPr>
                <w:szCs w:val="17"/>
              </w:rPr>
              <w:t xml:space="preserve"> migration or similar effects.</w:t>
            </w:r>
          </w:p>
        </w:tc>
      </w:tr>
      <w:tr w:rsidR="00AA0ED6" w14:paraId="43842C3A" w14:textId="77777777" w:rsidTr="00182E87">
        <w:tc>
          <w:tcPr>
            <w:tcW w:w="567" w:type="dxa"/>
          </w:tcPr>
          <w:p w14:paraId="73547E84" w14:textId="77777777" w:rsidR="00AA0ED6" w:rsidRDefault="00AA0ED6" w:rsidP="005C2D42">
            <w:pPr>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lastRenderedPageBreak/>
              <w:t>4</w:t>
            </w:r>
          </w:p>
        </w:tc>
        <w:tc>
          <w:tcPr>
            <w:tcW w:w="8674" w:type="dxa"/>
          </w:tcPr>
          <w:p w14:paraId="0B868AB6" w14:textId="77777777" w:rsidR="00AA0ED6" w:rsidRDefault="00AA0ED6" w:rsidP="005C2D42">
            <w:pPr>
              <w:pStyle w:val="TableText"/>
              <w:keepNext/>
              <w:widowControl w:val="0"/>
              <w:jc w:val="both"/>
              <w:rPr>
                <w:szCs w:val="17"/>
              </w:rPr>
            </w:pPr>
            <w:r>
              <w:rPr>
                <w:i/>
                <w:szCs w:val="17"/>
              </w:rPr>
              <w:t>Model updates</w:t>
            </w:r>
            <w:r>
              <w:rPr>
                <w:szCs w:val="17"/>
              </w:rPr>
              <w:t xml:space="preserve">: the variation in RWA arising from model implementation, changes in model scope, and any material changes intended to </w:t>
            </w:r>
            <w:r>
              <w:rPr>
                <w:rFonts w:cs="Segoe UI"/>
                <w:szCs w:val="17"/>
              </w:rPr>
              <w:t>address</w:t>
            </w:r>
            <w:r>
              <w:rPr>
                <w:szCs w:val="17"/>
              </w:rPr>
              <w:t xml:space="preserve"> model weaknesses.</w:t>
            </w:r>
          </w:p>
        </w:tc>
      </w:tr>
      <w:tr w:rsidR="00AA0ED6" w14:paraId="17C61296" w14:textId="77777777" w:rsidTr="00182E87">
        <w:tc>
          <w:tcPr>
            <w:tcW w:w="567" w:type="dxa"/>
          </w:tcPr>
          <w:p w14:paraId="40A18B2E" w14:textId="77777777" w:rsidR="00AA0ED6" w:rsidRDefault="00AA0ED6" w:rsidP="005C2D42">
            <w:pPr>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5</w:t>
            </w:r>
          </w:p>
        </w:tc>
        <w:tc>
          <w:tcPr>
            <w:tcW w:w="8674" w:type="dxa"/>
          </w:tcPr>
          <w:p w14:paraId="106542F3" w14:textId="77777777" w:rsidR="00AA0ED6" w:rsidRDefault="00AA0ED6" w:rsidP="005C2D42">
            <w:pPr>
              <w:pStyle w:val="TableText"/>
              <w:keepNext/>
              <w:widowControl w:val="0"/>
              <w:jc w:val="both"/>
              <w:rPr>
                <w:szCs w:val="17"/>
              </w:rPr>
            </w:pPr>
            <w:r>
              <w:rPr>
                <w:i/>
                <w:szCs w:val="17"/>
              </w:rPr>
              <w:t>Methodology and policy</w:t>
            </w:r>
            <w:r>
              <w:rPr>
                <w:szCs w:val="17"/>
              </w:rPr>
              <w:t xml:space="preserve">: the variation in RWA due to methodological changes in calculations driven by regulatory policy </w:t>
            </w:r>
            <w:r>
              <w:rPr>
                <w:rFonts w:cs="Segoe UI"/>
                <w:szCs w:val="17"/>
              </w:rPr>
              <w:t>changes</w:t>
            </w:r>
            <w:r>
              <w:rPr>
                <w:szCs w:val="17"/>
              </w:rPr>
              <w:t>, such as new regulations.</w:t>
            </w:r>
          </w:p>
        </w:tc>
      </w:tr>
      <w:tr w:rsidR="00AA0ED6" w14:paraId="4C1BDC61" w14:textId="77777777" w:rsidTr="00182E87">
        <w:tc>
          <w:tcPr>
            <w:tcW w:w="567" w:type="dxa"/>
          </w:tcPr>
          <w:p w14:paraId="24C3C1B6" w14:textId="77777777" w:rsidR="00AA0ED6" w:rsidRDefault="00AA0ED6" w:rsidP="005C2D42">
            <w:pPr>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6</w:t>
            </w:r>
          </w:p>
        </w:tc>
        <w:tc>
          <w:tcPr>
            <w:tcW w:w="8674" w:type="dxa"/>
          </w:tcPr>
          <w:p w14:paraId="04EB25F5" w14:textId="77777777" w:rsidR="00AA0ED6" w:rsidRDefault="00AA0ED6" w:rsidP="005C2D42">
            <w:pPr>
              <w:pStyle w:val="TableText"/>
              <w:keepNext/>
              <w:widowControl w:val="0"/>
              <w:jc w:val="both"/>
              <w:rPr>
                <w:szCs w:val="17"/>
              </w:rPr>
            </w:pPr>
            <w:r>
              <w:rPr>
                <w:i/>
                <w:szCs w:val="17"/>
              </w:rPr>
              <w:t>Acquisitions and disposals</w:t>
            </w:r>
            <w:r>
              <w:rPr>
                <w:szCs w:val="17"/>
              </w:rPr>
              <w:t xml:space="preserve">: the variation in RWA arising from changes in book </w:t>
            </w:r>
            <w:r>
              <w:rPr>
                <w:rFonts w:cs="Segoe UI"/>
                <w:szCs w:val="17"/>
              </w:rPr>
              <w:t>sizes</w:t>
            </w:r>
            <w:r>
              <w:rPr>
                <w:szCs w:val="17"/>
              </w:rPr>
              <w:t xml:space="preserve"> due to acquisitions and disposal of entities.</w:t>
            </w:r>
          </w:p>
        </w:tc>
      </w:tr>
      <w:tr w:rsidR="00AA0ED6" w14:paraId="68255F6F" w14:textId="77777777" w:rsidTr="00182E87">
        <w:tc>
          <w:tcPr>
            <w:tcW w:w="567" w:type="dxa"/>
          </w:tcPr>
          <w:p w14:paraId="63E24DCD" w14:textId="77777777" w:rsidR="00AA0ED6" w:rsidRDefault="00AA0ED6" w:rsidP="005C2D42">
            <w:pPr>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7</w:t>
            </w:r>
          </w:p>
        </w:tc>
        <w:tc>
          <w:tcPr>
            <w:tcW w:w="8674" w:type="dxa"/>
          </w:tcPr>
          <w:p w14:paraId="7BCFA622" w14:textId="77777777" w:rsidR="00AA0ED6" w:rsidRDefault="00AA0ED6" w:rsidP="005C2D42">
            <w:pPr>
              <w:pStyle w:val="TableText"/>
              <w:keepNext/>
              <w:widowControl w:val="0"/>
              <w:jc w:val="both"/>
              <w:rPr>
                <w:szCs w:val="17"/>
              </w:rPr>
            </w:pPr>
            <w:r>
              <w:rPr>
                <w:i/>
                <w:szCs w:val="17"/>
              </w:rPr>
              <w:t>Foreign exchange movements</w:t>
            </w:r>
            <w:r>
              <w:rPr>
                <w:szCs w:val="17"/>
              </w:rPr>
              <w:t>: the variation in RWA driven by foreign exchange rate movements.</w:t>
            </w:r>
          </w:p>
        </w:tc>
      </w:tr>
      <w:tr w:rsidR="00AA0ED6" w14:paraId="0CBF6944" w14:textId="77777777" w:rsidTr="00182E87">
        <w:trPr>
          <w:trHeight w:val="373"/>
        </w:trPr>
        <w:tc>
          <w:tcPr>
            <w:tcW w:w="567" w:type="dxa"/>
          </w:tcPr>
          <w:p w14:paraId="7CCB138A" w14:textId="77777777" w:rsidR="00AA0ED6" w:rsidRDefault="00AA0ED6" w:rsidP="005C2D42">
            <w:pPr>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8</w:t>
            </w:r>
          </w:p>
        </w:tc>
        <w:tc>
          <w:tcPr>
            <w:tcW w:w="8674" w:type="dxa"/>
          </w:tcPr>
          <w:p w14:paraId="15B99CC2" w14:textId="77777777" w:rsidR="00AA0ED6" w:rsidRDefault="00AA0ED6" w:rsidP="005C2D42">
            <w:pPr>
              <w:pStyle w:val="TableText"/>
              <w:keepNext/>
              <w:widowControl w:val="0"/>
              <w:jc w:val="both"/>
              <w:rPr>
                <w:szCs w:val="17"/>
              </w:rPr>
            </w:pPr>
            <w:r>
              <w:rPr>
                <w:i/>
                <w:szCs w:val="17"/>
              </w:rPr>
              <w:t>Other</w:t>
            </w:r>
            <w:r>
              <w:rPr>
                <w:szCs w:val="17"/>
              </w:rPr>
              <w:t>: this category captures variation in RWA that cannot be attributed to any category above.  An AI should add additional rows between rows 7 and 8 (to be named 7a, 7b and so on) to disclose other material drivers of RWA movements in the current reporting period.</w:t>
            </w:r>
          </w:p>
        </w:tc>
      </w:tr>
      <w:tr w:rsidR="00AA0ED6" w14:paraId="0478BDD9" w14:textId="77777777" w:rsidTr="00182E87">
        <w:trPr>
          <w:trHeight w:val="373"/>
        </w:trPr>
        <w:tc>
          <w:tcPr>
            <w:tcW w:w="567" w:type="dxa"/>
          </w:tcPr>
          <w:p w14:paraId="2635FE51" w14:textId="77777777" w:rsidR="00AA0ED6" w:rsidRDefault="00AA0ED6" w:rsidP="005C2D42">
            <w:pPr>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9</w:t>
            </w:r>
          </w:p>
        </w:tc>
        <w:tc>
          <w:tcPr>
            <w:tcW w:w="8674" w:type="dxa"/>
          </w:tcPr>
          <w:p w14:paraId="006A2E24" w14:textId="77777777" w:rsidR="00AA0ED6" w:rsidRDefault="00AA0ED6" w:rsidP="005C2D42">
            <w:pPr>
              <w:pStyle w:val="TableNote"/>
              <w:widowControl w:val="0"/>
              <w:spacing w:before="40" w:after="40"/>
              <w:rPr>
                <w:i/>
                <w:sz w:val="17"/>
                <w:szCs w:val="17"/>
              </w:rPr>
            </w:pPr>
            <w:r>
              <w:rPr>
                <w:i/>
                <w:sz w:val="17"/>
                <w:szCs w:val="17"/>
              </w:rPr>
              <w:t>RWA as at end of reporting period</w:t>
            </w:r>
            <w:r>
              <w:rPr>
                <w:sz w:val="17"/>
                <w:szCs w:val="17"/>
                <w:lang w:eastAsia="en-GB"/>
              </w:rPr>
              <w:t xml:space="preserve">: </w:t>
            </w:r>
            <w:r>
              <w:rPr>
                <w:rFonts w:cs="Segoe UI"/>
                <w:sz w:val="17"/>
                <w:szCs w:val="17"/>
              </w:rPr>
              <w:t>the sum of rows 1 to 8 (including any additional row(s) inserted by the AI).</w:t>
            </w:r>
          </w:p>
        </w:tc>
      </w:tr>
    </w:tbl>
    <w:p w14:paraId="7F9D4E2D" w14:textId="77777777" w:rsidR="00BE0623" w:rsidRDefault="00BE0623" w:rsidP="00BE0623">
      <w:pPr>
        <w:spacing w:before="120" w:after="120"/>
        <w:rPr>
          <w:sz w:val="22"/>
        </w:rPr>
      </w:pPr>
    </w:p>
    <w:p w14:paraId="663E3B1B" w14:textId="7C8CAC69" w:rsidR="00BE0623" w:rsidRDefault="00BE0623" w:rsidP="00BE0623">
      <w:pPr>
        <w:spacing w:before="40" w:after="40"/>
        <w:jc w:val="both"/>
        <w:rPr>
          <w:sz w:val="22"/>
        </w:rPr>
        <w:sectPr w:rsidR="00BE0623">
          <w:footerReference w:type="default" r:id="rId54"/>
          <w:pgSz w:w="11906" w:h="16838" w:code="9"/>
          <w:pgMar w:top="1440" w:right="1797" w:bottom="1440" w:left="1797" w:header="851" w:footer="737" w:gutter="0"/>
          <w:cols w:space="425"/>
          <w:docGrid w:type="linesAndChars" w:linePitch="360"/>
        </w:sectPr>
      </w:pPr>
    </w:p>
    <w:p w14:paraId="61EC6176" w14:textId="77777777" w:rsidR="001929CC" w:rsidRDefault="001929CC" w:rsidP="001929CC">
      <w:pPr>
        <w:pStyle w:val="Heading3"/>
        <w:ind w:left="-426"/>
      </w:pPr>
      <w:r w:rsidRPr="00CA3D4E">
        <w:lastRenderedPageBreak/>
        <w:t>Template</w:t>
      </w:r>
      <w:r>
        <w:t xml:space="preserve"> CR9: Back-testing of PD per portfolio – for IRB approach</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1929CC" w14:paraId="2666D08A" w14:textId="77777777" w:rsidTr="001929CC">
        <w:tc>
          <w:tcPr>
            <w:tcW w:w="2008" w:type="dxa"/>
          </w:tcPr>
          <w:p w14:paraId="4463CA21" w14:textId="77777777" w:rsidR="001929CC" w:rsidRDefault="001929CC" w:rsidP="001929CC">
            <w:pPr>
              <w:spacing w:before="40" w:after="40"/>
              <w:rPr>
                <w:noProof/>
                <w:sz w:val="17"/>
                <w:lang w:eastAsia="en-GB"/>
              </w:rPr>
            </w:pPr>
            <w:r>
              <w:rPr>
                <w:b/>
                <w:sz w:val="17"/>
                <w:lang w:eastAsia="en-GB"/>
              </w:rPr>
              <w:t>Purpose:</w:t>
            </w:r>
          </w:p>
        </w:tc>
        <w:tc>
          <w:tcPr>
            <w:tcW w:w="7234" w:type="dxa"/>
          </w:tcPr>
          <w:p w14:paraId="434E1ACC" w14:textId="77777777" w:rsidR="001929CC" w:rsidRDefault="001929CC" w:rsidP="001929CC">
            <w:pPr>
              <w:pStyle w:val="TableText"/>
              <w:jc w:val="both"/>
              <w:rPr>
                <w:lang w:eastAsia="en-GB"/>
              </w:rPr>
            </w:pPr>
            <w:r>
              <w:rPr>
                <w:lang w:eastAsia="en-GB"/>
              </w:rPr>
              <w:t>To provide</w:t>
            </w:r>
            <w:r>
              <w:rPr>
                <w:b/>
                <w:lang w:eastAsia="en-GB"/>
              </w:rPr>
              <w:t xml:space="preserve"> </w:t>
            </w:r>
            <w:r>
              <w:rPr>
                <w:lang w:eastAsia="en-GB"/>
              </w:rPr>
              <w:t>back-testing data to validate the reliability of PD calculations, including a comparison of the PD used to calculate capital requirements with the effective default rates of obligors under the IRB approach.</w:t>
            </w:r>
          </w:p>
        </w:tc>
      </w:tr>
      <w:tr w:rsidR="001929CC" w14:paraId="3B05B009" w14:textId="77777777" w:rsidTr="001929CC">
        <w:tc>
          <w:tcPr>
            <w:tcW w:w="2008" w:type="dxa"/>
          </w:tcPr>
          <w:p w14:paraId="515AFC19" w14:textId="77777777" w:rsidR="001929CC" w:rsidRDefault="001929CC" w:rsidP="001929CC">
            <w:pPr>
              <w:spacing w:before="40" w:after="40"/>
              <w:rPr>
                <w:b/>
                <w:sz w:val="17"/>
                <w:lang w:eastAsia="en-GB"/>
              </w:rPr>
            </w:pPr>
            <w:r>
              <w:rPr>
                <w:b/>
                <w:sz w:val="17"/>
                <w:lang w:eastAsia="en-GB"/>
              </w:rPr>
              <w:t>Scope of application:</w:t>
            </w:r>
          </w:p>
        </w:tc>
        <w:tc>
          <w:tcPr>
            <w:tcW w:w="7234" w:type="dxa"/>
          </w:tcPr>
          <w:p w14:paraId="2A862D3D" w14:textId="58AFF94E" w:rsidR="001929CC" w:rsidRDefault="001929CC" w:rsidP="001929CC">
            <w:pPr>
              <w:spacing w:before="40" w:after="40"/>
              <w:jc w:val="both"/>
              <w:rPr>
                <w:rFonts w:eastAsia="新細明體"/>
                <w:sz w:val="17"/>
                <w:lang w:eastAsia="en-GB"/>
              </w:rPr>
            </w:pPr>
            <w:r>
              <w:rPr>
                <w:rFonts w:eastAsia="新細明體"/>
                <w:sz w:val="17"/>
                <w:lang w:eastAsia="en-GB"/>
              </w:rPr>
              <w:t xml:space="preserve">The template is mandatory for AIs incorporated in Hong Kong that use AIRB, FIRB and/or retail IRB approaches for credit risk.  Where an AI makes use of a combination of FIRB, AIRB and/or retail IRB approaches, it should disclose separate sets of portfolio breakdown </w:t>
            </w:r>
            <w:r w:rsidRPr="0070144D">
              <w:rPr>
                <w:rFonts w:eastAsia="新細明體"/>
                <w:sz w:val="17"/>
                <w:lang w:eastAsia="en-GB"/>
              </w:rPr>
              <w:t>for each approach</w:t>
            </w:r>
            <w:r>
              <w:rPr>
                <w:rFonts w:eastAsia="新細明體"/>
                <w:sz w:val="17"/>
                <w:lang w:eastAsia="en-GB"/>
              </w:rPr>
              <w:t xml:space="preserve"> in separate templates.</w:t>
            </w:r>
          </w:p>
          <w:p w14:paraId="7882550C" w14:textId="71FC13C7" w:rsidR="001929CC" w:rsidRDefault="001929CC" w:rsidP="001929CC">
            <w:pPr>
              <w:spacing w:before="40" w:after="40"/>
              <w:jc w:val="both"/>
              <w:rPr>
                <w:rFonts w:eastAsia="新細明體"/>
                <w:b/>
                <w:sz w:val="17"/>
                <w:lang w:eastAsia="en-GB"/>
              </w:rPr>
            </w:pPr>
            <w:r>
              <w:rPr>
                <w:sz w:val="17"/>
                <w:lang w:eastAsia="en-GB"/>
              </w:rPr>
              <w:t xml:space="preserve">An AI should provide meaningful information to users on the back-testing of its internal model, or a combination of models, which are used to rate and assign a PD to its obligor.  </w:t>
            </w:r>
            <w:r>
              <w:rPr>
                <w:sz w:val="17"/>
                <w:szCs w:val="17"/>
                <w:lang w:eastAsia="en-GB"/>
              </w:rPr>
              <w:t xml:space="preserve">A minimum 5-year-average annual default rate is required, in order to compare the PD with a more stable default rate.  An AI may use a longer historical period that is consistent with its actual risk management practices.  </w:t>
            </w:r>
            <w:r>
              <w:rPr>
                <w:sz w:val="17"/>
                <w:lang w:eastAsia="en-GB"/>
              </w:rPr>
              <w:t>The disclosed template should include the key models used at the group-wide level (according to the scope of regulatory consolidation) and explain in a narrative commentary how the scope of models described was determined.  The commentary should include the percentage of RWAs covered by the models whose back-testing results are shown here for each of the AI’s regulatory portfolios.</w:t>
            </w:r>
          </w:p>
        </w:tc>
      </w:tr>
      <w:tr w:rsidR="001929CC" w14:paraId="2768761B" w14:textId="77777777" w:rsidTr="001929CC">
        <w:tc>
          <w:tcPr>
            <w:tcW w:w="2008" w:type="dxa"/>
          </w:tcPr>
          <w:p w14:paraId="643F1AB7" w14:textId="77777777" w:rsidR="001929CC" w:rsidRDefault="001929CC" w:rsidP="001929CC">
            <w:pPr>
              <w:spacing w:before="40" w:after="40"/>
              <w:rPr>
                <w:b/>
                <w:sz w:val="17"/>
                <w:lang w:eastAsia="en-GB"/>
              </w:rPr>
            </w:pPr>
            <w:r>
              <w:rPr>
                <w:b/>
                <w:sz w:val="17"/>
                <w:lang w:eastAsia="en-GB"/>
              </w:rPr>
              <w:t>Content:</w:t>
            </w:r>
          </w:p>
        </w:tc>
        <w:tc>
          <w:tcPr>
            <w:tcW w:w="7234" w:type="dxa"/>
          </w:tcPr>
          <w:p w14:paraId="63F0C954" w14:textId="77777777" w:rsidR="001929CC" w:rsidRDefault="001929CC" w:rsidP="001929CC">
            <w:pPr>
              <w:spacing w:before="40" w:after="40"/>
              <w:jc w:val="both"/>
              <w:rPr>
                <w:rFonts w:eastAsia="新細明體"/>
                <w:b/>
                <w:sz w:val="17"/>
                <w:lang w:eastAsia="en-GB"/>
              </w:rPr>
            </w:pPr>
            <w:r>
              <w:rPr>
                <w:rFonts w:eastAsia="新細明體"/>
                <w:sz w:val="17"/>
                <w:lang w:eastAsia="en-GB"/>
              </w:rPr>
              <w:t>Modelling parameters used in the capital calculation under the IRB approach.</w:t>
            </w:r>
          </w:p>
        </w:tc>
      </w:tr>
      <w:tr w:rsidR="001929CC" w14:paraId="55E2C07B" w14:textId="77777777" w:rsidTr="001929CC">
        <w:tc>
          <w:tcPr>
            <w:tcW w:w="2008" w:type="dxa"/>
          </w:tcPr>
          <w:p w14:paraId="6D87B46F" w14:textId="77777777" w:rsidR="001929CC" w:rsidRDefault="001929CC" w:rsidP="001929CC">
            <w:pPr>
              <w:spacing w:before="40" w:after="40"/>
              <w:rPr>
                <w:sz w:val="17"/>
                <w:lang w:eastAsia="en-GB"/>
              </w:rPr>
            </w:pPr>
            <w:r>
              <w:rPr>
                <w:b/>
                <w:sz w:val="17"/>
                <w:lang w:eastAsia="en-GB"/>
              </w:rPr>
              <w:t>Frequency:</w:t>
            </w:r>
          </w:p>
        </w:tc>
        <w:tc>
          <w:tcPr>
            <w:tcW w:w="7234" w:type="dxa"/>
          </w:tcPr>
          <w:p w14:paraId="0A22033C" w14:textId="77777777" w:rsidR="001929CC" w:rsidRDefault="001929CC" w:rsidP="001929CC">
            <w:pPr>
              <w:pStyle w:val="TableText"/>
              <w:jc w:val="both"/>
              <w:rPr>
                <w:lang w:eastAsia="en-GB"/>
              </w:rPr>
            </w:pPr>
            <w:r>
              <w:rPr>
                <w:lang w:eastAsia="en-GB"/>
              </w:rPr>
              <w:t>Annual.  Where the back-testing reference period does not coincide with the annual reporting period but on another time interval (e.g. a 12-month interval), the term “year” used in this template means “over the period used for the back-testing of a model”, so that an AI could still disclose values that actually correspond to the performance of the models.  The AI should disclose the time horizon (observation period) it uses for the back-testing.</w:t>
            </w:r>
          </w:p>
        </w:tc>
      </w:tr>
      <w:tr w:rsidR="001929CC" w14:paraId="32C33FF5" w14:textId="77777777" w:rsidTr="001929CC">
        <w:tc>
          <w:tcPr>
            <w:tcW w:w="2008" w:type="dxa"/>
          </w:tcPr>
          <w:p w14:paraId="76FF048C" w14:textId="77777777" w:rsidR="001929CC" w:rsidRDefault="001929CC" w:rsidP="001929CC">
            <w:pPr>
              <w:spacing w:before="40" w:after="40"/>
              <w:rPr>
                <w:sz w:val="17"/>
                <w:lang w:eastAsia="en-GB"/>
              </w:rPr>
            </w:pPr>
            <w:r>
              <w:rPr>
                <w:b/>
                <w:sz w:val="17"/>
                <w:lang w:eastAsia="en-GB"/>
              </w:rPr>
              <w:t>Format:</w:t>
            </w:r>
          </w:p>
        </w:tc>
        <w:tc>
          <w:tcPr>
            <w:tcW w:w="7234" w:type="dxa"/>
          </w:tcPr>
          <w:p w14:paraId="305E7535" w14:textId="77777777" w:rsidR="001929CC" w:rsidRDefault="001929CC" w:rsidP="001929CC">
            <w:pPr>
              <w:pStyle w:val="TableText"/>
              <w:jc w:val="both"/>
              <w:rPr>
                <w:lang w:eastAsia="en-GB"/>
              </w:rPr>
            </w:pPr>
            <w:r>
              <w:rPr>
                <w:lang w:eastAsia="en-GB"/>
              </w:rPr>
              <w:t>Flexible.</w:t>
            </w:r>
          </w:p>
        </w:tc>
      </w:tr>
      <w:tr w:rsidR="001929CC" w14:paraId="28EDB739" w14:textId="77777777" w:rsidTr="001929CC">
        <w:tc>
          <w:tcPr>
            <w:tcW w:w="2008" w:type="dxa"/>
          </w:tcPr>
          <w:p w14:paraId="07795B58" w14:textId="77777777" w:rsidR="001929CC" w:rsidRDefault="001929CC" w:rsidP="001929CC">
            <w:pPr>
              <w:spacing w:before="40" w:after="40"/>
              <w:rPr>
                <w:b/>
                <w:sz w:val="17"/>
                <w:lang w:eastAsia="en-GB"/>
              </w:rPr>
            </w:pPr>
            <w:r>
              <w:rPr>
                <w:rFonts w:eastAsia="新細明體"/>
                <w:b/>
                <w:sz w:val="17"/>
                <w:szCs w:val="17"/>
                <w:lang w:eastAsia="en-GB"/>
              </w:rPr>
              <w:t>Accompanying narrative</w:t>
            </w:r>
            <w:r>
              <w:rPr>
                <w:rFonts w:eastAsia="新細明體"/>
                <w:sz w:val="17"/>
                <w:szCs w:val="17"/>
                <w:lang w:eastAsia="en-GB"/>
              </w:rPr>
              <w:t>:</w:t>
            </w:r>
          </w:p>
        </w:tc>
        <w:tc>
          <w:tcPr>
            <w:tcW w:w="7234" w:type="dxa"/>
          </w:tcPr>
          <w:p w14:paraId="55B2016E" w14:textId="77777777" w:rsidR="001929CC" w:rsidRDefault="001929CC" w:rsidP="001929CC">
            <w:pPr>
              <w:pStyle w:val="TableText"/>
              <w:jc w:val="both"/>
              <w:rPr>
                <w:noProof/>
                <w:lang w:eastAsia="en-GB"/>
              </w:rPr>
            </w:pPr>
            <w:r>
              <w:rPr>
                <w:lang w:eastAsia="en-GB"/>
              </w:rPr>
              <w:t>An AI should</w:t>
            </w:r>
            <w:r>
              <w:rPr>
                <w:szCs w:val="17"/>
                <w:lang w:eastAsia="en-GB"/>
              </w:rPr>
              <w:t xml:space="preserve"> supplement the template with a narrative commentary to explain any material movements in the current reporting period and the key drivers of such movements.  The AI may wish to supplement the template with a disclosure of the exposure amount and the number of obligors whose defaulted exposures have been cured in the year.</w:t>
            </w:r>
          </w:p>
        </w:tc>
      </w:tr>
      <w:tr w:rsidR="001929CC" w14:paraId="140F5D92" w14:textId="77777777" w:rsidTr="001929CC">
        <w:tc>
          <w:tcPr>
            <w:tcW w:w="2008" w:type="dxa"/>
          </w:tcPr>
          <w:p w14:paraId="429ACC84" w14:textId="77777777" w:rsidR="001929CC" w:rsidRDefault="001929CC" w:rsidP="001929CC">
            <w:pPr>
              <w:spacing w:before="40" w:after="40"/>
              <w:rPr>
                <w:rFonts w:eastAsia="新細明體"/>
                <w:b/>
                <w:sz w:val="17"/>
                <w:szCs w:val="17"/>
                <w:lang w:eastAsia="en-GB"/>
              </w:rPr>
            </w:pPr>
            <w:r>
              <w:rPr>
                <w:rFonts w:eastAsia="新細明體"/>
                <w:b/>
                <w:sz w:val="17"/>
                <w:szCs w:val="17"/>
                <w:lang w:eastAsia="en-GB"/>
              </w:rPr>
              <w:t>Corresponding BDR section:</w:t>
            </w:r>
          </w:p>
        </w:tc>
        <w:tc>
          <w:tcPr>
            <w:tcW w:w="7234" w:type="dxa"/>
          </w:tcPr>
          <w:p w14:paraId="47A4B061" w14:textId="77777777" w:rsidR="001929CC" w:rsidRDefault="001929CC" w:rsidP="001929CC">
            <w:pPr>
              <w:pStyle w:val="TableText"/>
              <w:jc w:val="both"/>
              <w:rPr>
                <w:lang w:eastAsia="en-GB"/>
              </w:rPr>
            </w:pPr>
            <w:r>
              <w:rPr>
                <w:lang w:eastAsia="en-GB"/>
              </w:rPr>
              <w:t>16T</w:t>
            </w:r>
          </w:p>
        </w:tc>
      </w:tr>
    </w:tbl>
    <w:p w14:paraId="2C8565D5" w14:textId="77777777" w:rsidR="001929CC" w:rsidRDefault="001929CC" w:rsidP="001929CC">
      <w:pPr>
        <w:spacing w:before="120" w:after="120"/>
        <w:rPr>
          <w:sz w:val="22"/>
        </w:rPr>
      </w:pPr>
    </w:p>
    <w:p w14:paraId="14A07446" w14:textId="77777777" w:rsidR="001929CC" w:rsidRDefault="001929CC" w:rsidP="001929CC">
      <w:pPr>
        <w:spacing w:before="120" w:after="120"/>
        <w:rPr>
          <w:sz w:val="22"/>
        </w:rPr>
      </w:pPr>
    </w:p>
    <w:p w14:paraId="6A995760" w14:textId="77777777" w:rsidR="001929CC" w:rsidRDefault="001929CC" w:rsidP="001929CC">
      <w:pPr>
        <w:spacing w:before="120" w:after="120"/>
        <w:rPr>
          <w:sz w:val="22"/>
        </w:rPr>
      </w:pPr>
    </w:p>
    <w:p w14:paraId="17B9F5B0" w14:textId="77777777" w:rsidR="001929CC" w:rsidRDefault="001929CC" w:rsidP="001929CC">
      <w:pPr>
        <w:spacing w:before="120" w:after="120"/>
        <w:rPr>
          <w:sz w:val="22"/>
        </w:rPr>
      </w:pPr>
    </w:p>
    <w:tbl>
      <w:tblPr>
        <w:tblW w:w="924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1"/>
        <w:gridCol w:w="922"/>
        <w:gridCol w:w="923"/>
        <w:gridCol w:w="924"/>
        <w:gridCol w:w="924"/>
        <w:gridCol w:w="924"/>
        <w:gridCol w:w="957"/>
        <w:gridCol w:w="870"/>
        <w:gridCol w:w="1011"/>
        <w:gridCol w:w="866"/>
      </w:tblGrid>
      <w:tr w:rsidR="001929CC" w14:paraId="25828C5B" w14:textId="77777777" w:rsidTr="001929CC">
        <w:trPr>
          <w:trHeight w:val="223"/>
          <w:tblHeader/>
        </w:trPr>
        <w:tc>
          <w:tcPr>
            <w:tcW w:w="921" w:type="dxa"/>
            <w:tcBorders>
              <w:left w:val="nil"/>
            </w:tcBorders>
            <w:vAlign w:val="center"/>
          </w:tcPr>
          <w:p w14:paraId="5413256C" w14:textId="77777777" w:rsidR="001929CC" w:rsidRDefault="001929CC" w:rsidP="001929CC">
            <w:pPr>
              <w:pStyle w:val="TableText"/>
              <w:tabs>
                <w:tab w:val="right" w:leader="dot" w:pos="9242"/>
              </w:tabs>
              <w:snapToGrid w:val="0"/>
              <w:spacing w:before="0" w:after="0"/>
              <w:ind w:hanging="131"/>
              <w:jc w:val="center"/>
              <w:outlineLvl w:val="2"/>
              <w:rPr>
                <w:spacing w:val="-14"/>
                <w:lang w:eastAsia="en-GB"/>
              </w:rPr>
            </w:pPr>
            <w:bookmarkStart w:id="10" w:name="_Toc404082834"/>
            <w:r>
              <w:rPr>
                <w:spacing w:val="-14"/>
                <w:lang w:eastAsia="en-GB"/>
              </w:rPr>
              <w:lastRenderedPageBreak/>
              <w:t>(a</w:t>
            </w:r>
            <w:bookmarkEnd w:id="10"/>
            <w:r>
              <w:rPr>
                <w:spacing w:val="-14"/>
                <w:lang w:eastAsia="en-GB"/>
              </w:rPr>
              <w:t>)</w:t>
            </w:r>
          </w:p>
        </w:tc>
        <w:tc>
          <w:tcPr>
            <w:tcW w:w="922" w:type="dxa"/>
            <w:vAlign w:val="center"/>
          </w:tcPr>
          <w:p w14:paraId="7D8F7AD2" w14:textId="77777777" w:rsidR="001929CC" w:rsidRDefault="001929CC" w:rsidP="001929CC">
            <w:pPr>
              <w:pStyle w:val="TableText"/>
              <w:snapToGrid w:val="0"/>
              <w:spacing w:before="0" w:after="0"/>
              <w:jc w:val="center"/>
              <w:rPr>
                <w:spacing w:val="-14"/>
                <w:lang w:eastAsia="en-GB"/>
              </w:rPr>
            </w:pPr>
            <w:r>
              <w:rPr>
                <w:spacing w:val="-14"/>
                <w:lang w:eastAsia="en-GB"/>
              </w:rPr>
              <w:t>(b)</w:t>
            </w:r>
          </w:p>
        </w:tc>
        <w:tc>
          <w:tcPr>
            <w:tcW w:w="923" w:type="dxa"/>
            <w:vAlign w:val="center"/>
          </w:tcPr>
          <w:p w14:paraId="0467BB49" w14:textId="77777777" w:rsidR="001929CC" w:rsidRDefault="001929CC" w:rsidP="001929CC">
            <w:pPr>
              <w:pStyle w:val="TableText"/>
              <w:snapToGrid w:val="0"/>
              <w:spacing w:before="0" w:after="0"/>
              <w:jc w:val="center"/>
              <w:rPr>
                <w:spacing w:val="-14"/>
                <w:lang w:eastAsia="en-GB"/>
              </w:rPr>
            </w:pPr>
            <w:r>
              <w:rPr>
                <w:spacing w:val="-14"/>
                <w:lang w:eastAsia="en-GB"/>
              </w:rPr>
              <w:t>(c)</w:t>
            </w:r>
          </w:p>
        </w:tc>
        <w:tc>
          <w:tcPr>
            <w:tcW w:w="924" w:type="dxa"/>
            <w:vAlign w:val="center"/>
          </w:tcPr>
          <w:p w14:paraId="1A888FB3" w14:textId="77777777" w:rsidR="001929CC" w:rsidRDefault="001929CC" w:rsidP="001929CC">
            <w:pPr>
              <w:pStyle w:val="TableText"/>
              <w:snapToGrid w:val="0"/>
              <w:spacing w:before="0" w:after="0"/>
              <w:jc w:val="center"/>
              <w:rPr>
                <w:spacing w:val="-14"/>
                <w:lang w:eastAsia="en-GB"/>
              </w:rPr>
            </w:pPr>
            <w:r>
              <w:rPr>
                <w:spacing w:val="-14"/>
                <w:lang w:eastAsia="en-GB"/>
              </w:rPr>
              <w:t>(d)</w:t>
            </w:r>
          </w:p>
        </w:tc>
        <w:tc>
          <w:tcPr>
            <w:tcW w:w="924" w:type="dxa"/>
            <w:vAlign w:val="center"/>
          </w:tcPr>
          <w:p w14:paraId="03FD9801" w14:textId="77777777" w:rsidR="001929CC" w:rsidRDefault="001929CC" w:rsidP="001929CC">
            <w:pPr>
              <w:pStyle w:val="TableText"/>
              <w:snapToGrid w:val="0"/>
              <w:spacing w:before="0" w:after="0"/>
              <w:jc w:val="center"/>
              <w:rPr>
                <w:spacing w:val="-14"/>
                <w:lang w:eastAsia="en-GB"/>
              </w:rPr>
            </w:pPr>
            <w:r>
              <w:rPr>
                <w:spacing w:val="-14"/>
                <w:lang w:eastAsia="en-GB"/>
              </w:rPr>
              <w:t>(e)</w:t>
            </w:r>
          </w:p>
        </w:tc>
        <w:tc>
          <w:tcPr>
            <w:tcW w:w="1881" w:type="dxa"/>
            <w:gridSpan w:val="2"/>
            <w:vAlign w:val="center"/>
          </w:tcPr>
          <w:p w14:paraId="32BD06E7" w14:textId="77777777" w:rsidR="001929CC" w:rsidRDefault="001929CC" w:rsidP="001929CC">
            <w:pPr>
              <w:pStyle w:val="TableText"/>
              <w:snapToGrid w:val="0"/>
              <w:spacing w:before="0" w:after="0"/>
              <w:jc w:val="center"/>
              <w:rPr>
                <w:spacing w:val="-14"/>
                <w:lang w:eastAsia="en-GB"/>
              </w:rPr>
            </w:pPr>
            <w:r>
              <w:rPr>
                <w:spacing w:val="-14"/>
                <w:lang w:eastAsia="en-GB"/>
              </w:rPr>
              <w:t>(f)</w:t>
            </w:r>
          </w:p>
        </w:tc>
        <w:tc>
          <w:tcPr>
            <w:tcW w:w="870" w:type="dxa"/>
            <w:vAlign w:val="center"/>
          </w:tcPr>
          <w:p w14:paraId="18BE89A9" w14:textId="77777777" w:rsidR="001929CC" w:rsidRDefault="001929CC" w:rsidP="001929CC">
            <w:pPr>
              <w:pStyle w:val="TableText"/>
              <w:snapToGrid w:val="0"/>
              <w:spacing w:before="0" w:after="0"/>
              <w:jc w:val="center"/>
              <w:rPr>
                <w:spacing w:val="-14"/>
                <w:lang w:eastAsia="en-GB"/>
              </w:rPr>
            </w:pPr>
            <w:r>
              <w:rPr>
                <w:spacing w:val="-14"/>
                <w:lang w:eastAsia="en-GB"/>
              </w:rPr>
              <w:t>(g)</w:t>
            </w:r>
          </w:p>
        </w:tc>
        <w:tc>
          <w:tcPr>
            <w:tcW w:w="1011" w:type="dxa"/>
            <w:vAlign w:val="center"/>
          </w:tcPr>
          <w:p w14:paraId="60B3E5A5" w14:textId="77777777" w:rsidR="001929CC" w:rsidRDefault="001929CC" w:rsidP="001929CC">
            <w:pPr>
              <w:pStyle w:val="TableText"/>
              <w:snapToGrid w:val="0"/>
              <w:spacing w:before="0" w:after="0"/>
              <w:jc w:val="center"/>
              <w:rPr>
                <w:spacing w:val="-14"/>
                <w:lang w:eastAsia="en-GB"/>
              </w:rPr>
            </w:pPr>
            <w:r>
              <w:rPr>
                <w:spacing w:val="-14"/>
                <w:lang w:eastAsia="en-GB"/>
              </w:rPr>
              <w:t>(h)</w:t>
            </w:r>
          </w:p>
        </w:tc>
        <w:tc>
          <w:tcPr>
            <w:tcW w:w="866" w:type="dxa"/>
            <w:tcBorders>
              <w:right w:val="nil"/>
            </w:tcBorders>
            <w:vAlign w:val="center"/>
          </w:tcPr>
          <w:p w14:paraId="707DCF31" w14:textId="77777777" w:rsidR="001929CC" w:rsidRDefault="001929CC" w:rsidP="001929CC">
            <w:pPr>
              <w:pStyle w:val="TableText"/>
              <w:snapToGrid w:val="0"/>
              <w:spacing w:before="0" w:after="0"/>
              <w:jc w:val="center"/>
              <w:rPr>
                <w:spacing w:val="-14"/>
                <w:lang w:eastAsia="en-GB"/>
              </w:rPr>
            </w:pPr>
            <w:r>
              <w:rPr>
                <w:spacing w:val="-14"/>
                <w:lang w:eastAsia="en-GB"/>
              </w:rPr>
              <w:t>(i)</w:t>
            </w:r>
          </w:p>
        </w:tc>
      </w:tr>
      <w:tr w:rsidR="001929CC" w14:paraId="4E304FD5" w14:textId="77777777" w:rsidTr="001929CC">
        <w:trPr>
          <w:cantSplit/>
          <w:trHeight w:val="483"/>
          <w:tblHeader/>
        </w:trPr>
        <w:tc>
          <w:tcPr>
            <w:tcW w:w="921" w:type="dxa"/>
            <w:vMerge w:val="restart"/>
            <w:tcBorders>
              <w:left w:val="nil"/>
            </w:tcBorders>
            <w:vAlign w:val="center"/>
          </w:tcPr>
          <w:p w14:paraId="1C4F34C9" w14:textId="77777777" w:rsidR="001929CC" w:rsidRDefault="001929CC" w:rsidP="001929CC">
            <w:pPr>
              <w:pStyle w:val="TableText"/>
              <w:tabs>
                <w:tab w:val="right" w:leader="dot" w:pos="9242"/>
              </w:tabs>
              <w:snapToGrid w:val="0"/>
              <w:spacing w:before="0" w:after="0"/>
              <w:ind w:hanging="131"/>
              <w:jc w:val="center"/>
              <w:outlineLvl w:val="2"/>
              <w:rPr>
                <w:spacing w:val="-14"/>
                <w:lang w:eastAsia="en-GB"/>
              </w:rPr>
            </w:pPr>
            <w:bookmarkStart w:id="11" w:name="_Toc404082835"/>
            <w:r>
              <w:rPr>
                <w:spacing w:val="-14"/>
                <w:lang w:eastAsia="en-GB"/>
              </w:rPr>
              <w:t>Portfolio X</w:t>
            </w:r>
            <w:bookmarkEnd w:id="11"/>
          </w:p>
        </w:tc>
        <w:tc>
          <w:tcPr>
            <w:tcW w:w="922" w:type="dxa"/>
            <w:vMerge w:val="restart"/>
            <w:vAlign w:val="center"/>
          </w:tcPr>
          <w:p w14:paraId="25A8BF90" w14:textId="77777777" w:rsidR="001929CC" w:rsidRDefault="001929CC" w:rsidP="001929CC">
            <w:pPr>
              <w:pStyle w:val="TableText"/>
              <w:snapToGrid w:val="0"/>
              <w:spacing w:before="0" w:after="0"/>
              <w:jc w:val="center"/>
              <w:rPr>
                <w:spacing w:val="-14"/>
                <w:lang w:eastAsia="en-GB"/>
              </w:rPr>
            </w:pPr>
            <w:r>
              <w:rPr>
                <w:spacing w:val="-14"/>
                <w:lang w:eastAsia="en-GB"/>
              </w:rPr>
              <w:t>PD Range</w:t>
            </w:r>
          </w:p>
        </w:tc>
        <w:tc>
          <w:tcPr>
            <w:tcW w:w="923" w:type="dxa"/>
            <w:vMerge w:val="restart"/>
            <w:vAlign w:val="center"/>
          </w:tcPr>
          <w:p w14:paraId="55C9C829" w14:textId="77777777" w:rsidR="001929CC" w:rsidRDefault="001929CC" w:rsidP="001929CC">
            <w:pPr>
              <w:pStyle w:val="TableText"/>
              <w:snapToGrid w:val="0"/>
              <w:spacing w:before="0" w:after="0"/>
              <w:jc w:val="center"/>
              <w:rPr>
                <w:spacing w:val="-14"/>
                <w:lang w:eastAsia="en-GB"/>
              </w:rPr>
            </w:pPr>
            <w:r>
              <w:rPr>
                <w:spacing w:val="-14"/>
                <w:lang w:eastAsia="en-GB"/>
              </w:rPr>
              <w:t>External rating equivalent</w:t>
            </w:r>
          </w:p>
        </w:tc>
        <w:tc>
          <w:tcPr>
            <w:tcW w:w="924" w:type="dxa"/>
            <w:vMerge w:val="restart"/>
            <w:vAlign w:val="center"/>
          </w:tcPr>
          <w:p w14:paraId="3910A65C" w14:textId="77777777" w:rsidR="001929CC" w:rsidRDefault="001929CC" w:rsidP="001929CC">
            <w:pPr>
              <w:pStyle w:val="TableText"/>
              <w:snapToGrid w:val="0"/>
              <w:spacing w:before="0" w:after="0"/>
              <w:jc w:val="center"/>
              <w:rPr>
                <w:spacing w:val="-14"/>
                <w:lang w:eastAsia="en-GB"/>
              </w:rPr>
            </w:pPr>
            <w:r>
              <w:rPr>
                <w:spacing w:val="-14"/>
                <w:lang w:eastAsia="en-GB"/>
              </w:rPr>
              <w:t>Weighted average PD</w:t>
            </w:r>
          </w:p>
        </w:tc>
        <w:tc>
          <w:tcPr>
            <w:tcW w:w="924" w:type="dxa"/>
            <w:vMerge w:val="restart"/>
            <w:vAlign w:val="center"/>
          </w:tcPr>
          <w:p w14:paraId="4ECAEC9D" w14:textId="77777777" w:rsidR="001929CC" w:rsidRDefault="001929CC" w:rsidP="001929CC">
            <w:pPr>
              <w:pStyle w:val="TableText"/>
              <w:snapToGrid w:val="0"/>
              <w:spacing w:before="0" w:after="0"/>
              <w:jc w:val="center"/>
              <w:rPr>
                <w:spacing w:val="-14"/>
                <w:lang w:eastAsia="en-GB"/>
              </w:rPr>
            </w:pPr>
            <w:r>
              <w:rPr>
                <w:spacing w:val="-14"/>
                <w:lang w:eastAsia="en-GB"/>
              </w:rPr>
              <w:t>Arithmetic average PD by obligors</w:t>
            </w:r>
          </w:p>
        </w:tc>
        <w:tc>
          <w:tcPr>
            <w:tcW w:w="1881" w:type="dxa"/>
            <w:gridSpan w:val="2"/>
            <w:vAlign w:val="center"/>
          </w:tcPr>
          <w:p w14:paraId="59E43107" w14:textId="77777777" w:rsidR="001929CC" w:rsidRDefault="001929CC" w:rsidP="001929CC">
            <w:pPr>
              <w:pStyle w:val="TableText"/>
              <w:snapToGrid w:val="0"/>
              <w:spacing w:before="0" w:after="0"/>
              <w:jc w:val="center"/>
              <w:rPr>
                <w:spacing w:val="-14"/>
                <w:lang w:eastAsia="en-GB"/>
              </w:rPr>
            </w:pPr>
            <w:r>
              <w:rPr>
                <w:spacing w:val="-14"/>
                <w:lang w:eastAsia="en-GB"/>
              </w:rPr>
              <w:t>Number of obligors</w:t>
            </w:r>
          </w:p>
        </w:tc>
        <w:tc>
          <w:tcPr>
            <w:tcW w:w="870" w:type="dxa"/>
            <w:vMerge w:val="restart"/>
            <w:vAlign w:val="center"/>
          </w:tcPr>
          <w:p w14:paraId="2239CC43" w14:textId="77777777" w:rsidR="001929CC" w:rsidRDefault="001929CC" w:rsidP="001929CC">
            <w:pPr>
              <w:pStyle w:val="TableText"/>
              <w:snapToGrid w:val="0"/>
              <w:spacing w:before="0" w:after="0"/>
              <w:jc w:val="center"/>
              <w:rPr>
                <w:spacing w:val="-14"/>
                <w:lang w:eastAsia="en-GB"/>
              </w:rPr>
            </w:pPr>
            <w:r>
              <w:rPr>
                <w:spacing w:val="-14"/>
                <w:lang w:eastAsia="en-GB"/>
              </w:rPr>
              <w:t>Defaulted obligors in the year</w:t>
            </w:r>
          </w:p>
        </w:tc>
        <w:tc>
          <w:tcPr>
            <w:tcW w:w="1011" w:type="dxa"/>
            <w:vMerge w:val="restart"/>
            <w:vAlign w:val="center"/>
          </w:tcPr>
          <w:p w14:paraId="1E5DDD57" w14:textId="77777777" w:rsidR="001929CC" w:rsidRDefault="001929CC" w:rsidP="001929CC">
            <w:pPr>
              <w:pStyle w:val="TableText"/>
              <w:snapToGrid w:val="0"/>
              <w:spacing w:before="0" w:after="0"/>
              <w:jc w:val="center"/>
              <w:rPr>
                <w:spacing w:val="-14"/>
                <w:lang w:eastAsia="en-GB"/>
              </w:rPr>
            </w:pPr>
            <w:r>
              <w:rPr>
                <w:spacing w:val="-14"/>
                <w:lang w:eastAsia="en-GB"/>
              </w:rPr>
              <w:t>Of which: new defaulted obligors in the year</w:t>
            </w:r>
          </w:p>
        </w:tc>
        <w:tc>
          <w:tcPr>
            <w:tcW w:w="866" w:type="dxa"/>
            <w:vMerge w:val="restart"/>
            <w:tcBorders>
              <w:right w:val="nil"/>
            </w:tcBorders>
            <w:vAlign w:val="center"/>
          </w:tcPr>
          <w:p w14:paraId="12011286" w14:textId="77777777" w:rsidR="001929CC" w:rsidRDefault="001929CC" w:rsidP="001929CC">
            <w:pPr>
              <w:pStyle w:val="TableText"/>
              <w:snapToGrid w:val="0"/>
              <w:spacing w:before="0" w:after="0"/>
              <w:jc w:val="center"/>
              <w:rPr>
                <w:spacing w:val="-14"/>
                <w:lang w:eastAsia="en-GB"/>
              </w:rPr>
            </w:pPr>
            <w:r>
              <w:rPr>
                <w:spacing w:val="-14"/>
                <w:lang w:eastAsia="en-GB"/>
              </w:rPr>
              <w:t xml:space="preserve">Average historical annual default rate </w:t>
            </w:r>
          </w:p>
        </w:tc>
      </w:tr>
      <w:tr w:rsidR="001929CC" w14:paraId="3BAA4109" w14:textId="77777777" w:rsidTr="001929CC">
        <w:trPr>
          <w:cantSplit/>
          <w:trHeight w:val="488"/>
          <w:tblHeader/>
        </w:trPr>
        <w:tc>
          <w:tcPr>
            <w:tcW w:w="921" w:type="dxa"/>
            <w:vMerge/>
            <w:tcBorders>
              <w:left w:val="nil"/>
              <w:bottom w:val="single" w:sz="4" w:space="0" w:color="auto"/>
            </w:tcBorders>
          </w:tcPr>
          <w:p w14:paraId="2E737E37" w14:textId="77777777" w:rsidR="001929CC" w:rsidRDefault="001929CC" w:rsidP="001929CC">
            <w:pPr>
              <w:pStyle w:val="TableText"/>
              <w:snapToGrid w:val="0"/>
              <w:rPr>
                <w:spacing w:val="-14"/>
                <w:lang w:eastAsia="en-GB"/>
              </w:rPr>
            </w:pPr>
          </w:p>
        </w:tc>
        <w:tc>
          <w:tcPr>
            <w:tcW w:w="922" w:type="dxa"/>
            <w:vMerge/>
            <w:tcBorders>
              <w:bottom w:val="single" w:sz="4" w:space="0" w:color="auto"/>
            </w:tcBorders>
          </w:tcPr>
          <w:p w14:paraId="1FBDC3AC" w14:textId="77777777" w:rsidR="001929CC" w:rsidRDefault="001929CC" w:rsidP="001929CC">
            <w:pPr>
              <w:pStyle w:val="TableText"/>
              <w:snapToGrid w:val="0"/>
              <w:rPr>
                <w:spacing w:val="-14"/>
                <w:lang w:eastAsia="en-GB"/>
              </w:rPr>
            </w:pPr>
          </w:p>
        </w:tc>
        <w:tc>
          <w:tcPr>
            <w:tcW w:w="923" w:type="dxa"/>
            <w:vMerge/>
            <w:tcBorders>
              <w:bottom w:val="single" w:sz="4" w:space="0" w:color="auto"/>
            </w:tcBorders>
          </w:tcPr>
          <w:p w14:paraId="4E086018" w14:textId="77777777" w:rsidR="001929CC" w:rsidRDefault="001929CC" w:rsidP="001929CC">
            <w:pPr>
              <w:pStyle w:val="TableText"/>
              <w:snapToGrid w:val="0"/>
              <w:rPr>
                <w:spacing w:val="-14"/>
                <w:lang w:eastAsia="en-GB"/>
              </w:rPr>
            </w:pPr>
          </w:p>
        </w:tc>
        <w:tc>
          <w:tcPr>
            <w:tcW w:w="924" w:type="dxa"/>
            <w:vMerge/>
            <w:tcBorders>
              <w:bottom w:val="single" w:sz="4" w:space="0" w:color="auto"/>
            </w:tcBorders>
          </w:tcPr>
          <w:p w14:paraId="325B64EB" w14:textId="77777777" w:rsidR="001929CC" w:rsidRDefault="001929CC" w:rsidP="001929CC">
            <w:pPr>
              <w:pStyle w:val="TableText"/>
              <w:snapToGrid w:val="0"/>
              <w:rPr>
                <w:spacing w:val="-14"/>
                <w:lang w:eastAsia="en-GB"/>
              </w:rPr>
            </w:pPr>
          </w:p>
        </w:tc>
        <w:tc>
          <w:tcPr>
            <w:tcW w:w="924" w:type="dxa"/>
            <w:vMerge/>
            <w:tcBorders>
              <w:bottom w:val="single" w:sz="4" w:space="0" w:color="auto"/>
            </w:tcBorders>
            <w:vAlign w:val="center"/>
          </w:tcPr>
          <w:p w14:paraId="773B49EF" w14:textId="77777777" w:rsidR="001929CC" w:rsidRDefault="001929CC" w:rsidP="001929CC">
            <w:pPr>
              <w:pStyle w:val="TableText"/>
              <w:snapToGrid w:val="0"/>
              <w:jc w:val="center"/>
              <w:rPr>
                <w:spacing w:val="-14"/>
                <w:lang w:eastAsia="en-GB"/>
              </w:rPr>
            </w:pPr>
          </w:p>
        </w:tc>
        <w:tc>
          <w:tcPr>
            <w:tcW w:w="924" w:type="dxa"/>
            <w:tcBorders>
              <w:bottom w:val="single" w:sz="4" w:space="0" w:color="auto"/>
            </w:tcBorders>
            <w:vAlign w:val="center"/>
          </w:tcPr>
          <w:p w14:paraId="3890495D" w14:textId="77777777" w:rsidR="001929CC" w:rsidRDefault="001929CC" w:rsidP="001929CC">
            <w:pPr>
              <w:pStyle w:val="TableText"/>
              <w:snapToGrid w:val="0"/>
              <w:spacing w:before="0" w:after="0"/>
              <w:jc w:val="center"/>
              <w:rPr>
                <w:spacing w:val="-14"/>
                <w:lang w:eastAsia="en-GB"/>
              </w:rPr>
            </w:pPr>
            <w:r>
              <w:rPr>
                <w:spacing w:val="-14"/>
                <w:lang w:eastAsia="en-GB"/>
              </w:rPr>
              <w:t>Beginning of the year</w:t>
            </w:r>
          </w:p>
        </w:tc>
        <w:tc>
          <w:tcPr>
            <w:tcW w:w="957" w:type="dxa"/>
            <w:tcBorders>
              <w:bottom w:val="single" w:sz="4" w:space="0" w:color="auto"/>
            </w:tcBorders>
            <w:vAlign w:val="center"/>
          </w:tcPr>
          <w:p w14:paraId="125B5239" w14:textId="77777777" w:rsidR="001929CC" w:rsidRDefault="001929CC" w:rsidP="001929CC">
            <w:pPr>
              <w:pStyle w:val="TableText"/>
              <w:snapToGrid w:val="0"/>
              <w:spacing w:before="0" w:after="0"/>
              <w:jc w:val="center"/>
              <w:rPr>
                <w:spacing w:val="-14"/>
                <w:lang w:eastAsia="en-GB"/>
              </w:rPr>
            </w:pPr>
            <w:r>
              <w:rPr>
                <w:spacing w:val="-14"/>
                <w:lang w:eastAsia="en-GB"/>
              </w:rPr>
              <w:t>End of the year</w:t>
            </w:r>
          </w:p>
        </w:tc>
        <w:tc>
          <w:tcPr>
            <w:tcW w:w="870" w:type="dxa"/>
            <w:vMerge/>
            <w:tcBorders>
              <w:bottom w:val="single" w:sz="4" w:space="0" w:color="auto"/>
            </w:tcBorders>
          </w:tcPr>
          <w:p w14:paraId="546E1B97" w14:textId="77777777" w:rsidR="001929CC" w:rsidRDefault="001929CC" w:rsidP="001929CC">
            <w:pPr>
              <w:pStyle w:val="TableText"/>
              <w:rPr>
                <w:spacing w:val="-14"/>
                <w:lang w:eastAsia="en-GB"/>
              </w:rPr>
            </w:pPr>
          </w:p>
        </w:tc>
        <w:tc>
          <w:tcPr>
            <w:tcW w:w="1011" w:type="dxa"/>
            <w:vMerge/>
            <w:tcBorders>
              <w:bottom w:val="single" w:sz="4" w:space="0" w:color="auto"/>
            </w:tcBorders>
          </w:tcPr>
          <w:p w14:paraId="1F254341" w14:textId="77777777" w:rsidR="001929CC" w:rsidRDefault="001929CC" w:rsidP="001929CC">
            <w:pPr>
              <w:pStyle w:val="TableText"/>
              <w:rPr>
                <w:spacing w:val="-14"/>
                <w:lang w:eastAsia="en-GB"/>
              </w:rPr>
            </w:pPr>
          </w:p>
        </w:tc>
        <w:tc>
          <w:tcPr>
            <w:tcW w:w="866" w:type="dxa"/>
            <w:vMerge/>
            <w:tcBorders>
              <w:bottom w:val="single" w:sz="4" w:space="0" w:color="auto"/>
              <w:right w:val="nil"/>
            </w:tcBorders>
          </w:tcPr>
          <w:p w14:paraId="7391CE75" w14:textId="77777777" w:rsidR="001929CC" w:rsidRDefault="001929CC" w:rsidP="001929CC">
            <w:pPr>
              <w:pStyle w:val="TableText"/>
              <w:rPr>
                <w:spacing w:val="-14"/>
                <w:lang w:eastAsia="en-GB"/>
              </w:rPr>
            </w:pPr>
          </w:p>
        </w:tc>
      </w:tr>
      <w:tr w:rsidR="001929CC" w14:paraId="16873208" w14:textId="77777777" w:rsidTr="001929CC">
        <w:trPr>
          <w:tblHeader/>
        </w:trPr>
        <w:tc>
          <w:tcPr>
            <w:tcW w:w="921" w:type="dxa"/>
            <w:tcBorders>
              <w:left w:val="nil"/>
              <w:bottom w:val="single" w:sz="4" w:space="0" w:color="BCBDBC"/>
            </w:tcBorders>
          </w:tcPr>
          <w:p w14:paraId="0D8DCAB8" w14:textId="77777777" w:rsidR="001929CC" w:rsidRDefault="001929CC" w:rsidP="001929CC">
            <w:pPr>
              <w:pStyle w:val="TableText"/>
              <w:snapToGrid w:val="0"/>
              <w:rPr>
                <w:lang w:eastAsia="en-GB"/>
              </w:rPr>
            </w:pPr>
          </w:p>
        </w:tc>
        <w:tc>
          <w:tcPr>
            <w:tcW w:w="922" w:type="dxa"/>
            <w:tcBorders>
              <w:bottom w:val="single" w:sz="4" w:space="0" w:color="BCBDBC"/>
            </w:tcBorders>
          </w:tcPr>
          <w:p w14:paraId="13A69D29" w14:textId="77777777" w:rsidR="001929CC" w:rsidRDefault="001929CC" w:rsidP="001929CC">
            <w:pPr>
              <w:pStyle w:val="TableText"/>
              <w:snapToGrid w:val="0"/>
              <w:rPr>
                <w:lang w:eastAsia="en-GB"/>
              </w:rPr>
            </w:pPr>
          </w:p>
        </w:tc>
        <w:tc>
          <w:tcPr>
            <w:tcW w:w="923" w:type="dxa"/>
            <w:tcBorders>
              <w:bottom w:val="single" w:sz="4" w:space="0" w:color="BCBDBC"/>
            </w:tcBorders>
          </w:tcPr>
          <w:p w14:paraId="79E7D6BA" w14:textId="77777777" w:rsidR="001929CC" w:rsidRDefault="001929CC" w:rsidP="001929CC">
            <w:pPr>
              <w:pStyle w:val="TableText"/>
              <w:snapToGrid w:val="0"/>
              <w:rPr>
                <w:lang w:eastAsia="en-GB"/>
              </w:rPr>
            </w:pPr>
          </w:p>
        </w:tc>
        <w:tc>
          <w:tcPr>
            <w:tcW w:w="924" w:type="dxa"/>
            <w:tcBorders>
              <w:bottom w:val="single" w:sz="4" w:space="0" w:color="BCBDBC"/>
            </w:tcBorders>
          </w:tcPr>
          <w:p w14:paraId="4E259D8C" w14:textId="77777777" w:rsidR="001929CC" w:rsidRDefault="001929CC" w:rsidP="001929CC">
            <w:pPr>
              <w:pStyle w:val="TableText"/>
              <w:snapToGrid w:val="0"/>
              <w:rPr>
                <w:lang w:eastAsia="en-GB"/>
              </w:rPr>
            </w:pPr>
          </w:p>
        </w:tc>
        <w:tc>
          <w:tcPr>
            <w:tcW w:w="924" w:type="dxa"/>
            <w:tcBorders>
              <w:bottom w:val="single" w:sz="4" w:space="0" w:color="BCBDBC"/>
            </w:tcBorders>
          </w:tcPr>
          <w:p w14:paraId="1419E6FE" w14:textId="77777777" w:rsidR="001929CC" w:rsidRDefault="001929CC" w:rsidP="001929CC">
            <w:pPr>
              <w:pStyle w:val="TableText"/>
              <w:snapToGrid w:val="0"/>
              <w:rPr>
                <w:lang w:eastAsia="en-GB"/>
              </w:rPr>
            </w:pPr>
          </w:p>
        </w:tc>
        <w:tc>
          <w:tcPr>
            <w:tcW w:w="924" w:type="dxa"/>
            <w:tcBorders>
              <w:bottom w:val="single" w:sz="4" w:space="0" w:color="BCBDBC"/>
            </w:tcBorders>
          </w:tcPr>
          <w:p w14:paraId="40BF5DAA" w14:textId="77777777" w:rsidR="001929CC" w:rsidRDefault="001929CC" w:rsidP="001929CC">
            <w:pPr>
              <w:pStyle w:val="TableText"/>
              <w:snapToGrid w:val="0"/>
              <w:rPr>
                <w:lang w:eastAsia="en-GB"/>
              </w:rPr>
            </w:pPr>
          </w:p>
        </w:tc>
        <w:tc>
          <w:tcPr>
            <w:tcW w:w="957" w:type="dxa"/>
            <w:tcBorders>
              <w:bottom w:val="single" w:sz="4" w:space="0" w:color="BCBDBC"/>
            </w:tcBorders>
          </w:tcPr>
          <w:p w14:paraId="08790FDD" w14:textId="77777777" w:rsidR="001929CC" w:rsidRDefault="001929CC" w:rsidP="001929CC">
            <w:pPr>
              <w:pStyle w:val="TableText"/>
              <w:snapToGrid w:val="0"/>
              <w:rPr>
                <w:lang w:eastAsia="en-GB"/>
              </w:rPr>
            </w:pPr>
          </w:p>
        </w:tc>
        <w:tc>
          <w:tcPr>
            <w:tcW w:w="870" w:type="dxa"/>
            <w:tcBorders>
              <w:bottom w:val="single" w:sz="4" w:space="0" w:color="BCBDBC"/>
            </w:tcBorders>
          </w:tcPr>
          <w:p w14:paraId="2762413E" w14:textId="77777777" w:rsidR="001929CC" w:rsidRDefault="001929CC" w:rsidP="001929CC">
            <w:pPr>
              <w:pStyle w:val="TableText"/>
              <w:snapToGrid w:val="0"/>
              <w:rPr>
                <w:lang w:eastAsia="en-GB"/>
              </w:rPr>
            </w:pPr>
          </w:p>
        </w:tc>
        <w:tc>
          <w:tcPr>
            <w:tcW w:w="1011" w:type="dxa"/>
            <w:tcBorders>
              <w:bottom w:val="single" w:sz="4" w:space="0" w:color="BCBDBC"/>
            </w:tcBorders>
          </w:tcPr>
          <w:p w14:paraId="7F6DA496" w14:textId="77777777" w:rsidR="001929CC" w:rsidRDefault="001929CC" w:rsidP="001929CC">
            <w:pPr>
              <w:pStyle w:val="TableText"/>
              <w:snapToGrid w:val="0"/>
              <w:rPr>
                <w:lang w:eastAsia="en-GB"/>
              </w:rPr>
            </w:pPr>
          </w:p>
        </w:tc>
        <w:tc>
          <w:tcPr>
            <w:tcW w:w="866" w:type="dxa"/>
            <w:tcBorders>
              <w:bottom w:val="single" w:sz="4" w:space="0" w:color="BCBDBC"/>
              <w:right w:val="nil"/>
            </w:tcBorders>
          </w:tcPr>
          <w:p w14:paraId="2C50101F" w14:textId="77777777" w:rsidR="001929CC" w:rsidRDefault="001929CC" w:rsidP="001929CC">
            <w:pPr>
              <w:pStyle w:val="TableText"/>
              <w:snapToGrid w:val="0"/>
              <w:rPr>
                <w:lang w:eastAsia="en-GB"/>
              </w:rPr>
            </w:pPr>
          </w:p>
        </w:tc>
      </w:tr>
      <w:tr w:rsidR="001929CC" w14:paraId="734010BF" w14:textId="77777777" w:rsidTr="001929CC">
        <w:tc>
          <w:tcPr>
            <w:tcW w:w="921" w:type="dxa"/>
            <w:tcBorders>
              <w:top w:val="single" w:sz="4" w:space="0" w:color="BCBDBC"/>
              <w:left w:val="nil"/>
              <w:bottom w:val="single" w:sz="4" w:space="0" w:color="BCBDBC"/>
            </w:tcBorders>
          </w:tcPr>
          <w:p w14:paraId="5B971C4B" w14:textId="77777777" w:rsidR="001929CC" w:rsidRDefault="001929CC" w:rsidP="001929CC">
            <w:pPr>
              <w:pStyle w:val="TableText"/>
              <w:snapToGrid w:val="0"/>
              <w:rPr>
                <w:lang w:eastAsia="en-GB"/>
              </w:rPr>
            </w:pPr>
          </w:p>
        </w:tc>
        <w:tc>
          <w:tcPr>
            <w:tcW w:w="922" w:type="dxa"/>
            <w:tcBorders>
              <w:top w:val="single" w:sz="4" w:space="0" w:color="BCBDBC"/>
              <w:bottom w:val="single" w:sz="4" w:space="0" w:color="BCBDBC"/>
            </w:tcBorders>
          </w:tcPr>
          <w:p w14:paraId="4F255CB6" w14:textId="77777777" w:rsidR="001929CC" w:rsidRDefault="001929CC" w:rsidP="001929CC">
            <w:pPr>
              <w:pStyle w:val="TableText"/>
              <w:snapToGrid w:val="0"/>
              <w:rPr>
                <w:lang w:eastAsia="en-GB"/>
              </w:rPr>
            </w:pPr>
          </w:p>
        </w:tc>
        <w:tc>
          <w:tcPr>
            <w:tcW w:w="923" w:type="dxa"/>
            <w:tcBorders>
              <w:top w:val="single" w:sz="4" w:space="0" w:color="BCBDBC"/>
              <w:bottom w:val="single" w:sz="4" w:space="0" w:color="BCBDBC"/>
            </w:tcBorders>
          </w:tcPr>
          <w:p w14:paraId="6762886F" w14:textId="77777777" w:rsidR="001929CC" w:rsidRDefault="001929CC" w:rsidP="001929CC">
            <w:pPr>
              <w:pStyle w:val="TableText"/>
              <w:snapToGrid w:val="0"/>
              <w:rPr>
                <w:lang w:eastAsia="en-GB"/>
              </w:rPr>
            </w:pPr>
          </w:p>
        </w:tc>
        <w:tc>
          <w:tcPr>
            <w:tcW w:w="924" w:type="dxa"/>
            <w:tcBorders>
              <w:top w:val="single" w:sz="4" w:space="0" w:color="BCBDBC"/>
              <w:bottom w:val="single" w:sz="4" w:space="0" w:color="BCBDBC"/>
            </w:tcBorders>
          </w:tcPr>
          <w:p w14:paraId="4A18EDC1" w14:textId="77777777" w:rsidR="001929CC" w:rsidRDefault="001929CC" w:rsidP="001929CC">
            <w:pPr>
              <w:pStyle w:val="TableText"/>
              <w:snapToGrid w:val="0"/>
              <w:rPr>
                <w:lang w:eastAsia="en-GB"/>
              </w:rPr>
            </w:pPr>
          </w:p>
        </w:tc>
        <w:tc>
          <w:tcPr>
            <w:tcW w:w="924" w:type="dxa"/>
            <w:tcBorders>
              <w:top w:val="single" w:sz="4" w:space="0" w:color="BCBDBC"/>
              <w:bottom w:val="single" w:sz="4" w:space="0" w:color="BCBDBC"/>
            </w:tcBorders>
          </w:tcPr>
          <w:p w14:paraId="3965E060" w14:textId="77777777" w:rsidR="001929CC" w:rsidRDefault="001929CC" w:rsidP="001929CC">
            <w:pPr>
              <w:pStyle w:val="TableText"/>
              <w:snapToGrid w:val="0"/>
              <w:rPr>
                <w:lang w:eastAsia="en-GB"/>
              </w:rPr>
            </w:pPr>
          </w:p>
        </w:tc>
        <w:tc>
          <w:tcPr>
            <w:tcW w:w="924" w:type="dxa"/>
            <w:tcBorders>
              <w:top w:val="single" w:sz="4" w:space="0" w:color="BCBDBC"/>
              <w:bottom w:val="single" w:sz="4" w:space="0" w:color="BCBDBC"/>
            </w:tcBorders>
          </w:tcPr>
          <w:p w14:paraId="145DA5DC" w14:textId="77777777" w:rsidR="001929CC" w:rsidRDefault="001929CC" w:rsidP="001929CC">
            <w:pPr>
              <w:pStyle w:val="TableText"/>
              <w:snapToGrid w:val="0"/>
              <w:rPr>
                <w:lang w:eastAsia="en-GB"/>
              </w:rPr>
            </w:pPr>
          </w:p>
        </w:tc>
        <w:tc>
          <w:tcPr>
            <w:tcW w:w="957" w:type="dxa"/>
            <w:tcBorders>
              <w:top w:val="single" w:sz="4" w:space="0" w:color="BCBDBC"/>
              <w:bottom w:val="single" w:sz="4" w:space="0" w:color="BCBDBC"/>
            </w:tcBorders>
          </w:tcPr>
          <w:p w14:paraId="67B09A5F" w14:textId="77777777" w:rsidR="001929CC" w:rsidRDefault="001929CC" w:rsidP="001929CC">
            <w:pPr>
              <w:pStyle w:val="TableText"/>
              <w:snapToGrid w:val="0"/>
              <w:rPr>
                <w:lang w:eastAsia="en-GB"/>
              </w:rPr>
            </w:pPr>
          </w:p>
        </w:tc>
        <w:tc>
          <w:tcPr>
            <w:tcW w:w="870" w:type="dxa"/>
            <w:tcBorders>
              <w:top w:val="single" w:sz="4" w:space="0" w:color="BCBDBC"/>
              <w:bottom w:val="single" w:sz="4" w:space="0" w:color="BCBDBC"/>
            </w:tcBorders>
          </w:tcPr>
          <w:p w14:paraId="7D1F2A37" w14:textId="77777777" w:rsidR="001929CC" w:rsidRDefault="001929CC" w:rsidP="001929CC">
            <w:pPr>
              <w:pStyle w:val="TableText"/>
              <w:snapToGrid w:val="0"/>
              <w:rPr>
                <w:lang w:eastAsia="en-GB"/>
              </w:rPr>
            </w:pPr>
          </w:p>
        </w:tc>
        <w:tc>
          <w:tcPr>
            <w:tcW w:w="1011" w:type="dxa"/>
            <w:tcBorders>
              <w:top w:val="single" w:sz="4" w:space="0" w:color="BCBDBC"/>
              <w:bottom w:val="single" w:sz="4" w:space="0" w:color="BCBDBC"/>
            </w:tcBorders>
          </w:tcPr>
          <w:p w14:paraId="2FA37BEA" w14:textId="77777777" w:rsidR="001929CC" w:rsidRDefault="001929CC" w:rsidP="001929CC">
            <w:pPr>
              <w:pStyle w:val="TableText"/>
              <w:snapToGrid w:val="0"/>
              <w:rPr>
                <w:lang w:eastAsia="en-GB"/>
              </w:rPr>
            </w:pPr>
          </w:p>
        </w:tc>
        <w:tc>
          <w:tcPr>
            <w:tcW w:w="866" w:type="dxa"/>
            <w:tcBorders>
              <w:top w:val="single" w:sz="4" w:space="0" w:color="BCBDBC"/>
              <w:bottom w:val="single" w:sz="4" w:space="0" w:color="BCBDBC"/>
              <w:right w:val="nil"/>
            </w:tcBorders>
          </w:tcPr>
          <w:p w14:paraId="2DD58445" w14:textId="77777777" w:rsidR="001929CC" w:rsidRDefault="001929CC" w:rsidP="001929CC">
            <w:pPr>
              <w:pStyle w:val="TableText"/>
              <w:snapToGrid w:val="0"/>
              <w:rPr>
                <w:lang w:eastAsia="en-GB"/>
              </w:rPr>
            </w:pPr>
          </w:p>
        </w:tc>
      </w:tr>
      <w:tr w:rsidR="001929CC" w14:paraId="28E5E0D0" w14:textId="77777777" w:rsidTr="001929CC">
        <w:tc>
          <w:tcPr>
            <w:tcW w:w="921" w:type="dxa"/>
            <w:tcBorders>
              <w:top w:val="single" w:sz="4" w:space="0" w:color="BCBDBC"/>
              <w:left w:val="nil"/>
              <w:bottom w:val="single" w:sz="4" w:space="0" w:color="BCBDBC"/>
            </w:tcBorders>
          </w:tcPr>
          <w:p w14:paraId="7BCF6CBD" w14:textId="77777777" w:rsidR="001929CC" w:rsidRDefault="001929CC" w:rsidP="001929CC">
            <w:pPr>
              <w:pStyle w:val="TableText"/>
              <w:snapToGrid w:val="0"/>
              <w:rPr>
                <w:lang w:eastAsia="en-GB"/>
              </w:rPr>
            </w:pPr>
          </w:p>
        </w:tc>
        <w:tc>
          <w:tcPr>
            <w:tcW w:w="922" w:type="dxa"/>
            <w:tcBorders>
              <w:top w:val="single" w:sz="4" w:space="0" w:color="BCBDBC"/>
              <w:bottom w:val="single" w:sz="4" w:space="0" w:color="BCBDBC"/>
            </w:tcBorders>
          </w:tcPr>
          <w:p w14:paraId="5F8B8A84" w14:textId="77777777" w:rsidR="001929CC" w:rsidRDefault="001929CC" w:rsidP="001929CC">
            <w:pPr>
              <w:pStyle w:val="TableText"/>
              <w:snapToGrid w:val="0"/>
              <w:rPr>
                <w:lang w:eastAsia="en-GB"/>
              </w:rPr>
            </w:pPr>
          </w:p>
        </w:tc>
        <w:tc>
          <w:tcPr>
            <w:tcW w:w="923" w:type="dxa"/>
            <w:tcBorders>
              <w:top w:val="single" w:sz="4" w:space="0" w:color="BCBDBC"/>
              <w:bottom w:val="single" w:sz="4" w:space="0" w:color="BCBDBC"/>
            </w:tcBorders>
          </w:tcPr>
          <w:p w14:paraId="074DCD89" w14:textId="77777777" w:rsidR="001929CC" w:rsidRDefault="001929CC" w:rsidP="001929CC">
            <w:pPr>
              <w:pStyle w:val="TableText"/>
              <w:snapToGrid w:val="0"/>
              <w:rPr>
                <w:lang w:eastAsia="en-GB"/>
              </w:rPr>
            </w:pPr>
          </w:p>
        </w:tc>
        <w:tc>
          <w:tcPr>
            <w:tcW w:w="924" w:type="dxa"/>
            <w:tcBorders>
              <w:top w:val="single" w:sz="4" w:space="0" w:color="BCBDBC"/>
              <w:bottom w:val="single" w:sz="4" w:space="0" w:color="BCBDBC"/>
            </w:tcBorders>
          </w:tcPr>
          <w:p w14:paraId="4ED2C39B" w14:textId="77777777" w:rsidR="001929CC" w:rsidRDefault="001929CC" w:rsidP="001929CC">
            <w:pPr>
              <w:pStyle w:val="TableText"/>
              <w:snapToGrid w:val="0"/>
              <w:rPr>
                <w:lang w:eastAsia="en-GB"/>
              </w:rPr>
            </w:pPr>
          </w:p>
        </w:tc>
        <w:tc>
          <w:tcPr>
            <w:tcW w:w="924" w:type="dxa"/>
            <w:tcBorders>
              <w:top w:val="single" w:sz="4" w:space="0" w:color="BCBDBC"/>
              <w:bottom w:val="single" w:sz="4" w:space="0" w:color="BCBDBC"/>
            </w:tcBorders>
          </w:tcPr>
          <w:p w14:paraId="06A6EC0D" w14:textId="77777777" w:rsidR="001929CC" w:rsidRDefault="001929CC" w:rsidP="001929CC">
            <w:pPr>
              <w:pStyle w:val="TableText"/>
              <w:snapToGrid w:val="0"/>
              <w:rPr>
                <w:lang w:eastAsia="en-GB"/>
              </w:rPr>
            </w:pPr>
          </w:p>
        </w:tc>
        <w:tc>
          <w:tcPr>
            <w:tcW w:w="924" w:type="dxa"/>
            <w:tcBorders>
              <w:top w:val="single" w:sz="4" w:space="0" w:color="BCBDBC"/>
              <w:bottom w:val="single" w:sz="4" w:space="0" w:color="BCBDBC"/>
            </w:tcBorders>
          </w:tcPr>
          <w:p w14:paraId="4CBA60ED" w14:textId="77777777" w:rsidR="001929CC" w:rsidRDefault="001929CC" w:rsidP="001929CC">
            <w:pPr>
              <w:pStyle w:val="TableText"/>
              <w:snapToGrid w:val="0"/>
              <w:rPr>
                <w:lang w:eastAsia="en-GB"/>
              </w:rPr>
            </w:pPr>
          </w:p>
        </w:tc>
        <w:tc>
          <w:tcPr>
            <w:tcW w:w="957" w:type="dxa"/>
            <w:tcBorders>
              <w:top w:val="single" w:sz="4" w:space="0" w:color="BCBDBC"/>
              <w:bottom w:val="single" w:sz="4" w:space="0" w:color="BCBDBC"/>
            </w:tcBorders>
          </w:tcPr>
          <w:p w14:paraId="25253266" w14:textId="77777777" w:rsidR="001929CC" w:rsidRDefault="001929CC" w:rsidP="001929CC">
            <w:pPr>
              <w:pStyle w:val="TableText"/>
              <w:snapToGrid w:val="0"/>
              <w:rPr>
                <w:lang w:eastAsia="en-GB"/>
              </w:rPr>
            </w:pPr>
          </w:p>
        </w:tc>
        <w:tc>
          <w:tcPr>
            <w:tcW w:w="870" w:type="dxa"/>
            <w:tcBorders>
              <w:top w:val="single" w:sz="4" w:space="0" w:color="BCBDBC"/>
              <w:bottom w:val="single" w:sz="4" w:space="0" w:color="BCBDBC"/>
            </w:tcBorders>
          </w:tcPr>
          <w:p w14:paraId="1F0B45C7" w14:textId="77777777" w:rsidR="001929CC" w:rsidRDefault="001929CC" w:rsidP="001929CC">
            <w:pPr>
              <w:pStyle w:val="TableText"/>
              <w:snapToGrid w:val="0"/>
              <w:rPr>
                <w:lang w:eastAsia="en-GB"/>
              </w:rPr>
            </w:pPr>
          </w:p>
        </w:tc>
        <w:tc>
          <w:tcPr>
            <w:tcW w:w="1011" w:type="dxa"/>
            <w:tcBorders>
              <w:top w:val="single" w:sz="4" w:space="0" w:color="BCBDBC"/>
              <w:bottom w:val="single" w:sz="4" w:space="0" w:color="BCBDBC"/>
            </w:tcBorders>
          </w:tcPr>
          <w:p w14:paraId="0E80AB27" w14:textId="77777777" w:rsidR="001929CC" w:rsidRDefault="001929CC" w:rsidP="001929CC">
            <w:pPr>
              <w:pStyle w:val="TableText"/>
              <w:snapToGrid w:val="0"/>
              <w:rPr>
                <w:lang w:eastAsia="en-GB"/>
              </w:rPr>
            </w:pPr>
          </w:p>
        </w:tc>
        <w:tc>
          <w:tcPr>
            <w:tcW w:w="866" w:type="dxa"/>
            <w:tcBorders>
              <w:top w:val="single" w:sz="4" w:space="0" w:color="BCBDBC"/>
              <w:bottom w:val="single" w:sz="4" w:space="0" w:color="BCBDBC"/>
              <w:right w:val="nil"/>
            </w:tcBorders>
          </w:tcPr>
          <w:p w14:paraId="7932B20F" w14:textId="77777777" w:rsidR="001929CC" w:rsidRDefault="001929CC" w:rsidP="001929CC">
            <w:pPr>
              <w:pStyle w:val="TableText"/>
              <w:snapToGrid w:val="0"/>
              <w:rPr>
                <w:lang w:eastAsia="en-GB"/>
              </w:rPr>
            </w:pPr>
          </w:p>
        </w:tc>
      </w:tr>
      <w:tr w:rsidR="001929CC" w14:paraId="489FBF8D" w14:textId="77777777" w:rsidTr="001929CC">
        <w:tc>
          <w:tcPr>
            <w:tcW w:w="921" w:type="dxa"/>
            <w:tcBorders>
              <w:top w:val="single" w:sz="4" w:space="0" w:color="BCBDBC"/>
              <w:left w:val="nil"/>
              <w:bottom w:val="single" w:sz="4" w:space="0" w:color="BCBDBC"/>
            </w:tcBorders>
          </w:tcPr>
          <w:p w14:paraId="15EE4CAE" w14:textId="77777777" w:rsidR="001929CC" w:rsidRDefault="001929CC" w:rsidP="001929CC">
            <w:pPr>
              <w:pStyle w:val="TableText"/>
              <w:snapToGrid w:val="0"/>
              <w:rPr>
                <w:lang w:eastAsia="en-GB"/>
              </w:rPr>
            </w:pPr>
          </w:p>
        </w:tc>
        <w:tc>
          <w:tcPr>
            <w:tcW w:w="922" w:type="dxa"/>
            <w:tcBorders>
              <w:top w:val="single" w:sz="4" w:space="0" w:color="BCBDBC"/>
              <w:bottom w:val="single" w:sz="4" w:space="0" w:color="BCBDBC"/>
            </w:tcBorders>
          </w:tcPr>
          <w:p w14:paraId="72005CC4" w14:textId="77777777" w:rsidR="001929CC" w:rsidRDefault="001929CC" w:rsidP="001929CC">
            <w:pPr>
              <w:pStyle w:val="TableText"/>
              <w:snapToGrid w:val="0"/>
              <w:rPr>
                <w:lang w:eastAsia="en-GB"/>
              </w:rPr>
            </w:pPr>
          </w:p>
        </w:tc>
        <w:tc>
          <w:tcPr>
            <w:tcW w:w="923" w:type="dxa"/>
            <w:tcBorders>
              <w:top w:val="single" w:sz="4" w:space="0" w:color="BCBDBC"/>
              <w:bottom w:val="single" w:sz="4" w:space="0" w:color="BCBDBC"/>
            </w:tcBorders>
          </w:tcPr>
          <w:p w14:paraId="12F3B5D4" w14:textId="77777777" w:rsidR="001929CC" w:rsidRDefault="001929CC" w:rsidP="001929CC">
            <w:pPr>
              <w:pStyle w:val="TableText"/>
              <w:snapToGrid w:val="0"/>
              <w:rPr>
                <w:lang w:eastAsia="en-GB"/>
              </w:rPr>
            </w:pPr>
          </w:p>
        </w:tc>
        <w:tc>
          <w:tcPr>
            <w:tcW w:w="924" w:type="dxa"/>
            <w:tcBorders>
              <w:top w:val="single" w:sz="4" w:space="0" w:color="BCBDBC"/>
              <w:bottom w:val="single" w:sz="4" w:space="0" w:color="BCBDBC"/>
            </w:tcBorders>
          </w:tcPr>
          <w:p w14:paraId="2A934BC7" w14:textId="77777777" w:rsidR="001929CC" w:rsidRDefault="001929CC" w:rsidP="001929CC">
            <w:pPr>
              <w:pStyle w:val="TableText"/>
              <w:snapToGrid w:val="0"/>
              <w:rPr>
                <w:lang w:eastAsia="en-GB"/>
              </w:rPr>
            </w:pPr>
          </w:p>
        </w:tc>
        <w:tc>
          <w:tcPr>
            <w:tcW w:w="924" w:type="dxa"/>
            <w:tcBorders>
              <w:top w:val="single" w:sz="4" w:space="0" w:color="BCBDBC"/>
              <w:bottom w:val="single" w:sz="4" w:space="0" w:color="BCBDBC"/>
            </w:tcBorders>
          </w:tcPr>
          <w:p w14:paraId="6FCEC8E3" w14:textId="77777777" w:rsidR="001929CC" w:rsidRDefault="001929CC" w:rsidP="001929CC">
            <w:pPr>
              <w:pStyle w:val="TableText"/>
              <w:snapToGrid w:val="0"/>
              <w:rPr>
                <w:lang w:eastAsia="en-GB"/>
              </w:rPr>
            </w:pPr>
          </w:p>
        </w:tc>
        <w:tc>
          <w:tcPr>
            <w:tcW w:w="924" w:type="dxa"/>
            <w:tcBorders>
              <w:top w:val="single" w:sz="4" w:space="0" w:color="BCBDBC"/>
              <w:bottom w:val="single" w:sz="4" w:space="0" w:color="BCBDBC"/>
            </w:tcBorders>
          </w:tcPr>
          <w:p w14:paraId="6AFDA41F" w14:textId="77777777" w:rsidR="001929CC" w:rsidRDefault="001929CC" w:rsidP="001929CC">
            <w:pPr>
              <w:pStyle w:val="TableText"/>
              <w:snapToGrid w:val="0"/>
              <w:rPr>
                <w:lang w:eastAsia="en-GB"/>
              </w:rPr>
            </w:pPr>
          </w:p>
        </w:tc>
        <w:tc>
          <w:tcPr>
            <w:tcW w:w="957" w:type="dxa"/>
            <w:tcBorders>
              <w:top w:val="single" w:sz="4" w:space="0" w:color="BCBDBC"/>
              <w:bottom w:val="single" w:sz="4" w:space="0" w:color="BCBDBC"/>
            </w:tcBorders>
          </w:tcPr>
          <w:p w14:paraId="1F8E3C9D" w14:textId="77777777" w:rsidR="001929CC" w:rsidRDefault="001929CC" w:rsidP="001929CC">
            <w:pPr>
              <w:pStyle w:val="TableText"/>
              <w:snapToGrid w:val="0"/>
              <w:rPr>
                <w:lang w:eastAsia="en-GB"/>
              </w:rPr>
            </w:pPr>
          </w:p>
        </w:tc>
        <w:tc>
          <w:tcPr>
            <w:tcW w:w="870" w:type="dxa"/>
            <w:tcBorders>
              <w:top w:val="single" w:sz="4" w:space="0" w:color="BCBDBC"/>
              <w:bottom w:val="single" w:sz="4" w:space="0" w:color="BCBDBC"/>
            </w:tcBorders>
          </w:tcPr>
          <w:p w14:paraId="2EB8168C" w14:textId="77777777" w:rsidR="001929CC" w:rsidRDefault="001929CC" w:rsidP="001929CC">
            <w:pPr>
              <w:pStyle w:val="TableText"/>
              <w:snapToGrid w:val="0"/>
              <w:rPr>
                <w:lang w:eastAsia="en-GB"/>
              </w:rPr>
            </w:pPr>
          </w:p>
        </w:tc>
        <w:tc>
          <w:tcPr>
            <w:tcW w:w="1011" w:type="dxa"/>
            <w:tcBorders>
              <w:top w:val="single" w:sz="4" w:space="0" w:color="BCBDBC"/>
              <w:bottom w:val="single" w:sz="4" w:space="0" w:color="BCBDBC"/>
            </w:tcBorders>
          </w:tcPr>
          <w:p w14:paraId="6745C595" w14:textId="77777777" w:rsidR="001929CC" w:rsidRDefault="001929CC" w:rsidP="001929CC">
            <w:pPr>
              <w:pStyle w:val="TableText"/>
              <w:snapToGrid w:val="0"/>
              <w:rPr>
                <w:lang w:eastAsia="en-GB"/>
              </w:rPr>
            </w:pPr>
          </w:p>
        </w:tc>
        <w:tc>
          <w:tcPr>
            <w:tcW w:w="866" w:type="dxa"/>
            <w:tcBorders>
              <w:top w:val="single" w:sz="4" w:space="0" w:color="BCBDBC"/>
              <w:bottom w:val="single" w:sz="4" w:space="0" w:color="BCBDBC"/>
              <w:right w:val="nil"/>
            </w:tcBorders>
          </w:tcPr>
          <w:p w14:paraId="7AB9E554" w14:textId="77777777" w:rsidR="001929CC" w:rsidRDefault="001929CC" w:rsidP="001929CC">
            <w:pPr>
              <w:pStyle w:val="TableText"/>
              <w:snapToGrid w:val="0"/>
              <w:rPr>
                <w:lang w:eastAsia="en-GB"/>
              </w:rPr>
            </w:pPr>
          </w:p>
        </w:tc>
      </w:tr>
      <w:tr w:rsidR="001929CC" w14:paraId="093FC231" w14:textId="77777777" w:rsidTr="001929CC">
        <w:tc>
          <w:tcPr>
            <w:tcW w:w="921" w:type="dxa"/>
            <w:tcBorders>
              <w:top w:val="single" w:sz="4" w:space="0" w:color="BCBDBC"/>
              <w:left w:val="nil"/>
              <w:bottom w:val="single" w:sz="4" w:space="0" w:color="auto"/>
            </w:tcBorders>
          </w:tcPr>
          <w:p w14:paraId="33845DC3" w14:textId="77777777" w:rsidR="001929CC" w:rsidRDefault="001929CC" w:rsidP="001929CC">
            <w:pPr>
              <w:pStyle w:val="TableText"/>
              <w:snapToGrid w:val="0"/>
              <w:rPr>
                <w:lang w:eastAsia="en-GB"/>
              </w:rPr>
            </w:pPr>
          </w:p>
        </w:tc>
        <w:tc>
          <w:tcPr>
            <w:tcW w:w="922" w:type="dxa"/>
            <w:tcBorders>
              <w:top w:val="single" w:sz="4" w:space="0" w:color="BCBDBC"/>
              <w:bottom w:val="single" w:sz="4" w:space="0" w:color="auto"/>
            </w:tcBorders>
          </w:tcPr>
          <w:p w14:paraId="780DDE00" w14:textId="77777777" w:rsidR="001929CC" w:rsidRDefault="001929CC" w:rsidP="001929CC">
            <w:pPr>
              <w:pStyle w:val="TableText"/>
              <w:snapToGrid w:val="0"/>
              <w:rPr>
                <w:lang w:eastAsia="en-GB"/>
              </w:rPr>
            </w:pPr>
          </w:p>
        </w:tc>
        <w:tc>
          <w:tcPr>
            <w:tcW w:w="923" w:type="dxa"/>
            <w:tcBorders>
              <w:top w:val="single" w:sz="4" w:space="0" w:color="BCBDBC"/>
              <w:bottom w:val="single" w:sz="4" w:space="0" w:color="auto"/>
            </w:tcBorders>
          </w:tcPr>
          <w:p w14:paraId="470A8FE0" w14:textId="77777777" w:rsidR="001929CC" w:rsidRDefault="001929CC" w:rsidP="001929CC">
            <w:pPr>
              <w:pStyle w:val="TableText"/>
              <w:snapToGrid w:val="0"/>
              <w:rPr>
                <w:lang w:eastAsia="en-GB"/>
              </w:rPr>
            </w:pPr>
          </w:p>
        </w:tc>
        <w:tc>
          <w:tcPr>
            <w:tcW w:w="924" w:type="dxa"/>
            <w:tcBorders>
              <w:top w:val="single" w:sz="4" w:space="0" w:color="BCBDBC"/>
              <w:bottom w:val="single" w:sz="4" w:space="0" w:color="auto"/>
            </w:tcBorders>
          </w:tcPr>
          <w:p w14:paraId="7B3E512C" w14:textId="77777777" w:rsidR="001929CC" w:rsidRDefault="001929CC" w:rsidP="001929CC">
            <w:pPr>
              <w:pStyle w:val="TableText"/>
              <w:snapToGrid w:val="0"/>
              <w:rPr>
                <w:lang w:eastAsia="en-GB"/>
              </w:rPr>
            </w:pPr>
          </w:p>
        </w:tc>
        <w:tc>
          <w:tcPr>
            <w:tcW w:w="924" w:type="dxa"/>
            <w:tcBorders>
              <w:top w:val="single" w:sz="4" w:space="0" w:color="BCBDBC"/>
              <w:bottom w:val="single" w:sz="4" w:space="0" w:color="auto"/>
            </w:tcBorders>
          </w:tcPr>
          <w:p w14:paraId="20BD0C28" w14:textId="77777777" w:rsidR="001929CC" w:rsidRDefault="001929CC" w:rsidP="001929CC">
            <w:pPr>
              <w:pStyle w:val="TableText"/>
              <w:snapToGrid w:val="0"/>
              <w:rPr>
                <w:lang w:eastAsia="en-GB"/>
              </w:rPr>
            </w:pPr>
          </w:p>
        </w:tc>
        <w:tc>
          <w:tcPr>
            <w:tcW w:w="924" w:type="dxa"/>
            <w:tcBorders>
              <w:top w:val="single" w:sz="4" w:space="0" w:color="BCBDBC"/>
              <w:bottom w:val="single" w:sz="4" w:space="0" w:color="auto"/>
            </w:tcBorders>
          </w:tcPr>
          <w:p w14:paraId="0F882816" w14:textId="77777777" w:rsidR="001929CC" w:rsidRDefault="001929CC" w:rsidP="001929CC">
            <w:pPr>
              <w:pStyle w:val="TableText"/>
              <w:snapToGrid w:val="0"/>
              <w:rPr>
                <w:lang w:eastAsia="en-GB"/>
              </w:rPr>
            </w:pPr>
          </w:p>
        </w:tc>
        <w:tc>
          <w:tcPr>
            <w:tcW w:w="957" w:type="dxa"/>
            <w:tcBorders>
              <w:top w:val="single" w:sz="4" w:space="0" w:color="BCBDBC"/>
              <w:bottom w:val="single" w:sz="4" w:space="0" w:color="auto"/>
            </w:tcBorders>
          </w:tcPr>
          <w:p w14:paraId="75768764" w14:textId="77777777" w:rsidR="001929CC" w:rsidRDefault="001929CC" w:rsidP="001929CC">
            <w:pPr>
              <w:pStyle w:val="TableText"/>
              <w:snapToGrid w:val="0"/>
              <w:rPr>
                <w:lang w:eastAsia="en-GB"/>
              </w:rPr>
            </w:pPr>
          </w:p>
        </w:tc>
        <w:tc>
          <w:tcPr>
            <w:tcW w:w="870" w:type="dxa"/>
            <w:tcBorders>
              <w:top w:val="single" w:sz="4" w:space="0" w:color="BCBDBC"/>
              <w:bottom w:val="single" w:sz="4" w:space="0" w:color="auto"/>
            </w:tcBorders>
          </w:tcPr>
          <w:p w14:paraId="5F34F865" w14:textId="77777777" w:rsidR="001929CC" w:rsidRDefault="001929CC" w:rsidP="001929CC">
            <w:pPr>
              <w:pStyle w:val="TableText"/>
              <w:snapToGrid w:val="0"/>
              <w:rPr>
                <w:lang w:eastAsia="en-GB"/>
              </w:rPr>
            </w:pPr>
          </w:p>
        </w:tc>
        <w:tc>
          <w:tcPr>
            <w:tcW w:w="1011" w:type="dxa"/>
            <w:tcBorders>
              <w:top w:val="single" w:sz="4" w:space="0" w:color="BCBDBC"/>
              <w:bottom w:val="single" w:sz="4" w:space="0" w:color="auto"/>
            </w:tcBorders>
          </w:tcPr>
          <w:p w14:paraId="0E2A1848" w14:textId="77777777" w:rsidR="001929CC" w:rsidRDefault="001929CC" w:rsidP="001929CC">
            <w:pPr>
              <w:pStyle w:val="TableText"/>
              <w:snapToGrid w:val="0"/>
              <w:rPr>
                <w:lang w:eastAsia="en-GB"/>
              </w:rPr>
            </w:pPr>
          </w:p>
        </w:tc>
        <w:tc>
          <w:tcPr>
            <w:tcW w:w="866" w:type="dxa"/>
            <w:tcBorders>
              <w:top w:val="single" w:sz="4" w:space="0" w:color="BCBDBC"/>
              <w:bottom w:val="single" w:sz="4" w:space="0" w:color="auto"/>
              <w:right w:val="nil"/>
            </w:tcBorders>
          </w:tcPr>
          <w:p w14:paraId="7FF2309C" w14:textId="77777777" w:rsidR="001929CC" w:rsidRDefault="001929CC" w:rsidP="001929CC">
            <w:pPr>
              <w:pStyle w:val="TableText"/>
              <w:snapToGrid w:val="0"/>
              <w:rPr>
                <w:lang w:eastAsia="en-GB"/>
              </w:rPr>
            </w:pPr>
          </w:p>
        </w:tc>
      </w:tr>
    </w:tbl>
    <w:p w14:paraId="6E098C78" w14:textId="77777777" w:rsidR="001929CC" w:rsidRDefault="001929CC" w:rsidP="001929CC">
      <w:pPr>
        <w:spacing w:before="120" w:after="120"/>
        <w:ind w:leftChars="-283" w:left="-566"/>
        <w:rPr>
          <w:sz w:val="22"/>
        </w:rPr>
      </w:pPr>
    </w:p>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8789"/>
      </w:tblGrid>
      <w:tr w:rsidR="001929CC" w14:paraId="70145245" w14:textId="77777777" w:rsidTr="001929CC">
        <w:trPr>
          <w:tblHeader/>
        </w:trPr>
        <w:tc>
          <w:tcPr>
            <w:tcW w:w="9214" w:type="dxa"/>
            <w:gridSpan w:val="2"/>
            <w:shd w:val="clear" w:color="auto" w:fill="BFBFBF"/>
          </w:tcPr>
          <w:p w14:paraId="7F5EBA0C" w14:textId="77777777" w:rsidR="001929CC" w:rsidRDefault="001929CC" w:rsidP="001929CC">
            <w:pPr>
              <w:spacing w:before="40" w:after="40"/>
              <w:jc w:val="both"/>
              <w:rPr>
                <w:rFonts w:eastAsia="新細明體"/>
                <w:b/>
                <w:sz w:val="17"/>
                <w:szCs w:val="17"/>
                <w:lang w:eastAsia="en-GB"/>
              </w:rPr>
            </w:pPr>
            <w:r>
              <w:rPr>
                <w:rFonts w:eastAsia="新細明體"/>
                <w:b/>
                <w:sz w:val="17"/>
                <w:szCs w:val="17"/>
                <w:lang w:eastAsia="en-GB"/>
              </w:rPr>
              <w:t>Explanatory Note</w:t>
            </w:r>
          </w:p>
        </w:tc>
      </w:tr>
      <w:tr w:rsidR="001929CC" w14:paraId="17FA25D1" w14:textId="77777777" w:rsidTr="001929CC">
        <w:trPr>
          <w:trHeight w:val="153"/>
        </w:trPr>
        <w:tc>
          <w:tcPr>
            <w:tcW w:w="9214" w:type="dxa"/>
            <w:gridSpan w:val="2"/>
            <w:shd w:val="clear" w:color="auto" w:fill="F2F2F2"/>
          </w:tcPr>
          <w:p w14:paraId="56A52145" w14:textId="77777777" w:rsidR="001929CC" w:rsidRDefault="001929CC" w:rsidP="001929CC">
            <w:pPr>
              <w:spacing w:before="40" w:after="40"/>
              <w:jc w:val="both"/>
              <w:rPr>
                <w:rFonts w:eastAsia="新細明體"/>
                <w:b/>
                <w:sz w:val="17"/>
                <w:szCs w:val="17"/>
                <w:lang w:eastAsia="en-GB"/>
              </w:rPr>
            </w:pPr>
            <w:r>
              <w:rPr>
                <w:rFonts w:eastAsia="新細明體"/>
                <w:b/>
                <w:sz w:val="17"/>
                <w:szCs w:val="17"/>
                <w:lang w:eastAsia="en-GB"/>
              </w:rPr>
              <w:t>Columns</w:t>
            </w:r>
          </w:p>
        </w:tc>
      </w:tr>
      <w:tr w:rsidR="001929CC" w14:paraId="13F38B50" w14:textId="77777777" w:rsidTr="001929CC">
        <w:tc>
          <w:tcPr>
            <w:tcW w:w="425" w:type="dxa"/>
          </w:tcPr>
          <w:p w14:paraId="72897CEB" w14:textId="77777777" w:rsidR="001929CC" w:rsidRDefault="001929CC" w:rsidP="001929CC">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(a)</w:t>
            </w:r>
          </w:p>
        </w:tc>
        <w:tc>
          <w:tcPr>
            <w:tcW w:w="8789" w:type="dxa"/>
          </w:tcPr>
          <w:p w14:paraId="1F8A33D7" w14:textId="56C0E00F" w:rsidR="001929CC" w:rsidRDefault="001929CC" w:rsidP="00E422CC">
            <w:pPr>
              <w:pStyle w:val="TableText"/>
              <w:tabs>
                <w:tab w:val="left" w:pos="459"/>
              </w:tabs>
              <w:jc w:val="both"/>
              <w:rPr>
                <w:szCs w:val="17"/>
              </w:rPr>
            </w:pPr>
            <w:r>
              <w:rPr>
                <w:i/>
                <w:lang w:eastAsia="en-GB"/>
              </w:rPr>
              <w:t>Portfolio X</w:t>
            </w:r>
            <w:r>
              <w:rPr>
                <w:lang w:eastAsia="en-GB"/>
              </w:rPr>
              <w:t xml:space="preserve">: the breakdown by portfolios should follow the </w:t>
            </w:r>
            <w:r>
              <w:rPr>
                <w:rFonts w:eastAsia="新細明體"/>
                <w:lang w:eastAsia="en-GB"/>
              </w:rPr>
              <w:t>major IRB class and/or subclass (which are in line with the classification used in the BCR)</w:t>
            </w:r>
            <w:r>
              <w:rPr>
                <w:lang w:eastAsia="en-GB"/>
              </w:rPr>
              <w:t xml:space="preserve">, as follows:- </w:t>
            </w:r>
            <w:r>
              <w:rPr>
                <w:szCs w:val="17"/>
              </w:rPr>
              <w:t>(i) Sovereign; (ii) Bank; (iii) Corporate – specialized lending (other than HVCRE)</w:t>
            </w:r>
            <w:r w:rsidR="00A010C7">
              <w:rPr>
                <w:szCs w:val="17"/>
              </w:rPr>
              <w:t>*</w:t>
            </w:r>
            <w:r>
              <w:rPr>
                <w:szCs w:val="17"/>
              </w:rPr>
              <w:t>; (iv) Corporate – small-and-medium sized corporates; (v) Corporate – specialized lending (HVCRE)*; (vi) Corporate – large corporates; (vii) Corporate – f</w:t>
            </w:r>
            <w:r w:rsidRPr="00023065">
              <w:rPr>
                <w:szCs w:val="17"/>
              </w:rPr>
              <w:t>inancial institutions treated as corporates</w:t>
            </w:r>
            <w:r>
              <w:rPr>
                <w:szCs w:val="17"/>
              </w:rPr>
              <w:t xml:space="preserve">; (viii) Corporate – other corporates; (ix) Retail – QRRE (transactor); (x) Retail – QRRE (revolver); (xi) Retail – Residential mortgage exposures (including both to individuals and to property-holding shell companies); (xii) Retail – small business retail exposures; and (xiii) Retail </w:t>
            </w:r>
            <w:r w:rsidR="00CA4A99">
              <w:rPr>
                <w:szCs w:val="17"/>
              </w:rPr>
              <w:t>–</w:t>
            </w:r>
            <w:r>
              <w:rPr>
                <w:szCs w:val="17"/>
              </w:rPr>
              <w:t xml:space="preserve"> Other retail exposures to individuals. (* Only for those </w:t>
            </w:r>
            <w:r w:rsidR="00E422CC">
              <w:rPr>
                <w:szCs w:val="17"/>
              </w:rPr>
              <w:t xml:space="preserve">specialized lending </w:t>
            </w:r>
            <w:r>
              <w:rPr>
                <w:szCs w:val="17"/>
              </w:rPr>
              <w:t>subject to the FIRB or AIRB approach.)</w:t>
            </w:r>
          </w:p>
        </w:tc>
      </w:tr>
      <w:tr w:rsidR="001929CC" w14:paraId="18A1436D" w14:textId="77777777" w:rsidTr="001929CC">
        <w:trPr>
          <w:trHeight w:val="455"/>
        </w:trPr>
        <w:tc>
          <w:tcPr>
            <w:tcW w:w="425" w:type="dxa"/>
          </w:tcPr>
          <w:p w14:paraId="01342521" w14:textId="77777777" w:rsidR="001929CC" w:rsidRDefault="001929CC" w:rsidP="001929CC">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(b)</w:t>
            </w:r>
          </w:p>
        </w:tc>
        <w:tc>
          <w:tcPr>
            <w:tcW w:w="8789" w:type="dxa"/>
          </w:tcPr>
          <w:p w14:paraId="488104C8" w14:textId="77777777" w:rsidR="001929CC" w:rsidRDefault="001929CC" w:rsidP="001929CC">
            <w:pPr>
              <w:pStyle w:val="TableNote"/>
              <w:rPr>
                <w:sz w:val="17"/>
                <w:szCs w:val="17"/>
              </w:rPr>
            </w:pPr>
            <w:r>
              <w:rPr>
                <w:i/>
                <w:sz w:val="17"/>
                <w:szCs w:val="17"/>
              </w:rPr>
              <w:t>PD Range</w:t>
            </w:r>
            <w:r>
              <w:rPr>
                <w:sz w:val="17"/>
                <w:szCs w:val="17"/>
              </w:rPr>
              <w:t>: the upper and lower bound of the PD assigned at the beginning of the period for obligors of the respective portfolios.</w:t>
            </w:r>
          </w:p>
        </w:tc>
      </w:tr>
      <w:tr w:rsidR="001929CC" w14:paraId="3FF0451D" w14:textId="77777777" w:rsidTr="001929CC">
        <w:tc>
          <w:tcPr>
            <w:tcW w:w="425" w:type="dxa"/>
          </w:tcPr>
          <w:p w14:paraId="7DA47892" w14:textId="77777777" w:rsidR="001929CC" w:rsidRDefault="001929CC" w:rsidP="001929CC">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(c)</w:t>
            </w:r>
          </w:p>
        </w:tc>
        <w:tc>
          <w:tcPr>
            <w:tcW w:w="8789" w:type="dxa"/>
          </w:tcPr>
          <w:p w14:paraId="29B28049" w14:textId="77777777" w:rsidR="001929CC" w:rsidRDefault="001929CC" w:rsidP="001929CC">
            <w:pPr>
              <w:pStyle w:val="TableNote"/>
              <w:rPr>
                <w:sz w:val="17"/>
                <w:szCs w:val="17"/>
              </w:rPr>
            </w:pPr>
            <w:r>
              <w:rPr>
                <w:i/>
                <w:sz w:val="17"/>
                <w:szCs w:val="17"/>
              </w:rPr>
              <w:t>External rating equivalent</w:t>
            </w:r>
            <w:r>
              <w:rPr>
                <w:sz w:val="17"/>
                <w:szCs w:val="17"/>
              </w:rPr>
              <w:t>: one column should be filled in for each ECAI or credit rating agency authorized for prudential purposes in Hong Kong or other jurisdictions where the AI operates.  This may not be applicable to a retail portfolio for which external rating is not available.  If there are more than one applicable ECAIs or credit rating agencies, add column (c)(i), (c)(ii) and so on for disclosure.</w:t>
            </w:r>
          </w:p>
        </w:tc>
      </w:tr>
      <w:tr w:rsidR="001929CC" w14:paraId="02ECA148" w14:textId="77777777" w:rsidTr="001929CC">
        <w:tc>
          <w:tcPr>
            <w:tcW w:w="425" w:type="dxa"/>
          </w:tcPr>
          <w:p w14:paraId="7F984625" w14:textId="77777777" w:rsidR="001929CC" w:rsidRDefault="001929CC" w:rsidP="001929CC">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(d)</w:t>
            </w:r>
          </w:p>
        </w:tc>
        <w:tc>
          <w:tcPr>
            <w:tcW w:w="8789" w:type="dxa"/>
          </w:tcPr>
          <w:p w14:paraId="0FC7E6C4" w14:textId="77777777" w:rsidR="001929CC" w:rsidRDefault="001929CC" w:rsidP="001929CC">
            <w:pPr>
              <w:pStyle w:val="TableNote"/>
              <w:rPr>
                <w:sz w:val="17"/>
                <w:szCs w:val="17"/>
              </w:rPr>
            </w:pPr>
            <w:r>
              <w:rPr>
                <w:i/>
                <w:sz w:val="17"/>
                <w:szCs w:val="17"/>
              </w:rPr>
              <w:t>Weighted average PD</w:t>
            </w:r>
            <w:r>
              <w:rPr>
                <w:sz w:val="17"/>
                <w:szCs w:val="17"/>
              </w:rPr>
              <w:t xml:space="preserve">: the estimated PDs assigned at the beginning of the period for obligors by the internal model authorized under the IRB approach.  The PD values are EAD-weighted and the “weight” is the EAD at the beginning of the period that are not in default. </w:t>
            </w:r>
          </w:p>
        </w:tc>
      </w:tr>
      <w:tr w:rsidR="001929CC" w14:paraId="7420E79F" w14:textId="77777777" w:rsidTr="001929CC">
        <w:tc>
          <w:tcPr>
            <w:tcW w:w="425" w:type="dxa"/>
          </w:tcPr>
          <w:p w14:paraId="4AF403D9" w14:textId="77777777" w:rsidR="001929CC" w:rsidRDefault="001929CC" w:rsidP="001929CC">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(e)</w:t>
            </w:r>
          </w:p>
        </w:tc>
        <w:tc>
          <w:tcPr>
            <w:tcW w:w="8789" w:type="dxa"/>
          </w:tcPr>
          <w:p w14:paraId="0E447A9F" w14:textId="77777777" w:rsidR="001929CC" w:rsidRDefault="001929CC" w:rsidP="001929CC">
            <w:pPr>
              <w:pStyle w:val="TableNote"/>
              <w:rPr>
                <w:i/>
                <w:sz w:val="17"/>
                <w:szCs w:val="17"/>
              </w:rPr>
            </w:pPr>
            <w:r>
              <w:rPr>
                <w:i/>
                <w:sz w:val="17"/>
                <w:szCs w:val="17"/>
              </w:rPr>
              <w:t>Arithmetic average PD by obligors</w:t>
            </w:r>
            <w:r>
              <w:rPr>
                <w:sz w:val="17"/>
                <w:szCs w:val="17"/>
              </w:rPr>
              <w:t>: the simple average of PD at the beginning of the period, calculated by aggregating the values of obligors’ PD within range which is then divided by the total number of obligors within the range.</w:t>
            </w:r>
          </w:p>
        </w:tc>
      </w:tr>
      <w:tr w:rsidR="001929CC" w14:paraId="27120877" w14:textId="77777777" w:rsidTr="001929CC">
        <w:tc>
          <w:tcPr>
            <w:tcW w:w="425" w:type="dxa"/>
          </w:tcPr>
          <w:p w14:paraId="2D62B201" w14:textId="77777777" w:rsidR="001929CC" w:rsidRDefault="001929CC" w:rsidP="001929CC">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(f)</w:t>
            </w:r>
          </w:p>
        </w:tc>
        <w:tc>
          <w:tcPr>
            <w:tcW w:w="8789" w:type="dxa"/>
          </w:tcPr>
          <w:p w14:paraId="3E5391ED" w14:textId="77777777" w:rsidR="001929CC" w:rsidRDefault="001929CC" w:rsidP="001929CC">
            <w:pPr>
              <w:pStyle w:val="TableNote"/>
              <w:rPr>
                <w:sz w:val="17"/>
                <w:szCs w:val="17"/>
              </w:rPr>
            </w:pPr>
            <w:r>
              <w:rPr>
                <w:i/>
                <w:sz w:val="17"/>
                <w:szCs w:val="17"/>
              </w:rPr>
              <w:t>Number of obligors</w:t>
            </w:r>
            <w:r>
              <w:rPr>
                <w:sz w:val="17"/>
                <w:szCs w:val="17"/>
              </w:rPr>
              <w:t xml:space="preserve">: two sets of information are required: (i) the number of obligors at the beginning of the year; and (ii) the number of obligors at the end of the year subject to reporting.  The ‘Beginning of the year’ sub-column includes non-default obligors at the beginning of the year for disclosure.  The ‘End of the year’ sub-column includes </w:t>
            </w:r>
            <w:r>
              <w:rPr>
                <w:sz w:val="17"/>
                <w:szCs w:val="17"/>
              </w:rPr>
              <w:lastRenderedPageBreak/>
              <w:t>all the non-default accounts related to obligors already included in the ‘Beginning of the year’ sub-column plus all the new obligors acquired during the year.</w:t>
            </w:r>
          </w:p>
        </w:tc>
      </w:tr>
      <w:tr w:rsidR="001929CC" w14:paraId="090C9B9A" w14:textId="77777777" w:rsidTr="001929CC">
        <w:tc>
          <w:tcPr>
            <w:tcW w:w="425" w:type="dxa"/>
          </w:tcPr>
          <w:p w14:paraId="79DB8F20" w14:textId="77777777" w:rsidR="001929CC" w:rsidRDefault="001929CC" w:rsidP="001929CC">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lastRenderedPageBreak/>
              <w:t>(g)</w:t>
            </w:r>
          </w:p>
        </w:tc>
        <w:tc>
          <w:tcPr>
            <w:tcW w:w="8789" w:type="dxa"/>
          </w:tcPr>
          <w:p w14:paraId="770EACEB" w14:textId="77777777" w:rsidR="001929CC" w:rsidRDefault="001929CC" w:rsidP="001929CC">
            <w:pPr>
              <w:pStyle w:val="TableNote"/>
              <w:rPr>
                <w:sz w:val="17"/>
                <w:szCs w:val="17"/>
              </w:rPr>
            </w:pPr>
            <w:r>
              <w:rPr>
                <w:i/>
                <w:sz w:val="17"/>
                <w:szCs w:val="17"/>
              </w:rPr>
              <w:t>Defaulted obligors</w:t>
            </w:r>
            <w:r>
              <w:rPr>
                <w:b/>
                <w:sz w:val="17"/>
                <w:szCs w:val="17"/>
              </w:rPr>
              <w:t xml:space="preserve"> </w:t>
            </w:r>
            <w:r>
              <w:rPr>
                <w:i/>
                <w:sz w:val="17"/>
                <w:szCs w:val="17"/>
              </w:rPr>
              <w:t>in the year</w:t>
            </w:r>
            <w:r>
              <w:rPr>
                <w:sz w:val="17"/>
                <w:szCs w:val="17"/>
              </w:rPr>
              <w:t>: the number of defaulted obligors during the year, which includes: (i) obligors not in default at the beginning of the year who went into default during the year; and (ii) new obligors acquired – through origination or purchase of loans, debt securities or off-balance sheet commitments - during the year not in default who went into default during the year.  Obligors under (ii) are also separately disclosed in column (h).</w:t>
            </w:r>
          </w:p>
        </w:tc>
      </w:tr>
      <w:tr w:rsidR="001929CC" w14:paraId="24C2BE7B" w14:textId="77777777" w:rsidTr="001929CC">
        <w:trPr>
          <w:trHeight w:val="373"/>
        </w:trPr>
        <w:tc>
          <w:tcPr>
            <w:tcW w:w="425" w:type="dxa"/>
          </w:tcPr>
          <w:p w14:paraId="43BA0989" w14:textId="77777777" w:rsidR="001929CC" w:rsidRDefault="001929CC" w:rsidP="001929CC">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(h)</w:t>
            </w:r>
          </w:p>
        </w:tc>
        <w:tc>
          <w:tcPr>
            <w:tcW w:w="8789" w:type="dxa"/>
          </w:tcPr>
          <w:p w14:paraId="530C9526" w14:textId="77777777" w:rsidR="001929CC" w:rsidRDefault="001929CC" w:rsidP="001929CC">
            <w:pPr>
              <w:pStyle w:val="TableNote"/>
              <w:rPr>
                <w:sz w:val="17"/>
                <w:szCs w:val="17"/>
              </w:rPr>
            </w:pPr>
            <w:r>
              <w:rPr>
                <w:i/>
                <w:sz w:val="17"/>
                <w:szCs w:val="17"/>
              </w:rPr>
              <w:t>Of which: new defaulted obligors in the year</w:t>
            </w:r>
            <w:r>
              <w:rPr>
                <w:sz w:val="17"/>
                <w:szCs w:val="17"/>
              </w:rPr>
              <w:t>: the number of obligors having defaulted during the last 12-month period that were not funded at the end of the previous financial year.</w:t>
            </w:r>
          </w:p>
        </w:tc>
      </w:tr>
      <w:tr w:rsidR="001929CC" w14:paraId="3DCD1315" w14:textId="77777777" w:rsidTr="001929CC">
        <w:trPr>
          <w:trHeight w:val="373"/>
        </w:trPr>
        <w:tc>
          <w:tcPr>
            <w:tcW w:w="425" w:type="dxa"/>
          </w:tcPr>
          <w:p w14:paraId="5E1228D5" w14:textId="77777777" w:rsidR="001929CC" w:rsidRDefault="001929CC" w:rsidP="001929CC">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(i)</w:t>
            </w:r>
          </w:p>
        </w:tc>
        <w:tc>
          <w:tcPr>
            <w:tcW w:w="8789" w:type="dxa"/>
          </w:tcPr>
          <w:p w14:paraId="79B55D66" w14:textId="77777777" w:rsidR="001929CC" w:rsidRDefault="001929CC" w:rsidP="001929CC">
            <w:pPr>
              <w:pStyle w:val="TableNote"/>
              <w:spacing w:before="40" w:after="40"/>
              <w:rPr>
                <w:i/>
                <w:sz w:val="17"/>
                <w:szCs w:val="17"/>
              </w:rPr>
            </w:pPr>
            <w:r>
              <w:rPr>
                <w:i/>
                <w:sz w:val="17"/>
                <w:szCs w:val="17"/>
              </w:rPr>
              <w:t>Average historical annual default rate</w:t>
            </w:r>
            <w:r>
              <w:rPr>
                <w:sz w:val="17"/>
                <w:szCs w:val="17"/>
              </w:rPr>
              <w:t>: a minimum of 5-year average of the annual default rate is required.  The annual default rate is calculated by dividing the number of obligors at the beginning of each year that are defaulted during that year, by the total number of obligors held at the beginning of the year.  An AI may use a longer historical period (i.e. longer than 5 years) that is consistent with the AI’s actual risk management practices for calculating the average historical annual default rate figure.</w:t>
            </w:r>
          </w:p>
        </w:tc>
      </w:tr>
      <w:tr w:rsidR="001929CC" w14:paraId="689CE93B" w14:textId="77777777" w:rsidTr="001929CC">
        <w:trPr>
          <w:trHeight w:val="373"/>
        </w:trPr>
        <w:tc>
          <w:tcPr>
            <w:tcW w:w="9214" w:type="dxa"/>
            <w:gridSpan w:val="2"/>
            <w:shd w:val="clear" w:color="auto" w:fill="F2F2F2"/>
          </w:tcPr>
          <w:p w14:paraId="7F61DE5F" w14:textId="77777777" w:rsidR="001929CC" w:rsidRDefault="001929CC" w:rsidP="001929CC">
            <w:pPr>
              <w:pStyle w:val="TableNote"/>
              <w:spacing w:before="40" w:after="40"/>
              <w:rPr>
                <w:i/>
                <w:sz w:val="17"/>
                <w:szCs w:val="17"/>
              </w:rPr>
            </w:pPr>
            <w:r>
              <w:rPr>
                <w:rFonts w:eastAsia="新細明體"/>
                <w:b/>
                <w:sz w:val="17"/>
                <w:szCs w:val="17"/>
                <w:lang w:eastAsia="en-GB"/>
              </w:rPr>
              <w:t>Rows</w:t>
            </w:r>
          </w:p>
        </w:tc>
      </w:tr>
      <w:tr w:rsidR="001929CC" w14:paraId="7FE065C8" w14:textId="77777777" w:rsidTr="001929CC">
        <w:trPr>
          <w:trHeight w:val="373"/>
        </w:trPr>
        <w:tc>
          <w:tcPr>
            <w:tcW w:w="9214" w:type="dxa"/>
            <w:gridSpan w:val="2"/>
          </w:tcPr>
          <w:p w14:paraId="66AC6D0C" w14:textId="7D83DAB3" w:rsidR="001929CC" w:rsidRDefault="001929CC" w:rsidP="001929CC">
            <w:pPr>
              <w:pStyle w:val="TableNote"/>
              <w:spacing w:before="40" w:after="40"/>
              <w:rPr>
                <w:i/>
                <w:sz w:val="17"/>
                <w:szCs w:val="17"/>
              </w:rPr>
            </w:pPr>
            <w:r>
              <w:rPr>
                <w:sz w:val="17"/>
                <w:szCs w:val="17"/>
              </w:rPr>
              <w:t>An AI is expected not to group obligor grades for the purposes of disclosure except in a manner which represents a breakdown of obligor grades, under the IRB approach used by the AI, which provides for a consistent, logical and cogent differentiation of the credit risk exposures.  To achieve this, a breakdown by obligor grades together with the corresponding PD ranges may be disclosed for each regulatory portfolio.</w:t>
            </w:r>
          </w:p>
        </w:tc>
      </w:tr>
    </w:tbl>
    <w:p w14:paraId="5EADB698" w14:textId="77777777" w:rsidR="001929CC" w:rsidRDefault="001929CC" w:rsidP="001929CC">
      <w:pPr>
        <w:spacing w:before="120" w:after="120"/>
        <w:rPr>
          <w:sz w:val="22"/>
        </w:rPr>
      </w:pPr>
    </w:p>
    <w:p w14:paraId="4942D8AF" w14:textId="77777777" w:rsidR="001929CC" w:rsidRDefault="001929CC" w:rsidP="001929CC">
      <w:pPr>
        <w:spacing w:before="120" w:after="120"/>
        <w:rPr>
          <w:sz w:val="22"/>
        </w:rPr>
        <w:sectPr w:rsidR="001929CC">
          <w:footerReference w:type="default" r:id="rId55"/>
          <w:pgSz w:w="11906" w:h="16838"/>
          <w:pgMar w:top="1440" w:right="1800" w:bottom="1440" w:left="1800" w:header="851" w:footer="992" w:gutter="0"/>
          <w:cols w:space="425"/>
          <w:docGrid w:type="lines" w:linePitch="360"/>
        </w:sectPr>
      </w:pPr>
    </w:p>
    <w:p w14:paraId="379A8498" w14:textId="466A0860" w:rsidR="001929CC" w:rsidRDefault="001929CC" w:rsidP="001929CC">
      <w:pPr>
        <w:pStyle w:val="Heading3"/>
        <w:ind w:left="142"/>
        <w:rPr>
          <w:b/>
          <w:sz w:val="17"/>
          <w:lang w:eastAsia="en-GB"/>
        </w:rPr>
      </w:pPr>
      <w:r w:rsidRPr="00E72550">
        <w:lastRenderedPageBreak/>
        <w:t>Template</w:t>
      </w:r>
      <w:r>
        <w:t xml:space="preserve"> CR10: Specialized lending under supervisory slotting criteria approach – for IRB approach</w:t>
      </w:r>
    </w:p>
    <w:tbl>
      <w:tblPr>
        <w:tblW w:w="13892" w:type="dxa"/>
        <w:tblInd w:w="108"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552"/>
        <w:gridCol w:w="11340"/>
      </w:tblGrid>
      <w:tr w:rsidR="001929CC" w14:paraId="26C31042" w14:textId="77777777" w:rsidTr="001929CC">
        <w:tc>
          <w:tcPr>
            <w:tcW w:w="2552" w:type="dxa"/>
          </w:tcPr>
          <w:p w14:paraId="3DDD88FF" w14:textId="77777777" w:rsidR="001929CC" w:rsidRDefault="001929CC" w:rsidP="001929CC">
            <w:pPr>
              <w:spacing w:before="40" w:after="40"/>
              <w:rPr>
                <w:noProof/>
                <w:sz w:val="17"/>
                <w:szCs w:val="17"/>
                <w:lang w:eastAsia="en-GB"/>
              </w:rPr>
            </w:pPr>
            <w:r>
              <w:rPr>
                <w:b/>
                <w:sz w:val="17"/>
                <w:szCs w:val="17"/>
                <w:lang w:eastAsia="en-GB"/>
              </w:rPr>
              <w:t>Purpose:</w:t>
            </w:r>
          </w:p>
        </w:tc>
        <w:tc>
          <w:tcPr>
            <w:tcW w:w="11340" w:type="dxa"/>
          </w:tcPr>
          <w:p w14:paraId="76DD66F1" w14:textId="6CD034BF" w:rsidR="001929CC" w:rsidRDefault="001929CC" w:rsidP="001929CC">
            <w:pPr>
              <w:pStyle w:val="TableText"/>
              <w:jc w:val="both"/>
              <w:rPr>
                <w:noProof/>
                <w:lang w:eastAsia="en-GB"/>
              </w:rPr>
            </w:pPr>
            <w:r>
              <w:rPr>
                <w:lang w:eastAsia="en-GB"/>
              </w:rPr>
              <w:t>To provide quantitative information in respect of specialized lending under the supervisory slotting criteria approach</w:t>
            </w:r>
          </w:p>
        </w:tc>
      </w:tr>
      <w:tr w:rsidR="001929CC" w14:paraId="73D7E3F4" w14:textId="77777777" w:rsidTr="001929CC">
        <w:tc>
          <w:tcPr>
            <w:tcW w:w="2552" w:type="dxa"/>
          </w:tcPr>
          <w:p w14:paraId="24536C40" w14:textId="77777777" w:rsidR="001929CC" w:rsidRDefault="001929CC" w:rsidP="001929CC">
            <w:pPr>
              <w:spacing w:before="40" w:after="40"/>
              <w:rPr>
                <w:b/>
                <w:sz w:val="17"/>
                <w:szCs w:val="17"/>
                <w:lang w:eastAsia="en-GB"/>
              </w:rPr>
            </w:pPr>
            <w:r>
              <w:rPr>
                <w:b/>
                <w:sz w:val="17"/>
                <w:szCs w:val="17"/>
                <w:lang w:eastAsia="en-GB"/>
              </w:rPr>
              <w:t>Scope of application:</w:t>
            </w:r>
          </w:p>
        </w:tc>
        <w:tc>
          <w:tcPr>
            <w:tcW w:w="11340" w:type="dxa"/>
          </w:tcPr>
          <w:p w14:paraId="2F6C9689" w14:textId="2ABEC78E" w:rsidR="001929CC" w:rsidRDefault="001929CC" w:rsidP="001929CC">
            <w:pPr>
              <w:spacing w:before="40" w:after="40"/>
              <w:jc w:val="both"/>
              <w:rPr>
                <w:rFonts w:eastAsia="新細明體"/>
                <w:b/>
                <w:sz w:val="17"/>
                <w:lang w:eastAsia="en-GB"/>
              </w:rPr>
            </w:pPr>
            <w:r>
              <w:rPr>
                <w:rFonts w:eastAsia="新細明體"/>
                <w:sz w:val="17"/>
                <w:lang w:eastAsia="en-GB"/>
              </w:rPr>
              <w:t>The template is mandatory for AIs incorporated in Hong Kong that use: (I) supervisory slotting criteria approach – HVCRE; and (II) supervisory slotting criteria approach – other than HVCRE</w:t>
            </w:r>
            <w:r w:rsidR="007A02CC">
              <w:rPr>
                <w:rFonts w:eastAsia="新細明體"/>
                <w:sz w:val="17"/>
                <w:lang w:eastAsia="en-GB"/>
              </w:rPr>
              <w:t>.</w:t>
            </w:r>
          </w:p>
        </w:tc>
      </w:tr>
      <w:tr w:rsidR="001929CC" w14:paraId="1CF4A569" w14:textId="77777777" w:rsidTr="001929CC">
        <w:trPr>
          <w:trHeight w:val="275"/>
        </w:trPr>
        <w:tc>
          <w:tcPr>
            <w:tcW w:w="2552" w:type="dxa"/>
          </w:tcPr>
          <w:p w14:paraId="3C50EDD8" w14:textId="77777777" w:rsidR="001929CC" w:rsidRDefault="001929CC" w:rsidP="001929CC">
            <w:pPr>
              <w:spacing w:before="40" w:after="40"/>
              <w:rPr>
                <w:b/>
                <w:sz w:val="17"/>
                <w:szCs w:val="17"/>
                <w:lang w:eastAsia="en-GB"/>
              </w:rPr>
            </w:pPr>
            <w:r>
              <w:rPr>
                <w:b/>
                <w:sz w:val="17"/>
                <w:szCs w:val="17"/>
                <w:lang w:eastAsia="en-GB"/>
              </w:rPr>
              <w:t>Content:</w:t>
            </w:r>
          </w:p>
        </w:tc>
        <w:tc>
          <w:tcPr>
            <w:tcW w:w="11340" w:type="dxa"/>
          </w:tcPr>
          <w:p w14:paraId="07C14805" w14:textId="77777777" w:rsidR="001929CC" w:rsidRDefault="001929CC" w:rsidP="001929CC">
            <w:pPr>
              <w:spacing w:before="40" w:after="40"/>
              <w:jc w:val="both"/>
              <w:rPr>
                <w:rFonts w:eastAsia="新細明體"/>
                <w:b/>
                <w:sz w:val="17"/>
                <w:lang w:eastAsia="en-GB"/>
              </w:rPr>
            </w:pPr>
            <w:r>
              <w:rPr>
                <w:rFonts w:eastAsia="新細明體"/>
                <w:sz w:val="17"/>
                <w:lang w:eastAsia="en-GB"/>
              </w:rPr>
              <w:t>Carrying values, exposure amounts and RWA.</w:t>
            </w:r>
          </w:p>
        </w:tc>
      </w:tr>
      <w:tr w:rsidR="001929CC" w14:paraId="40562770" w14:textId="77777777" w:rsidTr="001929CC">
        <w:tc>
          <w:tcPr>
            <w:tcW w:w="2552" w:type="dxa"/>
          </w:tcPr>
          <w:p w14:paraId="707A6C75" w14:textId="77777777" w:rsidR="001929CC" w:rsidRDefault="001929CC" w:rsidP="001929CC">
            <w:pPr>
              <w:spacing w:before="40" w:after="40"/>
              <w:rPr>
                <w:sz w:val="17"/>
                <w:szCs w:val="17"/>
                <w:lang w:eastAsia="en-GB"/>
              </w:rPr>
            </w:pPr>
            <w:r>
              <w:rPr>
                <w:b/>
                <w:sz w:val="17"/>
                <w:szCs w:val="17"/>
                <w:lang w:eastAsia="en-GB"/>
              </w:rPr>
              <w:t>Frequency:</w:t>
            </w:r>
          </w:p>
        </w:tc>
        <w:tc>
          <w:tcPr>
            <w:tcW w:w="11340" w:type="dxa"/>
          </w:tcPr>
          <w:p w14:paraId="239FB101" w14:textId="77777777" w:rsidR="001929CC" w:rsidRDefault="001929CC" w:rsidP="001929CC">
            <w:pPr>
              <w:pStyle w:val="TableText"/>
              <w:jc w:val="both"/>
              <w:rPr>
                <w:lang w:eastAsia="en-GB"/>
              </w:rPr>
            </w:pPr>
            <w:r>
              <w:rPr>
                <w:lang w:eastAsia="en-GB"/>
              </w:rPr>
              <w:t>Semi-annual.</w:t>
            </w:r>
          </w:p>
        </w:tc>
      </w:tr>
      <w:tr w:rsidR="001929CC" w14:paraId="17CB776D" w14:textId="77777777" w:rsidTr="001929CC">
        <w:tc>
          <w:tcPr>
            <w:tcW w:w="2552" w:type="dxa"/>
          </w:tcPr>
          <w:p w14:paraId="4433D6BE" w14:textId="77777777" w:rsidR="001929CC" w:rsidRDefault="001929CC" w:rsidP="001929CC">
            <w:pPr>
              <w:spacing w:before="40" w:after="40"/>
              <w:rPr>
                <w:sz w:val="17"/>
                <w:szCs w:val="17"/>
                <w:lang w:eastAsia="en-GB"/>
              </w:rPr>
            </w:pPr>
            <w:r>
              <w:rPr>
                <w:b/>
                <w:sz w:val="17"/>
                <w:szCs w:val="17"/>
                <w:lang w:eastAsia="en-GB"/>
              </w:rPr>
              <w:t>Format:</w:t>
            </w:r>
          </w:p>
        </w:tc>
        <w:tc>
          <w:tcPr>
            <w:tcW w:w="11340" w:type="dxa"/>
          </w:tcPr>
          <w:p w14:paraId="13C215D0" w14:textId="77777777" w:rsidR="001929CC" w:rsidRDefault="001929CC" w:rsidP="001929CC">
            <w:pPr>
              <w:pStyle w:val="TableText"/>
              <w:jc w:val="both"/>
              <w:rPr>
                <w:lang w:eastAsia="en-GB"/>
              </w:rPr>
            </w:pPr>
            <w:r>
              <w:rPr>
                <w:lang w:eastAsia="en-GB"/>
              </w:rPr>
              <w:t>Flexible.</w:t>
            </w:r>
          </w:p>
        </w:tc>
      </w:tr>
      <w:tr w:rsidR="001929CC" w14:paraId="4E2484A0" w14:textId="77777777" w:rsidTr="001929CC">
        <w:tc>
          <w:tcPr>
            <w:tcW w:w="2552" w:type="dxa"/>
          </w:tcPr>
          <w:p w14:paraId="73B1402D" w14:textId="77777777" w:rsidR="001929CC" w:rsidRDefault="001929CC" w:rsidP="001929CC">
            <w:pPr>
              <w:spacing w:before="40" w:after="40"/>
              <w:rPr>
                <w:b/>
                <w:sz w:val="17"/>
                <w:szCs w:val="17"/>
                <w:lang w:eastAsia="en-GB"/>
              </w:rPr>
            </w:pPr>
            <w:r>
              <w:rPr>
                <w:rFonts w:eastAsia="新細明體"/>
                <w:b/>
                <w:sz w:val="17"/>
                <w:szCs w:val="17"/>
                <w:lang w:eastAsia="en-GB"/>
              </w:rPr>
              <w:t>Accompanying narrative</w:t>
            </w:r>
            <w:r>
              <w:rPr>
                <w:rFonts w:eastAsia="新細明體"/>
                <w:sz w:val="17"/>
                <w:szCs w:val="17"/>
                <w:lang w:eastAsia="en-GB"/>
              </w:rPr>
              <w:t>:</w:t>
            </w:r>
          </w:p>
        </w:tc>
        <w:tc>
          <w:tcPr>
            <w:tcW w:w="11340" w:type="dxa"/>
          </w:tcPr>
          <w:p w14:paraId="71F7E54C" w14:textId="77777777" w:rsidR="001929CC" w:rsidRDefault="001929CC" w:rsidP="001929CC">
            <w:pPr>
              <w:pStyle w:val="TableText"/>
              <w:jc w:val="both"/>
              <w:rPr>
                <w:noProof/>
                <w:lang w:eastAsia="en-GB"/>
              </w:rPr>
            </w:pPr>
            <w:r>
              <w:rPr>
                <w:lang w:eastAsia="en-GB"/>
              </w:rPr>
              <w:t xml:space="preserve">An AI should </w:t>
            </w:r>
            <w:r>
              <w:rPr>
                <w:szCs w:val="17"/>
                <w:lang w:eastAsia="en-GB"/>
              </w:rPr>
              <w:t>supplement the template with a narrative commentary to explain any material movements in the current reporting period and the key drivers of such movements.</w:t>
            </w:r>
          </w:p>
        </w:tc>
      </w:tr>
      <w:tr w:rsidR="001929CC" w14:paraId="7E7961C1" w14:textId="77777777" w:rsidTr="001929CC">
        <w:tc>
          <w:tcPr>
            <w:tcW w:w="2552" w:type="dxa"/>
          </w:tcPr>
          <w:p w14:paraId="6A00DD3E" w14:textId="77777777" w:rsidR="001929CC" w:rsidRDefault="001929CC" w:rsidP="001929CC">
            <w:pPr>
              <w:spacing w:before="40" w:after="40"/>
              <w:rPr>
                <w:rFonts w:eastAsia="新細明體"/>
                <w:b/>
                <w:sz w:val="17"/>
                <w:szCs w:val="17"/>
                <w:lang w:eastAsia="en-GB"/>
              </w:rPr>
            </w:pPr>
            <w:r>
              <w:rPr>
                <w:rFonts w:eastAsia="新細明體"/>
                <w:b/>
                <w:sz w:val="17"/>
                <w:szCs w:val="17"/>
                <w:lang w:eastAsia="en-GB"/>
              </w:rPr>
              <w:t>Corresponding BDR section:</w:t>
            </w:r>
          </w:p>
        </w:tc>
        <w:tc>
          <w:tcPr>
            <w:tcW w:w="11340" w:type="dxa"/>
          </w:tcPr>
          <w:p w14:paraId="3E347BAD" w14:textId="77777777" w:rsidR="001929CC" w:rsidRDefault="001929CC" w:rsidP="001929CC">
            <w:pPr>
              <w:pStyle w:val="TableText"/>
              <w:jc w:val="both"/>
              <w:rPr>
                <w:lang w:eastAsia="en-GB"/>
              </w:rPr>
            </w:pPr>
            <w:r>
              <w:rPr>
                <w:lang w:eastAsia="en-GB"/>
              </w:rPr>
              <w:t>16U</w:t>
            </w:r>
          </w:p>
        </w:tc>
      </w:tr>
    </w:tbl>
    <w:p w14:paraId="44706C25" w14:textId="77777777" w:rsidR="0077519E" w:rsidRDefault="0077519E" w:rsidP="001929CC">
      <w:pPr>
        <w:pStyle w:val="TableNote"/>
        <w:rPr>
          <w:b/>
          <w:sz w:val="17"/>
          <w:lang w:eastAsia="en-GB"/>
        </w:rPr>
      </w:pPr>
    </w:p>
    <w:p w14:paraId="0542B21B" w14:textId="4696C7FC" w:rsidR="001929CC" w:rsidRPr="0077519E" w:rsidRDefault="0077519E" w:rsidP="008D652E">
      <w:pPr>
        <w:pStyle w:val="ListParagraph"/>
        <w:numPr>
          <w:ilvl w:val="0"/>
          <w:numId w:val="14"/>
        </w:numPr>
        <w:spacing w:before="40" w:after="40"/>
        <w:ind w:leftChars="0"/>
        <w:rPr>
          <w:b/>
          <w:sz w:val="17"/>
          <w:lang w:eastAsia="en-GB"/>
        </w:rPr>
      </w:pPr>
      <w:r>
        <w:rPr>
          <w:b/>
          <w:sz w:val="17"/>
          <w:lang w:eastAsia="en-GB"/>
        </w:rPr>
        <w:t>Specialized Lending under supervisory slotting criteria approach – HVCRE</w:t>
      </w:r>
    </w:p>
    <w:tbl>
      <w:tblPr>
        <w:tblW w:w="11907" w:type="dxa"/>
        <w:tblInd w:w="99"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8"/>
        <w:gridCol w:w="1453"/>
        <w:gridCol w:w="6"/>
        <w:gridCol w:w="3069"/>
        <w:gridCol w:w="1630"/>
        <w:gridCol w:w="1631"/>
        <w:gridCol w:w="850"/>
        <w:gridCol w:w="1276"/>
        <w:gridCol w:w="992"/>
        <w:gridCol w:w="992"/>
      </w:tblGrid>
      <w:tr w:rsidR="001929CC" w14:paraId="67C3B5AC" w14:textId="77777777" w:rsidTr="001929CC">
        <w:trPr>
          <w:trHeight w:val="272"/>
          <w:tblHeader/>
        </w:trPr>
        <w:tc>
          <w:tcPr>
            <w:tcW w:w="1461" w:type="dxa"/>
            <w:gridSpan w:val="2"/>
            <w:tcBorders>
              <w:top w:val="nil"/>
              <w:left w:val="nil"/>
              <w:bottom w:val="single" w:sz="6" w:space="0" w:color="auto"/>
              <w:right w:val="nil"/>
            </w:tcBorders>
            <w:noWrap/>
            <w:vAlign w:val="center"/>
          </w:tcPr>
          <w:p w14:paraId="6AB76B61" w14:textId="77777777" w:rsidR="001929CC" w:rsidRDefault="001929CC" w:rsidP="001929CC">
            <w:pPr>
              <w:pStyle w:val="TableText"/>
              <w:snapToGrid w:val="0"/>
              <w:jc w:val="center"/>
              <w:rPr>
                <w:rFonts w:eastAsia="MS PGothic"/>
                <w:lang w:eastAsia="ja-JP"/>
              </w:rPr>
            </w:pPr>
          </w:p>
        </w:tc>
        <w:tc>
          <w:tcPr>
            <w:tcW w:w="3075" w:type="dxa"/>
            <w:gridSpan w:val="2"/>
            <w:tcBorders>
              <w:top w:val="nil"/>
              <w:left w:val="nil"/>
              <w:bottom w:val="single" w:sz="6" w:space="0" w:color="auto"/>
              <w:right w:val="single" w:sz="6" w:space="0" w:color="auto"/>
            </w:tcBorders>
            <w:noWrap/>
            <w:vAlign w:val="center"/>
          </w:tcPr>
          <w:p w14:paraId="199F6393" w14:textId="77777777" w:rsidR="001929CC" w:rsidRDefault="001929CC" w:rsidP="001929CC">
            <w:pPr>
              <w:pStyle w:val="TableText"/>
              <w:snapToGrid w:val="0"/>
              <w:jc w:val="center"/>
              <w:rPr>
                <w:rFonts w:eastAsia="MS PGothic"/>
                <w:lang w:eastAsia="ja-JP"/>
              </w:rPr>
            </w:pPr>
          </w:p>
        </w:tc>
        <w:tc>
          <w:tcPr>
            <w:tcW w:w="1630" w:type="dxa"/>
            <w:tcBorders>
              <w:top w:val="single" w:sz="4" w:space="0" w:color="auto"/>
              <w:left w:val="single" w:sz="6" w:space="0" w:color="auto"/>
              <w:bottom w:val="single" w:sz="6" w:space="0" w:color="auto"/>
              <w:right w:val="single" w:sz="6" w:space="0" w:color="auto"/>
            </w:tcBorders>
            <w:vAlign w:val="center"/>
          </w:tcPr>
          <w:p w14:paraId="12BBB122" w14:textId="77777777" w:rsidR="001929CC" w:rsidRDefault="001929CC" w:rsidP="001929CC">
            <w:pPr>
              <w:pStyle w:val="TableText"/>
              <w:snapToGrid w:val="0"/>
              <w:jc w:val="center"/>
              <w:rPr>
                <w:rFonts w:eastAsia="MS PGothic"/>
                <w:lang w:eastAsia="ja-JP"/>
              </w:rPr>
            </w:pPr>
            <w:r>
              <w:rPr>
                <w:rFonts w:eastAsia="MS PGothic"/>
                <w:lang w:eastAsia="ja-JP"/>
              </w:rPr>
              <w:t>(a)</w:t>
            </w:r>
          </w:p>
        </w:tc>
        <w:tc>
          <w:tcPr>
            <w:tcW w:w="1631" w:type="dxa"/>
            <w:tcBorders>
              <w:top w:val="single" w:sz="4" w:space="0" w:color="auto"/>
              <w:left w:val="single" w:sz="6" w:space="0" w:color="auto"/>
              <w:bottom w:val="single" w:sz="6" w:space="0" w:color="auto"/>
              <w:right w:val="single" w:sz="6" w:space="0" w:color="auto"/>
            </w:tcBorders>
            <w:noWrap/>
            <w:vAlign w:val="center"/>
          </w:tcPr>
          <w:p w14:paraId="458717B4" w14:textId="77777777" w:rsidR="001929CC" w:rsidRDefault="001929CC" w:rsidP="001929CC">
            <w:pPr>
              <w:pStyle w:val="TableText"/>
              <w:snapToGrid w:val="0"/>
              <w:jc w:val="center"/>
              <w:rPr>
                <w:rFonts w:eastAsia="MS PGothic"/>
                <w:lang w:eastAsia="ja-JP"/>
              </w:rPr>
            </w:pPr>
            <w:r>
              <w:rPr>
                <w:rFonts w:eastAsia="MS PGothic"/>
                <w:lang w:eastAsia="ja-JP"/>
              </w:rPr>
              <w:t>(b)</w:t>
            </w:r>
          </w:p>
        </w:tc>
        <w:tc>
          <w:tcPr>
            <w:tcW w:w="850" w:type="dxa"/>
            <w:tcBorders>
              <w:top w:val="single" w:sz="4" w:space="0" w:color="auto"/>
              <w:left w:val="single" w:sz="6" w:space="0" w:color="auto"/>
              <w:bottom w:val="single" w:sz="6" w:space="0" w:color="auto"/>
              <w:right w:val="single" w:sz="6" w:space="0" w:color="auto"/>
            </w:tcBorders>
          </w:tcPr>
          <w:p w14:paraId="6AA530A0" w14:textId="77777777" w:rsidR="001929CC" w:rsidRDefault="001929CC" w:rsidP="001929CC">
            <w:pPr>
              <w:pStyle w:val="TableText"/>
              <w:snapToGrid w:val="0"/>
              <w:jc w:val="center"/>
              <w:rPr>
                <w:rFonts w:eastAsia="MS PGothic"/>
                <w:lang w:eastAsia="ja-JP"/>
              </w:rPr>
            </w:pPr>
            <w:r>
              <w:rPr>
                <w:rFonts w:eastAsia="MS PGothic"/>
                <w:lang w:eastAsia="ja-JP"/>
              </w:rPr>
              <w:t>(c)</w:t>
            </w:r>
          </w:p>
        </w:tc>
        <w:tc>
          <w:tcPr>
            <w:tcW w:w="1276" w:type="dxa"/>
            <w:tcBorders>
              <w:top w:val="single" w:sz="4" w:space="0" w:color="auto"/>
              <w:left w:val="single" w:sz="6" w:space="0" w:color="auto"/>
              <w:bottom w:val="single" w:sz="6" w:space="0" w:color="auto"/>
              <w:right w:val="single" w:sz="6" w:space="0" w:color="auto"/>
            </w:tcBorders>
            <w:vAlign w:val="center"/>
          </w:tcPr>
          <w:p w14:paraId="5E475AF7" w14:textId="77777777" w:rsidR="001929CC" w:rsidRDefault="001929CC" w:rsidP="001929CC">
            <w:pPr>
              <w:pStyle w:val="TableText"/>
              <w:snapToGrid w:val="0"/>
              <w:jc w:val="center"/>
              <w:rPr>
                <w:rFonts w:eastAsia="MS PGothic"/>
                <w:lang w:eastAsia="ja-JP"/>
              </w:rPr>
            </w:pPr>
            <w:r>
              <w:rPr>
                <w:rFonts w:eastAsia="MS PGothic"/>
                <w:lang w:eastAsia="ja-JP"/>
              </w:rPr>
              <w:t>(d)</w:t>
            </w:r>
          </w:p>
        </w:tc>
        <w:tc>
          <w:tcPr>
            <w:tcW w:w="992" w:type="dxa"/>
            <w:tcBorders>
              <w:top w:val="single" w:sz="4" w:space="0" w:color="auto"/>
              <w:left w:val="single" w:sz="6" w:space="0" w:color="auto"/>
              <w:bottom w:val="single" w:sz="6" w:space="0" w:color="auto"/>
              <w:right w:val="single" w:sz="6" w:space="0" w:color="auto"/>
            </w:tcBorders>
          </w:tcPr>
          <w:p w14:paraId="7279A4B2" w14:textId="77777777" w:rsidR="001929CC" w:rsidRDefault="001929CC" w:rsidP="001929CC">
            <w:pPr>
              <w:pStyle w:val="TableText"/>
              <w:snapToGrid w:val="0"/>
              <w:jc w:val="center"/>
              <w:rPr>
                <w:rFonts w:eastAsia="MS PGothic"/>
                <w:lang w:eastAsia="ja-JP"/>
              </w:rPr>
            </w:pPr>
            <w:r>
              <w:rPr>
                <w:rFonts w:eastAsia="MS PGothic"/>
                <w:lang w:eastAsia="ja-JP"/>
              </w:rPr>
              <w:t>(e)</w:t>
            </w:r>
          </w:p>
        </w:tc>
        <w:tc>
          <w:tcPr>
            <w:tcW w:w="992" w:type="dxa"/>
            <w:tcBorders>
              <w:top w:val="single" w:sz="4" w:space="0" w:color="auto"/>
              <w:left w:val="single" w:sz="6" w:space="0" w:color="auto"/>
              <w:bottom w:val="single" w:sz="6" w:space="0" w:color="auto"/>
              <w:right w:val="single" w:sz="4" w:space="0" w:color="auto"/>
            </w:tcBorders>
          </w:tcPr>
          <w:p w14:paraId="3FB0413E" w14:textId="77777777" w:rsidR="001929CC" w:rsidRDefault="001929CC" w:rsidP="001929CC">
            <w:pPr>
              <w:pStyle w:val="TableText"/>
              <w:snapToGrid w:val="0"/>
              <w:jc w:val="center"/>
              <w:rPr>
                <w:rFonts w:eastAsia="MS PGothic"/>
                <w:lang w:eastAsia="ja-JP"/>
              </w:rPr>
            </w:pPr>
            <w:r>
              <w:rPr>
                <w:rFonts w:eastAsia="MS PGothic"/>
                <w:lang w:eastAsia="ja-JP"/>
              </w:rPr>
              <w:t>(f)</w:t>
            </w:r>
          </w:p>
        </w:tc>
      </w:tr>
      <w:tr w:rsidR="001929CC" w14:paraId="43515CEC" w14:textId="77777777" w:rsidTr="001929CC">
        <w:trPr>
          <w:gridBefore w:val="1"/>
          <w:wBefore w:w="8" w:type="dxa"/>
          <w:trHeight w:val="369"/>
          <w:tblHeader/>
        </w:trPr>
        <w:tc>
          <w:tcPr>
            <w:tcW w:w="1459" w:type="dxa"/>
            <w:gridSpan w:val="2"/>
            <w:tcBorders>
              <w:top w:val="single" w:sz="6" w:space="0" w:color="BCBDBC"/>
              <w:left w:val="nil"/>
              <w:bottom w:val="single" w:sz="4" w:space="0" w:color="auto"/>
              <w:right w:val="single" w:sz="4" w:space="0" w:color="auto"/>
            </w:tcBorders>
            <w:noWrap/>
            <w:vAlign w:val="center"/>
          </w:tcPr>
          <w:p w14:paraId="5A1D72A1" w14:textId="77777777" w:rsidR="001929CC" w:rsidRDefault="001929CC" w:rsidP="001929CC">
            <w:pPr>
              <w:pStyle w:val="TableText"/>
              <w:snapToGrid w:val="0"/>
              <w:jc w:val="center"/>
              <w:rPr>
                <w:rFonts w:eastAsia="MS PGothic"/>
                <w:lang w:eastAsia="ja-JP"/>
              </w:rPr>
            </w:pPr>
            <w:r>
              <w:rPr>
                <w:rFonts w:eastAsia="MS PGothic"/>
                <w:lang w:eastAsia="ja-JP"/>
              </w:rPr>
              <w:t>Supervisory Rating Grade</w:t>
            </w:r>
          </w:p>
        </w:tc>
        <w:tc>
          <w:tcPr>
            <w:tcW w:w="3069" w:type="dxa"/>
            <w:tcBorders>
              <w:top w:val="single" w:sz="6" w:space="0" w:color="BCBDBC"/>
              <w:left w:val="single" w:sz="4" w:space="0" w:color="auto"/>
              <w:bottom w:val="single" w:sz="4" w:space="0" w:color="auto"/>
              <w:right w:val="single" w:sz="4" w:space="0" w:color="auto"/>
            </w:tcBorders>
            <w:noWrap/>
            <w:vAlign w:val="center"/>
          </w:tcPr>
          <w:p w14:paraId="36C380F3" w14:textId="77777777" w:rsidR="001929CC" w:rsidRDefault="001929CC" w:rsidP="001929CC">
            <w:pPr>
              <w:pStyle w:val="TableText"/>
              <w:snapToGrid w:val="0"/>
              <w:jc w:val="center"/>
              <w:rPr>
                <w:rFonts w:eastAsia="MS PGothic"/>
                <w:lang w:eastAsia="ja-JP"/>
              </w:rPr>
            </w:pPr>
            <w:r>
              <w:rPr>
                <w:rFonts w:eastAsia="MS PGothic"/>
                <w:lang w:eastAsia="ja-JP"/>
              </w:rPr>
              <w:t>Remaining Maturity</w:t>
            </w:r>
          </w:p>
        </w:tc>
        <w:tc>
          <w:tcPr>
            <w:tcW w:w="1630" w:type="dxa"/>
            <w:tcBorders>
              <w:top w:val="single" w:sz="6" w:space="0" w:color="BCBDBC"/>
              <w:left w:val="single" w:sz="4" w:space="0" w:color="auto"/>
              <w:bottom w:val="single" w:sz="4" w:space="0" w:color="auto"/>
              <w:right w:val="single" w:sz="4" w:space="0" w:color="auto"/>
            </w:tcBorders>
            <w:vAlign w:val="center"/>
          </w:tcPr>
          <w:p w14:paraId="0536CACA" w14:textId="77777777" w:rsidR="001929CC" w:rsidRDefault="001929CC" w:rsidP="001929CC">
            <w:pPr>
              <w:pStyle w:val="TableText"/>
              <w:snapToGrid w:val="0"/>
              <w:jc w:val="center"/>
              <w:rPr>
                <w:rFonts w:eastAsia="MS PGothic"/>
                <w:lang w:eastAsia="ja-JP"/>
              </w:rPr>
            </w:pPr>
            <w:r>
              <w:rPr>
                <w:rFonts w:eastAsia="MS PGothic"/>
                <w:lang w:eastAsia="ja-JP"/>
              </w:rPr>
              <w:t>On-balance sheet exposure amount</w:t>
            </w:r>
          </w:p>
        </w:tc>
        <w:tc>
          <w:tcPr>
            <w:tcW w:w="1631" w:type="dxa"/>
            <w:tcBorders>
              <w:top w:val="single" w:sz="6" w:space="0" w:color="BCBDBC"/>
              <w:left w:val="single" w:sz="4" w:space="0" w:color="auto"/>
              <w:bottom w:val="single" w:sz="4" w:space="0" w:color="auto"/>
              <w:right w:val="single" w:sz="4" w:space="0" w:color="auto"/>
            </w:tcBorders>
            <w:noWrap/>
            <w:vAlign w:val="center"/>
          </w:tcPr>
          <w:p w14:paraId="220E5910" w14:textId="77777777" w:rsidR="001929CC" w:rsidRDefault="001929CC" w:rsidP="001929CC">
            <w:pPr>
              <w:pStyle w:val="TableText"/>
              <w:snapToGrid w:val="0"/>
              <w:jc w:val="center"/>
              <w:rPr>
                <w:rFonts w:eastAsia="MS PGothic"/>
                <w:lang w:eastAsia="ja-JP"/>
              </w:rPr>
            </w:pPr>
            <w:r>
              <w:rPr>
                <w:rFonts w:eastAsia="MS PGothic"/>
                <w:lang w:eastAsia="ja-JP"/>
              </w:rPr>
              <w:t>Off-balance sheet exposure amount</w:t>
            </w:r>
          </w:p>
        </w:tc>
        <w:tc>
          <w:tcPr>
            <w:tcW w:w="850" w:type="dxa"/>
            <w:tcBorders>
              <w:top w:val="single" w:sz="6" w:space="0" w:color="BCBDBC"/>
              <w:left w:val="single" w:sz="4" w:space="0" w:color="auto"/>
              <w:bottom w:val="single" w:sz="4" w:space="0" w:color="auto"/>
              <w:right w:val="single" w:sz="4" w:space="0" w:color="auto"/>
            </w:tcBorders>
            <w:vAlign w:val="center"/>
          </w:tcPr>
          <w:p w14:paraId="1B7B7EB3" w14:textId="77777777" w:rsidR="001929CC" w:rsidRDefault="001929CC" w:rsidP="001929CC">
            <w:pPr>
              <w:pStyle w:val="TableText"/>
              <w:snapToGrid w:val="0"/>
              <w:jc w:val="center"/>
              <w:rPr>
                <w:rFonts w:eastAsia="MS PGothic"/>
                <w:lang w:eastAsia="ja-JP"/>
              </w:rPr>
            </w:pPr>
            <w:r>
              <w:rPr>
                <w:rFonts w:eastAsia="MS PGothic"/>
                <w:lang w:eastAsia="ja-JP"/>
              </w:rPr>
              <w:t>SRW</w:t>
            </w:r>
          </w:p>
        </w:tc>
        <w:tc>
          <w:tcPr>
            <w:tcW w:w="1276" w:type="dxa"/>
            <w:tcBorders>
              <w:top w:val="single" w:sz="6" w:space="0" w:color="BCBDBC"/>
              <w:left w:val="single" w:sz="4" w:space="0" w:color="auto"/>
              <w:bottom w:val="single" w:sz="4" w:space="0" w:color="auto"/>
              <w:right w:val="single" w:sz="4" w:space="0" w:color="auto"/>
            </w:tcBorders>
            <w:vAlign w:val="center"/>
          </w:tcPr>
          <w:p w14:paraId="6BB8623B" w14:textId="77777777" w:rsidR="001929CC" w:rsidRDefault="001929CC" w:rsidP="001929CC">
            <w:pPr>
              <w:pStyle w:val="TableText"/>
              <w:snapToGrid w:val="0"/>
              <w:jc w:val="center"/>
              <w:rPr>
                <w:rFonts w:eastAsia="MS PGothic"/>
                <w:lang w:eastAsia="ja-JP"/>
              </w:rPr>
            </w:pPr>
            <w:r>
              <w:rPr>
                <w:rFonts w:eastAsia="MS PGothic"/>
                <w:lang w:eastAsia="ja-JP"/>
              </w:rPr>
              <w:t>EAD amount</w:t>
            </w:r>
          </w:p>
        </w:tc>
        <w:tc>
          <w:tcPr>
            <w:tcW w:w="992" w:type="dxa"/>
            <w:tcBorders>
              <w:top w:val="single" w:sz="6" w:space="0" w:color="BCBDBC"/>
              <w:left w:val="single" w:sz="4" w:space="0" w:color="auto"/>
              <w:bottom w:val="single" w:sz="4" w:space="0" w:color="auto"/>
              <w:right w:val="single" w:sz="4" w:space="0" w:color="auto"/>
            </w:tcBorders>
            <w:vAlign w:val="center"/>
          </w:tcPr>
          <w:p w14:paraId="1B9D5D08" w14:textId="77777777" w:rsidR="001929CC" w:rsidRDefault="001929CC" w:rsidP="001929CC">
            <w:pPr>
              <w:pStyle w:val="TableText"/>
              <w:snapToGrid w:val="0"/>
              <w:jc w:val="center"/>
              <w:rPr>
                <w:rFonts w:eastAsia="MS PGothic"/>
                <w:lang w:eastAsia="ja-JP"/>
              </w:rPr>
            </w:pPr>
            <w:r>
              <w:rPr>
                <w:rFonts w:eastAsia="MS PGothic"/>
                <w:lang w:eastAsia="ja-JP"/>
              </w:rPr>
              <w:t>RWA</w:t>
            </w:r>
          </w:p>
        </w:tc>
        <w:tc>
          <w:tcPr>
            <w:tcW w:w="992" w:type="dxa"/>
            <w:tcBorders>
              <w:top w:val="single" w:sz="6" w:space="0" w:color="BCBDBC"/>
              <w:left w:val="single" w:sz="4" w:space="0" w:color="auto"/>
              <w:bottom w:val="single" w:sz="4" w:space="0" w:color="auto"/>
              <w:right w:val="single" w:sz="4" w:space="0" w:color="auto"/>
            </w:tcBorders>
            <w:vAlign w:val="center"/>
          </w:tcPr>
          <w:p w14:paraId="7F06CF73" w14:textId="77777777" w:rsidR="001929CC" w:rsidRDefault="001929CC" w:rsidP="001929CC">
            <w:pPr>
              <w:pStyle w:val="TableText"/>
              <w:snapToGrid w:val="0"/>
              <w:jc w:val="center"/>
              <w:rPr>
                <w:rFonts w:eastAsia="MS PGothic"/>
                <w:lang w:eastAsia="ja-JP"/>
              </w:rPr>
            </w:pPr>
            <w:r>
              <w:rPr>
                <w:rFonts w:eastAsia="MS PGothic"/>
                <w:lang w:eastAsia="ja-JP"/>
              </w:rPr>
              <w:t>Expected loss amount</w:t>
            </w:r>
          </w:p>
        </w:tc>
      </w:tr>
      <w:tr w:rsidR="001929CC" w14:paraId="399DDA42" w14:textId="77777777" w:rsidTr="001929CC">
        <w:trPr>
          <w:gridBefore w:val="1"/>
          <w:wBefore w:w="8" w:type="dxa"/>
          <w:trHeight w:val="210"/>
        </w:trPr>
        <w:tc>
          <w:tcPr>
            <w:tcW w:w="1459" w:type="dxa"/>
            <w:gridSpan w:val="2"/>
            <w:tcBorders>
              <w:top w:val="single" w:sz="4" w:space="0" w:color="auto"/>
              <w:left w:val="nil"/>
              <w:right w:val="single" w:sz="4" w:space="0" w:color="auto"/>
            </w:tcBorders>
            <w:noWrap/>
            <w:vAlign w:val="center"/>
          </w:tcPr>
          <w:p w14:paraId="2366A42D" w14:textId="77777777" w:rsidR="001929CC" w:rsidRDefault="001929CC" w:rsidP="001929CC">
            <w:pPr>
              <w:pStyle w:val="TableText"/>
              <w:snapToGrid w:val="0"/>
              <w:rPr>
                <w:rFonts w:eastAsia="MS PGothic"/>
                <w:lang w:eastAsia="ja-JP"/>
              </w:rPr>
            </w:pPr>
            <w:r>
              <w:rPr>
                <w:rFonts w:eastAsia="MS PGothic"/>
                <w:lang w:eastAsia="ja-JP"/>
              </w:rPr>
              <w:t>Strong^</w:t>
            </w:r>
          </w:p>
        </w:tc>
        <w:tc>
          <w:tcPr>
            <w:tcW w:w="3069" w:type="dxa"/>
            <w:tcBorders>
              <w:top w:val="single" w:sz="4" w:space="0" w:color="auto"/>
              <w:left w:val="single" w:sz="4" w:space="0" w:color="auto"/>
              <w:right w:val="single" w:sz="4" w:space="0" w:color="auto"/>
            </w:tcBorders>
            <w:noWrap/>
            <w:vAlign w:val="center"/>
          </w:tcPr>
          <w:p w14:paraId="33B50F0A" w14:textId="77777777" w:rsidR="001929CC" w:rsidRDefault="001929CC" w:rsidP="001929CC">
            <w:pPr>
              <w:pStyle w:val="TableText"/>
              <w:snapToGrid w:val="0"/>
              <w:rPr>
                <w:rFonts w:eastAsia="MS PGothic"/>
                <w:lang w:eastAsia="ja-JP"/>
              </w:rPr>
            </w:pPr>
            <w:r>
              <w:rPr>
                <w:rFonts w:eastAsia="MS PGothic"/>
                <w:lang w:eastAsia="ja-JP"/>
              </w:rPr>
              <w:t>Less than 2.5 years</w:t>
            </w:r>
          </w:p>
        </w:tc>
        <w:tc>
          <w:tcPr>
            <w:tcW w:w="1630" w:type="dxa"/>
            <w:tcBorders>
              <w:top w:val="single" w:sz="4" w:space="0" w:color="auto"/>
              <w:left w:val="single" w:sz="4" w:space="0" w:color="auto"/>
              <w:right w:val="single" w:sz="4" w:space="0" w:color="auto"/>
            </w:tcBorders>
            <w:noWrap/>
            <w:vAlign w:val="center"/>
          </w:tcPr>
          <w:p w14:paraId="440ED16B" w14:textId="77777777" w:rsidR="001929CC" w:rsidRDefault="001929CC" w:rsidP="001929CC">
            <w:pPr>
              <w:pStyle w:val="TableText"/>
              <w:snapToGrid w:val="0"/>
              <w:rPr>
                <w:rFonts w:eastAsia="MS PGothic"/>
                <w:lang w:eastAsia="ja-JP"/>
              </w:rPr>
            </w:pPr>
          </w:p>
        </w:tc>
        <w:tc>
          <w:tcPr>
            <w:tcW w:w="1631" w:type="dxa"/>
            <w:tcBorders>
              <w:top w:val="single" w:sz="4" w:space="0" w:color="auto"/>
              <w:left w:val="single" w:sz="4" w:space="0" w:color="auto"/>
              <w:right w:val="single" w:sz="4" w:space="0" w:color="auto"/>
            </w:tcBorders>
            <w:noWrap/>
            <w:vAlign w:val="center"/>
          </w:tcPr>
          <w:p w14:paraId="0784C719" w14:textId="77777777" w:rsidR="001929CC" w:rsidRDefault="001929CC" w:rsidP="001929CC">
            <w:pPr>
              <w:pStyle w:val="TableText"/>
              <w:snapToGrid w:val="0"/>
              <w:rPr>
                <w:rFonts w:eastAsia="MS PGothic"/>
                <w:lang w:eastAsia="ja-JP"/>
              </w:rPr>
            </w:pPr>
          </w:p>
        </w:tc>
        <w:tc>
          <w:tcPr>
            <w:tcW w:w="850" w:type="dxa"/>
            <w:tcBorders>
              <w:top w:val="single" w:sz="4" w:space="0" w:color="auto"/>
              <w:left w:val="single" w:sz="4" w:space="0" w:color="auto"/>
              <w:right w:val="single" w:sz="4" w:space="0" w:color="auto"/>
            </w:tcBorders>
          </w:tcPr>
          <w:p w14:paraId="0BD6B9AA" w14:textId="77777777" w:rsidR="001929CC" w:rsidRDefault="001929CC" w:rsidP="001929CC">
            <w:pPr>
              <w:pStyle w:val="TableText"/>
              <w:snapToGrid w:val="0"/>
              <w:rPr>
                <w:rFonts w:eastAsia="MS PGothic"/>
                <w:lang w:eastAsia="ja-JP"/>
              </w:rPr>
            </w:pPr>
            <w:r>
              <w:rPr>
                <w:rFonts w:eastAsia="MS PGothic"/>
                <w:lang w:eastAsia="ja-JP"/>
              </w:rPr>
              <w:t>70%</w:t>
            </w:r>
          </w:p>
        </w:tc>
        <w:tc>
          <w:tcPr>
            <w:tcW w:w="1276" w:type="dxa"/>
            <w:tcBorders>
              <w:top w:val="single" w:sz="4" w:space="0" w:color="auto"/>
              <w:left w:val="single" w:sz="4" w:space="0" w:color="auto"/>
              <w:right w:val="single" w:sz="4" w:space="0" w:color="auto"/>
            </w:tcBorders>
          </w:tcPr>
          <w:p w14:paraId="479D6F59" w14:textId="77777777" w:rsidR="001929CC" w:rsidRDefault="001929CC" w:rsidP="001929CC">
            <w:pPr>
              <w:pStyle w:val="TableText"/>
              <w:snapToGrid w:val="0"/>
              <w:rPr>
                <w:rFonts w:eastAsia="MS PGothic"/>
                <w:lang w:eastAsia="ja-JP"/>
              </w:rPr>
            </w:pPr>
          </w:p>
        </w:tc>
        <w:tc>
          <w:tcPr>
            <w:tcW w:w="992" w:type="dxa"/>
            <w:tcBorders>
              <w:top w:val="single" w:sz="4" w:space="0" w:color="auto"/>
              <w:left w:val="single" w:sz="4" w:space="0" w:color="auto"/>
              <w:right w:val="single" w:sz="4" w:space="0" w:color="auto"/>
            </w:tcBorders>
          </w:tcPr>
          <w:p w14:paraId="7DC572D5" w14:textId="77777777" w:rsidR="001929CC" w:rsidRDefault="001929CC" w:rsidP="001929CC">
            <w:pPr>
              <w:pStyle w:val="TableText"/>
              <w:snapToGrid w:val="0"/>
              <w:rPr>
                <w:rFonts w:eastAsia="MS PGothic"/>
                <w:lang w:eastAsia="ja-JP"/>
              </w:rPr>
            </w:pPr>
          </w:p>
        </w:tc>
        <w:tc>
          <w:tcPr>
            <w:tcW w:w="992" w:type="dxa"/>
            <w:tcBorders>
              <w:top w:val="single" w:sz="4" w:space="0" w:color="auto"/>
              <w:left w:val="single" w:sz="4" w:space="0" w:color="auto"/>
              <w:right w:val="single" w:sz="4" w:space="0" w:color="auto"/>
            </w:tcBorders>
          </w:tcPr>
          <w:p w14:paraId="1AD35CDA" w14:textId="77777777" w:rsidR="001929CC" w:rsidRDefault="001929CC" w:rsidP="001929CC">
            <w:pPr>
              <w:pStyle w:val="TableText"/>
              <w:snapToGrid w:val="0"/>
              <w:rPr>
                <w:rFonts w:eastAsia="MS PGothic"/>
                <w:lang w:eastAsia="ja-JP"/>
              </w:rPr>
            </w:pPr>
          </w:p>
        </w:tc>
      </w:tr>
      <w:tr w:rsidR="001929CC" w14:paraId="208F4DB4" w14:textId="77777777" w:rsidTr="001929CC">
        <w:trPr>
          <w:gridBefore w:val="1"/>
          <w:wBefore w:w="8" w:type="dxa"/>
          <w:trHeight w:val="210"/>
        </w:trPr>
        <w:tc>
          <w:tcPr>
            <w:tcW w:w="1459" w:type="dxa"/>
            <w:gridSpan w:val="2"/>
            <w:tcBorders>
              <w:left w:val="nil"/>
              <w:right w:val="single" w:sz="4" w:space="0" w:color="auto"/>
            </w:tcBorders>
            <w:noWrap/>
            <w:vAlign w:val="center"/>
          </w:tcPr>
          <w:p w14:paraId="77CADF41" w14:textId="77777777" w:rsidR="001929CC" w:rsidRDefault="001929CC" w:rsidP="001929CC">
            <w:pPr>
              <w:pStyle w:val="TableText"/>
              <w:snapToGrid w:val="0"/>
              <w:rPr>
                <w:rFonts w:eastAsia="MS PGothic"/>
                <w:lang w:eastAsia="ja-JP"/>
              </w:rPr>
            </w:pPr>
            <w:r>
              <w:rPr>
                <w:rFonts w:eastAsia="MS PGothic"/>
                <w:lang w:eastAsia="ja-JP"/>
              </w:rPr>
              <w:t>Strong</w:t>
            </w:r>
          </w:p>
        </w:tc>
        <w:tc>
          <w:tcPr>
            <w:tcW w:w="3069" w:type="dxa"/>
            <w:tcBorders>
              <w:left w:val="single" w:sz="4" w:space="0" w:color="auto"/>
              <w:right w:val="single" w:sz="4" w:space="0" w:color="auto"/>
            </w:tcBorders>
            <w:noWrap/>
            <w:vAlign w:val="center"/>
          </w:tcPr>
          <w:p w14:paraId="3CE3B32E" w14:textId="77777777" w:rsidR="001929CC" w:rsidRDefault="001929CC" w:rsidP="001929CC">
            <w:pPr>
              <w:pStyle w:val="TableText"/>
              <w:snapToGrid w:val="0"/>
              <w:rPr>
                <w:rFonts w:eastAsia="MS PGothic"/>
                <w:lang w:eastAsia="ja-JP"/>
              </w:rPr>
            </w:pPr>
            <w:r>
              <w:rPr>
                <w:rFonts w:eastAsia="MS PGothic"/>
                <w:lang w:eastAsia="ja-JP"/>
              </w:rPr>
              <w:t>Equal to or more than 2.5 years</w:t>
            </w:r>
          </w:p>
        </w:tc>
        <w:tc>
          <w:tcPr>
            <w:tcW w:w="1630" w:type="dxa"/>
            <w:tcBorders>
              <w:left w:val="single" w:sz="4" w:space="0" w:color="auto"/>
              <w:right w:val="single" w:sz="4" w:space="0" w:color="auto"/>
            </w:tcBorders>
            <w:noWrap/>
            <w:vAlign w:val="center"/>
          </w:tcPr>
          <w:p w14:paraId="065DBB37" w14:textId="77777777" w:rsidR="001929CC" w:rsidRDefault="001929CC" w:rsidP="001929CC">
            <w:pPr>
              <w:pStyle w:val="TableText"/>
              <w:snapToGrid w:val="0"/>
              <w:rPr>
                <w:rFonts w:eastAsia="MS PGothic"/>
                <w:lang w:eastAsia="ja-JP"/>
              </w:rPr>
            </w:pPr>
          </w:p>
        </w:tc>
        <w:tc>
          <w:tcPr>
            <w:tcW w:w="1631" w:type="dxa"/>
            <w:tcBorders>
              <w:left w:val="single" w:sz="4" w:space="0" w:color="auto"/>
              <w:right w:val="single" w:sz="4" w:space="0" w:color="auto"/>
            </w:tcBorders>
            <w:noWrap/>
            <w:vAlign w:val="center"/>
          </w:tcPr>
          <w:p w14:paraId="54E3D5BE" w14:textId="77777777" w:rsidR="001929CC" w:rsidRDefault="001929CC" w:rsidP="001929CC">
            <w:pPr>
              <w:pStyle w:val="TableText"/>
              <w:snapToGrid w:val="0"/>
              <w:rPr>
                <w:rFonts w:eastAsia="MS PGothic"/>
                <w:lang w:eastAsia="ja-JP"/>
              </w:rPr>
            </w:pPr>
          </w:p>
        </w:tc>
        <w:tc>
          <w:tcPr>
            <w:tcW w:w="850" w:type="dxa"/>
            <w:tcBorders>
              <w:left w:val="single" w:sz="4" w:space="0" w:color="auto"/>
              <w:right w:val="single" w:sz="4" w:space="0" w:color="auto"/>
            </w:tcBorders>
          </w:tcPr>
          <w:p w14:paraId="438BACAB" w14:textId="77777777" w:rsidR="001929CC" w:rsidRDefault="001929CC" w:rsidP="001929CC">
            <w:pPr>
              <w:pStyle w:val="TableText"/>
              <w:snapToGrid w:val="0"/>
              <w:rPr>
                <w:rFonts w:eastAsia="MS PGothic"/>
                <w:lang w:eastAsia="ja-JP"/>
              </w:rPr>
            </w:pPr>
            <w:r>
              <w:rPr>
                <w:rFonts w:eastAsia="MS PGothic"/>
                <w:lang w:eastAsia="ja-JP"/>
              </w:rPr>
              <w:t>95%</w:t>
            </w:r>
          </w:p>
        </w:tc>
        <w:tc>
          <w:tcPr>
            <w:tcW w:w="1276" w:type="dxa"/>
            <w:tcBorders>
              <w:left w:val="single" w:sz="4" w:space="0" w:color="auto"/>
              <w:right w:val="single" w:sz="4" w:space="0" w:color="auto"/>
            </w:tcBorders>
          </w:tcPr>
          <w:p w14:paraId="606C035F" w14:textId="77777777" w:rsidR="001929CC" w:rsidRDefault="001929CC" w:rsidP="001929CC">
            <w:pPr>
              <w:pStyle w:val="TableText"/>
              <w:snapToGrid w:val="0"/>
              <w:rPr>
                <w:rFonts w:eastAsia="MS PGothic"/>
                <w:lang w:eastAsia="ja-JP"/>
              </w:rPr>
            </w:pPr>
          </w:p>
        </w:tc>
        <w:tc>
          <w:tcPr>
            <w:tcW w:w="992" w:type="dxa"/>
            <w:tcBorders>
              <w:left w:val="single" w:sz="4" w:space="0" w:color="auto"/>
              <w:right w:val="single" w:sz="4" w:space="0" w:color="auto"/>
            </w:tcBorders>
          </w:tcPr>
          <w:p w14:paraId="2ACA38E4" w14:textId="77777777" w:rsidR="001929CC" w:rsidRDefault="001929CC" w:rsidP="001929CC">
            <w:pPr>
              <w:pStyle w:val="TableText"/>
              <w:snapToGrid w:val="0"/>
              <w:rPr>
                <w:rFonts w:eastAsia="MS PGothic"/>
                <w:lang w:eastAsia="ja-JP"/>
              </w:rPr>
            </w:pPr>
          </w:p>
        </w:tc>
        <w:tc>
          <w:tcPr>
            <w:tcW w:w="992" w:type="dxa"/>
            <w:tcBorders>
              <w:left w:val="single" w:sz="4" w:space="0" w:color="auto"/>
              <w:right w:val="single" w:sz="4" w:space="0" w:color="auto"/>
            </w:tcBorders>
          </w:tcPr>
          <w:p w14:paraId="2AF55374" w14:textId="77777777" w:rsidR="001929CC" w:rsidRDefault="001929CC" w:rsidP="001929CC">
            <w:pPr>
              <w:pStyle w:val="TableText"/>
              <w:snapToGrid w:val="0"/>
              <w:rPr>
                <w:rFonts w:eastAsia="MS PGothic"/>
                <w:lang w:eastAsia="ja-JP"/>
              </w:rPr>
            </w:pPr>
          </w:p>
        </w:tc>
      </w:tr>
      <w:tr w:rsidR="001929CC" w14:paraId="43F7E484" w14:textId="77777777" w:rsidTr="001929CC">
        <w:trPr>
          <w:gridBefore w:val="1"/>
          <w:wBefore w:w="8" w:type="dxa"/>
          <w:trHeight w:val="210"/>
        </w:trPr>
        <w:tc>
          <w:tcPr>
            <w:tcW w:w="1459" w:type="dxa"/>
            <w:gridSpan w:val="2"/>
            <w:tcBorders>
              <w:left w:val="nil"/>
              <w:right w:val="single" w:sz="4" w:space="0" w:color="auto"/>
            </w:tcBorders>
            <w:noWrap/>
            <w:vAlign w:val="center"/>
          </w:tcPr>
          <w:p w14:paraId="34A4AD96" w14:textId="77777777" w:rsidR="001929CC" w:rsidRDefault="001929CC" w:rsidP="001929CC">
            <w:pPr>
              <w:pStyle w:val="TableText"/>
              <w:snapToGrid w:val="0"/>
              <w:rPr>
                <w:rFonts w:eastAsia="MS PGothic"/>
                <w:lang w:eastAsia="ja-JP"/>
              </w:rPr>
            </w:pPr>
            <w:r>
              <w:rPr>
                <w:rFonts w:eastAsia="MS PGothic"/>
                <w:lang w:eastAsia="ja-JP"/>
              </w:rPr>
              <w:t>Good^</w:t>
            </w:r>
          </w:p>
        </w:tc>
        <w:tc>
          <w:tcPr>
            <w:tcW w:w="3069" w:type="dxa"/>
            <w:tcBorders>
              <w:left w:val="single" w:sz="4" w:space="0" w:color="auto"/>
              <w:right w:val="single" w:sz="4" w:space="0" w:color="auto"/>
            </w:tcBorders>
            <w:noWrap/>
            <w:vAlign w:val="center"/>
          </w:tcPr>
          <w:p w14:paraId="2CA41A00" w14:textId="77777777" w:rsidR="001929CC" w:rsidRDefault="001929CC" w:rsidP="001929CC">
            <w:pPr>
              <w:pStyle w:val="TableText"/>
              <w:snapToGrid w:val="0"/>
              <w:rPr>
                <w:rFonts w:eastAsia="MS PGothic"/>
                <w:lang w:eastAsia="ja-JP"/>
              </w:rPr>
            </w:pPr>
            <w:r>
              <w:rPr>
                <w:rFonts w:eastAsia="MS PGothic"/>
                <w:lang w:eastAsia="ja-JP"/>
              </w:rPr>
              <w:t>Less than 2.5 years</w:t>
            </w:r>
          </w:p>
        </w:tc>
        <w:tc>
          <w:tcPr>
            <w:tcW w:w="1630" w:type="dxa"/>
            <w:tcBorders>
              <w:left w:val="single" w:sz="4" w:space="0" w:color="auto"/>
              <w:right w:val="single" w:sz="4" w:space="0" w:color="auto"/>
            </w:tcBorders>
            <w:noWrap/>
            <w:vAlign w:val="center"/>
          </w:tcPr>
          <w:p w14:paraId="2E8648EB" w14:textId="77777777" w:rsidR="001929CC" w:rsidRDefault="001929CC" w:rsidP="001929CC">
            <w:pPr>
              <w:pStyle w:val="TableText"/>
              <w:snapToGrid w:val="0"/>
              <w:rPr>
                <w:rFonts w:eastAsia="MS PGothic"/>
                <w:lang w:eastAsia="ja-JP"/>
              </w:rPr>
            </w:pPr>
          </w:p>
        </w:tc>
        <w:tc>
          <w:tcPr>
            <w:tcW w:w="1631" w:type="dxa"/>
            <w:tcBorders>
              <w:left w:val="single" w:sz="4" w:space="0" w:color="auto"/>
              <w:right w:val="single" w:sz="4" w:space="0" w:color="auto"/>
            </w:tcBorders>
            <w:noWrap/>
            <w:vAlign w:val="center"/>
          </w:tcPr>
          <w:p w14:paraId="70A82DD2" w14:textId="77777777" w:rsidR="001929CC" w:rsidRDefault="001929CC" w:rsidP="001929CC">
            <w:pPr>
              <w:pStyle w:val="TableText"/>
              <w:snapToGrid w:val="0"/>
              <w:rPr>
                <w:rFonts w:eastAsia="MS PGothic"/>
                <w:lang w:eastAsia="ja-JP"/>
              </w:rPr>
            </w:pPr>
          </w:p>
        </w:tc>
        <w:tc>
          <w:tcPr>
            <w:tcW w:w="850" w:type="dxa"/>
            <w:tcBorders>
              <w:left w:val="single" w:sz="4" w:space="0" w:color="auto"/>
              <w:right w:val="single" w:sz="4" w:space="0" w:color="auto"/>
            </w:tcBorders>
          </w:tcPr>
          <w:p w14:paraId="7EF2B1F1" w14:textId="77777777" w:rsidR="001929CC" w:rsidRDefault="001929CC" w:rsidP="001929CC">
            <w:pPr>
              <w:pStyle w:val="TableText"/>
              <w:snapToGrid w:val="0"/>
              <w:rPr>
                <w:rFonts w:eastAsia="MS PGothic"/>
                <w:lang w:eastAsia="ja-JP"/>
              </w:rPr>
            </w:pPr>
            <w:r>
              <w:rPr>
                <w:rFonts w:eastAsia="MS PGothic"/>
                <w:lang w:eastAsia="ja-JP"/>
              </w:rPr>
              <w:t>95%</w:t>
            </w:r>
          </w:p>
        </w:tc>
        <w:tc>
          <w:tcPr>
            <w:tcW w:w="1276" w:type="dxa"/>
            <w:tcBorders>
              <w:left w:val="single" w:sz="4" w:space="0" w:color="auto"/>
              <w:right w:val="single" w:sz="4" w:space="0" w:color="auto"/>
            </w:tcBorders>
          </w:tcPr>
          <w:p w14:paraId="3FA1770B" w14:textId="77777777" w:rsidR="001929CC" w:rsidRDefault="001929CC" w:rsidP="001929CC">
            <w:pPr>
              <w:pStyle w:val="TableText"/>
              <w:snapToGrid w:val="0"/>
              <w:rPr>
                <w:rFonts w:eastAsia="MS PGothic"/>
                <w:lang w:eastAsia="ja-JP"/>
              </w:rPr>
            </w:pPr>
          </w:p>
        </w:tc>
        <w:tc>
          <w:tcPr>
            <w:tcW w:w="992" w:type="dxa"/>
            <w:tcBorders>
              <w:left w:val="single" w:sz="4" w:space="0" w:color="auto"/>
              <w:right w:val="single" w:sz="4" w:space="0" w:color="auto"/>
            </w:tcBorders>
          </w:tcPr>
          <w:p w14:paraId="3060AAA7" w14:textId="77777777" w:rsidR="001929CC" w:rsidRDefault="001929CC" w:rsidP="001929CC">
            <w:pPr>
              <w:pStyle w:val="TableText"/>
              <w:snapToGrid w:val="0"/>
              <w:rPr>
                <w:rFonts w:eastAsia="MS PGothic"/>
                <w:lang w:eastAsia="ja-JP"/>
              </w:rPr>
            </w:pPr>
          </w:p>
        </w:tc>
        <w:tc>
          <w:tcPr>
            <w:tcW w:w="992" w:type="dxa"/>
            <w:tcBorders>
              <w:left w:val="single" w:sz="4" w:space="0" w:color="auto"/>
              <w:right w:val="single" w:sz="4" w:space="0" w:color="auto"/>
            </w:tcBorders>
          </w:tcPr>
          <w:p w14:paraId="077F915A" w14:textId="77777777" w:rsidR="001929CC" w:rsidRDefault="001929CC" w:rsidP="001929CC">
            <w:pPr>
              <w:pStyle w:val="TableText"/>
              <w:snapToGrid w:val="0"/>
              <w:rPr>
                <w:rFonts w:eastAsia="MS PGothic"/>
                <w:lang w:eastAsia="ja-JP"/>
              </w:rPr>
            </w:pPr>
          </w:p>
        </w:tc>
      </w:tr>
      <w:tr w:rsidR="001929CC" w14:paraId="7820911E" w14:textId="77777777" w:rsidTr="001929CC">
        <w:trPr>
          <w:gridBefore w:val="1"/>
          <w:wBefore w:w="8" w:type="dxa"/>
          <w:trHeight w:val="210"/>
        </w:trPr>
        <w:tc>
          <w:tcPr>
            <w:tcW w:w="1459" w:type="dxa"/>
            <w:gridSpan w:val="2"/>
            <w:tcBorders>
              <w:left w:val="nil"/>
              <w:right w:val="single" w:sz="4" w:space="0" w:color="auto"/>
            </w:tcBorders>
            <w:noWrap/>
            <w:vAlign w:val="center"/>
          </w:tcPr>
          <w:p w14:paraId="180665FC" w14:textId="77777777" w:rsidR="001929CC" w:rsidRDefault="001929CC" w:rsidP="001929CC">
            <w:pPr>
              <w:pStyle w:val="TableText"/>
              <w:snapToGrid w:val="0"/>
              <w:rPr>
                <w:rFonts w:eastAsia="MS PGothic"/>
                <w:lang w:eastAsia="ja-JP"/>
              </w:rPr>
            </w:pPr>
            <w:r>
              <w:rPr>
                <w:rFonts w:eastAsia="MS PGothic"/>
                <w:lang w:eastAsia="ja-JP"/>
              </w:rPr>
              <w:t>Good</w:t>
            </w:r>
          </w:p>
        </w:tc>
        <w:tc>
          <w:tcPr>
            <w:tcW w:w="3069" w:type="dxa"/>
            <w:tcBorders>
              <w:left w:val="single" w:sz="4" w:space="0" w:color="auto"/>
              <w:bottom w:val="single" w:sz="6" w:space="0" w:color="BCBDBC"/>
              <w:right w:val="single" w:sz="4" w:space="0" w:color="auto"/>
            </w:tcBorders>
            <w:noWrap/>
            <w:vAlign w:val="center"/>
          </w:tcPr>
          <w:p w14:paraId="488339B5" w14:textId="77777777" w:rsidR="001929CC" w:rsidRDefault="001929CC" w:rsidP="001929CC">
            <w:pPr>
              <w:pStyle w:val="TableText"/>
              <w:snapToGrid w:val="0"/>
              <w:rPr>
                <w:rFonts w:eastAsia="MS PGothic"/>
                <w:lang w:eastAsia="ja-JP"/>
              </w:rPr>
            </w:pPr>
            <w:r>
              <w:rPr>
                <w:rFonts w:eastAsia="MS PGothic"/>
                <w:lang w:eastAsia="ja-JP"/>
              </w:rPr>
              <w:t>Equal to or more than 2.5 years</w:t>
            </w:r>
          </w:p>
        </w:tc>
        <w:tc>
          <w:tcPr>
            <w:tcW w:w="1630" w:type="dxa"/>
            <w:tcBorders>
              <w:left w:val="single" w:sz="4" w:space="0" w:color="auto"/>
              <w:right w:val="single" w:sz="4" w:space="0" w:color="auto"/>
            </w:tcBorders>
            <w:noWrap/>
            <w:vAlign w:val="center"/>
          </w:tcPr>
          <w:p w14:paraId="6D49A154" w14:textId="77777777" w:rsidR="001929CC" w:rsidRDefault="001929CC" w:rsidP="001929CC">
            <w:pPr>
              <w:pStyle w:val="TableText"/>
              <w:snapToGrid w:val="0"/>
              <w:rPr>
                <w:rFonts w:eastAsia="MS PGothic"/>
                <w:lang w:eastAsia="ja-JP"/>
              </w:rPr>
            </w:pPr>
          </w:p>
        </w:tc>
        <w:tc>
          <w:tcPr>
            <w:tcW w:w="1631" w:type="dxa"/>
            <w:tcBorders>
              <w:left w:val="single" w:sz="4" w:space="0" w:color="auto"/>
              <w:right w:val="single" w:sz="4" w:space="0" w:color="auto"/>
            </w:tcBorders>
            <w:noWrap/>
            <w:vAlign w:val="center"/>
          </w:tcPr>
          <w:p w14:paraId="3CBF05C8" w14:textId="77777777" w:rsidR="001929CC" w:rsidRDefault="001929CC" w:rsidP="001929CC">
            <w:pPr>
              <w:pStyle w:val="TableText"/>
              <w:snapToGrid w:val="0"/>
              <w:rPr>
                <w:rFonts w:eastAsia="MS PGothic"/>
                <w:lang w:eastAsia="ja-JP"/>
              </w:rPr>
            </w:pPr>
          </w:p>
        </w:tc>
        <w:tc>
          <w:tcPr>
            <w:tcW w:w="850" w:type="dxa"/>
            <w:tcBorders>
              <w:left w:val="single" w:sz="4" w:space="0" w:color="auto"/>
              <w:right w:val="single" w:sz="4" w:space="0" w:color="auto"/>
            </w:tcBorders>
          </w:tcPr>
          <w:p w14:paraId="074DA3A6" w14:textId="77777777" w:rsidR="001929CC" w:rsidRDefault="001929CC" w:rsidP="001929CC">
            <w:pPr>
              <w:pStyle w:val="TableText"/>
              <w:snapToGrid w:val="0"/>
              <w:rPr>
                <w:rFonts w:eastAsia="MS PGothic"/>
                <w:lang w:eastAsia="ja-JP"/>
              </w:rPr>
            </w:pPr>
            <w:r>
              <w:rPr>
                <w:rFonts w:eastAsia="MS PGothic"/>
                <w:lang w:eastAsia="ja-JP"/>
              </w:rPr>
              <w:t>120%</w:t>
            </w:r>
          </w:p>
        </w:tc>
        <w:tc>
          <w:tcPr>
            <w:tcW w:w="1276" w:type="dxa"/>
            <w:tcBorders>
              <w:left w:val="single" w:sz="4" w:space="0" w:color="auto"/>
              <w:right w:val="single" w:sz="4" w:space="0" w:color="auto"/>
            </w:tcBorders>
          </w:tcPr>
          <w:p w14:paraId="488BD08D" w14:textId="77777777" w:rsidR="001929CC" w:rsidRDefault="001929CC" w:rsidP="001929CC">
            <w:pPr>
              <w:pStyle w:val="TableText"/>
              <w:snapToGrid w:val="0"/>
              <w:rPr>
                <w:rFonts w:eastAsia="MS PGothic"/>
                <w:lang w:eastAsia="ja-JP"/>
              </w:rPr>
            </w:pPr>
          </w:p>
        </w:tc>
        <w:tc>
          <w:tcPr>
            <w:tcW w:w="992" w:type="dxa"/>
            <w:tcBorders>
              <w:left w:val="single" w:sz="4" w:space="0" w:color="auto"/>
              <w:right w:val="single" w:sz="4" w:space="0" w:color="auto"/>
            </w:tcBorders>
          </w:tcPr>
          <w:p w14:paraId="36CC825F" w14:textId="77777777" w:rsidR="001929CC" w:rsidRDefault="001929CC" w:rsidP="001929CC">
            <w:pPr>
              <w:pStyle w:val="TableText"/>
              <w:snapToGrid w:val="0"/>
              <w:rPr>
                <w:rFonts w:eastAsia="MS PGothic"/>
                <w:lang w:eastAsia="ja-JP"/>
              </w:rPr>
            </w:pPr>
          </w:p>
        </w:tc>
        <w:tc>
          <w:tcPr>
            <w:tcW w:w="992" w:type="dxa"/>
            <w:tcBorders>
              <w:left w:val="single" w:sz="4" w:space="0" w:color="auto"/>
              <w:right w:val="single" w:sz="4" w:space="0" w:color="auto"/>
            </w:tcBorders>
          </w:tcPr>
          <w:p w14:paraId="5EB2457C" w14:textId="77777777" w:rsidR="001929CC" w:rsidRDefault="001929CC" w:rsidP="001929CC">
            <w:pPr>
              <w:pStyle w:val="TableText"/>
              <w:snapToGrid w:val="0"/>
              <w:rPr>
                <w:rFonts w:eastAsia="MS PGothic"/>
                <w:lang w:eastAsia="ja-JP"/>
              </w:rPr>
            </w:pPr>
          </w:p>
        </w:tc>
      </w:tr>
      <w:tr w:rsidR="001929CC" w14:paraId="4D6643EF" w14:textId="77777777" w:rsidTr="001929CC">
        <w:trPr>
          <w:gridBefore w:val="1"/>
          <w:wBefore w:w="8" w:type="dxa"/>
          <w:trHeight w:val="210"/>
        </w:trPr>
        <w:tc>
          <w:tcPr>
            <w:tcW w:w="1459" w:type="dxa"/>
            <w:gridSpan w:val="2"/>
            <w:tcBorders>
              <w:left w:val="nil"/>
              <w:right w:val="single" w:sz="4" w:space="0" w:color="auto"/>
            </w:tcBorders>
            <w:noWrap/>
            <w:vAlign w:val="center"/>
          </w:tcPr>
          <w:p w14:paraId="146C1B65" w14:textId="77777777" w:rsidR="001929CC" w:rsidRDefault="001929CC" w:rsidP="001929CC">
            <w:pPr>
              <w:pStyle w:val="TableText"/>
              <w:snapToGrid w:val="0"/>
              <w:rPr>
                <w:rFonts w:eastAsia="MS PGothic"/>
                <w:lang w:eastAsia="ja-JP"/>
              </w:rPr>
            </w:pPr>
            <w:r>
              <w:rPr>
                <w:rFonts w:eastAsia="MS PGothic"/>
                <w:lang w:eastAsia="ja-JP"/>
              </w:rPr>
              <w:t>Satisfactory</w:t>
            </w:r>
          </w:p>
        </w:tc>
        <w:tc>
          <w:tcPr>
            <w:tcW w:w="3069" w:type="dxa"/>
            <w:tcBorders>
              <w:top w:val="single" w:sz="6" w:space="0" w:color="BCBDBC"/>
              <w:left w:val="single" w:sz="4" w:space="0" w:color="auto"/>
              <w:bottom w:val="single" w:sz="6" w:space="0" w:color="BCBDBC"/>
              <w:right w:val="single" w:sz="4" w:space="0" w:color="auto"/>
            </w:tcBorders>
            <w:shd w:val="clear" w:color="auto" w:fill="BFBFBF"/>
            <w:noWrap/>
            <w:vAlign w:val="center"/>
          </w:tcPr>
          <w:p w14:paraId="1263AFF6" w14:textId="77777777" w:rsidR="001929CC" w:rsidRDefault="001929CC" w:rsidP="001929CC">
            <w:pPr>
              <w:pStyle w:val="TableText"/>
              <w:snapToGrid w:val="0"/>
              <w:rPr>
                <w:rFonts w:eastAsia="MS PGothic"/>
                <w:lang w:eastAsia="ja-JP"/>
              </w:rPr>
            </w:pPr>
          </w:p>
        </w:tc>
        <w:tc>
          <w:tcPr>
            <w:tcW w:w="1630" w:type="dxa"/>
            <w:tcBorders>
              <w:left w:val="single" w:sz="4" w:space="0" w:color="auto"/>
              <w:right w:val="single" w:sz="4" w:space="0" w:color="auto"/>
            </w:tcBorders>
            <w:noWrap/>
            <w:vAlign w:val="center"/>
          </w:tcPr>
          <w:p w14:paraId="156221AC" w14:textId="77777777" w:rsidR="001929CC" w:rsidRDefault="001929CC" w:rsidP="001929CC">
            <w:pPr>
              <w:pStyle w:val="TableText"/>
              <w:snapToGrid w:val="0"/>
              <w:rPr>
                <w:rFonts w:eastAsia="MS PGothic"/>
                <w:lang w:eastAsia="ja-JP"/>
              </w:rPr>
            </w:pPr>
          </w:p>
        </w:tc>
        <w:tc>
          <w:tcPr>
            <w:tcW w:w="1631" w:type="dxa"/>
            <w:tcBorders>
              <w:left w:val="single" w:sz="4" w:space="0" w:color="auto"/>
              <w:right w:val="single" w:sz="4" w:space="0" w:color="auto"/>
            </w:tcBorders>
            <w:noWrap/>
            <w:vAlign w:val="center"/>
          </w:tcPr>
          <w:p w14:paraId="70B28AE3" w14:textId="77777777" w:rsidR="001929CC" w:rsidRDefault="001929CC" w:rsidP="001929CC">
            <w:pPr>
              <w:pStyle w:val="TableText"/>
              <w:snapToGrid w:val="0"/>
              <w:rPr>
                <w:rFonts w:eastAsia="MS PGothic"/>
                <w:lang w:eastAsia="ja-JP"/>
              </w:rPr>
            </w:pPr>
          </w:p>
        </w:tc>
        <w:tc>
          <w:tcPr>
            <w:tcW w:w="850" w:type="dxa"/>
            <w:tcBorders>
              <w:left w:val="single" w:sz="4" w:space="0" w:color="auto"/>
              <w:right w:val="single" w:sz="4" w:space="0" w:color="auto"/>
            </w:tcBorders>
          </w:tcPr>
          <w:p w14:paraId="0C872AA4" w14:textId="77777777" w:rsidR="001929CC" w:rsidRDefault="001929CC" w:rsidP="001929CC">
            <w:pPr>
              <w:pStyle w:val="TableText"/>
              <w:snapToGrid w:val="0"/>
              <w:rPr>
                <w:rFonts w:eastAsia="MS PGothic"/>
                <w:lang w:eastAsia="ja-JP"/>
              </w:rPr>
            </w:pPr>
            <w:r>
              <w:rPr>
                <w:rFonts w:eastAsia="MS PGothic"/>
                <w:lang w:eastAsia="ja-JP"/>
              </w:rPr>
              <w:t>140%</w:t>
            </w:r>
          </w:p>
        </w:tc>
        <w:tc>
          <w:tcPr>
            <w:tcW w:w="1276" w:type="dxa"/>
            <w:tcBorders>
              <w:left w:val="single" w:sz="4" w:space="0" w:color="auto"/>
              <w:right w:val="single" w:sz="4" w:space="0" w:color="auto"/>
            </w:tcBorders>
          </w:tcPr>
          <w:p w14:paraId="387B98F0" w14:textId="77777777" w:rsidR="001929CC" w:rsidRDefault="001929CC" w:rsidP="001929CC">
            <w:pPr>
              <w:pStyle w:val="TableText"/>
              <w:snapToGrid w:val="0"/>
              <w:rPr>
                <w:rFonts w:eastAsia="MS PGothic"/>
                <w:lang w:eastAsia="ja-JP"/>
              </w:rPr>
            </w:pPr>
          </w:p>
        </w:tc>
        <w:tc>
          <w:tcPr>
            <w:tcW w:w="992" w:type="dxa"/>
            <w:tcBorders>
              <w:left w:val="single" w:sz="4" w:space="0" w:color="auto"/>
              <w:right w:val="single" w:sz="4" w:space="0" w:color="auto"/>
            </w:tcBorders>
          </w:tcPr>
          <w:p w14:paraId="78A71456" w14:textId="77777777" w:rsidR="001929CC" w:rsidRDefault="001929CC" w:rsidP="001929CC">
            <w:pPr>
              <w:pStyle w:val="TableText"/>
              <w:snapToGrid w:val="0"/>
              <w:rPr>
                <w:rFonts w:eastAsia="MS PGothic"/>
                <w:lang w:eastAsia="ja-JP"/>
              </w:rPr>
            </w:pPr>
          </w:p>
        </w:tc>
        <w:tc>
          <w:tcPr>
            <w:tcW w:w="992" w:type="dxa"/>
            <w:tcBorders>
              <w:left w:val="single" w:sz="4" w:space="0" w:color="auto"/>
              <w:right w:val="single" w:sz="4" w:space="0" w:color="auto"/>
            </w:tcBorders>
          </w:tcPr>
          <w:p w14:paraId="3CC42FB0" w14:textId="77777777" w:rsidR="001929CC" w:rsidRDefault="001929CC" w:rsidP="001929CC">
            <w:pPr>
              <w:pStyle w:val="TableText"/>
              <w:snapToGrid w:val="0"/>
              <w:rPr>
                <w:rFonts w:eastAsia="MS PGothic"/>
                <w:lang w:eastAsia="ja-JP"/>
              </w:rPr>
            </w:pPr>
          </w:p>
        </w:tc>
      </w:tr>
      <w:tr w:rsidR="001929CC" w14:paraId="5F3A8965" w14:textId="77777777" w:rsidTr="001929CC">
        <w:trPr>
          <w:gridBefore w:val="1"/>
          <w:wBefore w:w="8" w:type="dxa"/>
          <w:trHeight w:val="210"/>
        </w:trPr>
        <w:tc>
          <w:tcPr>
            <w:tcW w:w="1459" w:type="dxa"/>
            <w:gridSpan w:val="2"/>
            <w:tcBorders>
              <w:left w:val="nil"/>
              <w:right w:val="single" w:sz="4" w:space="0" w:color="auto"/>
            </w:tcBorders>
            <w:noWrap/>
            <w:vAlign w:val="center"/>
          </w:tcPr>
          <w:p w14:paraId="67490F39" w14:textId="77777777" w:rsidR="001929CC" w:rsidRDefault="001929CC" w:rsidP="001929CC">
            <w:pPr>
              <w:pStyle w:val="TableText"/>
              <w:snapToGrid w:val="0"/>
              <w:rPr>
                <w:rFonts w:eastAsia="MS PGothic"/>
                <w:lang w:eastAsia="ja-JP"/>
              </w:rPr>
            </w:pPr>
            <w:r>
              <w:rPr>
                <w:rFonts w:eastAsia="MS PGothic"/>
                <w:lang w:eastAsia="ja-JP"/>
              </w:rPr>
              <w:t>Weak</w:t>
            </w:r>
          </w:p>
        </w:tc>
        <w:tc>
          <w:tcPr>
            <w:tcW w:w="3069" w:type="dxa"/>
            <w:tcBorders>
              <w:top w:val="single" w:sz="6" w:space="0" w:color="BCBDBC"/>
              <w:left w:val="single" w:sz="4" w:space="0" w:color="auto"/>
              <w:bottom w:val="single" w:sz="6" w:space="0" w:color="BCBDBC"/>
              <w:right w:val="single" w:sz="4" w:space="0" w:color="auto"/>
            </w:tcBorders>
            <w:shd w:val="clear" w:color="auto" w:fill="BFBFBF"/>
            <w:noWrap/>
            <w:vAlign w:val="center"/>
          </w:tcPr>
          <w:p w14:paraId="78D9F105" w14:textId="77777777" w:rsidR="001929CC" w:rsidRDefault="001929CC" w:rsidP="001929CC">
            <w:pPr>
              <w:pStyle w:val="TableText"/>
              <w:snapToGrid w:val="0"/>
              <w:rPr>
                <w:rFonts w:eastAsia="MS PGothic"/>
                <w:lang w:eastAsia="ja-JP"/>
              </w:rPr>
            </w:pPr>
          </w:p>
        </w:tc>
        <w:tc>
          <w:tcPr>
            <w:tcW w:w="1630" w:type="dxa"/>
            <w:tcBorders>
              <w:left w:val="single" w:sz="4" w:space="0" w:color="auto"/>
              <w:right w:val="single" w:sz="4" w:space="0" w:color="auto"/>
            </w:tcBorders>
            <w:noWrap/>
            <w:vAlign w:val="center"/>
          </w:tcPr>
          <w:p w14:paraId="5C003B8F" w14:textId="77777777" w:rsidR="001929CC" w:rsidRDefault="001929CC" w:rsidP="001929CC">
            <w:pPr>
              <w:pStyle w:val="TableText"/>
              <w:snapToGrid w:val="0"/>
              <w:rPr>
                <w:rFonts w:eastAsia="MS PGothic"/>
                <w:lang w:eastAsia="ja-JP"/>
              </w:rPr>
            </w:pPr>
          </w:p>
        </w:tc>
        <w:tc>
          <w:tcPr>
            <w:tcW w:w="1631" w:type="dxa"/>
            <w:tcBorders>
              <w:left w:val="single" w:sz="4" w:space="0" w:color="auto"/>
              <w:right w:val="single" w:sz="4" w:space="0" w:color="auto"/>
            </w:tcBorders>
            <w:noWrap/>
            <w:vAlign w:val="center"/>
          </w:tcPr>
          <w:p w14:paraId="0FF9C8C6" w14:textId="77777777" w:rsidR="001929CC" w:rsidRDefault="001929CC" w:rsidP="001929CC">
            <w:pPr>
              <w:pStyle w:val="TableText"/>
              <w:snapToGrid w:val="0"/>
              <w:rPr>
                <w:rFonts w:eastAsia="MS PGothic"/>
                <w:lang w:eastAsia="ja-JP"/>
              </w:rPr>
            </w:pPr>
          </w:p>
        </w:tc>
        <w:tc>
          <w:tcPr>
            <w:tcW w:w="850" w:type="dxa"/>
            <w:tcBorders>
              <w:left w:val="single" w:sz="4" w:space="0" w:color="auto"/>
              <w:right w:val="single" w:sz="4" w:space="0" w:color="auto"/>
            </w:tcBorders>
          </w:tcPr>
          <w:p w14:paraId="7C981603" w14:textId="77777777" w:rsidR="001929CC" w:rsidRDefault="001929CC" w:rsidP="001929CC">
            <w:pPr>
              <w:pStyle w:val="TableText"/>
              <w:snapToGrid w:val="0"/>
              <w:rPr>
                <w:rFonts w:eastAsia="MS PGothic"/>
                <w:lang w:eastAsia="ja-JP"/>
              </w:rPr>
            </w:pPr>
            <w:r>
              <w:rPr>
                <w:rFonts w:eastAsia="MS PGothic"/>
                <w:lang w:eastAsia="ja-JP"/>
              </w:rPr>
              <w:t>250%</w:t>
            </w:r>
          </w:p>
        </w:tc>
        <w:tc>
          <w:tcPr>
            <w:tcW w:w="1276" w:type="dxa"/>
            <w:tcBorders>
              <w:left w:val="single" w:sz="4" w:space="0" w:color="auto"/>
              <w:right w:val="single" w:sz="4" w:space="0" w:color="auto"/>
            </w:tcBorders>
          </w:tcPr>
          <w:p w14:paraId="7191793B" w14:textId="77777777" w:rsidR="001929CC" w:rsidRDefault="001929CC" w:rsidP="001929CC">
            <w:pPr>
              <w:pStyle w:val="TableText"/>
              <w:snapToGrid w:val="0"/>
              <w:rPr>
                <w:rFonts w:eastAsia="MS PGothic"/>
                <w:lang w:eastAsia="ja-JP"/>
              </w:rPr>
            </w:pPr>
          </w:p>
        </w:tc>
        <w:tc>
          <w:tcPr>
            <w:tcW w:w="992" w:type="dxa"/>
            <w:tcBorders>
              <w:left w:val="single" w:sz="4" w:space="0" w:color="auto"/>
              <w:right w:val="single" w:sz="4" w:space="0" w:color="auto"/>
            </w:tcBorders>
          </w:tcPr>
          <w:p w14:paraId="74E4CE48" w14:textId="77777777" w:rsidR="001929CC" w:rsidRDefault="001929CC" w:rsidP="001929CC">
            <w:pPr>
              <w:pStyle w:val="TableText"/>
              <w:snapToGrid w:val="0"/>
              <w:rPr>
                <w:rFonts w:eastAsia="MS PGothic"/>
                <w:lang w:eastAsia="ja-JP"/>
              </w:rPr>
            </w:pPr>
          </w:p>
        </w:tc>
        <w:tc>
          <w:tcPr>
            <w:tcW w:w="992" w:type="dxa"/>
            <w:tcBorders>
              <w:left w:val="single" w:sz="4" w:space="0" w:color="auto"/>
              <w:right w:val="single" w:sz="4" w:space="0" w:color="auto"/>
            </w:tcBorders>
          </w:tcPr>
          <w:p w14:paraId="08CA981F" w14:textId="77777777" w:rsidR="001929CC" w:rsidRDefault="001929CC" w:rsidP="001929CC">
            <w:pPr>
              <w:pStyle w:val="TableText"/>
              <w:snapToGrid w:val="0"/>
              <w:rPr>
                <w:rFonts w:eastAsia="MS PGothic"/>
                <w:lang w:eastAsia="ja-JP"/>
              </w:rPr>
            </w:pPr>
          </w:p>
        </w:tc>
      </w:tr>
      <w:tr w:rsidR="001929CC" w14:paraId="1461F260" w14:textId="77777777" w:rsidTr="001929CC">
        <w:trPr>
          <w:gridBefore w:val="1"/>
          <w:wBefore w:w="8" w:type="dxa"/>
          <w:trHeight w:val="210"/>
        </w:trPr>
        <w:tc>
          <w:tcPr>
            <w:tcW w:w="1459" w:type="dxa"/>
            <w:gridSpan w:val="2"/>
            <w:tcBorders>
              <w:left w:val="nil"/>
              <w:right w:val="single" w:sz="4" w:space="0" w:color="auto"/>
            </w:tcBorders>
            <w:noWrap/>
            <w:vAlign w:val="center"/>
          </w:tcPr>
          <w:p w14:paraId="63B5C101" w14:textId="77777777" w:rsidR="001929CC" w:rsidRDefault="001929CC" w:rsidP="001929CC">
            <w:pPr>
              <w:pStyle w:val="TableText"/>
              <w:snapToGrid w:val="0"/>
              <w:rPr>
                <w:rFonts w:eastAsia="MS PGothic"/>
                <w:lang w:eastAsia="ja-JP"/>
              </w:rPr>
            </w:pPr>
            <w:r>
              <w:rPr>
                <w:rFonts w:eastAsia="MS PGothic"/>
                <w:lang w:eastAsia="ja-JP"/>
              </w:rPr>
              <w:t>Default</w:t>
            </w:r>
          </w:p>
        </w:tc>
        <w:tc>
          <w:tcPr>
            <w:tcW w:w="3069" w:type="dxa"/>
            <w:tcBorders>
              <w:top w:val="single" w:sz="6" w:space="0" w:color="BCBDBC"/>
              <w:left w:val="single" w:sz="4" w:space="0" w:color="auto"/>
              <w:bottom w:val="single" w:sz="6" w:space="0" w:color="BCBDBC"/>
              <w:right w:val="single" w:sz="4" w:space="0" w:color="auto"/>
            </w:tcBorders>
            <w:shd w:val="clear" w:color="auto" w:fill="BFBFBF"/>
            <w:noWrap/>
            <w:vAlign w:val="center"/>
          </w:tcPr>
          <w:p w14:paraId="4EBA30FC" w14:textId="77777777" w:rsidR="001929CC" w:rsidRDefault="001929CC" w:rsidP="001929CC">
            <w:pPr>
              <w:pStyle w:val="TableText"/>
              <w:snapToGrid w:val="0"/>
              <w:rPr>
                <w:rFonts w:eastAsia="MS PGothic"/>
                <w:lang w:eastAsia="ja-JP"/>
              </w:rPr>
            </w:pPr>
          </w:p>
        </w:tc>
        <w:tc>
          <w:tcPr>
            <w:tcW w:w="1630" w:type="dxa"/>
            <w:tcBorders>
              <w:left w:val="single" w:sz="4" w:space="0" w:color="auto"/>
              <w:right w:val="single" w:sz="4" w:space="0" w:color="auto"/>
            </w:tcBorders>
            <w:noWrap/>
            <w:vAlign w:val="center"/>
          </w:tcPr>
          <w:p w14:paraId="57F6036B" w14:textId="77777777" w:rsidR="001929CC" w:rsidRDefault="001929CC" w:rsidP="001929CC">
            <w:pPr>
              <w:pStyle w:val="TableText"/>
              <w:snapToGrid w:val="0"/>
              <w:rPr>
                <w:rFonts w:eastAsia="MS PGothic"/>
                <w:lang w:eastAsia="ja-JP"/>
              </w:rPr>
            </w:pPr>
          </w:p>
        </w:tc>
        <w:tc>
          <w:tcPr>
            <w:tcW w:w="1631" w:type="dxa"/>
            <w:tcBorders>
              <w:left w:val="single" w:sz="4" w:space="0" w:color="auto"/>
              <w:right w:val="single" w:sz="4" w:space="0" w:color="auto"/>
            </w:tcBorders>
            <w:noWrap/>
            <w:vAlign w:val="center"/>
          </w:tcPr>
          <w:p w14:paraId="13EE11D7" w14:textId="77777777" w:rsidR="001929CC" w:rsidRDefault="001929CC" w:rsidP="001929CC">
            <w:pPr>
              <w:pStyle w:val="TableText"/>
              <w:snapToGrid w:val="0"/>
              <w:rPr>
                <w:rFonts w:eastAsia="MS PGothic"/>
                <w:lang w:eastAsia="ja-JP"/>
              </w:rPr>
            </w:pPr>
          </w:p>
        </w:tc>
        <w:tc>
          <w:tcPr>
            <w:tcW w:w="850" w:type="dxa"/>
            <w:tcBorders>
              <w:left w:val="single" w:sz="4" w:space="0" w:color="auto"/>
              <w:right w:val="single" w:sz="4" w:space="0" w:color="auto"/>
            </w:tcBorders>
          </w:tcPr>
          <w:p w14:paraId="2F2F2326" w14:textId="77777777" w:rsidR="001929CC" w:rsidRDefault="001929CC" w:rsidP="001929CC">
            <w:pPr>
              <w:pStyle w:val="TableText"/>
              <w:snapToGrid w:val="0"/>
              <w:rPr>
                <w:rFonts w:eastAsia="MS PGothic"/>
                <w:lang w:eastAsia="ja-JP"/>
              </w:rPr>
            </w:pPr>
            <w:r>
              <w:rPr>
                <w:rFonts w:eastAsia="MS PGothic"/>
                <w:lang w:eastAsia="ja-JP"/>
              </w:rPr>
              <w:t>0%</w:t>
            </w:r>
          </w:p>
        </w:tc>
        <w:tc>
          <w:tcPr>
            <w:tcW w:w="1276" w:type="dxa"/>
            <w:tcBorders>
              <w:left w:val="single" w:sz="4" w:space="0" w:color="auto"/>
              <w:right w:val="single" w:sz="4" w:space="0" w:color="auto"/>
            </w:tcBorders>
          </w:tcPr>
          <w:p w14:paraId="3E642B91" w14:textId="77777777" w:rsidR="001929CC" w:rsidRDefault="001929CC" w:rsidP="001929CC">
            <w:pPr>
              <w:pStyle w:val="TableText"/>
              <w:snapToGrid w:val="0"/>
              <w:rPr>
                <w:rFonts w:eastAsia="MS PGothic"/>
                <w:lang w:eastAsia="ja-JP"/>
              </w:rPr>
            </w:pPr>
          </w:p>
        </w:tc>
        <w:tc>
          <w:tcPr>
            <w:tcW w:w="992" w:type="dxa"/>
            <w:tcBorders>
              <w:left w:val="single" w:sz="4" w:space="0" w:color="auto"/>
              <w:right w:val="single" w:sz="4" w:space="0" w:color="auto"/>
            </w:tcBorders>
          </w:tcPr>
          <w:p w14:paraId="23E82D73" w14:textId="77777777" w:rsidR="001929CC" w:rsidRDefault="001929CC" w:rsidP="001929CC">
            <w:pPr>
              <w:pStyle w:val="TableText"/>
              <w:snapToGrid w:val="0"/>
              <w:rPr>
                <w:rFonts w:eastAsia="MS PGothic"/>
                <w:lang w:eastAsia="ja-JP"/>
              </w:rPr>
            </w:pPr>
          </w:p>
        </w:tc>
        <w:tc>
          <w:tcPr>
            <w:tcW w:w="992" w:type="dxa"/>
            <w:tcBorders>
              <w:left w:val="single" w:sz="4" w:space="0" w:color="auto"/>
              <w:right w:val="single" w:sz="4" w:space="0" w:color="auto"/>
            </w:tcBorders>
          </w:tcPr>
          <w:p w14:paraId="1D244B1A" w14:textId="77777777" w:rsidR="001929CC" w:rsidRDefault="001929CC" w:rsidP="001929CC">
            <w:pPr>
              <w:pStyle w:val="TableText"/>
              <w:snapToGrid w:val="0"/>
              <w:rPr>
                <w:rFonts w:eastAsia="MS PGothic"/>
                <w:lang w:eastAsia="ja-JP"/>
              </w:rPr>
            </w:pPr>
          </w:p>
        </w:tc>
      </w:tr>
      <w:tr w:rsidR="001929CC" w14:paraId="7051D6BA" w14:textId="77777777" w:rsidTr="001929CC">
        <w:trPr>
          <w:gridBefore w:val="1"/>
          <w:wBefore w:w="8" w:type="dxa"/>
          <w:trHeight w:val="225"/>
        </w:trPr>
        <w:tc>
          <w:tcPr>
            <w:tcW w:w="1459" w:type="dxa"/>
            <w:gridSpan w:val="2"/>
            <w:tcBorders>
              <w:left w:val="nil"/>
              <w:bottom w:val="single" w:sz="4" w:space="0" w:color="auto"/>
              <w:right w:val="single" w:sz="4" w:space="0" w:color="auto"/>
            </w:tcBorders>
            <w:noWrap/>
            <w:vAlign w:val="center"/>
          </w:tcPr>
          <w:p w14:paraId="0C9BFCC2" w14:textId="77777777" w:rsidR="001929CC" w:rsidRDefault="001929CC" w:rsidP="001929CC">
            <w:pPr>
              <w:pStyle w:val="TableText"/>
              <w:snapToGrid w:val="0"/>
              <w:rPr>
                <w:rFonts w:eastAsia="MS PGothic"/>
                <w:lang w:eastAsia="ja-JP"/>
              </w:rPr>
            </w:pPr>
            <w:r>
              <w:rPr>
                <w:rFonts w:eastAsia="MS PGothic"/>
                <w:lang w:eastAsia="ja-JP"/>
              </w:rPr>
              <w:t>Total</w:t>
            </w:r>
          </w:p>
        </w:tc>
        <w:tc>
          <w:tcPr>
            <w:tcW w:w="3069" w:type="dxa"/>
            <w:tcBorders>
              <w:top w:val="single" w:sz="6" w:space="0" w:color="BCBDBC"/>
              <w:left w:val="single" w:sz="4" w:space="0" w:color="auto"/>
              <w:bottom w:val="single" w:sz="4" w:space="0" w:color="auto"/>
              <w:right w:val="single" w:sz="4" w:space="0" w:color="auto"/>
            </w:tcBorders>
            <w:shd w:val="clear" w:color="auto" w:fill="BFBFBF"/>
            <w:noWrap/>
            <w:vAlign w:val="center"/>
          </w:tcPr>
          <w:p w14:paraId="573C5493" w14:textId="77777777" w:rsidR="001929CC" w:rsidRDefault="001929CC" w:rsidP="001929CC">
            <w:pPr>
              <w:pStyle w:val="TableText"/>
              <w:snapToGrid w:val="0"/>
              <w:rPr>
                <w:rFonts w:eastAsia="MS PGothic"/>
                <w:lang w:eastAsia="ja-JP"/>
              </w:rPr>
            </w:pPr>
          </w:p>
        </w:tc>
        <w:tc>
          <w:tcPr>
            <w:tcW w:w="1630" w:type="dxa"/>
            <w:tcBorders>
              <w:left w:val="single" w:sz="4" w:space="0" w:color="auto"/>
              <w:bottom w:val="single" w:sz="4" w:space="0" w:color="auto"/>
              <w:right w:val="single" w:sz="4" w:space="0" w:color="auto"/>
            </w:tcBorders>
            <w:noWrap/>
            <w:vAlign w:val="center"/>
          </w:tcPr>
          <w:p w14:paraId="40856AC9" w14:textId="77777777" w:rsidR="001929CC" w:rsidRDefault="001929CC" w:rsidP="001929CC">
            <w:pPr>
              <w:pStyle w:val="TableText"/>
              <w:snapToGrid w:val="0"/>
              <w:rPr>
                <w:rFonts w:eastAsia="MS PGothic"/>
                <w:lang w:eastAsia="ja-JP"/>
              </w:rPr>
            </w:pPr>
            <w:r>
              <w:rPr>
                <w:rFonts w:eastAsia="MS PGothic"/>
                <w:lang w:eastAsia="ja-JP"/>
              </w:rPr>
              <w:t xml:space="preserve">　</w:t>
            </w:r>
          </w:p>
        </w:tc>
        <w:tc>
          <w:tcPr>
            <w:tcW w:w="1631" w:type="dxa"/>
            <w:tcBorders>
              <w:left w:val="single" w:sz="4" w:space="0" w:color="auto"/>
              <w:bottom w:val="single" w:sz="4" w:space="0" w:color="auto"/>
              <w:right w:val="single" w:sz="4" w:space="0" w:color="auto"/>
            </w:tcBorders>
            <w:noWrap/>
            <w:vAlign w:val="center"/>
          </w:tcPr>
          <w:p w14:paraId="595E83A0" w14:textId="77777777" w:rsidR="001929CC" w:rsidRDefault="001929CC" w:rsidP="001929CC">
            <w:pPr>
              <w:pStyle w:val="TableText"/>
              <w:snapToGrid w:val="0"/>
              <w:rPr>
                <w:rFonts w:eastAsia="MS PGothic"/>
                <w:lang w:eastAsia="ja-JP"/>
              </w:rPr>
            </w:pPr>
          </w:p>
        </w:tc>
        <w:tc>
          <w:tcPr>
            <w:tcW w:w="850" w:type="dxa"/>
            <w:tcBorders>
              <w:left w:val="single" w:sz="4" w:space="0" w:color="auto"/>
              <w:bottom w:val="single" w:sz="4" w:space="0" w:color="auto"/>
              <w:right w:val="single" w:sz="4" w:space="0" w:color="auto"/>
            </w:tcBorders>
            <w:shd w:val="clear" w:color="auto" w:fill="BFBFBF"/>
          </w:tcPr>
          <w:p w14:paraId="19EC6C77" w14:textId="77777777" w:rsidR="001929CC" w:rsidRDefault="001929CC" w:rsidP="001929CC">
            <w:pPr>
              <w:pStyle w:val="TableText"/>
              <w:snapToGrid w:val="0"/>
              <w:rPr>
                <w:rFonts w:eastAsia="MS PGothic"/>
                <w:lang w:eastAsia="ja-JP"/>
              </w:rPr>
            </w:pPr>
          </w:p>
        </w:tc>
        <w:tc>
          <w:tcPr>
            <w:tcW w:w="1276" w:type="dxa"/>
            <w:tcBorders>
              <w:left w:val="single" w:sz="4" w:space="0" w:color="auto"/>
              <w:bottom w:val="single" w:sz="4" w:space="0" w:color="auto"/>
              <w:right w:val="single" w:sz="4" w:space="0" w:color="auto"/>
            </w:tcBorders>
          </w:tcPr>
          <w:p w14:paraId="1E09D4D1" w14:textId="77777777" w:rsidR="001929CC" w:rsidRDefault="001929CC" w:rsidP="001929CC">
            <w:pPr>
              <w:pStyle w:val="TableText"/>
              <w:snapToGrid w:val="0"/>
              <w:rPr>
                <w:rFonts w:eastAsia="MS PGothic"/>
                <w:lang w:eastAsia="ja-JP"/>
              </w:rPr>
            </w:pPr>
          </w:p>
        </w:tc>
        <w:tc>
          <w:tcPr>
            <w:tcW w:w="992" w:type="dxa"/>
            <w:tcBorders>
              <w:left w:val="single" w:sz="4" w:space="0" w:color="auto"/>
              <w:bottom w:val="single" w:sz="4" w:space="0" w:color="auto"/>
              <w:right w:val="single" w:sz="4" w:space="0" w:color="auto"/>
            </w:tcBorders>
          </w:tcPr>
          <w:p w14:paraId="7A36299E" w14:textId="77777777" w:rsidR="001929CC" w:rsidRDefault="001929CC" w:rsidP="001929CC">
            <w:pPr>
              <w:pStyle w:val="TableText"/>
              <w:snapToGrid w:val="0"/>
              <w:rPr>
                <w:rFonts w:eastAsia="MS PGothic"/>
                <w:lang w:eastAsia="ja-JP"/>
              </w:rPr>
            </w:pPr>
          </w:p>
        </w:tc>
        <w:tc>
          <w:tcPr>
            <w:tcW w:w="992" w:type="dxa"/>
            <w:tcBorders>
              <w:left w:val="single" w:sz="4" w:space="0" w:color="auto"/>
              <w:bottom w:val="single" w:sz="4" w:space="0" w:color="auto"/>
              <w:right w:val="single" w:sz="4" w:space="0" w:color="auto"/>
            </w:tcBorders>
          </w:tcPr>
          <w:p w14:paraId="0AE78E7C" w14:textId="77777777" w:rsidR="001929CC" w:rsidRDefault="001929CC" w:rsidP="001929CC">
            <w:pPr>
              <w:pStyle w:val="TableText"/>
              <w:snapToGrid w:val="0"/>
              <w:rPr>
                <w:rFonts w:eastAsia="MS PGothic"/>
                <w:lang w:eastAsia="ja-JP"/>
              </w:rPr>
            </w:pPr>
          </w:p>
        </w:tc>
      </w:tr>
      <w:tr w:rsidR="001929CC" w14:paraId="4EC42D9B" w14:textId="77777777" w:rsidTr="001929CC">
        <w:trPr>
          <w:gridBefore w:val="1"/>
          <w:wBefore w:w="8" w:type="dxa"/>
          <w:trHeight w:val="225"/>
        </w:trPr>
        <w:tc>
          <w:tcPr>
            <w:tcW w:w="11899" w:type="dxa"/>
            <w:gridSpan w:val="9"/>
            <w:tcBorders>
              <w:top w:val="single" w:sz="4" w:space="0" w:color="auto"/>
              <w:left w:val="nil"/>
              <w:bottom w:val="single" w:sz="4" w:space="0" w:color="auto"/>
              <w:right w:val="nil"/>
            </w:tcBorders>
            <w:noWrap/>
            <w:vAlign w:val="center"/>
          </w:tcPr>
          <w:p w14:paraId="0EA799CE" w14:textId="77777777" w:rsidR="001929CC" w:rsidRDefault="001929CC" w:rsidP="001929CC">
            <w:pPr>
              <w:pStyle w:val="TableText"/>
              <w:snapToGrid w:val="0"/>
              <w:rPr>
                <w:rFonts w:eastAsia="MS PGothic"/>
                <w:lang w:eastAsia="ja-JP"/>
              </w:rPr>
            </w:pPr>
            <w:r>
              <w:rPr>
                <w:rFonts w:eastAsia="MS PGothic"/>
                <w:lang w:eastAsia="ja-JP"/>
              </w:rPr>
              <w:t>^ Use of preferential risk-weights.</w:t>
            </w:r>
          </w:p>
        </w:tc>
      </w:tr>
    </w:tbl>
    <w:p w14:paraId="7AB33D91" w14:textId="77777777" w:rsidR="0077519E" w:rsidRDefault="0077519E" w:rsidP="001929CC">
      <w:pPr>
        <w:spacing w:before="40" w:after="40"/>
        <w:rPr>
          <w:sz w:val="22"/>
        </w:rPr>
      </w:pPr>
    </w:p>
    <w:p w14:paraId="7DBFF8EC" w14:textId="77777777" w:rsidR="0077519E" w:rsidRDefault="0077519E" w:rsidP="008D652E">
      <w:pPr>
        <w:pStyle w:val="ListParagraph"/>
        <w:numPr>
          <w:ilvl w:val="0"/>
          <w:numId w:val="14"/>
        </w:numPr>
        <w:spacing w:before="40" w:after="40"/>
        <w:ind w:leftChars="0"/>
        <w:rPr>
          <w:b/>
          <w:sz w:val="17"/>
          <w:lang w:eastAsia="en-GB"/>
        </w:rPr>
      </w:pPr>
      <w:r>
        <w:rPr>
          <w:b/>
          <w:sz w:val="17"/>
          <w:lang w:eastAsia="en-GB"/>
        </w:rPr>
        <w:t>Specialized Lending under supervisory slotting criteria approach – Other than HVCRE</w:t>
      </w:r>
    </w:p>
    <w:tbl>
      <w:tblPr>
        <w:tblW w:w="13883"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1461"/>
        <w:gridCol w:w="3066"/>
        <w:gridCol w:w="1630"/>
        <w:gridCol w:w="1631"/>
        <w:gridCol w:w="850"/>
        <w:gridCol w:w="652"/>
        <w:gridCol w:w="652"/>
        <w:gridCol w:w="652"/>
        <w:gridCol w:w="652"/>
        <w:gridCol w:w="652"/>
        <w:gridCol w:w="992"/>
        <w:gridCol w:w="993"/>
      </w:tblGrid>
      <w:tr w:rsidR="001929CC" w14:paraId="2FA19551" w14:textId="77777777" w:rsidTr="001929CC">
        <w:trPr>
          <w:trHeight w:val="272"/>
          <w:tblHeader/>
        </w:trPr>
        <w:tc>
          <w:tcPr>
            <w:tcW w:w="1461" w:type="dxa"/>
            <w:tcBorders>
              <w:top w:val="nil"/>
              <w:left w:val="nil"/>
              <w:bottom w:val="single" w:sz="6" w:space="0" w:color="auto"/>
              <w:right w:val="nil"/>
            </w:tcBorders>
            <w:noWrap/>
            <w:vAlign w:val="center"/>
          </w:tcPr>
          <w:p w14:paraId="19104202" w14:textId="77777777" w:rsidR="001929CC" w:rsidRDefault="001929CC" w:rsidP="001929CC">
            <w:pPr>
              <w:pStyle w:val="TableText"/>
              <w:snapToGrid w:val="0"/>
              <w:jc w:val="center"/>
              <w:rPr>
                <w:rFonts w:eastAsia="MS PGothic"/>
                <w:lang w:eastAsia="ja-JP"/>
              </w:rPr>
            </w:pPr>
          </w:p>
        </w:tc>
        <w:tc>
          <w:tcPr>
            <w:tcW w:w="3066" w:type="dxa"/>
            <w:tcBorders>
              <w:top w:val="nil"/>
              <w:left w:val="nil"/>
              <w:bottom w:val="single" w:sz="6" w:space="0" w:color="auto"/>
              <w:right w:val="single" w:sz="6" w:space="0" w:color="auto"/>
            </w:tcBorders>
            <w:noWrap/>
            <w:vAlign w:val="center"/>
          </w:tcPr>
          <w:p w14:paraId="1FC10E36" w14:textId="77777777" w:rsidR="001929CC" w:rsidRDefault="001929CC" w:rsidP="001929CC">
            <w:pPr>
              <w:pStyle w:val="TableText"/>
              <w:snapToGrid w:val="0"/>
              <w:jc w:val="center"/>
              <w:rPr>
                <w:rFonts w:eastAsia="MS PGothic"/>
                <w:lang w:eastAsia="ja-JP"/>
              </w:rPr>
            </w:pPr>
          </w:p>
        </w:tc>
        <w:tc>
          <w:tcPr>
            <w:tcW w:w="1630" w:type="dxa"/>
            <w:tcBorders>
              <w:top w:val="single" w:sz="4" w:space="0" w:color="auto"/>
              <w:left w:val="single" w:sz="6" w:space="0" w:color="auto"/>
              <w:bottom w:val="single" w:sz="6" w:space="0" w:color="auto"/>
              <w:right w:val="single" w:sz="6" w:space="0" w:color="auto"/>
            </w:tcBorders>
            <w:vAlign w:val="center"/>
          </w:tcPr>
          <w:p w14:paraId="4C4AEC08" w14:textId="77777777" w:rsidR="001929CC" w:rsidRDefault="001929CC" w:rsidP="001929CC">
            <w:pPr>
              <w:pStyle w:val="TableText"/>
              <w:snapToGrid w:val="0"/>
              <w:jc w:val="center"/>
              <w:rPr>
                <w:rFonts w:eastAsia="MS PGothic"/>
                <w:lang w:eastAsia="ja-JP"/>
              </w:rPr>
            </w:pPr>
            <w:r>
              <w:rPr>
                <w:rFonts w:eastAsia="MS PGothic"/>
                <w:lang w:eastAsia="ja-JP"/>
              </w:rPr>
              <w:t>(a)</w:t>
            </w:r>
          </w:p>
        </w:tc>
        <w:tc>
          <w:tcPr>
            <w:tcW w:w="1631" w:type="dxa"/>
            <w:tcBorders>
              <w:top w:val="single" w:sz="4" w:space="0" w:color="auto"/>
              <w:left w:val="single" w:sz="6" w:space="0" w:color="auto"/>
              <w:bottom w:val="single" w:sz="6" w:space="0" w:color="auto"/>
              <w:right w:val="single" w:sz="6" w:space="0" w:color="auto"/>
            </w:tcBorders>
            <w:noWrap/>
            <w:vAlign w:val="center"/>
          </w:tcPr>
          <w:p w14:paraId="714DD482" w14:textId="77777777" w:rsidR="001929CC" w:rsidRDefault="001929CC" w:rsidP="001929CC">
            <w:pPr>
              <w:pStyle w:val="TableText"/>
              <w:snapToGrid w:val="0"/>
              <w:jc w:val="center"/>
              <w:rPr>
                <w:rFonts w:eastAsia="MS PGothic"/>
                <w:lang w:eastAsia="ja-JP"/>
              </w:rPr>
            </w:pPr>
            <w:r>
              <w:rPr>
                <w:rFonts w:eastAsia="MS PGothic"/>
                <w:lang w:eastAsia="ja-JP"/>
              </w:rPr>
              <w:t>(b)</w:t>
            </w:r>
          </w:p>
        </w:tc>
        <w:tc>
          <w:tcPr>
            <w:tcW w:w="850" w:type="dxa"/>
            <w:tcBorders>
              <w:top w:val="single" w:sz="4" w:space="0" w:color="auto"/>
              <w:left w:val="single" w:sz="6" w:space="0" w:color="auto"/>
              <w:bottom w:val="single" w:sz="6" w:space="0" w:color="auto"/>
              <w:right w:val="single" w:sz="6" w:space="0" w:color="auto"/>
            </w:tcBorders>
            <w:vAlign w:val="center"/>
          </w:tcPr>
          <w:p w14:paraId="51DE64C1" w14:textId="77777777" w:rsidR="001929CC" w:rsidRDefault="001929CC" w:rsidP="001929CC">
            <w:pPr>
              <w:pStyle w:val="TableText"/>
              <w:snapToGrid w:val="0"/>
              <w:jc w:val="center"/>
              <w:rPr>
                <w:rFonts w:eastAsia="MS PGothic"/>
                <w:lang w:eastAsia="ja-JP"/>
              </w:rPr>
            </w:pPr>
            <w:r>
              <w:rPr>
                <w:rFonts w:eastAsia="MS PGothic"/>
                <w:lang w:eastAsia="ja-JP"/>
              </w:rPr>
              <w:t>(c)</w:t>
            </w:r>
          </w:p>
        </w:tc>
        <w:tc>
          <w:tcPr>
            <w:tcW w:w="652" w:type="dxa"/>
            <w:tcBorders>
              <w:top w:val="single" w:sz="4" w:space="0" w:color="auto"/>
              <w:left w:val="single" w:sz="6" w:space="0" w:color="auto"/>
              <w:bottom w:val="single" w:sz="6" w:space="0" w:color="auto"/>
              <w:right w:val="single" w:sz="6" w:space="0" w:color="auto"/>
            </w:tcBorders>
            <w:vAlign w:val="center"/>
          </w:tcPr>
          <w:p w14:paraId="5BCC1EBF" w14:textId="77777777" w:rsidR="001929CC" w:rsidRDefault="001929CC" w:rsidP="001929CC">
            <w:pPr>
              <w:pStyle w:val="TableText"/>
              <w:snapToGrid w:val="0"/>
              <w:jc w:val="center"/>
              <w:rPr>
                <w:rFonts w:eastAsia="MS PGothic"/>
                <w:lang w:eastAsia="ja-JP"/>
              </w:rPr>
            </w:pPr>
            <w:r>
              <w:rPr>
                <w:rFonts w:eastAsia="MS PGothic"/>
                <w:lang w:eastAsia="ja-JP"/>
              </w:rPr>
              <w:t>(d)(i)</w:t>
            </w:r>
          </w:p>
        </w:tc>
        <w:tc>
          <w:tcPr>
            <w:tcW w:w="652" w:type="dxa"/>
            <w:tcBorders>
              <w:top w:val="single" w:sz="4" w:space="0" w:color="auto"/>
              <w:left w:val="single" w:sz="6" w:space="0" w:color="auto"/>
              <w:bottom w:val="single" w:sz="6" w:space="0" w:color="auto"/>
              <w:right w:val="single" w:sz="6" w:space="0" w:color="auto"/>
            </w:tcBorders>
            <w:vAlign w:val="center"/>
          </w:tcPr>
          <w:p w14:paraId="40C46F09" w14:textId="77777777" w:rsidR="001929CC" w:rsidRDefault="001929CC" w:rsidP="001929CC">
            <w:pPr>
              <w:pStyle w:val="TableText"/>
              <w:snapToGrid w:val="0"/>
              <w:jc w:val="center"/>
              <w:rPr>
                <w:rFonts w:eastAsia="MS PGothic"/>
                <w:lang w:eastAsia="ja-JP"/>
              </w:rPr>
            </w:pPr>
            <w:r>
              <w:rPr>
                <w:rFonts w:eastAsia="MS PGothic"/>
                <w:lang w:eastAsia="ja-JP"/>
              </w:rPr>
              <w:t>(d)(ii)</w:t>
            </w:r>
          </w:p>
        </w:tc>
        <w:tc>
          <w:tcPr>
            <w:tcW w:w="652" w:type="dxa"/>
            <w:tcBorders>
              <w:top w:val="single" w:sz="4" w:space="0" w:color="auto"/>
              <w:left w:val="single" w:sz="6" w:space="0" w:color="auto"/>
              <w:bottom w:val="single" w:sz="6" w:space="0" w:color="auto"/>
              <w:right w:val="single" w:sz="6" w:space="0" w:color="auto"/>
            </w:tcBorders>
            <w:vAlign w:val="center"/>
          </w:tcPr>
          <w:p w14:paraId="4AE48A74" w14:textId="77777777" w:rsidR="001929CC" w:rsidRDefault="001929CC" w:rsidP="001929CC">
            <w:pPr>
              <w:pStyle w:val="TableText"/>
              <w:snapToGrid w:val="0"/>
              <w:jc w:val="center"/>
              <w:rPr>
                <w:rFonts w:eastAsia="MS PGothic"/>
                <w:lang w:eastAsia="ja-JP"/>
              </w:rPr>
            </w:pPr>
            <w:r>
              <w:rPr>
                <w:rFonts w:eastAsia="MS PGothic"/>
                <w:lang w:eastAsia="ja-JP"/>
              </w:rPr>
              <w:t>(d)(iii)</w:t>
            </w:r>
          </w:p>
        </w:tc>
        <w:tc>
          <w:tcPr>
            <w:tcW w:w="652" w:type="dxa"/>
            <w:tcBorders>
              <w:top w:val="single" w:sz="4" w:space="0" w:color="auto"/>
              <w:left w:val="single" w:sz="6" w:space="0" w:color="auto"/>
              <w:bottom w:val="single" w:sz="6" w:space="0" w:color="auto"/>
              <w:right w:val="single" w:sz="6" w:space="0" w:color="auto"/>
            </w:tcBorders>
            <w:vAlign w:val="center"/>
          </w:tcPr>
          <w:p w14:paraId="3CA06A58" w14:textId="77777777" w:rsidR="001929CC" w:rsidRDefault="001929CC" w:rsidP="001929CC">
            <w:pPr>
              <w:pStyle w:val="TableText"/>
              <w:snapToGrid w:val="0"/>
              <w:jc w:val="center"/>
              <w:rPr>
                <w:rFonts w:eastAsia="MS PGothic"/>
                <w:lang w:eastAsia="ja-JP"/>
              </w:rPr>
            </w:pPr>
            <w:r>
              <w:rPr>
                <w:rFonts w:eastAsia="MS PGothic"/>
                <w:lang w:eastAsia="ja-JP"/>
              </w:rPr>
              <w:t>(d)(iv)</w:t>
            </w:r>
          </w:p>
        </w:tc>
        <w:tc>
          <w:tcPr>
            <w:tcW w:w="652" w:type="dxa"/>
            <w:tcBorders>
              <w:top w:val="single" w:sz="4" w:space="0" w:color="auto"/>
              <w:left w:val="single" w:sz="6" w:space="0" w:color="auto"/>
              <w:bottom w:val="single" w:sz="6" w:space="0" w:color="auto"/>
              <w:right w:val="single" w:sz="6" w:space="0" w:color="auto"/>
            </w:tcBorders>
            <w:vAlign w:val="center"/>
          </w:tcPr>
          <w:p w14:paraId="711C8284" w14:textId="77777777" w:rsidR="001929CC" w:rsidRDefault="001929CC" w:rsidP="001929CC">
            <w:pPr>
              <w:pStyle w:val="TableText"/>
              <w:snapToGrid w:val="0"/>
              <w:jc w:val="center"/>
              <w:rPr>
                <w:rFonts w:eastAsia="MS PGothic"/>
                <w:lang w:eastAsia="ja-JP"/>
              </w:rPr>
            </w:pPr>
            <w:r>
              <w:rPr>
                <w:rFonts w:eastAsia="MS PGothic"/>
                <w:lang w:eastAsia="ja-JP"/>
              </w:rPr>
              <w:t>(d)(v)</w:t>
            </w:r>
          </w:p>
        </w:tc>
        <w:tc>
          <w:tcPr>
            <w:tcW w:w="992" w:type="dxa"/>
            <w:tcBorders>
              <w:top w:val="single" w:sz="4" w:space="0" w:color="auto"/>
              <w:left w:val="single" w:sz="6" w:space="0" w:color="auto"/>
              <w:bottom w:val="single" w:sz="6" w:space="0" w:color="auto"/>
              <w:right w:val="single" w:sz="6" w:space="0" w:color="auto"/>
            </w:tcBorders>
            <w:vAlign w:val="center"/>
          </w:tcPr>
          <w:p w14:paraId="6DC7E5E8" w14:textId="77777777" w:rsidR="001929CC" w:rsidRDefault="001929CC" w:rsidP="001929CC">
            <w:pPr>
              <w:pStyle w:val="TableText"/>
              <w:snapToGrid w:val="0"/>
              <w:jc w:val="center"/>
              <w:rPr>
                <w:rFonts w:eastAsia="MS PGothic"/>
                <w:lang w:eastAsia="ja-JP"/>
              </w:rPr>
            </w:pPr>
            <w:r>
              <w:rPr>
                <w:rFonts w:eastAsia="MS PGothic"/>
                <w:lang w:eastAsia="ja-JP"/>
              </w:rPr>
              <w:t>(e)</w:t>
            </w:r>
          </w:p>
        </w:tc>
        <w:tc>
          <w:tcPr>
            <w:tcW w:w="993" w:type="dxa"/>
            <w:tcBorders>
              <w:top w:val="single" w:sz="4" w:space="0" w:color="auto"/>
              <w:left w:val="single" w:sz="6" w:space="0" w:color="auto"/>
              <w:bottom w:val="single" w:sz="6" w:space="0" w:color="auto"/>
              <w:right w:val="single" w:sz="4" w:space="0" w:color="auto"/>
            </w:tcBorders>
            <w:vAlign w:val="center"/>
          </w:tcPr>
          <w:p w14:paraId="28CBDB1C" w14:textId="77777777" w:rsidR="001929CC" w:rsidRDefault="001929CC" w:rsidP="001929CC">
            <w:pPr>
              <w:pStyle w:val="TableText"/>
              <w:snapToGrid w:val="0"/>
              <w:jc w:val="center"/>
              <w:rPr>
                <w:rFonts w:eastAsia="MS PGothic"/>
                <w:lang w:eastAsia="ja-JP"/>
              </w:rPr>
            </w:pPr>
            <w:r>
              <w:rPr>
                <w:rFonts w:eastAsia="MS PGothic"/>
                <w:lang w:eastAsia="ja-JP"/>
              </w:rPr>
              <w:t>(f)</w:t>
            </w:r>
          </w:p>
        </w:tc>
      </w:tr>
      <w:tr w:rsidR="001929CC" w14:paraId="5BD20761" w14:textId="77777777" w:rsidTr="001929CC">
        <w:trPr>
          <w:cantSplit/>
          <w:trHeight w:val="272"/>
          <w:tblHeader/>
        </w:trPr>
        <w:tc>
          <w:tcPr>
            <w:tcW w:w="1461" w:type="dxa"/>
            <w:vMerge w:val="restart"/>
            <w:tcBorders>
              <w:top w:val="single" w:sz="4" w:space="0" w:color="auto"/>
              <w:left w:val="nil"/>
              <w:right w:val="single" w:sz="6" w:space="0" w:color="auto"/>
            </w:tcBorders>
            <w:noWrap/>
            <w:vAlign w:val="center"/>
          </w:tcPr>
          <w:p w14:paraId="64EA1D97" w14:textId="77777777" w:rsidR="001929CC" w:rsidRDefault="001929CC" w:rsidP="001929CC">
            <w:pPr>
              <w:pStyle w:val="TableText"/>
              <w:snapToGrid w:val="0"/>
              <w:jc w:val="center"/>
              <w:rPr>
                <w:rFonts w:eastAsia="MS PGothic"/>
                <w:lang w:eastAsia="ja-JP"/>
              </w:rPr>
            </w:pPr>
            <w:r>
              <w:rPr>
                <w:rFonts w:eastAsia="MS PGothic"/>
                <w:lang w:eastAsia="ja-JP"/>
              </w:rPr>
              <w:t>Supervisory Rating Grade</w:t>
            </w:r>
          </w:p>
        </w:tc>
        <w:tc>
          <w:tcPr>
            <w:tcW w:w="3066" w:type="dxa"/>
            <w:vMerge w:val="restart"/>
            <w:tcBorders>
              <w:top w:val="single" w:sz="4" w:space="0" w:color="auto"/>
              <w:left w:val="single" w:sz="6" w:space="0" w:color="auto"/>
              <w:right w:val="single" w:sz="6" w:space="0" w:color="auto"/>
            </w:tcBorders>
            <w:noWrap/>
            <w:vAlign w:val="center"/>
          </w:tcPr>
          <w:p w14:paraId="047E098B" w14:textId="77777777" w:rsidR="001929CC" w:rsidRDefault="001929CC" w:rsidP="001929CC">
            <w:pPr>
              <w:pStyle w:val="TableText"/>
              <w:snapToGrid w:val="0"/>
              <w:jc w:val="center"/>
              <w:rPr>
                <w:rFonts w:eastAsia="MS PGothic"/>
                <w:lang w:eastAsia="ja-JP"/>
              </w:rPr>
            </w:pPr>
            <w:r>
              <w:rPr>
                <w:rFonts w:eastAsia="MS PGothic"/>
                <w:lang w:eastAsia="ja-JP"/>
              </w:rPr>
              <w:t>Remaining Maturity</w:t>
            </w:r>
          </w:p>
        </w:tc>
        <w:tc>
          <w:tcPr>
            <w:tcW w:w="1630" w:type="dxa"/>
            <w:vMerge w:val="restart"/>
            <w:tcBorders>
              <w:top w:val="single" w:sz="4" w:space="0" w:color="auto"/>
              <w:left w:val="single" w:sz="6" w:space="0" w:color="auto"/>
              <w:right w:val="single" w:sz="6" w:space="0" w:color="auto"/>
            </w:tcBorders>
            <w:vAlign w:val="center"/>
          </w:tcPr>
          <w:p w14:paraId="7240CB3F" w14:textId="77777777" w:rsidR="001929CC" w:rsidRDefault="001929CC" w:rsidP="001929CC">
            <w:pPr>
              <w:pStyle w:val="TableText"/>
              <w:snapToGrid w:val="0"/>
              <w:jc w:val="center"/>
              <w:rPr>
                <w:rFonts w:eastAsia="MS PGothic"/>
                <w:lang w:eastAsia="ja-JP"/>
              </w:rPr>
            </w:pPr>
            <w:r>
              <w:rPr>
                <w:rFonts w:eastAsia="MS PGothic"/>
                <w:lang w:eastAsia="ja-JP"/>
              </w:rPr>
              <w:t>On-balance sheet exposure amount</w:t>
            </w:r>
          </w:p>
        </w:tc>
        <w:tc>
          <w:tcPr>
            <w:tcW w:w="1631" w:type="dxa"/>
            <w:vMerge w:val="restart"/>
            <w:tcBorders>
              <w:top w:val="single" w:sz="4" w:space="0" w:color="auto"/>
              <w:left w:val="single" w:sz="6" w:space="0" w:color="auto"/>
              <w:right w:val="single" w:sz="6" w:space="0" w:color="auto"/>
            </w:tcBorders>
            <w:noWrap/>
            <w:vAlign w:val="center"/>
          </w:tcPr>
          <w:p w14:paraId="3AC2211B" w14:textId="77777777" w:rsidR="001929CC" w:rsidRDefault="001929CC" w:rsidP="001929CC">
            <w:pPr>
              <w:pStyle w:val="TableText"/>
              <w:snapToGrid w:val="0"/>
              <w:jc w:val="center"/>
              <w:rPr>
                <w:rFonts w:eastAsia="MS PGothic"/>
                <w:lang w:eastAsia="ja-JP"/>
              </w:rPr>
            </w:pPr>
            <w:r>
              <w:rPr>
                <w:rFonts w:eastAsia="MS PGothic"/>
                <w:lang w:eastAsia="ja-JP"/>
              </w:rPr>
              <w:t>Off-balance sheet exposure amount</w:t>
            </w:r>
          </w:p>
        </w:tc>
        <w:tc>
          <w:tcPr>
            <w:tcW w:w="850" w:type="dxa"/>
            <w:vMerge w:val="restart"/>
            <w:tcBorders>
              <w:top w:val="single" w:sz="4" w:space="0" w:color="auto"/>
              <w:left w:val="single" w:sz="6" w:space="0" w:color="auto"/>
              <w:right w:val="single" w:sz="6" w:space="0" w:color="auto"/>
            </w:tcBorders>
            <w:vAlign w:val="center"/>
          </w:tcPr>
          <w:p w14:paraId="447CCDF8" w14:textId="77777777" w:rsidR="001929CC" w:rsidRDefault="001929CC" w:rsidP="001929CC">
            <w:pPr>
              <w:pStyle w:val="TableText"/>
              <w:snapToGrid w:val="0"/>
              <w:jc w:val="center"/>
              <w:rPr>
                <w:rFonts w:eastAsia="MS PGothic"/>
                <w:lang w:eastAsia="ja-JP"/>
              </w:rPr>
            </w:pPr>
            <w:r>
              <w:rPr>
                <w:rFonts w:eastAsia="MS PGothic"/>
                <w:lang w:eastAsia="ja-JP"/>
              </w:rPr>
              <w:t>SRW</w:t>
            </w:r>
          </w:p>
        </w:tc>
        <w:tc>
          <w:tcPr>
            <w:tcW w:w="3260" w:type="dxa"/>
            <w:gridSpan w:val="5"/>
            <w:tcBorders>
              <w:top w:val="single" w:sz="4" w:space="0" w:color="auto"/>
              <w:left w:val="single" w:sz="6" w:space="0" w:color="auto"/>
              <w:bottom w:val="single" w:sz="6" w:space="0" w:color="auto"/>
              <w:right w:val="single" w:sz="6" w:space="0" w:color="auto"/>
            </w:tcBorders>
            <w:vAlign w:val="center"/>
          </w:tcPr>
          <w:p w14:paraId="02F66FAD" w14:textId="77777777" w:rsidR="001929CC" w:rsidRDefault="001929CC" w:rsidP="001929CC">
            <w:pPr>
              <w:pStyle w:val="TableText"/>
              <w:snapToGrid w:val="0"/>
              <w:jc w:val="center"/>
              <w:rPr>
                <w:rFonts w:eastAsia="MS PGothic"/>
                <w:lang w:eastAsia="ja-JP"/>
              </w:rPr>
            </w:pPr>
            <w:r>
              <w:rPr>
                <w:rFonts w:eastAsia="MS PGothic"/>
                <w:lang w:eastAsia="ja-JP"/>
              </w:rPr>
              <w:t>EAD amount</w:t>
            </w:r>
          </w:p>
        </w:tc>
        <w:tc>
          <w:tcPr>
            <w:tcW w:w="992" w:type="dxa"/>
            <w:vMerge w:val="restart"/>
            <w:tcBorders>
              <w:top w:val="single" w:sz="4" w:space="0" w:color="auto"/>
              <w:left w:val="single" w:sz="6" w:space="0" w:color="auto"/>
              <w:right w:val="single" w:sz="6" w:space="0" w:color="auto"/>
            </w:tcBorders>
            <w:vAlign w:val="center"/>
          </w:tcPr>
          <w:p w14:paraId="4326E563" w14:textId="77777777" w:rsidR="001929CC" w:rsidRDefault="001929CC" w:rsidP="001929CC">
            <w:pPr>
              <w:pStyle w:val="TableText"/>
              <w:snapToGrid w:val="0"/>
              <w:jc w:val="center"/>
              <w:rPr>
                <w:rFonts w:eastAsia="MS PGothic"/>
                <w:lang w:eastAsia="ja-JP"/>
              </w:rPr>
            </w:pPr>
            <w:r>
              <w:rPr>
                <w:rFonts w:eastAsia="MS PGothic"/>
                <w:lang w:eastAsia="ja-JP"/>
              </w:rPr>
              <w:t>RWA</w:t>
            </w:r>
          </w:p>
        </w:tc>
        <w:tc>
          <w:tcPr>
            <w:tcW w:w="993" w:type="dxa"/>
            <w:vMerge w:val="restart"/>
            <w:tcBorders>
              <w:top w:val="single" w:sz="4" w:space="0" w:color="auto"/>
              <w:left w:val="single" w:sz="6" w:space="0" w:color="auto"/>
              <w:right w:val="single" w:sz="4" w:space="0" w:color="auto"/>
            </w:tcBorders>
            <w:vAlign w:val="center"/>
          </w:tcPr>
          <w:p w14:paraId="463AE0E2" w14:textId="77777777" w:rsidR="001929CC" w:rsidRDefault="001929CC" w:rsidP="001929CC">
            <w:pPr>
              <w:pStyle w:val="TableText"/>
              <w:snapToGrid w:val="0"/>
              <w:jc w:val="center"/>
              <w:rPr>
                <w:rFonts w:eastAsia="MS PGothic"/>
                <w:lang w:eastAsia="ja-JP"/>
              </w:rPr>
            </w:pPr>
            <w:r>
              <w:rPr>
                <w:rFonts w:eastAsia="MS PGothic"/>
                <w:lang w:eastAsia="ja-JP"/>
              </w:rPr>
              <w:t>Expected loss amount</w:t>
            </w:r>
          </w:p>
        </w:tc>
      </w:tr>
      <w:tr w:rsidR="001929CC" w14:paraId="724F3B11" w14:textId="77777777" w:rsidTr="001929CC">
        <w:trPr>
          <w:cantSplit/>
          <w:trHeight w:val="272"/>
        </w:trPr>
        <w:tc>
          <w:tcPr>
            <w:tcW w:w="1461" w:type="dxa"/>
            <w:vMerge/>
            <w:tcBorders>
              <w:left w:val="nil"/>
              <w:bottom w:val="single" w:sz="6" w:space="0" w:color="auto"/>
              <w:right w:val="single" w:sz="6" w:space="0" w:color="auto"/>
            </w:tcBorders>
            <w:noWrap/>
            <w:vAlign w:val="center"/>
          </w:tcPr>
          <w:p w14:paraId="237206CE" w14:textId="77777777" w:rsidR="001929CC" w:rsidRDefault="001929CC" w:rsidP="001929CC">
            <w:pPr>
              <w:pStyle w:val="TableText"/>
              <w:snapToGrid w:val="0"/>
              <w:rPr>
                <w:rFonts w:eastAsia="MS PGothic"/>
                <w:lang w:eastAsia="ja-JP"/>
              </w:rPr>
            </w:pPr>
          </w:p>
        </w:tc>
        <w:tc>
          <w:tcPr>
            <w:tcW w:w="3066" w:type="dxa"/>
            <w:vMerge/>
            <w:tcBorders>
              <w:left w:val="single" w:sz="6" w:space="0" w:color="auto"/>
              <w:bottom w:val="single" w:sz="6" w:space="0" w:color="auto"/>
              <w:right w:val="single" w:sz="6" w:space="0" w:color="auto"/>
            </w:tcBorders>
            <w:noWrap/>
            <w:vAlign w:val="center"/>
          </w:tcPr>
          <w:p w14:paraId="687BDC42" w14:textId="77777777" w:rsidR="001929CC" w:rsidRDefault="001929CC" w:rsidP="001929CC">
            <w:pPr>
              <w:pStyle w:val="TableText"/>
              <w:snapToGrid w:val="0"/>
              <w:jc w:val="center"/>
              <w:rPr>
                <w:rFonts w:eastAsia="MS PGothic"/>
                <w:lang w:eastAsia="ja-JP"/>
              </w:rPr>
            </w:pPr>
          </w:p>
        </w:tc>
        <w:tc>
          <w:tcPr>
            <w:tcW w:w="1630" w:type="dxa"/>
            <w:vMerge/>
            <w:tcBorders>
              <w:left w:val="single" w:sz="6" w:space="0" w:color="auto"/>
              <w:bottom w:val="single" w:sz="6" w:space="0" w:color="auto"/>
              <w:right w:val="single" w:sz="6" w:space="0" w:color="auto"/>
            </w:tcBorders>
            <w:vAlign w:val="center"/>
          </w:tcPr>
          <w:p w14:paraId="72BDBE7E" w14:textId="77777777" w:rsidR="001929CC" w:rsidRDefault="001929CC" w:rsidP="001929CC">
            <w:pPr>
              <w:pStyle w:val="TableText"/>
              <w:snapToGrid w:val="0"/>
              <w:jc w:val="center"/>
              <w:rPr>
                <w:rFonts w:eastAsia="MS PGothic"/>
                <w:lang w:eastAsia="ja-JP"/>
              </w:rPr>
            </w:pPr>
          </w:p>
        </w:tc>
        <w:tc>
          <w:tcPr>
            <w:tcW w:w="1631" w:type="dxa"/>
            <w:vMerge/>
            <w:tcBorders>
              <w:left w:val="single" w:sz="6" w:space="0" w:color="auto"/>
              <w:bottom w:val="single" w:sz="6" w:space="0" w:color="auto"/>
              <w:right w:val="single" w:sz="6" w:space="0" w:color="auto"/>
            </w:tcBorders>
            <w:noWrap/>
            <w:vAlign w:val="center"/>
          </w:tcPr>
          <w:p w14:paraId="7441E4E7" w14:textId="77777777" w:rsidR="001929CC" w:rsidRDefault="001929CC" w:rsidP="001929CC">
            <w:pPr>
              <w:pStyle w:val="TableText"/>
              <w:snapToGrid w:val="0"/>
              <w:jc w:val="center"/>
              <w:rPr>
                <w:rFonts w:eastAsia="MS PGothic"/>
                <w:lang w:eastAsia="ja-JP"/>
              </w:rPr>
            </w:pPr>
          </w:p>
        </w:tc>
        <w:tc>
          <w:tcPr>
            <w:tcW w:w="850" w:type="dxa"/>
            <w:vMerge/>
            <w:tcBorders>
              <w:left w:val="single" w:sz="6" w:space="0" w:color="auto"/>
              <w:bottom w:val="single" w:sz="6" w:space="0" w:color="auto"/>
              <w:right w:val="single" w:sz="6" w:space="0" w:color="auto"/>
            </w:tcBorders>
            <w:vAlign w:val="center"/>
          </w:tcPr>
          <w:p w14:paraId="1EF758F2" w14:textId="77777777" w:rsidR="001929CC" w:rsidRDefault="001929CC" w:rsidP="001929CC">
            <w:pPr>
              <w:pStyle w:val="TableText"/>
              <w:snapToGrid w:val="0"/>
              <w:jc w:val="center"/>
              <w:rPr>
                <w:rFonts w:eastAsia="MS PGothic"/>
                <w:lang w:eastAsia="ja-JP"/>
              </w:rPr>
            </w:pPr>
          </w:p>
        </w:tc>
        <w:tc>
          <w:tcPr>
            <w:tcW w:w="652" w:type="dxa"/>
            <w:tcBorders>
              <w:top w:val="single" w:sz="6" w:space="0" w:color="auto"/>
              <w:left w:val="single" w:sz="6" w:space="0" w:color="auto"/>
              <w:bottom w:val="single" w:sz="6" w:space="0" w:color="auto"/>
              <w:right w:val="single" w:sz="6" w:space="0" w:color="auto"/>
            </w:tcBorders>
            <w:vAlign w:val="center"/>
          </w:tcPr>
          <w:p w14:paraId="121C0C77" w14:textId="77777777" w:rsidR="001929CC" w:rsidRDefault="001929CC" w:rsidP="001929CC">
            <w:pPr>
              <w:pStyle w:val="TableText"/>
              <w:snapToGrid w:val="0"/>
              <w:jc w:val="center"/>
              <w:rPr>
                <w:rFonts w:eastAsia="MS PGothic"/>
                <w:lang w:eastAsia="ja-JP"/>
              </w:rPr>
            </w:pPr>
            <w:r>
              <w:rPr>
                <w:rFonts w:eastAsia="MS PGothic"/>
                <w:lang w:eastAsia="ja-JP"/>
              </w:rPr>
              <w:t>PF</w:t>
            </w:r>
          </w:p>
        </w:tc>
        <w:tc>
          <w:tcPr>
            <w:tcW w:w="652" w:type="dxa"/>
            <w:tcBorders>
              <w:top w:val="single" w:sz="6" w:space="0" w:color="auto"/>
              <w:left w:val="single" w:sz="6" w:space="0" w:color="auto"/>
              <w:bottom w:val="single" w:sz="6" w:space="0" w:color="auto"/>
              <w:right w:val="single" w:sz="6" w:space="0" w:color="auto"/>
            </w:tcBorders>
            <w:vAlign w:val="center"/>
          </w:tcPr>
          <w:p w14:paraId="5916EED2" w14:textId="77777777" w:rsidR="001929CC" w:rsidRDefault="001929CC" w:rsidP="001929CC">
            <w:pPr>
              <w:pStyle w:val="TableText"/>
              <w:snapToGrid w:val="0"/>
              <w:jc w:val="center"/>
              <w:rPr>
                <w:rFonts w:eastAsia="MS PGothic"/>
                <w:lang w:eastAsia="ja-JP"/>
              </w:rPr>
            </w:pPr>
            <w:r>
              <w:rPr>
                <w:rFonts w:eastAsia="MS PGothic"/>
                <w:lang w:eastAsia="ja-JP"/>
              </w:rPr>
              <w:t>OF</w:t>
            </w:r>
          </w:p>
        </w:tc>
        <w:tc>
          <w:tcPr>
            <w:tcW w:w="652" w:type="dxa"/>
            <w:tcBorders>
              <w:top w:val="single" w:sz="6" w:space="0" w:color="auto"/>
              <w:left w:val="single" w:sz="6" w:space="0" w:color="auto"/>
              <w:bottom w:val="single" w:sz="6" w:space="0" w:color="auto"/>
              <w:right w:val="single" w:sz="6" w:space="0" w:color="auto"/>
            </w:tcBorders>
            <w:vAlign w:val="center"/>
          </w:tcPr>
          <w:p w14:paraId="5FD4D3F7" w14:textId="77777777" w:rsidR="001929CC" w:rsidRDefault="001929CC" w:rsidP="001929CC">
            <w:pPr>
              <w:pStyle w:val="TableText"/>
              <w:snapToGrid w:val="0"/>
              <w:jc w:val="center"/>
              <w:rPr>
                <w:rFonts w:eastAsia="MS PGothic"/>
                <w:lang w:eastAsia="ja-JP"/>
              </w:rPr>
            </w:pPr>
            <w:r>
              <w:rPr>
                <w:rFonts w:eastAsia="MS PGothic"/>
                <w:lang w:eastAsia="ja-JP"/>
              </w:rPr>
              <w:t>CF</w:t>
            </w:r>
          </w:p>
        </w:tc>
        <w:tc>
          <w:tcPr>
            <w:tcW w:w="652" w:type="dxa"/>
            <w:tcBorders>
              <w:top w:val="single" w:sz="6" w:space="0" w:color="auto"/>
              <w:left w:val="single" w:sz="6" w:space="0" w:color="auto"/>
              <w:bottom w:val="single" w:sz="6" w:space="0" w:color="auto"/>
              <w:right w:val="single" w:sz="6" w:space="0" w:color="auto"/>
            </w:tcBorders>
            <w:vAlign w:val="center"/>
          </w:tcPr>
          <w:p w14:paraId="02D4973B" w14:textId="77777777" w:rsidR="001929CC" w:rsidRDefault="001929CC" w:rsidP="001929CC">
            <w:pPr>
              <w:pStyle w:val="TableText"/>
              <w:snapToGrid w:val="0"/>
              <w:jc w:val="center"/>
              <w:rPr>
                <w:rFonts w:eastAsia="MS PGothic"/>
                <w:lang w:eastAsia="ja-JP"/>
              </w:rPr>
            </w:pPr>
            <w:r>
              <w:rPr>
                <w:rFonts w:eastAsia="MS PGothic"/>
                <w:lang w:eastAsia="ja-JP"/>
              </w:rPr>
              <w:t>IPRE</w:t>
            </w:r>
          </w:p>
        </w:tc>
        <w:tc>
          <w:tcPr>
            <w:tcW w:w="652" w:type="dxa"/>
            <w:tcBorders>
              <w:top w:val="single" w:sz="6" w:space="0" w:color="auto"/>
              <w:left w:val="single" w:sz="6" w:space="0" w:color="auto"/>
              <w:bottom w:val="single" w:sz="6" w:space="0" w:color="auto"/>
              <w:right w:val="single" w:sz="6" w:space="0" w:color="auto"/>
            </w:tcBorders>
            <w:vAlign w:val="center"/>
          </w:tcPr>
          <w:p w14:paraId="30BA6683" w14:textId="77777777" w:rsidR="001929CC" w:rsidRDefault="001929CC" w:rsidP="001929CC">
            <w:pPr>
              <w:pStyle w:val="TableText"/>
              <w:snapToGrid w:val="0"/>
              <w:jc w:val="center"/>
              <w:rPr>
                <w:rFonts w:eastAsia="MS PGothic"/>
                <w:lang w:eastAsia="ja-JP"/>
              </w:rPr>
            </w:pPr>
            <w:r>
              <w:rPr>
                <w:rFonts w:eastAsia="MS PGothic"/>
                <w:lang w:eastAsia="ja-JP"/>
              </w:rPr>
              <w:t>Total</w:t>
            </w:r>
          </w:p>
        </w:tc>
        <w:tc>
          <w:tcPr>
            <w:tcW w:w="992" w:type="dxa"/>
            <w:vMerge/>
            <w:tcBorders>
              <w:left w:val="single" w:sz="6" w:space="0" w:color="auto"/>
              <w:bottom w:val="single" w:sz="6" w:space="0" w:color="auto"/>
              <w:right w:val="single" w:sz="6" w:space="0" w:color="auto"/>
            </w:tcBorders>
            <w:vAlign w:val="center"/>
          </w:tcPr>
          <w:p w14:paraId="79FB6C48" w14:textId="77777777" w:rsidR="001929CC" w:rsidRDefault="001929CC" w:rsidP="001929CC">
            <w:pPr>
              <w:pStyle w:val="TableText"/>
              <w:snapToGrid w:val="0"/>
              <w:jc w:val="center"/>
              <w:rPr>
                <w:rFonts w:eastAsia="MS PGothic"/>
                <w:lang w:eastAsia="ja-JP"/>
              </w:rPr>
            </w:pPr>
          </w:p>
        </w:tc>
        <w:tc>
          <w:tcPr>
            <w:tcW w:w="993" w:type="dxa"/>
            <w:vMerge/>
            <w:tcBorders>
              <w:left w:val="single" w:sz="6" w:space="0" w:color="auto"/>
              <w:bottom w:val="single" w:sz="6" w:space="0" w:color="auto"/>
              <w:right w:val="single" w:sz="4" w:space="0" w:color="auto"/>
            </w:tcBorders>
            <w:vAlign w:val="center"/>
          </w:tcPr>
          <w:p w14:paraId="3D75FBF2" w14:textId="77777777" w:rsidR="001929CC" w:rsidRDefault="001929CC" w:rsidP="001929CC">
            <w:pPr>
              <w:pStyle w:val="TableText"/>
              <w:snapToGrid w:val="0"/>
              <w:jc w:val="center"/>
              <w:rPr>
                <w:rFonts w:eastAsia="MS PGothic"/>
                <w:lang w:eastAsia="ja-JP"/>
              </w:rPr>
            </w:pPr>
          </w:p>
        </w:tc>
      </w:tr>
      <w:tr w:rsidR="001929CC" w14:paraId="0B942694" w14:textId="77777777" w:rsidTr="001929CC">
        <w:trPr>
          <w:trHeight w:val="210"/>
        </w:trPr>
        <w:tc>
          <w:tcPr>
            <w:tcW w:w="1461" w:type="dxa"/>
            <w:tcBorders>
              <w:left w:val="nil"/>
              <w:right w:val="single" w:sz="6" w:space="0" w:color="auto"/>
            </w:tcBorders>
            <w:noWrap/>
            <w:vAlign w:val="center"/>
          </w:tcPr>
          <w:p w14:paraId="6499F84E" w14:textId="77777777" w:rsidR="001929CC" w:rsidRDefault="001929CC" w:rsidP="001929CC">
            <w:pPr>
              <w:pStyle w:val="TableText"/>
              <w:snapToGrid w:val="0"/>
              <w:rPr>
                <w:rFonts w:eastAsia="MS PGothic"/>
                <w:lang w:eastAsia="ja-JP"/>
              </w:rPr>
            </w:pPr>
            <w:r>
              <w:rPr>
                <w:rFonts w:eastAsia="MS PGothic"/>
                <w:lang w:eastAsia="ja-JP"/>
              </w:rPr>
              <w:t>Strong^</w:t>
            </w:r>
          </w:p>
        </w:tc>
        <w:tc>
          <w:tcPr>
            <w:tcW w:w="3066" w:type="dxa"/>
            <w:tcBorders>
              <w:top w:val="single" w:sz="6" w:space="0" w:color="auto"/>
              <w:left w:val="single" w:sz="6" w:space="0" w:color="auto"/>
              <w:right w:val="single" w:sz="6" w:space="0" w:color="auto"/>
            </w:tcBorders>
            <w:noWrap/>
            <w:vAlign w:val="center"/>
          </w:tcPr>
          <w:p w14:paraId="01D7AF5E" w14:textId="77777777" w:rsidR="001929CC" w:rsidRDefault="001929CC" w:rsidP="001929CC">
            <w:pPr>
              <w:pStyle w:val="TableText"/>
              <w:snapToGrid w:val="0"/>
              <w:rPr>
                <w:rFonts w:eastAsia="MS PGothic"/>
                <w:lang w:eastAsia="ja-JP"/>
              </w:rPr>
            </w:pPr>
            <w:r>
              <w:rPr>
                <w:rFonts w:eastAsia="MS PGothic"/>
                <w:lang w:eastAsia="ja-JP"/>
              </w:rPr>
              <w:t>Less than 2.5 years</w:t>
            </w:r>
          </w:p>
        </w:tc>
        <w:tc>
          <w:tcPr>
            <w:tcW w:w="1630" w:type="dxa"/>
            <w:tcBorders>
              <w:top w:val="single" w:sz="6" w:space="0" w:color="auto"/>
              <w:left w:val="single" w:sz="6" w:space="0" w:color="auto"/>
              <w:right w:val="single" w:sz="6" w:space="0" w:color="auto"/>
            </w:tcBorders>
            <w:noWrap/>
            <w:vAlign w:val="center"/>
          </w:tcPr>
          <w:p w14:paraId="4A6F5342" w14:textId="77777777" w:rsidR="001929CC" w:rsidRDefault="001929CC" w:rsidP="001929CC">
            <w:pPr>
              <w:pStyle w:val="TableText"/>
              <w:snapToGrid w:val="0"/>
              <w:rPr>
                <w:rFonts w:eastAsia="MS PGothic"/>
                <w:lang w:eastAsia="ja-JP"/>
              </w:rPr>
            </w:pPr>
          </w:p>
        </w:tc>
        <w:tc>
          <w:tcPr>
            <w:tcW w:w="1631" w:type="dxa"/>
            <w:tcBorders>
              <w:top w:val="single" w:sz="6" w:space="0" w:color="auto"/>
              <w:left w:val="single" w:sz="6" w:space="0" w:color="auto"/>
              <w:right w:val="single" w:sz="6" w:space="0" w:color="auto"/>
            </w:tcBorders>
            <w:noWrap/>
            <w:vAlign w:val="center"/>
          </w:tcPr>
          <w:p w14:paraId="2BD9E7F7" w14:textId="77777777" w:rsidR="001929CC" w:rsidRDefault="001929CC" w:rsidP="001929CC">
            <w:pPr>
              <w:pStyle w:val="TableText"/>
              <w:snapToGrid w:val="0"/>
              <w:rPr>
                <w:rFonts w:eastAsia="MS PGothic"/>
                <w:lang w:eastAsia="ja-JP"/>
              </w:rPr>
            </w:pPr>
          </w:p>
        </w:tc>
        <w:tc>
          <w:tcPr>
            <w:tcW w:w="850" w:type="dxa"/>
            <w:tcBorders>
              <w:left w:val="single" w:sz="6" w:space="0" w:color="auto"/>
              <w:right w:val="single" w:sz="6" w:space="0" w:color="auto"/>
            </w:tcBorders>
          </w:tcPr>
          <w:p w14:paraId="61A4C92B" w14:textId="77777777" w:rsidR="001929CC" w:rsidRDefault="001929CC" w:rsidP="001929CC">
            <w:pPr>
              <w:pStyle w:val="TableText"/>
              <w:snapToGrid w:val="0"/>
              <w:rPr>
                <w:rFonts w:eastAsia="MS PGothic"/>
                <w:lang w:eastAsia="ja-JP"/>
              </w:rPr>
            </w:pPr>
            <w:r>
              <w:rPr>
                <w:rFonts w:eastAsia="MS PGothic"/>
                <w:lang w:eastAsia="ja-JP"/>
              </w:rPr>
              <w:t>50%</w:t>
            </w:r>
          </w:p>
        </w:tc>
        <w:tc>
          <w:tcPr>
            <w:tcW w:w="652" w:type="dxa"/>
            <w:tcBorders>
              <w:top w:val="single" w:sz="6" w:space="0" w:color="auto"/>
              <w:left w:val="single" w:sz="6" w:space="0" w:color="auto"/>
              <w:right w:val="single" w:sz="6" w:space="0" w:color="auto"/>
            </w:tcBorders>
          </w:tcPr>
          <w:p w14:paraId="09C659AE" w14:textId="77777777" w:rsidR="001929CC" w:rsidRDefault="001929CC" w:rsidP="001929CC">
            <w:pPr>
              <w:pStyle w:val="TableText"/>
              <w:snapToGrid w:val="0"/>
              <w:rPr>
                <w:rFonts w:eastAsia="MS PGothic"/>
                <w:lang w:eastAsia="ja-JP"/>
              </w:rPr>
            </w:pPr>
          </w:p>
        </w:tc>
        <w:tc>
          <w:tcPr>
            <w:tcW w:w="652" w:type="dxa"/>
            <w:tcBorders>
              <w:top w:val="single" w:sz="6" w:space="0" w:color="auto"/>
              <w:left w:val="single" w:sz="6" w:space="0" w:color="auto"/>
              <w:right w:val="single" w:sz="6" w:space="0" w:color="auto"/>
            </w:tcBorders>
          </w:tcPr>
          <w:p w14:paraId="196B20A2" w14:textId="77777777" w:rsidR="001929CC" w:rsidRDefault="001929CC" w:rsidP="001929CC">
            <w:pPr>
              <w:pStyle w:val="TableText"/>
              <w:snapToGrid w:val="0"/>
              <w:rPr>
                <w:rFonts w:eastAsia="MS PGothic"/>
                <w:lang w:eastAsia="ja-JP"/>
              </w:rPr>
            </w:pPr>
          </w:p>
        </w:tc>
        <w:tc>
          <w:tcPr>
            <w:tcW w:w="652" w:type="dxa"/>
            <w:tcBorders>
              <w:top w:val="single" w:sz="6" w:space="0" w:color="auto"/>
              <w:left w:val="single" w:sz="6" w:space="0" w:color="auto"/>
              <w:right w:val="single" w:sz="6" w:space="0" w:color="auto"/>
            </w:tcBorders>
          </w:tcPr>
          <w:p w14:paraId="3DCFB813" w14:textId="77777777" w:rsidR="001929CC" w:rsidRDefault="001929CC" w:rsidP="001929CC">
            <w:pPr>
              <w:pStyle w:val="TableText"/>
              <w:snapToGrid w:val="0"/>
              <w:rPr>
                <w:rFonts w:eastAsia="MS PGothic"/>
                <w:lang w:eastAsia="ja-JP"/>
              </w:rPr>
            </w:pPr>
          </w:p>
        </w:tc>
        <w:tc>
          <w:tcPr>
            <w:tcW w:w="652" w:type="dxa"/>
            <w:tcBorders>
              <w:top w:val="single" w:sz="6" w:space="0" w:color="auto"/>
              <w:left w:val="single" w:sz="6" w:space="0" w:color="auto"/>
              <w:right w:val="single" w:sz="6" w:space="0" w:color="auto"/>
            </w:tcBorders>
          </w:tcPr>
          <w:p w14:paraId="64D586D8" w14:textId="77777777" w:rsidR="001929CC" w:rsidRDefault="001929CC" w:rsidP="001929CC">
            <w:pPr>
              <w:pStyle w:val="TableText"/>
              <w:snapToGrid w:val="0"/>
              <w:rPr>
                <w:rFonts w:eastAsia="MS PGothic"/>
                <w:lang w:eastAsia="ja-JP"/>
              </w:rPr>
            </w:pPr>
          </w:p>
        </w:tc>
        <w:tc>
          <w:tcPr>
            <w:tcW w:w="652" w:type="dxa"/>
            <w:tcBorders>
              <w:top w:val="single" w:sz="6" w:space="0" w:color="auto"/>
              <w:left w:val="single" w:sz="6" w:space="0" w:color="auto"/>
              <w:right w:val="single" w:sz="6" w:space="0" w:color="auto"/>
            </w:tcBorders>
          </w:tcPr>
          <w:p w14:paraId="6EA2F36B" w14:textId="77777777" w:rsidR="001929CC" w:rsidRDefault="001929CC" w:rsidP="001929CC">
            <w:pPr>
              <w:pStyle w:val="TableText"/>
              <w:snapToGrid w:val="0"/>
              <w:rPr>
                <w:rFonts w:eastAsia="MS PGothic"/>
                <w:lang w:eastAsia="ja-JP"/>
              </w:rPr>
            </w:pPr>
          </w:p>
        </w:tc>
        <w:tc>
          <w:tcPr>
            <w:tcW w:w="992" w:type="dxa"/>
            <w:tcBorders>
              <w:left w:val="single" w:sz="6" w:space="0" w:color="auto"/>
              <w:right w:val="single" w:sz="6" w:space="0" w:color="auto"/>
            </w:tcBorders>
          </w:tcPr>
          <w:p w14:paraId="7C613FBC" w14:textId="77777777" w:rsidR="001929CC" w:rsidRDefault="001929CC" w:rsidP="001929CC">
            <w:pPr>
              <w:pStyle w:val="TableText"/>
              <w:snapToGrid w:val="0"/>
              <w:rPr>
                <w:rFonts w:eastAsia="MS PGothic"/>
                <w:lang w:eastAsia="ja-JP"/>
              </w:rPr>
            </w:pPr>
          </w:p>
        </w:tc>
        <w:tc>
          <w:tcPr>
            <w:tcW w:w="993" w:type="dxa"/>
            <w:tcBorders>
              <w:left w:val="single" w:sz="6" w:space="0" w:color="auto"/>
              <w:right w:val="single" w:sz="4" w:space="0" w:color="auto"/>
            </w:tcBorders>
          </w:tcPr>
          <w:p w14:paraId="39D716D8" w14:textId="77777777" w:rsidR="001929CC" w:rsidRDefault="001929CC" w:rsidP="001929CC">
            <w:pPr>
              <w:pStyle w:val="TableText"/>
              <w:snapToGrid w:val="0"/>
              <w:rPr>
                <w:rFonts w:eastAsia="MS PGothic"/>
                <w:lang w:eastAsia="ja-JP"/>
              </w:rPr>
            </w:pPr>
          </w:p>
        </w:tc>
      </w:tr>
      <w:tr w:rsidR="001929CC" w14:paraId="44975515" w14:textId="77777777" w:rsidTr="001929CC">
        <w:trPr>
          <w:trHeight w:val="210"/>
        </w:trPr>
        <w:tc>
          <w:tcPr>
            <w:tcW w:w="1461" w:type="dxa"/>
            <w:tcBorders>
              <w:left w:val="nil"/>
              <w:right w:val="single" w:sz="6" w:space="0" w:color="auto"/>
            </w:tcBorders>
            <w:noWrap/>
            <w:vAlign w:val="center"/>
          </w:tcPr>
          <w:p w14:paraId="4D98A187" w14:textId="77777777" w:rsidR="001929CC" w:rsidRDefault="001929CC" w:rsidP="001929CC">
            <w:pPr>
              <w:pStyle w:val="TableText"/>
              <w:snapToGrid w:val="0"/>
              <w:rPr>
                <w:rFonts w:eastAsia="MS PGothic"/>
                <w:lang w:eastAsia="ja-JP"/>
              </w:rPr>
            </w:pPr>
            <w:r>
              <w:rPr>
                <w:rFonts w:eastAsia="MS PGothic"/>
                <w:lang w:eastAsia="ja-JP"/>
              </w:rPr>
              <w:t>Strong</w:t>
            </w:r>
          </w:p>
        </w:tc>
        <w:tc>
          <w:tcPr>
            <w:tcW w:w="3066" w:type="dxa"/>
            <w:tcBorders>
              <w:left w:val="single" w:sz="6" w:space="0" w:color="auto"/>
              <w:right w:val="single" w:sz="6" w:space="0" w:color="auto"/>
            </w:tcBorders>
            <w:noWrap/>
            <w:vAlign w:val="center"/>
          </w:tcPr>
          <w:p w14:paraId="7379A6DC" w14:textId="77777777" w:rsidR="001929CC" w:rsidRDefault="001929CC" w:rsidP="001929CC">
            <w:pPr>
              <w:pStyle w:val="TableText"/>
              <w:snapToGrid w:val="0"/>
              <w:rPr>
                <w:rFonts w:eastAsia="MS PGothic"/>
                <w:lang w:eastAsia="ja-JP"/>
              </w:rPr>
            </w:pPr>
            <w:r>
              <w:rPr>
                <w:rFonts w:eastAsia="MS PGothic"/>
                <w:lang w:eastAsia="ja-JP"/>
              </w:rPr>
              <w:t>Equal to or more than 2.5 years</w:t>
            </w:r>
          </w:p>
        </w:tc>
        <w:tc>
          <w:tcPr>
            <w:tcW w:w="1630" w:type="dxa"/>
            <w:tcBorders>
              <w:left w:val="single" w:sz="6" w:space="0" w:color="auto"/>
              <w:right w:val="single" w:sz="6" w:space="0" w:color="auto"/>
            </w:tcBorders>
            <w:noWrap/>
            <w:vAlign w:val="center"/>
          </w:tcPr>
          <w:p w14:paraId="1D033891" w14:textId="77777777" w:rsidR="001929CC" w:rsidRDefault="001929CC" w:rsidP="001929CC">
            <w:pPr>
              <w:pStyle w:val="TableText"/>
              <w:snapToGrid w:val="0"/>
              <w:rPr>
                <w:rFonts w:eastAsia="MS PGothic"/>
                <w:lang w:eastAsia="ja-JP"/>
              </w:rPr>
            </w:pPr>
          </w:p>
        </w:tc>
        <w:tc>
          <w:tcPr>
            <w:tcW w:w="1631" w:type="dxa"/>
            <w:tcBorders>
              <w:left w:val="single" w:sz="6" w:space="0" w:color="auto"/>
              <w:right w:val="single" w:sz="6" w:space="0" w:color="auto"/>
            </w:tcBorders>
            <w:noWrap/>
            <w:vAlign w:val="center"/>
          </w:tcPr>
          <w:p w14:paraId="1F9DC2DB" w14:textId="77777777" w:rsidR="001929CC" w:rsidRDefault="001929CC" w:rsidP="001929CC">
            <w:pPr>
              <w:pStyle w:val="TableText"/>
              <w:snapToGrid w:val="0"/>
              <w:rPr>
                <w:rFonts w:eastAsia="MS PGothic"/>
                <w:lang w:eastAsia="ja-JP"/>
              </w:rPr>
            </w:pPr>
          </w:p>
        </w:tc>
        <w:tc>
          <w:tcPr>
            <w:tcW w:w="850" w:type="dxa"/>
            <w:tcBorders>
              <w:left w:val="single" w:sz="6" w:space="0" w:color="auto"/>
              <w:right w:val="single" w:sz="6" w:space="0" w:color="auto"/>
            </w:tcBorders>
          </w:tcPr>
          <w:p w14:paraId="02491D89" w14:textId="77777777" w:rsidR="001929CC" w:rsidRDefault="001929CC" w:rsidP="001929CC">
            <w:pPr>
              <w:pStyle w:val="TableText"/>
              <w:snapToGrid w:val="0"/>
              <w:rPr>
                <w:rFonts w:eastAsia="MS PGothic"/>
                <w:lang w:eastAsia="ja-JP"/>
              </w:rPr>
            </w:pPr>
            <w:r>
              <w:rPr>
                <w:rFonts w:eastAsia="MS PGothic"/>
                <w:lang w:eastAsia="ja-JP"/>
              </w:rPr>
              <w:t>70%</w:t>
            </w:r>
          </w:p>
        </w:tc>
        <w:tc>
          <w:tcPr>
            <w:tcW w:w="652" w:type="dxa"/>
            <w:tcBorders>
              <w:left w:val="single" w:sz="6" w:space="0" w:color="auto"/>
              <w:right w:val="single" w:sz="6" w:space="0" w:color="auto"/>
            </w:tcBorders>
          </w:tcPr>
          <w:p w14:paraId="49FEB94E" w14:textId="77777777" w:rsidR="001929CC" w:rsidRDefault="001929CC" w:rsidP="001929CC">
            <w:pPr>
              <w:pStyle w:val="TableText"/>
              <w:snapToGrid w:val="0"/>
              <w:rPr>
                <w:rFonts w:eastAsia="MS PGothic"/>
                <w:lang w:eastAsia="ja-JP"/>
              </w:rPr>
            </w:pPr>
          </w:p>
        </w:tc>
        <w:tc>
          <w:tcPr>
            <w:tcW w:w="652" w:type="dxa"/>
            <w:tcBorders>
              <w:left w:val="single" w:sz="6" w:space="0" w:color="auto"/>
              <w:right w:val="single" w:sz="6" w:space="0" w:color="auto"/>
            </w:tcBorders>
          </w:tcPr>
          <w:p w14:paraId="4C17C971" w14:textId="77777777" w:rsidR="001929CC" w:rsidRDefault="001929CC" w:rsidP="001929CC">
            <w:pPr>
              <w:pStyle w:val="TableText"/>
              <w:snapToGrid w:val="0"/>
              <w:rPr>
                <w:rFonts w:eastAsia="MS PGothic"/>
                <w:lang w:eastAsia="ja-JP"/>
              </w:rPr>
            </w:pPr>
          </w:p>
        </w:tc>
        <w:tc>
          <w:tcPr>
            <w:tcW w:w="652" w:type="dxa"/>
            <w:tcBorders>
              <w:left w:val="single" w:sz="6" w:space="0" w:color="auto"/>
              <w:right w:val="single" w:sz="6" w:space="0" w:color="auto"/>
            </w:tcBorders>
          </w:tcPr>
          <w:p w14:paraId="4797D84E" w14:textId="77777777" w:rsidR="001929CC" w:rsidRDefault="001929CC" w:rsidP="001929CC">
            <w:pPr>
              <w:pStyle w:val="TableText"/>
              <w:snapToGrid w:val="0"/>
              <w:rPr>
                <w:rFonts w:eastAsia="MS PGothic"/>
                <w:lang w:eastAsia="ja-JP"/>
              </w:rPr>
            </w:pPr>
          </w:p>
        </w:tc>
        <w:tc>
          <w:tcPr>
            <w:tcW w:w="652" w:type="dxa"/>
            <w:tcBorders>
              <w:left w:val="single" w:sz="6" w:space="0" w:color="auto"/>
              <w:right w:val="single" w:sz="6" w:space="0" w:color="auto"/>
            </w:tcBorders>
          </w:tcPr>
          <w:p w14:paraId="27520387" w14:textId="77777777" w:rsidR="001929CC" w:rsidRDefault="001929CC" w:rsidP="001929CC">
            <w:pPr>
              <w:pStyle w:val="TableText"/>
              <w:snapToGrid w:val="0"/>
              <w:rPr>
                <w:rFonts w:eastAsia="MS PGothic"/>
                <w:lang w:eastAsia="ja-JP"/>
              </w:rPr>
            </w:pPr>
          </w:p>
        </w:tc>
        <w:tc>
          <w:tcPr>
            <w:tcW w:w="652" w:type="dxa"/>
            <w:tcBorders>
              <w:left w:val="single" w:sz="6" w:space="0" w:color="auto"/>
              <w:right w:val="single" w:sz="6" w:space="0" w:color="auto"/>
            </w:tcBorders>
          </w:tcPr>
          <w:p w14:paraId="105E07B2" w14:textId="77777777" w:rsidR="001929CC" w:rsidRDefault="001929CC" w:rsidP="001929CC">
            <w:pPr>
              <w:pStyle w:val="TableText"/>
              <w:snapToGrid w:val="0"/>
              <w:rPr>
                <w:rFonts w:eastAsia="MS PGothic"/>
                <w:lang w:eastAsia="ja-JP"/>
              </w:rPr>
            </w:pPr>
          </w:p>
        </w:tc>
        <w:tc>
          <w:tcPr>
            <w:tcW w:w="992" w:type="dxa"/>
            <w:tcBorders>
              <w:left w:val="single" w:sz="6" w:space="0" w:color="auto"/>
              <w:right w:val="single" w:sz="6" w:space="0" w:color="auto"/>
            </w:tcBorders>
          </w:tcPr>
          <w:p w14:paraId="0259ED3E" w14:textId="77777777" w:rsidR="001929CC" w:rsidRDefault="001929CC" w:rsidP="001929CC">
            <w:pPr>
              <w:pStyle w:val="TableText"/>
              <w:snapToGrid w:val="0"/>
              <w:rPr>
                <w:rFonts w:eastAsia="MS PGothic"/>
                <w:lang w:eastAsia="ja-JP"/>
              </w:rPr>
            </w:pPr>
          </w:p>
        </w:tc>
        <w:tc>
          <w:tcPr>
            <w:tcW w:w="993" w:type="dxa"/>
            <w:tcBorders>
              <w:left w:val="single" w:sz="6" w:space="0" w:color="auto"/>
              <w:right w:val="single" w:sz="4" w:space="0" w:color="auto"/>
            </w:tcBorders>
          </w:tcPr>
          <w:p w14:paraId="4EEF1221" w14:textId="77777777" w:rsidR="001929CC" w:rsidRDefault="001929CC" w:rsidP="001929CC">
            <w:pPr>
              <w:pStyle w:val="TableText"/>
              <w:snapToGrid w:val="0"/>
              <w:rPr>
                <w:rFonts w:eastAsia="MS PGothic"/>
                <w:lang w:eastAsia="ja-JP"/>
              </w:rPr>
            </w:pPr>
          </w:p>
        </w:tc>
      </w:tr>
      <w:tr w:rsidR="001929CC" w14:paraId="20E94770" w14:textId="77777777" w:rsidTr="001929CC">
        <w:trPr>
          <w:trHeight w:val="210"/>
        </w:trPr>
        <w:tc>
          <w:tcPr>
            <w:tcW w:w="1461" w:type="dxa"/>
            <w:tcBorders>
              <w:left w:val="nil"/>
              <w:right w:val="single" w:sz="6" w:space="0" w:color="auto"/>
            </w:tcBorders>
            <w:noWrap/>
            <w:vAlign w:val="center"/>
          </w:tcPr>
          <w:p w14:paraId="7CA7CFFB" w14:textId="77777777" w:rsidR="001929CC" w:rsidRDefault="001929CC" w:rsidP="001929CC">
            <w:pPr>
              <w:pStyle w:val="TableText"/>
              <w:snapToGrid w:val="0"/>
              <w:rPr>
                <w:rFonts w:eastAsia="MS PGothic"/>
                <w:lang w:eastAsia="ja-JP"/>
              </w:rPr>
            </w:pPr>
            <w:r>
              <w:rPr>
                <w:rFonts w:eastAsia="MS PGothic"/>
                <w:lang w:eastAsia="ja-JP"/>
              </w:rPr>
              <w:t>Good^</w:t>
            </w:r>
          </w:p>
        </w:tc>
        <w:tc>
          <w:tcPr>
            <w:tcW w:w="3066" w:type="dxa"/>
            <w:tcBorders>
              <w:left w:val="single" w:sz="6" w:space="0" w:color="auto"/>
              <w:right w:val="single" w:sz="6" w:space="0" w:color="auto"/>
            </w:tcBorders>
            <w:noWrap/>
            <w:vAlign w:val="center"/>
          </w:tcPr>
          <w:p w14:paraId="4CE2C9B8" w14:textId="77777777" w:rsidR="001929CC" w:rsidRDefault="001929CC" w:rsidP="001929CC">
            <w:pPr>
              <w:pStyle w:val="TableText"/>
              <w:snapToGrid w:val="0"/>
              <w:rPr>
                <w:rFonts w:eastAsia="MS PGothic"/>
                <w:lang w:eastAsia="ja-JP"/>
              </w:rPr>
            </w:pPr>
            <w:r>
              <w:rPr>
                <w:rFonts w:eastAsia="MS PGothic"/>
                <w:lang w:eastAsia="ja-JP"/>
              </w:rPr>
              <w:t>Less than 2.5 years</w:t>
            </w:r>
          </w:p>
        </w:tc>
        <w:tc>
          <w:tcPr>
            <w:tcW w:w="1630" w:type="dxa"/>
            <w:tcBorders>
              <w:left w:val="single" w:sz="6" w:space="0" w:color="auto"/>
              <w:right w:val="single" w:sz="6" w:space="0" w:color="auto"/>
            </w:tcBorders>
            <w:noWrap/>
            <w:vAlign w:val="center"/>
          </w:tcPr>
          <w:p w14:paraId="3361634C" w14:textId="77777777" w:rsidR="001929CC" w:rsidRDefault="001929CC" w:rsidP="001929CC">
            <w:pPr>
              <w:pStyle w:val="TableText"/>
              <w:snapToGrid w:val="0"/>
              <w:rPr>
                <w:rFonts w:eastAsia="MS PGothic"/>
                <w:lang w:eastAsia="ja-JP"/>
              </w:rPr>
            </w:pPr>
          </w:p>
        </w:tc>
        <w:tc>
          <w:tcPr>
            <w:tcW w:w="1631" w:type="dxa"/>
            <w:tcBorders>
              <w:left w:val="single" w:sz="6" w:space="0" w:color="auto"/>
              <w:right w:val="single" w:sz="6" w:space="0" w:color="auto"/>
            </w:tcBorders>
            <w:noWrap/>
            <w:vAlign w:val="center"/>
          </w:tcPr>
          <w:p w14:paraId="3A2B3114" w14:textId="77777777" w:rsidR="001929CC" w:rsidRDefault="001929CC" w:rsidP="001929CC">
            <w:pPr>
              <w:pStyle w:val="TableText"/>
              <w:snapToGrid w:val="0"/>
              <w:rPr>
                <w:rFonts w:eastAsia="MS PGothic"/>
                <w:lang w:eastAsia="ja-JP"/>
              </w:rPr>
            </w:pPr>
          </w:p>
        </w:tc>
        <w:tc>
          <w:tcPr>
            <w:tcW w:w="850" w:type="dxa"/>
            <w:tcBorders>
              <w:left w:val="single" w:sz="6" w:space="0" w:color="auto"/>
              <w:right w:val="single" w:sz="6" w:space="0" w:color="auto"/>
            </w:tcBorders>
          </w:tcPr>
          <w:p w14:paraId="26069745" w14:textId="77777777" w:rsidR="001929CC" w:rsidRDefault="001929CC" w:rsidP="001929CC">
            <w:pPr>
              <w:pStyle w:val="TableText"/>
              <w:snapToGrid w:val="0"/>
              <w:rPr>
                <w:rFonts w:eastAsia="MS PGothic"/>
                <w:lang w:eastAsia="ja-JP"/>
              </w:rPr>
            </w:pPr>
            <w:r>
              <w:rPr>
                <w:rFonts w:eastAsia="MS PGothic"/>
                <w:lang w:eastAsia="ja-JP"/>
              </w:rPr>
              <w:t>70%</w:t>
            </w:r>
          </w:p>
        </w:tc>
        <w:tc>
          <w:tcPr>
            <w:tcW w:w="652" w:type="dxa"/>
            <w:tcBorders>
              <w:left w:val="single" w:sz="6" w:space="0" w:color="auto"/>
              <w:right w:val="single" w:sz="6" w:space="0" w:color="auto"/>
            </w:tcBorders>
          </w:tcPr>
          <w:p w14:paraId="65E60516" w14:textId="77777777" w:rsidR="001929CC" w:rsidRDefault="001929CC" w:rsidP="001929CC">
            <w:pPr>
              <w:pStyle w:val="TableText"/>
              <w:snapToGrid w:val="0"/>
              <w:rPr>
                <w:rFonts w:eastAsia="MS PGothic"/>
                <w:lang w:eastAsia="ja-JP"/>
              </w:rPr>
            </w:pPr>
          </w:p>
        </w:tc>
        <w:tc>
          <w:tcPr>
            <w:tcW w:w="652" w:type="dxa"/>
            <w:tcBorders>
              <w:left w:val="single" w:sz="6" w:space="0" w:color="auto"/>
              <w:right w:val="single" w:sz="6" w:space="0" w:color="auto"/>
            </w:tcBorders>
          </w:tcPr>
          <w:p w14:paraId="445E00B9" w14:textId="77777777" w:rsidR="001929CC" w:rsidRDefault="001929CC" w:rsidP="001929CC">
            <w:pPr>
              <w:pStyle w:val="TableText"/>
              <w:snapToGrid w:val="0"/>
              <w:rPr>
                <w:rFonts w:eastAsia="MS PGothic"/>
                <w:lang w:eastAsia="ja-JP"/>
              </w:rPr>
            </w:pPr>
          </w:p>
        </w:tc>
        <w:tc>
          <w:tcPr>
            <w:tcW w:w="652" w:type="dxa"/>
            <w:tcBorders>
              <w:left w:val="single" w:sz="6" w:space="0" w:color="auto"/>
              <w:right w:val="single" w:sz="6" w:space="0" w:color="auto"/>
            </w:tcBorders>
          </w:tcPr>
          <w:p w14:paraId="654E89FA" w14:textId="77777777" w:rsidR="001929CC" w:rsidRDefault="001929CC" w:rsidP="001929CC">
            <w:pPr>
              <w:pStyle w:val="TableText"/>
              <w:snapToGrid w:val="0"/>
              <w:rPr>
                <w:rFonts w:eastAsia="MS PGothic"/>
                <w:lang w:eastAsia="ja-JP"/>
              </w:rPr>
            </w:pPr>
          </w:p>
        </w:tc>
        <w:tc>
          <w:tcPr>
            <w:tcW w:w="652" w:type="dxa"/>
            <w:tcBorders>
              <w:left w:val="single" w:sz="6" w:space="0" w:color="auto"/>
              <w:right w:val="single" w:sz="6" w:space="0" w:color="auto"/>
            </w:tcBorders>
          </w:tcPr>
          <w:p w14:paraId="111034AF" w14:textId="77777777" w:rsidR="001929CC" w:rsidRDefault="001929CC" w:rsidP="001929CC">
            <w:pPr>
              <w:pStyle w:val="TableText"/>
              <w:snapToGrid w:val="0"/>
              <w:rPr>
                <w:rFonts w:eastAsia="MS PGothic"/>
                <w:lang w:eastAsia="ja-JP"/>
              </w:rPr>
            </w:pPr>
          </w:p>
        </w:tc>
        <w:tc>
          <w:tcPr>
            <w:tcW w:w="652" w:type="dxa"/>
            <w:tcBorders>
              <w:left w:val="single" w:sz="6" w:space="0" w:color="auto"/>
              <w:right w:val="single" w:sz="6" w:space="0" w:color="auto"/>
            </w:tcBorders>
          </w:tcPr>
          <w:p w14:paraId="35C1D087" w14:textId="77777777" w:rsidR="001929CC" w:rsidRDefault="001929CC" w:rsidP="001929CC">
            <w:pPr>
              <w:pStyle w:val="TableText"/>
              <w:snapToGrid w:val="0"/>
              <w:rPr>
                <w:rFonts w:eastAsia="MS PGothic"/>
                <w:lang w:eastAsia="ja-JP"/>
              </w:rPr>
            </w:pPr>
          </w:p>
        </w:tc>
        <w:tc>
          <w:tcPr>
            <w:tcW w:w="992" w:type="dxa"/>
            <w:tcBorders>
              <w:left w:val="single" w:sz="6" w:space="0" w:color="auto"/>
              <w:right w:val="single" w:sz="6" w:space="0" w:color="auto"/>
            </w:tcBorders>
          </w:tcPr>
          <w:p w14:paraId="6769924C" w14:textId="77777777" w:rsidR="001929CC" w:rsidRDefault="001929CC" w:rsidP="001929CC">
            <w:pPr>
              <w:pStyle w:val="TableText"/>
              <w:snapToGrid w:val="0"/>
              <w:rPr>
                <w:rFonts w:eastAsia="MS PGothic"/>
                <w:lang w:eastAsia="ja-JP"/>
              </w:rPr>
            </w:pPr>
          </w:p>
        </w:tc>
        <w:tc>
          <w:tcPr>
            <w:tcW w:w="993" w:type="dxa"/>
            <w:tcBorders>
              <w:left w:val="single" w:sz="6" w:space="0" w:color="auto"/>
              <w:right w:val="single" w:sz="4" w:space="0" w:color="auto"/>
            </w:tcBorders>
          </w:tcPr>
          <w:p w14:paraId="581E63D8" w14:textId="77777777" w:rsidR="001929CC" w:rsidRDefault="001929CC" w:rsidP="001929CC">
            <w:pPr>
              <w:pStyle w:val="TableText"/>
              <w:snapToGrid w:val="0"/>
              <w:rPr>
                <w:rFonts w:eastAsia="MS PGothic"/>
                <w:lang w:eastAsia="ja-JP"/>
              </w:rPr>
            </w:pPr>
          </w:p>
        </w:tc>
      </w:tr>
      <w:tr w:rsidR="001929CC" w14:paraId="1EE44E0D" w14:textId="77777777" w:rsidTr="001929CC">
        <w:trPr>
          <w:trHeight w:val="210"/>
        </w:trPr>
        <w:tc>
          <w:tcPr>
            <w:tcW w:w="1461" w:type="dxa"/>
            <w:tcBorders>
              <w:left w:val="nil"/>
              <w:right w:val="single" w:sz="6" w:space="0" w:color="auto"/>
            </w:tcBorders>
            <w:noWrap/>
            <w:vAlign w:val="center"/>
          </w:tcPr>
          <w:p w14:paraId="306651BB" w14:textId="77777777" w:rsidR="001929CC" w:rsidRDefault="001929CC" w:rsidP="001929CC">
            <w:pPr>
              <w:pStyle w:val="TableText"/>
              <w:snapToGrid w:val="0"/>
              <w:rPr>
                <w:rFonts w:eastAsia="MS PGothic"/>
                <w:lang w:eastAsia="ja-JP"/>
              </w:rPr>
            </w:pPr>
            <w:r>
              <w:rPr>
                <w:rFonts w:eastAsia="MS PGothic"/>
                <w:lang w:eastAsia="ja-JP"/>
              </w:rPr>
              <w:t>Good</w:t>
            </w:r>
          </w:p>
        </w:tc>
        <w:tc>
          <w:tcPr>
            <w:tcW w:w="3066" w:type="dxa"/>
            <w:tcBorders>
              <w:left w:val="single" w:sz="6" w:space="0" w:color="auto"/>
              <w:bottom w:val="single" w:sz="6" w:space="0" w:color="BCBDBC"/>
              <w:right w:val="single" w:sz="6" w:space="0" w:color="auto"/>
            </w:tcBorders>
            <w:noWrap/>
            <w:vAlign w:val="center"/>
          </w:tcPr>
          <w:p w14:paraId="605A35B1" w14:textId="77777777" w:rsidR="001929CC" w:rsidRDefault="001929CC" w:rsidP="001929CC">
            <w:pPr>
              <w:pStyle w:val="TableText"/>
              <w:snapToGrid w:val="0"/>
              <w:rPr>
                <w:rFonts w:eastAsia="MS PGothic"/>
                <w:lang w:eastAsia="ja-JP"/>
              </w:rPr>
            </w:pPr>
            <w:r>
              <w:rPr>
                <w:rFonts w:eastAsia="MS PGothic"/>
                <w:lang w:eastAsia="ja-JP"/>
              </w:rPr>
              <w:t>Equal to or more than 2.5 years</w:t>
            </w:r>
          </w:p>
        </w:tc>
        <w:tc>
          <w:tcPr>
            <w:tcW w:w="1630" w:type="dxa"/>
            <w:tcBorders>
              <w:left w:val="single" w:sz="6" w:space="0" w:color="auto"/>
              <w:right w:val="single" w:sz="6" w:space="0" w:color="auto"/>
            </w:tcBorders>
            <w:noWrap/>
            <w:vAlign w:val="center"/>
          </w:tcPr>
          <w:p w14:paraId="7FCAC16E" w14:textId="77777777" w:rsidR="001929CC" w:rsidRDefault="001929CC" w:rsidP="001929CC">
            <w:pPr>
              <w:pStyle w:val="TableText"/>
              <w:snapToGrid w:val="0"/>
              <w:rPr>
                <w:rFonts w:eastAsia="MS PGothic"/>
                <w:lang w:eastAsia="ja-JP"/>
              </w:rPr>
            </w:pPr>
          </w:p>
        </w:tc>
        <w:tc>
          <w:tcPr>
            <w:tcW w:w="1631" w:type="dxa"/>
            <w:tcBorders>
              <w:left w:val="single" w:sz="6" w:space="0" w:color="auto"/>
              <w:right w:val="single" w:sz="6" w:space="0" w:color="auto"/>
            </w:tcBorders>
            <w:noWrap/>
            <w:vAlign w:val="center"/>
          </w:tcPr>
          <w:p w14:paraId="206B9C03" w14:textId="77777777" w:rsidR="001929CC" w:rsidRDefault="001929CC" w:rsidP="001929CC">
            <w:pPr>
              <w:pStyle w:val="TableText"/>
              <w:snapToGrid w:val="0"/>
              <w:rPr>
                <w:rFonts w:eastAsia="MS PGothic"/>
                <w:lang w:eastAsia="ja-JP"/>
              </w:rPr>
            </w:pPr>
          </w:p>
        </w:tc>
        <w:tc>
          <w:tcPr>
            <w:tcW w:w="850" w:type="dxa"/>
            <w:tcBorders>
              <w:left w:val="single" w:sz="6" w:space="0" w:color="auto"/>
              <w:right w:val="single" w:sz="6" w:space="0" w:color="auto"/>
            </w:tcBorders>
          </w:tcPr>
          <w:p w14:paraId="5B4CED17" w14:textId="77777777" w:rsidR="001929CC" w:rsidRDefault="001929CC" w:rsidP="001929CC">
            <w:pPr>
              <w:pStyle w:val="TableText"/>
              <w:snapToGrid w:val="0"/>
              <w:rPr>
                <w:rFonts w:eastAsia="MS PGothic"/>
                <w:lang w:eastAsia="ja-JP"/>
              </w:rPr>
            </w:pPr>
            <w:r>
              <w:rPr>
                <w:rFonts w:eastAsia="MS PGothic"/>
                <w:lang w:eastAsia="ja-JP"/>
              </w:rPr>
              <w:t>90%</w:t>
            </w:r>
          </w:p>
        </w:tc>
        <w:tc>
          <w:tcPr>
            <w:tcW w:w="652" w:type="dxa"/>
            <w:tcBorders>
              <w:left w:val="single" w:sz="6" w:space="0" w:color="auto"/>
              <w:right w:val="single" w:sz="6" w:space="0" w:color="auto"/>
            </w:tcBorders>
          </w:tcPr>
          <w:p w14:paraId="31306891" w14:textId="77777777" w:rsidR="001929CC" w:rsidRDefault="001929CC" w:rsidP="001929CC">
            <w:pPr>
              <w:pStyle w:val="TableText"/>
              <w:snapToGrid w:val="0"/>
              <w:rPr>
                <w:rFonts w:eastAsia="MS PGothic"/>
                <w:lang w:eastAsia="ja-JP"/>
              </w:rPr>
            </w:pPr>
          </w:p>
        </w:tc>
        <w:tc>
          <w:tcPr>
            <w:tcW w:w="652" w:type="dxa"/>
            <w:tcBorders>
              <w:left w:val="single" w:sz="6" w:space="0" w:color="auto"/>
              <w:right w:val="single" w:sz="6" w:space="0" w:color="auto"/>
            </w:tcBorders>
          </w:tcPr>
          <w:p w14:paraId="29285B05" w14:textId="77777777" w:rsidR="001929CC" w:rsidRDefault="001929CC" w:rsidP="001929CC">
            <w:pPr>
              <w:pStyle w:val="TableText"/>
              <w:snapToGrid w:val="0"/>
              <w:rPr>
                <w:rFonts w:eastAsia="MS PGothic"/>
                <w:lang w:eastAsia="ja-JP"/>
              </w:rPr>
            </w:pPr>
          </w:p>
        </w:tc>
        <w:tc>
          <w:tcPr>
            <w:tcW w:w="652" w:type="dxa"/>
            <w:tcBorders>
              <w:left w:val="single" w:sz="6" w:space="0" w:color="auto"/>
              <w:right w:val="single" w:sz="6" w:space="0" w:color="auto"/>
            </w:tcBorders>
          </w:tcPr>
          <w:p w14:paraId="0C388837" w14:textId="77777777" w:rsidR="001929CC" w:rsidRDefault="001929CC" w:rsidP="001929CC">
            <w:pPr>
              <w:pStyle w:val="TableText"/>
              <w:snapToGrid w:val="0"/>
              <w:rPr>
                <w:rFonts w:eastAsia="MS PGothic"/>
                <w:lang w:eastAsia="ja-JP"/>
              </w:rPr>
            </w:pPr>
          </w:p>
        </w:tc>
        <w:tc>
          <w:tcPr>
            <w:tcW w:w="652" w:type="dxa"/>
            <w:tcBorders>
              <w:left w:val="single" w:sz="6" w:space="0" w:color="auto"/>
              <w:right w:val="single" w:sz="6" w:space="0" w:color="auto"/>
            </w:tcBorders>
          </w:tcPr>
          <w:p w14:paraId="6FCE5EB3" w14:textId="77777777" w:rsidR="001929CC" w:rsidRDefault="001929CC" w:rsidP="001929CC">
            <w:pPr>
              <w:pStyle w:val="TableText"/>
              <w:snapToGrid w:val="0"/>
              <w:rPr>
                <w:rFonts w:eastAsia="MS PGothic"/>
                <w:lang w:eastAsia="ja-JP"/>
              </w:rPr>
            </w:pPr>
          </w:p>
        </w:tc>
        <w:tc>
          <w:tcPr>
            <w:tcW w:w="652" w:type="dxa"/>
            <w:tcBorders>
              <w:left w:val="single" w:sz="6" w:space="0" w:color="auto"/>
              <w:right w:val="single" w:sz="6" w:space="0" w:color="auto"/>
            </w:tcBorders>
          </w:tcPr>
          <w:p w14:paraId="5B13E61F" w14:textId="77777777" w:rsidR="001929CC" w:rsidRDefault="001929CC" w:rsidP="001929CC">
            <w:pPr>
              <w:pStyle w:val="TableText"/>
              <w:snapToGrid w:val="0"/>
              <w:rPr>
                <w:rFonts w:eastAsia="MS PGothic"/>
                <w:lang w:eastAsia="ja-JP"/>
              </w:rPr>
            </w:pPr>
          </w:p>
        </w:tc>
        <w:tc>
          <w:tcPr>
            <w:tcW w:w="992" w:type="dxa"/>
            <w:tcBorders>
              <w:left w:val="single" w:sz="6" w:space="0" w:color="auto"/>
              <w:right w:val="single" w:sz="6" w:space="0" w:color="auto"/>
            </w:tcBorders>
          </w:tcPr>
          <w:p w14:paraId="25701F16" w14:textId="77777777" w:rsidR="001929CC" w:rsidRDefault="001929CC" w:rsidP="001929CC">
            <w:pPr>
              <w:pStyle w:val="TableText"/>
              <w:snapToGrid w:val="0"/>
              <w:rPr>
                <w:rFonts w:eastAsia="MS PGothic"/>
                <w:lang w:eastAsia="ja-JP"/>
              </w:rPr>
            </w:pPr>
          </w:p>
        </w:tc>
        <w:tc>
          <w:tcPr>
            <w:tcW w:w="993" w:type="dxa"/>
            <w:tcBorders>
              <w:left w:val="single" w:sz="6" w:space="0" w:color="auto"/>
              <w:right w:val="single" w:sz="4" w:space="0" w:color="auto"/>
            </w:tcBorders>
          </w:tcPr>
          <w:p w14:paraId="59655114" w14:textId="77777777" w:rsidR="001929CC" w:rsidRDefault="001929CC" w:rsidP="001929CC">
            <w:pPr>
              <w:pStyle w:val="TableText"/>
              <w:snapToGrid w:val="0"/>
              <w:rPr>
                <w:rFonts w:eastAsia="MS PGothic"/>
                <w:lang w:eastAsia="ja-JP"/>
              </w:rPr>
            </w:pPr>
          </w:p>
        </w:tc>
      </w:tr>
      <w:tr w:rsidR="001929CC" w14:paraId="1297581B" w14:textId="77777777" w:rsidTr="001929CC">
        <w:trPr>
          <w:trHeight w:val="210"/>
        </w:trPr>
        <w:tc>
          <w:tcPr>
            <w:tcW w:w="1461" w:type="dxa"/>
            <w:tcBorders>
              <w:left w:val="nil"/>
              <w:right w:val="single" w:sz="6" w:space="0" w:color="auto"/>
            </w:tcBorders>
            <w:noWrap/>
            <w:vAlign w:val="center"/>
          </w:tcPr>
          <w:p w14:paraId="3792FDC6" w14:textId="77777777" w:rsidR="001929CC" w:rsidRDefault="001929CC" w:rsidP="001929CC">
            <w:pPr>
              <w:pStyle w:val="TableText"/>
              <w:snapToGrid w:val="0"/>
              <w:rPr>
                <w:rFonts w:eastAsia="MS PGothic"/>
                <w:lang w:eastAsia="ja-JP"/>
              </w:rPr>
            </w:pPr>
            <w:r>
              <w:rPr>
                <w:rFonts w:eastAsia="MS PGothic"/>
                <w:lang w:eastAsia="ja-JP"/>
              </w:rPr>
              <w:t>Satisfactory</w:t>
            </w:r>
          </w:p>
        </w:tc>
        <w:tc>
          <w:tcPr>
            <w:tcW w:w="3066" w:type="dxa"/>
            <w:tcBorders>
              <w:top w:val="single" w:sz="6" w:space="0" w:color="BCBDBC"/>
              <w:left w:val="single" w:sz="6" w:space="0" w:color="auto"/>
              <w:bottom w:val="single" w:sz="6" w:space="0" w:color="BCBDBC"/>
              <w:right w:val="single" w:sz="6" w:space="0" w:color="auto"/>
            </w:tcBorders>
            <w:shd w:val="clear" w:color="auto" w:fill="BFBFBF"/>
            <w:noWrap/>
            <w:vAlign w:val="center"/>
          </w:tcPr>
          <w:p w14:paraId="1D1E5F7C" w14:textId="77777777" w:rsidR="001929CC" w:rsidRDefault="001929CC" w:rsidP="001929CC">
            <w:pPr>
              <w:pStyle w:val="TableText"/>
              <w:snapToGrid w:val="0"/>
              <w:rPr>
                <w:rFonts w:eastAsia="MS PGothic"/>
                <w:lang w:eastAsia="ja-JP"/>
              </w:rPr>
            </w:pPr>
          </w:p>
        </w:tc>
        <w:tc>
          <w:tcPr>
            <w:tcW w:w="1630" w:type="dxa"/>
            <w:tcBorders>
              <w:left w:val="single" w:sz="6" w:space="0" w:color="auto"/>
              <w:right w:val="single" w:sz="6" w:space="0" w:color="auto"/>
            </w:tcBorders>
            <w:noWrap/>
            <w:vAlign w:val="center"/>
          </w:tcPr>
          <w:p w14:paraId="3141E79F" w14:textId="77777777" w:rsidR="001929CC" w:rsidRDefault="001929CC" w:rsidP="001929CC">
            <w:pPr>
              <w:pStyle w:val="TableText"/>
              <w:snapToGrid w:val="0"/>
              <w:rPr>
                <w:rFonts w:eastAsia="MS PGothic"/>
                <w:lang w:eastAsia="ja-JP"/>
              </w:rPr>
            </w:pPr>
          </w:p>
        </w:tc>
        <w:tc>
          <w:tcPr>
            <w:tcW w:w="1631" w:type="dxa"/>
            <w:tcBorders>
              <w:left w:val="single" w:sz="6" w:space="0" w:color="auto"/>
              <w:right w:val="single" w:sz="6" w:space="0" w:color="auto"/>
            </w:tcBorders>
            <w:noWrap/>
            <w:vAlign w:val="center"/>
          </w:tcPr>
          <w:p w14:paraId="485F94DB" w14:textId="77777777" w:rsidR="001929CC" w:rsidRDefault="001929CC" w:rsidP="001929CC">
            <w:pPr>
              <w:pStyle w:val="TableText"/>
              <w:snapToGrid w:val="0"/>
              <w:rPr>
                <w:rFonts w:eastAsia="MS PGothic"/>
                <w:lang w:eastAsia="ja-JP"/>
              </w:rPr>
            </w:pPr>
          </w:p>
        </w:tc>
        <w:tc>
          <w:tcPr>
            <w:tcW w:w="850" w:type="dxa"/>
            <w:tcBorders>
              <w:left w:val="single" w:sz="6" w:space="0" w:color="auto"/>
              <w:right w:val="single" w:sz="6" w:space="0" w:color="auto"/>
            </w:tcBorders>
          </w:tcPr>
          <w:p w14:paraId="15DE6416" w14:textId="77777777" w:rsidR="001929CC" w:rsidRDefault="001929CC" w:rsidP="001929CC">
            <w:pPr>
              <w:pStyle w:val="TableText"/>
              <w:snapToGrid w:val="0"/>
              <w:rPr>
                <w:rFonts w:eastAsia="MS PGothic"/>
                <w:lang w:eastAsia="ja-JP"/>
              </w:rPr>
            </w:pPr>
            <w:r>
              <w:rPr>
                <w:rFonts w:eastAsia="MS PGothic"/>
                <w:lang w:eastAsia="ja-JP"/>
              </w:rPr>
              <w:t>115%</w:t>
            </w:r>
          </w:p>
        </w:tc>
        <w:tc>
          <w:tcPr>
            <w:tcW w:w="652" w:type="dxa"/>
            <w:tcBorders>
              <w:left w:val="single" w:sz="6" w:space="0" w:color="auto"/>
              <w:right w:val="single" w:sz="6" w:space="0" w:color="auto"/>
            </w:tcBorders>
          </w:tcPr>
          <w:p w14:paraId="0FB26142" w14:textId="77777777" w:rsidR="001929CC" w:rsidRDefault="001929CC" w:rsidP="001929CC">
            <w:pPr>
              <w:pStyle w:val="TableText"/>
              <w:snapToGrid w:val="0"/>
              <w:rPr>
                <w:rFonts w:eastAsia="MS PGothic"/>
                <w:lang w:eastAsia="ja-JP"/>
              </w:rPr>
            </w:pPr>
          </w:p>
        </w:tc>
        <w:tc>
          <w:tcPr>
            <w:tcW w:w="652" w:type="dxa"/>
            <w:tcBorders>
              <w:left w:val="single" w:sz="6" w:space="0" w:color="auto"/>
              <w:right w:val="single" w:sz="6" w:space="0" w:color="auto"/>
            </w:tcBorders>
          </w:tcPr>
          <w:p w14:paraId="4949DC78" w14:textId="77777777" w:rsidR="001929CC" w:rsidRDefault="001929CC" w:rsidP="001929CC">
            <w:pPr>
              <w:pStyle w:val="TableText"/>
              <w:snapToGrid w:val="0"/>
              <w:rPr>
                <w:rFonts w:eastAsia="MS PGothic"/>
                <w:lang w:eastAsia="ja-JP"/>
              </w:rPr>
            </w:pPr>
          </w:p>
        </w:tc>
        <w:tc>
          <w:tcPr>
            <w:tcW w:w="652" w:type="dxa"/>
            <w:tcBorders>
              <w:left w:val="single" w:sz="6" w:space="0" w:color="auto"/>
              <w:right w:val="single" w:sz="6" w:space="0" w:color="auto"/>
            </w:tcBorders>
          </w:tcPr>
          <w:p w14:paraId="319BC9FA" w14:textId="77777777" w:rsidR="001929CC" w:rsidRDefault="001929CC" w:rsidP="001929CC">
            <w:pPr>
              <w:pStyle w:val="TableText"/>
              <w:snapToGrid w:val="0"/>
              <w:rPr>
                <w:rFonts w:eastAsia="MS PGothic"/>
                <w:lang w:eastAsia="ja-JP"/>
              </w:rPr>
            </w:pPr>
          </w:p>
        </w:tc>
        <w:tc>
          <w:tcPr>
            <w:tcW w:w="652" w:type="dxa"/>
            <w:tcBorders>
              <w:left w:val="single" w:sz="6" w:space="0" w:color="auto"/>
              <w:right w:val="single" w:sz="6" w:space="0" w:color="auto"/>
            </w:tcBorders>
          </w:tcPr>
          <w:p w14:paraId="40A04241" w14:textId="77777777" w:rsidR="001929CC" w:rsidRDefault="001929CC" w:rsidP="001929CC">
            <w:pPr>
              <w:pStyle w:val="TableText"/>
              <w:snapToGrid w:val="0"/>
              <w:rPr>
                <w:rFonts w:eastAsia="MS PGothic"/>
                <w:lang w:eastAsia="ja-JP"/>
              </w:rPr>
            </w:pPr>
          </w:p>
        </w:tc>
        <w:tc>
          <w:tcPr>
            <w:tcW w:w="652" w:type="dxa"/>
            <w:tcBorders>
              <w:left w:val="single" w:sz="6" w:space="0" w:color="auto"/>
              <w:right w:val="single" w:sz="6" w:space="0" w:color="auto"/>
            </w:tcBorders>
          </w:tcPr>
          <w:p w14:paraId="5F1A878F" w14:textId="77777777" w:rsidR="001929CC" w:rsidRDefault="001929CC" w:rsidP="001929CC">
            <w:pPr>
              <w:pStyle w:val="TableText"/>
              <w:snapToGrid w:val="0"/>
              <w:rPr>
                <w:rFonts w:eastAsia="MS PGothic"/>
                <w:lang w:eastAsia="ja-JP"/>
              </w:rPr>
            </w:pPr>
          </w:p>
        </w:tc>
        <w:tc>
          <w:tcPr>
            <w:tcW w:w="992" w:type="dxa"/>
            <w:tcBorders>
              <w:left w:val="single" w:sz="6" w:space="0" w:color="auto"/>
              <w:right w:val="single" w:sz="6" w:space="0" w:color="auto"/>
            </w:tcBorders>
          </w:tcPr>
          <w:p w14:paraId="17CF71E3" w14:textId="77777777" w:rsidR="001929CC" w:rsidRDefault="001929CC" w:rsidP="001929CC">
            <w:pPr>
              <w:pStyle w:val="TableText"/>
              <w:snapToGrid w:val="0"/>
              <w:rPr>
                <w:rFonts w:eastAsia="MS PGothic"/>
                <w:lang w:eastAsia="ja-JP"/>
              </w:rPr>
            </w:pPr>
          </w:p>
        </w:tc>
        <w:tc>
          <w:tcPr>
            <w:tcW w:w="993" w:type="dxa"/>
            <w:tcBorders>
              <w:left w:val="single" w:sz="6" w:space="0" w:color="auto"/>
              <w:right w:val="single" w:sz="4" w:space="0" w:color="auto"/>
            </w:tcBorders>
          </w:tcPr>
          <w:p w14:paraId="0C50CB63" w14:textId="77777777" w:rsidR="001929CC" w:rsidRDefault="001929CC" w:rsidP="001929CC">
            <w:pPr>
              <w:pStyle w:val="TableText"/>
              <w:snapToGrid w:val="0"/>
              <w:rPr>
                <w:rFonts w:eastAsia="MS PGothic"/>
                <w:lang w:eastAsia="ja-JP"/>
              </w:rPr>
            </w:pPr>
          </w:p>
        </w:tc>
      </w:tr>
      <w:tr w:rsidR="001929CC" w14:paraId="3B5EB2C4" w14:textId="77777777" w:rsidTr="001929CC">
        <w:trPr>
          <w:trHeight w:val="210"/>
        </w:trPr>
        <w:tc>
          <w:tcPr>
            <w:tcW w:w="1461" w:type="dxa"/>
            <w:tcBorders>
              <w:left w:val="nil"/>
              <w:right w:val="single" w:sz="6" w:space="0" w:color="auto"/>
            </w:tcBorders>
            <w:noWrap/>
            <w:vAlign w:val="center"/>
          </w:tcPr>
          <w:p w14:paraId="531BADB1" w14:textId="77777777" w:rsidR="001929CC" w:rsidRDefault="001929CC" w:rsidP="001929CC">
            <w:pPr>
              <w:pStyle w:val="TableText"/>
              <w:snapToGrid w:val="0"/>
              <w:rPr>
                <w:rFonts w:eastAsia="MS PGothic"/>
                <w:lang w:eastAsia="ja-JP"/>
              </w:rPr>
            </w:pPr>
            <w:r>
              <w:rPr>
                <w:rFonts w:eastAsia="MS PGothic"/>
                <w:lang w:eastAsia="ja-JP"/>
              </w:rPr>
              <w:t>Weak</w:t>
            </w:r>
          </w:p>
        </w:tc>
        <w:tc>
          <w:tcPr>
            <w:tcW w:w="3066" w:type="dxa"/>
            <w:tcBorders>
              <w:top w:val="single" w:sz="6" w:space="0" w:color="BCBDBC"/>
              <w:left w:val="single" w:sz="6" w:space="0" w:color="auto"/>
              <w:bottom w:val="single" w:sz="6" w:space="0" w:color="BCBDBC"/>
              <w:right w:val="single" w:sz="6" w:space="0" w:color="auto"/>
            </w:tcBorders>
            <w:shd w:val="clear" w:color="auto" w:fill="BFBFBF"/>
            <w:noWrap/>
            <w:vAlign w:val="center"/>
          </w:tcPr>
          <w:p w14:paraId="67E34DBE" w14:textId="77777777" w:rsidR="001929CC" w:rsidRDefault="001929CC" w:rsidP="001929CC">
            <w:pPr>
              <w:pStyle w:val="TableText"/>
              <w:snapToGrid w:val="0"/>
              <w:rPr>
                <w:rFonts w:eastAsia="MS PGothic"/>
                <w:lang w:eastAsia="ja-JP"/>
              </w:rPr>
            </w:pPr>
          </w:p>
        </w:tc>
        <w:tc>
          <w:tcPr>
            <w:tcW w:w="1630" w:type="dxa"/>
            <w:tcBorders>
              <w:left w:val="single" w:sz="6" w:space="0" w:color="auto"/>
              <w:bottom w:val="single" w:sz="4" w:space="0" w:color="BCBDBC"/>
              <w:right w:val="single" w:sz="6" w:space="0" w:color="auto"/>
            </w:tcBorders>
            <w:noWrap/>
            <w:vAlign w:val="center"/>
          </w:tcPr>
          <w:p w14:paraId="162A6830" w14:textId="77777777" w:rsidR="001929CC" w:rsidRDefault="001929CC" w:rsidP="001929CC">
            <w:pPr>
              <w:pStyle w:val="TableText"/>
              <w:snapToGrid w:val="0"/>
              <w:rPr>
                <w:rFonts w:eastAsia="MS PGothic"/>
                <w:lang w:eastAsia="ja-JP"/>
              </w:rPr>
            </w:pPr>
          </w:p>
        </w:tc>
        <w:tc>
          <w:tcPr>
            <w:tcW w:w="1631" w:type="dxa"/>
            <w:tcBorders>
              <w:left w:val="single" w:sz="6" w:space="0" w:color="auto"/>
              <w:bottom w:val="single" w:sz="4" w:space="0" w:color="BCBDBC"/>
              <w:right w:val="single" w:sz="6" w:space="0" w:color="auto"/>
            </w:tcBorders>
            <w:noWrap/>
            <w:vAlign w:val="center"/>
          </w:tcPr>
          <w:p w14:paraId="73EBBE12" w14:textId="77777777" w:rsidR="001929CC" w:rsidRDefault="001929CC" w:rsidP="001929CC">
            <w:pPr>
              <w:pStyle w:val="TableText"/>
              <w:snapToGrid w:val="0"/>
              <w:rPr>
                <w:rFonts w:eastAsia="MS PGothic"/>
                <w:lang w:eastAsia="ja-JP"/>
              </w:rPr>
            </w:pPr>
          </w:p>
        </w:tc>
        <w:tc>
          <w:tcPr>
            <w:tcW w:w="850" w:type="dxa"/>
            <w:tcBorders>
              <w:left w:val="single" w:sz="6" w:space="0" w:color="auto"/>
              <w:bottom w:val="single" w:sz="4" w:space="0" w:color="BCBDBC"/>
              <w:right w:val="single" w:sz="6" w:space="0" w:color="auto"/>
            </w:tcBorders>
          </w:tcPr>
          <w:p w14:paraId="35E7A111" w14:textId="77777777" w:rsidR="001929CC" w:rsidRDefault="001929CC" w:rsidP="001929CC">
            <w:pPr>
              <w:pStyle w:val="TableText"/>
              <w:snapToGrid w:val="0"/>
              <w:rPr>
                <w:rFonts w:eastAsia="MS PGothic"/>
                <w:lang w:eastAsia="ja-JP"/>
              </w:rPr>
            </w:pPr>
            <w:r>
              <w:rPr>
                <w:rFonts w:eastAsia="MS PGothic"/>
                <w:lang w:eastAsia="ja-JP"/>
              </w:rPr>
              <w:t>250%</w:t>
            </w:r>
          </w:p>
        </w:tc>
        <w:tc>
          <w:tcPr>
            <w:tcW w:w="652" w:type="dxa"/>
            <w:tcBorders>
              <w:left w:val="single" w:sz="6" w:space="0" w:color="auto"/>
              <w:bottom w:val="single" w:sz="4" w:space="0" w:color="BCBDBC"/>
              <w:right w:val="single" w:sz="6" w:space="0" w:color="auto"/>
            </w:tcBorders>
          </w:tcPr>
          <w:p w14:paraId="121ACBA4" w14:textId="77777777" w:rsidR="001929CC" w:rsidRDefault="001929CC" w:rsidP="001929CC">
            <w:pPr>
              <w:pStyle w:val="TableText"/>
              <w:snapToGrid w:val="0"/>
              <w:rPr>
                <w:rFonts w:eastAsia="MS PGothic"/>
                <w:lang w:eastAsia="ja-JP"/>
              </w:rPr>
            </w:pPr>
          </w:p>
        </w:tc>
        <w:tc>
          <w:tcPr>
            <w:tcW w:w="652" w:type="dxa"/>
            <w:tcBorders>
              <w:left w:val="single" w:sz="6" w:space="0" w:color="auto"/>
              <w:bottom w:val="single" w:sz="4" w:space="0" w:color="BCBDBC"/>
              <w:right w:val="single" w:sz="6" w:space="0" w:color="auto"/>
            </w:tcBorders>
          </w:tcPr>
          <w:p w14:paraId="29030A7A" w14:textId="77777777" w:rsidR="001929CC" w:rsidRDefault="001929CC" w:rsidP="001929CC">
            <w:pPr>
              <w:pStyle w:val="TableText"/>
              <w:snapToGrid w:val="0"/>
              <w:rPr>
                <w:rFonts w:eastAsia="MS PGothic"/>
                <w:lang w:eastAsia="ja-JP"/>
              </w:rPr>
            </w:pPr>
          </w:p>
        </w:tc>
        <w:tc>
          <w:tcPr>
            <w:tcW w:w="652" w:type="dxa"/>
            <w:tcBorders>
              <w:left w:val="single" w:sz="6" w:space="0" w:color="auto"/>
              <w:bottom w:val="single" w:sz="4" w:space="0" w:color="BCBDBC"/>
              <w:right w:val="single" w:sz="6" w:space="0" w:color="auto"/>
            </w:tcBorders>
          </w:tcPr>
          <w:p w14:paraId="74B5B120" w14:textId="77777777" w:rsidR="001929CC" w:rsidRDefault="001929CC" w:rsidP="001929CC">
            <w:pPr>
              <w:pStyle w:val="TableText"/>
              <w:snapToGrid w:val="0"/>
              <w:rPr>
                <w:rFonts w:eastAsia="MS PGothic"/>
                <w:lang w:eastAsia="ja-JP"/>
              </w:rPr>
            </w:pPr>
          </w:p>
        </w:tc>
        <w:tc>
          <w:tcPr>
            <w:tcW w:w="652" w:type="dxa"/>
            <w:tcBorders>
              <w:left w:val="single" w:sz="6" w:space="0" w:color="auto"/>
              <w:bottom w:val="single" w:sz="4" w:space="0" w:color="BCBDBC"/>
              <w:right w:val="single" w:sz="6" w:space="0" w:color="auto"/>
            </w:tcBorders>
          </w:tcPr>
          <w:p w14:paraId="79590B69" w14:textId="77777777" w:rsidR="001929CC" w:rsidRDefault="001929CC" w:rsidP="001929CC">
            <w:pPr>
              <w:pStyle w:val="TableText"/>
              <w:snapToGrid w:val="0"/>
              <w:rPr>
                <w:rFonts w:eastAsia="MS PGothic"/>
                <w:lang w:eastAsia="ja-JP"/>
              </w:rPr>
            </w:pPr>
          </w:p>
        </w:tc>
        <w:tc>
          <w:tcPr>
            <w:tcW w:w="652" w:type="dxa"/>
            <w:tcBorders>
              <w:left w:val="single" w:sz="6" w:space="0" w:color="auto"/>
              <w:bottom w:val="single" w:sz="4" w:space="0" w:color="BCBDBC"/>
              <w:right w:val="single" w:sz="6" w:space="0" w:color="auto"/>
            </w:tcBorders>
          </w:tcPr>
          <w:p w14:paraId="6817C5D6" w14:textId="77777777" w:rsidR="001929CC" w:rsidRDefault="001929CC" w:rsidP="001929CC">
            <w:pPr>
              <w:pStyle w:val="TableText"/>
              <w:snapToGrid w:val="0"/>
              <w:rPr>
                <w:rFonts w:eastAsia="MS PGothic"/>
                <w:lang w:eastAsia="ja-JP"/>
              </w:rPr>
            </w:pPr>
          </w:p>
        </w:tc>
        <w:tc>
          <w:tcPr>
            <w:tcW w:w="992" w:type="dxa"/>
            <w:tcBorders>
              <w:left w:val="single" w:sz="6" w:space="0" w:color="auto"/>
              <w:bottom w:val="single" w:sz="4" w:space="0" w:color="BCBDBC"/>
              <w:right w:val="single" w:sz="6" w:space="0" w:color="auto"/>
            </w:tcBorders>
          </w:tcPr>
          <w:p w14:paraId="730D84F8" w14:textId="77777777" w:rsidR="001929CC" w:rsidRDefault="001929CC" w:rsidP="001929CC">
            <w:pPr>
              <w:pStyle w:val="TableText"/>
              <w:snapToGrid w:val="0"/>
              <w:rPr>
                <w:rFonts w:eastAsia="MS PGothic"/>
                <w:lang w:eastAsia="ja-JP"/>
              </w:rPr>
            </w:pPr>
          </w:p>
        </w:tc>
        <w:tc>
          <w:tcPr>
            <w:tcW w:w="993" w:type="dxa"/>
            <w:tcBorders>
              <w:left w:val="single" w:sz="6" w:space="0" w:color="auto"/>
              <w:bottom w:val="single" w:sz="4" w:space="0" w:color="BCBDBC"/>
              <w:right w:val="single" w:sz="4" w:space="0" w:color="auto"/>
            </w:tcBorders>
          </w:tcPr>
          <w:p w14:paraId="68B32350" w14:textId="77777777" w:rsidR="001929CC" w:rsidRDefault="001929CC" w:rsidP="001929CC">
            <w:pPr>
              <w:pStyle w:val="TableText"/>
              <w:snapToGrid w:val="0"/>
              <w:rPr>
                <w:rFonts w:eastAsia="MS PGothic"/>
                <w:lang w:eastAsia="ja-JP"/>
              </w:rPr>
            </w:pPr>
          </w:p>
        </w:tc>
      </w:tr>
      <w:tr w:rsidR="001929CC" w14:paraId="37B1334C" w14:textId="77777777" w:rsidTr="001929CC">
        <w:trPr>
          <w:trHeight w:val="210"/>
        </w:trPr>
        <w:tc>
          <w:tcPr>
            <w:tcW w:w="1461" w:type="dxa"/>
            <w:tcBorders>
              <w:left w:val="nil"/>
              <w:right w:val="single" w:sz="6" w:space="0" w:color="auto"/>
            </w:tcBorders>
            <w:noWrap/>
            <w:vAlign w:val="center"/>
          </w:tcPr>
          <w:p w14:paraId="3AFCE8F6" w14:textId="77777777" w:rsidR="001929CC" w:rsidRDefault="001929CC" w:rsidP="001929CC">
            <w:pPr>
              <w:pStyle w:val="TableText"/>
              <w:snapToGrid w:val="0"/>
              <w:rPr>
                <w:rFonts w:eastAsia="MS PGothic"/>
                <w:lang w:eastAsia="ja-JP"/>
              </w:rPr>
            </w:pPr>
            <w:r>
              <w:rPr>
                <w:rFonts w:eastAsia="MS PGothic"/>
                <w:lang w:eastAsia="ja-JP"/>
              </w:rPr>
              <w:t>Default</w:t>
            </w:r>
          </w:p>
        </w:tc>
        <w:tc>
          <w:tcPr>
            <w:tcW w:w="3066" w:type="dxa"/>
            <w:tcBorders>
              <w:top w:val="single" w:sz="6" w:space="0" w:color="BCBDBC"/>
              <w:left w:val="single" w:sz="6" w:space="0" w:color="auto"/>
              <w:bottom w:val="single" w:sz="6" w:space="0" w:color="BCBDBC"/>
              <w:right w:val="single" w:sz="6" w:space="0" w:color="auto"/>
            </w:tcBorders>
            <w:shd w:val="clear" w:color="auto" w:fill="BFBFBF"/>
            <w:noWrap/>
            <w:vAlign w:val="center"/>
          </w:tcPr>
          <w:p w14:paraId="13820474" w14:textId="77777777" w:rsidR="001929CC" w:rsidRDefault="001929CC" w:rsidP="001929CC">
            <w:pPr>
              <w:pStyle w:val="TableText"/>
              <w:snapToGrid w:val="0"/>
              <w:rPr>
                <w:rFonts w:eastAsia="MS PGothic"/>
                <w:lang w:eastAsia="ja-JP"/>
              </w:rPr>
            </w:pPr>
          </w:p>
        </w:tc>
        <w:tc>
          <w:tcPr>
            <w:tcW w:w="1630" w:type="dxa"/>
            <w:tcBorders>
              <w:top w:val="single" w:sz="4" w:space="0" w:color="BCBDBC"/>
              <w:left w:val="single" w:sz="6" w:space="0" w:color="auto"/>
              <w:bottom w:val="single" w:sz="4" w:space="0" w:color="BCBDBC"/>
              <w:right w:val="single" w:sz="6" w:space="0" w:color="auto"/>
            </w:tcBorders>
            <w:noWrap/>
            <w:vAlign w:val="center"/>
          </w:tcPr>
          <w:p w14:paraId="7DF19CDF" w14:textId="77777777" w:rsidR="001929CC" w:rsidRDefault="001929CC" w:rsidP="001929CC">
            <w:pPr>
              <w:pStyle w:val="TableText"/>
              <w:snapToGrid w:val="0"/>
              <w:rPr>
                <w:rFonts w:eastAsia="MS PGothic"/>
                <w:lang w:eastAsia="ja-JP"/>
              </w:rPr>
            </w:pPr>
          </w:p>
        </w:tc>
        <w:tc>
          <w:tcPr>
            <w:tcW w:w="1631" w:type="dxa"/>
            <w:tcBorders>
              <w:top w:val="single" w:sz="4" w:space="0" w:color="BCBDBC"/>
              <w:left w:val="single" w:sz="6" w:space="0" w:color="auto"/>
              <w:bottom w:val="single" w:sz="4" w:space="0" w:color="BCBDBC"/>
              <w:right w:val="single" w:sz="6" w:space="0" w:color="auto"/>
            </w:tcBorders>
            <w:noWrap/>
            <w:vAlign w:val="center"/>
          </w:tcPr>
          <w:p w14:paraId="391C02D6" w14:textId="77777777" w:rsidR="001929CC" w:rsidRDefault="001929CC" w:rsidP="001929CC">
            <w:pPr>
              <w:pStyle w:val="TableText"/>
              <w:snapToGrid w:val="0"/>
              <w:rPr>
                <w:rFonts w:eastAsia="MS PGothic"/>
                <w:lang w:eastAsia="ja-JP"/>
              </w:rPr>
            </w:pPr>
          </w:p>
        </w:tc>
        <w:tc>
          <w:tcPr>
            <w:tcW w:w="850" w:type="dxa"/>
            <w:tcBorders>
              <w:top w:val="single" w:sz="4" w:space="0" w:color="BCBDBC"/>
              <w:left w:val="single" w:sz="6" w:space="0" w:color="auto"/>
              <w:bottom w:val="single" w:sz="4" w:space="0" w:color="BCBDBC"/>
              <w:right w:val="single" w:sz="6" w:space="0" w:color="auto"/>
            </w:tcBorders>
          </w:tcPr>
          <w:p w14:paraId="02A58DE8" w14:textId="77777777" w:rsidR="001929CC" w:rsidRDefault="001929CC" w:rsidP="001929CC">
            <w:pPr>
              <w:pStyle w:val="TableText"/>
              <w:snapToGrid w:val="0"/>
              <w:rPr>
                <w:rFonts w:eastAsia="MS PGothic"/>
                <w:lang w:eastAsia="ja-JP"/>
              </w:rPr>
            </w:pPr>
            <w:r>
              <w:rPr>
                <w:rFonts w:eastAsia="MS PGothic"/>
                <w:lang w:eastAsia="ja-JP"/>
              </w:rPr>
              <w:t>0%</w:t>
            </w:r>
          </w:p>
        </w:tc>
        <w:tc>
          <w:tcPr>
            <w:tcW w:w="652" w:type="dxa"/>
            <w:tcBorders>
              <w:top w:val="single" w:sz="4" w:space="0" w:color="BCBDBC"/>
              <w:left w:val="single" w:sz="6" w:space="0" w:color="auto"/>
              <w:bottom w:val="single" w:sz="4" w:space="0" w:color="BCBDBC"/>
              <w:right w:val="single" w:sz="6" w:space="0" w:color="auto"/>
            </w:tcBorders>
          </w:tcPr>
          <w:p w14:paraId="2441BFAB" w14:textId="77777777" w:rsidR="001929CC" w:rsidRDefault="001929CC" w:rsidP="001929CC">
            <w:pPr>
              <w:pStyle w:val="TableText"/>
              <w:snapToGrid w:val="0"/>
              <w:rPr>
                <w:rFonts w:eastAsia="MS PGothic"/>
                <w:lang w:eastAsia="ja-JP"/>
              </w:rPr>
            </w:pPr>
          </w:p>
        </w:tc>
        <w:tc>
          <w:tcPr>
            <w:tcW w:w="652" w:type="dxa"/>
            <w:tcBorders>
              <w:top w:val="single" w:sz="4" w:space="0" w:color="BCBDBC"/>
              <w:left w:val="single" w:sz="6" w:space="0" w:color="auto"/>
              <w:bottom w:val="single" w:sz="4" w:space="0" w:color="BCBDBC"/>
              <w:right w:val="single" w:sz="6" w:space="0" w:color="auto"/>
            </w:tcBorders>
          </w:tcPr>
          <w:p w14:paraId="0962DA6B" w14:textId="77777777" w:rsidR="001929CC" w:rsidRDefault="001929CC" w:rsidP="001929CC">
            <w:pPr>
              <w:pStyle w:val="TableText"/>
              <w:snapToGrid w:val="0"/>
              <w:rPr>
                <w:rFonts w:eastAsia="MS PGothic"/>
                <w:lang w:eastAsia="ja-JP"/>
              </w:rPr>
            </w:pPr>
          </w:p>
        </w:tc>
        <w:tc>
          <w:tcPr>
            <w:tcW w:w="652" w:type="dxa"/>
            <w:tcBorders>
              <w:top w:val="single" w:sz="4" w:space="0" w:color="BCBDBC"/>
              <w:left w:val="single" w:sz="6" w:space="0" w:color="auto"/>
              <w:bottom w:val="single" w:sz="4" w:space="0" w:color="BCBDBC"/>
              <w:right w:val="single" w:sz="6" w:space="0" w:color="auto"/>
            </w:tcBorders>
          </w:tcPr>
          <w:p w14:paraId="3061F671" w14:textId="77777777" w:rsidR="001929CC" w:rsidRDefault="001929CC" w:rsidP="001929CC">
            <w:pPr>
              <w:pStyle w:val="TableText"/>
              <w:snapToGrid w:val="0"/>
              <w:rPr>
                <w:rFonts w:eastAsia="MS PGothic"/>
                <w:lang w:eastAsia="ja-JP"/>
              </w:rPr>
            </w:pPr>
          </w:p>
        </w:tc>
        <w:tc>
          <w:tcPr>
            <w:tcW w:w="652" w:type="dxa"/>
            <w:tcBorders>
              <w:top w:val="single" w:sz="4" w:space="0" w:color="BCBDBC"/>
              <w:left w:val="single" w:sz="6" w:space="0" w:color="auto"/>
              <w:bottom w:val="single" w:sz="4" w:space="0" w:color="BCBDBC"/>
              <w:right w:val="single" w:sz="6" w:space="0" w:color="auto"/>
            </w:tcBorders>
          </w:tcPr>
          <w:p w14:paraId="3938100A" w14:textId="77777777" w:rsidR="001929CC" w:rsidRDefault="001929CC" w:rsidP="001929CC">
            <w:pPr>
              <w:pStyle w:val="TableText"/>
              <w:snapToGrid w:val="0"/>
              <w:rPr>
                <w:rFonts w:eastAsia="MS PGothic"/>
                <w:lang w:eastAsia="ja-JP"/>
              </w:rPr>
            </w:pPr>
          </w:p>
        </w:tc>
        <w:tc>
          <w:tcPr>
            <w:tcW w:w="652" w:type="dxa"/>
            <w:tcBorders>
              <w:top w:val="single" w:sz="4" w:space="0" w:color="BCBDBC"/>
              <w:left w:val="single" w:sz="6" w:space="0" w:color="auto"/>
              <w:bottom w:val="single" w:sz="4" w:space="0" w:color="BCBDBC"/>
              <w:right w:val="single" w:sz="6" w:space="0" w:color="auto"/>
            </w:tcBorders>
          </w:tcPr>
          <w:p w14:paraId="36CC11F2" w14:textId="77777777" w:rsidR="001929CC" w:rsidRDefault="001929CC" w:rsidP="001929CC">
            <w:pPr>
              <w:pStyle w:val="TableText"/>
              <w:snapToGrid w:val="0"/>
              <w:rPr>
                <w:rFonts w:eastAsia="MS PGothic"/>
                <w:lang w:eastAsia="ja-JP"/>
              </w:rPr>
            </w:pPr>
          </w:p>
        </w:tc>
        <w:tc>
          <w:tcPr>
            <w:tcW w:w="992" w:type="dxa"/>
            <w:tcBorders>
              <w:top w:val="single" w:sz="4" w:space="0" w:color="BCBDBC"/>
              <w:left w:val="single" w:sz="6" w:space="0" w:color="auto"/>
              <w:bottom w:val="single" w:sz="4" w:space="0" w:color="BCBDBC"/>
              <w:right w:val="single" w:sz="6" w:space="0" w:color="auto"/>
            </w:tcBorders>
          </w:tcPr>
          <w:p w14:paraId="4DD9413D" w14:textId="77777777" w:rsidR="001929CC" w:rsidRDefault="001929CC" w:rsidP="001929CC">
            <w:pPr>
              <w:pStyle w:val="TableText"/>
              <w:snapToGrid w:val="0"/>
              <w:rPr>
                <w:rFonts w:eastAsia="MS PGothic"/>
                <w:lang w:eastAsia="ja-JP"/>
              </w:rPr>
            </w:pPr>
          </w:p>
        </w:tc>
        <w:tc>
          <w:tcPr>
            <w:tcW w:w="993" w:type="dxa"/>
            <w:tcBorders>
              <w:top w:val="single" w:sz="4" w:space="0" w:color="BCBDBC"/>
              <w:left w:val="single" w:sz="6" w:space="0" w:color="auto"/>
              <w:bottom w:val="single" w:sz="4" w:space="0" w:color="BCBDBC"/>
              <w:right w:val="single" w:sz="4" w:space="0" w:color="auto"/>
            </w:tcBorders>
          </w:tcPr>
          <w:p w14:paraId="22A89036" w14:textId="77777777" w:rsidR="001929CC" w:rsidRDefault="001929CC" w:rsidP="001929CC">
            <w:pPr>
              <w:pStyle w:val="TableText"/>
              <w:snapToGrid w:val="0"/>
              <w:rPr>
                <w:rFonts w:eastAsia="MS PGothic"/>
                <w:lang w:eastAsia="ja-JP"/>
              </w:rPr>
            </w:pPr>
          </w:p>
        </w:tc>
      </w:tr>
      <w:tr w:rsidR="001929CC" w14:paraId="421F84E3" w14:textId="77777777" w:rsidTr="001929CC">
        <w:trPr>
          <w:trHeight w:val="225"/>
        </w:trPr>
        <w:tc>
          <w:tcPr>
            <w:tcW w:w="1461" w:type="dxa"/>
            <w:tcBorders>
              <w:left w:val="nil"/>
              <w:bottom w:val="single" w:sz="4" w:space="0" w:color="auto"/>
              <w:right w:val="single" w:sz="6" w:space="0" w:color="auto"/>
            </w:tcBorders>
            <w:noWrap/>
            <w:vAlign w:val="center"/>
          </w:tcPr>
          <w:p w14:paraId="2409AF9F" w14:textId="77777777" w:rsidR="001929CC" w:rsidRDefault="001929CC" w:rsidP="001929CC">
            <w:pPr>
              <w:pStyle w:val="TableText"/>
              <w:snapToGrid w:val="0"/>
              <w:rPr>
                <w:rFonts w:eastAsia="MS PGothic"/>
                <w:lang w:eastAsia="ja-JP"/>
              </w:rPr>
            </w:pPr>
            <w:r>
              <w:rPr>
                <w:rFonts w:eastAsia="MS PGothic"/>
                <w:lang w:eastAsia="ja-JP"/>
              </w:rPr>
              <w:t>Total</w:t>
            </w:r>
          </w:p>
        </w:tc>
        <w:tc>
          <w:tcPr>
            <w:tcW w:w="3066" w:type="dxa"/>
            <w:tcBorders>
              <w:top w:val="single" w:sz="6" w:space="0" w:color="BCBDBC"/>
              <w:left w:val="single" w:sz="6" w:space="0" w:color="auto"/>
              <w:bottom w:val="single" w:sz="4" w:space="0" w:color="auto"/>
              <w:right w:val="single" w:sz="6" w:space="0" w:color="auto"/>
            </w:tcBorders>
            <w:shd w:val="clear" w:color="auto" w:fill="BFBFBF"/>
            <w:noWrap/>
            <w:vAlign w:val="center"/>
          </w:tcPr>
          <w:p w14:paraId="22A32567" w14:textId="77777777" w:rsidR="001929CC" w:rsidRDefault="001929CC" w:rsidP="001929CC">
            <w:pPr>
              <w:pStyle w:val="TableText"/>
              <w:snapToGrid w:val="0"/>
              <w:rPr>
                <w:rFonts w:eastAsia="MS PGothic"/>
                <w:lang w:eastAsia="ja-JP"/>
              </w:rPr>
            </w:pPr>
          </w:p>
        </w:tc>
        <w:tc>
          <w:tcPr>
            <w:tcW w:w="1630" w:type="dxa"/>
            <w:tcBorders>
              <w:top w:val="single" w:sz="4" w:space="0" w:color="BCBDBC"/>
              <w:left w:val="single" w:sz="6" w:space="0" w:color="auto"/>
              <w:bottom w:val="single" w:sz="4" w:space="0" w:color="auto"/>
              <w:right w:val="single" w:sz="6" w:space="0" w:color="auto"/>
            </w:tcBorders>
            <w:noWrap/>
            <w:vAlign w:val="center"/>
          </w:tcPr>
          <w:p w14:paraId="67DEB48F" w14:textId="77777777" w:rsidR="001929CC" w:rsidRDefault="001929CC" w:rsidP="001929CC">
            <w:pPr>
              <w:pStyle w:val="TableText"/>
              <w:snapToGrid w:val="0"/>
              <w:rPr>
                <w:rFonts w:eastAsia="MS PGothic"/>
                <w:lang w:eastAsia="ja-JP"/>
              </w:rPr>
            </w:pPr>
            <w:r>
              <w:rPr>
                <w:rFonts w:eastAsia="MS PGothic"/>
                <w:lang w:eastAsia="ja-JP"/>
              </w:rPr>
              <w:t xml:space="preserve">　</w:t>
            </w:r>
          </w:p>
        </w:tc>
        <w:tc>
          <w:tcPr>
            <w:tcW w:w="1631" w:type="dxa"/>
            <w:tcBorders>
              <w:top w:val="single" w:sz="4" w:space="0" w:color="BCBDBC"/>
              <w:left w:val="single" w:sz="6" w:space="0" w:color="auto"/>
              <w:bottom w:val="single" w:sz="4" w:space="0" w:color="auto"/>
              <w:right w:val="single" w:sz="6" w:space="0" w:color="auto"/>
            </w:tcBorders>
            <w:noWrap/>
            <w:vAlign w:val="center"/>
          </w:tcPr>
          <w:p w14:paraId="65C1D17A" w14:textId="77777777" w:rsidR="001929CC" w:rsidRDefault="001929CC" w:rsidP="001929CC">
            <w:pPr>
              <w:pStyle w:val="TableText"/>
              <w:snapToGrid w:val="0"/>
              <w:rPr>
                <w:rFonts w:eastAsia="MS PGothic"/>
                <w:lang w:eastAsia="ja-JP"/>
              </w:rPr>
            </w:pPr>
          </w:p>
        </w:tc>
        <w:tc>
          <w:tcPr>
            <w:tcW w:w="850" w:type="dxa"/>
            <w:tcBorders>
              <w:top w:val="single" w:sz="4" w:space="0" w:color="BCBDBC"/>
              <w:left w:val="single" w:sz="6" w:space="0" w:color="auto"/>
              <w:bottom w:val="single" w:sz="4" w:space="0" w:color="auto"/>
              <w:right w:val="single" w:sz="6" w:space="0" w:color="auto"/>
            </w:tcBorders>
            <w:shd w:val="clear" w:color="auto" w:fill="BFBFBF"/>
          </w:tcPr>
          <w:p w14:paraId="578E1501" w14:textId="77777777" w:rsidR="001929CC" w:rsidRDefault="001929CC" w:rsidP="001929CC">
            <w:pPr>
              <w:pStyle w:val="TableText"/>
              <w:snapToGrid w:val="0"/>
              <w:rPr>
                <w:rFonts w:eastAsia="MS PGothic"/>
                <w:lang w:eastAsia="ja-JP"/>
              </w:rPr>
            </w:pPr>
          </w:p>
        </w:tc>
        <w:tc>
          <w:tcPr>
            <w:tcW w:w="652" w:type="dxa"/>
            <w:tcBorders>
              <w:top w:val="single" w:sz="4" w:space="0" w:color="BCBDBC"/>
              <w:left w:val="single" w:sz="6" w:space="0" w:color="auto"/>
              <w:bottom w:val="single" w:sz="4" w:space="0" w:color="auto"/>
              <w:right w:val="single" w:sz="6" w:space="0" w:color="auto"/>
            </w:tcBorders>
          </w:tcPr>
          <w:p w14:paraId="00C89F7C" w14:textId="77777777" w:rsidR="001929CC" w:rsidRDefault="001929CC" w:rsidP="001929CC">
            <w:pPr>
              <w:pStyle w:val="TableText"/>
              <w:snapToGrid w:val="0"/>
              <w:rPr>
                <w:rFonts w:eastAsia="MS PGothic"/>
                <w:lang w:eastAsia="ja-JP"/>
              </w:rPr>
            </w:pPr>
          </w:p>
        </w:tc>
        <w:tc>
          <w:tcPr>
            <w:tcW w:w="652" w:type="dxa"/>
            <w:tcBorders>
              <w:top w:val="single" w:sz="4" w:space="0" w:color="BCBDBC"/>
              <w:left w:val="single" w:sz="6" w:space="0" w:color="auto"/>
              <w:bottom w:val="single" w:sz="4" w:space="0" w:color="auto"/>
              <w:right w:val="single" w:sz="6" w:space="0" w:color="auto"/>
            </w:tcBorders>
          </w:tcPr>
          <w:p w14:paraId="2B9AFC8A" w14:textId="77777777" w:rsidR="001929CC" w:rsidRDefault="001929CC" w:rsidP="001929CC">
            <w:pPr>
              <w:pStyle w:val="TableText"/>
              <w:snapToGrid w:val="0"/>
              <w:rPr>
                <w:rFonts w:eastAsia="MS PGothic"/>
                <w:lang w:eastAsia="ja-JP"/>
              </w:rPr>
            </w:pPr>
          </w:p>
        </w:tc>
        <w:tc>
          <w:tcPr>
            <w:tcW w:w="652" w:type="dxa"/>
            <w:tcBorders>
              <w:top w:val="single" w:sz="4" w:space="0" w:color="BCBDBC"/>
              <w:left w:val="single" w:sz="6" w:space="0" w:color="auto"/>
              <w:bottom w:val="single" w:sz="4" w:space="0" w:color="auto"/>
              <w:right w:val="single" w:sz="6" w:space="0" w:color="auto"/>
            </w:tcBorders>
          </w:tcPr>
          <w:p w14:paraId="73D6FF37" w14:textId="77777777" w:rsidR="001929CC" w:rsidRDefault="001929CC" w:rsidP="001929CC">
            <w:pPr>
              <w:pStyle w:val="TableText"/>
              <w:snapToGrid w:val="0"/>
              <w:rPr>
                <w:rFonts w:eastAsia="MS PGothic"/>
                <w:lang w:eastAsia="ja-JP"/>
              </w:rPr>
            </w:pPr>
          </w:p>
        </w:tc>
        <w:tc>
          <w:tcPr>
            <w:tcW w:w="652" w:type="dxa"/>
            <w:tcBorders>
              <w:top w:val="single" w:sz="4" w:space="0" w:color="BCBDBC"/>
              <w:left w:val="single" w:sz="6" w:space="0" w:color="auto"/>
              <w:bottom w:val="single" w:sz="4" w:space="0" w:color="auto"/>
              <w:right w:val="single" w:sz="6" w:space="0" w:color="auto"/>
            </w:tcBorders>
          </w:tcPr>
          <w:p w14:paraId="1A09D875" w14:textId="77777777" w:rsidR="001929CC" w:rsidRDefault="001929CC" w:rsidP="001929CC">
            <w:pPr>
              <w:pStyle w:val="TableText"/>
              <w:snapToGrid w:val="0"/>
              <w:rPr>
                <w:rFonts w:eastAsia="MS PGothic"/>
                <w:lang w:eastAsia="ja-JP"/>
              </w:rPr>
            </w:pPr>
          </w:p>
        </w:tc>
        <w:tc>
          <w:tcPr>
            <w:tcW w:w="652" w:type="dxa"/>
            <w:tcBorders>
              <w:top w:val="single" w:sz="4" w:space="0" w:color="BCBDBC"/>
              <w:left w:val="single" w:sz="6" w:space="0" w:color="auto"/>
              <w:bottom w:val="single" w:sz="4" w:space="0" w:color="auto"/>
              <w:right w:val="single" w:sz="6" w:space="0" w:color="auto"/>
            </w:tcBorders>
          </w:tcPr>
          <w:p w14:paraId="06C1B8EE" w14:textId="77777777" w:rsidR="001929CC" w:rsidRDefault="001929CC" w:rsidP="001929CC">
            <w:pPr>
              <w:pStyle w:val="TableText"/>
              <w:snapToGrid w:val="0"/>
              <w:rPr>
                <w:rFonts w:eastAsia="MS PGothic"/>
                <w:lang w:eastAsia="ja-JP"/>
              </w:rPr>
            </w:pPr>
          </w:p>
        </w:tc>
        <w:tc>
          <w:tcPr>
            <w:tcW w:w="992" w:type="dxa"/>
            <w:tcBorders>
              <w:top w:val="single" w:sz="4" w:space="0" w:color="BCBDBC"/>
              <w:left w:val="single" w:sz="6" w:space="0" w:color="auto"/>
              <w:bottom w:val="single" w:sz="4" w:space="0" w:color="auto"/>
              <w:right w:val="single" w:sz="6" w:space="0" w:color="auto"/>
            </w:tcBorders>
          </w:tcPr>
          <w:p w14:paraId="50E02D52" w14:textId="77777777" w:rsidR="001929CC" w:rsidRDefault="001929CC" w:rsidP="001929CC">
            <w:pPr>
              <w:pStyle w:val="TableText"/>
              <w:snapToGrid w:val="0"/>
              <w:rPr>
                <w:rFonts w:eastAsia="MS PGothic"/>
                <w:lang w:eastAsia="ja-JP"/>
              </w:rPr>
            </w:pPr>
          </w:p>
        </w:tc>
        <w:tc>
          <w:tcPr>
            <w:tcW w:w="993" w:type="dxa"/>
            <w:tcBorders>
              <w:top w:val="single" w:sz="4" w:space="0" w:color="BCBDBC"/>
              <w:left w:val="single" w:sz="6" w:space="0" w:color="auto"/>
              <w:bottom w:val="single" w:sz="4" w:space="0" w:color="auto"/>
              <w:right w:val="single" w:sz="4" w:space="0" w:color="auto"/>
            </w:tcBorders>
          </w:tcPr>
          <w:p w14:paraId="433778BB" w14:textId="77777777" w:rsidR="001929CC" w:rsidRDefault="001929CC" w:rsidP="001929CC">
            <w:pPr>
              <w:pStyle w:val="TableText"/>
              <w:snapToGrid w:val="0"/>
              <w:rPr>
                <w:rFonts w:eastAsia="MS PGothic"/>
                <w:lang w:eastAsia="ja-JP"/>
              </w:rPr>
            </w:pPr>
          </w:p>
        </w:tc>
      </w:tr>
      <w:tr w:rsidR="001929CC" w14:paraId="18D32834" w14:textId="77777777" w:rsidTr="001929CC">
        <w:trPr>
          <w:trHeight w:val="225"/>
        </w:trPr>
        <w:tc>
          <w:tcPr>
            <w:tcW w:w="13883" w:type="dxa"/>
            <w:gridSpan w:val="12"/>
            <w:tcBorders>
              <w:top w:val="single" w:sz="4" w:space="0" w:color="auto"/>
              <w:left w:val="nil"/>
              <w:bottom w:val="single" w:sz="4" w:space="0" w:color="auto"/>
              <w:right w:val="nil"/>
            </w:tcBorders>
            <w:noWrap/>
            <w:vAlign w:val="center"/>
          </w:tcPr>
          <w:p w14:paraId="4E39C1F8" w14:textId="77777777" w:rsidR="001929CC" w:rsidRDefault="001929CC" w:rsidP="001929CC">
            <w:pPr>
              <w:pStyle w:val="TableText"/>
              <w:snapToGrid w:val="0"/>
              <w:rPr>
                <w:rFonts w:eastAsia="MS PGothic"/>
                <w:lang w:eastAsia="ja-JP"/>
              </w:rPr>
            </w:pPr>
            <w:r>
              <w:rPr>
                <w:rFonts w:eastAsia="MS PGothic"/>
                <w:lang w:eastAsia="ja-JP"/>
              </w:rPr>
              <w:t>^ Use of preferential risk-weights.</w:t>
            </w:r>
          </w:p>
        </w:tc>
      </w:tr>
    </w:tbl>
    <w:p w14:paraId="38E8FAEC" w14:textId="77777777" w:rsidR="001929CC" w:rsidRDefault="001929CC" w:rsidP="001929CC">
      <w:pPr>
        <w:spacing w:before="40" w:after="40"/>
        <w:rPr>
          <w:b/>
          <w:sz w:val="17"/>
          <w:lang w:eastAsia="en-GB"/>
        </w:rPr>
      </w:pPr>
    </w:p>
    <w:p w14:paraId="7812D240" w14:textId="77777777" w:rsidR="001929CC" w:rsidRDefault="001929CC" w:rsidP="001929CC">
      <w:pPr>
        <w:pStyle w:val="TableNote"/>
        <w:rPr>
          <w:sz w:val="22"/>
        </w:rPr>
      </w:pP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3466"/>
      </w:tblGrid>
      <w:tr w:rsidR="001929CC" w14:paraId="27B323B3" w14:textId="77777777" w:rsidTr="001929CC">
        <w:trPr>
          <w:cantSplit/>
          <w:tblHeader/>
        </w:trPr>
        <w:tc>
          <w:tcPr>
            <w:tcW w:w="13892" w:type="dxa"/>
            <w:gridSpan w:val="2"/>
            <w:shd w:val="clear" w:color="auto" w:fill="BFBFBF"/>
          </w:tcPr>
          <w:p w14:paraId="0518E919" w14:textId="77777777" w:rsidR="001929CC" w:rsidRDefault="001929CC" w:rsidP="001929CC">
            <w:pPr>
              <w:pStyle w:val="TableNote"/>
              <w:keepNext/>
              <w:spacing w:before="40" w:after="40"/>
              <w:rPr>
                <w:rFonts w:eastAsia="新細明體"/>
                <w:b/>
                <w:sz w:val="17"/>
                <w:szCs w:val="17"/>
                <w:lang w:eastAsia="en-GB"/>
              </w:rPr>
            </w:pPr>
            <w:r>
              <w:rPr>
                <w:rFonts w:eastAsia="新細明體"/>
                <w:b/>
                <w:sz w:val="17"/>
                <w:szCs w:val="17"/>
                <w:lang w:eastAsia="en-GB"/>
              </w:rPr>
              <w:lastRenderedPageBreak/>
              <w:t>Explanatory Note</w:t>
            </w:r>
          </w:p>
        </w:tc>
      </w:tr>
      <w:tr w:rsidR="001929CC" w14:paraId="6116A170" w14:textId="77777777" w:rsidTr="001929CC">
        <w:trPr>
          <w:cantSplit/>
        </w:trPr>
        <w:tc>
          <w:tcPr>
            <w:tcW w:w="13892" w:type="dxa"/>
            <w:gridSpan w:val="2"/>
            <w:shd w:val="clear" w:color="auto" w:fill="F2F2F2"/>
          </w:tcPr>
          <w:p w14:paraId="1E6D45AC" w14:textId="77777777" w:rsidR="001929CC" w:rsidRDefault="001929CC" w:rsidP="001929CC">
            <w:pPr>
              <w:pStyle w:val="TableNote"/>
              <w:keepNext/>
              <w:spacing w:before="40" w:after="40"/>
              <w:rPr>
                <w:i/>
                <w:sz w:val="17"/>
                <w:szCs w:val="17"/>
              </w:rPr>
            </w:pPr>
            <w:r>
              <w:rPr>
                <w:rFonts w:eastAsia="新細明體"/>
                <w:b/>
                <w:sz w:val="17"/>
                <w:szCs w:val="17"/>
                <w:lang w:eastAsia="en-GB"/>
              </w:rPr>
              <w:t>Columns</w:t>
            </w:r>
          </w:p>
        </w:tc>
      </w:tr>
      <w:tr w:rsidR="001929CC" w14:paraId="465E1F3C" w14:textId="77777777" w:rsidTr="001929CC">
        <w:trPr>
          <w:cantSplit/>
        </w:trPr>
        <w:tc>
          <w:tcPr>
            <w:tcW w:w="426" w:type="dxa"/>
          </w:tcPr>
          <w:p w14:paraId="3C3C2A3E"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(a)</w:t>
            </w:r>
          </w:p>
        </w:tc>
        <w:tc>
          <w:tcPr>
            <w:tcW w:w="13466" w:type="dxa"/>
          </w:tcPr>
          <w:p w14:paraId="6B2D5D38" w14:textId="77777777" w:rsidR="001929CC" w:rsidRDefault="001929CC" w:rsidP="001929CC">
            <w:pPr>
              <w:pStyle w:val="TableText"/>
              <w:keepNext/>
              <w:jc w:val="both"/>
              <w:rPr>
                <w:szCs w:val="17"/>
              </w:rPr>
            </w:pPr>
            <w:r>
              <w:rPr>
                <w:rFonts w:eastAsia="新細明體" w:cs="Segoe UI"/>
                <w:i/>
                <w:iCs/>
                <w:color w:val="000000"/>
                <w:szCs w:val="17"/>
                <w:lang w:eastAsia="en-GB"/>
              </w:rPr>
              <w:t>On-balance sheet exposure amount</w:t>
            </w:r>
            <w:r>
              <w:rPr>
                <w:rFonts w:eastAsia="新細明體" w:cs="Segoe UI"/>
                <w:iCs/>
                <w:color w:val="000000"/>
                <w:szCs w:val="17"/>
                <w:lang w:eastAsia="en-GB"/>
              </w:rPr>
              <w:t>:</w:t>
            </w:r>
            <w:r>
              <w:rPr>
                <w:rFonts w:eastAsia="新細明體" w:cs="Segoe UI"/>
                <w:i/>
                <w:iCs/>
                <w:color w:val="000000"/>
                <w:szCs w:val="17"/>
                <w:lang w:eastAsia="en-GB"/>
              </w:rPr>
              <w:t xml:space="preserve"> </w:t>
            </w:r>
            <w:r>
              <w:rPr>
                <w:rFonts w:cs="Segoe UI"/>
                <w:szCs w:val="17"/>
              </w:rPr>
              <w:t>the</w:t>
            </w:r>
            <w:r>
              <w:rPr>
                <w:rFonts w:eastAsia="新細明體" w:cs="Segoe UI"/>
                <w:iCs/>
                <w:color w:val="000000"/>
                <w:szCs w:val="17"/>
                <w:lang w:eastAsia="en-GB"/>
              </w:rPr>
              <w:t xml:space="preserve"> carrying value of exposure (net of allowances and write-offs) under the regulatory scope of consolidation.</w:t>
            </w:r>
          </w:p>
        </w:tc>
      </w:tr>
      <w:tr w:rsidR="001929CC" w14:paraId="6E0DA89B" w14:textId="77777777" w:rsidTr="001929CC">
        <w:trPr>
          <w:cantSplit/>
        </w:trPr>
        <w:tc>
          <w:tcPr>
            <w:tcW w:w="426" w:type="dxa"/>
          </w:tcPr>
          <w:p w14:paraId="23E11E3C"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(b)</w:t>
            </w:r>
          </w:p>
        </w:tc>
        <w:tc>
          <w:tcPr>
            <w:tcW w:w="13466" w:type="dxa"/>
          </w:tcPr>
          <w:p w14:paraId="0E51AAAF" w14:textId="77777777" w:rsidR="001929CC" w:rsidRDefault="001929CC" w:rsidP="001929CC">
            <w:pPr>
              <w:pStyle w:val="TableNote"/>
              <w:keepNext/>
              <w:spacing w:before="40" w:after="40"/>
              <w:rPr>
                <w:sz w:val="17"/>
                <w:szCs w:val="17"/>
              </w:rPr>
            </w:pPr>
            <w:r>
              <w:rPr>
                <w:rFonts w:eastAsia="新細明體" w:cs="Segoe UI"/>
                <w:i/>
                <w:iCs/>
                <w:color w:val="000000"/>
                <w:sz w:val="17"/>
                <w:szCs w:val="17"/>
                <w:lang w:eastAsia="en-GB"/>
              </w:rPr>
              <w:t>Off-balance sheet exposure amount</w:t>
            </w:r>
            <w:r>
              <w:rPr>
                <w:rFonts w:eastAsia="新細明體" w:cs="Segoe UI"/>
                <w:iCs/>
                <w:color w:val="000000"/>
                <w:sz w:val="17"/>
                <w:szCs w:val="17"/>
                <w:lang w:eastAsia="en-GB"/>
              </w:rPr>
              <w:t>: the carrying value of exposure before applying the CCF and the effect of any recognized CRM.</w:t>
            </w:r>
          </w:p>
        </w:tc>
      </w:tr>
      <w:tr w:rsidR="001929CC" w14:paraId="7547DD6A" w14:textId="77777777" w:rsidTr="001929CC">
        <w:trPr>
          <w:cantSplit/>
        </w:trPr>
        <w:tc>
          <w:tcPr>
            <w:tcW w:w="426" w:type="dxa"/>
          </w:tcPr>
          <w:p w14:paraId="1D0A2285"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(c)</w:t>
            </w:r>
          </w:p>
        </w:tc>
        <w:tc>
          <w:tcPr>
            <w:tcW w:w="13466" w:type="dxa"/>
          </w:tcPr>
          <w:p w14:paraId="28DB047C" w14:textId="6BF236F6" w:rsidR="001929CC" w:rsidRDefault="001929CC" w:rsidP="001929CC">
            <w:pPr>
              <w:pStyle w:val="TableNote"/>
              <w:keepNext/>
              <w:spacing w:before="40" w:after="40"/>
              <w:rPr>
                <w:b/>
                <w:sz w:val="17"/>
                <w:szCs w:val="17"/>
                <w:lang w:eastAsia="en-GB"/>
              </w:rPr>
            </w:pPr>
            <w:r>
              <w:rPr>
                <w:rFonts w:eastAsia="新細明體" w:cs="Segoe UI"/>
                <w:i/>
                <w:iCs/>
                <w:color w:val="000000"/>
                <w:sz w:val="17"/>
                <w:szCs w:val="17"/>
                <w:lang w:eastAsia="en-GB"/>
              </w:rPr>
              <w:t>SRW</w:t>
            </w:r>
            <w:r>
              <w:rPr>
                <w:rFonts w:eastAsia="新細明體" w:cs="Segoe UI"/>
                <w:iCs/>
                <w:color w:val="000000"/>
                <w:sz w:val="17"/>
                <w:szCs w:val="17"/>
                <w:lang w:eastAsia="en-GB"/>
              </w:rPr>
              <w:t>: the risk-weights attached to the corresponding supervisory rating grades in accordance with Division 5 (for specialized lending under supervisory slotting criteria approach), Part 6 of the BCR.  The risk-weights in the tables should not be altered.</w:t>
            </w:r>
          </w:p>
        </w:tc>
      </w:tr>
      <w:tr w:rsidR="001929CC" w14:paraId="7E2F0319" w14:textId="77777777" w:rsidTr="001929CC">
        <w:trPr>
          <w:cantSplit/>
        </w:trPr>
        <w:tc>
          <w:tcPr>
            <w:tcW w:w="426" w:type="dxa"/>
          </w:tcPr>
          <w:p w14:paraId="61061993"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(d)</w:t>
            </w:r>
          </w:p>
        </w:tc>
        <w:tc>
          <w:tcPr>
            <w:tcW w:w="13466" w:type="dxa"/>
          </w:tcPr>
          <w:p w14:paraId="42101629" w14:textId="3B66D7D8" w:rsidR="001929CC" w:rsidRDefault="001929CC" w:rsidP="001929CC">
            <w:pPr>
              <w:pStyle w:val="TableNote"/>
              <w:keepNext/>
              <w:spacing w:before="40" w:after="40"/>
              <w:rPr>
                <w:sz w:val="17"/>
                <w:szCs w:val="17"/>
              </w:rPr>
            </w:pPr>
            <w:r>
              <w:rPr>
                <w:rFonts w:eastAsia="新細明體" w:cs="Segoe UI"/>
                <w:i/>
                <w:iCs/>
                <w:color w:val="000000"/>
                <w:sz w:val="17"/>
                <w:szCs w:val="17"/>
                <w:lang w:eastAsia="en-GB"/>
              </w:rPr>
              <w:t>EAD amount</w:t>
            </w:r>
            <w:r>
              <w:rPr>
                <w:rFonts w:eastAsia="新細明體" w:cs="Segoe UI"/>
                <w:iCs/>
                <w:color w:val="000000"/>
                <w:sz w:val="17"/>
                <w:szCs w:val="17"/>
                <w:lang w:eastAsia="en-GB"/>
              </w:rPr>
              <w:t>:</w:t>
            </w:r>
            <w:r>
              <w:rPr>
                <w:rFonts w:eastAsia="新細明體" w:cs="Segoe UI"/>
                <w:i/>
                <w:iCs/>
                <w:color w:val="000000"/>
                <w:sz w:val="17"/>
                <w:szCs w:val="17"/>
                <w:lang w:eastAsia="en-GB"/>
              </w:rPr>
              <w:t xml:space="preserve"> </w:t>
            </w:r>
            <w:r>
              <w:rPr>
                <w:rFonts w:eastAsia="新細明體" w:cs="Segoe UI"/>
                <w:iCs/>
                <w:color w:val="000000"/>
                <w:sz w:val="17"/>
                <w:szCs w:val="17"/>
                <w:lang w:eastAsia="en-GB"/>
              </w:rPr>
              <w:t xml:space="preserve">the amount relevant for the capital requirement’s calculation with the effects of CRM and CCF already taken into account.  For specialized lending other than HVCRE, an AI should provide the exposure amount for: (d)(i) </w:t>
            </w:r>
            <w:r>
              <w:rPr>
                <w:rFonts w:eastAsia="新細明體" w:cs="Segoe UI"/>
                <w:i/>
                <w:iCs/>
                <w:color w:val="000000"/>
                <w:sz w:val="17"/>
                <w:szCs w:val="17"/>
                <w:lang w:eastAsia="en-GB"/>
              </w:rPr>
              <w:t>PF</w:t>
            </w:r>
            <w:r>
              <w:rPr>
                <w:rFonts w:eastAsia="新細明體" w:cs="Segoe UI"/>
                <w:iCs/>
                <w:color w:val="000000"/>
                <w:sz w:val="17"/>
                <w:szCs w:val="17"/>
                <w:lang w:eastAsia="en-GB"/>
              </w:rPr>
              <w:t xml:space="preserve"> – Project finance; (d)(ii) </w:t>
            </w:r>
            <w:r>
              <w:rPr>
                <w:rFonts w:eastAsia="新細明體" w:cs="Segoe UI"/>
                <w:i/>
                <w:iCs/>
                <w:color w:val="000000"/>
                <w:sz w:val="17"/>
                <w:szCs w:val="17"/>
                <w:lang w:eastAsia="en-GB"/>
              </w:rPr>
              <w:t>OF</w:t>
            </w:r>
            <w:r>
              <w:rPr>
                <w:rFonts w:eastAsia="新細明體" w:cs="Segoe UI"/>
                <w:iCs/>
                <w:color w:val="000000"/>
                <w:sz w:val="17"/>
                <w:szCs w:val="17"/>
                <w:lang w:eastAsia="en-GB"/>
              </w:rPr>
              <w:t xml:space="preserve"> – Object finance; (d)(iii) </w:t>
            </w:r>
            <w:r>
              <w:rPr>
                <w:rFonts w:eastAsia="新細明體" w:cs="Segoe UI"/>
                <w:i/>
                <w:iCs/>
                <w:color w:val="000000"/>
                <w:sz w:val="17"/>
                <w:szCs w:val="17"/>
                <w:lang w:eastAsia="en-GB"/>
              </w:rPr>
              <w:t>CF</w:t>
            </w:r>
            <w:r>
              <w:rPr>
                <w:rFonts w:eastAsia="新細明體" w:cs="Segoe UI"/>
                <w:iCs/>
                <w:color w:val="000000"/>
                <w:sz w:val="17"/>
                <w:szCs w:val="17"/>
                <w:lang w:eastAsia="en-GB"/>
              </w:rPr>
              <w:t xml:space="preserve"> – Commodities finance; and (d)(iv) </w:t>
            </w:r>
            <w:r>
              <w:rPr>
                <w:rFonts w:eastAsia="新細明體" w:cs="Segoe UI"/>
                <w:i/>
                <w:iCs/>
                <w:color w:val="000000"/>
                <w:sz w:val="17"/>
                <w:szCs w:val="17"/>
                <w:lang w:eastAsia="en-GB"/>
              </w:rPr>
              <w:t>IPRE</w:t>
            </w:r>
            <w:r>
              <w:rPr>
                <w:rFonts w:eastAsia="新細明體" w:cs="Segoe UI"/>
                <w:iCs/>
                <w:color w:val="000000"/>
                <w:sz w:val="17"/>
                <w:szCs w:val="17"/>
                <w:lang w:eastAsia="en-GB"/>
              </w:rPr>
              <w:t xml:space="preserve"> – Income-producing real estate.  Column (d)(v) is the sum of values reported in columns (d)(i) to (d)(iv).</w:t>
            </w:r>
          </w:p>
        </w:tc>
      </w:tr>
      <w:tr w:rsidR="001929CC" w14:paraId="39D88C74" w14:textId="77777777" w:rsidTr="001929CC">
        <w:trPr>
          <w:cantSplit/>
        </w:trPr>
        <w:tc>
          <w:tcPr>
            <w:tcW w:w="426" w:type="dxa"/>
          </w:tcPr>
          <w:p w14:paraId="6C96DEF9"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(e)</w:t>
            </w:r>
          </w:p>
        </w:tc>
        <w:tc>
          <w:tcPr>
            <w:tcW w:w="13466" w:type="dxa"/>
          </w:tcPr>
          <w:p w14:paraId="72F4F143" w14:textId="2ABA2A96" w:rsidR="001929CC" w:rsidRDefault="001929CC" w:rsidP="001929CC">
            <w:pPr>
              <w:pStyle w:val="TableNote"/>
              <w:keepNext/>
              <w:spacing w:before="40" w:after="40"/>
              <w:rPr>
                <w:sz w:val="17"/>
                <w:szCs w:val="17"/>
                <w:lang w:eastAsia="en-GB"/>
              </w:rPr>
            </w:pPr>
            <w:r>
              <w:rPr>
                <w:i/>
                <w:sz w:val="17"/>
                <w:szCs w:val="17"/>
                <w:lang w:eastAsia="en-GB"/>
              </w:rPr>
              <w:t>RWA</w:t>
            </w:r>
            <w:r>
              <w:rPr>
                <w:sz w:val="17"/>
                <w:szCs w:val="17"/>
                <w:lang w:eastAsia="en-GB"/>
              </w:rPr>
              <w:t>: for s</w:t>
            </w:r>
            <w:r>
              <w:rPr>
                <w:sz w:val="17"/>
                <w:lang w:eastAsia="en-GB"/>
              </w:rPr>
              <w:t>pecialized lending other than</w:t>
            </w:r>
            <w:r>
              <w:rPr>
                <w:sz w:val="17"/>
                <w:szCs w:val="17"/>
                <w:lang w:eastAsia="en-GB"/>
              </w:rPr>
              <w:t xml:space="preserve"> HVCRE, this column equals the product of the values in column (c) and column (d)(v); for s</w:t>
            </w:r>
            <w:r>
              <w:rPr>
                <w:sz w:val="17"/>
                <w:lang w:eastAsia="en-GB"/>
              </w:rPr>
              <w:t>pecialized lending –</w:t>
            </w:r>
            <w:r>
              <w:rPr>
                <w:sz w:val="17"/>
                <w:szCs w:val="17"/>
                <w:lang w:eastAsia="en-GB"/>
              </w:rPr>
              <w:t xml:space="preserve"> HVCRE, this column equals the product of values in column (c) and column (d).</w:t>
            </w:r>
          </w:p>
        </w:tc>
      </w:tr>
      <w:tr w:rsidR="001929CC" w14:paraId="1F85D533" w14:textId="77777777" w:rsidTr="001929CC">
        <w:trPr>
          <w:cantSplit/>
        </w:trPr>
        <w:tc>
          <w:tcPr>
            <w:tcW w:w="426" w:type="dxa"/>
          </w:tcPr>
          <w:p w14:paraId="43911462" w14:textId="77777777" w:rsidR="001929CC" w:rsidRDefault="001929CC" w:rsidP="001929CC">
            <w:pPr>
              <w:pStyle w:val="TableNote"/>
              <w:keepNext/>
              <w:spacing w:before="40" w:after="40"/>
              <w:rPr>
                <w:rFonts w:cs="Segoe UI"/>
                <w:sz w:val="17"/>
                <w:szCs w:val="17"/>
                <w:lang w:eastAsia="en-GB"/>
              </w:rPr>
            </w:pPr>
            <w:r>
              <w:rPr>
                <w:rFonts w:cs="Segoe UI"/>
                <w:sz w:val="17"/>
                <w:szCs w:val="17"/>
                <w:lang w:eastAsia="en-GB"/>
              </w:rPr>
              <w:t>(f)</w:t>
            </w:r>
          </w:p>
        </w:tc>
        <w:tc>
          <w:tcPr>
            <w:tcW w:w="13466" w:type="dxa"/>
          </w:tcPr>
          <w:p w14:paraId="2FC7D010" w14:textId="24E5A5BD" w:rsidR="001929CC" w:rsidRDefault="001929CC" w:rsidP="001929CC">
            <w:pPr>
              <w:pStyle w:val="TableNote"/>
              <w:keepNext/>
              <w:spacing w:before="40" w:after="40"/>
              <w:rPr>
                <w:b/>
                <w:sz w:val="17"/>
                <w:szCs w:val="17"/>
                <w:lang w:eastAsia="en-GB"/>
              </w:rPr>
            </w:pPr>
            <w:r>
              <w:rPr>
                <w:rFonts w:eastAsia="新細明體" w:cs="Segoe UI"/>
                <w:i/>
                <w:iCs/>
                <w:color w:val="000000"/>
                <w:sz w:val="17"/>
                <w:szCs w:val="17"/>
                <w:lang w:eastAsia="en-GB"/>
              </w:rPr>
              <w:t xml:space="preserve">Expected loss amount: </w:t>
            </w:r>
            <w:r>
              <w:rPr>
                <w:rFonts w:eastAsia="新細明體" w:cs="Segoe UI"/>
                <w:iCs/>
                <w:color w:val="000000"/>
                <w:sz w:val="17"/>
                <w:szCs w:val="17"/>
                <w:lang w:eastAsia="en-GB"/>
              </w:rPr>
              <w:t>the amount of expected losses are calculated according to Division 11, Part 6 of the BCR.</w:t>
            </w:r>
          </w:p>
        </w:tc>
      </w:tr>
    </w:tbl>
    <w:p w14:paraId="6C50C1C4" w14:textId="77777777" w:rsidR="001929CC" w:rsidRDefault="001929CC" w:rsidP="001929CC">
      <w:pPr>
        <w:pStyle w:val="TableNote"/>
      </w:pPr>
    </w:p>
    <w:p w14:paraId="71267DE7" w14:textId="77777777" w:rsidR="001929CC" w:rsidRDefault="001929CC" w:rsidP="001929CC">
      <w:pPr>
        <w:pStyle w:val="DDIs1"/>
        <w:tabs>
          <w:tab w:val="left" w:pos="567"/>
        </w:tabs>
        <w:spacing w:before="360" w:after="360"/>
        <w:ind w:left="567" w:hanging="567"/>
        <w:rPr>
          <w:u w:val="single"/>
        </w:rPr>
        <w:sectPr w:rsidR="001929CC">
          <w:footerReference w:type="default" r:id="rId56"/>
          <w:pgSz w:w="16838" w:h="11906" w:orient="landscape" w:code="9"/>
          <w:pgMar w:top="1276" w:right="1440" w:bottom="1418" w:left="1440" w:header="851" w:footer="737" w:gutter="0"/>
          <w:cols w:space="425"/>
          <w:docGrid w:type="linesAndChars" w:linePitch="360"/>
        </w:sectPr>
      </w:pPr>
    </w:p>
    <w:p w14:paraId="5476A5F5" w14:textId="191414E3" w:rsidR="002A0515" w:rsidRDefault="002A0515" w:rsidP="00BC1606">
      <w:pPr>
        <w:keepNext/>
        <w:keepLines/>
        <w:tabs>
          <w:tab w:val="left" w:pos="567"/>
        </w:tabs>
        <w:ind w:left="-454" w:right="-284"/>
        <w:outlineLvl w:val="0"/>
        <w:rPr>
          <w:color w:val="AA322F"/>
          <w:sz w:val="28"/>
        </w:rPr>
      </w:pPr>
      <w:r w:rsidRPr="00476CF1">
        <w:rPr>
          <w:color w:val="AA322F"/>
          <w:sz w:val="28"/>
        </w:rPr>
        <w:lastRenderedPageBreak/>
        <w:t xml:space="preserve">Part IV: Counterparty </w:t>
      </w:r>
      <w:r w:rsidR="00926F7E">
        <w:rPr>
          <w:color w:val="AA322F"/>
          <w:sz w:val="28"/>
        </w:rPr>
        <w:t>c</w:t>
      </w:r>
      <w:r w:rsidRPr="00476CF1">
        <w:rPr>
          <w:color w:val="AA322F"/>
          <w:sz w:val="28"/>
        </w:rPr>
        <w:t>redit risk</w:t>
      </w:r>
    </w:p>
    <w:p w14:paraId="71F53077" w14:textId="77777777" w:rsidR="00A4206B" w:rsidRDefault="00A4206B" w:rsidP="00A4206B"/>
    <w:p w14:paraId="15B5CDA2" w14:textId="275E24C4" w:rsidR="007679A1" w:rsidRPr="007679A1" w:rsidRDefault="007679A1" w:rsidP="007A0A42">
      <w:pPr>
        <w:tabs>
          <w:tab w:val="left" w:pos="794"/>
          <w:tab w:val="left" w:pos="1191"/>
        </w:tabs>
        <w:spacing w:after="120"/>
        <w:ind w:leftChars="-213" w:left="-426"/>
        <w:jc w:val="both"/>
        <w:rPr>
          <w:noProof/>
          <w:lang w:eastAsia="en-GB"/>
        </w:rPr>
      </w:pPr>
      <w:r w:rsidRPr="007679A1">
        <w:rPr>
          <w:noProof/>
          <w:lang w:eastAsia="en-GB"/>
        </w:rPr>
        <w:t xml:space="preserve">Unless the context otherwise requires, the scope of the counterparty credit risk section (Part IV of this document) includes all </w:t>
      </w:r>
      <w:r w:rsidR="002D1B60">
        <w:rPr>
          <w:noProof/>
          <w:lang w:eastAsia="en-GB"/>
        </w:rPr>
        <w:t xml:space="preserve">counterparty credit risk </w:t>
      </w:r>
      <w:r w:rsidRPr="007679A1">
        <w:rPr>
          <w:noProof/>
          <w:lang w:eastAsia="en-GB"/>
        </w:rPr>
        <w:t xml:space="preserve">exposures </w:t>
      </w:r>
      <w:r w:rsidR="002D1B60">
        <w:rPr>
          <w:noProof/>
          <w:lang w:eastAsia="en-GB"/>
        </w:rPr>
        <w:t xml:space="preserve">to CCPs and other counterparties arising from transactions </w:t>
      </w:r>
      <w:r w:rsidRPr="007679A1">
        <w:rPr>
          <w:noProof/>
          <w:lang w:eastAsia="en-GB"/>
        </w:rPr>
        <w:t>in the banking book and trading book</w:t>
      </w:r>
      <w:r w:rsidR="002D1B60">
        <w:rPr>
          <w:noProof/>
          <w:lang w:eastAsia="en-GB"/>
        </w:rPr>
        <w:t>, and exposures in respect of default fund contributions to CCPs,</w:t>
      </w:r>
      <w:r w:rsidRPr="007679A1">
        <w:rPr>
          <w:noProof/>
          <w:lang w:eastAsia="en-GB"/>
        </w:rPr>
        <w:t xml:space="preserve"> that are subject to Part 6A of the BCR.</w:t>
      </w:r>
    </w:p>
    <w:p w14:paraId="5C86E1A1" w14:textId="678A04F7" w:rsidR="008C111F" w:rsidRDefault="008C111F" w:rsidP="008C111F">
      <w:pPr>
        <w:pStyle w:val="Bulletpoint"/>
        <w:numPr>
          <w:ilvl w:val="0"/>
          <w:numId w:val="0"/>
        </w:numPr>
        <w:ind w:leftChars="-283" w:left="-566"/>
      </w:pPr>
    </w:p>
    <w:p w14:paraId="34ED57F0" w14:textId="765B10F0" w:rsidR="00E97392" w:rsidRDefault="00E97392" w:rsidP="00BC1606">
      <w:pPr>
        <w:pStyle w:val="Heading2"/>
        <w:ind w:right="-397"/>
      </w:pPr>
      <w:r>
        <w:t>Table CCRA: Qualitative disclosures related to counterparty credit risk (including those arising from clearing through CCPs)</w:t>
      </w:r>
    </w:p>
    <w:tbl>
      <w:tblPr>
        <w:tblW w:w="9214" w:type="dxa"/>
        <w:tblInd w:w="-567"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116"/>
        <w:gridCol w:w="7098"/>
      </w:tblGrid>
      <w:tr w:rsidR="008C111F" w14:paraId="4E6F0416" w14:textId="77777777" w:rsidTr="00BC1606">
        <w:tc>
          <w:tcPr>
            <w:tcW w:w="2116" w:type="dxa"/>
          </w:tcPr>
          <w:p w14:paraId="530017E2" w14:textId="77777777" w:rsidR="008C111F" w:rsidRDefault="008C111F" w:rsidP="00647044">
            <w:pPr>
              <w:spacing w:before="40" w:after="40"/>
              <w:rPr>
                <w:noProof/>
                <w:sz w:val="17"/>
                <w:lang w:eastAsia="en-GB"/>
              </w:rPr>
            </w:pPr>
            <w:r>
              <w:rPr>
                <w:b/>
                <w:sz w:val="17"/>
                <w:lang w:eastAsia="en-GB"/>
              </w:rPr>
              <w:t>Purpose:</w:t>
            </w:r>
          </w:p>
        </w:tc>
        <w:tc>
          <w:tcPr>
            <w:tcW w:w="7098" w:type="dxa"/>
          </w:tcPr>
          <w:p w14:paraId="45A10CA6" w14:textId="77777777" w:rsidR="008C111F" w:rsidRDefault="008C111F" w:rsidP="00647044">
            <w:pPr>
              <w:pStyle w:val="TableText"/>
              <w:jc w:val="both"/>
              <w:rPr>
                <w:noProof/>
                <w:lang w:eastAsia="en-GB"/>
              </w:rPr>
            </w:pPr>
            <w:r>
              <w:rPr>
                <w:lang w:eastAsia="en-GB"/>
              </w:rPr>
              <w:t>To</w:t>
            </w:r>
            <w:r>
              <w:rPr>
                <w:b/>
                <w:lang w:eastAsia="en-GB"/>
              </w:rPr>
              <w:t xml:space="preserve"> </w:t>
            </w:r>
            <w:r>
              <w:rPr>
                <w:lang w:eastAsia="en-GB"/>
              </w:rPr>
              <w:t>describe the counterparty credit risk management objectives and policies, including, but not limited to, those related to the setting of operating limits, use of guarantees and other forms of CRM, anticipated impacts of own credit rating downgrading.</w:t>
            </w:r>
          </w:p>
        </w:tc>
      </w:tr>
      <w:tr w:rsidR="008C111F" w14:paraId="094D1176" w14:textId="77777777" w:rsidTr="00BC1606">
        <w:tc>
          <w:tcPr>
            <w:tcW w:w="2116" w:type="dxa"/>
          </w:tcPr>
          <w:p w14:paraId="13FC9A49" w14:textId="77777777" w:rsidR="008C111F" w:rsidRDefault="008C111F" w:rsidP="00647044">
            <w:pPr>
              <w:spacing w:before="40" w:after="40"/>
              <w:rPr>
                <w:b/>
                <w:sz w:val="17"/>
                <w:lang w:eastAsia="en-GB"/>
              </w:rPr>
            </w:pPr>
            <w:r>
              <w:rPr>
                <w:b/>
                <w:sz w:val="17"/>
                <w:lang w:eastAsia="en-GB"/>
              </w:rPr>
              <w:t>Scope of application:</w:t>
            </w:r>
          </w:p>
        </w:tc>
        <w:tc>
          <w:tcPr>
            <w:tcW w:w="7098" w:type="dxa"/>
          </w:tcPr>
          <w:p w14:paraId="5CB79146" w14:textId="77777777" w:rsidR="008C111F" w:rsidRDefault="008C111F" w:rsidP="00647044">
            <w:pPr>
              <w:spacing w:before="40" w:after="40"/>
              <w:jc w:val="both"/>
              <w:rPr>
                <w:b/>
                <w:sz w:val="17"/>
                <w:lang w:eastAsia="en-GB"/>
              </w:rPr>
            </w:pPr>
            <w:r>
              <w:rPr>
                <w:sz w:val="17"/>
                <w:lang w:eastAsia="en-GB"/>
              </w:rPr>
              <w:t>The table is mandatory for all AIs</w:t>
            </w:r>
            <w:r>
              <w:t xml:space="preserve"> </w:t>
            </w:r>
            <w:r>
              <w:rPr>
                <w:sz w:val="17"/>
                <w:lang w:eastAsia="en-GB"/>
              </w:rPr>
              <w:t>incorporated in Hong Kong.</w:t>
            </w:r>
          </w:p>
        </w:tc>
      </w:tr>
      <w:tr w:rsidR="008C111F" w14:paraId="355A5CB6" w14:textId="77777777" w:rsidTr="00BC1606">
        <w:tc>
          <w:tcPr>
            <w:tcW w:w="2116" w:type="dxa"/>
          </w:tcPr>
          <w:p w14:paraId="6CA385F9" w14:textId="77777777" w:rsidR="008C111F" w:rsidRDefault="008C111F" w:rsidP="00647044">
            <w:pPr>
              <w:spacing w:before="40" w:after="40"/>
              <w:rPr>
                <w:b/>
                <w:sz w:val="17"/>
                <w:lang w:eastAsia="en-GB"/>
              </w:rPr>
            </w:pPr>
            <w:r>
              <w:rPr>
                <w:b/>
                <w:sz w:val="17"/>
                <w:lang w:eastAsia="en-GB"/>
              </w:rPr>
              <w:t>Content:</w:t>
            </w:r>
          </w:p>
        </w:tc>
        <w:tc>
          <w:tcPr>
            <w:tcW w:w="7098" w:type="dxa"/>
          </w:tcPr>
          <w:p w14:paraId="5857A4CE" w14:textId="77777777" w:rsidR="008C111F" w:rsidRDefault="008C111F" w:rsidP="00647044">
            <w:pPr>
              <w:spacing w:before="40" w:after="40"/>
              <w:jc w:val="both"/>
              <w:rPr>
                <w:b/>
                <w:sz w:val="17"/>
                <w:lang w:eastAsia="en-GB"/>
              </w:rPr>
            </w:pPr>
            <w:r>
              <w:rPr>
                <w:sz w:val="17"/>
                <w:lang w:eastAsia="en-GB"/>
              </w:rPr>
              <w:t>Qualitative information.</w:t>
            </w:r>
          </w:p>
        </w:tc>
      </w:tr>
      <w:tr w:rsidR="008C111F" w14:paraId="7D39EE5E" w14:textId="77777777" w:rsidTr="00BC1606">
        <w:tc>
          <w:tcPr>
            <w:tcW w:w="2116" w:type="dxa"/>
          </w:tcPr>
          <w:p w14:paraId="66A37ED7" w14:textId="77777777" w:rsidR="008C111F" w:rsidRDefault="008C111F" w:rsidP="00647044">
            <w:pPr>
              <w:spacing w:before="40" w:after="40"/>
              <w:rPr>
                <w:sz w:val="17"/>
                <w:lang w:eastAsia="en-GB"/>
              </w:rPr>
            </w:pPr>
            <w:r>
              <w:rPr>
                <w:b/>
                <w:sz w:val="17"/>
                <w:lang w:eastAsia="en-GB"/>
              </w:rPr>
              <w:t>Frequency:</w:t>
            </w:r>
          </w:p>
        </w:tc>
        <w:tc>
          <w:tcPr>
            <w:tcW w:w="7098" w:type="dxa"/>
          </w:tcPr>
          <w:p w14:paraId="2945FE4F" w14:textId="77777777" w:rsidR="008C111F" w:rsidRDefault="008C111F" w:rsidP="00647044">
            <w:pPr>
              <w:pStyle w:val="TableText"/>
              <w:jc w:val="both"/>
              <w:rPr>
                <w:lang w:eastAsia="en-GB"/>
              </w:rPr>
            </w:pPr>
            <w:r>
              <w:rPr>
                <w:lang w:eastAsia="en-GB"/>
              </w:rPr>
              <w:t>Annual.</w:t>
            </w:r>
          </w:p>
        </w:tc>
      </w:tr>
      <w:tr w:rsidR="008C111F" w14:paraId="552D9610" w14:textId="77777777" w:rsidTr="00BC1606">
        <w:tc>
          <w:tcPr>
            <w:tcW w:w="2116" w:type="dxa"/>
          </w:tcPr>
          <w:p w14:paraId="327A8BE7" w14:textId="77777777" w:rsidR="008C111F" w:rsidRDefault="008C111F" w:rsidP="00647044">
            <w:pPr>
              <w:spacing w:before="40" w:after="40"/>
              <w:rPr>
                <w:sz w:val="17"/>
                <w:lang w:eastAsia="en-GB"/>
              </w:rPr>
            </w:pPr>
            <w:r>
              <w:rPr>
                <w:b/>
                <w:sz w:val="17"/>
                <w:lang w:eastAsia="en-GB"/>
              </w:rPr>
              <w:t>Format:</w:t>
            </w:r>
          </w:p>
        </w:tc>
        <w:tc>
          <w:tcPr>
            <w:tcW w:w="7098" w:type="dxa"/>
          </w:tcPr>
          <w:p w14:paraId="2255EB38" w14:textId="77777777" w:rsidR="008C111F" w:rsidRDefault="008C111F" w:rsidP="00647044">
            <w:pPr>
              <w:pStyle w:val="TableText"/>
              <w:jc w:val="both"/>
              <w:rPr>
                <w:lang w:eastAsia="en-GB"/>
              </w:rPr>
            </w:pPr>
            <w:r>
              <w:rPr>
                <w:lang w:eastAsia="en-GB"/>
              </w:rPr>
              <w:t>Flexible.</w:t>
            </w:r>
          </w:p>
        </w:tc>
      </w:tr>
      <w:tr w:rsidR="008C111F" w14:paraId="2B494242" w14:textId="77777777" w:rsidTr="00BC1606">
        <w:tc>
          <w:tcPr>
            <w:tcW w:w="2116" w:type="dxa"/>
          </w:tcPr>
          <w:p w14:paraId="50E2D208" w14:textId="77777777" w:rsidR="008C111F" w:rsidRDefault="008C111F" w:rsidP="00647044">
            <w:pPr>
              <w:spacing w:before="40" w:after="40"/>
              <w:rPr>
                <w:b/>
                <w:sz w:val="17"/>
                <w:lang w:eastAsia="en-GB"/>
              </w:rPr>
            </w:pPr>
            <w:r>
              <w:rPr>
                <w:b/>
                <w:sz w:val="17"/>
                <w:lang w:eastAsia="en-GB"/>
              </w:rPr>
              <w:t>Corresponding BDR section:</w:t>
            </w:r>
          </w:p>
        </w:tc>
        <w:tc>
          <w:tcPr>
            <w:tcW w:w="7098" w:type="dxa"/>
          </w:tcPr>
          <w:p w14:paraId="28A05E2A" w14:textId="77777777" w:rsidR="008C111F" w:rsidRDefault="008C111F" w:rsidP="00647044">
            <w:pPr>
              <w:pStyle w:val="TableText"/>
              <w:jc w:val="both"/>
              <w:rPr>
                <w:lang w:eastAsia="en-GB"/>
              </w:rPr>
            </w:pPr>
            <w:r>
              <w:rPr>
                <w:lang w:eastAsia="en-GB"/>
              </w:rPr>
              <w:t>16V</w:t>
            </w:r>
          </w:p>
        </w:tc>
      </w:tr>
    </w:tbl>
    <w:p w14:paraId="347F9F04" w14:textId="77777777" w:rsidR="008C111F" w:rsidRDefault="008C111F" w:rsidP="008C111F">
      <w:pPr>
        <w:spacing w:before="120" w:after="120"/>
        <w:rPr>
          <w:sz w:val="22"/>
        </w:rPr>
      </w:pPr>
    </w:p>
    <w:tbl>
      <w:tblPr>
        <w:tblW w:w="9214" w:type="dxa"/>
        <w:tblInd w:w="-567" w:type="dxa"/>
        <w:tblCellMar>
          <w:left w:w="70" w:type="dxa"/>
          <w:right w:w="70" w:type="dxa"/>
        </w:tblCellMar>
        <w:tblLook w:val="00A0" w:firstRow="1" w:lastRow="0" w:firstColumn="1" w:lastColumn="0" w:noHBand="0" w:noVBand="0"/>
      </w:tblPr>
      <w:tblGrid>
        <w:gridCol w:w="472"/>
        <w:gridCol w:w="8742"/>
      </w:tblGrid>
      <w:tr w:rsidR="008C111F" w14:paraId="7DB54329" w14:textId="77777777" w:rsidTr="0022005B">
        <w:trPr>
          <w:trHeight w:val="448"/>
        </w:trPr>
        <w:tc>
          <w:tcPr>
            <w:tcW w:w="9214" w:type="dxa"/>
            <w:gridSpan w:val="2"/>
            <w:tcBorders>
              <w:top w:val="single" w:sz="4" w:space="0" w:color="auto"/>
              <w:bottom w:val="single" w:sz="4" w:space="0" w:color="auto"/>
            </w:tcBorders>
            <w:vAlign w:val="center"/>
          </w:tcPr>
          <w:p w14:paraId="1F042968" w14:textId="77777777" w:rsidR="008C111F" w:rsidRDefault="008C111F" w:rsidP="00647044">
            <w:pPr>
              <w:widowControl w:val="0"/>
              <w:spacing w:before="40" w:after="40"/>
              <w:jc w:val="both"/>
              <w:rPr>
                <w:sz w:val="17"/>
                <w:szCs w:val="17"/>
              </w:rPr>
            </w:pPr>
            <w:r>
              <w:rPr>
                <w:sz w:val="17"/>
                <w:szCs w:val="17"/>
                <w:lang w:eastAsia="fr-FR"/>
              </w:rPr>
              <w:t>An AI should disclose:</w:t>
            </w:r>
          </w:p>
        </w:tc>
      </w:tr>
      <w:tr w:rsidR="008C111F" w14:paraId="276EFB55" w14:textId="77777777" w:rsidTr="0022005B">
        <w:trPr>
          <w:trHeight w:val="318"/>
        </w:trPr>
        <w:tc>
          <w:tcPr>
            <w:tcW w:w="472" w:type="dxa"/>
            <w:tcBorders>
              <w:top w:val="single" w:sz="4" w:space="0" w:color="auto"/>
              <w:bottom w:val="single" w:sz="4" w:space="0" w:color="auto"/>
            </w:tcBorders>
            <w:noWrap/>
          </w:tcPr>
          <w:p w14:paraId="2DDE6791" w14:textId="77777777" w:rsidR="008C111F" w:rsidRDefault="008C111F" w:rsidP="00647044">
            <w:pPr>
              <w:widowControl w:val="0"/>
              <w:spacing w:before="40" w:after="40"/>
              <w:rPr>
                <w:sz w:val="17"/>
                <w:szCs w:val="17"/>
              </w:rPr>
            </w:pPr>
            <w:r>
              <w:rPr>
                <w:sz w:val="17"/>
                <w:szCs w:val="17"/>
              </w:rPr>
              <w:t>(a)</w:t>
            </w:r>
          </w:p>
        </w:tc>
        <w:tc>
          <w:tcPr>
            <w:tcW w:w="8742" w:type="dxa"/>
            <w:tcBorders>
              <w:top w:val="single" w:sz="4" w:space="0" w:color="auto"/>
              <w:bottom w:val="single" w:sz="4" w:space="0" w:color="auto"/>
            </w:tcBorders>
            <w:noWrap/>
            <w:vAlign w:val="center"/>
          </w:tcPr>
          <w:p w14:paraId="48380044" w14:textId="77777777" w:rsidR="008C111F" w:rsidRDefault="008C111F" w:rsidP="00647044">
            <w:pPr>
              <w:pStyle w:val="TableText"/>
              <w:jc w:val="both"/>
              <w:rPr>
                <w:lang w:eastAsia="fr-FR"/>
              </w:rPr>
            </w:pPr>
            <w:r>
              <w:rPr>
                <w:lang w:eastAsia="fr-FR"/>
              </w:rPr>
              <w:t>its risk management objectives and policies related to counterparty credit risk;</w:t>
            </w:r>
          </w:p>
        </w:tc>
      </w:tr>
      <w:tr w:rsidR="008C111F" w14:paraId="72A26F27" w14:textId="77777777" w:rsidTr="0022005B">
        <w:trPr>
          <w:trHeight w:val="318"/>
        </w:trPr>
        <w:tc>
          <w:tcPr>
            <w:tcW w:w="472" w:type="dxa"/>
            <w:tcBorders>
              <w:top w:val="single" w:sz="4" w:space="0" w:color="auto"/>
              <w:bottom w:val="single" w:sz="4" w:space="0" w:color="auto"/>
            </w:tcBorders>
            <w:noWrap/>
          </w:tcPr>
          <w:p w14:paraId="67ACC26B" w14:textId="77777777" w:rsidR="008C111F" w:rsidRDefault="008C111F" w:rsidP="00647044">
            <w:pPr>
              <w:widowControl w:val="0"/>
              <w:spacing w:before="40" w:after="40"/>
              <w:rPr>
                <w:sz w:val="17"/>
                <w:szCs w:val="17"/>
              </w:rPr>
            </w:pPr>
            <w:r>
              <w:rPr>
                <w:sz w:val="17"/>
                <w:szCs w:val="17"/>
              </w:rPr>
              <w:t>(b)</w:t>
            </w:r>
          </w:p>
        </w:tc>
        <w:tc>
          <w:tcPr>
            <w:tcW w:w="8742" w:type="dxa"/>
            <w:tcBorders>
              <w:top w:val="single" w:sz="4" w:space="0" w:color="auto"/>
              <w:bottom w:val="single" w:sz="4" w:space="0" w:color="auto"/>
            </w:tcBorders>
            <w:noWrap/>
            <w:vAlign w:val="center"/>
          </w:tcPr>
          <w:p w14:paraId="69AB7B34" w14:textId="77777777" w:rsidR="008C111F" w:rsidRDefault="008C111F" w:rsidP="00647044">
            <w:pPr>
              <w:pStyle w:val="TableText"/>
              <w:jc w:val="both"/>
              <w:rPr>
                <w:lang w:eastAsia="fr-FR"/>
              </w:rPr>
            </w:pPr>
            <w:r>
              <w:rPr>
                <w:lang w:eastAsia="fr-FR"/>
              </w:rPr>
              <w:t>the method it uses to set operating limits defined in terms of internal capital for counterparty credit risk exposures and for credit exposures to CCPs;</w:t>
            </w:r>
          </w:p>
        </w:tc>
      </w:tr>
      <w:tr w:rsidR="008C111F" w14:paraId="62FEA077" w14:textId="77777777" w:rsidTr="0022005B">
        <w:trPr>
          <w:trHeight w:val="318"/>
        </w:trPr>
        <w:tc>
          <w:tcPr>
            <w:tcW w:w="472" w:type="dxa"/>
            <w:tcBorders>
              <w:top w:val="single" w:sz="4" w:space="0" w:color="auto"/>
              <w:bottom w:val="single" w:sz="4" w:space="0" w:color="auto"/>
            </w:tcBorders>
            <w:noWrap/>
          </w:tcPr>
          <w:p w14:paraId="5C8F0F45" w14:textId="77777777" w:rsidR="008C111F" w:rsidRDefault="008C111F" w:rsidP="00647044">
            <w:pPr>
              <w:widowControl w:val="0"/>
              <w:spacing w:before="40" w:after="40"/>
              <w:rPr>
                <w:sz w:val="17"/>
                <w:szCs w:val="17"/>
              </w:rPr>
            </w:pPr>
            <w:r>
              <w:rPr>
                <w:sz w:val="17"/>
                <w:szCs w:val="17"/>
              </w:rPr>
              <w:t>(c)</w:t>
            </w:r>
          </w:p>
        </w:tc>
        <w:tc>
          <w:tcPr>
            <w:tcW w:w="8742" w:type="dxa"/>
            <w:tcBorders>
              <w:top w:val="single" w:sz="4" w:space="0" w:color="auto"/>
              <w:bottom w:val="single" w:sz="4" w:space="0" w:color="auto"/>
            </w:tcBorders>
            <w:noWrap/>
            <w:vAlign w:val="center"/>
          </w:tcPr>
          <w:p w14:paraId="7749BDAD" w14:textId="77777777" w:rsidR="008C111F" w:rsidRDefault="008C111F" w:rsidP="00647044">
            <w:pPr>
              <w:pStyle w:val="TableText"/>
              <w:jc w:val="both"/>
              <w:rPr>
                <w:lang w:eastAsia="fr-FR"/>
              </w:rPr>
            </w:pPr>
            <w:r>
              <w:rPr>
                <w:noProof/>
                <w:lang w:eastAsia="en-GB"/>
              </w:rPr>
              <w:t>its policies relating to guarantees and other forms of CRM and assessments concerning counterparty credit risk, including credit exposures to CCPs;</w:t>
            </w:r>
          </w:p>
        </w:tc>
      </w:tr>
      <w:tr w:rsidR="008C111F" w14:paraId="1A13B1D3" w14:textId="77777777" w:rsidTr="0022005B">
        <w:trPr>
          <w:trHeight w:val="318"/>
        </w:trPr>
        <w:tc>
          <w:tcPr>
            <w:tcW w:w="472" w:type="dxa"/>
            <w:tcBorders>
              <w:top w:val="single" w:sz="4" w:space="0" w:color="auto"/>
              <w:bottom w:val="single" w:sz="4" w:space="0" w:color="auto"/>
            </w:tcBorders>
            <w:noWrap/>
          </w:tcPr>
          <w:p w14:paraId="5D5ED091" w14:textId="77777777" w:rsidR="008C111F" w:rsidRDefault="008C111F" w:rsidP="00647044">
            <w:pPr>
              <w:widowControl w:val="0"/>
              <w:spacing w:before="40" w:after="40"/>
              <w:rPr>
                <w:sz w:val="17"/>
                <w:szCs w:val="17"/>
              </w:rPr>
            </w:pPr>
            <w:r>
              <w:rPr>
                <w:sz w:val="17"/>
                <w:szCs w:val="17"/>
              </w:rPr>
              <w:t>(d)</w:t>
            </w:r>
          </w:p>
        </w:tc>
        <w:tc>
          <w:tcPr>
            <w:tcW w:w="8742" w:type="dxa"/>
            <w:tcBorders>
              <w:top w:val="single" w:sz="4" w:space="0" w:color="auto"/>
              <w:bottom w:val="single" w:sz="4" w:space="0" w:color="auto"/>
            </w:tcBorders>
            <w:noWrap/>
            <w:vAlign w:val="center"/>
          </w:tcPr>
          <w:p w14:paraId="197434A1" w14:textId="77777777" w:rsidR="008C111F" w:rsidRDefault="008C111F" w:rsidP="00647044">
            <w:pPr>
              <w:pStyle w:val="TableText"/>
              <w:jc w:val="both"/>
              <w:rPr>
                <w:lang w:eastAsia="fr-FR"/>
              </w:rPr>
            </w:pPr>
            <w:r>
              <w:rPr>
                <w:noProof/>
                <w:lang w:eastAsia="en-GB"/>
              </w:rPr>
              <w:t>its policies with respect to general wrong-way risk (being the risk that arises when the PD of counterparties is positively correlated with general market risk factors) and specific wrong-way risk (as defined under Part 6A of the BCR) exposures;</w:t>
            </w:r>
          </w:p>
        </w:tc>
      </w:tr>
      <w:tr w:rsidR="008C111F" w14:paraId="666C1ACC" w14:textId="77777777" w:rsidTr="0022005B">
        <w:trPr>
          <w:trHeight w:val="318"/>
        </w:trPr>
        <w:tc>
          <w:tcPr>
            <w:tcW w:w="472" w:type="dxa"/>
            <w:tcBorders>
              <w:top w:val="single" w:sz="4" w:space="0" w:color="auto"/>
              <w:bottom w:val="single" w:sz="4" w:space="0" w:color="auto"/>
            </w:tcBorders>
            <w:noWrap/>
          </w:tcPr>
          <w:p w14:paraId="00999B03" w14:textId="77777777" w:rsidR="008C111F" w:rsidRDefault="008C111F" w:rsidP="00647044">
            <w:pPr>
              <w:widowControl w:val="0"/>
              <w:spacing w:before="40" w:after="40"/>
              <w:rPr>
                <w:sz w:val="17"/>
                <w:szCs w:val="17"/>
              </w:rPr>
            </w:pPr>
            <w:r>
              <w:rPr>
                <w:sz w:val="17"/>
                <w:szCs w:val="17"/>
              </w:rPr>
              <w:t>(e)</w:t>
            </w:r>
          </w:p>
        </w:tc>
        <w:tc>
          <w:tcPr>
            <w:tcW w:w="8742" w:type="dxa"/>
            <w:tcBorders>
              <w:top w:val="single" w:sz="4" w:space="0" w:color="auto"/>
              <w:bottom w:val="single" w:sz="4" w:space="0" w:color="auto"/>
            </w:tcBorders>
            <w:noWrap/>
            <w:vAlign w:val="center"/>
          </w:tcPr>
          <w:p w14:paraId="1FDC6DC6" w14:textId="77777777" w:rsidR="008C111F" w:rsidRDefault="008C111F" w:rsidP="00647044">
            <w:pPr>
              <w:pStyle w:val="TableText"/>
              <w:jc w:val="both"/>
              <w:rPr>
                <w:lang w:eastAsia="fr-FR"/>
              </w:rPr>
            </w:pPr>
            <w:r>
              <w:rPr>
                <w:noProof/>
                <w:lang w:eastAsia="en-GB"/>
              </w:rPr>
              <w:t>the impact in terms of the amount of collateral that the AI would be required to provide given a credit rating downgrade.</w:t>
            </w:r>
          </w:p>
        </w:tc>
      </w:tr>
    </w:tbl>
    <w:p w14:paraId="5C4CEF98" w14:textId="77777777" w:rsidR="008C111F" w:rsidRPr="004A1AA5" w:rsidRDefault="008C111F" w:rsidP="004A1AA5">
      <w:pPr>
        <w:rPr>
          <w:sz w:val="28"/>
        </w:rPr>
        <w:sectPr w:rsidR="008C111F" w:rsidRPr="004A1AA5">
          <w:footerReference w:type="default" r:id="rId57"/>
          <w:pgSz w:w="11906" w:h="16838" w:code="9"/>
          <w:pgMar w:top="1440" w:right="1797" w:bottom="1440" w:left="1797" w:header="851" w:footer="737" w:gutter="0"/>
          <w:cols w:space="425"/>
          <w:docGrid w:type="linesAndChars" w:linePitch="360"/>
        </w:sectPr>
      </w:pPr>
    </w:p>
    <w:p w14:paraId="1A59954A" w14:textId="7FEF97FB" w:rsidR="00D11548" w:rsidRDefault="00D11548" w:rsidP="00BC1606">
      <w:pPr>
        <w:pStyle w:val="Heading2"/>
        <w:ind w:right="-397"/>
      </w:pPr>
      <w:r>
        <w:lastRenderedPageBreak/>
        <w:t xml:space="preserve">Template CCR1: Analysis </w:t>
      </w:r>
      <w:r w:rsidR="00A515C1" w:rsidRPr="00A515C1">
        <w:t xml:space="preserve">of counterparty credit risk </w:t>
      </w:r>
      <w:r>
        <w:t>exposures (other than those to CCPs) by approaches</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063DC0" w:rsidRPr="00063DC0" w14:paraId="4676DF03" w14:textId="77777777" w:rsidTr="00063DC0">
        <w:tc>
          <w:tcPr>
            <w:tcW w:w="2008" w:type="dxa"/>
          </w:tcPr>
          <w:p w14:paraId="0E9A5BFB" w14:textId="77777777" w:rsidR="00063DC0" w:rsidRPr="00063DC0" w:rsidRDefault="00063DC0" w:rsidP="00063DC0">
            <w:pPr>
              <w:spacing w:before="40" w:after="40"/>
              <w:rPr>
                <w:noProof/>
                <w:sz w:val="17"/>
                <w:lang w:eastAsia="en-GB"/>
              </w:rPr>
            </w:pPr>
            <w:r w:rsidRPr="00063DC0">
              <w:rPr>
                <w:b/>
                <w:sz w:val="17"/>
                <w:lang w:eastAsia="en-GB"/>
              </w:rPr>
              <w:t>Purpose:</w:t>
            </w:r>
            <w:r w:rsidRPr="00063DC0">
              <w:rPr>
                <w:sz w:val="17"/>
                <w:lang w:eastAsia="en-GB"/>
              </w:rPr>
              <w:t xml:space="preserve"> </w:t>
            </w:r>
          </w:p>
        </w:tc>
        <w:tc>
          <w:tcPr>
            <w:tcW w:w="7234" w:type="dxa"/>
          </w:tcPr>
          <w:p w14:paraId="52C764E7" w14:textId="77777777" w:rsidR="00063DC0" w:rsidRPr="00063DC0" w:rsidRDefault="00063DC0" w:rsidP="00063DC0">
            <w:pPr>
              <w:spacing w:before="40" w:after="40"/>
              <w:jc w:val="both"/>
              <w:rPr>
                <w:sz w:val="17"/>
                <w:lang w:eastAsia="en-GB"/>
              </w:rPr>
            </w:pPr>
            <w:r w:rsidRPr="00063DC0">
              <w:rPr>
                <w:sz w:val="17"/>
                <w:lang w:eastAsia="en-GB"/>
              </w:rPr>
              <w:t xml:space="preserve">To provide a comprehensive breakdown of default risk exposures (other than those to CCPs), RWAs, and, where applicable, main parameters under the approaches used to calculate default risk exposures in respect of derivative contracts and SFTs.  </w:t>
            </w:r>
          </w:p>
        </w:tc>
      </w:tr>
      <w:tr w:rsidR="00063DC0" w:rsidRPr="00063DC0" w14:paraId="5E314A80" w14:textId="77777777" w:rsidTr="00063DC0">
        <w:tc>
          <w:tcPr>
            <w:tcW w:w="2008" w:type="dxa"/>
          </w:tcPr>
          <w:p w14:paraId="595661E9" w14:textId="77777777" w:rsidR="00063DC0" w:rsidRPr="00063DC0" w:rsidRDefault="00063DC0" w:rsidP="00063DC0">
            <w:pPr>
              <w:spacing w:before="40" w:after="40"/>
              <w:rPr>
                <w:b/>
                <w:sz w:val="17"/>
                <w:lang w:eastAsia="en-GB"/>
              </w:rPr>
            </w:pPr>
            <w:r w:rsidRPr="00063DC0">
              <w:rPr>
                <w:b/>
                <w:sz w:val="17"/>
                <w:lang w:eastAsia="en-GB"/>
              </w:rPr>
              <w:t xml:space="preserve">Scope of application: </w:t>
            </w:r>
          </w:p>
        </w:tc>
        <w:tc>
          <w:tcPr>
            <w:tcW w:w="7234" w:type="dxa"/>
          </w:tcPr>
          <w:p w14:paraId="61F71018" w14:textId="77777777" w:rsidR="00063DC0" w:rsidRPr="00063DC0" w:rsidRDefault="00063DC0" w:rsidP="00063DC0">
            <w:pPr>
              <w:spacing w:before="40" w:after="40"/>
              <w:jc w:val="both"/>
              <w:rPr>
                <w:rFonts w:eastAsia="新細明體"/>
                <w:b/>
                <w:sz w:val="17"/>
                <w:lang w:eastAsia="en-GB"/>
              </w:rPr>
            </w:pPr>
            <w:r w:rsidRPr="00063DC0">
              <w:rPr>
                <w:rFonts w:eastAsia="新細明體"/>
                <w:sz w:val="17"/>
                <w:lang w:eastAsia="en-GB"/>
              </w:rPr>
              <w:t>The template is mandatory for all AIs</w:t>
            </w:r>
            <w:r w:rsidRPr="00063DC0">
              <w:t xml:space="preserve"> </w:t>
            </w:r>
            <w:r w:rsidRPr="00063DC0">
              <w:rPr>
                <w:rFonts w:eastAsia="新細明體"/>
                <w:sz w:val="17"/>
                <w:lang w:eastAsia="en-GB"/>
              </w:rPr>
              <w:t>incorporated in Hong Kong.</w:t>
            </w:r>
          </w:p>
        </w:tc>
      </w:tr>
      <w:tr w:rsidR="00063DC0" w:rsidRPr="00063DC0" w14:paraId="169975E4" w14:textId="77777777" w:rsidTr="00063DC0">
        <w:tc>
          <w:tcPr>
            <w:tcW w:w="2008" w:type="dxa"/>
          </w:tcPr>
          <w:p w14:paraId="2403EBEA" w14:textId="77777777" w:rsidR="00063DC0" w:rsidRPr="00063DC0" w:rsidRDefault="00063DC0" w:rsidP="00063DC0">
            <w:pPr>
              <w:spacing w:before="40" w:after="40"/>
              <w:rPr>
                <w:b/>
                <w:sz w:val="17"/>
                <w:lang w:eastAsia="en-GB"/>
              </w:rPr>
            </w:pPr>
            <w:r w:rsidRPr="00063DC0">
              <w:rPr>
                <w:b/>
                <w:sz w:val="17"/>
                <w:lang w:eastAsia="en-GB"/>
              </w:rPr>
              <w:t xml:space="preserve">Content: </w:t>
            </w:r>
          </w:p>
        </w:tc>
        <w:tc>
          <w:tcPr>
            <w:tcW w:w="7234" w:type="dxa"/>
          </w:tcPr>
          <w:p w14:paraId="457E3A90" w14:textId="77777777" w:rsidR="00063DC0" w:rsidRPr="00063DC0" w:rsidRDefault="00063DC0" w:rsidP="00063DC0">
            <w:pPr>
              <w:spacing w:before="40" w:after="40"/>
              <w:jc w:val="both"/>
              <w:rPr>
                <w:rFonts w:eastAsia="新細明體"/>
                <w:b/>
                <w:sz w:val="17"/>
                <w:lang w:eastAsia="en-GB"/>
              </w:rPr>
            </w:pPr>
            <w:r w:rsidRPr="00063DC0">
              <w:rPr>
                <w:rFonts w:eastAsia="新細明體"/>
                <w:sz w:val="17"/>
                <w:lang w:eastAsia="en-GB"/>
              </w:rPr>
              <w:t>Default risk exposures (other than those to CCPs), RWA and parameters used to calculate the AI’s default risk exposures in respect of derivative contracts and SFTs.</w:t>
            </w:r>
          </w:p>
        </w:tc>
      </w:tr>
      <w:tr w:rsidR="00063DC0" w:rsidRPr="00063DC0" w14:paraId="63994895" w14:textId="77777777" w:rsidTr="00063DC0">
        <w:tc>
          <w:tcPr>
            <w:tcW w:w="2008" w:type="dxa"/>
          </w:tcPr>
          <w:p w14:paraId="184C5B8F" w14:textId="77777777" w:rsidR="00063DC0" w:rsidRPr="00063DC0" w:rsidRDefault="00063DC0" w:rsidP="00063DC0">
            <w:pPr>
              <w:spacing w:before="40" w:after="40"/>
              <w:rPr>
                <w:sz w:val="17"/>
                <w:lang w:eastAsia="en-GB"/>
              </w:rPr>
            </w:pPr>
            <w:r w:rsidRPr="00063DC0">
              <w:rPr>
                <w:b/>
                <w:sz w:val="17"/>
                <w:lang w:eastAsia="en-GB"/>
              </w:rPr>
              <w:t>Frequency:</w:t>
            </w:r>
            <w:r w:rsidRPr="00063DC0">
              <w:rPr>
                <w:sz w:val="17"/>
                <w:lang w:eastAsia="en-GB"/>
              </w:rPr>
              <w:t xml:space="preserve"> </w:t>
            </w:r>
          </w:p>
        </w:tc>
        <w:tc>
          <w:tcPr>
            <w:tcW w:w="7234" w:type="dxa"/>
          </w:tcPr>
          <w:p w14:paraId="44614B79" w14:textId="77777777" w:rsidR="00063DC0" w:rsidRPr="00063DC0" w:rsidRDefault="00063DC0" w:rsidP="00063DC0">
            <w:pPr>
              <w:spacing w:before="40" w:after="40"/>
              <w:jc w:val="both"/>
              <w:rPr>
                <w:sz w:val="17"/>
                <w:lang w:eastAsia="en-GB"/>
              </w:rPr>
            </w:pPr>
            <w:r w:rsidRPr="00063DC0">
              <w:rPr>
                <w:sz w:val="17"/>
                <w:lang w:eastAsia="en-GB"/>
              </w:rPr>
              <w:t>Semi-annual.</w:t>
            </w:r>
          </w:p>
        </w:tc>
      </w:tr>
      <w:tr w:rsidR="00063DC0" w:rsidRPr="00063DC0" w14:paraId="631866E4" w14:textId="77777777" w:rsidTr="00063DC0">
        <w:tc>
          <w:tcPr>
            <w:tcW w:w="2008" w:type="dxa"/>
          </w:tcPr>
          <w:p w14:paraId="0A825DFD" w14:textId="77777777" w:rsidR="00063DC0" w:rsidRPr="00063DC0" w:rsidRDefault="00063DC0" w:rsidP="00063DC0">
            <w:pPr>
              <w:spacing w:before="40" w:after="40"/>
              <w:rPr>
                <w:sz w:val="17"/>
                <w:lang w:eastAsia="en-GB"/>
              </w:rPr>
            </w:pPr>
            <w:r w:rsidRPr="00063DC0">
              <w:rPr>
                <w:b/>
                <w:sz w:val="17"/>
                <w:lang w:eastAsia="en-GB"/>
              </w:rPr>
              <w:t>Format:</w:t>
            </w:r>
            <w:r w:rsidRPr="00063DC0">
              <w:rPr>
                <w:sz w:val="17"/>
                <w:lang w:eastAsia="en-GB"/>
              </w:rPr>
              <w:t xml:space="preserve"> </w:t>
            </w:r>
          </w:p>
        </w:tc>
        <w:tc>
          <w:tcPr>
            <w:tcW w:w="7234" w:type="dxa"/>
          </w:tcPr>
          <w:p w14:paraId="465C6EED" w14:textId="77777777" w:rsidR="00063DC0" w:rsidRPr="00063DC0" w:rsidRDefault="00063DC0" w:rsidP="00063DC0">
            <w:pPr>
              <w:spacing w:before="40" w:after="40"/>
              <w:jc w:val="both"/>
              <w:rPr>
                <w:sz w:val="17"/>
                <w:lang w:eastAsia="en-GB"/>
              </w:rPr>
            </w:pPr>
            <w:r w:rsidRPr="00063DC0">
              <w:rPr>
                <w:sz w:val="17"/>
                <w:lang w:eastAsia="en-GB"/>
              </w:rPr>
              <w:t>Fixed.</w:t>
            </w:r>
          </w:p>
        </w:tc>
      </w:tr>
      <w:tr w:rsidR="00063DC0" w:rsidRPr="00063DC0" w14:paraId="7875A296" w14:textId="77777777" w:rsidTr="00063DC0">
        <w:tc>
          <w:tcPr>
            <w:tcW w:w="2008" w:type="dxa"/>
          </w:tcPr>
          <w:p w14:paraId="3A302F24" w14:textId="77777777" w:rsidR="00063DC0" w:rsidRPr="00063DC0" w:rsidRDefault="00063DC0" w:rsidP="00063DC0">
            <w:pPr>
              <w:spacing w:before="40" w:after="40"/>
              <w:rPr>
                <w:b/>
                <w:sz w:val="17"/>
                <w:lang w:eastAsia="en-GB"/>
              </w:rPr>
            </w:pPr>
            <w:r w:rsidRPr="00063DC0">
              <w:rPr>
                <w:rFonts w:eastAsia="新細明體"/>
                <w:b/>
                <w:sz w:val="17"/>
                <w:szCs w:val="17"/>
                <w:lang w:eastAsia="en-GB"/>
              </w:rPr>
              <w:t>Accompanying narrative</w:t>
            </w:r>
            <w:r w:rsidRPr="00063DC0">
              <w:rPr>
                <w:rFonts w:eastAsia="新細明體"/>
                <w:sz w:val="17"/>
                <w:szCs w:val="17"/>
                <w:lang w:eastAsia="en-GB"/>
              </w:rPr>
              <w:t>:</w:t>
            </w:r>
          </w:p>
        </w:tc>
        <w:tc>
          <w:tcPr>
            <w:tcW w:w="7234" w:type="dxa"/>
          </w:tcPr>
          <w:p w14:paraId="658D4AA6" w14:textId="77777777" w:rsidR="00063DC0" w:rsidRPr="00063DC0" w:rsidRDefault="00063DC0" w:rsidP="00063DC0">
            <w:pPr>
              <w:spacing w:before="40" w:after="40"/>
              <w:jc w:val="both"/>
              <w:rPr>
                <w:noProof/>
                <w:sz w:val="17"/>
                <w:lang w:eastAsia="en-GB"/>
              </w:rPr>
            </w:pPr>
            <w:r w:rsidRPr="00063DC0">
              <w:rPr>
                <w:sz w:val="17"/>
                <w:szCs w:val="17"/>
                <w:lang w:eastAsia="en-GB"/>
              </w:rPr>
              <w:t>An AI should supplement the template with a narrative commentary to explain any material changes in relation to its RWA in the current reporting period and the key drivers of such changes.</w:t>
            </w:r>
          </w:p>
        </w:tc>
      </w:tr>
      <w:tr w:rsidR="00063DC0" w:rsidRPr="00063DC0" w14:paraId="1C9821C3" w14:textId="77777777" w:rsidTr="00063DC0">
        <w:tc>
          <w:tcPr>
            <w:tcW w:w="2008" w:type="dxa"/>
          </w:tcPr>
          <w:p w14:paraId="53EB3DFE" w14:textId="77777777" w:rsidR="00063DC0" w:rsidRPr="00063DC0" w:rsidRDefault="00063DC0" w:rsidP="00063DC0">
            <w:pPr>
              <w:spacing w:before="40" w:after="40"/>
              <w:rPr>
                <w:rFonts w:eastAsia="新細明體"/>
                <w:b/>
                <w:sz w:val="17"/>
                <w:szCs w:val="17"/>
                <w:lang w:eastAsia="en-GB"/>
              </w:rPr>
            </w:pPr>
            <w:r w:rsidRPr="00063DC0">
              <w:rPr>
                <w:rFonts w:eastAsia="新細明體"/>
                <w:b/>
                <w:sz w:val="17"/>
                <w:szCs w:val="17"/>
                <w:lang w:eastAsia="en-GB"/>
              </w:rPr>
              <w:t>Corresponding BDR section:</w:t>
            </w:r>
          </w:p>
        </w:tc>
        <w:tc>
          <w:tcPr>
            <w:tcW w:w="7234" w:type="dxa"/>
          </w:tcPr>
          <w:p w14:paraId="02B60987" w14:textId="77777777" w:rsidR="00063DC0" w:rsidRPr="00063DC0" w:rsidRDefault="00063DC0" w:rsidP="00063DC0">
            <w:pPr>
              <w:spacing w:before="40" w:after="40"/>
              <w:jc w:val="both"/>
              <w:rPr>
                <w:sz w:val="17"/>
                <w:szCs w:val="17"/>
                <w:lang w:eastAsia="en-GB"/>
              </w:rPr>
            </w:pPr>
            <w:r w:rsidRPr="00063DC0">
              <w:rPr>
                <w:sz w:val="17"/>
                <w:szCs w:val="17"/>
                <w:lang w:eastAsia="en-GB"/>
              </w:rPr>
              <w:t>16W</w:t>
            </w:r>
          </w:p>
        </w:tc>
      </w:tr>
    </w:tbl>
    <w:p w14:paraId="135405A5" w14:textId="77777777" w:rsidR="00063DC0" w:rsidRPr="00063DC0" w:rsidRDefault="00063DC0" w:rsidP="00063DC0">
      <w:pPr>
        <w:spacing w:before="120" w:after="120"/>
        <w:ind w:leftChars="-283" w:left="-566"/>
        <w:rPr>
          <w:sz w:val="22"/>
        </w:rPr>
      </w:pPr>
    </w:p>
    <w:tbl>
      <w:tblPr>
        <w:tblW w:w="9214" w:type="dxa"/>
        <w:tblInd w:w="-459"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ayout w:type="fixed"/>
        <w:tblLook w:val="00A0" w:firstRow="1" w:lastRow="0" w:firstColumn="1" w:lastColumn="0" w:noHBand="0" w:noVBand="0"/>
      </w:tblPr>
      <w:tblGrid>
        <w:gridCol w:w="425"/>
        <w:gridCol w:w="2977"/>
        <w:gridCol w:w="1134"/>
        <w:gridCol w:w="709"/>
        <w:gridCol w:w="851"/>
        <w:gridCol w:w="1416"/>
        <w:gridCol w:w="993"/>
        <w:gridCol w:w="709"/>
      </w:tblGrid>
      <w:tr w:rsidR="00063DC0" w:rsidRPr="00063DC0" w14:paraId="75D7D302" w14:textId="77777777" w:rsidTr="00063DC0">
        <w:trPr>
          <w:cantSplit/>
          <w:tblHeader/>
        </w:trPr>
        <w:tc>
          <w:tcPr>
            <w:tcW w:w="425" w:type="dxa"/>
            <w:tcBorders>
              <w:top w:val="nil"/>
              <w:left w:val="nil"/>
              <w:bottom w:val="nil"/>
              <w:right w:val="nil"/>
            </w:tcBorders>
          </w:tcPr>
          <w:p w14:paraId="19694038" w14:textId="77777777" w:rsidR="00063DC0" w:rsidRPr="00063DC0" w:rsidRDefault="00063DC0" w:rsidP="00063DC0">
            <w:pPr>
              <w:snapToGrid w:val="0"/>
              <w:spacing w:before="40" w:after="40"/>
              <w:rPr>
                <w:sz w:val="17"/>
                <w:szCs w:val="17"/>
                <w:lang w:eastAsia="en-GB"/>
              </w:rPr>
            </w:pPr>
          </w:p>
        </w:tc>
        <w:tc>
          <w:tcPr>
            <w:tcW w:w="2977" w:type="dxa"/>
            <w:tcBorders>
              <w:top w:val="nil"/>
              <w:left w:val="nil"/>
              <w:bottom w:val="nil"/>
              <w:right w:val="single" w:sz="4" w:space="0" w:color="auto"/>
            </w:tcBorders>
            <w:vAlign w:val="center"/>
          </w:tcPr>
          <w:p w14:paraId="75D15D70" w14:textId="77777777" w:rsidR="00063DC0" w:rsidRPr="00063DC0" w:rsidRDefault="00063DC0" w:rsidP="00063DC0">
            <w:pPr>
              <w:snapToGrid w:val="0"/>
              <w:spacing w:before="40" w:after="40"/>
              <w:ind w:leftChars="-479" w:left="-958"/>
              <w:rPr>
                <w:sz w:val="17"/>
                <w:szCs w:val="17"/>
                <w:lang w:eastAsia="en-GB"/>
              </w:rPr>
            </w:pPr>
          </w:p>
        </w:tc>
        <w:tc>
          <w:tcPr>
            <w:tcW w:w="1134" w:type="dxa"/>
            <w:tcBorders>
              <w:top w:val="single" w:sz="4" w:space="0" w:color="auto"/>
              <w:left w:val="single" w:sz="4" w:space="0" w:color="auto"/>
              <w:bottom w:val="single" w:sz="4" w:space="0" w:color="auto"/>
              <w:right w:val="single" w:sz="4" w:space="0" w:color="auto"/>
            </w:tcBorders>
            <w:vAlign w:val="center"/>
          </w:tcPr>
          <w:p w14:paraId="7BFA7B42" w14:textId="77777777" w:rsidR="00063DC0" w:rsidRPr="00063DC0" w:rsidRDefault="00063DC0" w:rsidP="00063DC0">
            <w:pPr>
              <w:snapToGrid w:val="0"/>
              <w:spacing w:before="40" w:after="40"/>
              <w:jc w:val="center"/>
              <w:rPr>
                <w:sz w:val="17"/>
                <w:szCs w:val="17"/>
                <w:lang w:eastAsia="en-GB"/>
              </w:rPr>
            </w:pPr>
            <w:r w:rsidRPr="00063DC0">
              <w:rPr>
                <w:sz w:val="17"/>
                <w:szCs w:val="17"/>
                <w:lang w:eastAsia="en-GB"/>
              </w:rPr>
              <w:t>(a)</w:t>
            </w:r>
          </w:p>
        </w:tc>
        <w:tc>
          <w:tcPr>
            <w:tcW w:w="709" w:type="dxa"/>
            <w:tcBorders>
              <w:top w:val="single" w:sz="4" w:space="0" w:color="auto"/>
              <w:left w:val="single" w:sz="4" w:space="0" w:color="auto"/>
              <w:bottom w:val="single" w:sz="4" w:space="0" w:color="auto"/>
              <w:right w:val="single" w:sz="4" w:space="0" w:color="auto"/>
            </w:tcBorders>
            <w:vAlign w:val="center"/>
          </w:tcPr>
          <w:p w14:paraId="535790A1" w14:textId="77777777" w:rsidR="00063DC0" w:rsidRPr="00063DC0" w:rsidRDefault="00063DC0" w:rsidP="00063DC0">
            <w:pPr>
              <w:snapToGrid w:val="0"/>
              <w:spacing w:before="40" w:after="40"/>
              <w:jc w:val="center"/>
              <w:rPr>
                <w:sz w:val="17"/>
                <w:szCs w:val="17"/>
                <w:lang w:eastAsia="en-GB"/>
              </w:rPr>
            </w:pPr>
            <w:r w:rsidRPr="00063DC0">
              <w:rPr>
                <w:sz w:val="17"/>
                <w:szCs w:val="17"/>
                <w:lang w:eastAsia="en-GB"/>
              </w:rPr>
              <w:t>(b)</w:t>
            </w:r>
          </w:p>
        </w:tc>
        <w:tc>
          <w:tcPr>
            <w:tcW w:w="851" w:type="dxa"/>
            <w:tcBorders>
              <w:top w:val="single" w:sz="4" w:space="0" w:color="auto"/>
              <w:left w:val="single" w:sz="4" w:space="0" w:color="auto"/>
              <w:bottom w:val="single" w:sz="4" w:space="0" w:color="auto"/>
              <w:right w:val="single" w:sz="4" w:space="0" w:color="auto"/>
            </w:tcBorders>
            <w:vAlign w:val="center"/>
          </w:tcPr>
          <w:p w14:paraId="615461DA" w14:textId="77777777" w:rsidR="00063DC0" w:rsidRPr="00063DC0" w:rsidRDefault="00063DC0" w:rsidP="00063DC0">
            <w:pPr>
              <w:snapToGrid w:val="0"/>
              <w:spacing w:before="40" w:after="40"/>
              <w:jc w:val="center"/>
              <w:rPr>
                <w:sz w:val="17"/>
                <w:szCs w:val="17"/>
                <w:lang w:eastAsia="en-GB"/>
              </w:rPr>
            </w:pPr>
            <w:r w:rsidRPr="00063DC0">
              <w:rPr>
                <w:sz w:val="17"/>
                <w:szCs w:val="17"/>
                <w:lang w:eastAsia="en-GB"/>
              </w:rPr>
              <w:t>(c)</w:t>
            </w:r>
          </w:p>
        </w:tc>
        <w:tc>
          <w:tcPr>
            <w:tcW w:w="1416" w:type="dxa"/>
            <w:tcBorders>
              <w:top w:val="single" w:sz="4" w:space="0" w:color="auto"/>
              <w:left w:val="single" w:sz="4" w:space="0" w:color="auto"/>
              <w:bottom w:val="single" w:sz="4" w:space="0" w:color="auto"/>
              <w:right w:val="single" w:sz="4" w:space="0" w:color="auto"/>
            </w:tcBorders>
            <w:vAlign w:val="center"/>
          </w:tcPr>
          <w:p w14:paraId="7D3AE193" w14:textId="77777777" w:rsidR="00063DC0" w:rsidRPr="00063DC0" w:rsidRDefault="00063DC0" w:rsidP="00063DC0">
            <w:pPr>
              <w:snapToGrid w:val="0"/>
              <w:spacing w:before="40" w:after="40"/>
              <w:jc w:val="center"/>
              <w:rPr>
                <w:sz w:val="17"/>
                <w:szCs w:val="17"/>
                <w:lang w:eastAsia="en-GB"/>
              </w:rPr>
            </w:pPr>
            <w:r w:rsidRPr="00063DC0">
              <w:rPr>
                <w:sz w:val="17"/>
                <w:szCs w:val="17"/>
                <w:lang w:eastAsia="en-GB"/>
              </w:rPr>
              <w:t>(d)</w:t>
            </w:r>
          </w:p>
        </w:tc>
        <w:tc>
          <w:tcPr>
            <w:tcW w:w="993" w:type="dxa"/>
            <w:tcBorders>
              <w:top w:val="single" w:sz="4" w:space="0" w:color="auto"/>
              <w:left w:val="single" w:sz="4" w:space="0" w:color="auto"/>
              <w:bottom w:val="single" w:sz="4" w:space="0" w:color="auto"/>
              <w:right w:val="single" w:sz="4" w:space="0" w:color="auto"/>
            </w:tcBorders>
            <w:vAlign w:val="center"/>
          </w:tcPr>
          <w:p w14:paraId="56ECCE7E" w14:textId="77777777" w:rsidR="00063DC0" w:rsidRPr="00063DC0" w:rsidRDefault="00063DC0" w:rsidP="00063DC0">
            <w:pPr>
              <w:snapToGrid w:val="0"/>
              <w:spacing w:before="40" w:after="40"/>
              <w:jc w:val="center"/>
              <w:rPr>
                <w:sz w:val="17"/>
                <w:szCs w:val="17"/>
                <w:lang w:eastAsia="en-GB"/>
              </w:rPr>
            </w:pPr>
            <w:r w:rsidRPr="00063DC0">
              <w:rPr>
                <w:sz w:val="17"/>
                <w:szCs w:val="17"/>
                <w:lang w:eastAsia="en-GB"/>
              </w:rPr>
              <w:t>(e)</w:t>
            </w:r>
          </w:p>
        </w:tc>
        <w:tc>
          <w:tcPr>
            <w:tcW w:w="709" w:type="dxa"/>
            <w:tcBorders>
              <w:top w:val="single" w:sz="4" w:space="0" w:color="auto"/>
              <w:left w:val="single" w:sz="4" w:space="0" w:color="auto"/>
              <w:bottom w:val="single" w:sz="4" w:space="0" w:color="auto"/>
              <w:right w:val="single" w:sz="4" w:space="0" w:color="auto"/>
            </w:tcBorders>
            <w:vAlign w:val="center"/>
          </w:tcPr>
          <w:p w14:paraId="55BAAEFC" w14:textId="77777777" w:rsidR="00063DC0" w:rsidRPr="00063DC0" w:rsidRDefault="00063DC0" w:rsidP="00063DC0">
            <w:pPr>
              <w:snapToGrid w:val="0"/>
              <w:spacing w:before="40" w:after="40"/>
              <w:jc w:val="center"/>
              <w:rPr>
                <w:sz w:val="17"/>
                <w:szCs w:val="17"/>
                <w:lang w:eastAsia="en-GB"/>
              </w:rPr>
            </w:pPr>
            <w:r w:rsidRPr="00063DC0">
              <w:rPr>
                <w:sz w:val="17"/>
                <w:szCs w:val="17"/>
                <w:lang w:eastAsia="en-GB"/>
              </w:rPr>
              <w:t>(f)</w:t>
            </w:r>
          </w:p>
        </w:tc>
      </w:tr>
      <w:tr w:rsidR="00063DC0" w:rsidRPr="00063DC0" w14:paraId="1B5DC2B9" w14:textId="77777777" w:rsidTr="00063DC0">
        <w:trPr>
          <w:cantSplit/>
          <w:tblHeader/>
        </w:trPr>
        <w:tc>
          <w:tcPr>
            <w:tcW w:w="425" w:type="dxa"/>
            <w:tcBorders>
              <w:top w:val="nil"/>
              <w:left w:val="nil"/>
              <w:bottom w:val="single" w:sz="4" w:space="0" w:color="auto"/>
              <w:right w:val="nil"/>
            </w:tcBorders>
          </w:tcPr>
          <w:p w14:paraId="73C6EF48" w14:textId="77777777" w:rsidR="00063DC0" w:rsidRPr="00063DC0" w:rsidRDefault="00063DC0" w:rsidP="00063DC0">
            <w:pPr>
              <w:snapToGrid w:val="0"/>
              <w:spacing w:before="40" w:after="40"/>
              <w:rPr>
                <w:sz w:val="17"/>
                <w:szCs w:val="17"/>
                <w:lang w:eastAsia="en-GB"/>
              </w:rPr>
            </w:pPr>
          </w:p>
        </w:tc>
        <w:tc>
          <w:tcPr>
            <w:tcW w:w="2977" w:type="dxa"/>
            <w:tcBorders>
              <w:top w:val="nil"/>
              <w:left w:val="nil"/>
              <w:bottom w:val="single" w:sz="4" w:space="0" w:color="auto"/>
              <w:right w:val="single" w:sz="4" w:space="0" w:color="auto"/>
            </w:tcBorders>
            <w:vAlign w:val="center"/>
          </w:tcPr>
          <w:p w14:paraId="31D68B3A" w14:textId="77777777" w:rsidR="00063DC0" w:rsidRPr="00063DC0" w:rsidRDefault="00063DC0" w:rsidP="00063DC0">
            <w:pPr>
              <w:snapToGrid w:val="0"/>
              <w:spacing w:before="40" w:after="40"/>
              <w:rPr>
                <w:sz w:val="17"/>
                <w:szCs w:val="17"/>
                <w:lang w:eastAsia="en-GB"/>
              </w:rPr>
            </w:pPr>
          </w:p>
        </w:tc>
        <w:tc>
          <w:tcPr>
            <w:tcW w:w="1134" w:type="dxa"/>
            <w:tcBorders>
              <w:top w:val="single" w:sz="4" w:space="0" w:color="auto"/>
              <w:left w:val="single" w:sz="4" w:space="0" w:color="auto"/>
              <w:bottom w:val="single" w:sz="4" w:space="0" w:color="auto"/>
              <w:right w:val="single" w:sz="4" w:space="0" w:color="auto"/>
            </w:tcBorders>
            <w:vAlign w:val="center"/>
          </w:tcPr>
          <w:p w14:paraId="0EA80378" w14:textId="77777777" w:rsidR="00063DC0" w:rsidRPr="00063DC0" w:rsidRDefault="00063DC0" w:rsidP="00063DC0">
            <w:pPr>
              <w:snapToGrid w:val="0"/>
              <w:spacing w:before="40" w:after="40"/>
              <w:jc w:val="center"/>
              <w:rPr>
                <w:spacing w:val="-12"/>
                <w:sz w:val="17"/>
                <w:szCs w:val="17"/>
                <w:lang w:eastAsia="en-GB"/>
              </w:rPr>
            </w:pPr>
            <w:r w:rsidRPr="00063DC0">
              <w:rPr>
                <w:spacing w:val="-12"/>
                <w:sz w:val="17"/>
                <w:szCs w:val="17"/>
                <w:lang w:eastAsia="en-GB"/>
              </w:rPr>
              <w:t>Replacement cost (RC)</w:t>
            </w:r>
          </w:p>
        </w:tc>
        <w:tc>
          <w:tcPr>
            <w:tcW w:w="709" w:type="dxa"/>
            <w:tcBorders>
              <w:top w:val="single" w:sz="4" w:space="0" w:color="auto"/>
              <w:left w:val="single" w:sz="4" w:space="0" w:color="auto"/>
              <w:bottom w:val="single" w:sz="4" w:space="0" w:color="auto"/>
              <w:right w:val="single" w:sz="4" w:space="0" w:color="auto"/>
            </w:tcBorders>
            <w:vAlign w:val="center"/>
          </w:tcPr>
          <w:p w14:paraId="5E99CC70" w14:textId="77777777" w:rsidR="00063DC0" w:rsidRPr="00063DC0" w:rsidRDefault="00063DC0" w:rsidP="00063DC0">
            <w:pPr>
              <w:snapToGrid w:val="0"/>
              <w:spacing w:before="40" w:after="40"/>
              <w:jc w:val="center"/>
              <w:rPr>
                <w:spacing w:val="-12"/>
                <w:sz w:val="17"/>
                <w:szCs w:val="17"/>
                <w:lang w:eastAsia="en-GB"/>
              </w:rPr>
            </w:pPr>
            <w:r w:rsidRPr="00063DC0">
              <w:rPr>
                <w:spacing w:val="-12"/>
                <w:sz w:val="17"/>
                <w:szCs w:val="17"/>
                <w:lang w:eastAsia="en-GB"/>
              </w:rPr>
              <w:t>PFE</w:t>
            </w:r>
          </w:p>
        </w:tc>
        <w:tc>
          <w:tcPr>
            <w:tcW w:w="851" w:type="dxa"/>
            <w:tcBorders>
              <w:top w:val="single" w:sz="4" w:space="0" w:color="auto"/>
              <w:left w:val="single" w:sz="4" w:space="0" w:color="auto"/>
              <w:bottom w:val="single" w:sz="4" w:space="0" w:color="auto"/>
              <w:right w:val="single" w:sz="4" w:space="0" w:color="auto"/>
            </w:tcBorders>
            <w:vAlign w:val="center"/>
          </w:tcPr>
          <w:p w14:paraId="4D44C738" w14:textId="77777777" w:rsidR="00063DC0" w:rsidRPr="00063DC0" w:rsidRDefault="00063DC0" w:rsidP="00063DC0">
            <w:pPr>
              <w:snapToGrid w:val="0"/>
              <w:spacing w:before="40" w:after="40"/>
              <w:jc w:val="center"/>
              <w:rPr>
                <w:spacing w:val="-12"/>
                <w:sz w:val="17"/>
                <w:szCs w:val="17"/>
                <w:lang w:eastAsia="en-GB"/>
              </w:rPr>
            </w:pPr>
            <w:r w:rsidRPr="00063DC0">
              <w:rPr>
                <w:spacing w:val="-12"/>
                <w:sz w:val="17"/>
                <w:szCs w:val="17"/>
                <w:lang w:eastAsia="en-GB"/>
              </w:rPr>
              <w:t>Effective EPE</w:t>
            </w:r>
          </w:p>
        </w:tc>
        <w:tc>
          <w:tcPr>
            <w:tcW w:w="1416" w:type="dxa"/>
            <w:tcBorders>
              <w:top w:val="single" w:sz="4" w:space="0" w:color="auto"/>
              <w:left w:val="single" w:sz="4" w:space="0" w:color="auto"/>
              <w:bottom w:val="single" w:sz="4" w:space="0" w:color="auto"/>
              <w:right w:val="single" w:sz="4" w:space="0" w:color="auto"/>
            </w:tcBorders>
            <w:vAlign w:val="center"/>
          </w:tcPr>
          <w:p w14:paraId="629B83B6" w14:textId="77777777" w:rsidR="00063DC0" w:rsidRPr="00063DC0" w:rsidRDefault="00063DC0" w:rsidP="00063DC0">
            <w:pPr>
              <w:snapToGrid w:val="0"/>
              <w:spacing w:before="40" w:after="40"/>
              <w:jc w:val="center"/>
              <w:rPr>
                <w:spacing w:val="-12"/>
                <w:sz w:val="17"/>
                <w:szCs w:val="17"/>
                <w:lang w:eastAsia="en-GB"/>
              </w:rPr>
            </w:pPr>
            <w:r w:rsidRPr="00063DC0">
              <w:rPr>
                <w:spacing w:val="-12"/>
                <w:sz w:val="17"/>
                <w:szCs w:val="17"/>
                <w:lang w:eastAsia="en-GB"/>
              </w:rPr>
              <w:t>Alpha (</w:t>
            </w:r>
            <w:r w:rsidRPr="00063DC0">
              <w:rPr>
                <w:rFonts w:hint="eastAsia"/>
                <w:spacing w:val="-12"/>
                <w:sz w:val="17"/>
                <w:szCs w:val="17"/>
                <w:lang w:eastAsia="en-GB"/>
              </w:rPr>
              <w:t>α</w:t>
            </w:r>
            <w:r w:rsidRPr="00063DC0">
              <w:rPr>
                <w:spacing w:val="-12"/>
                <w:sz w:val="17"/>
                <w:szCs w:val="17"/>
                <w:lang w:eastAsia="en-GB"/>
              </w:rPr>
              <w:t>) used for computing default risk exposure</w:t>
            </w:r>
          </w:p>
        </w:tc>
        <w:tc>
          <w:tcPr>
            <w:tcW w:w="993" w:type="dxa"/>
            <w:tcBorders>
              <w:top w:val="single" w:sz="4" w:space="0" w:color="auto"/>
              <w:left w:val="single" w:sz="4" w:space="0" w:color="auto"/>
              <w:bottom w:val="single" w:sz="4" w:space="0" w:color="auto"/>
              <w:right w:val="single" w:sz="4" w:space="0" w:color="auto"/>
            </w:tcBorders>
            <w:vAlign w:val="center"/>
          </w:tcPr>
          <w:p w14:paraId="0318CB31" w14:textId="77777777" w:rsidR="00063DC0" w:rsidRPr="00063DC0" w:rsidRDefault="00063DC0" w:rsidP="00063DC0">
            <w:pPr>
              <w:snapToGrid w:val="0"/>
              <w:spacing w:before="40" w:after="40"/>
              <w:jc w:val="center"/>
              <w:rPr>
                <w:spacing w:val="-12"/>
                <w:sz w:val="17"/>
                <w:szCs w:val="17"/>
                <w:lang w:eastAsia="en-GB"/>
              </w:rPr>
            </w:pPr>
            <w:r w:rsidRPr="00063DC0">
              <w:rPr>
                <w:spacing w:val="-12"/>
                <w:sz w:val="17"/>
                <w:szCs w:val="17"/>
                <w:lang w:eastAsia="en-GB"/>
              </w:rPr>
              <w:t>Default risk exposure after CRM</w:t>
            </w:r>
          </w:p>
        </w:tc>
        <w:tc>
          <w:tcPr>
            <w:tcW w:w="709" w:type="dxa"/>
            <w:tcBorders>
              <w:top w:val="single" w:sz="4" w:space="0" w:color="auto"/>
              <w:left w:val="single" w:sz="4" w:space="0" w:color="auto"/>
              <w:bottom w:val="single" w:sz="4" w:space="0" w:color="auto"/>
              <w:right w:val="single" w:sz="4" w:space="0" w:color="auto"/>
            </w:tcBorders>
            <w:vAlign w:val="center"/>
          </w:tcPr>
          <w:p w14:paraId="6937C3C1" w14:textId="77777777" w:rsidR="00063DC0" w:rsidRPr="00063DC0" w:rsidRDefault="00063DC0" w:rsidP="00063DC0">
            <w:pPr>
              <w:snapToGrid w:val="0"/>
              <w:spacing w:before="40" w:after="40"/>
              <w:jc w:val="center"/>
              <w:rPr>
                <w:spacing w:val="-12"/>
                <w:sz w:val="17"/>
                <w:szCs w:val="17"/>
                <w:lang w:eastAsia="en-GB"/>
              </w:rPr>
            </w:pPr>
            <w:r w:rsidRPr="00063DC0">
              <w:rPr>
                <w:spacing w:val="-12"/>
                <w:sz w:val="17"/>
                <w:szCs w:val="17"/>
                <w:lang w:eastAsia="en-GB"/>
              </w:rPr>
              <w:t>RWA</w:t>
            </w:r>
          </w:p>
        </w:tc>
      </w:tr>
      <w:tr w:rsidR="00063DC0" w:rsidRPr="00063DC0" w14:paraId="02093E58" w14:textId="77777777" w:rsidTr="00063DC0">
        <w:trPr>
          <w:cantSplit/>
        </w:trPr>
        <w:tc>
          <w:tcPr>
            <w:tcW w:w="425" w:type="dxa"/>
            <w:tcBorders>
              <w:left w:val="nil"/>
              <w:right w:val="single" w:sz="4" w:space="0" w:color="auto"/>
            </w:tcBorders>
          </w:tcPr>
          <w:p w14:paraId="7703E422" w14:textId="77777777" w:rsidR="00063DC0" w:rsidRPr="00063DC0" w:rsidRDefault="00063DC0" w:rsidP="00063DC0">
            <w:pPr>
              <w:snapToGrid w:val="0"/>
              <w:spacing w:before="40" w:after="40"/>
              <w:rPr>
                <w:sz w:val="17"/>
                <w:szCs w:val="17"/>
                <w:lang w:eastAsia="en-GB"/>
              </w:rPr>
            </w:pPr>
            <w:r w:rsidRPr="00063DC0">
              <w:rPr>
                <w:sz w:val="17"/>
                <w:szCs w:val="17"/>
                <w:lang w:eastAsia="en-GB"/>
              </w:rPr>
              <w:t>1</w:t>
            </w:r>
          </w:p>
        </w:tc>
        <w:tc>
          <w:tcPr>
            <w:tcW w:w="2977" w:type="dxa"/>
            <w:tcBorders>
              <w:left w:val="single" w:sz="4" w:space="0" w:color="auto"/>
              <w:right w:val="single" w:sz="4" w:space="0" w:color="auto"/>
            </w:tcBorders>
          </w:tcPr>
          <w:p w14:paraId="6B53DDA4" w14:textId="77777777" w:rsidR="00063DC0" w:rsidRPr="00063DC0" w:rsidRDefault="00063DC0" w:rsidP="00063DC0">
            <w:pPr>
              <w:snapToGrid w:val="0"/>
              <w:spacing w:before="40" w:after="40"/>
              <w:rPr>
                <w:sz w:val="17"/>
                <w:szCs w:val="17"/>
                <w:lang w:eastAsia="en-GB"/>
              </w:rPr>
            </w:pPr>
            <w:r w:rsidRPr="00063DC0">
              <w:rPr>
                <w:sz w:val="17"/>
                <w:szCs w:val="17"/>
                <w:lang w:eastAsia="en-GB"/>
              </w:rPr>
              <w:t>SA-CCR approach (for derivative contracts)</w:t>
            </w:r>
          </w:p>
        </w:tc>
        <w:tc>
          <w:tcPr>
            <w:tcW w:w="1134" w:type="dxa"/>
            <w:tcBorders>
              <w:left w:val="single" w:sz="4" w:space="0" w:color="auto"/>
              <w:right w:val="single" w:sz="4" w:space="0" w:color="auto"/>
            </w:tcBorders>
          </w:tcPr>
          <w:p w14:paraId="0B6ACEFF" w14:textId="77777777" w:rsidR="00063DC0" w:rsidRPr="00063DC0" w:rsidRDefault="00063DC0" w:rsidP="00063DC0">
            <w:pPr>
              <w:snapToGrid w:val="0"/>
              <w:spacing w:before="40" w:after="40"/>
              <w:rPr>
                <w:sz w:val="17"/>
                <w:szCs w:val="17"/>
                <w:lang w:eastAsia="en-GB"/>
              </w:rPr>
            </w:pPr>
          </w:p>
        </w:tc>
        <w:tc>
          <w:tcPr>
            <w:tcW w:w="709" w:type="dxa"/>
            <w:tcBorders>
              <w:left w:val="single" w:sz="4" w:space="0" w:color="auto"/>
              <w:right w:val="single" w:sz="4" w:space="0" w:color="auto"/>
            </w:tcBorders>
          </w:tcPr>
          <w:p w14:paraId="1B93CE34" w14:textId="77777777" w:rsidR="00063DC0" w:rsidRPr="00063DC0" w:rsidRDefault="00063DC0" w:rsidP="00063DC0">
            <w:pPr>
              <w:snapToGrid w:val="0"/>
              <w:spacing w:before="40" w:after="40"/>
              <w:rPr>
                <w:sz w:val="17"/>
                <w:szCs w:val="17"/>
                <w:lang w:eastAsia="en-GB"/>
              </w:rPr>
            </w:pPr>
          </w:p>
        </w:tc>
        <w:tc>
          <w:tcPr>
            <w:tcW w:w="851" w:type="dxa"/>
            <w:tcBorders>
              <w:left w:val="single" w:sz="4" w:space="0" w:color="auto"/>
              <w:right w:val="single" w:sz="4" w:space="0" w:color="auto"/>
            </w:tcBorders>
            <w:shd w:val="clear" w:color="auto" w:fill="BFBFBF"/>
          </w:tcPr>
          <w:p w14:paraId="105A51E6" w14:textId="77777777" w:rsidR="00063DC0" w:rsidRPr="00063DC0" w:rsidRDefault="00063DC0" w:rsidP="00063DC0">
            <w:pPr>
              <w:snapToGrid w:val="0"/>
              <w:spacing w:before="40" w:after="40"/>
              <w:rPr>
                <w:sz w:val="17"/>
                <w:szCs w:val="17"/>
                <w:lang w:eastAsia="en-GB"/>
              </w:rPr>
            </w:pPr>
          </w:p>
        </w:tc>
        <w:tc>
          <w:tcPr>
            <w:tcW w:w="1416" w:type="dxa"/>
            <w:tcBorders>
              <w:left w:val="single" w:sz="4" w:space="0" w:color="auto"/>
              <w:right w:val="single" w:sz="4" w:space="0" w:color="auto"/>
            </w:tcBorders>
          </w:tcPr>
          <w:p w14:paraId="74049016" w14:textId="77777777" w:rsidR="00063DC0" w:rsidRPr="00063DC0" w:rsidRDefault="00063DC0" w:rsidP="00063DC0">
            <w:pPr>
              <w:snapToGrid w:val="0"/>
              <w:spacing w:before="40" w:after="40"/>
              <w:rPr>
                <w:sz w:val="17"/>
                <w:szCs w:val="17"/>
                <w:lang w:eastAsia="en-GB"/>
              </w:rPr>
            </w:pPr>
            <w:r w:rsidRPr="00063DC0">
              <w:rPr>
                <w:sz w:val="17"/>
                <w:szCs w:val="17"/>
                <w:lang w:eastAsia="en-GB"/>
              </w:rPr>
              <w:t>1.4</w:t>
            </w:r>
          </w:p>
        </w:tc>
        <w:tc>
          <w:tcPr>
            <w:tcW w:w="993" w:type="dxa"/>
            <w:tcBorders>
              <w:left w:val="single" w:sz="4" w:space="0" w:color="auto"/>
              <w:right w:val="single" w:sz="4" w:space="0" w:color="auto"/>
            </w:tcBorders>
          </w:tcPr>
          <w:p w14:paraId="6E188A49" w14:textId="77777777" w:rsidR="00063DC0" w:rsidRPr="00063DC0" w:rsidRDefault="00063DC0" w:rsidP="00063DC0">
            <w:pPr>
              <w:snapToGrid w:val="0"/>
              <w:spacing w:before="40" w:after="40"/>
              <w:rPr>
                <w:sz w:val="17"/>
                <w:szCs w:val="17"/>
                <w:lang w:eastAsia="en-GB"/>
              </w:rPr>
            </w:pPr>
          </w:p>
        </w:tc>
        <w:tc>
          <w:tcPr>
            <w:tcW w:w="709" w:type="dxa"/>
            <w:tcBorders>
              <w:left w:val="single" w:sz="4" w:space="0" w:color="auto"/>
              <w:right w:val="single" w:sz="4" w:space="0" w:color="auto"/>
            </w:tcBorders>
          </w:tcPr>
          <w:p w14:paraId="3E7DFABF" w14:textId="77777777" w:rsidR="00063DC0" w:rsidRPr="00063DC0" w:rsidRDefault="00063DC0" w:rsidP="00063DC0">
            <w:pPr>
              <w:snapToGrid w:val="0"/>
              <w:spacing w:before="40" w:after="40"/>
              <w:rPr>
                <w:sz w:val="17"/>
                <w:szCs w:val="17"/>
                <w:lang w:eastAsia="en-GB"/>
              </w:rPr>
            </w:pPr>
          </w:p>
        </w:tc>
      </w:tr>
      <w:tr w:rsidR="00063DC0" w:rsidRPr="00063DC0" w14:paraId="0CEBD08E" w14:textId="77777777" w:rsidTr="00063DC0">
        <w:trPr>
          <w:cantSplit/>
        </w:trPr>
        <w:tc>
          <w:tcPr>
            <w:tcW w:w="425" w:type="dxa"/>
            <w:tcBorders>
              <w:left w:val="nil"/>
              <w:right w:val="single" w:sz="4" w:space="0" w:color="auto"/>
            </w:tcBorders>
          </w:tcPr>
          <w:p w14:paraId="37A957FD" w14:textId="77777777" w:rsidR="00063DC0" w:rsidRPr="00063DC0" w:rsidRDefault="00063DC0" w:rsidP="00063DC0">
            <w:pPr>
              <w:snapToGrid w:val="0"/>
              <w:spacing w:before="40" w:after="40"/>
              <w:rPr>
                <w:sz w:val="17"/>
                <w:szCs w:val="17"/>
                <w:lang w:eastAsia="en-GB"/>
              </w:rPr>
            </w:pPr>
            <w:r w:rsidRPr="00063DC0">
              <w:rPr>
                <w:sz w:val="17"/>
                <w:szCs w:val="17"/>
                <w:lang w:eastAsia="en-GB"/>
              </w:rPr>
              <w:t>1a</w:t>
            </w:r>
          </w:p>
        </w:tc>
        <w:tc>
          <w:tcPr>
            <w:tcW w:w="2977" w:type="dxa"/>
            <w:tcBorders>
              <w:left w:val="single" w:sz="4" w:space="0" w:color="auto"/>
              <w:right w:val="single" w:sz="4" w:space="0" w:color="auto"/>
            </w:tcBorders>
          </w:tcPr>
          <w:p w14:paraId="76A14A38" w14:textId="77777777" w:rsidR="00063DC0" w:rsidRPr="00063DC0" w:rsidRDefault="00063DC0" w:rsidP="00063DC0">
            <w:pPr>
              <w:snapToGrid w:val="0"/>
              <w:spacing w:before="40" w:after="40"/>
              <w:rPr>
                <w:sz w:val="17"/>
                <w:szCs w:val="17"/>
                <w:lang w:eastAsia="en-GB"/>
              </w:rPr>
            </w:pPr>
            <w:r w:rsidRPr="00063DC0">
              <w:rPr>
                <w:sz w:val="17"/>
                <w:szCs w:val="17"/>
                <w:lang w:eastAsia="en-GB"/>
              </w:rPr>
              <w:t>CEM (for derivative contracts)</w:t>
            </w:r>
          </w:p>
        </w:tc>
        <w:tc>
          <w:tcPr>
            <w:tcW w:w="1134" w:type="dxa"/>
            <w:tcBorders>
              <w:left w:val="single" w:sz="4" w:space="0" w:color="auto"/>
              <w:right w:val="single" w:sz="4" w:space="0" w:color="auto"/>
            </w:tcBorders>
            <w:shd w:val="clear" w:color="auto" w:fill="FFFFFF"/>
          </w:tcPr>
          <w:p w14:paraId="24A937DD" w14:textId="77777777" w:rsidR="00063DC0" w:rsidRPr="00063DC0" w:rsidRDefault="00063DC0" w:rsidP="00063DC0">
            <w:pPr>
              <w:snapToGrid w:val="0"/>
              <w:spacing w:before="40" w:after="40"/>
              <w:rPr>
                <w:sz w:val="17"/>
                <w:szCs w:val="17"/>
                <w:lang w:eastAsia="en-GB"/>
              </w:rPr>
            </w:pPr>
          </w:p>
        </w:tc>
        <w:tc>
          <w:tcPr>
            <w:tcW w:w="709" w:type="dxa"/>
            <w:tcBorders>
              <w:left w:val="single" w:sz="4" w:space="0" w:color="auto"/>
              <w:right w:val="single" w:sz="4" w:space="0" w:color="auto"/>
            </w:tcBorders>
            <w:shd w:val="clear" w:color="auto" w:fill="FFFFFF"/>
          </w:tcPr>
          <w:p w14:paraId="0AD0D3F5" w14:textId="77777777" w:rsidR="00063DC0" w:rsidRPr="00063DC0" w:rsidRDefault="00063DC0" w:rsidP="00063DC0">
            <w:pPr>
              <w:snapToGrid w:val="0"/>
              <w:spacing w:before="40" w:after="40"/>
              <w:rPr>
                <w:sz w:val="17"/>
                <w:szCs w:val="17"/>
                <w:lang w:eastAsia="en-GB"/>
              </w:rPr>
            </w:pPr>
          </w:p>
        </w:tc>
        <w:tc>
          <w:tcPr>
            <w:tcW w:w="851" w:type="dxa"/>
            <w:tcBorders>
              <w:left w:val="single" w:sz="4" w:space="0" w:color="auto"/>
              <w:right w:val="single" w:sz="4" w:space="0" w:color="auto"/>
            </w:tcBorders>
            <w:shd w:val="clear" w:color="auto" w:fill="BFBFBF"/>
          </w:tcPr>
          <w:p w14:paraId="08601A1A" w14:textId="77777777" w:rsidR="00063DC0" w:rsidRPr="00063DC0" w:rsidRDefault="00063DC0" w:rsidP="00063DC0">
            <w:pPr>
              <w:snapToGrid w:val="0"/>
              <w:spacing w:before="40" w:after="40"/>
              <w:rPr>
                <w:sz w:val="17"/>
                <w:szCs w:val="17"/>
                <w:lang w:eastAsia="en-GB"/>
              </w:rPr>
            </w:pPr>
          </w:p>
        </w:tc>
        <w:tc>
          <w:tcPr>
            <w:tcW w:w="1416" w:type="dxa"/>
            <w:tcBorders>
              <w:left w:val="single" w:sz="4" w:space="0" w:color="auto"/>
              <w:right w:val="single" w:sz="4" w:space="0" w:color="auto"/>
            </w:tcBorders>
          </w:tcPr>
          <w:p w14:paraId="69D5FE7B" w14:textId="77777777" w:rsidR="00063DC0" w:rsidRPr="00063DC0" w:rsidRDefault="00063DC0" w:rsidP="00063DC0">
            <w:pPr>
              <w:snapToGrid w:val="0"/>
              <w:spacing w:before="40" w:after="40"/>
              <w:rPr>
                <w:sz w:val="17"/>
                <w:szCs w:val="17"/>
                <w:lang w:eastAsia="en-GB"/>
              </w:rPr>
            </w:pPr>
            <w:r w:rsidRPr="00063DC0">
              <w:rPr>
                <w:sz w:val="17"/>
                <w:szCs w:val="17"/>
                <w:lang w:eastAsia="en-GB"/>
              </w:rPr>
              <w:t>1.4</w:t>
            </w:r>
          </w:p>
        </w:tc>
        <w:tc>
          <w:tcPr>
            <w:tcW w:w="993" w:type="dxa"/>
            <w:tcBorders>
              <w:left w:val="single" w:sz="4" w:space="0" w:color="auto"/>
              <w:right w:val="single" w:sz="4" w:space="0" w:color="auto"/>
            </w:tcBorders>
          </w:tcPr>
          <w:p w14:paraId="5190A6E0" w14:textId="77777777" w:rsidR="00063DC0" w:rsidRPr="00063DC0" w:rsidRDefault="00063DC0" w:rsidP="00063DC0">
            <w:pPr>
              <w:snapToGrid w:val="0"/>
              <w:spacing w:before="40" w:after="40"/>
              <w:rPr>
                <w:sz w:val="17"/>
                <w:szCs w:val="17"/>
                <w:lang w:eastAsia="en-GB"/>
              </w:rPr>
            </w:pPr>
          </w:p>
        </w:tc>
        <w:tc>
          <w:tcPr>
            <w:tcW w:w="709" w:type="dxa"/>
            <w:tcBorders>
              <w:left w:val="single" w:sz="4" w:space="0" w:color="auto"/>
              <w:right w:val="single" w:sz="4" w:space="0" w:color="auto"/>
            </w:tcBorders>
          </w:tcPr>
          <w:p w14:paraId="355EB252" w14:textId="77777777" w:rsidR="00063DC0" w:rsidRPr="00063DC0" w:rsidRDefault="00063DC0" w:rsidP="00063DC0">
            <w:pPr>
              <w:snapToGrid w:val="0"/>
              <w:spacing w:before="40" w:after="40"/>
              <w:rPr>
                <w:sz w:val="17"/>
                <w:szCs w:val="17"/>
                <w:lang w:eastAsia="en-GB"/>
              </w:rPr>
            </w:pPr>
          </w:p>
        </w:tc>
      </w:tr>
      <w:tr w:rsidR="00063DC0" w:rsidRPr="00063DC0" w14:paraId="25E6BDBD" w14:textId="77777777" w:rsidTr="00063DC0">
        <w:trPr>
          <w:cantSplit/>
        </w:trPr>
        <w:tc>
          <w:tcPr>
            <w:tcW w:w="425" w:type="dxa"/>
            <w:tcBorders>
              <w:left w:val="nil"/>
              <w:right w:val="single" w:sz="4" w:space="0" w:color="auto"/>
            </w:tcBorders>
          </w:tcPr>
          <w:p w14:paraId="4DAC861E" w14:textId="77777777" w:rsidR="00063DC0" w:rsidRPr="00063DC0" w:rsidRDefault="00063DC0" w:rsidP="00063DC0">
            <w:pPr>
              <w:snapToGrid w:val="0"/>
              <w:spacing w:before="40" w:after="40"/>
              <w:rPr>
                <w:sz w:val="17"/>
                <w:szCs w:val="17"/>
                <w:lang w:eastAsia="en-GB"/>
              </w:rPr>
            </w:pPr>
            <w:r w:rsidRPr="00063DC0">
              <w:rPr>
                <w:sz w:val="17"/>
                <w:szCs w:val="17"/>
                <w:lang w:eastAsia="en-GB"/>
              </w:rPr>
              <w:t>2</w:t>
            </w:r>
          </w:p>
        </w:tc>
        <w:tc>
          <w:tcPr>
            <w:tcW w:w="2977" w:type="dxa"/>
            <w:tcBorders>
              <w:left w:val="single" w:sz="4" w:space="0" w:color="auto"/>
              <w:right w:val="single" w:sz="4" w:space="0" w:color="auto"/>
            </w:tcBorders>
          </w:tcPr>
          <w:p w14:paraId="6EA1FF04" w14:textId="77777777" w:rsidR="00063DC0" w:rsidRPr="00063DC0" w:rsidRDefault="00063DC0" w:rsidP="00063DC0">
            <w:pPr>
              <w:snapToGrid w:val="0"/>
              <w:spacing w:before="40" w:after="40"/>
              <w:rPr>
                <w:sz w:val="17"/>
                <w:szCs w:val="17"/>
                <w:lang w:eastAsia="en-GB"/>
              </w:rPr>
            </w:pPr>
            <w:r w:rsidRPr="00063DC0">
              <w:rPr>
                <w:sz w:val="17"/>
                <w:szCs w:val="17"/>
                <w:lang w:eastAsia="en-GB"/>
              </w:rPr>
              <w:t xml:space="preserve">IMM (CCR) approach </w:t>
            </w:r>
          </w:p>
        </w:tc>
        <w:tc>
          <w:tcPr>
            <w:tcW w:w="1134" w:type="dxa"/>
            <w:tcBorders>
              <w:left w:val="single" w:sz="4" w:space="0" w:color="auto"/>
              <w:right w:val="single" w:sz="4" w:space="0" w:color="auto"/>
            </w:tcBorders>
            <w:shd w:val="clear" w:color="auto" w:fill="BFBFBF"/>
          </w:tcPr>
          <w:p w14:paraId="57C13FA7" w14:textId="77777777" w:rsidR="00063DC0" w:rsidRPr="00063DC0" w:rsidRDefault="00063DC0" w:rsidP="00063DC0">
            <w:pPr>
              <w:snapToGrid w:val="0"/>
              <w:spacing w:before="40" w:after="40"/>
              <w:rPr>
                <w:sz w:val="17"/>
                <w:szCs w:val="17"/>
                <w:lang w:eastAsia="en-GB"/>
              </w:rPr>
            </w:pPr>
          </w:p>
        </w:tc>
        <w:tc>
          <w:tcPr>
            <w:tcW w:w="709" w:type="dxa"/>
            <w:tcBorders>
              <w:left w:val="single" w:sz="4" w:space="0" w:color="auto"/>
              <w:right w:val="single" w:sz="4" w:space="0" w:color="auto"/>
            </w:tcBorders>
            <w:shd w:val="clear" w:color="auto" w:fill="BFBFBF"/>
          </w:tcPr>
          <w:p w14:paraId="2BB3C59B" w14:textId="77777777" w:rsidR="00063DC0" w:rsidRPr="00063DC0" w:rsidRDefault="00063DC0" w:rsidP="00063DC0">
            <w:pPr>
              <w:snapToGrid w:val="0"/>
              <w:spacing w:before="40" w:after="40"/>
              <w:rPr>
                <w:sz w:val="17"/>
                <w:szCs w:val="17"/>
                <w:lang w:eastAsia="en-GB"/>
              </w:rPr>
            </w:pPr>
          </w:p>
        </w:tc>
        <w:tc>
          <w:tcPr>
            <w:tcW w:w="851" w:type="dxa"/>
            <w:tcBorders>
              <w:left w:val="single" w:sz="4" w:space="0" w:color="auto"/>
              <w:right w:val="single" w:sz="4" w:space="0" w:color="auto"/>
            </w:tcBorders>
          </w:tcPr>
          <w:p w14:paraId="2AB0A047" w14:textId="77777777" w:rsidR="00063DC0" w:rsidRPr="00063DC0" w:rsidRDefault="00063DC0" w:rsidP="00063DC0">
            <w:pPr>
              <w:snapToGrid w:val="0"/>
              <w:spacing w:before="40" w:after="40"/>
              <w:rPr>
                <w:sz w:val="17"/>
                <w:szCs w:val="17"/>
                <w:lang w:eastAsia="en-GB"/>
              </w:rPr>
            </w:pPr>
          </w:p>
        </w:tc>
        <w:tc>
          <w:tcPr>
            <w:tcW w:w="1416" w:type="dxa"/>
            <w:tcBorders>
              <w:left w:val="single" w:sz="4" w:space="0" w:color="auto"/>
              <w:right w:val="single" w:sz="4" w:space="0" w:color="auto"/>
            </w:tcBorders>
          </w:tcPr>
          <w:p w14:paraId="55019CE2" w14:textId="77777777" w:rsidR="00063DC0" w:rsidRPr="00063DC0" w:rsidRDefault="00063DC0" w:rsidP="00063DC0">
            <w:pPr>
              <w:snapToGrid w:val="0"/>
              <w:spacing w:before="40" w:after="40"/>
              <w:rPr>
                <w:sz w:val="17"/>
                <w:szCs w:val="17"/>
                <w:lang w:eastAsia="en-GB"/>
              </w:rPr>
            </w:pPr>
          </w:p>
        </w:tc>
        <w:tc>
          <w:tcPr>
            <w:tcW w:w="993" w:type="dxa"/>
            <w:tcBorders>
              <w:left w:val="single" w:sz="4" w:space="0" w:color="auto"/>
              <w:right w:val="single" w:sz="4" w:space="0" w:color="auto"/>
            </w:tcBorders>
          </w:tcPr>
          <w:p w14:paraId="39EC62D1" w14:textId="77777777" w:rsidR="00063DC0" w:rsidRPr="00063DC0" w:rsidRDefault="00063DC0" w:rsidP="00063DC0">
            <w:pPr>
              <w:snapToGrid w:val="0"/>
              <w:spacing w:before="40" w:after="40"/>
              <w:rPr>
                <w:sz w:val="17"/>
                <w:szCs w:val="17"/>
                <w:lang w:eastAsia="en-GB"/>
              </w:rPr>
            </w:pPr>
          </w:p>
        </w:tc>
        <w:tc>
          <w:tcPr>
            <w:tcW w:w="709" w:type="dxa"/>
            <w:tcBorders>
              <w:left w:val="single" w:sz="4" w:space="0" w:color="auto"/>
              <w:right w:val="single" w:sz="4" w:space="0" w:color="auto"/>
            </w:tcBorders>
          </w:tcPr>
          <w:p w14:paraId="3C97C82A" w14:textId="77777777" w:rsidR="00063DC0" w:rsidRPr="00063DC0" w:rsidRDefault="00063DC0" w:rsidP="00063DC0">
            <w:pPr>
              <w:snapToGrid w:val="0"/>
              <w:spacing w:before="40" w:after="40"/>
              <w:rPr>
                <w:sz w:val="17"/>
                <w:szCs w:val="17"/>
                <w:lang w:eastAsia="en-GB"/>
              </w:rPr>
            </w:pPr>
          </w:p>
        </w:tc>
      </w:tr>
      <w:tr w:rsidR="00063DC0" w:rsidRPr="00063DC0" w14:paraId="43A94329" w14:textId="77777777" w:rsidTr="00063DC0">
        <w:trPr>
          <w:cantSplit/>
        </w:trPr>
        <w:tc>
          <w:tcPr>
            <w:tcW w:w="425" w:type="dxa"/>
            <w:tcBorders>
              <w:left w:val="nil"/>
              <w:right w:val="single" w:sz="4" w:space="0" w:color="auto"/>
            </w:tcBorders>
          </w:tcPr>
          <w:p w14:paraId="2009C445" w14:textId="77777777" w:rsidR="00063DC0" w:rsidRPr="00063DC0" w:rsidRDefault="00063DC0" w:rsidP="00063DC0">
            <w:pPr>
              <w:snapToGrid w:val="0"/>
              <w:spacing w:before="40" w:after="40"/>
              <w:rPr>
                <w:sz w:val="17"/>
                <w:szCs w:val="17"/>
                <w:lang w:eastAsia="en-GB"/>
              </w:rPr>
            </w:pPr>
            <w:r w:rsidRPr="00063DC0">
              <w:rPr>
                <w:sz w:val="17"/>
                <w:szCs w:val="17"/>
                <w:lang w:eastAsia="en-GB"/>
              </w:rPr>
              <w:t>3</w:t>
            </w:r>
          </w:p>
        </w:tc>
        <w:tc>
          <w:tcPr>
            <w:tcW w:w="2977" w:type="dxa"/>
            <w:tcBorders>
              <w:left w:val="single" w:sz="4" w:space="0" w:color="auto"/>
              <w:right w:val="single" w:sz="4" w:space="0" w:color="auto"/>
            </w:tcBorders>
          </w:tcPr>
          <w:p w14:paraId="31BB3EEB" w14:textId="77777777" w:rsidR="00063DC0" w:rsidRPr="00063DC0" w:rsidRDefault="00063DC0" w:rsidP="00063DC0">
            <w:pPr>
              <w:snapToGrid w:val="0"/>
              <w:spacing w:before="40" w:after="40"/>
              <w:rPr>
                <w:sz w:val="17"/>
                <w:szCs w:val="17"/>
                <w:lang w:eastAsia="en-GB"/>
              </w:rPr>
            </w:pPr>
            <w:r w:rsidRPr="00063DC0">
              <w:rPr>
                <w:sz w:val="17"/>
                <w:szCs w:val="17"/>
                <w:lang w:eastAsia="en-GB"/>
              </w:rPr>
              <w:t>Simple approach (for SFTs)</w:t>
            </w:r>
          </w:p>
        </w:tc>
        <w:tc>
          <w:tcPr>
            <w:tcW w:w="1134" w:type="dxa"/>
            <w:tcBorders>
              <w:left w:val="single" w:sz="4" w:space="0" w:color="auto"/>
              <w:right w:val="single" w:sz="4" w:space="0" w:color="auto"/>
            </w:tcBorders>
            <w:shd w:val="clear" w:color="auto" w:fill="BFBFBF"/>
          </w:tcPr>
          <w:p w14:paraId="77698B85" w14:textId="77777777" w:rsidR="00063DC0" w:rsidRPr="00063DC0" w:rsidRDefault="00063DC0" w:rsidP="00063DC0">
            <w:pPr>
              <w:snapToGrid w:val="0"/>
              <w:spacing w:before="40" w:after="40"/>
              <w:rPr>
                <w:sz w:val="17"/>
                <w:szCs w:val="17"/>
                <w:lang w:eastAsia="en-GB"/>
              </w:rPr>
            </w:pPr>
          </w:p>
        </w:tc>
        <w:tc>
          <w:tcPr>
            <w:tcW w:w="709" w:type="dxa"/>
            <w:tcBorders>
              <w:left w:val="single" w:sz="4" w:space="0" w:color="auto"/>
              <w:right w:val="single" w:sz="4" w:space="0" w:color="auto"/>
            </w:tcBorders>
            <w:shd w:val="clear" w:color="auto" w:fill="BFBFBF"/>
          </w:tcPr>
          <w:p w14:paraId="271A5877" w14:textId="77777777" w:rsidR="00063DC0" w:rsidRPr="00063DC0" w:rsidRDefault="00063DC0" w:rsidP="00063DC0">
            <w:pPr>
              <w:snapToGrid w:val="0"/>
              <w:spacing w:before="40" w:after="40"/>
              <w:rPr>
                <w:sz w:val="17"/>
                <w:szCs w:val="17"/>
                <w:lang w:eastAsia="en-GB"/>
              </w:rPr>
            </w:pPr>
          </w:p>
        </w:tc>
        <w:tc>
          <w:tcPr>
            <w:tcW w:w="851" w:type="dxa"/>
            <w:tcBorders>
              <w:left w:val="single" w:sz="4" w:space="0" w:color="auto"/>
              <w:right w:val="single" w:sz="4" w:space="0" w:color="auto"/>
            </w:tcBorders>
            <w:shd w:val="clear" w:color="auto" w:fill="BFBFBF"/>
          </w:tcPr>
          <w:p w14:paraId="38C09D7B" w14:textId="77777777" w:rsidR="00063DC0" w:rsidRPr="00063DC0" w:rsidRDefault="00063DC0" w:rsidP="00063DC0">
            <w:pPr>
              <w:snapToGrid w:val="0"/>
              <w:spacing w:before="40" w:after="40"/>
              <w:rPr>
                <w:sz w:val="17"/>
                <w:szCs w:val="17"/>
                <w:lang w:eastAsia="en-GB"/>
              </w:rPr>
            </w:pPr>
          </w:p>
        </w:tc>
        <w:tc>
          <w:tcPr>
            <w:tcW w:w="1416" w:type="dxa"/>
            <w:tcBorders>
              <w:left w:val="single" w:sz="4" w:space="0" w:color="auto"/>
              <w:right w:val="single" w:sz="4" w:space="0" w:color="auto"/>
            </w:tcBorders>
            <w:shd w:val="clear" w:color="auto" w:fill="BFBFBF"/>
          </w:tcPr>
          <w:p w14:paraId="50663FC4" w14:textId="77777777" w:rsidR="00063DC0" w:rsidRPr="00063DC0" w:rsidRDefault="00063DC0" w:rsidP="00063DC0">
            <w:pPr>
              <w:snapToGrid w:val="0"/>
              <w:spacing w:before="40" w:after="40"/>
              <w:rPr>
                <w:sz w:val="17"/>
                <w:szCs w:val="17"/>
                <w:lang w:eastAsia="en-GB"/>
              </w:rPr>
            </w:pPr>
          </w:p>
        </w:tc>
        <w:tc>
          <w:tcPr>
            <w:tcW w:w="993" w:type="dxa"/>
            <w:tcBorders>
              <w:left w:val="single" w:sz="4" w:space="0" w:color="auto"/>
              <w:right w:val="single" w:sz="4" w:space="0" w:color="auto"/>
            </w:tcBorders>
          </w:tcPr>
          <w:p w14:paraId="7DA91200" w14:textId="77777777" w:rsidR="00063DC0" w:rsidRPr="00063DC0" w:rsidRDefault="00063DC0" w:rsidP="00063DC0">
            <w:pPr>
              <w:snapToGrid w:val="0"/>
              <w:spacing w:before="40" w:after="40"/>
              <w:rPr>
                <w:sz w:val="17"/>
                <w:szCs w:val="17"/>
                <w:lang w:eastAsia="en-GB"/>
              </w:rPr>
            </w:pPr>
          </w:p>
        </w:tc>
        <w:tc>
          <w:tcPr>
            <w:tcW w:w="709" w:type="dxa"/>
            <w:tcBorders>
              <w:left w:val="single" w:sz="4" w:space="0" w:color="auto"/>
              <w:right w:val="single" w:sz="4" w:space="0" w:color="auto"/>
            </w:tcBorders>
          </w:tcPr>
          <w:p w14:paraId="5A2474FF" w14:textId="77777777" w:rsidR="00063DC0" w:rsidRPr="00063DC0" w:rsidRDefault="00063DC0" w:rsidP="00063DC0">
            <w:pPr>
              <w:snapToGrid w:val="0"/>
              <w:spacing w:before="40" w:after="40"/>
              <w:rPr>
                <w:sz w:val="17"/>
                <w:szCs w:val="17"/>
                <w:lang w:eastAsia="en-GB"/>
              </w:rPr>
            </w:pPr>
          </w:p>
        </w:tc>
      </w:tr>
      <w:tr w:rsidR="00063DC0" w:rsidRPr="00063DC0" w14:paraId="69EBF16D" w14:textId="77777777" w:rsidTr="00063DC0">
        <w:trPr>
          <w:cantSplit/>
        </w:trPr>
        <w:tc>
          <w:tcPr>
            <w:tcW w:w="425" w:type="dxa"/>
            <w:tcBorders>
              <w:left w:val="nil"/>
              <w:right w:val="single" w:sz="4" w:space="0" w:color="auto"/>
            </w:tcBorders>
          </w:tcPr>
          <w:p w14:paraId="4F8264A5" w14:textId="77777777" w:rsidR="00063DC0" w:rsidRPr="00063DC0" w:rsidRDefault="00063DC0" w:rsidP="00063DC0">
            <w:pPr>
              <w:snapToGrid w:val="0"/>
              <w:spacing w:before="40" w:after="40"/>
              <w:rPr>
                <w:sz w:val="17"/>
                <w:szCs w:val="17"/>
                <w:lang w:eastAsia="en-GB"/>
              </w:rPr>
            </w:pPr>
            <w:r w:rsidRPr="00063DC0">
              <w:rPr>
                <w:sz w:val="17"/>
                <w:szCs w:val="17"/>
                <w:lang w:eastAsia="en-GB"/>
              </w:rPr>
              <w:t>4</w:t>
            </w:r>
          </w:p>
        </w:tc>
        <w:tc>
          <w:tcPr>
            <w:tcW w:w="2977" w:type="dxa"/>
            <w:tcBorders>
              <w:left w:val="single" w:sz="4" w:space="0" w:color="auto"/>
              <w:right w:val="single" w:sz="4" w:space="0" w:color="auto"/>
            </w:tcBorders>
          </w:tcPr>
          <w:p w14:paraId="585BE53B" w14:textId="77777777" w:rsidR="00063DC0" w:rsidRPr="00063DC0" w:rsidRDefault="00063DC0" w:rsidP="00063DC0">
            <w:pPr>
              <w:snapToGrid w:val="0"/>
              <w:spacing w:before="40" w:after="40"/>
              <w:rPr>
                <w:sz w:val="17"/>
                <w:szCs w:val="17"/>
                <w:lang w:eastAsia="en-GB"/>
              </w:rPr>
            </w:pPr>
            <w:r w:rsidRPr="00063DC0">
              <w:rPr>
                <w:sz w:val="17"/>
                <w:szCs w:val="17"/>
                <w:lang w:eastAsia="en-GB"/>
              </w:rPr>
              <w:t>Comprehensive approach (for SFTs)</w:t>
            </w:r>
          </w:p>
        </w:tc>
        <w:tc>
          <w:tcPr>
            <w:tcW w:w="1134" w:type="dxa"/>
            <w:tcBorders>
              <w:left w:val="single" w:sz="4" w:space="0" w:color="auto"/>
              <w:right w:val="single" w:sz="4" w:space="0" w:color="auto"/>
            </w:tcBorders>
            <w:shd w:val="clear" w:color="auto" w:fill="BFBFBF"/>
          </w:tcPr>
          <w:p w14:paraId="5875F9B9" w14:textId="77777777" w:rsidR="00063DC0" w:rsidRPr="00063DC0" w:rsidRDefault="00063DC0" w:rsidP="00063DC0">
            <w:pPr>
              <w:snapToGrid w:val="0"/>
              <w:spacing w:before="40" w:after="40"/>
              <w:rPr>
                <w:sz w:val="17"/>
                <w:szCs w:val="17"/>
                <w:lang w:eastAsia="en-GB"/>
              </w:rPr>
            </w:pPr>
          </w:p>
        </w:tc>
        <w:tc>
          <w:tcPr>
            <w:tcW w:w="709" w:type="dxa"/>
            <w:tcBorders>
              <w:left w:val="single" w:sz="4" w:space="0" w:color="auto"/>
              <w:right w:val="single" w:sz="4" w:space="0" w:color="auto"/>
            </w:tcBorders>
            <w:shd w:val="clear" w:color="auto" w:fill="BFBFBF"/>
          </w:tcPr>
          <w:p w14:paraId="40FA209F" w14:textId="77777777" w:rsidR="00063DC0" w:rsidRPr="00063DC0" w:rsidRDefault="00063DC0" w:rsidP="00063DC0">
            <w:pPr>
              <w:snapToGrid w:val="0"/>
              <w:spacing w:before="40" w:after="40"/>
              <w:rPr>
                <w:sz w:val="17"/>
                <w:szCs w:val="17"/>
                <w:lang w:eastAsia="en-GB"/>
              </w:rPr>
            </w:pPr>
          </w:p>
        </w:tc>
        <w:tc>
          <w:tcPr>
            <w:tcW w:w="851" w:type="dxa"/>
            <w:tcBorders>
              <w:left w:val="single" w:sz="4" w:space="0" w:color="auto"/>
              <w:right w:val="single" w:sz="4" w:space="0" w:color="auto"/>
            </w:tcBorders>
            <w:shd w:val="clear" w:color="auto" w:fill="BFBFBF"/>
          </w:tcPr>
          <w:p w14:paraId="56C25B9C" w14:textId="77777777" w:rsidR="00063DC0" w:rsidRPr="00063DC0" w:rsidRDefault="00063DC0" w:rsidP="00063DC0">
            <w:pPr>
              <w:snapToGrid w:val="0"/>
              <w:spacing w:before="40" w:after="40"/>
              <w:rPr>
                <w:sz w:val="17"/>
                <w:szCs w:val="17"/>
                <w:lang w:eastAsia="en-GB"/>
              </w:rPr>
            </w:pPr>
          </w:p>
        </w:tc>
        <w:tc>
          <w:tcPr>
            <w:tcW w:w="1416" w:type="dxa"/>
            <w:tcBorders>
              <w:left w:val="single" w:sz="4" w:space="0" w:color="auto"/>
              <w:right w:val="single" w:sz="4" w:space="0" w:color="auto"/>
            </w:tcBorders>
            <w:shd w:val="clear" w:color="auto" w:fill="BFBFBF"/>
          </w:tcPr>
          <w:p w14:paraId="7941666E" w14:textId="77777777" w:rsidR="00063DC0" w:rsidRPr="00063DC0" w:rsidRDefault="00063DC0" w:rsidP="00063DC0">
            <w:pPr>
              <w:snapToGrid w:val="0"/>
              <w:spacing w:before="40" w:after="40"/>
              <w:rPr>
                <w:sz w:val="17"/>
                <w:szCs w:val="17"/>
                <w:lang w:eastAsia="en-GB"/>
              </w:rPr>
            </w:pPr>
          </w:p>
        </w:tc>
        <w:tc>
          <w:tcPr>
            <w:tcW w:w="993" w:type="dxa"/>
            <w:tcBorders>
              <w:left w:val="single" w:sz="4" w:space="0" w:color="auto"/>
              <w:right w:val="single" w:sz="4" w:space="0" w:color="auto"/>
            </w:tcBorders>
          </w:tcPr>
          <w:p w14:paraId="5D038657" w14:textId="77777777" w:rsidR="00063DC0" w:rsidRPr="00063DC0" w:rsidRDefault="00063DC0" w:rsidP="00063DC0">
            <w:pPr>
              <w:snapToGrid w:val="0"/>
              <w:spacing w:before="40" w:after="40"/>
              <w:rPr>
                <w:sz w:val="17"/>
                <w:szCs w:val="17"/>
                <w:lang w:eastAsia="en-GB"/>
              </w:rPr>
            </w:pPr>
          </w:p>
        </w:tc>
        <w:tc>
          <w:tcPr>
            <w:tcW w:w="709" w:type="dxa"/>
            <w:tcBorders>
              <w:left w:val="single" w:sz="4" w:space="0" w:color="auto"/>
              <w:right w:val="single" w:sz="4" w:space="0" w:color="auto"/>
            </w:tcBorders>
          </w:tcPr>
          <w:p w14:paraId="6B45A586" w14:textId="77777777" w:rsidR="00063DC0" w:rsidRPr="00063DC0" w:rsidRDefault="00063DC0" w:rsidP="00063DC0">
            <w:pPr>
              <w:snapToGrid w:val="0"/>
              <w:spacing w:before="40" w:after="40"/>
              <w:rPr>
                <w:sz w:val="17"/>
                <w:szCs w:val="17"/>
                <w:lang w:eastAsia="en-GB"/>
              </w:rPr>
            </w:pPr>
          </w:p>
        </w:tc>
      </w:tr>
      <w:tr w:rsidR="00063DC0" w:rsidRPr="00063DC0" w14:paraId="3012CEC9" w14:textId="77777777" w:rsidTr="00063DC0">
        <w:trPr>
          <w:cantSplit/>
        </w:trPr>
        <w:tc>
          <w:tcPr>
            <w:tcW w:w="425" w:type="dxa"/>
            <w:tcBorders>
              <w:left w:val="nil"/>
              <w:right w:val="single" w:sz="4" w:space="0" w:color="auto"/>
            </w:tcBorders>
          </w:tcPr>
          <w:p w14:paraId="1B99C43B" w14:textId="77777777" w:rsidR="00063DC0" w:rsidRPr="00063DC0" w:rsidRDefault="00063DC0" w:rsidP="00063DC0">
            <w:pPr>
              <w:snapToGrid w:val="0"/>
              <w:spacing w:before="40" w:after="40"/>
              <w:rPr>
                <w:sz w:val="17"/>
                <w:szCs w:val="17"/>
                <w:lang w:eastAsia="en-GB"/>
              </w:rPr>
            </w:pPr>
            <w:r w:rsidRPr="00063DC0">
              <w:rPr>
                <w:sz w:val="17"/>
                <w:szCs w:val="17"/>
                <w:lang w:eastAsia="en-GB"/>
              </w:rPr>
              <w:t>5</w:t>
            </w:r>
          </w:p>
        </w:tc>
        <w:tc>
          <w:tcPr>
            <w:tcW w:w="2977" w:type="dxa"/>
            <w:tcBorders>
              <w:left w:val="single" w:sz="4" w:space="0" w:color="auto"/>
              <w:right w:val="single" w:sz="4" w:space="0" w:color="auto"/>
            </w:tcBorders>
          </w:tcPr>
          <w:p w14:paraId="7509D8E8" w14:textId="77777777" w:rsidR="00063DC0" w:rsidRPr="00063DC0" w:rsidRDefault="00063DC0" w:rsidP="00063DC0">
            <w:pPr>
              <w:snapToGrid w:val="0"/>
              <w:spacing w:before="40" w:after="40"/>
              <w:rPr>
                <w:sz w:val="17"/>
                <w:szCs w:val="17"/>
                <w:lang w:eastAsia="en-GB"/>
              </w:rPr>
            </w:pPr>
            <w:r w:rsidRPr="00063DC0">
              <w:rPr>
                <w:sz w:val="17"/>
                <w:szCs w:val="17"/>
                <w:lang w:eastAsia="en-GB"/>
              </w:rPr>
              <w:t>VaR (for SFTs)</w:t>
            </w:r>
          </w:p>
        </w:tc>
        <w:tc>
          <w:tcPr>
            <w:tcW w:w="1134" w:type="dxa"/>
            <w:tcBorders>
              <w:left w:val="single" w:sz="4" w:space="0" w:color="auto"/>
              <w:right w:val="single" w:sz="4" w:space="0" w:color="auto"/>
            </w:tcBorders>
            <w:shd w:val="clear" w:color="auto" w:fill="BFBFBF"/>
          </w:tcPr>
          <w:p w14:paraId="15D33571" w14:textId="77777777" w:rsidR="00063DC0" w:rsidRPr="00063DC0" w:rsidRDefault="00063DC0" w:rsidP="00063DC0">
            <w:pPr>
              <w:snapToGrid w:val="0"/>
              <w:spacing w:before="40" w:after="40"/>
              <w:rPr>
                <w:sz w:val="17"/>
                <w:szCs w:val="17"/>
                <w:lang w:eastAsia="en-GB"/>
              </w:rPr>
            </w:pPr>
          </w:p>
        </w:tc>
        <w:tc>
          <w:tcPr>
            <w:tcW w:w="709" w:type="dxa"/>
            <w:tcBorders>
              <w:left w:val="single" w:sz="4" w:space="0" w:color="auto"/>
              <w:right w:val="single" w:sz="4" w:space="0" w:color="auto"/>
            </w:tcBorders>
            <w:shd w:val="clear" w:color="auto" w:fill="BFBFBF"/>
          </w:tcPr>
          <w:p w14:paraId="62B5FEF3" w14:textId="77777777" w:rsidR="00063DC0" w:rsidRPr="00063DC0" w:rsidRDefault="00063DC0" w:rsidP="00063DC0">
            <w:pPr>
              <w:snapToGrid w:val="0"/>
              <w:spacing w:before="40" w:after="40"/>
              <w:rPr>
                <w:sz w:val="17"/>
                <w:szCs w:val="17"/>
                <w:lang w:eastAsia="en-GB"/>
              </w:rPr>
            </w:pPr>
          </w:p>
        </w:tc>
        <w:tc>
          <w:tcPr>
            <w:tcW w:w="851" w:type="dxa"/>
            <w:tcBorders>
              <w:left w:val="single" w:sz="4" w:space="0" w:color="auto"/>
              <w:right w:val="single" w:sz="4" w:space="0" w:color="auto"/>
            </w:tcBorders>
            <w:shd w:val="clear" w:color="auto" w:fill="BFBFBF"/>
          </w:tcPr>
          <w:p w14:paraId="7B029461" w14:textId="77777777" w:rsidR="00063DC0" w:rsidRPr="00063DC0" w:rsidRDefault="00063DC0" w:rsidP="00063DC0">
            <w:pPr>
              <w:snapToGrid w:val="0"/>
              <w:spacing w:before="40" w:after="40"/>
              <w:rPr>
                <w:sz w:val="17"/>
                <w:szCs w:val="17"/>
                <w:lang w:eastAsia="en-GB"/>
              </w:rPr>
            </w:pPr>
          </w:p>
        </w:tc>
        <w:tc>
          <w:tcPr>
            <w:tcW w:w="1416" w:type="dxa"/>
            <w:tcBorders>
              <w:left w:val="single" w:sz="4" w:space="0" w:color="auto"/>
              <w:right w:val="single" w:sz="4" w:space="0" w:color="auto"/>
            </w:tcBorders>
            <w:shd w:val="clear" w:color="auto" w:fill="BFBFBF"/>
          </w:tcPr>
          <w:p w14:paraId="2D0340DB" w14:textId="77777777" w:rsidR="00063DC0" w:rsidRPr="00063DC0" w:rsidRDefault="00063DC0" w:rsidP="00063DC0">
            <w:pPr>
              <w:snapToGrid w:val="0"/>
              <w:spacing w:before="40" w:after="40"/>
              <w:rPr>
                <w:sz w:val="17"/>
                <w:szCs w:val="17"/>
                <w:lang w:eastAsia="en-GB"/>
              </w:rPr>
            </w:pPr>
          </w:p>
        </w:tc>
        <w:tc>
          <w:tcPr>
            <w:tcW w:w="993" w:type="dxa"/>
            <w:tcBorders>
              <w:left w:val="single" w:sz="4" w:space="0" w:color="auto"/>
              <w:right w:val="single" w:sz="4" w:space="0" w:color="auto"/>
            </w:tcBorders>
          </w:tcPr>
          <w:p w14:paraId="70DBCF86" w14:textId="77777777" w:rsidR="00063DC0" w:rsidRPr="00063DC0" w:rsidRDefault="00063DC0" w:rsidP="00063DC0">
            <w:pPr>
              <w:snapToGrid w:val="0"/>
              <w:spacing w:before="40" w:after="40"/>
              <w:rPr>
                <w:sz w:val="17"/>
                <w:szCs w:val="17"/>
                <w:lang w:eastAsia="en-GB"/>
              </w:rPr>
            </w:pPr>
          </w:p>
        </w:tc>
        <w:tc>
          <w:tcPr>
            <w:tcW w:w="709" w:type="dxa"/>
            <w:tcBorders>
              <w:left w:val="single" w:sz="4" w:space="0" w:color="auto"/>
              <w:right w:val="single" w:sz="4" w:space="0" w:color="auto"/>
            </w:tcBorders>
          </w:tcPr>
          <w:p w14:paraId="3BB529D6" w14:textId="77777777" w:rsidR="00063DC0" w:rsidRPr="00063DC0" w:rsidRDefault="00063DC0" w:rsidP="00063DC0">
            <w:pPr>
              <w:snapToGrid w:val="0"/>
              <w:spacing w:before="40" w:after="40"/>
              <w:rPr>
                <w:sz w:val="17"/>
                <w:szCs w:val="17"/>
                <w:lang w:eastAsia="en-GB"/>
              </w:rPr>
            </w:pPr>
          </w:p>
        </w:tc>
      </w:tr>
      <w:tr w:rsidR="00063DC0" w:rsidRPr="00063DC0" w14:paraId="0B6A463D" w14:textId="77777777" w:rsidTr="00063DC0">
        <w:trPr>
          <w:cantSplit/>
          <w:trHeight w:val="205"/>
        </w:trPr>
        <w:tc>
          <w:tcPr>
            <w:tcW w:w="425" w:type="dxa"/>
            <w:tcBorders>
              <w:left w:val="nil"/>
              <w:bottom w:val="single" w:sz="4" w:space="0" w:color="auto"/>
              <w:right w:val="single" w:sz="4" w:space="0" w:color="auto"/>
            </w:tcBorders>
          </w:tcPr>
          <w:p w14:paraId="5C93B8E7" w14:textId="77777777" w:rsidR="00063DC0" w:rsidRPr="00063DC0" w:rsidRDefault="00063DC0" w:rsidP="00063DC0">
            <w:pPr>
              <w:snapToGrid w:val="0"/>
              <w:spacing w:before="40" w:after="40"/>
              <w:rPr>
                <w:sz w:val="17"/>
                <w:szCs w:val="17"/>
                <w:lang w:eastAsia="en-GB"/>
              </w:rPr>
            </w:pPr>
            <w:r w:rsidRPr="00063DC0">
              <w:rPr>
                <w:sz w:val="17"/>
                <w:szCs w:val="17"/>
                <w:lang w:eastAsia="en-GB"/>
              </w:rPr>
              <w:t>6</w:t>
            </w:r>
          </w:p>
        </w:tc>
        <w:tc>
          <w:tcPr>
            <w:tcW w:w="2977" w:type="dxa"/>
            <w:tcBorders>
              <w:left w:val="single" w:sz="4" w:space="0" w:color="auto"/>
              <w:bottom w:val="single" w:sz="4" w:space="0" w:color="auto"/>
              <w:right w:val="single" w:sz="4" w:space="0" w:color="auto"/>
            </w:tcBorders>
          </w:tcPr>
          <w:p w14:paraId="2A29657D" w14:textId="77777777" w:rsidR="00063DC0" w:rsidRPr="00063DC0" w:rsidRDefault="00063DC0" w:rsidP="00063DC0">
            <w:pPr>
              <w:snapToGrid w:val="0"/>
              <w:spacing w:before="40" w:after="40"/>
              <w:rPr>
                <w:b/>
                <w:sz w:val="17"/>
                <w:szCs w:val="17"/>
                <w:lang w:eastAsia="en-GB"/>
              </w:rPr>
            </w:pPr>
            <w:r w:rsidRPr="00063DC0">
              <w:rPr>
                <w:b/>
                <w:sz w:val="17"/>
                <w:szCs w:val="17"/>
                <w:lang w:eastAsia="en-GB"/>
              </w:rPr>
              <w:t>Total</w:t>
            </w:r>
          </w:p>
        </w:tc>
        <w:tc>
          <w:tcPr>
            <w:tcW w:w="1134" w:type="dxa"/>
            <w:tcBorders>
              <w:left w:val="single" w:sz="4" w:space="0" w:color="auto"/>
              <w:bottom w:val="single" w:sz="4" w:space="0" w:color="auto"/>
              <w:right w:val="single" w:sz="4" w:space="0" w:color="auto"/>
            </w:tcBorders>
            <w:shd w:val="clear" w:color="auto" w:fill="BFBFBF"/>
          </w:tcPr>
          <w:p w14:paraId="112731A6" w14:textId="77777777" w:rsidR="00063DC0" w:rsidRPr="00063DC0" w:rsidRDefault="00063DC0" w:rsidP="00063DC0">
            <w:pPr>
              <w:snapToGrid w:val="0"/>
              <w:spacing w:before="40" w:after="40"/>
              <w:rPr>
                <w:sz w:val="17"/>
                <w:szCs w:val="17"/>
                <w:lang w:eastAsia="en-GB"/>
              </w:rPr>
            </w:pPr>
          </w:p>
        </w:tc>
        <w:tc>
          <w:tcPr>
            <w:tcW w:w="709" w:type="dxa"/>
            <w:tcBorders>
              <w:left w:val="single" w:sz="4" w:space="0" w:color="auto"/>
              <w:bottom w:val="single" w:sz="4" w:space="0" w:color="auto"/>
              <w:right w:val="single" w:sz="4" w:space="0" w:color="auto"/>
            </w:tcBorders>
            <w:shd w:val="clear" w:color="auto" w:fill="BFBFBF"/>
          </w:tcPr>
          <w:p w14:paraId="27A85A7D" w14:textId="77777777" w:rsidR="00063DC0" w:rsidRPr="00063DC0" w:rsidRDefault="00063DC0" w:rsidP="00063DC0">
            <w:pPr>
              <w:snapToGrid w:val="0"/>
              <w:spacing w:before="40" w:after="40"/>
              <w:rPr>
                <w:sz w:val="17"/>
                <w:szCs w:val="17"/>
                <w:lang w:eastAsia="en-GB"/>
              </w:rPr>
            </w:pPr>
          </w:p>
        </w:tc>
        <w:tc>
          <w:tcPr>
            <w:tcW w:w="851" w:type="dxa"/>
            <w:tcBorders>
              <w:left w:val="single" w:sz="4" w:space="0" w:color="auto"/>
              <w:bottom w:val="single" w:sz="4" w:space="0" w:color="auto"/>
              <w:right w:val="single" w:sz="4" w:space="0" w:color="auto"/>
            </w:tcBorders>
            <w:shd w:val="clear" w:color="auto" w:fill="BFBFBF"/>
          </w:tcPr>
          <w:p w14:paraId="00A43532" w14:textId="77777777" w:rsidR="00063DC0" w:rsidRPr="00063DC0" w:rsidRDefault="00063DC0" w:rsidP="00063DC0">
            <w:pPr>
              <w:snapToGrid w:val="0"/>
              <w:spacing w:before="40" w:after="40"/>
              <w:rPr>
                <w:sz w:val="17"/>
                <w:szCs w:val="17"/>
                <w:lang w:eastAsia="en-GB"/>
              </w:rPr>
            </w:pPr>
          </w:p>
        </w:tc>
        <w:tc>
          <w:tcPr>
            <w:tcW w:w="1416" w:type="dxa"/>
            <w:tcBorders>
              <w:left w:val="single" w:sz="4" w:space="0" w:color="auto"/>
              <w:bottom w:val="single" w:sz="4" w:space="0" w:color="auto"/>
              <w:right w:val="single" w:sz="4" w:space="0" w:color="auto"/>
            </w:tcBorders>
            <w:shd w:val="clear" w:color="auto" w:fill="BFBFBF"/>
          </w:tcPr>
          <w:p w14:paraId="36997317" w14:textId="77777777" w:rsidR="00063DC0" w:rsidRPr="00063DC0" w:rsidRDefault="00063DC0" w:rsidP="00063DC0">
            <w:pPr>
              <w:snapToGrid w:val="0"/>
              <w:spacing w:before="40" w:after="40"/>
              <w:rPr>
                <w:sz w:val="17"/>
                <w:szCs w:val="17"/>
                <w:lang w:eastAsia="en-GB"/>
              </w:rPr>
            </w:pPr>
          </w:p>
        </w:tc>
        <w:tc>
          <w:tcPr>
            <w:tcW w:w="993" w:type="dxa"/>
            <w:tcBorders>
              <w:left w:val="single" w:sz="4" w:space="0" w:color="auto"/>
              <w:bottom w:val="single" w:sz="4" w:space="0" w:color="auto"/>
              <w:right w:val="single" w:sz="4" w:space="0" w:color="auto"/>
            </w:tcBorders>
            <w:shd w:val="clear" w:color="auto" w:fill="BFBFBF"/>
          </w:tcPr>
          <w:p w14:paraId="37E10E7A" w14:textId="77777777" w:rsidR="00063DC0" w:rsidRPr="00063DC0" w:rsidRDefault="00063DC0" w:rsidP="00063DC0">
            <w:pPr>
              <w:snapToGrid w:val="0"/>
              <w:spacing w:before="40" w:after="40"/>
              <w:rPr>
                <w:sz w:val="17"/>
                <w:szCs w:val="17"/>
                <w:lang w:eastAsia="en-GB"/>
              </w:rPr>
            </w:pPr>
          </w:p>
        </w:tc>
        <w:tc>
          <w:tcPr>
            <w:tcW w:w="709" w:type="dxa"/>
            <w:tcBorders>
              <w:left w:val="single" w:sz="4" w:space="0" w:color="auto"/>
              <w:bottom w:val="single" w:sz="4" w:space="0" w:color="auto"/>
              <w:right w:val="single" w:sz="4" w:space="0" w:color="auto"/>
            </w:tcBorders>
          </w:tcPr>
          <w:p w14:paraId="4FF52A72" w14:textId="77777777" w:rsidR="00063DC0" w:rsidRPr="00063DC0" w:rsidRDefault="00063DC0" w:rsidP="00063DC0">
            <w:pPr>
              <w:snapToGrid w:val="0"/>
              <w:spacing w:before="40" w:after="40"/>
              <w:rPr>
                <w:sz w:val="17"/>
                <w:szCs w:val="17"/>
                <w:lang w:eastAsia="en-GB"/>
              </w:rPr>
            </w:pPr>
          </w:p>
        </w:tc>
      </w:tr>
    </w:tbl>
    <w:p w14:paraId="211B213D" w14:textId="77777777" w:rsidR="00063DC0" w:rsidRPr="00063DC0" w:rsidRDefault="00063DC0" w:rsidP="00063DC0">
      <w:pPr>
        <w:spacing w:before="120" w:after="120"/>
        <w:ind w:leftChars="-283" w:left="-566"/>
        <w:rPr>
          <w:sz w:val="22"/>
        </w:rPr>
      </w:pPr>
    </w:p>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8789"/>
      </w:tblGrid>
      <w:tr w:rsidR="00063DC0" w:rsidRPr="00063DC0" w14:paraId="59346E82" w14:textId="77777777" w:rsidTr="00E404D5">
        <w:trPr>
          <w:trHeight w:val="484"/>
          <w:tblHeader/>
        </w:trPr>
        <w:tc>
          <w:tcPr>
            <w:tcW w:w="9214" w:type="dxa"/>
            <w:gridSpan w:val="2"/>
            <w:shd w:val="clear" w:color="auto" w:fill="BFBFBF"/>
          </w:tcPr>
          <w:p w14:paraId="28D6F2FC" w14:textId="77777777" w:rsidR="00063DC0" w:rsidRPr="00063DC0" w:rsidRDefault="00063DC0" w:rsidP="00063DC0">
            <w:pPr>
              <w:spacing w:before="40" w:after="40"/>
              <w:jc w:val="both"/>
              <w:rPr>
                <w:rFonts w:eastAsia="新細明體"/>
                <w:b/>
                <w:sz w:val="17"/>
                <w:szCs w:val="17"/>
                <w:lang w:eastAsia="en-GB"/>
              </w:rPr>
            </w:pPr>
            <w:r w:rsidRPr="00063DC0">
              <w:rPr>
                <w:rFonts w:eastAsia="新細明體"/>
                <w:b/>
                <w:sz w:val="17"/>
                <w:szCs w:val="17"/>
                <w:lang w:eastAsia="en-GB"/>
              </w:rPr>
              <w:t>Explanatory Note</w:t>
            </w:r>
          </w:p>
        </w:tc>
      </w:tr>
      <w:tr w:rsidR="00063DC0" w:rsidRPr="00063DC0" w14:paraId="16929CE8" w14:textId="77777777" w:rsidTr="00063DC0">
        <w:trPr>
          <w:trHeight w:val="153"/>
        </w:trPr>
        <w:tc>
          <w:tcPr>
            <w:tcW w:w="9214" w:type="dxa"/>
            <w:gridSpan w:val="2"/>
            <w:shd w:val="clear" w:color="auto" w:fill="F2F2F2"/>
          </w:tcPr>
          <w:p w14:paraId="4B805D93" w14:textId="77777777" w:rsidR="00063DC0" w:rsidRPr="00063DC0" w:rsidRDefault="00063DC0" w:rsidP="00063DC0">
            <w:pPr>
              <w:spacing w:before="40" w:after="40"/>
              <w:jc w:val="both"/>
              <w:rPr>
                <w:rFonts w:eastAsia="新細明體"/>
                <w:b/>
                <w:sz w:val="17"/>
                <w:szCs w:val="17"/>
                <w:lang w:eastAsia="en-GB"/>
              </w:rPr>
            </w:pPr>
            <w:r w:rsidRPr="00063DC0">
              <w:rPr>
                <w:rFonts w:eastAsia="新細明體"/>
                <w:b/>
                <w:sz w:val="17"/>
                <w:szCs w:val="17"/>
                <w:lang w:eastAsia="en-GB"/>
              </w:rPr>
              <w:t>Columns</w:t>
            </w:r>
          </w:p>
        </w:tc>
      </w:tr>
      <w:tr w:rsidR="00063DC0" w:rsidRPr="00063DC0" w14:paraId="4A153AB8" w14:textId="77777777" w:rsidTr="00063DC0">
        <w:tc>
          <w:tcPr>
            <w:tcW w:w="425" w:type="dxa"/>
          </w:tcPr>
          <w:p w14:paraId="119A3538" w14:textId="77777777" w:rsidR="00063DC0" w:rsidRPr="00063DC0" w:rsidRDefault="00063DC0" w:rsidP="00063DC0">
            <w:pPr>
              <w:keepLines/>
              <w:spacing w:before="20" w:after="20"/>
              <w:ind w:rightChars="-54" w:right="-108"/>
              <w:rPr>
                <w:rFonts w:cs="Segoe UI"/>
                <w:sz w:val="17"/>
                <w:szCs w:val="17"/>
                <w:lang w:eastAsia="en-GB"/>
              </w:rPr>
            </w:pPr>
            <w:r w:rsidRPr="00063DC0">
              <w:rPr>
                <w:rFonts w:cs="Segoe UI"/>
                <w:sz w:val="17"/>
                <w:szCs w:val="17"/>
                <w:lang w:eastAsia="en-GB"/>
              </w:rPr>
              <w:t>(a)</w:t>
            </w:r>
          </w:p>
        </w:tc>
        <w:tc>
          <w:tcPr>
            <w:tcW w:w="8789" w:type="dxa"/>
          </w:tcPr>
          <w:p w14:paraId="63F85D03" w14:textId="77777777" w:rsidR="00063DC0" w:rsidRPr="00063DC0" w:rsidRDefault="00063DC0" w:rsidP="00AF458A">
            <w:pPr>
              <w:keepNext/>
              <w:spacing w:before="40" w:after="40"/>
              <w:ind w:left="63"/>
              <w:jc w:val="both"/>
              <w:rPr>
                <w:rFonts w:cs="Segoe UI"/>
                <w:sz w:val="17"/>
                <w:szCs w:val="17"/>
                <w:lang w:eastAsia="en-GB"/>
              </w:rPr>
            </w:pPr>
            <w:r w:rsidRPr="00063DC0">
              <w:rPr>
                <w:i/>
                <w:sz w:val="17"/>
                <w:szCs w:val="17"/>
              </w:rPr>
              <w:t>Replacement Cost (RC)</w:t>
            </w:r>
            <w:r w:rsidRPr="00063DC0">
              <w:rPr>
                <w:sz w:val="17"/>
                <w:szCs w:val="17"/>
              </w:rPr>
              <w:t>: for the SA-CCR</w:t>
            </w:r>
            <w:r w:rsidRPr="00063DC0">
              <w:rPr>
                <w:sz w:val="17"/>
              </w:rPr>
              <w:t xml:space="preserve"> approach</w:t>
            </w:r>
            <w:r w:rsidRPr="00063DC0">
              <w:rPr>
                <w:sz w:val="17"/>
                <w:szCs w:val="17"/>
              </w:rPr>
              <w:t xml:space="preserve">, means the RC calculated under the SA-CCR approach in accordance with Division 1A, Part 6A of the BCR.  For the CEM, means the RC calculated under the CEM in accordance with Division 2A, Part 6A of the BCR. </w:t>
            </w:r>
          </w:p>
        </w:tc>
      </w:tr>
      <w:tr w:rsidR="00063DC0" w:rsidRPr="00063DC0" w14:paraId="50406CCE" w14:textId="77777777" w:rsidTr="00063DC0">
        <w:trPr>
          <w:trHeight w:val="373"/>
        </w:trPr>
        <w:tc>
          <w:tcPr>
            <w:tcW w:w="425" w:type="dxa"/>
          </w:tcPr>
          <w:p w14:paraId="2B7A7DA3" w14:textId="77777777" w:rsidR="00063DC0" w:rsidRPr="00063DC0" w:rsidRDefault="00063DC0" w:rsidP="00063DC0">
            <w:pPr>
              <w:keepLines/>
              <w:widowControl w:val="0"/>
              <w:tabs>
                <w:tab w:val="left" w:pos="150"/>
                <w:tab w:val="left" w:pos="397"/>
                <w:tab w:val="left" w:pos="794"/>
                <w:tab w:val="left" w:pos="1191"/>
              </w:tabs>
              <w:spacing w:before="20" w:after="20"/>
              <w:rPr>
                <w:rFonts w:cs="Segoe UI"/>
                <w:sz w:val="17"/>
                <w:szCs w:val="17"/>
                <w:lang w:eastAsia="en-GB"/>
              </w:rPr>
            </w:pPr>
            <w:r w:rsidRPr="00063DC0">
              <w:rPr>
                <w:rFonts w:cs="Segoe UI"/>
                <w:sz w:val="17"/>
                <w:szCs w:val="17"/>
                <w:lang w:eastAsia="en-GB"/>
              </w:rPr>
              <w:lastRenderedPageBreak/>
              <w:t>(b)</w:t>
            </w:r>
          </w:p>
        </w:tc>
        <w:tc>
          <w:tcPr>
            <w:tcW w:w="8789" w:type="dxa"/>
          </w:tcPr>
          <w:p w14:paraId="1532930F" w14:textId="77777777" w:rsidR="00063DC0" w:rsidRPr="00063DC0" w:rsidRDefault="00063DC0" w:rsidP="00AF458A">
            <w:pPr>
              <w:keepNext/>
              <w:spacing w:before="40" w:after="40"/>
              <w:ind w:left="63"/>
              <w:jc w:val="both"/>
              <w:rPr>
                <w:sz w:val="17"/>
                <w:szCs w:val="17"/>
              </w:rPr>
            </w:pPr>
            <w:r w:rsidRPr="00063DC0">
              <w:rPr>
                <w:i/>
                <w:sz w:val="17"/>
                <w:szCs w:val="17"/>
              </w:rPr>
              <w:t>PFE</w:t>
            </w:r>
            <w:r w:rsidRPr="00063DC0">
              <w:rPr>
                <w:sz w:val="17"/>
                <w:szCs w:val="17"/>
              </w:rPr>
              <w:t>: For SA-CCR approach, means the PFE calculated under the SA-CCR approach in accordance with Division 1A, Part 6A of the BCR.  For CEM, means the PFE calculated under the CEM in accordance with Division 2A, Part 6A of the BCR.</w:t>
            </w:r>
          </w:p>
        </w:tc>
      </w:tr>
      <w:tr w:rsidR="00063DC0" w:rsidRPr="00063DC0" w14:paraId="27261854" w14:textId="77777777" w:rsidTr="00E404D5">
        <w:trPr>
          <w:trHeight w:val="495"/>
        </w:trPr>
        <w:tc>
          <w:tcPr>
            <w:tcW w:w="425" w:type="dxa"/>
          </w:tcPr>
          <w:p w14:paraId="529B0A2E" w14:textId="77777777" w:rsidR="00063DC0" w:rsidRPr="00063DC0" w:rsidRDefault="00063DC0" w:rsidP="00063DC0">
            <w:pPr>
              <w:keepLines/>
              <w:widowControl w:val="0"/>
              <w:tabs>
                <w:tab w:val="left" w:pos="150"/>
                <w:tab w:val="left" w:pos="397"/>
                <w:tab w:val="left" w:pos="794"/>
                <w:tab w:val="left" w:pos="1191"/>
              </w:tabs>
              <w:spacing w:before="20" w:after="20"/>
              <w:rPr>
                <w:rFonts w:cs="Segoe UI"/>
                <w:sz w:val="17"/>
                <w:szCs w:val="17"/>
                <w:lang w:eastAsia="en-GB"/>
              </w:rPr>
            </w:pPr>
            <w:r w:rsidRPr="00063DC0">
              <w:rPr>
                <w:rFonts w:cs="Segoe UI"/>
                <w:sz w:val="17"/>
                <w:szCs w:val="17"/>
                <w:lang w:eastAsia="en-GB"/>
              </w:rPr>
              <w:t>(c)</w:t>
            </w:r>
          </w:p>
        </w:tc>
        <w:tc>
          <w:tcPr>
            <w:tcW w:w="8789" w:type="dxa"/>
          </w:tcPr>
          <w:p w14:paraId="20E25D68" w14:textId="77777777" w:rsidR="00063DC0" w:rsidRPr="00063DC0" w:rsidRDefault="00063DC0" w:rsidP="00063DC0">
            <w:pPr>
              <w:keepNext/>
              <w:spacing w:before="40" w:after="40"/>
              <w:jc w:val="both"/>
              <w:rPr>
                <w:rFonts w:cs="Segoe UI"/>
                <w:sz w:val="17"/>
                <w:szCs w:val="17"/>
                <w:lang w:eastAsia="en-GB"/>
              </w:rPr>
            </w:pPr>
            <w:r w:rsidRPr="00063DC0">
              <w:rPr>
                <w:i/>
                <w:sz w:val="17"/>
                <w:szCs w:val="17"/>
              </w:rPr>
              <w:t>Effective EPE</w:t>
            </w:r>
            <w:r w:rsidRPr="00063DC0">
              <w:rPr>
                <w:sz w:val="17"/>
                <w:szCs w:val="17"/>
              </w:rPr>
              <w:t xml:space="preserve">: this has the meaning given to it by the BCR. </w:t>
            </w:r>
          </w:p>
        </w:tc>
      </w:tr>
      <w:tr w:rsidR="00063DC0" w:rsidRPr="00063DC0" w14:paraId="07BA8778" w14:textId="77777777" w:rsidTr="00E404D5">
        <w:trPr>
          <w:trHeight w:val="942"/>
        </w:trPr>
        <w:tc>
          <w:tcPr>
            <w:tcW w:w="425" w:type="dxa"/>
          </w:tcPr>
          <w:p w14:paraId="7B80152B" w14:textId="77777777" w:rsidR="00063DC0" w:rsidRPr="00063DC0" w:rsidRDefault="00063DC0" w:rsidP="00063DC0">
            <w:pPr>
              <w:keepLines/>
              <w:widowControl w:val="0"/>
              <w:tabs>
                <w:tab w:val="left" w:pos="150"/>
                <w:tab w:val="left" w:pos="397"/>
                <w:tab w:val="left" w:pos="794"/>
                <w:tab w:val="left" w:pos="1191"/>
              </w:tabs>
              <w:spacing w:before="20" w:after="20"/>
              <w:rPr>
                <w:rFonts w:cs="Segoe UI"/>
                <w:sz w:val="17"/>
                <w:szCs w:val="17"/>
                <w:lang w:eastAsia="en-GB"/>
              </w:rPr>
            </w:pPr>
            <w:r w:rsidRPr="00063DC0">
              <w:rPr>
                <w:rFonts w:cs="Segoe UI"/>
                <w:sz w:val="17"/>
                <w:szCs w:val="17"/>
                <w:lang w:eastAsia="en-GB"/>
              </w:rPr>
              <w:t>(d)</w:t>
            </w:r>
          </w:p>
        </w:tc>
        <w:tc>
          <w:tcPr>
            <w:tcW w:w="8789" w:type="dxa"/>
          </w:tcPr>
          <w:p w14:paraId="7BB91DD6" w14:textId="77777777" w:rsidR="00063DC0" w:rsidRPr="00063DC0" w:rsidRDefault="00063DC0" w:rsidP="00063DC0">
            <w:pPr>
              <w:keepLines/>
              <w:widowControl w:val="0"/>
              <w:tabs>
                <w:tab w:val="left" w:pos="150"/>
                <w:tab w:val="left" w:pos="397"/>
                <w:tab w:val="left" w:pos="794"/>
                <w:tab w:val="left" w:pos="1191"/>
              </w:tabs>
              <w:spacing w:before="20" w:after="20"/>
              <w:jc w:val="both"/>
              <w:rPr>
                <w:sz w:val="17"/>
                <w:szCs w:val="17"/>
              </w:rPr>
            </w:pPr>
            <w:r w:rsidRPr="00063DC0">
              <w:rPr>
                <w:i/>
                <w:sz w:val="17"/>
                <w:szCs w:val="17"/>
              </w:rPr>
              <w:t>Alpha (</w:t>
            </w:r>
            <w:r w:rsidRPr="00063DC0">
              <w:rPr>
                <w:rFonts w:hint="eastAsia"/>
                <w:i/>
                <w:sz w:val="17"/>
                <w:szCs w:val="17"/>
              </w:rPr>
              <w:t>α</w:t>
            </w:r>
            <w:r w:rsidRPr="00063DC0">
              <w:rPr>
                <w:i/>
                <w:sz w:val="17"/>
                <w:szCs w:val="17"/>
              </w:rPr>
              <w:t>) used for computing default risk exposure</w:t>
            </w:r>
            <w:r w:rsidRPr="00063DC0">
              <w:rPr>
                <w:sz w:val="17"/>
                <w:szCs w:val="17"/>
              </w:rPr>
              <w:t>:</w:t>
            </w:r>
            <w:r w:rsidRPr="00063DC0">
              <w:rPr>
                <w:i/>
                <w:sz w:val="17"/>
                <w:szCs w:val="17"/>
              </w:rPr>
              <w:t xml:space="preserve"> </w:t>
            </w:r>
            <w:r w:rsidRPr="00063DC0">
              <w:rPr>
                <w:sz w:val="17"/>
                <w:szCs w:val="17"/>
              </w:rPr>
              <w:t>under the CEM, SA-CCR approach or IMM(CCR) approach, as the case may be, means the alpha applicable to the AI as specified in the BCR.</w:t>
            </w:r>
          </w:p>
        </w:tc>
      </w:tr>
      <w:tr w:rsidR="00063DC0" w:rsidRPr="00063DC0" w14:paraId="2AD03178" w14:textId="77777777" w:rsidTr="00063DC0">
        <w:tc>
          <w:tcPr>
            <w:tcW w:w="425" w:type="dxa"/>
          </w:tcPr>
          <w:p w14:paraId="19EBA94A" w14:textId="77777777" w:rsidR="00063DC0" w:rsidRPr="00063DC0" w:rsidRDefault="00063DC0" w:rsidP="00063DC0">
            <w:pPr>
              <w:keepLines/>
              <w:widowControl w:val="0"/>
              <w:tabs>
                <w:tab w:val="left" w:pos="150"/>
                <w:tab w:val="left" w:pos="397"/>
                <w:tab w:val="left" w:pos="794"/>
                <w:tab w:val="left" w:pos="1191"/>
              </w:tabs>
              <w:spacing w:before="20" w:after="20"/>
              <w:rPr>
                <w:rFonts w:cs="Segoe UI"/>
                <w:sz w:val="17"/>
                <w:szCs w:val="17"/>
                <w:lang w:eastAsia="en-GB"/>
              </w:rPr>
            </w:pPr>
            <w:r w:rsidRPr="00063DC0">
              <w:rPr>
                <w:rFonts w:cs="Segoe UI"/>
                <w:sz w:val="17"/>
                <w:szCs w:val="17"/>
                <w:lang w:eastAsia="en-GB"/>
              </w:rPr>
              <w:t>(e)</w:t>
            </w:r>
          </w:p>
        </w:tc>
        <w:tc>
          <w:tcPr>
            <w:tcW w:w="8789" w:type="dxa"/>
          </w:tcPr>
          <w:p w14:paraId="00CA332F" w14:textId="51F9E0B5" w:rsidR="00063DC0" w:rsidRPr="00063DC0" w:rsidRDefault="00063DC0" w:rsidP="00063DC0">
            <w:pPr>
              <w:keepLines/>
              <w:widowControl w:val="0"/>
              <w:tabs>
                <w:tab w:val="left" w:pos="150"/>
                <w:tab w:val="left" w:pos="397"/>
                <w:tab w:val="left" w:pos="794"/>
                <w:tab w:val="left" w:pos="1191"/>
              </w:tabs>
              <w:spacing w:before="20" w:after="20"/>
              <w:jc w:val="both"/>
              <w:rPr>
                <w:sz w:val="17"/>
                <w:szCs w:val="17"/>
              </w:rPr>
            </w:pPr>
            <w:r w:rsidRPr="00063DC0">
              <w:rPr>
                <w:i/>
                <w:sz w:val="17"/>
                <w:szCs w:val="17"/>
              </w:rPr>
              <w:t>Default risk exposure after CRM</w:t>
            </w:r>
            <w:r w:rsidRPr="00063DC0">
              <w:rPr>
                <w:sz w:val="17"/>
                <w:szCs w:val="17"/>
              </w:rPr>
              <w:t xml:space="preserve">: In the case of the SA-CCR approach, the CEM, the IMM(CCR) approach, SFTs subject to </w:t>
            </w:r>
            <w:r w:rsidR="00FD731A">
              <w:rPr>
                <w:sz w:val="17"/>
                <w:szCs w:val="17"/>
              </w:rPr>
              <w:t xml:space="preserve">BCR </w:t>
            </w:r>
            <w:r w:rsidR="00FD731A" w:rsidRPr="00FD731A">
              <w:rPr>
                <w:rFonts w:hint="eastAsia"/>
                <w:sz w:val="17"/>
                <w:szCs w:val="17"/>
              </w:rPr>
              <w:t>§</w:t>
            </w:r>
            <w:r w:rsidRPr="00063DC0">
              <w:rPr>
                <w:sz w:val="17"/>
                <w:szCs w:val="17"/>
              </w:rPr>
              <w:t xml:space="preserve">226MJ for which the CRM effect is taken into account by using the simple approach and SFTs subject to </w:t>
            </w:r>
            <w:r w:rsidR="00E02706">
              <w:rPr>
                <w:sz w:val="17"/>
                <w:szCs w:val="17"/>
              </w:rPr>
              <w:t xml:space="preserve">BCR </w:t>
            </w:r>
            <w:r w:rsidR="00E02706" w:rsidRPr="00E02706">
              <w:rPr>
                <w:rFonts w:hint="eastAsia"/>
                <w:sz w:val="17"/>
                <w:szCs w:val="17"/>
              </w:rPr>
              <w:t>§</w:t>
            </w:r>
            <w:r w:rsidRPr="00063DC0">
              <w:rPr>
                <w:sz w:val="17"/>
                <w:szCs w:val="17"/>
              </w:rPr>
              <w:t xml:space="preserve">226MK or 226ML, means the default risk exposure or outstanding default risk exposure, as the case may be, as defined under the BCR.  In the case of SFTs subject to </w:t>
            </w:r>
            <w:r w:rsidR="00E02706">
              <w:rPr>
                <w:sz w:val="17"/>
                <w:szCs w:val="17"/>
              </w:rPr>
              <w:t>BCR</w:t>
            </w:r>
            <w:r w:rsidR="00E02706">
              <w:rPr>
                <w:rFonts w:hint="eastAsia"/>
              </w:rPr>
              <w:t xml:space="preserve"> </w:t>
            </w:r>
            <w:r w:rsidR="00E02706" w:rsidRPr="00E02706">
              <w:rPr>
                <w:rFonts w:hint="eastAsia"/>
                <w:sz w:val="17"/>
                <w:szCs w:val="17"/>
              </w:rPr>
              <w:t>§</w:t>
            </w:r>
            <w:r w:rsidRPr="00063DC0">
              <w:rPr>
                <w:sz w:val="17"/>
                <w:szCs w:val="17"/>
              </w:rPr>
              <w:t>226MJ for which the CRM effect is taken into account by using the comprehensive approach under Part 4 of the BCR, the amount disclosed in row 4 should be the amount calculated after taking into account any recognized collateral received under the SFTs.</w:t>
            </w:r>
          </w:p>
          <w:p w14:paraId="681A477F" w14:textId="77777777" w:rsidR="00063DC0" w:rsidRPr="00063DC0" w:rsidRDefault="00063DC0" w:rsidP="00063DC0">
            <w:pPr>
              <w:keepLines/>
              <w:widowControl w:val="0"/>
              <w:tabs>
                <w:tab w:val="left" w:pos="150"/>
                <w:tab w:val="left" w:pos="397"/>
                <w:tab w:val="left" w:pos="794"/>
                <w:tab w:val="left" w:pos="1191"/>
              </w:tabs>
              <w:spacing w:before="20" w:after="20"/>
              <w:jc w:val="both"/>
              <w:rPr>
                <w:sz w:val="17"/>
                <w:szCs w:val="17"/>
              </w:rPr>
            </w:pPr>
          </w:p>
          <w:p w14:paraId="5335C088" w14:textId="77777777" w:rsidR="00063DC0" w:rsidRPr="00063DC0" w:rsidRDefault="00063DC0" w:rsidP="00063DC0">
            <w:pPr>
              <w:keepLines/>
              <w:widowControl w:val="0"/>
              <w:tabs>
                <w:tab w:val="left" w:pos="150"/>
                <w:tab w:val="left" w:pos="397"/>
                <w:tab w:val="left" w:pos="794"/>
                <w:tab w:val="left" w:pos="1191"/>
              </w:tabs>
              <w:spacing w:before="20" w:after="20"/>
              <w:jc w:val="both"/>
              <w:rPr>
                <w:sz w:val="17"/>
                <w:szCs w:val="17"/>
              </w:rPr>
            </w:pPr>
            <w:r w:rsidRPr="00063DC0">
              <w:rPr>
                <w:sz w:val="17"/>
                <w:szCs w:val="17"/>
              </w:rPr>
              <w:t xml:space="preserve">In the case of recognized guarantees and recognized credit derivative contracts where the CRM effect is taken into account in accordance with Parts 4 and 5 of the BCR, the default risk exposure (or outstanding default risk exposure) after taking into account the guarantee or credit derivative contract is equal to the default risk exposure (or outstanding default risk exposure) as defined under the BCR.  </w:t>
            </w:r>
          </w:p>
          <w:p w14:paraId="50280E34" w14:textId="77777777" w:rsidR="00063DC0" w:rsidRPr="00063DC0" w:rsidRDefault="00063DC0" w:rsidP="00063DC0">
            <w:pPr>
              <w:keepLines/>
              <w:widowControl w:val="0"/>
              <w:tabs>
                <w:tab w:val="left" w:pos="150"/>
                <w:tab w:val="left" w:pos="397"/>
                <w:tab w:val="left" w:pos="794"/>
                <w:tab w:val="left" w:pos="1191"/>
              </w:tabs>
              <w:spacing w:before="20" w:after="20"/>
              <w:jc w:val="both"/>
              <w:rPr>
                <w:sz w:val="17"/>
                <w:szCs w:val="17"/>
              </w:rPr>
            </w:pPr>
          </w:p>
          <w:p w14:paraId="2BB5B0D7" w14:textId="61BF5067" w:rsidR="00063DC0" w:rsidRPr="00063DC0" w:rsidRDefault="00063DC0" w:rsidP="00063DC0">
            <w:pPr>
              <w:keepLines/>
              <w:widowControl w:val="0"/>
              <w:tabs>
                <w:tab w:val="left" w:pos="150"/>
                <w:tab w:val="left" w:pos="397"/>
                <w:tab w:val="left" w:pos="794"/>
                <w:tab w:val="left" w:pos="1191"/>
              </w:tabs>
              <w:spacing w:before="20" w:after="20"/>
              <w:jc w:val="both"/>
              <w:rPr>
                <w:sz w:val="17"/>
                <w:szCs w:val="17"/>
              </w:rPr>
            </w:pPr>
            <w:r w:rsidRPr="00063DC0">
              <w:rPr>
                <w:sz w:val="17"/>
                <w:szCs w:val="17"/>
              </w:rPr>
              <w:t xml:space="preserve">In the case of recognized collateral for SFTs subject to </w:t>
            </w:r>
            <w:r w:rsidR="00C63FDB">
              <w:rPr>
                <w:sz w:val="17"/>
                <w:szCs w:val="17"/>
              </w:rPr>
              <w:t xml:space="preserve">BCR </w:t>
            </w:r>
            <w:r w:rsidR="00C63FDB" w:rsidRPr="00C63FDB">
              <w:rPr>
                <w:rFonts w:hint="eastAsia"/>
                <w:sz w:val="17"/>
                <w:szCs w:val="17"/>
              </w:rPr>
              <w:t>§</w:t>
            </w:r>
            <w:r w:rsidRPr="00063DC0">
              <w:rPr>
                <w:sz w:val="17"/>
                <w:szCs w:val="17"/>
              </w:rPr>
              <w:t>226MJ, recognized guarantees and recognized credit derivative contracts where the CRM effect is considered in the risk-weight function under Part 6 of the BCR, the post-CRM default risk exposure reported in column (e) is equal to the pre-CRM default risk exposure given that the related CRM effect is not reflected in the EAD of eligible IRB exposures.</w:t>
            </w:r>
          </w:p>
          <w:p w14:paraId="744DFAAC" w14:textId="77777777" w:rsidR="00063DC0" w:rsidRPr="00063DC0" w:rsidRDefault="00063DC0" w:rsidP="00063DC0">
            <w:pPr>
              <w:keepLines/>
              <w:widowControl w:val="0"/>
              <w:tabs>
                <w:tab w:val="left" w:pos="150"/>
                <w:tab w:val="left" w:pos="397"/>
                <w:tab w:val="left" w:pos="794"/>
                <w:tab w:val="left" w:pos="1191"/>
              </w:tabs>
              <w:spacing w:before="20" w:after="20"/>
              <w:jc w:val="both"/>
              <w:rPr>
                <w:sz w:val="17"/>
                <w:szCs w:val="17"/>
              </w:rPr>
            </w:pPr>
          </w:p>
          <w:p w14:paraId="6E969F21" w14:textId="77777777" w:rsidR="00063DC0" w:rsidRPr="00063DC0" w:rsidRDefault="00063DC0" w:rsidP="00063DC0">
            <w:pPr>
              <w:keepLines/>
              <w:widowControl w:val="0"/>
              <w:tabs>
                <w:tab w:val="left" w:pos="150"/>
                <w:tab w:val="left" w:pos="397"/>
                <w:tab w:val="left" w:pos="794"/>
                <w:tab w:val="left" w:pos="1191"/>
              </w:tabs>
              <w:spacing w:before="20" w:after="20"/>
              <w:jc w:val="both"/>
              <w:rPr>
                <w:rFonts w:ascii="Times New Roman" w:hAnsi="Times New Roman"/>
                <w:sz w:val="17"/>
                <w:szCs w:val="17"/>
              </w:rPr>
            </w:pPr>
            <w:r w:rsidRPr="00063DC0">
              <w:rPr>
                <w:sz w:val="17"/>
                <w:szCs w:val="17"/>
              </w:rPr>
              <w:t>For the purposes of this disclosure template</w:t>
            </w:r>
            <w:r w:rsidRPr="00063DC0">
              <w:rPr>
                <w:rFonts w:ascii="Times New Roman" w:hAnsi="Times New Roman"/>
                <w:sz w:val="17"/>
                <w:szCs w:val="17"/>
              </w:rPr>
              <w:t>—</w:t>
            </w:r>
          </w:p>
          <w:p w14:paraId="23639E90" w14:textId="77777777" w:rsidR="00063DC0" w:rsidRPr="00063DC0" w:rsidRDefault="00063DC0" w:rsidP="008D652E">
            <w:pPr>
              <w:keepLines/>
              <w:widowControl w:val="0"/>
              <w:numPr>
                <w:ilvl w:val="0"/>
                <w:numId w:val="18"/>
              </w:numPr>
              <w:spacing w:before="20" w:after="20"/>
              <w:ind w:left="317" w:hanging="317"/>
              <w:jc w:val="both"/>
              <w:rPr>
                <w:rFonts w:cs="Segoe UI"/>
                <w:sz w:val="17"/>
                <w:szCs w:val="17"/>
                <w:lang w:eastAsia="en-GB"/>
              </w:rPr>
            </w:pPr>
            <w:r w:rsidRPr="00063DC0">
              <w:rPr>
                <w:rFonts w:cs="Segoe UI"/>
                <w:sz w:val="17"/>
                <w:szCs w:val="17"/>
                <w:lang w:eastAsia="en-GB"/>
              </w:rPr>
              <w:t xml:space="preserve">CRM does not include recognized collateral received by an AI outside a netting set where the collateral is not designated solely for offsetting losses on default risk exposures.  </w:t>
            </w:r>
          </w:p>
          <w:p w14:paraId="3FC6D19B" w14:textId="77777777" w:rsidR="00063DC0" w:rsidRPr="00063DC0" w:rsidRDefault="00063DC0" w:rsidP="008D652E">
            <w:pPr>
              <w:keepLines/>
              <w:widowControl w:val="0"/>
              <w:numPr>
                <w:ilvl w:val="0"/>
                <w:numId w:val="18"/>
              </w:numPr>
              <w:spacing w:before="20" w:after="20"/>
              <w:ind w:left="317" w:hanging="317"/>
              <w:jc w:val="both"/>
              <w:rPr>
                <w:rFonts w:cs="Segoe UI"/>
                <w:sz w:val="17"/>
                <w:szCs w:val="17"/>
                <w:lang w:eastAsia="en-GB"/>
              </w:rPr>
            </w:pPr>
            <w:r w:rsidRPr="00063DC0">
              <w:rPr>
                <w:rFonts w:cs="Segoe UI"/>
                <w:sz w:val="17"/>
                <w:szCs w:val="17"/>
                <w:lang w:eastAsia="en-GB"/>
              </w:rPr>
              <w:t xml:space="preserve">Simple approach — </w:t>
            </w:r>
          </w:p>
          <w:p w14:paraId="4963F23D" w14:textId="77777777" w:rsidR="00063DC0" w:rsidRPr="00063DC0" w:rsidRDefault="00063DC0" w:rsidP="008D652E">
            <w:pPr>
              <w:keepLines/>
              <w:widowControl w:val="0"/>
              <w:numPr>
                <w:ilvl w:val="0"/>
                <w:numId w:val="49"/>
              </w:numPr>
              <w:tabs>
                <w:tab w:val="left" w:pos="150"/>
                <w:tab w:val="left" w:pos="397"/>
                <w:tab w:val="left" w:pos="794"/>
                <w:tab w:val="left" w:pos="1191"/>
              </w:tabs>
              <w:spacing w:before="20" w:after="20"/>
              <w:jc w:val="both"/>
              <w:rPr>
                <w:rFonts w:cs="Segoe UI"/>
                <w:sz w:val="17"/>
                <w:szCs w:val="17"/>
              </w:rPr>
            </w:pPr>
            <w:r w:rsidRPr="00063DC0">
              <w:rPr>
                <w:rFonts w:cs="Segoe UI"/>
                <w:sz w:val="17"/>
                <w:szCs w:val="17"/>
              </w:rPr>
              <w:t>in relation to the STC approach, means the simple approach set out in Division 6 of Part 4 of the BCR; and</w:t>
            </w:r>
          </w:p>
          <w:p w14:paraId="113493A5" w14:textId="77777777" w:rsidR="00063DC0" w:rsidRPr="005811E4" w:rsidRDefault="00063DC0" w:rsidP="008D652E">
            <w:pPr>
              <w:keepLines/>
              <w:widowControl w:val="0"/>
              <w:numPr>
                <w:ilvl w:val="0"/>
                <w:numId w:val="49"/>
              </w:numPr>
              <w:tabs>
                <w:tab w:val="left" w:pos="150"/>
                <w:tab w:val="left" w:pos="397"/>
                <w:tab w:val="left" w:pos="794"/>
                <w:tab w:val="left" w:pos="1191"/>
              </w:tabs>
              <w:spacing w:before="20" w:after="20"/>
              <w:jc w:val="both"/>
              <w:rPr>
                <w:sz w:val="17"/>
                <w:szCs w:val="17"/>
              </w:rPr>
            </w:pPr>
            <w:r w:rsidRPr="00063DC0">
              <w:rPr>
                <w:rFonts w:cs="Segoe UI"/>
                <w:sz w:val="17"/>
                <w:szCs w:val="17"/>
              </w:rPr>
              <w:t>in relation to the BSC approach, means the method of reducing the risk-weighted amount of an exposure set out in Division 5 of Part 5 of the BCR.</w:t>
            </w:r>
          </w:p>
          <w:p w14:paraId="1A50DA37" w14:textId="4A8CA8CD" w:rsidR="005811E4" w:rsidRPr="00063DC0" w:rsidRDefault="005811E4" w:rsidP="005811E4">
            <w:pPr>
              <w:keepLines/>
              <w:widowControl w:val="0"/>
              <w:tabs>
                <w:tab w:val="left" w:pos="150"/>
                <w:tab w:val="left" w:pos="397"/>
                <w:tab w:val="left" w:pos="794"/>
                <w:tab w:val="left" w:pos="1191"/>
              </w:tabs>
              <w:spacing w:before="20" w:after="20"/>
              <w:ind w:left="720"/>
              <w:jc w:val="both"/>
              <w:rPr>
                <w:sz w:val="17"/>
                <w:szCs w:val="17"/>
              </w:rPr>
            </w:pPr>
          </w:p>
        </w:tc>
      </w:tr>
      <w:tr w:rsidR="00063DC0" w:rsidRPr="00063DC0" w14:paraId="661EEACD" w14:textId="77777777" w:rsidTr="00063DC0">
        <w:tc>
          <w:tcPr>
            <w:tcW w:w="425" w:type="dxa"/>
          </w:tcPr>
          <w:p w14:paraId="100698FF" w14:textId="77777777" w:rsidR="00063DC0" w:rsidRPr="00063DC0" w:rsidRDefault="00063DC0" w:rsidP="00063DC0">
            <w:pPr>
              <w:keepLines/>
              <w:widowControl w:val="0"/>
              <w:tabs>
                <w:tab w:val="left" w:pos="150"/>
                <w:tab w:val="left" w:pos="397"/>
                <w:tab w:val="left" w:pos="794"/>
                <w:tab w:val="left" w:pos="1191"/>
              </w:tabs>
              <w:spacing w:before="20" w:after="20"/>
              <w:rPr>
                <w:rFonts w:cs="Segoe UI"/>
                <w:sz w:val="17"/>
                <w:szCs w:val="17"/>
                <w:lang w:eastAsia="en-GB"/>
              </w:rPr>
            </w:pPr>
            <w:r w:rsidRPr="00063DC0">
              <w:rPr>
                <w:rFonts w:cs="Segoe UI"/>
                <w:sz w:val="17"/>
                <w:szCs w:val="17"/>
                <w:lang w:eastAsia="en-GB"/>
              </w:rPr>
              <w:t>(f)</w:t>
            </w:r>
          </w:p>
        </w:tc>
        <w:tc>
          <w:tcPr>
            <w:tcW w:w="8789" w:type="dxa"/>
          </w:tcPr>
          <w:p w14:paraId="6D03E99F" w14:textId="77777777" w:rsidR="00677B43" w:rsidRDefault="00063DC0" w:rsidP="00063DC0">
            <w:pPr>
              <w:keepLines/>
              <w:widowControl w:val="0"/>
              <w:tabs>
                <w:tab w:val="left" w:pos="150"/>
                <w:tab w:val="left" w:pos="397"/>
                <w:tab w:val="left" w:pos="794"/>
                <w:tab w:val="left" w:pos="1191"/>
              </w:tabs>
              <w:spacing w:before="20" w:after="20"/>
              <w:jc w:val="both"/>
              <w:rPr>
                <w:rFonts w:cs="Segoe UI"/>
                <w:sz w:val="17"/>
                <w:szCs w:val="17"/>
                <w:lang w:eastAsia="en-GB"/>
              </w:rPr>
            </w:pPr>
            <w:r w:rsidRPr="00063DC0">
              <w:rPr>
                <w:rFonts w:cs="Segoe UI"/>
                <w:i/>
                <w:sz w:val="17"/>
                <w:szCs w:val="17"/>
                <w:lang w:eastAsia="en-GB"/>
              </w:rPr>
              <w:t>RWA</w:t>
            </w:r>
            <w:r w:rsidRPr="00063DC0">
              <w:rPr>
                <w:rFonts w:cs="Segoe UI"/>
                <w:sz w:val="17"/>
                <w:szCs w:val="17"/>
                <w:lang w:eastAsia="en-GB"/>
              </w:rPr>
              <w:t xml:space="preserve">: the product of the default risk exposure after CRM and the risk weight applicable to the counterparty concerned.  </w:t>
            </w:r>
          </w:p>
          <w:p w14:paraId="68281E4A" w14:textId="152FFCDA" w:rsidR="005811E4" w:rsidRPr="00063DC0" w:rsidRDefault="005811E4" w:rsidP="00063DC0">
            <w:pPr>
              <w:keepLines/>
              <w:widowControl w:val="0"/>
              <w:tabs>
                <w:tab w:val="left" w:pos="150"/>
                <w:tab w:val="left" w:pos="397"/>
                <w:tab w:val="left" w:pos="794"/>
                <w:tab w:val="left" w:pos="1191"/>
              </w:tabs>
              <w:spacing w:before="20" w:after="20"/>
              <w:jc w:val="both"/>
              <w:rPr>
                <w:rFonts w:cs="Segoe UI"/>
                <w:sz w:val="17"/>
                <w:szCs w:val="17"/>
                <w:lang w:eastAsia="en-GB"/>
              </w:rPr>
            </w:pPr>
          </w:p>
        </w:tc>
      </w:tr>
      <w:tr w:rsidR="00063DC0" w:rsidRPr="00063DC0" w14:paraId="0B4F93D4" w14:textId="77777777" w:rsidTr="00063DC0">
        <w:tc>
          <w:tcPr>
            <w:tcW w:w="9214" w:type="dxa"/>
            <w:gridSpan w:val="2"/>
            <w:shd w:val="clear" w:color="auto" w:fill="F2F2F2"/>
          </w:tcPr>
          <w:p w14:paraId="4B22A638" w14:textId="77777777" w:rsidR="00063DC0" w:rsidRPr="00063DC0" w:rsidRDefault="00063DC0" w:rsidP="00063DC0">
            <w:pPr>
              <w:spacing w:before="40" w:after="40"/>
              <w:jc w:val="both"/>
              <w:rPr>
                <w:rFonts w:eastAsia="新細明體"/>
                <w:b/>
                <w:sz w:val="17"/>
                <w:szCs w:val="17"/>
                <w:lang w:eastAsia="en-GB"/>
              </w:rPr>
            </w:pPr>
            <w:r w:rsidRPr="00063DC0">
              <w:rPr>
                <w:rFonts w:eastAsia="新細明體"/>
                <w:b/>
                <w:sz w:val="17"/>
                <w:szCs w:val="17"/>
                <w:lang w:eastAsia="en-GB"/>
              </w:rPr>
              <w:lastRenderedPageBreak/>
              <w:t>Rows</w:t>
            </w:r>
          </w:p>
        </w:tc>
      </w:tr>
      <w:tr w:rsidR="00063DC0" w:rsidRPr="00063DC0" w14:paraId="4364A533" w14:textId="77777777" w:rsidTr="00063DC0">
        <w:tc>
          <w:tcPr>
            <w:tcW w:w="425" w:type="dxa"/>
          </w:tcPr>
          <w:p w14:paraId="06E6EB8F" w14:textId="77777777" w:rsidR="00063DC0" w:rsidRPr="00063DC0" w:rsidRDefault="00063DC0" w:rsidP="00063DC0">
            <w:pPr>
              <w:keepLines/>
              <w:widowControl w:val="0"/>
              <w:tabs>
                <w:tab w:val="left" w:pos="150"/>
                <w:tab w:val="left" w:pos="397"/>
                <w:tab w:val="left" w:pos="794"/>
                <w:tab w:val="left" w:pos="1191"/>
              </w:tabs>
              <w:spacing w:before="20" w:after="20"/>
              <w:rPr>
                <w:rFonts w:cs="Segoe UI"/>
                <w:sz w:val="17"/>
                <w:szCs w:val="17"/>
              </w:rPr>
            </w:pPr>
            <w:r w:rsidRPr="00063DC0">
              <w:rPr>
                <w:rFonts w:cs="Segoe UI"/>
                <w:sz w:val="17"/>
                <w:szCs w:val="17"/>
              </w:rPr>
              <w:t>1</w:t>
            </w:r>
          </w:p>
        </w:tc>
        <w:tc>
          <w:tcPr>
            <w:tcW w:w="8789" w:type="dxa"/>
          </w:tcPr>
          <w:p w14:paraId="63E7819F" w14:textId="77777777" w:rsidR="00063DC0" w:rsidRPr="00063DC0" w:rsidRDefault="00063DC0" w:rsidP="00063DC0">
            <w:pPr>
              <w:keepLines/>
              <w:widowControl w:val="0"/>
              <w:tabs>
                <w:tab w:val="left" w:pos="150"/>
                <w:tab w:val="left" w:pos="397"/>
                <w:tab w:val="left" w:pos="794"/>
                <w:tab w:val="left" w:pos="1191"/>
              </w:tabs>
              <w:spacing w:before="20" w:after="20"/>
              <w:jc w:val="both"/>
              <w:rPr>
                <w:sz w:val="17"/>
                <w:szCs w:val="17"/>
                <w:lang w:eastAsia="en-GB"/>
              </w:rPr>
            </w:pPr>
            <w:r w:rsidRPr="00063DC0">
              <w:rPr>
                <w:i/>
                <w:sz w:val="17"/>
                <w:szCs w:val="17"/>
                <w:lang w:eastAsia="en-GB"/>
              </w:rPr>
              <w:t>SA-CCR approach (for derivative contracts)</w:t>
            </w:r>
            <w:r w:rsidRPr="00063DC0">
              <w:rPr>
                <w:sz w:val="17"/>
                <w:szCs w:val="17"/>
                <w:lang w:eastAsia="en-GB"/>
              </w:rPr>
              <w:t xml:space="preserve">: </w:t>
            </w:r>
            <w:r w:rsidRPr="00063DC0">
              <w:rPr>
                <w:sz w:val="17"/>
                <w:szCs w:val="17"/>
                <w:lang w:val="en-US"/>
              </w:rPr>
              <w:t>for an AI that uses the SA-CCR approach to calculate</w:t>
            </w:r>
            <w:r w:rsidRPr="00063DC0">
              <w:rPr>
                <w:sz w:val="17"/>
                <w:lang w:val="en-US"/>
              </w:rPr>
              <w:t xml:space="preserve"> default risk </w:t>
            </w:r>
            <w:r w:rsidRPr="00063DC0">
              <w:rPr>
                <w:sz w:val="17"/>
                <w:szCs w:val="17"/>
                <w:lang w:val="en-US"/>
              </w:rPr>
              <w:t>exposure in respect of derivative contracts, the AI should report the relevant figures</w:t>
            </w:r>
            <w:r w:rsidRPr="00063DC0">
              <w:rPr>
                <w:sz w:val="17"/>
                <w:lang w:val="en-US"/>
              </w:rPr>
              <w:t xml:space="preserve"> under </w:t>
            </w:r>
            <w:r w:rsidRPr="00063DC0">
              <w:rPr>
                <w:sz w:val="17"/>
                <w:szCs w:val="17"/>
                <w:lang w:val="en-US"/>
              </w:rPr>
              <w:t>column (a) to (f) where</w:t>
            </w:r>
            <w:r w:rsidRPr="00063DC0">
              <w:rPr>
                <w:sz w:val="17"/>
                <w:lang w:val="en-US"/>
              </w:rPr>
              <w:t xml:space="preserve"> applicable.</w:t>
            </w:r>
            <w:r w:rsidRPr="00063DC0">
              <w:rPr>
                <w:sz w:val="17"/>
                <w:szCs w:val="17"/>
                <w:lang w:val="en-US"/>
              </w:rPr>
              <w:t xml:space="preserve">  </w:t>
            </w:r>
            <w:r w:rsidRPr="00063DC0">
              <w:rPr>
                <w:rFonts w:cs="Segoe UI"/>
                <w:sz w:val="17"/>
                <w:szCs w:val="17"/>
                <w:lang w:eastAsia="en-GB"/>
              </w:rPr>
              <w:t>The value in [CCR1: 1/f] should be equal to the value in [OV1: 7/a].</w:t>
            </w:r>
          </w:p>
        </w:tc>
      </w:tr>
      <w:tr w:rsidR="00063DC0" w:rsidRPr="00063DC0" w14:paraId="3B2D7897" w14:textId="77777777" w:rsidTr="00063DC0">
        <w:tc>
          <w:tcPr>
            <w:tcW w:w="425" w:type="dxa"/>
          </w:tcPr>
          <w:p w14:paraId="072279B6" w14:textId="77777777" w:rsidR="00063DC0" w:rsidRPr="00063DC0" w:rsidRDefault="00063DC0" w:rsidP="00063DC0">
            <w:pPr>
              <w:keepLines/>
              <w:widowControl w:val="0"/>
              <w:tabs>
                <w:tab w:val="left" w:pos="150"/>
                <w:tab w:val="left" w:pos="397"/>
                <w:tab w:val="left" w:pos="794"/>
                <w:tab w:val="left" w:pos="1191"/>
              </w:tabs>
              <w:spacing w:before="20" w:after="20"/>
              <w:rPr>
                <w:rFonts w:cs="Segoe UI"/>
                <w:sz w:val="17"/>
                <w:szCs w:val="17"/>
              </w:rPr>
            </w:pPr>
            <w:r w:rsidRPr="00063DC0">
              <w:rPr>
                <w:rFonts w:cs="Segoe UI"/>
                <w:sz w:val="17"/>
                <w:szCs w:val="17"/>
              </w:rPr>
              <w:t>1a</w:t>
            </w:r>
          </w:p>
        </w:tc>
        <w:tc>
          <w:tcPr>
            <w:tcW w:w="8789" w:type="dxa"/>
          </w:tcPr>
          <w:p w14:paraId="50A3E8F9" w14:textId="77777777" w:rsidR="00063DC0" w:rsidRPr="00063DC0" w:rsidRDefault="00063DC0" w:rsidP="00063DC0">
            <w:pPr>
              <w:keepLines/>
              <w:widowControl w:val="0"/>
              <w:tabs>
                <w:tab w:val="left" w:pos="150"/>
                <w:tab w:val="left" w:pos="397"/>
                <w:tab w:val="left" w:pos="794"/>
                <w:tab w:val="left" w:pos="1191"/>
              </w:tabs>
              <w:spacing w:before="20" w:after="20"/>
              <w:jc w:val="both"/>
              <w:rPr>
                <w:sz w:val="17"/>
                <w:szCs w:val="17"/>
                <w:lang w:eastAsia="en-GB"/>
              </w:rPr>
            </w:pPr>
            <w:r w:rsidRPr="00063DC0">
              <w:rPr>
                <w:i/>
                <w:sz w:val="17"/>
                <w:szCs w:val="17"/>
                <w:lang w:eastAsia="en-GB"/>
              </w:rPr>
              <w:t>CEM (for derivative contracts)</w:t>
            </w:r>
            <w:r w:rsidRPr="00063DC0">
              <w:rPr>
                <w:sz w:val="17"/>
                <w:szCs w:val="17"/>
                <w:lang w:eastAsia="en-GB"/>
              </w:rPr>
              <w:t>:</w:t>
            </w:r>
            <w:r w:rsidRPr="00063DC0">
              <w:rPr>
                <w:sz w:val="17"/>
                <w:szCs w:val="17"/>
                <w:lang w:val="en-US"/>
              </w:rPr>
              <w:t xml:space="preserve"> for an AI that uses the CEM to calculate default risk exposure in respect of derivative contracts, the AI should report the relevant figures under column (a) to (f) where applicable.  </w:t>
            </w:r>
            <w:r w:rsidRPr="00063DC0">
              <w:rPr>
                <w:rFonts w:cs="Segoe UI"/>
                <w:sz w:val="17"/>
                <w:szCs w:val="17"/>
                <w:lang w:eastAsia="en-GB"/>
              </w:rPr>
              <w:t>The value in [CCR1: 1a/f] should be equal to the value in [OV1: 7a/a].</w:t>
            </w:r>
          </w:p>
        </w:tc>
      </w:tr>
      <w:tr w:rsidR="00063DC0" w:rsidRPr="00063DC0" w14:paraId="590A281E" w14:textId="77777777" w:rsidTr="00063DC0">
        <w:tc>
          <w:tcPr>
            <w:tcW w:w="425" w:type="dxa"/>
          </w:tcPr>
          <w:p w14:paraId="5A78146B" w14:textId="77777777" w:rsidR="00063DC0" w:rsidRPr="00063DC0" w:rsidRDefault="00063DC0" w:rsidP="00063DC0">
            <w:pPr>
              <w:keepLines/>
              <w:widowControl w:val="0"/>
              <w:tabs>
                <w:tab w:val="left" w:pos="150"/>
                <w:tab w:val="left" w:pos="397"/>
                <w:tab w:val="left" w:pos="794"/>
                <w:tab w:val="left" w:pos="1191"/>
              </w:tabs>
              <w:spacing w:before="20" w:after="20"/>
              <w:rPr>
                <w:rFonts w:cs="Segoe UI"/>
                <w:sz w:val="17"/>
                <w:szCs w:val="17"/>
              </w:rPr>
            </w:pPr>
            <w:r w:rsidRPr="00063DC0">
              <w:rPr>
                <w:rFonts w:cs="Segoe UI"/>
                <w:sz w:val="17"/>
                <w:szCs w:val="17"/>
              </w:rPr>
              <w:t>2</w:t>
            </w:r>
          </w:p>
        </w:tc>
        <w:tc>
          <w:tcPr>
            <w:tcW w:w="8789" w:type="dxa"/>
          </w:tcPr>
          <w:p w14:paraId="4BB4255C" w14:textId="77777777" w:rsidR="00063DC0" w:rsidRPr="00063DC0" w:rsidRDefault="00063DC0" w:rsidP="00063DC0">
            <w:pPr>
              <w:keepLines/>
              <w:widowControl w:val="0"/>
              <w:tabs>
                <w:tab w:val="left" w:pos="150"/>
                <w:tab w:val="left" w:pos="397"/>
                <w:tab w:val="left" w:pos="794"/>
                <w:tab w:val="left" w:pos="1191"/>
              </w:tabs>
              <w:spacing w:before="20" w:after="20"/>
              <w:jc w:val="both"/>
              <w:rPr>
                <w:sz w:val="17"/>
                <w:szCs w:val="17"/>
                <w:lang w:eastAsia="en-GB"/>
              </w:rPr>
            </w:pPr>
            <w:r w:rsidRPr="00063DC0">
              <w:rPr>
                <w:i/>
                <w:sz w:val="17"/>
                <w:szCs w:val="17"/>
                <w:lang w:eastAsia="en-GB"/>
              </w:rPr>
              <w:t>IMM(CCR) approach</w:t>
            </w:r>
            <w:r w:rsidRPr="00063DC0">
              <w:rPr>
                <w:sz w:val="17"/>
                <w:szCs w:val="17"/>
                <w:lang w:eastAsia="en-GB"/>
              </w:rPr>
              <w:t xml:space="preserve">: this has the meaning given to it by the BCR.  </w:t>
            </w:r>
            <w:r w:rsidRPr="00063DC0">
              <w:rPr>
                <w:rFonts w:cs="Segoe UI"/>
                <w:sz w:val="17"/>
                <w:szCs w:val="17"/>
                <w:lang w:eastAsia="en-GB"/>
              </w:rPr>
              <w:t xml:space="preserve">The value in [CCR1: 2/f] should be equal to the value in </w:t>
            </w:r>
            <w:r w:rsidRPr="00063DC0">
              <w:rPr>
                <w:sz w:val="17"/>
              </w:rPr>
              <w:t>[</w:t>
            </w:r>
            <w:r w:rsidRPr="00063DC0">
              <w:rPr>
                <w:rFonts w:cs="Segoe UI"/>
                <w:sz w:val="17"/>
                <w:szCs w:val="17"/>
                <w:lang w:eastAsia="en-GB"/>
              </w:rPr>
              <w:t>CCR7: 9/a] and [OV1: 8/a].</w:t>
            </w:r>
          </w:p>
        </w:tc>
      </w:tr>
      <w:tr w:rsidR="00063DC0" w:rsidRPr="00063DC0" w14:paraId="49840105" w14:textId="77777777" w:rsidTr="00063DC0">
        <w:tc>
          <w:tcPr>
            <w:tcW w:w="425" w:type="dxa"/>
          </w:tcPr>
          <w:p w14:paraId="75B1DDBD" w14:textId="77777777" w:rsidR="00063DC0" w:rsidRPr="00063DC0" w:rsidRDefault="00063DC0" w:rsidP="00063DC0">
            <w:pPr>
              <w:keepLines/>
              <w:widowControl w:val="0"/>
              <w:tabs>
                <w:tab w:val="left" w:pos="150"/>
                <w:tab w:val="left" w:pos="397"/>
                <w:tab w:val="left" w:pos="794"/>
                <w:tab w:val="left" w:pos="1191"/>
              </w:tabs>
              <w:spacing w:before="20" w:after="20"/>
              <w:rPr>
                <w:rFonts w:cs="Segoe UI"/>
                <w:sz w:val="17"/>
                <w:szCs w:val="17"/>
              </w:rPr>
            </w:pPr>
            <w:r w:rsidRPr="00063DC0">
              <w:rPr>
                <w:rFonts w:cs="Segoe UI"/>
                <w:sz w:val="17"/>
                <w:szCs w:val="17"/>
              </w:rPr>
              <w:t>3</w:t>
            </w:r>
          </w:p>
        </w:tc>
        <w:tc>
          <w:tcPr>
            <w:tcW w:w="8789" w:type="dxa"/>
          </w:tcPr>
          <w:p w14:paraId="43948981" w14:textId="77777777" w:rsidR="00063DC0" w:rsidRPr="00063DC0" w:rsidRDefault="00063DC0" w:rsidP="00063DC0">
            <w:pPr>
              <w:keepLines/>
              <w:widowControl w:val="0"/>
              <w:tabs>
                <w:tab w:val="left" w:pos="150"/>
                <w:tab w:val="left" w:pos="397"/>
                <w:tab w:val="left" w:pos="794"/>
                <w:tab w:val="left" w:pos="1191"/>
              </w:tabs>
              <w:spacing w:before="20" w:after="20"/>
              <w:jc w:val="both"/>
              <w:rPr>
                <w:sz w:val="17"/>
                <w:szCs w:val="17"/>
                <w:lang w:eastAsia="en-GB"/>
              </w:rPr>
            </w:pPr>
            <w:r w:rsidRPr="00063DC0">
              <w:rPr>
                <w:i/>
                <w:sz w:val="17"/>
                <w:szCs w:val="17"/>
                <w:lang w:eastAsia="en-GB"/>
              </w:rPr>
              <w:t>Simple approach (for SFTs)</w:t>
            </w:r>
            <w:r w:rsidRPr="00063DC0">
              <w:rPr>
                <w:sz w:val="17"/>
                <w:szCs w:val="17"/>
                <w:lang w:eastAsia="en-GB"/>
              </w:rPr>
              <w:t>: the default risk exposures after CRM and RWAs in respect of SFTs by the following AIs:-</w:t>
            </w:r>
          </w:p>
          <w:p w14:paraId="346BFECB" w14:textId="77777777" w:rsidR="00063DC0" w:rsidRPr="00063DC0" w:rsidRDefault="00063DC0" w:rsidP="008D652E">
            <w:pPr>
              <w:keepLines/>
              <w:widowControl w:val="0"/>
              <w:numPr>
                <w:ilvl w:val="0"/>
                <w:numId w:val="18"/>
              </w:numPr>
              <w:spacing w:before="20" w:after="20"/>
              <w:ind w:left="317" w:hanging="317"/>
              <w:jc w:val="both"/>
              <w:rPr>
                <w:sz w:val="17"/>
                <w:szCs w:val="17"/>
                <w:lang w:eastAsia="en-GB"/>
              </w:rPr>
            </w:pPr>
            <w:r w:rsidRPr="00063DC0">
              <w:rPr>
                <w:sz w:val="17"/>
                <w:szCs w:val="17"/>
                <w:lang w:eastAsia="en-GB"/>
              </w:rPr>
              <w:t>AIs that do not use the IMM(CCR) approach to calculate their default risk exposures in respect of SFTs;</w:t>
            </w:r>
          </w:p>
          <w:p w14:paraId="2E1A7EEC" w14:textId="77777777" w:rsidR="00063DC0" w:rsidRPr="00063DC0" w:rsidRDefault="00063DC0" w:rsidP="008D652E">
            <w:pPr>
              <w:keepLines/>
              <w:widowControl w:val="0"/>
              <w:numPr>
                <w:ilvl w:val="0"/>
                <w:numId w:val="18"/>
              </w:numPr>
              <w:spacing w:before="20" w:after="20"/>
              <w:ind w:left="317" w:hanging="317"/>
              <w:jc w:val="both"/>
              <w:rPr>
                <w:sz w:val="17"/>
                <w:szCs w:val="17"/>
                <w:lang w:eastAsia="en-GB"/>
              </w:rPr>
            </w:pPr>
            <w:r w:rsidRPr="00063DC0">
              <w:rPr>
                <w:sz w:val="17"/>
                <w:szCs w:val="17"/>
                <w:lang w:eastAsia="en-GB"/>
              </w:rPr>
              <w:t>AIs that use the simple approach set out in Part 4 of the BCR, or the treatments for recognized collateral set out in Part 5 of the BCR, to take into account the recognized collateral received under SFTs.</w:t>
            </w:r>
          </w:p>
        </w:tc>
      </w:tr>
      <w:tr w:rsidR="00063DC0" w:rsidRPr="00063DC0" w14:paraId="0A0FAFCB" w14:textId="77777777" w:rsidTr="00063DC0">
        <w:tc>
          <w:tcPr>
            <w:tcW w:w="425" w:type="dxa"/>
          </w:tcPr>
          <w:p w14:paraId="6827FC20" w14:textId="77777777" w:rsidR="00063DC0" w:rsidRPr="00063DC0" w:rsidRDefault="00063DC0" w:rsidP="00063DC0">
            <w:pPr>
              <w:keepLines/>
              <w:widowControl w:val="0"/>
              <w:tabs>
                <w:tab w:val="left" w:pos="150"/>
                <w:tab w:val="left" w:pos="397"/>
                <w:tab w:val="left" w:pos="794"/>
                <w:tab w:val="left" w:pos="1191"/>
              </w:tabs>
              <w:spacing w:before="20" w:after="20"/>
              <w:rPr>
                <w:rFonts w:cs="Segoe UI"/>
                <w:sz w:val="17"/>
                <w:szCs w:val="17"/>
              </w:rPr>
            </w:pPr>
            <w:r w:rsidRPr="00063DC0">
              <w:rPr>
                <w:rFonts w:cs="Segoe UI"/>
                <w:sz w:val="17"/>
                <w:szCs w:val="17"/>
              </w:rPr>
              <w:t>4</w:t>
            </w:r>
          </w:p>
        </w:tc>
        <w:tc>
          <w:tcPr>
            <w:tcW w:w="8789" w:type="dxa"/>
          </w:tcPr>
          <w:p w14:paraId="61003343" w14:textId="77777777" w:rsidR="00063DC0" w:rsidRPr="00063DC0" w:rsidRDefault="00063DC0" w:rsidP="00063DC0">
            <w:pPr>
              <w:keepLines/>
              <w:widowControl w:val="0"/>
              <w:tabs>
                <w:tab w:val="left" w:pos="150"/>
                <w:tab w:val="left" w:pos="397"/>
                <w:tab w:val="left" w:pos="794"/>
                <w:tab w:val="left" w:pos="1191"/>
              </w:tabs>
              <w:spacing w:before="20" w:after="20"/>
              <w:jc w:val="both"/>
              <w:rPr>
                <w:sz w:val="17"/>
                <w:szCs w:val="17"/>
                <w:lang w:eastAsia="en-GB"/>
              </w:rPr>
            </w:pPr>
            <w:r w:rsidRPr="00063DC0">
              <w:rPr>
                <w:i/>
                <w:sz w:val="17"/>
                <w:szCs w:val="17"/>
                <w:lang w:eastAsia="en-GB"/>
              </w:rPr>
              <w:t>Comprehensive approach (for SFTs)</w:t>
            </w:r>
            <w:r w:rsidRPr="00063DC0">
              <w:rPr>
                <w:sz w:val="17"/>
                <w:szCs w:val="17"/>
                <w:lang w:eastAsia="en-GB"/>
              </w:rPr>
              <w:t>: the default risk exposures after CRM and RWAs in respect of SFTs by the following AIs:-</w:t>
            </w:r>
          </w:p>
          <w:p w14:paraId="5FBB70CC" w14:textId="77777777" w:rsidR="00063DC0" w:rsidRPr="00063DC0" w:rsidRDefault="00063DC0" w:rsidP="008D652E">
            <w:pPr>
              <w:keepLines/>
              <w:widowControl w:val="0"/>
              <w:numPr>
                <w:ilvl w:val="0"/>
                <w:numId w:val="19"/>
              </w:numPr>
              <w:spacing w:before="20" w:after="20"/>
              <w:ind w:left="317" w:hanging="317"/>
              <w:jc w:val="both"/>
              <w:rPr>
                <w:sz w:val="17"/>
                <w:szCs w:val="17"/>
              </w:rPr>
            </w:pPr>
            <w:r w:rsidRPr="00063DC0">
              <w:rPr>
                <w:sz w:val="17"/>
                <w:szCs w:val="17"/>
                <w:lang w:eastAsia="en-GB"/>
              </w:rPr>
              <w:t>AIs that do not use the IMM(CCR) approach to calculate their default risk exposures in respect of SFTs;</w:t>
            </w:r>
          </w:p>
          <w:p w14:paraId="34E32BAF" w14:textId="037C6C71" w:rsidR="00063DC0" w:rsidRPr="00063DC0" w:rsidRDefault="00063DC0" w:rsidP="008D652E">
            <w:pPr>
              <w:keepLines/>
              <w:widowControl w:val="0"/>
              <w:numPr>
                <w:ilvl w:val="0"/>
                <w:numId w:val="19"/>
              </w:numPr>
              <w:spacing w:before="20" w:after="20"/>
              <w:ind w:left="317" w:hanging="317"/>
              <w:jc w:val="both"/>
              <w:rPr>
                <w:sz w:val="17"/>
                <w:szCs w:val="17"/>
              </w:rPr>
            </w:pPr>
            <w:r w:rsidRPr="00063DC0">
              <w:rPr>
                <w:sz w:val="17"/>
                <w:szCs w:val="17"/>
                <w:lang w:eastAsia="en-GB"/>
              </w:rPr>
              <w:t>AIs that use the comprehensive approach set out in Part 4 of the BCR to take into account the recognized collateral received under SFTs and/or use the method (other than a VaR model as discussed below) provided for under the BCR to take into account recognized netting for nettable SFTs.</w:t>
            </w:r>
          </w:p>
        </w:tc>
      </w:tr>
      <w:tr w:rsidR="00063DC0" w:rsidRPr="00063DC0" w14:paraId="5DCD9092" w14:textId="77777777" w:rsidTr="00063DC0">
        <w:tc>
          <w:tcPr>
            <w:tcW w:w="425" w:type="dxa"/>
          </w:tcPr>
          <w:p w14:paraId="16D7C2B5" w14:textId="77777777" w:rsidR="00063DC0" w:rsidRPr="00063DC0" w:rsidRDefault="00063DC0" w:rsidP="00063DC0">
            <w:pPr>
              <w:keepLines/>
              <w:widowControl w:val="0"/>
              <w:tabs>
                <w:tab w:val="left" w:pos="150"/>
                <w:tab w:val="left" w:pos="397"/>
                <w:tab w:val="left" w:pos="794"/>
                <w:tab w:val="left" w:pos="1191"/>
              </w:tabs>
              <w:spacing w:before="20" w:after="20"/>
              <w:rPr>
                <w:rFonts w:cs="Segoe UI"/>
                <w:sz w:val="17"/>
                <w:szCs w:val="17"/>
              </w:rPr>
            </w:pPr>
            <w:r w:rsidRPr="00063DC0">
              <w:rPr>
                <w:rFonts w:cs="Segoe UI"/>
                <w:sz w:val="17"/>
                <w:szCs w:val="17"/>
              </w:rPr>
              <w:t>5</w:t>
            </w:r>
          </w:p>
        </w:tc>
        <w:tc>
          <w:tcPr>
            <w:tcW w:w="8789" w:type="dxa"/>
          </w:tcPr>
          <w:p w14:paraId="6E5569ED" w14:textId="17879E3D" w:rsidR="00063DC0" w:rsidRPr="00063DC0" w:rsidRDefault="00063DC0" w:rsidP="000448F0">
            <w:pPr>
              <w:keepLines/>
              <w:widowControl w:val="0"/>
              <w:tabs>
                <w:tab w:val="left" w:pos="150"/>
                <w:tab w:val="left" w:pos="397"/>
                <w:tab w:val="left" w:pos="794"/>
                <w:tab w:val="left" w:pos="1191"/>
              </w:tabs>
              <w:spacing w:before="20" w:after="20"/>
              <w:jc w:val="both"/>
              <w:rPr>
                <w:sz w:val="17"/>
                <w:szCs w:val="17"/>
              </w:rPr>
            </w:pPr>
            <w:r w:rsidRPr="00063DC0">
              <w:rPr>
                <w:i/>
                <w:sz w:val="17"/>
                <w:szCs w:val="17"/>
              </w:rPr>
              <w:t>VaR (for SFT</w:t>
            </w:r>
            <w:r w:rsidRPr="00063DC0">
              <w:rPr>
                <w:sz w:val="17"/>
                <w:szCs w:val="17"/>
              </w:rPr>
              <w:t xml:space="preserve">s): this row is for AIs using a VaR model to calculate the default risk exposure of their single SFTs or </w:t>
            </w:r>
            <w:r w:rsidR="005D42B2">
              <w:rPr>
                <w:sz w:val="17"/>
                <w:szCs w:val="17"/>
              </w:rPr>
              <w:t>nettable SFTs</w:t>
            </w:r>
            <w:r w:rsidRPr="00063DC0">
              <w:rPr>
                <w:sz w:val="17"/>
                <w:szCs w:val="17"/>
              </w:rPr>
              <w:t xml:space="preserve"> to disclose the default risk exposure so calculated and the associated RWA.</w:t>
            </w:r>
          </w:p>
        </w:tc>
      </w:tr>
      <w:tr w:rsidR="00063DC0" w:rsidRPr="00063DC0" w14:paraId="2BD3B915" w14:textId="77777777" w:rsidTr="00063DC0">
        <w:tc>
          <w:tcPr>
            <w:tcW w:w="425" w:type="dxa"/>
          </w:tcPr>
          <w:p w14:paraId="32302B66" w14:textId="77777777" w:rsidR="00063DC0" w:rsidRPr="00063DC0" w:rsidRDefault="00063DC0" w:rsidP="00063DC0">
            <w:pPr>
              <w:keepLines/>
              <w:widowControl w:val="0"/>
              <w:tabs>
                <w:tab w:val="left" w:pos="150"/>
                <w:tab w:val="left" w:pos="397"/>
                <w:tab w:val="left" w:pos="794"/>
                <w:tab w:val="left" w:pos="1191"/>
              </w:tabs>
              <w:spacing w:before="20" w:after="20"/>
              <w:rPr>
                <w:rFonts w:cs="Segoe UI"/>
                <w:sz w:val="17"/>
                <w:szCs w:val="17"/>
              </w:rPr>
            </w:pPr>
            <w:r w:rsidRPr="00063DC0">
              <w:rPr>
                <w:rFonts w:cs="Segoe UI"/>
                <w:sz w:val="17"/>
                <w:szCs w:val="17"/>
              </w:rPr>
              <w:t>6</w:t>
            </w:r>
          </w:p>
        </w:tc>
        <w:tc>
          <w:tcPr>
            <w:tcW w:w="8789" w:type="dxa"/>
          </w:tcPr>
          <w:p w14:paraId="7CFDB348" w14:textId="77777777" w:rsidR="00063DC0" w:rsidRPr="00063DC0" w:rsidRDefault="00063DC0" w:rsidP="00063DC0">
            <w:pPr>
              <w:keepLines/>
              <w:widowControl w:val="0"/>
              <w:tabs>
                <w:tab w:val="left" w:pos="150"/>
                <w:tab w:val="left" w:pos="397"/>
                <w:tab w:val="left" w:pos="794"/>
                <w:tab w:val="left" w:pos="1191"/>
              </w:tabs>
              <w:spacing w:before="20" w:after="20"/>
              <w:jc w:val="both"/>
              <w:rPr>
                <w:sz w:val="17"/>
                <w:szCs w:val="17"/>
              </w:rPr>
            </w:pPr>
            <w:r w:rsidRPr="00063DC0">
              <w:rPr>
                <w:i/>
                <w:sz w:val="17"/>
                <w:szCs w:val="17"/>
              </w:rPr>
              <w:t>Total</w:t>
            </w:r>
            <w:r w:rsidRPr="00063DC0">
              <w:rPr>
                <w:sz w:val="17"/>
                <w:szCs w:val="17"/>
              </w:rPr>
              <w:t>: this row reports the sum of values in rows 1 to 5.</w:t>
            </w:r>
          </w:p>
        </w:tc>
      </w:tr>
    </w:tbl>
    <w:p w14:paraId="74703211" w14:textId="77777777" w:rsidR="00063DC0" w:rsidRPr="00063DC0" w:rsidRDefault="00063DC0" w:rsidP="00063DC0">
      <w:pPr>
        <w:tabs>
          <w:tab w:val="left" w:pos="794"/>
          <w:tab w:val="left" w:pos="1191"/>
        </w:tabs>
        <w:spacing w:after="120"/>
        <w:ind w:leftChars="-283" w:left="-566"/>
        <w:jc w:val="both"/>
        <w:rPr>
          <w:noProof/>
          <w:lang w:eastAsia="en-GB"/>
        </w:rPr>
      </w:pPr>
    </w:p>
    <w:p w14:paraId="26E9BE6C" w14:textId="77777777" w:rsidR="007679A1" w:rsidRPr="007679A1" w:rsidRDefault="007679A1" w:rsidP="007679A1"/>
    <w:p w14:paraId="08158F32" w14:textId="4B55FDE1" w:rsidR="00127DFA" w:rsidRDefault="00127DFA" w:rsidP="00BC1606">
      <w:pPr>
        <w:ind w:right="-397"/>
      </w:pPr>
    </w:p>
    <w:p w14:paraId="3CF971E3" w14:textId="77777777" w:rsidR="00AA0D64" w:rsidRPr="00127DFA" w:rsidRDefault="00AA0D64" w:rsidP="00127DFA">
      <w:pPr>
        <w:sectPr w:rsidR="00AA0D64" w:rsidRPr="00127DFA">
          <w:footerReference w:type="default" r:id="rId58"/>
          <w:pgSz w:w="11906" w:h="16838" w:code="9"/>
          <w:pgMar w:top="1440" w:right="1797" w:bottom="1440" w:left="1797" w:header="851" w:footer="737" w:gutter="0"/>
          <w:cols w:space="425"/>
          <w:docGrid w:type="linesAndChars" w:linePitch="360"/>
        </w:sectPr>
      </w:pPr>
    </w:p>
    <w:p w14:paraId="44E64074" w14:textId="007BC1DC" w:rsidR="00AA0D64" w:rsidRDefault="00AA0D64" w:rsidP="006F6AE4">
      <w:pPr>
        <w:pStyle w:val="Heading2"/>
        <w:ind w:left="142"/>
      </w:pPr>
      <w:r>
        <w:lastRenderedPageBreak/>
        <w:t>Template CCR3</w:t>
      </w:r>
      <w:r w:rsidR="00063DC0">
        <w:t xml:space="preserve">: </w:t>
      </w:r>
      <w:r w:rsidR="00063DC0" w:rsidRPr="00AF458A">
        <w:t>Counterparty credit risk</w:t>
      </w:r>
      <w:r w:rsidR="00063DC0">
        <w:t xml:space="preserve"> exposures (other than those to CCPs) by exposure classes</w:t>
      </w:r>
      <w:r>
        <w:t xml:space="preserve"> and by risk weights – for STC approach or BSC approach</w:t>
      </w:r>
    </w:p>
    <w:tbl>
      <w:tblPr>
        <w:tblW w:w="13892" w:type="dxa"/>
        <w:tblInd w:w="108"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552"/>
        <w:gridCol w:w="11340"/>
      </w:tblGrid>
      <w:tr w:rsidR="00063DC0" w14:paraId="0A60A018" w14:textId="77777777" w:rsidTr="00063DC0">
        <w:tc>
          <w:tcPr>
            <w:tcW w:w="2552" w:type="dxa"/>
          </w:tcPr>
          <w:p w14:paraId="609CF9E6" w14:textId="77777777" w:rsidR="00063DC0" w:rsidRDefault="00063DC0" w:rsidP="00063DC0">
            <w:pPr>
              <w:spacing w:before="40" w:after="40"/>
              <w:rPr>
                <w:noProof/>
                <w:sz w:val="17"/>
                <w:szCs w:val="17"/>
                <w:lang w:eastAsia="en-GB"/>
              </w:rPr>
            </w:pPr>
            <w:r>
              <w:rPr>
                <w:b/>
                <w:sz w:val="17"/>
                <w:szCs w:val="17"/>
                <w:lang w:eastAsia="en-GB"/>
              </w:rPr>
              <w:t>Purpose:</w:t>
            </w:r>
          </w:p>
        </w:tc>
        <w:tc>
          <w:tcPr>
            <w:tcW w:w="11340" w:type="dxa"/>
          </w:tcPr>
          <w:p w14:paraId="012BDA41" w14:textId="26C8D4C3" w:rsidR="00063DC0" w:rsidRDefault="00063DC0" w:rsidP="00063DC0">
            <w:pPr>
              <w:pStyle w:val="TableText"/>
              <w:jc w:val="both"/>
              <w:rPr>
                <w:lang w:eastAsia="en-GB"/>
              </w:rPr>
            </w:pPr>
            <w:r>
              <w:t>To present a breakdown of default risk exposures, other than those to CCPs, in respect of derivative contracts and SFTs that are subject to the STC approach or BSC approach, by exposure classes and risk-weights (the latter representing the riskiness attributed to the exposure according to the respective approaches), irrespective of the approach used to determine the amount of default risk exposures.</w:t>
            </w:r>
          </w:p>
        </w:tc>
      </w:tr>
      <w:tr w:rsidR="00063DC0" w14:paraId="4291EA8E" w14:textId="77777777" w:rsidTr="00063DC0">
        <w:tc>
          <w:tcPr>
            <w:tcW w:w="2552" w:type="dxa"/>
          </w:tcPr>
          <w:p w14:paraId="37EA8034" w14:textId="77777777" w:rsidR="00063DC0" w:rsidRDefault="00063DC0" w:rsidP="00063DC0">
            <w:pPr>
              <w:spacing w:before="40" w:after="40"/>
              <w:rPr>
                <w:b/>
                <w:sz w:val="17"/>
                <w:szCs w:val="17"/>
                <w:lang w:eastAsia="en-GB"/>
              </w:rPr>
            </w:pPr>
            <w:r>
              <w:rPr>
                <w:b/>
                <w:sz w:val="17"/>
                <w:szCs w:val="17"/>
                <w:lang w:eastAsia="en-GB"/>
              </w:rPr>
              <w:t>Scope of application:</w:t>
            </w:r>
          </w:p>
        </w:tc>
        <w:tc>
          <w:tcPr>
            <w:tcW w:w="11340" w:type="dxa"/>
          </w:tcPr>
          <w:p w14:paraId="3A4514CF" w14:textId="01970D65" w:rsidR="00063DC0" w:rsidRDefault="00063DC0" w:rsidP="00063DC0">
            <w:pPr>
              <w:spacing w:before="40" w:after="40"/>
              <w:jc w:val="both"/>
              <w:rPr>
                <w:szCs w:val="17"/>
              </w:rPr>
            </w:pPr>
            <w:r>
              <w:rPr>
                <w:rFonts w:eastAsia="新細明體"/>
                <w:sz w:val="17"/>
                <w:lang w:eastAsia="en-GB"/>
              </w:rPr>
              <w:t xml:space="preserve">The template, which comprises a STC version and a BSC version, is mandatory for AIs incorporated in Hong Kong that have </w:t>
            </w:r>
            <w:r w:rsidRPr="00AF458A">
              <w:rPr>
                <w:rFonts w:eastAsia="新細明體"/>
                <w:sz w:val="17"/>
                <w:lang w:eastAsia="en-GB"/>
              </w:rPr>
              <w:t>counterparty credit risk</w:t>
            </w:r>
            <w:r>
              <w:rPr>
                <w:rFonts w:eastAsia="新細明體"/>
                <w:sz w:val="17"/>
                <w:lang w:eastAsia="en-GB"/>
              </w:rPr>
              <w:t xml:space="preserve"> exposures subject to the STC approach or the BSC approach.  The STC version of this template is to be completed by AIs that use the STC approach and the BSC version by AIs that use the BSC approach.  IRB </w:t>
            </w:r>
            <w:r>
              <w:rPr>
                <w:sz w:val="17"/>
                <w:lang w:eastAsia="en-GB"/>
              </w:rPr>
              <w:t>AIs with exposures subject to the STC approach should report such exposures in the STC version</w:t>
            </w:r>
            <w:r>
              <w:rPr>
                <w:rFonts w:eastAsia="新細明體"/>
                <w:sz w:val="17"/>
                <w:lang w:eastAsia="en-GB"/>
              </w:rPr>
              <w:t xml:space="preserve">.  However, an AI may choose not to disclose the information required in this template provided that the following conditions are met: </w:t>
            </w:r>
          </w:p>
          <w:p w14:paraId="073C1721" w14:textId="77777777" w:rsidR="00063DC0" w:rsidRDefault="00063DC0" w:rsidP="008D652E">
            <w:pPr>
              <w:pStyle w:val="Default"/>
              <w:numPr>
                <w:ilvl w:val="0"/>
                <w:numId w:val="29"/>
              </w:numPr>
              <w:ind w:left="426" w:hanging="426"/>
              <w:jc w:val="both"/>
              <w:rPr>
                <w:sz w:val="17"/>
                <w:szCs w:val="17"/>
              </w:rPr>
            </w:pPr>
            <w:r>
              <w:rPr>
                <w:sz w:val="17"/>
                <w:szCs w:val="17"/>
              </w:rPr>
              <w:t>the default risk exposure amounts and RWA for default risk exposure calculated under the STC or BSC approach, where applicable, are negligible;</w:t>
            </w:r>
          </w:p>
          <w:p w14:paraId="274FFCDF" w14:textId="77777777" w:rsidR="00063DC0" w:rsidRDefault="00063DC0" w:rsidP="008D652E">
            <w:pPr>
              <w:pStyle w:val="Default"/>
              <w:numPr>
                <w:ilvl w:val="0"/>
                <w:numId w:val="29"/>
              </w:numPr>
              <w:ind w:left="426" w:hanging="426"/>
              <w:jc w:val="both"/>
              <w:rPr>
                <w:sz w:val="17"/>
                <w:szCs w:val="17"/>
              </w:rPr>
            </w:pPr>
            <w:r>
              <w:rPr>
                <w:sz w:val="17"/>
                <w:szCs w:val="17"/>
              </w:rPr>
              <w:t xml:space="preserve">the AI has clearly stated this fact in the disclosure statement; and </w:t>
            </w:r>
          </w:p>
          <w:p w14:paraId="42A4AD1C" w14:textId="77777777" w:rsidR="00063DC0" w:rsidRDefault="00063DC0" w:rsidP="008D652E">
            <w:pPr>
              <w:pStyle w:val="Default"/>
              <w:numPr>
                <w:ilvl w:val="0"/>
                <w:numId w:val="29"/>
              </w:numPr>
              <w:ind w:left="426" w:hanging="426"/>
              <w:jc w:val="both"/>
              <w:rPr>
                <w:sz w:val="17"/>
                <w:szCs w:val="17"/>
              </w:rPr>
            </w:pPr>
            <w:r>
              <w:rPr>
                <w:sz w:val="17"/>
                <w:szCs w:val="17"/>
              </w:rPr>
              <w:t>the AI has explained in a narrative commentary why it considers the information not to be meaningful to information users, including a description of the exposures included in the respective portfolios and the aggregate total RWAs from such exposures.</w:t>
            </w:r>
          </w:p>
        </w:tc>
      </w:tr>
      <w:tr w:rsidR="00063DC0" w14:paraId="77793BBC" w14:textId="77777777" w:rsidTr="00063DC0">
        <w:trPr>
          <w:trHeight w:val="275"/>
        </w:trPr>
        <w:tc>
          <w:tcPr>
            <w:tcW w:w="2552" w:type="dxa"/>
          </w:tcPr>
          <w:p w14:paraId="72E02C30" w14:textId="77777777" w:rsidR="00063DC0" w:rsidRDefault="00063DC0" w:rsidP="00063DC0">
            <w:pPr>
              <w:spacing w:before="40" w:after="40"/>
              <w:rPr>
                <w:b/>
                <w:sz w:val="17"/>
                <w:szCs w:val="17"/>
                <w:lang w:eastAsia="en-GB"/>
              </w:rPr>
            </w:pPr>
            <w:r>
              <w:rPr>
                <w:b/>
                <w:sz w:val="17"/>
                <w:szCs w:val="17"/>
                <w:lang w:eastAsia="en-GB"/>
              </w:rPr>
              <w:t>Content:</w:t>
            </w:r>
          </w:p>
        </w:tc>
        <w:tc>
          <w:tcPr>
            <w:tcW w:w="11340" w:type="dxa"/>
          </w:tcPr>
          <w:p w14:paraId="1D0C2F24" w14:textId="77777777" w:rsidR="00063DC0" w:rsidRDefault="00063DC0" w:rsidP="00063DC0">
            <w:pPr>
              <w:spacing w:before="40" w:after="40"/>
              <w:jc w:val="both"/>
              <w:rPr>
                <w:rFonts w:eastAsia="新細明體"/>
                <w:b/>
                <w:sz w:val="17"/>
                <w:lang w:eastAsia="en-GB"/>
              </w:rPr>
            </w:pPr>
            <w:r>
              <w:rPr>
                <w:rFonts w:eastAsia="新細明體"/>
                <w:sz w:val="17"/>
                <w:lang w:eastAsia="en-GB"/>
              </w:rPr>
              <w:t>Default risk exposure amounts.</w:t>
            </w:r>
          </w:p>
        </w:tc>
      </w:tr>
      <w:tr w:rsidR="00063DC0" w14:paraId="2C0570EA" w14:textId="77777777" w:rsidTr="00063DC0">
        <w:tc>
          <w:tcPr>
            <w:tcW w:w="2552" w:type="dxa"/>
          </w:tcPr>
          <w:p w14:paraId="00F59C54" w14:textId="77777777" w:rsidR="00063DC0" w:rsidRDefault="00063DC0" w:rsidP="00063DC0">
            <w:pPr>
              <w:spacing w:before="40" w:after="40"/>
              <w:rPr>
                <w:sz w:val="17"/>
                <w:szCs w:val="17"/>
                <w:lang w:eastAsia="en-GB"/>
              </w:rPr>
            </w:pPr>
            <w:r>
              <w:rPr>
                <w:b/>
                <w:sz w:val="17"/>
                <w:szCs w:val="17"/>
                <w:lang w:eastAsia="en-GB"/>
              </w:rPr>
              <w:t>Frequency:</w:t>
            </w:r>
          </w:p>
        </w:tc>
        <w:tc>
          <w:tcPr>
            <w:tcW w:w="11340" w:type="dxa"/>
          </w:tcPr>
          <w:p w14:paraId="697AEDE6" w14:textId="77777777" w:rsidR="00063DC0" w:rsidRDefault="00063DC0" w:rsidP="00063DC0">
            <w:pPr>
              <w:pStyle w:val="TableText"/>
              <w:jc w:val="both"/>
              <w:rPr>
                <w:lang w:eastAsia="en-GB"/>
              </w:rPr>
            </w:pPr>
            <w:r>
              <w:rPr>
                <w:lang w:eastAsia="en-GB"/>
              </w:rPr>
              <w:t xml:space="preserve">Semi-annual. </w:t>
            </w:r>
          </w:p>
        </w:tc>
      </w:tr>
      <w:tr w:rsidR="00063DC0" w14:paraId="61AAC27C" w14:textId="77777777" w:rsidTr="00063DC0">
        <w:tc>
          <w:tcPr>
            <w:tcW w:w="2552" w:type="dxa"/>
          </w:tcPr>
          <w:p w14:paraId="67C99693" w14:textId="77777777" w:rsidR="00063DC0" w:rsidRDefault="00063DC0" w:rsidP="00063DC0">
            <w:pPr>
              <w:spacing w:before="40" w:after="40"/>
              <w:rPr>
                <w:sz w:val="17"/>
                <w:szCs w:val="17"/>
                <w:lang w:eastAsia="en-GB"/>
              </w:rPr>
            </w:pPr>
            <w:r>
              <w:rPr>
                <w:b/>
                <w:sz w:val="17"/>
                <w:szCs w:val="17"/>
                <w:lang w:eastAsia="en-GB"/>
              </w:rPr>
              <w:t>Format:</w:t>
            </w:r>
          </w:p>
        </w:tc>
        <w:tc>
          <w:tcPr>
            <w:tcW w:w="11340" w:type="dxa"/>
          </w:tcPr>
          <w:p w14:paraId="3BA26FE0" w14:textId="77777777" w:rsidR="00063DC0" w:rsidRDefault="00063DC0" w:rsidP="00063DC0">
            <w:pPr>
              <w:pStyle w:val="TableText"/>
              <w:jc w:val="both"/>
              <w:rPr>
                <w:lang w:eastAsia="en-GB"/>
              </w:rPr>
            </w:pPr>
            <w:r>
              <w:rPr>
                <w:lang w:eastAsia="en-GB"/>
              </w:rPr>
              <w:t xml:space="preserve">Fixed.  </w:t>
            </w:r>
            <w:r>
              <w:rPr>
                <w:rFonts w:eastAsia="新細明體"/>
                <w:lang w:eastAsia="en-GB"/>
              </w:rPr>
              <w:t>The columns are fixed and the rows in the STC version and the BSC version of this template reflect respectively the classification of exposures as defined under the BCR, where applicable.</w:t>
            </w:r>
          </w:p>
        </w:tc>
      </w:tr>
      <w:tr w:rsidR="00063DC0" w14:paraId="3A70C662" w14:textId="77777777" w:rsidTr="00063DC0">
        <w:tc>
          <w:tcPr>
            <w:tcW w:w="2552" w:type="dxa"/>
          </w:tcPr>
          <w:p w14:paraId="6EF3EE47" w14:textId="77777777" w:rsidR="00063DC0" w:rsidRDefault="00063DC0" w:rsidP="00063DC0">
            <w:pPr>
              <w:spacing w:before="40" w:after="40"/>
              <w:rPr>
                <w:b/>
                <w:sz w:val="17"/>
                <w:szCs w:val="17"/>
                <w:lang w:eastAsia="en-GB"/>
              </w:rPr>
            </w:pPr>
            <w:r>
              <w:rPr>
                <w:rFonts w:eastAsia="新細明體"/>
                <w:b/>
                <w:sz w:val="17"/>
                <w:szCs w:val="17"/>
                <w:lang w:eastAsia="en-GB"/>
              </w:rPr>
              <w:t>Accompanying narrative</w:t>
            </w:r>
            <w:r>
              <w:rPr>
                <w:rFonts w:eastAsia="新細明體"/>
                <w:sz w:val="17"/>
                <w:szCs w:val="17"/>
                <w:lang w:eastAsia="en-GB"/>
              </w:rPr>
              <w:t>:</w:t>
            </w:r>
          </w:p>
        </w:tc>
        <w:tc>
          <w:tcPr>
            <w:tcW w:w="11340" w:type="dxa"/>
          </w:tcPr>
          <w:p w14:paraId="1F0914D4" w14:textId="77777777" w:rsidR="00063DC0" w:rsidRDefault="00063DC0" w:rsidP="00063DC0">
            <w:pPr>
              <w:pStyle w:val="TableText"/>
              <w:jc w:val="both"/>
              <w:rPr>
                <w:noProof/>
                <w:lang w:eastAsia="en-GB"/>
              </w:rPr>
            </w:pPr>
            <w:r>
              <w:rPr>
                <w:szCs w:val="17"/>
                <w:lang w:eastAsia="en-GB"/>
              </w:rPr>
              <w:t>An AI should supplement the template with a narrative commentary to explain any material movements in the current reporting period and the key drivers of such movements.</w:t>
            </w:r>
            <w:r>
              <w:rPr>
                <w:lang w:eastAsia="en-GB"/>
              </w:rPr>
              <w:t xml:space="preserve"> </w:t>
            </w:r>
          </w:p>
        </w:tc>
      </w:tr>
      <w:tr w:rsidR="00063DC0" w14:paraId="04D6B4D5" w14:textId="77777777" w:rsidTr="00063DC0">
        <w:tc>
          <w:tcPr>
            <w:tcW w:w="2552" w:type="dxa"/>
          </w:tcPr>
          <w:p w14:paraId="13776E61" w14:textId="77777777" w:rsidR="00063DC0" w:rsidRDefault="00063DC0" w:rsidP="00063DC0">
            <w:pPr>
              <w:spacing w:before="40" w:after="40"/>
              <w:rPr>
                <w:rFonts w:eastAsia="新細明體"/>
                <w:b/>
                <w:sz w:val="17"/>
                <w:szCs w:val="17"/>
                <w:lang w:eastAsia="en-GB"/>
              </w:rPr>
            </w:pPr>
            <w:r>
              <w:rPr>
                <w:rFonts w:eastAsia="新細明體"/>
                <w:b/>
                <w:sz w:val="17"/>
                <w:szCs w:val="17"/>
                <w:lang w:eastAsia="en-GB"/>
              </w:rPr>
              <w:t>Corresponding BDR section:</w:t>
            </w:r>
          </w:p>
        </w:tc>
        <w:tc>
          <w:tcPr>
            <w:tcW w:w="11340" w:type="dxa"/>
          </w:tcPr>
          <w:p w14:paraId="67D22B5E" w14:textId="77777777" w:rsidR="00063DC0" w:rsidRDefault="00063DC0" w:rsidP="00063DC0">
            <w:pPr>
              <w:pStyle w:val="TableText"/>
              <w:jc w:val="both"/>
              <w:rPr>
                <w:szCs w:val="17"/>
                <w:lang w:eastAsia="en-GB"/>
              </w:rPr>
            </w:pPr>
            <w:r>
              <w:rPr>
                <w:szCs w:val="17"/>
                <w:lang w:eastAsia="en-GB"/>
              </w:rPr>
              <w:t>16Y</w:t>
            </w:r>
          </w:p>
        </w:tc>
      </w:tr>
    </w:tbl>
    <w:p w14:paraId="3BE3F046" w14:textId="5B97B617" w:rsidR="00063DC0" w:rsidRDefault="00063DC0" w:rsidP="00063DC0">
      <w:pPr>
        <w:spacing w:before="40" w:after="40"/>
        <w:rPr>
          <w:sz w:val="22"/>
        </w:rPr>
      </w:pPr>
    </w:p>
    <w:p w14:paraId="66316C97" w14:textId="0210E418" w:rsidR="003D28B0" w:rsidRDefault="001A2E6C" w:rsidP="001A2E6C">
      <w:pPr>
        <w:spacing w:before="40" w:after="40"/>
        <w:rPr>
          <w:sz w:val="22"/>
        </w:rPr>
      </w:pPr>
      <w:r>
        <w:rPr>
          <w:u w:val="single"/>
        </w:rPr>
        <w:lastRenderedPageBreak/>
        <w:t>Version for AIs using the STC approach (“STC version”)</w:t>
      </w:r>
    </w:p>
    <w:tbl>
      <w:tblPr>
        <w:tblW w:w="13819"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32"/>
        <w:gridCol w:w="4252"/>
        <w:gridCol w:w="669"/>
        <w:gridCol w:w="670"/>
        <w:gridCol w:w="670"/>
        <w:gridCol w:w="669"/>
        <w:gridCol w:w="670"/>
        <w:gridCol w:w="670"/>
        <w:gridCol w:w="669"/>
        <w:gridCol w:w="670"/>
        <w:gridCol w:w="670"/>
        <w:gridCol w:w="670"/>
        <w:gridCol w:w="737"/>
        <w:gridCol w:w="1701"/>
      </w:tblGrid>
      <w:tr w:rsidR="003D28B0" w:rsidRPr="007C4F50" w14:paraId="51E3C6A6" w14:textId="77777777" w:rsidTr="005811E4">
        <w:trPr>
          <w:trHeight w:val="175"/>
          <w:tblHeader/>
        </w:trPr>
        <w:tc>
          <w:tcPr>
            <w:tcW w:w="432" w:type="dxa"/>
            <w:tcBorders>
              <w:top w:val="nil"/>
              <w:left w:val="nil"/>
              <w:bottom w:val="nil"/>
              <w:right w:val="nil"/>
            </w:tcBorders>
          </w:tcPr>
          <w:p w14:paraId="19618E60" w14:textId="77777777" w:rsidR="003D28B0" w:rsidRPr="00AF458A" w:rsidRDefault="003D28B0" w:rsidP="005811E4">
            <w:pPr>
              <w:pStyle w:val="TableText"/>
              <w:snapToGrid w:val="0"/>
              <w:rPr>
                <w:rFonts w:eastAsia="MS PGothic"/>
                <w:szCs w:val="17"/>
                <w:lang w:eastAsia="ja-JP"/>
              </w:rPr>
            </w:pPr>
          </w:p>
        </w:tc>
        <w:tc>
          <w:tcPr>
            <w:tcW w:w="4252" w:type="dxa"/>
            <w:tcBorders>
              <w:top w:val="nil"/>
              <w:left w:val="nil"/>
              <w:bottom w:val="single" w:sz="6" w:space="0" w:color="auto"/>
              <w:right w:val="single" w:sz="6" w:space="0" w:color="auto"/>
            </w:tcBorders>
            <w:noWrap/>
            <w:vAlign w:val="center"/>
          </w:tcPr>
          <w:p w14:paraId="4E9FBB09" w14:textId="77777777" w:rsidR="003D28B0" w:rsidRPr="00AF458A" w:rsidRDefault="003D28B0" w:rsidP="005811E4">
            <w:pPr>
              <w:pStyle w:val="TableText"/>
              <w:snapToGrid w:val="0"/>
              <w:rPr>
                <w:rFonts w:eastAsia="MS PGothic"/>
                <w:szCs w:val="17"/>
                <w:lang w:eastAsia="ja-JP"/>
              </w:rPr>
            </w:pPr>
          </w:p>
        </w:tc>
        <w:tc>
          <w:tcPr>
            <w:tcW w:w="669" w:type="dxa"/>
            <w:tcBorders>
              <w:top w:val="single" w:sz="6" w:space="0" w:color="auto"/>
              <w:left w:val="single" w:sz="6" w:space="0" w:color="auto"/>
              <w:bottom w:val="single" w:sz="6" w:space="0" w:color="auto"/>
              <w:right w:val="single" w:sz="6" w:space="0" w:color="auto"/>
            </w:tcBorders>
            <w:noWrap/>
            <w:vAlign w:val="center"/>
          </w:tcPr>
          <w:p w14:paraId="60D73105" w14:textId="77777777" w:rsidR="003D28B0" w:rsidRPr="00AF458A" w:rsidRDefault="003D28B0" w:rsidP="005811E4">
            <w:pPr>
              <w:pStyle w:val="TableText"/>
              <w:snapToGrid w:val="0"/>
              <w:jc w:val="center"/>
              <w:rPr>
                <w:rFonts w:cs="Segoe UI"/>
                <w:szCs w:val="17"/>
                <w:lang w:eastAsia="en-GB"/>
              </w:rPr>
            </w:pPr>
            <w:r w:rsidRPr="00AF458A">
              <w:rPr>
                <w:rFonts w:cs="Segoe UI"/>
                <w:szCs w:val="17"/>
                <w:lang w:eastAsia="en-GB"/>
              </w:rPr>
              <w:t>(a)</w:t>
            </w:r>
          </w:p>
        </w:tc>
        <w:tc>
          <w:tcPr>
            <w:tcW w:w="670" w:type="dxa"/>
            <w:tcBorders>
              <w:top w:val="single" w:sz="6" w:space="0" w:color="auto"/>
              <w:left w:val="single" w:sz="6" w:space="0" w:color="auto"/>
              <w:bottom w:val="single" w:sz="6" w:space="0" w:color="auto"/>
              <w:right w:val="single" w:sz="6" w:space="0" w:color="auto"/>
            </w:tcBorders>
            <w:noWrap/>
            <w:vAlign w:val="center"/>
          </w:tcPr>
          <w:p w14:paraId="3A80641C" w14:textId="1AE97E6C" w:rsidR="003D28B0" w:rsidRPr="00AF458A" w:rsidRDefault="003D28B0" w:rsidP="004D0518">
            <w:pPr>
              <w:pStyle w:val="TableText"/>
              <w:snapToGrid w:val="0"/>
              <w:jc w:val="center"/>
              <w:rPr>
                <w:rFonts w:cs="Segoe UI"/>
                <w:szCs w:val="17"/>
                <w:lang w:eastAsia="en-GB"/>
              </w:rPr>
            </w:pPr>
            <w:r w:rsidRPr="00AF458A">
              <w:rPr>
                <w:rFonts w:cs="Segoe UI"/>
                <w:szCs w:val="17"/>
                <w:lang w:eastAsia="en-GB"/>
              </w:rPr>
              <w:t>(b)</w:t>
            </w:r>
          </w:p>
        </w:tc>
        <w:tc>
          <w:tcPr>
            <w:tcW w:w="670" w:type="dxa"/>
            <w:tcBorders>
              <w:top w:val="single" w:sz="6" w:space="0" w:color="auto"/>
              <w:left w:val="single" w:sz="6" w:space="0" w:color="auto"/>
              <w:bottom w:val="single" w:sz="6" w:space="0" w:color="auto"/>
              <w:right w:val="single" w:sz="6" w:space="0" w:color="auto"/>
            </w:tcBorders>
            <w:noWrap/>
            <w:vAlign w:val="center"/>
          </w:tcPr>
          <w:p w14:paraId="6A8D5119" w14:textId="77777777" w:rsidR="003D28B0" w:rsidRPr="00AF458A" w:rsidRDefault="003D28B0" w:rsidP="005811E4">
            <w:pPr>
              <w:pStyle w:val="TableText"/>
              <w:snapToGrid w:val="0"/>
              <w:jc w:val="center"/>
              <w:rPr>
                <w:rFonts w:cs="Segoe UI"/>
                <w:szCs w:val="17"/>
                <w:lang w:eastAsia="en-GB"/>
              </w:rPr>
            </w:pPr>
            <w:r w:rsidRPr="00AF458A">
              <w:rPr>
                <w:rFonts w:cs="Segoe UI"/>
                <w:szCs w:val="17"/>
                <w:lang w:eastAsia="en-GB"/>
              </w:rPr>
              <w:t>(c)</w:t>
            </w:r>
          </w:p>
        </w:tc>
        <w:tc>
          <w:tcPr>
            <w:tcW w:w="669" w:type="dxa"/>
            <w:tcBorders>
              <w:top w:val="single" w:sz="6" w:space="0" w:color="auto"/>
              <w:left w:val="single" w:sz="6" w:space="0" w:color="auto"/>
              <w:bottom w:val="single" w:sz="6" w:space="0" w:color="auto"/>
              <w:right w:val="single" w:sz="6" w:space="0" w:color="auto"/>
            </w:tcBorders>
            <w:vAlign w:val="center"/>
          </w:tcPr>
          <w:p w14:paraId="4A6D1E7F" w14:textId="77777777" w:rsidR="003D28B0" w:rsidRPr="00AF458A" w:rsidRDefault="003D28B0" w:rsidP="005811E4">
            <w:pPr>
              <w:pStyle w:val="TableText"/>
              <w:snapToGrid w:val="0"/>
              <w:jc w:val="center"/>
              <w:rPr>
                <w:rFonts w:cs="Segoe UI"/>
                <w:szCs w:val="17"/>
                <w:lang w:eastAsia="en-GB"/>
              </w:rPr>
            </w:pPr>
            <w:r w:rsidRPr="00AA5E87">
              <w:rPr>
                <w:rFonts w:cs="Segoe UI"/>
                <w:szCs w:val="17"/>
                <w:lang w:eastAsia="en-GB"/>
              </w:rPr>
              <w:t>(ca)</w:t>
            </w:r>
          </w:p>
        </w:tc>
        <w:tc>
          <w:tcPr>
            <w:tcW w:w="670" w:type="dxa"/>
            <w:tcBorders>
              <w:top w:val="single" w:sz="6" w:space="0" w:color="auto"/>
              <w:left w:val="single" w:sz="6" w:space="0" w:color="auto"/>
              <w:bottom w:val="single" w:sz="6" w:space="0" w:color="auto"/>
              <w:right w:val="single" w:sz="6" w:space="0" w:color="auto"/>
            </w:tcBorders>
            <w:vAlign w:val="center"/>
          </w:tcPr>
          <w:p w14:paraId="5737D5FC" w14:textId="77777777" w:rsidR="003D28B0" w:rsidRPr="00AF458A" w:rsidRDefault="003D28B0" w:rsidP="005811E4">
            <w:pPr>
              <w:pStyle w:val="TableText"/>
              <w:snapToGrid w:val="0"/>
              <w:jc w:val="center"/>
              <w:rPr>
                <w:rFonts w:cs="Segoe UI"/>
                <w:szCs w:val="17"/>
                <w:lang w:eastAsia="en-GB"/>
              </w:rPr>
            </w:pPr>
            <w:r w:rsidRPr="00AF458A">
              <w:rPr>
                <w:rFonts w:cs="Segoe UI"/>
                <w:szCs w:val="17"/>
                <w:lang w:eastAsia="en-GB"/>
              </w:rPr>
              <w:t>(c</w:t>
            </w:r>
            <w:r w:rsidRPr="00AA5E87">
              <w:rPr>
                <w:rFonts w:cs="Segoe UI"/>
                <w:szCs w:val="17"/>
                <w:lang w:eastAsia="en-GB"/>
              </w:rPr>
              <w:t>b</w:t>
            </w:r>
            <w:r w:rsidRPr="00AF458A">
              <w:rPr>
                <w:rFonts w:cs="Segoe UI"/>
                <w:szCs w:val="17"/>
                <w:lang w:eastAsia="en-GB"/>
              </w:rPr>
              <w:t>)</w:t>
            </w:r>
          </w:p>
        </w:tc>
        <w:tc>
          <w:tcPr>
            <w:tcW w:w="670" w:type="dxa"/>
            <w:tcBorders>
              <w:top w:val="single" w:sz="6" w:space="0" w:color="auto"/>
              <w:left w:val="single" w:sz="6" w:space="0" w:color="auto"/>
              <w:bottom w:val="single" w:sz="6" w:space="0" w:color="auto"/>
              <w:right w:val="single" w:sz="6" w:space="0" w:color="auto"/>
            </w:tcBorders>
            <w:vAlign w:val="center"/>
          </w:tcPr>
          <w:p w14:paraId="14191B50" w14:textId="47844D93" w:rsidR="003D28B0" w:rsidRPr="00AF458A" w:rsidRDefault="002C0B6D" w:rsidP="002C0B6D">
            <w:pPr>
              <w:pStyle w:val="TableText"/>
              <w:snapToGrid w:val="0"/>
              <w:jc w:val="center"/>
              <w:rPr>
                <w:rFonts w:cs="Segoe UI"/>
                <w:szCs w:val="17"/>
                <w:lang w:eastAsia="en-GB"/>
              </w:rPr>
            </w:pPr>
            <w:r w:rsidDel="002C0B6D">
              <w:rPr>
                <w:rFonts w:cs="Segoe UI"/>
                <w:szCs w:val="17"/>
                <w:lang w:eastAsia="en-GB"/>
              </w:rPr>
              <w:t xml:space="preserve"> </w:t>
            </w:r>
            <w:r w:rsidR="003D28B0" w:rsidRPr="00AF458A">
              <w:rPr>
                <w:rFonts w:cs="Segoe UI"/>
                <w:szCs w:val="17"/>
                <w:lang w:eastAsia="en-GB"/>
              </w:rPr>
              <w:t>(d)</w:t>
            </w:r>
          </w:p>
        </w:tc>
        <w:tc>
          <w:tcPr>
            <w:tcW w:w="669" w:type="dxa"/>
            <w:tcBorders>
              <w:top w:val="single" w:sz="6" w:space="0" w:color="auto"/>
              <w:left w:val="single" w:sz="6" w:space="0" w:color="auto"/>
              <w:bottom w:val="single" w:sz="6" w:space="0" w:color="auto"/>
              <w:right w:val="single" w:sz="6" w:space="0" w:color="auto"/>
            </w:tcBorders>
            <w:vAlign w:val="center"/>
          </w:tcPr>
          <w:p w14:paraId="22397BB8" w14:textId="77777777" w:rsidR="003D28B0" w:rsidRPr="00AF458A" w:rsidRDefault="003D28B0" w:rsidP="005811E4">
            <w:pPr>
              <w:pStyle w:val="TableText"/>
              <w:snapToGrid w:val="0"/>
              <w:jc w:val="center"/>
              <w:rPr>
                <w:rFonts w:cs="Segoe UI"/>
                <w:szCs w:val="17"/>
                <w:lang w:eastAsia="en-GB"/>
              </w:rPr>
            </w:pPr>
            <w:r w:rsidRPr="00AF458A">
              <w:rPr>
                <w:rFonts w:cs="Segoe UI"/>
                <w:szCs w:val="17"/>
                <w:lang w:eastAsia="en-GB"/>
              </w:rPr>
              <w:t>(e)</w:t>
            </w:r>
          </w:p>
        </w:tc>
        <w:tc>
          <w:tcPr>
            <w:tcW w:w="670" w:type="dxa"/>
            <w:tcBorders>
              <w:top w:val="single" w:sz="6" w:space="0" w:color="auto"/>
              <w:left w:val="single" w:sz="6" w:space="0" w:color="auto"/>
              <w:bottom w:val="single" w:sz="6" w:space="0" w:color="auto"/>
              <w:right w:val="single" w:sz="6" w:space="0" w:color="auto"/>
            </w:tcBorders>
            <w:vAlign w:val="center"/>
          </w:tcPr>
          <w:p w14:paraId="124C0967" w14:textId="77777777" w:rsidR="003D28B0" w:rsidRPr="00AF458A" w:rsidRDefault="003D28B0" w:rsidP="005811E4">
            <w:pPr>
              <w:pStyle w:val="TableText"/>
              <w:snapToGrid w:val="0"/>
              <w:jc w:val="center"/>
              <w:rPr>
                <w:rFonts w:cs="Segoe UI"/>
                <w:szCs w:val="17"/>
                <w:lang w:eastAsia="en-GB"/>
              </w:rPr>
            </w:pPr>
            <w:r w:rsidRPr="00AF458A">
              <w:rPr>
                <w:rFonts w:cs="Segoe UI"/>
                <w:szCs w:val="17"/>
                <w:lang w:eastAsia="en-GB"/>
              </w:rPr>
              <w:t>(ea)</w:t>
            </w:r>
          </w:p>
        </w:tc>
        <w:tc>
          <w:tcPr>
            <w:tcW w:w="670" w:type="dxa"/>
            <w:tcBorders>
              <w:top w:val="single" w:sz="6" w:space="0" w:color="auto"/>
              <w:left w:val="single" w:sz="6" w:space="0" w:color="auto"/>
              <w:bottom w:val="single" w:sz="6" w:space="0" w:color="auto"/>
              <w:right w:val="single" w:sz="6" w:space="0" w:color="auto"/>
            </w:tcBorders>
            <w:noWrap/>
            <w:vAlign w:val="center"/>
          </w:tcPr>
          <w:p w14:paraId="0A1179CE" w14:textId="77777777" w:rsidR="003D28B0" w:rsidRPr="00AF458A" w:rsidRDefault="003D28B0" w:rsidP="005811E4">
            <w:pPr>
              <w:pStyle w:val="TableText"/>
              <w:snapToGrid w:val="0"/>
              <w:jc w:val="center"/>
              <w:rPr>
                <w:rFonts w:cs="Segoe UI"/>
                <w:szCs w:val="17"/>
                <w:lang w:eastAsia="en-GB"/>
              </w:rPr>
            </w:pPr>
            <w:r w:rsidRPr="00AF458A">
              <w:rPr>
                <w:rFonts w:cs="Segoe UI"/>
                <w:szCs w:val="17"/>
                <w:lang w:eastAsia="en-GB"/>
              </w:rPr>
              <w:t>(f)</w:t>
            </w:r>
          </w:p>
        </w:tc>
        <w:tc>
          <w:tcPr>
            <w:tcW w:w="670" w:type="dxa"/>
            <w:tcBorders>
              <w:top w:val="single" w:sz="6" w:space="0" w:color="auto"/>
              <w:left w:val="single" w:sz="6" w:space="0" w:color="auto"/>
              <w:bottom w:val="single" w:sz="6" w:space="0" w:color="auto"/>
              <w:right w:val="single" w:sz="6" w:space="0" w:color="auto"/>
            </w:tcBorders>
            <w:noWrap/>
            <w:vAlign w:val="center"/>
          </w:tcPr>
          <w:p w14:paraId="07CB0C8C" w14:textId="6A48F50C" w:rsidR="003D28B0" w:rsidRPr="00AF458A" w:rsidRDefault="003D28B0" w:rsidP="005811E4">
            <w:pPr>
              <w:pStyle w:val="TableText"/>
              <w:snapToGrid w:val="0"/>
              <w:jc w:val="center"/>
              <w:rPr>
                <w:rFonts w:cs="Segoe UI"/>
                <w:szCs w:val="17"/>
                <w:lang w:eastAsia="en-GB"/>
              </w:rPr>
            </w:pPr>
            <w:r w:rsidRPr="00AF458A">
              <w:rPr>
                <w:rFonts w:cs="Segoe UI"/>
                <w:szCs w:val="17"/>
                <w:lang w:eastAsia="en-GB"/>
              </w:rPr>
              <w:t>(g)</w:t>
            </w:r>
          </w:p>
        </w:tc>
        <w:tc>
          <w:tcPr>
            <w:tcW w:w="737" w:type="dxa"/>
            <w:tcBorders>
              <w:top w:val="single" w:sz="6" w:space="0" w:color="auto"/>
              <w:left w:val="single" w:sz="6" w:space="0" w:color="auto"/>
              <w:bottom w:val="single" w:sz="6" w:space="0" w:color="auto"/>
              <w:right w:val="single" w:sz="6" w:space="0" w:color="auto"/>
            </w:tcBorders>
            <w:vAlign w:val="center"/>
          </w:tcPr>
          <w:p w14:paraId="13AD0B89" w14:textId="0BEDC15A" w:rsidR="003D28B0" w:rsidRPr="00AF458A" w:rsidRDefault="003D28B0" w:rsidP="005811E4">
            <w:pPr>
              <w:pStyle w:val="TableText"/>
              <w:snapToGrid w:val="0"/>
              <w:jc w:val="center"/>
              <w:rPr>
                <w:rFonts w:cs="Segoe UI"/>
                <w:szCs w:val="17"/>
                <w:lang w:eastAsia="en-GB"/>
              </w:rPr>
            </w:pPr>
            <w:r w:rsidRPr="00AF458A">
              <w:rPr>
                <w:rFonts w:cs="Segoe UI"/>
                <w:szCs w:val="17"/>
                <w:lang w:eastAsia="en-GB"/>
              </w:rPr>
              <w:t>(h)</w:t>
            </w:r>
          </w:p>
        </w:tc>
        <w:tc>
          <w:tcPr>
            <w:tcW w:w="1701" w:type="dxa"/>
            <w:tcBorders>
              <w:top w:val="single" w:sz="6" w:space="0" w:color="auto"/>
              <w:left w:val="single" w:sz="6" w:space="0" w:color="auto"/>
              <w:bottom w:val="single" w:sz="6" w:space="0" w:color="auto"/>
              <w:right w:val="single" w:sz="6" w:space="0" w:color="auto"/>
            </w:tcBorders>
            <w:vAlign w:val="center"/>
          </w:tcPr>
          <w:p w14:paraId="70A054D8" w14:textId="77777777" w:rsidR="003D28B0" w:rsidRPr="00AF458A" w:rsidRDefault="003D28B0" w:rsidP="005811E4">
            <w:pPr>
              <w:pStyle w:val="TableText"/>
              <w:snapToGrid w:val="0"/>
              <w:jc w:val="center"/>
              <w:rPr>
                <w:rFonts w:cs="Segoe UI"/>
                <w:szCs w:val="17"/>
                <w:lang w:eastAsia="en-GB"/>
              </w:rPr>
            </w:pPr>
            <w:r w:rsidRPr="00AF458A">
              <w:rPr>
                <w:rFonts w:cs="Segoe UI"/>
                <w:szCs w:val="17"/>
                <w:lang w:eastAsia="en-GB"/>
              </w:rPr>
              <w:t>(i)</w:t>
            </w:r>
          </w:p>
        </w:tc>
      </w:tr>
      <w:tr w:rsidR="003D28B0" w:rsidRPr="007C4F50" w14:paraId="7CF86756" w14:textId="77777777" w:rsidTr="005811E4">
        <w:trPr>
          <w:trHeight w:val="1134"/>
          <w:tblHeader/>
        </w:trPr>
        <w:tc>
          <w:tcPr>
            <w:tcW w:w="432" w:type="dxa"/>
            <w:tcBorders>
              <w:top w:val="nil"/>
              <w:left w:val="nil"/>
              <w:bottom w:val="single" w:sz="6" w:space="0" w:color="auto"/>
              <w:right w:val="single" w:sz="6" w:space="0" w:color="auto"/>
            </w:tcBorders>
          </w:tcPr>
          <w:p w14:paraId="2A48A29A" w14:textId="77777777" w:rsidR="003D28B0" w:rsidRPr="00AF458A" w:rsidRDefault="003D28B0" w:rsidP="005811E4">
            <w:pPr>
              <w:pStyle w:val="TableText"/>
              <w:snapToGrid w:val="0"/>
              <w:rPr>
                <w:rFonts w:eastAsia="MS PGothic"/>
                <w:szCs w:val="17"/>
                <w:lang w:eastAsia="ja-JP"/>
              </w:rPr>
            </w:pPr>
          </w:p>
        </w:tc>
        <w:tc>
          <w:tcPr>
            <w:tcW w:w="4252" w:type="dxa"/>
            <w:tcBorders>
              <w:top w:val="single" w:sz="6" w:space="0" w:color="auto"/>
              <w:left w:val="single" w:sz="6" w:space="0" w:color="auto"/>
              <w:bottom w:val="single" w:sz="6" w:space="0" w:color="auto"/>
              <w:right w:val="single" w:sz="6" w:space="0" w:color="auto"/>
              <w:tl2br w:val="single" w:sz="4" w:space="0" w:color="auto"/>
            </w:tcBorders>
            <w:noWrap/>
            <w:vAlign w:val="center"/>
          </w:tcPr>
          <w:p w14:paraId="3F92AEAF" w14:textId="77777777" w:rsidR="003D28B0" w:rsidRPr="00AF458A" w:rsidRDefault="003D28B0" w:rsidP="005811E4">
            <w:pPr>
              <w:pStyle w:val="TableText"/>
              <w:snapToGrid w:val="0"/>
              <w:jc w:val="right"/>
              <w:rPr>
                <w:rFonts w:eastAsia="MS PGothic"/>
                <w:szCs w:val="17"/>
                <w:lang w:eastAsia="ja-JP"/>
              </w:rPr>
            </w:pPr>
            <w:r w:rsidRPr="00AF458A">
              <w:rPr>
                <w:rFonts w:eastAsia="MS PGothic"/>
                <w:szCs w:val="17"/>
                <w:lang w:eastAsia="ja-JP"/>
              </w:rPr>
              <w:t xml:space="preserve">                                   Risk Weight</w:t>
            </w:r>
          </w:p>
          <w:p w14:paraId="79444703" w14:textId="77777777" w:rsidR="003D28B0" w:rsidRPr="00AF458A" w:rsidRDefault="003D28B0" w:rsidP="005811E4">
            <w:pPr>
              <w:pStyle w:val="TableText"/>
              <w:snapToGrid w:val="0"/>
              <w:rPr>
                <w:rFonts w:eastAsia="MS PGothic"/>
                <w:szCs w:val="17"/>
                <w:lang w:eastAsia="ja-JP"/>
              </w:rPr>
            </w:pPr>
            <w:r w:rsidRPr="00AF458A">
              <w:rPr>
                <w:rFonts w:eastAsia="MS PGothic"/>
                <w:szCs w:val="17"/>
                <w:lang w:eastAsia="ja-JP"/>
              </w:rPr>
              <w:t>Exposure class</w:t>
            </w:r>
          </w:p>
        </w:tc>
        <w:tc>
          <w:tcPr>
            <w:tcW w:w="669" w:type="dxa"/>
            <w:tcBorders>
              <w:top w:val="single" w:sz="6" w:space="0" w:color="auto"/>
              <w:left w:val="single" w:sz="6" w:space="0" w:color="auto"/>
              <w:bottom w:val="single" w:sz="6" w:space="0" w:color="auto"/>
              <w:right w:val="single" w:sz="6" w:space="0" w:color="auto"/>
            </w:tcBorders>
            <w:shd w:val="clear" w:color="auto" w:fill="auto"/>
            <w:noWrap/>
            <w:vAlign w:val="center"/>
          </w:tcPr>
          <w:p w14:paraId="4B653D51" w14:textId="77777777" w:rsidR="003D28B0" w:rsidRPr="00AF458A" w:rsidRDefault="003D28B0" w:rsidP="005811E4">
            <w:pPr>
              <w:pStyle w:val="TableText"/>
              <w:snapToGrid w:val="0"/>
              <w:jc w:val="center"/>
              <w:rPr>
                <w:rFonts w:cs="Segoe UI"/>
                <w:szCs w:val="17"/>
                <w:lang w:eastAsia="en-GB"/>
              </w:rPr>
            </w:pPr>
            <w:r w:rsidRPr="00AF458A">
              <w:rPr>
                <w:rFonts w:cs="Segoe UI"/>
                <w:szCs w:val="17"/>
                <w:lang w:eastAsia="en-GB"/>
              </w:rPr>
              <w:t>0%</w:t>
            </w:r>
          </w:p>
        </w:tc>
        <w:tc>
          <w:tcPr>
            <w:tcW w:w="670" w:type="dxa"/>
            <w:tcBorders>
              <w:top w:val="single" w:sz="2" w:space="0" w:color="auto"/>
              <w:left w:val="single" w:sz="6" w:space="0" w:color="auto"/>
              <w:bottom w:val="single" w:sz="6" w:space="0" w:color="auto"/>
              <w:right w:val="single" w:sz="6" w:space="0" w:color="auto"/>
            </w:tcBorders>
            <w:shd w:val="clear" w:color="auto" w:fill="auto"/>
            <w:noWrap/>
            <w:vAlign w:val="center"/>
          </w:tcPr>
          <w:p w14:paraId="05EE36C1" w14:textId="3B1F5411" w:rsidR="003D28B0" w:rsidRPr="00AF458A" w:rsidRDefault="003D28B0" w:rsidP="004D0518">
            <w:pPr>
              <w:pStyle w:val="TableText"/>
              <w:snapToGrid w:val="0"/>
              <w:jc w:val="center"/>
              <w:rPr>
                <w:rFonts w:cs="Segoe UI"/>
                <w:szCs w:val="17"/>
                <w:lang w:eastAsia="en-GB"/>
              </w:rPr>
            </w:pPr>
            <w:r w:rsidRPr="00AF458A">
              <w:rPr>
                <w:rFonts w:cs="Segoe UI"/>
                <w:szCs w:val="17"/>
                <w:lang w:eastAsia="en-GB"/>
              </w:rPr>
              <w:t>10%</w:t>
            </w:r>
          </w:p>
        </w:tc>
        <w:tc>
          <w:tcPr>
            <w:tcW w:w="670" w:type="dxa"/>
            <w:tcBorders>
              <w:top w:val="single" w:sz="6" w:space="0" w:color="auto"/>
              <w:left w:val="single" w:sz="6" w:space="0" w:color="auto"/>
              <w:bottom w:val="single" w:sz="6" w:space="0" w:color="auto"/>
              <w:right w:val="single" w:sz="6" w:space="0" w:color="auto"/>
            </w:tcBorders>
            <w:shd w:val="clear" w:color="auto" w:fill="auto"/>
            <w:noWrap/>
            <w:vAlign w:val="center"/>
          </w:tcPr>
          <w:p w14:paraId="1EB733ED" w14:textId="77777777" w:rsidR="003D28B0" w:rsidRPr="00AF458A" w:rsidRDefault="003D28B0" w:rsidP="005811E4">
            <w:pPr>
              <w:pStyle w:val="TableText"/>
              <w:snapToGrid w:val="0"/>
              <w:jc w:val="center"/>
              <w:rPr>
                <w:rFonts w:cs="Segoe UI"/>
                <w:szCs w:val="17"/>
                <w:lang w:eastAsia="en-GB"/>
              </w:rPr>
            </w:pPr>
            <w:r w:rsidRPr="00AF458A">
              <w:rPr>
                <w:rFonts w:cs="Segoe UI"/>
                <w:szCs w:val="17"/>
                <w:lang w:eastAsia="en-GB"/>
              </w:rPr>
              <w:t>20%</w:t>
            </w:r>
          </w:p>
        </w:tc>
        <w:tc>
          <w:tcPr>
            <w:tcW w:w="669" w:type="dxa"/>
            <w:tcBorders>
              <w:top w:val="single" w:sz="6" w:space="0" w:color="auto"/>
              <w:left w:val="single" w:sz="6" w:space="0" w:color="auto"/>
              <w:bottom w:val="single" w:sz="6" w:space="0" w:color="auto"/>
              <w:right w:val="single" w:sz="6" w:space="0" w:color="auto"/>
            </w:tcBorders>
            <w:vAlign w:val="center"/>
          </w:tcPr>
          <w:p w14:paraId="115A078A" w14:textId="6E83AE5C" w:rsidR="00700890" w:rsidRPr="00AF458A" w:rsidRDefault="003D28B0" w:rsidP="00700890">
            <w:pPr>
              <w:pStyle w:val="TableText"/>
              <w:snapToGrid w:val="0"/>
              <w:jc w:val="center"/>
              <w:rPr>
                <w:rFonts w:cs="Segoe UI"/>
                <w:szCs w:val="17"/>
                <w:lang w:eastAsia="en-GB"/>
              </w:rPr>
            </w:pPr>
            <w:r w:rsidRPr="00AF458A">
              <w:rPr>
                <w:rFonts w:cs="Segoe UI"/>
                <w:szCs w:val="17"/>
                <w:lang w:eastAsia="en-GB"/>
              </w:rPr>
              <w:t>30%</w:t>
            </w:r>
          </w:p>
        </w:tc>
        <w:tc>
          <w:tcPr>
            <w:tcW w:w="670" w:type="dxa"/>
            <w:tcBorders>
              <w:top w:val="single" w:sz="6" w:space="0" w:color="auto"/>
              <w:left w:val="single" w:sz="6" w:space="0" w:color="auto"/>
              <w:bottom w:val="single" w:sz="6" w:space="0" w:color="auto"/>
              <w:right w:val="single" w:sz="6" w:space="0" w:color="auto"/>
            </w:tcBorders>
            <w:vAlign w:val="center"/>
          </w:tcPr>
          <w:p w14:paraId="45DFFD64" w14:textId="4CC4F01D" w:rsidR="003D28B0" w:rsidRPr="00AF458A" w:rsidRDefault="003D28B0" w:rsidP="005811E4">
            <w:pPr>
              <w:pStyle w:val="TableText"/>
              <w:snapToGrid w:val="0"/>
              <w:jc w:val="center"/>
              <w:rPr>
                <w:rFonts w:cs="Segoe UI"/>
                <w:szCs w:val="17"/>
                <w:highlight w:val="green"/>
                <w:lang w:eastAsia="en-GB"/>
              </w:rPr>
            </w:pPr>
            <w:r w:rsidRPr="00AF458A">
              <w:rPr>
                <w:rFonts w:cs="Segoe UI"/>
                <w:szCs w:val="17"/>
                <w:lang w:eastAsia="en-GB"/>
              </w:rPr>
              <w:t>40%</w:t>
            </w:r>
          </w:p>
        </w:tc>
        <w:tc>
          <w:tcPr>
            <w:tcW w:w="670" w:type="dxa"/>
            <w:tcBorders>
              <w:top w:val="single" w:sz="6" w:space="0" w:color="auto"/>
              <w:left w:val="single" w:sz="6" w:space="0" w:color="auto"/>
              <w:bottom w:val="single" w:sz="6" w:space="0" w:color="auto"/>
              <w:right w:val="single" w:sz="6" w:space="0" w:color="auto"/>
            </w:tcBorders>
            <w:shd w:val="clear" w:color="auto" w:fill="auto"/>
            <w:vAlign w:val="center"/>
          </w:tcPr>
          <w:p w14:paraId="3D08D160" w14:textId="3AAAC222" w:rsidR="003D28B0" w:rsidRPr="00AF458A" w:rsidRDefault="003D28B0" w:rsidP="002C0B6D">
            <w:pPr>
              <w:pStyle w:val="TableText"/>
              <w:snapToGrid w:val="0"/>
              <w:jc w:val="center"/>
              <w:rPr>
                <w:rFonts w:cs="Segoe UI"/>
                <w:szCs w:val="17"/>
                <w:lang w:eastAsia="en-GB"/>
              </w:rPr>
            </w:pPr>
            <w:r w:rsidRPr="00AF458A">
              <w:rPr>
                <w:rFonts w:cs="Segoe UI"/>
                <w:szCs w:val="17"/>
                <w:lang w:eastAsia="en-GB"/>
              </w:rPr>
              <w:t>50%</w:t>
            </w:r>
          </w:p>
        </w:tc>
        <w:tc>
          <w:tcPr>
            <w:tcW w:w="669" w:type="dxa"/>
            <w:tcBorders>
              <w:top w:val="single" w:sz="6" w:space="0" w:color="auto"/>
              <w:left w:val="single" w:sz="6" w:space="0" w:color="auto"/>
              <w:bottom w:val="single" w:sz="6" w:space="0" w:color="auto"/>
              <w:right w:val="single" w:sz="6" w:space="0" w:color="auto"/>
            </w:tcBorders>
            <w:shd w:val="clear" w:color="auto" w:fill="auto"/>
            <w:vAlign w:val="center"/>
          </w:tcPr>
          <w:p w14:paraId="165526DF" w14:textId="77777777" w:rsidR="003D28B0" w:rsidRPr="00AF458A" w:rsidRDefault="003D28B0" w:rsidP="005811E4">
            <w:pPr>
              <w:pStyle w:val="TableText"/>
              <w:snapToGrid w:val="0"/>
              <w:jc w:val="center"/>
              <w:rPr>
                <w:rFonts w:cs="Segoe UI"/>
                <w:szCs w:val="17"/>
                <w:lang w:eastAsia="en-GB"/>
              </w:rPr>
            </w:pPr>
            <w:r w:rsidRPr="00AF458A">
              <w:rPr>
                <w:rFonts w:cs="Segoe UI"/>
                <w:szCs w:val="17"/>
                <w:lang w:eastAsia="en-GB"/>
              </w:rPr>
              <w:t>75%</w:t>
            </w:r>
          </w:p>
        </w:tc>
        <w:tc>
          <w:tcPr>
            <w:tcW w:w="670" w:type="dxa"/>
            <w:tcBorders>
              <w:top w:val="single" w:sz="6" w:space="0" w:color="auto"/>
              <w:left w:val="single" w:sz="6" w:space="0" w:color="auto"/>
              <w:bottom w:val="single" w:sz="6" w:space="0" w:color="auto"/>
              <w:right w:val="single" w:sz="6" w:space="0" w:color="auto"/>
            </w:tcBorders>
            <w:vAlign w:val="center"/>
          </w:tcPr>
          <w:p w14:paraId="5BC0E811" w14:textId="77777777" w:rsidR="003D28B0" w:rsidRPr="00AF458A" w:rsidRDefault="003D28B0" w:rsidP="005811E4">
            <w:pPr>
              <w:pStyle w:val="TableText"/>
              <w:snapToGrid w:val="0"/>
              <w:jc w:val="center"/>
              <w:rPr>
                <w:rFonts w:cs="Segoe UI"/>
                <w:szCs w:val="17"/>
                <w:highlight w:val="green"/>
                <w:lang w:eastAsia="en-GB"/>
              </w:rPr>
            </w:pPr>
            <w:r w:rsidRPr="00AF458A">
              <w:rPr>
                <w:rFonts w:cs="Segoe UI"/>
                <w:szCs w:val="17"/>
                <w:lang w:eastAsia="en-GB"/>
              </w:rPr>
              <w:t>85%</w:t>
            </w:r>
          </w:p>
        </w:tc>
        <w:tc>
          <w:tcPr>
            <w:tcW w:w="670" w:type="dxa"/>
            <w:tcBorders>
              <w:top w:val="single" w:sz="6" w:space="0" w:color="auto"/>
              <w:left w:val="single" w:sz="6" w:space="0" w:color="auto"/>
              <w:bottom w:val="single" w:sz="6" w:space="0" w:color="auto"/>
              <w:right w:val="single" w:sz="6" w:space="0" w:color="auto"/>
            </w:tcBorders>
            <w:shd w:val="clear" w:color="auto" w:fill="auto"/>
            <w:noWrap/>
            <w:vAlign w:val="center"/>
          </w:tcPr>
          <w:p w14:paraId="1293B0B7" w14:textId="77777777" w:rsidR="003D28B0" w:rsidRPr="00AF458A" w:rsidRDefault="003D28B0" w:rsidP="005811E4">
            <w:pPr>
              <w:pStyle w:val="TableText"/>
              <w:snapToGrid w:val="0"/>
              <w:jc w:val="center"/>
              <w:rPr>
                <w:rFonts w:cs="Segoe UI"/>
                <w:szCs w:val="17"/>
                <w:lang w:eastAsia="en-GB"/>
              </w:rPr>
            </w:pPr>
            <w:r w:rsidRPr="00AF458A">
              <w:rPr>
                <w:rFonts w:cs="Segoe UI"/>
                <w:szCs w:val="17"/>
                <w:lang w:eastAsia="en-GB"/>
              </w:rPr>
              <w:t>100%</w:t>
            </w:r>
          </w:p>
        </w:tc>
        <w:tc>
          <w:tcPr>
            <w:tcW w:w="670" w:type="dxa"/>
            <w:tcBorders>
              <w:top w:val="single" w:sz="6" w:space="0" w:color="auto"/>
              <w:left w:val="single" w:sz="6" w:space="0" w:color="auto"/>
              <w:bottom w:val="single" w:sz="6" w:space="0" w:color="auto"/>
              <w:right w:val="single" w:sz="6" w:space="0" w:color="auto"/>
            </w:tcBorders>
            <w:shd w:val="clear" w:color="auto" w:fill="auto"/>
            <w:noWrap/>
            <w:vAlign w:val="center"/>
          </w:tcPr>
          <w:p w14:paraId="5E240614" w14:textId="77F43AF0" w:rsidR="003D28B0" w:rsidRPr="00AF458A" w:rsidRDefault="003D28B0" w:rsidP="005811E4">
            <w:pPr>
              <w:pStyle w:val="TableText"/>
              <w:snapToGrid w:val="0"/>
              <w:jc w:val="center"/>
              <w:rPr>
                <w:rFonts w:cs="Segoe UI"/>
                <w:szCs w:val="17"/>
                <w:lang w:eastAsia="en-GB"/>
              </w:rPr>
            </w:pPr>
            <w:r w:rsidRPr="00AF458A">
              <w:rPr>
                <w:rFonts w:cs="Segoe UI"/>
                <w:szCs w:val="17"/>
                <w:lang w:eastAsia="en-GB"/>
              </w:rPr>
              <w:t>150%</w:t>
            </w:r>
          </w:p>
        </w:tc>
        <w:tc>
          <w:tcPr>
            <w:tcW w:w="737" w:type="dxa"/>
            <w:tcBorders>
              <w:top w:val="single" w:sz="6" w:space="0" w:color="auto"/>
              <w:left w:val="single" w:sz="6" w:space="0" w:color="auto"/>
              <w:bottom w:val="single" w:sz="6" w:space="0" w:color="auto"/>
              <w:right w:val="single" w:sz="6" w:space="0" w:color="auto"/>
            </w:tcBorders>
            <w:vAlign w:val="center"/>
          </w:tcPr>
          <w:p w14:paraId="270A08FB" w14:textId="6F86027E" w:rsidR="003D28B0" w:rsidRPr="00AF458A" w:rsidRDefault="003D28B0" w:rsidP="00694599">
            <w:pPr>
              <w:pStyle w:val="TableText"/>
              <w:snapToGrid w:val="0"/>
              <w:jc w:val="center"/>
              <w:rPr>
                <w:rFonts w:cs="Segoe UI"/>
                <w:szCs w:val="17"/>
                <w:lang w:eastAsia="en-GB"/>
              </w:rPr>
            </w:pPr>
            <w:r w:rsidRPr="00AF458A">
              <w:rPr>
                <w:rFonts w:cs="Segoe UI"/>
                <w:szCs w:val="17"/>
                <w:lang w:eastAsia="en-GB"/>
              </w:rPr>
              <w:t>Others</w:t>
            </w:r>
          </w:p>
        </w:tc>
        <w:tc>
          <w:tcPr>
            <w:tcW w:w="1701" w:type="dxa"/>
            <w:tcBorders>
              <w:top w:val="single" w:sz="6" w:space="0" w:color="auto"/>
              <w:left w:val="single" w:sz="6" w:space="0" w:color="auto"/>
              <w:bottom w:val="single" w:sz="6" w:space="0" w:color="auto"/>
              <w:right w:val="single" w:sz="6" w:space="0" w:color="auto"/>
            </w:tcBorders>
            <w:vAlign w:val="center"/>
          </w:tcPr>
          <w:p w14:paraId="4707453F" w14:textId="77777777" w:rsidR="003D28B0" w:rsidRPr="00AF458A" w:rsidRDefault="003D28B0" w:rsidP="005811E4">
            <w:pPr>
              <w:pStyle w:val="TableText"/>
              <w:snapToGrid w:val="0"/>
              <w:rPr>
                <w:rFonts w:eastAsia="MS PGothic"/>
                <w:spacing w:val="-20"/>
                <w:szCs w:val="17"/>
                <w:lang w:eastAsia="ja-JP"/>
              </w:rPr>
            </w:pPr>
            <w:r w:rsidRPr="00AF458A">
              <w:rPr>
                <w:rFonts w:cs="Segoe UI"/>
                <w:szCs w:val="17"/>
                <w:lang w:eastAsia="en-GB"/>
              </w:rPr>
              <w:t>Total default risk exposure after CRM</w:t>
            </w:r>
          </w:p>
        </w:tc>
      </w:tr>
      <w:tr w:rsidR="003D28B0" w:rsidRPr="007C4F50" w14:paraId="26BC5DAF" w14:textId="77777777" w:rsidTr="005811E4">
        <w:trPr>
          <w:trHeight w:val="283"/>
        </w:trPr>
        <w:tc>
          <w:tcPr>
            <w:tcW w:w="432" w:type="dxa"/>
            <w:tcBorders>
              <w:top w:val="single" w:sz="6" w:space="0" w:color="auto"/>
              <w:left w:val="nil"/>
              <w:right w:val="single" w:sz="6" w:space="0" w:color="auto"/>
            </w:tcBorders>
          </w:tcPr>
          <w:p w14:paraId="60A14C32" w14:textId="77777777" w:rsidR="003D28B0" w:rsidRPr="00AF458A" w:rsidRDefault="003D28B0" w:rsidP="005811E4">
            <w:pPr>
              <w:pStyle w:val="TableText"/>
              <w:snapToGrid w:val="0"/>
              <w:rPr>
                <w:rFonts w:cs="Segoe UI"/>
                <w:szCs w:val="17"/>
                <w:lang w:eastAsia="en-GB"/>
              </w:rPr>
            </w:pPr>
            <w:r w:rsidRPr="00AF458A">
              <w:rPr>
                <w:rFonts w:cs="Segoe UI"/>
                <w:szCs w:val="17"/>
                <w:lang w:eastAsia="en-GB"/>
              </w:rPr>
              <w:t>1</w:t>
            </w:r>
          </w:p>
        </w:tc>
        <w:tc>
          <w:tcPr>
            <w:tcW w:w="4252" w:type="dxa"/>
            <w:tcBorders>
              <w:top w:val="single" w:sz="6" w:space="0" w:color="auto"/>
              <w:left w:val="nil"/>
              <w:right w:val="single" w:sz="6" w:space="0" w:color="auto"/>
            </w:tcBorders>
            <w:noWrap/>
          </w:tcPr>
          <w:p w14:paraId="26F5010B" w14:textId="77777777" w:rsidR="003D28B0" w:rsidRPr="00AF458A" w:rsidRDefault="003D28B0" w:rsidP="005811E4">
            <w:pPr>
              <w:pStyle w:val="TableText"/>
              <w:snapToGrid w:val="0"/>
              <w:rPr>
                <w:rFonts w:cs="Segoe UI"/>
                <w:szCs w:val="17"/>
                <w:lang w:eastAsia="en-GB"/>
              </w:rPr>
            </w:pPr>
            <w:r w:rsidRPr="00AF458A">
              <w:rPr>
                <w:rFonts w:cs="Segoe UI"/>
                <w:szCs w:val="17"/>
                <w:lang w:eastAsia="en-GB"/>
              </w:rPr>
              <w:t>Sovereign exposures</w:t>
            </w:r>
          </w:p>
        </w:tc>
        <w:tc>
          <w:tcPr>
            <w:tcW w:w="669" w:type="dxa"/>
            <w:tcBorders>
              <w:top w:val="single" w:sz="6" w:space="0" w:color="auto"/>
              <w:left w:val="single" w:sz="6" w:space="0" w:color="auto"/>
              <w:bottom w:val="single" w:sz="6" w:space="0" w:color="BCBDBC"/>
              <w:right w:val="single" w:sz="6" w:space="0" w:color="auto"/>
            </w:tcBorders>
            <w:noWrap/>
            <w:vAlign w:val="center"/>
          </w:tcPr>
          <w:p w14:paraId="2035C589"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auto"/>
              <w:left w:val="single" w:sz="6" w:space="0" w:color="auto"/>
              <w:bottom w:val="single" w:sz="6" w:space="0" w:color="BCBDBC"/>
              <w:right w:val="single" w:sz="6" w:space="0" w:color="auto"/>
            </w:tcBorders>
            <w:noWrap/>
            <w:vAlign w:val="center"/>
          </w:tcPr>
          <w:p w14:paraId="49E7D7A2"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auto"/>
              <w:left w:val="single" w:sz="6" w:space="0" w:color="auto"/>
              <w:bottom w:val="single" w:sz="6" w:space="0" w:color="BCBDBC"/>
              <w:right w:val="single" w:sz="6" w:space="0" w:color="auto"/>
            </w:tcBorders>
            <w:noWrap/>
            <w:vAlign w:val="center"/>
          </w:tcPr>
          <w:p w14:paraId="5E484AE6" w14:textId="77777777" w:rsidR="003D28B0" w:rsidRPr="00AF458A" w:rsidRDefault="003D28B0" w:rsidP="005811E4">
            <w:pPr>
              <w:pStyle w:val="TableText"/>
              <w:snapToGrid w:val="0"/>
              <w:rPr>
                <w:rFonts w:eastAsia="MS PGothic"/>
                <w:szCs w:val="17"/>
                <w:lang w:eastAsia="ja-JP"/>
              </w:rPr>
            </w:pPr>
          </w:p>
        </w:tc>
        <w:tc>
          <w:tcPr>
            <w:tcW w:w="669" w:type="dxa"/>
            <w:tcBorders>
              <w:top w:val="single" w:sz="6" w:space="0" w:color="auto"/>
              <w:left w:val="single" w:sz="6" w:space="0" w:color="auto"/>
              <w:bottom w:val="single" w:sz="6" w:space="0" w:color="BCBDBC"/>
              <w:right w:val="single" w:sz="6" w:space="0" w:color="auto"/>
            </w:tcBorders>
          </w:tcPr>
          <w:p w14:paraId="166E4CB9"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auto"/>
              <w:left w:val="single" w:sz="6" w:space="0" w:color="auto"/>
              <w:bottom w:val="single" w:sz="6" w:space="0" w:color="BCBDBC"/>
              <w:right w:val="single" w:sz="6" w:space="0" w:color="auto"/>
            </w:tcBorders>
          </w:tcPr>
          <w:p w14:paraId="20820FA7"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auto"/>
              <w:left w:val="single" w:sz="6" w:space="0" w:color="auto"/>
              <w:bottom w:val="single" w:sz="6" w:space="0" w:color="BCBDBC"/>
              <w:right w:val="single" w:sz="6" w:space="0" w:color="auto"/>
            </w:tcBorders>
          </w:tcPr>
          <w:p w14:paraId="389F4738" w14:textId="77777777" w:rsidR="003D28B0" w:rsidRPr="00AF458A" w:rsidRDefault="003D28B0" w:rsidP="005811E4">
            <w:pPr>
              <w:pStyle w:val="TableText"/>
              <w:snapToGrid w:val="0"/>
              <w:rPr>
                <w:rFonts w:eastAsia="MS PGothic"/>
                <w:szCs w:val="17"/>
                <w:lang w:eastAsia="ja-JP"/>
              </w:rPr>
            </w:pPr>
          </w:p>
        </w:tc>
        <w:tc>
          <w:tcPr>
            <w:tcW w:w="669" w:type="dxa"/>
            <w:tcBorders>
              <w:top w:val="single" w:sz="6" w:space="0" w:color="auto"/>
              <w:left w:val="single" w:sz="6" w:space="0" w:color="auto"/>
              <w:bottom w:val="single" w:sz="6" w:space="0" w:color="BCBDBC"/>
              <w:right w:val="single" w:sz="6" w:space="0" w:color="auto"/>
            </w:tcBorders>
          </w:tcPr>
          <w:p w14:paraId="517C091B"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auto"/>
              <w:left w:val="single" w:sz="6" w:space="0" w:color="auto"/>
              <w:bottom w:val="single" w:sz="6" w:space="0" w:color="BCBDBC"/>
              <w:right w:val="single" w:sz="6" w:space="0" w:color="auto"/>
            </w:tcBorders>
          </w:tcPr>
          <w:p w14:paraId="1E7641E1"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auto"/>
              <w:left w:val="single" w:sz="6" w:space="0" w:color="auto"/>
              <w:bottom w:val="single" w:sz="6" w:space="0" w:color="BCBDBC"/>
              <w:right w:val="single" w:sz="6" w:space="0" w:color="auto"/>
            </w:tcBorders>
            <w:noWrap/>
            <w:vAlign w:val="center"/>
          </w:tcPr>
          <w:p w14:paraId="39CA0BE3"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auto"/>
              <w:left w:val="single" w:sz="6" w:space="0" w:color="auto"/>
              <w:bottom w:val="single" w:sz="6" w:space="0" w:color="BCBDBC"/>
              <w:right w:val="single" w:sz="6" w:space="0" w:color="auto"/>
            </w:tcBorders>
            <w:noWrap/>
            <w:vAlign w:val="center"/>
          </w:tcPr>
          <w:p w14:paraId="1736D151" w14:textId="77777777" w:rsidR="003D28B0" w:rsidRPr="00AF458A" w:rsidRDefault="003D28B0" w:rsidP="005811E4">
            <w:pPr>
              <w:pStyle w:val="TableText"/>
              <w:snapToGrid w:val="0"/>
              <w:rPr>
                <w:rFonts w:eastAsia="MS PGothic"/>
                <w:szCs w:val="17"/>
                <w:lang w:eastAsia="ja-JP"/>
              </w:rPr>
            </w:pPr>
          </w:p>
        </w:tc>
        <w:tc>
          <w:tcPr>
            <w:tcW w:w="737" w:type="dxa"/>
            <w:tcBorders>
              <w:top w:val="single" w:sz="6" w:space="0" w:color="auto"/>
              <w:left w:val="single" w:sz="6" w:space="0" w:color="auto"/>
              <w:bottom w:val="single" w:sz="6" w:space="0" w:color="BCBDBC"/>
              <w:right w:val="single" w:sz="6" w:space="0" w:color="auto"/>
            </w:tcBorders>
            <w:vAlign w:val="center"/>
          </w:tcPr>
          <w:p w14:paraId="2D08DFB4" w14:textId="77777777" w:rsidR="003D28B0" w:rsidRPr="00AF458A" w:rsidRDefault="003D28B0" w:rsidP="005811E4">
            <w:pPr>
              <w:pStyle w:val="TableText"/>
              <w:snapToGrid w:val="0"/>
              <w:rPr>
                <w:rFonts w:eastAsia="MS PGothic"/>
                <w:szCs w:val="17"/>
                <w:lang w:eastAsia="ja-JP"/>
              </w:rPr>
            </w:pPr>
          </w:p>
        </w:tc>
        <w:tc>
          <w:tcPr>
            <w:tcW w:w="1701" w:type="dxa"/>
            <w:tcBorders>
              <w:top w:val="single" w:sz="6" w:space="0" w:color="auto"/>
              <w:left w:val="single" w:sz="6" w:space="0" w:color="auto"/>
              <w:right w:val="single" w:sz="6" w:space="0" w:color="auto"/>
            </w:tcBorders>
            <w:noWrap/>
            <w:vAlign w:val="center"/>
          </w:tcPr>
          <w:p w14:paraId="487AB69C" w14:textId="77777777" w:rsidR="003D28B0" w:rsidRPr="00AF458A" w:rsidRDefault="003D28B0" w:rsidP="005811E4">
            <w:pPr>
              <w:pStyle w:val="TableText"/>
              <w:snapToGrid w:val="0"/>
              <w:rPr>
                <w:rFonts w:eastAsia="MS PGothic"/>
                <w:szCs w:val="17"/>
                <w:lang w:eastAsia="ja-JP"/>
              </w:rPr>
            </w:pPr>
          </w:p>
        </w:tc>
      </w:tr>
      <w:tr w:rsidR="003D28B0" w:rsidRPr="007C4F50" w14:paraId="0D45A904" w14:textId="77777777" w:rsidTr="005811E4">
        <w:trPr>
          <w:trHeight w:val="283"/>
        </w:trPr>
        <w:tc>
          <w:tcPr>
            <w:tcW w:w="432" w:type="dxa"/>
            <w:tcBorders>
              <w:left w:val="nil"/>
              <w:right w:val="single" w:sz="6" w:space="0" w:color="auto"/>
            </w:tcBorders>
          </w:tcPr>
          <w:p w14:paraId="2362C257" w14:textId="77777777" w:rsidR="003D28B0" w:rsidRPr="00AF458A" w:rsidRDefault="003D28B0" w:rsidP="005811E4">
            <w:pPr>
              <w:pStyle w:val="TableText"/>
              <w:snapToGrid w:val="0"/>
              <w:rPr>
                <w:rFonts w:cs="Segoe UI"/>
                <w:szCs w:val="17"/>
                <w:lang w:eastAsia="en-GB"/>
              </w:rPr>
            </w:pPr>
            <w:r w:rsidRPr="00AF458A">
              <w:rPr>
                <w:rFonts w:cs="Segoe UI"/>
                <w:szCs w:val="17"/>
                <w:lang w:eastAsia="en-GB"/>
              </w:rPr>
              <w:t>2</w:t>
            </w:r>
          </w:p>
        </w:tc>
        <w:tc>
          <w:tcPr>
            <w:tcW w:w="4252" w:type="dxa"/>
            <w:tcBorders>
              <w:left w:val="nil"/>
              <w:right w:val="single" w:sz="6" w:space="0" w:color="auto"/>
            </w:tcBorders>
            <w:noWrap/>
          </w:tcPr>
          <w:p w14:paraId="1EC64D30" w14:textId="031A9EFA" w:rsidR="003D28B0" w:rsidRPr="00AF458A" w:rsidRDefault="003D28B0" w:rsidP="005811E4">
            <w:pPr>
              <w:pStyle w:val="TableText"/>
              <w:snapToGrid w:val="0"/>
              <w:rPr>
                <w:rFonts w:cs="Segoe UI"/>
                <w:szCs w:val="17"/>
                <w:lang w:eastAsia="en-GB"/>
              </w:rPr>
            </w:pPr>
            <w:r w:rsidRPr="00AF458A">
              <w:rPr>
                <w:rFonts w:cs="Segoe UI"/>
                <w:szCs w:val="17"/>
                <w:lang w:eastAsia="en-GB"/>
              </w:rPr>
              <w:t>Public sector entity exposures</w:t>
            </w:r>
          </w:p>
        </w:tc>
        <w:tc>
          <w:tcPr>
            <w:tcW w:w="669" w:type="dxa"/>
            <w:tcBorders>
              <w:top w:val="single" w:sz="6" w:space="0" w:color="BCBDBC"/>
              <w:left w:val="single" w:sz="6" w:space="0" w:color="auto"/>
              <w:bottom w:val="single" w:sz="6" w:space="0" w:color="BCBDBC"/>
              <w:right w:val="single" w:sz="6" w:space="0" w:color="auto"/>
            </w:tcBorders>
            <w:noWrap/>
            <w:vAlign w:val="center"/>
          </w:tcPr>
          <w:p w14:paraId="388BEC27"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6AEF531B"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7A5422D3" w14:textId="77777777" w:rsidR="003D28B0" w:rsidRPr="00AF458A" w:rsidRDefault="003D28B0" w:rsidP="005811E4">
            <w:pPr>
              <w:pStyle w:val="TableText"/>
              <w:snapToGrid w:val="0"/>
              <w:rPr>
                <w:rFonts w:eastAsia="MS PGothic"/>
                <w:szCs w:val="17"/>
                <w:lang w:eastAsia="ja-JP"/>
              </w:rPr>
            </w:pPr>
          </w:p>
        </w:tc>
        <w:tc>
          <w:tcPr>
            <w:tcW w:w="669" w:type="dxa"/>
            <w:tcBorders>
              <w:top w:val="single" w:sz="6" w:space="0" w:color="BCBDBC"/>
              <w:left w:val="single" w:sz="6" w:space="0" w:color="auto"/>
              <w:bottom w:val="single" w:sz="6" w:space="0" w:color="BCBDBC"/>
              <w:right w:val="single" w:sz="6" w:space="0" w:color="auto"/>
            </w:tcBorders>
          </w:tcPr>
          <w:p w14:paraId="08C8E7C6"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1E7058CB"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570B309F" w14:textId="77777777" w:rsidR="003D28B0" w:rsidRPr="00AF458A" w:rsidRDefault="003D28B0" w:rsidP="005811E4">
            <w:pPr>
              <w:pStyle w:val="TableText"/>
              <w:snapToGrid w:val="0"/>
              <w:rPr>
                <w:rFonts w:eastAsia="MS PGothic"/>
                <w:szCs w:val="17"/>
                <w:lang w:eastAsia="ja-JP"/>
              </w:rPr>
            </w:pPr>
          </w:p>
        </w:tc>
        <w:tc>
          <w:tcPr>
            <w:tcW w:w="669" w:type="dxa"/>
            <w:tcBorders>
              <w:top w:val="single" w:sz="6" w:space="0" w:color="BCBDBC"/>
              <w:left w:val="single" w:sz="6" w:space="0" w:color="auto"/>
              <w:bottom w:val="single" w:sz="6" w:space="0" w:color="BCBDBC"/>
              <w:right w:val="single" w:sz="6" w:space="0" w:color="auto"/>
            </w:tcBorders>
          </w:tcPr>
          <w:p w14:paraId="63552B89"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55741690"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61926C73"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49576552" w14:textId="77777777" w:rsidR="003D28B0" w:rsidRPr="00AF458A" w:rsidRDefault="003D28B0" w:rsidP="005811E4">
            <w:pPr>
              <w:pStyle w:val="TableText"/>
              <w:snapToGrid w:val="0"/>
              <w:rPr>
                <w:rFonts w:eastAsia="MS PGothic"/>
                <w:szCs w:val="17"/>
                <w:lang w:eastAsia="ja-JP"/>
              </w:rPr>
            </w:pPr>
          </w:p>
        </w:tc>
        <w:tc>
          <w:tcPr>
            <w:tcW w:w="737" w:type="dxa"/>
            <w:tcBorders>
              <w:top w:val="single" w:sz="6" w:space="0" w:color="BCBDBC"/>
              <w:left w:val="single" w:sz="6" w:space="0" w:color="auto"/>
              <w:bottom w:val="single" w:sz="6" w:space="0" w:color="BCBDBC"/>
              <w:right w:val="single" w:sz="6" w:space="0" w:color="auto"/>
            </w:tcBorders>
            <w:vAlign w:val="center"/>
          </w:tcPr>
          <w:p w14:paraId="38D6EA0F" w14:textId="77777777" w:rsidR="003D28B0" w:rsidRPr="00AF458A" w:rsidRDefault="003D28B0" w:rsidP="005811E4">
            <w:pPr>
              <w:pStyle w:val="TableText"/>
              <w:snapToGrid w:val="0"/>
              <w:rPr>
                <w:rFonts w:eastAsia="MS PGothic"/>
                <w:szCs w:val="17"/>
                <w:lang w:eastAsia="ja-JP"/>
              </w:rPr>
            </w:pPr>
          </w:p>
        </w:tc>
        <w:tc>
          <w:tcPr>
            <w:tcW w:w="1701" w:type="dxa"/>
            <w:tcBorders>
              <w:left w:val="single" w:sz="6" w:space="0" w:color="auto"/>
              <w:right w:val="single" w:sz="6" w:space="0" w:color="auto"/>
            </w:tcBorders>
            <w:noWrap/>
            <w:vAlign w:val="center"/>
          </w:tcPr>
          <w:p w14:paraId="27DE112D" w14:textId="77777777" w:rsidR="003D28B0" w:rsidRPr="00AF458A" w:rsidRDefault="003D28B0" w:rsidP="005811E4">
            <w:pPr>
              <w:pStyle w:val="TableText"/>
              <w:snapToGrid w:val="0"/>
              <w:rPr>
                <w:rFonts w:eastAsia="MS PGothic"/>
                <w:szCs w:val="17"/>
                <w:lang w:eastAsia="ja-JP"/>
              </w:rPr>
            </w:pPr>
          </w:p>
        </w:tc>
      </w:tr>
      <w:tr w:rsidR="003D28B0" w:rsidRPr="007C4F50" w14:paraId="2BE50723" w14:textId="77777777" w:rsidTr="005811E4">
        <w:trPr>
          <w:trHeight w:val="283"/>
        </w:trPr>
        <w:tc>
          <w:tcPr>
            <w:tcW w:w="432" w:type="dxa"/>
            <w:tcBorders>
              <w:left w:val="nil"/>
              <w:right w:val="single" w:sz="6" w:space="0" w:color="auto"/>
            </w:tcBorders>
          </w:tcPr>
          <w:p w14:paraId="01688889" w14:textId="77777777" w:rsidR="003D28B0" w:rsidRPr="00AF458A" w:rsidRDefault="003D28B0" w:rsidP="005811E4">
            <w:pPr>
              <w:pStyle w:val="TableText"/>
              <w:snapToGrid w:val="0"/>
              <w:rPr>
                <w:rFonts w:cs="Segoe UI"/>
                <w:szCs w:val="17"/>
                <w:lang w:eastAsia="en-GB"/>
              </w:rPr>
            </w:pPr>
            <w:r w:rsidRPr="00AF458A">
              <w:rPr>
                <w:rFonts w:cs="Segoe UI"/>
                <w:szCs w:val="17"/>
                <w:lang w:eastAsia="en-GB"/>
              </w:rPr>
              <w:t>3</w:t>
            </w:r>
          </w:p>
        </w:tc>
        <w:tc>
          <w:tcPr>
            <w:tcW w:w="4252" w:type="dxa"/>
            <w:tcBorders>
              <w:left w:val="nil"/>
              <w:right w:val="single" w:sz="6" w:space="0" w:color="auto"/>
            </w:tcBorders>
            <w:noWrap/>
          </w:tcPr>
          <w:p w14:paraId="224A91DD" w14:textId="77777777" w:rsidR="003D28B0" w:rsidRPr="00AF458A" w:rsidRDefault="003D28B0" w:rsidP="005811E4">
            <w:pPr>
              <w:pStyle w:val="TableText"/>
              <w:snapToGrid w:val="0"/>
              <w:rPr>
                <w:rFonts w:cs="Segoe UI"/>
                <w:szCs w:val="17"/>
                <w:lang w:eastAsia="en-GB"/>
              </w:rPr>
            </w:pPr>
            <w:r w:rsidRPr="00AF458A">
              <w:rPr>
                <w:rFonts w:cs="Segoe UI"/>
                <w:szCs w:val="17"/>
                <w:lang w:eastAsia="en-GB"/>
              </w:rPr>
              <w:t>Multilateral development bank exposures</w:t>
            </w:r>
          </w:p>
        </w:tc>
        <w:tc>
          <w:tcPr>
            <w:tcW w:w="669" w:type="dxa"/>
            <w:tcBorders>
              <w:top w:val="single" w:sz="6" w:space="0" w:color="BCBDBC"/>
              <w:left w:val="single" w:sz="6" w:space="0" w:color="auto"/>
              <w:bottom w:val="single" w:sz="6" w:space="0" w:color="BCBDBC"/>
              <w:right w:val="single" w:sz="6" w:space="0" w:color="auto"/>
            </w:tcBorders>
            <w:noWrap/>
            <w:vAlign w:val="center"/>
          </w:tcPr>
          <w:p w14:paraId="21CA9791"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74255134"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56A930F0" w14:textId="77777777" w:rsidR="003D28B0" w:rsidRPr="00AF458A" w:rsidRDefault="003D28B0" w:rsidP="005811E4">
            <w:pPr>
              <w:pStyle w:val="TableText"/>
              <w:snapToGrid w:val="0"/>
              <w:rPr>
                <w:rFonts w:eastAsia="MS PGothic"/>
                <w:szCs w:val="17"/>
                <w:lang w:eastAsia="ja-JP"/>
              </w:rPr>
            </w:pPr>
          </w:p>
        </w:tc>
        <w:tc>
          <w:tcPr>
            <w:tcW w:w="669" w:type="dxa"/>
            <w:tcBorders>
              <w:top w:val="single" w:sz="6" w:space="0" w:color="BCBDBC"/>
              <w:left w:val="single" w:sz="6" w:space="0" w:color="auto"/>
              <w:bottom w:val="single" w:sz="6" w:space="0" w:color="BCBDBC"/>
              <w:right w:val="single" w:sz="6" w:space="0" w:color="auto"/>
            </w:tcBorders>
          </w:tcPr>
          <w:p w14:paraId="33C73EC8"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7DC03F17"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53415DA6" w14:textId="77777777" w:rsidR="003D28B0" w:rsidRPr="00AF458A" w:rsidRDefault="003D28B0" w:rsidP="005811E4">
            <w:pPr>
              <w:pStyle w:val="TableText"/>
              <w:snapToGrid w:val="0"/>
              <w:rPr>
                <w:rFonts w:eastAsia="MS PGothic"/>
                <w:szCs w:val="17"/>
                <w:lang w:eastAsia="ja-JP"/>
              </w:rPr>
            </w:pPr>
          </w:p>
        </w:tc>
        <w:tc>
          <w:tcPr>
            <w:tcW w:w="669" w:type="dxa"/>
            <w:tcBorders>
              <w:top w:val="single" w:sz="6" w:space="0" w:color="BCBDBC"/>
              <w:left w:val="single" w:sz="6" w:space="0" w:color="auto"/>
              <w:bottom w:val="single" w:sz="6" w:space="0" w:color="BCBDBC"/>
              <w:right w:val="single" w:sz="6" w:space="0" w:color="auto"/>
            </w:tcBorders>
          </w:tcPr>
          <w:p w14:paraId="0DB292BB"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16B3D937"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0CA0DF30"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129EDD80" w14:textId="77777777" w:rsidR="003D28B0" w:rsidRPr="00AF458A" w:rsidRDefault="003D28B0" w:rsidP="005811E4">
            <w:pPr>
              <w:pStyle w:val="TableText"/>
              <w:snapToGrid w:val="0"/>
              <w:rPr>
                <w:rFonts w:eastAsia="MS PGothic"/>
                <w:szCs w:val="17"/>
                <w:lang w:eastAsia="ja-JP"/>
              </w:rPr>
            </w:pPr>
          </w:p>
        </w:tc>
        <w:tc>
          <w:tcPr>
            <w:tcW w:w="737" w:type="dxa"/>
            <w:tcBorders>
              <w:top w:val="single" w:sz="6" w:space="0" w:color="BCBDBC"/>
              <w:left w:val="single" w:sz="6" w:space="0" w:color="auto"/>
              <w:bottom w:val="single" w:sz="6" w:space="0" w:color="BCBDBC"/>
              <w:right w:val="single" w:sz="6" w:space="0" w:color="auto"/>
            </w:tcBorders>
            <w:vAlign w:val="center"/>
          </w:tcPr>
          <w:p w14:paraId="73A43FA7" w14:textId="77777777" w:rsidR="003D28B0" w:rsidRPr="00AF458A" w:rsidRDefault="003D28B0" w:rsidP="005811E4">
            <w:pPr>
              <w:pStyle w:val="TableText"/>
              <w:snapToGrid w:val="0"/>
              <w:rPr>
                <w:rFonts w:eastAsia="MS PGothic"/>
                <w:szCs w:val="17"/>
                <w:lang w:eastAsia="ja-JP"/>
              </w:rPr>
            </w:pPr>
          </w:p>
        </w:tc>
        <w:tc>
          <w:tcPr>
            <w:tcW w:w="1701" w:type="dxa"/>
            <w:tcBorders>
              <w:left w:val="single" w:sz="6" w:space="0" w:color="auto"/>
              <w:right w:val="single" w:sz="6" w:space="0" w:color="auto"/>
            </w:tcBorders>
            <w:noWrap/>
            <w:vAlign w:val="center"/>
          </w:tcPr>
          <w:p w14:paraId="7F2AE6CB" w14:textId="77777777" w:rsidR="003D28B0" w:rsidRPr="00AF458A" w:rsidRDefault="003D28B0" w:rsidP="005811E4">
            <w:pPr>
              <w:pStyle w:val="TableText"/>
              <w:snapToGrid w:val="0"/>
              <w:rPr>
                <w:rFonts w:eastAsia="MS PGothic"/>
                <w:szCs w:val="17"/>
                <w:lang w:eastAsia="ja-JP"/>
              </w:rPr>
            </w:pPr>
          </w:p>
        </w:tc>
      </w:tr>
      <w:tr w:rsidR="003D28B0" w:rsidRPr="007C4F50" w14:paraId="7E6D9ECC" w14:textId="77777777" w:rsidTr="005811E4">
        <w:trPr>
          <w:trHeight w:val="283"/>
        </w:trPr>
        <w:tc>
          <w:tcPr>
            <w:tcW w:w="432" w:type="dxa"/>
            <w:tcBorders>
              <w:left w:val="nil"/>
              <w:right w:val="single" w:sz="6" w:space="0" w:color="auto"/>
            </w:tcBorders>
          </w:tcPr>
          <w:p w14:paraId="0C4F9A44" w14:textId="77777777" w:rsidR="003D28B0" w:rsidRPr="00AF458A" w:rsidRDefault="003D28B0" w:rsidP="005811E4">
            <w:pPr>
              <w:pStyle w:val="TableText"/>
              <w:snapToGrid w:val="0"/>
              <w:rPr>
                <w:rFonts w:cs="Segoe UI"/>
                <w:szCs w:val="17"/>
                <w:lang w:eastAsia="en-GB"/>
              </w:rPr>
            </w:pPr>
            <w:r w:rsidRPr="00AF458A">
              <w:rPr>
                <w:rFonts w:cs="Segoe UI"/>
                <w:szCs w:val="17"/>
                <w:lang w:eastAsia="en-GB"/>
              </w:rPr>
              <w:t>4</w:t>
            </w:r>
          </w:p>
        </w:tc>
        <w:tc>
          <w:tcPr>
            <w:tcW w:w="4252" w:type="dxa"/>
            <w:tcBorders>
              <w:left w:val="nil"/>
              <w:right w:val="single" w:sz="6" w:space="0" w:color="auto"/>
            </w:tcBorders>
            <w:noWrap/>
          </w:tcPr>
          <w:p w14:paraId="64DDE04B" w14:textId="77777777" w:rsidR="003D28B0" w:rsidRPr="00AF458A" w:rsidRDefault="003D28B0" w:rsidP="005811E4">
            <w:pPr>
              <w:pStyle w:val="TableText"/>
              <w:snapToGrid w:val="0"/>
              <w:rPr>
                <w:rFonts w:cs="Segoe UI"/>
                <w:szCs w:val="17"/>
                <w:lang w:eastAsia="en-GB"/>
              </w:rPr>
            </w:pPr>
            <w:r w:rsidRPr="00AF458A">
              <w:rPr>
                <w:rFonts w:cs="Segoe UI"/>
                <w:szCs w:val="17"/>
                <w:lang w:eastAsia="en-GB"/>
              </w:rPr>
              <w:t>Unspecified multilateral body exposures</w:t>
            </w:r>
          </w:p>
        </w:tc>
        <w:tc>
          <w:tcPr>
            <w:tcW w:w="669" w:type="dxa"/>
            <w:tcBorders>
              <w:top w:val="single" w:sz="6" w:space="0" w:color="BCBDBC"/>
              <w:left w:val="single" w:sz="6" w:space="0" w:color="auto"/>
              <w:bottom w:val="single" w:sz="6" w:space="0" w:color="BCBDBC"/>
              <w:right w:val="single" w:sz="6" w:space="0" w:color="auto"/>
            </w:tcBorders>
            <w:noWrap/>
            <w:vAlign w:val="center"/>
          </w:tcPr>
          <w:p w14:paraId="2EF282ED"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2895843B"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0AFEA5E0" w14:textId="77777777" w:rsidR="003D28B0" w:rsidRPr="00AF458A" w:rsidRDefault="003D28B0" w:rsidP="005811E4">
            <w:pPr>
              <w:pStyle w:val="TableText"/>
              <w:snapToGrid w:val="0"/>
              <w:rPr>
                <w:rFonts w:eastAsia="MS PGothic"/>
                <w:szCs w:val="17"/>
                <w:lang w:eastAsia="ja-JP"/>
              </w:rPr>
            </w:pPr>
          </w:p>
        </w:tc>
        <w:tc>
          <w:tcPr>
            <w:tcW w:w="669" w:type="dxa"/>
            <w:tcBorders>
              <w:top w:val="single" w:sz="6" w:space="0" w:color="BCBDBC"/>
              <w:left w:val="single" w:sz="6" w:space="0" w:color="auto"/>
              <w:bottom w:val="single" w:sz="6" w:space="0" w:color="BCBDBC"/>
              <w:right w:val="single" w:sz="6" w:space="0" w:color="auto"/>
            </w:tcBorders>
          </w:tcPr>
          <w:p w14:paraId="662E3F11"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17364DF6"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1959A798" w14:textId="77777777" w:rsidR="003D28B0" w:rsidRPr="00AF458A" w:rsidRDefault="003D28B0" w:rsidP="005811E4">
            <w:pPr>
              <w:pStyle w:val="TableText"/>
              <w:snapToGrid w:val="0"/>
              <w:rPr>
                <w:rFonts w:eastAsia="MS PGothic"/>
                <w:szCs w:val="17"/>
                <w:lang w:eastAsia="ja-JP"/>
              </w:rPr>
            </w:pPr>
          </w:p>
        </w:tc>
        <w:tc>
          <w:tcPr>
            <w:tcW w:w="669" w:type="dxa"/>
            <w:tcBorders>
              <w:top w:val="single" w:sz="6" w:space="0" w:color="BCBDBC"/>
              <w:left w:val="single" w:sz="6" w:space="0" w:color="auto"/>
              <w:bottom w:val="single" w:sz="6" w:space="0" w:color="BCBDBC"/>
              <w:right w:val="single" w:sz="6" w:space="0" w:color="auto"/>
            </w:tcBorders>
          </w:tcPr>
          <w:p w14:paraId="1F7F21CD"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6B40760F"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22FE0D52"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0751BD9D" w14:textId="77777777" w:rsidR="003D28B0" w:rsidRPr="00AF458A" w:rsidRDefault="003D28B0" w:rsidP="005811E4">
            <w:pPr>
              <w:pStyle w:val="TableText"/>
              <w:snapToGrid w:val="0"/>
              <w:rPr>
                <w:rFonts w:eastAsia="MS PGothic"/>
                <w:szCs w:val="17"/>
                <w:lang w:eastAsia="ja-JP"/>
              </w:rPr>
            </w:pPr>
          </w:p>
        </w:tc>
        <w:tc>
          <w:tcPr>
            <w:tcW w:w="737" w:type="dxa"/>
            <w:tcBorders>
              <w:top w:val="single" w:sz="6" w:space="0" w:color="BCBDBC"/>
              <w:left w:val="single" w:sz="6" w:space="0" w:color="auto"/>
              <w:bottom w:val="single" w:sz="6" w:space="0" w:color="BCBDBC"/>
              <w:right w:val="single" w:sz="6" w:space="0" w:color="auto"/>
            </w:tcBorders>
            <w:vAlign w:val="center"/>
          </w:tcPr>
          <w:p w14:paraId="65E3D3B3" w14:textId="77777777" w:rsidR="003D28B0" w:rsidRPr="00AF458A" w:rsidRDefault="003D28B0" w:rsidP="005811E4">
            <w:pPr>
              <w:pStyle w:val="TableText"/>
              <w:snapToGrid w:val="0"/>
              <w:rPr>
                <w:rFonts w:eastAsia="MS PGothic"/>
                <w:szCs w:val="17"/>
                <w:lang w:eastAsia="ja-JP"/>
              </w:rPr>
            </w:pPr>
          </w:p>
        </w:tc>
        <w:tc>
          <w:tcPr>
            <w:tcW w:w="1701" w:type="dxa"/>
            <w:tcBorders>
              <w:left w:val="single" w:sz="6" w:space="0" w:color="auto"/>
              <w:right w:val="single" w:sz="6" w:space="0" w:color="auto"/>
            </w:tcBorders>
            <w:noWrap/>
            <w:vAlign w:val="center"/>
          </w:tcPr>
          <w:p w14:paraId="703D658C" w14:textId="77777777" w:rsidR="003D28B0" w:rsidRPr="00AF458A" w:rsidRDefault="003D28B0" w:rsidP="005811E4">
            <w:pPr>
              <w:pStyle w:val="TableText"/>
              <w:snapToGrid w:val="0"/>
              <w:rPr>
                <w:rFonts w:eastAsia="MS PGothic"/>
                <w:szCs w:val="17"/>
                <w:lang w:eastAsia="ja-JP"/>
              </w:rPr>
            </w:pPr>
          </w:p>
        </w:tc>
      </w:tr>
      <w:tr w:rsidR="003D28B0" w:rsidRPr="007C4F50" w14:paraId="1034326C" w14:textId="77777777" w:rsidTr="005811E4">
        <w:trPr>
          <w:trHeight w:val="283"/>
        </w:trPr>
        <w:tc>
          <w:tcPr>
            <w:tcW w:w="432" w:type="dxa"/>
            <w:tcBorders>
              <w:left w:val="nil"/>
              <w:right w:val="single" w:sz="6" w:space="0" w:color="auto"/>
            </w:tcBorders>
          </w:tcPr>
          <w:p w14:paraId="4E71EA86" w14:textId="2F519265" w:rsidR="003D28B0" w:rsidRPr="00AF458A" w:rsidRDefault="003D28B0" w:rsidP="005811E4">
            <w:pPr>
              <w:pStyle w:val="TableText"/>
              <w:snapToGrid w:val="0"/>
              <w:rPr>
                <w:rFonts w:cs="Segoe UI"/>
                <w:szCs w:val="17"/>
                <w:lang w:eastAsia="en-GB"/>
              </w:rPr>
            </w:pPr>
            <w:r w:rsidRPr="00AF458A">
              <w:rPr>
                <w:rFonts w:cs="Segoe UI"/>
                <w:szCs w:val="17"/>
                <w:lang w:eastAsia="en-GB"/>
              </w:rPr>
              <w:t>5</w:t>
            </w:r>
          </w:p>
        </w:tc>
        <w:tc>
          <w:tcPr>
            <w:tcW w:w="4252" w:type="dxa"/>
            <w:tcBorders>
              <w:left w:val="nil"/>
              <w:right w:val="single" w:sz="6" w:space="0" w:color="auto"/>
            </w:tcBorders>
            <w:noWrap/>
          </w:tcPr>
          <w:p w14:paraId="033EFE9C" w14:textId="77777777" w:rsidR="003D28B0" w:rsidRPr="00AF458A" w:rsidRDefault="003D28B0" w:rsidP="005811E4">
            <w:pPr>
              <w:pStyle w:val="TableText"/>
              <w:snapToGrid w:val="0"/>
              <w:rPr>
                <w:rFonts w:cs="Segoe UI"/>
                <w:szCs w:val="17"/>
                <w:lang w:eastAsia="en-GB"/>
              </w:rPr>
            </w:pPr>
            <w:r w:rsidRPr="00AF458A">
              <w:rPr>
                <w:rFonts w:cs="Segoe UI"/>
                <w:szCs w:val="17"/>
                <w:lang w:eastAsia="en-GB"/>
              </w:rPr>
              <w:t>Bank exposures</w:t>
            </w:r>
          </w:p>
        </w:tc>
        <w:tc>
          <w:tcPr>
            <w:tcW w:w="669" w:type="dxa"/>
            <w:tcBorders>
              <w:top w:val="single" w:sz="6" w:space="0" w:color="BCBDBC"/>
              <w:left w:val="single" w:sz="6" w:space="0" w:color="auto"/>
              <w:bottom w:val="single" w:sz="6" w:space="0" w:color="BCBDBC"/>
              <w:right w:val="single" w:sz="6" w:space="0" w:color="auto"/>
            </w:tcBorders>
            <w:noWrap/>
            <w:vAlign w:val="center"/>
          </w:tcPr>
          <w:p w14:paraId="22BA57AD"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61C259BF"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77F9D351" w14:textId="77777777" w:rsidR="003D28B0" w:rsidRPr="00AF458A" w:rsidRDefault="003D28B0" w:rsidP="005811E4">
            <w:pPr>
              <w:pStyle w:val="TableText"/>
              <w:snapToGrid w:val="0"/>
              <w:rPr>
                <w:rFonts w:eastAsia="MS PGothic"/>
                <w:szCs w:val="17"/>
                <w:lang w:eastAsia="ja-JP"/>
              </w:rPr>
            </w:pPr>
          </w:p>
        </w:tc>
        <w:tc>
          <w:tcPr>
            <w:tcW w:w="669" w:type="dxa"/>
            <w:tcBorders>
              <w:top w:val="single" w:sz="6" w:space="0" w:color="BCBDBC"/>
              <w:left w:val="single" w:sz="6" w:space="0" w:color="auto"/>
              <w:bottom w:val="single" w:sz="6" w:space="0" w:color="BCBDBC"/>
              <w:right w:val="single" w:sz="6" w:space="0" w:color="auto"/>
            </w:tcBorders>
          </w:tcPr>
          <w:p w14:paraId="462CCFF3"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40326B21"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6944A043" w14:textId="77777777" w:rsidR="003D28B0" w:rsidRPr="00AF458A" w:rsidRDefault="003D28B0" w:rsidP="005811E4">
            <w:pPr>
              <w:pStyle w:val="TableText"/>
              <w:snapToGrid w:val="0"/>
              <w:rPr>
                <w:rFonts w:eastAsia="MS PGothic"/>
                <w:szCs w:val="17"/>
                <w:lang w:eastAsia="ja-JP"/>
              </w:rPr>
            </w:pPr>
          </w:p>
        </w:tc>
        <w:tc>
          <w:tcPr>
            <w:tcW w:w="669" w:type="dxa"/>
            <w:tcBorders>
              <w:top w:val="single" w:sz="6" w:space="0" w:color="BCBDBC"/>
              <w:left w:val="single" w:sz="6" w:space="0" w:color="auto"/>
              <w:bottom w:val="single" w:sz="6" w:space="0" w:color="BCBDBC"/>
              <w:right w:val="single" w:sz="6" w:space="0" w:color="auto"/>
            </w:tcBorders>
          </w:tcPr>
          <w:p w14:paraId="08C50AED"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0A40DEBF"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75AE0526"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300872C0" w14:textId="77777777" w:rsidR="003D28B0" w:rsidRPr="00AF458A" w:rsidRDefault="003D28B0" w:rsidP="005811E4">
            <w:pPr>
              <w:pStyle w:val="TableText"/>
              <w:snapToGrid w:val="0"/>
              <w:rPr>
                <w:rFonts w:eastAsia="MS PGothic"/>
                <w:szCs w:val="17"/>
                <w:lang w:eastAsia="ja-JP"/>
              </w:rPr>
            </w:pPr>
          </w:p>
        </w:tc>
        <w:tc>
          <w:tcPr>
            <w:tcW w:w="737" w:type="dxa"/>
            <w:tcBorders>
              <w:top w:val="single" w:sz="6" w:space="0" w:color="BCBDBC"/>
              <w:left w:val="single" w:sz="6" w:space="0" w:color="auto"/>
              <w:bottom w:val="single" w:sz="6" w:space="0" w:color="BCBDBC"/>
              <w:right w:val="single" w:sz="6" w:space="0" w:color="auto"/>
            </w:tcBorders>
            <w:vAlign w:val="center"/>
          </w:tcPr>
          <w:p w14:paraId="4F26F19D" w14:textId="77777777" w:rsidR="003D28B0" w:rsidRPr="00AF458A" w:rsidRDefault="003D28B0" w:rsidP="005811E4">
            <w:pPr>
              <w:pStyle w:val="TableText"/>
              <w:snapToGrid w:val="0"/>
              <w:rPr>
                <w:rFonts w:eastAsia="MS PGothic"/>
                <w:szCs w:val="17"/>
                <w:lang w:eastAsia="ja-JP"/>
              </w:rPr>
            </w:pPr>
          </w:p>
        </w:tc>
        <w:tc>
          <w:tcPr>
            <w:tcW w:w="1701" w:type="dxa"/>
            <w:tcBorders>
              <w:left w:val="single" w:sz="6" w:space="0" w:color="auto"/>
              <w:right w:val="single" w:sz="6" w:space="0" w:color="auto"/>
            </w:tcBorders>
            <w:noWrap/>
            <w:vAlign w:val="center"/>
          </w:tcPr>
          <w:p w14:paraId="240FE0EA" w14:textId="77777777" w:rsidR="003D28B0" w:rsidRPr="00AF458A" w:rsidRDefault="003D28B0" w:rsidP="005811E4">
            <w:pPr>
              <w:pStyle w:val="TableText"/>
              <w:snapToGrid w:val="0"/>
              <w:rPr>
                <w:rFonts w:eastAsia="MS PGothic"/>
                <w:szCs w:val="17"/>
                <w:lang w:eastAsia="ja-JP"/>
              </w:rPr>
            </w:pPr>
          </w:p>
        </w:tc>
      </w:tr>
      <w:tr w:rsidR="003D28B0" w:rsidRPr="007C4F50" w14:paraId="6E3A9F25" w14:textId="77777777" w:rsidTr="005811E4">
        <w:trPr>
          <w:trHeight w:val="283"/>
        </w:trPr>
        <w:tc>
          <w:tcPr>
            <w:tcW w:w="432" w:type="dxa"/>
            <w:tcBorders>
              <w:left w:val="nil"/>
              <w:right w:val="single" w:sz="6" w:space="0" w:color="auto"/>
            </w:tcBorders>
          </w:tcPr>
          <w:p w14:paraId="3D7F22AA" w14:textId="77777777" w:rsidR="003D28B0" w:rsidRPr="00AF458A" w:rsidRDefault="003D28B0" w:rsidP="005811E4">
            <w:pPr>
              <w:pStyle w:val="TableText"/>
              <w:snapToGrid w:val="0"/>
              <w:rPr>
                <w:rFonts w:cs="Segoe UI"/>
                <w:szCs w:val="17"/>
                <w:lang w:eastAsia="en-GB"/>
              </w:rPr>
            </w:pPr>
            <w:r w:rsidRPr="00AF458A">
              <w:rPr>
                <w:rFonts w:cs="Segoe UI"/>
                <w:szCs w:val="17"/>
                <w:lang w:eastAsia="en-GB"/>
              </w:rPr>
              <w:t>6</w:t>
            </w:r>
          </w:p>
        </w:tc>
        <w:tc>
          <w:tcPr>
            <w:tcW w:w="4252" w:type="dxa"/>
            <w:tcBorders>
              <w:left w:val="nil"/>
              <w:right w:val="single" w:sz="6" w:space="0" w:color="auto"/>
            </w:tcBorders>
            <w:noWrap/>
          </w:tcPr>
          <w:p w14:paraId="5161ADE5" w14:textId="676A01A9" w:rsidR="003D28B0" w:rsidRPr="00AF458A" w:rsidRDefault="003D28B0" w:rsidP="003F64A7">
            <w:pPr>
              <w:pStyle w:val="TableText"/>
              <w:snapToGrid w:val="0"/>
              <w:rPr>
                <w:rFonts w:cs="Segoe UI"/>
                <w:szCs w:val="17"/>
                <w:lang w:eastAsia="en-GB"/>
              </w:rPr>
            </w:pPr>
            <w:r w:rsidRPr="00AF458A">
              <w:rPr>
                <w:rFonts w:cs="Segoe UI"/>
                <w:szCs w:val="17"/>
                <w:lang w:eastAsia="en-GB"/>
              </w:rPr>
              <w:t>Qualifying non-bank financial institution exposures</w:t>
            </w:r>
          </w:p>
        </w:tc>
        <w:tc>
          <w:tcPr>
            <w:tcW w:w="669" w:type="dxa"/>
            <w:tcBorders>
              <w:top w:val="single" w:sz="6" w:space="0" w:color="BCBDBC"/>
              <w:left w:val="single" w:sz="6" w:space="0" w:color="auto"/>
              <w:bottom w:val="single" w:sz="6" w:space="0" w:color="BCBDBC"/>
              <w:right w:val="single" w:sz="6" w:space="0" w:color="auto"/>
            </w:tcBorders>
            <w:noWrap/>
            <w:vAlign w:val="center"/>
          </w:tcPr>
          <w:p w14:paraId="2B5917BD"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13F07692"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0B016867" w14:textId="77777777" w:rsidR="003D28B0" w:rsidRPr="00AF458A" w:rsidRDefault="003D28B0" w:rsidP="005811E4">
            <w:pPr>
              <w:pStyle w:val="TableText"/>
              <w:snapToGrid w:val="0"/>
              <w:rPr>
                <w:rFonts w:eastAsia="MS PGothic"/>
                <w:szCs w:val="17"/>
                <w:lang w:eastAsia="ja-JP"/>
              </w:rPr>
            </w:pPr>
          </w:p>
        </w:tc>
        <w:tc>
          <w:tcPr>
            <w:tcW w:w="669" w:type="dxa"/>
            <w:tcBorders>
              <w:top w:val="single" w:sz="6" w:space="0" w:color="BCBDBC"/>
              <w:left w:val="single" w:sz="6" w:space="0" w:color="auto"/>
              <w:bottom w:val="single" w:sz="6" w:space="0" w:color="BCBDBC"/>
              <w:right w:val="single" w:sz="6" w:space="0" w:color="auto"/>
            </w:tcBorders>
          </w:tcPr>
          <w:p w14:paraId="500EF515"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68DD1346"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04394CCF" w14:textId="77777777" w:rsidR="003D28B0" w:rsidRPr="00AF458A" w:rsidRDefault="003D28B0" w:rsidP="005811E4">
            <w:pPr>
              <w:pStyle w:val="TableText"/>
              <w:snapToGrid w:val="0"/>
              <w:rPr>
                <w:rFonts w:eastAsia="MS PGothic"/>
                <w:szCs w:val="17"/>
                <w:lang w:eastAsia="ja-JP"/>
              </w:rPr>
            </w:pPr>
          </w:p>
        </w:tc>
        <w:tc>
          <w:tcPr>
            <w:tcW w:w="669" w:type="dxa"/>
            <w:tcBorders>
              <w:top w:val="single" w:sz="6" w:space="0" w:color="BCBDBC"/>
              <w:left w:val="single" w:sz="6" w:space="0" w:color="auto"/>
              <w:bottom w:val="single" w:sz="6" w:space="0" w:color="BCBDBC"/>
              <w:right w:val="single" w:sz="6" w:space="0" w:color="auto"/>
            </w:tcBorders>
          </w:tcPr>
          <w:p w14:paraId="254455A7"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4996A0D7"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32A52249"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04211D9E" w14:textId="77777777" w:rsidR="003D28B0" w:rsidRPr="00AF458A" w:rsidRDefault="003D28B0" w:rsidP="005811E4">
            <w:pPr>
              <w:pStyle w:val="TableText"/>
              <w:snapToGrid w:val="0"/>
              <w:rPr>
                <w:rFonts w:eastAsia="MS PGothic"/>
                <w:szCs w:val="17"/>
                <w:lang w:eastAsia="ja-JP"/>
              </w:rPr>
            </w:pPr>
          </w:p>
        </w:tc>
        <w:tc>
          <w:tcPr>
            <w:tcW w:w="737" w:type="dxa"/>
            <w:tcBorders>
              <w:top w:val="single" w:sz="6" w:space="0" w:color="BCBDBC"/>
              <w:left w:val="single" w:sz="6" w:space="0" w:color="auto"/>
              <w:bottom w:val="single" w:sz="6" w:space="0" w:color="BCBDBC"/>
              <w:right w:val="single" w:sz="6" w:space="0" w:color="auto"/>
            </w:tcBorders>
            <w:vAlign w:val="center"/>
          </w:tcPr>
          <w:p w14:paraId="0579FABD" w14:textId="77777777" w:rsidR="003D28B0" w:rsidRPr="00AF458A" w:rsidRDefault="003D28B0" w:rsidP="005811E4">
            <w:pPr>
              <w:pStyle w:val="TableText"/>
              <w:snapToGrid w:val="0"/>
              <w:rPr>
                <w:rFonts w:eastAsia="MS PGothic"/>
                <w:szCs w:val="17"/>
                <w:lang w:eastAsia="ja-JP"/>
              </w:rPr>
            </w:pPr>
          </w:p>
        </w:tc>
        <w:tc>
          <w:tcPr>
            <w:tcW w:w="1701" w:type="dxa"/>
            <w:tcBorders>
              <w:left w:val="single" w:sz="6" w:space="0" w:color="auto"/>
              <w:right w:val="single" w:sz="6" w:space="0" w:color="auto"/>
            </w:tcBorders>
            <w:noWrap/>
            <w:vAlign w:val="center"/>
          </w:tcPr>
          <w:p w14:paraId="3394CAF3" w14:textId="77777777" w:rsidR="003D28B0" w:rsidRPr="00AF458A" w:rsidRDefault="003D28B0" w:rsidP="005811E4">
            <w:pPr>
              <w:pStyle w:val="TableText"/>
              <w:snapToGrid w:val="0"/>
              <w:rPr>
                <w:rFonts w:eastAsia="MS PGothic"/>
                <w:szCs w:val="17"/>
                <w:lang w:eastAsia="ja-JP"/>
              </w:rPr>
            </w:pPr>
          </w:p>
        </w:tc>
      </w:tr>
      <w:tr w:rsidR="003D28B0" w:rsidRPr="007C4F50" w14:paraId="4E8F9CDC" w14:textId="77777777" w:rsidTr="005811E4">
        <w:trPr>
          <w:trHeight w:val="283"/>
        </w:trPr>
        <w:tc>
          <w:tcPr>
            <w:tcW w:w="432" w:type="dxa"/>
            <w:tcBorders>
              <w:left w:val="nil"/>
              <w:right w:val="single" w:sz="6" w:space="0" w:color="auto"/>
            </w:tcBorders>
          </w:tcPr>
          <w:p w14:paraId="50F088CA" w14:textId="59EFAB0F" w:rsidR="003D28B0" w:rsidRPr="00AF458A" w:rsidRDefault="003D28B0" w:rsidP="004114B6">
            <w:pPr>
              <w:pStyle w:val="TableText"/>
              <w:snapToGrid w:val="0"/>
              <w:rPr>
                <w:rFonts w:cs="Segoe UI"/>
                <w:szCs w:val="17"/>
                <w:lang w:eastAsia="en-GB"/>
              </w:rPr>
            </w:pPr>
            <w:r w:rsidRPr="00AA5E87">
              <w:rPr>
                <w:rFonts w:cs="Segoe UI"/>
                <w:szCs w:val="17"/>
                <w:lang w:eastAsia="en-GB"/>
              </w:rPr>
              <w:t>7</w:t>
            </w:r>
          </w:p>
        </w:tc>
        <w:tc>
          <w:tcPr>
            <w:tcW w:w="4252" w:type="dxa"/>
            <w:tcBorders>
              <w:left w:val="nil"/>
              <w:right w:val="single" w:sz="6" w:space="0" w:color="auto"/>
            </w:tcBorders>
            <w:noWrap/>
          </w:tcPr>
          <w:p w14:paraId="36BC8BDE" w14:textId="5A823B82" w:rsidR="003D28B0" w:rsidRPr="00AF458A" w:rsidRDefault="003D28B0" w:rsidP="009164E3">
            <w:pPr>
              <w:pStyle w:val="TableText"/>
              <w:snapToGrid w:val="0"/>
              <w:rPr>
                <w:rFonts w:cs="Segoe UI"/>
                <w:szCs w:val="17"/>
                <w:lang w:eastAsia="en-GB"/>
              </w:rPr>
            </w:pPr>
            <w:r w:rsidRPr="00AF458A">
              <w:rPr>
                <w:rFonts w:cs="Segoe UI"/>
                <w:szCs w:val="17"/>
                <w:lang w:eastAsia="en-GB"/>
              </w:rPr>
              <w:t>General corporate exposures</w:t>
            </w:r>
            <w:r w:rsidRPr="00AA5E87">
              <w:rPr>
                <w:rFonts w:cs="Segoe UI"/>
                <w:szCs w:val="17"/>
                <w:lang w:eastAsia="en-GB"/>
              </w:rPr>
              <w:t xml:space="preserve">   </w:t>
            </w:r>
          </w:p>
        </w:tc>
        <w:tc>
          <w:tcPr>
            <w:tcW w:w="669" w:type="dxa"/>
            <w:tcBorders>
              <w:top w:val="single" w:sz="6" w:space="0" w:color="BCBDBC"/>
              <w:left w:val="single" w:sz="6" w:space="0" w:color="auto"/>
              <w:bottom w:val="single" w:sz="6" w:space="0" w:color="BCBDBC"/>
              <w:right w:val="single" w:sz="6" w:space="0" w:color="auto"/>
            </w:tcBorders>
            <w:noWrap/>
            <w:vAlign w:val="center"/>
          </w:tcPr>
          <w:p w14:paraId="7A4E9F5C"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354472DA"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1DF6D45D" w14:textId="77777777" w:rsidR="003D28B0" w:rsidRPr="00AF458A" w:rsidRDefault="003D28B0" w:rsidP="005811E4">
            <w:pPr>
              <w:pStyle w:val="TableText"/>
              <w:snapToGrid w:val="0"/>
              <w:rPr>
                <w:rFonts w:eastAsia="MS PGothic"/>
                <w:szCs w:val="17"/>
                <w:lang w:eastAsia="ja-JP"/>
              </w:rPr>
            </w:pPr>
          </w:p>
        </w:tc>
        <w:tc>
          <w:tcPr>
            <w:tcW w:w="669" w:type="dxa"/>
            <w:tcBorders>
              <w:top w:val="single" w:sz="6" w:space="0" w:color="BCBDBC"/>
              <w:left w:val="single" w:sz="6" w:space="0" w:color="auto"/>
              <w:bottom w:val="single" w:sz="6" w:space="0" w:color="BCBDBC"/>
              <w:right w:val="single" w:sz="6" w:space="0" w:color="auto"/>
            </w:tcBorders>
          </w:tcPr>
          <w:p w14:paraId="213DABFC"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55FB9EDD"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310A6698" w14:textId="77777777" w:rsidR="003D28B0" w:rsidRPr="00AF458A" w:rsidRDefault="003D28B0" w:rsidP="005811E4">
            <w:pPr>
              <w:pStyle w:val="TableText"/>
              <w:snapToGrid w:val="0"/>
              <w:rPr>
                <w:rFonts w:eastAsia="MS PGothic"/>
                <w:szCs w:val="17"/>
                <w:lang w:eastAsia="ja-JP"/>
              </w:rPr>
            </w:pPr>
          </w:p>
        </w:tc>
        <w:tc>
          <w:tcPr>
            <w:tcW w:w="669" w:type="dxa"/>
            <w:tcBorders>
              <w:top w:val="single" w:sz="6" w:space="0" w:color="BCBDBC"/>
              <w:left w:val="single" w:sz="6" w:space="0" w:color="auto"/>
              <w:bottom w:val="single" w:sz="6" w:space="0" w:color="BCBDBC"/>
              <w:right w:val="single" w:sz="6" w:space="0" w:color="auto"/>
            </w:tcBorders>
          </w:tcPr>
          <w:p w14:paraId="770E94AE"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056AD1A6"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6DF97949" w14:textId="77777777" w:rsidR="003D28B0" w:rsidRPr="00AF458A"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16AED743" w14:textId="77777777" w:rsidR="003D28B0" w:rsidRPr="00AF458A" w:rsidRDefault="003D28B0" w:rsidP="005811E4">
            <w:pPr>
              <w:pStyle w:val="TableText"/>
              <w:snapToGrid w:val="0"/>
              <w:rPr>
                <w:rFonts w:eastAsia="MS PGothic"/>
                <w:szCs w:val="17"/>
                <w:lang w:eastAsia="ja-JP"/>
              </w:rPr>
            </w:pPr>
          </w:p>
        </w:tc>
        <w:tc>
          <w:tcPr>
            <w:tcW w:w="737" w:type="dxa"/>
            <w:tcBorders>
              <w:top w:val="single" w:sz="6" w:space="0" w:color="BCBDBC"/>
              <w:left w:val="single" w:sz="6" w:space="0" w:color="auto"/>
              <w:bottom w:val="single" w:sz="6" w:space="0" w:color="BCBDBC"/>
              <w:right w:val="single" w:sz="6" w:space="0" w:color="auto"/>
            </w:tcBorders>
            <w:vAlign w:val="center"/>
          </w:tcPr>
          <w:p w14:paraId="4C84F4FD" w14:textId="77777777" w:rsidR="003D28B0" w:rsidRPr="00AF458A" w:rsidRDefault="003D28B0" w:rsidP="005811E4">
            <w:pPr>
              <w:pStyle w:val="TableText"/>
              <w:snapToGrid w:val="0"/>
              <w:rPr>
                <w:rFonts w:eastAsia="MS PGothic"/>
                <w:szCs w:val="17"/>
                <w:lang w:eastAsia="ja-JP"/>
              </w:rPr>
            </w:pPr>
          </w:p>
        </w:tc>
        <w:tc>
          <w:tcPr>
            <w:tcW w:w="1701" w:type="dxa"/>
            <w:tcBorders>
              <w:left w:val="single" w:sz="6" w:space="0" w:color="auto"/>
              <w:right w:val="single" w:sz="6" w:space="0" w:color="auto"/>
            </w:tcBorders>
            <w:noWrap/>
            <w:vAlign w:val="center"/>
          </w:tcPr>
          <w:p w14:paraId="23B76AF9" w14:textId="77777777" w:rsidR="003D28B0" w:rsidRPr="00AF458A" w:rsidRDefault="003D28B0" w:rsidP="005811E4">
            <w:pPr>
              <w:pStyle w:val="TableText"/>
              <w:snapToGrid w:val="0"/>
              <w:rPr>
                <w:rFonts w:eastAsia="MS PGothic"/>
                <w:szCs w:val="17"/>
                <w:lang w:eastAsia="ja-JP"/>
              </w:rPr>
            </w:pPr>
          </w:p>
        </w:tc>
      </w:tr>
      <w:tr w:rsidR="003D28B0" w:rsidRPr="007C4F50" w14:paraId="43FB92E0" w14:textId="77777777" w:rsidTr="005811E4">
        <w:trPr>
          <w:trHeight w:val="283"/>
        </w:trPr>
        <w:tc>
          <w:tcPr>
            <w:tcW w:w="432" w:type="dxa"/>
            <w:tcBorders>
              <w:left w:val="nil"/>
              <w:right w:val="single" w:sz="6" w:space="0" w:color="auto"/>
            </w:tcBorders>
          </w:tcPr>
          <w:p w14:paraId="4C8CEB40" w14:textId="5131DAFE" w:rsidR="003D28B0" w:rsidRPr="00AF458A" w:rsidRDefault="003D28B0" w:rsidP="00490D68">
            <w:pPr>
              <w:pStyle w:val="TableText"/>
              <w:snapToGrid w:val="0"/>
              <w:rPr>
                <w:rFonts w:cs="Segoe UI"/>
                <w:szCs w:val="17"/>
                <w:lang w:eastAsia="en-GB"/>
              </w:rPr>
            </w:pPr>
            <w:r w:rsidRPr="00AA5E87">
              <w:rPr>
                <w:rFonts w:cs="Segoe UI"/>
                <w:szCs w:val="17"/>
                <w:lang w:eastAsia="en-GB"/>
              </w:rPr>
              <w:t>8</w:t>
            </w:r>
          </w:p>
        </w:tc>
        <w:tc>
          <w:tcPr>
            <w:tcW w:w="4252" w:type="dxa"/>
            <w:tcBorders>
              <w:top w:val="single" w:sz="6" w:space="0" w:color="BCBDBC"/>
              <w:left w:val="nil"/>
              <w:bottom w:val="single" w:sz="4" w:space="0" w:color="auto"/>
              <w:right w:val="single" w:sz="6" w:space="0" w:color="auto"/>
            </w:tcBorders>
            <w:noWrap/>
          </w:tcPr>
          <w:p w14:paraId="5529E1D9" w14:textId="00AB2A47" w:rsidR="003D28B0" w:rsidRPr="00AF458A" w:rsidRDefault="003D28B0" w:rsidP="005811E4">
            <w:pPr>
              <w:pStyle w:val="TableText"/>
              <w:snapToGrid w:val="0"/>
              <w:rPr>
                <w:rFonts w:cs="Segoe UI"/>
                <w:szCs w:val="17"/>
                <w:lang w:eastAsia="en-GB"/>
              </w:rPr>
            </w:pPr>
            <w:r w:rsidRPr="00AF458A">
              <w:rPr>
                <w:rFonts w:cs="Segoe UI"/>
                <w:szCs w:val="17"/>
                <w:lang w:eastAsia="en-GB"/>
              </w:rPr>
              <w:t>Retail exposures</w:t>
            </w:r>
          </w:p>
        </w:tc>
        <w:tc>
          <w:tcPr>
            <w:tcW w:w="669" w:type="dxa"/>
            <w:tcBorders>
              <w:top w:val="single" w:sz="6" w:space="0" w:color="BCBDBC"/>
              <w:left w:val="single" w:sz="6" w:space="0" w:color="auto"/>
              <w:bottom w:val="single" w:sz="6" w:space="0" w:color="BCBDBC"/>
              <w:right w:val="single" w:sz="6" w:space="0" w:color="auto"/>
            </w:tcBorders>
            <w:noWrap/>
            <w:vAlign w:val="center"/>
          </w:tcPr>
          <w:p w14:paraId="42CA1561"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5DA2F205"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4F2B841B" w14:textId="77777777" w:rsidR="003D28B0" w:rsidRPr="00AA5E87" w:rsidRDefault="003D28B0" w:rsidP="005811E4">
            <w:pPr>
              <w:pStyle w:val="TableText"/>
              <w:snapToGrid w:val="0"/>
              <w:rPr>
                <w:rFonts w:eastAsia="MS PGothic"/>
                <w:szCs w:val="17"/>
                <w:lang w:eastAsia="ja-JP"/>
              </w:rPr>
            </w:pPr>
          </w:p>
        </w:tc>
        <w:tc>
          <w:tcPr>
            <w:tcW w:w="669" w:type="dxa"/>
            <w:tcBorders>
              <w:top w:val="single" w:sz="6" w:space="0" w:color="BCBDBC"/>
              <w:left w:val="single" w:sz="6" w:space="0" w:color="auto"/>
              <w:bottom w:val="single" w:sz="6" w:space="0" w:color="BCBDBC"/>
              <w:right w:val="single" w:sz="6" w:space="0" w:color="auto"/>
            </w:tcBorders>
          </w:tcPr>
          <w:p w14:paraId="5377D4ED"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37306F20"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5823EF19" w14:textId="77777777" w:rsidR="003D28B0" w:rsidRPr="00AA5E87" w:rsidRDefault="003D28B0" w:rsidP="005811E4">
            <w:pPr>
              <w:pStyle w:val="TableText"/>
              <w:snapToGrid w:val="0"/>
              <w:rPr>
                <w:rFonts w:eastAsia="MS PGothic"/>
                <w:szCs w:val="17"/>
                <w:lang w:eastAsia="ja-JP"/>
              </w:rPr>
            </w:pPr>
          </w:p>
        </w:tc>
        <w:tc>
          <w:tcPr>
            <w:tcW w:w="669" w:type="dxa"/>
            <w:tcBorders>
              <w:top w:val="single" w:sz="6" w:space="0" w:color="BCBDBC"/>
              <w:left w:val="single" w:sz="6" w:space="0" w:color="auto"/>
              <w:bottom w:val="single" w:sz="6" w:space="0" w:color="BCBDBC"/>
              <w:right w:val="single" w:sz="6" w:space="0" w:color="auto"/>
            </w:tcBorders>
          </w:tcPr>
          <w:p w14:paraId="75986F11"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73E9C8F9"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6ACFE494"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4480DFCD" w14:textId="77777777" w:rsidR="003D28B0" w:rsidRPr="00AA5E87" w:rsidRDefault="003D28B0" w:rsidP="005811E4">
            <w:pPr>
              <w:pStyle w:val="TableText"/>
              <w:snapToGrid w:val="0"/>
              <w:rPr>
                <w:rFonts w:eastAsia="MS PGothic"/>
                <w:szCs w:val="17"/>
                <w:lang w:eastAsia="ja-JP"/>
              </w:rPr>
            </w:pPr>
          </w:p>
        </w:tc>
        <w:tc>
          <w:tcPr>
            <w:tcW w:w="737" w:type="dxa"/>
            <w:tcBorders>
              <w:top w:val="single" w:sz="6" w:space="0" w:color="BCBDBC"/>
              <w:left w:val="single" w:sz="6" w:space="0" w:color="auto"/>
              <w:bottom w:val="single" w:sz="6" w:space="0" w:color="BCBDBC"/>
              <w:right w:val="single" w:sz="6" w:space="0" w:color="auto"/>
            </w:tcBorders>
            <w:vAlign w:val="center"/>
          </w:tcPr>
          <w:p w14:paraId="1F1693D1" w14:textId="77777777" w:rsidR="003D28B0" w:rsidRPr="00AA5E87" w:rsidRDefault="003D28B0" w:rsidP="005811E4">
            <w:pPr>
              <w:pStyle w:val="TableText"/>
              <w:snapToGrid w:val="0"/>
              <w:rPr>
                <w:rFonts w:eastAsia="MS PGothic"/>
                <w:szCs w:val="17"/>
                <w:lang w:eastAsia="ja-JP"/>
              </w:rPr>
            </w:pPr>
          </w:p>
        </w:tc>
        <w:tc>
          <w:tcPr>
            <w:tcW w:w="1701" w:type="dxa"/>
            <w:tcBorders>
              <w:left w:val="single" w:sz="6" w:space="0" w:color="auto"/>
              <w:right w:val="single" w:sz="6" w:space="0" w:color="auto"/>
            </w:tcBorders>
            <w:noWrap/>
            <w:vAlign w:val="center"/>
          </w:tcPr>
          <w:p w14:paraId="40317252" w14:textId="77777777" w:rsidR="003D28B0" w:rsidRPr="00AA5E87" w:rsidRDefault="003D28B0" w:rsidP="005811E4">
            <w:pPr>
              <w:pStyle w:val="TableText"/>
              <w:snapToGrid w:val="0"/>
              <w:rPr>
                <w:rFonts w:eastAsia="MS PGothic"/>
                <w:szCs w:val="17"/>
                <w:lang w:eastAsia="ja-JP"/>
              </w:rPr>
            </w:pPr>
          </w:p>
        </w:tc>
      </w:tr>
      <w:tr w:rsidR="003D28B0" w:rsidRPr="007C4F50" w14:paraId="076E73C7" w14:textId="77777777" w:rsidTr="005811E4">
        <w:trPr>
          <w:trHeight w:val="283"/>
        </w:trPr>
        <w:tc>
          <w:tcPr>
            <w:tcW w:w="432" w:type="dxa"/>
            <w:tcBorders>
              <w:left w:val="nil"/>
              <w:right w:val="single" w:sz="6" w:space="0" w:color="auto"/>
            </w:tcBorders>
          </w:tcPr>
          <w:p w14:paraId="5AE74A66" w14:textId="248E35FB" w:rsidR="003D28B0" w:rsidRPr="00AF458A" w:rsidRDefault="003D28B0" w:rsidP="004114B6">
            <w:pPr>
              <w:pStyle w:val="TableText"/>
              <w:snapToGrid w:val="0"/>
              <w:rPr>
                <w:rFonts w:cs="Segoe UI"/>
                <w:szCs w:val="17"/>
                <w:lang w:eastAsia="en-GB"/>
              </w:rPr>
            </w:pPr>
            <w:r w:rsidRPr="00AA5E87">
              <w:rPr>
                <w:rFonts w:cs="Segoe UI"/>
                <w:szCs w:val="17"/>
                <w:lang w:eastAsia="en-GB"/>
              </w:rPr>
              <w:t>9</w:t>
            </w:r>
          </w:p>
        </w:tc>
        <w:tc>
          <w:tcPr>
            <w:tcW w:w="4252" w:type="dxa"/>
            <w:tcBorders>
              <w:left w:val="nil"/>
              <w:right w:val="single" w:sz="6" w:space="0" w:color="auto"/>
            </w:tcBorders>
            <w:noWrap/>
          </w:tcPr>
          <w:p w14:paraId="761E1B12" w14:textId="7EB9B1F3" w:rsidR="003D28B0" w:rsidRPr="00AF458A" w:rsidRDefault="003D28B0" w:rsidP="005811E4">
            <w:pPr>
              <w:pStyle w:val="TableText"/>
              <w:snapToGrid w:val="0"/>
              <w:rPr>
                <w:rFonts w:cs="Segoe UI"/>
                <w:szCs w:val="17"/>
                <w:lang w:eastAsia="en-GB"/>
              </w:rPr>
            </w:pPr>
            <w:r w:rsidRPr="00AF458A">
              <w:rPr>
                <w:rFonts w:cs="Segoe UI"/>
                <w:szCs w:val="17"/>
                <w:lang w:eastAsia="en-GB"/>
              </w:rPr>
              <w:t>Defaulted exposures</w:t>
            </w:r>
          </w:p>
        </w:tc>
        <w:tc>
          <w:tcPr>
            <w:tcW w:w="669" w:type="dxa"/>
            <w:tcBorders>
              <w:top w:val="single" w:sz="6" w:space="0" w:color="BCBDBC"/>
              <w:left w:val="single" w:sz="6" w:space="0" w:color="auto"/>
              <w:bottom w:val="single" w:sz="6" w:space="0" w:color="BCBDBC"/>
              <w:right w:val="single" w:sz="6" w:space="0" w:color="auto"/>
            </w:tcBorders>
            <w:noWrap/>
            <w:vAlign w:val="center"/>
          </w:tcPr>
          <w:p w14:paraId="7C017094"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5E48E576"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2D97B7E9" w14:textId="77777777" w:rsidR="003D28B0" w:rsidRPr="00AA5E87" w:rsidRDefault="003D28B0" w:rsidP="005811E4">
            <w:pPr>
              <w:pStyle w:val="TableText"/>
              <w:snapToGrid w:val="0"/>
              <w:rPr>
                <w:rFonts w:eastAsia="MS PGothic"/>
                <w:szCs w:val="17"/>
                <w:lang w:eastAsia="ja-JP"/>
              </w:rPr>
            </w:pPr>
          </w:p>
        </w:tc>
        <w:tc>
          <w:tcPr>
            <w:tcW w:w="669" w:type="dxa"/>
            <w:tcBorders>
              <w:top w:val="single" w:sz="6" w:space="0" w:color="BCBDBC"/>
              <w:left w:val="single" w:sz="6" w:space="0" w:color="auto"/>
              <w:bottom w:val="single" w:sz="6" w:space="0" w:color="BCBDBC"/>
              <w:right w:val="single" w:sz="6" w:space="0" w:color="auto"/>
            </w:tcBorders>
          </w:tcPr>
          <w:p w14:paraId="30772988"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66810F9C"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0040BF46" w14:textId="77777777" w:rsidR="003D28B0" w:rsidRPr="00AA5E87" w:rsidRDefault="003D28B0" w:rsidP="005811E4">
            <w:pPr>
              <w:pStyle w:val="TableText"/>
              <w:snapToGrid w:val="0"/>
              <w:rPr>
                <w:rFonts w:eastAsia="MS PGothic"/>
                <w:szCs w:val="17"/>
                <w:lang w:eastAsia="ja-JP"/>
              </w:rPr>
            </w:pPr>
          </w:p>
        </w:tc>
        <w:tc>
          <w:tcPr>
            <w:tcW w:w="669" w:type="dxa"/>
            <w:tcBorders>
              <w:top w:val="single" w:sz="6" w:space="0" w:color="BCBDBC"/>
              <w:left w:val="single" w:sz="6" w:space="0" w:color="auto"/>
              <w:bottom w:val="single" w:sz="6" w:space="0" w:color="BCBDBC"/>
              <w:right w:val="single" w:sz="6" w:space="0" w:color="auto"/>
            </w:tcBorders>
          </w:tcPr>
          <w:p w14:paraId="4EF68D9C"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63A387D1"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139E459B"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39E0F545" w14:textId="77777777" w:rsidR="003D28B0" w:rsidRPr="00AA5E87" w:rsidRDefault="003D28B0" w:rsidP="005811E4">
            <w:pPr>
              <w:pStyle w:val="TableText"/>
              <w:snapToGrid w:val="0"/>
              <w:rPr>
                <w:rFonts w:eastAsia="MS PGothic"/>
                <w:szCs w:val="17"/>
                <w:lang w:eastAsia="ja-JP"/>
              </w:rPr>
            </w:pPr>
          </w:p>
        </w:tc>
        <w:tc>
          <w:tcPr>
            <w:tcW w:w="737" w:type="dxa"/>
            <w:tcBorders>
              <w:top w:val="single" w:sz="6" w:space="0" w:color="BCBDBC"/>
              <w:left w:val="single" w:sz="6" w:space="0" w:color="auto"/>
              <w:bottom w:val="single" w:sz="6" w:space="0" w:color="BCBDBC"/>
              <w:right w:val="single" w:sz="6" w:space="0" w:color="auto"/>
            </w:tcBorders>
            <w:vAlign w:val="center"/>
          </w:tcPr>
          <w:p w14:paraId="062E271F" w14:textId="77777777" w:rsidR="003D28B0" w:rsidRPr="00AA5E87" w:rsidRDefault="003D28B0" w:rsidP="005811E4">
            <w:pPr>
              <w:pStyle w:val="TableText"/>
              <w:snapToGrid w:val="0"/>
              <w:rPr>
                <w:rFonts w:eastAsia="MS PGothic"/>
                <w:szCs w:val="17"/>
                <w:lang w:eastAsia="ja-JP"/>
              </w:rPr>
            </w:pPr>
          </w:p>
        </w:tc>
        <w:tc>
          <w:tcPr>
            <w:tcW w:w="1701" w:type="dxa"/>
            <w:tcBorders>
              <w:left w:val="single" w:sz="6" w:space="0" w:color="auto"/>
              <w:right w:val="single" w:sz="6" w:space="0" w:color="auto"/>
            </w:tcBorders>
            <w:noWrap/>
            <w:vAlign w:val="center"/>
          </w:tcPr>
          <w:p w14:paraId="339F7594" w14:textId="77777777" w:rsidR="003D28B0" w:rsidRPr="00AA5E87" w:rsidRDefault="003D28B0" w:rsidP="005811E4">
            <w:pPr>
              <w:pStyle w:val="TableText"/>
              <w:snapToGrid w:val="0"/>
              <w:rPr>
                <w:rFonts w:eastAsia="MS PGothic"/>
                <w:szCs w:val="17"/>
                <w:lang w:eastAsia="ja-JP"/>
              </w:rPr>
            </w:pPr>
          </w:p>
        </w:tc>
      </w:tr>
      <w:tr w:rsidR="003D28B0" w:rsidRPr="007C4F50" w14:paraId="0430562E" w14:textId="77777777" w:rsidTr="005811E4">
        <w:trPr>
          <w:trHeight w:val="283"/>
        </w:trPr>
        <w:tc>
          <w:tcPr>
            <w:tcW w:w="432" w:type="dxa"/>
            <w:tcBorders>
              <w:left w:val="nil"/>
              <w:bottom w:val="single" w:sz="6" w:space="0" w:color="BCBDBC"/>
              <w:right w:val="single" w:sz="6" w:space="0" w:color="auto"/>
            </w:tcBorders>
          </w:tcPr>
          <w:p w14:paraId="335C57EF" w14:textId="34ECBA54" w:rsidR="003D28B0" w:rsidRPr="00AF458A" w:rsidRDefault="003D28B0" w:rsidP="004114B6">
            <w:pPr>
              <w:pStyle w:val="TableText"/>
              <w:snapToGrid w:val="0"/>
              <w:rPr>
                <w:rFonts w:cs="Segoe UI"/>
                <w:szCs w:val="17"/>
                <w:lang w:eastAsia="en-GB"/>
              </w:rPr>
            </w:pPr>
            <w:r w:rsidRPr="00AA5E87">
              <w:rPr>
                <w:rFonts w:cs="Segoe UI"/>
                <w:szCs w:val="17"/>
                <w:lang w:eastAsia="en-GB"/>
              </w:rPr>
              <w:t>10</w:t>
            </w:r>
          </w:p>
        </w:tc>
        <w:tc>
          <w:tcPr>
            <w:tcW w:w="4252" w:type="dxa"/>
            <w:tcBorders>
              <w:left w:val="nil"/>
              <w:bottom w:val="single" w:sz="6" w:space="0" w:color="BCBDBC"/>
              <w:right w:val="single" w:sz="6" w:space="0" w:color="auto"/>
            </w:tcBorders>
            <w:noWrap/>
          </w:tcPr>
          <w:p w14:paraId="78A63FF7" w14:textId="77777777" w:rsidR="003D28B0" w:rsidRPr="00AF458A" w:rsidRDefault="003D28B0" w:rsidP="005811E4">
            <w:pPr>
              <w:pStyle w:val="TableText"/>
              <w:snapToGrid w:val="0"/>
              <w:rPr>
                <w:rFonts w:cs="Segoe UI"/>
                <w:szCs w:val="17"/>
                <w:lang w:eastAsia="en-GB"/>
              </w:rPr>
            </w:pPr>
            <w:r w:rsidRPr="00AF458A">
              <w:rPr>
                <w:szCs w:val="17"/>
              </w:rPr>
              <w:t>Other exposures</w:t>
            </w:r>
          </w:p>
        </w:tc>
        <w:tc>
          <w:tcPr>
            <w:tcW w:w="669" w:type="dxa"/>
            <w:tcBorders>
              <w:top w:val="single" w:sz="6" w:space="0" w:color="BCBDBC"/>
              <w:left w:val="single" w:sz="6" w:space="0" w:color="auto"/>
              <w:bottom w:val="single" w:sz="6" w:space="0" w:color="BCBDBC"/>
              <w:right w:val="single" w:sz="6" w:space="0" w:color="auto"/>
            </w:tcBorders>
            <w:noWrap/>
            <w:vAlign w:val="center"/>
          </w:tcPr>
          <w:p w14:paraId="1CF0E643"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60BE51CF"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00555841" w14:textId="77777777" w:rsidR="003D28B0" w:rsidRPr="00AA5E87" w:rsidRDefault="003D28B0" w:rsidP="005811E4">
            <w:pPr>
              <w:pStyle w:val="TableText"/>
              <w:snapToGrid w:val="0"/>
              <w:rPr>
                <w:rFonts w:eastAsia="MS PGothic"/>
                <w:szCs w:val="17"/>
                <w:lang w:eastAsia="ja-JP"/>
              </w:rPr>
            </w:pPr>
          </w:p>
        </w:tc>
        <w:tc>
          <w:tcPr>
            <w:tcW w:w="669" w:type="dxa"/>
            <w:tcBorders>
              <w:top w:val="single" w:sz="6" w:space="0" w:color="BCBDBC"/>
              <w:left w:val="single" w:sz="6" w:space="0" w:color="auto"/>
              <w:bottom w:val="single" w:sz="6" w:space="0" w:color="BCBDBC"/>
              <w:right w:val="single" w:sz="6" w:space="0" w:color="auto"/>
            </w:tcBorders>
          </w:tcPr>
          <w:p w14:paraId="65277839"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363C0EE8"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3914A73C" w14:textId="77777777" w:rsidR="003D28B0" w:rsidRPr="00AA5E87" w:rsidRDefault="003D28B0" w:rsidP="005811E4">
            <w:pPr>
              <w:pStyle w:val="TableText"/>
              <w:snapToGrid w:val="0"/>
              <w:rPr>
                <w:rFonts w:eastAsia="MS PGothic"/>
                <w:szCs w:val="17"/>
                <w:lang w:eastAsia="ja-JP"/>
              </w:rPr>
            </w:pPr>
          </w:p>
        </w:tc>
        <w:tc>
          <w:tcPr>
            <w:tcW w:w="669" w:type="dxa"/>
            <w:tcBorders>
              <w:top w:val="single" w:sz="6" w:space="0" w:color="BCBDBC"/>
              <w:left w:val="single" w:sz="6" w:space="0" w:color="auto"/>
              <w:bottom w:val="single" w:sz="6" w:space="0" w:color="BCBDBC"/>
              <w:right w:val="single" w:sz="6" w:space="0" w:color="auto"/>
            </w:tcBorders>
          </w:tcPr>
          <w:p w14:paraId="6860712D"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tcPr>
          <w:p w14:paraId="56E2B705"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52941554"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BCBDBC"/>
              <w:right w:val="single" w:sz="6" w:space="0" w:color="auto"/>
            </w:tcBorders>
            <w:noWrap/>
            <w:vAlign w:val="center"/>
          </w:tcPr>
          <w:p w14:paraId="1603218B" w14:textId="77777777" w:rsidR="003D28B0" w:rsidRPr="00AA5E87" w:rsidRDefault="003D28B0" w:rsidP="005811E4">
            <w:pPr>
              <w:pStyle w:val="TableText"/>
              <w:snapToGrid w:val="0"/>
              <w:rPr>
                <w:rFonts w:eastAsia="MS PGothic"/>
                <w:szCs w:val="17"/>
                <w:lang w:eastAsia="ja-JP"/>
              </w:rPr>
            </w:pPr>
          </w:p>
        </w:tc>
        <w:tc>
          <w:tcPr>
            <w:tcW w:w="737" w:type="dxa"/>
            <w:tcBorders>
              <w:top w:val="single" w:sz="6" w:space="0" w:color="BCBDBC"/>
              <w:left w:val="single" w:sz="6" w:space="0" w:color="auto"/>
              <w:bottom w:val="single" w:sz="6" w:space="0" w:color="BCBDBC"/>
              <w:right w:val="single" w:sz="6" w:space="0" w:color="auto"/>
            </w:tcBorders>
            <w:vAlign w:val="center"/>
          </w:tcPr>
          <w:p w14:paraId="112A85CD" w14:textId="77777777" w:rsidR="003D28B0" w:rsidRPr="00AA5E87" w:rsidRDefault="003D28B0" w:rsidP="005811E4">
            <w:pPr>
              <w:pStyle w:val="TableText"/>
              <w:snapToGrid w:val="0"/>
              <w:rPr>
                <w:rFonts w:eastAsia="MS PGothic"/>
                <w:szCs w:val="17"/>
                <w:lang w:eastAsia="ja-JP"/>
              </w:rPr>
            </w:pPr>
          </w:p>
        </w:tc>
        <w:tc>
          <w:tcPr>
            <w:tcW w:w="1701" w:type="dxa"/>
            <w:tcBorders>
              <w:left w:val="single" w:sz="6" w:space="0" w:color="auto"/>
              <w:bottom w:val="single" w:sz="6" w:space="0" w:color="BFBFBF"/>
              <w:right w:val="single" w:sz="6" w:space="0" w:color="auto"/>
            </w:tcBorders>
            <w:noWrap/>
            <w:vAlign w:val="center"/>
          </w:tcPr>
          <w:p w14:paraId="275BB4B5" w14:textId="77777777" w:rsidR="003D28B0" w:rsidRPr="00AA5E87" w:rsidRDefault="003D28B0" w:rsidP="005811E4">
            <w:pPr>
              <w:pStyle w:val="TableText"/>
              <w:snapToGrid w:val="0"/>
              <w:rPr>
                <w:rFonts w:eastAsia="MS PGothic"/>
                <w:szCs w:val="17"/>
                <w:lang w:eastAsia="ja-JP"/>
              </w:rPr>
            </w:pPr>
          </w:p>
        </w:tc>
      </w:tr>
      <w:tr w:rsidR="003D28B0" w:rsidRPr="007C4F50" w14:paraId="5CD60E4F" w14:textId="77777777" w:rsidTr="005811E4">
        <w:trPr>
          <w:trHeight w:val="251"/>
        </w:trPr>
        <w:tc>
          <w:tcPr>
            <w:tcW w:w="432" w:type="dxa"/>
            <w:tcBorders>
              <w:top w:val="single" w:sz="6" w:space="0" w:color="BCBDBC"/>
              <w:left w:val="nil"/>
              <w:bottom w:val="single" w:sz="6" w:space="0" w:color="auto"/>
              <w:right w:val="single" w:sz="6" w:space="0" w:color="auto"/>
            </w:tcBorders>
          </w:tcPr>
          <w:p w14:paraId="3E912DB9" w14:textId="5162032A" w:rsidR="003D28B0" w:rsidRPr="00AF458A" w:rsidRDefault="003D28B0" w:rsidP="004114B6">
            <w:pPr>
              <w:pStyle w:val="TableText"/>
              <w:snapToGrid w:val="0"/>
              <w:rPr>
                <w:rFonts w:cs="Segoe UI"/>
                <w:szCs w:val="17"/>
                <w:lang w:eastAsia="en-GB"/>
              </w:rPr>
            </w:pPr>
            <w:r w:rsidRPr="00AA5E87">
              <w:rPr>
                <w:rFonts w:cs="Segoe UI"/>
                <w:szCs w:val="17"/>
                <w:lang w:eastAsia="en-GB"/>
              </w:rPr>
              <w:t>11</w:t>
            </w:r>
          </w:p>
        </w:tc>
        <w:tc>
          <w:tcPr>
            <w:tcW w:w="4252" w:type="dxa"/>
            <w:tcBorders>
              <w:top w:val="single" w:sz="6" w:space="0" w:color="BCBDBC"/>
              <w:left w:val="nil"/>
              <w:bottom w:val="single" w:sz="6" w:space="0" w:color="auto"/>
              <w:right w:val="single" w:sz="6" w:space="0" w:color="auto"/>
            </w:tcBorders>
            <w:noWrap/>
            <w:vAlign w:val="center"/>
          </w:tcPr>
          <w:p w14:paraId="6293E24E" w14:textId="77777777" w:rsidR="003D28B0" w:rsidRPr="00AF458A" w:rsidRDefault="003D28B0" w:rsidP="005811E4">
            <w:pPr>
              <w:pStyle w:val="TableText"/>
              <w:snapToGrid w:val="0"/>
              <w:rPr>
                <w:rFonts w:cs="Segoe UI"/>
                <w:b/>
                <w:szCs w:val="17"/>
                <w:lang w:eastAsia="en-GB"/>
              </w:rPr>
            </w:pPr>
            <w:r w:rsidRPr="00AF458A">
              <w:rPr>
                <w:rFonts w:cs="Segoe UI"/>
                <w:b/>
                <w:szCs w:val="17"/>
                <w:lang w:eastAsia="en-GB"/>
              </w:rPr>
              <w:t>Total</w:t>
            </w:r>
          </w:p>
        </w:tc>
        <w:tc>
          <w:tcPr>
            <w:tcW w:w="669" w:type="dxa"/>
            <w:tcBorders>
              <w:top w:val="single" w:sz="6" w:space="0" w:color="BCBDBC"/>
              <w:left w:val="single" w:sz="6" w:space="0" w:color="auto"/>
              <w:bottom w:val="single" w:sz="6" w:space="0" w:color="auto"/>
              <w:right w:val="single" w:sz="6" w:space="0" w:color="auto"/>
            </w:tcBorders>
            <w:noWrap/>
            <w:vAlign w:val="center"/>
          </w:tcPr>
          <w:p w14:paraId="5E5DAAD8"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auto"/>
              <w:right w:val="single" w:sz="6" w:space="0" w:color="auto"/>
            </w:tcBorders>
            <w:noWrap/>
            <w:vAlign w:val="center"/>
          </w:tcPr>
          <w:p w14:paraId="4A6FF882"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auto"/>
              <w:right w:val="single" w:sz="6" w:space="0" w:color="auto"/>
            </w:tcBorders>
            <w:noWrap/>
            <w:vAlign w:val="center"/>
          </w:tcPr>
          <w:p w14:paraId="449D7D7A" w14:textId="77777777" w:rsidR="003D28B0" w:rsidRPr="00AA5E87" w:rsidRDefault="003D28B0" w:rsidP="005811E4">
            <w:pPr>
              <w:pStyle w:val="TableText"/>
              <w:snapToGrid w:val="0"/>
              <w:rPr>
                <w:rFonts w:eastAsia="MS PGothic"/>
                <w:szCs w:val="17"/>
                <w:lang w:eastAsia="ja-JP"/>
              </w:rPr>
            </w:pPr>
          </w:p>
        </w:tc>
        <w:tc>
          <w:tcPr>
            <w:tcW w:w="669" w:type="dxa"/>
            <w:tcBorders>
              <w:top w:val="single" w:sz="6" w:space="0" w:color="BCBDBC"/>
              <w:left w:val="single" w:sz="6" w:space="0" w:color="auto"/>
              <w:bottom w:val="single" w:sz="6" w:space="0" w:color="auto"/>
              <w:right w:val="single" w:sz="6" w:space="0" w:color="auto"/>
            </w:tcBorders>
          </w:tcPr>
          <w:p w14:paraId="68E37A86"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auto"/>
              <w:right w:val="single" w:sz="6" w:space="0" w:color="auto"/>
            </w:tcBorders>
          </w:tcPr>
          <w:p w14:paraId="79E05246"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auto"/>
              <w:right w:val="single" w:sz="6" w:space="0" w:color="auto"/>
            </w:tcBorders>
          </w:tcPr>
          <w:p w14:paraId="2DC14157" w14:textId="77777777" w:rsidR="003D28B0" w:rsidRPr="00AA5E87" w:rsidRDefault="003D28B0" w:rsidP="005811E4">
            <w:pPr>
              <w:pStyle w:val="TableText"/>
              <w:snapToGrid w:val="0"/>
              <w:rPr>
                <w:rFonts w:eastAsia="MS PGothic"/>
                <w:szCs w:val="17"/>
                <w:lang w:eastAsia="ja-JP"/>
              </w:rPr>
            </w:pPr>
          </w:p>
        </w:tc>
        <w:tc>
          <w:tcPr>
            <w:tcW w:w="669" w:type="dxa"/>
            <w:tcBorders>
              <w:top w:val="single" w:sz="6" w:space="0" w:color="BCBDBC"/>
              <w:left w:val="single" w:sz="6" w:space="0" w:color="auto"/>
              <w:bottom w:val="single" w:sz="6" w:space="0" w:color="auto"/>
              <w:right w:val="single" w:sz="6" w:space="0" w:color="auto"/>
            </w:tcBorders>
          </w:tcPr>
          <w:p w14:paraId="69F46E76"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auto"/>
              <w:right w:val="single" w:sz="6" w:space="0" w:color="auto"/>
            </w:tcBorders>
          </w:tcPr>
          <w:p w14:paraId="613E861F"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auto"/>
              <w:right w:val="single" w:sz="6" w:space="0" w:color="auto"/>
            </w:tcBorders>
            <w:noWrap/>
            <w:vAlign w:val="center"/>
          </w:tcPr>
          <w:p w14:paraId="36AC4AA0" w14:textId="77777777" w:rsidR="003D28B0" w:rsidRPr="00AA5E87" w:rsidRDefault="003D28B0" w:rsidP="005811E4">
            <w:pPr>
              <w:pStyle w:val="TableText"/>
              <w:snapToGrid w:val="0"/>
              <w:rPr>
                <w:rFonts w:eastAsia="MS PGothic"/>
                <w:szCs w:val="17"/>
                <w:lang w:eastAsia="ja-JP"/>
              </w:rPr>
            </w:pPr>
          </w:p>
        </w:tc>
        <w:tc>
          <w:tcPr>
            <w:tcW w:w="670" w:type="dxa"/>
            <w:tcBorders>
              <w:top w:val="single" w:sz="6" w:space="0" w:color="BCBDBC"/>
              <w:left w:val="single" w:sz="6" w:space="0" w:color="auto"/>
              <w:bottom w:val="single" w:sz="6" w:space="0" w:color="auto"/>
              <w:right w:val="single" w:sz="6" w:space="0" w:color="auto"/>
            </w:tcBorders>
            <w:noWrap/>
            <w:vAlign w:val="center"/>
          </w:tcPr>
          <w:p w14:paraId="0AB79D2B" w14:textId="77777777" w:rsidR="003D28B0" w:rsidRPr="00AA5E87" w:rsidRDefault="003D28B0" w:rsidP="005811E4">
            <w:pPr>
              <w:pStyle w:val="TableText"/>
              <w:snapToGrid w:val="0"/>
              <w:rPr>
                <w:rFonts w:eastAsia="MS PGothic"/>
                <w:szCs w:val="17"/>
                <w:lang w:eastAsia="ja-JP"/>
              </w:rPr>
            </w:pPr>
          </w:p>
        </w:tc>
        <w:tc>
          <w:tcPr>
            <w:tcW w:w="737" w:type="dxa"/>
            <w:tcBorders>
              <w:top w:val="single" w:sz="6" w:space="0" w:color="BCBDBC"/>
              <w:left w:val="single" w:sz="6" w:space="0" w:color="auto"/>
              <w:bottom w:val="single" w:sz="6" w:space="0" w:color="auto"/>
              <w:right w:val="single" w:sz="6" w:space="0" w:color="auto"/>
            </w:tcBorders>
            <w:vAlign w:val="center"/>
          </w:tcPr>
          <w:p w14:paraId="41152136" w14:textId="77777777" w:rsidR="003D28B0" w:rsidRPr="00AA5E87" w:rsidRDefault="003D28B0" w:rsidP="005811E4">
            <w:pPr>
              <w:pStyle w:val="TableText"/>
              <w:snapToGrid w:val="0"/>
              <w:rPr>
                <w:rFonts w:eastAsia="MS PGothic"/>
                <w:szCs w:val="17"/>
                <w:lang w:eastAsia="ja-JP"/>
              </w:rPr>
            </w:pPr>
          </w:p>
        </w:tc>
        <w:tc>
          <w:tcPr>
            <w:tcW w:w="1701" w:type="dxa"/>
            <w:tcBorders>
              <w:top w:val="single" w:sz="6" w:space="0" w:color="BFBFBF"/>
              <w:left w:val="single" w:sz="6" w:space="0" w:color="auto"/>
              <w:bottom w:val="single" w:sz="6" w:space="0" w:color="auto"/>
              <w:right w:val="single" w:sz="6" w:space="0" w:color="auto"/>
            </w:tcBorders>
            <w:noWrap/>
            <w:vAlign w:val="center"/>
          </w:tcPr>
          <w:p w14:paraId="62A7DCFF" w14:textId="77777777" w:rsidR="003D28B0" w:rsidRPr="00AA5E87" w:rsidRDefault="003D28B0" w:rsidP="005811E4">
            <w:pPr>
              <w:pStyle w:val="TableText"/>
              <w:snapToGrid w:val="0"/>
              <w:rPr>
                <w:rFonts w:eastAsia="MS PGothic"/>
                <w:szCs w:val="17"/>
                <w:lang w:eastAsia="ja-JP"/>
              </w:rPr>
            </w:pPr>
          </w:p>
        </w:tc>
      </w:tr>
    </w:tbl>
    <w:p w14:paraId="34042B68" w14:textId="67F3E598" w:rsidR="003D28B0" w:rsidRDefault="003D28B0" w:rsidP="00063DC0">
      <w:pPr>
        <w:spacing w:before="40" w:after="40"/>
        <w:rPr>
          <w:sz w:val="22"/>
        </w:rPr>
      </w:pPr>
    </w:p>
    <w:p w14:paraId="12BBE265" w14:textId="77777777" w:rsidR="003D28B0" w:rsidRDefault="003D28B0" w:rsidP="00063DC0">
      <w:pPr>
        <w:spacing w:before="40" w:after="40"/>
        <w:rPr>
          <w:sz w:val="22"/>
        </w:rPr>
      </w:pPr>
    </w:p>
    <w:p w14:paraId="4624E4F0" w14:textId="3AB85844" w:rsidR="00063DC0" w:rsidRDefault="00063DC0" w:rsidP="00063DC0">
      <w:pPr>
        <w:spacing w:before="40" w:after="40"/>
        <w:rPr>
          <w:sz w:val="22"/>
        </w:rPr>
      </w:pPr>
    </w:p>
    <w:p w14:paraId="4D1EF8E0" w14:textId="77777777" w:rsidR="00417CC4" w:rsidRDefault="00417CC4" w:rsidP="00063DC0">
      <w:pPr>
        <w:spacing w:before="40" w:after="40"/>
        <w:rPr>
          <w:sz w:val="22"/>
        </w:rPr>
      </w:pPr>
    </w:p>
    <w:p w14:paraId="05596EAC" w14:textId="5D4E4A7F" w:rsidR="00FF79CD" w:rsidRDefault="00FF79CD" w:rsidP="00063DC0">
      <w:pPr>
        <w:spacing w:before="40" w:after="40"/>
        <w:rPr>
          <w:sz w:val="22"/>
        </w:rPr>
      </w:pPr>
    </w:p>
    <w:p w14:paraId="1F8CD97C" w14:textId="77777777" w:rsidR="00FF79CD" w:rsidRDefault="00FF79CD" w:rsidP="00063DC0">
      <w:pPr>
        <w:spacing w:before="40" w:after="40"/>
        <w:rPr>
          <w:sz w:val="22"/>
        </w:rPr>
      </w:pPr>
    </w:p>
    <w:p w14:paraId="117A55FC" w14:textId="77777777" w:rsidR="00FF79CD" w:rsidRDefault="00FF79CD" w:rsidP="00063DC0">
      <w:pPr>
        <w:spacing w:before="40" w:after="40"/>
        <w:rPr>
          <w:sz w:val="22"/>
        </w:rPr>
      </w:pPr>
    </w:p>
    <w:p w14:paraId="76CCE00F" w14:textId="3308369F" w:rsidR="00187ABF" w:rsidRDefault="00187ABF" w:rsidP="00187ABF">
      <w:pPr>
        <w:spacing w:before="40" w:after="40"/>
        <w:rPr>
          <w:u w:val="single"/>
        </w:rPr>
      </w:pPr>
      <w:r>
        <w:rPr>
          <w:u w:val="single"/>
        </w:rPr>
        <w:lastRenderedPageBreak/>
        <w:t>Version for AIs using the BSC approach (“BSC version”)</w:t>
      </w:r>
    </w:p>
    <w:tbl>
      <w:tblPr>
        <w:tblW w:w="12122" w:type="dxa"/>
        <w:tblInd w:w="108" w:type="dxa"/>
        <w:tblBorders>
          <w:top w:val="single" w:sz="4" w:space="0" w:color="BCBDBC"/>
          <w:left w:val="single" w:sz="4" w:space="0" w:color="BCBDBC"/>
          <w:bottom w:val="single" w:sz="4" w:space="0" w:color="BCBDBC"/>
          <w:right w:val="single" w:sz="4" w:space="0" w:color="BCBDBC"/>
          <w:insideH w:val="single" w:sz="6" w:space="0" w:color="BCBDBC"/>
          <w:insideV w:val="single" w:sz="6" w:space="0" w:color="BCBDBC"/>
        </w:tblBorders>
        <w:tblLayout w:type="fixed"/>
        <w:tblCellMar>
          <w:left w:w="99" w:type="dxa"/>
          <w:right w:w="99" w:type="dxa"/>
        </w:tblCellMar>
        <w:tblLook w:val="00A0" w:firstRow="1" w:lastRow="0" w:firstColumn="1" w:lastColumn="0" w:noHBand="0" w:noVBand="0"/>
      </w:tblPr>
      <w:tblGrid>
        <w:gridCol w:w="454"/>
        <w:gridCol w:w="4294"/>
        <w:gridCol w:w="915"/>
        <w:gridCol w:w="915"/>
        <w:gridCol w:w="916"/>
        <w:gridCol w:w="915"/>
        <w:gridCol w:w="915"/>
        <w:gridCol w:w="916"/>
        <w:gridCol w:w="1882"/>
      </w:tblGrid>
      <w:tr w:rsidR="00267CBD" w14:paraId="1CE4BE28" w14:textId="77777777" w:rsidTr="00267CBD">
        <w:trPr>
          <w:trHeight w:val="175"/>
          <w:tblHeader/>
        </w:trPr>
        <w:tc>
          <w:tcPr>
            <w:tcW w:w="454" w:type="dxa"/>
            <w:tcBorders>
              <w:top w:val="nil"/>
              <w:left w:val="nil"/>
              <w:bottom w:val="nil"/>
              <w:right w:val="nil"/>
            </w:tcBorders>
          </w:tcPr>
          <w:p w14:paraId="2CBC996F" w14:textId="77777777" w:rsidR="00267CBD" w:rsidRDefault="00267CBD" w:rsidP="00AB074C">
            <w:pPr>
              <w:pStyle w:val="TableText"/>
              <w:snapToGrid w:val="0"/>
              <w:rPr>
                <w:rFonts w:eastAsia="MS PGothic"/>
                <w:szCs w:val="17"/>
                <w:lang w:eastAsia="ja-JP"/>
              </w:rPr>
            </w:pPr>
          </w:p>
        </w:tc>
        <w:tc>
          <w:tcPr>
            <w:tcW w:w="4294" w:type="dxa"/>
            <w:tcBorders>
              <w:top w:val="nil"/>
              <w:left w:val="nil"/>
              <w:bottom w:val="single" w:sz="6" w:space="0" w:color="auto"/>
              <w:right w:val="single" w:sz="6" w:space="0" w:color="auto"/>
            </w:tcBorders>
            <w:noWrap/>
            <w:vAlign w:val="center"/>
          </w:tcPr>
          <w:p w14:paraId="5A570613" w14:textId="77777777" w:rsidR="00267CBD" w:rsidRDefault="00267CBD" w:rsidP="00AB074C">
            <w:pPr>
              <w:pStyle w:val="TableText"/>
              <w:snapToGrid w:val="0"/>
              <w:rPr>
                <w:rFonts w:eastAsia="MS PGothic"/>
                <w:szCs w:val="17"/>
                <w:lang w:eastAsia="ja-JP"/>
              </w:rPr>
            </w:pPr>
          </w:p>
        </w:tc>
        <w:tc>
          <w:tcPr>
            <w:tcW w:w="915" w:type="dxa"/>
            <w:tcBorders>
              <w:top w:val="single" w:sz="6" w:space="0" w:color="auto"/>
              <w:left w:val="single" w:sz="6" w:space="0" w:color="auto"/>
              <w:bottom w:val="single" w:sz="6" w:space="0" w:color="auto"/>
              <w:right w:val="single" w:sz="6" w:space="0" w:color="auto"/>
            </w:tcBorders>
            <w:noWrap/>
            <w:vAlign w:val="center"/>
          </w:tcPr>
          <w:p w14:paraId="5790DD12" w14:textId="77777777" w:rsidR="00267CBD" w:rsidRPr="00475D50" w:rsidRDefault="00267CBD" w:rsidP="000E3BF0">
            <w:pPr>
              <w:pStyle w:val="TableText"/>
              <w:snapToGrid w:val="0"/>
              <w:jc w:val="center"/>
              <w:rPr>
                <w:rFonts w:cs="Segoe UI"/>
                <w:szCs w:val="17"/>
                <w:lang w:eastAsia="en-GB"/>
              </w:rPr>
            </w:pPr>
            <w:r w:rsidRPr="00475D50">
              <w:rPr>
                <w:rFonts w:cs="Segoe UI"/>
                <w:szCs w:val="17"/>
                <w:lang w:eastAsia="en-GB"/>
              </w:rPr>
              <w:t>(a)</w:t>
            </w:r>
          </w:p>
        </w:tc>
        <w:tc>
          <w:tcPr>
            <w:tcW w:w="915" w:type="dxa"/>
            <w:tcBorders>
              <w:top w:val="single" w:sz="6" w:space="0" w:color="auto"/>
              <w:left w:val="single" w:sz="6" w:space="0" w:color="auto"/>
              <w:bottom w:val="single" w:sz="6" w:space="0" w:color="auto"/>
              <w:right w:val="single" w:sz="6" w:space="0" w:color="auto"/>
            </w:tcBorders>
            <w:noWrap/>
            <w:vAlign w:val="center"/>
          </w:tcPr>
          <w:p w14:paraId="6B7DD108" w14:textId="77777777" w:rsidR="00267CBD" w:rsidRPr="00475D50" w:rsidRDefault="00267CBD" w:rsidP="000E3BF0">
            <w:pPr>
              <w:pStyle w:val="TableText"/>
              <w:snapToGrid w:val="0"/>
              <w:jc w:val="center"/>
              <w:rPr>
                <w:rFonts w:cs="Segoe UI"/>
                <w:szCs w:val="17"/>
                <w:lang w:eastAsia="en-GB"/>
              </w:rPr>
            </w:pPr>
            <w:r w:rsidRPr="00475D50">
              <w:rPr>
                <w:rFonts w:cs="Segoe UI"/>
                <w:szCs w:val="17"/>
                <w:lang w:eastAsia="en-GB"/>
              </w:rPr>
              <w:t>(b)</w:t>
            </w:r>
          </w:p>
        </w:tc>
        <w:tc>
          <w:tcPr>
            <w:tcW w:w="916" w:type="dxa"/>
            <w:tcBorders>
              <w:top w:val="single" w:sz="6" w:space="0" w:color="auto"/>
              <w:left w:val="single" w:sz="6" w:space="0" w:color="auto"/>
              <w:bottom w:val="single" w:sz="6" w:space="0" w:color="auto"/>
              <w:right w:val="single" w:sz="6" w:space="0" w:color="auto"/>
            </w:tcBorders>
            <w:noWrap/>
            <w:vAlign w:val="center"/>
          </w:tcPr>
          <w:p w14:paraId="3E94B560" w14:textId="4774DF57" w:rsidR="00267CBD" w:rsidRPr="00475D50" w:rsidRDefault="00267CBD" w:rsidP="000E3BF0">
            <w:pPr>
              <w:pStyle w:val="TableText"/>
              <w:snapToGrid w:val="0"/>
              <w:jc w:val="center"/>
              <w:rPr>
                <w:rFonts w:cs="Segoe UI"/>
                <w:szCs w:val="17"/>
                <w:lang w:eastAsia="en-GB"/>
              </w:rPr>
            </w:pPr>
            <w:r w:rsidRPr="00475D50">
              <w:rPr>
                <w:rFonts w:cs="Segoe UI"/>
                <w:szCs w:val="17"/>
                <w:lang w:eastAsia="en-GB"/>
              </w:rPr>
              <w:t>(c)</w:t>
            </w:r>
          </w:p>
        </w:tc>
        <w:tc>
          <w:tcPr>
            <w:tcW w:w="915" w:type="dxa"/>
            <w:tcBorders>
              <w:top w:val="single" w:sz="6" w:space="0" w:color="auto"/>
              <w:left w:val="single" w:sz="6" w:space="0" w:color="auto"/>
              <w:bottom w:val="single" w:sz="6" w:space="0" w:color="auto"/>
              <w:right w:val="single" w:sz="6" w:space="0" w:color="auto"/>
            </w:tcBorders>
            <w:vAlign w:val="center"/>
          </w:tcPr>
          <w:p w14:paraId="69FF02BB" w14:textId="77777777" w:rsidR="00267CBD" w:rsidRPr="00475D50" w:rsidRDefault="00267CBD" w:rsidP="000E3BF0">
            <w:pPr>
              <w:pStyle w:val="TableText"/>
              <w:snapToGrid w:val="0"/>
              <w:jc w:val="center"/>
              <w:rPr>
                <w:rFonts w:cs="Segoe UI"/>
                <w:szCs w:val="17"/>
                <w:lang w:eastAsia="en-GB"/>
              </w:rPr>
            </w:pPr>
            <w:r w:rsidRPr="00475D50">
              <w:rPr>
                <w:rFonts w:cs="Segoe UI"/>
                <w:szCs w:val="17"/>
                <w:lang w:eastAsia="en-GB"/>
              </w:rPr>
              <w:t>(d)</w:t>
            </w:r>
          </w:p>
        </w:tc>
        <w:tc>
          <w:tcPr>
            <w:tcW w:w="915" w:type="dxa"/>
            <w:tcBorders>
              <w:top w:val="single" w:sz="6" w:space="0" w:color="auto"/>
              <w:left w:val="single" w:sz="6" w:space="0" w:color="auto"/>
              <w:bottom w:val="single" w:sz="6" w:space="0" w:color="auto"/>
              <w:right w:val="single" w:sz="6" w:space="0" w:color="auto"/>
            </w:tcBorders>
            <w:noWrap/>
            <w:vAlign w:val="center"/>
          </w:tcPr>
          <w:p w14:paraId="0B50933C" w14:textId="5F2B3399" w:rsidR="00267CBD" w:rsidRPr="00475D50" w:rsidRDefault="00267CBD" w:rsidP="005B3EE8">
            <w:pPr>
              <w:pStyle w:val="TableText"/>
              <w:snapToGrid w:val="0"/>
              <w:jc w:val="center"/>
              <w:rPr>
                <w:rFonts w:cs="Segoe UI"/>
                <w:szCs w:val="17"/>
                <w:lang w:eastAsia="en-GB"/>
              </w:rPr>
            </w:pPr>
            <w:r w:rsidRPr="00475D50">
              <w:rPr>
                <w:rFonts w:cs="Segoe UI"/>
                <w:szCs w:val="17"/>
                <w:lang w:eastAsia="en-GB"/>
              </w:rPr>
              <w:t>(f)</w:t>
            </w:r>
            <w:r w:rsidR="005B3EE8" w:rsidDel="005B3EE8">
              <w:rPr>
                <w:rFonts w:cs="Segoe UI"/>
                <w:szCs w:val="17"/>
                <w:lang w:eastAsia="en-GB"/>
              </w:rPr>
              <w:t xml:space="preserve"> </w:t>
            </w:r>
          </w:p>
        </w:tc>
        <w:tc>
          <w:tcPr>
            <w:tcW w:w="916" w:type="dxa"/>
            <w:tcBorders>
              <w:top w:val="single" w:sz="6" w:space="0" w:color="auto"/>
              <w:left w:val="single" w:sz="6" w:space="0" w:color="auto"/>
              <w:bottom w:val="single" w:sz="6" w:space="0" w:color="auto"/>
              <w:right w:val="single" w:sz="6" w:space="0" w:color="auto"/>
            </w:tcBorders>
            <w:vAlign w:val="center"/>
          </w:tcPr>
          <w:p w14:paraId="2D2D25C3" w14:textId="7174B430" w:rsidR="00267CBD" w:rsidRPr="00475D50" w:rsidRDefault="00267CBD" w:rsidP="000E3BF0">
            <w:pPr>
              <w:pStyle w:val="TableText"/>
              <w:snapToGrid w:val="0"/>
              <w:jc w:val="center"/>
              <w:rPr>
                <w:rFonts w:cs="Segoe UI"/>
                <w:szCs w:val="17"/>
                <w:lang w:eastAsia="en-GB"/>
              </w:rPr>
            </w:pPr>
            <w:r w:rsidRPr="00475D50">
              <w:rPr>
                <w:rFonts w:cs="Segoe UI"/>
                <w:szCs w:val="17"/>
                <w:lang w:eastAsia="en-GB"/>
              </w:rPr>
              <w:t>(h)</w:t>
            </w:r>
          </w:p>
        </w:tc>
        <w:tc>
          <w:tcPr>
            <w:tcW w:w="1882" w:type="dxa"/>
            <w:tcBorders>
              <w:top w:val="single" w:sz="6" w:space="0" w:color="auto"/>
              <w:left w:val="single" w:sz="6" w:space="0" w:color="auto"/>
              <w:bottom w:val="single" w:sz="6" w:space="0" w:color="auto"/>
              <w:right w:val="single" w:sz="6" w:space="0" w:color="auto"/>
            </w:tcBorders>
            <w:vAlign w:val="center"/>
          </w:tcPr>
          <w:p w14:paraId="380E6FD3" w14:textId="77777777" w:rsidR="00267CBD" w:rsidRPr="00475D50" w:rsidRDefault="00267CBD" w:rsidP="000E3BF0">
            <w:pPr>
              <w:pStyle w:val="TableText"/>
              <w:snapToGrid w:val="0"/>
              <w:jc w:val="center"/>
              <w:rPr>
                <w:rFonts w:cs="Segoe UI"/>
                <w:szCs w:val="17"/>
                <w:lang w:eastAsia="en-GB"/>
              </w:rPr>
            </w:pPr>
            <w:r w:rsidRPr="00475D50">
              <w:rPr>
                <w:rFonts w:cs="Segoe UI"/>
                <w:szCs w:val="17"/>
                <w:lang w:eastAsia="en-GB"/>
              </w:rPr>
              <w:t>(i)</w:t>
            </w:r>
          </w:p>
        </w:tc>
      </w:tr>
      <w:tr w:rsidR="00267CBD" w14:paraId="0CD0D9CC" w14:textId="77777777" w:rsidTr="00267CBD">
        <w:trPr>
          <w:trHeight w:val="302"/>
          <w:tblHeader/>
        </w:trPr>
        <w:tc>
          <w:tcPr>
            <w:tcW w:w="454" w:type="dxa"/>
            <w:tcBorders>
              <w:top w:val="nil"/>
              <w:left w:val="nil"/>
              <w:bottom w:val="single" w:sz="6" w:space="0" w:color="auto"/>
              <w:right w:val="single" w:sz="6" w:space="0" w:color="auto"/>
            </w:tcBorders>
          </w:tcPr>
          <w:p w14:paraId="0E5FC978" w14:textId="77777777" w:rsidR="00267CBD" w:rsidRDefault="00267CBD" w:rsidP="00AB074C">
            <w:pPr>
              <w:pStyle w:val="TableText"/>
              <w:snapToGrid w:val="0"/>
              <w:rPr>
                <w:rFonts w:eastAsia="MS PGothic"/>
                <w:szCs w:val="17"/>
                <w:lang w:eastAsia="ja-JP"/>
              </w:rPr>
            </w:pPr>
          </w:p>
        </w:tc>
        <w:tc>
          <w:tcPr>
            <w:tcW w:w="4294" w:type="dxa"/>
            <w:tcBorders>
              <w:top w:val="single" w:sz="6" w:space="0" w:color="auto"/>
              <w:left w:val="single" w:sz="6" w:space="0" w:color="auto"/>
              <w:bottom w:val="single" w:sz="6" w:space="0" w:color="auto"/>
              <w:right w:val="single" w:sz="6" w:space="0" w:color="auto"/>
              <w:tl2br w:val="single" w:sz="4" w:space="0" w:color="auto"/>
            </w:tcBorders>
            <w:noWrap/>
            <w:vAlign w:val="center"/>
          </w:tcPr>
          <w:p w14:paraId="0BC0B845" w14:textId="77777777" w:rsidR="00267CBD" w:rsidRDefault="00267CBD" w:rsidP="00AB074C">
            <w:pPr>
              <w:pStyle w:val="TableText"/>
              <w:snapToGrid w:val="0"/>
              <w:jc w:val="right"/>
              <w:rPr>
                <w:rFonts w:eastAsia="MS PGothic"/>
                <w:szCs w:val="17"/>
                <w:lang w:eastAsia="ja-JP"/>
              </w:rPr>
            </w:pPr>
            <w:r>
              <w:rPr>
                <w:rFonts w:eastAsia="MS PGothic"/>
                <w:szCs w:val="17"/>
                <w:lang w:eastAsia="ja-JP"/>
              </w:rPr>
              <w:t xml:space="preserve">                                  Risk Weight</w:t>
            </w:r>
          </w:p>
          <w:p w14:paraId="7B69E0F7" w14:textId="77777777" w:rsidR="00267CBD" w:rsidRDefault="00267CBD" w:rsidP="00AB074C">
            <w:pPr>
              <w:pStyle w:val="TableText"/>
              <w:snapToGrid w:val="0"/>
              <w:rPr>
                <w:rFonts w:eastAsia="MS PGothic"/>
                <w:szCs w:val="17"/>
                <w:lang w:eastAsia="ja-JP"/>
              </w:rPr>
            </w:pPr>
            <w:r>
              <w:rPr>
                <w:rFonts w:eastAsia="MS PGothic"/>
                <w:szCs w:val="17"/>
                <w:lang w:eastAsia="ja-JP"/>
              </w:rPr>
              <w:t>Exposure class</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tcPr>
          <w:p w14:paraId="27E862E3" w14:textId="77777777" w:rsidR="00267CBD" w:rsidRPr="008C4037" w:rsidRDefault="00267CBD" w:rsidP="000E3BF0">
            <w:pPr>
              <w:pStyle w:val="TableText"/>
              <w:snapToGrid w:val="0"/>
              <w:jc w:val="center"/>
              <w:rPr>
                <w:rFonts w:cs="Segoe UI"/>
                <w:szCs w:val="17"/>
                <w:lang w:eastAsia="en-GB"/>
              </w:rPr>
            </w:pPr>
            <w:r w:rsidRPr="008C4037">
              <w:rPr>
                <w:rFonts w:cs="Segoe UI"/>
                <w:szCs w:val="17"/>
                <w:lang w:eastAsia="en-GB"/>
              </w:rPr>
              <w:t>0%</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tcPr>
          <w:p w14:paraId="19265B62" w14:textId="77777777" w:rsidR="00267CBD" w:rsidRPr="008C4037" w:rsidRDefault="00267CBD" w:rsidP="000E3BF0">
            <w:pPr>
              <w:pStyle w:val="TableText"/>
              <w:snapToGrid w:val="0"/>
              <w:jc w:val="center"/>
              <w:rPr>
                <w:rFonts w:cs="Segoe UI"/>
                <w:szCs w:val="17"/>
                <w:lang w:eastAsia="en-GB"/>
              </w:rPr>
            </w:pPr>
            <w:r w:rsidRPr="008C4037">
              <w:rPr>
                <w:rFonts w:cs="Segoe UI"/>
                <w:szCs w:val="17"/>
                <w:lang w:eastAsia="en-GB"/>
              </w:rPr>
              <w:t>10%</w:t>
            </w:r>
          </w:p>
        </w:tc>
        <w:tc>
          <w:tcPr>
            <w:tcW w:w="916" w:type="dxa"/>
            <w:tcBorders>
              <w:top w:val="single" w:sz="6" w:space="0" w:color="auto"/>
              <w:left w:val="single" w:sz="6" w:space="0" w:color="auto"/>
              <w:bottom w:val="single" w:sz="6" w:space="0" w:color="auto"/>
              <w:right w:val="single" w:sz="6" w:space="0" w:color="auto"/>
            </w:tcBorders>
            <w:shd w:val="clear" w:color="auto" w:fill="auto"/>
            <w:noWrap/>
            <w:vAlign w:val="center"/>
          </w:tcPr>
          <w:p w14:paraId="7DE0EE51" w14:textId="78BCB81D" w:rsidR="00267CBD" w:rsidRPr="008C4037" w:rsidRDefault="00267CBD" w:rsidP="000E3BF0">
            <w:pPr>
              <w:pStyle w:val="TableText"/>
              <w:snapToGrid w:val="0"/>
              <w:jc w:val="center"/>
              <w:rPr>
                <w:rFonts w:cs="Segoe UI"/>
                <w:szCs w:val="17"/>
                <w:lang w:eastAsia="en-GB"/>
              </w:rPr>
            </w:pPr>
            <w:r w:rsidRPr="008C4037">
              <w:rPr>
                <w:rFonts w:cs="Segoe UI"/>
                <w:szCs w:val="17"/>
                <w:lang w:eastAsia="en-GB"/>
              </w:rPr>
              <w:t>20%</w:t>
            </w:r>
          </w:p>
        </w:tc>
        <w:tc>
          <w:tcPr>
            <w:tcW w:w="915" w:type="dxa"/>
            <w:tcBorders>
              <w:top w:val="single" w:sz="6" w:space="0" w:color="auto"/>
              <w:left w:val="single" w:sz="6" w:space="0" w:color="auto"/>
              <w:bottom w:val="single" w:sz="6" w:space="0" w:color="auto"/>
              <w:right w:val="single" w:sz="6" w:space="0" w:color="auto"/>
            </w:tcBorders>
            <w:shd w:val="clear" w:color="auto" w:fill="auto"/>
            <w:vAlign w:val="center"/>
          </w:tcPr>
          <w:p w14:paraId="392396EE" w14:textId="77777777" w:rsidR="00267CBD" w:rsidRPr="008C4037" w:rsidRDefault="00267CBD" w:rsidP="000E3BF0">
            <w:pPr>
              <w:pStyle w:val="TableText"/>
              <w:snapToGrid w:val="0"/>
              <w:jc w:val="center"/>
              <w:rPr>
                <w:rFonts w:cs="Segoe UI"/>
                <w:szCs w:val="17"/>
                <w:lang w:eastAsia="en-GB"/>
              </w:rPr>
            </w:pPr>
            <w:r w:rsidRPr="008C4037">
              <w:rPr>
                <w:rFonts w:cs="Segoe UI"/>
                <w:szCs w:val="17"/>
                <w:lang w:eastAsia="en-GB"/>
              </w:rPr>
              <w:t>50%</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tcPr>
          <w:p w14:paraId="3D6F0517" w14:textId="520F9442" w:rsidR="00267CBD" w:rsidRPr="00E60358" w:rsidRDefault="00267CBD" w:rsidP="000E3BF0">
            <w:pPr>
              <w:pStyle w:val="TableText"/>
              <w:snapToGrid w:val="0"/>
              <w:jc w:val="center"/>
              <w:rPr>
                <w:rFonts w:cs="Segoe UI"/>
                <w:szCs w:val="17"/>
                <w:highlight w:val="green"/>
                <w:lang w:eastAsia="en-GB"/>
              </w:rPr>
            </w:pPr>
            <w:r w:rsidRPr="008C4037">
              <w:rPr>
                <w:rFonts w:cs="Segoe UI"/>
                <w:szCs w:val="17"/>
                <w:lang w:eastAsia="en-GB"/>
              </w:rPr>
              <w:t>100%</w:t>
            </w:r>
          </w:p>
        </w:tc>
        <w:tc>
          <w:tcPr>
            <w:tcW w:w="916" w:type="dxa"/>
            <w:tcBorders>
              <w:top w:val="single" w:sz="6" w:space="0" w:color="auto"/>
              <w:left w:val="single" w:sz="6" w:space="0" w:color="auto"/>
              <w:bottom w:val="single" w:sz="6" w:space="0" w:color="auto"/>
              <w:right w:val="single" w:sz="6" w:space="0" w:color="auto"/>
            </w:tcBorders>
            <w:vAlign w:val="center"/>
          </w:tcPr>
          <w:p w14:paraId="67232655" w14:textId="3AB7821E" w:rsidR="00267CBD" w:rsidRPr="00342340" w:rsidRDefault="00267CBD" w:rsidP="000E3BF0">
            <w:pPr>
              <w:pStyle w:val="TableText"/>
              <w:snapToGrid w:val="0"/>
              <w:jc w:val="center"/>
              <w:rPr>
                <w:rFonts w:cs="Segoe UI"/>
                <w:szCs w:val="17"/>
                <w:lang w:eastAsia="en-GB"/>
              </w:rPr>
            </w:pPr>
            <w:r w:rsidRPr="00342340">
              <w:rPr>
                <w:rFonts w:cs="Segoe UI"/>
                <w:szCs w:val="17"/>
                <w:lang w:eastAsia="en-GB"/>
              </w:rPr>
              <w:t>Others</w:t>
            </w:r>
          </w:p>
        </w:tc>
        <w:tc>
          <w:tcPr>
            <w:tcW w:w="1882" w:type="dxa"/>
            <w:tcBorders>
              <w:top w:val="single" w:sz="6" w:space="0" w:color="auto"/>
              <w:left w:val="single" w:sz="6" w:space="0" w:color="auto"/>
              <w:bottom w:val="single" w:sz="6" w:space="0" w:color="auto"/>
              <w:right w:val="single" w:sz="6" w:space="0" w:color="auto"/>
            </w:tcBorders>
            <w:vAlign w:val="center"/>
          </w:tcPr>
          <w:p w14:paraId="4A82890F" w14:textId="77777777" w:rsidR="00267CBD" w:rsidRDefault="00267CBD" w:rsidP="000E3BF0">
            <w:pPr>
              <w:pStyle w:val="TableText"/>
              <w:snapToGrid w:val="0"/>
              <w:rPr>
                <w:rFonts w:eastAsia="MS PGothic"/>
                <w:spacing w:val="-20"/>
                <w:szCs w:val="17"/>
                <w:lang w:eastAsia="ja-JP"/>
              </w:rPr>
            </w:pPr>
            <w:r>
              <w:rPr>
                <w:rFonts w:cs="Segoe UI"/>
                <w:szCs w:val="17"/>
                <w:lang w:eastAsia="en-GB"/>
              </w:rPr>
              <w:t>Total default risk exposure after CRM</w:t>
            </w:r>
          </w:p>
        </w:tc>
      </w:tr>
      <w:tr w:rsidR="00267CBD" w14:paraId="249848D3" w14:textId="77777777" w:rsidTr="00267CBD">
        <w:trPr>
          <w:trHeight w:val="283"/>
        </w:trPr>
        <w:tc>
          <w:tcPr>
            <w:tcW w:w="454" w:type="dxa"/>
            <w:tcBorders>
              <w:top w:val="single" w:sz="6" w:space="0" w:color="auto"/>
              <w:left w:val="nil"/>
              <w:right w:val="single" w:sz="6" w:space="0" w:color="auto"/>
            </w:tcBorders>
          </w:tcPr>
          <w:p w14:paraId="43401650" w14:textId="77777777" w:rsidR="00267CBD" w:rsidRDefault="00267CBD" w:rsidP="00AB074C">
            <w:pPr>
              <w:pStyle w:val="TableText"/>
              <w:snapToGrid w:val="0"/>
              <w:rPr>
                <w:rFonts w:cs="Segoe UI"/>
                <w:szCs w:val="17"/>
                <w:lang w:eastAsia="en-GB"/>
              </w:rPr>
            </w:pPr>
            <w:r>
              <w:rPr>
                <w:rFonts w:cs="Segoe UI"/>
                <w:szCs w:val="17"/>
                <w:lang w:eastAsia="en-GB"/>
              </w:rPr>
              <w:t>1</w:t>
            </w:r>
          </w:p>
        </w:tc>
        <w:tc>
          <w:tcPr>
            <w:tcW w:w="4294" w:type="dxa"/>
            <w:tcBorders>
              <w:top w:val="single" w:sz="6" w:space="0" w:color="auto"/>
              <w:left w:val="nil"/>
              <w:right w:val="single" w:sz="6" w:space="0" w:color="auto"/>
            </w:tcBorders>
            <w:noWrap/>
          </w:tcPr>
          <w:p w14:paraId="0CA4E58A" w14:textId="77777777" w:rsidR="00267CBD" w:rsidRDefault="00267CBD" w:rsidP="00AB074C">
            <w:pPr>
              <w:pStyle w:val="TableText"/>
              <w:snapToGrid w:val="0"/>
              <w:rPr>
                <w:rFonts w:cs="Segoe UI"/>
                <w:szCs w:val="17"/>
                <w:lang w:eastAsia="en-GB"/>
              </w:rPr>
            </w:pPr>
            <w:r>
              <w:rPr>
                <w:rFonts w:cs="Segoe UI"/>
                <w:szCs w:val="17"/>
                <w:lang w:eastAsia="en-GB"/>
              </w:rPr>
              <w:t>Sovereign exposures</w:t>
            </w:r>
          </w:p>
        </w:tc>
        <w:tc>
          <w:tcPr>
            <w:tcW w:w="915" w:type="dxa"/>
            <w:tcBorders>
              <w:top w:val="single" w:sz="6" w:space="0" w:color="auto"/>
              <w:left w:val="single" w:sz="6" w:space="0" w:color="auto"/>
              <w:bottom w:val="single" w:sz="6" w:space="0" w:color="BCBDBC"/>
              <w:right w:val="single" w:sz="6" w:space="0" w:color="auto"/>
            </w:tcBorders>
            <w:noWrap/>
            <w:vAlign w:val="center"/>
          </w:tcPr>
          <w:p w14:paraId="2D0696E2" w14:textId="77777777" w:rsidR="00267CBD" w:rsidRDefault="00267CBD" w:rsidP="00AB074C">
            <w:pPr>
              <w:pStyle w:val="TableText"/>
              <w:snapToGrid w:val="0"/>
              <w:rPr>
                <w:rFonts w:eastAsia="MS PGothic"/>
                <w:szCs w:val="17"/>
                <w:lang w:eastAsia="ja-JP"/>
              </w:rPr>
            </w:pPr>
          </w:p>
        </w:tc>
        <w:tc>
          <w:tcPr>
            <w:tcW w:w="915" w:type="dxa"/>
            <w:tcBorders>
              <w:top w:val="single" w:sz="6" w:space="0" w:color="auto"/>
              <w:left w:val="single" w:sz="6" w:space="0" w:color="auto"/>
              <w:bottom w:val="single" w:sz="6" w:space="0" w:color="BCBDBC"/>
              <w:right w:val="single" w:sz="6" w:space="0" w:color="auto"/>
            </w:tcBorders>
            <w:noWrap/>
            <w:vAlign w:val="center"/>
          </w:tcPr>
          <w:p w14:paraId="70D714F8" w14:textId="77777777" w:rsidR="00267CBD" w:rsidRDefault="00267CBD" w:rsidP="00AB074C">
            <w:pPr>
              <w:pStyle w:val="TableText"/>
              <w:snapToGrid w:val="0"/>
              <w:rPr>
                <w:rFonts w:eastAsia="MS PGothic"/>
                <w:szCs w:val="17"/>
                <w:lang w:eastAsia="ja-JP"/>
              </w:rPr>
            </w:pPr>
          </w:p>
        </w:tc>
        <w:tc>
          <w:tcPr>
            <w:tcW w:w="916" w:type="dxa"/>
            <w:tcBorders>
              <w:top w:val="single" w:sz="6" w:space="0" w:color="auto"/>
              <w:left w:val="single" w:sz="6" w:space="0" w:color="auto"/>
              <w:bottom w:val="single" w:sz="6" w:space="0" w:color="BCBDBC"/>
              <w:right w:val="single" w:sz="6" w:space="0" w:color="auto"/>
            </w:tcBorders>
            <w:noWrap/>
            <w:vAlign w:val="center"/>
          </w:tcPr>
          <w:p w14:paraId="064C6921" w14:textId="77777777" w:rsidR="00267CBD" w:rsidRDefault="00267CBD" w:rsidP="00AB074C">
            <w:pPr>
              <w:pStyle w:val="TableText"/>
              <w:snapToGrid w:val="0"/>
              <w:rPr>
                <w:rFonts w:eastAsia="MS PGothic"/>
                <w:szCs w:val="17"/>
                <w:lang w:eastAsia="ja-JP"/>
              </w:rPr>
            </w:pPr>
          </w:p>
        </w:tc>
        <w:tc>
          <w:tcPr>
            <w:tcW w:w="915" w:type="dxa"/>
            <w:tcBorders>
              <w:top w:val="single" w:sz="6" w:space="0" w:color="auto"/>
              <w:left w:val="single" w:sz="6" w:space="0" w:color="auto"/>
              <w:bottom w:val="single" w:sz="6" w:space="0" w:color="BCBDBC"/>
              <w:right w:val="single" w:sz="6" w:space="0" w:color="auto"/>
            </w:tcBorders>
          </w:tcPr>
          <w:p w14:paraId="3C69D45B" w14:textId="77777777" w:rsidR="00267CBD" w:rsidRDefault="00267CBD" w:rsidP="00AB074C">
            <w:pPr>
              <w:pStyle w:val="TableText"/>
              <w:snapToGrid w:val="0"/>
              <w:rPr>
                <w:rFonts w:eastAsia="MS PGothic"/>
                <w:szCs w:val="17"/>
                <w:lang w:eastAsia="ja-JP"/>
              </w:rPr>
            </w:pPr>
          </w:p>
        </w:tc>
        <w:tc>
          <w:tcPr>
            <w:tcW w:w="915" w:type="dxa"/>
            <w:tcBorders>
              <w:top w:val="single" w:sz="6" w:space="0" w:color="auto"/>
              <w:left w:val="single" w:sz="6" w:space="0" w:color="auto"/>
              <w:bottom w:val="single" w:sz="6" w:space="0" w:color="BCBDBC"/>
              <w:right w:val="single" w:sz="6" w:space="0" w:color="auto"/>
            </w:tcBorders>
            <w:noWrap/>
            <w:vAlign w:val="center"/>
          </w:tcPr>
          <w:p w14:paraId="1D75F8E1" w14:textId="77777777" w:rsidR="00267CBD" w:rsidRDefault="00267CBD" w:rsidP="00AB074C">
            <w:pPr>
              <w:pStyle w:val="TableText"/>
              <w:snapToGrid w:val="0"/>
              <w:rPr>
                <w:rFonts w:eastAsia="MS PGothic"/>
                <w:szCs w:val="17"/>
                <w:lang w:eastAsia="ja-JP"/>
              </w:rPr>
            </w:pPr>
          </w:p>
        </w:tc>
        <w:tc>
          <w:tcPr>
            <w:tcW w:w="916" w:type="dxa"/>
            <w:tcBorders>
              <w:top w:val="single" w:sz="6" w:space="0" w:color="auto"/>
              <w:left w:val="single" w:sz="6" w:space="0" w:color="auto"/>
              <w:bottom w:val="single" w:sz="6" w:space="0" w:color="BCBDBC"/>
              <w:right w:val="single" w:sz="6" w:space="0" w:color="auto"/>
            </w:tcBorders>
            <w:vAlign w:val="center"/>
          </w:tcPr>
          <w:p w14:paraId="51D982B0" w14:textId="77777777" w:rsidR="00267CBD" w:rsidRDefault="00267CBD" w:rsidP="00AB074C">
            <w:pPr>
              <w:pStyle w:val="TableText"/>
              <w:snapToGrid w:val="0"/>
              <w:rPr>
                <w:rFonts w:eastAsia="MS PGothic"/>
                <w:szCs w:val="17"/>
                <w:lang w:eastAsia="ja-JP"/>
              </w:rPr>
            </w:pPr>
          </w:p>
        </w:tc>
        <w:tc>
          <w:tcPr>
            <w:tcW w:w="1882" w:type="dxa"/>
            <w:tcBorders>
              <w:top w:val="single" w:sz="6" w:space="0" w:color="auto"/>
              <w:left w:val="single" w:sz="6" w:space="0" w:color="auto"/>
              <w:right w:val="single" w:sz="6" w:space="0" w:color="auto"/>
            </w:tcBorders>
            <w:noWrap/>
            <w:vAlign w:val="center"/>
          </w:tcPr>
          <w:p w14:paraId="2077878F" w14:textId="77777777" w:rsidR="00267CBD" w:rsidRDefault="00267CBD" w:rsidP="00AB074C">
            <w:pPr>
              <w:pStyle w:val="TableText"/>
              <w:snapToGrid w:val="0"/>
              <w:rPr>
                <w:rFonts w:eastAsia="MS PGothic"/>
                <w:szCs w:val="17"/>
                <w:lang w:eastAsia="ja-JP"/>
              </w:rPr>
            </w:pPr>
          </w:p>
        </w:tc>
      </w:tr>
      <w:tr w:rsidR="00267CBD" w14:paraId="524C5C6E" w14:textId="77777777" w:rsidTr="00267CBD">
        <w:trPr>
          <w:trHeight w:val="283"/>
        </w:trPr>
        <w:tc>
          <w:tcPr>
            <w:tcW w:w="454" w:type="dxa"/>
            <w:tcBorders>
              <w:left w:val="nil"/>
              <w:right w:val="single" w:sz="6" w:space="0" w:color="auto"/>
            </w:tcBorders>
          </w:tcPr>
          <w:p w14:paraId="012E9242" w14:textId="77777777" w:rsidR="00267CBD" w:rsidRDefault="00267CBD" w:rsidP="00AB074C">
            <w:pPr>
              <w:pStyle w:val="TableText"/>
              <w:snapToGrid w:val="0"/>
              <w:rPr>
                <w:rFonts w:cs="Segoe UI"/>
                <w:szCs w:val="17"/>
                <w:lang w:eastAsia="en-GB"/>
              </w:rPr>
            </w:pPr>
            <w:r>
              <w:rPr>
                <w:rFonts w:cs="Segoe UI"/>
                <w:szCs w:val="17"/>
                <w:lang w:eastAsia="en-GB"/>
              </w:rPr>
              <w:t>2</w:t>
            </w:r>
          </w:p>
        </w:tc>
        <w:tc>
          <w:tcPr>
            <w:tcW w:w="4294" w:type="dxa"/>
            <w:tcBorders>
              <w:left w:val="nil"/>
              <w:right w:val="single" w:sz="6" w:space="0" w:color="auto"/>
            </w:tcBorders>
            <w:noWrap/>
          </w:tcPr>
          <w:p w14:paraId="72ADAC04" w14:textId="2D078015" w:rsidR="00267CBD" w:rsidRDefault="00267CBD" w:rsidP="00AB074C">
            <w:pPr>
              <w:pStyle w:val="TableText"/>
              <w:snapToGrid w:val="0"/>
              <w:rPr>
                <w:rFonts w:cs="Segoe UI"/>
                <w:szCs w:val="17"/>
                <w:lang w:eastAsia="en-GB"/>
              </w:rPr>
            </w:pPr>
            <w:r>
              <w:rPr>
                <w:rFonts w:cs="Segoe UI"/>
                <w:szCs w:val="17"/>
                <w:lang w:eastAsia="en-GB"/>
              </w:rPr>
              <w:t>Public sector entity exposures</w:t>
            </w:r>
          </w:p>
        </w:tc>
        <w:tc>
          <w:tcPr>
            <w:tcW w:w="915" w:type="dxa"/>
            <w:tcBorders>
              <w:top w:val="single" w:sz="6" w:space="0" w:color="BCBDBC"/>
              <w:left w:val="single" w:sz="6" w:space="0" w:color="auto"/>
              <w:bottom w:val="single" w:sz="6" w:space="0" w:color="BCBDBC"/>
              <w:right w:val="single" w:sz="6" w:space="0" w:color="auto"/>
            </w:tcBorders>
            <w:noWrap/>
            <w:vAlign w:val="center"/>
          </w:tcPr>
          <w:p w14:paraId="0BACFE95" w14:textId="77777777" w:rsidR="00267CBD" w:rsidRDefault="00267CBD" w:rsidP="00AB074C">
            <w:pPr>
              <w:pStyle w:val="TableText"/>
              <w:snapToGrid w:val="0"/>
              <w:rPr>
                <w:rFonts w:eastAsia="MS PGothic"/>
                <w:szCs w:val="17"/>
                <w:lang w:eastAsia="ja-JP"/>
              </w:rPr>
            </w:pPr>
          </w:p>
        </w:tc>
        <w:tc>
          <w:tcPr>
            <w:tcW w:w="915" w:type="dxa"/>
            <w:tcBorders>
              <w:top w:val="single" w:sz="6" w:space="0" w:color="BCBDBC"/>
              <w:left w:val="single" w:sz="6" w:space="0" w:color="auto"/>
              <w:bottom w:val="single" w:sz="6" w:space="0" w:color="BCBDBC"/>
              <w:right w:val="single" w:sz="6" w:space="0" w:color="auto"/>
            </w:tcBorders>
            <w:noWrap/>
            <w:vAlign w:val="center"/>
          </w:tcPr>
          <w:p w14:paraId="06AF5327" w14:textId="77777777" w:rsidR="00267CBD" w:rsidRDefault="00267CBD" w:rsidP="00AB074C">
            <w:pPr>
              <w:pStyle w:val="TableText"/>
              <w:snapToGrid w:val="0"/>
              <w:rPr>
                <w:rFonts w:eastAsia="MS PGothic"/>
                <w:szCs w:val="17"/>
                <w:lang w:eastAsia="ja-JP"/>
              </w:rPr>
            </w:pPr>
          </w:p>
        </w:tc>
        <w:tc>
          <w:tcPr>
            <w:tcW w:w="916" w:type="dxa"/>
            <w:tcBorders>
              <w:top w:val="single" w:sz="6" w:space="0" w:color="BCBDBC"/>
              <w:left w:val="single" w:sz="6" w:space="0" w:color="auto"/>
              <w:bottom w:val="single" w:sz="6" w:space="0" w:color="BCBDBC"/>
              <w:right w:val="single" w:sz="6" w:space="0" w:color="auto"/>
            </w:tcBorders>
            <w:noWrap/>
            <w:vAlign w:val="center"/>
          </w:tcPr>
          <w:p w14:paraId="0F15BB6A" w14:textId="77777777" w:rsidR="00267CBD" w:rsidRDefault="00267CBD" w:rsidP="00AB074C">
            <w:pPr>
              <w:pStyle w:val="TableText"/>
              <w:snapToGrid w:val="0"/>
              <w:rPr>
                <w:rFonts w:eastAsia="MS PGothic"/>
                <w:szCs w:val="17"/>
                <w:lang w:eastAsia="ja-JP"/>
              </w:rPr>
            </w:pPr>
          </w:p>
        </w:tc>
        <w:tc>
          <w:tcPr>
            <w:tcW w:w="915" w:type="dxa"/>
            <w:tcBorders>
              <w:top w:val="single" w:sz="6" w:space="0" w:color="BCBDBC"/>
              <w:left w:val="single" w:sz="6" w:space="0" w:color="auto"/>
              <w:bottom w:val="single" w:sz="6" w:space="0" w:color="BCBDBC"/>
              <w:right w:val="single" w:sz="6" w:space="0" w:color="auto"/>
            </w:tcBorders>
          </w:tcPr>
          <w:p w14:paraId="4FC3867B" w14:textId="77777777" w:rsidR="00267CBD" w:rsidRDefault="00267CBD" w:rsidP="00AB074C">
            <w:pPr>
              <w:pStyle w:val="TableText"/>
              <w:snapToGrid w:val="0"/>
              <w:rPr>
                <w:rFonts w:eastAsia="MS PGothic"/>
                <w:szCs w:val="17"/>
                <w:lang w:eastAsia="ja-JP"/>
              </w:rPr>
            </w:pPr>
          </w:p>
        </w:tc>
        <w:tc>
          <w:tcPr>
            <w:tcW w:w="915" w:type="dxa"/>
            <w:tcBorders>
              <w:top w:val="single" w:sz="6" w:space="0" w:color="BCBDBC"/>
              <w:left w:val="single" w:sz="6" w:space="0" w:color="auto"/>
              <w:bottom w:val="single" w:sz="6" w:space="0" w:color="BCBDBC"/>
              <w:right w:val="single" w:sz="6" w:space="0" w:color="auto"/>
            </w:tcBorders>
            <w:noWrap/>
            <w:vAlign w:val="center"/>
          </w:tcPr>
          <w:p w14:paraId="110A488D" w14:textId="77777777" w:rsidR="00267CBD" w:rsidRDefault="00267CBD" w:rsidP="00AB074C">
            <w:pPr>
              <w:pStyle w:val="TableText"/>
              <w:snapToGrid w:val="0"/>
              <w:rPr>
                <w:rFonts w:eastAsia="MS PGothic"/>
                <w:szCs w:val="17"/>
                <w:lang w:eastAsia="ja-JP"/>
              </w:rPr>
            </w:pPr>
          </w:p>
        </w:tc>
        <w:tc>
          <w:tcPr>
            <w:tcW w:w="916" w:type="dxa"/>
            <w:tcBorders>
              <w:top w:val="single" w:sz="6" w:space="0" w:color="BCBDBC"/>
              <w:left w:val="single" w:sz="6" w:space="0" w:color="auto"/>
              <w:bottom w:val="single" w:sz="6" w:space="0" w:color="BCBDBC"/>
              <w:right w:val="single" w:sz="6" w:space="0" w:color="auto"/>
            </w:tcBorders>
            <w:vAlign w:val="center"/>
          </w:tcPr>
          <w:p w14:paraId="528DF894" w14:textId="77777777" w:rsidR="00267CBD" w:rsidRDefault="00267CBD" w:rsidP="00AB074C">
            <w:pPr>
              <w:pStyle w:val="TableText"/>
              <w:snapToGrid w:val="0"/>
              <w:rPr>
                <w:rFonts w:eastAsia="MS PGothic"/>
                <w:szCs w:val="17"/>
                <w:lang w:eastAsia="ja-JP"/>
              </w:rPr>
            </w:pPr>
          </w:p>
        </w:tc>
        <w:tc>
          <w:tcPr>
            <w:tcW w:w="1882" w:type="dxa"/>
            <w:tcBorders>
              <w:left w:val="single" w:sz="6" w:space="0" w:color="auto"/>
              <w:right w:val="single" w:sz="6" w:space="0" w:color="auto"/>
            </w:tcBorders>
            <w:noWrap/>
            <w:vAlign w:val="center"/>
          </w:tcPr>
          <w:p w14:paraId="2B8617D0" w14:textId="77777777" w:rsidR="00267CBD" w:rsidRDefault="00267CBD" w:rsidP="00AB074C">
            <w:pPr>
              <w:pStyle w:val="TableText"/>
              <w:snapToGrid w:val="0"/>
              <w:rPr>
                <w:rFonts w:eastAsia="MS PGothic"/>
                <w:szCs w:val="17"/>
                <w:lang w:eastAsia="ja-JP"/>
              </w:rPr>
            </w:pPr>
          </w:p>
        </w:tc>
      </w:tr>
      <w:tr w:rsidR="00267CBD" w14:paraId="6C748E6B" w14:textId="77777777" w:rsidTr="00267CBD">
        <w:trPr>
          <w:trHeight w:val="283"/>
        </w:trPr>
        <w:tc>
          <w:tcPr>
            <w:tcW w:w="454" w:type="dxa"/>
            <w:tcBorders>
              <w:left w:val="nil"/>
              <w:right w:val="single" w:sz="6" w:space="0" w:color="auto"/>
            </w:tcBorders>
          </w:tcPr>
          <w:p w14:paraId="5682C7F1" w14:textId="77777777" w:rsidR="00267CBD" w:rsidRDefault="00267CBD" w:rsidP="00AB074C">
            <w:pPr>
              <w:pStyle w:val="TableText"/>
              <w:snapToGrid w:val="0"/>
              <w:rPr>
                <w:rFonts w:cs="Segoe UI"/>
                <w:szCs w:val="17"/>
                <w:lang w:eastAsia="en-GB"/>
              </w:rPr>
            </w:pPr>
            <w:r>
              <w:rPr>
                <w:rFonts w:cs="Segoe UI"/>
                <w:szCs w:val="17"/>
                <w:lang w:eastAsia="en-GB"/>
              </w:rPr>
              <w:t>3</w:t>
            </w:r>
          </w:p>
        </w:tc>
        <w:tc>
          <w:tcPr>
            <w:tcW w:w="4294" w:type="dxa"/>
            <w:tcBorders>
              <w:left w:val="nil"/>
              <w:right w:val="single" w:sz="6" w:space="0" w:color="auto"/>
            </w:tcBorders>
            <w:noWrap/>
          </w:tcPr>
          <w:p w14:paraId="723D5C89" w14:textId="77777777" w:rsidR="00267CBD" w:rsidRDefault="00267CBD" w:rsidP="00AB074C">
            <w:pPr>
              <w:pStyle w:val="TableText"/>
              <w:snapToGrid w:val="0"/>
              <w:rPr>
                <w:rFonts w:cs="Segoe UI"/>
                <w:szCs w:val="17"/>
                <w:lang w:eastAsia="en-GB"/>
              </w:rPr>
            </w:pPr>
            <w:r>
              <w:rPr>
                <w:rFonts w:cs="Segoe UI"/>
                <w:szCs w:val="17"/>
                <w:lang w:eastAsia="en-GB"/>
              </w:rPr>
              <w:t>Multilateral development bank exposures</w:t>
            </w:r>
          </w:p>
        </w:tc>
        <w:tc>
          <w:tcPr>
            <w:tcW w:w="915" w:type="dxa"/>
            <w:tcBorders>
              <w:top w:val="single" w:sz="6" w:space="0" w:color="BCBDBC"/>
              <w:left w:val="single" w:sz="6" w:space="0" w:color="auto"/>
              <w:bottom w:val="single" w:sz="6" w:space="0" w:color="BCBDBC"/>
              <w:right w:val="single" w:sz="6" w:space="0" w:color="auto"/>
            </w:tcBorders>
            <w:noWrap/>
            <w:vAlign w:val="center"/>
          </w:tcPr>
          <w:p w14:paraId="3713FADE" w14:textId="77777777" w:rsidR="00267CBD" w:rsidRDefault="00267CBD" w:rsidP="00AB074C">
            <w:pPr>
              <w:pStyle w:val="TableText"/>
              <w:snapToGrid w:val="0"/>
              <w:rPr>
                <w:rFonts w:eastAsia="MS PGothic"/>
                <w:szCs w:val="17"/>
                <w:lang w:eastAsia="ja-JP"/>
              </w:rPr>
            </w:pPr>
          </w:p>
        </w:tc>
        <w:tc>
          <w:tcPr>
            <w:tcW w:w="915" w:type="dxa"/>
            <w:tcBorders>
              <w:top w:val="single" w:sz="6" w:space="0" w:color="BCBDBC"/>
              <w:left w:val="single" w:sz="6" w:space="0" w:color="auto"/>
              <w:bottom w:val="single" w:sz="6" w:space="0" w:color="BCBDBC"/>
              <w:right w:val="single" w:sz="6" w:space="0" w:color="auto"/>
            </w:tcBorders>
            <w:noWrap/>
            <w:vAlign w:val="center"/>
          </w:tcPr>
          <w:p w14:paraId="148BDD4F" w14:textId="77777777" w:rsidR="00267CBD" w:rsidRDefault="00267CBD" w:rsidP="00AB074C">
            <w:pPr>
              <w:pStyle w:val="TableText"/>
              <w:snapToGrid w:val="0"/>
              <w:rPr>
                <w:rFonts w:eastAsia="MS PGothic"/>
                <w:szCs w:val="17"/>
                <w:lang w:eastAsia="ja-JP"/>
              </w:rPr>
            </w:pPr>
          </w:p>
        </w:tc>
        <w:tc>
          <w:tcPr>
            <w:tcW w:w="916" w:type="dxa"/>
            <w:tcBorders>
              <w:top w:val="single" w:sz="6" w:space="0" w:color="BCBDBC"/>
              <w:left w:val="single" w:sz="6" w:space="0" w:color="auto"/>
              <w:bottom w:val="single" w:sz="6" w:space="0" w:color="BCBDBC"/>
              <w:right w:val="single" w:sz="6" w:space="0" w:color="auto"/>
            </w:tcBorders>
            <w:noWrap/>
            <w:vAlign w:val="center"/>
          </w:tcPr>
          <w:p w14:paraId="54B5DE30" w14:textId="77777777" w:rsidR="00267CBD" w:rsidRDefault="00267CBD" w:rsidP="00AB074C">
            <w:pPr>
              <w:pStyle w:val="TableText"/>
              <w:snapToGrid w:val="0"/>
              <w:rPr>
                <w:rFonts w:eastAsia="MS PGothic"/>
                <w:szCs w:val="17"/>
                <w:lang w:eastAsia="ja-JP"/>
              </w:rPr>
            </w:pPr>
          </w:p>
        </w:tc>
        <w:tc>
          <w:tcPr>
            <w:tcW w:w="915" w:type="dxa"/>
            <w:tcBorders>
              <w:top w:val="single" w:sz="6" w:space="0" w:color="BCBDBC"/>
              <w:left w:val="single" w:sz="6" w:space="0" w:color="auto"/>
              <w:bottom w:val="single" w:sz="6" w:space="0" w:color="BCBDBC"/>
              <w:right w:val="single" w:sz="6" w:space="0" w:color="auto"/>
            </w:tcBorders>
          </w:tcPr>
          <w:p w14:paraId="6019C402" w14:textId="77777777" w:rsidR="00267CBD" w:rsidRDefault="00267CBD" w:rsidP="00AB074C">
            <w:pPr>
              <w:pStyle w:val="TableText"/>
              <w:snapToGrid w:val="0"/>
              <w:rPr>
                <w:rFonts w:eastAsia="MS PGothic"/>
                <w:szCs w:val="17"/>
                <w:lang w:eastAsia="ja-JP"/>
              </w:rPr>
            </w:pPr>
          </w:p>
        </w:tc>
        <w:tc>
          <w:tcPr>
            <w:tcW w:w="915" w:type="dxa"/>
            <w:tcBorders>
              <w:top w:val="single" w:sz="6" w:space="0" w:color="BCBDBC"/>
              <w:left w:val="single" w:sz="6" w:space="0" w:color="auto"/>
              <w:bottom w:val="single" w:sz="6" w:space="0" w:color="BCBDBC"/>
              <w:right w:val="single" w:sz="6" w:space="0" w:color="auto"/>
            </w:tcBorders>
            <w:noWrap/>
            <w:vAlign w:val="center"/>
          </w:tcPr>
          <w:p w14:paraId="199E914A" w14:textId="77777777" w:rsidR="00267CBD" w:rsidRDefault="00267CBD" w:rsidP="00AB074C">
            <w:pPr>
              <w:pStyle w:val="TableText"/>
              <w:snapToGrid w:val="0"/>
              <w:rPr>
                <w:rFonts w:eastAsia="MS PGothic"/>
                <w:szCs w:val="17"/>
                <w:lang w:eastAsia="ja-JP"/>
              </w:rPr>
            </w:pPr>
          </w:p>
        </w:tc>
        <w:tc>
          <w:tcPr>
            <w:tcW w:w="916" w:type="dxa"/>
            <w:tcBorders>
              <w:top w:val="single" w:sz="6" w:space="0" w:color="BCBDBC"/>
              <w:left w:val="single" w:sz="6" w:space="0" w:color="auto"/>
              <w:bottom w:val="single" w:sz="6" w:space="0" w:color="BCBDBC"/>
              <w:right w:val="single" w:sz="6" w:space="0" w:color="auto"/>
            </w:tcBorders>
            <w:vAlign w:val="center"/>
          </w:tcPr>
          <w:p w14:paraId="73387CAD" w14:textId="77777777" w:rsidR="00267CBD" w:rsidRDefault="00267CBD" w:rsidP="00AB074C">
            <w:pPr>
              <w:pStyle w:val="TableText"/>
              <w:snapToGrid w:val="0"/>
              <w:rPr>
                <w:rFonts w:eastAsia="MS PGothic"/>
                <w:szCs w:val="17"/>
                <w:lang w:eastAsia="ja-JP"/>
              </w:rPr>
            </w:pPr>
          </w:p>
        </w:tc>
        <w:tc>
          <w:tcPr>
            <w:tcW w:w="1882" w:type="dxa"/>
            <w:tcBorders>
              <w:left w:val="single" w:sz="6" w:space="0" w:color="auto"/>
              <w:right w:val="single" w:sz="6" w:space="0" w:color="auto"/>
            </w:tcBorders>
            <w:noWrap/>
            <w:vAlign w:val="center"/>
          </w:tcPr>
          <w:p w14:paraId="5913ECE9" w14:textId="77777777" w:rsidR="00267CBD" w:rsidRDefault="00267CBD" w:rsidP="00AB074C">
            <w:pPr>
              <w:pStyle w:val="TableText"/>
              <w:snapToGrid w:val="0"/>
              <w:rPr>
                <w:rFonts w:eastAsia="MS PGothic"/>
                <w:szCs w:val="17"/>
                <w:lang w:eastAsia="ja-JP"/>
              </w:rPr>
            </w:pPr>
          </w:p>
        </w:tc>
      </w:tr>
      <w:tr w:rsidR="00267CBD" w14:paraId="41066E49" w14:textId="77777777" w:rsidTr="00267CBD">
        <w:trPr>
          <w:trHeight w:val="283"/>
        </w:trPr>
        <w:tc>
          <w:tcPr>
            <w:tcW w:w="454" w:type="dxa"/>
            <w:tcBorders>
              <w:left w:val="nil"/>
              <w:right w:val="single" w:sz="6" w:space="0" w:color="auto"/>
            </w:tcBorders>
          </w:tcPr>
          <w:p w14:paraId="4E888EAA" w14:textId="77777777" w:rsidR="00267CBD" w:rsidRPr="00875337" w:rsidRDefault="00267CBD" w:rsidP="00AB074C">
            <w:pPr>
              <w:pStyle w:val="TableText"/>
              <w:snapToGrid w:val="0"/>
              <w:rPr>
                <w:rFonts w:cs="Segoe UI"/>
                <w:szCs w:val="17"/>
                <w:lang w:eastAsia="en-GB"/>
              </w:rPr>
            </w:pPr>
            <w:r w:rsidRPr="00875337">
              <w:rPr>
                <w:rFonts w:cs="Segoe UI"/>
                <w:szCs w:val="17"/>
                <w:lang w:eastAsia="en-GB"/>
              </w:rPr>
              <w:t>4</w:t>
            </w:r>
          </w:p>
        </w:tc>
        <w:tc>
          <w:tcPr>
            <w:tcW w:w="4294" w:type="dxa"/>
            <w:tcBorders>
              <w:left w:val="nil"/>
              <w:right w:val="single" w:sz="6" w:space="0" w:color="auto"/>
            </w:tcBorders>
            <w:noWrap/>
          </w:tcPr>
          <w:p w14:paraId="67D5E9E5" w14:textId="77777777" w:rsidR="00267CBD" w:rsidRDefault="00267CBD" w:rsidP="00AB074C">
            <w:pPr>
              <w:pStyle w:val="TableText"/>
              <w:snapToGrid w:val="0"/>
              <w:rPr>
                <w:rFonts w:cs="Segoe UI"/>
                <w:szCs w:val="17"/>
                <w:lang w:eastAsia="en-GB"/>
              </w:rPr>
            </w:pPr>
            <w:r w:rsidRPr="00695038">
              <w:rPr>
                <w:rFonts w:cs="Segoe UI"/>
                <w:szCs w:val="17"/>
                <w:lang w:eastAsia="en-GB"/>
              </w:rPr>
              <w:t>Unspecified multilateral body exposures</w:t>
            </w:r>
          </w:p>
        </w:tc>
        <w:tc>
          <w:tcPr>
            <w:tcW w:w="915" w:type="dxa"/>
            <w:tcBorders>
              <w:top w:val="single" w:sz="6" w:space="0" w:color="BCBDBC"/>
              <w:left w:val="single" w:sz="6" w:space="0" w:color="auto"/>
              <w:bottom w:val="single" w:sz="6" w:space="0" w:color="BCBDBC"/>
              <w:right w:val="single" w:sz="6" w:space="0" w:color="auto"/>
            </w:tcBorders>
            <w:noWrap/>
            <w:vAlign w:val="center"/>
          </w:tcPr>
          <w:p w14:paraId="147AE3BD" w14:textId="77777777" w:rsidR="00267CBD" w:rsidRDefault="00267CBD" w:rsidP="00AB074C">
            <w:pPr>
              <w:pStyle w:val="TableText"/>
              <w:snapToGrid w:val="0"/>
              <w:rPr>
                <w:rFonts w:eastAsia="MS PGothic"/>
                <w:szCs w:val="17"/>
                <w:lang w:eastAsia="ja-JP"/>
              </w:rPr>
            </w:pPr>
          </w:p>
        </w:tc>
        <w:tc>
          <w:tcPr>
            <w:tcW w:w="915" w:type="dxa"/>
            <w:tcBorders>
              <w:top w:val="single" w:sz="6" w:space="0" w:color="BCBDBC"/>
              <w:left w:val="single" w:sz="6" w:space="0" w:color="auto"/>
              <w:bottom w:val="single" w:sz="6" w:space="0" w:color="BCBDBC"/>
              <w:right w:val="single" w:sz="6" w:space="0" w:color="auto"/>
            </w:tcBorders>
            <w:noWrap/>
            <w:vAlign w:val="center"/>
          </w:tcPr>
          <w:p w14:paraId="497F9291" w14:textId="77777777" w:rsidR="00267CBD" w:rsidRDefault="00267CBD" w:rsidP="00AB074C">
            <w:pPr>
              <w:pStyle w:val="TableText"/>
              <w:snapToGrid w:val="0"/>
              <w:rPr>
                <w:rFonts w:eastAsia="MS PGothic"/>
                <w:szCs w:val="17"/>
                <w:lang w:eastAsia="ja-JP"/>
              </w:rPr>
            </w:pPr>
          </w:p>
        </w:tc>
        <w:tc>
          <w:tcPr>
            <w:tcW w:w="916" w:type="dxa"/>
            <w:tcBorders>
              <w:top w:val="single" w:sz="6" w:space="0" w:color="BCBDBC"/>
              <w:left w:val="single" w:sz="6" w:space="0" w:color="auto"/>
              <w:bottom w:val="single" w:sz="6" w:space="0" w:color="BCBDBC"/>
              <w:right w:val="single" w:sz="6" w:space="0" w:color="auto"/>
            </w:tcBorders>
            <w:noWrap/>
            <w:vAlign w:val="center"/>
          </w:tcPr>
          <w:p w14:paraId="3E269466" w14:textId="77777777" w:rsidR="00267CBD" w:rsidRDefault="00267CBD" w:rsidP="00AB074C">
            <w:pPr>
              <w:pStyle w:val="TableText"/>
              <w:snapToGrid w:val="0"/>
              <w:rPr>
                <w:rFonts w:eastAsia="MS PGothic"/>
                <w:szCs w:val="17"/>
                <w:lang w:eastAsia="ja-JP"/>
              </w:rPr>
            </w:pPr>
          </w:p>
        </w:tc>
        <w:tc>
          <w:tcPr>
            <w:tcW w:w="915" w:type="dxa"/>
            <w:tcBorders>
              <w:top w:val="single" w:sz="6" w:space="0" w:color="BCBDBC"/>
              <w:left w:val="single" w:sz="6" w:space="0" w:color="auto"/>
              <w:bottom w:val="single" w:sz="6" w:space="0" w:color="BCBDBC"/>
              <w:right w:val="single" w:sz="6" w:space="0" w:color="auto"/>
            </w:tcBorders>
          </w:tcPr>
          <w:p w14:paraId="6917F115" w14:textId="77777777" w:rsidR="00267CBD" w:rsidRDefault="00267CBD" w:rsidP="00AB074C">
            <w:pPr>
              <w:pStyle w:val="TableText"/>
              <w:snapToGrid w:val="0"/>
              <w:rPr>
                <w:rFonts w:eastAsia="MS PGothic"/>
                <w:szCs w:val="17"/>
                <w:lang w:eastAsia="ja-JP"/>
              </w:rPr>
            </w:pPr>
          </w:p>
        </w:tc>
        <w:tc>
          <w:tcPr>
            <w:tcW w:w="915" w:type="dxa"/>
            <w:tcBorders>
              <w:top w:val="single" w:sz="6" w:space="0" w:color="BCBDBC"/>
              <w:left w:val="single" w:sz="6" w:space="0" w:color="auto"/>
              <w:bottom w:val="single" w:sz="6" w:space="0" w:color="BCBDBC"/>
              <w:right w:val="single" w:sz="6" w:space="0" w:color="auto"/>
            </w:tcBorders>
            <w:noWrap/>
            <w:vAlign w:val="center"/>
          </w:tcPr>
          <w:p w14:paraId="525328CE" w14:textId="77777777" w:rsidR="00267CBD" w:rsidRDefault="00267CBD" w:rsidP="00AB074C">
            <w:pPr>
              <w:pStyle w:val="TableText"/>
              <w:snapToGrid w:val="0"/>
              <w:rPr>
                <w:rFonts w:eastAsia="MS PGothic"/>
                <w:szCs w:val="17"/>
                <w:lang w:eastAsia="ja-JP"/>
              </w:rPr>
            </w:pPr>
          </w:p>
        </w:tc>
        <w:tc>
          <w:tcPr>
            <w:tcW w:w="916" w:type="dxa"/>
            <w:tcBorders>
              <w:top w:val="single" w:sz="6" w:space="0" w:color="BCBDBC"/>
              <w:left w:val="single" w:sz="6" w:space="0" w:color="auto"/>
              <w:bottom w:val="single" w:sz="6" w:space="0" w:color="BCBDBC"/>
              <w:right w:val="single" w:sz="6" w:space="0" w:color="auto"/>
            </w:tcBorders>
            <w:vAlign w:val="center"/>
          </w:tcPr>
          <w:p w14:paraId="5B5141A6" w14:textId="77777777" w:rsidR="00267CBD" w:rsidRDefault="00267CBD" w:rsidP="00AB074C">
            <w:pPr>
              <w:pStyle w:val="TableText"/>
              <w:snapToGrid w:val="0"/>
              <w:rPr>
                <w:rFonts w:eastAsia="MS PGothic"/>
                <w:szCs w:val="17"/>
                <w:lang w:eastAsia="ja-JP"/>
              </w:rPr>
            </w:pPr>
          </w:p>
        </w:tc>
        <w:tc>
          <w:tcPr>
            <w:tcW w:w="1882" w:type="dxa"/>
            <w:tcBorders>
              <w:left w:val="single" w:sz="6" w:space="0" w:color="auto"/>
              <w:right w:val="single" w:sz="6" w:space="0" w:color="auto"/>
            </w:tcBorders>
            <w:noWrap/>
            <w:vAlign w:val="center"/>
          </w:tcPr>
          <w:p w14:paraId="57505CD6" w14:textId="77777777" w:rsidR="00267CBD" w:rsidRDefault="00267CBD" w:rsidP="00AB074C">
            <w:pPr>
              <w:pStyle w:val="TableText"/>
              <w:snapToGrid w:val="0"/>
              <w:rPr>
                <w:rFonts w:eastAsia="MS PGothic"/>
                <w:szCs w:val="17"/>
                <w:lang w:eastAsia="ja-JP"/>
              </w:rPr>
            </w:pPr>
          </w:p>
        </w:tc>
      </w:tr>
      <w:tr w:rsidR="00267CBD" w14:paraId="2645457C" w14:textId="77777777" w:rsidTr="00267CBD">
        <w:trPr>
          <w:trHeight w:val="283"/>
        </w:trPr>
        <w:tc>
          <w:tcPr>
            <w:tcW w:w="454" w:type="dxa"/>
            <w:tcBorders>
              <w:left w:val="nil"/>
              <w:right w:val="single" w:sz="6" w:space="0" w:color="auto"/>
            </w:tcBorders>
          </w:tcPr>
          <w:p w14:paraId="2EC1B99E" w14:textId="13C96E8A" w:rsidR="00267CBD" w:rsidRPr="00875337" w:rsidRDefault="00267CBD" w:rsidP="00AB074C">
            <w:pPr>
              <w:pStyle w:val="TableText"/>
              <w:snapToGrid w:val="0"/>
              <w:rPr>
                <w:rFonts w:cs="Segoe UI"/>
                <w:szCs w:val="17"/>
                <w:lang w:eastAsia="en-GB"/>
              </w:rPr>
            </w:pPr>
            <w:r w:rsidRPr="00875337">
              <w:rPr>
                <w:rFonts w:cs="Segoe UI"/>
                <w:szCs w:val="17"/>
                <w:lang w:eastAsia="en-GB"/>
              </w:rPr>
              <w:t>5</w:t>
            </w:r>
          </w:p>
        </w:tc>
        <w:tc>
          <w:tcPr>
            <w:tcW w:w="4294" w:type="dxa"/>
            <w:tcBorders>
              <w:left w:val="nil"/>
              <w:right w:val="single" w:sz="6" w:space="0" w:color="auto"/>
            </w:tcBorders>
            <w:noWrap/>
          </w:tcPr>
          <w:p w14:paraId="58FAA6BB" w14:textId="77777777" w:rsidR="00267CBD" w:rsidRDefault="00267CBD" w:rsidP="00AB074C">
            <w:pPr>
              <w:pStyle w:val="TableText"/>
              <w:snapToGrid w:val="0"/>
              <w:rPr>
                <w:rFonts w:cs="Segoe UI"/>
                <w:szCs w:val="17"/>
                <w:lang w:eastAsia="en-GB"/>
              </w:rPr>
            </w:pPr>
            <w:r>
              <w:rPr>
                <w:rFonts w:cs="Segoe UI"/>
                <w:szCs w:val="17"/>
                <w:lang w:eastAsia="en-GB"/>
              </w:rPr>
              <w:t>Bank exposures</w:t>
            </w:r>
          </w:p>
        </w:tc>
        <w:tc>
          <w:tcPr>
            <w:tcW w:w="915" w:type="dxa"/>
            <w:tcBorders>
              <w:top w:val="single" w:sz="6" w:space="0" w:color="BCBDBC"/>
              <w:left w:val="single" w:sz="6" w:space="0" w:color="auto"/>
              <w:bottom w:val="single" w:sz="6" w:space="0" w:color="BCBDBC"/>
              <w:right w:val="single" w:sz="6" w:space="0" w:color="auto"/>
            </w:tcBorders>
            <w:noWrap/>
            <w:vAlign w:val="center"/>
          </w:tcPr>
          <w:p w14:paraId="22DB46F3" w14:textId="77777777" w:rsidR="00267CBD" w:rsidRDefault="00267CBD" w:rsidP="00AB074C">
            <w:pPr>
              <w:pStyle w:val="TableText"/>
              <w:snapToGrid w:val="0"/>
              <w:rPr>
                <w:rFonts w:eastAsia="MS PGothic"/>
                <w:szCs w:val="17"/>
                <w:lang w:eastAsia="ja-JP"/>
              </w:rPr>
            </w:pPr>
          </w:p>
        </w:tc>
        <w:tc>
          <w:tcPr>
            <w:tcW w:w="915" w:type="dxa"/>
            <w:tcBorders>
              <w:top w:val="single" w:sz="6" w:space="0" w:color="BCBDBC"/>
              <w:left w:val="single" w:sz="6" w:space="0" w:color="auto"/>
              <w:bottom w:val="single" w:sz="6" w:space="0" w:color="BCBDBC"/>
              <w:right w:val="single" w:sz="6" w:space="0" w:color="auto"/>
            </w:tcBorders>
            <w:noWrap/>
            <w:vAlign w:val="center"/>
          </w:tcPr>
          <w:p w14:paraId="513DAB26" w14:textId="77777777" w:rsidR="00267CBD" w:rsidRDefault="00267CBD" w:rsidP="00AB074C">
            <w:pPr>
              <w:pStyle w:val="TableText"/>
              <w:snapToGrid w:val="0"/>
              <w:rPr>
                <w:rFonts w:eastAsia="MS PGothic"/>
                <w:szCs w:val="17"/>
                <w:lang w:eastAsia="ja-JP"/>
              </w:rPr>
            </w:pPr>
          </w:p>
        </w:tc>
        <w:tc>
          <w:tcPr>
            <w:tcW w:w="916" w:type="dxa"/>
            <w:tcBorders>
              <w:top w:val="single" w:sz="6" w:space="0" w:color="BCBDBC"/>
              <w:left w:val="single" w:sz="6" w:space="0" w:color="auto"/>
              <w:bottom w:val="single" w:sz="6" w:space="0" w:color="BCBDBC"/>
              <w:right w:val="single" w:sz="6" w:space="0" w:color="auto"/>
            </w:tcBorders>
            <w:noWrap/>
            <w:vAlign w:val="center"/>
          </w:tcPr>
          <w:p w14:paraId="45DBA699" w14:textId="77777777" w:rsidR="00267CBD" w:rsidRDefault="00267CBD" w:rsidP="00AB074C">
            <w:pPr>
              <w:pStyle w:val="TableText"/>
              <w:snapToGrid w:val="0"/>
              <w:rPr>
                <w:rFonts w:eastAsia="MS PGothic"/>
                <w:szCs w:val="17"/>
                <w:lang w:eastAsia="ja-JP"/>
              </w:rPr>
            </w:pPr>
          </w:p>
        </w:tc>
        <w:tc>
          <w:tcPr>
            <w:tcW w:w="915" w:type="dxa"/>
            <w:tcBorders>
              <w:top w:val="single" w:sz="6" w:space="0" w:color="BCBDBC"/>
              <w:left w:val="single" w:sz="6" w:space="0" w:color="auto"/>
              <w:bottom w:val="single" w:sz="6" w:space="0" w:color="BCBDBC"/>
              <w:right w:val="single" w:sz="6" w:space="0" w:color="auto"/>
            </w:tcBorders>
          </w:tcPr>
          <w:p w14:paraId="1693149A" w14:textId="77777777" w:rsidR="00267CBD" w:rsidRDefault="00267CBD" w:rsidP="00AB074C">
            <w:pPr>
              <w:pStyle w:val="TableText"/>
              <w:snapToGrid w:val="0"/>
              <w:rPr>
                <w:rFonts w:eastAsia="MS PGothic"/>
                <w:szCs w:val="17"/>
                <w:lang w:eastAsia="ja-JP"/>
              </w:rPr>
            </w:pPr>
          </w:p>
        </w:tc>
        <w:tc>
          <w:tcPr>
            <w:tcW w:w="915" w:type="dxa"/>
            <w:tcBorders>
              <w:top w:val="single" w:sz="6" w:space="0" w:color="BCBDBC"/>
              <w:left w:val="single" w:sz="6" w:space="0" w:color="auto"/>
              <w:bottom w:val="single" w:sz="6" w:space="0" w:color="BCBDBC"/>
              <w:right w:val="single" w:sz="6" w:space="0" w:color="auto"/>
            </w:tcBorders>
            <w:noWrap/>
            <w:vAlign w:val="center"/>
          </w:tcPr>
          <w:p w14:paraId="00AE8DE1" w14:textId="77777777" w:rsidR="00267CBD" w:rsidRDefault="00267CBD" w:rsidP="00AB074C">
            <w:pPr>
              <w:pStyle w:val="TableText"/>
              <w:snapToGrid w:val="0"/>
              <w:rPr>
                <w:rFonts w:eastAsia="MS PGothic"/>
                <w:szCs w:val="17"/>
                <w:lang w:eastAsia="ja-JP"/>
              </w:rPr>
            </w:pPr>
          </w:p>
        </w:tc>
        <w:tc>
          <w:tcPr>
            <w:tcW w:w="916" w:type="dxa"/>
            <w:tcBorders>
              <w:top w:val="single" w:sz="6" w:space="0" w:color="BCBDBC"/>
              <w:left w:val="single" w:sz="6" w:space="0" w:color="auto"/>
              <w:bottom w:val="single" w:sz="6" w:space="0" w:color="BCBDBC"/>
              <w:right w:val="single" w:sz="6" w:space="0" w:color="auto"/>
            </w:tcBorders>
            <w:vAlign w:val="center"/>
          </w:tcPr>
          <w:p w14:paraId="4385947B" w14:textId="77777777" w:rsidR="00267CBD" w:rsidRDefault="00267CBD" w:rsidP="00AB074C">
            <w:pPr>
              <w:pStyle w:val="TableText"/>
              <w:snapToGrid w:val="0"/>
              <w:rPr>
                <w:rFonts w:eastAsia="MS PGothic"/>
                <w:szCs w:val="17"/>
                <w:lang w:eastAsia="ja-JP"/>
              </w:rPr>
            </w:pPr>
          </w:p>
        </w:tc>
        <w:tc>
          <w:tcPr>
            <w:tcW w:w="1882" w:type="dxa"/>
            <w:tcBorders>
              <w:left w:val="single" w:sz="6" w:space="0" w:color="auto"/>
              <w:right w:val="single" w:sz="6" w:space="0" w:color="auto"/>
            </w:tcBorders>
            <w:noWrap/>
            <w:vAlign w:val="center"/>
          </w:tcPr>
          <w:p w14:paraId="769DFECF" w14:textId="77777777" w:rsidR="00267CBD" w:rsidRDefault="00267CBD" w:rsidP="00AB074C">
            <w:pPr>
              <w:pStyle w:val="TableText"/>
              <w:snapToGrid w:val="0"/>
              <w:rPr>
                <w:rFonts w:eastAsia="MS PGothic"/>
                <w:szCs w:val="17"/>
                <w:lang w:eastAsia="ja-JP"/>
              </w:rPr>
            </w:pPr>
          </w:p>
        </w:tc>
      </w:tr>
      <w:tr w:rsidR="00267CBD" w14:paraId="62D50BF7" w14:textId="77777777" w:rsidTr="00267CBD">
        <w:trPr>
          <w:trHeight w:val="283"/>
        </w:trPr>
        <w:tc>
          <w:tcPr>
            <w:tcW w:w="454" w:type="dxa"/>
            <w:tcBorders>
              <w:left w:val="nil"/>
              <w:right w:val="single" w:sz="6" w:space="0" w:color="auto"/>
            </w:tcBorders>
          </w:tcPr>
          <w:p w14:paraId="7B50234C" w14:textId="31A24D7F" w:rsidR="00267CBD" w:rsidRPr="00875337" w:rsidRDefault="00267CBD" w:rsidP="00996B02">
            <w:pPr>
              <w:pStyle w:val="TableText"/>
              <w:snapToGrid w:val="0"/>
              <w:rPr>
                <w:rFonts w:cs="Segoe UI"/>
                <w:szCs w:val="17"/>
                <w:lang w:eastAsia="en-GB"/>
              </w:rPr>
            </w:pPr>
            <w:r w:rsidRPr="00875337">
              <w:rPr>
                <w:rFonts w:cs="Segoe UI"/>
                <w:szCs w:val="17"/>
                <w:lang w:eastAsia="en-GB"/>
              </w:rPr>
              <w:t>6</w:t>
            </w:r>
          </w:p>
        </w:tc>
        <w:tc>
          <w:tcPr>
            <w:tcW w:w="4294" w:type="dxa"/>
            <w:tcBorders>
              <w:left w:val="nil"/>
              <w:right w:val="single" w:sz="6" w:space="0" w:color="auto"/>
            </w:tcBorders>
            <w:noWrap/>
          </w:tcPr>
          <w:p w14:paraId="4C671E7C" w14:textId="12823CF1" w:rsidR="00267CBD" w:rsidRDefault="00267CBD" w:rsidP="00676575">
            <w:pPr>
              <w:pStyle w:val="TableText"/>
              <w:snapToGrid w:val="0"/>
              <w:rPr>
                <w:rFonts w:cs="Segoe UI"/>
                <w:szCs w:val="17"/>
                <w:lang w:eastAsia="en-GB"/>
              </w:rPr>
            </w:pPr>
            <w:r>
              <w:rPr>
                <w:rFonts w:cs="Segoe UI"/>
                <w:szCs w:val="17"/>
                <w:lang w:eastAsia="en-GB"/>
              </w:rPr>
              <w:t xml:space="preserve">Other exposures </w:t>
            </w:r>
          </w:p>
        </w:tc>
        <w:tc>
          <w:tcPr>
            <w:tcW w:w="915" w:type="dxa"/>
            <w:tcBorders>
              <w:top w:val="single" w:sz="6" w:space="0" w:color="BCBDBC"/>
              <w:left w:val="single" w:sz="6" w:space="0" w:color="auto"/>
              <w:bottom w:val="single" w:sz="6" w:space="0" w:color="BCBDBC"/>
              <w:right w:val="single" w:sz="6" w:space="0" w:color="auto"/>
            </w:tcBorders>
            <w:noWrap/>
            <w:vAlign w:val="center"/>
          </w:tcPr>
          <w:p w14:paraId="2B0948E6" w14:textId="77777777" w:rsidR="00267CBD" w:rsidRDefault="00267CBD" w:rsidP="00AB074C">
            <w:pPr>
              <w:pStyle w:val="TableText"/>
              <w:snapToGrid w:val="0"/>
              <w:rPr>
                <w:rFonts w:eastAsia="MS PGothic"/>
                <w:szCs w:val="17"/>
                <w:lang w:eastAsia="ja-JP"/>
              </w:rPr>
            </w:pPr>
          </w:p>
        </w:tc>
        <w:tc>
          <w:tcPr>
            <w:tcW w:w="915" w:type="dxa"/>
            <w:tcBorders>
              <w:top w:val="single" w:sz="6" w:space="0" w:color="BCBDBC"/>
              <w:left w:val="single" w:sz="6" w:space="0" w:color="auto"/>
              <w:bottom w:val="single" w:sz="6" w:space="0" w:color="BCBDBC"/>
              <w:right w:val="single" w:sz="6" w:space="0" w:color="auto"/>
            </w:tcBorders>
            <w:noWrap/>
            <w:vAlign w:val="center"/>
          </w:tcPr>
          <w:p w14:paraId="1E3E6ED5" w14:textId="77777777" w:rsidR="00267CBD" w:rsidRDefault="00267CBD" w:rsidP="00AB074C">
            <w:pPr>
              <w:pStyle w:val="TableText"/>
              <w:snapToGrid w:val="0"/>
              <w:rPr>
                <w:rFonts w:eastAsia="MS PGothic"/>
                <w:szCs w:val="17"/>
                <w:lang w:eastAsia="ja-JP"/>
              </w:rPr>
            </w:pPr>
          </w:p>
        </w:tc>
        <w:tc>
          <w:tcPr>
            <w:tcW w:w="916" w:type="dxa"/>
            <w:tcBorders>
              <w:top w:val="single" w:sz="6" w:space="0" w:color="BCBDBC"/>
              <w:left w:val="single" w:sz="6" w:space="0" w:color="auto"/>
              <w:bottom w:val="single" w:sz="6" w:space="0" w:color="BCBDBC"/>
              <w:right w:val="single" w:sz="6" w:space="0" w:color="auto"/>
            </w:tcBorders>
            <w:noWrap/>
            <w:vAlign w:val="center"/>
          </w:tcPr>
          <w:p w14:paraId="5C2E9B99" w14:textId="77777777" w:rsidR="00267CBD" w:rsidRDefault="00267CBD" w:rsidP="00AB074C">
            <w:pPr>
              <w:pStyle w:val="TableText"/>
              <w:snapToGrid w:val="0"/>
              <w:rPr>
                <w:rFonts w:eastAsia="MS PGothic"/>
                <w:szCs w:val="17"/>
                <w:lang w:eastAsia="ja-JP"/>
              </w:rPr>
            </w:pPr>
          </w:p>
        </w:tc>
        <w:tc>
          <w:tcPr>
            <w:tcW w:w="915" w:type="dxa"/>
            <w:tcBorders>
              <w:top w:val="single" w:sz="6" w:space="0" w:color="BCBDBC"/>
              <w:left w:val="single" w:sz="6" w:space="0" w:color="auto"/>
              <w:bottom w:val="single" w:sz="6" w:space="0" w:color="BCBDBC"/>
              <w:right w:val="single" w:sz="6" w:space="0" w:color="auto"/>
            </w:tcBorders>
          </w:tcPr>
          <w:p w14:paraId="03141B98" w14:textId="77777777" w:rsidR="00267CBD" w:rsidRDefault="00267CBD" w:rsidP="00AB074C">
            <w:pPr>
              <w:pStyle w:val="TableText"/>
              <w:snapToGrid w:val="0"/>
              <w:rPr>
                <w:rFonts w:eastAsia="MS PGothic"/>
                <w:szCs w:val="17"/>
                <w:lang w:eastAsia="ja-JP"/>
              </w:rPr>
            </w:pPr>
          </w:p>
        </w:tc>
        <w:tc>
          <w:tcPr>
            <w:tcW w:w="915" w:type="dxa"/>
            <w:tcBorders>
              <w:top w:val="single" w:sz="6" w:space="0" w:color="BCBDBC"/>
              <w:left w:val="single" w:sz="6" w:space="0" w:color="auto"/>
              <w:bottom w:val="single" w:sz="6" w:space="0" w:color="BCBDBC"/>
              <w:right w:val="single" w:sz="6" w:space="0" w:color="auto"/>
            </w:tcBorders>
            <w:noWrap/>
            <w:vAlign w:val="center"/>
          </w:tcPr>
          <w:p w14:paraId="24B66E21" w14:textId="77777777" w:rsidR="00267CBD" w:rsidRDefault="00267CBD" w:rsidP="00AB074C">
            <w:pPr>
              <w:pStyle w:val="TableText"/>
              <w:snapToGrid w:val="0"/>
              <w:rPr>
                <w:rFonts w:eastAsia="MS PGothic"/>
                <w:szCs w:val="17"/>
                <w:lang w:eastAsia="ja-JP"/>
              </w:rPr>
            </w:pPr>
          </w:p>
        </w:tc>
        <w:tc>
          <w:tcPr>
            <w:tcW w:w="916" w:type="dxa"/>
            <w:tcBorders>
              <w:top w:val="single" w:sz="6" w:space="0" w:color="BCBDBC"/>
              <w:left w:val="single" w:sz="6" w:space="0" w:color="auto"/>
              <w:bottom w:val="single" w:sz="6" w:space="0" w:color="BCBDBC"/>
              <w:right w:val="single" w:sz="6" w:space="0" w:color="auto"/>
            </w:tcBorders>
            <w:vAlign w:val="center"/>
          </w:tcPr>
          <w:p w14:paraId="05ABC0B5" w14:textId="77777777" w:rsidR="00267CBD" w:rsidRDefault="00267CBD" w:rsidP="00AB074C">
            <w:pPr>
              <w:pStyle w:val="TableText"/>
              <w:snapToGrid w:val="0"/>
              <w:rPr>
                <w:rFonts w:eastAsia="MS PGothic"/>
                <w:szCs w:val="17"/>
                <w:lang w:eastAsia="ja-JP"/>
              </w:rPr>
            </w:pPr>
          </w:p>
        </w:tc>
        <w:tc>
          <w:tcPr>
            <w:tcW w:w="1882" w:type="dxa"/>
            <w:tcBorders>
              <w:left w:val="single" w:sz="6" w:space="0" w:color="auto"/>
              <w:right w:val="single" w:sz="6" w:space="0" w:color="auto"/>
            </w:tcBorders>
            <w:noWrap/>
            <w:vAlign w:val="center"/>
          </w:tcPr>
          <w:p w14:paraId="290C95A1" w14:textId="77777777" w:rsidR="00267CBD" w:rsidRDefault="00267CBD" w:rsidP="00AB074C">
            <w:pPr>
              <w:pStyle w:val="TableText"/>
              <w:snapToGrid w:val="0"/>
              <w:rPr>
                <w:rFonts w:eastAsia="MS PGothic"/>
                <w:szCs w:val="17"/>
                <w:lang w:eastAsia="ja-JP"/>
              </w:rPr>
            </w:pPr>
          </w:p>
        </w:tc>
      </w:tr>
      <w:tr w:rsidR="00267CBD" w14:paraId="21217C36" w14:textId="77777777" w:rsidTr="00267CBD">
        <w:trPr>
          <w:trHeight w:val="283"/>
        </w:trPr>
        <w:tc>
          <w:tcPr>
            <w:tcW w:w="454" w:type="dxa"/>
            <w:tcBorders>
              <w:left w:val="nil"/>
              <w:bottom w:val="single" w:sz="6" w:space="0" w:color="auto"/>
              <w:right w:val="single" w:sz="6" w:space="0" w:color="auto"/>
            </w:tcBorders>
          </w:tcPr>
          <w:p w14:paraId="124ED66C" w14:textId="6B3BAB1E" w:rsidR="00267CBD" w:rsidRPr="00875337" w:rsidRDefault="00267CBD" w:rsidP="00996B02">
            <w:pPr>
              <w:pStyle w:val="TableText"/>
              <w:snapToGrid w:val="0"/>
              <w:rPr>
                <w:rFonts w:cs="Segoe UI"/>
                <w:szCs w:val="17"/>
                <w:lang w:eastAsia="en-GB"/>
              </w:rPr>
            </w:pPr>
            <w:r>
              <w:rPr>
                <w:rFonts w:cs="Segoe UI"/>
                <w:szCs w:val="17"/>
                <w:lang w:eastAsia="en-GB"/>
              </w:rPr>
              <w:t>7</w:t>
            </w:r>
          </w:p>
        </w:tc>
        <w:tc>
          <w:tcPr>
            <w:tcW w:w="4294" w:type="dxa"/>
            <w:tcBorders>
              <w:left w:val="nil"/>
              <w:bottom w:val="single" w:sz="6" w:space="0" w:color="auto"/>
              <w:right w:val="single" w:sz="6" w:space="0" w:color="auto"/>
            </w:tcBorders>
            <w:noWrap/>
          </w:tcPr>
          <w:p w14:paraId="7584A534" w14:textId="77777777" w:rsidR="00267CBD" w:rsidRDefault="00267CBD" w:rsidP="00AB074C">
            <w:pPr>
              <w:pStyle w:val="TableText"/>
              <w:snapToGrid w:val="0"/>
              <w:rPr>
                <w:rFonts w:cs="Segoe UI"/>
                <w:b/>
                <w:szCs w:val="17"/>
                <w:lang w:eastAsia="en-GB"/>
              </w:rPr>
            </w:pPr>
            <w:r>
              <w:rPr>
                <w:rFonts w:cs="Segoe UI"/>
                <w:b/>
                <w:szCs w:val="17"/>
                <w:lang w:eastAsia="en-GB"/>
              </w:rPr>
              <w:t>Total</w:t>
            </w:r>
          </w:p>
        </w:tc>
        <w:tc>
          <w:tcPr>
            <w:tcW w:w="915" w:type="dxa"/>
            <w:tcBorders>
              <w:top w:val="single" w:sz="6" w:space="0" w:color="BCBDBC"/>
              <w:left w:val="single" w:sz="6" w:space="0" w:color="auto"/>
              <w:bottom w:val="single" w:sz="6" w:space="0" w:color="auto"/>
              <w:right w:val="single" w:sz="6" w:space="0" w:color="auto"/>
            </w:tcBorders>
            <w:noWrap/>
            <w:vAlign w:val="center"/>
          </w:tcPr>
          <w:p w14:paraId="7CC2B007" w14:textId="77777777" w:rsidR="00267CBD" w:rsidRDefault="00267CBD" w:rsidP="00AB074C">
            <w:pPr>
              <w:pStyle w:val="TableText"/>
              <w:snapToGrid w:val="0"/>
              <w:rPr>
                <w:rFonts w:eastAsia="MS PGothic"/>
                <w:szCs w:val="17"/>
                <w:lang w:eastAsia="ja-JP"/>
              </w:rPr>
            </w:pPr>
          </w:p>
        </w:tc>
        <w:tc>
          <w:tcPr>
            <w:tcW w:w="915" w:type="dxa"/>
            <w:tcBorders>
              <w:top w:val="single" w:sz="6" w:space="0" w:color="BCBDBC"/>
              <w:left w:val="single" w:sz="6" w:space="0" w:color="auto"/>
              <w:bottom w:val="single" w:sz="6" w:space="0" w:color="auto"/>
              <w:right w:val="single" w:sz="6" w:space="0" w:color="auto"/>
            </w:tcBorders>
            <w:noWrap/>
            <w:vAlign w:val="center"/>
          </w:tcPr>
          <w:p w14:paraId="53E7EB5C" w14:textId="77777777" w:rsidR="00267CBD" w:rsidRDefault="00267CBD" w:rsidP="00AB074C">
            <w:pPr>
              <w:pStyle w:val="TableText"/>
              <w:snapToGrid w:val="0"/>
              <w:rPr>
                <w:rFonts w:eastAsia="MS PGothic"/>
                <w:szCs w:val="17"/>
                <w:lang w:eastAsia="ja-JP"/>
              </w:rPr>
            </w:pPr>
          </w:p>
        </w:tc>
        <w:tc>
          <w:tcPr>
            <w:tcW w:w="916" w:type="dxa"/>
            <w:tcBorders>
              <w:top w:val="single" w:sz="6" w:space="0" w:color="BCBDBC"/>
              <w:left w:val="single" w:sz="6" w:space="0" w:color="auto"/>
              <w:bottom w:val="single" w:sz="6" w:space="0" w:color="auto"/>
              <w:right w:val="single" w:sz="6" w:space="0" w:color="auto"/>
            </w:tcBorders>
            <w:noWrap/>
            <w:vAlign w:val="center"/>
          </w:tcPr>
          <w:p w14:paraId="033D1B24" w14:textId="77777777" w:rsidR="00267CBD" w:rsidRDefault="00267CBD" w:rsidP="00AB074C">
            <w:pPr>
              <w:pStyle w:val="TableText"/>
              <w:snapToGrid w:val="0"/>
              <w:rPr>
                <w:rFonts w:eastAsia="MS PGothic"/>
                <w:szCs w:val="17"/>
                <w:lang w:eastAsia="ja-JP"/>
              </w:rPr>
            </w:pPr>
          </w:p>
        </w:tc>
        <w:tc>
          <w:tcPr>
            <w:tcW w:w="915" w:type="dxa"/>
            <w:tcBorders>
              <w:top w:val="single" w:sz="6" w:space="0" w:color="BCBDBC"/>
              <w:left w:val="single" w:sz="6" w:space="0" w:color="auto"/>
              <w:bottom w:val="single" w:sz="6" w:space="0" w:color="auto"/>
              <w:right w:val="single" w:sz="6" w:space="0" w:color="auto"/>
            </w:tcBorders>
          </w:tcPr>
          <w:p w14:paraId="5A46EB13" w14:textId="77777777" w:rsidR="00267CBD" w:rsidRDefault="00267CBD" w:rsidP="00AB074C">
            <w:pPr>
              <w:pStyle w:val="TableText"/>
              <w:snapToGrid w:val="0"/>
              <w:rPr>
                <w:rFonts w:eastAsia="MS PGothic"/>
                <w:szCs w:val="17"/>
                <w:lang w:eastAsia="ja-JP"/>
              </w:rPr>
            </w:pPr>
          </w:p>
        </w:tc>
        <w:tc>
          <w:tcPr>
            <w:tcW w:w="915" w:type="dxa"/>
            <w:tcBorders>
              <w:top w:val="single" w:sz="6" w:space="0" w:color="BCBDBC"/>
              <w:left w:val="single" w:sz="6" w:space="0" w:color="auto"/>
              <w:bottom w:val="single" w:sz="6" w:space="0" w:color="auto"/>
              <w:right w:val="single" w:sz="6" w:space="0" w:color="auto"/>
            </w:tcBorders>
            <w:noWrap/>
            <w:vAlign w:val="center"/>
          </w:tcPr>
          <w:p w14:paraId="5853B93B" w14:textId="77777777" w:rsidR="00267CBD" w:rsidRDefault="00267CBD" w:rsidP="00AB074C">
            <w:pPr>
              <w:pStyle w:val="TableText"/>
              <w:snapToGrid w:val="0"/>
              <w:rPr>
                <w:rFonts w:eastAsia="MS PGothic"/>
                <w:szCs w:val="17"/>
                <w:lang w:eastAsia="ja-JP"/>
              </w:rPr>
            </w:pPr>
          </w:p>
        </w:tc>
        <w:tc>
          <w:tcPr>
            <w:tcW w:w="916" w:type="dxa"/>
            <w:tcBorders>
              <w:top w:val="single" w:sz="6" w:space="0" w:color="BCBDBC"/>
              <w:left w:val="single" w:sz="6" w:space="0" w:color="auto"/>
              <w:bottom w:val="single" w:sz="6" w:space="0" w:color="auto"/>
              <w:right w:val="single" w:sz="6" w:space="0" w:color="auto"/>
            </w:tcBorders>
            <w:vAlign w:val="center"/>
          </w:tcPr>
          <w:p w14:paraId="1EF5E347" w14:textId="77777777" w:rsidR="00267CBD" w:rsidRDefault="00267CBD" w:rsidP="00AB074C">
            <w:pPr>
              <w:pStyle w:val="TableText"/>
              <w:snapToGrid w:val="0"/>
              <w:rPr>
                <w:rFonts w:eastAsia="MS PGothic"/>
                <w:szCs w:val="17"/>
                <w:lang w:eastAsia="ja-JP"/>
              </w:rPr>
            </w:pPr>
          </w:p>
        </w:tc>
        <w:tc>
          <w:tcPr>
            <w:tcW w:w="1882" w:type="dxa"/>
            <w:tcBorders>
              <w:left w:val="single" w:sz="6" w:space="0" w:color="auto"/>
              <w:bottom w:val="single" w:sz="6" w:space="0" w:color="auto"/>
              <w:right w:val="single" w:sz="6" w:space="0" w:color="auto"/>
            </w:tcBorders>
            <w:noWrap/>
            <w:vAlign w:val="center"/>
          </w:tcPr>
          <w:p w14:paraId="5A1CE246" w14:textId="77777777" w:rsidR="00267CBD" w:rsidRDefault="00267CBD" w:rsidP="00AB074C">
            <w:pPr>
              <w:pStyle w:val="TableText"/>
              <w:snapToGrid w:val="0"/>
              <w:rPr>
                <w:rFonts w:eastAsia="MS PGothic"/>
                <w:szCs w:val="17"/>
                <w:lang w:eastAsia="ja-JP"/>
              </w:rPr>
            </w:pPr>
          </w:p>
        </w:tc>
      </w:tr>
    </w:tbl>
    <w:p w14:paraId="1CA6E2DC" w14:textId="77777777" w:rsidR="00187ABF" w:rsidRDefault="00187ABF" w:rsidP="00187ABF">
      <w:pPr>
        <w:spacing w:before="40" w:after="40"/>
        <w:rPr>
          <w:u w:val="single"/>
        </w:rPr>
      </w:pP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3325"/>
      </w:tblGrid>
      <w:tr w:rsidR="00187ABF" w14:paraId="15B7178E" w14:textId="77777777" w:rsidTr="00AB074C">
        <w:trPr>
          <w:tblHeader/>
        </w:trPr>
        <w:tc>
          <w:tcPr>
            <w:tcW w:w="13892" w:type="dxa"/>
            <w:gridSpan w:val="2"/>
            <w:shd w:val="clear" w:color="auto" w:fill="BFBFBF"/>
          </w:tcPr>
          <w:p w14:paraId="4959D116" w14:textId="77777777" w:rsidR="00187ABF" w:rsidRDefault="00187ABF" w:rsidP="00AB074C">
            <w:pPr>
              <w:pStyle w:val="TableNote"/>
              <w:keepNext/>
              <w:spacing w:before="40" w:after="40"/>
              <w:rPr>
                <w:rFonts w:eastAsia="新細明體"/>
                <w:b/>
                <w:sz w:val="17"/>
                <w:lang w:eastAsia="en-GB"/>
              </w:rPr>
            </w:pPr>
            <w:r>
              <w:rPr>
                <w:rFonts w:eastAsia="新細明體"/>
                <w:b/>
                <w:sz w:val="17"/>
                <w:lang w:eastAsia="en-GB"/>
              </w:rPr>
              <w:t>Explanatory Note</w:t>
            </w:r>
          </w:p>
        </w:tc>
      </w:tr>
      <w:tr w:rsidR="00187ABF" w14:paraId="64B8A639" w14:textId="77777777" w:rsidTr="00AB074C">
        <w:tc>
          <w:tcPr>
            <w:tcW w:w="13892" w:type="dxa"/>
            <w:gridSpan w:val="2"/>
            <w:shd w:val="clear" w:color="auto" w:fill="F2F2F2"/>
          </w:tcPr>
          <w:p w14:paraId="2C0F5EE8" w14:textId="77777777" w:rsidR="00187ABF" w:rsidRDefault="00187ABF" w:rsidP="00AB074C">
            <w:pPr>
              <w:pStyle w:val="TableNote"/>
              <w:keepNext/>
              <w:spacing w:before="40" w:after="40"/>
              <w:rPr>
                <w:rFonts w:eastAsia="新細明體"/>
                <w:b/>
                <w:sz w:val="17"/>
                <w:lang w:eastAsia="en-GB"/>
              </w:rPr>
            </w:pPr>
            <w:r>
              <w:rPr>
                <w:rFonts w:eastAsia="新細明體"/>
                <w:b/>
                <w:sz w:val="17"/>
                <w:lang w:eastAsia="en-GB"/>
              </w:rPr>
              <w:t>Column</w:t>
            </w:r>
          </w:p>
        </w:tc>
      </w:tr>
      <w:tr w:rsidR="00187ABF" w14:paraId="1C9D474E" w14:textId="77777777" w:rsidTr="00AB074C">
        <w:tc>
          <w:tcPr>
            <w:tcW w:w="567" w:type="dxa"/>
          </w:tcPr>
          <w:p w14:paraId="1ACDBE8A" w14:textId="77777777" w:rsidR="00187ABF" w:rsidRDefault="00187ABF" w:rsidP="00AB074C">
            <w:pPr>
              <w:pStyle w:val="TableNote"/>
              <w:keepNext/>
              <w:spacing w:before="40" w:after="40"/>
              <w:rPr>
                <w:rFonts w:eastAsia="新細明體"/>
                <w:b/>
                <w:sz w:val="17"/>
                <w:lang w:eastAsia="en-GB"/>
              </w:rPr>
            </w:pPr>
            <w:r>
              <w:rPr>
                <w:rFonts w:cs="Segoe UI"/>
                <w:sz w:val="17"/>
                <w:szCs w:val="17"/>
                <w:lang w:eastAsia="en-GB"/>
              </w:rPr>
              <w:t>(i)</w:t>
            </w:r>
          </w:p>
        </w:tc>
        <w:tc>
          <w:tcPr>
            <w:tcW w:w="13325" w:type="dxa"/>
          </w:tcPr>
          <w:p w14:paraId="621361D6" w14:textId="77777777" w:rsidR="00187ABF" w:rsidRDefault="00187ABF" w:rsidP="00AB074C">
            <w:pPr>
              <w:pStyle w:val="TableNote"/>
              <w:keepNext/>
              <w:spacing w:before="40" w:after="40"/>
              <w:rPr>
                <w:rFonts w:eastAsia="新細明體"/>
                <w:b/>
                <w:sz w:val="17"/>
                <w:lang w:eastAsia="en-GB"/>
              </w:rPr>
            </w:pPr>
            <w:r>
              <w:rPr>
                <w:rFonts w:cs="Segoe UI"/>
                <w:sz w:val="17"/>
                <w:szCs w:val="17"/>
                <w:lang w:eastAsia="en-GB"/>
              </w:rPr>
              <w:t>It is the sum of values in columns (a) to (h).</w:t>
            </w:r>
          </w:p>
        </w:tc>
      </w:tr>
      <w:tr w:rsidR="00187ABF" w14:paraId="21200209" w14:textId="77777777" w:rsidTr="00AB074C">
        <w:tc>
          <w:tcPr>
            <w:tcW w:w="13892" w:type="dxa"/>
            <w:gridSpan w:val="2"/>
            <w:shd w:val="clear" w:color="auto" w:fill="F2F2F2"/>
          </w:tcPr>
          <w:p w14:paraId="58C538C7" w14:textId="77777777" w:rsidR="00187ABF" w:rsidRDefault="00187ABF" w:rsidP="00AB074C">
            <w:pPr>
              <w:pStyle w:val="TableNote"/>
              <w:keepNext/>
              <w:spacing w:before="40" w:after="40"/>
              <w:rPr>
                <w:i/>
                <w:sz w:val="17"/>
                <w:szCs w:val="17"/>
              </w:rPr>
            </w:pPr>
            <w:r>
              <w:rPr>
                <w:rFonts w:eastAsia="新細明體"/>
                <w:b/>
                <w:sz w:val="17"/>
                <w:lang w:eastAsia="en-GB"/>
              </w:rPr>
              <w:t>Rows</w:t>
            </w:r>
          </w:p>
        </w:tc>
      </w:tr>
      <w:tr w:rsidR="00187ABF" w14:paraId="22B51A97" w14:textId="77777777" w:rsidTr="00AB074C">
        <w:tc>
          <w:tcPr>
            <w:tcW w:w="567" w:type="dxa"/>
          </w:tcPr>
          <w:p w14:paraId="63FAE1A5" w14:textId="77777777" w:rsidR="00187ABF" w:rsidRDefault="00187ABF" w:rsidP="00AB074C">
            <w:pPr>
              <w:pStyle w:val="TableNote"/>
              <w:keepNext/>
              <w:spacing w:before="40" w:after="40"/>
              <w:rPr>
                <w:rFonts w:cs="Segoe UI"/>
                <w:sz w:val="17"/>
                <w:szCs w:val="17"/>
                <w:lang w:eastAsia="en-GB"/>
              </w:rPr>
            </w:pPr>
            <w:r>
              <w:rPr>
                <w:rFonts w:cs="Segoe UI"/>
                <w:sz w:val="17"/>
                <w:szCs w:val="17"/>
                <w:lang w:eastAsia="en-GB"/>
              </w:rPr>
              <w:t>All</w:t>
            </w:r>
          </w:p>
        </w:tc>
        <w:tc>
          <w:tcPr>
            <w:tcW w:w="13325" w:type="dxa"/>
          </w:tcPr>
          <w:p w14:paraId="2AAF50A2" w14:textId="0B48477F" w:rsidR="00187ABF" w:rsidRDefault="00187ABF" w:rsidP="00B44F55">
            <w:pPr>
              <w:pStyle w:val="TableNote"/>
              <w:keepNext/>
              <w:spacing w:before="40" w:after="40"/>
              <w:rPr>
                <w:i/>
                <w:sz w:val="17"/>
                <w:szCs w:val="17"/>
              </w:rPr>
            </w:pPr>
            <w:r>
              <w:rPr>
                <w:sz w:val="17"/>
                <w:szCs w:val="17"/>
              </w:rPr>
              <w:t>The rows and their respective definitions are aligned with the exposure class used in Part 4 (for the STC approach) or Part 5 (for the BSC approach) of the BCR</w:t>
            </w:r>
            <w:r w:rsidR="00150433">
              <w:rPr>
                <w:sz w:val="17"/>
                <w:szCs w:val="17"/>
              </w:rPr>
              <w:t>,</w:t>
            </w:r>
            <w:r w:rsidR="00150433" w:rsidRPr="00150433">
              <w:rPr>
                <w:sz w:val="17"/>
                <w:szCs w:val="17"/>
              </w:rPr>
              <w:t xml:space="preserve"> whereas “other exposures” comprise any other relevant exposure classes not specified elsewhere in the template. </w:t>
            </w:r>
            <w:r w:rsidR="00B44F55">
              <w:rPr>
                <w:sz w:val="17"/>
                <w:szCs w:val="17"/>
              </w:rPr>
              <w:t xml:space="preserve"> </w:t>
            </w:r>
            <w:r w:rsidR="00150433" w:rsidRPr="00150433">
              <w:rPr>
                <w:sz w:val="17"/>
                <w:szCs w:val="17"/>
              </w:rPr>
              <w:t xml:space="preserve">An AI should report </w:t>
            </w:r>
            <w:r w:rsidR="006F0593">
              <w:rPr>
                <w:sz w:val="17"/>
                <w:szCs w:val="17"/>
              </w:rPr>
              <w:t xml:space="preserve">its default risk exposures in </w:t>
            </w:r>
            <w:r w:rsidR="00150433" w:rsidRPr="00150433">
              <w:rPr>
                <w:sz w:val="17"/>
                <w:szCs w:val="17"/>
              </w:rPr>
              <w:t>the exposure classes to which the counterparties to the derivative contracts and SFTs belong (and, if CRM is taken into account by substitution of risk-weights, to which the CRM belong</w:t>
            </w:r>
            <w:r w:rsidR="00A70C56">
              <w:rPr>
                <w:sz w:val="17"/>
                <w:szCs w:val="17"/>
              </w:rPr>
              <w:t>s</w:t>
            </w:r>
            <w:r w:rsidR="00150433" w:rsidRPr="00150433">
              <w:rPr>
                <w:sz w:val="17"/>
                <w:szCs w:val="17"/>
              </w:rPr>
              <w:t>) while the risk-weights reported should represent the riskiness attributed to the co</w:t>
            </w:r>
            <w:r w:rsidR="00B44F55">
              <w:rPr>
                <w:sz w:val="17"/>
                <w:szCs w:val="17"/>
              </w:rPr>
              <w:t>unterparties or CRM accordingly</w:t>
            </w:r>
            <w:r w:rsidR="003F0147">
              <w:rPr>
                <w:sz w:val="17"/>
                <w:szCs w:val="17"/>
              </w:rPr>
              <w:t>.</w:t>
            </w:r>
          </w:p>
        </w:tc>
      </w:tr>
    </w:tbl>
    <w:p w14:paraId="18C9CE20" w14:textId="77777777" w:rsidR="00187ABF" w:rsidRDefault="00187ABF" w:rsidP="00187ABF">
      <w:pPr>
        <w:pStyle w:val="TableNote"/>
        <w:rPr>
          <w:sz w:val="22"/>
        </w:rPr>
      </w:pPr>
    </w:p>
    <w:p w14:paraId="513DC1C7" w14:textId="77777777" w:rsidR="00063DC0" w:rsidRDefault="00063DC0" w:rsidP="00063DC0">
      <w:pPr>
        <w:spacing w:before="40" w:after="40"/>
        <w:rPr>
          <w:sz w:val="22"/>
        </w:rPr>
      </w:pPr>
    </w:p>
    <w:p w14:paraId="7F5CFDC7" w14:textId="77777777" w:rsidR="00622CAE" w:rsidRDefault="00622CAE" w:rsidP="002A0515">
      <w:pPr>
        <w:spacing w:before="40" w:after="40"/>
        <w:jc w:val="both"/>
        <w:rPr>
          <w:sz w:val="22"/>
        </w:rPr>
        <w:sectPr w:rsidR="00622CAE" w:rsidSect="00622CAE">
          <w:footerReference w:type="default" r:id="rId59"/>
          <w:pgSz w:w="16838" w:h="11906" w:orient="landscape" w:code="9"/>
          <w:pgMar w:top="1797" w:right="1440" w:bottom="1797" w:left="1440" w:header="851" w:footer="737" w:gutter="0"/>
          <w:cols w:space="425"/>
          <w:docGrid w:type="linesAndChars" w:linePitch="360"/>
        </w:sectPr>
      </w:pPr>
    </w:p>
    <w:p w14:paraId="41C3A5FC" w14:textId="46404B64" w:rsidR="002A0515" w:rsidRDefault="002C50CC" w:rsidP="006F6AE4">
      <w:pPr>
        <w:pStyle w:val="Heading2"/>
        <w:ind w:firstLine="596"/>
      </w:pPr>
      <w:r>
        <w:lastRenderedPageBreak/>
        <w:t xml:space="preserve">Template CCR4: </w:t>
      </w:r>
      <w:r w:rsidR="00187ABF" w:rsidRPr="00AF458A">
        <w:t>Counterparty credit risk</w:t>
      </w:r>
      <w:r w:rsidR="00187ABF">
        <w:t xml:space="preserve"> </w:t>
      </w:r>
      <w:r>
        <w:t>exposures (other than those to CCPs) by portfolio and PD range – for IRB approach</w:t>
      </w:r>
    </w:p>
    <w:tbl>
      <w:tblPr>
        <w:tblW w:w="13892" w:type="dxa"/>
        <w:tblInd w:w="108"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552"/>
        <w:gridCol w:w="11340"/>
      </w:tblGrid>
      <w:tr w:rsidR="00187ABF" w14:paraId="08A7B4EA" w14:textId="77777777" w:rsidTr="00AB074C">
        <w:tc>
          <w:tcPr>
            <w:tcW w:w="2552" w:type="dxa"/>
          </w:tcPr>
          <w:p w14:paraId="20AE3E33" w14:textId="77777777" w:rsidR="00187ABF" w:rsidRDefault="00187ABF" w:rsidP="00AB074C">
            <w:pPr>
              <w:spacing w:before="40" w:after="40"/>
              <w:rPr>
                <w:noProof/>
                <w:sz w:val="17"/>
                <w:szCs w:val="17"/>
                <w:lang w:eastAsia="en-GB"/>
              </w:rPr>
            </w:pPr>
            <w:r>
              <w:rPr>
                <w:b/>
                <w:sz w:val="17"/>
                <w:szCs w:val="17"/>
                <w:lang w:eastAsia="en-GB"/>
              </w:rPr>
              <w:t>Purpose:</w:t>
            </w:r>
          </w:p>
        </w:tc>
        <w:tc>
          <w:tcPr>
            <w:tcW w:w="11340" w:type="dxa"/>
          </w:tcPr>
          <w:p w14:paraId="5794F5D4" w14:textId="2B990AAE" w:rsidR="00187ABF" w:rsidRDefault="00187ABF" w:rsidP="00AB074C">
            <w:pPr>
              <w:pStyle w:val="TableText"/>
              <w:jc w:val="both"/>
              <w:rPr>
                <w:lang w:eastAsia="en-GB"/>
              </w:rPr>
            </w:pPr>
            <w:r>
              <w:t xml:space="preserve">To provide all the relevant parameters used for the calculation of </w:t>
            </w:r>
            <w:r w:rsidRPr="00AF458A">
              <w:t>counterparty credit risk</w:t>
            </w:r>
            <w:r>
              <w:t xml:space="preserve"> capital requirements for IRB exposures (other than those to CCPs).</w:t>
            </w:r>
          </w:p>
        </w:tc>
      </w:tr>
      <w:tr w:rsidR="00187ABF" w14:paraId="59EB5441" w14:textId="77777777" w:rsidTr="00AB074C">
        <w:tc>
          <w:tcPr>
            <w:tcW w:w="2552" w:type="dxa"/>
          </w:tcPr>
          <w:p w14:paraId="24D421E4" w14:textId="77777777" w:rsidR="00187ABF" w:rsidRDefault="00187ABF" w:rsidP="00AB074C">
            <w:pPr>
              <w:spacing w:before="40" w:after="40"/>
              <w:rPr>
                <w:b/>
                <w:sz w:val="17"/>
                <w:szCs w:val="17"/>
                <w:lang w:eastAsia="en-GB"/>
              </w:rPr>
            </w:pPr>
            <w:r>
              <w:rPr>
                <w:b/>
                <w:sz w:val="17"/>
                <w:szCs w:val="17"/>
                <w:lang w:eastAsia="en-GB"/>
              </w:rPr>
              <w:t>Scope of application:</w:t>
            </w:r>
          </w:p>
        </w:tc>
        <w:tc>
          <w:tcPr>
            <w:tcW w:w="11340" w:type="dxa"/>
          </w:tcPr>
          <w:p w14:paraId="7924FA19" w14:textId="77777777" w:rsidR="00187ABF" w:rsidRDefault="00187ABF" w:rsidP="00AB074C">
            <w:pPr>
              <w:spacing w:before="40" w:after="40"/>
              <w:jc w:val="both"/>
              <w:rPr>
                <w:sz w:val="17"/>
                <w:lang w:eastAsia="en-GB"/>
              </w:rPr>
            </w:pPr>
            <w:r>
              <w:rPr>
                <w:rFonts w:eastAsia="新細明體"/>
                <w:sz w:val="17"/>
                <w:lang w:eastAsia="en-GB"/>
              </w:rPr>
              <w:t>The template is mandatory for AIs incorporated in Hong Kong that use the IRB approach for some or all of their exposures, irrespective of the approach used to determine their default risk exposure amounts.</w:t>
            </w:r>
          </w:p>
          <w:p w14:paraId="1A9B7BDC" w14:textId="77777777" w:rsidR="00187ABF" w:rsidRDefault="00187ABF" w:rsidP="00AB074C">
            <w:pPr>
              <w:spacing w:before="40" w:after="40"/>
              <w:jc w:val="both"/>
              <w:rPr>
                <w:rFonts w:eastAsia="新細明體"/>
                <w:b/>
                <w:sz w:val="17"/>
                <w:lang w:eastAsia="en-GB"/>
              </w:rPr>
            </w:pPr>
            <w:r>
              <w:rPr>
                <w:sz w:val="17"/>
                <w:lang w:eastAsia="en-GB"/>
              </w:rPr>
              <w:t>An AI should include the key models used at the group-wide level (according to the scope of regulatory consolidation) and explain in a narrative commentary how the scope of models described was determined.  The commentary should include the percentage of RWAs covered by the models for each of the regulatory portfolios.</w:t>
            </w:r>
          </w:p>
        </w:tc>
      </w:tr>
      <w:tr w:rsidR="00187ABF" w14:paraId="3205FEF7" w14:textId="77777777" w:rsidTr="00AB074C">
        <w:trPr>
          <w:trHeight w:val="275"/>
        </w:trPr>
        <w:tc>
          <w:tcPr>
            <w:tcW w:w="2552" w:type="dxa"/>
          </w:tcPr>
          <w:p w14:paraId="340C1755" w14:textId="77777777" w:rsidR="00187ABF" w:rsidRDefault="00187ABF" w:rsidP="00AB074C">
            <w:pPr>
              <w:spacing w:before="40" w:after="40"/>
              <w:rPr>
                <w:b/>
                <w:sz w:val="17"/>
                <w:szCs w:val="17"/>
                <w:lang w:eastAsia="en-GB"/>
              </w:rPr>
            </w:pPr>
            <w:r>
              <w:rPr>
                <w:b/>
                <w:sz w:val="17"/>
                <w:szCs w:val="17"/>
                <w:lang w:eastAsia="en-GB"/>
              </w:rPr>
              <w:t>Content:</w:t>
            </w:r>
          </w:p>
        </w:tc>
        <w:tc>
          <w:tcPr>
            <w:tcW w:w="11340" w:type="dxa"/>
          </w:tcPr>
          <w:p w14:paraId="4EE7E9ED" w14:textId="2FDA5D7D" w:rsidR="00187ABF" w:rsidRDefault="00187ABF" w:rsidP="00AB074C">
            <w:pPr>
              <w:spacing w:before="40" w:after="40"/>
              <w:jc w:val="both"/>
              <w:rPr>
                <w:rFonts w:eastAsia="新細明體"/>
                <w:b/>
                <w:sz w:val="17"/>
                <w:lang w:eastAsia="en-GB"/>
              </w:rPr>
            </w:pPr>
            <w:r>
              <w:rPr>
                <w:rFonts w:eastAsia="新細明體"/>
                <w:sz w:val="17"/>
                <w:lang w:eastAsia="en-GB"/>
              </w:rPr>
              <w:t xml:space="preserve">RWA and parameters used in RWA calculations for exposures to </w:t>
            </w:r>
            <w:r w:rsidRPr="00AF458A">
              <w:rPr>
                <w:rFonts w:eastAsia="新細明體"/>
                <w:sz w:val="17"/>
                <w:lang w:eastAsia="en-GB"/>
              </w:rPr>
              <w:t>counterparty credit risk</w:t>
            </w:r>
            <w:r>
              <w:rPr>
                <w:rFonts w:eastAsia="新細明體"/>
                <w:sz w:val="17"/>
                <w:lang w:eastAsia="en-GB"/>
              </w:rPr>
              <w:t xml:space="preserve"> (excluding exposures cleared through a CCP) and where the IRB approach is used for credit risk calculation.  All disclosures are based on the regulatory scope of consolidation for capital adequacy purposes.</w:t>
            </w:r>
          </w:p>
        </w:tc>
      </w:tr>
      <w:tr w:rsidR="00187ABF" w14:paraId="7F9A2F8A" w14:textId="77777777" w:rsidTr="00AB074C">
        <w:tc>
          <w:tcPr>
            <w:tcW w:w="2552" w:type="dxa"/>
          </w:tcPr>
          <w:p w14:paraId="2B1329B7" w14:textId="77777777" w:rsidR="00187ABF" w:rsidRDefault="00187ABF" w:rsidP="00AB074C">
            <w:pPr>
              <w:spacing w:before="40" w:after="40"/>
              <w:rPr>
                <w:sz w:val="17"/>
                <w:szCs w:val="17"/>
                <w:lang w:eastAsia="en-GB"/>
              </w:rPr>
            </w:pPr>
            <w:r>
              <w:rPr>
                <w:b/>
                <w:sz w:val="17"/>
                <w:szCs w:val="17"/>
                <w:lang w:eastAsia="en-GB"/>
              </w:rPr>
              <w:t>Frequency:</w:t>
            </w:r>
          </w:p>
        </w:tc>
        <w:tc>
          <w:tcPr>
            <w:tcW w:w="11340" w:type="dxa"/>
          </w:tcPr>
          <w:p w14:paraId="19341F1C" w14:textId="77777777" w:rsidR="00187ABF" w:rsidRDefault="00187ABF" w:rsidP="00AB074C">
            <w:pPr>
              <w:pStyle w:val="TableText"/>
              <w:jc w:val="both"/>
              <w:rPr>
                <w:lang w:eastAsia="en-GB"/>
              </w:rPr>
            </w:pPr>
            <w:r>
              <w:rPr>
                <w:lang w:eastAsia="en-GB"/>
              </w:rPr>
              <w:t>Semi-annual.</w:t>
            </w:r>
          </w:p>
        </w:tc>
      </w:tr>
      <w:tr w:rsidR="00187ABF" w14:paraId="3C36493D" w14:textId="77777777" w:rsidTr="00AB074C">
        <w:tc>
          <w:tcPr>
            <w:tcW w:w="2552" w:type="dxa"/>
          </w:tcPr>
          <w:p w14:paraId="591EAE14" w14:textId="77777777" w:rsidR="00187ABF" w:rsidRDefault="00187ABF" w:rsidP="00AB074C">
            <w:pPr>
              <w:spacing w:before="40" w:after="40"/>
              <w:rPr>
                <w:sz w:val="17"/>
                <w:szCs w:val="17"/>
                <w:lang w:eastAsia="en-GB"/>
              </w:rPr>
            </w:pPr>
            <w:r>
              <w:rPr>
                <w:b/>
                <w:sz w:val="17"/>
                <w:szCs w:val="17"/>
                <w:lang w:eastAsia="en-GB"/>
              </w:rPr>
              <w:t>Format:</w:t>
            </w:r>
          </w:p>
        </w:tc>
        <w:tc>
          <w:tcPr>
            <w:tcW w:w="11340" w:type="dxa"/>
          </w:tcPr>
          <w:p w14:paraId="0909134E" w14:textId="77777777" w:rsidR="00187ABF" w:rsidRDefault="00187ABF" w:rsidP="00AB074C">
            <w:pPr>
              <w:pStyle w:val="TableText"/>
              <w:tabs>
                <w:tab w:val="left" w:pos="459"/>
              </w:tabs>
              <w:jc w:val="both"/>
              <w:rPr>
                <w:lang w:eastAsia="en-GB"/>
              </w:rPr>
            </w:pPr>
            <w:r>
              <w:rPr>
                <w:lang w:eastAsia="en-GB"/>
              </w:rPr>
              <w:t xml:space="preserve">Fixed.  </w:t>
            </w:r>
            <w:r>
              <w:rPr>
                <w:rFonts w:eastAsia="新細明體"/>
                <w:lang w:eastAsia="en-GB"/>
              </w:rPr>
              <w:t xml:space="preserve">Where an AI makes use of both the FIRB and AIRB approaches for credit risk, it should disclose the two approaches in separate templates.  For each IRB calculation approach used, the AI should disclose the portfolio types subject to the IRB calculation approaches by major IRB class (which are in line with the classification used in the BCR) as follows:- </w:t>
            </w:r>
            <w:r>
              <w:rPr>
                <w:szCs w:val="17"/>
              </w:rPr>
              <w:t>(i) Sovereign; (ii) Bank; (iii) Corporate; and (iv) Retail.  Divide the table into various sections, one section for each of the IRB classes according to (i) to (iv) aforementioned.</w:t>
            </w:r>
          </w:p>
        </w:tc>
      </w:tr>
      <w:tr w:rsidR="00187ABF" w14:paraId="11DC9D68" w14:textId="77777777" w:rsidTr="00AB074C">
        <w:tc>
          <w:tcPr>
            <w:tcW w:w="2552" w:type="dxa"/>
          </w:tcPr>
          <w:p w14:paraId="09A481F4" w14:textId="77777777" w:rsidR="00187ABF" w:rsidRDefault="00187ABF" w:rsidP="00AB074C">
            <w:pPr>
              <w:spacing w:before="40" w:after="40"/>
              <w:rPr>
                <w:b/>
                <w:sz w:val="17"/>
                <w:szCs w:val="17"/>
                <w:lang w:eastAsia="en-GB"/>
              </w:rPr>
            </w:pPr>
            <w:r>
              <w:rPr>
                <w:rFonts w:eastAsia="新細明體"/>
                <w:b/>
                <w:sz w:val="17"/>
                <w:szCs w:val="17"/>
                <w:lang w:eastAsia="en-GB"/>
              </w:rPr>
              <w:t>Accompanying narrative</w:t>
            </w:r>
            <w:r>
              <w:rPr>
                <w:rFonts w:eastAsia="新細明體"/>
                <w:sz w:val="17"/>
                <w:szCs w:val="17"/>
                <w:lang w:eastAsia="en-GB"/>
              </w:rPr>
              <w:t>:</w:t>
            </w:r>
          </w:p>
        </w:tc>
        <w:tc>
          <w:tcPr>
            <w:tcW w:w="11340" w:type="dxa"/>
          </w:tcPr>
          <w:p w14:paraId="071A2A7C" w14:textId="77777777" w:rsidR="00187ABF" w:rsidRDefault="00187ABF" w:rsidP="00AB074C">
            <w:pPr>
              <w:pStyle w:val="TableText"/>
              <w:jc w:val="both"/>
              <w:rPr>
                <w:noProof/>
                <w:lang w:eastAsia="en-GB"/>
              </w:rPr>
            </w:pPr>
            <w:r>
              <w:rPr>
                <w:szCs w:val="17"/>
                <w:lang w:eastAsia="en-GB"/>
              </w:rPr>
              <w:t>An AI should supplement the template with a narrative commentary to explain any material changes in the current reporting period and the key drivers of such changes.</w:t>
            </w:r>
          </w:p>
        </w:tc>
      </w:tr>
      <w:tr w:rsidR="00187ABF" w14:paraId="2F459351" w14:textId="77777777" w:rsidTr="00AB074C">
        <w:tc>
          <w:tcPr>
            <w:tcW w:w="2552" w:type="dxa"/>
          </w:tcPr>
          <w:p w14:paraId="578F67C3" w14:textId="77777777" w:rsidR="00187ABF" w:rsidRDefault="00187ABF" w:rsidP="00AB074C">
            <w:pPr>
              <w:spacing w:before="40" w:after="40"/>
              <w:rPr>
                <w:rFonts w:eastAsia="新細明體"/>
                <w:b/>
                <w:sz w:val="17"/>
                <w:szCs w:val="17"/>
                <w:lang w:eastAsia="en-GB"/>
              </w:rPr>
            </w:pPr>
            <w:r>
              <w:rPr>
                <w:rFonts w:eastAsia="新細明體"/>
                <w:b/>
                <w:sz w:val="17"/>
                <w:szCs w:val="17"/>
                <w:lang w:eastAsia="en-GB"/>
              </w:rPr>
              <w:t>Corresponding BDR section:</w:t>
            </w:r>
          </w:p>
        </w:tc>
        <w:tc>
          <w:tcPr>
            <w:tcW w:w="11340" w:type="dxa"/>
          </w:tcPr>
          <w:p w14:paraId="338C7A88" w14:textId="77777777" w:rsidR="00187ABF" w:rsidRDefault="00187ABF" w:rsidP="00AB074C">
            <w:pPr>
              <w:pStyle w:val="TableText"/>
              <w:jc w:val="both"/>
              <w:rPr>
                <w:szCs w:val="17"/>
                <w:lang w:eastAsia="en-GB"/>
              </w:rPr>
            </w:pPr>
            <w:r>
              <w:rPr>
                <w:szCs w:val="17"/>
                <w:lang w:eastAsia="en-GB"/>
              </w:rPr>
              <w:t>16Z</w:t>
            </w:r>
          </w:p>
        </w:tc>
      </w:tr>
    </w:tbl>
    <w:p w14:paraId="1B315116" w14:textId="77777777" w:rsidR="00187ABF" w:rsidRDefault="00187ABF" w:rsidP="00187ABF">
      <w:pPr>
        <w:spacing w:before="40" w:after="40"/>
        <w:rPr>
          <w:sz w:val="22"/>
        </w:rPr>
      </w:pPr>
    </w:p>
    <w:p w14:paraId="23E7911A" w14:textId="77777777" w:rsidR="00187ABF" w:rsidRDefault="00187ABF" w:rsidP="00187ABF">
      <w:pPr>
        <w:spacing w:before="40" w:after="40"/>
        <w:rPr>
          <w:sz w:val="22"/>
        </w:rPr>
      </w:pPr>
    </w:p>
    <w:tbl>
      <w:tblPr>
        <w:tblW w:w="13892" w:type="dxa"/>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1276"/>
        <w:gridCol w:w="1985"/>
        <w:gridCol w:w="1518"/>
        <w:gridCol w:w="1519"/>
        <w:gridCol w:w="1519"/>
        <w:gridCol w:w="1518"/>
        <w:gridCol w:w="1519"/>
        <w:gridCol w:w="1519"/>
        <w:gridCol w:w="1519"/>
      </w:tblGrid>
      <w:tr w:rsidR="00187ABF" w14:paraId="4FEE3A5E" w14:textId="77777777" w:rsidTr="00AB074C">
        <w:trPr>
          <w:tblHeader/>
        </w:trPr>
        <w:tc>
          <w:tcPr>
            <w:tcW w:w="1276" w:type="dxa"/>
            <w:tcBorders>
              <w:top w:val="nil"/>
              <w:left w:val="nil"/>
              <w:bottom w:val="nil"/>
              <w:right w:val="single" w:sz="4" w:space="0" w:color="auto"/>
            </w:tcBorders>
          </w:tcPr>
          <w:p w14:paraId="05B65A4E" w14:textId="77777777" w:rsidR="00187ABF" w:rsidRDefault="00187ABF" w:rsidP="00AB074C">
            <w:pPr>
              <w:snapToGrid w:val="0"/>
              <w:jc w:val="center"/>
              <w:rPr>
                <w:b/>
                <w:sz w:val="16"/>
                <w:szCs w:val="16"/>
                <w:lang w:eastAsia="en-GB"/>
              </w:rPr>
            </w:pPr>
          </w:p>
        </w:tc>
        <w:tc>
          <w:tcPr>
            <w:tcW w:w="1985" w:type="dxa"/>
            <w:tcBorders>
              <w:top w:val="single" w:sz="4" w:space="0" w:color="auto"/>
              <w:left w:val="single" w:sz="4" w:space="0" w:color="auto"/>
              <w:bottom w:val="nil"/>
              <w:right w:val="single" w:sz="4" w:space="0" w:color="auto"/>
            </w:tcBorders>
          </w:tcPr>
          <w:p w14:paraId="3FB31D3B" w14:textId="77777777" w:rsidR="00187ABF" w:rsidRDefault="00187ABF" w:rsidP="00AB074C">
            <w:pPr>
              <w:snapToGrid w:val="0"/>
              <w:jc w:val="center"/>
              <w:rPr>
                <w:sz w:val="16"/>
                <w:szCs w:val="16"/>
                <w:lang w:eastAsia="en-GB"/>
              </w:rPr>
            </w:pPr>
          </w:p>
        </w:tc>
        <w:tc>
          <w:tcPr>
            <w:tcW w:w="1518" w:type="dxa"/>
            <w:tcBorders>
              <w:top w:val="single" w:sz="4" w:space="0" w:color="auto"/>
              <w:left w:val="single" w:sz="4" w:space="0" w:color="auto"/>
              <w:bottom w:val="single" w:sz="4" w:space="0" w:color="auto"/>
              <w:right w:val="single" w:sz="4" w:space="0" w:color="auto"/>
            </w:tcBorders>
          </w:tcPr>
          <w:p w14:paraId="5575316E" w14:textId="77777777" w:rsidR="00187ABF" w:rsidRDefault="00187ABF" w:rsidP="00AB074C">
            <w:pPr>
              <w:snapToGrid w:val="0"/>
              <w:jc w:val="center"/>
              <w:rPr>
                <w:sz w:val="16"/>
                <w:szCs w:val="16"/>
                <w:lang w:eastAsia="en-GB"/>
              </w:rPr>
            </w:pPr>
            <w:r>
              <w:rPr>
                <w:sz w:val="16"/>
                <w:szCs w:val="16"/>
                <w:lang w:eastAsia="en-GB"/>
              </w:rPr>
              <w:t>(a)</w:t>
            </w:r>
          </w:p>
        </w:tc>
        <w:tc>
          <w:tcPr>
            <w:tcW w:w="1519" w:type="dxa"/>
            <w:tcBorders>
              <w:top w:val="single" w:sz="4" w:space="0" w:color="auto"/>
              <w:left w:val="single" w:sz="4" w:space="0" w:color="auto"/>
              <w:bottom w:val="single" w:sz="4" w:space="0" w:color="auto"/>
              <w:right w:val="single" w:sz="4" w:space="0" w:color="auto"/>
            </w:tcBorders>
            <w:vAlign w:val="center"/>
          </w:tcPr>
          <w:p w14:paraId="0BF6305E" w14:textId="77777777" w:rsidR="00187ABF" w:rsidRDefault="00187ABF" w:rsidP="00AB074C">
            <w:pPr>
              <w:snapToGrid w:val="0"/>
              <w:jc w:val="center"/>
              <w:rPr>
                <w:sz w:val="16"/>
                <w:szCs w:val="16"/>
                <w:lang w:eastAsia="en-GB"/>
              </w:rPr>
            </w:pPr>
            <w:r>
              <w:rPr>
                <w:sz w:val="16"/>
                <w:szCs w:val="16"/>
                <w:lang w:eastAsia="en-GB"/>
              </w:rPr>
              <w:t>(b)</w:t>
            </w:r>
          </w:p>
        </w:tc>
        <w:tc>
          <w:tcPr>
            <w:tcW w:w="1519" w:type="dxa"/>
            <w:tcBorders>
              <w:top w:val="single" w:sz="4" w:space="0" w:color="auto"/>
              <w:left w:val="single" w:sz="4" w:space="0" w:color="auto"/>
              <w:bottom w:val="single" w:sz="4" w:space="0" w:color="auto"/>
              <w:right w:val="single" w:sz="4" w:space="0" w:color="auto"/>
            </w:tcBorders>
          </w:tcPr>
          <w:p w14:paraId="7EAA2CBC" w14:textId="77777777" w:rsidR="00187ABF" w:rsidRDefault="00187ABF" w:rsidP="00AB074C">
            <w:pPr>
              <w:snapToGrid w:val="0"/>
              <w:jc w:val="center"/>
              <w:rPr>
                <w:sz w:val="16"/>
                <w:szCs w:val="16"/>
                <w:lang w:eastAsia="en-GB"/>
              </w:rPr>
            </w:pPr>
            <w:r>
              <w:rPr>
                <w:sz w:val="16"/>
                <w:szCs w:val="16"/>
                <w:lang w:eastAsia="en-GB"/>
              </w:rPr>
              <w:t>(c)</w:t>
            </w:r>
          </w:p>
        </w:tc>
        <w:tc>
          <w:tcPr>
            <w:tcW w:w="1518" w:type="dxa"/>
            <w:tcBorders>
              <w:top w:val="single" w:sz="4" w:space="0" w:color="auto"/>
              <w:left w:val="single" w:sz="4" w:space="0" w:color="auto"/>
              <w:bottom w:val="single" w:sz="4" w:space="0" w:color="auto"/>
              <w:right w:val="single" w:sz="4" w:space="0" w:color="auto"/>
            </w:tcBorders>
          </w:tcPr>
          <w:p w14:paraId="6183170A" w14:textId="77777777" w:rsidR="00187ABF" w:rsidRDefault="00187ABF" w:rsidP="00AB074C">
            <w:pPr>
              <w:snapToGrid w:val="0"/>
              <w:jc w:val="center"/>
              <w:rPr>
                <w:sz w:val="16"/>
                <w:szCs w:val="16"/>
                <w:lang w:eastAsia="en-GB"/>
              </w:rPr>
            </w:pPr>
            <w:r>
              <w:rPr>
                <w:sz w:val="16"/>
                <w:szCs w:val="16"/>
                <w:lang w:eastAsia="en-GB"/>
              </w:rPr>
              <w:t>(d)</w:t>
            </w:r>
          </w:p>
        </w:tc>
        <w:tc>
          <w:tcPr>
            <w:tcW w:w="1519" w:type="dxa"/>
            <w:tcBorders>
              <w:top w:val="single" w:sz="4" w:space="0" w:color="auto"/>
              <w:left w:val="single" w:sz="4" w:space="0" w:color="auto"/>
              <w:bottom w:val="single" w:sz="4" w:space="0" w:color="auto"/>
              <w:right w:val="single" w:sz="4" w:space="0" w:color="auto"/>
            </w:tcBorders>
            <w:vAlign w:val="center"/>
          </w:tcPr>
          <w:p w14:paraId="7D17C674" w14:textId="77777777" w:rsidR="00187ABF" w:rsidRDefault="00187ABF" w:rsidP="00AB074C">
            <w:pPr>
              <w:snapToGrid w:val="0"/>
              <w:jc w:val="center"/>
              <w:rPr>
                <w:sz w:val="16"/>
                <w:szCs w:val="16"/>
                <w:lang w:eastAsia="en-GB"/>
              </w:rPr>
            </w:pPr>
            <w:r>
              <w:rPr>
                <w:sz w:val="16"/>
                <w:szCs w:val="16"/>
                <w:lang w:eastAsia="en-GB"/>
              </w:rPr>
              <w:t>(e)</w:t>
            </w:r>
          </w:p>
        </w:tc>
        <w:tc>
          <w:tcPr>
            <w:tcW w:w="1519" w:type="dxa"/>
            <w:tcBorders>
              <w:top w:val="single" w:sz="4" w:space="0" w:color="auto"/>
              <w:left w:val="single" w:sz="4" w:space="0" w:color="auto"/>
              <w:bottom w:val="single" w:sz="4" w:space="0" w:color="auto"/>
              <w:right w:val="single" w:sz="4" w:space="0" w:color="auto"/>
            </w:tcBorders>
          </w:tcPr>
          <w:p w14:paraId="14253898" w14:textId="77777777" w:rsidR="00187ABF" w:rsidRDefault="00187ABF" w:rsidP="00AB074C">
            <w:pPr>
              <w:snapToGrid w:val="0"/>
              <w:jc w:val="center"/>
              <w:rPr>
                <w:sz w:val="16"/>
                <w:szCs w:val="16"/>
                <w:lang w:eastAsia="en-GB"/>
              </w:rPr>
            </w:pPr>
            <w:r>
              <w:rPr>
                <w:sz w:val="16"/>
                <w:szCs w:val="16"/>
                <w:lang w:eastAsia="en-GB"/>
              </w:rPr>
              <w:t>(f)</w:t>
            </w:r>
          </w:p>
        </w:tc>
        <w:tc>
          <w:tcPr>
            <w:tcW w:w="1519" w:type="dxa"/>
            <w:tcBorders>
              <w:top w:val="single" w:sz="4" w:space="0" w:color="auto"/>
              <w:left w:val="single" w:sz="4" w:space="0" w:color="auto"/>
              <w:bottom w:val="single" w:sz="4" w:space="0" w:color="auto"/>
              <w:right w:val="single" w:sz="4" w:space="0" w:color="auto"/>
            </w:tcBorders>
          </w:tcPr>
          <w:p w14:paraId="72F8DAC9" w14:textId="77777777" w:rsidR="00187ABF" w:rsidRDefault="00187ABF" w:rsidP="00AB074C">
            <w:pPr>
              <w:snapToGrid w:val="0"/>
              <w:jc w:val="center"/>
              <w:rPr>
                <w:sz w:val="16"/>
                <w:szCs w:val="16"/>
                <w:lang w:eastAsia="en-GB"/>
              </w:rPr>
            </w:pPr>
            <w:r>
              <w:rPr>
                <w:sz w:val="16"/>
                <w:szCs w:val="16"/>
                <w:lang w:eastAsia="en-GB"/>
              </w:rPr>
              <w:t>(g)</w:t>
            </w:r>
          </w:p>
        </w:tc>
      </w:tr>
      <w:tr w:rsidR="00187ABF" w14:paraId="70E10B05" w14:textId="77777777" w:rsidTr="00AB074C">
        <w:trPr>
          <w:tblHeader/>
        </w:trPr>
        <w:tc>
          <w:tcPr>
            <w:tcW w:w="1276" w:type="dxa"/>
            <w:tcBorders>
              <w:top w:val="nil"/>
              <w:left w:val="nil"/>
              <w:bottom w:val="single" w:sz="4" w:space="0" w:color="auto"/>
              <w:right w:val="single" w:sz="4" w:space="0" w:color="auto"/>
            </w:tcBorders>
            <w:vAlign w:val="center"/>
          </w:tcPr>
          <w:p w14:paraId="014210FA" w14:textId="77777777" w:rsidR="00187ABF" w:rsidRDefault="00187ABF" w:rsidP="00AB074C">
            <w:pPr>
              <w:snapToGrid w:val="0"/>
              <w:jc w:val="center"/>
              <w:rPr>
                <w:b/>
                <w:sz w:val="16"/>
                <w:szCs w:val="16"/>
                <w:lang w:eastAsia="en-GB"/>
              </w:rPr>
            </w:pPr>
          </w:p>
        </w:tc>
        <w:tc>
          <w:tcPr>
            <w:tcW w:w="1985" w:type="dxa"/>
            <w:tcBorders>
              <w:top w:val="nil"/>
              <w:left w:val="single" w:sz="4" w:space="0" w:color="auto"/>
              <w:bottom w:val="single" w:sz="4" w:space="0" w:color="auto"/>
              <w:right w:val="single" w:sz="4" w:space="0" w:color="auto"/>
            </w:tcBorders>
          </w:tcPr>
          <w:p w14:paraId="5E91FEB7" w14:textId="77777777" w:rsidR="00187ABF" w:rsidRDefault="00187ABF" w:rsidP="00AB074C">
            <w:pPr>
              <w:snapToGrid w:val="0"/>
              <w:jc w:val="center"/>
              <w:rPr>
                <w:sz w:val="16"/>
                <w:szCs w:val="16"/>
                <w:lang w:eastAsia="en-GB"/>
              </w:rPr>
            </w:pPr>
            <w:r>
              <w:rPr>
                <w:sz w:val="16"/>
                <w:szCs w:val="16"/>
                <w:lang w:eastAsia="en-GB"/>
              </w:rPr>
              <w:t>PD scale</w:t>
            </w:r>
          </w:p>
        </w:tc>
        <w:tc>
          <w:tcPr>
            <w:tcW w:w="1518" w:type="dxa"/>
            <w:tcBorders>
              <w:top w:val="single" w:sz="4" w:space="0" w:color="auto"/>
              <w:left w:val="single" w:sz="4" w:space="0" w:color="auto"/>
              <w:bottom w:val="single" w:sz="4" w:space="0" w:color="auto"/>
              <w:right w:val="single" w:sz="4" w:space="0" w:color="auto"/>
            </w:tcBorders>
            <w:vAlign w:val="center"/>
          </w:tcPr>
          <w:p w14:paraId="21E59FA8" w14:textId="77777777" w:rsidR="00187ABF" w:rsidRDefault="00187ABF" w:rsidP="00AB074C">
            <w:pPr>
              <w:snapToGrid w:val="0"/>
              <w:jc w:val="center"/>
              <w:rPr>
                <w:sz w:val="16"/>
                <w:szCs w:val="16"/>
                <w:lang w:eastAsia="en-GB"/>
              </w:rPr>
            </w:pPr>
            <w:r>
              <w:rPr>
                <w:sz w:val="16"/>
                <w:szCs w:val="16"/>
                <w:lang w:eastAsia="en-GB"/>
              </w:rPr>
              <w:t>EAD post-CRM</w:t>
            </w:r>
          </w:p>
        </w:tc>
        <w:tc>
          <w:tcPr>
            <w:tcW w:w="1519" w:type="dxa"/>
            <w:tcBorders>
              <w:top w:val="single" w:sz="4" w:space="0" w:color="auto"/>
              <w:left w:val="single" w:sz="4" w:space="0" w:color="auto"/>
              <w:bottom w:val="single" w:sz="4" w:space="0" w:color="auto"/>
              <w:right w:val="single" w:sz="4" w:space="0" w:color="auto"/>
            </w:tcBorders>
            <w:vAlign w:val="center"/>
          </w:tcPr>
          <w:p w14:paraId="012AA190" w14:textId="77777777" w:rsidR="00187ABF" w:rsidRDefault="00187ABF" w:rsidP="00AB074C">
            <w:pPr>
              <w:snapToGrid w:val="0"/>
              <w:jc w:val="center"/>
              <w:rPr>
                <w:sz w:val="16"/>
                <w:szCs w:val="16"/>
                <w:lang w:eastAsia="en-GB"/>
              </w:rPr>
            </w:pPr>
            <w:r>
              <w:rPr>
                <w:sz w:val="16"/>
                <w:szCs w:val="16"/>
                <w:lang w:eastAsia="en-GB"/>
              </w:rPr>
              <w:t>Average PD</w:t>
            </w:r>
          </w:p>
        </w:tc>
        <w:tc>
          <w:tcPr>
            <w:tcW w:w="1519" w:type="dxa"/>
            <w:tcBorders>
              <w:top w:val="single" w:sz="4" w:space="0" w:color="auto"/>
              <w:left w:val="single" w:sz="4" w:space="0" w:color="auto"/>
              <w:bottom w:val="single" w:sz="4" w:space="0" w:color="auto"/>
              <w:right w:val="single" w:sz="4" w:space="0" w:color="auto"/>
            </w:tcBorders>
            <w:vAlign w:val="center"/>
          </w:tcPr>
          <w:p w14:paraId="5B84C742" w14:textId="77777777" w:rsidR="00187ABF" w:rsidRDefault="00187ABF" w:rsidP="00AB074C">
            <w:pPr>
              <w:snapToGrid w:val="0"/>
              <w:jc w:val="center"/>
              <w:rPr>
                <w:sz w:val="16"/>
                <w:szCs w:val="16"/>
                <w:lang w:eastAsia="en-GB"/>
              </w:rPr>
            </w:pPr>
            <w:r>
              <w:rPr>
                <w:sz w:val="16"/>
                <w:szCs w:val="16"/>
                <w:lang w:eastAsia="en-GB"/>
              </w:rPr>
              <w:t>Number of obligors</w:t>
            </w:r>
          </w:p>
        </w:tc>
        <w:tc>
          <w:tcPr>
            <w:tcW w:w="1518" w:type="dxa"/>
            <w:tcBorders>
              <w:top w:val="single" w:sz="4" w:space="0" w:color="auto"/>
              <w:left w:val="single" w:sz="4" w:space="0" w:color="auto"/>
              <w:bottom w:val="single" w:sz="4" w:space="0" w:color="auto"/>
              <w:right w:val="single" w:sz="4" w:space="0" w:color="auto"/>
            </w:tcBorders>
            <w:vAlign w:val="center"/>
          </w:tcPr>
          <w:p w14:paraId="0FDD26CB" w14:textId="77777777" w:rsidR="00187ABF" w:rsidRDefault="00187ABF" w:rsidP="00AB074C">
            <w:pPr>
              <w:snapToGrid w:val="0"/>
              <w:jc w:val="center"/>
              <w:rPr>
                <w:sz w:val="16"/>
                <w:szCs w:val="16"/>
                <w:lang w:eastAsia="en-GB"/>
              </w:rPr>
            </w:pPr>
            <w:r>
              <w:rPr>
                <w:sz w:val="16"/>
                <w:szCs w:val="16"/>
                <w:lang w:eastAsia="en-GB"/>
              </w:rPr>
              <w:t>Average LGD</w:t>
            </w:r>
          </w:p>
        </w:tc>
        <w:tc>
          <w:tcPr>
            <w:tcW w:w="1519" w:type="dxa"/>
            <w:tcBorders>
              <w:top w:val="single" w:sz="4" w:space="0" w:color="auto"/>
              <w:left w:val="single" w:sz="4" w:space="0" w:color="auto"/>
              <w:bottom w:val="single" w:sz="4" w:space="0" w:color="auto"/>
              <w:right w:val="single" w:sz="4" w:space="0" w:color="auto"/>
            </w:tcBorders>
            <w:vAlign w:val="center"/>
          </w:tcPr>
          <w:p w14:paraId="3225E355" w14:textId="77777777" w:rsidR="00187ABF" w:rsidRDefault="00187ABF" w:rsidP="00AB074C">
            <w:pPr>
              <w:snapToGrid w:val="0"/>
              <w:jc w:val="center"/>
              <w:rPr>
                <w:sz w:val="16"/>
                <w:szCs w:val="16"/>
                <w:lang w:eastAsia="en-GB"/>
              </w:rPr>
            </w:pPr>
            <w:r>
              <w:rPr>
                <w:sz w:val="16"/>
                <w:szCs w:val="16"/>
                <w:lang w:eastAsia="en-GB"/>
              </w:rPr>
              <w:t>Average maturity</w:t>
            </w:r>
          </w:p>
        </w:tc>
        <w:tc>
          <w:tcPr>
            <w:tcW w:w="1519" w:type="dxa"/>
            <w:tcBorders>
              <w:top w:val="single" w:sz="4" w:space="0" w:color="auto"/>
              <w:left w:val="single" w:sz="4" w:space="0" w:color="auto"/>
              <w:bottom w:val="single" w:sz="4" w:space="0" w:color="auto"/>
              <w:right w:val="single" w:sz="4" w:space="0" w:color="auto"/>
            </w:tcBorders>
            <w:vAlign w:val="center"/>
          </w:tcPr>
          <w:p w14:paraId="728F0672" w14:textId="77777777" w:rsidR="00187ABF" w:rsidRDefault="00187ABF" w:rsidP="00AB074C">
            <w:pPr>
              <w:snapToGrid w:val="0"/>
              <w:jc w:val="center"/>
              <w:rPr>
                <w:sz w:val="16"/>
                <w:szCs w:val="16"/>
                <w:lang w:eastAsia="en-GB"/>
              </w:rPr>
            </w:pPr>
            <w:r>
              <w:rPr>
                <w:sz w:val="16"/>
                <w:szCs w:val="16"/>
                <w:lang w:eastAsia="en-GB"/>
              </w:rPr>
              <w:t>RWA</w:t>
            </w:r>
          </w:p>
        </w:tc>
        <w:tc>
          <w:tcPr>
            <w:tcW w:w="1519" w:type="dxa"/>
            <w:tcBorders>
              <w:top w:val="single" w:sz="4" w:space="0" w:color="auto"/>
              <w:left w:val="single" w:sz="4" w:space="0" w:color="auto"/>
              <w:bottom w:val="single" w:sz="4" w:space="0" w:color="auto"/>
              <w:right w:val="single" w:sz="4" w:space="0" w:color="auto"/>
            </w:tcBorders>
            <w:vAlign w:val="center"/>
          </w:tcPr>
          <w:p w14:paraId="73F74A0F" w14:textId="77777777" w:rsidR="00187ABF" w:rsidRDefault="00187ABF" w:rsidP="00AB074C">
            <w:pPr>
              <w:snapToGrid w:val="0"/>
              <w:jc w:val="center"/>
              <w:rPr>
                <w:sz w:val="16"/>
                <w:szCs w:val="16"/>
                <w:lang w:eastAsia="en-GB"/>
              </w:rPr>
            </w:pPr>
            <w:r>
              <w:rPr>
                <w:sz w:val="16"/>
                <w:szCs w:val="16"/>
                <w:lang w:eastAsia="en-GB"/>
              </w:rPr>
              <w:t>RWA density</w:t>
            </w:r>
          </w:p>
        </w:tc>
      </w:tr>
      <w:tr w:rsidR="00187ABF" w14:paraId="35B94FC1" w14:textId="77777777" w:rsidTr="00AB074C">
        <w:trPr>
          <w:cantSplit/>
        </w:trPr>
        <w:tc>
          <w:tcPr>
            <w:tcW w:w="1276" w:type="dxa"/>
            <w:vMerge w:val="restart"/>
            <w:tcBorders>
              <w:top w:val="single" w:sz="4" w:space="0" w:color="auto"/>
              <w:left w:val="nil"/>
              <w:right w:val="single" w:sz="4" w:space="0" w:color="auto"/>
            </w:tcBorders>
          </w:tcPr>
          <w:p w14:paraId="0470BC7A" w14:textId="77777777" w:rsidR="00187ABF" w:rsidRDefault="00187ABF" w:rsidP="00AB074C">
            <w:pPr>
              <w:snapToGrid w:val="0"/>
              <w:rPr>
                <w:spacing w:val="-16"/>
                <w:sz w:val="16"/>
                <w:szCs w:val="16"/>
                <w:lang w:eastAsia="en-GB"/>
              </w:rPr>
            </w:pPr>
            <w:r>
              <w:rPr>
                <w:sz w:val="16"/>
                <w:szCs w:val="16"/>
                <w:lang w:eastAsia="en-GB"/>
              </w:rPr>
              <w:t>Portfolio (i) – Sovereign</w:t>
            </w:r>
          </w:p>
        </w:tc>
        <w:tc>
          <w:tcPr>
            <w:tcW w:w="1985" w:type="dxa"/>
            <w:tcBorders>
              <w:top w:val="single" w:sz="4" w:space="0" w:color="auto"/>
              <w:left w:val="single" w:sz="4" w:space="0" w:color="auto"/>
              <w:right w:val="single" w:sz="4" w:space="0" w:color="auto"/>
            </w:tcBorders>
          </w:tcPr>
          <w:p w14:paraId="73FB38F5" w14:textId="77777777" w:rsidR="00187ABF" w:rsidRDefault="00187ABF" w:rsidP="00AB074C">
            <w:pPr>
              <w:snapToGrid w:val="0"/>
              <w:jc w:val="center"/>
              <w:rPr>
                <w:sz w:val="16"/>
                <w:szCs w:val="16"/>
                <w:lang w:eastAsia="en-GB"/>
              </w:rPr>
            </w:pPr>
            <w:r>
              <w:rPr>
                <w:sz w:val="16"/>
                <w:szCs w:val="16"/>
                <w:lang w:eastAsia="en-GB"/>
              </w:rPr>
              <w:t>0.00 to &lt; 0.15</w:t>
            </w:r>
          </w:p>
        </w:tc>
        <w:tc>
          <w:tcPr>
            <w:tcW w:w="1518" w:type="dxa"/>
            <w:tcBorders>
              <w:top w:val="single" w:sz="4" w:space="0" w:color="auto"/>
              <w:left w:val="single" w:sz="4" w:space="0" w:color="auto"/>
              <w:right w:val="single" w:sz="4" w:space="0" w:color="auto"/>
            </w:tcBorders>
          </w:tcPr>
          <w:p w14:paraId="07C50864" w14:textId="77777777" w:rsidR="00187ABF" w:rsidRDefault="00187ABF" w:rsidP="00AB074C">
            <w:pPr>
              <w:snapToGrid w:val="0"/>
              <w:rPr>
                <w:sz w:val="16"/>
                <w:szCs w:val="16"/>
                <w:lang w:eastAsia="en-GB"/>
              </w:rPr>
            </w:pPr>
          </w:p>
        </w:tc>
        <w:tc>
          <w:tcPr>
            <w:tcW w:w="1519" w:type="dxa"/>
            <w:tcBorders>
              <w:top w:val="single" w:sz="4" w:space="0" w:color="auto"/>
              <w:left w:val="single" w:sz="4" w:space="0" w:color="auto"/>
              <w:right w:val="single" w:sz="4" w:space="0" w:color="auto"/>
            </w:tcBorders>
          </w:tcPr>
          <w:p w14:paraId="2CDFA1B2" w14:textId="77777777" w:rsidR="00187ABF" w:rsidRDefault="00187ABF" w:rsidP="00AB074C">
            <w:pPr>
              <w:snapToGrid w:val="0"/>
              <w:rPr>
                <w:sz w:val="16"/>
                <w:szCs w:val="16"/>
                <w:lang w:eastAsia="en-GB"/>
              </w:rPr>
            </w:pPr>
          </w:p>
        </w:tc>
        <w:tc>
          <w:tcPr>
            <w:tcW w:w="1519" w:type="dxa"/>
            <w:tcBorders>
              <w:top w:val="single" w:sz="4" w:space="0" w:color="auto"/>
              <w:left w:val="single" w:sz="4" w:space="0" w:color="auto"/>
              <w:right w:val="single" w:sz="4" w:space="0" w:color="auto"/>
            </w:tcBorders>
          </w:tcPr>
          <w:p w14:paraId="1A4AFA70" w14:textId="77777777" w:rsidR="00187ABF" w:rsidRDefault="00187ABF" w:rsidP="00AB074C">
            <w:pPr>
              <w:snapToGrid w:val="0"/>
              <w:rPr>
                <w:sz w:val="16"/>
                <w:szCs w:val="16"/>
                <w:lang w:eastAsia="en-GB"/>
              </w:rPr>
            </w:pPr>
          </w:p>
        </w:tc>
        <w:tc>
          <w:tcPr>
            <w:tcW w:w="1518" w:type="dxa"/>
            <w:tcBorders>
              <w:top w:val="single" w:sz="4" w:space="0" w:color="auto"/>
              <w:left w:val="single" w:sz="4" w:space="0" w:color="auto"/>
              <w:right w:val="single" w:sz="4" w:space="0" w:color="auto"/>
            </w:tcBorders>
          </w:tcPr>
          <w:p w14:paraId="49766D2F" w14:textId="77777777" w:rsidR="00187ABF" w:rsidRDefault="00187ABF" w:rsidP="00AB074C">
            <w:pPr>
              <w:snapToGrid w:val="0"/>
              <w:rPr>
                <w:sz w:val="16"/>
                <w:szCs w:val="16"/>
                <w:lang w:eastAsia="en-GB"/>
              </w:rPr>
            </w:pPr>
          </w:p>
        </w:tc>
        <w:tc>
          <w:tcPr>
            <w:tcW w:w="1519" w:type="dxa"/>
            <w:tcBorders>
              <w:top w:val="single" w:sz="4" w:space="0" w:color="auto"/>
              <w:left w:val="single" w:sz="4" w:space="0" w:color="auto"/>
              <w:right w:val="single" w:sz="4" w:space="0" w:color="auto"/>
            </w:tcBorders>
          </w:tcPr>
          <w:p w14:paraId="5F477D63" w14:textId="77777777" w:rsidR="00187ABF" w:rsidRDefault="00187ABF" w:rsidP="00AB074C">
            <w:pPr>
              <w:snapToGrid w:val="0"/>
              <w:rPr>
                <w:sz w:val="16"/>
                <w:szCs w:val="16"/>
                <w:lang w:eastAsia="en-GB"/>
              </w:rPr>
            </w:pPr>
          </w:p>
        </w:tc>
        <w:tc>
          <w:tcPr>
            <w:tcW w:w="1519" w:type="dxa"/>
            <w:tcBorders>
              <w:top w:val="single" w:sz="4" w:space="0" w:color="auto"/>
              <w:left w:val="single" w:sz="4" w:space="0" w:color="auto"/>
              <w:right w:val="single" w:sz="4" w:space="0" w:color="auto"/>
            </w:tcBorders>
          </w:tcPr>
          <w:p w14:paraId="54A22C96" w14:textId="77777777" w:rsidR="00187ABF" w:rsidRDefault="00187ABF" w:rsidP="00AB074C">
            <w:pPr>
              <w:snapToGrid w:val="0"/>
              <w:rPr>
                <w:sz w:val="16"/>
                <w:szCs w:val="16"/>
                <w:lang w:eastAsia="en-GB"/>
              </w:rPr>
            </w:pPr>
          </w:p>
        </w:tc>
        <w:tc>
          <w:tcPr>
            <w:tcW w:w="1519" w:type="dxa"/>
            <w:tcBorders>
              <w:top w:val="single" w:sz="4" w:space="0" w:color="auto"/>
              <w:left w:val="single" w:sz="4" w:space="0" w:color="auto"/>
              <w:right w:val="single" w:sz="4" w:space="0" w:color="auto"/>
            </w:tcBorders>
          </w:tcPr>
          <w:p w14:paraId="6C95465D" w14:textId="77777777" w:rsidR="00187ABF" w:rsidRDefault="00187ABF" w:rsidP="00AB074C">
            <w:pPr>
              <w:snapToGrid w:val="0"/>
              <w:rPr>
                <w:sz w:val="16"/>
                <w:szCs w:val="16"/>
                <w:lang w:eastAsia="en-GB"/>
              </w:rPr>
            </w:pPr>
          </w:p>
        </w:tc>
      </w:tr>
      <w:tr w:rsidR="00187ABF" w14:paraId="0ED9BBEB" w14:textId="77777777" w:rsidTr="00AB074C">
        <w:trPr>
          <w:cantSplit/>
        </w:trPr>
        <w:tc>
          <w:tcPr>
            <w:tcW w:w="1276" w:type="dxa"/>
            <w:vMerge/>
            <w:tcBorders>
              <w:left w:val="nil"/>
              <w:right w:val="single" w:sz="4" w:space="0" w:color="auto"/>
            </w:tcBorders>
          </w:tcPr>
          <w:p w14:paraId="21355D3B" w14:textId="77777777" w:rsidR="00187ABF" w:rsidRDefault="00187ABF" w:rsidP="00AB074C">
            <w:pPr>
              <w:snapToGrid w:val="0"/>
              <w:rPr>
                <w:sz w:val="16"/>
                <w:szCs w:val="16"/>
                <w:lang w:eastAsia="en-GB"/>
              </w:rPr>
            </w:pPr>
          </w:p>
        </w:tc>
        <w:tc>
          <w:tcPr>
            <w:tcW w:w="1985" w:type="dxa"/>
            <w:tcBorders>
              <w:left w:val="single" w:sz="4" w:space="0" w:color="auto"/>
              <w:right w:val="single" w:sz="4" w:space="0" w:color="auto"/>
            </w:tcBorders>
          </w:tcPr>
          <w:p w14:paraId="17466A2A" w14:textId="77777777" w:rsidR="00187ABF" w:rsidRDefault="00187ABF" w:rsidP="00AB074C">
            <w:pPr>
              <w:snapToGrid w:val="0"/>
              <w:jc w:val="center"/>
              <w:rPr>
                <w:sz w:val="16"/>
                <w:szCs w:val="16"/>
                <w:lang w:eastAsia="en-GB"/>
              </w:rPr>
            </w:pPr>
            <w:r>
              <w:rPr>
                <w:sz w:val="16"/>
                <w:szCs w:val="16"/>
                <w:lang w:eastAsia="en-GB"/>
              </w:rPr>
              <w:t>0.15 to &lt; 0.25</w:t>
            </w:r>
          </w:p>
        </w:tc>
        <w:tc>
          <w:tcPr>
            <w:tcW w:w="1518" w:type="dxa"/>
            <w:tcBorders>
              <w:left w:val="single" w:sz="4" w:space="0" w:color="auto"/>
              <w:right w:val="single" w:sz="4" w:space="0" w:color="auto"/>
            </w:tcBorders>
          </w:tcPr>
          <w:p w14:paraId="03639CE9"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1F874D58"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24AEF360" w14:textId="77777777" w:rsidR="00187ABF" w:rsidRDefault="00187ABF" w:rsidP="00AB074C">
            <w:pPr>
              <w:snapToGrid w:val="0"/>
              <w:rPr>
                <w:sz w:val="16"/>
                <w:szCs w:val="16"/>
                <w:lang w:eastAsia="en-GB"/>
              </w:rPr>
            </w:pPr>
          </w:p>
        </w:tc>
        <w:tc>
          <w:tcPr>
            <w:tcW w:w="1518" w:type="dxa"/>
            <w:tcBorders>
              <w:left w:val="single" w:sz="4" w:space="0" w:color="auto"/>
              <w:right w:val="single" w:sz="4" w:space="0" w:color="auto"/>
            </w:tcBorders>
          </w:tcPr>
          <w:p w14:paraId="66BB6B83"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3F185EED"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24FE77E0"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514994AE" w14:textId="77777777" w:rsidR="00187ABF" w:rsidRDefault="00187ABF" w:rsidP="00AB074C">
            <w:pPr>
              <w:snapToGrid w:val="0"/>
              <w:rPr>
                <w:sz w:val="16"/>
                <w:szCs w:val="16"/>
                <w:lang w:eastAsia="en-GB"/>
              </w:rPr>
            </w:pPr>
          </w:p>
        </w:tc>
      </w:tr>
      <w:tr w:rsidR="00187ABF" w14:paraId="3C6A816E" w14:textId="77777777" w:rsidTr="00AB074C">
        <w:trPr>
          <w:cantSplit/>
        </w:trPr>
        <w:tc>
          <w:tcPr>
            <w:tcW w:w="1276" w:type="dxa"/>
            <w:vMerge/>
            <w:tcBorders>
              <w:left w:val="nil"/>
              <w:right w:val="single" w:sz="4" w:space="0" w:color="auto"/>
            </w:tcBorders>
          </w:tcPr>
          <w:p w14:paraId="520ADEA4" w14:textId="77777777" w:rsidR="00187ABF" w:rsidRDefault="00187ABF" w:rsidP="00AB074C">
            <w:pPr>
              <w:snapToGrid w:val="0"/>
              <w:rPr>
                <w:sz w:val="16"/>
                <w:szCs w:val="16"/>
                <w:lang w:eastAsia="en-GB"/>
              </w:rPr>
            </w:pPr>
          </w:p>
        </w:tc>
        <w:tc>
          <w:tcPr>
            <w:tcW w:w="1985" w:type="dxa"/>
            <w:tcBorders>
              <w:left w:val="single" w:sz="4" w:space="0" w:color="auto"/>
              <w:right w:val="single" w:sz="4" w:space="0" w:color="auto"/>
            </w:tcBorders>
          </w:tcPr>
          <w:p w14:paraId="060C233B" w14:textId="77777777" w:rsidR="00187ABF" w:rsidRDefault="00187ABF" w:rsidP="00AB074C">
            <w:pPr>
              <w:snapToGrid w:val="0"/>
              <w:jc w:val="center"/>
              <w:rPr>
                <w:sz w:val="16"/>
                <w:szCs w:val="16"/>
                <w:lang w:eastAsia="en-GB"/>
              </w:rPr>
            </w:pPr>
            <w:r>
              <w:rPr>
                <w:sz w:val="16"/>
                <w:szCs w:val="16"/>
                <w:lang w:eastAsia="en-GB"/>
              </w:rPr>
              <w:t>0.25 to &lt; 0.50</w:t>
            </w:r>
          </w:p>
        </w:tc>
        <w:tc>
          <w:tcPr>
            <w:tcW w:w="1518" w:type="dxa"/>
            <w:tcBorders>
              <w:left w:val="single" w:sz="4" w:space="0" w:color="auto"/>
              <w:right w:val="single" w:sz="4" w:space="0" w:color="auto"/>
            </w:tcBorders>
          </w:tcPr>
          <w:p w14:paraId="1AB04642"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778411D0"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20AC4F7A" w14:textId="77777777" w:rsidR="00187ABF" w:rsidRDefault="00187ABF" w:rsidP="00AB074C">
            <w:pPr>
              <w:snapToGrid w:val="0"/>
              <w:rPr>
                <w:sz w:val="16"/>
                <w:szCs w:val="16"/>
                <w:lang w:eastAsia="en-GB"/>
              </w:rPr>
            </w:pPr>
          </w:p>
        </w:tc>
        <w:tc>
          <w:tcPr>
            <w:tcW w:w="1518" w:type="dxa"/>
            <w:tcBorders>
              <w:left w:val="single" w:sz="4" w:space="0" w:color="auto"/>
              <w:right w:val="single" w:sz="4" w:space="0" w:color="auto"/>
            </w:tcBorders>
          </w:tcPr>
          <w:p w14:paraId="0D71B8FD"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5ED28831"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4DBFA82D"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4CA3A129" w14:textId="77777777" w:rsidR="00187ABF" w:rsidRDefault="00187ABF" w:rsidP="00AB074C">
            <w:pPr>
              <w:snapToGrid w:val="0"/>
              <w:rPr>
                <w:sz w:val="16"/>
                <w:szCs w:val="16"/>
                <w:lang w:eastAsia="en-GB"/>
              </w:rPr>
            </w:pPr>
          </w:p>
        </w:tc>
      </w:tr>
      <w:tr w:rsidR="00187ABF" w14:paraId="7F082E51" w14:textId="77777777" w:rsidTr="00AB074C">
        <w:trPr>
          <w:cantSplit/>
        </w:trPr>
        <w:tc>
          <w:tcPr>
            <w:tcW w:w="1276" w:type="dxa"/>
            <w:vMerge/>
            <w:tcBorders>
              <w:left w:val="nil"/>
              <w:right w:val="single" w:sz="4" w:space="0" w:color="auto"/>
            </w:tcBorders>
          </w:tcPr>
          <w:p w14:paraId="5CF42323" w14:textId="77777777" w:rsidR="00187ABF" w:rsidRDefault="00187ABF" w:rsidP="00AB074C">
            <w:pPr>
              <w:snapToGrid w:val="0"/>
              <w:rPr>
                <w:sz w:val="16"/>
                <w:szCs w:val="16"/>
                <w:lang w:eastAsia="en-GB"/>
              </w:rPr>
            </w:pPr>
          </w:p>
        </w:tc>
        <w:tc>
          <w:tcPr>
            <w:tcW w:w="1985" w:type="dxa"/>
            <w:tcBorders>
              <w:left w:val="single" w:sz="4" w:space="0" w:color="auto"/>
              <w:right w:val="single" w:sz="4" w:space="0" w:color="auto"/>
            </w:tcBorders>
          </w:tcPr>
          <w:p w14:paraId="1CF4EF2D" w14:textId="77777777" w:rsidR="00187ABF" w:rsidRDefault="00187ABF" w:rsidP="00AB074C">
            <w:pPr>
              <w:snapToGrid w:val="0"/>
              <w:jc w:val="center"/>
              <w:rPr>
                <w:sz w:val="16"/>
                <w:szCs w:val="16"/>
                <w:lang w:eastAsia="en-GB"/>
              </w:rPr>
            </w:pPr>
            <w:r>
              <w:rPr>
                <w:sz w:val="16"/>
                <w:szCs w:val="16"/>
                <w:lang w:eastAsia="en-GB"/>
              </w:rPr>
              <w:t>0.50 to &lt; 0.75</w:t>
            </w:r>
          </w:p>
        </w:tc>
        <w:tc>
          <w:tcPr>
            <w:tcW w:w="1518" w:type="dxa"/>
            <w:tcBorders>
              <w:left w:val="single" w:sz="4" w:space="0" w:color="auto"/>
              <w:right w:val="single" w:sz="4" w:space="0" w:color="auto"/>
            </w:tcBorders>
          </w:tcPr>
          <w:p w14:paraId="7B8855AE"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384BE73A"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52F26F04" w14:textId="77777777" w:rsidR="00187ABF" w:rsidRDefault="00187ABF" w:rsidP="00AB074C">
            <w:pPr>
              <w:snapToGrid w:val="0"/>
              <w:rPr>
                <w:sz w:val="16"/>
                <w:szCs w:val="16"/>
                <w:lang w:eastAsia="en-GB"/>
              </w:rPr>
            </w:pPr>
          </w:p>
        </w:tc>
        <w:tc>
          <w:tcPr>
            <w:tcW w:w="1518" w:type="dxa"/>
            <w:tcBorders>
              <w:left w:val="single" w:sz="4" w:space="0" w:color="auto"/>
              <w:right w:val="single" w:sz="4" w:space="0" w:color="auto"/>
            </w:tcBorders>
          </w:tcPr>
          <w:p w14:paraId="3999C937"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5BC917DF"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4CA5BE7F"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0D89EAFA" w14:textId="77777777" w:rsidR="00187ABF" w:rsidRDefault="00187ABF" w:rsidP="00AB074C">
            <w:pPr>
              <w:snapToGrid w:val="0"/>
              <w:rPr>
                <w:sz w:val="16"/>
                <w:szCs w:val="16"/>
                <w:lang w:eastAsia="en-GB"/>
              </w:rPr>
            </w:pPr>
          </w:p>
        </w:tc>
      </w:tr>
      <w:tr w:rsidR="00187ABF" w14:paraId="6699304C" w14:textId="77777777" w:rsidTr="00AB074C">
        <w:trPr>
          <w:cantSplit/>
        </w:trPr>
        <w:tc>
          <w:tcPr>
            <w:tcW w:w="1276" w:type="dxa"/>
            <w:vMerge/>
            <w:tcBorders>
              <w:left w:val="nil"/>
              <w:right w:val="single" w:sz="4" w:space="0" w:color="auto"/>
            </w:tcBorders>
          </w:tcPr>
          <w:p w14:paraId="77E5CDC9" w14:textId="77777777" w:rsidR="00187ABF" w:rsidRDefault="00187ABF" w:rsidP="00AB074C">
            <w:pPr>
              <w:snapToGrid w:val="0"/>
              <w:rPr>
                <w:sz w:val="16"/>
                <w:szCs w:val="16"/>
                <w:lang w:eastAsia="en-GB"/>
              </w:rPr>
            </w:pPr>
          </w:p>
        </w:tc>
        <w:tc>
          <w:tcPr>
            <w:tcW w:w="1985" w:type="dxa"/>
            <w:tcBorders>
              <w:left w:val="single" w:sz="4" w:space="0" w:color="auto"/>
              <w:right w:val="single" w:sz="4" w:space="0" w:color="auto"/>
            </w:tcBorders>
          </w:tcPr>
          <w:p w14:paraId="46149BAB" w14:textId="77777777" w:rsidR="00187ABF" w:rsidRDefault="00187ABF" w:rsidP="00AB074C">
            <w:pPr>
              <w:snapToGrid w:val="0"/>
              <w:jc w:val="center"/>
              <w:rPr>
                <w:sz w:val="16"/>
                <w:szCs w:val="16"/>
                <w:lang w:eastAsia="en-GB"/>
              </w:rPr>
            </w:pPr>
            <w:r>
              <w:rPr>
                <w:sz w:val="16"/>
                <w:szCs w:val="16"/>
                <w:lang w:eastAsia="en-GB"/>
              </w:rPr>
              <w:t>0.75 to &lt; 2.50</w:t>
            </w:r>
          </w:p>
        </w:tc>
        <w:tc>
          <w:tcPr>
            <w:tcW w:w="1518" w:type="dxa"/>
            <w:tcBorders>
              <w:left w:val="single" w:sz="4" w:space="0" w:color="auto"/>
              <w:right w:val="single" w:sz="4" w:space="0" w:color="auto"/>
            </w:tcBorders>
          </w:tcPr>
          <w:p w14:paraId="1FA4CE82"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10930D79"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74788FEE" w14:textId="77777777" w:rsidR="00187ABF" w:rsidRDefault="00187ABF" w:rsidP="00AB074C">
            <w:pPr>
              <w:snapToGrid w:val="0"/>
              <w:rPr>
                <w:sz w:val="16"/>
                <w:szCs w:val="16"/>
                <w:lang w:eastAsia="en-GB"/>
              </w:rPr>
            </w:pPr>
          </w:p>
        </w:tc>
        <w:tc>
          <w:tcPr>
            <w:tcW w:w="1518" w:type="dxa"/>
            <w:tcBorders>
              <w:left w:val="single" w:sz="4" w:space="0" w:color="auto"/>
              <w:right w:val="single" w:sz="4" w:space="0" w:color="auto"/>
            </w:tcBorders>
          </w:tcPr>
          <w:p w14:paraId="50368769"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56F59AFD"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2747BF91"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068CE77C" w14:textId="77777777" w:rsidR="00187ABF" w:rsidRDefault="00187ABF" w:rsidP="00AB074C">
            <w:pPr>
              <w:snapToGrid w:val="0"/>
              <w:rPr>
                <w:sz w:val="16"/>
                <w:szCs w:val="16"/>
                <w:lang w:eastAsia="en-GB"/>
              </w:rPr>
            </w:pPr>
          </w:p>
        </w:tc>
      </w:tr>
      <w:tr w:rsidR="00187ABF" w14:paraId="2951AB89" w14:textId="77777777" w:rsidTr="00AB074C">
        <w:trPr>
          <w:cantSplit/>
        </w:trPr>
        <w:tc>
          <w:tcPr>
            <w:tcW w:w="1276" w:type="dxa"/>
            <w:vMerge/>
            <w:tcBorders>
              <w:left w:val="nil"/>
              <w:right w:val="single" w:sz="4" w:space="0" w:color="auto"/>
            </w:tcBorders>
          </w:tcPr>
          <w:p w14:paraId="1DDED2EA" w14:textId="77777777" w:rsidR="00187ABF" w:rsidRDefault="00187ABF" w:rsidP="00AB074C">
            <w:pPr>
              <w:snapToGrid w:val="0"/>
              <w:rPr>
                <w:sz w:val="16"/>
                <w:szCs w:val="16"/>
                <w:lang w:eastAsia="en-GB"/>
              </w:rPr>
            </w:pPr>
          </w:p>
        </w:tc>
        <w:tc>
          <w:tcPr>
            <w:tcW w:w="1985" w:type="dxa"/>
            <w:tcBorders>
              <w:left w:val="single" w:sz="4" w:space="0" w:color="auto"/>
              <w:right w:val="single" w:sz="4" w:space="0" w:color="auto"/>
            </w:tcBorders>
          </w:tcPr>
          <w:p w14:paraId="084E25CA" w14:textId="77777777" w:rsidR="00187ABF" w:rsidRDefault="00187ABF" w:rsidP="00AB074C">
            <w:pPr>
              <w:snapToGrid w:val="0"/>
              <w:jc w:val="center"/>
              <w:rPr>
                <w:sz w:val="16"/>
                <w:szCs w:val="16"/>
                <w:lang w:eastAsia="en-GB"/>
              </w:rPr>
            </w:pPr>
            <w:r>
              <w:rPr>
                <w:sz w:val="16"/>
                <w:szCs w:val="16"/>
                <w:lang w:eastAsia="en-GB"/>
              </w:rPr>
              <w:t>2.50 to &lt; 10.00</w:t>
            </w:r>
          </w:p>
        </w:tc>
        <w:tc>
          <w:tcPr>
            <w:tcW w:w="1518" w:type="dxa"/>
            <w:tcBorders>
              <w:left w:val="single" w:sz="4" w:space="0" w:color="auto"/>
              <w:right w:val="single" w:sz="4" w:space="0" w:color="auto"/>
            </w:tcBorders>
          </w:tcPr>
          <w:p w14:paraId="390C7480"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2DDE1C3B"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3CEDD315" w14:textId="77777777" w:rsidR="00187ABF" w:rsidRDefault="00187ABF" w:rsidP="00AB074C">
            <w:pPr>
              <w:snapToGrid w:val="0"/>
              <w:rPr>
                <w:sz w:val="16"/>
                <w:szCs w:val="16"/>
                <w:lang w:eastAsia="en-GB"/>
              </w:rPr>
            </w:pPr>
          </w:p>
        </w:tc>
        <w:tc>
          <w:tcPr>
            <w:tcW w:w="1518" w:type="dxa"/>
            <w:tcBorders>
              <w:left w:val="single" w:sz="4" w:space="0" w:color="auto"/>
              <w:right w:val="single" w:sz="4" w:space="0" w:color="auto"/>
            </w:tcBorders>
          </w:tcPr>
          <w:p w14:paraId="0AC7A9B2"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28C5B5B5"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43D8A264"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68DAB4A9" w14:textId="77777777" w:rsidR="00187ABF" w:rsidRDefault="00187ABF" w:rsidP="00AB074C">
            <w:pPr>
              <w:snapToGrid w:val="0"/>
              <w:rPr>
                <w:sz w:val="16"/>
                <w:szCs w:val="16"/>
                <w:lang w:eastAsia="en-GB"/>
              </w:rPr>
            </w:pPr>
          </w:p>
        </w:tc>
      </w:tr>
      <w:tr w:rsidR="00187ABF" w14:paraId="1CB415CA" w14:textId="77777777" w:rsidTr="00AB074C">
        <w:trPr>
          <w:cantSplit/>
        </w:trPr>
        <w:tc>
          <w:tcPr>
            <w:tcW w:w="1276" w:type="dxa"/>
            <w:vMerge/>
            <w:tcBorders>
              <w:left w:val="nil"/>
              <w:right w:val="single" w:sz="4" w:space="0" w:color="auto"/>
            </w:tcBorders>
          </w:tcPr>
          <w:p w14:paraId="3D2E6F13" w14:textId="77777777" w:rsidR="00187ABF" w:rsidRDefault="00187ABF" w:rsidP="00AB074C">
            <w:pPr>
              <w:snapToGrid w:val="0"/>
              <w:rPr>
                <w:sz w:val="16"/>
                <w:szCs w:val="16"/>
                <w:lang w:eastAsia="en-GB"/>
              </w:rPr>
            </w:pPr>
          </w:p>
        </w:tc>
        <w:tc>
          <w:tcPr>
            <w:tcW w:w="1985" w:type="dxa"/>
            <w:tcBorders>
              <w:left w:val="single" w:sz="4" w:space="0" w:color="auto"/>
              <w:right w:val="single" w:sz="4" w:space="0" w:color="auto"/>
            </w:tcBorders>
          </w:tcPr>
          <w:p w14:paraId="3968109B" w14:textId="77777777" w:rsidR="00187ABF" w:rsidRDefault="00187ABF" w:rsidP="00AB074C">
            <w:pPr>
              <w:snapToGrid w:val="0"/>
              <w:jc w:val="center"/>
              <w:rPr>
                <w:sz w:val="16"/>
                <w:szCs w:val="16"/>
                <w:lang w:eastAsia="en-GB"/>
              </w:rPr>
            </w:pPr>
            <w:r>
              <w:rPr>
                <w:sz w:val="16"/>
                <w:szCs w:val="16"/>
                <w:lang w:eastAsia="en-GB"/>
              </w:rPr>
              <w:t>10.00 to &lt; 100.00</w:t>
            </w:r>
          </w:p>
        </w:tc>
        <w:tc>
          <w:tcPr>
            <w:tcW w:w="1518" w:type="dxa"/>
            <w:tcBorders>
              <w:left w:val="single" w:sz="4" w:space="0" w:color="auto"/>
              <w:right w:val="single" w:sz="4" w:space="0" w:color="auto"/>
            </w:tcBorders>
          </w:tcPr>
          <w:p w14:paraId="6851E8F1"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29624F34"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3B8535B6" w14:textId="77777777" w:rsidR="00187ABF" w:rsidRDefault="00187ABF" w:rsidP="00AB074C">
            <w:pPr>
              <w:snapToGrid w:val="0"/>
              <w:rPr>
                <w:sz w:val="16"/>
                <w:szCs w:val="16"/>
                <w:lang w:eastAsia="en-GB"/>
              </w:rPr>
            </w:pPr>
          </w:p>
        </w:tc>
        <w:tc>
          <w:tcPr>
            <w:tcW w:w="1518" w:type="dxa"/>
            <w:tcBorders>
              <w:left w:val="single" w:sz="4" w:space="0" w:color="auto"/>
              <w:right w:val="single" w:sz="4" w:space="0" w:color="auto"/>
            </w:tcBorders>
          </w:tcPr>
          <w:p w14:paraId="006A6D53"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0DF0B357"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661CCE32"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7A1F4557" w14:textId="77777777" w:rsidR="00187ABF" w:rsidRDefault="00187ABF" w:rsidP="00AB074C">
            <w:pPr>
              <w:snapToGrid w:val="0"/>
              <w:rPr>
                <w:sz w:val="16"/>
                <w:szCs w:val="16"/>
                <w:lang w:eastAsia="en-GB"/>
              </w:rPr>
            </w:pPr>
          </w:p>
        </w:tc>
      </w:tr>
      <w:tr w:rsidR="00187ABF" w14:paraId="1C9A267B" w14:textId="77777777" w:rsidTr="00AB074C">
        <w:trPr>
          <w:cantSplit/>
        </w:trPr>
        <w:tc>
          <w:tcPr>
            <w:tcW w:w="1276" w:type="dxa"/>
            <w:vMerge/>
            <w:tcBorders>
              <w:left w:val="nil"/>
              <w:right w:val="single" w:sz="4" w:space="0" w:color="auto"/>
            </w:tcBorders>
          </w:tcPr>
          <w:p w14:paraId="43B4B189" w14:textId="77777777" w:rsidR="00187ABF" w:rsidRDefault="00187ABF" w:rsidP="00AB074C">
            <w:pPr>
              <w:snapToGrid w:val="0"/>
              <w:rPr>
                <w:sz w:val="16"/>
                <w:szCs w:val="16"/>
                <w:lang w:eastAsia="en-GB"/>
              </w:rPr>
            </w:pPr>
          </w:p>
        </w:tc>
        <w:tc>
          <w:tcPr>
            <w:tcW w:w="1985" w:type="dxa"/>
            <w:tcBorders>
              <w:left w:val="single" w:sz="4" w:space="0" w:color="auto"/>
              <w:right w:val="single" w:sz="4" w:space="0" w:color="auto"/>
            </w:tcBorders>
          </w:tcPr>
          <w:p w14:paraId="060BB5BB" w14:textId="77777777" w:rsidR="00187ABF" w:rsidRDefault="00187ABF" w:rsidP="00AB074C">
            <w:pPr>
              <w:snapToGrid w:val="0"/>
              <w:jc w:val="center"/>
              <w:rPr>
                <w:sz w:val="16"/>
                <w:szCs w:val="16"/>
                <w:lang w:eastAsia="en-GB"/>
              </w:rPr>
            </w:pPr>
            <w:r>
              <w:rPr>
                <w:sz w:val="16"/>
                <w:szCs w:val="16"/>
                <w:lang w:eastAsia="en-GB"/>
              </w:rPr>
              <w:t>100.00 (Default)</w:t>
            </w:r>
          </w:p>
        </w:tc>
        <w:tc>
          <w:tcPr>
            <w:tcW w:w="1518" w:type="dxa"/>
            <w:tcBorders>
              <w:left w:val="single" w:sz="4" w:space="0" w:color="auto"/>
              <w:right w:val="single" w:sz="4" w:space="0" w:color="auto"/>
            </w:tcBorders>
          </w:tcPr>
          <w:p w14:paraId="0A477C10"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736F1CF8"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08B747EA" w14:textId="77777777" w:rsidR="00187ABF" w:rsidRDefault="00187ABF" w:rsidP="00AB074C">
            <w:pPr>
              <w:snapToGrid w:val="0"/>
              <w:rPr>
                <w:sz w:val="16"/>
                <w:szCs w:val="16"/>
                <w:lang w:eastAsia="en-GB"/>
              </w:rPr>
            </w:pPr>
          </w:p>
        </w:tc>
        <w:tc>
          <w:tcPr>
            <w:tcW w:w="1518" w:type="dxa"/>
            <w:tcBorders>
              <w:left w:val="single" w:sz="4" w:space="0" w:color="auto"/>
              <w:right w:val="single" w:sz="4" w:space="0" w:color="auto"/>
            </w:tcBorders>
          </w:tcPr>
          <w:p w14:paraId="7A4E8C2F"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3264DF69"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62DB8E31" w14:textId="77777777" w:rsidR="00187ABF" w:rsidRDefault="00187ABF" w:rsidP="00AB074C">
            <w:pPr>
              <w:snapToGrid w:val="0"/>
              <w:rPr>
                <w:sz w:val="16"/>
                <w:szCs w:val="16"/>
                <w:lang w:eastAsia="en-GB"/>
              </w:rPr>
            </w:pPr>
          </w:p>
        </w:tc>
        <w:tc>
          <w:tcPr>
            <w:tcW w:w="1519" w:type="dxa"/>
            <w:tcBorders>
              <w:left w:val="single" w:sz="4" w:space="0" w:color="auto"/>
              <w:right w:val="single" w:sz="4" w:space="0" w:color="auto"/>
            </w:tcBorders>
          </w:tcPr>
          <w:p w14:paraId="1BEADFD8" w14:textId="77777777" w:rsidR="00187ABF" w:rsidRDefault="00187ABF" w:rsidP="00AB074C">
            <w:pPr>
              <w:snapToGrid w:val="0"/>
              <w:rPr>
                <w:sz w:val="16"/>
                <w:szCs w:val="16"/>
                <w:lang w:eastAsia="en-GB"/>
              </w:rPr>
            </w:pPr>
          </w:p>
        </w:tc>
      </w:tr>
      <w:tr w:rsidR="00187ABF" w14:paraId="1C56F389" w14:textId="77777777" w:rsidTr="00AB074C">
        <w:trPr>
          <w:cantSplit/>
        </w:trPr>
        <w:tc>
          <w:tcPr>
            <w:tcW w:w="1276" w:type="dxa"/>
            <w:vMerge/>
            <w:tcBorders>
              <w:left w:val="nil"/>
              <w:bottom w:val="single" w:sz="6" w:space="0" w:color="auto"/>
              <w:right w:val="single" w:sz="4" w:space="0" w:color="auto"/>
            </w:tcBorders>
          </w:tcPr>
          <w:p w14:paraId="60C2FB52" w14:textId="77777777" w:rsidR="00187ABF" w:rsidRDefault="00187ABF" w:rsidP="00AB074C">
            <w:pPr>
              <w:snapToGrid w:val="0"/>
              <w:rPr>
                <w:sz w:val="16"/>
                <w:szCs w:val="16"/>
                <w:lang w:eastAsia="en-GB"/>
              </w:rPr>
            </w:pPr>
          </w:p>
        </w:tc>
        <w:tc>
          <w:tcPr>
            <w:tcW w:w="1985" w:type="dxa"/>
            <w:tcBorders>
              <w:left w:val="single" w:sz="4" w:space="0" w:color="auto"/>
              <w:bottom w:val="single" w:sz="6" w:space="0" w:color="auto"/>
              <w:right w:val="single" w:sz="4" w:space="0" w:color="auto"/>
            </w:tcBorders>
          </w:tcPr>
          <w:p w14:paraId="3330734C" w14:textId="77777777" w:rsidR="00187ABF" w:rsidRDefault="00187ABF" w:rsidP="00AB074C">
            <w:pPr>
              <w:snapToGrid w:val="0"/>
              <w:jc w:val="center"/>
              <w:rPr>
                <w:sz w:val="16"/>
                <w:szCs w:val="16"/>
                <w:lang w:eastAsia="en-GB"/>
              </w:rPr>
            </w:pPr>
            <w:r>
              <w:rPr>
                <w:sz w:val="16"/>
                <w:szCs w:val="16"/>
                <w:lang w:eastAsia="en-GB"/>
              </w:rPr>
              <w:t>Sub-total</w:t>
            </w:r>
          </w:p>
        </w:tc>
        <w:tc>
          <w:tcPr>
            <w:tcW w:w="1518" w:type="dxa"/>
            <w:tcBorders>
              <w:left w:val="single" w:sz="4" w:space="0" w:color="auto"/>
              <w:bottom w:val="single" w:sz="6" w:space="0" w:color="auto"/>
              <w:right w:val="single" w:sz="4" w:space="0" w:color="auto"/>
            </w:tcBorders>
          </w:tcPr>
          <w:p w14:paraId="64C403C6" w14:textId="77777777" w:rsidR="00187ABF" w:rsidRDefault="00187ABF" w:rsidP="00AB074C">
            <w:pPr>
              <w:snapToGrid w:val="0"/>
              <w:rPr>
                <w:sz w:val="16"/>
                <w:szCs w:val="16"/>
                <w:lang w:eastAsia="en-GB"/>
              </w:rPr>
            </w:pPr>
          </w:p>
        </w:tc>
        <w:tc>
          <w:tcPr>
            <w:tcW w:w="1519" w:type="dxa"/>
            <w:tcBorders>
              <w:left w:val="single" w:sz="4" w:space="0" w:color="auto"/>
              <w:bottom w:val="single" w:sz="6" w:space="0" w:color="auto"/>
              <w:right w:val="single" w:sz="4" w:space="0" w:color="auto"/>
            </w:tcBorders>
          </w:tcPr>
          <w:p w14:paraId="4ED1A29D" w14:textId="77777777" w:rsidR="00187ABF" w:rsidRDefault="00187ABF" w:rsidP="00AB074C">
            <w:pPr>
              <w:snapToGrid w:val="0"/>
              <w:rPr>
                <w:sz w:val="16"/>
                <w:szCs w:val="16"/>
                <w:lang w:eastAsia="en-GB"/>
              </w:rPr>
            </w:pPr>
          </w:p>
        </w:tc>
        <w:tc>
          <w:tcPr>
            <w:tcW w:w="1519" w:type="dxa"/>
            <w:tcBorders>
              <w:left w:val="single" w:sz="4" w:space="0" w:color="auto"/>
              <w:bottom w:val="single" w:sz="6" w:space="0" w:color="auto"/>
              <w:right w:val="single" w:sz="4" w:space="0" w:color="auto"/>
            </w:tcBorders>
          </w:tcPr>
          <w:p w14:paraId="5B583926" w14:textId="77777777" w:rsidR="00187ABF" w:rsidRDefault="00187ABF" w:rsidP="00AB074C">
            <w:pPr>
              <w:snapToGrid w:val="0"/>
              <w:rPr>
                <w:sz w:val="16"/>
                <w:szCs w:val="16"/>
                <w:lang w:eastAsia="en-GB"/>
              </w:rPr>
            </w:pPr>
          </w:p>
        </w:tc>
        <w:tc>
          <w:tcPr>
            <w:tcW w:w="1518" w:type="dxa"/>
            <w:tcBorders>
              <w:left w:val="single" w:sz="4" w:space="0" w:color="auto"/>
              <w:bottom w:val="single" w:sz="6" w:space="0" w:color="auto"/>
              <w:right w:val="single" w:sz="4" w:space="0" w:color="auto"/>
            </w:tcBorders>
          </w:tcPr>
          <w:p w14:paraId="62955805" w14:textId="77777777" w:rsidR="00187ABF" w:rsidRDefault="00187ABF" w:rsidP="00AB074C">
            <w:pPr>
              <w:snapToGrid w:val="0"/>
              <w:rPr>
                <w:sz w:val="16"/>
                <w:szCs w:val="16"/>
                <w:lang w:eastAsia="en-GB"/>
              </w:rPr>
            </w:pPr>
          </w:p>
        </w:tc>
        <w:tc>
          <w:tcPr>
            <w:tcW w:w="1519" w:type="dxa"/>
            <w:tcBorders>
              <w:left w:val="single" w:sz="4" w:space="0" w:color="auto"/>
              <w:bottom w:val="single" w:sz="6" w:space="0" w:color="auto"/>
              <w:right w:val="single" w:sz="4" w:space="0" w:color="auto"/>
            </w:tcBorders>
          </w:tcPr>
          <w:p w14:paraId="165EA344" w14:textId="77777777" w:rsidR="00187ABF" w:rsidRDefault="00187ABF" w:rsidP="00AB074C">
            <w:pPr>
              <w:snapToGrid w:val="0"/>
              <w:rPr>
                <w:sz w:val="16"/>
                <w:szCs w:val="16"/>
                <w:lang w:eastAsia="en-GB"/>
              </w:rPr>
            </w:pPr>
          </w:p>
        </w:tc>
        <w:tc>
          <w:tcPr>
            <w:tcW w:w="1519" w:type="dxa"/>
            <w:tcBorders>
              <w:left w:val="single" w:sz="4" w:space="0" w:color="auto"/>
              <w:bottom w:val="single" w:sz="6" w:space="0" w:color="auto"/>
              <w:right w:val="single" w:sz="4" w:space="0" w:color="auto"/>
            </w:tcBorders>
          </w:tcPr>
          <w:p w14:paraId="47AA2D50" w14:textId="77777777" w:rsidR="00187ABF" w:rsidRDefault="00187ABF" w:rsidP="00AB074C">
            <w:pPr>
              <w:snapToGrid w:val="0"/>
              <w:rPr>
                <w:sz w:val="16"/>
                <w:szCs w:val="16"/>
                <w:lang w:eastAsia="en-GB"/>
              </w:rPr>
            </w:pPr>
          </w:p>
        </w:tc>
        <w:tc>
          <w:tcPr>
            <w:tcW w:w="1519" w:type="dxa"/>
            <w:tcBorders>
              <w:left w:val="single" w:sz="4" w:space="0" w:color="auto"/>
              <w:bottom w:val="single" w:sz="6" w:space="0" w:color="auto"/>
              <w:right w:val="single" w:sz="4" w:space="0" w:color="auto"/>
            </w:tcBorders>
          </w:tcPr>
          <w:p w14:paraId="66992615" w14:textId="77777777" w:rsidR="00187ABF" w:rsidRDefault="00187ABF" w:rsidP="00AB074C">
            <w:pPr>
              <w:snapToGrid w:val="0"/>
              <w:rPr>
                <w:sz w:val="16"/>
                <w:szCs w:val="16"/>
                <w:lang w:eastAsia="en-GB"/>
              </w:rPr>
            </w:pPr>
          </w:p>
        </w:tc>
      </w:tr>
      <w:tr w:rsidR="00187ABF" w14:paraId="66EF466C" w14:textId="77777777" w:rsidTr="00AB074C">
        <w:trPr>
          <w:cantSplit/>
        </w:trPr>
        <w:tc>
          <w:tcPr>
            <w:tcW w:w="1276" w:type="dxa"/>
            <w:vMerge w:val="restart"/>
            <w:tcBorders>
              <w:top w:val="single" w:sz="6" w:space="0" w:color="auto"/>
              <w:left w:val="nil"/>
              <w:right w:val="single" w:sz="4" w:space="0" w:color="auto"/>
            </w:tcBorders>
          </w:tcPr>
          <w:p w14:paraId="4EC98491" w14:textId="77777777" w:rsidR="00187ABF" w:rsidRDefault="00187ABF" w:rsidP="00AB074C">
            <w:pPr>
              <w:snapToGrid w:val="0"/>
              <w:rPr>
                <w:sz w:val="16"/>
                <w:szCs w:val="16"/>
                <w:lang w:eastAsia="en-GB"/>
              </w:rPr>
            </w:pPr>
            <w:r>
              <w:rPr>
                <w:sz w:val="16"/>
                <w:szCs w:val="16"/>
                <w:lang w:eastAsia="en-GB"/>
              </w:rPr>
              <w:t>Portfolio (ii) – Bank</w:t>
            </w:r>
          </w:p>
        </w:tc>
        <w:tc>
          <w:tcPr>
            <w:tcW w:w="1985" w:type="dxa"/>
            <w:tcBorders>
              <w:top w:val="single" w:sz="6" w:space="0" w:color="auto"/>
              <w:left w:val="single" w:sz="4" w:space="0" w:color="auto"/>
              <w:bottom w:val="single" w:sz="4" w:space="0" w:color="A6A6A6"/>
              <w:right w:val="single" w:sz="4" w:space="0" w:color="auto"/>
            </w:tcBorders>
          </w:tcPr>
          <w:p w14:paraId="23EF988D" w14:textId="77777777" w:rsidR="00187ABF" w:rsidRDefault="00187ABF" w:rsidP="00AB074C">
            <w:pPr>
              <w:snapToGrid w:val="0"/>
              <w:jc w:val="center"/>
              <w:rPr>
                <w:sz w:val="16"/>
                <w:szCs w:val="16"/>
                <w:lang w:eastAsia="en-GB"/>
              </w:rPr>
            </w:pPr>
            <w:r>
              <w:rPr>
                <w:sz w:val="16"/>
                <w:szCs w:val="16"/>
                <w:lang w:eastAsia="en-GB"/>
              </w:rPr>
              <w:t>0.00 to &lt; 0.15</w:t>
            </w:r>
          </w:p>
        </w:tc>
        <w:tc>
          <w:tcPr>
            <w:tcW w:w="1518" w:type="dxa"/>
            <w:tcBorders>
              <w:top w:val="single" w:sz="6" w:space="0" w:color="auto"/>
              <w:left w:val="single" w:sz="4" w:space="0" w:color="auto"/>
              <w:bottom w:val="single" w:sz="4" w:space="0" w:color="A6A6A6"/>
              <w:right w:val="single" w:sz="4" w:space="0" w:color="auto"/>
            </w:tcBorders>
          </w:tcPr>
          <w:p w14:paraId="39BC25F3" w14:textId="77777777" w:rsidR="00187ABF" w:rsidRDefault="00187ABF" w:rsidP="00AB074C">
            <w:pPr>
              <w:snapToGrid w:val="0"/>
              <w:rPr>
                <w:sz w:val="16"/>
                <w:szCs w:val="16"/>
                <w:lang w:eastAsia="en-GB"/>
              </w:rPr>
            </w:pPr>
          </w:p>
        </w:tc>
        <w:tc>
          <w:tcPr>
            <w:tcW w:w="1519" w:type="dxa"/>
            <w:tcBorders>
              <w:top w:val="single" w:sz="6" w:space="0" w:color="auto"/>
              <w:left w:val="single" w:sz="4" w:space="0" w:color="auto"/>
              <w:bottom w:val="single" w:sz="4" w:space="0" w:color="A6A6A6"/>
              <w:right w:val="single" w:sz="4" w:space="0" w:color="auto"/>
            </w:tcBorders>
          </w:tcPr>
          <w:p w14:paraId="0208B51F" w14:textId="77777777" w:rsidR="00187ABF" w:rsidRDefault="00187ABF" w:rsidP="00AB074C">
            <w:pPr>
              <w:snapToGrid w:val="0"/>
              <w:rPr>
                <w:sz w:val="16"/>
                <w:szCs w:val="16"/>
                <w:lang w:eastAsia="en-GB"/>
              </w:rPr>
            </w:pPr>
          </w:p>
        </w:tc>
        <w:tc>
          <w:tcPr>
            <w:tcW w:w="1519" w:type="dxa"/>
            <w:tcBorders>
              <w:top w:val="single" w:sz="6" w:space="0" w:color="auto"/>
              <w:left w:val="single" w:sz="4" w:space="0" w:color="auto"/>
              <w:bottom w:val="single" w:sz="4" w:space="0" w:color="A6A6A6"/>
              <w:right w:val="single" w:sz="4" w:space="0" w:color="auto"/>
            </w:tcBorders>
          </w:tcPr>
          <w:p w14:paraId="23191193" w14:textId="77777777" w:rsidR="00187ABF" w:rsidRDefault="00187ABF" w:rsidP="00AB074C">
            <w:pPr>
              <w:snapToGrid w:val="0"/>
              <w:rPr>
                <w:sz w:val="16"/>
                <w:szCs w:val="16"/>
                <w:lang w:eastAsia="en-GB"/>
              </w:rPr>
            </w:pPr>
          </w:p>
        </w:tc>
        <w:tc>
          <w:tcPr>
            <w:tcW w:w="1518" w:type="dxa"/>
            <w:tcBorders>
              <w:top w:val="single" w:sz="6" w:space="0" w:color="auto"/>
              <w:left w:val="single" w:sz="4" w:space="0" w:color="auto"/>
              <w:bottom w:val="single" w:sz="4" w:space="0" w:color="A6A6A6"/>
              <w:right w:val="single" w:sz="4" w:space="0" w:color="auto"/>
            </w:tcBorders>
          </w:tcPr>
          <w:p w14:paraId="13C3E76F" w14:textId="77777777" w:rsidR="00187ABF" w:rsidRDefault="00187ABF" w:rsidP="00AB074C">
            <w:pPr>
              <w:snapToGrid w:val="0"/>
              <w:rPr>
                <w:sz w:val="16"/>
                <w:szCs w:val="16"/>
                <w:lang w:eastAsia="en-GB"/>
              </w:rPr>
            </w:pPr>
          </w:p>
        </w:tc>
        <w:tc>
          <w:tcPr>
            <w:tcW w:w="1519" w:type="dxa"/>
            <w:tcBorders>
              <w:top w:val="single" w:sz="6" w:space="0" w:color="auto"/>
              <w:left w:val="single" w:sz="4" w:space="0" w:color="auto"/>
              <w:bottom w:val="single" w:sz="4" w:space="0" w:color="A6A6A6"/>
              <w:right w:val="single" w:sz="4" w:space="0" w:color="auto"/>
            </w:tcBorders>
          </w:tcPr>
          <w:p w14:paraId="5D924C30" w14:textId="77777777" w:rsidR="00187ABF" w:rsidRDefault="00187ABF" w:rsidP="00AB074C">
            <w:pPr>
              <w:snapToGrid w:val="0"/>
              <w:rPr>
                <w:sz w:val="16"/>
                <w:szCs w:val="16"/>
                <w:lang w:eastAsia="en-GB"/>
              </w:rPr>
            </w:pPr>
          </w:p>
        </w:tc>
        <w:tc>
          <w:tcPr>
            <w:tcW w:w="1519" w:type="dxa"/>
            <w:tcBorders>
              <w:top w:val="single" w:sz="6" w:space="0" w:color="auto"/>
              <w:left w:val="single" w:sz="4" w:space="0" w:color="auto"/>
              <w:bottom w:val="single" w:sz="4" w:space="0" w:color="A6A6A6"/>
              <w:right w:val="single" w:sz="4" w:space="0" w:color="auto"/>
            </w:tcBorders>
          </w:tcPr>
          <w:p w14:paraId="5081B67C" w14:textId="77777777" w:rsidR="00187ABF" w:rsidRDefault="00187ABF" w:rsidP="00AB074C">
            <w:pPr>
              <w:snapToGrid w:val="0"/>
              <w:rPr>
                <w:sz w:val="16"/>
                <w:szCs w:val="16"/>
                <w:lang w:eastAsia="en-GB"/>
              </w:rPr>
            </w:pPr>
          </w:p>
        </w:tc>
        <w:tc>
          <w:tcPr>
            <w:tcW w:w="1519" w:type="dxa"/>
            <w:tcBorders>
              <w:top w:val="single" w:sz="6" w:space="0" w:color="auto"/>
              <w:left w:val="single" w:sz="4" w:space="0" w:color="auto"/>
              <w:bottom w:val="single" w:sz="4" w:space="0" w:color="A6A6A6"/>
              <w:right w:val="single" w:sz="4" w:space="0" w:color="auto"/>
            </w:tcBorders>
          </w:tcPr>
          <w:p w14:paraId="1B42A637" w14:textId="77777777" w:rsidR="00187ABF" w:rsidRDefault="00187ABF" w:rsidP="00AB074C">
            <w:pPr>
              <w:snapToGrid w:val="0"/>
              <w:rPr>
                <w:sz w:val="16"/>
                <w:szCs w:val="16"/>
                <w:lang w:eastAsia="en-GB"/>
              </w:rPr>
            </w:pPr>
          </w:p>
        </w:tc>
      </w:tr>
      <w:tr w:rsidR="00187ABF" w14:paraId="28C730A5" w14:textId="77777777" w:rsidTr="00AB074C">
        <w:trPr>
          <w:cantSplit/>
        </w:trPr>
        <w:tc>
          <w:tcPr>
            <w:tcW w:w="1276" w:type="dxa"/>
            <w:vMerge/>
            <w:tcBorders>
              <w:left w:val="nil"/>
              <w:right w:val="single" w:sz="4" w:space="0" w:color="auto"/>
            </w:tcBorders>
          </w:tcPr>
          <w:p w14:paraId="046D9127" w14:textId="77777777" w:rsidR="00187ABF" w:rsidRDefault="00187ABF" w:rsidP="00AB074C">
            <w:pPr>
              <w:snapToGrid w:val="0"/>
              <w:rPr>
                <w:sz w:val="16"/>
                <w:szCs w:val="16"/>
                <w:lang w:eastAsia="en-GB"/>
              </w:rPr>
            </w:pPr>
          </w:p>
        </w:tc>
        <w:tc>
          <w:tcPr>
            <w:tcW w:w="1985" w:type="dxa"/>
            <w:tcBorders>
              <w:left w:val="single" w:sz="4" w:space="0" w:color="auto"/>
              <w:bottom w:val="single" w:sz="4" w:space="0" w:color="A6A6A6"/>
              <w:right w:val="single" w:sz="4" w:space="0" w:color="auto"/>
            </w:tcBorders>
          </w:tcPr>
          <w:p w14:paraId="7A663891" w14:textId="77777777" w:rsidR="00187ABF" w:rsidRDefault="00187ABF" w:rsidP="00AB074C">
            <w:pPr>
              <w:snapToGrid w:val="0"/>
              <w:jc w:val="center"/>
              <w:rPr>
                <w:sz w:val="16"/>
                <w:szCs w:val="16"/>
                <w:lang w:eastAsia="en-GB"/>
              </w:rPr>
            </w:pPr>
            <w:r>
              <w:rPr>
                <w:sz w:val="16"/>
                <w:szCs w:val="16"/>
                <w:lang w:eastAsia="en-GB"/>
              </w:rPr>
              <w:t>0.15 to &lt; 0.25</w:t>
            </w:r>
          </w:p>
        </w:tc>
        <w:tc>
          <w:tcPr>
            <w:tcW w:w="1518" w:type="dxa"/>
            <w:tcBorders>
              <w:left w:val="single" w:sz="4" w:space="0" w:color="auto"/>
              <w:bottom w:val="single" w:sz="4" w:space="0" w:color="A6A6A6"/>
              <w:right w:val="single" w:sz="4" w:space="0" w:color="auto"/>
            </w:tcBorders>
          </w:tcPr>
          <w:p w14:paraId="3E9503BE"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75BD6D9B"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7F22CE7D" w14:textId="77777777" w:rsidR="00187ABF" w:rsidRDefault="00187ABF" w:rsidP="00AB074C">
            <w:pPr>
              <w:snapToGrid w:val="0"/>
              <w:rPr>
                <w:sz w:val="16"/>
                <w:szCs w:val="16"/>
                <w:lang w:eastAsia="en-GB"/>
              </w:rPr>
            </w:pPr>
          </w:p>
        </w:tc>
        <w:tc>
          <w:tcPr>
            <w:tcW w:w="1518" w:type="dxa"/>
            <w:tcBorders>
              <w:left w:val="single" w:sz="4" w:space="0" w:color="auto"/>
              <w:bottom w:val="single" w:sz="4" w:space="0" w:color="A6A6A6"/>
              <w:right w:val="single" w:sz="4" w:space="0" w:color="auto"/>
            </w:tcBorders>
          </w:tcPr>
          <w:p w14:paraId="755882EC"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5FA39F21"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231C9785"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1AED9DB0" w14:textId="77777777" w:rsidR="00187ABF" w:rsidRDefault="00187ABF" w:rsidP="00AB074C">
            <w:pPr>
              <w:snapToGrid w:val="0"/>
              <w:rPr>
                <w:sz w:val="16"/>
                <w:szCs w:val="16"/>
                <w:lang w:eastAsia="en-GB"/>
              </w:rPr>
            </w:pPr>
          </w:p>
        </w:tc>
      </w:tr>
      <w:tr w:rsidR="00187ABF" w14:paraId="5982DD0C" w14:textId="77777777" w:rsidTr="00AB074C">
        <w:trPr>
          <w:cantSplit/>
        </w:trPr>
        <w:tc>
          <w:tcPr>
            <w:tcW w:w="1276" w:type="dxa"/>
            <w:vMerge/>
            <w:tcBorders>
              <w:left w:val="nil"/>
              <w:right w:val="single" w:sz="4" w:space="0" w:color="auto"/>
            </w:tcBorders>
          </w:tcPr>
          <w:p w14:paraId="7CA1FD42" w14:textId="77777777" w:rsidR="00187ABF" w:rsidRDefault="00187ABF" w:rsidP="00AB074C">
            <w:pPr>
              <w:snapToGrid w:val="0"/>
              <w:rPr>
                <w:sz w:val="16"/>
                <w:szCs w:val="16"/>
                <w:lang w:eastAsia="en-GB"/>
              </w:rPr>
            </w:pPr>
          </w:p>
        </w:tc>
        <w:tc>
          <w:tcPr>
            <w:tcW w:w="1985" w:type="dxa"/>
            <w:tcBorders>
              <w:left w:val="single" w:sz="4" w:space="0" w:color="auto"/>
              <w:bottom w:val="single" w:sz="4" w:space="0" w:color="A6A6A6"/>
              <w:right w:val="single" w:sz="4" w:space="0" w:color="auto"/>
            </w:tcBorders>
          </w:tcPr>
          <w:p w14:paraId="6D7DCC94" w14:textId="77777777" w:rsidR="00187ABF" w:rsidRDefault="00187ABF" w:rsidP="00AB074C">
            <w:pPr>
              <w:snapToGrid w:val="0"/>
              <w:jc w:val="center"/>
              <w:rPr>
                <w:sz w:val="16"/>
                <w:szCs w:val="16"/>
                <w:lang w:eastAsia="en-GB"/>
              </w:rPr>
            </w:pPr>
            <w:r>
              <w:rPr>
                <w:sz w:val="16"/>
                <w:szCs w:val="16"/>
                <w:lang w:eastAsia="en-GB"/>
              </w:rPr>
              <w:t>0.25 to &lt; 0.50</w:t>
            </w:r>
          </w:p>
        </w:tc>
        <w:tc>
          <w:tcPr>
            <w:tcW w:w="1518" w:type="dxa"/>
            <w:tcBorders>
              <w:left w:val="single" w:sz="4" w:space="0" w:color="auto"/>
              <w:bottom w:val="single" w:sz="4" w:space="0" w:color="A6A6A6"/>
              <w:right w:val="single" w:sz="4" w:space="0" w:color="auto"/>
            </w:tcBorders>
          </w:tcPr>
          <w:p w14:paraId="0E1E307F"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37372CD0"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5ABEF5A3" w14:textId="77777777" w:rsidR="00187ABF" w:rsidRDefault="00187ABF" w:rsidP="00AB074C">
            <w:pPr>
              <w:snapToGrid w:val="0"/>
              <w:rPr>
                <w:sz w:val="16"/>
                <w:szCs w:val="16"/>
                <w:lang w:eastAsia="en-GB"/>
              </w:rPr>
            </w:pPr>
          </w:p>
        </w:tc>
        <w:tc>
          <w:tcPr>
            <w:tcW w:w="1518" w:type="dxa"/>
            <w:tcBorders>
              <w:left w:val="single" w:sz="4" w:space="0" w:color="auto"/>
              <w:bottom w:val="single" w:sz="4" w:space="0" w:color="A6A6A6"/>
              <w:right w:val="single" w:sz="4" w:space="0" w:color="auto"/>
            </w:tcBorders>
          </w:tcPr>
          <w:p w14:paraId="6AE25264"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077FC0EA"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4B188AC7"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0790CFDC" w14:textId="77777777" w:rsidR="00187ABF" w:rsidRDefault="00187ABF" w:rsidP="00AB074C">
            <w:pPr>
              <w:snapToGrid w:val="0"/>
              <w:rPr>
                <w:sz w:val="16"/>
                <w:szCs w:val="16"/>
                <w:lang w:eastAsia="en-GB"/>
              </w:rPr>
            </w:pPr>
          </w:p>
        </w:tc>
      </w:tr>
      <w:tr w:rsidR="00187ABF" w14:paraId="015F1291" w14:textId="77777777" w:rsidTr="00AB074C">
        <w:trPr>
          <w:cantSplit/>
        </w:trPr>
        <w:tc>
          <w:tcPr>
            <w:tcW w:w="1276" w:type="dxa"/>
            <w:vMerge/>
            <w:tcBorders>
              <w:left w:val="nil"/>
              <w:right w:val="single" w:sz="4" w:space="0" w:color="auto"/>
            </w:tcBorders>
          </w:tcPr>
          <w:p w14:paraId="0C67030F" w14:textId="77777777" w:rsidR="00187ABF" w:rsidRDefault="00187ABF" w:rsidP="00AB074C">
            <w:pPr>
              <w:snapToGrid w:val="0"/>
              <w:rPr>
                <w:sz w:val="16"/>
                <w:szCs w:val="16"/>
                <w:lang w:eastAsia="en-GB"/>
              </w:rPr>
            </w:pPr>
          </w:p>
        </w:tc>
        <w:tc>
          <w:tcPr>
            <w:tcW w:w="1985" w:type="dxa"/>
            <w:tcBorders>
              <w:left w:val="single" w:sz="4" w:space="0" w:color="auto"/>
              <w:bottom w:val="single" w:sz="4" w:space="0" w:color="A6A6A6"/>
              <w:right w:val="single" w:sz="4" w:space="0" w:color="auto"/>
            </w:tcBorders>
          </w:tcPr>
          <w:p w14:paraId="66ED06ED" w14:textId="77777777" w:rsidR="00187ABF" w:rsidRDefault="00187ABF" w:rsidP="00AB074C">
            <w:pPr>
              <w:snapToGrid w:val="0"/>
              <w:jc w:val="center"/>
              <w:rPr>
                <w:sz w:val="16"/>
                <w:szCs w:val="16"/>
                <w:lang w:eastAsia="en-GB"/>
              </w:rPr>
            </w:pPr>
            <w:r>
              <w:rPr>
                <w:sz w:val="16"/>
                <w:szCs w:val="16"/>
                <w:lang w:eastAsia="en-GB"/>
              </w:rPr>
              <w:t>0.50 to &lt; 0.75</w:t>
            </w:r>
          </w:p>
        </w:tc>
        <w:tc>
          <w:tcPr>
            <w:tcW w:w="1518" w:type="dxa"/>
            <w:tcBorders>
              <w:left w:val="single" w:sz="4" w:space="0" w:color="auto"/>
              <w:bottom w:val="single" w:sz="4" w:space="0" w:color="A6A6A6"/>
              <w:right w:val="single" w:sz="4" w:space="0" w:color="auto"/>
            </w:tcBorders>
          </w:tcPr>
          <w:p w14:paraId="2E2F9FF2"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7417C554"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4EFA0D1E" w14:textId="77777777" w:rsidR="00187ABF" w:rsidRDefault="00187ABF" w:rsidP="00AB074C">
            <w:pPr>
              <w:snapToGrid w:val="0"/>
              <w:rPr>
                <w:sz w:val="16"/>
                <w:szCs w:val="16"/>
                <w:lang w:eastAsia="en-GB"/>
              </w:rPr>
            </w:pPr>
          </w:p>
        </w:tc>
        <w:tc>
          <w:tcPr>
            <w:tcW w:w="1518" w:type="dxa"/>
            <w:tcBorders>
              <w:left w:val="single" w:sz="4" w:space="0" w:color="auto"/>
              <w:bottom w:val="single" w:sz="4" w:space="0" w:color="A6A6A6"/>
              <w:right w:val="single" w:sz="4" w:space="0" w:color="auto"/>
            </w:tcBorders>
          </w:tcPr>
          <w:p w14:paraId="69D61D6D"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5633BD28"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19EC8A37"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227F1BED" w14:textId="77777777" w:rsidR="00187ABF" w:rsidRDefault="00187ABF" w:rsidP="00AB074C">
            <w:pPr>
              <w:snapToGrid w:val="0"/>
              <w:rPr>
                <w:sz w:val="16"/>
                <w:szCs w:val="16"/>
                <w:lang w:eastAsia="en-GB"/>
              </w:rPr>
            </w:pPr>
          </w:p>
        </w:tc>
      </w:tr>
      <w:tr w:rsidR="00187ABF" w14:paraId="66E1CA1B" w14:textId="77777777" w:rsidTr="00AB074C">
        <w:trPr>
          <w:cantSplit/>
        </w:trPr>
        <w:tc>
          <w:tcPr>
            <w:tcW w:w="1276" w:type="dxa"/>
            <w:vMerge/>
            <w:tcBorders>
              <w:left w:val="nil"/>
              <w:right w:val="single" w:sz="4" w:space="0" w:color="auto"/>
            </w:tcBorders>
          </w:tcPr>
          <w:p w14:paraId="3757F262" w14:textId="77777777" w:rsidR="00187ABF" w:rsidRDefault="00187ABF" w:rsidP="00AB074C">
            <w:pPr>
              <w:snapToGrid w:val="0"/>
              <w:rPr>
                <w:sz w:val="16"/>
                <w:szCs w:val="16"/>
                <w:lang w:eastAsia="en-GB"/>
              </w:rPr>
            </w:pPr>
          </w:p>
        </w:tc>
        <w:tc>
          <w:tcPr>
            <w:tcW w:w="1985" w:type="dxa"/>
            <w:tcBorders>
              <w:left w:val="single" w:sz="4" w:space="0" w:color="auto"/>
              <w:bottom w:val="single" w:sz="4" w:space="0" w:color="A6A6A6"/>
              <w:right w:val="single" w:sz="4" w:space="0" w:color="auto"/>
            </w:tcBorders>
          </w:tcPr>
          <w:p w14:paraId="43FA6BCD" w14:textId="77777777" w:rsidR="00187ABF" w:rsidRDefault="00187ABF" w:rsidP="00AB074C">
            <w:pPr>
              <w:snapToGrid w:val="0"/>
              <w:jc w:val="center"/>
              <w:rPr>
                <w:sz w:val="16"/>
                <w:szCs w:val="16"/>
                <w:lang w:eastAsia="en-GB"/>
              </w:rPr>
            </w:pPr>
            <w:r>
              <w:rPr>
                <w:sz w:val="16"/>
                <w:szCs w:val="16"/>
                <w:lang w:eastAsia="en-GB"/>
              </w:rPr>
              <w:t>0.75 to &lt; 2.50</w:t>
            </w:r>
          </w:p>
        </w:tc>
        <w:tc>
          <w:tcPr>
            <w:tcW w:w="1518" w:type="dxa"/>
            <w:tcBorders>
              <w:left w:val="single" w:sz="4" w:space="0" w:color="auto"/>
              <w:bottom w:val="single" w:sz="4" w:space="0" w:color="A6A6A6"/>
              <w:right w:val="single" w:sz="4" w:space="0" w:color="auto"/>
            </w:tcBorders>
          </w:tcPr>
          <w:p w14:paraId="79066060"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04AC38F7"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5E121965" w14:textId="77777777" w:rsidR="00187ABF" w:rsidRDefault="00187ABF" w:rsidP="00AB074C">
            <w:pPr>
              <w:snapToGrid w:val="0"/>
              <w:rPr>
                <w:sz w:val="16"/>
                <w:szCs w:val="16"/>
                <w:lang w:eastAsia="en-GB"/>
              </w:rPr>
            </w:pPr>
          </w:p>
        </w:tc>
        <w:tc>
          <w:tcPr>
            <w:tcW w:w="1518" w:type="dxa"/>
            <w:tcBorders>
              <w:left w:val="single" w:sz="4" w:space="0" w:color="auto"/>
              <w:bottom w:val="single" w:sz="4" w:space="0" w:color="A6A6A6"/>
              <w:right w:val="single" w:sz="4" w:space="0" w:color="auto"/>
            </w:tcBorders>
          </w:tcPr>
          <w:p w14:paraId="77652456"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7E2FDF9D"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0DA28B4A"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2FC65619" w14:textId="77777777" w:rsidR="00187ABF" w:rsidRDefault="00187ABF" w:rsidP="00AB074C">
            <w:pPr>
              <w:snapToGrid w:val="0"/>
              <w:rPr>
                <w:sz w:val="16"/>
                <w:szCs w:val="16"/>
                <w:lang w:eastAsia="en-GB"/>
              </w:rPr>
            </w:pPr>
          </w:p>
        </w:tc>
      </w:tr>
      <w:tr w:rsidR="00187ABF" w14:paraId="1D09D9E2" w14:textId="77777777" w:rsidTr="00AB074C">
        <w:trPr>
          <w:cantSplit/>
        </w:trPr>
        <w:tc>
          <w:tcPr>
            <w:tcW w:w="1276" w:type="dxa"/>
            <w:vMerge/>
            <w:tcBorders>
              <w:left w:val="nil"/>
              <w:right w:val="single" w:sz="4" w:space="0" w:color="auto"/>
            </w:tcBorders>
          </w:tcPr>
          <w:p w14:paraId="7F136384" w14:textId="77777777" w:rsidR="00187ABF" w:rsidRDefault="00187ABF" w:rsidP="00AB074C">
            <w:pPr>
              <w:snapToGrid w:val="0"/>
              <w:rPr>
                <w:sz w:val="16"/>
                <w:szCs w:val="16"/>
                <w:lang w:eastAsia="en-GB"/>
              </w:rPr>
            </w:pPr>
          </w:p>
        </w:tc>
        <w:tc>
          <w:tcPr>
            <w:tcW w:w="1985" w:type="dxa"/>
            <w:tcBorders>
              <w:left w:val="single" w:sz="4" w:space="0" w:color="auto"/>
              <w:bottom w:val="single" w:sz="4" w:space="0" w:color="A6A6A6"/>
              <w:right w:val="single" w:sz="4" w:space="0" w:color="auto"/>
            </w:tcBorders>
          </w:tcPr>
          <w:p w14:paraId="25DDCCDF" w14:textId="77777777" w:rsidR="00187ABF" w:rsidRDefault="00187ABF" w:rsidP="00AB074C">
            <w:pPr>
              <w:snapToGrid w:val="0"/>
              <w:jc w:val="center"/>
              <w:rPr>
                <w:sz w:val="16"/>
                <w:szCs w:val="16"/>
                <w:lang w:eastAsia="en-GB"/>
              </w:rPr>
            </w:pPr>
            <w:r>
              <w:rPr>
                <w:sz w:val="16"/>
                <w:szCs w:val="16"/>
                <w:lang w:eastAsia="en-GB"/>
              </w:rPr>
              <w:t>2.50 to &lt; 10.00</w:t>
            </w:r>
          </w:p>
        </w:tc>
        <w:tc>
          <w:tcPr>
            <w:tcW w:w="1518" w:type="dxa"/>
            <w:tcBorders>
              <w:left w:val="single" w:sz="4" w:space="0" w:color="auto"/>
              <w:bottom w:val="single" w:sz="4" w:space="0" w:color="A6A6A6"/>
              <w:right w:val="single" w:sz="4" w:space="0" w:color="auto"/>
            </w:tcBorders>
          </w:tcPr>
          <w:p w14:paraId="49093BB0"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02439D04"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76EB6044" w14:textId="77777777" w:rsidR="00187ABF" w:rsidRDefault="00187ABF" w:rsidP="00AB074C">
            <w:pPr>
              <w:snapToGrid w:val="0"/>
              <w:rPr>
                <w:sz w:val="16"/>
                <w:szCs w:val="16"/>
                <w:lang w:eastAsia="en-GB"/>
              </w:rPr>
            </w:pPr>
          </w:p>
        </w:tc>
        <w:tc>
          <w:tcPr>
            <w:tcW w:w="1518" w:type="dxa"/>
            <w:tcBorders>
              <w:left w:val="single" w:sz="4" w:space="0" w:color="auto"/>
              <w:bottom w:val="single" w:sz="4" w:space="0" w:color="A6A6A6"/>
              <w:right w:val="single" w:sz="4" w:space="0" w:color="auto"/>
            </w:tcBorders>
          </w:tcPr>
          <w:p w14:paraId="3ED90B4A"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2792E6BB"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49AA6D66"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2A33B740" w14:textId="77777777" w:rsidR="00187ABF" w:rsidRDefault="00187ABF" w:rsidP="00AB074C">
            <w:pPr>
              <w:snapToGrid w:val="0"/>
              <w:rPr>
                <w:sz w:val="16"/>
                <w:szCs w:val="16"/>
                <w:lang w:eastAsia="en-GB"/>
              </w:rPr>
            </w:pPr>
          </w:p>
        </w:tc>
      </w:tr>
      <w:tr w:rsidR="00187ABF" w14:paraId="19B978C8" w14:textId="77777777" w:rsidTr="00AB074C">
        <w:trPr>
          <w:cantSplit/>
        </w:trPr>
        <w:tc>
          <w:tcPr>
            <w:tcW w:w="1276" w:type="dxa"/>
            <w:vMerge/>
            <w:tcBorders>
              <w:left w:val="nil"/>
              <w:right w:val="single" w:sz="4" w:space="0" w:color="auto"/>
            </w:tcBorders>
          </w:tcPr>
          <w:p w14:paraId="1DF87F75" w14:textId="77777777" w:rsidR="00187ABF" w:rsidRDefault="00187ABF" w:rsidP="00AB074C">
            <w:pPr>
              <w:snapToGrid w:val="0"/>
              <w:rPr>
                <w:sz w:val="16"/>
                <w:szCs w:val="16"/>
                <w:lang w:eastAsia="en-GB"/>
              </w:rPr>
            </w:pPr>
          </w:p>
        </w:tc>
        <w:tc>
          <w:tcPr>
            <w:tcW w:w="1985" w:type="dxa"/>
            <w:tcBorders>
              <w:left w:val="single" w:sz="4" w:space="0" w:color="auto"/>
              <w:bottom w:val="single" w:sz="4" w:space="0" w:color="A6A6A6"/>
              <w:right w:val="single" w:sz="4" w:space="0" w:color="auto"/>
            </w:tcBorders>
          </w:tcPr>
          <w:p w14:paraId="613E6280" w14:textId="77777777" w:rsidR="00187ABF" w:rsidRDefault="00187ABF" w:rsidP="00AB074C">
            <w:pPr>
              <w:snapToGrid w:val="0"/>
              <w:jc w:val="center"/>
              <w:rPr>
                <w:sz w:val="16"/>
                <w:szCs w:val="16"/>
                <w:lang w:eastAsia="en-GB"/>
              </w:rPr>
            </w:pPr>
            <w:r>
              <w:rPr>
                <w:sz w:val="16"/>
                <w:szCs w:val="16"/>
                <w:lang w:eastAsia="en-GB"/>
              </w:rPr>
              <w:t>10.00 to &lt; 100.00</w:t>
            </w:r>
          </w:p>
        </w:tc>
        <w:tc>
          <w:tcPr>
            <w:tcW w:w="1518" w:type="dxa"/>
            <w:tcBorders>
              <w:left w:val="single" w:sz="4" w:space="0" w:color="auto"/>
              <w:bottom w:val="single" w:sz="4" w:space="0" w:color="A6A6A6"/>
              <w:right w:val="single" w:sz="4" w:space="0" w:color="auto"/>
            </w:tcBorders>
          </w:tcPr>
          <w:p w14:paraId="3155AEC7"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3F1EDFCF"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1E7CE809" w14:textId="77777777" w:rsidR="00187ABF" w:rsidRDefault="00187ABF" w:rsidP="00AB074C">
            <w:pPr>
              <w:snapToGrid w:val="0"/>
              <w:rPr>
                <w:sz w:val="16"/>
                <w:szCs w:val="16"/>
                <w:lang w:eastAsia="en-GB"/>
              </w:rPr>
            </w:pPr>
          </w:p>
        </w:tc>
        <w:tc>
          <w:tcPr>
            <w:tcW w:w="1518" w:type="dxa"/>
            <w:tcBorders>
              <w:left w:val="single" w:sz="4" w:space="0" w:color="auto"/>
              <w:bottom w:val="single" w:sz="4" w:space="0" w:color="A6A6A6"/>
              <w:right w:val="single" w:sz="4" w:space="0" w:color="auto"/>
            </w:tcBorders>
          </w:tcPr>
          <w:p w14:paraId="38DE60F6"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463A7FFA"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4D4C8604"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0BBE2C63" w14:textId="77777777" w:rsidR="00187ABF" w:rsidRDefault="00187ABF" w:rsidP="00AB074C">
            <w:pPr>
              <w:snapToGrid w:val="0"/>
              <w:rPr>
                <w:sz w:val="16"/>
                <w:szCs w:val="16"/>
                <w:lang w:eastAsia="en-GB"/>
              </w:rPr>
            </w:pPr>
          </w:p>
        </w:tc>
      </w:tr>
      <w:tr w:rsidR="00187ABF" w14:paraId="1FAF272C" w14:textId="77777777" w:rsidTr="00AB074C">
        <w:trPr>
          <w:cantSplit/>
        </w:trPr>
        <w:tc>
          <w:tcPr>
            <w:tcW w:w="1276" w:type="dxa"/>
            <w:vMerge/>
            <w:tcBorders>
              <w:left w:val="nil"/>
              <w:right w:val="single" w:sz="4" w:space="0" w:color="auto"/>
            </w:tcBorders>
          </w:tcPr>
          <w:p w14:paraId="7B5B4793" w14:textId="77777777" w:rsidR="00187ABF" w:rsidRDefault="00187ABF" w:rsidP="00AB074C">
            <w:pPr>
              <w:snapToGrid w:val="0"/>
              <w:rPr>
                <w:sz w:val="16"/>
                <w:szCs w:val="16"/>
                <w:lang w:eastAsia="en-GB"/>
              </w:rPr>
            </w:pPr>
          </w:p>
        </w:tc>
        <w:tc>
          <w:tcPr>
            <w:tcW w:w="1985" w:type="dxa"/>
            <w:tcBorders>
              <w:left w:val="single" w:sz="4" w:space="0" w:color="auto"/>
              <w:bottom w:val="single" w:sz="4" w:space="0" w:color="A6A6A6"/>
              <w:right w:val="single" w:sz="4" w:space="0" w:color="auto"/>
            </w:tcBorders>
          </w:tcPr>
          <w:p w14:paraId="77D5D812" w14:textId="77777777" w:rsidR="00187ABF" w:rsidRDefault="00187ABF" w:rsidP="00AB074C">
            <w:pPr>
              <w:snapToGrid w:val="0"/>
              <w:jc w:val="center"/>
              <w:rPr>
                <w:sz w:val="16"/>
                <w:szCs w:val="16"/>
                <w:lang w:eastAsia="en-GB"/>
              </w:rPr>
            </w:pPr>
            <w:r>
              <w:rPr>
                <w:sz w:val="16"/>
                <w:szCs w:val="16"/>
                <w:lang w:eastAsia="en-GB"/>
              </w:rPr>
              <w:t>100.00 (Default)</w:t>
            </w:r>
          </w:p>
        </w:tc>
        <w:tc>
          <w:tcPr>
            <w:tcW w:w="1518" w:type="dxa"/>
            <w:tcBorders>
              <w:left w:val="single" w:sz="4" w:space="0" w:color="auto"/>
              <w:bottom w:val="single" w:sz="4" w:space="0" w:color="A6A6A6"/>
              <w:right w:val="single" w:sz="4" w:space="0" w:color="auto"/>
            </w:tcBorders>
          </w:tcPr>
          <w:p w14:paraId="61CF2C8A"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63EC89AA"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046A2F4E" w14:textId="77777777" w:rsidR="00187ABF" w:rsidRDefault="00187ABF" w:rsidP="00AB074C">
            <w:pPr>
              <w:snapToGrid w:val="0"/>
              <w:rPr>
                <w:sz w:val="16"/>
                <w:szCs w:val="16"/>
                <w:lang w:eastAsia="en-GB"/>
              </w:rPr>
            </w:pPr>
          </w:p>
        </w:tc>
        <w:tc>
          <w:tcPr>
            <w:tcW w:w="1518" w:type="dxa"/>
            <w:tcBorders>
              <w:left w:val="single" w:sz="4" w:space="0" w:color="auto"/>
              <w:bottom w:val="single" w:sz="4" w:space="0" w:color="A6A6A6"/>
              <w:right w:val="single" w:sz="4" w:space="0" w:color="auto"/>
            </w:tcBorders>
          </w:tcPr>
          <w:p w14:paraId="78A57011"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7DC926DF"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28E52C07" w14:textId="77777777" w:rsidR="00187ABF" w:rsidRDefault="00187ABF" w:rsidP="00AB074C">
            <w:pPr>
              <w:snapToGrid w:val="0"/>
              <w:rPr>
                <w:sz w:val="16"/>
                <w:szCs w:val="16"/>
                <w:lang w:eastAsia="en-GB"/>
              </w:rPr>
            </w:pPr>
          </w:p>
        </w:tc>
        <w:tc>
          <w:tcPr>
            <w:tcW w:w="1519" w:type="dxa"/>
            <w:tcBorders>
              <w:left w:val="single" w:sz="4" w:space="0" w:color="auto"/>
              <w:bottom w:val="single" w:sz="4" w:space="0" w:color="A6A6A6"/>
              <w:right w:val="single" w:sz="4" w:space="0" w:color="auto"/>
            </w:tcBorders>
          </w:tcPr>
          <w:p w14:paraId="7AD6DB7C" w14:textId="77777777" w:rsidR="00187ABF" w:rsidRDefault="00187ABF" w:rsidP="00AB074C">
            <w:pPr>
              <w:snapToGrid w:val="0"/>
              <w:rPr>
                <w:sz w:val="16"/>
                <w:szCs w:val="16"/>
                <w:lang w:eastAsia="en-GB"/>
              </w:rPr>
            </w:pPr>
          </w:p>
        </w:tc>
      </w:tr>
      <w:tr w:rsidR="00187ABF" w14:paraId="216C1147" w14:textId="77777777" w:rsidTr="00AB074C">
        <w:trPr>
          <w:cantSplit/>
        </w:trPr>
        <w:tc>
          <w:tcPr>
            <w:tcW w:w="1276" w:type="dxa"/>
            <w:vMerge/>
            <w:tcBorders>
              <w:left w:val="nil"/>
              <w:bottom w:val="single" w:sz="6" w:space="0" w:color="auto"/>
              <w:right w:val="single" w:sz="4" w:space="0" w:color="auto"/>
            </w:tcBorders>
          </w:tcPr>
          <w:p w14:paraId="1D7E9808" w14:textId="77777777" w:rsidR="00187ABF" w:rsidRDefault="00187ABF" w:rsidP="00AB074C">
            <w:pPr>
              <w:snapToGrid w:val="0"/>
              <w:rPr>
                <w:sz w:val="16"/>
                <w:szCs w:val="16"/>
                <w:lang w:eastAsia="en-GB"/>
              </w:rPr>
            </w:pPr>
          </w:p>
        </w:tc>
        <w:tc>
          <w:tcPr>
            <w:tcW w:w="1985" w:type="dxa"/>
            <w:tcBorders>
              <w:left w:val="single" w:sz="4" w:space="0" w:color="auto"/>
              <w:bottom w:val="single" w:sz="6" w:space="0" w:color="auto"/>
              <w:right w:val="single" w:sz="4" w:space="0" w:color="auto"/>
            </w:tcBorders>
          </w:tcPr>
          <w:p w14:paraId="1C9B249B" w14:textId="77777777" w:rsidR="00187ABF" w:rsidRDefault="00187ABF" w:rsidP="00AB074C">
            <w:pPr>
              <w:snapToGrid w:val="0"/>
              <w:jc w:val="center"/>
              <w:rPr>
                <w:sz w:val="16"/>
                <w:szCs w:val="16"/>
                <w:lang w:eastAsia="en-GB"/>
              </w:rPr>
            </w:pPr>
            <w:r>
              <w:rPr>
                <w:sz w:val="16"/>
                <w:szCs w:val="16"/>
                <w:lang w:eastAsia="en-GB"/>
              </w:rPr>
              <w:t>Sub-total</w:t>
            </w:r>
          </w:p>
        </w:tc>
        <w:tc>
          <w:tcPr>
            <w:tcW w:w="1518" w:type="dxa"/>
            <w:tcBorders>
              <w:left w:val="single" w:sz="4" w:space="0" w:color="auto"/>
              <w:bottom w:val="single" w:sz="6" w:space="0" w:color="auto"/>
              <w:right w:val="single" w:sz="4" w:space="0" w:color="auto"/>
            </w:tcBorders>
          </w:tcPr>
          <w:p w14:paraId="06D7FC8B" w14:textId="77777777" w:rsidR="00187ABF" w:rsidRDefault="00187ABF" w:rsidP="00AB074C">
            <w:pPr>
              <w:snapToGrid w:val="0"/>
              <w:rPr>
                <w:sz w:val="16"/>
                <w:szCs w:val="16"/>
                <w:lang w:eastAsia="en-GB"/>
              </w:rPr>
            </w:pPr>
          </w:p>
        </w:tc>
        <w:tc>
          <w:tcPr>
            <w:tcW w:w="1519" w:type="dxa"/>
            <w:tcBorders>
              <w:left w:val="single" w:sz="4" w:space="0" w:color="auto"/>
              <w:bottom w:val="single" w:sz="6" w:space="0" w:color="auto"/>
              <w:right w:val="single" w:sz="4" w:space="0" w:color="auto"/>
            </w:tcBorders>
          </w:tcPr>
          <w:p w14:paraId="270016BF" w14:textId="77777777" w:rsidR="00187ABF" w:rsidRDefault="00187ABF" w:rsidP="00AB074C">
            <w:pPr>
              <w:snapToGrid w:val="0"/>
              <w:rPr>
                <w:sz w:val="16"/>
                <w:szCs w:val="16"/>
                <w:lang w:eastAsia="en-GB"/>
              </w:rPr>
            </w:pPr>
          </w:p>
        </w:tc>
        <w:tc>
          <w:tcPr>
            <w:tcW w:w="1519" w:type="dxa"/>
            <w:tcBorders>
              <w:left w:val="single" w:sz="4" w:space="0" w:color="auto"/>
              <w:bottom w:val="single" w:sz="6" w:space="0" w:color="auto"/>
              <w:right w:val="single" w:sz="4" w:space="0" w:color="auto"/>
            </w:tcBorders>
          </w:tcPr>
          <w:p w14:paraId="49756458" w14:textId="77777777" w:rsidR="00187ABF" w:rsidRDefault="00187ABF" w:rsidP="00AB074C">
            <w:pPr>
              <w:snapToGrid w:val="0"/>
              <w:rPr>
                <w:sz w:val="16"/>
                <w:szCs w:val="16"/>
                <w:lang w:eastAsia="en-GB"/>
              </w:rPr>
            </w:pPr>
          </w:p>
        </w:tc>
        <w:tc>
          <w:tcPr>
            <w:tcW w:w="1518" w:type="dxa"/>
            <w:tcBorders>
              <w:left w:val="single" w:sz="4" w:space="0" w:color="auto"/>
              <w:bottom w:val="single" w:sz="6" w:space="0" w:color="auto"/>
              <w:right w:val="single" w:sz="4" w:space="0" w:color="auto"/>
            </w:tcBorders>
          </w:tcPr>
          <w:p w14:paraId="37975E55" w14:textId="77777777" w:rsidR="00187ABF" w:rsidRDefault="00187ABF" w:rsidP="00AB074C">
            <w:pPr>
              <w:snapToGrid w:val="0"/>
              <w:rPr>
                <w:sz w:val="16"/>
                <w:szCs w:val="16"/>
                <w:lang w:eastAsia="en-GB"/>
              </w:rPr>
            </w:pPr>
          </w:p>
        </w:tc>
        <w:tc>
          <w:tcPr>
            <w:tcW w:w="1519" w:type="dxa"/>
            <w:tcBorders>
              <w:left w:val="single" w:sz="4" w:space="0" w:color="auto"/>
              <w:bottom w:val="single" w:sz="6" w:space="0" w:color="auto"/>
              <w:right w:val="single" w:sz="4" w:space="0" w:color="auto"/>
            </w:tcBorders>
          </w:tcPr>
          <w:p w14:paraId="450ABEF7" w14:textId="77777777" w:rsidR="00187ABF" w:rsidRDefault="00187ABF" w:rsidP="00AB074C">
            <w:pPr>
              <w:snapToGrid w:val="0"/>
              <w:rPr>
                <w:sz w:val="16"/>
                <w:szCs w:val="16"/>
                <w:lang w:eastAsia="en-GB"/>
              </w:rPr>
            </w:pPr>
          </w:p>
        </w:tc>
        <w:tc>
          <w:tcPr>
            <w:tcW w:w="1519" w:type="dxa"/>
            <w:tcBorders>
              <w:left w:val="single" w:sz="4" w:space="0" w:color="auto"/>
              <w:bottom w:val="single" w:sz="6" w:space="0" w:color="auto"/>
              <w:right w:val="single" w:sz="4" w:space="0" w:color="auto"/>
            </w:tcBorders>
          </w:tcPr>
          <w:p w14:paraId="484CECA3" w14:textId="77777777" w:rsidR="00187ABF" w:rsidRDefault="00187ABF" w:rsidP="00AB074C">
            <w:pPr>
              <w:snapToGrid w:val="0"/>
              <w:rPr>
                <w:sz w:val="16"/>
                <w:szCs w:val="16"/>
                <w:lang w:eastAsia="en-GB"/>
              </w:rPr>
            </w:pPr>
          </w:p>
        </w:tc>
        <w:tc>
          <w:tcPr>
            <w:tcW w:w="1519" w:type="dxa"/>
            <w:tcBorders>
              <w:left w:val="single" w:sz="4" w:space="0" w:color="auto"/>
              <w:bottom w:val="single" w:sz="6" w:space="0" w:color="auto"/>
              <w:right w:val="single" w:sz="4" w:space="0" w:color="auto"/>
            </w:tcBorders>
          </w:tcPr>
          <w:p w14:paraId="4A1EFA10" w14:textId="77777777" w:rsidR="00187ABF" w:rsidRDefault="00187ABF" w:rsidP="00AB074C">
            <w:pPr>
              <w:snapToGrid w:val="0"/>
              <w:rPr>
                <w:sz w:val="16"/>
                <w:szCs w:val="16"/>
                <w:lang w:eastAsia="en-GB"/>
              </w:rPr>
            </w:pPr>
          </w:p>
        </w:tc>
      </w:tr>
      <w:tr w:rsidR="00187ABF" w14:paraId="458027D2" w14:textId="77777777" w:rsidTr="00AB074C">
        <w:tc>
          <w:tcPr>
            <w:tcW w:w="1276" w:type="dxa"/>
            <w:tcBorders>
              <w:top w:val="single" w:sz="6" w:space="0" w:color="auto"/>
              <w:left w:val="nil"/>
              <w:bottom w:val="single" w:sz="6" w:space="0" w:color="auto"/>
              <w:right w:val="single" w:sz="4" w:space="0" w:color="auto"/>
            </w:tcBorders>
          </w:tcPr>
          <w:p w14:paraId="49DFA5FC" w14:textId="77777777" w:rsidR="00187ABF" w:rsidRDefault="00187ABF" w:rsidP="00AB074C">
            <w:pPr>
              <w:snapToGrid w:val="0"/>
              <w:rPr>
                <w:sz w:val="16"/>
                <w:szCs w:val="16"/>
                <w:lang w:eastAsia="en-GB"/>
              </w:rPr>
            </w:pPr>
            <w:r>
              <w:rPr>
                <w:sz w:val="16"/>
                <w:szCs w:val="16"/>
                <w:lang w:eastAsia="en-GB"/>
              </w:rPr>
              <w:t>Portfolio (iii)…</w:t>
            </w:r>
          </w:p>
        </w:tc>
        <w:tc>
          <w:tcPr>
            <w:tcW w:w="1985" w:type="dxa"/>
            <w:tcBorders>
              <w:top w:val="single" w:sz="6" w:space="0" w:color="auto"/>
              <w:left w:val="single" w:sz="4" w:space="0" w:color="auto"/>
              <w:bottom w:val="single" w:sz="6" w:space="0" w:color="auto"/>
              <w:right w:val="single" w:sz="4" w:space="0" w:color="auto"/>
            </w:tcBorders>
          </w:tcPr>
          <w:p w14:paraId="23EFA28B" w14:textId="77777777" w:rsidR="00187ABF" w:rsidRDefault="00187ABF" w:rsidP="00AB074C">
            <w:pPr>
              <w:snapToGrid w:val="0"/>
              <w:jc w:val="center"/>
              <w:rPr>
                <w:sz w:val="16"/>
                <w:szCs w:val="16"/>
                <w:lang w:eastAsia="en-GB"/>
              </w:rPr>
            </w:pPr>
            <w:r>
              <w:rPr>
                <w:sz w:val="16"/>
                <w:szCs w:val="16"/>
                <w:lang w:eastAsia="en-GB"/>
              </w:rPr>
              <w:t>…</w:t>
            </w:r>
          </w:p>
        </w:tc>
        <w:tc>
          <w:tcPr>
            <w:tcW w:w="1518" w:type="dxa"/>
            <w:tcBorders>
              <w:top w:val="single" w:sz="6" w:space="0" w:color="auto"/>
              <w:left w:val="single" w:sz="4" w:space="0" w:color="auto"/>
              <w:bottom w:val="single" w:sz="6" w:space="0" w:color="auto"/>
              <w:right w:val="single" w:sz="4" w:space="0" w:color="auto"/>
            </w:tcBorders>
          </w:tcPr>
          <w:p w14:paraId="3B3B7AD9" w14:textId="77777777" w:rsidR="00187ABF" w:rsidRDefault="00187ABF" w:rsidP="00AB074C">
            <w:pPr>
              <w:snapToGrid w:val="0"/>
              <w:rPr>
                <w:sz w:val="16"/>
                <w:szCs w:val="16"/>
                <w:lang w:eastAsia="en-GB"/>
              </w:rPr>
            </w:pPr>
          </w:p>
        </w:tc>
        <w:tc>
          <w:tcPr>
            <w:tcW w:w="1519" w:type="dxa"/>
            <w:tcBorders>
              <w:top w:val="single" w:sz="6" w:space="0" w:color="auto"/>
              <w:left w:val="single" w:sz="4" w:space="0" w:color="auto"/>
              <w:bottom w:val="single" w:sz="6" w:space="0" w:color="auto"/>
              <w:right w:val="single" w:sz="4" w:space="0" w:color="auto"/>
            </w:tcBorders>
          </w:tcPr>
          <w:p w14:paraId="73E4B431" w14:textId="77777777" w:rsidR="00187ABF" w:rsidRDefault="00187ABF" w:rsidP="00AB074C">
            <w:pPr>
              <w:snapToGrid w:val="0"/>
              <w:rPr>
                <w:sz w:val="16"/>
                <w:szCs w:val="16"/>
                <w:lang w:eastAsia="en-GB"/>
              </w:rPr>
            </w:pPr>
          </w:p>
        </w:tc>
        <w:tc>
          <w:tcPr>
            <w:tcW w:w="1519" w:type="dxa"/>
            <w:tcBorders>
              <w:top w:val="single" w:sz="6" w:space="0" w:color="auto"/>
              <w:left w:val="single" w:sz="4" w:space="0" w:color="auto"/>
              <w:bottom w:val="single" w:sz="6" w:space="0" w:color="auto"/>
              <w:right w:val="single" w:sz="4" w:space="0" w:color="auto"/>
            </w:tcBorders>
          </w:tcPr>
          <w:p w14:paraId="27E1A214" w14:textId="77777777" w:rsidR="00187ABF" w:rsidRDefault="00187ABF" w:rsidP="00AB074C">
            <w:pPr>
              <w:snapToGrid w:val="0"/>
              <w:rPr>
                <w:sz w:val="16"/>
                <w:szCs w:val="16"/>
                <w:lang w:eastAsia="en-GB"/>
              </w:rPr>
            </w:pPr>
          </w:p>
        </w:tc>
        <w:tc>
          <w:tcPr>
            <w:tcW w:w="1518" w:type="dxa"/>
            <w:tcBorders>
              <w:top w:val="single" w:sz="6" w:space="0" w:color="auto"/>
              <w:left w:val="single" w:sz="4" w:space="0" w:color="auto"/>
              <w:bottom w:val="single" w:sz="6" w:space="0" w:color="auto"/>
              <w:right w:val="single" w:sz="4" w:space="0" w:color="auto"/>
            </w:tcBorders>
          </w:tcPr>
          <w:p w14:paraId="1613B0DC" w14:textId="77777777" w:rsidR="00187ABF" w:rsidRDefault="00187ABF" w:rsidP="00AB074C">
            <w:pPr>
              <w:snapToGrid w:val="0"/>
              <w:rPr>
                <w:sz w:val="16"/>
                <w:szCs w:val="16"/>
                <w:lang w:eastAsia="en-GB"/>
              </w:rPr>
            </w:pPr>
          </w:p>
        </w:tc>
        <w:tc>
          <w:tcPr>
            <w:tcW w:w="1519" w:type="dxa"/>
            <w:tcBorders>
              <w:top w:val="single" w:sz="6" w:space="0" w:color="auto"/>
              <w:left w:val="single" w:sz="4" w:space="0" w:color="auto"/>
              <w:bottom w:val="single" w:sz="6" w:space="0" w:color="auto"/>
              <w:right w:val="single" w:sz="4" w:space="0" w:color="auto"/>
            </w:tcBorders>
          </w:tcPr>
          <w:p w14:paraId="0C74A85D" w14:textId="77777777" w:rsidR="00187ABF" w:rsidRDefault="00187ABF" w:rsidP="00AB074C">
            <w:pPr>
              <w:snapToGrid w:val="0"/>
              <w:rPr>
                <w:sz w:val="16"/>
                <w:szCs w:val="16"/>
                <w:lang w:eastAsia="en-GB"/>
              </w:rPr>
            </w:pPr>
          </w:p>
        </w:tc>
        <w:tc>
          <w:tcPr>
            <w:tcW w:w="1519" w:type="dxa"/>
            <w:tcBorders>
              <w:top w:val="single" w:sz="6" w:space="0" w:color="auto"/>
              <w:left w:val="single" w:sz="4" w:space="0" w:color="auto"/>
              <w:bottom w:val="single" w:sz="6" w:space="0" w:color="auto"/>
              <w:right w:val="single" w:sz="4" w:space="0" w:color="auto"/>
            </w:tcBorders>
          </w:tcPr>
          <w:p w14:paraId="726BB35A" w14:textId="77777777" w:rsidR="00187ABF" w:rsidRDefault="00187ABF" w:rsidP="00AB074C">
            <w:pPr>
              <w:snapToGrid w:val="0"/>
              <w:rPr>
                <w:sz w:val="16"/>
                <w:szCs w:val="16"/>
                <w:lang w:eastAsia="en-GB"/>
              </w:rPr>
            </w:pPr>
          </w:p>
        </w:tc>
        <w:tc>
          <w:tcPr>
            <w:tcW w:w="1519" w:type="dxa"/>
            <w:tcBorders>
              <w:top w:val="single" w:sz="6" w:space="0" w:color="auto"/>
              <w:left w:val="single" w:sz="4" w:space="0" w:color="auto"/>
              <w:bottom w:val="single" w:sz="6" w:space="0" w:color="auto"/>
              <w:right w:val="single" w:sz="4" w:space="0" w:color="auto"/>
            </w:tcBorders>
          </w:tcPr>
          <w:p w14:paraId="28CC6D0C" w14:textId="77777777" w:rsidR="00187ABF" w:rsidRDefault="00187ABF" w:rsidP="00AB074C">
            <w:pPr>
              <w:snapToGrid w:val="0"/>
              <w:rPr>
                <w:sz w:val="16"/>
                <w:szCs w:val="16"/>
                <w:lang w:eastAsia="en-GB"/>
              </w:rPr>
            </w:pPr>
          </w:p>
        </w:tc>
      </w:tr>
      <w:tr w:rsidR="00187ABF" w14:paraId="4EEE25D6" w14:textId="77777777" w:rsidTr="00AB074C">
        <w:tc>
          <w:tcPr>
            <w:tcW w:w="1276" w:type="dxa"/>
            <w:tcBorders>
              <w:top w:val="single" w:sz="6" w:space="0" w:color="auto"/>
              <w:left w:val="nil"/>
              <w:bottom w:val="single" w:sz="6" w:space="0" w:color="auto"/>
              <w:right w:val="single" w:sz="4" w:space="0" w:color="auto"/>
            </w:tcBorders>
          </w:tcPr>
          <w:p w14:paraId="6084818C" w14:textId="77777777" w:rsidR="00187ABF" w:rsidRDefault="00187ABF" w:rsidP="00AB074C">
            <w:pPr>
              <w:snapToGrid w:val="0"/>
              <w:rPr>
                <w:sz w:val="16"/>
                <w:szCs w:val="16"/>
                <w:lang w:eastAsia="en-GB"/>
              </w:rPr>
            </w:pPr>
            <w:r>
              <w:rPr>
                <w:sz w:val="16"/>
                <w:szCs w:val="16"/>
                <w:lang w:eastAsia="en-GB"/>
              </w:rPr>
              <w:t>Portfolio (iv)…</w:t>
            </w:r>
          </w:p>
        </w:tc>
        <w:tc>
          <w:tcPr>
            <w:tcW w:w="1985" w:type="dxa"/>
            <w:tcBorders>
              <w:top w:val="single" w:sz="6" w:space="0" w:color="auto"/>
              <w:left w:val="single" w:sz="4" w:space="0" w:color="auto"/>
              <w:bottom w:val="single" w:sz="6" w:space="0" w:color="auto"/>
              <w:right w:val="single" w:sz="4" w:space="0" w:color="auto"/>
            </w:tcBorders>
          </w:tcPr>
          <w:p w14:paraId="566AC507" w14:textId="77777777" w:rsidR="00187ABF" w:rsidRDefault="00187ABF" w:rsidP="00AB074C">
            <w:pPr>
              <w:snapToGrid w:val="0"/>
              <w:jc w:val="center"/>
              <w:rPr>
                <w:sz w:val="16"/>
                <w:szCs w:val="16"/>
                <w:lang w:eastAsia="en-GB"/>
              </w:rPr>
            </w:pPr>
            <w:r>
              <w:rPr>
                <w:sz w:val="16"/>
                <w:szCs w:val="16"/>
                <w:lang w:eastAsia="en-GB"/>
              </w:rPr>
              <w:t>…</w:t>
            </w:r>
          </w:p>
        </w:tc>
        <w:tc>
          <w:tcPr>
            <w:tcW w:w="1518" w:type="dxa"/>
            <w:tcBorders>
              <w:top w:val="single" w:sz="6" w:space="0" w:color="auto"/>
              <w:left w:val="single" w:sz="4" w:space="0" w:color="auto"/>
              <w:bottom w:val="single" w:sz="6" w:space="0" w:color="auto"/>
              <w:right w:val="single" w:sz="4" w:space="0" w:color="auto"/>
            </w:tcBorders>
          </w:tcPr>
          <w:p w14:paraId="59159055" w14:textId="77777777" w:rsidR="00187ABF" w:rsidRDefault="00187ABF" w:rsidP="00AB074C">
            <w:pPr>
              <w:snapToGrid w:val="0"/>
              <w:rPr>
                <w:sz w:val="16"/>
                <w:szCs w:val="16"/>
                <w:lang w:eastAsia="en-GB"/>
              </w:rPr>
            </w:pPr>
          </w:p>
        </w:tc>
        <w:tc>
          <w:tcPr>
            <w:tcW w:w="1519" w:type="dxa"/>
            <w:tcBorders>
              <w:top w:val="single" w:sz="6" w:space="0" w:color="auto"/>
              <w:left w:val="single" w:sz="4" w:space="0" w:color="auto"/>
              <w:bottom w:val="single" w:sz="6" w:space="0" w:color="auto"/>
              <w:right w:val="single" w:sz="4" w:space="0" w:color="auto"/>
            </w:tcBorders>
          </w:tcPr>
          <w:p w14:paraId="2B4EF136" w14:textId="77777777" w:rsidR="00187ABF" w:rsidRDefault="00187ABF" w:rsidP="00AB074C">
            <w:pPr>
              <w:snapToGrid w:val="0"/>
              <w:rPr>
                <w:sz w:val="16"/>
                <w:szCs w:val="16"/>
                <w:lang w:eastAsia="en-GB"/>
              </w:rPr>
            </w:pPr>
          </w:p>
        </w:tc>
        <w:tc>
          <w:tcPr>
            <w:tcW w:w="1519" w:type="dxa"/>
            <w:tcBorders>
              <w:top w:val="single" w:sz="6" w:space="0" w:color="auto"/>
              <w:left w:val="single" w:sz="4" w:space="0" w:color="auto"/>
              <w:bottom w:val="single" w:sz="6" w:space="0" w:color="auto"/>
              <w:right w:val="single" w:sz="4" w:space="0" w:color="auto"/>
            </w:tcBorders>
          </w:tcPr>
          <w:p w14:paraId="0E88606A" w14:textId="77777777" w:rsidR="00187ABF" w:rsidRDefault="00187ABF" w:rsidP="00AB074C">
            <w:pPr>
              <w:snapToGrid w:val="0"/>
              <w:rPr>
                <w:sz w:val="16"/>
                <w:szCs w:val="16"/>
                <w:lang w:eastAsia="en-GB"/>
              </w:rPr>
            </w:pPr>
          </w:p>
        </w:tc>
        <w:tc>
          <w:tcPr>
            <w:tcW w:w="1518" w:type="dxa"/>
            <w:tcBorders>
              <w:top w:val="single" w:sz="6" w:space="0" w:color="auto"/>
              <w:left w:val="single" w:sz="4" w:space="0" w:color="auto"/>
              <w:bottom w:val="single" w:sz="6" w:space="0" w:color="auto"/>
              <w:right w:val="single" w:sz="4" w:space="0" w:color="auto"/>
            </w:tcBorders>
          </w:tcPr>
          <w:p w14:paraId="20E7740A" w14:textId="77777777" w:rsidR="00187ABF" w:rsidRDefault="00187ABF" w:rsidP="00AB074C">
            <w:pPr>
              <w:snapToGrid w:val="0"/>
              <w:rPr>
                <w:sz w:val="16"/>
                <w:szCs w:val="16"/>
                <w:lang w:eastAsia="en-GB"/>
              </w:rPr>
            </w:pPr>
          </w:p>
        </w:tc>
        <w:tc>
          <w:tcPr>
            <w:tcW w:w="1519" w:type="dxa"/>
            <w:tcBorders>
              <w:top w:val="single" w:sz="6" w:space="0" w:color="auto"/>
              <w:left w:val="single" w:sz="4" w:space="0" w:color="auto"/>
              <w:bottom w:val="single" w:sz="6" w:space="0" w:color="auto"/>
              <w:right w:val="single" w:sz="4" w:space="0" w:color="auto"/>
            </w:tcBorders>
          </w:tcPr>
          <w:p w14:paraId="6A5B5994" w14:textId="77777777" w:rsidR="00187ABF" w:rsidRDefault="00187ABF" w:rsidP="00AB074C">
            <w:pPr>
              <w:snapToGrid w:val="0"/>
              <w:rPr>
                <w:sz w:val="16"/>
                <w:szCs w:val="16"/>
                <w:lang w:eastAsia="en-GB"/>
              </w:rPr>
            </w:pPr>
          </w:p>
        </w:tc>
        <w:tc>
          <w:tcPr>
            <w:tcW w:w="1519" w:type="dxa"/>
            <w:tcBorders>
              <w:top w:val="single" w:sz="6" w:space="0" w:color="auto"/>
              <w:left w:val="single" w:sz="4" w:space="0" w:color="auto"/>
              <w:bottom w:val="single" w:sz="6" w:space="0" w:color="auto"/>
              <w:right w:val="single" w:sz="4" w:space="0" w:color="auto"/>
            </w:tcBorders>
          </w:tcPr>
          <w:p w14:paraId="4D887A93" w14:textId="77777777" w:rsidR="00187ABF" w:rsidRDefault="00187ABF" w:rsidP="00AB074C">
            <w:pPr>
              <w:snapToGrid w:val="0"/>
              <w:rPr>
                <w:sz w:val="16"/>
                <w:szCs w:val="16"/>
                <w:lang w:eastAsia="en-GB"/>
              </w:rPr>
            </w:pPr>
          </w:p>
        </w:tc>
        <w:tc>
          <w:tcPr>
            <w:tcW w:w="1519" w:type="dxa"/>
            <w:tcBorders>
              <w:top w:val="single" w:sz="6" w:space="0" w:color="auto"/>
              <w:left w:val="single" w:sz="4" w:space="0" w:color="auto"/>
              <w:bottom w:val="single" w:sz="6" w:space="0" w:color="auto"/>
              <w:right w:val="single" w:sz="4" w:space="0" w:color="auto"/>
            </w:tcBorders>
          </w:tcPr>
          <w:p w14:paraId="07D34441" w14:textId="77777777" w:rsidR="00187ABF" w:rsidRDefault="00187ABF" w:rsidP="00AB074C">
            <w:pPr>
              <w:snapToGrid w:val="0"/>
              <w:rPr>
                <w:sz w:val="16"/>
                <w:szCs w:val="16"/>
                <w:lang w:eastAsia="en-GB"/>
              </w:rPr>
            </w:pPr>
          </w:p>
        </w:tc>
      </w:tr>
      <w:tr w:rsidR="00187ABF" w14:paraId="0D3F15BD" w14:textId="77777777" w:rsidTr="00AB074C">
        <w:tc>
          <w:tcPr>
            <w:tcW w:w="3261" w:type="dxa"/>
            <w:gridSpan w:val="2"/>
            <w:tcBorders>
              <w:top w:val="single" w:sz="6" w:space="0" w:color="auto"/>
              <w:left w:val="nil"/>
              <w:bottom w:val="single" w:sz="4" w:space="0" w:color="auto"/>
              <w:right w:val="single" w:sz="4" w:space="0" w:color="auto"/>
            </w:tcBorders>
          </w:tcPr>
          <w:p w14:paraId="212E73BC" w14:textId="77777777" w:rsidR="00187ABF" w:rsidRDefault="00187ABF" w:rsidP="00AB074C">
            <w:pPr>
              <w:snapToGrid w:val="0"/>
              <w:rPr>
                <w:b/>
                <w:sz w:val="16"/>
                <w:szCs w:val="16"/>
                <w:lang w:eastAsia="en-GB"/>
              </w:rPr>
            </w:pPr>
            <w:r>
              <w:rPr>
                <w:b/>
                <w:sz w:val="16"/>
                <w:szCs w:val="16"/>
                <w:lang w:eastAsia="en-GB"/>
              </w:rPr>
              <w:t>Total (sum of all portfolios)</w:t>
            </w:r>
          </w:p>
        </w:tc>
        <w:tc>
          <w:tcPr>
            <w:tcW w:w="1518" w:type="dxa"/>
            <w:tcBorders>
              <w:top w:val="single" w:sz="6" w:space="0" w:color="auto"/>
              <w:left w:val="single" w:sz="4" w:space="0" w:color="auto"/>
              <w:bottom w:val="single" w:sz="4" w:space="0" w:color="auto"/>
              <w:right w:val="single" w:sz="4" w:space="0" w:color="auto"/>
            </w:tcBorders>
          </w:tcPr>
          <w:p w14:paraId="0E1AC9D8" w14:textId="77777777" w:rsidR="00187ABF" w:rsidRDefault="00187ABF" w:rsidP="00AB074C">
            <w:pPr>
              <w:snapToGrid w:val="0"/>
              <w:rPr>
                <w:sz w:val="16"/>
                <w:szCs w:val="16"/>
                <w:lang w:eastAsia="en-GB"/>
              </w:rPr>
            </w:pPr>
          </w:p>
        </w:tc>
        <w:tc>
          <w:tcPr>
            <w:tcW w:w="1519" w:type="dxa"/>
            <w:tcBorders>
              <w:top w:val="single" w:sz="6" w:space="0" w:color="auto"/>
              <w:left w:val="single" w:sz="4" w:space="0" w:color="auto"/>
              <w:bottom w:val="single" w:sz="4" w:space="0" w:color="auto"/>
              <w:right w:val="single" w:sz="4" w:space="0" w:color="auto"/>
            </w:tcBorders>
          </w:tcPr>
          <w:p w14:paraId="34BE0F14" w14:textId="77777777" w:rsidR="00187ABF" w:rsidRDefault="00187ABF" w:rsidP="00AB074C">
            <w:pPr>
              <w:snapToGrid w:val="0"/>
              <w:rPr>
                <w:sz w:val="16"/>
                <w:szCs w:val="16"/>
                <w:lang w:eastAsia="en-GB"/>
              </w:rPr>
            </w:pPr>
          </w:p>
        </w:tc>
        <w:tc>
          <w:tcPr>
            <w:tcW w:w="1519" w:type="dxa"/>
            <w:tcBorders>
              <w:top w:val="single" w:sz="6" w:space="0" w:color="auto"/>
              <w:left w:val="single" w:sz="4" w:space="0" w:color="auto"/>
              <w:bottom w:val="single" w:sz="4" w:space="0" w:color="auto"/>
              <w:right w:val="single" w:sz="4" w:space="0" w:color="auto"/>
            </w:tcBorders>
          </w:tcPr>
          <w:p w14:paraId="7A554129" w14:textId="77777777" w:rsidR="00187ABF" w:rsidRDefault="00187ABF" w:rsidP="00AB074C">
            <w:pPr>
              <w:snapToGrid w:val="0"/>
              <w:rPr>
                <w:sz w:val="16"/>
                <w:szCs w:val="16"/>
                <w:lang w:eastAsia="en-GB"/>
              </w:rPr>
            </w:pPr>
          </w:p>
        </w:tc>
        <w:tc>
          <w:tcPr>
            <w:tcW w:w="1518" w:type="dxa"/>
            <w:tcBorders>
              <w:top w:val="single" w:sz="6" w:space="0" w:color="auto"/>
              <w:left w:val="single" w:sz="4" w:space="0" w:color="auto"/>
              <w:bottom w:val="single" w:sz="4" w:space="0" w:color="auto"/>
              <w:right w:val="single" w:sz="4" w:space="0" w:color="auto"/>
            </w:tcBorders>
          </w:tcPr>
          <w:p w14:paraId="33B1CC5D" w14:textId="77777777" w:rsidR="00187ABF" w:rsidRDefault="00187ABF" w:rsidP="00AB074C">
            <w:pPr>
              <w:snapToGrid w:val="0"/>
              <w:rPr>
                <w:sz w:val="16"/>
                <w:szCs w:val="16"/>
                <w:lang w:eastAsia="en-GB"/>
              </w:rPr>
            </w:pPr>
          </w:p>
        </w:tc>
        <w:tc>
          <w:tcPr>
            <w:tcW w:w="1519" w:type="dxa"/>
            <w:tcBorders>
              <w:top w:val="single" w:sz="6" w:space="0" w:color="auto"/>
              <w:left w:val="single" w:sz="4" w:space="0" w:color="auto"/>
              <w:bottom w:val="single" w:sz="4" w:space="0" w:color="auto"/>
              <w:right w:val="single" w:sz="4" w:space="0" w:color="auto"/>
            </w:tcBorders>
          </w:tcPr>
          <w:p w14:paraId="46F9D909" w14:textId="77777777" w:rsidR="00187ABF" w:rsidRDefault="00187ABF" w:rsidP="00AB074C">
            <w:pPr>
              <w:snapToGrid w:val="0"/>
              <w:rPr>
                <w:sz w:val="16"/>
                <w:szCs w:val="16"/>
                <w:lang w:eastAsia="en-GB"/>
              </w:rPr>
            </w:pPr>
          </w:p>
        </w:tc>
        <w:tc>
          <w:tcPr>
            <w:tcW w:w="1519" w:type="dxa"/>
            <w:tcBorders>
              <w:top w:val="single" w:sz="6" w:space="0" w:color="auto"/>
              <w:left w:val="single" w:sz="4" w:space="0" w:color="auto"/>
              <w:bottom w:val="single" w:sz="4" w:space="0" w:color="auto"/>
              <w:right w:val="single" w:sz="4" w:space="0" w:color="auto"/>
            </w:tcBorders>
          </w:tcPr>
          <w:p w14:paraId="7A081285" w14:textId="77777777" w:rsidR="00187ABF" w:rsidRDefault="00187ABF" w:rsidP="00AB074C">
            <w:pPr>
              <w:snapToGrid w:val="0"/>
              <w:rPr>
                <w:sz w:val="16"/>
                <w:szCs w:val="16"/>
                <w:lang w:eastAsia="en-GB"/>
              </w:rPr>
            </w:pPr>
          </w:p>
        </w:tc>
        <w:tc>
          <w:tcPr>
            <w:tcW w:w="1519" w:type="dxa"/>
            <w:tcBorders>
              <w:top w:val="single" w:sz="6" w:space="0" w:color="auto"/>
              <w:left w:val="single" w:sz="4" w:space="0" w:color="auto"/>
              <w:bottom w:val="single" w:sz="4" w:space="0" w:color="auto"/>
              <w:right w:val="single" w:sz="4" w:space="0" w:color="auto"/>
            </w:tcBorders>
          </w:tcPr>
          <w:p w14:paraId="22BB79DF" w14:textId="77777777" w:rsidR="00187ABF" w:rsidRDefault="00187ABF" w:rsidP="00AB074C">
            <w:pPr>
              <w:snapToGrid w:val="0"/>
              <w:rPr>
                <w:sz w:val="16"/>
                <w:szCs w:val="16"/>
                <w:lang w:eastAsia="en-GB"/>
              </w:rPr>
            </w:pPr>
          </w:p>
        </w:tc>
      </w:tr>
    </w:tbl>
    <w:p w14:paraId="4831B034" w14:textId="77777777" w:rsidR="00187ABF" w:rsidRDefault="00187ABF" w:rsidP="00187ABF">
      <w:pPr>
        <w:spacing w:before="40" w:after="40"/>
        <w:rPr>
          <w:sz w:val="22"/>
        </w:rPr>
      </w:pP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3041"/>
      </w:tblGrid>
      <w:tr w:rsidR="00187ABF" w14:paraId="2E9AAB20" w14:textId="77777777" w:rsidTr="00AB074C">
        <w:trPr>
          <w:cantSplit/>
          <w:tblHeader/>
        </w:trPr>
        <w:tc>
          <w:tcPr>
            <w:tcW w:w="13892" w:type="dxa"/>
            <w:gridSpan w:val="2"/>
            <w:shd w:val="clear" w:color="auto" w:fill="BFBFBF"/>
          </w:tcPr>
          <w:p w14:paraId="35418BBD" w14:textId="77777777" w:rsidR="00187ABF" w:rsidRDefault="00187ABF" w:rsidP="00AB074C">
            <w:pPr>
              <w:pStyle w:val="TableNote"/>
              <w:keepNext/>
              <w:spacing w:before="40" w:after="40"/>
              <w:rPr>
                <w:rFonts w:eastAsia="新細明體"/>
                <w:b/>
                <w:sz w:val="17"/>
                <w:szCs w:val="17"/>
                <w:lang w:eastAsia="en-GB"/>
              </w:rPr>
            </w:pPr>
            <w:r>
              <w:rPr>
                <w:rFonts w:eastAsia="新細明體"/>
                <w:b/>
                <w:sz w:val="17"/>
                <w:szCs w:val="17"/>
                <w:lang w:eastAsia="en-GB"/>
              </w:rPr>
              <w:lastRenderedPageBreak/>
              <w:t>Explanatory Note</w:t>
            </w:r>
          </w:p>
        </w:tc>
      </w:tr>
      <w:tr w:rsidR="00187ABF" w14:paraId="6B02A2EB" w14:textId="77777777" w:rsidTr="00AB074C">
        <w:trPr>
          <w:cantSplit/>
        </w:trPr>
        <w:tc>
          <w:tcPr>
            <w:tcW w:w="13892" w:type="dxa"/>
            <w:gridSpan w:val="2"/>
            <w:shd w:val="clear" w:color="auto" w:fill="F2F2F2"/>
          </w:tcPr>
          <w:p w14:paraId="7EA3BFD1" w14:textId="77777777" w:rsidR="00187ABF" w:rsidRDefault="00187ABF" w:rsidP="00AB074C">
            <w:pPr>
              <w:pStyle w:val="TableNote"/>
              <w:keepNext/>
              <w:spacing w:before="40" w:after="40"/>
              <w:rPr>
                <w:i/>
                <w:sz w:val="17"/>
                <w:szCs w:val="17"/>
              </w:rPr>
            </w:pPr>
            <w:r>
              <w:rPr>
                <w:rFonts w:eastAsia="新細明體"/>
                <w:b/>
                <w:sz w:val="17"/>
                <w:szCs w:val="17"/>
                <w:lang w:eastAsia="en-GB"/>
              </w:rPr>
              <w:t>Columns</w:t>
            </w:r>
          </w:p>
        </w:tc>
      </w:tr>
      <w:tr w:rsidR="00187ABF" w14:paraId="3F824BD8" w14:textId="77777777" w:rsidTr="00AB074C">
        <w:trPr>
          <w:cantSplit/>
        </w:trPr>
        <w:tc>
          <w:tcPr>
            <w:tcW w:w="851" w:type="dxa"/>
          </w:tcPr>
          <w:p w14:paraId="5F310416" w14:textId="77777777" w:rsidR="00187ABF" w:rsidRDefault="00187ABF" w:rsidP="00AB074C">
            <w:pPr>
              <w:pStyle w:val="TableNote"/>
              <w:keepNext/>
              <w:spacing w:before="40" w:after="40"/>
              <w:rPr>
                <w:rFonts w:cs="Segoe UI"/>
                <w:sz w:val="17"/>
                <w:szCs w:val="17"/>
                <w:lang w:eastAsia="en-GB"/>
              </w:rPr>
            </w:pPr>
            <w:r>
              <w:rPr>
                <w:i/>
                <w:sz w:val="17"/>
                <w:szCs w:val="17"/>
              </w:rPr>
              <w:t>PD scale</w:t>
            </w:r>
          </w:p>
        </w:tc>
        <w:tc>
          <w:tcPr>
            <w:tcW w:w="13041" w:type="dxa"/>
          </w:tcPr>
          <w:p w14:paraId="76769D6D" w14:textId="77777777" w:rsidR="00187ABF" w:rsidRDefault="00187ABF" w:rsidP="00AB074C">
            <w:pPr>
              <w:pStyle w:val="TableNote"/>
              <w:keepNext/>
              <w:spacing w:before="40" w:after="40"/>
              <w:rPr>
                <w:sz w:val="17"/>
                <w:szCs w:val="17"/>
              </w:rPr>
            </w:pPr>
            <w:r>
              <w:rPr>
                <w:sz w:val="17"/>
                <w:szCs w:val="17"/>
              </w:rPr>
              <w:t>PD scale should not be changed.  An AI should map the PD scale it uses in the calculations of RWA into the PD scale provided in the template.</w:t>
            </w:r>
          </w:p>
        </w:tc>
      </w:tr>
      <w:tr w:rsidR="00187ABF" w14:paraId="46E1CE16" w14:textId="77777777" w:rsidTr="00AB074C">
        <w:trPr>
          <w:cantSplit/>
        </w:trPr>
        <w:tc>
          <w:tcPr>
            <w:tcW w:w="851" w:type="dxa"/>
          </w:tcPr>
          <w:p w14:paraId="04A47105" w14:textId="77777777" w:rsidR="00187ABF" w:rsidRDefault="00187ABF" w:rsidP="00AB074C">
            <w:pPr>
              <w:pStyle w:val="TableNote"/>
              <w:keepNext/>
              <w:spacing w:before="40" w:after="40"/>
              <w:rPr>
                <w:rFonts w:cs="Segoe UI"/>
                <w:sz w:val="17"/>
                <w:szCs w:val="17"/>
                <w:lang w:eastAsia="en-GB"/>
              </w:rPr>
            </w:pPr>
            <w:r>
              <w:rPr>
                <w:rFonts w:cs="Segoe UI"/>
                <w:sz w:val="17"/>
                <w:szCs w:val="17"/>
                <w:lang w:eastAsia="en-GB"/>
              </w:rPr>
              <w:t>(a)</w:t>
            </w:r>
          </w:p>
        </w:tc>
        <w:tc>
          <w:tcPr>
            <w:tcW w:w="13041" w:type="dxa"/>
          </w:tcPr>
          <w:p w14:paraId="33906E3C" w14:textId="77777777" w:rsidR="00187ABF" w:rsidRDefault="00187ABF" w:rsidP="00AB074C">
            <w:pPr>
              <w:pStyle w:val="TableNote"/>
              <w:keepNext/>
              <w:spacing w:before="40" w:after="40"/>
              <w:rPr>
                <w:b/>
                <w:sz w:val="17"/>
                <w:szCs w:val="17"/>
                <w:lang w:eastAsia="en-GB"/>
              </w:rPr>
            </w:pPr>
            <w:r>
              <w:rPr>
                <w:i/>
                <w:sz w:val="17"/>
                <w:szCs w:val="17"/>
              </w:rPr>
              <w:t>EAD post-CRM</w:t>
            </w:r>
            <w:r>
              <w:rPr>
                <w:sz w:val="17"/>
                <w:szCs w:val="17"/>
              </w:rPr>
              <w:t>: the amount relevant to the capital requirements calculation using the applicable approach for counterparty credit risk, after the effect of recognized CRM but gross of accounting provisions.</w:t>
            </w:r>
          </w:p>
        </w:tc>
      </w:tr>
      <w:tr w:rsidR="00187ABF" w14:paraId="56607900" w14:textId="77777777" w:rsidTr="00AB074C">
        <w:trPr>
          <w:cantSplit/>
        </w:trPr>
        <w:tc>
          <w:tcPr>
            <w:tcW w:w="851" w:type="dxa"/>
          </w:tcPr>
          <w:p w14:paraId="5FABF71C" w14:textId="77777777" w:rsidR="00187ABF" w:rsidRDefault="00187ABF" w:rsidP="00AB074C">
            <w:pPr>
              <w:pStyle w:val="TableNote"/>
              <w:keepNext/>
              <w:spacing w:before="40" w:after="40"/>
              <w:rPr>
                <w:rFonts w:cs="Segoe UI"/>
                <w:sz w:val="17"/>
                <w:szCs w:val="17"/>
                <w:lang w:eastAsia="en-GB"/>
              </w:rPr>
            </w:pPr>
            <w:r>
              <w:rPr>
                <w:rFonts w:cs="Segoe UI"/>
                <w:sz w:val="17"/>
                <w:szCs w:val="17"/>
                <w:lang w:eastAsia="en-GB"/>
              </w:rPr>
              <w:t>(b)</w:t>
            </w:r>
          </w:p>
        </w:tc>
        <w:tc>
          <w:tcPr>
            <w:tcW w:w="13041" w:type="dxa"/>
          </w:tcPr>
          <w:p w14:paraId="6333D432" w14:textId="77777777" w:rsidR="00187ABF" w:rsidRDefault="00187ABF" w:rsidP="00AB074C">
            <w:pPr>
              <w:pStyle w:val="TableNote"/>
              <w:keepNext/>
              <w:spacing w:before="40" w:after="40"/>
              <w:rPr>
                <w:b/>
                <w:sz w:val="17"/>
                <w:szCs w:val="17"/>
                <w:lang w:eastAsia="en-GB"/>
              </w:rPr>
            </w:pPr>
            <w:r>
              <w:rPr>
                <w:i/>
                <w:sz w:val="17"/>
                <w:szCs w:val="17"/>
              </w:rPr>
              <w:t>Average PD</w:t>
            </w:r>
            <w:r>
              <w:rPr>
                <w:sz w:val="17"/>
                <w:szCs w:val="17"/>
              </w:rPr>
              <w:t>: the weighted average of obligor grade PD included in the same row, using the EAD of each obligor as the weight.</w:t>
            </w:r>
          </w:p>
        </w:tc>
      </w:tr>
      <w:tr w:rsidR="00187ABF" w14:paraId="2B200E18" w14:textId="77777777" w:rsidTr="00AB074C">
        <w:trPr>
          <w:cantSplit/>
        </w:trPr>
        <w:tc>
          <w:tcPr>
            <w:tcW w:w="851" w:type="dxa"/>
          </w:tcPr>
          <w:p w14:paraId="4E0ED1FC" w14:textId="77777777" w:rsidR="00187ABF" w:rsidRDefault="00187ABF" w:rsidP="00AB074C">
            <w:pPr>
              <w:pStyle w:val="TableNote"/>
              <w:keepNext/>
              <w:spacing w:before="40" w:after="40"/>
              <w:rPr>
                <w:rFonts w:cs="Segoe UI"/>
                <w:sz w:val="17"/>
                <w:szCs w:val="17"/>
                <w:lang w:eastAsia="en-GB"/>
              </w:rPr>
            </w:pPr>
            <w:r>
              <w:rPr>
                <w:rFonts w:cs="Segoe UI"/>
                <w:sz w:val="17"/>
                <w:szCs w:val="17"/>
                <w:lang w:eastAsia="en-GB"/>
              </w:rPr>
              <w:t>(c)</w:t>
            </w:r>
          </w:p>
        </w:tc>
        <w:tc>
          <w:tcPr>
            <w:tcW w:w="13041" w:type="dxa"/>
          </w:tcPr>
          <w:p w14:paraId="299A9A59" w14:textId="77777777" w:rsidR="00187ABF" w:rsidRDefault="00187ABF" w:rsidP="00AB074C">
            <w:pPr>
              <w:pStyle w:val="TableNote"/>
              <w:keepNext/>
              <w:spacing w:before="40" w:after="40"/>
              <w:rPr>
                <w:b/>
                <w:sz w:val="17"/>
                <w:szCs w:val="17"/>
                <w:lang w:eastAsia="en-GB"/>
              </w:rPr>
            </w:pPr>
            <w:r>
              <w:rPr>
                <w:i/>
                <w:sz w:val="17"/>
                <w:szCs w:val="17"/>
              </w:rPr>
              <w:t>Number of obligors</w:t>
            </w:r>
            <w:r>
              <w:rPr>
                <w:sz w:val="17"/>
                <w:szCs w:val="17"/>
              </w:rPr>
              <w:t>: the number of individual PDs included in the same row.  Approximation (round number) of obligor numbers is acceptable for disclosure purpose.</w:t>
            </w:r>
          </w:p>
        </w:tc>
      </w:tr>
      <w:tr w:rsidR="00187ABF" w14:paraId="0EE0501F" w14:textId="77777777" w:rsidTr="00AB074C">
        <w:trPr>
          <w:cantSplit/>
        </w:trPr>
        <w:tc>
          <w:tcPr>
            <w:tcW w:w="851" w:type="dxa"/>
          </w:tcPr>
          <w:p w14:paraId="07C96652" w14:textId="77777777" w:rsidR="00187ABF" w:rsidRDefault="00187ABF" w:rsidP="00AB074C">
            <w:pPr>
              <w:pStyle w:val="TableNote"/>
              <w:keepNext/>
              <w:spacing w:before="40" w:after="40"/>
              <w:rPr>
                <w:rFonts w:cs="Segoe UI"/>
                <w:sz w:val="17"/>
                <w:szCs w:val="17"/>
                <w:lang w:eastAsia="en-GB"/>
              </w:rPr>
            </w:pPr>
            <w:r>
              <w:rPr>
                <w:rFonts w:cs="Segoe UI"/>
                <w:sz w:val="17"/>
                <w:szCs w:val="17"/>
                <w:lang w:eastAsia="en-GB"/>
              </w:rPr>
              <w:t>(d)</w:t>
            </w:r>
          </w:p>
        </w:tc>
        <w:tc>
          <w:tcPr>
            <w:tcW w:w="13041" w:type="dxa"/>
          </w:tcPr>
          <w:p w14:paraId="546702B9" w14:textId="77777777" w:rsidR="00187ABF" w:rsidRDefault="00187ABF" w:rsidP="00AB074C">
            <w:pPr>
              <w:pStyle w:val="TableNote"/>
              <w:keepNext/>
              <w:spacing w:before="40" w:after="40"/>
              <w:rPr>
                <w:b/>
                <w:sz w:val="17"/>
                <w:szCs w:val="17"/>
                <w:lang w:eastAsia="en-GB"/>
              </w:rPr>
            </w:pPr>
            <w:r>
              <w:rPr>
                <w:i/>
                <w:sz w:val="17"/>
                <w:szCs w:val="17"/>
              </w:rPr>
              <w:t>Average LGD</w:t>
            </w:r>
            <w:r>
              <w:rPr>
                <w:sz w:val="17"/>
                <w:szCs w:val="17"/>
              </w:rPr>
              <w:t>: the weighted average of obligor grade LGD within the same PD band (or the same portfolio(s) for rows ‘sub-total’ and ‘total’ as appropriate), using the EAD of each obligor as the weight.  The LGD should be net of any effect of recognized CRM.</w:t>
            </w:r>
          </w:p>
        </w:tc>
      </w:tr>
      <w:tr w:rsidR="00187ABF" w14:paraId="74DCF525" w14:textId="77777777" w:rsidTr="00AB074C">
        <w:trPr>
          <w:cantSplit/>
        </w:trPr>
        <w:tc>
          <w:tcPr>
            <w:tcW w:w="851" w:type="dxa"/>
          </w:tcPr>
          <w:p w14:paraId="4E6E71BA" w14:textId="77777777" w:rsidR="00187ABF" w:rsidRDefault="00187ABF" w:rsidP="00AB074C">
            <w:pPr>
              <w:pStyle w:val="TableNote"/>
              <w:keepNext/>
              <w:spacing w:before="40" w:after="40"/>
              <w:rPr>
                <w:rFonts w:cs="Segoe UI"/>
                <w:sz w:val="17"/>
                <w:szCs w:val="17"/>
                <w:lang w:eastAsia="en-GB"/>
              </w:rPr>
            </w:pPr>
            <w:r>
              <w:rPr>
                <w:rFonts w:cs="Segoe UI"/>
                <w:sz w:val="17"/>
                <w:szCs w:val="17"/>
                <w:lang w:eastAsia="en-GB"/>
              </w:rPr>
              <w:t>(e)</w:t>
            </w:r>
          </w:p>
        </w:tc>
        <w:tc>
          <w:tcPr>
            <w:tcW w:w="13041" w:type="dxa"/>
          </w:tcPr>
          <w:p w14:paraId="7E0DDCCF" w14:textId="77777777" w:rsidR="00187ABF" w:rsidRDefault="00187ABF" w:rsidP="00AB074C">
            <w:pPr>
              <w:pStyle w:val="TableNote"/>
              <w:keepNext/>
              <w:spacing w:before="40" w:after="40"/>
              <w:rPr>
                <w:b/>
                <w:sz w:val="17"/>
                <w:szCs w:val="17"/>
                <w:lang w:eastAsia="en-GB"/>
              </w:rPr>
            </w:pPr>
            <w:r>
              <w:rPr>
                <w:i/>
                <w:sz w:val="17"/>
                <w:szCs w:val="17"/>
              </w:rPr>
              <w:t>Average maturity</w:t>
            </w:r>
            <w:r>
              <w:rPr>
                <w:sz w:val="17"/>
                <w:szCs w:val="17"/>
              </w:rPr>
              <w:t>: the weighted average of obligor maturity within the same PD band (or the same portfolio(s) for rows ‘sub-total’ and ‘total’ as appropriate), presented in years, using the EAD of each obligor as the weight.  This parameter needs to be filled in only when it is used for the RWA calculation.</w:t>
            </w:r>
          </w:p>
        </w:tc>
      </w:tr>
      <w:tr w:rsidR="00187ABF" w14:paraId="1A2C5E84" w14:textId="77777777" w:rsidTr="00AB074C">
        <w:trPr>
          <w:cantSplit/>
        </w:trPr>
        <w:tc>
          <w:tcPr>
            <w:tcW w:w="851" w:type="dxa"/>
          </w:tcPr>
          <w:p w14:paraId="5BB587B2" w14:textId="77777777" w:rsidR="00187ABF" w:rsidRDefault="00187ABF" w:rsidP="00AB074C">
            <w:pPr>
              <w:pStyle w:val="TableNote"/>
              <w:keepNext/>
              <w:spacing w:before="40" w:after="40"/>
              <w:rPr>
                <w:rFonts w:cs="Segoe UI"/>
                <w:sz w:val="17"/>
                <w:szCs w:val="17"/>
                <w:lang w:eastAsia="en-GB"/>
              </w:rPr>
            </w:pPr>
            <w:r>
              <w:rPr>
                <w:rFonts w:cs="Segoe UI"/>
                <w:sz w:val="17"/>
                <w:szCs w:val="17"/>
                <w:lang w:eastAsia="en-GB"/>
              </w:rPr>
              <w:t>(f)</w:t>
            </w:r>
          </w:p>
        </w:tc>
        <w:tc>
          <w:tcPr>
            <w:tcW w:w="13041" w:type="dxa"/>
          </w:tcPr>
          <w:p w14:paraId="5E23B039" w14:textId="77777777" w:rsidR="00187ABF" w:rsidRDefault="00187ABF" w:rsidP="00AB074C">
            <w:pPr>
              <w:pStyle w:val="TableNote"/>
              <w:keepNext/>
              <w:spacing w:before="40" w:after="40"/>
              <w:rPr>
                <w:b/>
                <w:sz w:val="17"/>
                <w:szCs w:val="17"/>
                <w:lang w:eastAsia="en-GB"/>
              </w:rPr>
            </w:pPr>
            <w:r>
              <w:rPr>
                <w:i/>
                <w:sz w:val="17"/>
                <w:szCs w:val="17"/>
                <w:lang w:eastAsia="en-GB"/>
              </w:rPr>
              <w:t>RWA</w:t>
            </w:r>
            <w:r>
              <w:rPr>
                <w:sz w:val="17"/>
                <w:szCs w:val="17"/>
                <w:lang w:eastAsia="en-GB"/>
              </w:rPr>
              <w:t xml:space="preserve">: the </w:t>
            </w:r>
            <w:r>
              <w:rPr>
                <w:rFonts w:cs="Segoe UI"/>
                <w:sz w:val="17"/>
                <w:szCs w:val="17"/>
              </w:rPr>
              <w:t xml:space="preserve">RWA </w:t>
            </w:r>
            <w:r>
              <w:rPr>
                <w:sz w:val="17"/>
                <w:szCs w:val="17"/>
              </w:rPr>
              <w:t>calculated</w:t>
            </w:r>
            <w:r>
              <w:rPr>
                <w:rFonts w:cs="Segoe UI"/>
                <w:sz w:val="17"/>
                <w:szCs w:val="17"/>
              </w:rPr>
              <w:t xml:space="preserve"> in accordance with Part 6 of the BCR.</w:t>
            </w:r>
          </w:p>
        </w:tc>
      </w:tr>
      <w:tr w:rsidR="00187ABF" w14:paraId="7121ED4D" w14:textId="77777777" w:rsidTr="00AB074C">
        <w:trPr>
          <w:cantSplit/>
        </w:trPr>
        <w:tc>
          <w:tcPr>
            <w:tcW w:w="851" w:type="dxa"/>
          </w:tcPr>
          <w:p w14:paraId="33329F55" w14:textId="77777777" w:rsidR="00187ABF" w:rsidRDefault="00187ABF" w:rsidP="00AB074C">
            <w:pPr>
              <w:pStyle w:val="TableNote"/>
              <w:keepNext/>
              <w:spacing w:before="40" w:after="40"/>
              <w:rPr>
                <w:rFonts w:cs="Segoe UI"/>
                <w:sz w:val="17"/>
                <w:szCs w:val="17"/>
                <w:lang w:eastAsia="en-GB"/>
              </w:rPr>
            </w:pPr>
            <w:r>
              <w:rPr>
                <w:rFonts w:cs="Segoe UI"/>
                <w:sz w:val="17"/>
                <w:szCs w:val="17"/>
                <w:lang w:eastAsia="en-GB"/>
              </w:rPr>
              <w:t>(g)</w:t>
            </w:r>
          </w:p>
        </w:tc>
        <w:tc>
          <w:tcPr>
            <w:tcW w:w="13041" w:type="dxa"/>
          </w:tcPr>
          <w:p w14:paraId="38174E41" w14:textId="77777777" w:rsidR="00187ABF" w:rsidRDefault="00187ABF" w:rsidP="00AB074C">
            <w:pPr>
              <w:pStyle w:val="TableNote"/>
              <w:keepNext/>
              <w:spacing w:before="40" w:after="40"/>
              <w:rPr>
                <w:b/>
                <w:sz w:val="17"/>
                <w:szCs w:val="17"/>
                <w:lang w:eastAsia="en-GB"/>
              </w:rPr>
            </w:pPr>
            <w:r>
              <w:rPr>
                <w:i/>
                <w:sz w:val="17"/>
                <w:szCs w:val="17"/>
              </w:rPr>
              <w:t>RWA density</w:t>
            </w:r>
            <w:r>
              <w:rPr>
                <w:sz w:val="17"/>
                <w:szCs w:val="17"/>
              </w:rPr>
              <w:t>: this is derived from total RWA in column (f) divided by EAD post-CRM in column (a).  The resultant ratio should be expressed in percentage.</w:t>
            </w:r>
          </w:p>
        </w:tc>
      </w:tr>
    </w:tbl>
    <w:p w14:paraId="3D998D12" w14:textId="77777777" w:rsidR="00187ABF" w:rsidRDefault="00187ABF" w:rsidP="00187ABF">
      <w:pPr>
        <w:spacing w:before="40" w:after="40"/>
        <w:jc w:val="both"/>
        <w:rPr>
          <w:sz w:val="22"/>
        </w:rPr>
      </w:pPr>
    </w:p>
    <w:p w14:paraId="663D70A8" w14:textId="77777777" w:rsidR="00187ABF" w:rsidRPr="00187ABF" w:rsidRDefault="00187ABF" w:rsidP="00187ABF"/>
    <w:p w14:paraId="0C0FE65C" w14:textId="1A381E58" w:rsidR="003E7930" w:rsidRDefault="003E7930" w:rsidP="002A0515">
      <w:pPr>
        <w:spacing w:before="40" w:after="40"/>
        <w:jc w:val="both"/>
        <w:rPr>
          <w:sz w:val="22"/>
        </w:rPr>
      </w:pPr>
    </w:p>
    <w:p w14:paraId="478E9775" w14:textId="77777777" w:rsidR="003E7930" w:rsidRDefault="003E7930" w:rsidP="002A0515">
      <w:pPr>
        <w:spacing w:before="40" w:after="40"/>
        <w:jc w:val="both"/>
        <w:rPr>
          <w:sz w:val="22"/>
        </w:rPr>
        <w:sectPr w:rsidR="003E7930" w:rsidSect="00187ABF">
          <w:footerReference w:type="default" r:id="rId60"/>
          <w:pgSz w:w="16838" w:h="11906" w:orient="landscape" w:code="9"/>
          <w:pgMar w:top="1418" w:right="1440" w:bottom="1797" w:left="1440" w:header="851" w:footer="737" w:gutter="0"/>
          <w:cols w:space="425"/>
          <w:docGrid w:type="linesAndChars" w:linePitch="360"/>
        </w:sectPr>
      </w:pPr>
    </w:p>
    <w:p w14:paraId="56CC455D" w14:textId="4ED2B110" w:rsidR="002A0515" w:rsidRDefault="00C320AA" w:rsidP="002F4F5C">
      <w:pPr>
        <w:pStyle w:val="Heading2"/>
        <w:ind w:right="-340"/>
        <w:jc w:val="both"/>
      </w:pPr>
      <w:r>
        <w:lastRenderedPageBreak/>
        <w:t xml:space="preserve">Template CCR5: Composition of collateral </w:t>
      </w:r>
      <w:r w:rsidR="00187ABF" w:rsidRPr="00B03D96">
        <w:t>for counterparty credit risk exposures</w:t>
      </w:r>
      <w:r w:rsidR="00187ABF">
        <w:t xml:space="preserve"> </w:t>
      </w:r>
      <w:r>
        <w:t>(including those for contracts or transactions cleared through CCPs)</w:t>
      </w:r>
    </w:p>
    <w:tbl>
      <w:tblPr>
        <w:tblW w:w="9498" w:type="dxa"/>
        <w:tblInd w:w="-426"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269"/>
        <w:gridCol w:w="7229"/>
      </w:tblGrid>
      <w:tr w:rsidR="00187ABF" w14:paraId="04E4D255" w14:textId="77777777" w:rsidTr="006F6AE4">
        <w:tc>
          <w:tcPr>
            <w:tcW w:w="2269" w:type="dxa"/>
          </w:tcPr>
          <w:p w14:paraId="7571A809" w14:textId="77777777" w:rsidR="00187ABF" w:rsidRDefault="00187ABF" w:rsidP="00AB074C">
            <w:pPr>
              <w:spacing w:before="40" w:after="40"/>
              <w:rPr>
                <w:noProof/>
                <w:sz w:val="17"/>
                <w:lang w:eastAsia="en-GB"/>
              </w:rPr>
            </w:pPr>
            <w:r>
              <w:rPr>
                <w:b/>
                <w:sz w:val="17"/>
                <w:lang w:eastAsia="en-GB"/>
              </w:rPr>
              <w:t>Purpose:</w:t>
            </w:r>
            <w:r>
              <w:rPr>
                <w:sz w:val="17"/>
                <w:lang w:eastAsia="en-GB"/>
              </w:rPr>
              <w:t xml:space="preserve"> </w:t>
            </w:r>
          </w:p>
        </w:tc>
        <w:tc>
          <w:tcPr>
            <w:tcW w:w="7229" w:type="dxa"/>
          </w:tcPr>
          <w:p w14:paraId="24484DFE" w14:textId="34235D52" w:rsidR="00187ABF" w:rsidRDefault="00187ABF" w:rsidP="00AB074C">
            <w:pPr>
              <w:pStyle w:val="TableText"/>
              <w:jc w:val="both"/>
              <w:rPr>
                <w:lang w:eastAsia="en-GB"/>
              </w:rPr>
            </w:pPr>
            <w:r>
              <w:rPr>
                <w:lang w:eastAsia="en-GB"/>
              </w:rPr>
              <w:t xml:space="preserve">To provide a breakdown of all types of collateral posted or recognized </w:t>
            </w:r>
            <w:r>
              <w:rPr>
                <w:rFonts w:eastAsia="新細明體"/>
                <w:szCs w:val="17"/>
                <w:lang w:eastAsia="en-GB"/>
              </w:rPr>
              <w:t>collateral</w:t>
            </w:r>
            <w:r>
              <w:rPr>
                <w:lang w:eastAsia="en-GB"/>
              </w:rPr>
              <w:t xml:space="preserve"> received to support or reduce </w:t>
            </w:r>
            <w:r w:rsidRPr="00AF458A">
              <w:rPr>
                <w:lang w:eastAsia="en-GB"/>
              </w:rPr>
              <w:t xml:space="preserve">counterparty </w:t>
            </w:r>
            <w:r>
              <w:rPr>
                <w:lang w:eastAsia="en-GB"/>
              </w:rPr>
              <w:t>credit</w:t>
            </w:r>
            <w:r w:rsidRPr="00AF458A">
              <w:rPr>
                <w:lang w:eastAsia="en-GB"/>
              </w:rPr>
              <w:t xml:space="preserve"> risk</w:t>
            </w:r>
            <w:r>
              <w:rPr>
                <w:lang w:eastAsia="en-GB"/>
              </w:rPr>
              <w:t xml:space="preserve"> exposures in respect of derivative contracts or SFTs entered into, including contracts or transactions cleared through a CCP.</w:t>
            </w:r>
          </w:p>
        </w:tc>
      </w:tr>
      <w:tr w:rsidR="00187ABF" w14:paraId="6A3525BF" w14:textId="77777777" w:rsidTr="006F6AE4">
        <w:tc>
          <w:tcPr>
            <w:tcW w:w="2269" w:type="dxa"/>
          </w:tcPr>
          <w:p w14:paraId="5965BE2D" w14:textId="77777777" w:rsidR="00187ABF" w:rsidRDefault="00187ABF" w:rsidP="00AB074C">
            <w:pPr>
              <w:spacing w:before="40" w:after="40"/>
              <w:rPr>
                <w:b/>
                <w:sz w:val="17"/>
                <w:lang w:eastAsia="en-GB"/>
              </w:rPr>
            </w:pPr>
            <w:r>
              <w:rPr>
                <w:b/>
                <w:sz w:val="17"/>
                <w:lang w:eastAsia="en-GB"/>
              </w:rPr>
              <w:t xml:space="preserve">Scope of application: </w:t>
            </w:r>
          </w:p>
        </w:tc>
        <w:tc>
          <w:tcPr>
            <w:tcW w:w="7229" w:type="dxa"/>
          </w:tcPr>
          <w:p w14:paraId="2F3DA023" w14:textId="77777777" w:rsidR="00187ABF" w:rsidRDefault="00187ABF" w:rsidP="00AB074C">
            <w:pPr>
              <w:spacing w:before="40" w:after="40"/>
              <w:jc w:val="both"/>
              <w:rPr>
                <w:rFonts w:eastAsia="新細明體"/>
                <w:b/>
                <w:sz w:val="17"/>
                <w:lang w:eastAsia="en-GB"/>
              </w:rPr>
            </w:pPr>
            <w:r>
              <w:rPr>
                <w:rFonts w:eastAsia="新細明體"/>
                <w:sz w:val="17"/>
                <w:lang w:eastAsia="en-GB"/>
              </w:rPr>
              <w:t>The template is mandatory for all AIs</w:t>
            </w:r>
            <w:r>
              <w:t xml:space="preserve"> </w:t>
            </w:r>
            <w:r>
              <w:rPr>
                <w:rFonts w:eastAsia="新細明體"/>
                <w:sz w:val="17"/>
                <w:lang w:eastAsia="en-GB"/>
              </w:rPr>
              <w:t>incorporated in Hong Kong.</w:t>
            </w:r>
          </w:p>
        </w:tc>
      </w:tr>
      <w:tr w:rsidR="00187ABF" w14:paraId="069DA37C" w14:textId="77777777" w:rsidTr="006F6AE4">
        <w:tc>
          <w:tcPr>
            <w:tcW w:w="2269" w:type="dxa"/>
          </w:tcPr>
          <w:p w14:paraId="13F5F1B9" w14:textId="77777777" w:rsidR="00187ABF" w:rsidRDefault="00187ABF" w:rsidP="00AB074C">
            <w:pPr>
              <w:spacing w:before="40" w:after="40"/>
              <w:rPr>
                <w:b/>
                <w:sz w:val="17"/>
                <w:lang w:eastAsia="en-GB"/>
              </w:rPr>
            </w:pPr>
            <w:r>
              <w:rPr>
                <w:b/>
                <w:sz w:val="17"/>
                <w:lang w:eastAsia="en-GB"/>
              </w:rPr>
              <w:t xml:space="preserve">Content: </w:t>
            </w:r>
          </w:p>
        </w:tc>
        <w:tc>
          <w:tcPr>
            <w:tcW w:w="7229" w:type="dxa"/>
          </w:tcPr>
          <w:p w14:paraId="5D46F7CF" w14:textId="77777777" w:rsidR="00187ABF" w:rsidRDefault="00187ABF" w:rsidP="00AB074C">
            <w:pPr>
              <w:spacing w:before="40" w:after="40"/>
              <w:jc w:val="both"/>
              <w:rPr>
                <w:rFonts w:eastAsia="新細明體"/>
                <w:b/>
                <w:sz w:val="17"/>
                <w:szCs w:val="17"/>
                <w:lang w:eastAsia="en-GB"/>
              </w:rPr>
            </w:pPr>
            <w:r>
              <w:rPr>
                <w:rFonts w:cs="Segoe UI"/>
                <w:sz w:val="17"/>
                <w:szCs w:val="17"/>
                <w:lang w:eastAsia="en-GB"/>
              </w:rPr>
              <w:t>Carrying values of collateral posted</w:t>
            </w:r>
            <w:r>
              <w:rPr>
                <w:rFonts w:eastAsia="新細明體"/>
                <w:sz w:val="17"/>
                <w:szCs w:val="17"/>
                <w:lang w:eastAsia="en-GB"/>
              </w:rPr>
              <w:t xml:space="preserve"> and recognized collateral received in the context of derivative contracts or SFTs, irrespective of whether the contracts or transactions are cleared through a CCP and whether the</w:t>
            </w:r>
            <w:r>
              <w:rPr>
                <w:sz w:val="17"/>
                <w:szCs w:val="17"/>
                <w:lang w:eastAsia="en-GB"/>
              </w:rPr>
              <w:t xml:space="preserve"> </w:t>
            </w:r>
            <w:r>
              <w:rPr>
                <w:rFonts w:eastAsia="新細明體"/>
                <w:sz w:val="17"/>
                <w:szCs w:val="17"/>
                <w:lang w:eastAsia="en-GB"/>
              </w:rPr>
              <w:t>collateral is posted to a CCP.</w:t>
            </w:r>
          </w:p>
        </w:tc>
      </w:tr>
      <w:tr w:rsidR="00187ABF" w14:paraId="25668759" w14:textId="77777777" w:rsidTr="006F6AE4">
        <w:tc>
          <w:tcPr>
            <w:tcW w:w="2269" w:type="dxa"/>
          </w:tcPr>
          <w:p w14:paraId="68957302" w14:textId="77777777" w:rsidR="00187ABF" w:rsidRDefault="00187ABF" w:rsidP="00AB074C">
            <w:pPr>
              <w:spacing w:before="40" w:after="40"/>
              <w:rPr>
                <w:sz w:val="17"/>
                <w:lang w:eastAsia="en-GB"/>
              </w:rPr>
            </w:pPr>
            <w:r>
              <w:rPr>
                <w:b/>
                <w:sz w:val="17"/>
                <w:lang w:eastAsia="en-GB"/>
              </w:rPr>
              <w:t>Frequency:</w:t>
            </w:r>
            <w:r>
              <w:rPr>
                <w:sz w:val="17"/>
                <w:lang w:eastAsia="en-GB"/>
              </w:rPr>
              <w:t xml:space="preserve"> </w:t>
            </w:r>
          </w:p>
        </w:tc>
        <w:tc>
          <w:tcPr>
            <w:tcW w:w="7229" w:type="dxa"/>
          </w:tcPr>
          <w:p w14:paraId="4869FEF3" w14:textId="77777777" w:rsidR="00187ABF" w:rsidRDefault="00187ABF" w:rsidP="00AB074C">
            <w:pPr>
              <w:pStyle w:val="TableText"/>
              <w:jc w:val="both"/>
              <w:rPr>
                <w:lang w:eastAsia="en-GB"/>
              </w:rPr>
            </w:pPr>
            <w:r>
              <w:rPr>
                <w:lang w:eastAsia="en-GB"/>
              </w:rPr>
              <w:t>Semi-annual.</w:t>
            </w:r>
          </w:p>
        </w:tc>
      </w:tr>
      <w:tr w:rsidR="00187ABF" w14:paraId="71C7C6AE" w14:textId="77777777" w:rsidTr="006F6AE4">
        <w:tc>
          <w:tcPr>
            <w:tcW w:w="2269" w:type="dxa"/>
          </w:tcPr>
          <w:p w14:paraId="6963175A" w14:textId="77777777" w:rsidR="00187ABF" w:rsidRDefault="00187ABF" w:rsidP="00AB074C">
            <w:pPr>
              <w:spacing w:before="40" w:after="40"/>
              <w:rPr>
                <w:sz w:val="17"/>
                <w:lang w:eastAsia="en-GB"/>
              </w:rPr>
            </w:pPr>
            <w:r>
              <w:rPr>
                <w:b/>
                <w:sz w:val="17"/>
                <w:lang w:eastAsia="en-GB"/>
              </w:rPr>
              <w:t>Format:</w:t>
            </w:r>
            <w:r>
              <w:rPr>
                <w:sz w:val="17"/>
                <w:lang w:eastAsia="en-GB"/>
              </w:rPr>
              <w:t xml:space="preserve"> </w:t>
            </w:r>
          </w:p>
        </w:tc>
        <w:tc>
          <w:tcPr>
            <w:tcW w:w="7229" w:type="dxa"/>
          </w:tcPr>
          <w:p w14:paraId="1983D67A" w14:textId="77777777" w:rsidR="00187ABF" w:rsidRDefault="00187ABF" w:rsidP="00AB074C">
            <w:pPr>
              <w:pStyle w:val="TableText"/>
              <w:jc w:val="both"/>
              <w:rPr>
                <w:lang w:eastAsia="en-GB"/>
              </w:rPr>
            </w:pPr>
            <w:r>
              <w:rPr>
                <w:lang w:eastAsia="en-GB"/>
              </w:rPr>
              <w:t>Flexible.  The columns are fixed but the rows are flexible where the categories of collateral which may be recognized are those specified under Division 5 of Part 4, Division 5 of Part 5, or Division 10 of Part 6, of the BCR, as the case requires.</w:t>
            </w:r>
          </w:p>
        </w:tc>
      </w:tr>
      <w:tr w:rsidR="00187ABF" w14:paraId="02AADF35" w14:textId="77777777" w:rsidTr="006F6AE4">
        <w:tc>
          <w:tcPr>
            <w:tcW w:w="2269" w:type="dxa"/>
          </w:tcPr>
          <w:p w14:paraId="181E028A" w14:textId="77777777" w:rsidR="00187ABF" w:rsidRDefault="00187ABF" w:rsidP="00AB074C">
            <w:pPr>
              <w:spacing w:before="40" w:after="40"/>
              <w:rPr>
                <w:b/>
                <w:sz w:val="17"/>
                <w:lang w:eastAsia="en-GB"/>
              </w:rPr>
            </w:pPr>
            <w:r>
              <w:rPr>
                <w:rFonts w:eastAsia="新細明體"/>
                <w:b/>
                <w:sz w:val="17"/>
                <w:szCs w:val="17"/>
                <w:lang w:eastAsia="en-GB"/>
              </w:rPr>
              <w:t>Accompanying narrative</w:t>
            </w:r>
            <w:r>
              <w:rPr>
                <w:rFonts w:eastAsia="新細明體"/>
                <w:sz w:val="17"/>
                <w:szCs w:val="17"/>
                <w:lang w:eastAsia="en-GB"/>
              </w:rPr>
              <w:t>:</w:t>
            </w:r>
          </w:p>
        </w:tc>
        <w:tc>
          <w:tcPr>
            <w:tcW w:w="7229" w:type="dxa"/>
          </w:tcPr>
          <w:p w14:paraId="52542F64" w14:textId="77777777" w:rsidR="00187ABF" w:rsidRDefault="00187ABF" w:rsidP="00AB074C">
            <w:pPr>
              <w:pStyle w:val="TableText"/>
              <w:jc w:val="both"/>
              <w:rPr>
                <w:noProof/>
                <w:lang w:eastAsia="en-GB"/>
              </w:rPr>
            </w:pPr>
            <w:r>
              <w:rPr>
                <w:szCs w:val="17"/>
                <w:lang w:eastAsia="en-GB"/>
              </w:rPr>
              <w:t>An AI should supplement the template with a narrative commentary to explain any material movements in the current reporting period and the key drivers of such movements.</w:t>
            </w:r>
          </w:p>
        </w:tc>
      </w:tr>
      <w:tr w:rsidR="00187ABF" w14:paraId="6578CD8C" w14:textId="77777777" w:rsidTr="006F6AE4">
        <w:tc>
          <w:tcPr>
            <w:tcW w:w="2269" w:type="dxa"/>
          </w:tcPr>
          <w:p w14:paraId="7041997E" w14:textId="77777777" w:rsidR="00187ABF" w:rsidRDefault="00187ABF" w:rsidP="00AB074C">
            <w:pPr>
              <w:spacing w:before="40" w:after="40"/>
              <w:rPr>
                <w:rFonts w:eastAsia="新細明體"/>
                <w:b/>
                <w:sz w:val="17"/>
                <w:szCs w:val="17"/>
                <w:lang w:eastAsia="en-GB"/>
              </w:rPr>
            </w:pPr>
            <w:r>
              <w:rPr>
                <w:rFonts w:eastAsia="新細明體"/>
                <w:b/>
                <w:sz w:val="17"/>
                <w:szCs w:val="17"/>
                <w:lang w:eastAsia="en-GB"/>
              </w:rPr>
              <w:t>Corresponding BDR section:</w:t>
            </w:r>
          </w:p>
        </w:tc>
        <w:tc>
          <w:tcPr>
            <w:tcW w:w="7229" w:type="dxa"/>
          </w:tcPr>
          <w:p w14:paraId="1FAA5B2F" w14:textId="77777777" w:rsidR="00187ABF" w:rsidRDefault="00187ABF" w:rsidP="00AB074C">
            <w:pPr>
              <w:pStyle w:val="TableText"/>
              <w:jc w:val="both"/>
              <w:rPr>
                <w:szCs w:val="17"/>
                <w:lang w:eastAsia="en-GB"/>
              </w:rPr>
            </w:pPr>
            <w:r>
              <w:rPr>
                <w:szCs w:val="17"/>
                <w:lang w:eastAsia="en-GB"/>
              </w:rPr>
              <w:t>16ZA</w:t>
            </w:r>
          </w:p>
        </w:tc>
      </w:tr>
    </w:tbl>
    <w:p w14:paraId="66726BE4" w14:textId="77777777" w:rsidR="00187ABF" w:rsidRDefault="00187ABF" w:rsidP="00187ABF">
      <w:pPr>
        <w:spacing w:before="60" w:after="60" w:line="200" w:lineRule="atLeast"/>
        <w:rPr>
          <w:sz w:val="22"/>
        </w:rPr>
      </w:pPr>
    </w:p>
    <w:tbl>
      <w:tblPr>
        <w:tblW w:w="9242" w:type="dxa"/>
        <w:tblInd w:w="-459" w:type="dxa"/>
        <w:tblBorders>
          <w:top w:val="single" w:sz="4" w:space="0" w:color="BCBDBC"/>
          <w:left w:val="single" w:sz="4" w:space="0" w:color="BFBFBF"/>
          <w:bottom w:val="single" w:sz="4" w:space="0" w:color="BCBDBC"/>
          <w:right w:val="single" w:sz="4" w:space="0" w:color="BFBFBF"/>
          <w:insideH w:val="single" w:sz="4" w:space="0" w:color="BCBDBC"/>
          <w:insideV w:val="single" w:sz="4" w:space="0" w:color="BCBDBC"/>
        </w:tblBorders>
        <w:tblLayout w:type="fixed"/>
        <w:tblLook w:val="00A0" w:firstRow="1" w:lastRow="0" w:firstColumn="1" w:lastColumn="0" w:noHBand="0" w:noVBand="0"/>
      </w:tblPr>
      <w:tblGrid>
        <w:gridCol w:w="2385"/>
        <w:gridCol w:w="1140"/>
        <w:gridCol w:w="1140"/>
        <w:gridCol w:w="1140"/>
        <w:gridCol w:w="1141"/>
        <w:gridCol w:w="1134"/>
        <w:gridCol w:w="1162"/>
      </w:tblGrid>
      <w:tr w:rsidR="00187ABF" w14:paraId="57F56A86" w14:textId="77777777" w:rsidTr="00AB074C">
        <w:trPr>
          <w:cantSplit/>
        </w:trPr>
        <w:tc>
          <w:tcPr>
            <w:tcW w:w="2385" w:type="dxa"/>
            <w:tcBorders>
              <w:top w:val="nil"/>
              <w:left w:val="nil"/>
              <w:bottom w:val="nil"/>
              <w:right w:val="single" w:sz="4" w:space="0" w:color="auto"/>
            </w:tcBorders>
          </w:tcPr>
          <w:p w14:paraId="4EA20995" w14:textId="77777777" w:rsidR="00187ABF" w:rsidRDefault="00187ABF" w:rsidP="00AB074C">
            <w:pPr>
              <w:pStyle w:val="TableText"/>
              <w:snapToGrid w:val="0"/>
              <w:rPr>
                <w:szCs w:val="17"/>
                <w:lang w:eastAsia="en-GB"/>
              </w:rPr>
            </w:pPr>
          </w:p>
        </w:tc>
        <w:tc>
          <w:tcPr>
            <w:tcW w:w="1140" w:type="dxa"/>
            <w:tcBorders>
              <w:top w:val="single" w:sz="4" w:space="0" w:color="auto"/>
              <w:left w:val="single" w:sz="4" w:space="0" w:color="auto"/>
              <w:bottom w:val="single" w:sz="4" w:space="0" w:color="auto"/>
              <w:right w:val="single" w:sz="4" w:space="0" w:color="auto"/>
            </w:tcBorders>
            <w:vAlign w:val="center"/>
          </w:tcPr>
          <w:p w14:paraId="3956675B" w14:textId="77777777" w:rsidR="00187ABF" w:rsidRDefault="00187ABF" w:rsidP="00AB074C">
            <w:pPr>
              <w:pStyle w:val="TableText"/>
              <w:snapToGrid w:val="0"/>
              <w:jc w:val="center"/>
              <w:rPr>
                <w:rFonts w:cs="Segoe UI"/>
                <w:szCs w:val="17"/>
                <w:lang w:eastAsia="it-IT"/>
              </w:rPr>
            </w:pPr>
            <w:r>
              <w:rPr>
                <w:rFonts w:cs="Segoe UI"/>
                <w:szCs w:val="17"/>
                <w:lang w:eastAsia="it-IT"/>
              </w:rPr>
              <w:t>(a)</w:t>
            </w:r>
          </w:p>
        </w:tc>
        <w:tc>
          <w:tcPr>
            <w:tcW w:w="1140" w:type="dxa"/>
            <w:tcBorders>
              <w:top w:val="single" w:sz="4" w:space="0" w:color="auto"/>
              <w:left w:val="single" w:sz="4" w:space="0" w:color="auto"/>
              <w:bottom w:val="single" w:sz="4" w:space="0" w:color="auto"/>
              <w:right w:val="single" w:sz="4" w:space="0" w:color="auto"/>
            </w:tcBorders>
          </w:tcPr>
          <w:p w14:paraId="42C7D9D0" w14:textId="77777777" w:rsidR="00187ABF" w:rsidRDefault="00187ABF" w:rsidP="00AB074C">
            <w:pPr>
              <w:pStyle w:val="TableText"/>
              <w:snapToGrid w:val="0"/>
              <w:jc w:val="center"/>
              <w:rPr>
                <w:rFonts w:cs="Segoe UI"/>
                <w:szCs w:val="17"/>
                <w:lang w:eastAsia="it-IT"/>
              </w:rPr>
            </w:pPr>
            <w:r>
              <w:rPr>
                <w:rFonts w:cs="Segoe UI"/>
                <w:szCs w:val="17"/>
                <w:lang w:eastAsia="it-IT"/>
              </w:rPr>
              <w:t>(b)</w:t>
            </w:r>
          </w:p>
        </w:tc>
        <w:tc>
          <w:tcPr>
            <w:tcW w:w="1140" w:type="dxa"/>
            <w:tcBorders>
              <w:top w:val="single" w:sz="4" w:space="0" w:color="auto"/>
              <w:left w:val="single" w:sz="4" w:space="0" w:color="auto"/>
              <w:bottom w:val="single" w:sz="4" w:space="0" w:color="auto"/>
              <w:right w:val="single" w:sz="4" w:space="0" w:color="auto"/>
            </w:tcBorders>
          </w:tcPr>
          <w:p w14:paraId="07FBCC8B" w14:textId="77777777" w:rsidR="00187ABF" w:rsidRDefault="00187ABF" w:rsidP="00AB074C">
            <w:pPr>
              <w:pStyle w:val="TableText"/>
              <w:snapToGrid w:val="0"/>
              <w:jc w:val="center"/>
              <w:rPr>
                <w:rFonts w:cs="Segoe UI"/>
                <w:szCs w:val="17"/>
                <w:lang w:eastAsia="it-IT"/>
              </w:rPr>
            </w:pPr>
            <w:r>
              <w:rPr>
                <w:rFonts w:cs="Segoe UI"/>
                <w:szCs w:val="17"/>
                <w:lang w:eastAsia="it-IT"/>
              </w:rPr>
              <w:t>(c)</w:t>
            </w:r>
          </w:p>
        </w:tc>
        <w:tc>
          <w:tcPr>
            <w:tcW w:w="1141" w:type="dxa"/>
            <w:tcBorders>
              <w:top w:val="single" w:sz="4" w:space="0" w:color="auto"/>
              <w:left w:val="single" w:sz="4" w:space="0" w:color="auto"/>
              <w:bottom w:val="single" w:sz="4" w:space="0" w:color="auto"/>
              <w:right w:val="single" w:sz="4" w:space="0" w:color="auto"/>
            </w:tcBorders>
          </w:tcPr>
          <w:p w14:paraId="61E2AB03" w14:textId="77777777" w:rsidR="00187ABF" w:rsidRDefault="00187ABF" w:rsidP="00AB074C">
            <w:pPr>
              <w:pStyle w:val="TableText"/>
              <w:snapToGrid w:val="0"/>
              <w:jc w:val="center"/>
              <w:rPr>
                <w:rFonts w:cs="Segoe UI"/>
                <w:szCs w:val="17"/>
                <w:lang w:eastAsia="it-IT"/>
              </w:rPr>
            </w:pPr>
            <w:r>
              <w:rPr>
                <w:rFonts w:cs="Segoe UI"/>
                <w:szCs w:val="17"/>
                <w:lang w:eastAsia="it-IT"/>
              </w:rPr>
              <w:t>(d)</w:t>
            </w:r>
          </w:p>
        </w:tc>
        <w:tc>
          <w:tcPr>
            <w:tcW w:w="1134" w:type="dxa"/>
            <w:tcBorders>
              <w:top w:val="single" w:sz="4" w:space="0" w:color="auto"/>
              <w:left w:val="single" w:sz="4" w:space="0" w:color="auto"/>
              <w:bottom w:val="single" w:sz="4" w:space="0" w:color="auto"/>
              <w:right w:val="single" w:sz="4" w:space="0" w:color="auto"/>
            </w:tcBorders>
          </w:tcPr>
          <w:p w14:paraId="4FC78CF9" w14:textId="77777777" w:rsidR="00187ABF" w:rsidRDefault="00187ABF" w:rsidP="00AB074C">
            <w:pPr>
              <w:pStyle w:val="TableText"/>
              <w:snapToGrid w:val="0"/>
              <w:jc w:val="center"/>
              <w:rPr>
                <w:rFonts w:cs="Segoe UI"/>
                <w:szCs w:val="17"/>
                <w:lang w:eastAsia="it-IT"/>
              </w:rPr>
            </w:pPr>
            <w:r>
              <w:rPr>
                <w:rFonts w:cs="Segoe UI"/>
                <w:szCs w:val="17"/>
                <w:lang w:eastAsia="it-IT"/>
              </w:rPr>
              <w:t>(e)</w:t>
            </w:r>
          </w:p>
        </w:tc>
        <w:tc>
          <w:tcPr>
            <w:tcW w:w="1162" w:type="dxa"/>
            <w:tcBorders>
              <w:top w:val="single" w:sz="4" w:space="0" w:color="auto"/>
              <w:left w:val="single" w:sz="4" w:space="0" w:color="auto"/>
              <w:bottom w:val="single" w:sz="4" w:space="0" w:color="auto"/>
              <w:right w:val="single" w:sz="4" w:space="0" w:color="auto"/>
            </w:tcBorders>
          </w:tcPr>
          <w:p w14:paraId="3578021A" w14:textId="77777777" w:rsidR="00187ABF" w:rsidRDefault="00187ABF" w:rsidP="00AB074C">
            <w:pPr>
              <w:pStyle w:val="TableText"/>
              <w:snapToGrid w:val="0"/>
              <w:jc w:val="center"/>
              <w:rPr>
                <w:rFonts w:cs="Segoe UI"/>
                <w:szCs w:val="17"/>
                <w:lang w:eastAsia="it-IT"/>
              </w:rPr>
            </w:pPr>
            <w:r>
              <w:rPr>
                <w:rFonts w:cs="Segoe UI"/>
                <w:szCs w:val="17"/>
                <w:lang w:eastAsia="it-IT"/>
              </w:rPr>
              <w:t>(f)</w:t>
            </w:r>
          </w:p>
        </w:tc>
      </w:tr>
      <w:tr w:rsidR="00187ABF" w14:paraId="3F62F69B" w14:textId="77777777" w:rsidTr="00AB074C">
        <w:trPr>
          <w:cantSplit/>
        </w:trPr>
        <w:tc>
          <w:tcPr>
            <w:tcW w:w="2385" w:type="dxa"/>
            <w:tcBorders>
              <w:top w:val="nil"/>
              <w:left w:val="nil"/>
              <w:bottom w:val="nil"/>
              <w:right w:val="single" w:sz="4" w:space="0" w:color="auto"/>
            </w:tcBorders>
          </w:tcPr>
          <w:p w14:paraId="7D0470AA" w14:textId="77777777" w:rsidR="00187ABF" w:rsidRDefault="00187ABF" w:rsidP="00AB074C">
            <w:pPr>
              <w:pStyle w:val="TableText"/>
              <w:snapToGrid w:val="0"/>
              <w:rPr>
                <w:spacing w:val="-16"/>
                <w:szCs w:val="17"/>
                <w:lang w:eastAsia="en-GB"/>
              </w:rPr>
            </w:pPr>
          </w:p>
        </w:tc>
        <w:tc>
          <w:tcPr>
            <w:tcW w:w="4561" w:type="dxa"/>
            <w:gridSpan w:val="4"/>
            <w:tcBorders>
              <w:top w:val="single" w:sz="4" w:space="0" w:color="auto"/>
              <w:left w:val="single" w:sz="4" w:space="0" w:color="auto"/>
              <w:bottom w:val="single" w:sz="4" w:space="0" w:color="auto"/>
              <w:right w:val="single" w:sz="4" w:space="0" w:color="auto"/>
            </w:tcBorders>
            <w:vAlign w:val="center"/>
          </w:tcPr>
          <w:p w14:paraId="2E632FBB" w14:textId="77777777" w:rsidR="00187ABF" w:rsidRDefault="00187ABF" w:rsidP="00AB074C">
            <w:pPr>
              <w:pStyle w:val="TableText"/>
              <w:snapToGrid w:val="0"/>
              <w:jc w:val="center"/>
              <w:rPr>
                <w:rFonts w:cs="Segoe UI"/>
                <w:spacing w:val="-16"/>
                <w:szCs w:val="17"/>
                <w:lang w:eastAsia="it-IT"/>
              </w:rPr>
            </w:pPr>
            <w:r>
              <w:rPr>
                <w:szCs w:val="17"/>
                <w:lang w:eastAsia="en-GB"/>
              </w:rPr>
              <w:t>Derivative contracts</w:t>
            </w:r>
          </w:p>
        </w:tc>
        <w:tc>
          <w:tcPr>
            <w:tcW w:w="2296" w:type="dxa"/>
            <w:gridSpan w:val="2"/>
            <w:tcBorders>
              <w:top w:val="single" w:sz="4" w:space="0" w:color="auto"/>
              <w:left w:val="single" w:sz="4" w:space="0" w:color="auto"/>
              <w:bottom w:val="single" w:sz="4" w:space="0" w:color="auto"/>
              <w:right w:val="single" w:sz="4" w:space="0" w:color="auto"/>
            </w:tcBorders>
            <w:vAlign w:val="center"/>
          </w:tcPr>
          <w:p w14:paraId="2E2AEA15" w14:textId="77777777" w:rsidR="00187ABF" w:rsidRDefault="00187ABF" w:rsidP="00AB074C">
            <w:pPr>
              <w:pStyle w:val="TableText"/>
              <w:snapToGrid w:val="0"/>
              <w:jc w:val="center"/>
              <w:rPr>
                <w:rFonts w:cs="Segoe UI"/>
                <w:spacing w:val="-16"/>
                <w:szCs w:val="17"/>
                <w:lang w:eastAsia="it-IT"/>
              </w:rPr>
            </w:pPr>
            <w:r>
              <w:rPr>
                <w:szCs w:val="17"/>
                <w:lang w:eastAsia="en-GB"/>
              </w:rPr>
              <w:t>SFTs</w:t>
            </w:r>
            <w:r>
              <w:rPr>
                <w:rStyle w:val="FootnoteReference"/>
                <w:rFonts w:eastAsia="Calibri"/>
                <w:szCs w:val="17"/>
                <w:lang w:eastAsia="en-GB"/>
              </w:rPr>
              <w:footnoteReference w:id="12"/>
            </w:r>
          </w:p>
        </w:tc>
      </w:tr>
      <w:tr w:rsidR="00187ABF" w14:paraId="7A46D691" w14:textId="77777777" w:rsidTr="00AB074C">
        <w:trPr>
          <w:cantSplit/>
          <w:trHeight w:val="310"/>
        </w:trPr>
        <w:tc>
          <w:tcPr>
            <w:tcW w:w="2385" w:type="dxa"/>
            <w:vMerge w:val="restart"/>
            <w:tcBorders>
              <w:top w:val="nil"/>
              <w:left w:val="nil"/>
              <w:right w:val="single" w:sz="4" w:space="0" w:color="auto"/>
            </w:tcBorders>
          </w:tcPr>
          <w:p w14:paraId="529B5D04" w14:textId="77777777" w:rsidR="00187ABF" w:rsidRDefault="00187ABF" w:rsidP="00AB074C">
            <w:pPr>
              <w:pStyle w:val="TableText"/>
              <w:snapToGrid w:val="0"/>
              <w:rPr>
                <w:spacing w:val="-16"/>
                <w:szCs w:val="17"/>
                <w:lang w:eastAsia="en-GB"/>
              </w:rPr>
            </w:pPr>
          </w:p>
        </w:tc>
        <w:tc>
          <w:tcPr>
            <w:tcW w:w="2280" w:type="dxa"/>
            <w:gridSpan w:val="2"/>
            <w:tcBorders>
              <w:top w:val="single" w:sz="4" w:space="0" w:color="auto"/>
              <w:left w:val="single" w:sz="4" w:space="0" w:color="auto"/>
              <w:bottom w:val="single" w:sz="4" w:space="0" w:color="auto"/>
              <w:right w:val="single" w:sz="4" w:space="0" w:color="auto"/>
            </w:tcBorders>
            <w:vAlign w:val="center"/>
          </w:tcPr>
          <w:p w14:paraId="2D4C51F3" w14:textId="77777777" w:rsidR="00187ABF" w:rsidRDefault="00187ABF" w:rsidP="00AB074C">
            <w:pPr>
              <w:pStyle w:val="TableText"/>
              <w:snapToGrid w:val="0"/>
              <w:jc w:val="center"/>
              <w:rPr>
                <w:rFonts w:cs="Segoe UI"/>
                <w:spacing w:val="-16"/>
                <w:szCs w:val="17"/>
                <w:lang w:eastAsia="it-IT"/>
              </w:rPr>
            </w:pPr>
            <w:r>
              <w:rPr>
                <w:szCs w:val="17"/>
                <w:lang w:eastAsia="en-GB"/>
              </w:rPr>
              <w:t>Fair value of recognized collateral received</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3F0958A" w14:textId="77777777" w:rsidR="00187ABF" w:rsidRDefault="00187ABF" w:rsidP="00AB074C">
            <w:pPr>
              <w:pStyle w:val="TableText"/>
              <w:snapToGrid w:val="0"/>
              <w:jc w:val="center"/>
              <w:rPr>
                <w:rFonts w:cs="Segoe UI"/>
                <w:spacing w:val="-16"/>
                <w:szCs w:val="17"/>
                <w:lang w:eastAsia="it-IT"/>
              </w:rPr>
            </w:pPr>
            <w:r>
              <w:rPr>
                <w:szCs w:val="17"/>
                <w:lang w:eastAsia="en-GB"/>
              </w:rPr>
              <w:t>Fair value of posted collateral</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FA5CD2A" w14:textId="77777777" w:rsidR="00187ABF" w:rsidRDefault="00187ABF" w:rsidP="00AB074C">
            <w:pPr>
              <w:pStyle w:val="TableText"/>
              <w:snapToGrid w:val="0"/>
              <w:jc w:val="center"/>
              <w:rPr>
                <w:rFonts w:cs="Segoe UI"/>
                <w:spacing w:val="-16"/>
                <w:szCs w:val="17"/>
                <w:lang w:eastAsia="it-IT"/>
              </w:rPr>
            </w:pPr>
            <w:r>
              <w:rPr>
                <w:szCs w:val="17"/>
                <w:lang w:eastAsia="en-GB"/>
              </w:rPr>
              <w:t>Fair value of recognized collateral received</w:t>
            </w:r>
          </w:p>
        </w:tc>
        <w:tc>
          <w:tcPr>
            <w:tcW w:w="1162" w:type="dxa"/>
            <w:vMerge w:val="restart"/>
            <w:tcBorders>
              <w:top w:val="single" w:sz="4" w:space="0" w:color="auto"/>
              <w:left w:val="single" w:sz="4" w:space="0" w:color="auto"/>
              <w:bottom w:val="single" w:sz="4" w:space="0" w:color="auto"/>
              <w:right w:val="single" w:sz="4" w:space="0" w:color="auto"/>
            </w:tcBorders>
            <w:vAlign w:val="center"/>
          </w:tcPr>
          <w:p w14:paraId="36BC8BAA" w14:textId="77777777" w:rsidR="00187ABF" w:rsidRDefault="00187ABF" w:rsidP="00AB074C">
            <w:pPr>
              <w:pStyle w:val="TableText"/>
              <w:snapToGrid w:val="0"/>
              <w:jc w:val="center"/>
              <w:rPr>
                <w:rFonts w:cs="Segoe UI"/>
                <w:spacing w:val="-16"/>
                <w:szCs w:val="17"/>
                <w:lang w:eastAsia="it-IT"/>
              </w:rPr>
            </w:pPr>
            <w:r>
              <w:rPr>
                <w:szCs w:val="17"/>
                <w:lang w:eastAsia="en-GB"/>
              </w:rPr>
              <w:t>Fair value of posted  collateral</w:t>
            </w:r>
          </w:p>
        </w:tc>
      </w:tr>
      <w:tr w:rsidR="00187ABF" w14:paraId="5E13F25D" w14:textId="77777777" w:rsidTr="00AB074C">
        <w:trPr>
          <w:cantSplit/>
          <w:trHeight w:val="310"/>
          <w:tblHeader/>
        </w:trPr>
        <w:tc>
          <w:tcPr>
            <w:tcW w:w="2385" w:type="dxa"/>
            <w:vMerge/>
            <w:tcBorders>
              <w:left w:val="nil"/>
              <w:bottom w:val="single" w:sz="4" w:space="0" w:color="auto"/>
              <w:right w:val="single" w:sz="4" w:space="0" w:color="auto"/>
            </w:tcBorders>
          </w:tcPr>
          <w:p w14:paraId="0AA26267" w14:textId="77777777" w:rsidR="00187ABF" w:rsidRDefault="00187ABF" w:rsidP="00AB074C">
            <w:pPr>
              <w:pStyle w:val="TableText"/>
              <w:snapToGrid w:val="0"/>
              <w:rPr>
                <w:spacing w:val="-16"/>
                <w:szCs w:val="17"/>
                <w:lang w:eastAsia="en-GB"/>
              </w:rPr>
            </w:pPr>
          </w:p>
        </w:tc>
        <w:tc>
          <w:tcPr>
            <w:tcW w:w="1140" w:type="dxa"/>
            <w:tcBorders>
              <w:top w:val="single" w:sz="4" w:space="0" w:color="auto"/>
              <w:left w:val="single" w:sz="4" w:space="0" w:color="auto"/>
              <w:bottom w:val="single" w:sz="4" w:space="0" w:color="auto"/>
              <w:right w:val="single" w:sz="4" w:space="0" w:color="auto"/>
            </w:tcBorders>
            <w:vAlign w:val="center"/>
          </w:tcPr>
          <w:p w14:paraId="12A5C849" w14:textId="77777777" w:rsidR="00187ABF" w:rsidRDefault="00187ABF" w:rsidP="00AB074C">
            <w:pPr>
              <w:pStyle w:val="TableText"/>
              <w:snapToGrid w:val="0"/>
              <w:jc w:val="center"/>
              <w:rPr>
                <w:rFonts w:cs="Segoe UI"/>
                <w:spacing w:val="-16"/>
                <w:szCs w:val="17"/>
                <w:lang w:eastAsia="it-IT"/>
              </w:rPr>
            </w:pPr>
            <w:r>
              <w:rPr>
                <w:szCs w:val="17"/>
                <w:lang w:eastAsia="en-GB"/>
              </w:rPr>
              <w:t>Segregated</w:t>
            </w:r>
          </w:p>
        </w:tc>
        <w:tc>
          <w:tcPr>
            <w:tcW w:w="1140" w:type="dxa"/>
            <w:tcBorders>
              <w:top w:val="single" w:sz="4" w:space="0" w:color="auto"/>
              <w:left w:val="single" w:sz="4" w:space="0" w:color="auto"/>
              <w:bottom w:val="single" w:sz="4" w:space="0" w:color="auto"/>
              <w:right w:val="single" w:sz="4" w:space="0" w:color="auto"/>
            </w:tcBorders>
            <w:vAlign w:val="center"/>
          </w:tcPr>
          <w:p w14:paraId="7D015B34" w14:textId="77777777" w:rsidR="00187ABF" w:rsidRDefault="00187ABF" w:rsidP="00AB074C">
            <w:pPr>
              <w:pStyle w:val="TableText"/>
              <w:snapToGrid w:val="0"/>
              <w:ind w:leftChars="-44" w:left="-88" w:rightChars="-60" w:right="-120"/>
              <w:jc w:val="center"/>
              <w:rPr>
                <w:rFonts w:cs="Segoe UI"/>
                <w:spacing w:val="-16"/>
                <w:szCs w:val="17"/>
                <w:lang w:eastAsia="it-IT"/>
              </w:rPr>
            </w:pPr>
            <w:r>
              <w:rPr>
                <w:szCs w:val="17"/>
                <w:lang w:eastAsia="en-GB"/>
              </w:rPr>
              <w:t>Unsegregated</w:t>
            </w:r>
          </w:p>
        </w:tc>
        <w:tc>
          <w:tcPr>
            <w:tcW w:w="1140" w:type="dxa"/>
            <w:tcBorders>
              <w:top w:val="single" w:sz="4" w:space="0" w:color="auto"/>
              <w:left w:val="single" w:sz="4" w:space="0" w:color="auto"/>
              <w:bottom w:val="single" w:sz="4" w:space="0" w:color="auto"/>
              <w:right w:val="single" w:sz="4" w:space="0" w:color="auto"/>
            </w:tcBorders>
            <w:vAlign w:val="center"/>
          </w:tcPr>
          <w:p w14:paraId="3814CD0E" w14:textId="77777777" w:rsidR="00187ABF" w:rsidRDefault="00187ABF" w:rsidP="00AB074C">
            <w:pPr>
              <w:pStyle w:val="TableText"/>
              <w:snapToGrid w:val="0"/>
              <w:jc w:val="center"/>
              <w:rPr>
                <w:rFonts w:cs="Segoe UI"/>
                <w:spacing w:val="-16"/>
                <w:szCs w:val="17"/>
                <w:lang w:eastAsia="it-IT"/>
              </w:rPr>
            </w:pPr>
            <w:r>
              <w:rPr>
                <w:szCs w:val="17"/>
                <w:lang w:eastAsia="en-GB"/>
              </w:rPr>
              <w:t>Segregated</w:t>
            </w:r>
          </w:p>
        </w:tc>
        <w:tc>
          <w:tcPr>
            <w:tcW w:w="1141" w:type="dxa"/>
            <w:tcBorders>
              <w:top w:val="single" w:sz="4" w:space="0" w:color="auto"/>
              <w:left w:val="single" w:sz="4" w:space="0" w:color="auto"/>
              <w:bottom w:val="single" w:sz="4" w:space="0" w:color="auto"/>
              <w:right w:val="single" w:sz="4" w:space="0" w:color="auto"/>
            </w:tcBorders>
            <w:vAlign w:val="center"/>
          </w:tcPr>
          <w:p w14:paraId="110B72F9" w14:textId="77777777" w:rsidR="00187ABF" w:rsidRDefault="00187ABF" w:rsidP="00AB074C">
            <w:pPr>
              <w:pStyle w:val="TableText"/>
              <w:snapToGrid w:val="0"/>
              <w:ind w:leftChars="-50" w:left="-100" w:rightChars="-54" w:right="-108"/>
              <w:jc w:val="center"/>
              <w:rPr>
                <w:rFonts w:cs="Segoe UI"/>
                <w:spacing w:val="-16"/>
                <w:szCs w:val="17"/>
                <w:lang w:eastAsia="it-IT"/>
              </w:rPr>
            </w:pPr>
            <w:r>
              <w:rPr>
                <w:szCs w:val="17"/>
                <w:lang w:eastAsia="en-GB"/>
              </w:rPr>
              <w:t>Unsegregated</w:t>
            </w:r>
          </w:p>
        </w:tc>
        <w:tc>
          <w:tcPr>
            <w:tcW w:w="1134" w:type="dxa"/>
            <w:vMerge/>
            <w:tcBorders>
              <w:left w:val="single" w:sz="4" w:space="0" w:color="auto"/>
              <w:bottom w:val="single" w:sz="4" w:space="0" w:color="auto"/>
              <w:right w:val="single" w:sz="4" w:space="0" w:color="auto"/>
            </w:tcBorders>
          </w:tcPr>
          <w:p w14:paraId="7F46689C" w14:textId="77777777" w:rsidR="00187ABF" w:rsidRDefault="00187ABF" w:rsidP="00AB074C">
            <w:pPr>
              <w:pStyle w:val="TableText"/>
              <w:snapToGrid w:val="0"/>
              <w:rPr>
                <w:rFonts w:cs="Segoe UI"/>
                <w:spacing w:val="-16"/>
                <w:szCs w:val="17"/>
                <w:lang w:eastAsia="it-IT"/>
              </w:rPr>
            </w:pPr>
          </w:p>
        </w:tc>
        <w:tc>
          <w:tcPr>
            <w:tcW w:w="1162" w:type="dxa"/>
            <w:vMerge/>
            <w:tcBorders>
              <w:left w:val="single" w:sz="4" w:space="0" w:color="auto"/>
              <w:bottom w:val="single" w:sz="4" w:space="0" w:color="auto"/>
              <w:right w:val="single" w:sz="4" w:space="0" w:color="auto"/>
            </w:tcBorders>
          </w:tcPr>
          <w:p w14:paraId="4B2824AE" w14:textId="77777777" w:rsidR="00187ABF" w:rsidRDefault="00187ABF" w:rsidP="00AB074C">
            <w:pPr>
              <w:pStyle w:val="TableText"/>
              <w:snapToGrid w:val="0"/>
              <w:rPr>
                <w:rFonts w:cs="Segoe UI"/>
                <w:spacing w:val="-16"/>
                <w:szCs w:val="17"/>
                <w:lang w:eastAsia="it-IT"/>
              </w:rPr>
            </w:pPr>
          </w:p>
        </w:tc>
      </w:tr>
      <w:tr w:rsidR="00187ABF" w14:paraId="42E7753A" w14:textId="77777777" w:rsidTr="00AB074C">
        <w:trPr>
          <w:cantSplit/>
        </w:trPr>
        <w:tc>
          <w:tcPr>
            <w:tcW w:w="2385" w:type="dxa"/>
            <w:tcBorders>
              <w:top w:val="single" w:sz="4" w:space="0" w:color="auto"/>
              <w:left w:val="nil"/>
              <w:right w:val="single" w:sz="4" w:space="0" w:color="auto"/>
            </w:tcBorders>
          </w:tcPr>
          <w:p w14:paraId="3E45BABE" w14:textId="77777777" w:rsidR="00187ABF" w:rsidRDefault="00187ABF" w:rsidP="00AB074C">
            <w:pPr>
              <w:pStyle w:val="TableText"/>
              <w:snapToGrid w:val="0"/>
              <w:rPr>
                <w:szCs w:val="17"/>
                <w:lang w:eastAsia="en-GB"/>
              </w:rPr>
            </w:pPr>
            <w:r>
              <w:rPr>
                <w:rFonts w:cs="Segoe UI"/>
                <w:szCs w:val="17"/>
                <w:lang w:eastAsia="en-GB"/>
              </w:rPr>
              <w:t>Cash</w:t>
            </w:r>
            <w:r>
              <w:rPr>
                <w:szCs w:val="17"/>
                <w:lang w:eastAsia="en-GB"/>
              </w:rPr>
              <w:t xml:space="preserve"> - domestic currency</w:t>
            </w:r>
            <w:r>
              <w:rPr>
                <w:rStyle w:val="FootnoteReference"/>
                <w:szCs w:val="17"/>
                <w:lang w:eastAsia="en-GB"/>
              </w:rPr>
              <w:footnoteReference w:id="13"/>
            </w:r>
          </w:p>
        </w:tc>
        <w:tc>
          <w:tcPr>
            <w:tcW w:w="1140" w:type="dxa"/>
            <w:tcBorders>
              <w:left w:val="single" w:sz="4" w:space="0" w:color="auto"/>
              <w:right w:val="single" w:sz="4" w:space="0" w:color="auto"/>
            </w:tcBorders>
          </w:tcPr>
          <w:p w14:paraId="1419E684" w14:textId="77777777" w:rsidR="00187ABF" w:rsidRDefault="00187ABF" w:rsidP="00AB074C">
            <w:pPr>
              <w:pStyle w:val="TableText"/>
              <w:snapToGrid w:val="0"/>
              <w:rPr>
                <w:szCs w:val="17"/>
                <w:lang w:eastAsia="en-GB"/>
              </w:rPr>
            </w:pPr>
          </w:p>
        </w:tc>
        <w:tc>
          <w:tcPr>
            <w:tcW w:w="1140" w:type="dxa"/>
            <w:tcBorders>
              <w:left w:val="single" w:sz="4" w:space="0" w:color="auto"/>
              <w:right w:val="single" w:sz="4" w:space="0" w:color="auto"/>
            </w:tcBorders>
          </w:tcPr>
          <w:p w14:paraId="40AD011D" w14:textId="77777777" w:rsidR="00187ABF" w:rsidRDefault="00187ABF" w:rsidP="00AB074C">
            <w:pPr>
              <w:pStyle w:val="TableText"/>
              <w:snapToGrid w:val="0"/>
              <w:rPr>
                <w:szCs w:val="17"/>
                <w:lang w:eastAsia="en-GB"/>
              </w:rPr>
            </w:pPr>
          </w:p>
        </w:tc>
        <w:tc>
          <w:tcPr>
            <w:tcW w:w="1140" w:type="dxa"/>
            <w:tcBorders>
              <w:left w:val="single" w:sz="4" w:space="0" w:color="auto"/>
              <w:right w:val="single" w:sz="4" w:space="0" w:color="auto"/>
            </w:tcBorders>
          </w:tcPr>
          <w:p w14:paraId="481080FD" w14:textId="77777777" w:rsidR="00187ABF" w:rsidRDefault="00187ABF" w:rsidP="00AB074C">
            <w:pPr>
              <w:pStyle w:val="TableText"/>
              <w:snapToGrid w:val="0"/>
              <w:rPr>
                <w:szCs w:val="17"/>
                <w:lang w:eastAsia="en-GB"/>
              </w:rPr>
            </w:pPr>
          </w:p>
        </w:tc>
        <w:tc>
          <w:tcPr>
            <w:tcW w:w="1141" w:type="dxa"/>
            <w:tcBorders>
              <w:left w:val="single" w:sz="4" w:space="0" w:color="auto"/>
              <w:right w:val="single" w:sz="4" w:space="0" w:color="auto"/>
            </w:tcBorders>
          </w:tcPr>
          <w:p w14:paraId="3C314061" w14:textId="77777777" w:rsidR="00187ABF" w:rsidRDefault="00187ABF" w:rsidP="00AB074C">
            <w:pPr>
              <w:pStyle w:val="TableText"/>
              <w:snapToGrid w:val="0"/>
              <w:rPr>
                <w:szCs w:val="17"/>
                <w:lang w:eastAsia="en-GB"/>
              </w:rPr>
            </w:pPr>
          </w:p>
        </w:tc>
        <w:tc>
          <w:tcPr>
            <w:tcW w:w="1134" w:type="dxa"/>
            <w:tcBorders>
              <w:left w:val="single" w:sz="4" w:space="0" w:color="auto"/>
              <w:right w:val="single" w:sz="4" w:space="0" w:color="auto"/>
            </w:tcBorders>
          </w:tcPr>
          <w:p w14:paraId="487F943E" w14:textId="77777777" w:rsidR="00187ABF" w:rsidRDefault="00187ABF" w:rsidP="00AB074C">
            <w:pPr>
              <w:pStyle w:val="TableText"/>
              <w:snapToGrid w:val="0"/>
              <w:rPr>
                <w:szCs w:val="17"/>
                <w:lang w:eastAsia="en-GB"/>
              </w:rPr>
            </w:pPr>
          </w:p>
        </w:tc>
        <w:tc>
          <w:tcPr>
            <w:tcW w:w="1162" w:type="dxa"/>
            <w:tcBorders>
              <w:left w:val="single" w:sz="4" w:space="0" w:color="auto"/>
              <w:right w:val="single" w:sz="4" w:space="0" w:color="auto"/>
            </w:tcBorders>
          </w:tcPr>
          <w:p w14:paraId="6166E18B" w14:textId="77777777" w:rsidR="00187ABF" w:rsidRDefault="00187ABF" w:rsidP="00AB074C">
            <w:pPr>
              <w:pStyle w:val="TableText"/>
              <w:snapToGrid w:val="0"/>
              <w:rPr>
                <w:szCs w:val="17"/>
                <w:lang w:eastAsia="en-GB"/>
              </w:rPr>
            </w:pPr>
          </w:p>
        </w:tc>
      </w:tr>
      <w:tr w:rsidR="00187ABF" w14:paraId="6B7F26C1" w14:textId="77777777" w:rsidTr="00AB074C">
        <w:trPr>
          <w:cantSplit/>
        </w:trPr>
        <w:tc>
          <w:tcPr>
            <w:tcW w:w="2385" w:type="dxa"/>
            <w:tcBorders>
              <w:left w:val="nil"/>
              <w:right w:val="single" w:sz="4" w:space="0" w:color="auto"/>
            </w:tcBorders>
          </w:tcPr>
          <w:p w14:paraId="448902D8" w14:textId="77777777" w:rsidR="00187ABF" w:rsidRDefault="00187ABF" w:rsidP="00AB074C">
            <w:pPr>
              <w:pStyle w:val="TableText"/>
              <w:snapToGrid w:val="0"/>
              <w:rPr>
                <w:szCs w:val="17"/>
                <w:lang w:eastAsia="en-GB"/>
              </w:rPr>
            </w:pPr>
            <w:r>
              <w:rPr>
                <w:szCs w:val="17"/>
                <w:lang w:eastAsia="en-GB"/>
              </w:rPr>
              <w:t>Cash - other currencies</w:t>
            </w:r>
          </w:p>
        </w:tc>
        <w:tc>
          <w:tcPr>
            <w:tcW w:w="1140" w:type="dxa"/>
            <w:tcBorders>
              <w:left w:val="single" w:sz="4" w:space="0" w:color="auto"/>
              <w:right w:val="single" w:sz="4" w:space="0" w:color="auto"/>
            </w:tcBorders>
          </w:tcPr>
          <w:p w14:paraId="573EEAF7" w14:textId="77777777" w:rsidR="00187ABF" w:rsidRDefault="00187ABF" w:rsidP="00AB074C">
            <w:pPr>
              <w:pStyle w:val="TableText"/>
              <w:snapToGrid w:val="0"/>
              <w:rPr>
                <w:szCs w:val="17"/>
                <w:lang w:eastAsia="en-GB"/>
              </w:rPr>
            </w:pPr>
          </w:p>
        </w:tc>
        <w:tc>
          <w:tcPr>
            <w:tcW w:w="1140" w:type="dxa"/>
            <w:tcBorders>
              <w:left w:val="single" w:sz="4" w:space="0" w:color="auto"/>
              <w:right w:val="single" w:sz="4" w:space="0" w:color="auto"/>
            </w:tcBorders>
          </w:tcPr>
          <w:p w14:paraId="23C8DF0C" w14:textId="77777777" w:rsidR="00187ABF" w:rsidRDefault="00187ABF" w:rsidP="00AB074C">
            <w:pPr>
              <w:pStyle w:val="TableText"/>
              <w:snapToGrid w:val="0"/>
              <w:rPr>
                <w:szCs w:val="17"/>
                <w:lang w:eastAsia="en-GB"/>
              </w:rPr>
            </w:pPr>
          </w:p>
        </w:tc>
        <w:tc>
          <w:tcPr>
            <w:tcW w:w="1140" w:type="dxa"/>
            <w:tcBorders>
              <w:left w:val="single" w:sz="4" w:space="0" w:color="auto"/>
              <w:right w:val="single" w:sz="4" w:space="0" w:color="auto"/>
            </w:tcBorders>
          </w:tcPr>
          <w:p w14:paraId="6C21969D" w14:textId="77777777" w:rsidR="00187ABF" w:rsidRDefault="00187ABF" w:rsidP="00AB074C">
            <w:pPr>
              <w:pStyle w:val="TableText"/>
              <w:snapToGrid w:val="0"/>
              <w:rPr>
                <w:szCs w:val="17"/>
                <w:lang w:eastAsia="en-GB"/>
              </w:rPr>
            </w:pPr>
          </w:p>
        </w:tc>
        <w:tc>
          <w:tcPr>
            <w:tcW w:w="1141" w:type="dxa"/>
            <w:tcBorders>
              <w:left w:val="single" w:sz="4" w:space="0" w:color="auto"/>
              <w:right w:val="single" w:sz="4" w:space="0" w:color="auto"/>
            </w:tcBorders>
          </w:tcPr>
          <w:p w14:paraId="5F9BFB45" w14:textId="77777777" w:rsidR="00187ABF" w:rsidRDefault="00187ABF" w:rsidP="00AB074C">
            <w:pPr>
              <w:pStyle w:val="TableText"/>
              <w:snapToGrid w:val="0"/>
              <w:rPr>
                <w:szCs w:val="17"/>
                <w:lang w:eastAsia="en-GB"/>
              </w:rPr>
            </w:pPr>
          </w:p>
        </w:tc>
        <w:tc>
          <w:tcPr>
            <w:tcW w:w="1134" w:type="dxa"/>
            <w:tcBorders>
              <w:left w:val="single" w:sz="4" w:space="0" w:color="auto"/>
              <w:right w:val="single" w:sz="4" w:space="0" w:color="auto"/>
            </w:tcBorders>
          </w:tcPr>
          <w:p w14:paraId="7E03782E" w14:textId="77777777" w:rsidR="00187ABF" w:rsidRDefault="00187ABF" w:rsidP="00AB074C">
            <w:pPr>
              <w:pStyle w:val="TableText"/>
              <w:snapToGrid w:val="0"/>
              <w:rPr>
                <w:szCs w:val="17"/>
                <w:lang w:eastAsia="en-GB"/>
              </w:rPr>
            </w:pPr>
          </w:p>
        </w:tc>
        <w:tc>
          <w:tcPr>
            <w:tcW w:w="1162" w:type="dxa"/>
            <w:tcBorders>
              <w:left w:val="single" w:sz="4" w:space="0" w:color="auto"/>
              <w:right w:val="single" w:sz="4" w:space="0" w:color="auto"/>
            </w:tcBorders>
          </w:tcPr>
          <w:p w14:paraId="66266F0D" w14:textId="77777777" w:rsidR="00187ABF" w:rsidRDefault="00187ABF" w:rsidP="00AB074C">
            <w:pPr>
              <w:pStyle w:val="TableText"/>
              <w:snapToGrid w:val="0"/>
              <w:rPr>
                <w:szCs w:val="17"/>
                <w:lang w:eastAsia="en-GB"/>
              </w:rPr>
            </w:pPr>
          </w:p>
        </w:tc>
      </w:tr>
      <w:tr w:rsidR="00187ABF" w14:paraId="4DB1AAC2" w14:textId="77777777" w:rsidTr="00AB074C">
        <w:trPr>
          <w:cantSplit/>
        </w:trPr>
        <w:tc>
          <w:tcPr>
            <w:tcW w:w="2385" w:type="dxa"/>
            <w:tcBorders>
              <w:left w:val="nil"/>
              <w:right w:val="single" w:sz="4" w:space="0" w:color="auto"/>
            </w:tcBorders>
          </w:tcPr>
          <w:p w14:paraId="07FE9C93" w14:textId="77777777" w:rsidR="00187ABF" w:rsidRDefault="00187ABF" w:rsidP="00AB074C">
            <w:pPr>
              <w:pStyle w:val="TableText"/>
              <w:snapToGrid w:val="0"/>
              <w:rPr>
                <w:szCs w:val="17"/>
                <w:lang w:eastAsia="en-GB"/>
              </w:rPr>
            </w:pPr>
            <w:r>
              <w:rPr>
                <w:szCs w:val="17"/>
                <w:lang w:eastAsia="en-GB"/>
              </w:rPr>
              <w:t>Domestic sovereign debt</w:t>
            </w:r>
          </w:p>
        </w:tc>
        <w:tc>
          <w:tcPr>
            <w:tcW w:w="1140" w:type="dxa"/>
            <w:tcBorders>
              <w:left w:val="single" w:sz="4" w:space="0" w:color="auto"/>
              <w:right w:val="single" w:sz="4" w:space="0" w:color="auto"/>
            </w:tcBorders>
          </w:tcPr>
          <w:p w14:paraId="4DC95A97" w14:textId="77777777" w:rsidR="00187ABF" w:rsidRDefault="00187ABF" w:rsidP="00AB074C">
            <w:pPr>
              <w:pStyle w:val="TableText"/>
              <w:snapToGrid w:val="0"/>
              <w:rPr>
                <w:szCs w:val="17"/>
                <w:lang w:eastAsia="en-GB"/>
              </w:rPr>
            </w:pPr>
          </w:p>
        </w:tc>
        <w:tc>
          <w:tcPr>
            <w:tcW w:w="1140" w:type="dxa"/>
            <w:tcBorders>
              <w:left w:val="single" w:sz="4" w:space="0" w:color="auto"/>
              <w:right w:val="single" w:sz="4" w:space="0" w:color="auto"/>
            </w:tcBorders>
          </w:tcPr>
          <w:p w14:paraId="40A52C9F" w14:textId="77777777" w:rsidR="00187ABF" w:rsidRDefault="00187ABF" w:rsidP="00AB074C">
            <w:pPr>
              <w:pStyle w:val="TableText"/>
              <w:snapToGrid w:val="0"/>
              <w:rPr>
                <w:szCs w:val="17"/>
                <w:lang w:eastAsia="en-GB"/>
              </w:rPr>
            </w:pPr>
          </w:p>
        </w:tc>
        <w:tc>
          <w:tcPr>
            <w:tcW w:w="1140" w:type="dxa"/>
            <w:tcBorders>
              <w:left w:val="single" w:sz="4" w:space="0" w:color="auto"/>
              <w:right w:val="single" w:sz="4" w:space="0" w:color="auto"/>
            </w:tcBorders>
          </w:tcPr>
          <w:p w14:paraId="1BAD9A78" w14:textId="77777777" w:rsidR="00187ABF" w:rsidRDefault="00187ABF" w:rsidP="00AB074C">
            <w:pPr>
              <w:pStyle w:val="TableText"/>
              <w:snapToGrid w:val="0"/>
              <w:rPr>
                <w:szCs w:val="17"/>
                <w:lang w:eastAsia="en-GB"/>
              </w:rPr>
            </w:pPr>
          </w:p>
        </w:tc>
        <w:tc>
          <w:tcPr>
            <w:tcW w:w="1141" w:type="dxa"/>
            <w:tcBorders>
              <w:left w:val="single" w:sz="4" w:space="0" w:color="auto"/>
              <w:right w:val="single" w:sz="4" w:space="0" w:color="auto"/>
            </w:tcBorders>
          </w:tcPr>
          <w:p w14:paraId="6E0BA4BD" w14:textId="77777777" w:rsidR="00187ABF" w:rsidRDefault="00187ABF" w:rsidP="00AB074C">
            <w:pPr>
              <w:pStyle w:val="TableText"/>
              <w:snapToGrid w:val="0"/>
              <w:rPr>
                <w:szCs w:val="17"/>
                <w:lang w:eastAsia="en-GB"/>
              </w:rPr>
            </w:pPr>
          </w:p>
        </w:tc>
        <w:tc>
          <w:tcPr>
            <w:tcW w:w="1134" w:type="dxa"/>
            <w:tcBorders>
              <w:left w:val="single" w:sz="4" w:space="0" w:color="auto"/>
              <w:right w:val="single" w:sz="4" w:space="0" w:color="auto"/>
            </w:tcBorders>
          </w:tcPr>
          <w:p w14:paraId="4FBBDAE0" w14:textId="77777777" w:rsidR="00187ABF" w:rsidRDefault="00187ABF" w:rsidP="00AB074C">
            <w:pPr>
              <w:pStyle w:val="TableText"/>
              <w:snapToGrid w:val="0"/>
              <w:rPr>
                <w:szCs w:val="17"/>
                <w:lang w:eastAsia="en-GB"/>
              </w:rPr>
            </w:pPr>
          </w:p>
        </w:tc>
        <w:tc>
          <w:tcPr>
            <w:tcW w:w="1162" w:type="dxa"/>
            <w:tcBorders>
              <w:left w:val="single" w:sz="4" w:space="0" w:color="auto"/>
              <w:right w:val="single" w:sz="4" w:space="0" w:color="auto"/>
            </w:tcBorders>
          </w:tcPr>
          <w:p w14:paraId="74C892B9" w14:textId="77777777" w:rsidR="00187ABF" w:rsidRDefault="00187ABF" w:rsidP="00AB074C">
            <w:pPr>
              <w:pStyle w:val="TableText"/>
              <w:snapToGrid w:val="0"/>
              <w:rPr>
                <w:szCs w:val="17"/>
                <w:lang w:eastAsia="en-GB"/>
              </w:rPr>
            </w:pPr>
          </w:p>
        </w:tc>
      </w:tr>
      <w:tr w:rsidR="00187ABF" w14:paraId="34F447D2" w14:textId="77777777" w:rsidTr="00AB074C">
        <w:trPr>
          <w:cantSplit/>
        </w:trPr>
        <w:tc>
          <w:tcPr>
            <w:tcW w:w="2385" w:type="dxa"/>
            <w:tcBorders>
              <w:left w:val="nil"/>
              <w:right w:val="single" w:sz="4" w:space="0" w:color="auto"/>
            </w:tcBorders>
          </w:tcPr>
          <w:p w14:paraId="33F0AF84" w14:textId="77777777" w:rsidR="00187ABF" w:rsidRDefault="00187ABF" w:rsidP="00AB074C">
            <w:pPr>
              <w:pStyle w:val="TableText"/>
              <w:snapToGrid w:val="0"/>
              <w:rPr>
                <w:szCs w:val="17"/>
                <w:lang w:eastAsia="en-GB"/>
              </w:rPr>
            </w:pPr>
            <w:r>
              <w:rPr>
                <w:szCs w:val="17"/>
                <w:lang w:eastAsia="en-GB"/>
              </w:rPr>
              <w:t>Other sovereign debt</w:t>
            </w:r>
          </w:p>
        </w:tc>
        <w:tc>
          <w:tcPr>
            <w:tcW w:w="1140" w:type="dxa"/>
            <w:tcBorders>
              <w:left w:val="single" w:sz="4" w:space="0" w:color="auto"/>
              <w:right w:val="single" w:sz="4" w:space="0" w:color="auto"/>
            </w:tcBorders>
          </w:tcPr>
          <w:p w14:paraId="338A2908" w14:textId="77777777" w:rsidR="00187ABF" w:rsidRDefault="00187ABF" w:rsidP="00AB074C">
            <w:pPr>
              <w:pStyle w:val="TableText"/>
              <w:snapToGrid w:val="0"/>
              <w:rPr>
                <w:szCs w:val="17"/>
                <w:lang w:eastAsia="en-GB"/>
              </w:rPr>
            </w:pPr>
          </w:p>
        </w:tc>
        <w:tc>
          <w:tcPr>
            <w:tcW w:w="1140" w:type="dxa"/>
            <w:tcBorders>
              <w:left w:val="single" w:sz="4" w:space="0" w:color="auto"/>
              <w:right w:val="single" w:sz="4" w:space="0" w:color="auto"/>
            </w:tcBorders>
          </w:tcPr>
          <w:p w14:paraId="5654D5B9" w14:textId="77777777" w:rsidR="00187ABF" w:rsidRDefault="00187ABF" w:rsidP="00AB074C">
            <w:pPr>
              <w:pStyle w:val="TableText"/>
              <w:snapToGrid w:val="0"/>
              <w:rPr>
                <w:szCs w:val="17"/>
                <w:lang w:eastAsia="en-GB"/>
              </w:rPr>
            </w:pPr>
          </w:p>
        </w:tc>
        <w:tc>
          <w:tcPr>
            <w:tcW w:w="1140" w:type="dxa"/>
            <w:tcBorders>
              <w:left w:val="single" w:sz="4" w:space="0" w:color="auto"/>
              <w:right w:val="single" w:sz="4" w:space="0" w:color="auto"/>
            </w:tcBorders>
          </w:tcPr>
          <w:p w14:paraId="0F97EE6E" w14:textId="77777777" w:rsidR="00187ABF" w:rsidRDefault="00187ABF" w:rsidP="00AB074C">
            <w:pPr>
              <w:pStyle w:val="TableText"/>
              <w:snapToGrid w:val="0"/>
              <w:rPr>
                <w:szCs w:val="17"/>
                <w:lang w:eastAsia="en-GB"/>
              </w:rPr>
            </w:pPr>
          </w:p>
        </w:tc>
        <w:tc>
          <w:tcPr>
            <w:tcW w:w="1141" w:type="dxa"/>
            <w:tcBorders>
              <w:left w:val="single" w:sz="4" w:space="0" w:color="auto"/>
              <w:right w:val="single" w:sz="4" w:space="0" w:color="auto"/>
            </w:tcBorders>
          </w:tcPr>
          <w:p w14:paraId="52A2ABBB" w14:textId="77777777" w:rsidR="00187ABF" w:rsidRDefault="00187ABF" w:rsidP="00AB074C">
            <w:pPr>
              <w:pStyle w:val="TableText"/>
              <w:snapToGrid w:val="0"/>
              <w:rPr>
                <w:szCs w:val="17"/>
                <w:lang w:eastAsia="en-GB"/>
              </w:rPr>
            </w:pPr>
          </w:p>
        </w:tc>
        <w:tc>
          <w:tcPr>
            <w:tcW w:w="1134" w:type="dxa"/>
            <w:tcBorders>
              <w:left w:val="single" w:sz="4" w:space="0" w:color="auto"/>
              <w:right w:val="single" w:sz="4" w:space="0" w:color="auto"/>
            </w:tcBorders>
          </w:tcPr>
          <w:p w14:paraId="45A3007F" w14:textId="77777777" w:rsidR="00187ABF" w:rsidRDefault="00187ABF" w:rsidP="00AB074C">
            <w:pPr>
              <w:pStyle w:val="TableText"/>
              <w:snapToGrid w:val="0"/>
              <w:rPr>
                <w:szCs w:val="17"/>
                <w:lang w:eastAsia="en-GB"/>
              </w:rPr>
            </w:pPr>
          </w:p>
        </w:tc>
        <w:tc>
          <w:tcPr>
            <w:tcW w:w="1162" w:type="dxa"/>
            <w:tcBorders>
              <w:left w:val="single" w:sz="4" w:space="0" w:color="auto"/>
              <w:right w:val="single" w:sz="4" w:space="0" w:color="auto"/>
            </w:tcBorders>
          </w:tcPr>
          <w:p w14:paraId="1956E0A1" w14:textId="77777777" w:rsidR="00187ABF" w:rsidRDefault="00187ABF" w:rsidP="00AB074C">
            <w:pPr>
              <w:pStyle w:val="TableText"/>
              <w:snapToGrid w:val="0"/>
              <w:rPr>
                <w:szCs w:val="17"/>
                <w:lang w:eastAsia="en-GB"/>
              </w:rPr>
            </w:pPr>
          </w:p>
        </w:tc>
      </w:tr>
      <w:tr w:rsidR="00187ABF" w14:paraId="036DE2D7" w14:textId="77777777" w:rsidTr="00AB074C">
        <w:trPr>
          <w:cantSplit/>
        </w:trPr>
        <w:tc>
          <w:tcPr>
            <w:tcW w:w="2385" w:type="dxa"/>
            <w:tcBorders>
              <w:left w:val="nil"/>
              <w:right w:val="single" w:sz="4" w:space="0" w:color="auto"/>
            </w:tcBorders>
          </w:tcPr>
          <w:p w14:paraId="1A741A22" w14:textId="77777777" w:rsidR="00187ABF" w:rsidRDefault="00187ABF" w:rsidP="00AB074C">
            <w:pPr>
              <w:pStyle w:val="TableText"/>
              <w:snapToGrid w:val="0"/>
              <w:rPr>
                <w:szCs w:val="17"/>
                <w:lang w:eastAsia="en-GB"/>
              </w:rPr>
            </w:pPr>
            <w:r>
              <w:rPr>
                <w:szCs w:val="17"/>
                <w:lang w:eastAsia="en-GB"/>
              </w:rPr>
              <w:t>Government agency debt</w:t>
            </w:r>
          </w:p>
        </w:tc>
        <w:tc>
          <w:tcPr>
            <w:tcW w:w="1140" w:type="dxa"/>
            <w:tcBorders>
              <w:left w:val="single" w:sz="4" w:space="0" w:color="auto"/>
              <w:right w:val="single" w:sz="4" w:space="0" w:color="auto"/>
            </w:tcBorders>
          </w:tcPr>
          <w:p w14:paraId="731B51D5" w14:textId="77777777" w:rsidR="00187ABF" w:rsidRDefault="00187ABF" w:rsidP="00AB074C">
            <w:pPr>
              <w:pStyle w:val="TableText"/>
              <w:snapToGrid w:val="0"/>
              <w:rPr>
                <w:szCs w:val="17"/>
                <w:lang w:eastAsia="en-GB"/>
              </w:rPr>
            </w:pPr>
          </w:p>
        </w:tc>
        <w:tc>
          <w:tcPr>
            <w:tcW w:w="1140" w:type="dxa"/>
            <w:tcBorders>
              <w:left w:val="single" w:sz="4" w:space="0" w:color="auto"/>
              <w:right w:val="single" w:sz="4" w:space="0" w:color="auto"/>
            </w:tcBorders>
          </w:tcPr>
          <w:p w14:paraId="7A1F3D27" w14:textId="77777777" w:rsidR="00187ABF" w:rsidRDefault="00187ABF" w:rsidP="00AB074C">
            <w:pPr>
              <w:pStyle w:val="TableText"/>
              <w:snapToGrid w:val="0"/>
              <w:rPr>
                <w:szCs w:val="17"/>
                <w:lang w:eastAsia="en-GB"/>
              </w:rPr>
            </w:pPr>
          </w:p>
        </w:tc>
        <w:tc>
          <w:tcPr>
            <w:tcW w:w="1140" w:type="dxa"/>
            <w:tcBorders>
              <w:left w:val="single" w:sz="4" w:space="0" w:color="auto"/>
              <w:right w:val="single" w:sz="4" w:space="0" w:color="auto"/>
            </w:tcBorders>
          </w:tcPr>
          <w:p w14:paraId="1B7A0D36" w14:textId="77777777" w:rsidR="00187ABF" w:rsidRDefault="00187ABF" w:rsidP="00AB074C">
            <w:pPr>
              <w:pStyle w:val="TableText"/>
              <w:snapToGrid w:val="0"/>
              <w:rPr>
                <w:szCs w:val="17"/>
                <w:lang w:eastAsia="en-GB"/>
              </w:rPr>
            </w:pPr>
          </w:p>
        </w:tc>
        <w:tc>
          <w:tcPr>
            <w:tcW w:w="1141" w:type="dxa"/>
            <w:tcBorders>
              <w:left w:val="single" w:sz="4" w:space="0" w:color="auto"/>
              <w:right w:val="single" w:sz="4" w:space="0" w:color="auto"/>
            </w:tcBorders>
          </w:tcPr>
          <w:p w14:paraId="345996D3" w14:textId="77777777" w:rsidR="00187ABF" w:rsidRDefault="00187ABF" w:rsidP="00AB074C">
            <w:pPr>
              <w:pStyle w:val="TableText"/>
              <w:snapToGrid w:val="0"/>
              <w:rPr>
                <w:szCs w:val="17"/>
                <w:lang w:eastAsia="en-GB"/>
              </w:rPr>
            </w:pPr>
          </w:p>
        </w:tc>
        <w:tc>
          <w:tcPr>
            <w:tcW w:w="1134" w:type="dxa"/>
            <w:tcBorders>
              <w:left w:val="single" w:sz="4" w:space="0" w:color="auto"/>
              <w:right w:val="single" w:sz="4" w:space="0" w:color="auto"/>
            </w:tcBorders>
          </w:tcPr>
          <w:p w14:paraId="6BFBFE0F" w14:textId="77777777" w:rsidR="00187ABF" w:rsidRDefault="00187ABF" w:rsidP="00AB074C">
            <w:pPr>
              <w:pStyle w:val="TableText"/>
              <w:snapToGrid w:val="0"/>
              <w:rPr>
                <w:szCs w:val="17"/>
                <w:lang w:eastAsia="en-GB"/>
              </w:rPr>
            </w:pPr>
          </w:p>
        </w:tc>
        <w:tc>
          <w:tcPr>
            <w:tcW w:w="1162" w:type="dxa"/>
            <w:tcBorders>
              <w:left w:val="single" w:sz="4" w:space="0" w:color="auto"/>
              <w:right w:val="single" w:sz="4" w:space="0" w:color="auto"/>
            </w:tcBorders>
          </w:tcPr>
          <w:p w14:paraId="3D4E6462" w14:textId="77777777" w:rsidR="00187ABF" w:rsidRDefault="00187ABF" w:rsidP="00AB074C">
            <w:pPr>
              <w:pStyle w:val="TableText"/>
              <w:snapToGrid w:val="0"/>
              <w:rPr>
                <w:szCs w:val="17"/>
                <w:lang w:eastAsia="en-GB"/>
              </w:rPr>
            </w:pPr>
          </w:p>
        </w:tc>
      </w:tr>
      <w:tr w:rsidR="00187ABF" w14:paraId="3FF6BC2E" w14:textId="77777777" w:rsidTr="00AB074C">
        <w:trPr>
          <w:cantSplit/>
        </w:trPr>
        <w:tc>
          <w:tcPr>
            <w:tcW w:w="2385" w:type="dxa"/>
            <w:tcBorders>
              <w:left w:val="nil"/>
              <w:right w:val="single" w:sz="4" w:space="0" w:color="auto"/>
            </w:tcBorders>
          </w:tcPr>
          <w:p w14:paraId="29A4006A" w14:textId="77777777" w:rsidR="00187ABF" w:rsidRDefault="00187ABF" w:rsidP="00AB074C">
            <w:pPr>
              <w:pStyle w:val="TableText"/>
              <w:snapToGrid w:val="0"/>
              <w:rPr>
                <w:szCs w:val="17"/>
                <w:lang w:eastAsia="en-GB"/>
              </w:rPr>
            </w:pPr>
            <w:r>
              <w:rPr>
                <w:szCs w:val="17"/>
                <w:lang w:eastAsia="en-GB"/>
              </w:rPr>
              <w:t>Corporate bonds</w:t>
            </w:r>
          </w:p>
        </w:tc>
        <w:tc>
          <w:tcPr>
            <w:tcW w:w="1140" w:type="dxa"/>
            <w:tcBorders>
              <w:left w:val="single" w:sz="4" w:space="0" w:color="auto"/>
              <w:right w:val="single" w:sz="4" w:space="0" w:color="auto"/>
            </w:tcBorders>
          </w:tcPr>
          <w:p w14:paraId="13B09FBA" w14:textId="77777777" w:rsidR="00187ABF" w:rsidRDefault="00187ABF" w:rsidP="00AB074C">
            <w:pPr>
              <w:pStyle w:val="TableText"/>
              <w:snapToGrid w:val="0"/>
              <w:rPr>
                <w:szCs w:val="17"/>
                <w:lang w:eastAsia="en-GB"/>
              </w:rPr>
            </w:pPr>
          </w:p>
        </w:tc>
        <w:tc>
          <w:tcPr>
            <w:tcW w:w="1140" w:type="dxa"/>
            <w:tcBorders>
              <w:left w:val="single" w:sz="4" w:space="0" w:color="auto"/>
              <w:right w:val="single" w:sz="4" w:space="0" w:color="auto"/>
            </w:tcBorders>
          </w:tcPr>
          <w:p w14:paraId="79EC6567" w14:textId="77777777" w:rsidR="00187ABF" w:rsidRDefault="00187ABF" w:rsidP="00AB074C">
            <w:pPr>
              <w:pStyle w:val="TableText"/>
              <w:snapToGrid w:val="0"/>
              <w:rPr>
                <w:szCs w:val="17"/>
                <w:lang w:eastAsia="en-GB"/>
              </w:rPr>
            </w:pPr>
          </w:p>
        </w:tc>
        <w:tc>
          <w:tcPr>
            <w:tcW w:w="1140" w:type="dxa"/>
            <w:tcBorders>
              <w:left w:val="single" w:sz="4" w:space="0" w:color="auto"/>
              <w:right w:val="single" w:sz="4" w:space="0" w:color="auto"/>
            </w:tcBorders>
          </w:tcPr>
          <w:p w14:paraId="7CFB2184" w14:textId="77777777" w:rsidR="00187ABF" w:rsidRDefault="00187ABF" w:rsidP="00AB074C">
            <w:pPr>
              <w:pStyle w:val="TableText"/>
              <w:snapToGrid w:val="0"/>
              <w:rPr>
                <w:szCs w:val="17"/>
                <w:lang w:eastAsia="en-GB"/>
              </w:rPr>
            </w:pPr>
          </w:p>
        </w:tc>
        <w:tc>
          <w:tcPr>
            <w:tcW w:w="1141" w:type="dxa"/>
            <w:tcBorders>
              <w:left w:val="single" w:sz="4" w:space="0" w:color="auto"/>
              <w:right w:val="single" w:sz="4" w:space="0" w:color="auto"/>
            </w:tcBorders>
          </w:tcPr>
          <w:p w14:paraId="4941C3F5" w14:textId="77777777" w:rsidR="00187ABF" w:rsidRDefault="00187ABF" w:rsidP="00AB074C">
            <w:pPr>
              <w:pStyle w:val="TableText"/>
              <w:snapToGrid w:val="0"/>
              <w:rPr>
                <w:szCs w:val="17"/>
                <w:lang w:eastAsia="en-GB"/>
              </w:rPr>
            </w:pPr>
          </w:p>
        </w:tc>
        <w:tc>
          <w:tcPr>
            <w:tcW w:w="1134" w:type="dxa"/>
            <w:tcBorders>
              <w:left w:val="single" w:sz="4" w:space="0" w:color="auto"/>
              <w:right w:val="single" w:sz="4" w:space="0" w:color="auto"/>
            </w:tcBorders>
          </w:tcPr>
          <w:p w14:paraId="7B076358" w14:textId="77777777" w:rsidR="00187ABF" w:rsidRDefault="00187ABF" w:rsidP="00AB074C">
            <w:pPr>
              <w:pStyle w:val="TableText"/>
              <w:snapToGrid w:val="0"/>
              <w:rPr>
                <w:szCs w:val="17"/>
                <w:lang w:eastAsia="en-GB"/>
              </w:rPr>
            </w:pPr>
          </w:p>
        </w:tc>
        <w:tc>
          <w:tcPr>
            <w:tcW w:w="1162" w:type="dxa"/>
            <w:tcBorders>
              <w:left w:val="single" w:sz="4" w:space="0" w:color="auto"/>
              <w:right w:val="single" w:sz="4" w:space="0" w:color="auto"/>
            </w:tcBorders>
          </w:tcPr>
          <w:p w14:paraId="657B22E6" w14:textId="77777777" w:rsidR="00187ABF" w:rsidRDefault="00187ABF" w:rsidP="00AB074C">
            <w:pPr>
              <w:pStyle w:val="TableText"/>
              <w:snapToGrid w:val="0"/>
              <w:rPr>
                <w:szCs w:val="17"/>
                <w:lang w:eastAsia="en-GB"/>
              </w:rPr>
            </w:pPr>
          </w:p>
        </w:tc>
      </w:tr>
      <w:tr w:rsidR="00187ABF" w14:paraId="04A71E99" w14:textId="77777777" w:rsidTr="00AB074C">
        <w:trPr>
          <w:cantSplit/>
        </w:trPr>
        <w:tc>
          <w:tcPr>
            <w:tcW w:w="2385" w:type="dxa"/>
            <w:tcBorders>
              <w:left w:val="nil"/>
              <w:right w:val="single" w:sz="4" w:space="0" w:color="auto"/>
            </w:tcBorders>
          </w:tcPr>
          <w:p w14:paraId="779DF664" w14:textId="77777777" w:rsidR="00187ABF" w:rsidRDefault="00187ABF" w:rsidP="00AB074C">
            <w:pPr>
              <w:pStyle w:val="TableText"/>
              <w:snapToGrid w:val="0"/>
              <w:rPr>
                <w:szCs w:val="17"/>
                <w:lang w:eastAsia="en-GB"/>
              </w:rPr>
            </w:pPr>
            <w:r>
              <w:rPr>
                <w:szCs w:val="17"/>
                <w:lang w:eastAsia="en-GB"/>
              </w:rPr>
              <w:t>Equity securities</w:t>
            </w:r>
          </w:p>
        </w:tc>
        <w:tc>
          <w:tcPr>
            <w:tcW w:w="1140" w:type="dxa"/>
            <w:tcBorders>
              <w:left w:val="single" w:sz="4" w:space="0" w:color="auto"/>
              <w:right w:val="single" w:sz="4" w:space="0" w:color="auto"/>
            </w:tcBorders>
          </w:tcPr>
          <w:p w14:paraId="020257B0" w14:textId="77777777" w:rsidR="00187ABF" w:rsidRDefault="00187ABF" w:rsidP="00AB074C">
            <w:pPr>
              <w:pStyle w:val="TableText"/>
              <w:snapToGrid w:val="0"/>
              <w:rPr>
                <w:szCs w:val="17"/>
                <w:lang w:eastAsia="en-GB"/>
              </w:rPr>
            </w:pPr>
          </w:p>
        </w:tc>
        <w:tc>
          <w:tcPr>
            <w:tcW w:w="1140" w:type="dxa"/>
            <w:tcBorders>
              <w:left w:val="single" w:sz="4" w:space="0" w:color="auto"/>
              <w:right w:val="single" w:sz="4" w:space="0" w:color="auto"/>
            </w:tcBorders>
          </w:tcPr>
          <w:p w14:paraId="2EEAAA12" w14:textId="77777777" w:rsidR="00187ABF" w:rsidRDefault="00187ABF" w:rsidP="00AB074C">
            <w:pPr>
              <w:pStyle w:val="TableText"/>
              <w:snapToGrid w:val="0"/>
              <w:rPr>
                <w:szCs w:val="17"/>
                <w:lang w:eastAsia="en-GB"/>
              </w:rPr>
            </w:pPr>
          </w:p>
        </w:tc>
        <w:tc>
          <w:tcPr>
            <w:tcW w:w="1140" w:type="dxa"/>
            <w:tcBorders>
              <w:left w:val="single" w:sz="4" w:space="0" w:color="auto"/>
              <w:right w:val="single" w:sz="4" w:space="0" w:color="auto"/>
            </w:tcBorders>
          </w:tcPr>
          <w:p w14:paraId="7B8B31AE" w14:textId="77777777" w:rsidR="00187ABF" w:rsidRDefault="00187ABF" w:rsidP="00AB074C">
            <w:pPr>
              <w:pStyle w:val="TableText"/>
              <w:snapToGrid w:val="0"/>
              <w:rPr>
                <w:szCs w:val="17"/>
                <w:lang w:eastAsia="en-GB"/>
              </w:rPr>
            </w:pPr>
          </w:p>
        </w:tc>
        <w:tc>
          <w:tcPr>
            <w:tcW w:w="1141" w:type="dxa"/>
            <w:tcBorders>
              <w:left w:val="single" w:sz="4" w:space="0" w:color="auto"/>
              <w:right w:val="single" w:sz="4" w:space="0" w:color="auto"/>
            </w:tcBorders>
          </w:tcPr>
          <w:p w14:paraId="25FDD972" w14:textId="77777777" w:rsidR="00187ABF" w:rsidRDefault="00187ABF" w:rsidP="00AB074C">
            <w:pPr>
              <w:pStyle w:val="TableText"/>
              <w:snapToGrid w:val="0"/>
              <w:rPr>
                <w:szCs w:val="17"/>
                <w:lang w:eastAsia="en-GB"/>
              </w:rPr>
            </w:pPr>
          </w:p>
        </w:tc>
        <w:tc>
          <w:tcPr>
            <w:tcW w:w="1134" w:type="dxa"/>
            <w:tcBorders>
              <w:left w:val="single" w:sz="4" w:space="0" w:color="auto"/>
              <w:right w:val="single" w:sz="4" w:space="0" w:color="auto"/>
            </w:tcBorders>
          </w:tcPr>
          <w:p w14:paraId="168BC05C" w14:textId="77777777" w:rsidR="00187ABF" w:rsidRDefault="00187ABF" w:rsidP="00AB074C">
            <w:pPr>
              <w:pStyle w:val="TableText"/>
              <w:snapToGrid w:val="0"/>
              <w:rPr>
                <w:szCs w:val="17"/>
                <w:lang w:eastAsia="en-GB"/>
              </w:rPr>
            </w:pPr>
          </w:p>
        </w:tc>
        <w:tc>
          <w:tcPr>
            <w:tcW w:w="1162" w:type="dxa"/>
            <w:tcBorders>
              <w:left w:val="single" w:sz="4" w:space="0" w:color="auto"/>
              <w:right w:val="single" w:sz="4" w:space="0" w:color="auto"/>
            </w:tcBorders>
          </w:tcPr>
          <w:p w14:paraId="0A5F4A03" w14:textId="77777777" w:rsidR="00187ABF" w:rsidRDefault="00187ABF" w:rsidP="00AB074C">
            <w:pPr>
              <w:pStyle w:val="TableText"/>
              <w:snapToGrid w:val="0"/>
              <w:rPr>
                <w:szCs w:val="17"/>
                <w:lang w:eastAsia="en-GB"/>
              </w:rPr>
            </w:pPr>
          </w:p>
        </w:tc>
      </w:tr>
      <w:tr w:rsidR="00187ABF" w14:paraId="4E6A682D" w14:textId="77777777" w:rsidTr="00AB074C">
        <w:trPr>
          <w:cantSplit/>
        </w:trPr>
        <w:tc>
          <w:tcPr>
            <w:tcW w:w="2385" w:type="dxa"/>
            <w:tcBorders>
              <w:left w:val="nil"/>
              <w:bottom w:val="single" w:sz="4" w:space="0" w:color="BCBDBC"/>
              <w:right w:val="single" w:sz="4" w:space="0" w:color="auto"/>
            </w:tcBorders>
          </w:tcPr>
          <w:p w14:paraId="1A4D8E54" w14:textId="77777777" w:rsidR="00187ABF" w:rsidRDefault="00187ABF" w:rsidP="00AB074C">
            <w:pPr>
              <w:pStyle w:val="TableText"/>
              <w:snapToGrid w:val="0"/>
              <w:rPr>
                <w:szCs w:val="17"/>
                <w:lang w:eastAsia="en-GB"/>
              </w:rPr>
            </w:pPr>
            <w:r>
              <w:rPr>
                <w:szCs w:val="17"/>
                <w:lang w:eastAsia="en-GB"/>
              </w:rPr>
              <w:t>Other collateral</w:t>
            </w:r>
          </w:p>
        </w:tc>
        <w:tc>
          <w:tcPr>
            <w:tcW w:w="1140" w:type="dxa"/>
            <w:tcBorders>
              <w:left w:val="single" w:sz="4" w:space="0" w:color="auto"/>
              <w:bottom w:val="single" w:sz="4" w:space="0" w:color="BCBDBC"/>
              <w:right w:val="single" w:sz="4" w:space="0" w:color="auto"/>
            </w:tcBorders>
          </w:tcPr>
          <w:p w14:paraId="2C59EF94" w14:textId="77777777" w:rsidR="00187ABF" w:rsidRDefault="00187ABF" w:rsidP="00AB074C">
            <w:pPr>
              <w:pStyle w:val="TableText"/>
              <w:snapToGrid w:val="0"/>
              <w:rPr>
                <w:szCs w:val="17"/>
                <w:lang w:eastAsia="en-GB"/>
              </w:rPr>
            </w:pPr>
          </w:p>
        </w:tc>
        <w:tc>
          <w:tcPr>
            <w:tcW w:w="1140" w:type="dxa"/>
            <w:tcBorders>
              <w:left w:val="single" w:sz="4" w:space="0" w:color="auto"/>
              <w:bottom w:val="single" w:sz="4" w:space="0" w:color="BCBDBC"/>
              <w:right w:val="single" w:sz="4" w:space="0" w:color="auto"/>
            </w:tcBorders>
          </w:tcPr>
          <w:p w14:paraId="1148CA0C" w14:textId="77777777" w:rsidR="00187ABF" w:rsidRDefault="00187ABF" w:rsidP="00AB074C">
            <w:pPr>
              <w:pStyle w:val="TableText"/>
              <w:snapToGrid w:val="0"/>
              <w:rPr>
                <w:szCs w:val="17"/>
                <w:lang w:eastAsia="en-GB"/>
              </w:rPr>
            </w:pPr>
          </w:p>
        </w:tc>
        <w:tc>
          <w:tcPr>
            <w:tcW w:w="1140" w:type="dxa"/>
            <w:tcBorders>
              <w:left w:val="single" w:sz="4" w:space="0" w:color="auto"/>
              <w:bottom w:val="single" w:sz="4" w:space="0" w:color="BCBDBC"/>
              <w:right w:val="single" w:sz="4" w:space="0" w:color="auto"/>
            </w:tcBorders>
          </w:tcPr>
          <w:p w14:paraId="307BFA90" w14:textId="77777777" w:rsidR="00187ABF" w:rsidRDefault="00187ABF" w:rsidP="00AB074C">
            <w:pPr>
              <w:pStyle w:val="TableText"/>
              <w:snapToGrid w:val="0"/>
              <w:rPr>
                <w:szCs w:val="17"/>
                <w:lang w:eastAsia="en-GB"/>
              </w:rPr>
            </w:pPr>
          </w:p>
        </w:tc>
        <w:tc>
          <w:tcPr>
            <w:tcW w:w="1141" w:type="dxa"/>
            <w:tcBorders>
              <w:left w:val="single" w:sz="4" w:space="0" w:color="auto"/>
              <w:bottom w:val="single" w:sz="4" w:space="0" w:color="BCBDBC"/>
              <w:right w:val="single" w:sz="4" w:space="0" w:color="auto"/>
            </w:tcBorders>
          </w:tcPr>
          <w:p w14:paraId="1F4835BD" w14:textId="77777777" w:rsidR="00187ABF" w:rsidRDefault="00187ABF" w:rsidP="00AB074C">
            <w:pPr>
              <w:pStyle w:val="TableText"/>
              <w:snapToGrid w:val="0"/>
              <w:rPr>
                <w:szCs w:val="17"/>
                <w:lang w:eastAsia="en-GB"/>
              </w:rPr>
            </w:pPr>
          </w:p>
        </w:tc>
        <w:tc>
          <w:tcPr>
            <w:tcW w:w="1134" w:type="dxa"/>
            <w:tcBorders>
              <w:left w:val="single" w:sz="4" w:space="0" w:color="auto"/>
              <w:bottom w:val="single" w:sz="4" w:space="0" w:color="BCBDBC"/>
              <w:right w:val="single" w:sz="4" w:space="0" w:color="auto"/>
            </w:tcBorders>
          </w:tcPr>
          <w:p w14:paraId="30425BD1" w14:textId="77777777" w:rsidR="00187ABF" w:rsidRDefault="00187ABF" w:rsidP="00AB074C">
            <w:pPr>
              <w:pStyle w:val="TableText"/>
              <w:snapToGrid w:val="0"/>
              <w:rPr>
                <w:szCs w:val="17"/>
                <w:lang w:eastAsia="en-GB"/>
              </w:rPr>
            </w:pPr>
          </w:p>
        </w:tc>
        <w:tc>
          <w:tcPr>
            <w:tcW w:w="1162" w:type="dxa"/>
            <w:tcBorders>
              <w:left w:val="single" w:sz="4" w:space="0" w:color="auto"/>
              <w:bottom w:val="single" w:sz="4" w:space="0" w:color="BCBDBC"/>
              <w:right w:val="single" w:sz="4" w:space="0" w:color="auto"/>
            </w:tcBorders>
          </w:tcPr>
          <w:p w14:paraId="7CC937B0" w14:textId="77777777" w:rsidR="00187ABF" w:rsidRDefault="00187ABF" w:rsidP="00AB074C">
            <w:pPr>
              <w:pStyle w:val="TableText"/>
              <w:snapToGrid w:val="0"/>
              <w:rPr>
                <w:szCs w:val="17"/>
                <w:lang w:eastAsia="en-GB"/>
              </w:rPr>
            </w:pPr>
          </w:p>
        </w:tc>
      </w:tr>
      <w:tr w:rsidR="00187ABF" w14:paraId="6824F437" w14:textId="77777777" w:rsidTr="00AB074C">
        <w:trPr>
          <w:cantSplit/>
        </w:trPr>
        <w:tc>
          <w:tcPr>
            <w:tcW w:w="2385" w:type="dxa"/>
            <w:tcBorders>
              <w:left w:val="nil"/>
              <w:bottom w:val="single" w:sz="4" w:space="0" w:color="BCBDBC"/>
              <w:right w:val="single" w:sz="4" w:space="0" w:color="auto"/>
            </w:tcBorders>
          </w:tcPr>
          <w:p w14:paraId="632B6F52" w14:textId="77777777" w:rsidR="00187ABF" w:rsidRDefault="00187ABF" w:rsidP="00AB074C">
            <w:pPr>
              <w:pStyle w:val="TableText"/>
              <w:snapToGrid w:val="0"/>
              <w:rPr>
                <w:szCs w:val="17"/>
                <w:lang w:eastAsia="en-GB"/>
              </w:rPr>
            </w:pPr>
            <w:r>
              <w:rPr>
                <w:szCs w:val="17"/>
                <w:lang w:eastAsia="en-GB"/>
              </w:rPr>
              <w:t>…</w:t>
            </w:r>
          </w:p>
        </w:tc>
        <w:tc>
          <w:tcPr>
            <w:tcW w:w="1140" w:type="dxa"/>
            <w:tcBorders>
              <w:left w:val="single" w:sz="4" w:space="0" w:color="auto"/>
              <w:bottom w:val="single" w:sz="4" w:space="0" w:color="BCBDBC"/>
              <w:right w:val="single" w:sz="4" w:space="0" w:color="auto"/>
            </w:tcBorders>
          </w:tcPr>
          <w:p w14:paraId="145A88FD" w14:textId="77777777" w:rsidR="00187ABF" w:rsidRDefault="00187ABF" w:rsidP="00AB074C">
            <w:pPr>
              <w:pStyle w:val="TableText"/>
              <w:snapToGrid w:val="0"/>
              <w:rPr>
                <w:szCs w:val="17"/>
                <w:lang w:eastAsia="en-GB"/>
              </w:rPr>
            </w:pPr>
          </w:p>
        </w:tc>
        <w:tc>
          <w:tcPr>
            <w:tcW w:w="1140" w:type="dxa"/>
            <w:tcBorders>
              <w:left w:val="single" w:sz="4" w:space="0" w:color="auto"/>
              <w:bottom w:val="single" w:sz="4" w:space="0" w:color="BCBDBC"/>
              <w:right w:val="single" w:sz="4" w:space="0" w:color="auto"/>
            </w:tcBorders>
          </w:tcPr>
          <w:p w14:paraId="70461079" w14:textId="77777777" w:rsidR="00187ABF" w:rsidRDefault="00187ABF" w:rsidP="00AB074C">
            <w:pPr>
              <w:pStyle w:val="TableText"/>
              <w:snapToGrid w:val="0"/>
              <w:rPr>
                <w:szCs w:val="17"/>
                <w:lang w:eastAsia="en-GB"/>
              </w:rPr>
            </w:pPr>
          </w:p>
        </w:tc>
        <w:tc>
          <w:tcPr>
            <w:tcW w:w="1140" w:type="dxa"/>
            <w:tcBorders>
              <w:left w:val="single" w:sz="4" w:space="0" w:color="auto"/>
              <w:bottom w:val="single" w:sz="4" w:space="0" w:color="BCBDBC"/>
              <w:right w:val="single" w:sz="4" w:space="0" w:color="auto"/>
            </w:tcBorders>
          </w:tcPr>
          <w:p w14:paraId="4AF2E57F" w14:textId="77777777" w:rsidR="00187ABF" w:rsidRDefault="00187ABF" w:rsidP="00AB074C">
            <w:pPr>
              <w:pStyle w:val="TableText"/>
              <w:snapToGrid w:val="0"/>
              <w:rPr>
                <w:szCs w:val="17"/>
                <w:lang w:eastAsia="en-GB"/>
              </w:rPr>
            </w:pPr>
          </w:p>
        </w:tc>
        <w:tc>
          <w:tcPr>
            <w:tcW w:w="1141" w:type="dxa"/>
            <w:tcBorders>
              <w:left w:val="single" w:sz="4" w:space="0" w:color="auto"/>
              <w:bottom w:val="single" w:sz="4" w:space="0" w:color="BCBDBC"/>
              <w:right w:val="single" w:sz="4" w:space="0" w:color="auto"/>
            </w:tcBorders>
          </w:tcPr>
          <w:p w14:paraId="635B1692" w14:textId="77777777" w:rsidR="00187ABF" w:rsidRDefault="00187ABF" w:rsidP="00AB074C">
            <w:pPr>
              <w:pStyle w:val="TableText"/>
              <w:snapToGrid w:val="0"/>
              <w:rPr>
                <w:szCs w:val="17"/>
                <w:lang w:eastAsia="en-GB"/>
              </w:rPr>
            </w:pPr>
          </w:p>
        </w:tc>
        <w:tc>
          <w:tcPr>
            <w:tcW w:w="1134" w:type="dxa"/>
            <w:tcBorders>
              <w:left w:val="single" w:sz="4" w:space="0" w:color="auto"/>
              <w:bottom w:val="single" w:sz="4" w:space="0" w:color="BCBDBC"/>
              <w:right w:val="single" w:sz="4" w:space="0" w:color="auto"/>
            </w:tcBorders>
          </w:tcPr>
          <w:p w14:paraId="387DCC49" w14:textId="77777777" w:rsidR="00187ABF" w:rsidRDefault="00187ABF" w:rsidP="00AB074C">
            <w:pPr>
              <w:pStyle w:val="TableText"/>
              <w:snapToGrid w:val="0"/>
              <w:rPr>
                <w:szCs w:val="17"/>
                <w:lang w:eastAsia="en-GB"/>
              </w:rPr>
            </w:pPr>
          </w:p>
        </w:tc>
        <w:tc>
          <w:tcPr>
            <w:tcW w:w="1162" w:type="dxa"/>
            <w:tcBorders>
              <w:left w:val="single" w:sz="4" w:space="0" w:color="auto"/>
              <w:bottom w:val="single" w:sz="4" w:space="0" w:color="BCBDBC"/>
              <w:right w:val="single" w:sz="4" w:space="0" w:color="auto"/>
            </w:tcBorders>
          </w:tcPr>
          <w:p w14:paraId="4D12DFEA" w14:textId="77777777" w:rsidR="00187ABF" w:rsidRDefault="00187ABF" w:rsidP="00AB074C">
            <w:pPr>
              <w:pStyle w:val="TableText"/>
              <w:snapToGrid w:val="0"/>
              <w:rPr>
                <w:szCs w:val="17"/>
                <w:lang w:eastAsia="en-GB"/>
              </w:rPr>
            </w:pPr>
          </w:p>
        </w:tc>
      </w:tr>
      <w:tr w:rsidR="00187ABF" w14:paraId="35094487" w14:textId="77777777" w:rsidTr="00AB074C">
        <w:trPr>
          <w:cantSplit/>
        </w:trPr>
        <w:tc>
          <w:tcPr>
            <w:tcW w:w="2385" w:type="dxa"/>
            <w:tcBorders>
              <w:left w:val="nil"/>
              <w:bottom w:val="single" w:sz="4" w:space="0" w:color="auto"/>
              <w:right w:val="single" w:sz="4" w:space="0" w:color="auto"/>
            </w:tcBorders>
          </w:tcPr>
          <w:p w14:paraId="6CB9C482" w14:textId="77777777" w:rsidR="00187ABF" w:rsidRDefault="00187ABF" w:rsidP="00AB074C">
            <w:pPr>
              <w:pStyle w:val="TableText"/>
              <w:snapToGrid w:val="0"/>
              <w:rPr>
                <w:b/>
                <w:szCs w:val="17"/>
                <w:lang w:eastAsia="en-GB"/>
              </w:rPr>
            </w:pPr>
            <w:r>
              <w:rPr>
                <w:b/>
                <w:szCs w:val="17"/>
                <w:lang w:eastAsia="en-GB"/>
              </w:rPr>
              <w:t>Total</w:t>
            </w:r>
          </w:p>
        </w:tc>
        <w:tc>
          <w:tcPr>
            <w:tcW w:w="1140" w:type="dxa"/>
            <w:tcBorders>
              <w:left w:val="single" w:sz="4" w:space="0" w:color="auto"/>
              <w:bottom w:val="single" w:sz="4" w:space="0" w:color="auto"/>
              <w:right w:val="single" w:sz="4" w:space="0" w:color="auto"/>
            </w:tcBorders>
          </w:tcPr>
          <w:p w14:paraId="2DB4A9F6" w14:textId="77777777" w:rsidR="00187ABF" w:rsidRDefault="00187ABF" w:rsidP="00AB074C">
            <w:pPr>
              <w:pStyle w:val="TableText"/>
              <w:snapToGrid w:val="0"/>
              <w:rPr>
                <w:b/>
                <w:szCs w:val="17"/>
                <w:lang w:eastAsia="en-GB"/>
              </w:rPr>
            </w:pPr>
          </w:p>
        </w:tc>
        <w:tc>
          <w:tcPr>
            <w:tcW w:w="1140" w:type="dxa"/>
            <w:tcBorders>
              <w:left w:val="single" w:sz="4" w:space="0" w:color="auto"/>
              <w:bottom w:val="single" w:sz="4" w:space="0" w:color="auto"/>
              <w:right w:val="single" w:sz="4" w:space="0" w:color="auto"/>
            </w:tcBorders>
          </w:tcPr>
          <w:p w14:paraId="06E90A3A" w14:textId="77777777" w:rsidR="00187ABF" w:rsidRDefault="00187ABF" w:rsidP="00AB074C">
            <w:pPr>
              <w:pStyle w:val="TableText"/>
              <w:snapToGrid w:val="0"/>
              <w:rPr>
                <w:b/>
                <w:szCs w:val="17"/>
                <w:lang w:eastAsia="en-GB"/>
              </w:rPr>
            </w:pPr>
          </w:p>
        </w:tc>
        <w:tc>
          <w:tcPr>
            <w:tcW w:w="1140" w:type="dxa"/>
            <w:tcBorders>
              <w:left w:val="single" w:sz="4" w:space="0" w:color="auto"/>
              <w:bottom w:val="single" w:sz="4" w:space="0" w:color="auto"/>
              <w:right w:val="single" w:sz="4" w:space="0" w:color="auto"/>
            </w:tcBorders>
          </w:tcPr>
          <w:p w14:paraId="353A0DF7" w14:textId="77777777" w:rsidR="00187ABF" w:rsidRDefault="00187ABF" w:rsidP="00AB074C">
            <w:pPr>
              <w:pStyle w:val="TableText"/>
              <w:snapToGrid w:val="0"/>
              <w:rPr>
                <w:b/>
                <w:szCs w:val="17"/>
                <w:lang w:eastAsia="en-GB"/>
              </w:rPr>
            </w:pPr>
          </w:p>
        </w:tc>
        <w:tc>
          <w:tcPr>
            <w:tcW w:w="1141" w:type="dxa"/>
            <w:tcBorders>
              <w:left w:val="single" w:sz="4" w:space="0" w:color="auto"/>
              <w:bottom w:val="single" w:sz="4" w:space="0" w:color="auto"/>
              <w:right w:val="single" w:sz="4" w:space="0" w:color="auto"/>
            </w:tcBorders>
          </w:tcPr>
          <w:p w14:paraId="0F368DBB" w14:textId="77777777" w:rsidR="00187ABF" w:rsidRDefault="00187ABF" w:rsidP="00AB074C">
            <w:pPr>
              <w:pStyle w:val="TableText"/>
              <w:snapToGrid w:val="0"/>
              <w:rPr>
                <w:b/>
                <w:szCs w:val="17"/>
                <w:lang w:eastAsia="en-GB"/>
              </w:rPr>
            </w:pPr>
          </w:p>
        </w:tc>
        <w:tc>
          <w:tcPr>
            <w:tcW w:w="1134" w:type="dxa"/>
            <w:tcBorders>
              <w:left w:val="single" w:sz="4" w:space="0" w:color="auto"/>
              <w:bottom w:val="single" w:sz="4" w:space="0" w:color="auto"/>
              <w:right w:val="single" w:sz="4" w:space="0" w:color="auto"/>
            </w:tcBorders>
          </w:tcPr>
          <w:p w14:paraId="3AE7FFF9" w14:textId="77777777" w:rsidR="00187ABF" w:rsidRDefault="00187ABF" w:rsidP="00AB074C">
            <w:pPr>
              <w:pStyle w:val="TableText"/>
              <w:snapToGrid w:val="0"/>
              <w:rPr>
                <w:b/>
                <w:szCs w:val="17"/>
                <w:lang w:eastAsia="en-GB"/>
              </w:rPr>
            </w:pPr>
          </w:p>
        </w:tc>
        <w:tc>
          <w:tcPr>
            <w:tcW w:w="1162" w:type="dxa"/>
            <w:tcBorders>
              <w:left w:val="single" w:sz="4" w:space="0" w:color="auto"/>
              <w:bottom w:val="single" w:sz="4" w:space="0" w:color="auto"/>
              <w:right w:val="single" w:sz="4" w:space="0" w:color="auto"/>
            </w:tcBorders>
          </w:tcPr>
          <w:p w14:paraId="7153C068" w14:textId="77777777" w:rsidR="00187ABF" w:rsidRDefault="00187ABF" w:rsidP="00AB074C">
            <w:pPr>
              <w:pStyle w:val="TableText"/>
              <w:snapToGrid w:val="0"/>
              <w:rPr>
                <w:b/>
                <w:szCs w:val="17"/>
                <w:lang w:eastAsia="en-GB"/>
              </w:rPr>
            </w:pPr>
          </w:p>
        </w:tc>
      </w:tr>
    </w:tbl>
    <w:p w14:paraId="214649E2" w14:textId="77777777" w:rsidR="00914FF9" w:rsidRDefault="00914FF9"/>
    <w:tbl>
      <w:tblPr>
        <w:tblW w:w="9214"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363"/>
      </w:tblGrid>
      <w:tr w:rsidR="00187ABF" w14:paraId="33F7C39C" w14:textId="77777777" w:rsidTr="00914FF9">
        <w:trPr>
          <w:tblHeader/>
        </w:trPr>
        <w:tc>
          <w:tcPr>
            <w:tcW w:w="9214" w:type="dxa"/>
            <w:gridSpan w:val="2"/>
            <w:shd w:val="clear" w:color="auto" w:fill="BFBFBF"/>
          </w:tcPr>
          <w:p w14:paraId="773E816A" w14:textId="77777777" w:rsidR="00187ABF" w:rsidRDefault="00187ABF" w:rsidP="00AB074C">
            <w:pPr>
              <w:spacing w:before="40" w:after="40"/>
              <w:jc w:val="both"/>
              <w:rPr>
                <w:rFonts w:eastAsia="新細明體"/>
                <w:b/>
                <w:sz w:val="17"/>
                <w:szCs w:val="17"/>
                <w:lang w:eastAsia="en-GB"/>
              </w:rPr>
            </w:pPr>
            <w:r>
              <w:rPr>
                <w:rFonts w:eastAsia="新細明體"/>
                <w:b/>
                <w:sz w:val="17"/>
                <w:szCs w:val="17"/>
                <w:lang w:eastAsia="en-GB"/>
              </w:rPr>
              <w:t>Explanatory Note</w:t>
            </w:r>
          </w:p>
        </w:tc>
      </w:tr>
      <w:tr w:rsidR="00187ABF" w14:paraId="08FDD2F6" w14:textId="77777777" w:rsidTr="00914FF9">
        <w:trPr>
          <w:trHeight w:val="153"/>
        </w:trPr>
        <w:tc>
          <w:tcPr>
            <w:tcW w:w="9214" w:type="dxa"/>
            <w:gridSpan w:val="2"/>
            <w:shd w:val="clear" w:color="auto" w:fill="F2F2F2"/>
          </w:tcPr>
          <w:p w14:paraId="4317F424" w14:textId="77777777" w:rsidR="00187ABF" w:rsidRDefault="00187ABF" w:rsidP="00AB074C">
            <w:pPr>
              <w:spacing w:before="40" w:after="40"/>
              <w:jc w:val="both"/>
              <w:rPr>
                <w:rFonts w:eastAsia="新細明體"/>
                <w:b/>
                <w:sz w:val="17"/>
                <w:szCs w:val="17"/>
                <w:lang w:eastAsia="en-GB"/>
              </w:rPr>
            </w:pPr>
            <w:r>
              <w:rPr>
                <w:rFonts w:eastAsia="新細明體"/>
                <w:b/>
                <w:sz w:val="17"/>
                <w:szCs w:val="17"/>
                <w:lang w:eastAsia="en-GB"/>
              </w:rPr>
              <w:t>Columns</w:t>
            </w:r>
          </w:p>
        </w:tc>
      </w:tr>
      <w:tr w:rsidR="00187ABF" w14:paraId="299C8701" w14:textId="77777777" w:rsidTr="00914FF9">
        <w:tc>
          <w:tcPr>
            <w:tcW w:w="851" w:type="dxa"/>
          </w:tcPr>
          <w:p w14:paraId="0C92DE98" w14:textId="77777777" w:rsidR="00187ABF" w:rsidRDefault="00187ABF" w:rsidP="00AB074C">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(a), (b) and (e)</w:t>
            </w:r>
          </w:p>
        </w:tc>
        <w:tc>
          <w:tcPr>
            <w:tcW w:w="8363" w:type="dxa"/>
          </w:tcPr>
          <w:p w14:paraId="79721BAC" w14:textId="77777777" w:rsidR="00187ABF" w:rsidRDefault="00187ABF" w:rsidP="00AB074C">
            <w:pPr>
              <w:pStyle w:val="TableText"/>
              <w:keepNext/>
              <w:jc w:val="both"/>
              <w:rPr>
                <w:rFonts w:eastAsia="Calibri" w:cs="Segoe UI"/>
                <w:szCs w:val="17"/>
                <w:lang w:eastAsia="en-GB"/>
              </w:rPr>
            </w:pPr>
            <w:r>
              <w:rPr>
                <w:rFonts w:eastAsia="Calibri" w:cs="Segoe UI"/>
                <w:i/>
                <w:szCs w:val="17"/>
                <w:lang w:eastAsia="en-GB"/>
              </w:rPr>
              <w:t>Fair value of recognized collateral received</w:t>
            </w:r>
            <w:r>
              <w:rPr>
                <w:rFonts w:eastAsia="Calibri" w:cs="Segoe UI"/>
                <w:szCs w:val="17"/>
                <w:lang w:eastAsia="en-GB"/>
              </w:rPr>
              <w:t>: the disclosed fair value of recognized collateral received should be after any haircut (if applicable), meaning the value of recognized collateral received will be reduced after haircut (i.e. C(1-H</w:t>
            </w:r>
            <w:r>
              <w:rPr>
                <w:rFonts w:eastAsia="Calibri" w:cs="Segoe UI"/>
                <w:sz w:val="16"/>
                <w:szCs w:val="17"/>
                <w:lang w:eastAsia="en-GB"/>
              </w:rPr>
              <w:t>s</w:t>
            </w:r>
            <w:r>
              <w:rPr>
                <w:rFonts w:eastAsia="Calibri" w:cs="Segoe UI"/>
                <w:szCs w:val="17"/>
                <w:lang w:eastAsia="en-GB"/>
              </w:rPr>
              <w:t xml:space="preserve">)).  </w:t>
            </w:r>
          </w:p>
        </w:tc>
      </w:tr>
      <w:tr w:rsidR="00187ABF" w14:paraId="0316AA57" w14:textId="77777777" w:rsidTr="00914FF9">
        <w:tc>
          <w:tcPr>
            <w:tcW w:w="851" w:type="dxa"/>
          </w:tcPr>
          <w:p w14:paraId="74F3EC07" w14:textId="77777777" w:rsidR="00187ABF" w:rsidRDefault="00187ABF" w:rsidP="00AB074C">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(c), (d) and (f)</w:t>
            </w:r>
          </w:p>
        </w:tc>
        <w:tc>
          <w:tcPr>
            <w:tcW w:w="8363" w:type="dxa"/>
          </w:tcPr>
          <w:p w14:paraId="4CB2D15D" w14:textId="77777777" w:rsidR="00187ABF" w:rsidRDefault="00187ABF" w:rsidP="00AB074C">
            <w:pPr>
              <w:pStyle w:val="TableText"/>
              <w:keepNext/>
              <w:jc w:val="both"/>
              <w:rPr>
                <w:rFonts w:eastAsia="Calibri" w:cs="Segoe UI"/>
                <w:szCs w:val="17"/>
                <w:lang w:eastAsia="en-GB"/>
              </w:rPr>
            </w:pPr>
            <w:r>
              <w:rPr>
                <w:rFonts w:eastAsia="Calibri" w:cs="Segoe UI"/>
                <w:i/>
                <w:szCs w:val="17"/>
                <w:lang w:eastAsia="en-GB"/>
              </w:rPr>
              <w:t>Fair value of posted collateral</w:t>
            </w:r>
            <w:r>
              <w:rPr>
                <w:rFonts w:eastAsia="Calibri" w:cs="Segoe UI"/>
                <w:szCs w:val="17"/>
                <w:lang w:eastAsia="en-GB"/>
              </w:rPr>
              <w:t>: the disclosed fair value of collateral posted should be after any haircut (if applicable), meaning the value of collateral posted (which is an exposure) will be increased after haircut (i.e. E(1+H</w:t>
            </w:r>
            <w:r>
              <w:rPr>
                <w:rFonts w:eastAsia="Calibri" w:cs="Segoe UI"/>
                <w:sz w:val="16"/>
                <w:szCs w:val="17"/>
                <w:lang w:eastAsia="en-GB"/>
              </w:rPr>
              <w:t>s</w:t>
            </w:r>
            <w:r>
              <w:rPr>
                <w:rFonts w:eastAsia="Calibri" w:cs="Segoe UI"/>
                <w:szCs w:val="17"/>
                <w:lang w:eastAsia="en-GB"/>
              </w:rPr>
              <w:t xml:space="preserve">)). </w:t>
            </w:r>
          </w:p>
        </w:tc>
      </w:tr>
      <w:tr w:rsidR="00187ABF" w14:paraId="0D48827A" w14:textId="77777777" w:rsidTr="00914FF9">
        <w:trPr>
          <w:trHeight w:val="373"/>
        </w:trPr>
        <w:tc>
          <w:tcPr>
            <w:tcW w:w="851" w:type="dxa"/>
          </w:tcPr>
          <w:p w14:paraId="17917F02" w14:textId="77777777" w:rsidR="00187ABF" w:rsidRDefault="00187ABF" w:rsidP="00AB074C">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(a) &amp; (c)</w:t>
            </w:r>
          </w:p>
        </w:tc>
        <w:tc>
          <w:tcPr>
            <w:tcW w:w="8363" w:type="dxa"/>
          </w:tcPr>
          <w:p w14:paraId="43C23A6F" w14:textId="77777777" w:rsidR="00187ABF" w:rsidRDefault="00187ABF" w:rsidP="00AB074C">
            <w:pPr>
              <w:pStyle w:val="TableText"/>
              <w:keepNext/>
              <w:jc w:val="both"/>
              <w:rPr>
                <w:szCs w:val="17"/>
              </w:rPr>
            </w:pPr>
            <w:r>
              <w:rPr>
                <w:rFonts w:eastAsia="Calibri" w:cs="Segoe UI"/>
                <w:i/>
                <w:szCs w:val="17"/>
                <w:lang w:eastAsia="en-GB"/>
              </w:rPr>
              <w:t>Segregated</w:t>
            </w:r>
            <w:r>
              <w:rPr>
                <w:rFonts w:eastAsia="Calibri" w:cs="Segoe UI"/>
                <w:szCs w:val="17"/>
                <w:lang w:eastAsia="en-GB"/>
              </w:rPr>
              <w:t>: this refers to collateral which is held in a bankruptcy remote manner.</w:t>
            </w:r>
          </w:p>
        </w:tc>
      </w:tr>
      <w:tr w:rsidR="00187ABF" w14:paraId="69C5F2C9" w14:textId="77777777" w:rsidTr="00914FF9">
        <w:trPr>
          <w:trHeight w:val="373"/>
        </w:trPr>
        <w:tc>
          <w:tcPr>
            <w:tcW w:w="851" w:type="dxa"/>
          </w:tcPr>
          <w:p w14:paraId="31C2471B" w14:textId="77777777" w:rsidR="00187ABF" w:rsidRDefault="00187ABF" w:rsidP="00AB074C">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(b) &amp; (d)</w:t>
            </w:r>
          </w:p>
        </w:tc>
        <w:tc>
          <w:tcPr>
            <w:tcW w:w="8363" w:type="dxa"/>
          </w:tcPr>
          <w:p w14:paraId="052EA6E9" w14:textId="77777777" w:rsidR="00187ABF" w:rsidRDefault="00187ABF" w:rsidP="00AB074C">
            <w:pPr>
              <w:pStyle w:val="TableText"/>
              <w:keepNext/>
              <w:jc w:val="both"/>
              <w:rPr>
                <w:rFonts w:eastAsia="Calibri" w:cs="Segoe UI"/>
                <w:i/>
                <w:szCs w:val="17"/>
                <w:lang w:eastAsia="en-GB"/>
              </w:rPr>
            </w:pPr>
            <w:r>
              <w:rPr>
                <w:rFonts w:eastAsia="Calibri" w:cs="Segoe UI"/>
                <w:i/>
                <w:szCs w:val="17"/>
                <w:lang w:eastAsia="en-GB"/>
              </w:rPr>
              <w:t>Unsegregated</w:t>
            </w:r>
            <w:r>
              <w:rPr>
                <w:rFonts w:eastAsia="Calibri" w:cs="Segoe UI"/>
                <w:szCs w:val="17"/>
                <w:lang w:eastAsia="en-GB"/>
              </w:rPr>
              <w:t>: this refers to collateral which is not held in a bankruptcy remote manner.</w:t>
            </w:r>
          </w:p>
        </w:tc>
      </w:tr>
    </w:tbl>
    <w:p w14:paraId="3F797607" w14:textId="77777777" w:rsidR="00187ABF" w:rsidRPr="00187ABF" w:rsidRDefault="00187ABF" w:rsidP="00187ABF"/>
    <w:p w14:paraId="6AE84A28" w14:textId="740A07DD" w:rsidR="003E7930" w:rsidRDefault="003E7930" w:rsidP="002A0515">
      <w:pPr>
        <w:spacing w:before="40" w:after="40"/>
        <w:rPr>
          <w:rFonts w:eastAsia="新細明體"/>
          <w:lang w:eastAsia="zh-TW"/>
        </w:rPr>
      </w:pPr>
    </w:p>
    <w:p w14:paraId="5B948892" w14:textId="77777777" w:rsidR="003E7930" w:rsidRDefault="003E7930" w:rsidP="002A0515">
      <w:pPr>
        <w:spacing w:before="40" w:after="40"/>
        <w:rPr>
          <w:rFonts w:eastAsia="新細明體"/>
          <w:lang w:eastAsia="zh-TW"/>
        </w:rPr>
        <w:sectPr w:rsidR="003E7930" w:rsidSect="00A54BE4">
          <w:footerReference w:type="default" r:id="rId61"/>
          <w:pgSz w:w="11906" w:h="16838" w:code="9"/>
          <w:pgMar w:top="1440" w:right="1700" w:bottom="1440" w:left="1797" w:header="851" w:footer="737" w:gutter="0"/>
          <w:cols w:space="425"/>
          <w:docGrid w:type="linesAndChars" w:linePitch="360"/>
        </w:sectPr>
      </w:pPr>
    </w:p>
    <w:p w14:paraId="1912A686" w14:textId="65115CEB" w:rsidR="00831090" w:rsidRPr="008168C5" w:rsidRDefault="00831090" w:rsidP="006D4A65">
      <w:pPr>
        <w:pStyle w:val="Heading2"/>
        <w:ind w:left="-397"/>
      </w:pPr>
      <w:r w:rsidRPr="008168C5">
        <w:lastRenderedPageBreak/>
        <w:t>Template CCR6: Credit-related derivatives contracts</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831090" w:rsidRPr="008168C5" w14:paraId="1E17C5F7" w14:textId="77777777" w:rsidTr="00826BF3">
        <w:tc>
          <w:tcPr>
            <w:tcW w:w="2008" w:type="dxa"/>
          </w:tcPr>
          <w:p w14:paraId="524BFC45" w14:textId="77777777" w:rsidR="00831090" w:rsidRPr="008168C5" w:rsidRDefault="00831090" w:rsidP="00826BF3">
            <w:pPr>
              <w:spacing w:before="40" w:after="40"/>
              <w:rPr>
                <w:noProof/>
                <w:sz w:val="17"/>
                <w:lang w:eastAsia="en-GB"/>
              </w:rPr>
            </w:pPr>
            <w:r w:rsidRPr="008168C5">
              <w:rPr>
                <w:b/>
                <w:sz w:val="17"/>
                <w:lang w:eastAsia="en-GB"/>
              </w:rPr>
              <w:t>Purpose:</w:t>
            </w:r>
            <w:r w:rsidRPr="008168C5">
              <w:rPr>
                <w:sz w:val="17"/>
                <w:lang w:eastAsia="en-GB"/>
              </w:rPr>
              <w:t xml:space="preserve"> </w:t>
            </w:r>
          </w:p>
        </w:tc>
        <w:tc>
          <w:tcPr>
            <w:tcW w:w="7234" w:type="dxa"/>
          </w:tcPr>
          <w:p w14:paraId="4819BA95" w14:textId="77777777" w:rsidR="00831090" w:rsidRPr="008168C5" w:rsidRDefault="00831090" w:rsidP="00826BF3">
            <w:pPr>
              <w:pStyle w:val="TableText"/>
              <w:jc w:val="both"/>
              <w:rPr>
                <w:lang w:eastAsia="en-GB"/>
              </w:rPr>
            </w:pPr>
            <w:r w:rsidRPr="008168C5">
              <w:rPr>
                <w:lang w:eastAsia="en-GB"/>
              </w:rPr>
              <w:t>To disclose the amount of credit-related derivative contracts, broken down into credit protection bought and credit protection sold.</w:t>
            </w:r>
            <w:r w:rsidRPr="008168C5">
              <w:rPr>
                <w:rStyle w:val="FootnoteReference"/>
                <w:lang w:eastAsia="en-GB"/>
              </w:rPr>
              <w:t xml:space="preserve"> </w:t>
            </w:r>
          </w:p>
        </w:tc>
      </w:tr>
      <w:tr w:rsidR="00831090" w:rsidRPr="008168C5" w14:paraId="5BDECBAA" w14:textId="77777777" w:rsidTr="00826BF3">
        <w:tc>
          <w:tcPr>
            <w:tcW w:w="2008" w:type="dxa"/>
          </w:tcPr>
          <w:p w14:paraId="1112546C" w14:textId="77777777" w:rsidR="00831090" w:rsidRPr="008168C5" w:rsidRDefault="00831090" w:rsidP="00826BF3">
            <w:pPr>
              <w:spacing w:before="40" w:after="40"/>
              <w:rPr>
                <w:b/>
                <w:sz w:val="17"/>
                <w:lang w:eastAsia="en-GB"/>
              </w:rPr>
            </w:pPr>
            <w:r w:rsidRPr="008168C5">
              <w:rPr>
                <w:b/>
                <w:sz w:val="17"/>
                <w:lang w:eastAsia="en-GB"/>
              </w:rPr>
              <w:t xml:space="preserve">Scope of application: </w:t>
            </w:r>
          </w:p>
        </w:tc>
        <w:tc>
          <w:tcPr>
            <w:tcW w:w="7234" w:type="dxa"/>
          </w:tcPr>
          <w:p w14:paraId="073D75D9" w14:textId="77777777" w:rsidR="00831090" w:rsidRPr="008168C5" w:rsidRDefault="00831090" w:rsidP="00826BF3">
            <w:pPr>
              <w:spacing w:before="40" w:after="40"/>
              <w:jc w:val="both"/>
              <w:rPr>
                <w:rFonts w:eastAsia="新細明體"/>
                <w:b/>
                <w:sz w:val="17"/>
                <w:lang w:eastAsia="en-GB"/>
              </w:rPr>
            </w:pPr>
            <w:r w:rsidRPr="008168C5">
              <w:rPr>
                <w:rFonts w:eastAsia="新細明體"/>
                <w:sz w:val="17"/>
                <w:lang w:eastAsia="en-GB"/>
              </w:rPr>
              <w:t>This template is mandatory for all AIs</w:t>
            </w:r>
            <w:r w:rsidRPr="008168C5">
              <w:t xml:space="preserve"> </w:t>
            </w:r>
            <w:r w:rsidRPr="008168C5">
              <w:rPr>
                <w:rFonts w:eastAsia="新細明體"/>
                <w:sz w:val="17"/>
                <w:lang w:eastAsia="en-GB"/>
              </w:rPr>
              <w:t>incorporated in Hong Kong.</w:t>
            </w:r>
          </w:p>
        </w:tc>
      </w:tr>
      <w:tr w:rsidR="00831090" w:rsidRPr="008168C5" w14:paraId="3A7253D2" w14:textId="77777777" w:rsidTr="00826BF3">
        <w:tc>
          <w:tcPr>
            <w:tcW w:w="2008" w:type="dxa"/>
          </w:tcPr>
          <w:p w14:paraId="0D381DB1" w14:textId="77777777" w:rsidR="00831090" w:rsidRPr="008168C5" w:rsidRDefault="00831090" w:rsidP="00826BF3">
            <w:pPr>
              <w:spacing w:before="40" w:after="40"/>
              <w:rPr>
                <w:b/>
                <w:sz w:val="17"/>
                <w:lang w:eastAsia="en-GB"/>
              </w:rPr>
            </w:pPr>
            <w:r w:rsidRPr="008168C5">
              <w:rPr>
                <w:b/>
                <w:sz w:val="17"/>
                <w:lang w:eastAsia="en-GB"/>
              </w:rPr>
              <w:t xml:space="preserve">Content: </w:t>
            </w:r>
          </w:p>
        </w:tc>
        <w:tc>
          <w:tcPr>
            <w:tcW w:w="7234" w:type="dxa"/>
          </w:tcPr>
          <w:p w14:paraId="3CD7B61D" w14:textId="10E09C6E" w:rsidR="00831090" w:rsidRPr="008168C5" w:rsidRDefault="00831090" w:rsidP="00826BF3">
            <w:pPr>
              <w:spacing w:before="40" w:after="40"/>
              <w:jc w:val="both"/>
              <w:rPr>
                <w:rFonts w:eastAsia="新細明體"/>
                <w:b/>
                <w:sz w:val="17"/>
                <w:lang w:eastAsia="en-GB"/>
              </w:rPr>
            </w:pPr>
            <w:r w:rsidRPr="008168C5">
              <w:rPr>
                <w:rFonts w:eastAsia="新細明體"/>
                <w:sz w:val="17"/>
                <w:lang w:eastAsia="en-GB"/>
              </w:rPr>
              <w:t>Notional amounts (before any netting) and fair values of credit-related derivative contracts</w:t>
            </w:r>
            <w:r w:rsidR="00A71EA3">
              <w:rPr>
                <w:rFonts w:eastAsia="新細明體"/>
                <w:sz w:val="17"/>
                <w:lang w:eastAsia="en-GB"/>
              </w:rPr>
              <w:t>.</w:t>
            </w:r>
          </w:p>
        </w:tc>
      </w:tr>
      <w:tr w:rsidR="00831090" w:rsidRPr="008168C5" w14:paraId="200A36CE" w14:textId="77777777" w:rsidTr="00826BF3">
        <w:tc>
          <w:tcPr>
            <w:tcW w:w="2008" w:type="dxa"/>
          </w:tcPr>
          <w:p w14:paraId="4F067E99" w14:textId="77777777" w:rsidR="00831090" w:rsidRPr="008168C5" w:rsidRDefault="00831090" w:rsidP="00826BF3">
            <w:pPr>
              <w:spacing w:before="40" w:after="40"/>
              <w:rPr>
                <w:sz w:val="17"/>
                <w:lang w:eastAsia="en-GB"/>
              </w:rPr>
            </w:pPr>
            <w:r w:rsidRPr="008168C5">
              <w:rPr>
                <w:b/>
                <w:sz w:val="17"/>
                <w:lang w:eastAsia="en-GB"/>
              </w:rPr>
              <w:t>Frequency:</w:t>
            </w:r>
            <w:r w:rsidRPr="008168C5">
              <w:rPr>
                <w:sz w:val="17"/>
                <w:lang w:eastAsia="en-GB"/>
              </w:rPr>
              <w:t xml:space="preserve"> </w:t>
            </w:r>
          </w:p>
        </w:tc>
        <w:tc>
          <w:tcPr>
            <w:tcW w:w="7234" w:type="dxa"/>
          </w:tcPr>
          <w:p w14:paraId="47338F38" w14:textId="77777777" w:rsidR="00831090" w:rsidRPr="008168C5" w:rsidRDefault="00831090" w:rsidP="00826BF3">
            <w:pPr>
              <w:pStyle w:val="TableText"/>
              <w:jc w:val="both"/>
              <w:rPr>
                <w:lang w:eastAsia="en-GB"/>
              </w:rPr>
            </w:pPr>
            <w:r w:rsidRPr="008168C5">
              <w:rPr>
                <w:lang w:eastAsia="en-GB"/>
              </w:rPr>
              <w:t>Semi-annual.</w:t>
            </w:r>
          </w:p>
        </w:tc>
      </w:tr>
      <w:tr w:rsidR="00831090" w:rsidRPr="008168C5" w14:paraId="21E568BA" w14:textId="77777777" w:rsidTr="00826BF3">
        <w:tc>
          <w:tcPr>
            <w:tcW w:w="2008" w:type="dxa"/>
          </w:tcPr>
          <w:p w14:paraId="42E5400C" w14:textId="77777777" w:rsidR="00831090" w:rsidRPr="008168C5" w:rsidRDefault="00831090" w:rsidP="00826BF3">
            <w:pPr>
              <w:spacing w:before="40" w:after="40"/>
              <w:rPr>
                <w:sz w:val="17"/>
                <w:lang w:eastAsia="en-GB"/>
              </w:rPr>
            </w:pPr>
            <w:r w:rsidRPr="008168C5">
              <w:rPr>
                <w:b/>
                <w:sz w:val="17"/>
                <w:lang w:eastAsia="en-GB"/>
              </w:rPr>
              <w:t>Format:</w:t>
            </w:r>
            <w:r w:rsidRPr="008168C5">
              <w:rPr>
                <w:sz w:val="17"/>
                <w:lang w:eastAsia="en-GB"/>
              </w:rPr>
              <w:t xml:space="preserve"> </w:t>
            </w:r>
          </w:p>
        </w:tc>
        <w:tc>
          <w:tcPr>
            <w:tcW w:w="7234" w:type="dxa"/>
          </w:tcPr>
          <w:p w14:paraId="6FD6E393" w14:textId="77777777" w:rsidR="00831090" w:rsidRPr="008168C5" w:rsidRDefault="00831090" w:rsidP="00826BF3">
            <w:pPr>
              <w:pStyle w:val="TableText"/>
              <w:jc w:val="both"/>
              <w:rPr>
                <w:lang w:eastAsia="en-GB"/>
              </w:rPr>
            </w:pPr>
            <w:r w:rsidRPr="008168C5">
              <w:rPr>
                <w:lang w:eastAsia="en-GB"/>
              </w:rPr>
              <w:t>Flexible.  The columns are fixed but the rows (other than the “Total notional amounts” and those related to fair values) are flexible.</w:t>
            </w:r>
          </w:p>
        </w:tc>
      </w:tr>
      <w:tr w:rsidR="00831090" w:rsidRPr="008168C5" w14:paraId="138DBB77" w14:textId="77777777" w:rsidTr="00826BF3">
        <w:tc>
          <w:tcPr>
            <w:tcW w:w="2008" w:type="dxa"/>
          </w:tcPr>
          <w:p w14:paraId="78EF77D1" w14:textId="77777777" w:rsidR="00831090" w:rsidRPr="008168C5" w:rsidRDefault="00831090" w:rsidP="00826BF3">
            <w:pPr>
              <w:spacing w:before="40" w:after="40"/>
              <w:rPr>
                <w:b/>
                <w:sz w:val="17"/>
                <w:lang w:eastAsia="en-GB"/>
              </w:rPr>
            </w:pPr>
            <w:r w:rsidRPr="008168C5">
              <w:rPr>
                <w:rFonts w:eastAsia="新細明體"/>
                <w:b/>
                <w:sz w:val="17"/>
                <w:szCs w:val="17"/>
                <w:lang w:eastAsia="en-GB"/>
              </w:rPr>
              <w:t>Accompanying narrative</w:t>
            </w:r>
            <w:r w:rsidRPr="008168C5">
              <w:rPr>
                <w:rFonts w:eastAsia="新細明體"/>
                <w:sz w:val="17"/>
                <w:szCs w:val="17"/>
                <w:lang w:eastAsia="en-GB"/>
              </w:rPr>
              <w:t>:</w:t>
            </w:r>
          </w:p>
        </w:tc>
        <w:tc>
          <w:tcPr>
            <w:tcW w:w="7234" w:type="dxa"/>
          </w:tcPr>
          <w:p w14:paraId="15D47B5F" w14:textId="77777777" w:rsidR="00831090" w:rsidRPr="008168C5" w:rsidRDefault="00831090" w:rsidP="00826BF3">
            <w:pPr>
              <w:pStyle w:val="TableText"/>
              <w:jc w:val="both"/>
              <w:rPr>
                <w:lang w:eastAsia="en-GB"/>
              </w:rPr>
            </w:pPr>
            <w:r w:rsidRPr="008168C5">
              <w:rPr>
                <w:szCs w:val="17"/>
                <w:lang w:eastAsia="en-GB"/>
              </w:rPr>
              <w:t>An AI should supplement the template with a narrative commentary to explain any material movements in the current reporting period and the key drivers of such movements.</w:t>
            </w:r>
          </w:p>
        </w:tc>
      </w:tr>
      <w:tr w:rsidR="00831090" w:rsidRPr="008168C5" w14:paraId="27F50B98" w14:textId="77777777" w:rsidTr="00826BF3">
        <w:tc>
          <w:tcPr>
            <w:tcW w:w="2008" w:type="dxa"/>
          </w:tcPr>
          <w:p w14:paraId="3F5D7070" w14:textId="77777777" w:rsidR="00831090" w:rsidRPr="008168C5" w:rsidRDefault="00831090" w:rsidP="00826BF3">
            <w:pPr>
              <w:spacing w:before="40" w:after="40"/>
              <w:rPr>
                <w:rFonts w:eastAsia="新細明體"/>
                <w:b/>
                <w:sz w:val="17"/>
                <w:szCs w:val="17"/>
                <w:lang w:eastAsia="en-GB"/>
              </w:rPr>
            </w:pPr>
            <w:r w:rsidRPr="008168C5">
              <w:rPr>
                <w:rFonts w:eastAsia="新細明體"/>
                <w:b/>
                <w:sz w:val="17"/>
                <w:szCs w:val="17"/>
                <w:lang w:eastAsia="en-GB"/>
              </w:rPr>
              <w:t>Corresponding BDR section:</w:t>
            </w:r>
          </w:p>
        </w:tc>
        <w:tc>
          <w:tcPr>
            <w:tcW w:w="7234" w:type="dxa"/>
          </w:tcPr>
          <w:p w14:paraId="7EAF58F8" w14:textId="77777777" w:rsidR="00831090" w:rsidRPr="008168C5" w:rsidRDefault="00831090" w:rsidP="00826BF3">
            <w:pPr>
              <w:pStyle w:val="TableText"/>
              <w:jc w:val="both"/>
              <w:rPr>
                <w:szCs w:val="17"/>
                <w:lang w:eastAsia="en-GB"/>
              </w:rPr>
            </w:pPr>
            <w:r w:rsidRPr="008168C5">
              <w:rPr>
                <w:szCs w:val="17"/>
                <w:lang w:eastAsia="en-GB"/>
              </w:rPr>
              <w:t>16ZB</w:t>
            </w:r>
          </w:p>
        </w:tc>
      </w:tr>
    </w:tbl>
    <w:p w14:paraId="0A985FC9" w14:textId="77777777" w:rsidR="00831090" w:rsidRPr="008168C5" w:rsidRDefault="00831090" w:rsidP="002A0515">
      <w:pPr>
        <w:spacing w:before="120" w:after="120"/>
        <w:ind w:leftChars="-283" w:left="-566"/>
        <w:rPr>
          <w:sz w:val="22"/>
        </w:rPr>
      </w:pPr>
    </w:p>
    <w:tbl>
      <w:tblPr>
        <w:tblW w:w="9248" w:type="dxa"/>
        <w:tblInd w:w="-459" w:type="dxa"/>
        <w:tblBorders>
          <w:top w:val="single" w:sz="4" w:space="0" w:color="BCBDBC"/>
          <w:left w:val="single" w:sz="4" w:space="0" w:color="BFBFBF"/>
          <w:bottom w:val="single" w:sz="4" w:space="0" w:color="BCBDBC"/>
          <w:right w:val="single" w:sz="4" w:space="0" w:color="BFBFBF"/>
          <w:insideH w:val="single" w:sz="4" w:space="0" w:color="BCBDBC"/>
          <w:insideV w:val="single" w:sz="4" w:space="0" w:color="BCBDBC"/>
        </w:tblBorders>
        <w:tblLayout w:type="fixed"/>
        <w:tblLook w:val="00A0" w:firstRow="1" w:lastRow="0" w:firstColumn="1" w:lastColumn="0" w:noHBand="0" w:noVBand="0"/>
      </w:tblPr>
      <w:tblGrid>
        <w:gridCol w:w="4927"/>
        <w:gridCol w:w="2160"/>
        <w:gridCol w:w="2161"/>
      </w:tblGrid>
      <w:tr w:rsidR="002A0515" w:rsidRPr="008168C5" w14:paraId="4D92FF49" w14:textId="77777777" w:rsidTr="007B3DE0">
        <w:trPr>
          <w:cantSplit/>
          <w:tblHeader/>
        </w:trPr>
        <w:tc>
          <w:tcPr>
            <w:tcW w:w="4927" w:type="dxa"/>
            <w:tcBorders>
              <w:top w:val="nil"/>
              <w:left w:val="nil"/>
              <w:bottom w:val="nil"/>
              <w:right w:val="single" w:sz="4" w:space="0" w:color="auto"/>
            </w:tcBorders>
            <w:vAlign w:val="center"/>
          </w:tcPr>
          <w:p w14:paraId="7F68CAB1" w14:textId="77777777" w:rsidR="002A0515" w:rsidRPr="008168C5" w:rsidRDefault="002A0515" w:rsidP="00A54BE4">
            <w:pPr>
              <w:pStyle w:val="TableText"/>
              <w:snapToGrid w:val="0"/>
              <w:rPr>
                <w:lang w:eastAsia="en-GB"/>
              </w:rPr>
            </w:pPr>
          </w:p>
        </w:tc>
        <w:tc>
          <w:tcPr>
            <w:tcW w:w="2160" w:type="dxa"/>
            <w:tcBorders>
              <w:top w:val="single" w:sz="4" w:space="0" w:color="auto"/>
              <w:left w:val="single" w:sz="4" w:space="0" w:color="auto"/>
              <w:bottom w:val="single" w:sz="4" w:space="0" w:color="auto"/>
              <w:right w:val="single" w:sz="4" w:space="0" w:color="auto"/>
            </w:tcBorders>
            <w:vAlign w:val="center"/>
          </w:tcPr>
          <w:p w14:paraId="7234DD69" w14:textId="77777777" w:rsidR="002A0515" w:rsidRPr="008168C5" w:rsidRDefault="002A0515" w:rsidP="00A54BE4">
            <w:pPr>
              <w:pStyle w:val="TableText"/>
              <w:snapToGrid w:val="0"/>
              <w:jc w:val="center"/>
              <w:rPr>
                <w:bCs/>
                <w:szCs w:val="17"/>
                <w:lang w:eastAsia="it-IT"/>
              </w:rPr>
            </w:pPr>
            <w:r w:rsidRPr="008168C5">
              <w:rPr>
                <w:bCs/>
                <w:szCs w:val="17"/>
                <w:lang w:eastAsia="it-IT"/>
              </w:rPr>
              <w:t>(a)</w:t>
            </w:r>
          </w:p>
        </w:tc>
        <w:tc>
          <w:tcPr>
            <w:tcW w:w="2161" w:type="dxa"/>
            <w:tcBorders>
              <w:top w:val="single" w:sz="4" w:space="0" w:color="auto"/>
              <w:left w:val="single" w:sz="4" w:space="0" w:color="auto"/>
              <w:bottom w:val="single" w:sz="4" w:space="0" w:color="auto"/>
              <w:right w:val="single" w:sz="4" w:space="0" w:color="auto"/>
            </w:tcBorders>
            <w:vAlign w:val="center"/>
          </w:tcPr>
          <w:p w14:paraId="711F01BF" w14:textId="77777777" w:rsidR="002A0515" w:rsidRPr="008168C5" w:rsidRDefault="002A0515" w:rsidP="00A54BE4">
            <w:pPr>
              <w:pStyle w:val="TableText"/>
              <w:snapToGrid w:val="0"/>
              <w:jc w:val="center"/>
              <w:rPr>
                <w:szCs w:val="17"/>
                <w:lang w:eastAsia="it-IT"/>
              </w:rPr>
            </w:pPr>
            <w:r w:rsidRPr="008168C5">
              <w:rPr>
                <w:szCs w:val="17"/>
                <w:lang w:eastAsia="it-IT"/>
              </w:rPr>
              <w:t>(b)</w:t>
            </w:r>
          </w:p>
        </w:tc>
      </w:tr>
      <w:tr w:rsidR="002A0515" w:rsidRPr="008168C5" w14:paraId="113FE077" w14:textId="77777777" w:rsidTr="007B3DE0">
        <w:trPr>
          <w:cantSplit/>
          <w:tblHeader/>
        </w:trPr>
        <w:tc>
          <w:tcPr>
            <w:tcW w:w="4927" w:type="dxa"/>
            <w:tcBorders>
              <w:top w:val="nil"/>
              <w:left w:val="nil"/>
              <w:bottom w:val="single" w:sz="4" w:space="0" w:color="auto"/>
              <w:right w:val="single" w:sz="4" w:space="0" w:color="auto"/>
            </w:tcBorders>
            <w:vAlign w:val="center"/>
          </w:tcPr>
          <w:p w14:paraId="1B5879F3" w14:textId="77777777" w:rsidR="002A0515" w:rsidRPr="008168C5" w:rsidRDefault="002A0515" w:rsidP="00A54BE4">
            <w:pPr>
              <w:pStyle w:val="TableText"/>
              <w:snapToGrid w:val="0"/>
              <w:rPr>
                <w:lang w:eastAsia="en-GB"/>
              </w:rPr>
            </w:pPr>
          </w:p>
        </w:tc>
        <w:tc>
          <w:tcPr>
            <w:tcW w:w="2160" w:type="dxa"/>
            <w:tcBorders>
              <w:top w:val="single" w:sz="4" w:space="0" w:color="auto"/>
              <w:left w:val="single" w:sz="4" w:space="0" w:color="auto"/>
              <w:bottom w:val="single" w:sz="4" w:space="0" w:color="auto"/>
              <w:right w:val="single" w:sz="4" w:space="0" w:color="auto"/>
            </w:tcBorders>
            <w:vAlign w:val="center"/>
          </w:tcPr>
          <w:p w14:paraId="2C4B1E5E" w14:textId="77777777" w:rsidR="002A0515" w:rsidRPr="008168C5" w:rsidRDefault="002A0515" w:rsidP="00A54BE4">
            <w:pPr>
              <w:pStyle w:val="TableText"/>
              <w:snapToGrid w:val="0"/>
              <w:jc w:val="center"/>
              <w:rPr>
                <w:bCs/>
                <w:noProof/>
                <w:szCs w:val="17"/>
                <w:lang w:eastAsia="it-IT"/>
              </w:rPr>
            </w:pPr>
            <w:r w:rsidRPr="008168C5">
              <w:rPr>
                <w:bCs/>
                <w:szCs w:val="17"/>
                <w:lang w:eastAsia="it-IT"/>
              </w:rPr>
              <w:t>Protection bought</w:t>
            </w:r>
          </w:p>
        </w:tc>
        <w:tc>
          <w:tcPr>
            <w:tcW w:w="2161" w:type="dxa"/>
            <w:tcBorders>
              <w:top w:val="single" w:sz="4" w:space="0" w:color="auto"/>
              <w:left w:val="single" w:sz="4" w:space="0" w:color="auto"/>
              <w:bottom w:val="single" w:sz="4" w:space="0" w:color="auto"/>
              <w:right w:val="single" w:sz="4" w:space="0" w:color="auto"/>
            </w:tcBorders>
            <w:vAlign w:val="center"/>
          </w:tcPr>
          <w:p w14:paraId="58D8D3BD" w14:textId="77777777" w:rsidR="002A0515" w:rsidRPr="008168C5" w:rsidRDefault="002A0515" w:rsidP="00A54BE4">
            <w:pPr>
              <w:pStyle w:val="TableText"/>
              <w:snapToGrid w:val="0"/>
              <w:jc w:val="center"/>
              <w:rPr>
                <w:noProof/>
                <w:szCs w:val="17"/>
                <w:lang w:eastAsia="it-IT"/>
              </w:rPr>
            </w:pPr>
            <w:r w:rsidRPr="008168C5">
              <w:rPr>
                <w:szCs w:val="17"/>
                <w:lang w:eastAsia="it-IT"/>
              </w:rPr>
              <w:t>Protection sold</w:t>
            </w:r>
          </w:p>
        </w:tc>
      </w:tr>
      <w:tr w:rsidR="002A0515" w:rsidRPr="008168C5" w14:paraId="0E3A050A" w14:textId="77777777" w:rsidTr="007B3DE0">
        <w:trPr>
          <w:cantSplit/>
        </w:trPr>
        <w:tc>
          <w:tcPr>
            <w:tcW w:w="4927" w:type="dxa"/>
            <w:tcBorders>
              <w:top w:val="single" w:sz="4" w:space="0" w:color="auto"/>
              <w:left w:val="nil"/>
              <w:right w:val="single" w:sz="4" w:space="0" w:color="auto"/>
            </w:tcBorders>
          </w:tcPr>
          <w:p w14:paraId="5A92F0CC" w14:textId="77777777" w:rsidR="002A0515" w:rsidRPr="008168C5" w:rsidRDefault="002A0515" w:rsidP="00A54BE4">
            <w:pPr>
              <w:pStyle w:val="TableText"/>
              <w:snapToGrid w:val="0"/>
              <w:rPr>
                <w:b/>
                <w:noProof/>
                <w:sz w:val="18"/>
                <w:szCs w:val="18"/>
                <w:lang w:eastAsia="en-GB"/>
              </w:rPr>
            </w:pPr>
            <w:r w:rsidRPr="008168C5">
              <w:rPr>
                <w:b/>
                <w:sz w:val="18"/>
                <w:szCs w:val="18"/>
                <w:lang w:eastAsia="en-GB"/>
              </w:rPr>
              <w:t>Notional amounts</w:t>
            </w:r>
          </w:p>
        </w:tc>
        <w:tc>
          <w:tcPr>
            <w:tcW w:w="2160" w:type="dxa"/>
            <w:tcBorders>
              <w:top w:val="single" w:sz="4" w:space="0" w:color="auto"/>
              <w:left w:val="single" w:sz="4" w:space="0" w:color="auto"/>
              <w:right w:val="single" w:sz="4" w:space="0" w:color="auto"/>
            </w:tcBorders>
            <w:shd w:val="clear" w:color="auto" w:fill="D9D9D9"/>
          </w:tcPr>
          <w:p w14:paraId="522CAB75" w14:textId="77777777" w:rsidR="002A0515" w:rsidRPr="008168C5" w:rsidRDefault="002A0515" w:rsidP="00A54BE4">
            <w:pPr>
              <w:pStyle w:val="TableText"/>
              <w:snapToGrid w:val="0"/>
              <w:rPr>
                <w:lang w:eastAsia="en-GB"/>
              </w:rPr>
            </w:pPr>
          </w:p>
        </w:tc>
        <w:tc>
          <w:tcPr>
            <w:tcW w:w="2161" w:type="dxa"/>
            <w:tcBorders>
              <w:top w:val="single" w:sz="4" w:space="0" w:color="auto"/>
              <w:left w:val="single" w:sz="4" w:space="0" w:color="auto"/>
              <w:right w:val="single" w:sz="4" w:space="0" w:color="auto"/>
            </w:tcBorders>
            <w:shd w:val="clear" w:color="auto" w:fill="D9D9D9"/>
          </w:tcPr>
          <w:p w14:paraId="16BA902E" w14:textId="77777777" w:rsidR="002A0515" w:rsidRPr="008168C5" w:rsidRDefault="002A0515" w:rsidP="00A54BE4">
            <w:pPr>
              <w:pStyle w:val="TableText"/>
              <w:snapToGrid w:val="0"/>
              <w:rPr>
                <w:lang w:eastAsia="en-GB"/>
              </w:rPr>
            </w:pPr>
          </w:p>
        </w:tc>
      </w:tr>
      <w:tr w:rsidR="002A0515" w:rsidRPr="008168C5" w14:paraId="1FEA12F3" w14:textId="77777777" w:rsidTr="007B3DE0">
        <w:trPr>
          <w:cantSplit/>
        </w:trPr>
        <w:tc>
          <w:tcPr>
            <w:tcW w:w="4927" w:type="dxa"/>
            <w:tcBorders>
              <w:left w:val="nil"/>
              <w:right w:val="single" w:sz="4" w:space="0" w:color="auto"/>
            </w:tcBorders>
          </w:tcPr>
          <w:p w14:paraId="62DFF951" w14:textId="77777777" w:rsidR="002A0515" w:rsidRPr="008168C5" w:rsidRDefault="002A0515" w:rsidP="00A54BE4">
            <w:pPr>
              <w:pStyle w:val="TableText"/>
              <w:snapToGrid w:val="0"/>
              <w:rPr>
                <w:noProof/>
                <w:sz w:val="18"/>
                <w:szCs w:val="18"/>
                <w:lang w:eastAsia="en-GB"/>
              </w:rPr>
            </w:pPr>
            <w:r w:rsidRPr="008168C5">
              <w:rPr>
                <w:sz w:val="18"/>
                <w:szCs w:val="18"/>
                <w:lang w:eastAsia="en-GB"/>
              </w:rPr>
              <w:t xml:space="preserve">  Single-name credit default swaps</w:t>
            </w:r>
          </w:p>
        </w:tc>
        <w:tc>
          <w:tcPr>
            <w:tcW w:w="2160" w:type="dxa"/>
            <w:tcBorders>
              <w:left w:val="single" w:sz="4" w:space="0" w:color="auto"/>
              <w:right w:val="single" w:sz="4" w:space="0" w:color="auto"/>
            </w:tcBorders>
          </w:tcPr>
          <w:p w14:paraId="456C8A77" w14:textId="77777777" w:rsidR="002A0515" w:rsidRPr="008168C5" w:rsidRDefault="002A0515" w:rsidP="00A54BE4">
            <w:pPr>
              <w:pStyle w:val="TableText"/>
              <w:snapToGrid w:val="0"/>
              <w:rPr>
                <w:lang w:eastAsia="en-GB"/>
              </w:rPr>
            </w:pPr>
          </w:p>
        </w:tc>
        <w:tc>
          <w:tcPr>
            <w:tcW w:w="2161" w:type="dxa"/>
            <w:tcBorders>
              <w:left w:val="single" w:sz="4" w:space="0" w:color="auto"/>
              <w:right w:val="single" w:sz="4" w:space="0" w:color="auto"/>
            </w:tcBorders>
          </w:tcPr>
          <w:p w14:paraId="7008E29A" w14:textId="77777777" w:rsidR="002A0515" w:rsidRPr="008168C5" w:rsidRDefault="002A0515" w:rsidP="00A54BE4">
            <w:pPr>
              <w:pStyle w:val="TableText"/>
              <w:snapToGrid w:val="0"/>
              <w:rPr>
                <w:lang w:eastAsia="en-GB"/>
              </w:rPr>
            </w:pPr>
          </w:p>
        </w:tc>
      </w:tr>
      <w:tr w:rsidR="002A0515" w:rsidRPr="008168C5" w14:paraId="68C9A284" w14:textId="77777777" w:rsidTr="007B3DE0">
        <w:trPr>
          <w:cantSplit/>
        </w:trPr>
        <w:tc>
          <w:tcPr>
            <w:tcW w:w="4927" w:type="dxa"/>
            <w:tcBorders>
              <w:left w:val="nil"/>
              <w:right w:val="single" w:sz="4" w:space="0" w:color="auto"/>
            </w:tcBorders>
          </w:tcPr>
          <w:p w14:paraId="71E5C86B" w14:textId="77777777" w:rsidR="002A0515" w:rsidRPr="008168C5" w:rsidRDefault="002A0515" w:rsidP="00A54BE4">
            <w:pPr>
              <w:pStyle w:val="TableText"/>
              <w:snapToGrid w:val="0"/>
              <w:rPr>
                <w:noProof/>
                <w:sz w:val="18"/>
                <w:szCs w:val="18"/>
                <w:lang w:eastAsia="en-GB"/>
              </w:rPr>
            </w:pPr>
            <w:r w:rsidRPr="008168C5">
              <w:rPr>
                <w:sz w:val="18"/>
                <w:szCs w:val="18"/>
                <w:lang w:eastAsia="en-GB"/>
              </w:rPr>
              <w:t xml:space="preserve">  Index credit default swaps</w:t>
            </w:r>
          </w:p>
        </w:tc>
        <w:tc>
          <w:tcPr>
            <w:tcW w:w="2160" w:type="dxa"/>
            <w:tcBorders>
              <w:left w:val="single" w:sz="4" w:space="0" w:color="auto"/>
              <w:right w:val="single" w:sz="4" w:space="0" w:color="auto"/>
            </w:tcBorders>
          </w:tcPr>
          <w:p w14:paraId="1746B067" w14:textId="77777777" w:rsidR="002A0515" w:rsidRPr="008168C5" w:rsidRDefault="002A0515" w:rsidP="00A54BE4">
            <w:pPr>
              <w:pStyle w:val="TableText"/>
              <w:snapToGrid w:val="0"/>
              <w:rPr>
                <w:lang w:eastAsia="en-GB"/>
              </w:rPr>
            </w:pPr>
          </w:p>
        </w:tc>
        <w:tc>
          <w:tcPr>
            <w:tcW w:w="2161" w:type="dxa"/>
            <w:tcBorders>
              <w:left w:val="single" w:sz="4" w:space="0" w:color="auto"/>
              <w:right w:val="single" w:sz="4" w:space="0" w:color="auto"/>
            </w:tcBorders>
          </w:tcPr>
          <w:p w14:paraId="0DEA18E4" w14:textId="77777777" w:rsidR="002A0515" w:rsidRPr="008168C5" w:rsidRDefault="002A0515" w:rsidP="00A54BE4">
            <w:pPr>
              <w:pStyle w:val="TableText"/>
              <w:snapToGrid w:val="0"/>
              <w:rPr>
                <w:lang w:eastAsia="en-GB"/>
              </w:rPr>
            </w:pPr>
          </w:p>
        </w:tc>
      </w:tr>
      <w:tr w:rsidR="002A0515" w:rsidRPr="008168C5" w14:paraId="418A8786" w14:textId="77777777" w:rsidTr="007B3DE0">
        <w:trPr>
          <w:cantSplit/>
        </w:trPr>
        <w:tc>
          <w:tcPr>
            <w:tcW w:w="4927" w:type="dxa"/>
            <w:tcBorders>
              <w:left w:val="nil"/>
              <w:right w:val="single" w:sz="4" w:space="0" w:color="auto"/>
            </w:tcBorders>
          </w:tcPr>
          <w:p w14:paraId="1A6C8AEE" w14:textId="77777777" w:rsidR="002A0515" w:rsidRPr="008168C5" w:rsidRDefault="002A0515" w:rsidP="00A54BE4">
            <w:pPr>
              <w:pStyle w:val="TableText"/>
              <w:snapToGrid w:val="0"/>
              <w:rPr>
                <w:noProof/>
                <w:sz w:val="18"/>
                <w:szCs w:val="18"/>
                <w:lang w:eastAsia="en-GB"/>
              </w:rPr>
            </w:pPr>
            <w:r w:rsidRPr="008168C5">
              <w:rPr>
                <w:sz w:val="18"/>
                <w:szCs w:val="18"/>
                <w:lang w:eastAsia="en-GB"/>
              </w:rPr>
              <w:t xml:space="preserve">  Total return swaps</w:t>
            </w:r>
          </w:p>
        </w:tc>
        <w:tc>
          <w:tcPr>
            <w:tcW w:w="2160" w:type="dxa"/>
            <w:tcBorders>
              <w:left w:val="single" w:sz="4" w:space="0" w:color="auto"/>
              <w:right w:val="single" w:sz="4" w:space="0" w:color="auto"/>
            </w:tcBorders>
          </w:tcPr>
          <w:p w14:paraId="511A924B" w14:textId="77777777" w:rsidR="002A0515" w:rsidRPr="008168C5" w:rsidRDefault="002A0515" w:rsidP="00A54BE4">
            <w:pPr>
              <w:pStyle w:val="TableText"/>
              <w:snapToGrid w:val="0"/>
              <w:rPr>
                <w:lang w:eastAsia="en-GB"/>
              </w:rPr>
            </w:pPr>
          </w:p>
        </w:tc>
        <w:tc>
          <w:tcPr>
            <w:tcW w:w="2161" w:type="dxa"/>
            <w:tcBorders>
              <w:left w:val="single" w:sz="4" w:space="0" w:color="auto"/>
              <w:right w:val="single" w:sz="4" w:space="0" w:color="auto"/>
            </w:tcBorders>
          </w:tcPr>
          <w:p w14:paraId="036B2C2E" w14:textId="77777777" w:rsidR="002A0515" w:rsidRPr="008168C5" w:rsidRDefault="002A0515" w:rsidP="00A54BE4">
            <w:pPr>
              <w:pStyle w:val="TableText"/>
              <w:snapToGrid w:val="0"/>
              <w:rPr>
                <w:lang w:eastAsia="en-GB"/>
              </w:rPr>
            </w:pPr>
          </w:p>
        </w:tc>
      </w:tr>
      <w:tr w:rsidR="002A0515" w:rsidRPr="008168C5" w14:paraId="21E86C87" w14:textId="77777777" w:rsidTr="007B3DE0">
        <w:trPr>
          <w:cantSplit/>
        </w:trPr>
        <w:tc>
          <w:tcPr>
            <w:tcW w:w="4927" w:type="dxa"/>
            <w:tcBorders>
              <w:left w:val="nil"/>
              <w:right w:val="single" w:sz="4" w:space="0" w:color="auto"/>
            </w:tcBorders>
          </w:tcPr>
          <w:p w14:paraId="7A7DFCF6" w14:textId="77777777" w:rsidR="002A0515" w:rsidRPr="008168C5" w:rsidRDefault="002A0515" w:rsidP="00A54BE4">
            <w:pPr>
              <w:pStyle w:val="TableText"/>
              <w:snapToGrid w:val="0"/>
              <w:rPr>
                <w:noProof/>
                <w:sz w:val="18"/>
                <w:szCs w:val="18"/>
                <w:lang w:eastAsia="en-GB"/>
              </w:rPr>
            </w:pPr>
            <w:r w:rsidRPr="008168C5">
              <w:rPr>
                <w:sz w:val="18"/>
                <w:szCs w:val="18"/>
                <w:lang w:eastAsia="en-GB"/>
              </w:rPr>
              <w:t xml:space="preserve">  Credit-related options</w:t>
            </w:r>
          </w:p>
        </w:tc>
        <w:tc>
          <w:tcPr>
            <w:tcW w:w="2160" w:type="dxa"/>
            <w:tcBorders>
              <w:left w:val="single" w:sz="4" w:space="0" w:color="auto"/>
              <w:right w:val="single" w:sz="4" w:space="0" w:color="auto"/>
            </w:tcBorders>
          </w:tcPr>
          <w:p w14:paraId="4E5E6F0A" w14:textId="77777777" w:rsidR="002A0515" w:rsidRPr="008168C5" w:rsidRDefault="002A0515" w:rsidP="00A54BE4">
            <w:pPr>
              <w:pStyle w:val="TableText"/>
              <w:snapToGrid w:val="0"/>
              <w:rPr>
                <w:lang w:eastAsia="en-GB"/>
              </w:rPr>
            </w:pPr>
          </w:p>
        </w:tc>
        <w:tc>
          <w:tcPr>
            <w:tcW w:w="2161" w:type="dxa"/>
            <w:tcBorders>
              <w:left w:val="single" w:sz="4" w:space="0" w:color="auto"/>
              <w:right w:val="single" w:sz="4" w:space="0" w:color="auto"/>
            </w:tcBorders>
          </w:tcPr>
          <w:p w14:paraId="17D6AE46" w14:textId="77777777" w:rsidR="002A0515" w:rsidRPr="008168C5" w:rsidRDefault="002A0515" w:rsidP="00A54BE4">
            <w:pPr>
              <w:pStyle w:val="TableText"/>
              <w:snapToGrid w:val="0"/>
              <w:rPr>
                <w:lang w:eastAsia="en-GB"/>
              </w:rPr>
            </w:pPr>
          </w:p>
        </w:tc>
      </w:tr>
      <w:tr w:rsidR="002A0515" w:rsidRPr="008168C5" w14:paraId="5296C2C7" w14:textId="77777777" w:rsidTr="007B3DE0">
        <w:trPr>
          <w:cantSplit/>
        </w:trPr>
        <w:tc>
          <w:tcPr>
            <w:tcW w:w="4927" w:type="dxa"/>
            <w:tcBorders>
              <w:left w:val="nil"/>
              <w:right w:val="single" w:sz="4" w:space="0" w:color="auto"/>
            </w:tcBorders>
          </w:tcPr>
          <w:p w14:paraId="6C983A40" w14:textId="77777777" w:rsidR="002A0515" w:rsidRPr="008168C5" w:rsidRDefault="002A0515" w:rsidP="00A54BE4">
            <w:pPr>
              <w:pStyle w:val="TableText"/>
              <w:snapToGrid w:val="0"/>
              <w:rPr>
                <w:noProof/>
                <w:sz w:val="18"/>
                <w:szCs w:val="18"/>
                <w:lang w:eastAsia="en-GB"/>
              </w:rPr>
            </w:pPr>
            <w:r w:rsidRPr="008168C5">
              <w:rPr>
                <w:sz w:val="18"/>
                <w:szCs w:val="18"/>
                <w:lang w:eastAsia="en-GB"/>
              </w:rPr>
              <w:t xml:space="preserve">  Other credit-related derivative contracts</w:t>
            </w:r>
          </w:p>
        </w:tc>
        <w:tc>
          <w:tcPr>
            <w:tcW w:w="2160" w:type="dxa"/>
            <w:tcBorders>
              <w:left w:val="single" w:sz="4" w:space="0" w:color="auto"/>
              <w:right w:val="single" w:sz="4" w:space="0" w:color="auto"/>
            </w:tcBorders>
          </w:tcPr>
          <w:p w14:paraId="26FFA6D5" w14:textId="77777777" w:rsidR="002A0515" w:rsidRPr="008168C5" w:rsidRDefault="002A0515" w:rsidP="00A54BE4">
            <w:pPr>
              <w:pStyle w:val="TableText"/>
              <w:snapToGrid w:val="0"/>
              <w:rPr>
                <w:lang w:eastAsia="en-GB"/>
              </w:rPr>
            </w:pPr>
          </w:p>
        </w:tc>
        <w:tc>
          <w:tcPr>
            <w:tcW w:w="2161" w:type="dxa"/>
            <w:tcBorders>
              <w:left w:val="single" w:sz="4" w:space="0" w:color="auto"/>
              <w:right w:val="single" w:sz="4" w:space="0" w:color="auto"/>
            </w:tcBorders>
          </w:tcPr>
          <w:p w14:paraId="38AFFD57" w14:textId="77777777" w:rsidR="002A0515" w:rsidRPr="008168C5" w:rsidRDefault="002A0515" w:rsidP="00A54BE4">
            <w:pPr>
              <w:pStyle w:val="TableText"/>
              <w:snapToGrid w:val="0"/>
              <w:rPr>
                <w:lang w:eastAsia="en-GB"/>
              </w:rPr>
            </w:pPr>
          </w:p>
        </w:tc>
      </w:tr>
      <w:tr w:rsidR="002A0515" w:rsidRPr="008168C5" w14:paraId="59E68F2B" w14:textId="77777777" w:rsidTr="007B3DE0">
        <w:trPr>
          <w:cantSplit/>
        </w:trPr>
        <w:tc>
          <w:tcPr>
            <w:tcW w:w="4927" w:type="dxa"/>
            <w:tcBorders>
              <w:left w:val="nil"/>
              <w:right w:val="single" w:sz="4" w:space="0" w:color="auto"/>
            </w:tcBorders>
          </w:tcPr>
          <w:p w14:paraId="7CBB33C4" w14:textId="77777777" w:rsidR="002A0515" w:rsidRPr="008168C5" w:rsidRDefault="002A0515" w:rsidP="00A54BE4">
            <w:pPr>
              <w:pStyle w:val="TableText"/>
              <w:snapToGrid w:val="0"/>
              <w:ind w:firstLineChars="100" w:firstLine="180"/>
              <w:rPr>
                <w:b/>
                <w:noProof/>
                <w:sz w:val="18"/>
                <w:szCs w:val="18"/>
                <w:lang w:eastAsia="en-GB"/>
              </w:rPr>
            </w:pPr>
            <w:r w:rsidRPr="008168C5">
              <w:rPr>
                <w:b/>
                <w:sz w:val="18"/>
                <w:szCs w:val="18"/>
                <w:lang w:eastAsia="en-GB"/>
              </w:rPr>
              <w:t>Total notional amounts</w:t>
            </w:r>
          </w:p>
        </w:tc>
        <w:tc>
          <w:tcPr>
            <w:tcW w:w="2160" w:type="dxa"/>
            <w:tcBorders>
              <w:left w:val="single" w:sz="4" w:space="0" w:color="auto"/>
              <w:right w:val="single" w:sz="4" w:space="0" w:color="auto"/>
            </w:tcBorders>
          </w:tcPr>
          <w:p w14:paraId="34BDE07D" w14:textId="77777777" w:rsidR="002A0515" w:rsidRPr="008168C5" w:rsidRDefault="002A0515" w:rsidP="00A54BE4">
            <w:pPr>
              <w:pStyle w:val="TableText"/>
              <w:snapToGrid w:val="0"/>
              <w:rPr>
                <w:lang w:eastAsia="en-GB"/>
              </w:rPr>
            </w:pPr>
          </w:p>
        </w:tc>
        <w:tc>
          <w:tcPr>
            <w:tcW w:w="2161" w:type="dxa"/>
            <w:tcBorders>
              <w:left w:val="single" w:sz="4" w:space="0" w:color="auto"/>
              <w:right w:val="single" w:sz="4" w:space="0" w:color="auto"/>
            </w:tcBorders>
          </w:tcPr>
          <w:p w14:paraId="7359DFAB" w14:textId="77777777" w:rsidR="002A0515" w:rsidRPr="008168C5" w:rsidRDefault="002A0515" w:rsidP="00A54BE4">
            <w:pPr>
              <w:pStyle w:val="TableText"/>
              <w:snapToGrid w:val="0"/>
              <w:rPr>
                <w:lang w:eastAsia="en-GB"/>
              </w:rPr>
            </w:pPr>
          </w:p>
        </w:tc>
      </w:tr>
      <w:tr w:rsidR="002A0515" w:rsidRPr="008168C5" w14:paraId="3CD21C59" w14:textId="77777777" w:rsidTr="007B3DE0">
        <w:trPr>
          <w:cantSplit/>
        </w:trPr>
        <w:tc>
          <w:tcPr>
            <w:tcW w:w="4927" w:type="dxa"/>
            <w:tcBorders>
              <w:left w:val="nil"/>
              <w:right w:val="single" w:sz="4" w:space="0" w:color="auto"/>
            </w:tcBorders>
          </w:tcPr>
          <w:p w14:paraId="7D0F3BC2" w14:textId="77777777" w:rsidR="002A0515" w:rsidRPr="008168C5" w:rsidRDefault="002A0515" w:rsidP="00A54BE4">
            <w:pPr>
              <w:pStyle w:val="TableText"/>
              <w:snapToGrid w:val="0"/>
              <w:rPr>
                <w:b/>
                <w:noProof/>
                <w:sz w:val="18"/>
                <w:szCs w:val="18"/>
                <w:lang w:eastAsia="en-GB"/>
              </w:rPr>
            </w:pPr>
            <w:r w:rsidRPr="008168C5">
              <w:rPr>
                <w:b/>
                <w:sz w:val="18"/>
                <w:szCs w:val="18"/>
                <w:lang w:eastAsia="en-GB"/>
              </w:rPr>
              <w:t>Fair values</w:t>
            </w:r>
          </w:p>
        </w:tc>
        <w:tc>
          <w:tcPr>
            <w:tcW w:w="2160" w:type="dxa"/>
            <w:tcBorders>
              <w:left w:val="single" w:sz="4" w:space="0" w:color="auto"/>
              <w:right w:val="single" w:sz="4" w:space="0" w:color="auto"/>
            </w:tcBorders>
            <w:shd w:val="clear" w:color="auto" w:fill="D9D9D9"/>
          </w:tcPr>
          <w:p w14:paraId="4C748B32" w14:textId="77777777" w:rsidR="002A0515" w:rsidRPr="008168C5" w:rsidRDefault="002A0515" w:rsidP="00A54BE4">
            <w:pPr>
              <w:pStyle w:val="TableText"/>
              <w:snapToGrid w:val="0"/>
              <w:rPr>
                <w:lang w:eastAsia="en-GB"/>
              </w:rPr>
            </w:pPr>
          </w:p>
        </w:tc>
        <w:tc>
          <w:tcPr>
            <w:tcW w:w="2161" w:type="dxa"/>
            <w:tcBorders>
              <w:left w:val="single" w:sz="4" w:space="0" w:color="auto"/>
              <w:right w:val="single" w:sz="4" w:space="0" w:color="auto"/>
            </w:tcBorders>
            <w:shd w:val="clear" w:color="auto" w:fill="D9D9D9"/>
          </w:tcPr>
          <w:p w14:paraId="2E0CD19C" w14:textId="77777777" w:rsidR="002A0515" w:rsidRPr="008168C5" w:rsidRDefault="002A0515" w:rsidP="00A54BE4">
            <w:pPr>
              <w:pStyle w:val="TableText"/>
              <w:snapToGrid w:val="0"/>
              <w:rPr>
                <w:lang w:eastAsia="en-GB"/>
              </w:rPr>
            </w:pPr>
          </w:p>
        </w:tc>
      </w:tr>
      <w:tr w:rsidR="002A0515" w:rsidRPr="008168C5" w14:paraId="740EEBAA" w14:textId="77777777" w:rsidTr="007B3DE0">
        <w:trPr>
          <w:cantSplit/>
        </w:trPr>
        <w:tc>
          <w:tcPr>
            <w:tcW w:w="4927" w:type="dxa"/>
            <w:tcBorders>
              <w:left w:val="nil"/>
              <w:bottom w:val="single" w:sz="4" w:space="0" w:color="BCBDBC"/>
              <w:right w:val="single" w:sz="4" w:space="0" w:color="auto"/>
            </w:tcBorders>
          </w:tcPr>
          <w:p w14:paraId="63965188" w14:textId="77777777" w:rsidR="002A0515" w:rsidRPr="008168C5" w:rsidRDefault="002A0515" w:rsidP="00A54BE4">
            <w:pPr>
              <w:pStyle w:val="TableText"/>
              <w:snapToGrid w:val="0"/>
              <w:ind w:firstLine="176"/>
              <w:rPr>
                <w:noProof/>
                <w:sz w:val="18"/>
                <w:szCs w:val="18"/>
                <w:lang w:eastAsia="en-GB"/>
              </w:rPr>
            </w:pPr>
            <w:r w:rsidRPr="008168C5">
              <w:rPr>
                <w:sz w:val="18"/>
                <w:szCs w:val="18"/>
                <w:lang w:eastAsia="en-GB"/>
              </w:rPr>
              <w:t>Positive fair value (asset)</w:t>
            </w:r>
          </w:p>
        </w:tc>
        <w:tc>
          <w:tcPr>
            <w:tcW w:w="2160" w:type="dxa"/>
            <w:tcBorders>
              <w:left w:val="single" w:sz="4" w:space="0" w:color="auto"/>
              <w:bottom w:val="single" w:sz="4" w:space="0" w:color="BCBDBC"/>
              <w:right w:val="single" w:sz="4" w:space="0" w:color="auto"/>
            </w:tcBorders>
          </w:tcPr>
          <w:p w14:paraId="18C2A806" w14:textId="77777777" w:rsidR="002A0515" w:rsidRPr="008168C5" w:rsidRDefault="002A0515" w:rsidP="00A54BE4">
            <w:pPr>
              <w:pStyle w:val="TableText"/>
              <w:snapToGrid w:val="0"/>
              <w:rPr>
                <w:lang w:eastAsia="en-GB"/>
              </w:rPr>
            </w:pPr>
          </w:p>
        </w:tc>
        <w:tc>
          <w:tcPr>
            <w:tcW w:w="2161" w:type="dxa"/>
            <w:tcBorders>
              <w:left w:val="single" w:sz="4" w:space="0" w:color="auto"/>
              <w:bottom w:val="single" w:sz="4" w:space="0" w:color="BCBDBC"/>
              <w:right w:val="single" w:sz="4" w:space="0" w:color="auto"/>
            </w:tcBorders>
          </w:tcPr>
          <w:p w14:paraId="7EB4AAF1" w14:textId="77777777" w:rsidR="002A0515" w:rsidRPr="008168C5" w:rsidRDefault="002A0515" w:rsidP="00A54BE4">
            <w:pPr>
              <w:pStyle w:val="TableText"/>
              <w:snapToGrid w:val="0"/>
              <w:rPr>
                <w:lang w:eastAsia="en-GB"/>
              </w:rPr>
            </w:pPr>
          </w:p>
        </w:tc>
      </w:tr>
      <w:tr w:rsidR="002A0515" w:rsidRPr="008168C5" w14:paraId="5FE7501A" w14:textId="77777777" w:rsidTr="007B3DE0">
        <w:trPr>
          <w:cantSplit/>
        </w:trPr>
        <w:tc>
          <w:tcPr>
            <w:tcW w:w="4927" w:type="dxa"/>
            <w:tcBorders>
              <w:left w:val="nil"/>
              <w:bottom w:val="single" w:sz="4" w:space="0" w:color="auto"/>
              <w:right w:val="single" w:sz="4" w:space="0" w:color="auto"/>
            </w:tcBorders>
          </w:tcPr>
          <w:p w14:paraId="7B73CC5E" w14:textId="77777777" w:rsidR="002A0515" w:rsidRPr="008168C5" w:rsidRDefault="002A0515" w:rsidP="00A54BE4">
            <w:pPr>
              <w:pStyle w:val="TableText"/>
              <w:snapToGrid w:val="0"/>
              <w:ind w:firstLine="176"/>
              <w:rPr>
                <w:noProof/>
                <w:sz w:val="18"/>
                <w:szCs w:val="18"/>
                <w:lang w:eastAsia="en-GB"/>
              </w:rPr>
            </w:pPr>
            <w:r w:rsidRPr="008168C5">
              <w:rPr>
                <w:sz w:val="18"/>
                <w:szCs w:val="18"/>
                <w:lang w:eastAsia="en-GB"/>
              </w:rPr>
              <w:t>Negative fair value (liability)</w:t>
            </w:r>
          </w:p>
        </w:tc>
        <w:tc>
          <w:tcPr>
            <w:tcW w:w="2160" w:type="dxa"/>
            <w:tcBorders>
              <w:left w:val="single" w:sz="4" w:space="0" w:color="auto"/>
              <w:bottom w:val="single" w:sz="4" w:space="0" w:color="auto"/>
              <w:right w:val="single" w:sz="4" w:space="0" w:color="auto"/>
            </w:tcBorders>
          </w:tcPr>
          <w:p w14:paraId="24743CD8" w14:textId="77777777" w:rsidR="002A0515" w:rsidRPr="008168C5" w:rsidRDefault="002A0515" w:rsidP="00A54BE4">
            <w:pPr>
              <w:pStyle w:val="TableText"/>
              <w:snapToGrid w:val="0"/>
              <w:rPr>
                <w:lang w:eastAsia="en-GB"/>
              </w:rPr>
            </w:pPr>
          </w:p>
        </w:tc>
        <w:tc>
          <w:tcPr>
            <w:tcW w:w="2161" w:type="dxa"/>
            <w:tcBorders>
              <w:left w:val="single" w:sz="4" w:space="0" w:color="auto"/>
              <w:bottom w:val="single" w:sz="4" w:space="0" w:color="auto"/>
              <w:right w:val="single" w:sz="4" w:space="0" w:color="auto"/>
            </w:tcBorders>
          </w:tcPr>
          <w:p w14:paraId="1A4EE657" w14:textId="77777777" w:rsidR="002A0515" w:rsidRPr="008168C5" w:rsidRDefault="002A0515" w:rsidP="00A54BE4">
            <w:pPr>
              <w:pStyle w:val="TableText"/>
              <w:snapToGrid w:val="0"/>
              <w:rPr>
                <w:lang w:eastAsia="en-GB"/>
              </w:rPr>
            </w:pPr>
          </w:p>
        </w:tc>
      </w:tr>
    </w:tbl>
    <w:p w14:paraId="23A21899" w14:textId="48DF70AD" w:rsidR="002A0515" w:rsidRPr="008168C5" w:rsidRDefault="002A0515" w:rsidP="002A0515">
      <w:pPr>
        <w:rPr>
          <w:rFonts w:eastAsia="新細明體"/>
          <w:lang w:eastAsia="zh-TW"/>
        </w:rPr>
      </w:pPr>
    </w:p>
    <w:p w14:paraId="1C966B91" w14:textId="0124811E" w:rsidR="002A0515" w:rsidRPr="008168C5" w:rsidRDefault="002A0515" w:rsidP="002A0515">
      <w:pPr>
        <w:spacing w:before="40" w:after="40"/>
        <w:jc w:val="both"/>
        <w:rPr>
          <w:sz w:val="22"/>
        </w:rPr>
        <w:sectPr w:rsidR="002A0515" w:rsidRPr="008168C5" w:rsidSect="00A54BE4">
          <w:footerReference w:type="default" r:id="rId62"/>
          <w:pgSz w:w="11906" w:h="16838" w:code="9"/>
          <w:pgMar w:top="1440" w:right="1700" w:bottom="1440" w:left="1797" w:header="851" w:footer="737" w:gutter="0"/>
          <w:cols w:space="425"/>
          <w:docGrid w:type="linesAndChars" w:linePitch="360"/>
        </w:sectPr>
      </w:pPr>
    </w:p>
    <w:p w14:paraId="702D591B" w14:textId="2C88FBE7" w:rsidR="002A0515" w:rsidRPr="008168C5" w:rsidRDefault="00415030" w:rsidP="003E7930">
      <w:pPr>
        <w:pStyle w:val="Heading2"/>
      </w:pPr>
      <w:r w:rsidRPr="008168C5">
        <w:lastRenderedPageBreak/>
        <w:t>Template CCR7: RWA flow statements of default risk exposures under IMM(CCR) approach</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415030" w:rsidRPr="008168C5" w14:paraId="4270A72F" w14:textId="77777777" w:rsidTr="00826BF3">
        <w:tc>
          <w:tcPr>
            <w:tcW w:w="2008" w:type="dxa"/>
          </w:tcPr>
          <w:p w14:paraId="6200029A" w14:textId="77777777" w:rsidR="00415030" w:rsidRPr="008168C5" w:rsidRDefault="00415030" w:rsidP="00826BF3">
            <w:pPr>
              <w:spacing w:before="40" w:after="40"/>
              <w:rPr>
                <w:noProof/>
                <w:sz w:val="17"/>
                <w:lang w:eastAsia="en-GB"/>
              </w:rPr>
            </w:pPr>
            <w:r w:rsidRPr="008168C5">
              <w:rPr>
                <w:b/>
                <w:sz w:val="17"/>
                <w:lang w:eastAsia="en-GB"/>
              </w:rPr>
              <w:t>Purpose:</w:t>
            </w:r>
            <w:r w:rsidRPr="008168C5">
              <w:rPr>
                <w:sz w:val="17"/>
                <w:lang w:eastAsia="en-GB"/>
              </w:rPr>
              <w:t xml:space="preserve"> </w:t>
            </w:r>
          </w:p>
        </w:tc>
        <w:tc>
          <w:tcPr>
            <w:tcW w:w="7234" w:type="dxa"/>
          </w:tcPr>
          <w:p w14:paraId="3570C635" w14:textId="77777777" w:rsidR="00415030" w:rsidRPr="008168C5" w:rsidRDefault="00415030" w:rsidP="00826BF3">
            <w:pPr>
              <w:spacing w:before="40" w:after="40"/>
              <w:jc w:val="both"/>
              <w:rPr>
                <w:rFonts w:eastAsia="新細明體"/>
                <w:sz w:val="17"/>
                <w:lang w:eastAsia="en-GB"/>
              </w:rPr>
            </w:pPr>
            <w:r w:rsidRPr="008168C5">
              <w:rPr>
                <w:rFonts w:eastAsia="新細明體"/>
                <w:sz w:val="17"/>
                <w:lang w:eastAsia="en-GB"/>
              </w:rPr>
              <w:t>To present a flow statement explaining variations in RWA for default risk exposures determined under the IMM(CCR) approach.</w:t>
            </w:r>
          </w:p>
        </w:tc>
      </w:tr>
      <w:tr w:rsidR="00415030" w:rsidRPr="008168C5" w14:paraId="4D84B8C2" w14:textId="77777777" w:rsidTr="00826BF3">
        <w:tc>
          <w:tcPr>
            <w:tcW w:w="2008" w:type="dxa"/>
          </w:tcPr>
          <w:p w14:paraId="76CA9E4C" w14:textId="77777777" w:rsidR="00415030" w:rsidRPr="008168C5" w:rsidRDefault="00415030" w:rsidP="00826BF3">
            <w:pPr>
              <w:spacing w:before="40" w:after="40"/>
              <w:rPr>
                <w:b/>
                <w:sz w:val="17"/>
                <w:lang w:eastAsia="en-GB"/>
              </w:rPr>
            </w:pPr>
            <w:r w:rsidRPr="008168C5">
              <w:rPr>
                <w:b/>
                <w:sz w:val="17"/>
                <w:lang w:eastAsia="en-GB"/>
              </w:rPr>
              <w:t xml:space="preserve">Scope of application: </w:t>
            </w:r>
          </w:p>
        </w:tc>
        <w:tc>
          <w:tcPr>
            <w:tcW w:w="7234" w:type="dxa"/>
          </w:tcPr>
          <w:p w14:paraId="5627BCD9" w14:textId="77777777" w:rsidR="00415030" w:rsidRPr="008168C5" w:rsidRDefault="00415030" w:rsidP="00826BF3">
            <w:pPr>
              <w:spacing w:before="40" w:after="40"/>
              <w:jc w:val="both"/>
              <w:rPr>
                <w:rFonts w:eastAsia="新細明體"/>
                <w:sz w:val="17"/>
                <w:lang w:eastAsia="en-GB"/>
              </w:rPr>
            </w:pPr>
            <w:r w:rsidRPr="008168C5">
              <w:rPr>
                <w:rFonts w:eastAsia="新細明體"/>
                <w:sz w:val="17"/>
                <w:lang w:eastAsia="en-GB"/>
              </w:rPr>
              <w:t>The template is mandatory for AIs incorporated in Hong Kong that use the IMM(CCR) approach for measuring default risk exposures, irrespective of the credit risk approach used to compute the RWAs of the default risk exposures.</w:t>
            </w:r>
          </w:p>
        </w:tc>
      </w:tr>
      <w:tr w:rsidR="00415030" w:rsidRPr="008168C5" w14:paraId="26E9D728" w14:textId="77777777" w:rsidTr="00826BF3">
        <w:tc>
          <w:tcPr>
            <w:tcW w:w="2008" w:type="dxa"/>
          </w:tcPr>
          <w:p w14:paraId="77B0C1D7" w14:textId="77777777" w:rsidR="00415030" w:rsidRPr="008168C5" w:rsidRDefault="00415030" w:rsidP="00826BF3">
            <w:pPr>
              <w:spacing w:before="40" w:after="40"/>
              <w:rPr>
                <w:b/>
                <w:sz w:val="17"/>
                <w:lang w:eastAsia="en-GB"/>
              </w:rPr>
            </w:pPr>
            <w:r w:rsidRPr="008168C5">
              <w:rPr>
                <w:b/>
                <w:sz w:val="17"/>
                <w:lang w:eastAsia="en-GB"/>
              </w:rPr>
              <w:t xml:space="preserve">Content: </w:t>
            </w:r>
          </w:p>
        </w:tc>
        <w:tc>
          <w:tcPr>
            <w:tcW w:w="7234" w:type="dxa"/>
          </w:tcPr>
          <w:p w14:paraId="53094D5D" w14:textId="7634656C" w:rsidR="00415030" w:rsidRPr="008168C5" w:rsidRDefault="00415030" w:rsidP="00826BF3">
            <w:pPr>
              <w:spacing w:before="40" w:after="40"/>
              <w:jc w:val="both"/>
              <w:rPr>
                <w:rFonts w:eastAsia="新細明體"/>
                <w:b/>
                <w:sz w:val="17"/>
                <w:lang w:eastAsia="en-GB"/>
              </w:rPr>
            </w:pPr>
            <w:r w:rsidRPr="008168C5">
              <w:rPr>
                <w:rFonts w:eastAsia="新細明體"/>
                <w:sz w:val="17"/>
                <w:lang w:eastAsia="en-GB"/>
              </w:rPr>
              <w:t>RWA of default risk exposure (i.</w:t>
            </w:r>
            <w:r w:rsidR="00802A14">
              <w:rPr>
                <w:rFonts w:eastAsia="新細明體"/>
                <w:sz w:val="17"/>
                <w:lang w:eastAsia="en-GB"/>
              </w:rPr>
              <w:t>e. credit risk disclosed in T</w:t>
            </w:r>
            <w:r w:rsidRPr="008168C5">
              <w:rPr>
                <w:rFonts w:eastAsia="新細明體"/>
                <w:sz w:val="17"/>
                <w:lang w:eastAsia="en-GB"/>
              </w:rPr>
              <w:t>emplate CR8 excluded).</w:t>
            </w:r>
            <w:r w:rsidRPr="008168C5">
              <w:t xml:space="preserve">  </w:t>
            </w:r>
            <w:r w:rsidRPr="008168C5">
              <w:rPr>
                <w:sz w:val="17"/>
                <w:szCs w:val="17"/>
              </w:rPr>
              <w:t>Changes in RWA in the current reporting period for each of the key drivers should be based on an AI’s reasonable estimation of the figures.</w:t>
            </w:r>
          </w:p>
        </w:tc>
      </w:tr>
      <w:tr w:rsidR="00415030" w:rsidRPr="008168C5" w14:paraId="2A58E05C" w14:textId="77777777" w:rsidTr="00826BF3">
        <w:tc>
          <w:tcPr>
            <w:tcW w:w="2008" w:type="dxa"/>
          </w:tcPr>
          <w:p w14:paraId="73EFE25C" w14:textId="77777777" w:rsidR="00415030" w:rsidRPr="008168C5" w:rsidRDefault="00415030" w:rsidP="00826BF3">
            <w:pPr>
              <w:spacing w:before="40" w:after="40"/>
              <w:rPr>
                <w:sz w:val="17"/>
                <w:lang w:eastAsia="en-GB"/>
              </w:rPr>
            </w:pPr>
            <w:r w:rsidRPr="008168C5">
              <w:rPr>
                <w:b/>
                <w:sz w:val="17"/>
                <w:lang w:eastAsia="en-GB"/>
              </w:rPr>
              <w:t>Frequency:</w:t>
            </w:r>
            <w:r w:rsidRPr="008168C5">
              <w:rPr>
                <w:sz w:val="17"/>
                <w:lang w:eastAsia="en-GB"/>
              </w:rPr>
              <w:t xml:space="preserve"> </w:t>
            </w:r>
          </w:p>
        </w:tc>
        <w:tc>
          <w:tcPr>
            <w:tcW w:w="7234" w:type="dxa"/>
          </w:tcPr>
          <w:p w14:paraId="54CBD28A" w14:textId="77777777" w:rsidR="00415030" w:rsidRPr="008168C5" w:rsidRDefault="00415030" w:rsidP="00826BF3">
            <w:pPr>
              <w:pStyle w:val="TableText"/>
              <w:jc w:val="both"/>
              <w:rPr>
                <w:lang w:eastAsia="en-GB"/>
              </w:rPr>
            </w:pPr>
            <w:r w:rsidRPr="008168C5">
              <w:rPr>
                <w:lang w:eastAsia="en-GB"/>
              </w:rPr>
              <w:t>Quarterly.</w:t>
            </w:r>
          </w:p>
        </w:tc>
      </w:tr>
      <w:tr w:rsidR="00415030" w:rsidRPr="008168C5" w14:paraId="436B0465" w14:textId="77777777" w:rsidTr="00826BF3">
        <w:tc>
          <w:tcPr>
            <w:tcW w:w="2008" w:type="dxa"/>
          </w:tcPr>
          <w:p w14:paraId="2EA3F64D" w14:textId="77777777" w:rsidR="00415030" w:rsidRPr="008168C5" w:rsidRDefault="00415030" w:rsidP="00826BF3">
            <w:pPr>
              <w:spacing w:before="40" w:after="40"/>
              <w:rPr>
                <w:sz w:val="17"/>
                <w:lang w:eastAsia="en-GB"/>
              </w:rPr>
            </w:pPr>
            <w:r w:rsidRPr="008168C5">
              <w:rPr>
                <w:b/>
                <w:sz w:val="17"/>
                <w:lang w:eastAsia="en-GB"/>
              </w:rPr>
              <w:t>Format:</w:t>
            </w:r>
            <w:r w:rsidRPr="008168C5">
              <w:rPr>
                <w:sz w:val="17"/>
                <w:lang w:eastAsia="en-GB"/>
              </w:rPr>
              <w:t xml:space="preserve"> </w:t>
            </w:r>
          </w:p>
        </w:tc>
        <w:tc>
          <w:tcPr>
            <w:tcW w:w="7234" w:type="dxa"/>
          </w:tcPr>
          <w:p w14:paraId="632CA962" w14:textId="77777777" w:rsidR="00415030" w:rsidRPr="008168C5" w:rsidRDefault="00415030" w:rsidP="00826BF3">
            <w:pPr>
              <w:pStyle w:val="TableText"/>
              <w:jc w:val="both"/>
              <w:rPr>
                <w:lang w:eastAsia="en-GB"/>
              </w:rPr>
            </w:pPr>
            <w:r w:rsidRPr="008168C5">
              <w:rPr>
                <w:lang w:eastAsia="en-GB"/>
              </w:rPr>
              <w:t>Fixed.  Columns and rows 1 and 9 should not be altered.  An AI should add additional rows between rows 7 and 8 to disclose additional elements, if any, that contribute significantly to RWA variations.</w:t>
            </w:r>
          </w:p>
        </w:tc>
      </w:tr>
      <w:tr w:rsidR="00415030" w:rsidRPr="008168C5" w14:paraId="4B06F75E" w14:textId="77777777" w:rsidTr="00826BF3">
        <w:tc>
          <w:tcPr>
            <w:tcW w:w="2008" w:type="dxa"/>
          </w:tcPr>
          <w:p w14:paraId="7B9470D4" w14:textId="77777777" w:rsidR="00415030" w:rsidRPr="008168C5" w:rsidRDefault="00415030" w:rsidP="00826BF3">
            <w:pPr>
              <w:spacing w:before="40" w:after="40"/>
              <w:rPr>
                <w:b/>
                <w:sz w:val="17"/>
                <w:lang w:eastAsia="en-GB"/>
              </w:rPr>
            </w:pPr>
            <w:r w:rsidRPr="008168C5">
              <w:rPr>
                <w:rFonts w:eastAsia="新細明體"/>
                <w:b/>
                <w:sz w:val="17"/>
                <w:szCs w:val="17"/>
                <w:lang w:eastAsia="en-GB"/>
              </w:rPr>
              <w:t>Accompanying narrative:</w:t>
            </w:r>
          </w:p>
        </w:tc>
        <w:tc>
          <w:tcPr>
            <w:tcW w:w="7234" w:type="dxa"/>
          </w:tcPr>
          <w:p w14:paraId="08B96291" w14:textId="77777777" w:rsidR="00415030" w:rsidRPr="008168C5" w:rsidRDefault="00415030" w:rsidP="00826BF3">
            <w:pPr>
              <w:pStyle w:val="TableText"/>
              <w:jc w:val="both"/>
              <w:rPr>
                <w:noProof/>
                <w:lang w:eastAsia="en-GB"/>
              </w:rPr>
            </w:pPr>
            <w:r w:rsidRPr="008168C5">
              <w:rPr>
                <w:szCs w:val="17"/>
                <w:lang w:eastAsia="en-GB"/>
              </w:rPr>
              <w:t>An AI should supplement the template with a narrative commentary to explain any material change in the current reporting period and the key drivers of such changes.</w:t>
            </w:r>
            <w:r w:rsidRPr="008168C5">
              <w:rPr>
                <w:lang w:eastAsia="en-GB"/>
              </w:rPr>
              <w:t xml:space="preserve"> </w:t>
            </w:r>
          </w:p>
        </w:tc>
      </w:tr>
      <w:tr w:rsidR="00415030" w:rsidRPr="008168C5" w14:paraId="750DAEF0" w14:textId="77777777" w:rsidTr="00826BF3">
        <w:tc>
          <w:tcPr>
            <w:tcW w:w="2008" w:type="dxa"/>
          </w:tcPr>
          <w:p w14:paraId="654CAECF" w14:textId="77777777" w:rsidR="00415030" w:rsidRPr="008168C5" w:rsidRDefault="00415030" w:rsidP="00826BF3">
            <w:pPr>
              <w:spacing w:before="40" w:after="40"/>
              <w:rPr>
                <w:rFonts w:eastAsia="新細明體"/>
                <w:b/>
                <w:sz w:val="17"/>
                <w:szCs w:val="17"/>
                <w:lang w:eastAsia="en-GB"/>
              </w:rPr>
            </w:pPr>
            <w:r w:rsidRPr="008168C5">
              <w:rPr>
                <w:rFonts w:eastAsia="新細明體"/>
                <w:b/>
                <w:sz w:val="17"/>
                <w:szCs w:val="17"/>
                <w:lang w:eastAsia="en-GB"/>
              </w:rPr>
              <w:t>Corresponding BDR section:</w:t>
            </w:r>
          </w:p>
        </w:tc>
        <w:tc>
          <w:tcPr>
            <w:tcW w:w="7234" w:type="dxa"/>
          </w:tcPr>
          <w:p w14:paraId="49DB16FC" w14:textId="77777777" w:rsidR="00415030" w:rsidRPr="008168C5" w:rsidRDefault="00415030" w:rsidP="00826BF3">
            <w:pPr>
              <w:pStyle w:val="TableText"/>
              <w:jc w:val="both"/>
              <w:rPr>
                <w:szCs w:val="17"/>
                <w:lang w:eastAsia="en-GB"/>
              </w:rPr>
            </w:pPr>
            <w:r w:rsidRPr="008168C5">
              <w:rPr>
                <w:szCs w:val="17"/>
                <w:lang w:eastAsia="en-GB"/>
              </w:rPr>
              <w:t>16ZC</w:t>
            </w:r>
          </w:p>
        </w:tc>
      </w:tr>
    </w:tbl>
    <w:p w14:paraId="1075B559" w14:textId="77777777" w:rsidR="00415030" w:rsidRPr="008168C5" w:rsidRDefault="00415030" w:rsidP="002A0515">
      <w:pPr>
        <w:spacing w:before="120" w:after="120"/>
        <w:rPr>
          <w:sz w:val="22"/>
        </w:rPr>
      </w:pPr>
    </w:p>
    <w:tbl>
      <w:tblPr>
        <w:tblW w:w="9242" w:type="dxa"/>
        <w:tblInd w:w="-459"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ayout w:type="fixed"/>
        <w:tblLook w:val="00A0" w:firstRow="1" w:lastRow="0" w:firstColumn="1" w:lastColumn="0" w:noHBand="0" w:noVBand="0"/>
      </w:tblPr>
      <w:tblGrid>
        <w:gridCol w:w="567"/>
        <w:gridCol w:w="7458"/>
        <w:gridCol w:w="1217"/>
      </w:tblGrid>
      <w:tr w:rsidR="002A0515" w:rsidRPr="008168C5" w14:paraId="2CC1E423" w14:textId="77777777" w:rsidTr="00A54BE4">
        <w:trPr>
          <w:cantSplit/>
          <w:trHeight w:val="107"/>
          <w:tblHeader/>
        </w:trPr>
        <w:tc>
          <w:tcPr>
            <w:tcW w:w="567" w:type="dxa"/>
            <w:tcBorders>
              <w:top w:val="nil"/>
              <w:left w:val="nil"/>
              <w:bottom w:val="nil"/>
              <w:right w:val="nil"/>
            </w:tcBorders>
          </w:tcPr>
          <w:p w14:paraId="16C055C6" w14:textId="77777777" w:rsidR="002A0515" w:rsidRPr="008168C5" w:rsidRDefault="002A0515" w:rsidP="00A54BE4">
            <w:pPr>
              <w:pStyle w:val="TableText"/>
              <w:snapToGrid w:val="0"/>
              <w:ind w:leftChars="-54" w:left="-108"/>
              <w:rPr>
                <w:lang w:eastAsia="en-GB"/>
              </w:rPr>
            </w:pPr>
          </w:p>
        </w:tc>
        <w:tc>
          <w:tcPr>
            <w:tcW w:w="7458" w:type="dxa"/>
            <w:tcBorders>
              <w:top w:val="nil"/>
              <w:left w:val="nil"/>
              <w:bottom w:val="nil"/>
              <w:right w:val="single" w:sz="4" w:space="0" w:color="auto"/>
            </w:tcBorders>
            <w:vAlign w:val="center"/>
          </w:tcPr>
          <w:p w14:paraId="6BA7553C" w14:textId="77777777" w:rsidR="002A0515" w:rsidRPr="008168C5" w:rsidRDefault="002A0515" w:rsidP="00A54BE4">
            <w:pPr>
              <w:pStyle w:val="TableText"/>
              <w:snapToGrid w:val="0"/>
              <w:ind w:leftChars="-621" w:left="-1242"/>
              <w:rPr>
                <w:lang w:eastAsia="en-GB"/>
              </w:rPr>
            </w:pPr>
          </w:p>
        </w:tc>
        <w:tc>
          <w:tcPr>
            <w:tcW w:w="1217" w:type="dxa"/>
            <w:tcBorders>
              <w:top w:val="single" w:sz="4" w:space="0" w:color="auto"/>
              <w:left w:val="single" w:sz="4" w:space="0" w:color="auto"/>
              <w:bottom w:val="single" w:sz="4" w:space="0" w:color="auto"/>
              <w:right w:val="single" w:sz="4" w:space="0" w:color="auto"/>
            </w:tcBorders>
            <w:vAlign w:val="center"/>
          </w:tcPr>
          <w:p w14:paraId="0D7DC381" w14:textId="77777777" w:rsidR="002A0515" w:rsidRPr="008168C5" w:rsidRDefault="002A0515" w:rsidP="00A54BE4">
            <w:pPr>
              <w:pStyle w:val="TableText"/>
              <w:snapToGrid w:val="0"/>
              <w:jc w:val="center"/>
              <w:rPr>
                <w:bCs/>
                <w:szCs w:val="17"/>
                <w:lang w:eastAsia="it-IT"/>
              </w:rPr>
            </w:pPr>
            <w:r w:rsidRPr="008168C5">
              <w:rPr>
                <w:bCs/>
                <w:szCs w:val="17"/>
                <w:lang w:eastAsia="it-IT"/>
              </w:rPr>
              <w:t>(a)</w:t>
            </w:r>
          </w:p>
        </w:tc>
      </w:tr>
      <w:tr w:rsidR="002A0515" w:rsidRPr="008168C5" w14:paraId="120D7D59" w14:textId="77777777" w:rsidTr="00A54BE4">
        <w:trPr>
          <w:cantSplit/>
          <w:tblHeader/>
        </w:trPr>
        <w:tc>
          <w:tcPr>
            <w:tcW w:w="567" w:type="dxa"/>
            <w:tcBorders>
              <w:top w:val="nil"/>
              <w:left w:val="nil"/>
              <w:bottom w:val="single" w:sz="4" w:space="0" w:color="auto"/>
              <w:right w:val="nil"/>
            </w:tcBorders>
          </w:tcPr>
          <w:p w14:paraId="2559D601" w14:textId="77777777" w:rsidR="002A0515" w:rsidRPr="008168C5" w:rsidRDefault="002A0515" w:rsidP="00A54BE4">
            <w:pPr>
              <w:pStyle w:val="TableText"/>
              <w:snapToGrid w:val="0"/>
              <w:rPr>
                <w:lang w:eastAsia="en-GB"/>
              </w:rPr>
            </w:pPr>
          </w:p>
        </w:tc>
        <w:tc>
          <w:tcPr>
            <w:tcW w:w="7458" w:type="dxa"/>
            <w:tcBorders>
              <w:top w:val="nil"/>
              <w:left w:val="nil"/>
              <w:bottom w:val="single" w:sz="4" w:space="0" w:color="auto"/>
              <w:right w:val="single" w:sz="4" w:space="0" w:color="auto"/>
            </w:tcBorders>
            <w:vAlign w:val="center"/>
          </w:tcPr>
          <w:p w14:paraId="02739C30" w14:textId="77777777" w:rsidR="002A0515" w:rsidRPr="008168C5" w:rsidRDefault="002A0515" w:rsidP="00A54BE4">
            <w:pPr>
              <w:pStyle w:val="TableText"/>
              <w:snapToGrid w:val="0"/>
              <w:rPr>
                <w:lang w:eastAsia="en-GB"/>
              </w:rPr>
            </w:pPr>
          </w:p>
        </w:tc>
        <w:tc>
          <w:tcPr>
            <w:tcW w:w="1217" w:type="dxa"/>
            <w:tcBorders>
              <w:top w:val="single" w:sz="4" w:space="0" w:color="auto"/>
              <w:left w:val="single" w:sz="4" w:space="0" w:color="auto"/>
              <w:bottom w:val="single" w:sz="4" w:space="0" w:color="auto"/>
              <w:right w:val="single" w:sz="4" w:space="0" w:color="auto"/>
            </w:tcBorders>
            <w:vAlign w:val="center"/>
          </w:tcPr>
          <w:p w14:paraId="283B9D47" w14:textId="77777777" w:rsidR="002A0515" w:rsidRPr="008168C5" w:rsidRDefault="002A0515" w:rsidP="00A54BE4">
            <w:pPr>
              <w:pStyle w:val="TableText"/>
              <w:snapToGrid w:val="0"/>
              <w:jc w:val="center"/>
              <w:rPr>
                <w:b/>
                <w:bCs/>
                <w:szCs w:val="17"/>
                <w:lang w:eastAsia="it-IT"/>
              </w:rPr>
            </w:pPr>
            <w:r w:rsidRPr="008168C5">
              <w:rPr>
                <w:b/>
                <w:lang w:eastAsia="it-IT"/>
              </w:rPr>
              <w:t>Amount</w:t>
            </w:r>
          </w:p>
        </w:tc>
      </w:tr>
      <w:tr w:rsidR="002A0515" w:rsidRPr="008168C5" w14:paraId="62664373" w14:textId="77777777" w:rsidTr="00A54BE4">
        <w:trPr>
          <w:cantSplit/>
          <w:tblHeader/>
        </w:trPr>
        <w:tc>
          <w:tcPr>
            <w:tcW w:w="567" w:type="dxa"/>
            <w:tcBorders>
              <w:top w:val="single" w:sz="4" w:space="0" w:color="auto"/>
              <w:left w:val="nil"/>
              <w:right w:val="single" w:sz="4" w:space="0" w:color="auto"/>
            </w:tcBorders>
          </w:tcPr>
          <w:p w14:paraId="2A8E6D90" w14:textId="77777777" w:rsidR="002A0515" w:rsidRPr="008168C5" w:rsidRDefault="002A0515" w:rsidP="00A54BE4">
            <w:pPr>
              <w:pStyle w:val="TableText"/>
              <w:snapToGrid w:val="0"/>
              <w:rPr>
                <w:b/>
                <w:lang w:eastAsia="en-GB"/>
              </w:rPr>
            </w:pPr>
            <w:r w:rsidRPr="008168C5">
              <w:rPr>
                <w:b/>
                <w:lang w:eastAsia="en-GB"/>
              </w:rPr>
              <w:t>1</w:t>
            </w:r>
          </w:p>
        </w:tc>
        <w:tc>
          <w:tcPr>
            <w:tcW w:w="7458" w:type="dxa"/>
            <w:tcBorders>
              <w:top w:val="single" w:sz="4" w:space="0" w:color="auto"/>
              <w:left w:val="single" w:sz="4" w:space="0" w:color="auto"/>
              <w:right w:val="single" w:sz="4" w:space="0" w:color="auto"/>
            </w:tcBorders>
          </w:tcPr>
          <w:p w14:paraId="350E09ED" w14:textId="77777777" w:rsidR="002A0515" w:rsidRPr="008168C5" w:rsidRDefault="002A0515" w:rsidP="00A54BE4">
            <w:pPr>
              <w:pStyle w:val="TableText"/>
              <w:snapToGrid w:val="0"/>
              <w:rPr>
                <w:b/>
                <w:noProof/>
                <w:lang w:eastAsia="en-GB"/>
              </w:rPr>
            </w:pPr>
            <w:r w:rsidRPr="008168C5">
              <w:rPr>
                <w:b/>
                <w:lang w:eastAsia="en-GB"/>
              </w:rPr>
              <w:t>RWA as at end of previous reporting period</w:t>
            </w:r>
          </w:p>
        </w:tc>
        <w:tc>
          <w:tcPr>
            <w:tcW w:w="1217" w:type="dxa"/>
            <w:tcBorders>
              <w:top w:val="single" w:sz="4" w:space="0" w:color="auto"/>
              <w:left w:val="single" w:sz="4" w:space="0" w:color="auto"/>
              <w:right w:val="single" w:sz="4" w:space="0" w:color="auto"/>
            </w:tcBorders>
            <w:vAlign w:val="center"/>
          </w:tcPr>
          <w:p w14:paraId="769F900D" w14:textId="77777777" w:rsidR="002A0515" w:rsidRPr="008168C5" w:rsidRDefault="002A0515" w:rsidP="00A54BE4">
            <w:pPr>
              <w:pStyle w:val="TableText"/>
              <w:snapToGrid w:val="0"/>
              <w:rPr>
                <w:rFonts w:ascii="Arial" w:hAnsi="Arial"/>
                <w:bCs/>
                <w:lang w:eastAsia="en-GB"/>
              </w:rPr>
            </w:pPr>
          </w:p>
        </w:tc>
      </w:tr>
      <w:tr w:rsidR="002A0515" w:rsidRPr="008168C5" w14:paraId="5BDCD12C" w14:textId="77777777" w:rsidTr="00A54BE4">
        <w:trPr>
          <w:cantSplit/>
        </w:trPr>
        <w:tc>
          <w:tcPr>
            <w:tcW w:w="567" w:type="dxa"/>
            <w:tcBorders>
              <w:left w:val="nil"/>
              <w:right w:val="single" w:sz="4" w:space="0" w:color="auto"/>
            </w:tcBorders>
          </w:tcPr>
          <w:p w14:paraId="08366F05" w14:textId="77777777" w:rsidR="002A0515" w:rsidRPr="008168C5" w:rsidRDefault="002A0515" w:rsidP="00A54BE4">
            <w:pPr>
              <w:pStyle w:val="TableText"/>
              <w:snapToGrid w:val="0"/>
              <w:rPr>
                <w:lang w:eastAsia="en-GB"/>
              </w:rPr>
            </w:pPr>
            <w:r w:rsidRPr="008168C5">
              <w:rPr>
                <w:lang w:eastAsia="en-GB"/>
              </w:rPr>
              <w:t>2</w:t>
            </w:r>
          </w:p>
        </w:tc>
        <w:tc>
          <w:tcPr>
            <w:tcW w:w="7458" w:type="dxa"/>
            <w:tcBorders>
              <w:left w:val="single" w:sz="4" w:space="0" w:color="auto"/>
              <w:right w:val="single" w:sz="4" w:space="0" w:color="auto"/>
            </w:tcBorders>
          </w:tcPr>
          <w:p w14:paraId="2B4DB6EF" w14:textId="77777777" w:rsidR="002A0515" w:rsidRPr="008168C5" w:rsidRDefault="002A0515" w:rsidP="00A54BE4">
            <w:pPr>
              <w:pStyle w:val="TableText"/>
              <w:snapToGrid w:val="0"/>
              <w:rPr>
                <w:lang w:eastAsia="en-GB"/>
              </w:rPr>
            </w:pPr>
            <w:r w:rsidRPr="008168C5">
              <w:rPr>
                <w:lang w:eastAsia="en-GB"/>
              </w:rPr>
              <w:t>Asset size</w:t>
            </w:r>
          </w:p>
        </w:tc>
        <w:tc>
          <w:tcPr>
            <w:tcW w:w="1217" w:type="dxa"/>
            <w:tcBorders>
              <w:left w:val="single" w:sz="4" w:space="0" w:color="auto"/>
              <w:right w:val="single" w:sz="4" w:space="0" w:color="auto"/>
            </w:tcBorders>
          </w:tcPr>
          <w:p w14:paraId="5F6FB76E" w14:textId="77777777" w:rsidR="002A0515" w:rsidRPr="008168C5" w:rsidRDefault="002A0515" w:rsidP="00A54BE4">
            <w:pPr>
              <w:pStyle w:val="TableText"/>
              <w:snapToGrid w:val="0"/>
              <w:rPr>
                <w:lang w:eastAsia="en-GB"/>
              </w:rPr>
            </w:pPr>
          </w:p>
        </w:tc>
      </w:tr>
      <w:tr w:rsidR="002A0515" w:rsidRPr="008168C5" w14:paraId="50E175FB" w14:textId="77777777" w:rsidTr="00A54BE4">
        <w:trPr>
          <w:cantSplit/>
        </w:trPr>
        <w:tc>
          <w:tcPr>
            <w:tcW w:w="567" w:type="dxa"/>
            <w:tcBorders>
              <w:left w:val="nil"/>
              <w:right w:val="single" w:sz="4" w:space="0" w:color="auto"/>
            </w:tcBorders>
          </w:tcPr>
          <w:p w14:paraId="41517980" w14:textId="77777777" w:rsidR="002A0515" w:rsidRPr="008168C5" w:rsidRDefault="002A0515" w:rsidP="00A54BE4">
            <w:pPr>
              <w:pStyle w:val="TableText"/>
              <w:snapToGrid w:val="0"/>
              <w:rPr>
                <w:lang w:eastAsia="en-GB"/>
              </w:rPr>
            </w:pPr>
            <w:r w:rsidRPr="008168C5">
              <w:rPr>
                <w:lang w:eastAsia="en-GB"/>
              </w:rPr>
              <w:t>3</w:t>
            </w:r>
          </w:p>
        </w:tc>
        <w:tc>
          <w:tcPr>
            <w:tcW w:w="7458" w:type="dxa"/>
            <w:tcBorders>
              <w:left w:val="single" w:sz="4" w:space="0" w:color="auto"/>
              <w:right w:val="single" w:sz="4" w:space="0" w:color="auto"/>
            </w:tcBorders>
          </w:tcPr>
          <w:p w14:paraId="6DAEE848" w14:textId="77777777" w:rsidR="002A0515" w:rsidRPr="008168C5" w:rsidRDefault="002A0515" w:rsidP="00A54BE4">
            <w:pPr>
              <w:pStyle w:val="TableText"/>
              <w:snapToGrid w:val="0"/>
              <w:rPr>
                <w:lang w:eastAsia="en-GB"/>
              </w:rPr>
            </w:pPr>
            <w:r w:rsidRPr="008168C5">
              <w:rPr>
                <w:lang w:eastAsia="en-GB"/>
              </w:rPr>
              <w:t>Credit quality of counterparties</w:t>
            </w:r>
          </w:p>
        </w:tc>
        <w:tc>
          <w:tcPr>
            <w:tcW w:w="1217" w:type="dxa"/>
            <w:tcBorders>
              <w:left w:val="single" w:sz="4" w:space="0" w:color="auto"/>
              <w:right w:val="single" w:sz="4" w:space="0" w:color="auto"/>
            </w:tcBorders>
          </w:tcPr>
          <w:p w14:paraId="6A12089E" w14:textId="77777777" w:rsidR="002A0515" w:rsidRPr="008168C5" w:rsidRDefault="002A0515" w:rsidP="00A54BE4">
            <w:pPr>
              <w:pStyle w:val="TableText"/>
              <w:snapToGrid w:val="0"/>
              <w:rPr>
                <w:lang w:eastAsia="en-GB"/>
              </w:rPr>
            </w:pPr>
          </w:p>
        </w:tc>
      </w:tr>
      <w:tr w:rsidR="002A0515" w:rsidRPr="008168C5" w14:paraId="6ED04194" w14:textId="77777777" w:rsidTr="00A54BE4">
        <w:trPr>
          <w:cantSplit/>
        </w:trPr>
        <w:tc>
          <w:tcPr>
            <w:tcW w:w="567" w:type="dxa"/>
            <w:tcBorders>
              <w:left w:val="nil"/>
              <w:right w:val="single" w:sz="4" w:space="0" w:color="auto"/>
            </w:tcBorders>
          </w:tcPr>
          <w:p w14:paraId="7477FD31" w14:textId="77777777" w:rsidR="002A0515" w:rsidRPr="008168C5" w:rsidRDefault="002A0515" w:rsidP="00A54BE4">
            <w:pPr>
              <w:pStyle w:val="TableText"/>
              <w:snapToGrid w:val="0"/>
              <w:rPr>
                <w:lang w:eastAsia="en-GB"/>
              </w:rPr>
            </w:pPr>
            <w:r w:rsidRPr="008168C5">
              <w:rPr>
                <w:lang w:eastAsia="en-GB"/>
              </w:rPr>
              <w:t>4</w:t>
            </w:r>
          </w:p>
        </w:tc>
        <w:tc>
          <w:tcPr>
            <w:tcW w:w="7458" w:type="dxa"/>
            <w:tcBorders>
              <w:left w:val="single" w:sz="4" w:space="0" w:color="auto"/>
              <w:right w:val="single" w:sz="4" w:space="0" w:color="auto"/>
            </w:tcBorders>
          </w:tcPr>
          <w:p w14:paraId="3A3926EE" w14:textId="77777777" w:rsidR="002A0515" w:rsidRPr="008168C5" w:rsidRDefault="002A0515" w:rsidP="00A54BE4">
            <w:pPr>
              <w:pStyle w:val="TableText"/>
              <w:snapToGrid w:val="0"/>
              <w:rPr>
                <w:lang w:eastAsia="en-GB"/>
              </w:rPr>
            </w:pPr>
            <w:r w:rsidRPr="008168C5">
              <w:rPr>
                <w:lang w:eastAsia="en-GB"/>
              </w:rPr>
              <w:t>Model updates</w:t>
            </w:r>
          </w:p>
        </w:tc>
        <w:tc>
          <w:tcPr>
            <w:tcW w:w="1217" w:type="dxa"/>
            <w:tcBorders>
              <w:left w:val="single" w:sz="4" w:space="0" w:color="auto"/>
              <w:right w:val="single" w:sz="4" w:space="0" w:color="auto"/>
            </w:tcBorders>
          </w:tcPr>
          <w:p w14:paraId="3D97421E" w14:textId="77777777" w:rsidR="002A0515" w:rsidRPr="008168C5" w:rsidRDefault="002A0515" w:rsidP="00A54BE4">
            <w:pPr>
              <w:pStyle w:val="TableText"/>
              <w:snapToGrid w:val="0"/>
              <w:rPr>
                <w:lang w:eastAsia="en-GB"/>
              </w:rPr>
            </w:pPr>
          </w:p>
        </w:tc>
      </w:tr>
      <w:tr w:rsidR="002A0515" w:rsidRPr="008168C5" w14:paraId="5837A863" w14:textId="77777777" w:rsidTr="00A54BE4">
        <w:trPr>
          <w:cantSplit/>
        </w:trPr>
        <w:tc>
          <w:tcPr>
            <w:tcW w:w="567" w:type="dxa"/>
            <w:tcBorders>
              <w:left w:val="nil"/>
              <w:right w:val="single" w:sz="4" w:space="0" w:color="auto"/>
            </w:tcBorders>
          </w:tcPr>
          <w:p w14:paraId="4670ABF3" w14:textId="77777777" w:rsidR="002A0515" w:rsidRPr="008168C5" w:rsidRDefault="002A0515" w:rsidP="00A54BE4">
            <w:pPr>
              <w:pStyle w:val="TableText"/>
              <w:snapToGrid w:val="0"/>
              <w:rPr>
                <w:lang w:eastAsia="en-GB"/>
              </w:rPr>
            </w:pPr>
            <w:r w:rsidRPr="008168C5">
              <w:rPr>
                <w:lang w:eastAsia="en-GB"/>
              </w:rPr>
              <w:t>5</w:t>
            </w:r>
          </w:p>
        </w:tc>
        <w:tc>
          <w:tcPr>
            <w:tcW w:w="7458" w:type="dxa"/>
            <w:tcBorders>
              <w:left w:val="single" w:sz="4" w:space="0" w:color="auto"/>
              <w:right w:val="single" w:sz="4" w:space="0" w:color="auto"/>
            </w:tcBorders>
          </w:tcPr>
          <w:p w14:paraId="6B815361" w14:textId="77777777" w:rsidR="002A0515" w:rsidRPr="008168C5" w:rsidRDefault="002A0515" w:rsidP="00A54BE4">
            <w:pPr>
              <w:pStyle w:val="TableText"/>
              <w:snapToGrid w:val="0"/>
              <w:rPr>
                <w:lang w:eastAsia="en-GB"/>
              </w:rPr>
            </w:pPr>
            <w:r w:rsidRPr="008168C5">
              <w:rPr>
                <w:lang w:eastAsia="en-GB"/>
              </w:rPr>
              <w:t>Methodology and policy</w:t>
            </w:r>
          </w:p>
        </w:tc>
        <w:tc>
          <w:tcPr>
            <w:tcW w:w="1217" w:type="dxa"/>
            <w:tcBorders>
              <w:left w:val="single" w:sz="4" w:space="0" w:color="auto"/>
              <w:right w:val="single" w:sz="4" w:space="0" w:color="auto"/>
            </w:tcBorders>
          </w:tcPr>
          <w:p w14:paraId="5B68A2BA" w14:textId="77777777" w:rsidR="002A0515" w:rsidRPr="008168C5" w:rsidRDefault="002A0515" w:rsidP="00A54BE4">
            <w:pPr>
              <w:pStyle w:val="TableText"/>
              <w:snapToGrid w:val="0"/>
              <w:rPr>
                <w:lang w:eastAsia="en-GB"/>
              </w:rPr>
            </w:pPr>
          </w:p>
        </w:tc>
      </w:tr>
      <w:tr w:rsidR="002A0515" w:rsidRPr="008168C5" w14:paraId="3B8E75BD" w14:textId="77777777" w:rsidTr="00A54BE4">
        <w:trPr>
          <w:cantSplit/>
        </w:trPr>
        <w:tc>
          <w:tcPr>
            <w:tcW w:w="567" w:type="dxa"/>
            <w:tcBorders>
              <w:left w:val="nil"/>
              <w:right w:val="single" w:sz="4" w:space="0" w:color="auto"/>
            </w:tcBorders>
          </w:tcPr>
          <w:p w14:paraId="6A43D09A" w14:textId="77777777" w:rsidR="002A0515" w:rsidRPr="008168C5" w:rsidRDefault="002A0515" w:rsidP="00A54BE4">
            <w:pPr>
              <w:pStyle w:val="TableText"/>
              <w:snapToGrid w:val="0"/>
              <w:rPr>
                <w:lang w:eastAsia="en-GB"/>
              </w:rPr>
            </w:pPr>
            <w:r w:rsidRPr="008168C5">
              <w:rPr>
                <w:lang w:eastAsia="en-GB"/>
              </w:rPr>
              <w:t>6</w:t>
            </w:r>
          </w:p>
        </w:tc>
        <w:tc>
          <w:tcPr>
            <w:tcW w:w="7458" w:type="dxa"/>
            <w:tcBorders>
              <w:left w:val="single" w:sz="4" w:space="0" w:color="auto"/>
              <w:right w:val="single" w:sz="4" w:space="0" w:color="auto"/>
            </w:tcBorders>
          </w:tcPr>
          <w:p w14:paraId="46A6A0B3" w14:textId="77777777" w:rsidR="002A0515" w:rsidRPr="008168C5" w:rsidRDefault="002A0515" w:rsidP="00A54BE4">
            <w:pPr>
              <w:pStyle w:val="TableText"/>
              <w:snapToGrid w:val="0"/>
              <w:rPr>
                <w:lang w:eastAsia="en-GB"/>
              </w:rPr>
            </w:pPr>
            <w:r w:rsidRPr="008168C5">
              <w:rPr>
                <w:lang w:eastAsia="en-GB"/>
              </w:rPr>
              <w:t>Acquisitions and disposals</w:t>
            </w:r>
          </w:p>
        </w:tc>
        <w:tc>
          <w:tcPr>
            <w:tcW w:w="1217" w:type="dxa"/>
            <w:tcBorders>
              <w:left w:val="single" w:sz="4" w:space="0" w:color="auto"/>
              <w:right w:val="single" w:sz="4" w:space="0" w:color="auto"/>
            </w:tcBorders>
          </w:tcPr>
          <w:p w14:paraId="016FDD6E" w14:textId="77777777" w:rsidR="002A0515" w:rsidRPr="008168C5" w:rsidRDefault="002A0515" w:rsidP="00A54BE4">
            <w:pPr>
              <w:pStyle w:val="TableText"/>
              <w:snapToGrid w:val="0"/>
              <w:rPr>
                <w:lang w:eastAsia="en-GB"/>
              </w:rPr>
            </w:pPr>
          </w:p>
        </w:tc>
      </w:tr>
      <w:tr w:rsidR="002A0515" w:rsidRPr="008168C5" w14:paraId="5190B21F" w14:textId="77777777" w:rsidTr="00A54BE4">
        <w:trPr>
          <w:cantSplit/>
        </w:trPr>
        <w:tc>
          <w:tcPr>
            <w:tcW w:w="567" w:type="dxa"/>
            <w:tcBorders>
              <w:left w:val="nil"/>
              <w:right w:val="single" w:sz="4" w:space="0" w:color="auto"/>
            </w:tcBorders>
          </w:tcPr>
          <w:p w14:paraId="6347B704" w14:textId="77777777" w:rsidR="002A0515" w:rsidRPr="008168C5" w:rsidRDefault="002A0515" w:rsidP="00A54BE4">
            <w:pPr>
              <w:pStyle w:val="TableText"/>
              <w:snapToGrid w:val="0"/>
              <w:rPr>
                <w:lang w:eastAsia="en-GB"/>
              </w:rPr>
            </w:pPr>
            <w:r w:rsidRPr="008168C5">
              <w:rPr>
                <w:lang w:eastAsia="en-GB"/>
              </w:rPr>
              <w:t>7</w:t>
            </w:r>
          </w:p>
        </w:tc>
        <w:tc>
          <w:tcPr>
            <w:tcW w:w="7458" w:type="dxa"/>
            <w:tcBorders>
              <w:left w:val="single" w:sz="4" w:space="0" w:color="auto"/>
              <w:right w:val="single" w:sz="4" w:space="0" w:color="auto"/>
            </w:tcBorders>
          </w:tcPr>
          <w:p w14:paraId="5144F436" w14:textId="77777777" w:rsidR="002A0515" w:rsidRPr="008168C5" w:rsidRDefault="002A0515" w:rsidP="00A54BE4">
            <w:pPr>
              <w:pStyle w:val="TableText"/>
              <w:snapToGrid w:val="0"/>
              <w:rPr>
                <w:lang w:eastAsia="en-GB"/>
              </w:rPr>
            </w:pPr>
            <w:r w:rsidRPr="008168C5">
              <w:rPr>
                <w:lang w:eastAsia="en-GB"/>
              </w:rPr>
              <w:t>Foreign exchange movements</w:t>
            </w:r>
          </w:p>
        </w:tc>
        <w:tc>
          <w:tcPr>
            <w:tcW w:w="1217" w:type="dxa"/>
            <w:tcBorders>
              <w:left w:val="single" w:sz="4" w:space="0" w:color="auto"/>
              <w:right w:val="single" w:sz="4" w:space="0" w:color="auto"/>
            </w:tcBorders>
          </w:tcPr>
          <w:p w14:paraId="5D599AB3" w14:textId="77777777" w:rsidR="002A0515" w:rsidRPr="008168C5" w:rsidRDefault="002A0515" w:rsidP="00A54BE4">
            <w:pPr>
              <w:pStyle w:val="TableText"/>
              <w:snapToGrid w:val="0"/>
              <w:rPr>
                <w:lang w:eastAsia="en-GB"/>
              </w:rPr>
            </w:pPr>
          </w:p>
        </w:tc>
      </w:tr>
      <w:tr w:rsidR="002A0515" w:rsidRPr="008168C5" w14:paraId="298989C6" w14:textId="77777777" w:rsidTr="00A54BE4">
        <w:trPr>
          <w:cantSplit/>
        </w:trPr>
        <w:tc>
          <w:tcPr>
            <w:tcW w:w="567" w:type="dxa"/>
            <w:tcBorders>
              <w:left w:val="nil"/>
              <w:right w:val="single" w:sz="4" w:space="0" w:color="auto"/>
            </w:tcBorders>
          </w:tcPr>
          <w:p w14:paraId="370E3B16" w14:textId="77777777" w:rsidR="002A0515" w:rsidRPr="008168C5" w:rsidRDefault="002A0515" w:rsidP="00A54BE4">
            <w:pPr>
              <w:pStyle w:val="TableText"/>
              <w:snapToGrid w:val="0"/>
              <w:rPr>
                <w:lang w:eastAsia="en-GB"/>
              </w:rPr>
            </w:pPr>
            <w:r w:rsidRPr="008168C5">
              <w:rPr>
                <w:lang w:eastAsia="en-GB"/>
              </w:rPr>
              <w:t>8</w:t>
            </w:r>
          </w:p>
        </w:tc>
        <w:tc>
          <w:tcPr>
            <w:tcW w:w="7458" w:type="dxa"/>
            <w:tcBorders>
              <w:left w:val="single" w:sz="4" w:space="0" w:color="auto"/>
              <w:right w:val="single" w:sz="4" w:space="0" w:color="auto"/>
            </w:tcBorders>
          </w:tcPr>
          <w:p w14:paraId="37FD7D14" w14:textId="77777777" w:rsidR="002A0515" w:rsidRPr="008168C5" w:rsidRDefault="002A0515" w:rsidP="00A54BE4">
            <w:pPr>
              <w:pStyle w:val="TableText"/>
              <w:snapToGrid w:val="0"/>
              <w:rPr>
                <w:lang w:eastAsia="en-GB"/>
              </w:rPr>
            </w:pPr>
            <w:r w:rsidRPr="008168C5">
              <w:rPr>
                <w:lang w:eastAsia="en-GB"/>
              </w:rPr>
              <w:t>Other</w:t>
            </w:r>
          </w:p>
        </w:tc>
        <w:tc>
          <w:tcPr>
            <w:tcW w:w="1217" w:type="dxa"/>
            <w:tcBorders>
              <w:left w:val="single" w:sz="4" w:space="0" w:color="auto"/>
              <w:right w:val="single" w:sz="4" w:space="0" w:color="auto"/>
            </w:tcBorders>
          </w:tcPr>
          <w:p w14:paraId="12B44A0D" w14:textId="77777777" w:rsidR="002A0515" w:rsidRPr="008168C5" w:rsidRDefault="002A0515" w:rsidP="00A54BE4">
            <w:pPr>
              <w:pStyle w:val="TableText"/>
              <w:snapToGrid w:val="0"/>
              <w:rPr>
                <w:lang w:eastAsia="en-GB"/>
              </w:rPr>
            </w:pPr>
          </w:p>
        </w:tc>
      </w:tr>
      <w:tr w:rsidR="002A0515" w:rsidRPr="008168C5" w14:paraId="527AB015" w14:textId="77777777" w:rsidTr="00A54BE4">
        <w:trPr>
          <w:cantSplit/>
        </w:trPr>
        <w:tc>
          <w:tcPr>
            <w:tcW w:w="567" w:type="dxa"/>
            <w:tcBorders>
              <w:left w:val="nil"/>
              <w:bottom w:val="single" w:sz="4" w:space="0" w:color="auto"/>
              <w:right w:val="single" w:sz="4" w:space="0" w:color="auto"/>
            </w:tcBorders>
          </w:tcPr>
          <w:p w14:paraId="1C773B7C" w14:textId="77777777" w:rsidR="002A0515" w:rsidRPr="008168C5" w:rsidRDefault="002A0515" w:rsidP="00A54BE4">
            <w:pPr>
              <w:pStyle w:val="TableText"/>
              <w:snapToGrid w:val="0"/>
              <w:rPr>
                <w:b/>
                <w:lang w:eastAsia="en-GB"/>
              </w:rPr>
            </w:pPr>
            <w:r w:rsidRPr="008168C5">
              <w:rPr>
                <w:b/>
                <w:lang w:eastAsia="en-GB"/>
              </w:rPr>
              <w:t>9</w:t>
            </w:r>
          </w:p>
        </w:tc>
        <w:tc>
          <w:tcPr>
            <w:tcW w:w="7458" w:type="dxa"/>
            <w:tcBorders>
              <w:left w:val="single" w:sz="4" w:space="0" w:color="auto"/>
              <w:bottom w:val="single" w:sz="4" w:space="0" w:color="auto"/>
              <w:right w:val="single" w:sz="4" w:space="0" w:color="auto"/>
            </w:tcBorders>
          </w:tcPr>
          <w:p w14:paraId="2531D39F" w14:textId="77777777" w:rsidR="002A0515" w:rsidRPr="008168C5" w:rsidRDefault="002A0515" w:rsidP="00A54BE4">
            <w:pPr>
              <w:pStyle w:val="TableText"/>
              <w:snapToGrid w:val="0"/>
              <w:rPr>
                <w:b/>
                <w:noProof/>
                <w:lang w:eastAsia="en-GB"/>
              </w:rPr>
            </w:pPr>
            <w:r w:rsidRPr="008168C5">
              <w:rPr>
                <w:b/>
                <w:lang w:eastAsia="en-GB"/>
              </w:rPr>
              <w:t>RWA as at end of reporting period</w:t>
            </w:r>
          </w:p>
        </w:tc>
        <w:tc>
          <w:tcPr>
            <w:tcW w:w="1217" w:type="dxa"/>
            <w:tcBorders>
              <w:left w:val="single" w:sz="4" w:space="0" w:color="auto"/>
              <w:bottom w:val="single" w:sz="4" w:space="0" w:color="auto"/>
              <w:right w:val="single" w:sz="4" w:space="0" w:color="auto"/>
            </w:tcBorders>
          </w:tcPr>
          <w:p w14:paraId="039050DC" w14:textId="77777777" w:rsidR="002A0515" w:rsidRPr="008168C5" w:rsidRDefault="002A0515" w:rsidP="00A54BE4">
            <w:pPr>
              <w:pStyle w:val="TableText"/>
              <w:snapToGrid w:val="0"/>
              <w:rPr>
                <w:lang w:eastAsia="en-GB"/>
              </w:rPr>
            </w:pPr>
          </w:p>
        </w:tc>
      </w:tr>
    </w:tbl>
    <w:p w14:paraId="47C1FD41" w14:textId="77777777" w:rsidR="002A0515" w:rsidRPr="008168C5" w:rsidRDefault="002A0515" w:rsidP="002A0515">
      <w:pPr>
        <w:spacing w:before="120" w:after="120"/>
        <w:ind w:leftChars="-283" w:left="-566"/>
        <w:rPr>
          <w:sz w:val="22"/>
        </w:rPr>
      </w:pPr>
    </w:p>
    <w:tbl>
      <w:tblPr>
        <w:tblW w:w="924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74"/>
      </w:tblGrid>
      <w:tr w:rsidR="002A0515" w:rsidRPr="008168C5" w14:paraId="200945FA" w14:textId="77777777" w:rsidTr="00FB5F22">
        <w:trPr>
          <w:tblHeader/>
        </w:trPr>
        <w:tc>
          <w:tcPr>
            <w:tcW w:w="9241" w:type="dxa"/>
            <w:gridSpan w:val="2"/>
            <w:shd w:val="clear" w:color="auto" w:fill="BFBFBF"/>
          </w:tcPr>
          <w:p w14:paraId="781D8877" w14:textId="77777777" w:rsidR="002A0515" w:rsidRPr="008168C5" w:rsidRDefault="002A0515" w:rsidP="005D5D2E">
            <w:pPr>
              <w:widowControl w:val="0"/>
              <w:spacing w:before="40" w:after="40"/>
              <w:jc w:val="both"/>
              <w:rPr>
                <w:rFonts w:eastAsia="新細明體"/>
                <w:b/>
                <w:sz w:val="17"/>
                <w:szCs w:val="17"/>
                <w:lang w:eastAsia="en-GB"/>
              </w:rPr>
            </w:pPr>
            <w:r w:rsidRPr="008168C5">
              <w:rPr>
                <w:rFonts w:eastAsia="新細明體"/>
                <w:b/>
                <w:sz w:val="17"/>
                <w:szCs w:val="17"/>
                <w:lang w:eastAsia="en-GB"/>
              </w:rPr>
              <w:t>Explanatory Note</w:t>
            </w:r>
          </w:p>
        </w:tc>
      </w:tr>
      <w:tr w:rsidR="002A0515" w:rsidRPr="008168C5" w14:paraId="6B9FC36E" w14:textId="77777777" w:rsidTr="00FB5F22">
        <w:trPr>
          <w:trHeight w:val="153"/>
        </w:trPr>
        <w:tc>
          <w:tcPr>
            <w:tcW w:w="9241" w:type="dxa"/>
            <w:gridSpan w:val="2"/>
            <w:shd w:val="clear" w:color="auto" w:fill="F2F2F2"/>
          </w:tcPr>
          <w:p w14:paraId="1ECE4E55" w14:textId="77777777" w:rsidR="002A0515" w:rsidRPr="008168C5" w:rsidRDefault="002A0515" w:rsidP="005D5D2E">
            <w:pPr>
              <w:widowControl w:val="0"/>
              <w:spacing w:before="40" w:after="40"/>
              <w:jc w:val="both"/>
              <w:rPr>
                <w:rFonts w:eastAsia="新細明體"/>
                <w:b/>
                <w:sz w:val="17"/>
                <w:szCs w:val="17"/>
                <w:lang w:eastAsia="en-GB"/>
              </w:rPr>
            </w:pPr>
            <w:r w:rsidRPr="008168C5">
              <w:rPr>
                <w:rFonts w:eastAsia="新細明體"/>
                <w:b/>
                <w:sz w:val="17"/>
                <w:szCs w:val="17"/>
                <w:lang w:eastAsia="en-GB"/>
              </w:rPr>
              <w:t>Rows</w:t>
            </w:r>
          </w:p>
        </w:tc>
      </w:tr>
      <w:tr w:rsidR="002A0515" w:rsidRPr="008168C5" w14:paraId="03A6DB6B" w14:textId="77777777" w:rsidTr="00FB5F22">
        <w:tc>
          <w:tcPr>
            <w:tcW w:w="567" w:type="dxa"/>
          </w:tcPr>
          <w:p w14:paraId="6B1947C6" w14:textId="77777777" w:rsidR="002A0515" w:rsidRPr="008168C5" w:rsidRDefault="002A0515" w:rsidP="005D5D2E">
            <w:pPr>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t>1</w:t>
            </w:r>
          </w:p>
        </w:tc>
        <w:tc>
          <w:tcPr>
            <w:tcW w:w="8674" w:type="dxa"/>
          </w:tcPr>
          <w:p w14:paraId="43E357AA" w14:textId="77777777" w:rsidR="002A0515" w:rsidRPr="008168C5" w:rsidRDefault="002A0515" w:rsidP="005D5D2E">
            <w:pPr>
              <w:pStyle w:val="TableText"/>
              <w:keepNext/>
              <w:widowControl w:val="0"/>
              <w:jc w:val="both"/>
              <w:rPr>
                <w:szCs w:val="17"/>
              </w:rPr>
            </w:pPr>
            <w:r w:rsidRPr="008168C5">
              <w:rPr>
                <w:i/>
                <w:szCs w:val="17"/>
              </w:rPr>
              <w:t>RWA as at end of previous reporting period</w:t>
            </w:r>
            <w:r w:rsidRPr="008168C5">
              <w:rPr>
                <w:lang w:eastAsia="en-GB"/>
              </w:rPr>
              <w:t xml:space="preserve">: </w:t>
            </w:r>
            <w:r w:rsidRPr="008168C5">
              <w:rPr>
                <w:rFonts w:cs="Segoe UI"/>
                <w:szCs w:val="17"/>
              </w:rPr>
              <w:t>this row equals the value in [CCR7: 9/a] of the last reporting period, which is also equal to the value in [OV1: 8/b].</w:t>
            </w:r>
          </w:p>
        </w:tc>
      </w:tr>
      <w:tr w:rsidR="002A0515" w:rsidRPr="008168C5" w14:paraId="5AA238AE" w14:textId="77777777" w:rsidTr="00FB5F22">
        <w:trPr>
          <w:trHeight w:val="252"/>
        </w:trPr>
        <w:tc>
          <w:tcPr>
            <w:tcW w:w="567" w:type="dxa"/>
          </w:tcPr>
          <w:p w14:paraId="333C565D" w14:textId="77777777" w:rsidR="002A0515" w:rsidRPr="008168C5" w:rsidRDefault="002A0515" w:rsidP="005D5D2E">
            <w:pPr>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t>2</w:t>
            </w:r>
          </w:p>
        </w:tc>
        <w:tc>
          <w:tcPr>
            <w:tcW w:w="8674" w:type="dxa"/>
          </w:tcPr>
          <w:p w14:paraId="2CC9F3FF" w14:textId="77777777" w:rsidR="002A0515" w:rsidRPr="008168C5" w:rsidRDefault="002A0515" w:rsidP="005D5D2E">
            <w:pPr>
              <w:pStyle w:val="TableText"/>
              <w:keepNext/>
              <w:widowControl w:val="0"/>
              <w:jc w:val="both"/>
              <w:rPr>
                <w:szCs w:val="17"/>
              </w:rPr>
            </w:pPr>
            <w:r w:rsidRPr="008168C5">
              <w:rPr>
                <w:i/>
                <w:szCs w:val="17"/>
              </w:rPr>
              <w:t>Asset size</w:t>
            </w:r>
            <w:r w:rsidRPr="008168C5">
              <w:rPr>
                <w:szCs w:val="17"/>
              </w:rPr>
              <w:t xml:space="preserve">: the variation in RWA due to the organic changes in book size and composition (including </w:t>
            </w:r>
            <w:r w:rsidRPr="008168C5">
              <w:rPr>
                <w:rFonts w:eastAsia="MS Mincho"/>
                <w:szCs w:val="17"/>
                <w:lang w:eastAsia="ja-JP"/>
              </w:rPr>
              <w:t xml:space="preserve">origination of </w:t>
            </w:r>
            <w:r w:rsidRPr="008168C5">
              <w:rPr>
                <w:szCs w:val="17"/>
              </w:rPr>
              <w:lastRenderedPageBreak/>
              <w:t>new business</w:t>
            </w:r>
            <w:r w:rsidRPr="008168C5">
              <w:rPr>
                <w:rFonts w:eastAsia="MS Mincho"/>
                <w:szCs w:val="17"/>
                <w:lang w:eastAsia="ja-JP"/>
              </w:rPr>
              <w:t>es</w:t>
            </w:r>
            <w:r w:rsidRPr="008168C5">
              <w:rPr>
                <w:szCs w:val="17"/>
              </w:rPr>
              <w:t xml:space="preserve"> and maturing exposures</w:t>
            </w:r>
            <w:r w:rsidRPr="008168C5">
              <w:rPr>
                <w:rFonts w:eastAsia="MS Mincho"/>
                <w:szCs w:val="17"/>
                <w:lang w:eastAsia="ja-JP"/>
              </w:rPr>
              <w:t xml:space="preserve">) but excluding changes in book size due to acquisitions and disposal of </w:t>
            </w:r>
            <w:r w:rsidRPr="008168C5">
              <w:rPr>
                <w:rFonts w:cs="Segoe UI"/>
                <w:szCs w:val="17"/>
              </w:rPr>
              <w:t>entities</w:t>
            </w:r>
            <w:r w:rsidRPr="008168C5">
              <w:rPr>
                <w:rFonts w:eastAsia="MS Mincho"/>
                <w:szCs w:val="17"/>
                <w:lang w:eastAsia="ja-JP"/>
              </w:rPr>
              <w:t>.</w:t>
            </w:r>
          </w:p>
        </w:tc>
      </w:tr>
      <w:tr w:rsidR="002A0515" w:rsidRPr="008168C5" w14:paraId="75B97DA5" w14:textId="77777777" w:rsidTr="00FB5F22">
        <w:tc>
          <w:tcPr>
            <w:tcW w:w="567" w:type="dxa"/>
          </w:tcPr>
          <w:p w14:paraId="1C654A26" w14:textId="77777777" w:rsidR="002A0515" w:rsidRPr="008168C5" w:rsidRDefault="002A0515" w:rsidP="005D5D2E">
            <w:pPr>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lastRenderedPageBreak/>
              <w:t>3</w:t>
            </w:r>
          </w:p>
        </w:tc>
        <w:tc>
          <w:tcPr>
            <w:tcW w:w="8674" w:type="dxa"/>
          </w:tcPr>
          <w:p w14:paraId="74DA4C99" w14:textId="77777777" w:rsidR="002A0515" w:rsidRPr="008168C5" w:rsidRDefault="002A0515" w:rsidP="005D5D2E">
            <w:pPr>
              <w:pStyle w:val="TableText"/>
              <w:keepNext/>
              <w:widowControl w:val="0"/>
              <w:jc w:val="both"/>
              <w:rPr>
                <w:szCs w:val="17"/>
              </w:rPr>
            </w:pPr>
            <w:r w:rsidRPr="008168C5">
              <w:rPr>
                <w:i/>
                <w:szCs w:val="17"/>
              </w:rPr>
              <w:t>Credit quality of counterparties</w:t>
            </w:r>
            <w:r w:rsidRPr="008168C5">
              <w:rPr>
                <w:szCs w:val="17"/>
              </w:rPr>
              <w:t xml:space="preserve">: the variation in RWA due to the changes in the assessed credit quality of the AI’s counterparties, whatever credit risk calculation approach the AI uses.  This row also includes potential changes due to internal models used under the IRB approach. </w:t>
            </w:r>
          </w:p>
        </w:tc>
      </w:tr>
      <w:tr w:rsidR="002A0515" w:rsidRPr="008168C5" w14:paraId="6B1B7D70" w14:textId="77777777" w:rsidTr="00FB5F22">
        <w:tc>
          <w:tcPr>
            <w:tcW w:w="567" w:type="dxa"/>
          </w:tcPr>
          <w:p w14:paraId="68160AB7" w14:textId="77777777" w:rsidR="002A0515" w:rsidRPr="008168C5" w:rsidRDefault="002A0515" w:rsidP="005D5D2E">
            <w:pPr>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t>4</w:t>
            </w:r>
          </w:p>
        </w:tc>
        <w:tc>
          <w:tcPr>
            <w:tcW w:w="8674" w:type="dxa"/>
          </w:tcPr>
          <w:p w14:paraId="30A5FE5A" w14:textId="77777777" w:rsidR="002A0515" w:rsidRPr="008168C5" w:rsidRDefault="002A0515" w:rsidP="005D5D2E">
            <w:pPr>
              <w:pStyle w:val="TableText"/>
              <w:keepNext/>
              <w:widowControl w:val="0"/>
              <w:jc w:val="both"/>
              <w:rPr>
                <w:szCs w:val="17"/>
              </w:rPr>
            </w:pPr>
            <w:r w:rsidRPr="008168C5">
              <w:rPr>
                <w:i/>
                <w:szCs w:val="17"/>
              </w:rPr>
              <w:t>Model updates</w:t>
            </w:r>
            <w:r w:rsidRPr="008168C5">
              <w:rPr>
                <w:szCs w:val="17"/>
              </w:rPr>
              <w:t xml:space="preserve">: the variation in RWA arising from model implementation, changes in model scope, or any material changes intended to address model </w:t>
            </w:r>
            <w:r w:rsidRPr="008168C5">
              <w:rPr>
                <w:rFonts w:cs="Segoe UI"/>
                <w:szCs w:val="17"/>
              </w:rPr>
              <w:t>weaknesses</w:t>
            </w:r>
            <w:r w:rsidRPr="008168C5">
              <w:rPr>
                <w:szCs w:val="17"/>
              </w:rPr>
              <w:t>, in respect of the model used for the IMM(CCR) approach.</w:t>
            </w:r>
          </w:p>
        </w:tc>
      </w:tr>
      <w:tr w:rsidR="002A0515" w:rsidRPr="008168C5" w14:paraId="183A2E00" w14:textId="77777777" w:rsidTr="00FB5F22">
        <w:tc>
          <w:tcPr>
            <w:tcW w:w="567" w:type="dxa"/>
          </w:tcPr>
          <w:p w14:paraId="18A81B1D" w14:textId="77777777" w:rsidR="002A0515" w:rsidRPr="008168C5" w:rsidRDefault="002A0515" w:rsidP="005D5D2E">
            <w:pPr>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t>5</w:t>
            </w:r>
          </w:p>
        </w:tc>
        <w:tc>
          <w:tcPr>
            <w:tcW w:w="8674" w:type="dxa"/>
          </w:tcPr>
          <w:p w14:paraId="0424F0E5" w14:textId="77777777" w:rsidR="002A0515" w:rsidRPr="008168C5" w:rsidRDefault="002A0515" w:rsidP="005D5D2E">
            <w:pPr>
              <w:pStyle w:val="TableText"/>
              <w:keepNext/>
              <w:widowControl w:val="0"/>
              <w:jc w:val="both"/>
              <w:rPr>
                <w:szCs w:val="17"/>
              </w:rPr>
            </w:pPr>
            <w:r w:rsidRPr="008168C5">
              <w:rPr>
                <w:i/>
                <w:szCs w:val="17"/>
              </w:rPr>
              <w:t>Methodology and policy</w:t>
            </w:r>
            <w:r w:rsidRPr="008168C5">
              <w:rPr>
                <w:szCs w:val="17"/>
              </w:rPr>
              <w:t xml:space="preserve">: the variation in RWA due to methodological changes in calculations driven by regulatory policy changes, such as new regulations, in </w:t>
            </w:r>
            <w:r w:rsidRPr="008168C5">
              <w:rPr>
                <w:rFonts w:cs="Segoe UI"/>
                <w:szCs w:val="17"/>
              </w:rPr>
              <w:t>respect</w:t>
            </w:r>
            <w:r w:rsidRPr="008168C5">
              <w:rPr>
                <w:szCs w:val="17"/>
              </w:rPr>
              <w:t xml:space="preserve"> of the use of the IMM(CCR) approach.</w:t>
            </w:r>
          </w:p>
        </w:tc>
      </w:tr>
      <w:tr w:rsidR="002A0515" w:rsidRPr="008168C5" w14:paraId="0FDEF8E6" w14:textId="77777777" w:rsidTr="00FB5F22">
        <w:tc>
          <w:tcPr>
            <w:tcW w:w="567" w:type="dxa"/>
          </w:tcPr>
          <w:p w14:paraId="0B03814E" w14:textId="77777777" w:rsidR="002A0515" w:rsidRPr="008168C5" w:rsidRDefault="002A0515" w:rsidP="005D5D2E">
            <w:pPr>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t>6</w:t>
            </w:r>
          </w:p>
        </w:tc>
        <w:tc>
          <w:tcPr>
            <w:tcW w:w="8674" w:type="dxa"/>
          </w:tcPr>
          <w:p w14:paraId="208455DE" w14:textId="77777777" w:rsidR="002A0515" w:rsidRPr="008168C5" w:rsidRDefault="002A0515" w:rsidP="005D5D2E">
            <w:pPr>
              <w:pStyle w:val="TableText"/>
              <w:keepNext/>
              <w:widowControl w:val="0"/>
              <w:jc w:val="both"/>
              <w:rPr>
                <w:szCs w:val="17"/>
              </w:rPr>
            </w:pPr>
            <w:r w:rsidRPr="008168C5">
              <w:rPr>
                <w:i/>
                <w:szCs w:val="17"/>
              </w:rPr>
              <w:t>Acquisitions and disposals</w:t>
            </w:r>
            <w:r w:rsidRPr="008168C5">
              <w:rPr>
                <w:szCs w:val="17"/>
              </w:rPr>
              <w:t xml:space="preserve">: the variation in RWA arising from changes in book </w:t>
            </w:r>
            <w:r w:rsidRPr="008168C5">
              <w:rPr>
                <w:rFonts w:cs="Segoe UI"/>
                <w:szCs w:val="17"/>
              </w:rPr>
              <w:t>sizes</w:t>
            </w:r>
            <w:r w:rsidRPr="008168C5">
              <w:rPr>
                <w:szCs w:val="17"/>
              </w:rPr>
              <w:t xml:space="preserve"> due to acquisitions and disposal of entities.</w:t>
            </w:r>
          </w:p>
        </w:tc>
      </w:tr>
      <w:tr w:rsidR="002A0515" w:rsidRPr="008168C5" w14:paraId="2AED4F46" w14:textId="77777777" w:rsidTr="00FB5F22">
        <w:trPr>
          <w:trHeight w:val="309"/>
        </w:trPr>
        <w:tc>
          <w:tcPr>
            <w:tcW w:w="567" w:type="dxa"/>
          </w:tcPr>
          <w:p w14:paraId="77FF3B76" w14:textId="77777777" w:rsidR="002A0515" w:rsidRPr="008168C5" w:rsidRDefault="002A0515" w:rsidP="005D5D2E">
            <w:pPr>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t>7</w:t>
            </w:r>
          </w:p>
        </w:tc>
        <w:tc>
          <w:tcPr>
            <w:tcW w:w="8674" w:type="dxa"/>
          </w:tcPr>
          <w:p w14:paraId="159908A5" w14:textId="77777777" w:rsidR="002A0515" w:rsidRPr="008168C5" w:rsidRDefault="002A0515" w:rsidP="005D5D2E">
            <w:pPr>
              <w:pStyle w:val="TableText"/>
              <w:keepNext/>
              <w:widowControl w:val="0"/>
              <w:jc w:val="both"/>
              <w:rPr>
                <w:szCs w:val="17"/>
              </w:rPr>
            </w:pPr>
            <w:r w:rsidRPr="008168C5">
              <w:rPr>
                <w:i/>
                <w:szCs w:val="17"/>
              </w:rPr>
              <w:t>Foreign exchange movements</w:t>
            </w:r>
            <w:r w:rsidRPr="008168C5">
              <w:rPr>
                <w:szCs w:val="17"/>
              </w:rPr>
              <w:t xml:space="preserve">: the variation in RWA driven by foreign exchange rate </w:t>
            </w:r>
            <w:r w:rsidRPr="008168C5">
              <w:rPr>
                <w:rFonts w:cs="Segoe UI"/>
                <w:szCs w:val="17"/>
              </w:rPr>
              <w:t>movements</w:t>
            </w:r>
            <w:r w:rsidRPr="008168C5">
              <w:rPr>
                <w:szCs w:val="17"/>
              </w:rPr>
              <w:t>.</w:t>
            </w:r>
          </w:p>
        </w:tc>
      </w:tr>
      <w:tr w:rsidR="002A0515" w:rsidRPr="008168C5" w14:paraId="744ACE23" w14:textId="77777777" w:rsidTr="00FB5F22">
        <w:trPr>
          <w:trHeight w:val="373"/>
        </w:trPr>
        <w:tc>
          <w:tcPr>
            <w:tcW w:w="567" w:type="dxa"/>
          </w:tcPr>
          <w:p w14:paraId="6D070625" w14:textId="77777777" w:rsidR="002A0515" w:rsidRPr="008168C5" w:rsidRDefault="002A0515" w:rsidP="005D5D2E">
            <w:pPr>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t>8</w:t>
            </w:r>
          </w:p>
        </w:tc>
        <w:tc>
          <w:tcPr>
            <w:tcW w:w="8674" w:type="dxa"/>
          </w:tcPr>
          <w:p w14:paraId="4183B1DA" w14:textId="77777777" w:rsidR="002A0515" w:rsidRPr="008168C5" w:rsidRDefault="002A0515" w:rsidP="005D5D2E">
            <w:pPr>
              <w:pStyle w:val="TableText"/>
              <w:keepNext/>
              <w:widowControl w:val="0"/>
              <w:jc w:val="both"/>
              <w:rPr>
                <w:szCs w:val="17"/>
              </w:rPr>
            </w:pPr>
            <w:r w:rsidRPr="008168C5">
              <w:rPr>
                <w:i/>
                <w:szCs w:val="17"/>
              </w:rPr>
              <w:t>Other</w:t>
            </w:r>
            <w:r w:rsidRPr="008168C5">
              <w:rPr>
                <w:szCs w:val="17"/>
              </w:rPr>
              <w:t xml:space="preserve">: this category captures changes in RWA that cannot be attributed to any category above.  An AI should add additional rows between rows 7 and 8 (to be named 7a, 7b and so on) to disclose any other material drivers of RWA movements </w:t>
            </w:r>
            <w:r w:rsidRPr="008168C5">
              <w:rPr>
                <w:rFonts w:cs="Segoe UI"/>
                <w:szCs w:val="17"/>
              </w:rPr>
              <w:t>in</w:t>
            </w:r>
            <w:r w:rsidRPr="008168C5">
              <w:rPr>
                <w:szCs w:val="17"/>
              </w:rPr>
              <w:t xml:space="preserve"> the current reporting period.</w:t>
            </w:r>
          </w:p>
        </w:tc>
      </w:tr>
      <w:tr w:rsidR="002A0515" w:rsidRPr="008168C5" w14:paraId="6DAAD30C" w14:textId="77777777" w:rsidTr="00FB5F22">
        <w:trPr>
          <w:trHeight w:val="373"/>
        </w:trPr>
        <w:tc>
          <w:tcPr>
            <w:tcW w:w="567" w:type="dxa"/>
          </w:tcPr>
          <w:p w14:paraId="74D2FBAA" w14:textId="77777777" w:rsidR="002A0515" w:rsidRPr="008168C5" w:rsidRDefault="002A0515" w:rsidP="005D5D2E">
            <w:pPr>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t>9</w:t>
            </w:r>
          </w:p>
        </w:tc>
        <w:tc>
          <w:tcPr>
            <w:tcW w:w="8674" w:type="dxa"/>
          </w:tcPr>
          <w:p w14:paraId="5D0D98C6" w14:textId="77777777" w:rsidR="002A0515" w:rsidRPr="008168C5" w:rsidRDefault="002A0515" w:rsidP="005D5D2E">
            <w:pPr>
              <w:pStyle w:val="TableText"/>
              <w:keepNext/>
              <w:widowControl w:val="0"/>
              <w:jc w:val="both"/>
              <w:rPr>
                <w:i/>
                <w:szCs w:val="17"/>
              </w:rPr>
            </w:pPr>
            <w:r w:rsidRPr="008168C5">
              <w:rPr>
                <w:i/>
                <w:szCs w:val="17"/>
              </w:rPr>
              <w:t>RWA as at end of reporting period</w:t>
            </w:r>
            <w:r w:rsidRPr="008168C5">
              <w:rPr>
                <w:szCs w:val="17"/>
                <w:lang w:eastAsia="en-GB"/>
              </w:rPr>
              <w:t xml:space="preserve">: </w:t>
            </w:r>
            <w:r w:rsidRPr="008168C5">
              <w:rPr>
                <w:rFonts w:cs="Segoe UI"/>
                <w:szCs w:val="17"/>
              </w:rPr>
              <w:t>the sum of rows 1 to 8 (including any additional row(s) inserted by the AI), which is also equal to the value in [OV1: 8/a] and the value in [CCR1:2/f].</w:t>
            </w:r>
          </w:p>
        </w:tc>
      </w:tr>
    </w:tbl>
    <w:p w14:paraId="441676A6" w14:textId="77777777" w:rsidR="002A0515" w:rsidRPr="008168C5" w:rsidRDefault="002A0515" w:rsidP="002A0515">
      <w:pPr>
        <w:rPr>
          <w:rFonts w:eastAsia="新細明體"/>
          <w:lang w:eastAsia="zh-TW"/>
        </w:rPr>
      </w:pPr>
    </w:p>
    <w:p w14:paraId="2CD291C7" w14:textId="77777777" w:rsidR="002A0515" w:rsidRPr="008168C5" w:rsidRDefault="002A0515" w:rsidP="002A0515">
      <w:pPr>
        <w:spacing w:before="40" w:after="40"/>
        <w:jc w:val="both"/>
        <w:rPr>
          <w:sz w:val="22"/>
        </w:rPr>
        <w:sectPr w:rsidR="002A0515" w:rsidRPr="008168C5">
          <w:footerReference w:type="default" r:id="rId63"/>
          <w:pgSz w:w="11906" w:h="16838" w:code="9"/>
          <w:pgMar w:top="1440" w:right="1797" w:bottom="1440" w:left="1797" w:header="851" w:footer="737" w:gutter="0"/>
          <w:cols w:space="425"/>
          <w:docGrid w:type="linesAndChars" w:linePitch="360"/>
        </w:sectPr>
      </w:pPr>
    </w:p>
    <w:p w14:paraId="26582E78" w14:textId="7FB48B5B" w:rsidR="002A0515" w:rsidRPr="008168C5" w:rsidRDefault="00DE219D" w:rsidP="003E7930">
      <w:pPr>
        <w:pStyle w:val="Heading2"/>
      </w:pPr>
      <w:r w:rsidRPr="008168C5">
        <w:lastRenderedPageBreak/>
        <w:t>Template CCR8: Exposures to CCPs</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DE219D" w:rsidRPr="008168C5" w14:paraId="1E1DC12D" w14:textId="77777777" w:rsidTr="006C63B0">
        <w:tc>
          <w:tcPr>
            <w:tcW w:w="2008" w:type="dxa"/>
          </w:tcPr>
          <w:p w14:paraId="383F86BD" w14:textId="77777777" w:rsidR="00DE219D" w:rsidRPr="008168C5" w:rsidRDefault="00DE219D" w:rsidP="006C63B0">
            <w:pPr>
              <w:spacing w:before="40" w:after="40"/>
              <w:rPr>
                <w:noProof/>
                <w:sz w:val="17"/>
                <w:lang w:eastAsia="en-GB"/>
              </w:rPr>
            </w:pPr>
            <w:r w:rsidRPr="008168C5">
              <w:rPr>
                <w:b/>
                <w:sz w:val="17"/>
                <w:lang w:eastAsia="en-GB"/>
              </w:rPr>
              <w:t>Purpose:</w:t>
            </w:r>
            <w:r w:rsidRPr="008168C5">
              <w:rPr>
                <w:sz w:val="17"/>
                <w:lang w:eastAsia="en-GB"/>
              </w:rPr>
              <w:t xml:space="preserve"> </w:t>
            </w:r>
          </w:p>
        </w:tc>
        <w:tc>
          <w:tcPr>
            <w:tcW w:w="7234" w:type="dxa"/>
          </w:tcPr>
          <w:p w14:paraId="7820D1CE" w14:textId="77777777" w:rsidR="00DE219D" w:rsidRPr="008168C5" w:rsidRDefault="00DE219D" w:rsidP="006C63B0">
            <w:pPr>
              <w:pStyle w:val="TableText"/>
              <w:jc w:val="both"/>
              <w:rPr>
                <w:lang w:eastAsia="en-GB"/>
              </w:rPr>
            </w:pPr>
            <w:r w:rsidRPr="008168C5">
              <w:rPr>
                <w:lang w:eastAsia="en-GB"/>
              </w:rPr>
              <w:t>To provide a comprehensive breakdown of exposures to both qualifying and non-qualifying CCPs and the respective RWAs, covering all types of credit risk exposures (including default risk exposures to the CCPs, credit risk exposures arising from initial margins posted, and default fund contributions made, to the CCPs).</w:t>
            </w:r>
          </w:p>
        </w:tc>
      </w:tr>
      <w:tr w:rsidR="00DE219D" w:rsidRPr="008168C5" w14:paraId="56BB6E53" w14:textId="77777777" w:rsidTr="006C63B0">
        <w:tc>
          <w:tcPr>
            <w:tcW w:w="2008" w:type="dxa"/>
          </w:tcPr>
          <w:p w14:paraId="7688A034" w14:textId="77777777" w:rsidR="00DE219D" w:rsidRPr="008168C5" w:rsidRDefault="00DE219D" w:rsidP="006C63B0">
            <w:pPr>
              <w:spacing w:before="40" w:after="40"/>
              <w:rPr>
                <w:b/>
                <w:sz w:val="17"/>
                <w:lang w:eastAsia="en-GB"/>
              </w:rPr>
            </w:pPr>
            <w:r w:rsidRPr="008168C5">
              <w:rPr>
                <w:b/>
                <w:sz w:val="17"/>
                <w:lang w:eastAsia="en-GB"/>
              </w:rPr>
              <w:t xml:space="preserve">Scope of application: </w:t>
            </w:r>
          </w:p>
        </w:tc>
        <w:tc>
          <w:tcPr>
            <w:tcW w:w="7234" w:type="dxa"/>
          </w:tcPr>
          <w:p w14:paraId="7276E851" w14:textId="77777777" w:rsidR="00DE219D" w:rsidRPr="008168C5" w:rsidRDefault="00DE219D" w:rsidP="006C63B0">
            <w:pPr>
              <w:spacing w:before="40" w:after="40"/>
              <w:jc w:val="both"/>
              <w:rPr>
                <w:rFonts w:eastAsia="新細明體"/>
                <w:b/>
                <w:sz w:val="17"/>
                <w:lang w:eastAsia="en-GB"/>
              </w:rPr>
            </w:pPr>
            <w:r w:rsidRPr="008168C5">
              <w:rPr>
                <w:rFonts w:eastAsia="新細明體"/>
                <w:sz w:val="17"/>
                <w:lang w:eastAsia="en-GB"/>
              </w:rPr>
              <w:t>The template is mandatory for all AIs</w:t>
            </w:r>
            <w:r w:rsidRPr="008168C5">
              <w:t xml:space="preserve"> </w:t>
            </w:r>
            <w:r w:rsidRPr="008168C5">
              <w:rPr>
                <w:rFonts w:eastAsia="新細明體"/>
                <w:sz w:val="17"/>
                <w:lang w:eastAsia="en-GB"/>
              </w:rPr>
              <w:t>incorporated in Hong Kong.</w:t>
            </w:r>
          </w:p>
        </w:tc>
      </w:tr>
      <w:tr w:rsidR="00DE219D" w:rsidRPr="008168C5" w14:paraId="1AA0CF16" w14:textId="77777777" w:rsidTr="006C63B0">
        <w:tc>
          <w:tcPr>
            <w:tcW w:w="2008" w:type="dxa"/>
          </w:tcPr>
          <w:p w14:paraId="6F844C94" w14:textId="77777777" w:rsidR="00DE219D" w:rsidRPr="008168C5" w:rsidRDefault="00DE219D" w:rsidP="006C63B0">
            <w:pPr>
              <w:spacing w:before="40" w:after="40"/>
              <w:rPr>
                <w:b/>
                <w:sz w:val="17"/>
                <w:lang w:eastAsia="en-GB"/>
              </w:rPr>
            </w:pPr>
            <w:r w:rsidRPr="008168C5">
              <w:rPr>
                <w:b/>
                <w:sz w:val="17"/>
                <w:lang w:eastAsia="en-GB"/>
              </w:rPr>
              <w:t xml:space="preserve">Content: </w:t>
            </w:r>
          </w:p>
        </w:tc>
        <w:tc>
          <w:tcPr>
            <w:tcW w:w="7234" w:type="dxa"/>
          </w:tcPr>
          <w:p w14:paraId="417AAF38" w14:textId="77777777" w:rsidR="00DE219D" w:rsidRPr="008168C5" w:rsidRDefault="00DE219D" w:rsidP="006C63B0">
            <w:pPr>
              <w:spacing w:before="40" w:after="40"/>
              <w:jc w:val="both"/>
              <w:rPr>
                <w:rFonts w:eastAsia="新細明體"/>
                <w:b/>
                <w:sz w:val="17"/>
                <w:lang w:eastAsia="en-GB"/>
              </w:rPr>
            </w:pPr>
            <w:r w:rsidRPr="008168C5">
              <w:rPr>
                <w:rFonts w:eastAsia="新細明體"/>
                <w:sz w:val="17"/>
                <w:lang w:eastAsia="en-GB"/>
              </w:rPr>
              <w:t>Exposures to CCPs after recognized CRM, and RWA corresponding to the exposures to CCPs.</w:t>
            </w:r>
          </w:p>
        </w:tc>
      </w:tr>
      <w:tr w:rsidR="00DE219D" w:rsidRPr="008168C5" w14:paraId="402243D7" w14:textId="77777777" w:rsidTr="006C63B0">
        <w:tc>
          <w:tcPr>
            <w:tcW w:w="2008" w:type="dxa"/>
          </w:tcPr>
          <w:p w14:paraId="26354D5E" w14:textId="77777777" w:rsidR="00DE219D" w:rsidRPr="008168C5" w:rsidRDefault="00DE219D" w:rsidP="006C63B0">
            <w:pPr>
              <w:spacing w:before="40" w:after="40"/>
              <w:rPr>
                <w:sz w:val="17"/>
                <w:lang w:eastAsia="en-GB"/>
              </w:rPr>
            </w:pPr>
            <w:r w:rsidRPr="008168C5">
              <w:rPr>
                <w:b/>
                <w:sz w:val="17"/>
                <w:lang w:eastAsia="en-GB"/>
              </w:rPr>
              <w:t>Frequency:</w:t>
            </w:r>
            <w:r w:rsidRPr="008168C5">
              <w:rPr>
                <w:sz w:val="17"/>
                <w:lang w:eastAsia="en-GB"/>
              </w:rPr>
              <w:t xml:space="preserve"> </w:t>
            </w:r>
          </w:p>
        </w:tc>
        <w:tc>
          <w:tcPr>
            <w:tcW w:w="7234" w:type="dxa"/>
          </w:tcPr>
          <w:p w14:paraId="65E5E8D6" w14:textId="2E9AC15E" w:rsidR="00DE219D" w:rsidRPr="008168C5" w:rsidRDefault="00AA66FD" w:rsidP="006C63B0">
            <w:pPr>
              <w:pStyle w:val="TableText"/>
              <w:tabs>
                <w:tab w:val="left" w:pos="4800"/>
              </w:tabs>
              <w:jc w:val="both"/>
              <w:rPr>
                <w:lang w:eastAsia="en-GB"/>
              </w:rPr>
            </w:pPr>
            <w:r>
              <w:rPr>
                <w:lang w:eastAsia="en-GB"/>
              </w:rPr>
              <w:t>Semi-annual.</w:t>
            </w:r>
          </w:p>
        </w:tc>
      </w:tr>
      <w:tr w:rsidR="00DE219D" w:rsidRPr="008168C5" w14:paraId="1AA3A1AA" w14:textId="77777777" w:rsidTr="006C63B0">
        <w:tc>
          <w:tcPr>
            <w:tcW w:w="2008" w:type="dxa"/>
          </w:tcPr>
          <w:p w14:paraId="7D9170BC" w14:textId="77777777" w:rsidR="00DE219D" w:rsidRPr="008168C5" w:rsidRDefault="00DE219D" w:rsidP="006C63B0">
            <w:pPr>
              <w:spacing w:before="40" w:after="40"/>
              <w:rPr>
                <w:sz w:val="17"/>
                <w:lang w:eastAsia="en-GB"/>
              </w:rPr>
            </w:pPr>
            <w:r w:rsidRPr="008168C5">
              <w:rPr>
                <w:b/>
                <w:sz w:val="17"/>
                <w:lang w:eastAsia="en-GB"/>
              </w:rPr>
              <w:t>Format:</w:t>
            </w:r>
            <w:r w:rsidRPr="008168C5">
              <w:rPr>
                <w:sz w:val="17"/>
                <w:lang w:eastAsia="en-GB"/>
              </w:rPr>
              <w:t xml:space="preserve"> </w:t>
            </w:r>
          </w:p>
        </w:tc>
        <w:tc>
          <w:tcPr>
            <w:tcW w:w="7234" w:type="dxa"/>
          </w:tcPr>
          <w:p w14:paraId="4F9ED023" w14:textId="77777777" w:rsidR="00DE219D" w:rsidRPr="008168C5" w:rsidRDefault="00DE219D" w:rsidP="006C63B0">
            <w:pPr>
              <w:pStyle w:val="TableText"/>
              <w:jc w:val="both"/>
              <w:rPr>
                <w:lang w:eastAsia="en-GB"/>
              </w:rPr>
            </w:pPr>
            <w:r w:rsidRPr="008168C5">
              <w:rPr>
                <w:lang w:eastAsia="en-GB"/>
              </w:rPr>
              <w:t>Fixed.  An AI should provide a breakdown of exposures to both qualifying and non-qualifying CCPs.</w:t>
            </w:r>
          </w:p>
        </w:tc>
      </w:tr>
      <w:tr w:rsidR="00DE219D" w:rsidRPr="008168C5" w14:paraId="1CABA3B9" w14:textId="77777777" w:rsidTr="006C63B0">
        <w:tc>
          <w:tcPr>
            <w:tcW w:w="2008" w:type="dxa"/>
          </w:tcPr>
          <w:p w14:paraId="127DAD29" w14:textId="77777777" w:rsidR="00DE219D" w:rsidRPr="008168C5" w:rsidRDefault="00DE219D" w:rsidP="006C63B0">
            <w:pPr>
              <w:spacing w:before="40" w:after="40"/>
              <w:rPr>
                <w:b/>
                <w:sz w:val="17"/>
                <w:lang w:eastAsia="en-GB"/>
              </w:rPr>
            </w:pPr>
            <w:r w:rsidRPr="008168C5">
              <w:rPr>
                <w:rFonts w:eastAsia="新細明體"/>
                <w:b/>
                <w:sz w:val="17"/>
                <w:szCs w:val="17"/>
                <w:lang w:eastAsia="en-GB"/>
              </w:rPr>
              <w:t>Accompanying narrative</w:t>
            </w:r>
            <w:r w:rsidRPr="008168C5">
              <w:rPr>
                <w:rFonts w:eastAsia="新細明體"/>
                <w:sz w:val="17"/>
                <w:szCs w:val="17"/>
                <w:lang w:eastAsia="en-GB"/>
              </w:rPr>
              <w:t>:</w:t>
            </w:r>
          </w:p>
        </w:tc>
        <w:tc>
          <w:tcPr>
            <w:tcW w:w="7234" w:type="dxa"/>
          </w:tcPr>
          <w:p w14:paraId="7A68AC6C" w14:textId="77777777" w:rsidR="00DE219D" w:rsidRPr="008168C5" w:rsidRDefault="00DE219D" w:rsidP="006C63B0">
            <w:pPr>
              <w:pStyle w:val="TableText"/>
              <w:jc w:val="both"/>
              <w:rPr>
                <w:noProof/>
                <w:lang w:eastAsia="en-GB"/>
              </w:rPr>
            </w:pPr>
            <w:r w:rsidRPr="008168C5">
              <w:rPr>
                <w:szCs w:val="17"/>
                <w:lang w:eastAsia="en-GB"/>
              </w:rPr>
              <w:t>An AI should supplement the template with a narrative commentary to explain any material movements in the current reporting period and the key drivers of such movements.</w:t>
            </w:r>
          </w:p>
        </w:tc>
      </w:tr>
      <w:tr w:rsidR="00DE219D" w:rsidRPr="008168C5" w14:paraId="3D12D00E" w14:textId="77777777" w:rsidTr="006C63B0">
        <w:tc>
          <w:tcPr>
            <w:tcW w:w="2008" w:type="dxa"/>
          </w:tcPr>
          <w:p w14:paraId="7FB4A6AD" w14:textId="77777777" w:rsidR="00DE219D" w:rsidRPr="008168C5" w:rsidRDefault="00DE219D" w:rsidP="006C63B0">
            <w:pPr>
              <w:spacing w:before="40" w:after="40"/>
              <w:rPr>
                <w:rFonts w:eastAsia="新細明體"/>
                <w:b/>
                <w:sz w:val="17"/>
                <w:szCs w:val="17"/>
                <w:lang w:eastAsia="en-GB"/>
              </w:rPr>
            </w:pPr>
            <w:r w:rsidRPr="008168C5">
              <w:rPr>
                <w:rFonts w:eastAsia="新細明體"/>
                <w:b/>
                <w:sz w:val="17"/>
                <w:szCs w:val="17"/>
                <w:lang w:eastAsia="en-GB"/>
              </w:rPr>
              <w:t>Corresponding BDR section:</w:t>
            </w:r>
          </w:p>
        </w:tc>
        <w:tc>
          <w:tcPr>
            <w:tcW w:w="7234" w:type="dxa"/>
          </w:tcPr>
          <w:p w14:paraId="506B3D13" w14:textId="77777777" w:rsidR="00DE219D" w:rsidRPr="008168C5" w:rsidRDefault="00DE219D" w:rsidP="006C63B0">
            <w:pPr>
              <w:pStyle w:val="TableText"/>
              <w:jc w:val="both"/>
              <w:rPr>
                <w:szCs w:val="17"/>
                <w:lang w:eastAsia="en-GB"/>
              </w:rPr>
            </w:pPr>
            <w:r w:rsidRPr="008168C5">
              <w:rPr>
                <w:szCs w:val="17"/>
                <w:lang w:eastAsia="en-GB"/>
              </w:rPr>
              <w:t>16ZD</w:t>
            </w:r>
          </w:p>
        </w:tc>
      </w:tr>
    </w:tbl>
    <w:p w14:paraId="07E74460" w14:textId="77777777" w:rsidR="00DE219D" w:rsidRPr="008168C5" w:rsidRDefault="00DE219D" w:rsidP="002A0515">
      <w:pPr>
        <w:spacing w:before="40" w:after="40"/>
        <w:rPr>
          <w:sz w:val="22"/>
        </w:rPr>
      </w:pPr>
    </w:p>
    <w:tbl>
      <w:tblPr>
        <w:tblW w:w="9229" w:type="dxa"/>
        <w:tblInd w:w="-45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33"/>
        <w:gridCol w:w="5379"/>
        <w:gridCol w:w="1708"/>
        <w:gridCol w:w="1709"/>
      </w:tblGrid>
      <w:tr w:rsidR="002A0515" w:rsidRPr="008168C5" w14:paraId="5EC43A42" w14:textId="77777777" w:rsidTr="00A54BE4">
        <w:trPr>
          <w:trHeight w:val="56"/>
          <w:tblHeader/>
        </w:trPr>
        <w:tc>
          <w:tcPr>
            <w:tcW w:w="433" w:type="dxa"/>
            <w:tcBorders>
              <w:top w:val="nil"/>
              <w:left w:val="nil"/>
              <w:bottom w:val="nil"/>
              <w:right w:val="nil"/>
            </w:tcBorders>
            <w:vAlign w:val="center"/>
          </w:tcPr>
          <w:p w14:paraId="1FFB7C99" w14:textId="77777777" w:rsidR="002A0515" w:rsidRPr="008168C5" w:rsidRDefault="002A0515" w:rsidP="00A54BE4">
            <w:pPr>
              <w:pStyle w:val="TableText"/>
              <w:snapToGrid w:val="0"/>
              <w:jc w:val="center"/>
              <w:rPr>
                <w:lang w:eastAsia="en-CA"/>
              </w:rPr>
            </w:pPr>
          </w:p>
        </w:tc>
        <w:tc>
          <w:tcPr>
            <w:tcW w:w="5379" w:type="dxa"/>
            <w:tcBorders>
              <w:top w:val="nil"/>
              <w:left w:val="nil"/>
              <w:bottom w:val="nil"/>
              <w:right w:val="single" w:sz="4" w:space="0" w:color="auto"/>
            </w:tcBorders>
            <w:noWrap/>
            <w:vAlign w:val="center"/>
          </w:tcPr>
          <w:p w14:paraId="0DE7CC9B" w14:textId="77777777" w:rsidR="002A0515" w:rsidRPr="008168C5" w:rsidRDefault="002A0515" w:rsidP="00A54BE4">
            <w:pPr>
              <w:pStyle w:val="TableText"/>
              <w:snapToGrid w:val="0"/>
              <w:jc w:val="center"/>
              <w:rPr>
                <w:lang w:eastAsia="en-CA"/>
              </w:rPr>
            </w:pPr>
          </w:p>
        </w:tc>
        <w:tc>
          <w:tcPr>
            <w:tcW w:w="1708" w:type="dxa"/>
            <w:tcBorders>
              <w:top w:val="single" w:sz="4" w:space="0" w:color="auto"/>
              <w:left w:val="single" w:sz="4" w:space="0" w:color="auto"/>
              <w:bottom w:val="single" w:sz="4" w:space="0" w:color="auto"/>
              <w:right w:val="single" w:sz="4" w:space="0" w:color="auto"/>
            </w:tcBorders>
            <w:vAlign w:val="center"/>
          </w:tcPr>
          <w:p w14:paraId="10A113AE" w14:textId="77777777" w:rsidR="002A0515" w:rsidRPr="008168C5" w:rsidRDefault="002A0515" w:rsidP="00A54BE4">
            <w:pPr>
              <w:pStyle w:val="TableText"/>
              <w:snapToGrid w:val="0"/>
              <w:jc w:val="center"/>
              <w:rPr>
                <w:bCs/>
                <w:lang w:eastAsia="en-CA"/>
              </w:rPr>
            </w:pPr>
            <w:r w:rsidRPr="008168C5">
              <w:rPr>
                <w:bCs/>
                <w:lang w:eastAsia="en-CA"/>
              </w:rPr>
              <w:t>(a)</w:t>
            </w:r>
          </w:p>
        </w:tc>
        <w:tc>
          <w:tcPr>
            <w:tcW w:w="1709" w:type="dxa"/>
            <w:tcBorders>
              <w:top w:val="single" w:sz="4" w:space="0" w:color="auto"/>
              <w:left w:val="single" w:sz="4" w:space="0" w:color="auto"/>
              <w:bottom w:val="single" w:sz="4" w:space="0" w:color="auto"/>
              <w:right w:val="single" w:sz="4" w:space="0" w:color="auto"/>
            </w:tcBorders>
            <w:vAlign w:val="center"/>
          </w:tcPr>
          <w:p w14:paraId="0E7CA4A0" w14:textId="77777777" w:rsidR="002A0515" w:rsidRPr="008168C5" w:rsidRDefault="002A0515" w:rsidP="00A54BE4">
            <w:pPr>
              <w:pStyle w:val="TableText"/>
              <w:snapToGrid w:val="0"/>
              <w:jc w:val="center"/>
              <w:rPr>
                <w:bCs/>
                <w:lang w:eastAsia="en-CA"/>
              </w:rPr>
            </w:pPr>
            <w:r w:rsidRPr="008168C5">
              <w:rPr>
                <w:bCs/>
                <w:lang w:eastAsia="en-CA"/>
              </w:rPr>
              <w:t>(b)</w:t>
            </w:r>
          </w:p>
        </w:tc>
      </w:tr>
      <w:tr w:rsidR="002A0515" w:rsidRPr="008168C5" w14:paraId="32C02BBF" w14:textId="77777777" w:rsidTr="00A54BE4">
        <w:trPr>
          <w:trHeight w:val="70"/>
          <w:tblHeader/>
        </w:trPr>
        <w:tc>
          <w:tcPr>
            <w:tcW w:w="433" w:type="dxa"/>
            <w:tcBorders>
              <w:top w:val="nil"/>
              <w:left w:val="nil"/>
              <w:bottom w:val="single" w:sz="4" w:space="0" w:color="auto"/>
              <w:right w:val="nil"/>
            </w:tcBorders>
            <w:vAlign w:val="center"/>
          </w:tcPr>
          <w:p w14:paraId="28FBCF4B" w14:textId="77777777" w:rsidR="002A0515" w:rsidRPr="008168C5" w:rsidRDefault="002A0515" w:rsidP="00A54BE4">
            <w:pPr>
              <w:pStyle w:val="TableText"/>
              <w:snapToGrid w:val="0"/>
              <w:jc w:val="center"/>
              <w:rPr>
                <w:lang w:eastAsia="en-CA"/>
              </w:rPr>
            </w:pPr>
          </w:p>
        </w:tc>
        <w:tc>
          <w:tcPr>
            <w:tcW w:w="5379" w:type="dxa"/>
            <w:tcBorders>
              <w:top w:val="nil"/>
              <w:left w:val="nil"/>
              <w:bottom w:val="single" w:sz="4" w:space="0" w:color="auto"/>
              <w:right w:val="single" w:sz="4" w:space="0" w:color="auto"/>
            </w:tcBorders>
            <w:noWrap/>
            <w:vAlign w:val="center"/>
          </w:tcPr>
          <w:p w14:paraId="5F4C3780" w14:textId="77777777" w:rsidR="002A0515" w:rsidRPr="008168C5" w:rsidRDefault="002A0515" w:rsidP="00A54BE4">
            <w:pPr>
              <w:pStyle w:val="TableText"/>
              <w:snapToGrid w:val="0"/>
              <w:jc w:val="center"/>
              <w:rPr>
                <w:lang w:eastAsia="en-CA"/>
              </w:rPr>
            </w:pPr>
          </w:p>
        </w:tc>
        <w:tc>
          <w:tcPr>
            <w:tcW w:w="1708" w:type="dxa"/>
            <w:tcBorders>
              <w:top w:val="single" w:sz="4" w:space="0" w:color="auto"/>
              <w:left w:val="single" w:sz="4" w:space="0" w:color="auto"/>
              <w:bottom w:val="single" w:sz="4" w:space="0" w:color="auto"/>
              <w:right w:val="single" w:sz="4" w:space="0" w:color="auto"/>
            </w:tcBorders>
            <w:vAlign w:val="center"/>
          </w:tcPr>
          <w:p w14:paraId="09FA1FBE" w14:textId="77777777" w:rsidR="002A0515" w:rsidRPr="008168C5" w:rsidRDefault="002A0515" w:rsidP="00A54BE4">
            <w:pPr>
              <w:pStyle w:val="TableText"/>
              <w:snapToGrid w:val="0"/>
              <w:jc w:val="center"/>
              <w:rPr>
                <w:bCs/>
                <w:noProof/>
                <w:lang w:eastAsia="en-CA"/>
              </w:rPr>
            </w:pPr>
            <w:r w:rsidRPr="008168C5">
              <w:rPr>
                <w:bCs/>
                <w:lang w:eastAsia="en-CA"/>
              </w:rPr>
              <w:t>Exposure after CRM</w:t>
            </w:r>
          </w:p>
        </w:tc>
        <w:tc>
          <w:tcPr>
            <w:tcW w:w="1709" w:type="dxa"/>
            <w:tcBorders>
              <w:top w:val="single" w:sz="4" w:space="0" w:color="auto"/>
              <w:left w:val="single" w:sz="4" w:space="0" w:color="auto"/>
              <w:bottom w:val="single" w:sz="4" w:space="0" w:color="auto"/>
              <w:right w:val="single" w:sz="4" w:space="0" w:color="auto"/>
            </w:tcBorders>
            <w:vAlign w:val="center"/>
          </w:tcPr>
          <w:p w14:paraId="5BA06143" w14:textId="77777777" w:rsidR="002A0515" w:rsidRPr="008168C5" w:rsidRDefault="002A0515" w:rsidP="00A54BE4">
            <w:pPr>
              <w:pStyle w:val="TableText"/>
              <w:snapToGrid w:val="0"/>
              <w:jc w:val="center"/>
              <w:rPr>
                <w:bCs/>
                <w:noProof/>
                <w:lang w:eastAsia="en-CA"/>
              </w:rPr>
            </w:pPr>
            <w:r w:rsidRPr="008168C5">
              <w:rPr>
                <w:bCs/>
                <w:lang w:eastAsia="en-CA"/>
              </w:rPr>
              <w:t>RWA</w:t>
            </w:r>
          </w:p>
        </w:tc>
      </w:tr>
      <w:tr w:rsidR="002A0515" w:rsidRPr="008168C5" w14:paraId="0D322E46" w14:textId="77777777" w:rsidTr="00A54BE4">
        <w:trPr>
          <w:trHeight w:val="315"/>
        </w:trPr>
        <w:tc>
          <w:tcPr>
            <w:tcW w:w="433" w:type="dxa"/>
            <w:tcBorders>
              <w:top w:val="single" w:sz="4" w:space="0" w:color="auto"/>
              <w:left w:val="nil"/>
              <w:bottom w:val="single" w:sz="4" w:space="0" w:color="BFBFBF"/>
              <w:right w:val="single" w:sz="4" w:space="0" w:color="auto"/>
            </w:tcBorders>
          </w:tcPr>
          <w:p w14:paraId="115B0127" w14:textId="77777777" w:rsidR="002A0515" w:rsidRPr="008168C5" w:rsidRDefault="002A0515" w:rsidP="00A54BE4">
            <w:pPr>
              <w:pStyle w:val="TableText"/>
              <w:snapToGrid w:val="0"/>
              <w:rPr>
                <w:b/>
                <w:bCs/>
                <w:lang w:eastAsia="en-CA"/>
              </w:rPr>
            </w:pPr>
            <w:r w:rsidRPr="008168C5">
              <w:rPr>
                <w:b/>
                <w:bCs/>
                <w:lang w:eastAsia="en-CA"/>
              </w:rPr>
              <w:t>1</w:t>
            </w:r>
          </w:p>
        </w:tc>
        <w:tc>
          <w:tcPr>
            <w:tcW w:w="5379" w:type="dxa"/>
            <w:tcBorders>
              <w:top w:val="single" w:sz="4" w:space="0" w:color="auto"/>
              <w:left w:val="single" w:sz="4" w:space="0" w:color="auto"/>
              <w:bottom w:val="single" w:sz="4" w:space="0" w:color="BFBFBF"/>
              <w:right w:val="single" w:sz="4" w:space="0" w:color="auto"/>
            </w:tcBorders>
          </w:tcPr>
          <w:p w14:paraId="6B47E292" w14:textId="77777777" w:rsidR="002A0515" w:rsidRPr="008168C5" w:rsidRDefault="002A0515" w:rsidP="00A54BE4">
            <w:pPr>
              <w:pStyle w:val="TableText"/>
              <w:snapToGrid w:val="0"/>
              <w:rPr>
                <w:b/>
                <w:bCs/>
                <w:lang w:eastAsia="en-CA"/>
              </w:rPr>
            </w:pPr>
            <w:r w:rsidRPr="008168C5">
              <w:rPr>
                <w:b/>
                <w:bCs/>
                <w:lang w:eastAsia="en-CA"/>
              </w:rPr>
              <w:t>Exposures of the AI as clearing member or clearing client</w:t>
            </w:r>
            <w:bookmarkStart w:id="12" w:name="_Ref48754812"/>
            <w:r w:rsidRPr="008168C5">
              <w:rPr>
                <w:rStyle w:val="FootnoteReference"/>
                <w:b/>
                <w:bCs/>
                <w:lang w:eastAsia="en-CA"/>
              </w:rPr>
              <w:footnoteReference w:id="14"/>
            </w:r>
            <w:bookmarkEnd w:id="12"/>
            <w:r w:rsidRPr="008168C5">
              <w:rPr>
                <w:b/>
                <w:bCs/>
                <w:lang w:eastAsia="en-CA"/>
              </w:rPr>
              <w:t xml:space="preserve"> to qualifying CCPs (total)</w:t>
            </w:r>
          </w:p>
        </w:tc>
        <w:tc>
          <w:tcPr>
            <w:tcW w:w="1708" w:type="dxa"/>
            <w:tcBorders>
              <w:top w:val="single" w:sz="4" w:space="0" w:color="auto"/>
              <w:left w:val="single" w:sz="4" w:space="0" w:color="auto"/>
              <w:right w:val="single" w:sz="4" w:space="0" w:color="auto"/>
            </w:tcBorders>
            <w:shd w:val="clear" w:color="auto" w:fill="D9D9D9"/>
            <w:noWrap/>
            <w:vAlign w:val="bottom"/>
          </w:tcPr>
          <w:p w14:paraId="3FCBFE17" w14:textId="77777777" w:rsidR="002A0515" w:rsidRPr="008168C5" w:rsidRDefault="002A0515" w:rsidP="00A54BE4">
            <w:pPr>
              <w:pStyle w:val="TableText"/>
              <w:snapToGrid w:val="0"/>
              <w:rPr>
                <w:lang w:eastAsia="en-CA"/>
              </w:rPr>
            </w:pPr>
            <w:r w:rsidRPr="008168C5">
              <w:rPr>
                <w:lang w:eastAsia="en-CA"/>
              </w:rPr>
              <w:t> </w:t>
            </w:r>
          </w:p>
        </w:tc>
        <w:tc>
          <w:tcPr>
            <w:tcW w:w="1709" w:type="dxa"/>
            <w:tcBorders>
              <w:top w:val="single" w:sz="4" w:space="0" w:color="auto"/>
              <w:left w:val="single" w:sz="4" w:space="0" w:color="auto"/>
              <w:bottom w:val="single" w:sz="4" w:space="0" w:color="BFBFBF"/>
              <w:right w:val="single" w:sz="4" w:space="0" w:color="auto"/>
            </w:tcBorders>
            <w:noWrap/>
            <w:vAlign w:val="bottom"/>
          </w:tcPr>
          <w:p w14:paraId="0FDF865C" w14:textId="77777777" w:rsidR="002A0515" w:rsidRPr="008168C5" w:rsidRDefault="002A0515" w:rsidP="00A54BE4">
            <w:pPr>
              <w:pStyle w:val="TableText"/>
              <w:snapToGrid w:val="0"/>
              <w:rPr>
                <w:lang w:eastAsia="en-CA"/>
              </w:rPr>
            </w:pPr>
            <w:r w:rsidRPr="008168C5">
              <w:rPr>
                <w:lang w:eastAsia="en-CA"/>
              </w:rPr>
              <w:t> </w:t>
            </w:r>
          </w:p>
        </w:tc>
      </w:tr>
      <w:tr w:rsidR="002A0515" w:rsidRPr="008168C5" w14:paraId="349C56BA" w14:textId="77777777" w:rsidTr="00A54BE4">
        <w:trPr>
          <w:trHeight w:val="409"/>
        </w:trPr>
        <w:tc>
          <w:tcPr>
            <w:tcW w:w="433" w:type="dxa"/>
            <w:tcBorders>
              <w:top w:val="single" w:sz="4" w:space="0" w:color="BFBFBF"/>
              <w:left w:val="nil"/>
              <w:right w:val="single" w:sz="4" w:space="0" w:color="auto"/>
            </w:tcBorders>
          </w:tcPr>
          <w:p w14:paraId="5925E568" w14:textId="77777777" w:rsidR="002A0515" w:rsidRPr="008168C5" w:rsidRDefault="002A0515" w:rsidP="00A54BE4">
            <w:pPr>
              <w:pStyle w:val="TableText"/>
              <w:snapToGrid w:val="0"/>
              <w:rPr>
                <w:lang w:eastAsia="en-CA"/>
              </w:rPr>
            </w:pPr>
            <w:r w:rsidRPr="008168C5">
              <w:rPr>
                <w:lang w:eastAsia="en-CA"/>
              </w:rPr>
              <w:t>2</w:t>
            </w:r>
          </w:p>
        </w:tc>
        <w:tc>
          <w:tcPr>
            <w:tcW w:w="5379" w:type="dxa"/>
            <w:tcBorders>
              <w:top w:val="single" w:sz="4" w:space="0" w:color="BFBFBF"/>
              <w:left w:val="single" w:sz="4" w:space="0" w:color="auto"/>
              <w:right w:val="single" w:sz="4" w:space="0" w:color="auto"/>
            </w:tcBorders>
          </w:tcPr>
          <w:p w14:paraId="1DDEA68B" w14:textId="77777777" w:rsidR="002A0515" w:rsidRPr="008168C5" w:rsidRDefault="002A0515" w:rsidP="00A54BE4">
            <w:pPr>
              <w:pStyle w:val="TableText"/>
              <w:snapToGrid w:val="0"/>
              <w:rPr>
                <w:lang w:eastAsia="en-CA"/>
              </w:rPr>
            </w:pPr>
            <w:r w:rsidRPr="008168C5">
              <w:rPr>
                <w:lang w:eastAsia="en-CA"/>
              </w:rPr>
              <w:t>Default risk exposures to qualifying CCPs (excluding items disclosed in rows 7 to 10), of which:</w:t>
            </w:r>
          </w:p>
        </w:tc>
        <w:tc>
          <w:tcPr>
            <w:tcW w:w="1708" w:type="dxa"/>
            <w:tcBorders>
              <w:left w:val="single" w:sz="4" w:space="0" w:color="auto"/>
              <w:right w:val="single" w:sz="4" w:space="0" w:color="auto"/>
            </w:tcBorders>
            <w:noWrap/>
            <w:vAlign w:val="bottom"/>
          </w:tcPr>
          <w:p w14:paraId="01A7DB39" w14:textId="77777777" w:rsidR="002A0515" w:rsidRPr="008168C5" w:rsidRDefault="002A0515" w:rsidP="00A54BE4">
            <w:pPr>
              <w:pStyle w:val="TableText"/>
              <w:snapToGrid w:val="0"/>
              <w:rPr>
                <w:lang w:eastAsia="en-CA"/>
              </w:rPr>
            </w:pPr>
            <w:r w:rsidRPr="008168C5">
              <w:rPr>
                <w:lang w:eastAsia="en-CA"/>
              </w:rPr>
              <w:t> </w:t>
            </w:r>
          </w:p>
        </w:tc>
        <w:tc>
          <w:tcPr>
            <w:tcW w:w="1709" w:type="dxa"/>
            <w:tcBorders>
              <w:top w:val="single" w:sz="4" w:space="0" w:color="BFBFBF"/>
              <w:left w:val="single" w:sz="4" w:space="0" w:color="auto"/>
              <w:right w:val="single" w:sz="4" w:space="0" w:color="auto"/>
            </w:tcBorders>
            <w:noWrap/>
            <w:vAlign w:val="bottom"/>
          </w:tcPr>
          <w:p w14:paraId="1F91BA14" w14:textId="77777777" w:rsidR="002A0515" w:rsidRPr="008168C5" w:rsidRDefault="002A0515" w:rsidP="00A54BE4">
            <w:pPr>
              <w:pStyle w:val="TableText"/>
              <w:snapToGrid w:val="0"/>
              <w:rPr>
                <w:lang w:eastAsia="en-CA"/>
              </w:rPr>
            </w:pPr>
            <w:r w:rsidRPr="008168C5">
              <w:rPr>
                <w:lang w:eastAsia="en-CA"/>
              </w:rPr>
              <w:t> </w:t>
            </w:r>
          </w:p>
        </w:tc>
      </w:tr>
      <w:tr w:rsidR="002A0515" w:rsidRPr="008168C5" w14:paraId="4A609C6D" w14:textId="77777777" w:rsidTr="00A54BE4">
        <w:trPr>
          <w:trHeight w:val="300"/>
        </w:trPr>
        <w:tc>
          <w:tcPr>
            <w:tcW w:w="433" w:type="dxa"/>
            <w:tcBorders>
              <w:left w:val="nil"/>
              <w:right w:val="single" w:sz="4" w:space="0" w:color="auto"/>
            </w:tcBorders>
          </w:tcPr>
          <w:p w14:paraId="6CB7EB28" w14:textId="77777777" w:rsidR="002A0515" w:rsidRPr="008168C5" w:rsidRDefault="002A0515" w:rsidP="00A54BE4">
            <w:pPr>
              <w:pStyle w:val="TableText"/>
              <w:snapToGrid w:val="0"/>
              <w:rPr>
                <w:lang w:eastAsia="en-CA"/>
              </w:rPr>
            </w:pPr>
            <w:r w:rsidRPr="008168C5">
              <w:rPr>
                <w:lang w:eastAsia="en-CA"/>
              </w:rPr>
              <w:t>3</w:t>
            </w:r>
          </w:p>
        </w:tc>
        <w:tc>
          <w:tcPr>
            <w:tcW w:w="5379" w:type="dxa"/>
            <w:tcBorders>
              <w:left w:val="single" w:sz="4" w:space="0" w:color="auto"/>
              <w:right w:val="single" w:sz="4" w:space="0" w:color="auto"/>
            </w:tcBorders>
          </w:tcPr>
          <w:p w14:paraId="66C54DF6" w14:textId="77777777" w:rsidR="002A0515" w:rsidRPr="008168C5" w:rsidRDefault="002A0515" w:rsidP="00A54BE4">
            <w:pPr>
              <w:pStyle w:val="TableText"/>
              <w:snapToGrid w:val="0"/>
              <w:rPr>
                <w:lang w:eastAsia="en-CA"/>
              </w:rPr>
            </w:pPr>
            <w:r w:rsidRPr="008168C5">
              <w:rPr>
                <w:lang w:eastAsia="en-CA"/>
              </w:rPr>
              <w:t>(i) OTC derivative transactions</w:t>
            </w:r>
          </w:p>
        </w:tc>
        <w:tc>
          <w:tcPr>
            <w:tcW w:w="1708" w:type="dxa"/>
            <w:tcBorders>
              <w:left w:val="single" w:sz="4" w:space="0" w:color="auto"/>
              <w:right w:val="single" w:sz="4" w:space="0" w:color="auto"/>
            </w:tcBorders>
            <w:noWrap/>
            <w:vAlign w:val="bottom"/>
          </w:tcPr>
          <w:p w14:paraId="3A4CB24E" w14:textId="77777777" w:rsidR="002A0515" w:rsidRPr="008168C5" w:rsidRDefault="002A0515" w:rsidP="00A54BE4">
            <w:pPr>
              <w:pStyle w:val="TableText"/>
              <w:snapToGrid w:val="0"/>
              <w:rPr>
                <w:lang w:eastAsia="en-CA"/>
              </w:rPr>
            </w:pPr>
            <w:r w:rsidRPr="008168C5">
              <w:rPr>
                <w:lang w:eastAsia="en-CA"/>
              </w:rPr>
              <w:t> </w:t>
            </w:r>
          </w:p>
        </w:tc>
        <w:tc>
          <w:tcPr>
            <w:tcW w:w="1709" w:type="dxa"/>
            <w:tcBorders>
              <w:left w:val="single" w:sz="4" w:space="0" w:color="auto"/>
              <w:right w:val="single" w:sz="4" w:space="0" w:color="auto"/>
            </w:tcBorders>
            <w:noWrap/>
            <w:vAlign w:val="bottom"/>
          </w:tcPr>
          <w:p w14:paraId="2B612F4E" w14:textId="77777777" w:rsidR="002A0515" w:rsidRPr="008168C5" w:rsidRDefault="002A0515" w:rsidP="00A54BE4">
            <w:pPr>
              <w:pStyle w:val="TableText"/>
              <w:snapToGrid w:val="0"/>
              <w:rPr>
                <w:lang w:eastAsia="en-CA"/>
              </w:rPr>
            </w:pPr>
            <w:r w:rsidRPr="008168C5">
              <w:rPr>
                <w:lang w:eastAsia="en-CA"/>
              </w:rPr>
              <w:t> </w:t>
            </w:r>
          </w:p>
        </w:tc>
      </w:tr>
      <w:tr w:rsidR="002A0515" w:rsidRPr="008168C5" w14:paraId="0818507F" w14:textId="77777777" w:rsidTr="00A54BE4">
        <w:trPr>
          <w:trHeight w:val="300"/>
        </w:trPr>
        <w:tc>
          <w:tcPr>
            <w:tcW w:w="433" w:type="dxa"/>
            <w:tcBorders>
              <w:left w:val="nil"/>
              <w:right w:val="single" w:sz="4" w:space="0" w:color="auto"/>
            </w:tcBorders>
          </w:tcPr>
          <w:p w14:paraId="775DDA4F" w14:textId="77777777" w:rsidR="002A0515" w:rsidRPr="008168C5" w:rsidRDefault="002A0515" w:rsidP="00A54BE4">
            <w:pPr>
              <w:pStyle w:val="TableText"/>
              <w:snapToGrid w:val="0"/>
              <w:rPr>
                <w:lang w:eastAsia="en-CA"/>
              </w:rPr>
            </w:pPr>
            <w:r w:rsidRPr="008168C5">
              <w:rPr>
                <w:lang w:eastAsia="en-CA"/>
              </w:rPr>
              <w:t>4</w:t>
            </w:r>
          </w:p>
        </w:tc>
        <w:tc>
          <w:tcPr>
            <w:tcW w:w="5379" w:type="dxa"/>
            <w:tcBorders>
              <w:left w:val="single" w:sz="4" w:space="0" w:color="auto"/>
              <w:right w:val="single" w:sz="4" w:space="0" w:color="auto"/>
            </w:tcBorders>
          </w:tcPr>
          <w:p w14:paraId="668D0B4C" w14:textId="77777777" w:rsidR="002A0515" w:rsidRPr="008168C5" w:rsidRDefault="002A0515" w:rsidP="00A54BE4">
            <w:pPr>
              <w:pStyle w:val="TableText"/>
              <w:snapToGrid w:val="0"/>
              <w:rPr>
                <w:lang w:eastAsia="en-CA"/>
              </w:rPr>
            </w:pPr>
            <w:r w:rsidRPr="008168C5">
              <w:rPr>
                <w:lang w:eastAsia="en-CA"/>
              </w:rPr>
              <w:t>(ii) Exchange-traded derivative contracts</w:t>
            </w:r>
          </w:p>
        </w:tc>
        <w:tc>
          <w:tcPr>
            <w:tcW w:w="1708" w:type="dxa"/>
            <w:tcBorders>
              <w:left w:val="single" w:sz="4" w:space="0" w:color="auto"/>
              <w:right w:val="single" w:sz="4" w:space="0" w:color="auto"/>
            </w:tcBorders>
            <w:noWrap/>
            <w:vAlign w:val="bottom"/>
          </w:tcPr>
          <w:p w14:paraId="4BF75387" w14:textId="77777777" w:rsidR="002A0515" w:rsidRPr="008168C5" w:rsidRDefault="002A0515" w:rsidP="00A54BE4">
            <w:pPr>
              <w:pStyle w:val="TableText"/>
              <w:snapToGrid w:val="0"/>
              <w:rPr>
                <w:lang w:eastAsia="en-CA"/>
              </w:rPr>
            </w:pPr>
            <w:r w:rsidRPr="008168C5">
              <w:rPr>
                <w:lang w:eastAsia="en-CA"/>
              </w:rPr>
              <w:t> </w:t>
            </w:r>
          </w:p>
        </w:tc>
        <w:tc>
          <w:tcPr>
            <w:tcW w:w="1709" w:type="dxa"/>
            <w:tcBorders>
              <w:left w:val="single" w:sz="4" w:space="0" w:color="auto"/>
              <w:right w:val="single" w:sz="4" w:space="0" w:color="auto"/>
            </w:tcBorders>
            <w:noWrap/>
            <w:vAlign w:val="bottom"/>
          </w:tcPr>
          <w:p w14:paraId="6A4C319D" w14:textId="77777777" w:rsidR="002A0515" w:rsidRPr="008168C5" w:rsidRDefault="002A0515" w:rsidP="00A54BE4">
            <w:pPr>
              <w:pStyle w:val="TableText"/>
              <w:snapToGrid w:val="0"/>
              <w:rPr>
                <w:lang w:eastAsia="en-CA"/>
              </w:rPr>
            </w:pPr>
            <w:r w:rsidRPr="008168C5">
              <w:rPr>
                <w:lang w:eastAsia="en-CA"/>
              </w:rPr>
              <w:t> </w:t>
            </w:r>
          </w:p>
        </w:tc>
      </w:tr>
      <w:tr w:rsidR="002A0515" w:rsidRPr="008168C5" w14:paraId="543BAC28" w14:textId="77777777" w:rsidTr="00A54BE4">
        <w:trPr>
          <w:trHeight w:val="300"/>
        </w:trPr>
        <w:tc>
          <w:tcPr>
            <w:tcW w:w="433" w:type="dxa"/>
            <w:tcBorders>
              <w:left w:val="nil"/>
              <w:right w:val="single" w:sz="4" w:space="0" w:color="auto"/>
            </w:tcBorders>
          </w:tcPr>
          <w:p w14:paraId="27D4C04D" w14:textId="77777777" w:rsidR="002A0515" w:rsidRPr="008168C5" w:rsidRDefault="002A0515" w:rsidP="00A54BE4">
            <w:pPr>
              <w:pStyle w:val="TableText"/>
              <w:snapToGrid w:val="0"/>
              <w:rPr>
                <w:lang w:eastAsia="en-CA"/>
              </w:rPr>
            </w:pPr>
            <w:r w:rsidRPr="008168C5">
              <w:rPr>
                <w:lang w:eastAsia="en-CA"/>
              </w:rPr>
              <w:t>5</w:t>
            </w:r>
          </w:p>
        </w:tc>
        <w:tc>
          <w:tcPr>
            <w:tcW w:w="5379" w:type="dxa"/>
            <w:tcBorders>
              <w:left w:val="single" w:sz="4" w:space="0" w:color="auto"/>
              <w:right w:val="single" w:sz="4" w:space="0" w:color="auto"/>
            </w:tcBorders>
          </w:tcPr>
          <w:p w14:paraId="27E20B3D" w14:textId="77777777" w:rsidR="002A0515" w:rsidRPr="008168C5" w:rsidRDefault="002A0515" w:rsidP="00A54BE4">
            <w:pPr>
              <w:pStyle w:val="TableText"/>
              <w:snapToGrid w:val="0"/>
              <w:rPr>
                <w:lang w:eastAsia="en-CA"/>
              </w:rPr>
            </w:pPr>
            <w:r w:rsidRPr="008168C5">
              <w:rPr>
                <w:lang w:eastAsia="en-CA"/>
              </w:rPr>
              <w:t>(iii) Securities financing transactions</w:t>
            </w:r>
          </w:p>
        </w:tc>
        <w:tc>
          <w:tcPr>
            <w:tcW w:w="1708" w:type="dxa"/>
            <w:tcBorders>
              <w:left w:val="single" w:sz="4" w:space="0" w:color="auto"/>
              <w:right w:val="single" w:sz="4" w:space="0" w:color="auto"/>
            </w:tcBorders>
            <w:noWrap/>
            <w:vAlign w:val="bottom"/>
          </w:tcPr>
          <w:p w14:paraId="25D5DEA8" w14:textId="77777777" w:rsidR="002A0515" w:rsidRPr="008168C5" w:rsidRDefault="002A0515" w:rsidP="00A54BE4">
            <w:pPr>
              <w:pStyle w:val="TableText"/>
              <w:snapToGrid w:val="0"/>
              <w:rPr>
                <w:lang w:eastAsia="en-CA"/>
              </w:rPr>
            </w:pPr>
            <w:r w:rsidRPr="008168C5">
              <w:rPr>
                <w:lang w:eastAsia="en-CA"/>
              </w:rPr>
              <w:t> </w:t>
            </w:r>
          </w:p>
        </w:tc>
        <w:tc>
          <w:tcPr>
            <w:tcW w:w="1709" w:type="dxa"/>
            <w:tcBorders>
              <w:left w:val="single" w:sz="4" w:space="0" w:color="auto"/>
              <w:right w:val="single" w:sz="4" w:space="0" w:color="auto"/>
            </w:tcBorders>
            <w:noWrap/>
            <w:vAlign w:val="bottom"/>
          </w:tcPr>
          <w:p w14:paraId="18CB8F0D" w14:textId="77777777" w:rsidR="002A0515" w:rsidRPr="008168C5" w:rsidRDefault="002A0515" w:rsidP="00A54BE4">
            <w:pPr>
              <w:pStyle w:val="TableText"/>
              <w:snapToGrid w:val="0"/>
              <w:rPr>
                <w:lang w:eastAsia="en-CA"/>
              </w:rPr>
            </w:pPr>
            <w:r w:rsidRPr="008168C5">
              <w:rPr>
                <w:lang w:eastAsia="en-CA"/>
              </w:rPr>
              <w:t> </w:t>
            </w:r>
          </w:p>
        </w:tc>
      </w:tr>
      <w:tr w:rsidR="002A0515" w:rsidRPr="008168C5" w14:paraId="3DC45C8D" w14:textId="77777777" w:rsidTr="00A54BE4">
        <w:trPr>
          <w:trHeight w:val="217"/>
        </w:trPr>
        <w:tc>
          <w:tcPr>
            <w:tcW w:w="433" w:type="dxa"/>
            <w:tcBorders>
              <w:left w:val="nil"/>
              <w:right w:val="single" w:sz="4" w:space="0" w:color="auto"/>
            </w:tcBorders>
          </w:tcPr>
          <w:p w14:paraId="10484A7C" w14:textId="77777777" w:rsidR="002A0515" w:rsidRPr="008168C5" w:rsidRDefault="002A0515" w:rsidP="00A54BE4">
            <w:pPr>
              <w:pStyle w:val="TableText"/>
              <w:snapToGrid w:val="0"/>
              <w:rPr>
                <w:lang w:eastAsia="en-CA"/>
              </w:rPr>
            </w:pPr>
            <w:r w:rsidRPr="008168C5">
              <w:rPr>
                <w:lang w:eastAsia="en-CA"/>
              </w:rPr>
              <w:t>6</w:t>
            </w:r>
          </w:p>
        </w:tc>
        <w:tc>
          <w:tcPr>
            <w:tcW w:w="5379" w:type="dxa"/>
            <w:tcBorders>
              <w:left w:val="single" w:sz="4" w:space="0" w:color="auto"/>
              <w:right w:val="single" w:sz="4" w:space="0" w:color="auto"/>
            </w:tcBorders>
          </w:tcPr>
          <w:p w14:paraId="405E2341" w14:textId="77777777" w:rsidR="002A0515" w:rsidRPr="008168C5" w:rsidRDefault="002A0515" w:rsidP="00A54BE4">
            <w:pPr>
              <w:pStyle w:val="TableText"/>
              <w:snapToGrid w:val="0"/>
              <w:rPr>
                <w:lang w:eastAsia="en-CA"/>
              </w:rPr>
            </w:pPr>
            <w:r w:rsidRPr="008168C5">
              <w:rPr>
                <w:lang w:eastAsia="en-CA"/>
              </w:rPr>
              <w:t>(iv) Netting sets subject to valid cross-product netting agreements</w:t>
            </w:r>
          </w:p>
        </w:tc>
        <w:tc>
          <w:tcPr>
            <w:tcW w:w="1708" w:type="dxa"/>
            <w:tcBorders>
              <w:left w:val="single" w:sz="4" w:space="0" w:color="auto"/>
              <w:right w:val="single" w:sz="4" w:space="0" w:color="auto"/>
            </w:tcBorders>
            <w:noWrap/>
            <w:vAlign w:val="bottom"/>
          </w:tcPr>
          <w:p w14:paraId="767B54E5" w14:textId="77777777" w:rsidR="002A0515" w:rsidRPr="008168C5" w:rsidRDefault="002A0515" w:rsidP="00A54BE4">
            <w:pPr>
              <w:pStyle w:val="TableText"/>
              <w:snapToGrid w:val="0"/>
              <w:rPr>
                <w:lang w:eastAsia="en-CA"/>
              </w:rPr>
            </w:pPr>
            <w:r w:rsidRPr="008168C5">
              <w:rPr>
                <w:lang w:eastAsia="en-CA"/>
              </w:rPr>
              <w:t> </w:t>
            </w:r>
          </w:p>
        </w:tc>
        <w:tc>
          <w:tcPr>
            <w:tcW w:w="1709" w:type="dxa"/>
            <w:tcBorders>
              <w:left w:val="single" w:sz="4" w:space="0" w:color="auto"/>
              <w:right w:val="single" w:sz="4" w:space="0" w:color="auto"/>
            </w:tcBorders>
            <w:noWrap/>
            <w:vAlign w:val="bottom"/>
          </w:tcPr>
          <w:p w14:paraId="7474BEB0" w14:textId="77777777" w:rsidR="002A0515" w:rsidRPr="008168C5" w:rsidRDefault="002A0515" w:rsidP="00A54BE4">
            <w:pPr>
              <w:pStyle w:val="TableText"/>
              <w:snapToGrid w:val="0"/>
              <w:rPr>
                <w:lang w:eastAsia="en-CA"/>
              </w:rPr>
            </w:pPr>
            <w:r w:rsidRPr="008168C5">
              <w:rPr>
                <w:lang w:eastAsia="en-CA"/>
              </w:rPr>
              <w:t> </w:t>
            </w:r>
          </w:p>
        </w:tc>
      </w:tr>
      <w:tr w:rsidR="002A0515" w:rsidRPr="008168C5" w14:paraId="2B2857AE" w14:textId="77777777" w:rsidTr="00A54BE4">
        <w:trPr>
          <w:trHeight w:val="300"/>
        </w:trPr>
        <w:tc>
          <w:tcPr>
            <w:tcW w:w="433" w:type="dxa"/>
            <w:tcBorders>
              <w:left w:val="nil"/>
              <w:right w:val="single" w:sz="4" w:space="0" w:color="auto"/>
            </w:tcBorders>
          </w:tcPr>
          <w:p w14:paraId="311F5561" w14:textId="77777777" w:rsidR="002A0515" w:rsidRPr="008168C5" w:rsidRDefault="002A0515" w:rsidP="00A54BE4">
            <w:pPr>
              <w:pStyle w:val="TableText"/>
              <w:snapToGrid w:val="0"/>
              <w:rPr>
                <w:lang w:eastAsia="en-CA"/>
              </w:rPr>
            </w:pPr>
            <w:r w:rsidRPr="008168C5">
              <w:rPr>
                <w:lang w:eastAsia="en-CA"/>
              </w:rPr>
              <w:t>7</w:t>
            </w:r>
          </w:p>
        </w:tc>
        <w:tc>
          <w:tcPr>
            <w:tcW w:w="5379" w:type="dxa"/>
            <w:tcBorders>
              <w:left w:val="single" w:sz="4" w:space="0" w:color="auto"/>
              <w:right w:val="single" w:sz="4" w:space="0" w:color="auto"/>
            </w:tcBorders>
          </w:tcPr>
          <w:p w14:paraId="1A1B4102" w14:textId="77777777" w:rsidR="002A0515" w:rsidRPr="008168C5" w:rsidRDefault="002A0515" w:rsidP="00A54BE4">
            <w:pPr>
              <w:pStyle w:val="TableText"/>
              <w:snapToGrid w:val="0"/>
              <w:rPr>
                <w:lang w:eastAsia="en-CA"/>
              </w:rPr>
            </w:pPr>
            <w:r w:rsidRPr="008168C5">
              <w:rPr>
                <w:lang w:eastAsia="en-CA"/>
              </w:rPr>
              <w:t>Segregated initial margin</w:t>
            </w:r>
          </w:p>
        </w:tc>
        <w:tc>
          <w:tcPr>
            <w:tcW w:w="1708" w:type="dxa"/>
            <w:tcBorders>
              <w:left w:val="single" w:sz="4" w:space="0" w:color="auto"/>
              <w:right w:val="single" w:sz="4" w:space="0" w:color="auto"/>
            </w:tcBorders>
            <w:noWrap/>
            <w:vAlign w:val="bottom"/>
          </w:tcPr>
          <w:p w14:paraId="2299AA3E" w14:textId="77777777" w:rsidR="002A0515" w:rsidRPr="008168C5" w:rsidRDefault="002A0515" w:rsidP="00A54BE4">
            <w:pPr>
              <w:pStyle w:val="TableText"/>
              <w:snapToGrid w:val="0"/>
              <w:rPr>
                <w:lang w:eastAsia="en-CA"/>
              </w:rPr>
            </w:pPr>
            <w:r w:rsidRPr="008168C5">
              <w:rPr>
                <w:lang w:eastAsia="en-CA"/>
              </w:rPr>
              <w:t> </w:t>
            </w:r>
          </w:p>
        </w:tc>
        <w:tc>
          <w:tcPr>
            <w:tcW w:w="1709" w:type="dxa"/>
            <w:tcBorders>
              <w:left w:val="single" w:sz="4" w:space="0" w:color="auto"/>
              <w:right w:val="single" w:sz="4" w:space="0" w:color="auto"/>
            </w:tcBorders>
            <w:shd w:val="clear" w:color="auto" w:fill="D9D9D9"/>
            <w:noWrap/>
            <w:vAlign w:val="bottom"/>
          </w:tcPr>
          <w:p w14:paraId="7C24CF0E" w14:textId="77777777" w:rsidR="002A0515" w:rsidRPr="008168C5" w:rsidRDefault="002A0515" w:rsidP="00A54BE4">
            <w:pPr>
              <w:pStyle w:val="TableText"/>
              <w:snapToGrid w:val="0"/>
              <w:rPr>
                <w:lang w:eastAsia="en-CA"/>
              </w:rPr>
            </w:pPr>
            <w:r w:rsidRPr="008168C5">
              <w:rPr>
                <w:lang w:eastAsia="en-CA"/>
              </w:rPr>
              <w:t> </w:t>
            </w:r>
          </w:p>
        </w:tc>
      </w:tr>
      <w:tr w:rsidR="002A0515" w:rsidRPr="008168C5" w14:paraId="11557EAA" w14:textId="77777777" w:rsidTr="00A54BE4">
        <w:trPr>
          <w:trHeight w:val="300"/>
        </w:trPr>
        <w:tc>
          <w:tcPr>
            <w:tcW w:w="433" w:type="dxa"/>
            <w:tcBorders>
              <w:left w:val="nil"/>
              <w:right w:val="single" w:sz="4" w:space="0" w:color="auto"/>
            </w:tcBorders>
          </w:tcPr>
          <w:p w14:paraId="45B870F9" w14:textId="77777777" w:rsidR="002A0515" w:rsidRPr="008168C5" w:rsidRDefault="002A0515" w:rsidP="00A54BE4">
            <w:pPr>
              <w:pStyle w:val="TableText"/>
              <w:snapToGrid w:val="0"/>
              <w:rPr>
                <w:lang w:eastAsia="en-CA"/>
              </w:rPr>
            </w:pPr>
            <w:r w:rsidRPr="008168C5">
              <w:rPr>
                <w:lang w:eastAsia="en-CA"/>
              </w:rPr>
              <w:t>8</w:t>
            </w:r>
          </w:p>
        </w:tc>
        <w:tc>
          <w:tcPr>
            <w:tcW w:w="5379" w:type="dxa"/>
            <w:tcBorders>
              <w:left w:val="single" w:sz="4" w:space="0" w:color="auto"/>
              <w:right w:val="single" w:sz="4" w:space="0" w:color="auto"/>
            </w:tcBorders>
          </w:tcPr>
          <w:p w14:paraId="4FD2D43A" w14:textId="77777777" w:rsidR="002A0515" w:rsidRPr="008168C5" w:rsidRDefault="002A0515" w:rsidP="00A54BE4">
            <w:pPr>
              <w:pStyle w:val="TableText"/>
              <w:snapToGrid w:val="0"/>
              <w:rPr>
                <w:lang w:eastAsia="en-CA"/>
              </w:rPr>
            </w:pPr>
            <w:r w:rsidRPr="008168C5">
              <w:rPr>
                <w:lang w:eastAsia="en-CA"/>
              </w:rPr>
              <w:t>Unsegregated initial margin</w:t>
            </w:r>
          </w:p>
        </w:tc>
        <w:tc>
          <w:tcPr>
            <w:tcW w:w="1708" w:type="dxa"/>
            <w:tcBorders>
              <w:left w:val="single" w:sz="4" w:space="0" w:color="auto"/>
              <w:right w:val="single" w:sz="4" w:space="0" w:color="auto"/>
            </w:tcBorders>
            <w:noWrap/>
            <w:vAlign w:val="bottom"/>
          </w:tcPr>
          <w:p w14:paraId="662491C1" w14:textId="77777777" w:rsidR="002A0515" w:rsidRPr="008168C5" w:rsidRDefault="002A0515" w:rsidP="00A54BE4">
            <w:pPr>
              <w:pStyle w:val="TableText"/>
              <w:snapToGrid w:val="0"/>
              <w:rPr>
                <w:lang w:eastAsia="en-CA"/>
              </w:rPr>
            </w:pPr>
            <w:r w:rsidRPr="008168C5">
              <w:rPr>
                <w:lang w:eastAsia="en-CA"/>
              </w:rPr>
              <w:t> </w:t>
            </w:r>
          </w:p>
        </w:tc>
        <w:tc>
          <w:tcPr>
            <w:tcW w:w="1709" w:type="dxa"/>
            <w:tcBorders>
              <w:left w:val="single" w:sz="4" w:space="0" w:color="auto"/>
              <w:right w:val="single" w:sz="4" w:space="0" w:color="auto"/>
            </w:tcBorders>
            <w:noWrap/>
            <w:vAlign w:val="bottom"/>
          </w:tcPr>
          <w:p w14:paraId="23F88D67" w14:textId="77777777" w:rsidR="002A0515" w:rsidRPr="008168C5" w:rsidRDefault="002A0515" w:rsidP="00A54BE4">
            <w:pPr>
              <w:pStyle w:val="TableText"/>
              <w:snapToGrid w:val="0"/>
              <w:rPr>
                <w:lang w:eastAsia="en-CA"/>
              </w:rPr>
            </w:pPr>
            <w:r w:rsidRPr="008168C5">
              <w:rPr>
                <w:lang w:eastAsia="en-CA"/>
              </w:rPr>
              <w:t> </w:t>
            </w:r>
          </w:p>
        </w:tc>
      </w:tr>
      <w:tr w:rsidR="002A0515" w:rsidRPr="008168C5" w14:paraId="6CDD7898" w14:textId="77777777" w:rsidTr="00A54BE4">
        <w:trPr>
          <w:trHeight w:val="300"/>
        </w:trPr>
        <w:tc>
          <w:tcPr>
            <w:tcW w:w="433" w:type="dxa"/>
            <w:tcBorders>
              <w:left w:val="nil"/>
              <w:right w:val="single" w:sz="4" w:space="0" w:color="auto"/>
            </w:tcBorders>
          </w:tcPr>
          <w:p w14:paraId="17E8F5DC" w14:textId="77777777" w:rsidR="002A0515" w:rsidRPr="008168C5" w:rsidRDefault="002A0515" w:rsidP="00A54BE4">
            <w:pPr>
              <w:pStyle w:val="TableText"/>
              <w:snapToGrid w:val="0"/>
              <w:rPr>
                <w:lang w:eastAsia="en-CA"/>
              </w:rPr>
            </w:pPr>
            <w:r w:rsidRPr="008168C5">
              <w:rPr>
                <w:lang w:eastAsia="en-CA"/>
              </w:rPr>
              <w:t>9</w:t>
            </w:r>
          </w:p>
        </w:tc>
        <w:tc>
          <w:tcPr>
            <w:tcW w:w="5379" w:type="dxa"/>
            <w:tcBorders>
              <w:left w:val="single" w:sz="4" w:space="0" w:color="auto"/>
              <w:right w:val="single" w:sz="4" w:space="0" w:color="auto"/>
            </w:tcBorders>
          </w:tcPr>
          <w:p w14:paraId="5F2CB1F1" w14:textId="77777777" w:rsidR="002A0515" w:rsidRPr="008168C5" w:rsidRDefault="002A0515" w:rsidP="00A54BE4">
            <w:pPr>
              <w:pStyle w:val="TableText"/>
              <w:snapToGrid w:val="0"/>
              <w:rPr>
                <w:lang w:eastAsia="en-CA"/>
              </w:rPr>
            </w:pPr>
            <w:r w:rsidRPr="008168C5">
              <w:rPr>
                <w:lang w:eastAsia="en-CA"/>
              </w:rPr>
              <w:t>Funded default fund contributions</w:t>
            </w:r>
          </w:p>
        </w:tc>
        <w:tc>
          <w:tcPr>
            <w:tcW w:w="1708" w:type="dxa"/>
            <w:tcBorders>
              <w:left w:val="single" w:sz="4" w:space="0" w:color="auto"/>
              <w:right w:val="single" w:sz="4" w:space="0" w:color="auto"/>
            </w:tcBorders>
            <w:noWrap/>
            <w:vAlign w:val="bottom"/>
          </w:tcPr>
          <w:p w14:paraId="50B34D28" w14:textId="77777777" w:rsidR="002A0515" w:rsidRPr="008168C5" w:rsidRDefault="002A0515" w:rsidP="00A54BE4">
            <w:pPr>
              <w:pStyle w:val="TableText"/>
              <w:snapToGrid w:val="0"/>
              <w:rPr>
                <w:lang w:eastAsia="en-CA"/>
              </w:rPr>
            </w:pPr>
            <w:r w:rsidRPr="008168C5">
              <w:rPr>
                <w:lang w:eastAsia="en-CA"/>
              </w:rPr>
              <w:t> </w:t>
            </w:r>
          </w:p>
        </w:tc>
        <w:tc>
          <w:tcPr>
            <w:tcW w:w="1709" w:type="dxa"/>
            <w:tcBorders>
              <w:left w:val="single" w:sz="4" w:space="0" w:color="auto"/>
              <w:right w:val="single" w:sz="4" w:space="0" w:color="auto"/>
            </w:tcBorders>
            <w:noWrap/>
            <w:vAlign w:val="bottom"/>
          </w:tcPr>
          <w:p w14:paraId="09A3D2DF" w14:textId="77777777" w:rsidR="002A0515" w:rsidRPr="008168C5" w:rsidRDefault="002A0515" w:rsidP="00A54BE4">
            <w:pPr>
              <w:pStyle w:val="TableText"/>
              <w:snapToGrid w:val="0"/>
              <w:rPr>
                <w:lang w:eastAsia="en-CA"/>
              </w:rPr>
            </w:pPr>
            <w:r w:rsidRPr="008168C5">
              <w:rPr>
                <w:lang w:eastAsia="en-CA"/>
              </w:rPr>
              <w:t> </w:t>
            </w:r>
          </w:p>
        </w:tc>
      </w:tr>
      <w:tr w:rsidR="002A0515" w:rsidRPr="008168C5" w14:paraId="5235FDD0" w14:textId="77777777" w:rsidTr="00A54BE4">
        <w:trPr>
          <w:trHeight w:val="300"/>
        </w:trPr>
        <w:tc>
          <w:tcPr>
            <w:tcW w:w="433" w:type="dxa"/>
            <w:tcBorders>
              <w:left w:val="nil"/>
              <w:bottom w:val="single" w:sz="4" w:space="0" w:color="auto"/>
              <w:right w:val="single" w:sz="4" w:space="0" w:color="auto"/>
            </w:tcBorders>
          </w:tcPr>
          <w:p w14:paraId="07685948" w14:textId="77777777" w:rsidR="002A0515" w:rsidRPr="008168C5" w:rsidRDefault="002A0515" w:rsidP="00A54BE4">
            <w:pPr>
              <w:pStyle w:val="TableText"/>
              <w:snapToGrid w:val="0"/>
              <w:rPr>
                <w:lang w:eastAsia="en-CA"/>
              </w:rPr>
            </w:pPr>
            <w:r w:rsidRPr="008168C5">
              <w:rPr>
                <w:lang w:eastAsia="en-CA"/>
              </w:rPr>
              <w:t>10</w:t>
            </w:r>
          </w:p>
        </w:tc>
        <w:tc>
          <w:tcPr>
            <w:tcW w:w="5379" w:type="dxa"/>
            <w:tcBorders>
              <w:left w:val="single" w:sz="4" w:space="0" w:color="auto"/>
              <w:bottom w:val="single" w:sz="4" w:space="0" w:color="auto"/>
              <w:right w:val="single" w:sz="4" w:space="0" w:color="auto"/>
            </w:tcBorders>
          </w:tcPr>
          <w:p w14:paraId="4935CE96" w14:textId="77777777" w:rsidR="002A0515" w:rsidRPr="008168C5" w:rsidRDefault="002A0515" w:rsidP="00A54BE4">
            <w:pPr>
              <w:pStyle w:val="TableText"/>
              <w:snapToGrid w:val="0"/>
              <w:rPr>
                <w:lang w:eastAsia="en-CA"/>
              </w:rPr>
            </w:pPr>
            <w:r w:rsidRPr="008168C5">
              <w:rPr>
                <w:lang w:eastAsia="en-CA"/>
              </w:rPr>
              <w:t>Unfunded default fund contributions</w:t>
            </w:r>
          </w:p>
        </w:tc>
        <w:tc>
          <w:tcPr>
            <w:tcW w:w="1708" w:type="dxa"/>
            <w:tcBorders>
              <w:left w:val="single" w:sz="4" w:space="0" w:color="auto"/>
              <w:bottom w:val="single" w:sz="4" w:space="0" w:color="auto"/>
              <w:right w:val="single" w:sz="4" w:space="0" w:color="auto"/>
            </w:tcBorders>
            <w:noWrap/>
            <w:vAlign w:val="bottom"/>
          </w:tcPr>
          <w:p w14:paraId="30432982" w14:textId="77777777" w:rsidR="002A0515" w:rsidRPr="008168C5" w:rsidRDefault="002A0515" w:rsidP="00A54BE4">
            <w:pPr>
              <w:pStyle w:val="TableText"/>
              <w:snapToGrid w:val="0"/>
              <w:rPr>
                <w:lang w:eastAsia="en-CA"/>
              </w:rPr>
            </w:pPr>
            <w:r w:rsidRPr="008168C5">
              <w:rPr>
                <w:lang w:eastAsia="en-CA"/>
              </w:rPr>
              <w:t> </w:t>
            </w:r>
          </w:p>
        </w:tc>
        <w:tc>
          <w:tcPr>
            <w:tcW w:w="1709" w:type="dxa"/>
            <w:tcBorders>
              <w:left w:val="single" w:sz="4" w:space="0" w:color="auto"/>
              <w:bottom w:val="single" w:sz="4" w:space="0" w:color="auto"/>
              <w:right w:val="single" w:sz="4" w:space="0" w:color="auto"/>
            </w:tcBorders>
            <w:noWrap/>
            <w:vAlign w:val="bottom"/>
          </w:tcPr>
          <w:p w14:paraId="1B9C31FA" w14:textId="77777777" w:rsidR="002A0515" w:rsidRPr="008168C5" w:rsidRDefault="002A0515" w:rsidP="00A54BE4">
            <w:pPr>
              <w:pStyle w:val="TableText"/>
              <w:snapToGrid w:val="0"/>
              <w:rPr>
                <w:lang w:eastAsia="en-CA"/>
              </w:rPr>
            </w:pPr>
            <w:r w:rsidRPr="008168C5">
              <w:rPr>
                <w:lang w:eastAsia="en-CA"/>
              </w:rPr>
              <w:t> </w:t>
            </w:r>
          </w:p>
        </w:tc>
      </w:tr>
      <w:tr w:rsidR="002A0515" w:rsidRPr="008168C5" w14:paraId="1756733A" w14:textId="77777777" w:rsidTr="00A54BE4">
        <w:trPr>
          <w:trHeight w:val="315"/>
        </w:trPr>
        <w:tc>
          <w:tcPr>
            <w:tcW w:w="433" w:type="dxa"/>
            <w:tcBorders>
              <w:top w:val="single" w:sz="4" w:space="0" w:color="auto"/>
              <w:left w:val="nil"/>
              <w:right w:val="single" w:sz="4" w:space="0" w:color="auto"/>
            </w:tcBorders>
          </w:tcPr>
          <w:p w14:paraId="7C570507" w14:textId="77777777" w:rsidR="002A0515" w:rsidRPr="008168C5" w:rsidRDefault="002A0515" w:rsidP="00A54BE4">
            <w:pPr>
              <w:pStyle w:val="TableText"/>
              <w:snapToGrid w:val="0"/>
              <w:rPr>
                <w:b/>
                <w:bCs/>
                <w:lang w:eastAsia="en-CA"/>
              </w:rPr>
            </w:pPr>
            <w:r w:rsidRPr="008168C5">
              <w:rPr>
                <w:b/>
                <w:bCs/>
                <w:lang w:eastAsia="en-CA"/>
              </w:rPr>
              <w:t>11</w:t>
            </w:r>
          </w:p>
        </w:tc>
        <w:tc>
          <w:tcPr>
            <w:tcW w:w="5379" w:type="dxa"/>
            <w:tcBorders>
              <w:top w:val="single" w:sz="4" w:space="0" w:color="auto"/>
              <w:left w:val="single" w:sz="4" w:space="0" w:color="auto"/>
              <w:right w:val="single" w:sz="4" w:space="0" w:color="auto"/>
            </w:tcBorders>
            <w:noWrap/>
          </w:tcPr>
          <w:p w14:paraId="3168D009" w14:textId="77777777" w:rsidR="002A0515" w:rsidRPr="008168C5" w:rsidRDefault="002A0515" w:rsidP="00A54BE4">
            <w:pPr>
              <w:pStyle w:val="TableText"/>
              <w:snapToGrid w:val="0"/>
              <w:rPr>
                <w:b/>
                <w:bCs/>
                <w:lang w:eastAsia="en-CA"/>
              </w:rPr>
            </w:pPr>
            <w:r w:rsidRPr="008168C5">
              <w:rPr>
                <w:b/>
                <w:bCs/>
                <w:lang w:eastAsia="en-CA"/>
              </w:rPr>
              <w:t>Exposures of the AI as clearing member or clearing client to non-qualifying CCPs (total)</w:t>
            </w:r>
          </w:p>
        </w:tc>
        <w:tc>
          <w:tcPr>
            <w:tcW w:w="1708" w:type="dxa"/>
            <w:tcBorders>
              <w:top w:val="single" w:sz="4" w:space="0" w:color="auto"/>
              <w:left w:val="single" w:sz="4" w:space="0" w:color="auto"/>
              <w:right w:val="single" w:sz="4" w:space="0" w:color="auto"/>
            </w:tcBorders>
            <w:shd w:val="clear" w:color="auto" w:fill="D9D9D9"/>
            <w:noWrap/>
            <w:vAlign w:val="bottom"/>
          </w:tcPr>
          <w:p w14:paraId="1D01B1BA" w14:textId="77777777" w:rsidR="002A0515" w:rsidRPr="008168C5" w:rsidRDefault="002A0515" w:rsidP="00A54BE4">
            <w:pPr>
              <w:pStyle w:val="TableText"/>
              <w:snapToGrid w:val="0"/>
              <w:rPr>
                <w:lang w:eastAsia="en-CA"/>
              </w:rPr>
            </w:pPr>
            <w:r w:rsidRPr="008168C5">
              <w:rPr>
                <w:lang w:eastAsia="en-CA"/>
              </w:rPr>
              <w:t> </w:t>
            </w:r>
          </w:p>
        </w:tc>
        <w:tc>
          <w:tcPr>
            <w:tcW w:w="1709" w:type="dxa"/>
            <w:tcBorders>
              <w:top w:val="single" w:sz="4" w:space="0" w:color="auto"/>
              <w:left w:val="single" w:sz="4" w:space="0" w:color="auto"/>
              <w:right w:val="single" w:sz="4" w:space="0" w:color="auto"/>
            </w:tcBorders>
            <w:noWrap/>
            <w:vAlign w:val="bottom"/>
          </w:tcPr>
          <w:p w14:paraId="650BF8D8" w14:textId="77777777" w:rsidR="002A0515" w:rsidRPr="008168C5" w:rsidRDefault="002A0515" w:rsidP="00A54BE4">
            <w:pPr>
              <w:pStyle w:val="TableText"/>
              <w:snapToGrid w:val="0"/>
              <w:rPr>
                <w:lang w:eastAsia="en-CA"/>
              </w:rPr>
            </w:pPr>
            <w:r w:rsidRPr="008168C5">
              <w:rPr>
                <w:lang w:eastAsia="en-CA"/>
              </w:rPr>
              <w:t> </w:t>
            </w:r>
          </w:p>
        </w:tc>
      </w:tr>
      <w:tr w:rsidR="002A0515" w:rsidRPr="008168C5" w14:paraId="4A161C8B" w14:textId="77777777" w:rsidTr="00A54BE4">
        <w:trPr>
          <w:trHeight w:val="347"/>
        </w:trPr>
        <w:tc>
          <w:tcPr>
            <w:tcW w:w="433" w:type="dxa"/>
            <w:tcBorders>
              <w:left w:val="nil"/>
              <w:right w:val="single" w:sz="4" w:space="0" w:color="auto"/>
            </w:tcBorders>
          </w:tcPr>
          <w:p w14:paraId="6A8F3C1A" w14:textId="77777777" w:rsidR="002A0515" w:rsidRPr="008168C5" w:rsidRDefault="002A0515" w:rsidP="00A54BE4">
            <w:pPr>
              <w:pStyle w:val="TableText"/>
              <w:snapToGrid w:val="0"/>
              <w:rPr>
                <w:lang w:eastAsia="en-CA"/>
              </w:rPr>
            </w:pPr>
            <w:r w:rsidRPr="008168C5">
              <w:rPr>
                <w:lang w:eastAsia="en-CA"/>
              </w:rPr>
              <w:t>12</w:t>
            </w:r>
          </w:p>
        </w:tc>
        <w:tc>
          <w:tcPr>
            <w:tcW w:w="5379" w:type="dxa"/>
            <w:tcBorders>
              <w:left w:val="single" w:sz="4" w:space="0" w:color="auto"/>
              <w:right w:val="single" w:sz="4" w:space="0" w:color="auto"/>
            </w:tcBorders>
          </w:tcPr>
          <w:p w14:paraId="1401AEF4" w14:textId="77777777" w:rsidR="002A0515" w:rsidRPr="008168C5" w:rsidRDefault="002A0515" w:rsidP="00A54BE4">
            <w:pPr>
              <w:pStyle w:val="TableText"/>
              <w:snapToGrid w:val="0"/>
              <w:rPr>
                <w:lang w:eastAsia="en-CA"/>
              </w:rPr>
            </w:pPr>
            <w:r w:rsidRPr="008168C5">
              <w:rPr>
                <w:lang w:eastAsia="en-CA"/>
              </w:rPr>
              <w:t>Default risk exposures to non-qualifying CCPs (excluding items disclosed in rows 17 to 20), of which:</w:t>
            </w:r>
          </w:p>
        </w:tc>
        <w:tc>
          <w:tcPr>
            <w:tcW w:w="1708" w:type="dxa"/>
            <w:tcBorders>
              <w:left w:val="single" w:sz="4" w:space="0" w:color="auto"/>
              <w:right w:val="single" w:sz="4" w:space="0" w:color="auto"/>
            </w:tcBorders>
            <w:noWrap/>
            <w:vAlign w:val="bottom"/>
          </w:tcPr>
          <w:p w14:paraId="1FA183A2" w14:textId="77777777" w:rsidR="002A0515" w:rsidRPr="008168C5" w:rsidRDefault="002A0515" w:rsidP="00A54BE4">
            <w:pPr>
              <w:pStyle w:val="TableText"/>
              <w:snapToGrid w:val="0"/>
              <w:rPr>
                <w:lang w:eastAsia="en-CA"/>
              </w:rPr>
            </w:pPr>
            <w:r w:rsidRPr="008168C5">
              <w:rPr>
                <w:lang w:eastAsia="en-CA"/>
              </w:rPr>
              <w:t> </w:t>
            </w:r>
          </w:p>
        </w:tc>
        <w:tc>
          <w:tcPr>
            <w:tcW w:w="1709" w:type="dxa"/>
            <w:tcBorders>
              <w:left w:val="single" w:sz="4" w:space="0" w:color="auto"/>
              <w:right w:val="single" w:sz="4" w:space="0" w:color="auto"/>
            </w:tcBorders>
            <w:noWrap/>
            <w:vAlign w:val="bottom"/>
          </w:tcPr>
          <w:p w14:paraId="1243B226" w14:textId="77777777" w:rsidR="002A0515" w:rsidRPr="008168C5" w:rsidRDefault="002A0515" w:rsidP="00A54BE4">
            <w:pPr>
              <w:pStyle w:val="TableText"/>
              <w:snapToGrid w:val="0"/>
              <w:rPr>
                <w:lang w:eastAsia="en-CA"/>
              </w:rPr>
            </w:pPr>
            <w:r w:rsidRPr="008168C5">
              <w:rPr>
                <w:lang w:eastAsia="en-CA"/>
              </w:rPr>
              <w:t> </w:t>
            </w:r>
          </w:p>
        </w:tc>
      </w:tr>
      <w:tr w:rsidR="002A0515" w:rsidRPr="008168C5" w14:paraId="60A53D19" w14:textId="77777777" w:rsidTr="00A54BE4">
        <w:trPr>
          <w:trHeight w:val="300"/>
        </w:trPr>
        <w:tc>
          <w:tcPr>
            <w:tcW w:w="433" w:type="dxa"/>
            <w:tcBorders>
              <w:left w:val="nil"/>
              <w:right w:val="single" w:sz="4" w:space="0" w:color="auto"/>
            </w:tcBorders>
          </w:tcPr>
          <w:p w14:paraId="4D51D7F0" w14:textId="77777777" w:rsidR="002A0515" w:rsidRPr="008168C5" w:rsidRDefault="002A0515" w:rsidP="00A54BE4">
            <w:pPr>
              <w:pStyle w:val="TableText"/>
              <w:snapToGrid w:val="0"/>
              <w:rPr>
                <w:lang w:eastAsia="en-CA"/>
              </w:rPr>
            </w:pPr>
            <w:r w:rsidRPr="008168C5">
              <w:rPr>
                <w:lang w:eastAsia="en-CA"/>
              </w:rPr>
              <w:t>13</w:t>
            </w:r>
          </w:p>
        </w:tc>
        <w:tc>
          <w:tcPr>
            <w:tcW w:w="5379" w:type="dxa"/>
            <w:tcBorders>
              <w:left w:val="single" w:sz="4" w:space="0" w:color="auto"/>
              <w:right w:val="single" w:sz="4" w:space="0" w:color="auto"/>
            </w:tcBorders>
          </w:tcPr>
          <w:p w14:paraId="57D5EB0D" w14:textId="77777777" w:rsidR="002A0515" w:rsidRPr="008168C5" w:rsidRDefault="002A0515" w:rsidP="00A54BE4">
            <w:pPr>
              <w:pStyle w:val="TableText"/>
              <w:snapToGrid w:val="0"/>
              <w:rPr>
                <w:lang w:eastAsia="en-CA"/>
              </w:rPr>
            </w:pPr>
            <w:r w:rsidRPr="008168C5">
              <w:rPr>
                <w:lang w:eastAsia="en-CA"/>
              </w:rPr>
              <w:t>(i) OTC derivative transactions</w:t>
            </w:r>
          </w:p>
        </w:tc>
        <w:tc>
          <w:tcPr>
            <w:tcW w:w="1708" w:type="dxa"/>
            <w:tcBorders>
              <w:left w:val="single" w:sz="4" w:space="0" w:color="auto"/>
              <w:right w:val="single" w:sz="4" w:space="0" w:color="auto"/>
            </w:tcBorders>
            <w:noWrap/>
            <w:vAlign w:val="bottom"/>
          </w:tcPr>
          <w:p w14:paraId="44A73BE5" w14:textId="77777777" w:rsidR="002A0515" w:rsidRPr="008168C5" w:rsidRDefault="002A0515" w:rsidP="00A54BE4">
            <w:pPr>
              <w:pStyle w:val="TableText"/>
              <w:snapToGrid w:val="0"/>
              <w:rPr>
                <w:lang w:eastAsia="en-CA"/>
              </w:rPr>
            </w:pPr>
            <w:r w:rsidRPr="008168C5">
              <w:rPr>
                <w:lang w:eastAsia="en-CA"/>
              </w:rPr>
              <w:t> </w:t>
            </w:r>
          </w:p>
        </w:tc>
        <w:tc>
          <w:tcPr>
            <w:tcW w:w="1709" w:type="dxa"/>
            <w:tcBorders>
              <w:left w:val="single" w:sz="4" w:space="0" w:color="auto"/>
              <w:right w:val="single" w:sz="4" w:space="0" w:color="auto"/>
            </w:tcBorders>
            <w:noWrap/>
            <w:vAlign w:val="bottom"/>
          </w:tcPr>
          <w:p w14:paraId="5EB1A8CA" w14:textId="77777777" w:rsidR="002A0515" w:rsidRPr="008168C5" w:rsidRDefault="002A0515" w:rsidP="00A54BE4">
            <w:pPr>
              <w:pStyle w:val="TableText"/>
              <w:snapToGrid w:val="0"/>
              <w:rPr>
                <w:lang w:eastAsia="en-CA"/>
              </w:rPr>
            </w:pPr>
            <w:r w:rsidRPr="008168C5">
              <w:rPr>
                <w:lang w:eastAsia="en-CA"/>
              </w:rPr>
              <w:t> </w:t>
            </w:r>
          </w:p>
        </w:tc>
      </w:tr>
      <w:tr w:rsidR="002A0515" w:rsidRPr="008168C5" w14:paraId="55717175" w14:textId="77777777" w:rsidTr="00A54BE4">
        <w:trPr>
          <w:trHeight w:val="300"/>
        </w:trPr>
        <w:tc>
          <w:tcPr>
            <w:tcW w:w="433" w:type="dxa"/>
            <w:tcBorders>
              <w:left w:val="nil"/>
              <w:right w:val="single" w:sz="4" w:space="0" w:color="auto"/>
            </w:tcBorders>
          </w:tcPr>
          <w:p w14:paraId="3E25E19E" w14:textId="77777777" w:rsidR="002A0515" w:rsidRPr="008168C5" w:rsidRDefault="002A0515" w:rsidP="00A54BE4">
            <w:pPr>
              <w:pStyle w:val="TableText"/>
              <w:snapToGrid w:val="0"/>
              <w:rPr>
                <w:lang w:eastAsia="en-CA"/>
              </w:rPr>
            </w:pPr>
            <w:r w:rsidRPr="008168C5">
              <w:rPr>
                <w:lang w:eastAsia="en-CA"/>
              </w:rPr>
              <w:t>14</w:t>
            </w:r>
          </w:p>
        </w:tc>
        <w:tc>
          <w:tcPr>
            <w:tcW w:w="5379" w:type="dxa"/>
            <w:tcBorders>
              <w:left w:val="single" w:sz="4" w:space="0" w:color="auto"/>
              <w:right w:val="single" w:sz="4" w:space="0" w:color="auto"/>
            </w:tcBorders>
          </w:tcPr>
          <w:p w14:paraId="4E4D35B3" w14:textId="77777777" w:rsidR="002A0515" w:rsidRPr="008168C5" w:rsidRDefault="002A0515" w:rsidP="00A54BE4">
            <w:pPr>
              <w:pStyle w:val="TableText"/>
              <w:snapToGrid w:val="0"/>
              <w:rPr>
                <w:lang w:eastAsia="en-CA"/>
              </w:rPr>
            </w:pPr>
            <w:r w:rsidRPr="008168C5">
              <w:rPr>
                <w:lang w:eastAsia="en-CA"/>
              </w:rPr>
              <w:t>(ii) Exchange-traded derivative contracts</w:t>
            </w:r>
          </w:p>
        </w:tc>
        <w:tc>
          <w:tcPr>
            <w:tcW w:w="1708" w:type="dxa"/>
            <w:tcBorders>
              <w:left w:val="single" w:sz="4" w:space="0" w:color="auto"/>
              <w:right w:val="single" w:sz="4" w:space="0" w:color="auto"/>
            </w:tcBorders>
            <w:noWrap/>
            <w:vAlign w:val="bottom"/>
          </w:tcPr>
          <w:p w14:paraId="031202ED" w14:textId="77777777" w:rsidR="002A0515" w:rsidRPr="008168C5" w:rsidRDefault="002A0515" w:rsidP="00A54BE4">
            <w:pPr>
              <w:pStyle w:val="TableText"/>
              <w:snapToGrid w:val="0"/>
              <w:rPr>
                <w:lang w:eastAsia="en-CA"/>
              </w:rPr>
            </w:pPr>
            <w:r w:rsidRPr="008168C5">
              <w:rPr>
                <w:lang w:eastAsia="en-CA"/>
              </w:rPr>
              <w:t> </w:t>
            </w:r>
          </w:p>
        </w:tc>
        <w:tc>
          <w:tcPr>
            <w:tcW w:w="1709" w:type="dxa"/>
            <w:tcBorders>
              <w:left w:val="single" w:sz="4" w:space="0" w:color="auto"/>
              <w:right w:val="single" w:sz="4" w:space="0" w:color="auto"/>
            </w:tcBorders>
            <w:noWrap/>
            <w:vAlign w:val="bottom"/>
          </w:tcPr>
          <w:p w14:paraId="6506EAFA" w14:textId="77777777" w:rsidR="002A0515" w:rsidRPr="008168C5" w:rsidRDefault="002A0515" w:rsidP="00A54BE4">
            <w:pPr>
              <w:pStyle w:val="TableText"/>
              <w:snapToGrid w:val="0"/>
              <w:rPr>
                <w:lang w:eastAsia="en-CA"/>
              </w:rPr>
            </w:pPr>
            <w:r w:rsidRPr="008168C5">
              <w:rPr>
                <w:lang w:eastAsia="en-CA"/>
              </w:rPr>
              <w:t> </w:t>
            </w:r>
          </w:p>
        </w:tc>
      </w:tr>
      <w:tr w:rsidR="002A0515" w:rsidRPr="008168C5" w14:paraId="652DB22E" w14:textId="77777777" w:rsidTr="00A54BE4">
        <w:trPr>
          <w:trHeight w:val="300"/>
        </w:trPr>
        <w:tc>
          <w:tcPr>
            <w:tcW w:w="433" w:type="dxa"/>
            <w:tcBorders>
              <w:left w:val="nil"/>
              <w:right w:val="single" w:sz="4" w:space="0" w:color="auto"/>
            </w:tcBorders>
          </w:tcPr>
          <w:p w14:paraId="7C1A70EA" w14:textId="77777777" w:rsidR="002A0515" w:rsidRPr="008168C5" w:rsidRDefault="002A0515" w:rsidP="00A54BE4">
            <w:pPr>
              <w:pStyle w:val="TableText"/>
              <w:snapToGrid w:val="0"/>
              <w:rPr>
                <w:lang w:eastAsia="en-CA"/>
              </w:rPr>
            </w:pPr>
            <w:r w:rsidRPr="008168C5">
              <w:rPr>
                <w:lang w:eastAsia="en-CA"/>
              </w:rPr>
              <w:t>15</w:t>
            </w:r>
          </w:p>
        </w:tc>
        <w:tc>
          <w:tcPr>
            <w:tcW w:w="5379" w:type="dxa"/>
            <w:tcBorders>
              <w:left w:val="single" w:sz="4" w:space="0" w:color="auto"/>
              <w:right w:val="single" w:sz="4" w:space="0" w:color="auto"/>
            </w:tcBorders>
          </w:tcPr>
          <w:p w14:paraId="1D6AB1ED" w14:textId="77777777" w:rsidR="002A0515" w:rsidRPr="008168C5" w:rsidRDefault="002A0515" w:rsidP="00A54BE4">
            <w:pPr>
              <w:pStyle w:val="TableText"/>
              <w:snapToGrid w:val="0"/>
              <w:rPr>
                <w:lang w:eastAsia="en-CA"/>
              </w:rPr>
            </w:pPr>
            <w:r w:rsidRPr="008168C5">
              <w:rPr>
                <w:lang w:eastAsia="en-CA"/>
              </w:rPr>
              <w:t>(iii) Securities financing transactions</w:t>
            </w:r>
          </w:p>
        </w:tc>
        <w:tc>
          <w:tcPr>
            <w:tcW w:w="1708" w:type="dxa"/>
            <w:tcBorders>
              <w:left w:val="single" w:sz="4" w:space="0" w:color="auto"/>
              <w:right w:val="single" w:sz="4" w:space="0" w:color="auto"/>
            </w:tcBorders>
            <w:noWrap/>
            <w:vAlign w:val="bottom"/>
          </w:tcPr>
          <w:p w14:paraId="2138A0C0" w14:textId="77777777" w:rsidR="002A0515" w:rsidRPr="008168C5" w:rsidRDefault="002A0515" w:rsidP="00A54BE4">
            <w:pPr>
              <w:pStyle w:val="TableText"/>
              <w:snapToGrid w:val="0"/>
              <w:rPr>
                <w:lang w:eastAsia="en-CA"/>
              </w:rPr>
            </w:pPr>
            <w:r w:rsidRPr="008168C5">
              <w:rPr>
                <w:lang w:eastAsia="en-CA"/>
              </w:rPr>
              <w:t> </w:t>
            </w:r>
          </w:p>
        </w:tc>
        <w:tc>
          <w:tcPr>
            <w:tcW w:w="1709" w:type="dxa"/>
            <w:tcBorders>
              <w:left w:val="single" w:sz="4" w:space="0" w:color="auto"/>
              <w:right w:val="single" w:sz="4" w:space="0" w:color="auto"/>
            </w:tcBorders>
            <w:noWrap/>
            <w:vAlign w:val="bottom"/>
          </w:tcPr>
          <w:p w14:paraId="147B9C73" w14:textId="77777777" w:rsidR="002A0515" w:rsidRPr="008168C5" w:rsidRDefault="002A0515" w:rsidP="00A54BE4">
            <w:pPr>
              <w:pStyle w:val="TableText"/>
              <w:snapToGrid w:val="0"/>
              <w:rPr>
                <w:lang w:eastAsia="en-CA"/>
              </w:rPr>
            </w:pPr>
            <w:r w:rsidRPr="008168C5">
              <w:rPr>
                <w:lang w:eastAsia="en-CA"/>
              </w:rPr>
              <w:t> </w:t>
            </w:r>
          </w:p>
        </w:tc>
      </w:tr>
      <w:tr w:rsidR="002A0515" w:rsidRPr="008168C5" w14:paraId="1802658E" w14:textId="77777777" w:rsidTr="00A54BE4">
        <w:trPr>
          <w:trHeight w:val="81"/>
        </w:trPr>
        <w:tc>
          <w:tcPr>
            <w:tcW w:w="433" w:type="dxa"/>
            <w:tcBorders>
              <w:left w:val="nil"/>
              <w:right w:val="single" w:sz="4" w:space="0" w:color="auto"/>
            </w:tcBorders>
          </w:tcPr>
          <w:p w14:paraId="251976B7" w14:textId="77777777" w:rsidR="002A0515" w:rsidRPr="008168C5" w:rsidRDefault="002A0515" w:rsidP="00A54BE4">
            <w:pPr>
              <w:pStyle w:val="TableText"/>
              <w:snapToGrid w:val="0"/>
              <w:rPr>
                <w:lang w:eastAsia="en-CA"/>
              </w:rPr>
            </w:pPr>
            <w:r w:rsidRPr="008168C5">
              <w:rPr>
                <w:lang w:eastAsia="en-CA"/>
              </w:rPr>
              <w:t>16</w:t>
            </w:r>
          </w:p>
        </w:tc>
        <w:tc>
          <w:tcPr>
            <w:tcW w:w="5379" w:type="dxa"/>
            <w:tcBorders>
              <w:left w:val="single" w:sz="4" w:space="0" w:color="auto"/>
              <w:right w:val="single" w:sz="4" w:space="0" w:color="auto"/>
            </w:tcBorders>
          </w:tcPr>
          <w:p w14:paraId="5CEC0273" w14:textId="77777777" w:rsidR="002A0515" w:rsidRPr="008168C5" w:rsidRDefault="002A0515" w:rsidP="00A54BE4">
            <w:pPr>
              <w:pStyle w:val="TableText"/>
              <w:snapToGrid w:val="0"/>
              <w:rPr>
                <w:lang w:eastAsia="en-CA"/>
              </w:rPr>
            </w:pPr>
            <w:r w:rsidRPr="008168C5">
              <w:rPr>
                <w:lang w:eastAsia="en-CA"/>
              </w:rPr>
              <w:t>(iv) Netting sets subject to valid cross-product netting agreements</w:t>
            </w:r>
          </w:p>
        </w:tc>
        <w:tc>
          <w:tcPr>
            <w:tcW w:w="1708" w:type="dxa"/>
            <w:tcBorders>
              <w:left w:val="single" w:sz="4" w:space="0" w:color="auto"/>
              <w:right w:val="single" w:sz="4" w:space="0" w:color="auto"/>
            </w:tcBorders>
            <w:noWrap/>
            <w:vAlign w:val="bottom"/>
          </w:tcPr>
          <w:p w14:paraId="6526E9EA" w14:textId="77777777" w:rsidR="002A0515" w:rsidRPr="008168C5" w:rsidRDefault="002A0515" w:rsidP="00A54BE4">
            <w:pPr>
              <w:pStyle w:val="TableText"/>
              <w:snapToGrid w:val="0"/>
              <w:rPr>
                <w:lang w:eastAsia="en-CA"/>
              </w:rPr>
            </w:pPr>
            <w:r w:rsidRPr="008168C5">
              <w:rPr>
                <w:lang w:eastAsia="en-CA"/>
              </w:rPr>
              <w:t> </w:t>
            </w:r>
          </w:p>
        </w:tc>
        <w:tc>
          <w:tcPr>
            <w:tcW w:w="1709" w:type="dxa"/>
            <w:tcBorders>
              <w:left w:val="single" w:sz="4" w:space="0" w:color="auto"/>
              <w:right w:val="single" w:sz="4" w:space="0" w:color="auto"/>
            </w:tcBorders>
            <w:noWrap/>
            <w:vAlign w:val="bottom"/>
          </w:tcPr>
          <w:p w14:paraId="20E8A4AE" w14:textId="77777777" w:rsidR="002A0515" w:rsidRPr="008168C5" w:rsidRDefault="002A0515" w:rsidP="00A54BE4">
            <w:pPr>
              <w:pStyle w:val="TableText"/>
              <w:snapToGrid w:val="0"/>
              <w:rPr>
                <w:lang w:eastAsia="en-CA"/>
              </w:rPr>
            </w:pPr>
            <w:r w:rsidRPr="008168C5">
              <w:rPr>
                <w:lang w:eastAsia="en-CA"/>
              </w:rPr>
              <w:t> </w:t>
            </w:r>
          </w:p>
        </w:tc>
      </w:tr>
      <w:tr w:rsidR="002A0515" w:rsidRPr="008168C5" w14:paraId="27B1EF40" w14:textId="77777777" w:rsidTr="00A54BE4">
        <w:trPr>
          <w:trHeight w:val="300"/>
        </w:trPr>
        <w:tc>
          <w:tcPr>
            <w:tcW w:w="433" w:type="dxa"/>
            <w:tcBorders>
              <w:left w:val="nil"/>
              <w:right w:val="single" w:sz="4" w:space="0" w:color="auto"/>
            </w:tcBorders>
          </w:tcPr>
          <w:p w14:paraId="2EFEB0DC" w14:textId="77777777" w:rsidR="002A0515" w:rsidRPr="008168C5" w:rsidRDefault="002A0515" w:rsidP="00A54BE4">
            <w:pPr>
              <w:pStyle w:val="TableText"/>
              <w:snapToGrid w:val="0"/>
              <w:rPr>
                <w:lang w:eastAsia="en-CA"/>
              </w:rPr>
            </w:pPr>
            <w:r w:rsidRPr="008168C5">
              <w:rPr>
                <w:lang w:eastAsia="en-CA"/>
              </w:rPr>
              <w:t>17</w:t>
            </w:r>
          </w:p>
        </w:tc>
        <w:tc>
          <w:tcPr>
            <w:tcW w:w="5379" w:type="dxa"/>
            <w:tcBorders>
              <w:left w:val="single" w:sz="4" w:space="0" w:color="auto"/>
              <w:right w:val="single" w:sz="4" w:space="0" w:color="auto"/>
            </w:tcBorders>
          </w:tcPr>
          <w:p w14:paraId="7BD3AB34" w14:textId="77777777" w:rsidR="002A0515" w:rsidRPr="008168C5" w:rsidRDefault="002A0515" w:rsidP="00A54BE4">
            <w:pPr>
              <w:pStyle w:val="TableText"/>
              <w:snapToGrid w:val="0"/>
              <w:rPr>
                <w:lang w:eastAsia="en-CA"/>
              </w:rPr>
            </w:pPr>
            <w:r w:rsidRPr="008168C5">
              <w:rPr>
                <w:lang w:eastAsia="en-CA"/>
              </w:rPr>
              <w:t>Segregated initial margin</w:t>
            </w:r>
          </w:p>
        </w:tc>
        <w:tc>
          <w:tcPr>
            <w:tcW w:w="1708" w:type="dxa"/>
            <w:tcBorders>
              <w:left w:val="single" w:sz="4" w:space="0" w:color="auto"/>
              <w:right w:val="single" w:sz="4" w:space="0" w:color="auto"/>
            </w:tcBorders>
            <w:noWrap/>
            <w:vAlign w:val="bottom"/>
          </w:tcPr>
          <w:p w14:paraId="025BEE71" w14:textId="77777777" w:rsidR="002A0515" w:rsidRPr="008168C5" w:rsidRDefault="002A0515" w:rsidP="00A54BE4">
            <w:pPr>
              <w:pStyle w:val="TableText"/>
              <w:snapToGrid w:val="0"/>
              <w:rPr>
                <w:lang w:eastAsia="en-CA"/>
              </w:rPr>
            </w:pPr>
            <w:r w:rsidRPr="008168C5">
              <w:rPr>
                <w:lang w:eastAsia="en-CA"/>
              </w:rPr>
              <w:t> </w:t>
            </w:r>
          </w:p>
        </w:tc>
        <w:tc>
          <w:tcPr>
            <w:tcW w:w="1709" w:type="dxa"/>
            <w:tcBorders>
              <w:left w:val="single" w:sz="4" w:space="0" w:color="auto"/>
              <w:right w:val="single" w:sz="4" w:space="0" w:color="auto"/>
            </w:tcBorders>
            <w:shd w:val="clear" w:color="auto" w:fill="D9D9D9"/>
            <w:noWrap/>
            <w:vAlign w:val="bottom"/>
          </w:tcPr>
          <w:p w14:paraId="1BD724F8" w14:textId="77777777" w:rsidR="002A0515" w:rsidRPr="008168C5" w:rsidRDefault="002A0515" w:rsidP="00A54BE4">
            <w:pPr>
              <w:pStyle w:val="TableText"/>
              <w:snapToGrid w:val="0"/>
              <w:rPr>
                <w:lang w:eastAsia="en-CA"/>
              </w:rPr>
            </w:pPr>
            <w:r w:rsidRPr="008168C5">
              <w:rPr>
                <w:lang w:eastAsia="en-CA"/>
              </w:rPr>
              <w:t> </w:t>
            </w:r>
          </w:p>
        </w:tc>
      </w:tr>
      <w:tr w:rsidR="002A0515" w:rsidRPr="008168C5" w14:paraId="2A82673E" w14:textId="77777777" w:rsidTr="00A54BE4">
        <w:trPr>
          <w:trHeight w:val="300"/>
        </w:trPr>
        <w:tc>
          <w:tcPr>
            <w:tcW w:w="433" w:type="dxa"/>
            <w:tcBorders>
              <w:left w:val="nil"/>
              <w:right w:val="single" w:sz="4" w:space="0" w:color="auto"/>
            </w:tcBorders>
          </w:tcPr>
          <w:p w14:paraId="70343AB8" w14:textId="77777777" w:rsidR="002A0515" w:rsidRPr="008168C5" w:rsidRDefault="002A0515" w:rsidP="00A54BE4">
            <w:pPr>
              <w:pStyle w:val="TableText"/>
              <w:snapToGrid w:val="0"/>
              <w:rPr>
                <w:lang w:eastAsia="en-CA"/>
              </w:rPr>
            </w:pPr>
            <w:r w:rsidRPr="008168C5">
              <w:rPr>
                <w:lang w:eastAsia="en-CA"/>
              </w:rPr>
              <w:lastRenderedPageBreak/>
              <w:t>18</w:t>
            </w:r>
          </w:p>
        </w:tc>
        <w:tc>
          <w:tcPr>
            <w:tcW w:w="5379" w:type="dxa"/>
            <w:tcBorders>
              <w:left w:val="single" w:sz="4" w:space="0" w:color="auto"/>
              <w:right w:val="single" w:sz="4" w:space="0" w:color="auto"/>
            </w:tcBorders>
          </w:tcPr>
          <w:p w14:paraId="1EBDA832" w14:textId="77777777" w:rsidR="002A0515" w:rsidRPr="008168C5" w:rsidRDefault="002A0515" w:rsidP="00A54BE4">
            <w:pPr>
              <w:pStyle w:val="TableText"/>
              <w:snapToGrid w:val="0"/>
              <w:rPr>
                <w:lang w:eastAsia="en-CA"/>
              </w:rPr>
            </w:pPr>
            <w:r w:rsidRPr="008168C5">
              <w:rPr>
                <w:lang w:eastAsia="en-CA"/>
              </w:rPr>
              <w:t>Unsegregated initial margin</w:t>
            </w:r>
          </w:p>
        </w:tc>
        <w:tc>
          <w:tcPr>
            <w:tcW w:w="1708" w:type="dxa"/>
            <w:tcBorders>
              <w:left w:val="single" w:sz="4" w:space="0" w:color="auto"/>
              <w:right w:val="single" w:sz="4" w:space="0" w:color="auto"/>
            </w:tcBorders>
            <w:noWrap/>
            <w:vAlign w:val="bottom"/>
          </w:tcPr>
          <w:p w14:paraId="6CEA49AC" w14:textId="77777777" w:rsidR="002A0515" w:rsidRPr="008168C5" w:rsidRDefault="002A0515" w:rsidP="00A54BE4">
            <w:pPr>
              <w:pStyle w:val="TableText"/>
              <w:snapToGrid w:val="0"/>
              <w:rPr>
                <w:lang w:eastAsia="en-CA"/>
              </w:rPr>
            </w:pPr>
            <w:r w:rsidRPr="008168C5">
              <w:rPr>
                <w:lang w:eastAsia="en-CA"/>
              </w:rPr>
              <w:t> </w:t>
            </w:r>
          </w:p>
        </w:tc>
        <w:tc>
          <w:tcPr>
            <w:tcW w:w="1709" w:type="dxa"/>
            <w:tcBorders>
              <w:left w:val="single" w:sz="4" w:space="0" w:color="auto"/>
              <w:right w:val="single" w:sz="4" w:space="0" w:color="auto"/>
            </w:tcBorders>
            <w:noWrap/>
            <w:vAlign w:val="bottom"/>
          </w:tcPr>
          <w:p w14:paraId="73193E92" w14:textId="77777777" w:rsidR="002A0515" w:rsidRPr="008168C5" w:rsidRDefault="002A0515" w:rsidP="00A54BE4">
            <w:pPr>
              <w:pStyle w:val="TableText"/>
              <w:snapToGrid w:val="0"/>
              <w:rPr>
                <w:lang w:eastAsia="en-CA"/>
              </w:rPr>
            </w:pPr>
            <w:r w:rsidRPr="008168C5">
              <w:rPr>
                <w:lang w:eastAsia="en-CA"/>
              </w:rPr>
              <w:t> </w:t>
            </w:r>
          </w:p>
        </w:tc>
      </w:tr>
      <w:tr w:rsidR="002A0515" w:rsidRPr="008168C5" w14:paraId="6CABE8C5" w14:textId="77777777" w:rsidTr="00A54BE4">
        <w:trPr>
          <w:trHeight w:val="300"/>
        </w:trPr>
        <w:tc>
          <w:tcPr>
            <w:tcW w:w="433" w:type="dxa"/>
            <w:tcBorders>
              <w:left w:val="nil"/>
              <w:bottom w:val="single" w:sz="4" w:space="0" w:color="BFBFBF"/>
              <w:right w:val="single" w:sz="4" w:space="0" w:color="auto"/>
            </w:tcBorders>
          </w:tcPr>
          <w:p w14:paraId="67BF8745" w14:textId="77777777" w:rsidR="002A0515" w:rsidRPr="008168C5" w:rsidRDefault="002A0515" w:rsidP="00A54BE4">
            <w:pPr>
              <w:pStyle w:val="TableText"/>
              <w:snapToGrid w:val="0"/>
              <w:rPr>
                <w:lang w:eastAsia="en-CA"/>
              </w:rPr>
            </w:pPr>
            <w:r w:rsidRPr="008168C5">
              <w:rPr>
                <w:lang w:eastAsia="en-CA"/>
              </w:rPr>
              <w:t>19</w:t>
            </w:r>
          </w:p>
        </w:tc>
        <w:tc>
          <w:tcPr>
            <w:tcW w:w="5379" w:type="dxa"/>
            <w:tcBorders>
              <w:left w:val="single" w:sz="4" w:space="0" w:color="auto"/>
              <w:bottom w:val="single" w:sz="4" w:space="0" w:color="BFBFBF"/>
              <w:right w:val="single" w:sz="4" w:space="0" w:color="auto"/>
            </w:tcBorders>
          </w:tcPr>
          <w:p w14:paraId="39B5426D" w14:textId="77777777" w:rsidR="002A0515" w:rsidRPr="008168C5" w:rsidRDefault="002A0515" w:rsidP="00A54BE4">
            <w:pPr>
              <w:pStyle w:val="TableText"/>
              <w:snapToGrid w:val="0"/>
              <w:rPr>
                <w:lang w:eastAsia="en-CA"/>
              </w:rPr>
            </w:pPr>
            <w:r w:rsidRPr="008168C5">
              <w:rPr>
                <w:lang w:eastAsia="en-CA"/>
              </w:rPr>
              <w:t>Funded default fund contributions</w:t>
            </w:r>
          </w:p>
        </w:tc>
        <w:tc>
          <w:tcPr>
            <w:tcW w:w="1708" w:type="dxa"/>
            <w:tcBorders>
              <w:left w:val="single" w:sz="4" w:space="0" w:color="auto"/>
              <w:bottom w:val="single" w:sz="4" w:space="0" w:color="BFBFBF"/>
              <w:right w:val="single" w:sz="4" w:space="0" w:color="auto"/>
            </w:tcBorders>
            <w:noWrap/>
            <w:vAlign w:val="bottom"/>
          </w:tcPr>
          <w:p w14:paraId="79C219B3" w14:textId="77777777" w:rsidR="002A0515" w:rsidRPr="008168C5" w:rsidRDefault="002A0515" w:rsidP="00A54BE4">
            <w:pPr>
              <w:pStyle w:val="TableText"/>
              <w:snapToGrid w:val="0"/>
              <w:rPr>
                <w:lang w:eastAsia="en-CA"/>
              </w:rPr>
            </w:pPr>
            <w:r w:rsidRPr="008168C5">
              <w:rPr>
                <w:lang w:eastAsia="en-CA"/>
              </w:rPr>
              <w:t> </w:t>
            </w:r>
          </w:p>
        </w:tc>
        <w:tc>
          <w:tcPr>
            <w:tcW w:w="1709" w:type="dxa"/>
            <w:tcBorders>
              <w:left w:val="single" w:sz="4" w:space="0" w:color="auto"/>
              <w:bottom w:val="single" w:sz="4" w:space="0" w:color="BFBFBF"/>
              <w:right w:val="single" w:sz="4" w:space="0" w:color="auto"/>
            </w:tcBorders>
            <w:noWrap/>
            <w:vAlign w:val="bottom"/>
          </w:tcPr>
          <w:p w14:paraId="2660DA85" w14:textId="77777777" w:rsidR="002A0515" w:rsidRPr="008168C5" w:rsidRDefault="002A0515" w:rsidP="00A54BE4">
            <w:pPr>
              <w:pStyle w:val="TableText"/>
              <w:snapToGrid w:val="0"/>
              <w:rPr>
                <w:lang w:eastAsia="en-CA"/>
              </w:rPr>
            </w:pPr>
            <w:r w:rsidRPr="008168C5">
              <w:rPr>
                <w:lang w:eastAsia="en-CA"/>
              </w:rPr>
              <w:t> </w:t>
            </w:r>
          </w:p>
        </w:tc>
      </w:tr>
      <w:tr w:rsidR="002A0515" w:rsidRPr="008168C5" w14:paraId="5D63EA25" w14:textId="77777777" w:rsidTr="00A54BE4">
        <w:trPr>
          <w:trHeight w:val="300"/>
        </w:trPr>
        <w:tc>
          <w:tcPr>
            <w:tcW w:w="433" w:type="dxa"/>
            <w:tcBorders>
              <w:left w:val="nil"/>
              <w:bottom w:val="single" w:sz="4" w:space="0" w:color="auto"/>
              <w:right w:val="single" w:sz="4" w:space="0" w:color="auto"/>
            </w:tcBorders>
          </w:tcPr>
          <w:p w14:paraId="1A0DC036" w14:textId="77777777" w:rsidR="002A0515" w:rsidRPr="008168C5" w:rsidRDefault="002A0515" w:rsidP="00A54BE4">
            <w:pPr>
              <w:pStyle w:val="TableText"/>
              <w:snapToGrid w:val="0"/>
              <w:rPr>
                <w:lang w:eastAsia="en-CA"/>
              </w:rPr>
            </w:pPr>
            <w:r w:rsidRPr="008168C5">
              <w:rPr>
                <w:lang w:eastAsia="en-CA"/>
              </w:rPr>
              <w:t>20</w:t>
            </w:r>
          </w:p>
        </w:tc>
        <w:tc>
          <w:tcPr>
            <w:tcW w:w="5379" w:type="dxa"/>
            <w:tcBorders>
              <w:left w:val="single" w:sz="4" w:space="0" w:color="auto"/>
              <w:bottom w:val="single" w:sz="4" w:space="0" w:color="auto"/>
              <w:right w:val="single" w:sz="4" w:space="0" w:color="auto"/>
            </w:tcBorders>
          </w:tcPr>
          <w:p w14:paraId="1C9387CC" w14:textId="77777777" w:rsidR="002A0515" w:rsidRPr="008168C5" w:rsidRDefault="002A0515" w:rsidP="00A54BE4">
            <w:pPr>
              <w:pStyle w:val="TableText"/>
              <w:snapToGrid w:val="0"/>
              <w:rPr>
                <w:lang w:eastAsia="en-CA"/>
              </w:rPr>
            </w:pPr>
            <w:r w:rsidRPr="008168C5">
              <w:rPr>
                <w:lang w:eastAsia="en-CA"/>
              </w:rPr>
              <w:t>Unfunded default fund contributions</w:t>
            </w:r>
          </w:p>
        </w:tc>
        <w:tc>
          <w:tcPr>
            <w:tcW w:w="1708" w:type="dxa"/>
            <w:tcBorders>
              <w:left w:val="single" w:sz="4" w:space="0" w:color="auto"/>
              <w:bottom w:val="single" w:sz="4" w:space="0" w:color="auto"/>
              <w:right w:val="single" w:sz="4" w:space="0" w:color="auto"/>
            </w:tcBorders>
            <w:noWrap/>
            <w:vAlign w:val="bottom"/>
          </w:tcPr>
          <w:p w14:paraId="62CD6F14" w14:textId="77777777" w:rsidR="002A0515" w:rsidRPr="008168C5" w:rsidRDefault="002A0515" w:rsidP="00A54BE4">
            <w:pPr>
              <w:pStyle w:val="TableText"/>
              <w:snapToGrid w:val="0"/>
              <w:rPr>
                <w:lang w:eastAsia="en-CA"/>
              </w:rPr>
            </w:pPr>
            <w:r w:rsidRPr="008168C5">
              <w:rPr>
                <w:lang w:eastAsia="en-CA"/>
              </w:rPr>
              <w:t> </w:t>
            </w:r>
          </w:p>
        </w:tc>
        <w:tc>
          <w:tcPr>
            <w:tcW w:w="1709" w:type="dxa"/>
            <w:tcBorders>
              <w:left w:val="single" w:sz="4" w:space="0" w:color="auto"/>
              <w:bottom w:val="single" w:sz="4" w:space="0" w:color="auto"/>
              <w:right w:val="single" w:sz="4" w:space="0" w:color="auto"/>
            </w:tcBorders>
            <w:noWrap/>
            <w:vAlign w:val="bottom"/>
          </w:tcPr>
          <w:p w14:paraId="7E2B4786" w14:textId="77777777" w:rsidR="002A0515" w:rsidRPr="008168C5" w:rsidRDefault="002A0515" w:rsidP="00A54BE4">
            <w:pPr>
              <w:pStyle w:val="TableText"/>
              <w:snapToGrid w:val="0"/>
              <w:rPr>
                <w:lang w:eastAsia="en-CA"/>
              </w:rPr>
            </w:pPr>
            <w:r w:rsidRPr="008168C5">
              <w:rPr>
                <w:lang w:eastAsia="en-CA"/>
              </w:rPr>
              <w:t> </w:t>
            </w:r>
          </w:p>
        </w:tc>
      </w:tr>
    </w:tbl>
    <w:p w14:paraId="5D1A810E" w14:textId="77777777" w:rsidR="002A0515" w:rsidRPr="008168C5" w:rsidRDefault="002A0515" w:rsidP="002A0515">
      <w:pPr>
        <w:spacing w:before="120" w:after="120"/>
        <w:ind w:leftChars="-283" w:left="-566"/>
        <w:rPr>
          <w:sz w:val="22"/>
        </w:rPr>
      </w:pPr>
    </w:p>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363"/>
      </w:tblGrid>
      <w:tr w:rsidR="002A0515" w:rsidRPr="008168C5" w14:paraId="132616CC" w14:textId="77777777" w:rsidTr="00A54BE4">
        <w:trPr>
          <w:tblHeader/>
        </w:trPr>
        <w:tc>
          <w:tcPr>
            <w:tcW w:w="9214" w:type="dxa"/>
            <w:gridSpan w:val="2"/>
            <w:shd w:val="clear" w:color="auto" w:fill="BFBFBF"/>
          </w:tcPr>
          <w:p w14:paraId="5CD5DA57" w14:textId="77777777" w:rsidR="002A0515" w:rsidRPr="008168C5" w:rsidRDefault="002A0515" w:rsidP="00A54BE4">
            <w:pPr>
              <w:spacing w:before="40" w:after="40"/>
              <w:jc w:val="both"/>
              <w:rPr>
                <w:rFonts w:eastAsia="新細明體"/>
                <w:b/>
                <w:sz w:val="17"/>
                <w:szCs w:val="17"/>
                <w:lang w:eastAsia="en-GB"/>
              </w:rPr>
            </w:pPr>
            <w:r w:rsidRPr="008168C5">
              <w:rPr>
                <w:rFonts w:eastAsia="新細明體"/>
                <w:b/>
                <w:sz w:val="17"/>
                <w:szCs w:val="17"/>
                <w:lang w:eastAsia="en-GB"/>
              </w:rPr>
              <w:t>Explanatory Note</w:t>
            </w:r>
          </w:p>
        </w:tc>
      </w:tr>
      <w:tr w:rsidR="002A0515" w:rsidRPr="008168C5" w14:paraId="7791FF69" w14:textId="77777777" w:rsidTr="00A54BE4">
        <w:trPr>
          <w:trHeight w:val="153"/>
        </w:trPr>
        <w:tc>
          <w:tcPr>
            <w:tcW w:w="9214" w:type="dxa"/>
            <w:gridSpan w:val="2"/>
            <w:shd w:val="clear" w:color="auto" w:fill="F2F2F2"/>
          </w:tcPr>
          <w:p w14:paraId="374545C2" w14:textId="77777777" w:rsidR="002A0515" w:rsidRPr="008168C5" w:rsidRDefault="002A0515" w:rsidP="00A54BE4">
            <w:pPr>
              <w:spacing w:before="40" w:after="40"/>
              <w:jc w:val="both"/>
              <w:rPr>
                <w:rFonts w:eastAsia="新細明體"/>
                <w:b/>
                <w:sz w:val="17"/>
                <w:szCs w:val="17"/>
                <w:lang w:eastAsia="en-GB"/>
              </w:rPr>
            </w:pPr>
            <w:r w:rsidRPr="008168C5">
              <w:rPr>
                <w:rFonts w:eastAsia="新細明體"/>
                <w:b/>
                <w:sz w:val="17"/>
                <w:szCs w:val="17"/>
                <w:lang w:eastAsia="en-GB"/>
              </w:rPr>
              <w:t>Columns</w:t>
            </w:r>
          </w:p>
        </w:tc>
      </w:tr>
      <w:tr w:rsidR="002A0515" w:rsidRPr="008168C5" w14:paraId="7560E6C7" w14:textId="77777777" w:rsidTr="00A54BE4">
        <w:trPr>
          <w:trHeight w:val="373"/>
        </w:trPr>
        <w:tc>
          <w:tcPr>
            <w:tcW w:w="851" w:type="dxa"/>
          </w:tcPr>
          <w:p w14:paraId="37005A7A" w14:textId="77777777" w:rsidR="002A0515" w:rsidRPr="008168C5" w:rsidRDefault="002A0515" w:rsidP="00A54BE4">
            <w:pPr>
              <w:keepLines/>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t>(a)</w:t>
            </w:r>
          </w:p>
        </w:tc>
        <w:tc>
          <w:tcPr>
            <w:tcW w:w="8363" w:type="dxa"/>
          </w:tcPr>
          <w:p w14:paraId="239BD390" w14:textId="77777777" w:rsidR="002A0515" w:rsidRPr="008168C5" w:rsidRDefault="002A0515" w:rsidP="00A54BE4">
            <w:pPr>
              <w:pStyle w:val="TableText"/>
              <w:keepNext/>
              <w:jc w:val="both"/>
              <w:rPr>
                <w:lang w:eastAsia="en-GB"/>
              </w:rPr>
            </w:pPr>
            <w:r w:rsidRPr="008168C5">
              <w:rPr>
                <w:i/>
                <w:lang w:eastAsia="en-GB"/>
              </w:rPr>
              <w:t>Exposure after CRM</w:t>
            </w:r>
            <w:r w:rsidRPr="008168C5">
              <w:rPr>
                <w:lang w:eastAsia="en-GB"/>
              </w:rPr>
              <w:t xml:space="preserve">: </w:t>
            </w:r>
          </w:p>
          <w:p w14:paraId="2C0FFB9A" w14:textId="0BF8C957" w:rsidR="002A0515" w:rsidRPr="008168C5" w:rsidRDefault="002A0515" w:rsidP="00E23D27">
            <w:pPr>
              <w:pStyle w:val="ListParagraph"/>
              <w:keepLines/>
              <w:widowControl w:val="0"/>
              <w:numPr>
                <w:ilvl w:val="0"/>
                <w:numId w:val="62"/>
              </w:numPr>
              <w:spacing w:before="20" w:after="20"/>
              <w:ind w:leftChars="0" w:left="347" w:hanging="347"/>
              <w:jc w:val="both"/>
              <w:rPr>
                <w:rFonts w:cs="Segoe UI"/>
                <w:szCs w:val="17"/>
              </w:rPr>
            </w:pPr>
            <w:r w:rsidRPr="008168C5">
              <w:rPr>
                <w:rFonts w:cs="Segoe UI"/>
                <w:sz w:val="17"/>
                <w:szCs w:val="17"/>
              </w:rPr>
              <w:t xml:space="preserve">For rows 2 to 6 and 12 to 16, the amount should be the “outstanding default risk exposure” or “default risk exposure”, as the case may be, as defined under the BCR, for the derivative contracts or SFTs calculated in accordance with </w:t>
            </w:r>
            <w:r w:rsidRPr="008168C5">
              <w:rPr>
                <w:rFonts w:cs="Segoe UI"/>
                <w:sz w:val="17"/>
                <w:szCs w:val="17"/>
                <w:lang w:eastAsia="en-GB"/>
              </w:rPr>
              <w:t xml:space="preserve">Part 6A of </w:t>
            </w:r>
            <w:r w:rsidRPr="008168C5">
              <w:rPr>
                <w:rFonts w:cs="Segoe UI"/>
                <w:sz w:val="17"/>
                <w:szCs w:val="17"/>
              </w:rPr>
              <w:t xml:space="preserve">the BCR.  For any SFTs subject to </w:t>
            </w:r>
            <w:r w:rsidR="00C12E6E">
              <w:rPr>
                <w:rFonts w:cs="Segoe UI"/>
                <w:sz w:val="17"/>
                <w:szCs w:val="17"/>
              </w:rPr>
              <w:t xml:space="preserve">BCR </w:t>
            </w:r>
            <w:r w:rsidR="00C12E6E" w:rsidRPr="00C12E6E">
              <w:rPr>
                <w:rFonts w:cs="Segoe UI" w:hint="eastAsia"/>
                <w:sz w:val="17"/>
                <w:szCs w:val="17"/>
              </w:rPr>
              <w:t>§</w:t>
            </w:r>
            <w:r w:rsidRPr="008168C5">
              <w:rPr>
                <w:rFonts w:cs="Segoe UI"/>
                <w:sz w:val="17"/>
                <w:szCs w:val="17"/>
                <w:lang w:eastAsia="en-GB"/>
              </w:rPr>
              <w:t xml:space="preserve">226MJ where the CRM effect of any recognized collateral received under the SFTs </w:t>
            </w:r>
            <w:r w:rsidRPr="008168C5">
              <w:rPr>
                <w:rFonts w:cs="Segoe UI"/>
                <w:sz w:val="17"/>
                <w:szCs w:val="17"/>
              </w:rPr>
              <w:t xml:space="preserve">is </w:t>
            </w:r>
            <w:r w:rsidRPr="008168C5">
              <w:rPr>
                <w:rFonts w:cs="Segoe UI"/>
                <w:sz w:val="17"/>
                <w:szCs w:val="17"/>
                <w:lang w:eastAsia="en-GB"/>
              </w:rPr>
              <w:t xml:space="preserve">taken into account </w:t>
            </w:r>
            <w:r w:rsidRPr="008168C5">
              <w:rPr>
                <w:rFonts w:cs="Segoe UI"/>
                <w:sz w:val="17"/>
                <w:szCs w:val="17"/>
              </w:rPr>
              <w:t xml:space="preserve">by using the </w:t>
            </w:r>
            <w:r w:rsidRPr="008168C5">
              <w:rPr>
                <w:rFonts w:cs="Segoe UI"/>
                <w:sz w:val="17"/>
                <w:szCs w:val="17"/>
                <w:lang w:eastAsia="en-GB"/>
              </w:rPr>
              <w:t>comprehensive</w:t>
            </w:r>
            <w:r w:rsidRPr="008168C5">
              <w:rPr>
                <w:rFonts w:cs="Segoe UI"/>
                <w:sz w:val="17"/>
                <w:szCs w:val="17"/>
              </w:rPr>
              <w:t xml:space="preserve"> approach</w:t>
            </w:r>
            <w:r w:rsidRPr="008168C5">
              <w:rPr>
                <w:rFonts w:cs="Segoe UI"/>
                <w:sz w:val="17"/>
                <w:szCs w:val="17"/>
                <w:lang w:eastAsia="en-GB"/>
              </w:rPr>
              <w:t xml:space="preserve"> under Part 4 of the BCR</w:t>
            </w:r>
            <w:r w:rsidRPr="008168C5">
              <w:rPr>
                <w:rFonts w:cs="Segoe UI"/>
                <w:sz w:val="17"/>
                <w:szCs w:val="17"/>
              </w:rPr>
              <w:t xml:space="preserve">, the amount disclosed should be the </w:t>
            </w:r>
            <w:r w:rsidRPr="008168C5">
              <w:rPr>
                <w:rFonts w:cs="Segoe UI"/>
                <w:sz w:val="17"/>
                <w:szCs w:val="17"/>
                <w:lang w:eastAsia="en-GB"/>
              </w:rPr>
              <w:t>net credit exposure</w:t>
            </w:r>
            <w:r w:rsidRPr="008168C5">
              <w:rPr>
                <w:rFonts w:cs="Segoe UI"/>
                <w:sz w:val="17"/>
                <w:szCs w:val="17"/>
              </w:rPr>
              <w:t xml:space="preserve"> calculated </w:t>
            </w:r>
            <w:r w:rsidRPr="008168C5">
              <w:rPr>
                <w:rFonts w:cs="Segoe UI"/>
                <w:sz w:val="17"/>
                <w:szCs w:val="17"/>
                <w:lang w:eastAsia="en-GB"/>
              </w:rPr>
              <w:t xml:space="preserve">in accordance with </w:t>
            </w:r>
            <w:r w:rsidR="00D7002B">
              <w:rPr>
                <w:rFonts w:cs="Segoe UI"/>
                <w:sz w:val="17"/>
                <w:szCs w:val="17"/>
                <w:lang w:eastAsia="en-GB"/>
              </w:rPr>
              <w:t xml:space="preserve">BCR </w:t>
            </w:r>
            <w:r w:rsidR="00D7002B" w:rsidRPr="00D7002B">
              <w:rPr>
                <w:rFonts w:cs="Segoe UI" w:hint="eastAsia"/>
                <w:sz w:val="17"/>
                <w:szCs w:val="17"/>
                <w:lang w:eastAsia="en-GB"/>
              </w:rPr>
              <w:t>§</w:t>
            </w:r>
            <w:r w:rsidRPr="008168C5">
              <w:rPr>
                <w:rFonts w:cs="Segoe UI"/>
                <w:sz w:val="17"/>
                <w:szCs w:val="17"/>
                <w:lang w:eastAsia="en-GB"/>
              </w:rPr>
              <w:t>88</w:t>
            </w:r>
            <w:r w:rsidRPr="008168C5">
              <w:rPr>
                <w:rFonts w:cs="Segoe UI"/>
                <w:sz w:val="17"/>
                <w:szCs w:val="17"/>
              </w:rPr>
              <w:t>.</w:t>
            </w:r>
          </w:p>
          <w:p w14:paraId="7C3416F0" w14:textId="77777777" w:rsidR="002A0515" w:rsidRPr="008168C5" w:rsidRDefault="002A0515" w:rsidP="004A0D5D">
            <w:pPr>
              <w:pStyle w:val="ListParagraph"/>
              <w:keepLines/>
              <w:widowControl w:val="0"/>
              <w:numPr>
                <w:ilvl w:val="0"/>
                <w:numId w:val="62"/>
              </w:numPr>
              <w:spacing w:before="20" w:after="20"/>
              <w:ind w:leftChars="0" w:left="342" w:hanging="342"/>
              <w:jc w:val="both"/>
              <w:rPr>
                <w:szCs w:val="17"/>
              </w:rPr>
            </w:pPr>
            <w:r w:rsidRPr="008168C5">
              <w:rPr>
                <w:rFonts w:cs="Segoe UI"/>
                <w:sz w:val="17"/>
                <w:szCs w:val="17"/>
              </w:rPr>
              <w:t>For rows 7 to 10 and 17 to 20, the amount should be the amount of the initial margin posted or the amount of default fund contribution made or committed by the AI.</w:t>
            </w:r>
          </w:p>
        </w:tc>
      </w:tr>
      <w:tr w:rsidR="002A0515" w:rsidRPr="008168C5" w14:paraId="4F15EEE2" w14:textId="77777777" w:rsidTr="00A54BE4">
        <w:trPr>
          <w:trHeight w:val="373"/>
        </w:trPr>
        <w:tc>
          <w:tcPr>
            <w:tcW w:w="851" w:type="dxa"/>
          </w:tcPr>
          <w:p w14:paraId="21824838" w14:textId="77777777" w:rsidR="002A0515" w:rsidRPr="008168C5" w:rsidRDefault="002A0515" w:rsidP="00A54BE4">
            <w:pPr>
              <w:keepLines/>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t>(b)</w:t>
            </w:r>
          </w:p>
        </w:tc>
        <w:tc>
          <w:tcPr>
            <w:tcW w:w="8363" w:type="dxa"/>
          </w:tcPr>
          <w:p w14:paraId="1E1963CA" w14:textId="77777777" w:rsidR="002A0515" w:rsidRPr="008168C5" w:rsidRDefault="002A0515" w:rsidP="00A54BE4">
            <w:pPr>
              <w:pStyle w:val="TableText"/>
              <w:keepNext/>
              <w:jc w:val="both"/>
              <w:rPr>
                <w:szCs w:val="17"/>
              </w:rPr>
            </w:pPr>
            <w:r w:rsidRPr="008168C5">
              <w:rPr>
                <w:i/>
                <w:szCs w:val="17"/>
              </w:rPr>
              <w:t>RWA</w:t>
            </w:r>
            <w:r w:rsidRPr="008168C5">
              <w:rPr>
                <w:szCs w:val="17"/>
              </w:rPr>
              <w:t>: the RWA calculated in accordance with Division 4, Part 6A of the BCR</w:t>
            </w:r>
            <w:r w:rsidRPr="008168C5">
              <w:rPr>
                <w:rFonts w:cs="Segoe UI"/>
                <w:szCs w:val="17"/>
                <w:lang w:eastAsia="en-GB"/>
              </w:rPr>
              <w:t>.</w:t>
            </w:r>
          </w:p>
        </w:tc>
      </w:tr>
      <w:tr w:rsidR="002A0515" w:rsidRPr="008168C5" w14:paraId="47B3EC08" w14:textId="77777777" w:rsidTr="00A54BE4">
        <w:trPr>
          <w:trHeight w:val="373"/>
        </w:trPr>
        <w:tc>
          <w:tcPr>
            <w:tcW w:w="9214" w:type="dxa"/>
            <w:gridSpan w:val="2"/>
            <w:shd w:val="clear" w:color="auto" w:fill="F2F2F2"/>
          </w:tcPr>
          <w:p w14:paraId="177A3E47" w14:textId="77777777" w:rsidR="002A0515" w:rsidRPr="008168C5" w:rsidRDefault="002A0515" w:rsidP="00A54BE4">
            <w:pPr>
              <w:spacing w:before="40" w:after="40"/>
              <w:jc w:val="both"/>
              <w:rPr>
                <w:i/>
                <w:szCs w:val="17"/>
              </w:rPr>
            </w:pPr>
            <w:r w:rsidRPr="008168C5">
              <w:rPr>
                <w:rFonts w:eastAsia="新細明體"/>
                <w:b/>
                <w:sz w:val="17"/>
                <w:szCs w:val="17"/>
                <w:lang w:eastAsia="en-GB"/>
              </w:rPr>
              <w:t>Rows</w:t>
            </w:r>
          </w:p>
        </w:tc>
      </w:tr>
      <w:tr w:rsidR="002A0515" w:rsidRPr="008168C5" w14:paraId="67272DE4" w14:textId="77777777" w:rsidTr="00A54BE4">
        <w:trPr>
          <w:trHeight w:val="373"/>
        </w:trPr>
        <w:tc>
          <w:tcPr>
            <w:tcW w:w="851" w:type="dxa"/>
          </w:tcPr>
          <w:p w14:paraId="5C72B842" w14:textId="77777777" w:rsidR="002A0515" w:rsidRPr="008168C5" w:rsidRDefault="002A0515" w:rsidP="00A54BE4">
            <w:pPr>
              <w:keepLines/>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t>1 &amp; 11</w:t>
            </w:r>
          </w:p>
        </w:tc>
        <w:tc>
          <w:tcPr>
            <w:tcW w:w="8363" w:type="dxa"/>
          </w:tcPr>
          <w:p w14:paraId="3813B583" w14:textId="77777777" w:rsidR="002A0515" w:rsidRPr="008168C5" w:rsidRDefault="002A0515" w:rsidP="00A54BE4">
            <w:pPr>
              <w:pStyle w:val="TableNote"/>
              <w:keepNext/>
              <w:rPr>
                <w:i/>
                <w:szCs w:val="17"/>
              </w:rPr>
            </w:pPr>
            <w:r w:rsidRPr="008168C5">
              <w:rPr>
                <w:rFonts w:cs="Segoe UI"/>
                <w:i/>
                <w:sz w:val="17"/>
                <w:szCs w:val="17"/>
                <w:lang w:eastAsia="en-GB"/>
              </w:rPr>
              <w:t>Exposures of the AI as clearing member or clearing client to qualifying CCPs / non-qualifying CCPs (total)</w:t>
            </w:r>
            <w:r w:rsidRPr="008168C5">
              <w:rPr>
                <w:rFonts w:cs="Segoe UI"/>
                <w:sz w:val="17"/>
                <w:szCs w:val="17"/>
                <w:lang w:eastAsia="en-GB"/>
              </w:rPr>
              <w:t>: for column (b), the value in row 1 should equal the sum of values in rows 2, 8, 9 and 10; the value in row 11 should equal the sum of values in rows 12, 18, 19 and 20.  Column (a) should be left blank.</w:t>
            </w:r>
          </w:p>
        </w:tc>
      </w:tr>
      <w:tr w:rsidR="002A0515" w:rsidRPr="008168C5" w14:paraId="2F89B112" w14:textId="77777777" w:rsidTr="00A54BE4">
        <w:trPr>
          <w:trHeight w:val="373"/>
        </w:trPr>
        <w:tc>
          <w:tcPr>
            <w:tcW w:w="851" w:type="dxa"/>
          </w:tcPr>
          <w:p w14:paraId="651872B8" w14:textId="77777777" w:rsidR="002A0515" w:rsidRPr="008168C5" w:rsidRDefault="002A0515" w:rsidP="00A54BE4">
            <w:pPr>
              <w:keepLines/>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t>2 &amp; 12</w:t>
            </w:r>
          </w:p>
        </w:tc>
        <w:tc>
          <w:tcPr>
            <w:tcW w:w="8363" w:type="dxa"/>
          </w:tcPr>
          <w:p w14:paraId="75F5F673" w14:textId="77777777" w:rsidR="002A0515" w:rsidRPr="008168C5" w:rsidRDefault="002A0515" w:rsidP="00A54BE4">
            <w:pPr>
              <w:pStyle w:val="TableText"/>
              <w:keepNext/>
              <w:jc w:val="both"/>
              <w:rPr>
                <w:rFonts w:cs="Segoe UI"/>
                <w:szCs w:val="17"/>
                <w:lang w:eastAsia="en-GB"/>
              </w:rPr>
            </w:pPr>
            <w:r w:rsidRPr="008168C5">
              <w:rPr>
                <w:rFonts w:cs="Segoe UI"/>
                <w:i/>
                <w:szCs w:val="17"/>
                <w:lang w:eastAsia="en-GB"/>
              </w:rPr>
              <w:t>Default risk exposures to qualifying CCPs / non-qualifying CCPs (excluding items disclosed in rows 7 to 10 / rows 17 to 20</w:t>
            </w:r>
            <w:r w:rsidRPr="008168C5">
              <w:rPr>
                <w:rFonts w:cs="Segoe UI"/>
                <w:szCs w:val="17"/>
                <w:lang w:eastAsia="en-GB"/>
              </w:rPr>
              <w:t xml:space="preserve">): the default risk exposures disclosed should include all exposures that are, or regarded as, default risk exposures to qualifying CCPs or to non-qualifying CCPs in accordance with the requirements set out in Division 4, Part 6A of the BCR. </w:t>
            </w:r>
          </w:p>
          <w:p w14:paraId="77FC9269" w14:textId="77777777" w:rsidR="002A0515" w:rsidRPr="008168C5" w:rsidRDefault="002A0515" w:rsidP="00A54BE4">
            <w:pPr>
              <w:pStyle w:val="TableText"/>
              <w:keepNext/>
              <w:jc w:val="both"/>
              <w:rPr>
                <w:rFonts w:cs="Segoe UI"/>
                <w:szCs w:val="17"/>
                <w:lang w:eastAsia="en-GB"/>
              </w:rPr>
            </w:pPr>
            <w:r w:rsidRPr="008168C5">
              <w:rPr>
                <w:rFonts w:cs="Segoe UI"/>
                <w:szCs w:val="17"/>
                <w:lang w:eastAsia="en-GB"/>
              </w:rPr>
              <w:t>The values in row 2 should equal the sum of values in rows 3 to 6; the value in row 12 should equal the sum of values in rows 13 to 16.</w:t>
            </w:r>
          </w:p>
        </w:tc>
      </w:tr>
      <w:tr w:rsidR="002A0515" w:rsidRPr="008168C5" w14:paraId="53CC13A4" w14:textId="77777777" w:rsidTr="00A54BE4">
        <w:trPr>
          <w:trHeight w:val="373"/>
        </w:trPr>
        <w:tc>
          <w:tcPr>
            <w:tcW w:w="851" w:type="dxa"/>
          </w:tcPr>
          <w:p w14:paraId="505ABACF" w14:textId="77777777" w:rsidR="002A0515" w:rsidRPr="008168C5" w:rsidRDefault="002A0515" w:rsidP="00A54BE4">
            <w:pPr>
              <w:keepLines/>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t>3 &amp; 13</w:t>
            </w:r>
          </w:p>
        </w:tc>
        <w:tc>
          <w:tcPr>
            <w:tcW w:w="8363" w:type="dxa"/>
          </w:tcPr>
          <w:p w14:paraId="43BD64AD" w14:textId="77777777" w:rsidR="002A0515" w:rsidRPr="008168C5" w:rsidRDefault="002A0515" w:rsidP="00A54BE4">
            <w:pPr>
              <w:pStyle w:val="TableText"/>
              <w:keepNext/>
              <w:jc w:val="both"/>
              <w:rPr>
                <w:rFonts w:cs="Segoe UI"/>
                <w:szCs w:val="17"/>
                <w:lang w:eastAsia="en-GB"/>
              </w:rPr>
            </w:pPr>
            <w:r w:rsidRPr="008168C5">
              <w:rPr>
                <w:rFonts w:cs="Segoe UI"/>
                <w:i/>
                <w:szCs w:val="17"/>
                <w:lang w:eastAsia="en-GB"/>
              </w:rPr>
              <w:t>(i) OTC derivative transactions</w:t>
            </w:r>
            <w:r w:rsidRPr="008168C5">
              <w:rPr>
                <w:rFonts w:cs="Segoe UI"/>
                <w:szCs w:val="17"/>
                <w:lang w:eastAsia="en-GB"/>
              </w:rPr>
              <w:t>: this has the meaning given to it by the BCR.</w:t>
            </w:r>
          </w:p>
        </w:tc>
      </w:tr>
      <w:tr w:rsidR="002A0515" w:rsidRPr="008168C5" w14:paraId="770DCDF9" w14:textId="77777777" w:rsidTr="00A54BE4">
        <w:trPr>
          <w:trHeight w:val="373"/>
        </w:trPr>
        <w:tc>
          <w:tcPr>
            <w:tcW w:w="851" w:type="dxa"/>
          </w:tcPr>
          <w:p w14:paraId="571A6FC4" w14:textId="77777777" w:rsidR="002A0515" w:rsidRPr="008168C5" w:rsidRDefault="002A0515" w:rsidP="00A54BE4">
            <w:pPr>
              <w:keepLines/>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t>4 &amp; 14</w:t>
            </w:r>
          </w:p>
        </w:tc>
        <w:tc>
          <w:tcPr>
            <w:tcW w:w="8363" w:type="dxa"/>
          </w:tcPr>
          <w:p w14:paraId="2C3E8F57" w14:textId="77777777" w:rsidR="002A0515" w:rsidRPr="008168C5" w:rsidRDefault="002A0515" w:rsidP="00A54BE4">
            <w:pPr>
              <w:pStyle w:val="TableText"/>
              <w:keepNext/>
              <w:jc w:val="both"/>
              <w:rPr>
                <w:rFonts w:cs="Segoe UI"/>
                <w:szCs w:val="17"/>
                <w:lang w:eastAsia="en-GB"/>
              </w:rPr>
            </w:pPr>
            <w:r w:rsidRPr="008168C5">
              <w:rPr>
                <w:rFonts w:cs="Segoe UI"/>
                <w:i/>
                <w:szCs w:val="17"/>
                <w:lang w:eastAsia="en-GB"/>
              </w:rPr>
              <w:t>(ii) Exchange-traded derivative contracts</w:t>
            </w:r>
            <w:r w:rsidRPr="008168C5">
              <w:rPr>
                <w:rFonts w:cs="Segoe UI"/>
                <w:szCs w:val="17"/>
                <w:lang w:eastAsia="en-GB"/>
              </w:rPr>
              <w:t xml:space="preserve">: a derivative contract other than an OTC derivative transaction.  </w:t>
            </w:r>
          </w:p>
        </w:tc>
      </w:tr>
      <w:tr w:rsidR="002A0515" w:rsidRPr="008168C5" w14:paraId="1C44F4CA" w14:textId="77777777" w:rsidTr="00A54BE4">
        <w:trPr>
          <w:trHeight w:val="373"/>
        </w:trPr>
        <w:tc>
          <w:tcPr>
            <w:tcW w:w="851" w:type="dxa"/>
          </w:tcPr>
          <w:p w14:paraId="67A3D3B3" w14:textId="77777777" w:rsidR="002A0515" w:rsidRPr="008168C5" w:rsidRDefault="002A0515" w:rsidP="00A54BE4">
            <w:pPr>
              <w:keepLines/>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t>5 &amp; 15</w:t>
            </w:r>
          </w:p>
        </w:tc>
        <w:tc>
          <w:tcPr>
            <w:tcW w:w="8363" w:type="dxa"/>
          </w:tcPr>
          <w:p w14:paraId="12FD58D1" w14:textId="77777777" w:rsidR="002A0515" w:rsidRPr="008168C5" w:rsidRDefault="002A0515" w:rsidP="00A54BE4">
            <w:pPr>
              <w:pStyle w:val="TableText"/>
              <w:keepNext/>
              <w:jc w:val="both"/>
              <w:rPr>
                <w:rFonts w:cs="Segoe UI"/>
                <w:szCs w:val="17"/>
                <w:lang w:eastAsia="en-GB"/>
              </w:rPr>
            </w:pPr>
            <w:r w:rsidRPr="008168C5">
              <w:rPr>
                <w:rFonts w:cs="Segoe UI"/>
                <w:i/>
                <w:szCs w:val="17"/>
                <w:lang w:eastAsia="en-GB"/>
              </w:rPr>
              <w:t>(iii) Securities financing transactions</w:t>
            </w:r>
            <w:r w:rsidRPr="008168C5">
              <w:rPr>
                <w:rFonts w:cs="Segoe UI"/>
                <w:szCs w:val="17"/>
                <w:lang w:eastAsia="en-GB"/>
              </w:rPr>
              <w:t>: this has the meaning given to it by the BCR.</w:t>
            </w:r>
          </w:p>
        </w:tc>
      </w:tr>
      <w:tr w:rsidR="002A0515" w:rsidRPr="008168C5" w14:paraId="7E1B9F4A" w14:textId="77777777" w:rsidTr="00A54BE4">
        <w:trPr>
          <w:trHeight w:val="373"/>
        </w:trPr>
        <w:tc>
          <w:tcPr>
            <w:tcW w:w="851" w:type="dxa"/>
          </w:tcPr>
          <w:p w14:paraId="1C6F98F7" w14:textId="77777777" w:rsidR="002A0515" w:rsidRPr="008168C5" w:rsidRDefault="002A0515" w:rsidP="00A54BE4">
            <w:pPr>
              <w:keepLines/>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t>6 &amp; 16</w:t>
            </w:r>
          </w:p>
        </w:tc>
        <w:tc>
          <w:tcPr>
            <w:tcW w:w="8363" w:type="dxa"/>
          </w:tcPr>
          <w:p w14:paraId="004BFC53" w14:textId="77777777" w:rsidR="002A0515" w:rsidRPr="008168C5" w:rsidRDefault="002A0515" w:rsidP="00A54BE4">
            <w:pPr>
              <w:pStyle w:val="TableText"/>
              <w:keepNext/>
              <w:jc w:val="both"/>
              <w:rPr>
                <w:rFonts w:cs="Segoe UI"/>
                <w:szCs w:val="17"/>
                <w:lang w:eastAsia="en-GB"/>
              </w:rPr>
            </w:pPr>
            <w:r w:rsidRPr="008168C5">
              <w:rPr>
                <w:rFonts w:cs="Segoe UI"/>
                <w:i/>
                <w:szCs w:val="17"/>
                <w:lang w:eastAsia="en-GB"/>
              </w:rPr>
              <w:t>(iv) Netting sets subject to valid cross-product netting agreements</w:t>
            </w:r>
            <w:r w:rsidRPr="008168C5">
              <w:rPr>
                <w:rFonts w:cs="Segoe UI"/>
                <w:szCs w:val="17"/>
                <w:lang w:eastAsia="en-GB"/>
              </w:rPr>
              <w:t>: netting set as defined by the BCR where the netting could be done according to a valid cross-product netting agreement.</w:t>
            </w:r>
          </w:p>
        </w:tc>
      </w:tr>
      <w:tr w:rsidR="002A0515" w:rsidRPr="008168C5" w14:paraId="6ECC0CB5" w14:textId="77777777" w:rsidTr="00A54BE4">
        <w:trPr>
          <w:trHeight w:val="373"/>
        </w:trPr>
        <w:tc>
          <w:tcPr>
            <w:tcW w:w="851" w:type="dxa"/>
          </w:tcPr>
          <w:p w14:paraId="04BAE15C" w14:textId="77777777" w:rsidR="002A0515" w:rsidRPr="008168C5" w:rsidRDefault="002A0515" w:rsidP="00A54BE4">
            <w:pPr>
              <w:keepLines/>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t>7 &amp; 17</w:t>
            </w:r>
          </w:p>
        </w:tc>
        <w:tc>
          <w:tcPr>
            <w:tcW w:w="8363" w:type="dxa"/>
          </w:tcPr>
          <w:p w14:paraId="10643182" w14:textId="77777777" w:rsidR="002A0515" w:rsidRPr="008168C5" w:rsidRDefault="002A0515" w:rsidP="00A54BE4">
            <w:pPr>
              <w:spacing w:before="60" w:after="120"/>
              <w:jc w:val="both"/>
              <w:rPr>
                <w:rFonts w:cs="Segoe UI"/>
                <w:sz w:val="17"/>
                <w:szCs w:val="17"/>
                <w:lang w:eastAsia="en-GB"/>
              </w:rPr>
            </w:pPr>
            <w:r w:rsidRPr="008168C5">
              <w:rPr>
                <w:rFonts w:cs="Segoe UI"/>
                <w:i/>
                <w:sz w:val="17"/>
                <w:szCs w:val="17"/>
                <w:lang w:eastAsia="en-GB"/>
              </w:rPr>
              <w:t>Segregated initial margin</w:t>
            </w:r>
            <w:r w:rsidRPr="008168C5">
              <w:rPr>
                <w:rFonts w:cs="Segoe UI"/>
                <w:sz w:val="17"/>
                <w:szCs w:val="17"/>
                <w:lang w:eastAsia="en-GB"/>
              </w:rPr>
              <w:t xml:space="preserve">: the initial margin held in a bankruptcy remote manner.  For the purposes of this template, initial margin does not include contributions to a CCP for mutualised loss-sharing arrangements (i.e. </w:t>
            </w:r>
            <w:r w:rsidRPr="008168C5">
              <w:rPr>
                <w:rFonts w:cs="Segoe UI"/>
                <w:sz w:val="17"/>
                <w:szCs w:val="17"/>
                <w:lang w:eastAsia="en-GB"/>
              </w:rPr>
              <w:lastRenderedPageBreak/>
              <w:t>in cases where a CCP uses initial margin to mutualise losses among the clearing members, such margin will be treated as a default fund exposure).</w:t>
            </w:r>
          </w:p>
        </w:tc>
      </w:tr>
      <w:tr w:rsidR="002A0515" w:rsidRPr="008168C5" w14:paraId="2ED7C404" w14:textId="77777777" w:rsidTr="00A54BE4">
        <w:trPr>
          <w:trHeight w:val="373"/>
        </w:trPr>
        <w:tc>
          <w:tcPr>
            <w:tcW w:w="851" w:type="dxa"/>
          </w:tcPr>
          <w:p w14:paraId="25107CB5" w14:textId="77777777" w:rsidR="002A0515" w:rsidRPr="008168C5" w:rsidRDefault="002A0515" w:rsidP="00A54BE4">
            <w:pPr>
              <w:keepLines/>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lastRenderedPageBreak/>
              <w:t>8 &amp; 18</w:t>
            </w:r>
          </w:p>
        </w:tc>
        <w:tc>
          <w:tcPr>
            <w:tcW w:w="8363" w:type="dxa"/>
          </w:tcPr>
          <w:p w14:paraId="048CF676" w14:textId="77777777" w:rsidR="002A0515" w:rsidRPr="008168C5" w:rsidRDefault="002A0515" w:rsidP="00A54BE4">
            <w:pPr>
              <w:pStyle w:val="TableText"/>
              <w:keepNext/>
              <w:jc w:val="both"/>
              <w:rPr>
                <w:rFonts w:cs="Segoe UI"/>
                <w:szCs w:val="17"/>
                <w:lang w:eastAsia="en-GB"/>
              </w:rPr>
            </w:pPr>
            <w:r w:rsidRPr="008168C5">
              <w:rPr>
                <w:rFonts w:cs="Segoe UI"/>
                <w:i/>
                <w:szCs w:val="17"/>
                <w:lang w:eastAsia="en-GB"/>
              </w:rPr>
              <w:t>Unsegregated initial margin</w:t>
            </w:r>
            <w:r w:rsidRPr="008168C5">
              <w:rPr>
                <w:rFonts w:cs="Segoe UI"/>
                <w:szCs w:val="17"/>
                <w:lang w:eastAsia="en-GB"/>
              </w:rPr>
              <w:t>: it means the initial margin not held in a bankruptcy remote manner.  Similar to the above, for the purposes of this template, initial margin does not include contributions to a CCP for mutualised loss-sharing arrangements.</w:t>
            </w:r>
          </w:p>
        </w:tc>
      </w:tr>
      <w:tr w:rsidR="002A0515" w:rsidRPr="008168C5" w14:paraId="18CC1742" w14:textId="77777777" w:rsidTr="00A54BE4">
        <w:trPr>
          <w:trHeight w:val="373"/>
        </w:trPr>
        <w:tc>
          <w:tcPr>
            <w:tcW w:w="851" w:type="dxa"/>
          </w:tcPr>
          <w:p w14:paraId="26879B4E" w14:textId="77777777" w:rsidR="002A0515" w:rsidRPr="008168C5" w:rsidRDefault="002A0515" w:rsidP="00A54BE4">
            <w:pPr>
              <w:keepLines/>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t>9 &amp; 19</w:t>
            </w:r>
          </w:p>
        </w:tc>
        <w:tc>
          <w:tcPr>
            <w:tcW w:w="8363" w:type="dxa"/>
          </w:tcPr>
          <w:p w14:paraId="3B5DCE9C" w14:textId="77777777" w:rsidR="002A0515" w:rsidRPr="008168C5" w:rsidRDefault="002A0515" w:rsidP="00A54BE4">
            <w:pPr>
              <w:pStyle w:val="TableNote"/>
              <w:keepNext/>
              <w:rPr>
                <w:rFonts w:cs="Segoe UI"/>
                <w:sz w:val="17"/>
                <w:szCs w:val="17"/>
                <w:lang w:eastAsia="en-GB"/>
              </w:rPr>
            </w:pPr>
            <w:r w:rsidRPr="008168C5">
              <w:rPr>
                <w:rFonts w:cs="Segoe UI"/>
                <w:i/>
                <w:sz w:val="17"/>
                <w:szCs w:val="17"/>
                <w:lang w:eastAsia="en-GB"/>
              </w:rPr>
              <w:t>Funded default fund contributions</w:t>
            </w:r>
            <w:r w:rsidRPr="008168C5">
              <w:rPr>
                <w:rFonts w:cs="Segoe UI"/>
                <w:sz w:val="17"/>
                <w:szCs w:val="17"/>
                <w:lang w:eastAsia="en-GB"/>
              </w:rPr>
              <w:t>: the meaning of this term should be in line with that of “default fund contribution” under the BCR and the usage of “funded default fund contribution” in Division 4, Part 6A of the BCR.</w:t>
            </w:r>
          </w:p>
        </w:tc>
      </w:tr>
      <w:tr w:rsidR="002A0515" w:rsidRPr="008168C5" w14:paraId="27DD1869" w14:textId="77777777" w:rsidTr="00A54BE4">
        <w:trPr>
          <w:trHeight w:val="373"/>
        </w:trPr>
        <w:tc>
          <w:tcPr>
            <w:tcW w:w="851" w:type="dxa"/>
          </w:tcPr>
          <w:p w14:paraId="68A4F79F" w14:textId="77777777" w:rsidR="002A0515" w:rsidRPr="008168C5" w:rsidRDefault="002A0515" w:rsidP="00A54BE4">
            <w:pPr>
              <w:keepLines/>
              <w:widowControl w:val="0"/>
              <w:tabs>
                <w:tab w:val="left" w:pos="150"/>
                <w:tab w:val="left" w:pos="397"/>
                <w:tab w:val="left" w:pos="794"/>
                <w:tab w:val="left" w:pos="1191"/>
              </w:tabs>
              <w:spacing w:before="40" w:after="40"/>
              <w:rPr>
                <w:rFonts w:cs="Segoe UI"/>
                <w:sz w:val="17"/>
                <w:szCs w:val="17"/>
                <w:lang w:eastAsia="en-GB"/>
              </w:rPr>
            </w:pPr>
            <w:r w:rsidRPr="008168C5">
              <w:rPr>
                <w:rFonts w:cs="Segoe UI"/>
                <w:sz w:val="17"/>
                <w:szCs w:val="17"/>
                <w:lang w:eastAsia="en-GB"/>
              </w:rPr>
              <w:t>10 &amp; 20</w:t>
            </w:r>
          </w:p>
        </w:tc>
        <w:tc>
          <w:tcPr>
            <w:tcW w:w="8363" w:type="dxa"/>
          </w:tcPr>
          <w:p w14:paraId="1BBC74E4" w14:textId="77777777" w:rsidR="002A0515" w:rsidRPr="008168C5" w:rsidRDefault="002A0515" w:rsidP="00A54BE4">
            <w:pPr>
              <w:pStyle w:val="TableNote"/>
              <w:keepNext/>
              <w:rPr>
                <w:rFonts w:cs="Segoe UI"/>
                <w:sz w:val="17"/>
                <w:szCs w:val="17"/>
                <w:lang w:eastAsia="en-GB"/>
              </w:rPr>
            </w:pPr>
            <w:r w:rsidRPr="008168C5">
              <w:rPr>
                <w:rFonts w:cs="Segoe UI"/>
                <w:i/>
                <w:sz w:val="17"/>
                <w:szCs w:val="17"/>
                <w:lang w:eastAsia="en-GB"/>
              </w:rPr>
              <w:t>Unfunded default fund contributions</w:t>
            </w:r>
            <w:r w:rsidRPr="008168C5">
              <w:rPr>
                <w:rFonts w:cs="Segoe UI"/>
                <w:sz w:val="17"/>
                <w:szCs w:val="17"/>
                <w:lang w:eastAsia="en-GB"/>
              </w:rPr>
              <w:t>: the meaning of this term should be in line with that of “default fund contribution” under the BCR and the usage of “unfunded default fund contribution” in Division 4, Part 6A of the BCR.</w:t>
            </w:r>
          </w:p>
        </w:tc>
      </w:tr>
    </w:tbl>
    <w:p w14:paraId="6171C80D" w14:textId="77777777" w:rsidR="00D83BF0" w:rsidRDefault="00D83BF0" w:rsidP="007C29DB">
      <w:pPr>
        <w:rPr>
          <w:sz w:val="22"/>
        </w:rPr>
        <w:sectPr w:rsidR="00D83BF0" w:rsidSect="007C29DB">
          <w:headerReference w:type="default" r:id="rId64"/>
          <w:footerReference w:type="default" r:id="rId65"/>
          <w:pgSz w:w="11906" w:h="16838" w:code="9"/>
          <w:pgMar w:top="1440" w:right="1797" w:bottom="1440" w:left="1797" w:header="851" w:footer="737" w:gutter="0"/>
          <w:cols w:space="425"/>
          <w:docGrid w:type="linesAndChars" w:linePitch="360"/>
        </w:sectPr>
      </w:pPr>
    </w:p>
    <w:p w14:paraId="2994218D" w14:textId="4F04735F" w:rsidR="00F65190" w:rsidRDefault="00F65190" w:rsidP="006F6AE4">
      <w:pPr>
        <w:pStyle w:val="Heading1"/>
        <w:tabs>
          <w:tab w:val="left" w:pos="426"/>
        </w:tabs>
        <w:ind w:hanging="142"/>
      </w:pPr>
      <w:r>
        <w:lastRenderedPageBreak/>
        <w:t xml:space="preserve">Part </w:t>
      </w:r>
      <w:r w:rsidRPr="006A5381">
        <w:t>IVA</w:t>
      </w:r>
      <w:r w:rsidR="006F6AE4">
        <w:t xml:space="preserve">: </w:t>
      </w:r>
      <w:r>
        <w:t>Credit valuation adjustment risk</w:t>
      </w:r>
    </w:p>
    <w:p w14:paraId="343E984E" w14:textId="0AEE8880" w:rsidR="00F65190" w:rsidRPr="00551F0E" w:rsidRDefault="001A7C28" w:rsidP="006F6AE4">
      <w:pPr>
        <w:pStyle w:val="Heading2"/>
        <w:ind w:firstLine="312"/>
      </w:pPr>
      <w:r>
        <w:t xml:space="preserve">Table CVAA: </w:t>
      </w:r>
      <w:r w:rsidR="00F65190" w:rsidRPr="00551F0E">
        <w:t>Qualitative disclosures related to CVA risk</w:t>
      </w:r>
    </w:p>
    <w:tbl>
      <w:tblPr>
        <w:tblW w:w="9242" w:type="dxa"/>
        <w:tblInd w:w="-142"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DB061B" w14:paraId="305BC449" w14:textId="77777777" w:rsidTr="006F6AE4">
        <w:tc>
          <w:tcPr>
            <w:tcW w:w="2008" w:type="dxa"/>
            <w:tcBorders>
              <w:top w:val="single" w:sz="4" w:space="0" w:color="auto"/>
              <w:left w:val="nil"/>
              <w:bottom w:val="single" w:sz="4" w:space="0" w:color="auto"/>
              <w:right w:val="single" w:sz="4" w:space="0" w:color="auto"/>
            </w:tcBorders>
            <w:hideMark/>
          </w:tcPr>
          <w:p w14:paraId="53FDC894" w14:textId="77777777" w:rsidR="00DB061B" w:rsidRDefault="00DB061B" w:rsidP="00AB074C">
            <w:pPr>
              <w:spacing w:before="40" w:after="40"/>
              <w:rPr>
                <w:noProof/>
                <w:sz w:val="17"/>
                <w:lang w:eastAsia="en-GB"/>
              </w:rPr>
            </w:pPr>
            <w:r>
              <w:rPr>
                <w:b/>
                <w:sz w:val="17"/>
                <w:lang w:eastAsia="en-GB"/>
              </w:rPr>
              <w:t>Purpose:</w:t>
            </w:r>
          </w:p>
        </w:tc>
        <w:tc>
          <w:tcPr>
            <w:tcW w:w="7234" w:type="dxa"/>
            <w:tcBorders>
              <w:top w:val="single" w:sz="4" w:space="0" w:color="auto"/>
              <w:left w:val="single" w:sz="4" w:space="0" w:color="auto"/>
              <w:bottom w:val="single" w:sz="4" w:space="0" w:color="auto"/>
              <w:right w:val="nil"/>
            </w:tcBorders>
            <w:hideMark/>
          </w:tcPr>
          <w:p w14:paraId="4A04AC88" w14:textId="77777777" w:rsidR="00DB061B" w:rsidRDefault="00DB061B" w:rsidP="00AB074C">
            <w:pPr>
              <w:pStyle w:val="Default"/>
              <w:jc w:val="both"/>
              <w:rPr>
                <w:sz w:val="17"/>
                <w:szCs w:val="17"/>
              </w:rPr>
            </w:pPr>
            <w:r>
              <w:rPr>
                <w:sz w:val="17"/>
                <w:szCs w:val="17"/>
              </w:rPr>
              <w:t>To provide a description of the risk management objectives and policies for CVA risk.</w:t>
            </w:r>
          </w:p>
        </w:tc>
      </w:tr>
      <w:tr w:rsidR="00DB061B" w14:paraId="29EC8B1D" w14:textId="77777777" w:rsidTr="006F6AE4">
        <w:tc>
          <w:tcPr>
            <w:tcW w:w="2008" w:type="dxa"/>
            <w:tcBorders>
              <w:top w:val="single" w:sz="4" w:space="0" w:color="auto"/>
              <w:left w:val="nil"/>
              <w:bottom w:val="single" w:sz="4" w:space="0" w:color="auto"/>
              <w:right w:val="single" w:sz="4" w:space="0" w:color="auto"/>
            </w:tcBorders>
            <w:hideMark/>
          </w:tcPr>
          <w:p w14:paraId="4B85E70E" w14:textId="77777777" w:rsidR="00DB061B" w:rsidRDefault="00DB061B" w:rsidP="00AB074C">
            <w:pPr>
              <w:spacing w:before="40" w:after="40"/>
              <w:rPr>
                <w:b/>
                <w:sz w:val="17"/>
                <w:lang w:eastAsia="en-GB"/>
              </w:rPr>
            </w:pPr>
            <w:r>
              <w:rPr>
                <w:b/>
                <w:sz w:val="17"/>
                <w:lang w:eastAsia="en-GB"/>
              </w:rPr>
              <w:t>Scope of application:</w:t>
            </w:r>
          </w:p>
        </w:tc>
        <w:tc>
          <w:tcPr>
            <w:tcW w:w="7234" w:type="dxa"/>
            <w:tcBorders>
              <w:top w:val="single" w:sz="4" w:space="0" w:color="auto"/>
              <w:left w:val="single" w:sz="4" w:space="0" w:color="auto"/>
              <w:bottom w:val="single" w:sz="4" w:space="0" w:color="auto"/>
              <w:right w:val="nil"/>
            </w:tcBorders>
            <w:hideMark/>
          </w:tcPr>
          <w:p w14:paraId="6AFDE950" w14:textId="77777777" w:rsidR="00DB061B" w:rsidRDefault="00DB061B" w:rsidP="00AB074C">
            <w:pPr>
              <w:spacing w:before="40" w:after="40"/>
              <w:jc w:val="both"/>
              <w:rPr>
                <w:sz w:val="17"/>
                <w:lang w:eastAsia="en-GB"/>
              </w:rPr>
            </w:pPr>
            <w:r>
              <w:rPr>
                <w:sz w:val="17"/>
                <w:lang w:eastAsia="en-GB"/>
              </w:rPr>
              <w:t xml:space="preserve">The table is mandatory for all AIs incorporated in Hong Kong that are subject to CVA risk </w:t>
            </w:r>
            <w:r w:rsidRPr="00F833C5">
              <w:rPr>
                <w:sz w:val="17"/>
                <w:lang w:eastAsia="en-GB"/>
              </w:rPr>
              <w:t>capital charges, including</w:t>
            </w:r>
            <w:r>
              <w:rPr>
                <w:sz w:val="17"/>
                <w:lang w:eastAsia="en-GB"/>
              </w:rPr>
              <w:t xml:space="preserve"> AIs which are qualified and have chosen to calculate their RWA for CVA risk at 100% of their RWA for counterparty credit risk exposures as prescribed under the BCR. </w:t>
            </w:r>
          </w:p>
        </w:tc>
      </w:tr>
      <w:tr w:rsidR="00DB061B" w14:paraId="560D8C34" w14:textId="77777777" w:rsidTr="006F6AE4">
        <w:tc>
          <w:tcPr>
            <w:tcW w:w="2008" w:type="dxa"/>
            <w:tcBorders>
              <w:top w:val="single" w:sz="4" w:space="0" w:color="auto"/>
              <w:left w:val="nil"/>
              <w:bottom w:val="single" w:sz="4" w:space="0" w:color="auto"/>
              <w:right w:val="single" w:sz="4" w:space="0" w:color="auto"/>
            </w:tcBorders>
            <w:hideMark/>
          </w:tcPr>
          <w:p w14:paraId="72A1A47C" w14:textId="77777777" w:rsidR="00DB061B" w:rsidRDefault="00DB061B" w:rsidP="00AB074C">
            <w:pPr>
              <w:spacing w:before="40" w:after="40"/>
              <w:rPr>
                <w:b/>
                <w:sz w:val="17"/>
                <w:lang w:eastAsia="en-GB"/>
              </w:rPr>
            </w:pPr>
            <w:r>
              <w:rPr>
                <w:b/>
                <w:sz w:val="17"/>
                <w:lang w:eastAsia="en-GB"/>
              </w:rPr>
              <w:t>Content:</w:t>
            </w:r>
          </w:p>
        </w:tc>
        <w:tc>
          <w:tcPr>
            <w:tcW w:w="7234" w:type="dxa"/>
            <w:tcBorders>
              <w:top w:val="single" w:sz="4" w:space="0" w:color="auto"/>
              <w:left w:val="single" w:sz="4" w:space="0" w:color="auto"/>
              <w:bottom w:val="single" w:sz="4" w:space="0" w:color="auto"/>
              <w:right w:val="nil"/>
            </w:tcBorders>
            <w:hideMark/>
          </w:tcPr>
          <w:p w14:paraId="3E3017CB" w14:textId="77777777" w:rsidR="00DB061B" w:rsidRDefault="00DB061B" w:rsidP="00AB074C">
            <w:pPr>
              <w:spacing w:before="40" w:after="40"/>
              <w:jc w:val="both"/>
              <w:rPr>
                <w:sz w:val="17"/>
                <w:lang w:eastAsia="en-GB"/>
              </w:rPr>
            </w:pPr>
            <w:r>
              <w:rPr>
                <w:sz w:val="17"/>
                <w:lang w:eastAsia="en-GB"/>
              </w:rPr>
              <w:t>Qualitative information.</w:t>
            </w:r>
          </w:p>
        </w:tc>
      </w:tr>
      <w:tr w:rsidR="00DB061B" w14:paraId="0C735761" w14:textId="77777777" w:rsidTr="006F6AE4">
        <w:tc>
          <w:tcPr>
            <w:tcW w:w="2008" w:type="dxa"/>
            <w:tcBorders>
              <w:top w:val="single" w:sz="4" w:space="0" w:color="auto"/>
              <w:left w:val="nil"/>
              <w:bottom w:val="single" w:sz="4" w:space="0" w:color="auto"/>
              <w:right w:val="single" w:sz="4" w:space="0" w:color="auto"/>
            </w:tcBorders>
            <w:hideMark/>
          </w:tcPr>
          <w:p w14:paraId="60C88F57" w14:textId="77777777" w:rsidR="00DB061B" w:rsidRDefault="00DB061B" w:rsidP="00AB074C">
            <w:pPr>
              <w:spacing w:before="40" w:after="40"/>
              <w:rPr>
                <w:sz w:val="17"/>
                <w:lang w:eastAsia="en-GB"/>
              </w:rPr>
            </w:pPr>
            <w:r>
              <w:rPr>
                <w:b/>
                <w:sz w:val="17"/>
                <w:lang w:eastAsia="en-GB"/>
              </w:rPr>
              <w:t>Frequency:</w:t>
            </w:r>
          </w:p>
        </w:tc>
        <w:tc>
          <w:tcPr>
            <w:tcW w:w="7234" w:type="dxa"/>
            <w:tcBorders>
              <w:top w:val="single" w:sz="4" w:space="0" w:color="auto"/>
              <w:left w:val="single" w:sz="4" w:space="0" w:color="auto"/>
              <w:bottom w:val="single" w:sz="4" w:space="0" w:color="auto"/>
              <w:right w:val="nil"/>
            </w:tcBorders>
            <w:hideMark/>
          </w:tcPr>
          <w:p w14:paraId="092FDE64" w14:textId="77777777" w:rsidR="00DB061B" w:rsidRDefault="00DB061B" w:rsidP="00AB074C">
            <w:pPr>
              <w:pStyle w:val="TableText"/>
              <w:jc w:val="both"/>
              <w:rPr>
                <w:lang w:eastAsia="en-GB"/>
              </w:rPr>
            </w:pPr>
            <w:r>
              <w:rPr>
                <w:lang w:eastAsia="en-GB"/>
              </w:rPr>
              <w:t>Annual.</w:t>
            </w:r>
          </w:p>
        </w:tc>
      </w:tr>
      <w:tr w:rsidR="00DB061B" w14:paraId="55836CE1" w14:textId="77777777" w:rsidTr="006F6AE4">
        <w:tc>
          <w:tcPr>
            <w:tcW w:w="2008" w:type="dxa"/>
            <w:tcBorders>
              <w:top w:val="single" w:sz="4" w:space="0" w:color="auto"/>
              <w:left w:val="nil"/>
              <w:bottom w:val="single" w:sz="4" w:space="0" w:color="auto"/>
              <w:right w:val="single" w:sz="4" w:space="0" w:color="auto"/>
            </w:tcBorders>
            <w:hideMark/>
          </w:tcPr>
          <w:p w14:paraId="3FEBEECB" w14:textId="77777777" w:rsidR="00DB061B" w:rsidRDefault="00DB061B" w:rsidP="00AB074C">
            <w:pPr>
              <w:spacing w:before="40" w:after="40"/>
              <w:rPr>
                <w:sz w:val="17"/>
                <w:lang w:eastAsia="en-GB"/>
              </w:rPr>
            </w:pPr>
            <w:r>
              <w:rPr>
                <w:b/>
                <w:sz w:val="17"/>
                <w:lang w:eastAsia="en-GB"/>
              </w:rPr>
              <w:t>Format:</w:t>
            </w:r>
          </w:p>
        </w:tc>
        <w:tc>
          <w:tcPr>
            <w:tcW w:w="7234" w:type="dxa"/>
            <w:tcBorders>
              <w:top w:val="single" w:sz="4" w:space="0" w:color="auto"/>
              <w:left w:val="single" w:sz="4" w:space="0" w:color="auto"/>
              <w:bottom w:val="single" w:sz="4" w:space="0" w:color="auto"/>
              <w:right w:val="nil"/>
            </w:tcBorders>
            <w:hideMark/>
          </w:tcPr>
          <w:p w14:paraId="5934B152" w14:textId="77777777" w:rsidR="00DB061B" w:rsidRDefault="00DB061B" w:rsidP="00AB074C">
            <w:pPr>
              <w:pStyle w:val="TableText"/>
              <w:jc w:val="both"/>
              <w:rPr>
                <w:lang w:eastAsia="en-GB"/>
              </w:rPr>
            </w:pPr>
            <w:r>
              <w:rPr>
                <w:lang w:eastAsia="en-GB"/>
              </w:rPr>
              <w:t>Flexible.</w:t>
            </w:r>
          </w:p>
        </w:tc>
      </w:tr>
      <w:tr w:rsidR="00DB061B" w14:paraId="6D878C9B" w14:textId="77777777" w:rsidTr="006F6AE4">
        <w:tc>
          <w:tcPr>
            <w:tcW w:w="2008" w:type="dxa"/>
            <w:tcBorders>
              <w:top w:val="single" w:sz="4" w:space="0" w:color="auto"/>
              <w:left w:val="nil"/>
              <w:bottom w:val="single" w:sz="4" w:space="0" w:color="auto"/>
              <w:right w:val="single" w:sz="4" w:space="0" w:color="auto"/>
            </w:tcBorders>
            <w:hideMark/>
          </w:tcPr>
          <w:p w14:paraId="2DF4E8A1" w14:textId="77777777" w:rsidR="00DB061B" w:rsidRDefault="00DB061B" w:rsidP="00AB074C">
            <w:pPr>
              <w:spacing w:before="40" w:after="40"/>
              <w:rPr>
                <w:b/>
                <w:sz w:val="17"/>
                <w:lang w:eastAsia="en-GB"/>
              </w:rPr>
            </w:pPr>
            <w:r w:rsidRPr="009922EE">
              <w:rPr>
                <w:b/>
                <w:sz w:val="17"/>
                <w:lang w:eastAsia="en-GB"/>
              </w:rPr>
              <w:t>Corresponding BDR section:</w:t>
            </w:r>
          </w:p>
        </w:tc>
        <w:tc>
          <w:tcPr>
            <w:tcW w:w="7234" w:type="dxa"/>
            <w:tcBorders>
              <w:top w:val="single" w:sz="4" w:space="0" w:color="auto"/>
              <w:left w:val="single" w:sz="4" w:space="0" w:color="auto"/>
              <w:bottom w:val="single" w:sz="4" w:space="0" w:color="auto"/>
              <w:right w:val="nil"/>
            </w:tcBorders>
          </w:tcPr>
          <w:p w14:paraId="278D29C1" w14:textId="17EB6AC5" w:rsidR="00DB061B" w:rsidRPr="00B03D96" w:rsidRDefault="00DB061B" w:rsidP="00AB074C">
            <w:pPr>
              <w:pStyle w:val="TableText"/>
              <w:jc w:val="both"/>
              <w:rPr>
                <w:lang w:eastAsia="en-GB"/>
              </w:rPr>
            </w:pPr>
            <w:r w:rsidRPr="00B03D96">
              <w:rPr>
                <w:lang w:eastAsia="en-GB"/>
              </w:rPr>
              <w:t>16ZOA</w:t>
            </w:r>
          </w:p>
        </w:tc>
      </w:tr>
    </w:tbl>
    <w:p w14:paraId="0429F8B2" w14:textId="77777777" w:rsidR="00DB061B" w:rsidRDefault="00DB061B" w:rsidP="00DB061B">
      <w:pPr>
        <w:spacing w:before="120" w:after="120"/>
        <w:rPr>
          <w:sz w:val="22"/>
        </w:rPr>
      </w:pPr>
    </w:p>
    <w:tbl>
      <w:tblPr>
        <w:tblW w:w="9434" w:type="dxa"/>
        <w:jc w:val="center"/>
        <w:tblCellMar>
          <w:left w:w="70" w:type="dxa"/>
          <w:right w:w="70" w:type="dxa"/>
        </w:tblCellMar>
        <w:tblLook w:val="00A0" w:firstRow="1" w:lastRow="0" w:firstColumn="1" w:lastColumn="0" w:noHBand="0" w:noVBand="0"/>
      </w:tblPr>
      <w:tblGrid>
        <w:gridCol w:w="567"/>
        <w:gridCol w:w="8789"/>
        <w:gridCol w:w="78"/>
      </w:tblGrid>
      <w:tr w:rsidR="00DB061B" w14:paraId="16C6301E" w14:textId="77777777" w:rsidTr="00AF458A">
        <w:trPr>
          <w:trHeight w:val="448"/>
          <w:jc w:val="center"/>
        </w:trPr>
        <w:tc>
          <w:tcPr>
            <w:tcW w:w="9434" w:type="dxa"/>
            <w:gridSpan w:val="3"/>
            <w:tcBorders>
              <w:top w:val="single" w:sz="4" w:space="0" w:color="auto"/>
              <w:left w:val="nil"/>
              <w:bottom w:val="single" w:sz="4" w:space="0" w:color="auto"/>
              <w:right w:val="nil"/>
            </w:tcBorders>
            <w:shd w:val="clear" w:color="auto" w:fill="F2F2F2"/>
            <w:vAlign w:val="center"/>
            <w:hideMark/>
          </w:tcPr>
          <w:p w14:paraId="593664CF" w14:textId="77777777" w:rsidR="00DB061B" w:rsidRDefault="00DB061B" w:rsidP="00AB074C">
            <w:pPr>
              <w:pStyle w:val="ListParagraph"/>
              <w:widowControl w:val="0"/>
              <w:tabs>
                <w:tab w:val="left" w:pos="540"/>
              </w:tabs>
              <w:spacing w:before="40" w:after="40"/>
              <w:ind w:leftChars="0" w:left="0"/>
              <w:jc w:val="both"/>
              <w:rPr>
                <w:sz w:val="17"/>
                <w:szCs w:val="17"/>
              </w:rPr>
            </w:pPr>
            <w:r>
              <w:rPr>
                <w:sz w:val="17"/>
                <w:szCs w:val="17"/>
              </w:rPr>
              <w:t>An AI should describe its risk management objectives and policies for CVA risk as follows:</w:t>
            </w:r>
          </w:p>
        </w:tc>
      </w:tr>
      <w:tr w:rsidR="00DB061B" w14:paraId="2889D2E4" w14:textId="77777777" w:rsidTr="00DF5AC8">
        <w:trPr>
          <w:gridAfter w:val="1"/>
          <w:wAfter w:w="78" w:type="dxa"/>
          <w:trHeight w:val="306"/>
          <w:jc w:val="center"/>
        </w:trPr>
        <w:tc>
          <w:tcPr>
            <w:tcW w:w="567" w:type="dxa"/>
            <w:tcBorders>
              <w:top w:val="single" w:sz="4" w:space="0" w:color="auto"/>
              <w:left w:val="nil"/>
              <w:bottom w:val="single" w:sz="4" w:space="0" w:color="auto"/>
              <w:right w:val="nil"/>
            </w:tcBorders>
            <w:noWrap/>
            <w:vAlign w:val="center"/>
            <w:hideMark/>
          </w:tcPr>
          <w:p w14:paraId="4C30BD59" w14:textId="77777777" w:rsidR="00DB061B" w:rsidRDefault="00DB061B" w:rsidP="00AB074C">
            <w:pPr>
              <w:pStyle w:val="TableText"/>
              <w:jc w:val="both"/>
              <w:rPr>
                <w:lang w:eastAsia="fr-FR"/>
              </w:rPr>
            </w:pPr>
            <w:r>
              <w:rPr>
                <w:lang w:eastAsia="fr-FR"/>
              </w:rPr>
              <w:t>(a)</w:t>
            </w:r>
          </w:p>
        </w:tc>
        <w:tc>
          <w:tcPr>
            <w:tcW w:w="8789" w:type="dxa"/>
            <w:tcBorders>
              <w:top w:val="single" w:sz="4" w:space="0" w:color="auto"/>
              <w:left w:val="nil"/>
              <w:bottom w:val="single" w:sz="4" w:space="0" w:color="auto"/>
              <w:right w:val="nil"/>
            </w:tcBorders>
            <w:vAlign w:val="center"/>
            <w:hideMark/>
          </w:tcPr>
          <w:p w14:paraId="04DCDFFE" w14:textId="77777777" w:rsidR="00DB061B" w:rsidRDefault="00DB061B" w:rsidP="00AF458A">
            <w:pPr>
              <w:pStyle w:val="Default"/>
              <w:jc w:val="both"/>
              <w:rPr>
                <w:sz w:val="17"/>
                <w:szCs w:val="17"/>
              </w:rPr>
            </w:pPr>
            <w:r>
              <w:rPr>
                <w:sz w:val="17"/>
                <w:szCs w:val="17"/>
              </w:rPr>
              <w:t xml:space="preserve">An explanation and/or a description of the AI’s processes implemented to identify, measure, monitor and control its CVA risks, including policies for </w:t>
            </w:r>
            <w:r w:rsidRPr="00D0448B">
              <w:rPr>
                <w:sz w:val="17"/>
                <w:szCs w:val="17"/>
              </w:rPr>
              <w:t>hedging CVA risk</w:t>
            </w:r>
            <w:r>
              <w:rPr>
                <w:sz w:val="17"/>
                <w:szCs w:val="17"/>
              </w:rPr>
              <w:t xml:space="preserve"> and the processes for monitoring the continuing effectiveness of hedges. </w:t>
            </w:r>
          </w:p>
        </w:tc>
      </w:tr>
      <w:tr w:rsidR="00DB061B" w14:paraId="2AAEDE33" w14:textId="77777777" w:rsidTr="00DF5AC8">
        <w:trPr>
          <w:gridAfter w:val="1"/>
          <w:wAfter w:w="78" w:type="dxa"/>
          <w:trHeight w:val="306"/>
          <w:jc w:val="center"/>
        </w:trPr>
        <w:tc>
          <w:tcPr>
            <w:tcW w:w="567" w:type="dxa"/>
            <w:tcBorders>
              <w:top w:val="single" w:sz="4" w:space="0" w:color="auto"/>
              <w:left w:val="nil"/>
              <w:bottom w:val="single" w:sz="4" w:space="0" w:color="auto"/>
              <w:right w:val="nil"/>
            </w:tcBorders>
            <w:noWrap/>
            <w:vAlign w:val="center"/>
            <w:hideMark/>
          </w:tcPr>
          <w:p w14:paraId="4A6C3079" w14:textId="77777777" w:rsidR="00DB061B" w:rsidRDefault="00DB061B" w:rsidP="00AB074C">
            <w:pPr>
              <w:pStyle w:val="TableText"/>
              <w:jc w:val="both"/>
              <w:rPr>
                <w:lang w:eastAsia="fr-FR"/>
              </w:rPr>
            </w:pPr>
            <w:r>
              <w:rPr>
                <w:lang w:eastAsia="fr-FR"/>
              </w:rPr>
              <w:t>(b)</w:t>
            </w:r>
          </w:p>
        </w:tc>
        <w:tc>
          <w:tcPr>
            <w:tcW w:w="8789" w:type="dxa"/>
            <w:tcBorders>
              <w:top w:val="single" w:sz="4" w:space="0" w:color="auto"/>
              <w:left w:val="nil"/>
              <w:bottom w:val="single" w:sz="4" w:space="0" w:color="auto"/>
              <w:right w:val="nil"/>
            </w:tcBorders>
            <w:vAlign w:val="center"/>
            <w:hideMark/>
          </w:tcPr>
          <w:p w14:paraId="338C5BEA" w14:textId="77777777" w:rsidR="00DB061B" w:rsidRDefault="00DB061B" w:rsidP="00AF458A">
            <w:pPr>
              <w:pStyle w:val="Default"/>
              <w:ind w:right="115"/>
              <w:jc w:val="both"/>
              <w:rPr>
                <w:sz w:val="17"/>
                <w:szCs w:val="17"/>
              </w:rPr>
            </w:pPr>
            <w:r>
              <w:rPr>
                <w:sz w:val="17"/>
                <w:szCs w:val="17"/>
              </w:rPr>
              <w:t xml:space="preserve">Whether the AI is qualified and has chosen to set its RWA for CVA risk at 100% of its RWA for counterparty credit risk exposures as prescribed </w:t>
            </w:r>
            <w:r w:rsidRPr="005131B3">
              <w:rPr>
                <w:sz w:val="17"/>
                <w:szCs w:val="17"/>
              </w:rPr>
              <w:t xml:space="preserve">under </w:t>
            </w:r>
            <w:r>
              <w:rPr>
                <w:sz w:val="17"/>
                <w:szCs w:val="17"/>
              </w:rPr>
              <w:t xml:space="preserve">the </w:t>
            </w:r>
            <w:r w:rsidRPr="005131B3">
              <w:rPr>
                <w:sz w:val="17"/>
                <w:szCs w:val="17"/>
              </w:rPr>
              <w:t>BCR</w:t>
            </w:r>
            <w:r>
              <w:rPr>
                <w:sz w:val="17"/>
                <w:szCs w:val="17"/>
              </w:rPr>
              <w:t xml:space="preserve">. </w:t>
            </w:r>
          </w:p>
        </w:tc>
      </w:tr>
    </w:tbl>
    <w:p w14:paraId="5580E9EC" w14:textId="23F3FF01" w:rsidR="00F65190" w:rsidRDefault="00F65190" w:rsidP="005E7F4C">
      <w:pPr>
        <w:rPr>
          <w:sz w:val="22"/>
        </w:rPr>
      </w:pPr>
    </w:p>
    <w:p w14:paraId="628A993C" w14:textId="3A09D7C1" w:rsidR="005E7F4C" w:rsidRDefault="005E7F4C" w:rsidP="005E7F4C">
      <w:pPr>
        <w:rPr>
          <w:sz w:val="22"/>
        </w:rPr>
      </w:pPr>
    </w:p>
    <w:p w14:paraId="26A6D6D7" w14:textId="77777777" w:rsidR="005E7F4C" w:rsidRPr="00F65190" w:rsidRDefault="005E7F4C" w:rsidP="0094779B">
      <w:pPr>
        <w:sectPr w:rsidR="005E7F4C" w:rsidRPr="00F65190">
          <w:footerReference w:type="default" r:id="rId66"/>
          <w:pgSz w:w="11906" w:h="16838" w:code="9"/>
          <w:pgMar w:top="1440" w:right="1416" w:bottom="1440" w:left="1797" w:header="851" w:footer="737" w:gutter="0"/>
          <w:cols w:space="425"/>
          <w:docGrid w:type="linesAndChars" w:linePitch="360"/>
        </w:sectPr>
      </w:pPr>
    </w:p>
    <w:p w14:paraId="17E8655B" w14:textId="26A2216B" w:rsidR="00551F0E" w:rsidRDefault="00060959" w:rsidP="00001FA4">
      <w:pPr>
        <w:pStyle w:val="Heading2"/>
      </w:pPr>
      <w:r>
        <w:lastRenderedPageBreak/>
        <w:t xml:space="preserve">Template CVA1: </w:t>
      </w:r>
      <w:r w:rsidR="00551F0E">
        <w:t xml:space="preserve">CVA </w:t>
      </w:r>
      <w:r w:rsidR="00551F0E" w:rsidRPr="00BC65F7">
        <w:t>risk under reduced basic CVA approach</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060959" w14:paraId="436056D6" w14:textId="77777777" w:rsidTr="00AB074C">
        <w:tc>
          <w:tcPr>
            <w:tcW w:w="2008" w:type="dxa"/>
            <w:tcBorders>
              <w:top w:val="single" w:sz="4" w:space="0" w:color="auto"/>
              <w:left w:val="nil"/>
              <w:bottom w:val="single" w:sz="4" w:space="0" w:color="auto"/>
              <w:right w:val="single" w:sz="4" w:space="0" w:color="auto"/>
            </w:tcBorders>
            <w:hideMark/>
          </w:tcPr>
          <w:p w14:paraId="2C125075" w14:textId="77777777" w:rsidR="00060959" w:rsidRDefault="00060959" w:rsidP="00AB074C">
            <w:pPr>
              <w:spacing w:before="40" w:after="40"/>
              <w:rPr>
                <w:noProof/>
                <w:sz w:val="17"/>
                <w:lang w:eastAsia="en-GB"/>
              </w:rPr>
            </w:pPr>
            <w:r>
              <w:rPr>
                <w:b/>
                <w:sz w:val="17"/>
                <w:lang w:eastAsia="en-GB"/>
              </w:rPr>
              <w:t>Purpose:</w:t>
            </w:r>
            <w:r>
              <w:rPr>
                <w:sz w:val="17"/>
                <w:lang w:eastAsia="en-GB"/>
              </w:rPr>
              <w:t xml:space="preserve"> </w:t>
            </w:r>
          </w:p>
        </w:tc>
        <w:tc>
          <w:tcPr>
            <w:tcW w:w="7234" w:type="dxa"/>
            <w:tcBorders>
              <w:top w:val="single" w:sz="4" w:space="0" w:color="auto"/>
              <w:left w:val="single" w:sz="4" w:space="0" w:color="auto"/>
              <w:bottom w:val="single" w:sz="4" w:space="0" w:color="auto"/>
              <w:right w:val="nil"/>
            </w:tcBorders>
            <w:hideMark/>
          </w:tcPr>
          <w:p w14:paraId="55A55951" w14:textId="3D6BBEF0" w:rsidR="00060959" w:rsidRDefault="00060959" w:rsidP="00AB074C">
            <w:pPr>
              <w:pStyle w:val="Default"/>
              <w:jc w:val="both"/>
              <w:rPr>
                <w:sz w:val="17"/>
                <w:szCs w:val="17"/>
              </w:rPr>
            </w:pPr>
            <w:r>
              <w:rPr>
                <w:sz w:val="17"/>
                <w:szCs w:val="17"/>
              </w:rPr>
              <w:t xml:space="preserve">To provide the components used for the calculation of CVA risk capital charge under the reduced </w:t>
            </w:r>
            <w:r w:rsidRPr="00BC65F7">
              <w:rPr>
                <w:sz w:val="17"/>
                <w:szCs w:val="17"/>
              </w:rPr>
              <w:t>basic CVA approach</w:t>
            </w:r>
            <w:r>
              <w:rPr>
                <w:sz w:val="17"/>
                <w:szCs w:val="17"/>
              </w:rPr>
              <w:t xml:space="preserve">. </w:t>
            </w:r>
          </w:p>
        </w:tc>
      </w:tr>
      <w:tr w:rsidR="00060959" w14:paraId="2E8F134C" w14:textId="77777777" w:rsidTr="00AB074C">
        <w:tc>
          <w:tcPr>
            <w:tcW w:w="2008" w:type="dxa"/>
            <w:tcBorders>
              <w:top w:val="single" w:sz="4" w:space="0" w:color="auto"/>
              <w:left w:val="nil"/>
              <w:bottom w:val="single" w:sz="4" w:space="0" w:color="auto"/>
              <w:right w:val="single" w:sz="4" w:space="0" w:color="auto"/>
            </w:tcBorders>
            <w:hideMark/>
          </w:tcPr>
          <w:p w14:paraId="61F0247C" w14:textId="77777777" w:rsidR="00060959" w:rsidRDefault="00060959" w:rsidP="00AB074C">
            <w:pPr>
              <w:spacing w:before="40" w:after="40"/>
              <w:rPr>
                <w:b/>
                <w:sz w:val="17"/>
                <w:lang w:eastAsia="en-GB"/>
              </w:rPr>
            </w:pPr>
            <w:r>
              <w:rPr>
                <w:b/>
                <w:sz w:val="17"/>
                <w:lang w:eastAsia="en-GB"/>
              </w:rPr>
              <w:t xml:space="preserve">Scope of application: </w:t>
            </w:r>
          </w:p>
        </w:tc>
        <w:tc>
          <w:tcPr>
            <w:tcW w:w="7234" w:type="dxa"/>
            <w:tcBorders>
              <w:top w:val="single" w:sz="4" w:space="0" w:color="auto"/>
              <w:left w:val="single" w:sz="4" w:space="0" w:color="auto"/>
              <w:bottom w:val="single" w:sz="4" w:space="0" w:color="auto"/>
              <w:right w:val="nil"/>
            </w:tcBorders>
            <w:hideMark/>
          </w:tcPr>
          <w:p w14:paraId="54B49398" w14:textId="77777777" w:rsidR="00060959" w:rsidRDefault="00060959" w:rsidP="00AB074C">
            <w:pPr>
              <w:pStyle w:val="Default"/>
              <w:jc w:val="both"/>
              <w:rPr>
                <w:sz w:val="17"/>
                <w:szCs w:val="17"/>
              </w:rPr>
            </w:pPr>
            <w:r>
              <w:rPr>
                <w:sz w:val="17"/>
                <w:szCs w:val="17"/>
              </w:rPr>
              <w:t xml:space="preserve">The template is mandatory for AIs </w:t>
            </w:r>
            <w:r>
              <w:rPr>
                <w:sz w:val="17"/>
                <w:lang w:eastAsia="en-GB"/>
              </w:rPr>
              <w:t>incorporated in Hong Kong</w:t>
            </w:r>
            <w:r>
              <w:rPr>
                <w:sz w:val="17"/>
                <w:szCs w:val="17"/>
              </w:rPr>
              <w:t xml:space="preserve"> that use the reduced </w:t>
            </w:r>
            <w:r w:rsidRPr="00E065D0">
              <w:rPr>
                <w:sz w:val="17"/>
                <w:szCs w:val="17"/>
              </w:rPr>
              <w:t>basic CVA approach</w:t>
            </w:r>
            <w:r>
              <w:rPr>
                <w:sz w:val="17"/>
                <w:szCs w:val="17"/>
              </w:rPr>
              <w:t xml:space="preserve"> to calculate part or all of their CVA risk c</w:t>
            </w:r>
            <w:r w:rsidRPr="00BC65F7">
              <w:rPr>
                <w:sz w:val="17"/>
                <w:szCs w:val="17"/>
              </w:rPr>
              <w:t xml:space="preserve">apital </w:t>
            </w:r>
            <w:r>
              <w:rPr>
                <w:sz w:val="17"/>
                <w:szCs w:val="17"/>
              </w:rPr>
              <w:t xml:space="preserve">charges.  The template should be completed with only the capital charges obtained from the netting sets which are under the reduced </w:t>
            </w:r>
            <w:r w:rsidRPr="00E065D0">
              <w:rPr>
                <w:sz w:val="17"/>
                <w:szCs w:val="17"/>
              </w:rPr>
              <w:t>basic CVA approach</w:t>
            </w:r>
            <w:r>
              <w:rPr>
                <w:sz w:val="17"/>
                <w:szCs w:val="17"/>
              </w:rPr>
              <w:t xml:space="preserve">. </w:t>
            </w:r>
          </w:p>
        </w:tc>
      </w:tr>
      <w:tr w:rsidR="00060959" w14:paraId="44581A4F" w14:textId="77777777" w:rsidTr="00AB074C">
        <w:tc>
          <w:tcPr>
            <w:tcW w:w="2008" w:type="dxa"/>
            <w:tcBorders>
              <w:top w:val="single" w:sz="4" w:space="0" w:color="auto"/>
              <w:left w:val="nil"/>
              <w:bottom w:val="single" w:sz="4" w:space="0" w:color="auto"/>
              <w:right w:val="single" w:sz="4" w:space="0" w:color="auto"/>
            </w:tcBorders>
            <w:hideMark/>
          </w:tcPr>
          <w:p w14:paraId="41E425B9" w14:textId="77777777" w:rsidR="00060959" w:rsidRDefault="00060959" w:rsidP="00AB074C">
            <w:pPr>
              <w:spacing w:before="40" w:after="40"/>
              <w:rPr>
                <w:b/>
                <w:sz w:val="17"/>
                <w:lang w:eastAsia="en-GB"/>
              </w:rPr>
            </w:pPr>
            <w:r>
              <w:rPr>
                <w:b/>
                <w:sz w:val="17"/>
                <w:lang w:eastAsia="en-GB"/>
              </w:rPr>
              <w:t xml:space="preserve">Content: </w:t>
            </w:r>
          </w:p>
        </w:tc>
        <w:tc>
          <w:tcPr>
            <w:tcW w:w="7234" w:type="dxa"/>
            <w:tcBorders>
              <w:top w:val="single" w:sz="4" w:space="0" w:color="auto"/>
              <w:left w:val="single" w:sz="4" w:space="0" w:color="auto"/>
              <w:bottom w:val="single" w:sz="4" w:space="0" w:color="auto"/>
              <w:right w:val="nil"/>
            </w:tcBorders>
            <w:hideMark/>
          </w:tcPr>
          <w:p w14:paraId="6887FF40" w14:textId="77777777" w:rsidR="00060959" w:rsidRDefault="00060959" w:rsidP="00AB074C">
            <w:pPr>
              <w:spacing w:before="40" w:after="40"/>
              <w:jc w:val="both"/>
              <w:rPr>
                <w:sz w:val="17"/>
                <w:szCs w:val="17"/>
              </w:rPr>
            </w:pPr>
            <w:r>
              <w:rPr>
                <w:sz w:val="17"/>
                <w:szCs w:val="17"/>
              </w:rPr>
              <w:t>Capital charge.</w:t>
            </w:r>
          </w:p>
        </w:tc>
      </w:tr>
      <w:tr w:rsidR="00060959" w14:paraId="304A98E2" w14:textId="77777777" w:rsidTr="00AB074C">
        <w:tc>
          <w:tcPr>
            <w:tcW w:w="2008" w:type="dxa"/>
            <w:tcBorders>
              <w:top w:val="single" w:sz="4" w:space="0" w:color="auto"/>
              <w:left w:val="nil"/>
              <w:bottom w:val="single" w:sz="4" w:space="0" w:color="auto"/>
              <w:right w:val="single" w:sz="4" w:space="0" w:color="auto"/>
            </w:tcBorders>
            <w:hideMark/>
          </w:tcPr>
          <w:p w14:paraId="02F61D4C" w14:textId="77777777" w:rsidR="00060959" w:rsidRDefault="00060959" w:rsidP="00AB074C">
            <w:pPr>
              <w:spacing w:before="40" w:after="40"/>
              <w:rPr>
                <w:sz w:val="17"/>
                <w:lang w:eastAsia="en-GB"/>
              </w:rPr>
            </w:pPr>
            <w:r>
              <w:rPr>
                <w:b/>
                <w:sz w:val="17"/>
                <w:lang w:eastAsia="en-GB"/>
              </w:rPr>
              <w:t>Frequency:</w:t>
            </w:r>
            <w:r>
              <w:rPr>
                <w:sz w:val="17"/>
                <w:lang w:eastAsia="en-GB"/>
              </w:rPr>
              <w:t xml:space="preserve"> </w:t>
            </w:r>
          </w:p>
        </w:tc>
        <w:tc>
          <w:tcPr>
            <w:tcW w:w="7234" w:type="dxa"/>
            <w:tcBorders>
              <w:top w:val="single" w:sz="4" w:space="0" w:color="auto"/>
              <w:left w:val="single" w:sz="4" w:space="0" w:color="auto"/>
              <w:bottom w:val="single" w:sz="4" w:space="0" w:color="auto"/>
              <w:right w:val="nil"/>
            </w:tcBorders>
            <w:hideMark/>
          </w:tcPr>
          <w:p w14:paraId="36CEA2DC" w14:textId="77777777" w:rsidR="00060959" w:rsidRDefault="00060959" w:rsidP="00AB074C">
            <w:pPr>
              <w:pStyle w:val="TableText"/>
              <w:jc w:val="both"/>
              <w:rPr>
                <w:lang w:eastAsia="en-GB"/>
              </w:rPr>
            </w:pPr>
            <w:r>
              <w:rPr>
                <w:lang w:eastAsia="en-GB"/>
              </w:rPr>
              <w:t>Semi-annual.</w:t>
            </w:r>
          </w:p>
        </w:tc>
      </w:tr>
      <w:tr w:rsidR="00060959" w14:paraId="52DDF7BF" w14:textId="77777777" w:rsidTr="00AB074C">
        <w:tc>
          <w:tcPr>
            <w:tcW w:w="2008" w:type="dxa"/>
            <w:tcBorders>
              <w:top w:val="single" w:sz="4" w:space="0" w:color="auto"/>
              <w:left w:val="nil"/>
              <w:bottom w:val="single" w:sz="4" w:space="0" w:color="auto"/>
              <w:right w:val="single" w:sz="4" w:space="0" w:color="auto"/>
            </w:tcBorders>
            <w:hideMark/>
          </w:tcPr>
          <w:p w14:paraId="38D7E11B" w14:textId="77777777" w:rsidR="00060959" w:rsidRDefault="00060959" w:rsidP="00AB074C">
            <w:pPr>
              <w:spacing w:before="40" w:after="40"/>
              <w:rPr>
                <w:sz w:val="17"/>
                <w:lang w:eastAsia="en-GB"/>
              </w:rPr>
            </w:pPr>
            <w:r>
              <w:rPr>
                <w:b/>
                <w:sz w:val="17"/>
                <w:lang w:eastAsia="en-GB"/>
              </w:rPr>
              <w:t>Format:</w:t>
            </w:r>
            <w:r>
              <w:rPr>
                <w:sz w:val="17"/>
                <w:lang w:eastAsia="en-GB"/>
              </w:rPr>
              <w:t xml:space="preserve"> </w:t>
            </w:r>
          </w:p>
        </w:tc>
        <w:tc>
          <w:tcPr>
            <w:tcW w:w="7234" w:type="dxa"/>
            <w:tcBorders>
              <w:top w:val="single" w:sz="4" w:space="0" w:color="auto"/>
              <w:left w:val="single" w:sz="4" w:space="0" w:color="auto"/>
              <w:bottom w:val="single" w:sz="4" w:space="0" w:color="auto"/>
              <w:right w:val="nil"/>
            </w:tcBorders>
            <w:hideMark/>
          </w:tcPr>
          <w:p w14:paraId="4CE39BD4" w14:textId="77777777" w:rsidR="00060959" w:rsidRPr="00204955" w:rsidRDefault="00060959" w:rsidP="00AB074C">
            <w:pPr>
              <w:pStyle w:val="TableText"/>
              <w:jc w:val="both"/>
              <w:rPr>
                <w:rFonts w:eastAsia="新細明體"/>
                <w:lang w:eastAsia="zh-TW"/>
              </w:rPr>
            </w:pPr>
            <w:r>
              <w:rPr>
                <w:lang w:eastAsia="en-GB"/>
              </w:rPr>
              <w:t>Fixed.</w:t>
            </w:r>
          </w:p>
        </w:tc>
      </w:tr>
      <w:tr w:rsidR="00060959" w14:paraId="593053A4" w14:textId="77777777" w:rsidTr="00AB074C">
        <w:tc>
          <w:tcPr>
            <w:tcW w:w="2008" w:type="dxa"/>
            <w:tcBorders>
              <w:top w:val="single" w:sz="4" w:space="0" w:color="auto"/>
              <w:left w:val="nil"/>
              <w:bottom w:val="single" w:sz="4" w:space="0" w:color="auto"/>
              <w:right w:val="single" w:sz="4" w:space="0" w:color="auto"/>
            </w:tcBorders>
            <w:hideMark/>
          </w:tcPr>
          <w:p w14:paraId="28762B29" w14:textId="77777777" w:rsidR="00060959" w:rsidRDefault="00060959" w:rsidP="00AB074C">
            <w:pPr>
              <w:spacing w:before="40" w:after="40"/>
              <w:rPr>
                <w:b/>
                <w:sz w:val="17"/>
                <w:lang w:eastAsia="en-GB"/>
              </w:rPr>
            </w:pPr>
            <w:r>
              <w:rPr>
                <w:rFonts w:eastAsia="新細明體"/>
                <w:b/>
                <w:sz w:val="17"/>
                <w:szCs w:val="17"/>
                <w:lang w:eastAsia="en-GB"/>
              </w:rPr>
              <w:t>Accompanying narrative</w:t>
            </w:r>
            <w:r>
              <w:rPr>
                <w:rFonts w:eastAsia="新細明體"/>
                <w:sz w:val="17"/>
                <w:szCs w:val="17"/>
                <w:lang w:eastAsia="en-GB"/>
              </w:rPr>
              <w:t>:</w:t>
            </w:r>
          </w:p>
        </w:tc>
        <w:tc>
          <w:tcPr>
            <w:tcW w:w="7234" w:type="dxa"/>
            <w:tcBorders>
              <w:top w:val="single" w:sz="4" w:space="0" w:color="auto"/>
              <w:left w:val="single" w:sz="4" w:space="0" w:color="auto"/>
              <w:bottom w:val="single" w:sz="4" w:space="0" w:color="auto"/>
              <w:right w:val="nil"/>
            </w:tcBorders>
            <w:hideMark/>
          </w:tcPr>
          <w:p w14:paraId="58629664" w14:textId="6988DFF1" w:rsidR="00060959" w:rsidRDefault="00060959" w:rsidP="00AB074C">
            <w:pPr>
              <w:pStyle w:val="Default"/>
              <w:jc w:val="both"/>
              <w:rPr>
                <w:sz w:val="17"/>
                <w:szCs w:val="17"/>
              </w:rPr>
            </w:pPr>
            <w:r>
              <w:rPr>
                <w:sz w:val="17"/>
                <w:szCs w:val="17"/>
                <w:lang w:val="en-GB"/>
              </w:rPr>
              <w:t>An AI</w:t>
            </w:r>
            <w:r>
              <w:rPr>
                <w:sz w:val="17"/>
                <w:szCs w:val="17"/>
              </w:rPr>
              <w:t xml:space="preserve"> should describe the type of CVA hedges it uses even if the CVA hedges are not taken into account under the reduced </w:t>
            </w:r>
            <w:r w:rsidRPr="00BC65F7">
              <w:rPr>
                <w:sz w:val="17"/>
                <w:szCs w:val="17"/>
              </w:rPr>
              <w:t>basic CVA approach</w:t>
            </w:r>
            <w:r>
              <w:rPr>
                <w:sz w:val="17"/>
                <w:szCs w:val="17"/>
              </w:rPr>
              <w:t>.</w:t>
            </w:r>
          </w:p>
        </w:tc>
      </w:tr>
      <w:tr w:rsidR="00060959" w14:paraId="223B4706" w14:textId="77777777" w:rsidTr="00AB074C">
        <w:tc>
          <w:tcPr>
            <w:tcW w:w="2008" w:type="dxa"/>
            <w:tcBorders>
              <w:top w:val="single" w:sz="4" w:space="0" w:color="auto"/>
              <w:left w:val="nil"/>
              <w:bottom w:val="single" w:sz="4" w:space="0" w:color="auto"/>
              <w:right w:val="single" w:sz="4" w:space="0" w:color="auto"/>
            </w:tcBorders>
            <w:hideMark/>
          </w:tcPr>
          <w:p w14:paraId="2E05A833" w14:textId="77777777" w:rsidR="00060959" w:rsidRDefault="00060959" w:rsidP="00AB074C">
            <w:pPr>
              <w:spacing w:before="40" w:after="40"/>
              <w:rPr>
                <w:rFonts w:eastAsia="新細明體"/>
                <w:b/>
                <w:sz w:val="17"/>
                <w:szCs w:val="17"/>
                <w:lang w:eastAsia="en-GB"/>
              </w:rPr>
            </w:pPr>
            <w:r w:rsidRPr="00A33DD7">
              <w:rPr>
                <w:rFonts w:eastAsia="新細明體"/>
                <w:b/>
                <w:sz w:val="17"/>
                <w:szCs w:val="17"/>
                <w:lang w:eastAsia="en-GB"/>
              </w:rPr>
              <w:t>Corresponding BDR section:</w:t>
            </w:r>
          </w:p>
        </w:tc>
        <w:tc>
          <w:tcPr>
            <w:tcW w:w="7234" w:type="dxa"/>
            <w:tcBorders>
              <w:top w:val="single" w:sz="4" w:space="0" w:color="auto"/>
              <w:left w:val="single" w:sz="4" w:space="0" w:color="auto"/>
              <w:bottom w:val="single" w:sz="4" w:space="0" w:color="auto"/>
              <w:right w:val="nil"/>
            </w:tcBorders>
          </w:tcPr>
          <w:p w14:paraId="2A127C67" w14:textId="0CF9C55D" w:rsidR="00060959" w:rsidRDefault="00060959" w:rsidP="00AB074C">
            <w:pPr>
              <w:pStyle w:val="TableText"/>
              <w:jc w:val="both"/>
              <w:rPr>
                <w:lang w:eastAsia="en-GB"/>
              </w:rPr>
            </w:pPr>
            <w:r w:rsidRPr="00686B0A">
              <w:rPr>
                <w:lang w:eastAsia="en-GB"/>
              </w:rPr>
              <w:t>16ZOC</w:t>
            </w:r>
          </w:p>
        </w:tc>
      </w:tr>
    </w:tbl>
    <w:p w14:paraId="57206F38" w14:textId="77777777" w:rsidR="00060959" w:rsidRDefault="00060959" w:rsidP="00060959"/>
    <w:tbl>
      <w:tblPr>
        <w:tblW w:w="9214" w:type="dxa"/>
        <w:tblInd w:w="-459" w:type="dxa"/>
        <w:tblBorders>
          <w:top w:val="single" w:sz="4" w:space="0" w:color="A6A6A6"/>
          <w:bottom w:val="single" w:sz="4" w:space="0" w:color="A6A6A6"/>
          <w:insideH w:val="single" w:sz="4" w:space="0" w:color="A6A6A6"/>
          <w:insideV w:val="single" w:sz="4" w:space="0" w:color="A6A6A6"/>
        </w:tblBorders>
        <w:tblLayout w:type="fixed"/>
        <w:tblLook w:val="04A0" w:firstRow="1" w:lastRow="0" w:firstColumn="1" w:lastColumn="0" w:noHBand="0" w:noVBand="1"/>
      </w:tblPr>
      <w:tblGrid>
        <w:gridCol w:w="567"/>
        <w:gridCol w:w="2552"/>
        <w:gridCol w:w="3260"/>
        <w:gridCol w:w="2835"/>
      </w:tblGrid>
      <w:tr w:rsidR="00060959" w14:paraId="19DCB2E3" w14:textId="77777777" w:rsidTr="00AB074C">
        <w:trPr>
          <w:cantSplit/>
          <w:tblHeader/>
        </w:trPr>
        <w:tc>
          <w:tcPr>
            <w:tcW w:w="3119" w:type="dxa"/>
            <w:gridSpan w:val="2"/>
            <w:tcBorders>
              <w:top w:val="nil"/>
              <w:left w:val="nil"/>
              <w:bottom w:val="nil"/>
              <w:right w:val="single" w:sz="4" w:space="0" w:color="auto"/>
            </w:tcBorders>
            <w:vAlign w:val="center"/>
          </w:tcPr>
          <w:p w14:paraId="1257A079" w14:textId="77777777" w:rsidR="00060959" w:rsidRDefault="00060959" w:rsidP="00AB074C">
            <w:pPr>
              <w:pStyle w:val="TableText"/>
              <w:snapToGrid w:val="0"/>
              <w:rPr>
                <w:lang w:eastAsia="fr-FR"/>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46B3EF5D" w14:textId="77777777" w:rsidR="00060959" w:rsidRDefault="00060959" w:rsidP="00AB074C">
            <w:pPr>
              <w:pStyle w:val="TableText"/>
              <w:snapToGrid w:val="0"/>
              <w:jc w:val="center"/>
            </w:pPr>
            <w:r>
              <w:t>(a)</w:t>
            </w:r>
          </w:p>
        </w:tc>
        <w:tc>
          <w:tcPr>
            <w:tcW w:w="2835" w:type="dxa"/>
            <w:tcBorders>
              <w:top w:val="single" w:sz="4" w:space="0" w:color="auto"/>
              <w:left w:val="single" w:sz="4" w:space="0" w:color="auto"/>
              <w:bottom w:val="single" w:sz="4" w:space="0" w:color="auto"/>
              <w:right w:val="single" w:sz="4" w:space="0" w:color="auto"/>
            </w:tcBorders>
            <w:hideMark/>
          </w:tcPr>
          <w:p w14:paraId="7FF29F78" w14:textId="77777777" w:rsidR="00060959" w:rsidRDefault="00060959" w:rsidP="00AB074C">
            <w:pPr>
              <w:pStyle w:val="TableText"/>
              <w:snapToGrid w:val="0"/>
              <w:jc w:val="center"/>
            </w:pPr>
            <w:r>
              <w:t>(b)</w:t>
            </w:r>
          </w:p>
        </w:tc>
      </w:tr>
      <w:tr w:rsidR="00060959" w14:paraId="4FEA63A6" w14:textId="77777777" w:rsidTr="00AB074C">
        <w:trPr>
          <w:cantSplit/>
          <w:tblHeader/>
        </w:trPr>
        <w:tc>
          <w:tcPr>
            <w:tcW w:w="3119" w:type="dxa"/>
            <w:gridSpan w:val="2"/>
            <w:tcBorders>
              <w:top w:val="nil"/>
              <w:left w:val="nil"/>
              <w:bottom w:val="single" w:sz="4" w:space="0" w:color="auto"/>
              <w:right w:val="single" w:sz="4" w:space="0" w:color="auto"/>
            </w:tcBorders>
            <w:vAlign w:val="center"/>
          </w:tcPr>
          <w:p w14:paraId="42C75E58" w14:textId="77777777" w:rsidR="00060959" w:rsidRDefault="00060959" w:rsidP="00AB074C">
            <w:pPr>
              <w:pStyle w:val="TableText"/>
              <w:snapToGrid w:val="0"/>
              <w:rPr>
                <w:lang w:eastAsia="fr-FR"/>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757B326D" w14:textId="77777777" w:rsidR="00060959" w:rsidRDefault="00060959" w:rsidP="00AB074C">
            <w:pPr>
              <w:pStyle w:val="TableText"/>
              <w:snapToGrid w:val="0"/>
              <w:jc w:val="center"/>
            </w:pPr>
            <w:r>
              <w:t>Components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24A8559" w14:textId="77777777" w:rsidR="00060959" w:rsidRDefault="00060959" w:rsidP="00AB074C">
            <w:pPr>
              <w:pStyle w:val="TableText"/>
              <w:snapToGrid w:val="0"/>
              <w:jc w:val="center"/>
            </w:pPr>
            <w:r>
              <w:t xml:space="preserve">CVA risk capital charge under </w:t>
            </w:r>
            <w:r w:rsidRPr="00BC65F7">
              <w:rPr>
                <w:szCs w:val="17"/>
              </w:rPr>
              <w:t>the reduced basic CVA approach</w:t>
            </w:r>
          </w:p>
        </w:tc>
      </w:tr>
      <w:tr w:rsidR="00060959" w14:paraId="091D4B7F" w14:textId="77777777" w:rsidTr="00AB074C">
        <w:trPr>
          <w:cantSplit/>
        </w:trPr>
        <w:tc>
          <w:tcPr>
            <w:tcW w:w="567" w:type="dxa"/>
            <w:tcBorders>
              <w:top w:val="single" w:sz="4" w:space="0" w:color="A6A6A6"/>
              <w:left w:val="nil"/>
              <w:bottom w:val="single" w:sz="4" w:space="0" w:color="A6A6A6"/>
              <w:right w:val="single" w:sz="4" w:space="0" w:color="auto"/>
            </w:tcBorders>
            <w:vAlign w:val="center"/>
            <w:hideMark/>
          </w:tcPr>
          <w:p w14:paraId="6DFDB99C" w14:textId="77777777" w:rsidR="00060959" w:rsidRDefault="00060959" w:rsidP="00AB074C">
            <w:pPr>
              <w:pStyle w:val="TableText"/>
              <w:snapToGrid w:val="0"/>
            </w:pPr>
            <w:r>
              <w:t>1</w:t>
            </w:r>
          </w:p>
        </w:tc>
        <w:tc>
          <w:tcPr>
            <w:tcW w:w="2552" w:type="dxa"/>
            <w:tcBorders>
              <w:top w:val="single" w:sz="4" w:space="0" w:color="A6A6A6"/>
              <w:left w:val="single" w:sz="4" w:space="0" w:color="auto"/>
              <w:bottom w:val="single" w:sz="4" w:space="0" w:color="A6A6A6"/>
              <w:right w:val="single" w:sz="4" w:space="0" w:color="auto"/>
            </w:tcBorders>
            <w:hideMark/>
          </w:tcPr>
          <w:p w14:paraId="39C67B80" w14:textId="77777777" w:rsidR="00060959" w:rsidRDefault="00060959" w:rsidP="00AB074C">
            <w:pPr>
              <w:pStyle w:val="TableText"/>
              <w:snapToGrid w:val="0"/>
            </w:pPr>
            <w:r>
              <w:t>Aggregation of systematic components of CVA risk</w:t>
            </w:r>
          </w:p>
        </w:tc>
        <w:tc>
          <w:tcPr>
            <w:tcW w:w="3260" w:type="dxa"/>
            <w:tcBorders>
              <w:top w:val="single" w:sz="4" w:space="0" w:color="A6A6A6"/>
              <w:left w:val="single" w:sz="4" w:space="0" w:color="auto"/>
              <w:bottom w:val="single" w:sz="4" w:space="0" w:color="A6A6A6"/>
              <w:right w:val="single" w:sz="4" w:space="0" w:color="auto"/>
            </w:tcBorders>
            <w:vAlign w:val="center"/>
          </w:tcPr>
          <w:p w14:paraId="0E7CB1A6" w14:textId="77777777" w:rsidR="00060959" w:rsidRDefault="00060959" w:rsidP="00AB074C">
            <w:pPr>
              <w:pStyle w:val="TableText"/>
              <w:snapToGrid w:val="0"/>
            </w:pPr>
          </w:p>
        </w:tc>
        <w:tc>
          <w:tcPr>
            <w:tcW w:w="2835" w:type="dxa"/>
            <w:tcBorders>
              <w:top w:val="single" w:sz="4" w:space="0" w:color="A6A6A6"/>
              <w:left w:val="single" w:sz="4" w:space="0" w:color="auto"/>
              <w:bottom w:val="single" w:sz="4" w:space="0" w:color="A6A6A6"/>
              <w:right w:val="single" w:sz="4" w:space="0" w:color="auto"/>
            </w:tcBorders>
            <w:shd w:val="clear" w:color="auto" w:fill="BFBFBF"/>
          </w:tcPr>
          <w:p w14:paraId="60B7E01B" w14:textId="77777777" w:rsidR="00060959" w:rsidRDefault="00060959" w:rsidP="00AB074C">
            <w:pPr>
              <w:pStyle w:val="TableText"/>
              <w:snapToGrid w:val="0"/>
            </w:pPr>
          </w:p>
        </w:tc>
      </w:tr>
      <w:tr w:rsidR="00060959" w14:paraId="5897BA63" w14:textId="77777777" w:rsidTr="00AB074C">
        <w:trPr>
          <w:cantSplit/>
        </w:trPr>
        <w:tc>
          <w:tcPr>
            <w:tcW w:w="567" w:type="dxa"/>
            <w:tcBorders>
              <w:top w:val="single" w:sz="4" w:space="0" w:color="A6A6A6"/>
              <w:left w:val="nil"/>
              <w:bottom w:val="single" w:sz="4" w:space="0" w:color="A6A6A6"/>
              <w:right w:val="single" w:sz="4" w:space="0" w:color="auto"/>
            </w:tcBorders>
            <w:vAlign w:val="center"/>
            <w:hideMark/>
          </w:tcPr>
          <w:p w14:paraId="43E5F8E4" w14:textId="77777777" w:rsidR="00060959" w:rsidRDefault="00060959" w:rsidP="00AB074C">
            <w:pPr>
              <w:pStyle w:val="TableText"/>
              <w:snapToGrid w:val="0"/>
            </w:pPr>
            <w:r>
              <w:t>2</w:t>
            </w:r>
          </w:p>
        </w:tc>
        <w:tc>
          <w:tcPr>
            <w:tcW w:w="2552" w:type="dxa"/>
            <w:tcBorders>
              <w:top w:val="single" w:sz="4" w:space="0" w:color="A6A6A6"/>
              <w:left w:val="single" w:sz="4" w:space="0" w:color="auto"/>
              <w:bottom w:val="single" w:sz="4" w:space="0" w:color="A6A6A6"/>
              <w:right w:val="single" w:sz="4" w:space="0" w:color="auto"/>
            </w:tcBorders>
            <w:hideMark/>
          </w:tcPr>
          <w:p w14:paraId="688A0DAE" w14:textId="77777777" w:rsidR="00060959" w:rsidRDefault="00060959" w:rsidP="00AB074C">
            <w:pPr>
              <w:pStyle w:val="TableText"/>
              <w:snapToGrid w:val="0"/>
            </w:pPr>
            <w:r>
              <w:t>Aggregation of idiosyncratic components of CVA risk</w:t>
            </w:r>
          </w:p>
        </w:tc>
        <w:tc>
          <w:tcPr>
            <w:tcW w:w="3260" w:type="dxa"/>
            <w:tcBorders>
              <w:top w:val="single" w:sz="4" w:space="0" w:color="A6A6A6"/>
              <w:left w:val="single" w:sz="4" w:space="0" w:color="auto"/>
              <w:bottom w:val="single" w:sz="4" w:space="0" w:color="A6A6A6"/>
              <w:right w:val="single" w:sz="4" w:space="0" w:color="auto"/>
            </w:tcBorders>
            <w:vAlign w:val="center"/>
          </w:tcPr>
          <w:p w14:paraId="133BB7A9" w14:textId="77777777" w:rsidR="00060959" w:rsidRDefault="00060959" w:rsidP="00AB074C">
            <w:pPr>
              <w:pStyle w:val="TableText"/>
              <w:snapToGrid w:val="0"/>
            </w:pPr>
          </w:p>
        </w:tc>
        <w:tc>
          <w:tcPr>
            <w:tcW w:w="2835" w:type="dxa"/>
            <w:tcBorders>
              <w:top w:val="single" w:sz="4" w:space="0" w:color="A6A6A6"/>
              <w:left w:val="single" w:sz="4" w:space="0" w:color="auto"/>
              <w:bottom w:val="single" w:sz="4" w:space="0" w:color="A6A6A6"/>
              <w:right w:val="single" w:sz="4" w:space="0" w:color="auto"/>
            </w:tcBorders>
            <w:shd w:val="clear" w:color="auto" w:fill="BFBFBF"/>
          </w:tcPr>
          <w:p w14:paraId="75019400" w14:textId="77777777" w:rsidR="00060959" w:rsidRDefault="00060959" w:rsidP="00AB074C">
            <w:pPr>
              <w:pStyle w:val="TableText"/>
              <w:snapToGrid w:val="0"/>
            </w:pPr>
          </w:p>
        </w:tc>
      </w:tr>
      <w:tr w:rsidR="00060959" w14:paraId="58F68C66" w14:textId="77777777" w:rsidTr="00AB074C">
        <w:trPr>
          <w:cantSplit/>
        </w:trPr>
        <w:tc>
          <w:tcPr>
            <w:tcW w:w="567" w:type="dxa"/>
            <w:tcBorders>
              <w:top w:val="single" w:sz="4" w:space="0" w:color="A6A6A6"/>
              <w:left w:val="nil"/>
              <w:bottom w:val="single" w:sz="4" w:space="0" w:color="auto"/>
              <w:right w:val="single" w:sz="4" w:space="0" w:color="auto"/>
            </w:tcBorders>
            <w:vAlign w:val="center"/>
            <w:hideMark/>
          </w:tcPr>
          <w:p w14:paraId="4FD64181" w14:textId="77777777" w:rsidR="00060959" w:rsidRDefault="00060959" w:rsidP="00AB074C">
            <w:pPr>
              <w:pStyle w:val="TableText"/>
              <w:snapToGrid w:val="0"/>
            </w:pPr>
            <w:r>
              <w:t>3</w:t>
            </w:r>
          </w:p>
        </w:tc>
        <w:tc>
          <w:tcPr>
            <w:tcW w:w="2552" w:type="dxa"/>
            <w:tcBorders>
              <w:top w:val="single" w:sz="4" w:space="0" w:color="A6A6A6"/>
              <w:left w:val="single" w:sz="4" w:space="0" w:color="auto"/>
              <w:bottom w:val="single" w:sz="4" w:space="0" w:color="auto"/>
              <w:right w:val="single" w:sz="4" w:space="0" w:color="auto"/>
            </w:tcBorders>
            <w:hideMark/>
          </w:tcPr>
          <w:p w14:paraId="699BCE06" w14:textId="77777777" w:rsidR="00060959" w:rsidRDefault="00060959" w:rsidP="00AB074C">
            <w:pPr>
              <w:pStyle w:val="TableText"/>
              <w:snapToGrid w:val="0"/>
              <w:rPr>
                <w:b/>
              </w:rPr>
            </w:pPr>
            <w:r>
              <w:rPr>
                <w:b/>
              </w:rPr>
              <w:t>Total</w:t>
            </w:r>
          </w:p>
        </w:tc>
        <w:tc>
          <w:tcPr>
            <w:tcW w:w="3260" w:type="dxa"/>
            <w:tcBorders>
              <w:top w:val="single" w:sz="4" w:space="0" w:color="A6A6A6"/>
              <w:left w:val="single" w:sz="4" w:space="0" w:color="auto"/>
              <w:bottom w:val="single" w:sz="4" w:space="0" w:color="auto"/>
              <w:right w:val="single" w:sz="4" w:space="0" w:color="auto"/>
            </w:tcBorders>
            <w:shd w:val="clear" w:color="auto" w:fill="BFBFBF"/>
            <w:vAlign w:val="center"/>
          </w:tcPr>
          <w:p w14:paraId="193BA60E" w14:textId="77777777" w:rsidR="00060959" w:rsidRDefault="00060959" w:rsidP="00AB074C">
            <w:pPr>
              <w:pStyle w:val="TableText"/>
              <w:snapToGrid w:val="0"/>
            </w:pPr>
          </w:p>
        </w:tc>
        <w:tc>
          <w:tcPr>
            <w:tcW w:w="2835" w:type="dxa"/>
            <w:tcBorders>
              <w:top w:val="single" w:sz="4" w:space="0" w:color="A6A6A6"/>
              <w:left w:val="single" w:sz="4" w:space="0" w:color="auto"/>
              <w:bottom w:val="single" w:sz="4" w:space="0" w:color="auto"/>
              <w:right w:val="single" w:sz="4" w:space="0" w:color="auto"/>
            </w:tcBorders>
          </w:tcPr>
          <w:p w14:paraId="205E33D1" w14:textId="77777777" w:rsidR="00060959" w:rsidRDefault="00060959" w:rsidP="00AB074C">
            <w:pPr>
              <w:pStyle w:val="TableText"/>
              <w:snapToGrid w:val="0"/>
            </w:pPr>
          </w:p>
        </w:tc>
      </w:tr>
    </w:tbl>
    <w:p w14:paraId="05751D18" w14:textId="77777777" w:rsidR="00060959" w:rsidRDefault="00060959" w:rsidP="00060959"/>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8563"/>
      </w:tblGrid>
      <w:tr w:rsidR="00060959" w14:paraId="3D93719D" w14:textId="77777777" w:rsidTr="00AB074C">
        <w:trPr>
          <w:tblHeader/>
        </w:trPr>
        <w:tc>
          <w:tcPr>
            <w:tcW w:w="9214"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78E9D4BE" w14:textId="77777777" w:rsidR="00060959" w:rsidRDefault="00060959" w:rsidP="00AB074C">
            <w:pPr>
              <w:spacing w:before="40" w:after="40"/>
              <w:jc w:val="both"/>
              <w:rPr>
                <w:rFonts w:eastAsia="新細明體"/>
                <w:b/>
                <w:sz w:val="17"/>
                <w:szCs w:val="17"/>
                <w:lang w:eastAsia="en-GB"/>
              </w:rPr>
            </w:pPr>
            <w:r>
              <w:rPr>
                <w:rFonts w:eastAsia="新細明體"/>
                <w:b/>
                <w:sz w:val="17"/>
                <w:szCs w:val="17"/>
                <w:lang w:eastAsia="en-GB"/>
              </w:rPr>
              <w:t>Explanatory Note</w:t>
            </w:r>
          </w:p>
        </w:tc>
      </w:tr>
      <w:tr w:rsidR="00060959" w14:paraId="5DB9945C" w14:textId="77777777" w:rsidTr="00AB074C">
        <w:tc>
          <w:tcPr>
            <w:tcW w:w="9214"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5C7A5FC9" w14:textId="77777777" w:rsidR="00060959" w:rsidRDefault="00060959" w:rsidP="00AB074C">
            <w:pPr>
              <w:spacing w:before="40" w:after="40"/>
              <w:jc w:val="both"/>
              <w:rPr>
                <w:i/>
                <w:color w:val="000000"/>
                <w:lang w:eastAsia="fr-FR"/>
              </w:rPr>
            </w:pPr>
            <w:r>
              <w:rPr>
                <w:rFonts w:eastAsia="新細明體"/>
                <w:b/>
                <w:sz w:val="17"/>
                <w:szCs w:val="17"/>
                <w:lang w:eastAsia="en-GB"/>
              </w:rPr>
              <w:t>Rows</w:t>
            </w:r>
          </w:p>
        </w:tc>
      </w:tr>
      <w:tr w:rsidR="00060959" w14:paraId="468B0B0B" w14:textId="77777777" w:rsidTr="00AB074C">
        <w:tc>
          <w:tcPr>
            <w:tcW w:w="651" w:type="dxa"/>
            <w:tcBorders>
              <w:top w:val="single" w:sz="4" w:space="0" w:color="auto"/>
              <w:left w:val="single" w:sz="4" w:space="0" w:color="auto"/>
              <w:bottom w:val="single" w:sz="4" w:space="0" w:color="auto"/>
              <w:right w:val="single" w:sz="4" w:space="0" w:color="auto"/>
            </w:tcBorders>
            <w:hideMark/>
          </w:tcPr>
          <w:p w14:paraId="337D6E4E" w14:textId="77777777" w:rsidR="00060959" w:rsidRDefault="00060959" w:rsidP="00AB074C">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1</w:t>
            </w:r>
          </w:p>
        </w:tc>
        <w:tc>
          <w:tcPr>
            <w:tcW w:w="8563" w:type="dxa"/>
            <w:tcBorders>
              <w:top w:val="single" w:sz="4" w:space="0" w:color="auto"/>
              <w:left w:val="single" w:sz="4" w:space="0" w:color="auto"/>
              <w:bottom w:val="single" w:sz="4" w:space="0" w:color="auto"/>
              <w:right w:val="single" w:sz="4" w:space="0" w:color="auto"/>
            </w:tcBorders>
            <w:hideMark/>
          </w:tcPr>
          <w:p w14:paraId="6DFD7ADA" w14:textId="77777777" w:rsidR="00060959" w:rsidRPr="00686B0A" w:rsidRDefault="00060959" w:rsidP="00AB074C">
            <w:pPr>
              <w:pStyle w:val="Default"/>
              <w:jc w:val="distribute"/>
              <w:rPr>
                <w:sz w:val="17"/>
                <w:szCs w:val="17"/>
              </w:rPr>
            </w:pPr>
            <w:r w:rsidRPr="00686B0A">
              <w:rPr>
                <w:i/>
                <w:iCs/>
                <w:sz w:val="17"/>
                <w:szCs w:val="17"/>
              </w:rPr>
              <w:t xml:space="preserve">Aggregation of systematic components of CVA risk: </w:t>
            </w:r>
            <w:r w:rsidRPr="00686B0A">
              <w:rPr>
                <w:sz w:val="17"/>
                <w:szCs w:val="17"/>
              </w:rPr>
              <w:t xml:space="preserve">Capital charge under perfect correlation assumption </w:t>
            </w:r>
          </w:p>
          <w:p w14:paraId="305EF934" w14:textId="78B3C952" w:rsidR="00060959" w:rsidRPr="00686B0A" w:rsidRDefault="00060959" w:rsidP="00AB074C">
            <w:pPr>
              <w:pStyle w:val="Default"/>
              <w:jc w:val="both"/>
              <w:rPr>
                <w:sz w:val="17"/>
                <w:szCs w:val="17"/>
              </w:rPr>
            </w:pPr>
            <w:r w:rsidRPr="00686B0A">
              <w:rPr>
                <w:sz w:val="17"/>
                <w:szCs w:val="17"/>
              </w:rPr>
              <w:t>(</w:t>
            </w:r>
            <w:r w:rsidRPr="00686B0A">
              <w:rPr>
                <w:rFonts w:ascii="Cambria Math" w:hAnsi="Cambria Math" w:cs="Cambria Math" w:hint="eastAsia"/>
                <w:sz w:val="16"/>
                <w:szCs w:val="17"/>
              </w:rPr>
              <w:t>Σ</w:t>
            </w:r>
            <w:r w:rsidRPr="00686B0A">
              <w:rPr>
                <w:rFonts w:ascii="Cambria Math" w:hAnsi="Cambria Math" w:cs="Cambria Math"/>
                <w:sz w:val="16"/>
                <w:szCs w:val="20"/>
                <w:vertAlign w:val="subscript"/>
              </w:rPr>
              <w:t>C</w:t>
            </w:r>
            <w:r w:rsidRPr="00686B0A">
              <w:rPr>
                <w:rFonts w:ascii="Cambria Math" w:hAnsi="Cambria Math" w:cs="Cambria Math"/>
                <w:sz w:val="16"/>
                <w:szCs w:val="17"/>
              </w:rPr>
              <w:t>SCVA</w:t>
            </w:r>
            <w:r w:rsidRPr="00686B0A">
              <w:rPr>
                <w:rFonts w:ascii="Cambria Math" w:hAnsi="Cambria Math" w:cs="Cambria Math"/>
                <w:sz w:val="20"/>
                <w:szCs w:val="20"/>
                <w:vertAlign w:val="subscript"/>
              </w:rPr>
              <w:t>c</w:t>
            </w:r>
            <w:r w:rsidRPr="00686B0A">
              <w:rPr>
                <w:sz w:val="17"/>
                <w:szCs w:val="17"/>
              </w:rPr>
              <w:t xml:space="preserve">) as calculated </w:t>
            </w:r>
            <w:r w:rsidRPr="00686B0A">
              <w:rPr>
                <w:iCs/>
                <w:sz w:val="17"/>
                <w:szCs w:val="17"/>
                <w:lang w:eastAsia="en-US"/>
              </w:rPr>
              <w:t>in accordance with</w:t>
            </w:r>
            <w:r w:rsidRPr="00686B0A">
              <w:rPr>
                <w:sz w:val="17"/>
                <w:szCs w:val="17"/>
              </w:rPr>
              <w:t xml:space="preserve"> Part 8A of the BCR. </w:t>
            </w:r>
          </w:p>
        </w:tc>
      </w:tr>
      <w:tr w:rsidR="00060959" w14:paraId="55B26C82" w14:textId="77777777" w:rsidTr="00AB074C">
        <w:tc>
          <w:tcPr>
            <w:tcW w:w="651" w:type="dxa"/>
            <w:tcBorders>
              <w:top w:val="single" w:sz="4" w:space="0" w:color="auto"/>
              <w:left w:val="single" w:sz="4" w:space="0" w:color="auto"/>
              <w:bottom w:val="single" w:sz="4" w:space="0" w:color="auto"/>
              <w:right w:val="single" w:sz="4" w:space="0" w:color="auto"/>
            </w:tcBorders>
            <w:hideMark/>
          </w:tcPr>
          <w:p w14:paraId="5F3385F4" w14:textId="77777777" w:rsidR="00060959" w:rsidRDefault="00060959" w:rsidP="00AB074C">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2</w:t>
            </w:r>
          </w:p>
        </w:tc>
        <w:tc>
          <w:tcPr>
            <w:tcW w:w="8563" w:type="dxa"/>
            <w:tcBorders>
              <w:top w:val="single" w:sz="4" w:space="0" w:color="auto"/>
              <w:left w:val="single" w:sz="4" w:space="0" w:color="auto"/>
              <w:bottom w:val="single" w:sz="4" w:space="0" w:color="auto"/>
              <w:right w:val="single" w:sz="4" w:space="0" w:color="auto"/>
            </w:tcBorders>
            <w:hideMark/>
          </w:tcPr>
          <w:p w14:paraId="56A6BD21" w14:textId="2A2E0A63" w:rsidR="00060959" w:rsidRPr="00686B0A" w:rsidRDefault="00060959" w:rsidP="00AB074C">
            <w:pPr>
              <w:pStyle w:val="Default"/>
              <w:jc w:val="both"/>
              <w:rPr>
                <w:sz w:val="17"/>
                <w:szCs w:val="17"/>
              </w:rPr>
            </w:pPr>
            <w:r w:rsidRPr="00686B0A">
              <w:rPr>
                <w:i/>
                <w:iCs/>
                <w:sz w:val="17"/>
                <w:szCs w:val="17"/>
              </w:rPr>
              <w:t xml:space="preserve">Aggregation of idiosyncratic components of CVA risk: </w:t>
            </w:r>
            <w:r w:rsidRPr="00686B0A">
              <w:rPr>
                <w:sz w:val="17"/>
                <w:szCs w:val="17"/>
              </w:rPr>
              <w:t>Capital charge under zero correlation assumption (</w:t>
            </w:r>
            <w:r w:rsidRPr="00686B0A">
              <w:rPr>
                <w:rFonts w:ascii="Cambria Math" w:hAnsi="Cambria Math" w:cs="Cambria Math"/>
                <w:sz w:val="17"/>
                <w:szCs w:val="17"/>
              </w:rPr>
              <w:t>sqrt(Σ</w:t>
            </w:r>
            <w:r w:rsidRPr="00686B0A">
              <w:rPr>
                <w:rFonts w:ascii="Cambria Math" w:hAnsi="Cambria Math" w:cs="Cambria Math"/>
                <w:sz w:val="20"/>
                <w:szCs w:val="20"/>
                <w:vertAlign w:val="subscript"/>
              </w:rPr>
              <w:t>c</w:t>
            </w:r>
            <w:r w:rsidRPr="00686B0A">
              <w:rPr>
                <w:rFonts w:ascii="Cambria Math" w:hAnsi="Cambria Math" w:cs="Cambria Math"/>
                <w:sz w:val="17"/>
                <w:szCs w:val="17"/>
              </w:rPr>
              <w:t>SCVA</w:t>
            </w:r>
            <w:r w:rsidRPr="00686B0A">
              <w:rPr>
                <w:rFonts w:ascii="Cambria Math" w:hAnsi="Cambria Math" w:cs="Cambria Math"/>
                <w:sz w:val="20"/>
                <w:szCs w:val="20"/>
                <w:vertAlign w:val="subscript"/>
              </w:rPr>
              <w:t>c</w:t>
            </w:r>
            <w:r w:rsidRPr="00686B0A">
              <w:rPr>
                <w:rFonts w:ascii="Cambria Math" w:hAnsi="Cambria Math" w:cs="Cambria Math"/>
                <w:sz w:val="17"/>
                <w:szCs w:val="17"/>
                <w:vertAlign w:val="superscript"/>
              </w:rPr>
              <w:t>2</w:t>
            </w:r>
            <w:r w:rsidRPr="00686B0A">
              <w:rPr>
                <w:rFonts w:ascii="Cambria Math" w:hAnsi="Cambria Math" w:cs="Cambria Math"/>
                <w:sz w:val="17"/>
                <w:szCs w:val="17"/>
              </w:rPr>
              <w:t>)</w:t>
            </w:r>
            <w:r w:rsidRPr="00686B0A">
              <w:rPr>
                <w:sz w:val="17"/>
                <w:szCs w:val="17"/>
              </w:rPr>
              <w:t xml:space="preserve">) as </w:t>
            </w:r>
            <w:r w:rsidRPr="00686B0A">
              <w:rPr>
                <w:iCs/>
                <w:sz w:val="17"/>
                <w:szCs w:val="17"/>
                <w:lang w:eastAsia="en-US"/>
              </w:rPr>
              <w:t>calculated in accordance with</w:t>
            </w:r>
            <w:r w:rsidRPr="00686B0A">
              <w:rPr>
                <w:sz w:val="17"/>
                <w:szCs w:val="17"/>
              </w:rPr>
              <w:t xml:space="preserve"> Part 8A of the BCR. </w:t>
            </w:r>
          </w:p>
        </w:tc>
      </w:tr>
      <w:tr w:rsidR="00060959" w14:paraId="3A945D3C" w14:textId="77777777" w:rsidTr="00AB074C">
        <w:tc>
          <w:tcPr>
            <w:tcW w:w="651" w:type="dxa"/>
            <w:tcBorders>
              <w:top w:val="single" w:sz="4" w:space="0" w:color="auto"/>
              <w:left w:val="single" w:sz="4" w:space="0" w:color="auto"/>
              <w:bottom w:val="single" w:sz="4" w:space="0" w:color="auto"/>
              <w:right w:val="single" w:sz="4" w:space="0" w:color="auto"/>
            </w:tcBorders>
            <w:hideMark/>
          </w:tcPr>
          <w:p w14:paraId="38F9A90B" w14:textId="77777777" w:rsidR="00060959" w:rsidRDefault="00060959" w:rsidP="00AB074C">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3</w:t>
            </w:r>
          </w:p>
        </w:tc>
        <w:tc>
          <w:tcPr>
            <w:tcW w:w="8563" w:type="dxa"/>
            <w:tcBorders>
              <w:top w:val="single" w:sz="4" w:space="0" w:color="auto"/>
              <w:left w:val="single" w:sz="4" w:space="0" w:color="auto"/>
              <w:bottom w:val="single" w:sz="4" w:space="0" w:color="auto"/>
              <w:right w:val="single" w:sz="4" w:space="0" w:color="auto"/>
            </w:tcBorders>
            <w:hideMark/>
          </w:tcPr>
          <w:p w14:paraId="5CD6E176" w14:textId="1E6C23A9" w:rsidR="00060959" w:rsidRPr="00686B0A" w:rsidRDefault="00060959" w:rsidP="00AB074C">
            <w:pPr>
              <w:pStyle w:val="Default"/>
              <w:jc w:val="both"/>
              <w:rPr>
                <w:sz w:val="17"/>
                <w:szCs w:val="17"/>
              </w:rPr>
            </w:pPr>
            <w:r w:rsidRPr="00686B0A">
              <w:rPr>
                <w:i/>
                <w:iCs/>
                <w:sz w:val="17"/>
                <w:szCs w:val="17"/>
              </w:rPr>
              <w:t xml:space="preserve">Total: </w:t>
            </w:r>
            <w:r w:rsidRPr="00686B0A">
              <w:rPr>
                <w:iCs/>
                <w:sz w:val="17"/>
                <w:szCs w:val="17"/>
              </w:rPr>
              <w:t>This is the CVA risk capital charge under the reduced basic CVA approach (i.e. BA_CVA</w:t>
            </w:r>
            <w:r w:rsidRPr="00686B0A">
              <w:rPr>
                <w:iCs/>
                <w:sz w:val="17"/>
                <w:szCs w:val="17"/>
                <w:vertAlign w:val="subscript"/>
              </w:rPr>
              <w:t>reduced</w:t>
            </w:r>
            <w:r w:rsidRPr="00686B0A">
              <w:rPr>
                <w:iCs/>
                <w:sz w:val="17"/>
                <w:szCs w:val="17"/>
                <w:lang w:eastAsia="en-US"/>
              </w:rPr>
              <w:t>) as calculated in accordance with Part 8A of the BCR</w:t>
            </w:r>
            <w:r w:rsidRPr="00686B0A">
              <w:rPr>
                <w:sz w:val="17"/>
                <w:szCs w:val="17"/>
              </w:rPr>
              <w:t xml:space="preserve">.  The value in [CVA1:3/b] should be equal to the value in [OV1:10/c] if the AI only uses the reduced basic CVA approach for all CVA risk exposures. </w:t>
            </w:r>
          </w:p>
        </w:tc>
      </w:tr>
    </w:tbl>
    <w:p w14:paraId="34E8DB11" w14:textId="77777777" w:rsidR="00060959" w:rsidRPr="00060959" w:rsidRDefault="00060959" w:rsidP="00060959"/>
    <w:p w14:paraId="196C051F" w14:textId="6768B6E7" w:rsidR="00551F0E" w:rsidRDefault="00551F0E" w:rsidP="00551F0E"/>
    <w:p w14:paraId="4A8A7283" w14:textId="77777777" w:rsidR="00B55070" w:rsidRDefault="00B55070" w:rsidP="00551F0E">
      <w:pPr>
        <w:sectPr w:rsidR="00B55070">
          <w:footerReference w:type="default" r:id="rId67"/>
          <w:pgSz w:w="11906" w:h="16838" w:code="9"/>
          <w:pgMar w:top="1440" w:right="1416" w:bottom="1440" w:left="1797" w:header="851" w:footer="737" w:gutter="0"/>
          <w:cols w:space="425"/>
          <w:docGrid w:type="linesAndChars" w:linePitch="360"/>
        </w:sectPr>
      </w:pPr>
    </w:p>
    <w:p w14:paraId="1037F91D" w14:textId="12336D83" w:rsidR="002E0185" w:rsidRPr="002E0185" w:rsidRDefault="002E0185" w:rsidP="002E0185">
      <w:pPr>
        <w:pStyle w:val="Heading2"/>
      </w:pPr>
      <w:r w:rsidRPr="002E0185">
        <w:rPr>
          <w:rFonts w:eastAsia="新細明體"/>
          <w:szCs w:val="24"/>
        </w:rPr>
        <w:lastRenderedPageBreak/>
        <w:t xml:space="preserve">Template CVA2: </w:t>
      </w:r>
      <w:r w:rsidR="00B55070">
        <w:t>CVA risk under full basic CVA approach</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2E0185" w:rsidRPr="002E0185" w14:paraId="0B1614FA" w14:textId="77777777" w:rsidTr="00AB074C">
        <w:tc>
          <w:tcPr>
            <w:tcW w:w="2008" w:type="dxa"/>
            <w:tcBorders>
              <w:top w:val="single" w:sz="4" w:space="0" w:color="auto"/>
              <w:left w:val="nil"/>
              <w:bottom w:val="single" w:sz="4" w:space="0" w:color="auto"/>
              <w:right w:val="single" w:sz="4" w:space="0" w:color="auto"/>
            </w:tcBorders>
            <w:hideMark/>
          </w:tcPr>
          <w:p w14:paraId="4E5C971D" w14:textId="77777777" w:rsidR="002E0185" w:rsidRPr="002E0185" w:rsidRDefault="002E0185" w:rsidP="002E0185">
            <w:pPr>
              <w:spacing w:before="40" w:after="40"/>
              <w:rPr>
                <w:noProof/>
                <w:sz w:val="17"/>
                <w:lang w:eastAsia="en-GB"/>
              </w:rPr>
            </w:pPr>
            <w:r w:rsidRPr="002E0185">
              <w:rPr>
                <w:b/>
                <w:sz w:val="17"/>
                <w:lang w:eastAsia="en-GB"/>
              </w:rPr>
              <w:t>Purpose:</w:t>
            </w:r>
            <w:r w:rsidRPr="002E0185">
              <w:rPr>
                <w:sz w:val="17"/>
                <w:lang w:eastAsia="en-GB"/>
              </w:rPr>
              <w:t xml:space="preserve"> </w:t>
            </w:r>
          </w:p>
        </w:tc>
        <w:tc>
          <w:tcPr>
            <w:tcW w:w="7234" w:type="dxa"/>
            <w:tcBorders>
              <w:top w:val="single" w:sz="4" w:space="0" w:color="auto"/>
              <w:left w:val="single" w:sz="4" w:space="0" w:color="auto"/>
              <w:bottom w:val="single" w:sz="4" w:space="0" w:color="auto"/>
              <w:right w:val="nil"/>
            </w:tcBorders>
            <w:hideMark/>
          </w:tcPr>
          <w:p w14:paraId="511E1B9C" w14:textId="35A0D7DF" w:rsidR="002E0185" w:rsidRPr="002E0185" w:rsidRDefault="002E0185" w:rsidP="00334898">
            <w:pPr>
              <w:widowControl w:val="0"/>
              <w:autoSpaceDE w:val="0"/>
              <w:autoSpaceDN w:val="0"/>
              <w:adjustRightInd w:val="0"/>
              <w:jc w:val="both"/>
              <w:rPr>
                <w:rFonts w:eastAsia="新細明體" w:cs="Segoe UI"/>
                <w:color w:val="000000"/>
                <w:sz w:val="17"/>
                <w:szCs w:val="17"/>
                <w:lang w:val="en-US" w:eastAsia="zh-TW"/>
              </w:rPr>
            </w:pPr>
            <w:r w:rsidRPr="002E0185">
              <w:rPr>
                <w:rFonts w:eastAsia="新細明體" w:cs="Segoe UI"/>
                <w:color w:val="000000"/>
                <w:sz w:val="17"/>
                <w:szCs w:val="17"/>
                <w:lang w:val="en-US" w:eastAsia="zh-TW"/>
              </w:rPr>
              <w:t>To provide the components used for the calcul</w:t>
            </w:r>
            <w:r w:rsidR="00334898" w:rsidRPr="002E0185">
              <w:rPr>
                <w:rFonts w:eastAsia="新細明體" w:cs="Segoe UI"/>
                <w:color w:val="000000"/>
                <w:sz w:val="17"/>
                <w:szCs w:val="17"/>
                <w:lang w:val="en-US" w:eastAsia="zh-TW"/>
              </w:rPr>
              <w:t>a</w:t>
            </w:r>
            <w:r w:rsidRPr="002E0185">
              <w:rPr>
                <w:rFonts w:eastAsia="新細明體" w:cs="Segoe UI"/>
                <w:color w:val="000000"/>
                <w:sz w:val="17"/>
                <w:szCs w:val="17"/>
                <w:lang w:val="en-US" w:eastAsia="zh-TW"/>
              </w:rPr>
              <w:t xml:space="preserve">tion of CVA risk capital charge under the full basic CVA approach. </w:t>
            </w:r>
          </w:p>
        </w:tc>
      </w:tr>
      <w:tr w:rsidR="002E0185" w:rsidRPr="002E0185" w14:paraId="389EB22F" w14:textId="77777777" w:rsidTr="00AB074C">
        <w:tc>
          <w:tcPr>
            <w:tcW w:w="2008" w:type="dxa"/>
            <w:tcBorders>
              <w:top w:val="single" w:sz="4" w:space="0" w:color="auto"/>
              <w:left w:val="nil"/>
              <w:bottom w:val="single" w:sz="4" w:space="0" w:color="auto"/>
              <w:right w:val="single" w:sz="4" w:space="0" w:color="auto"/>
            </w:tcBorders>
            <w:hideMark/>
          </w:tcPr>
          <w:p w14:paraId="692F8479" w14:textId="77777777" w:rsidR="002E0185" w:rsidRPr="002E0185" w:rsidRDefault="002E0185" w:rsidP="002E0185">
            <w:pPr>
              <w:spacing w:before="40" w:after="40"/>
              <w:rPr>
                <w:b/>
                <w:sz w:val="17"/>
                <w:lang w:eastAsia="en-GB"/>
              </w:rPr>
            </w:pPr>
            <w:r w:rsidRPr="002E0185">
              <w:rPr>
                <w:b/>
                <w:sz w:val="17"/>
                <w:lang w:eastAsia="en-GB"/>
              </w:rPr>
              <w:t xml:space="preserve">Scope of application: </w:t>
            </w:r>
          </w:p>
        </w:tc>
        <w:tc>
          <w:tcPr>
            <w:tcW w:w="7234" w:type="dxa"/>
            <w:tcBorders>
              <w:top w:val="single" w:sz="4" w:space="0" w:color="auto"/>
              <w:left w:val="single" w:sz="4" w:space="0" w:color="auto"/>
              <w:bottom w:val="single" w:sz="4" w:space="0" w:color="auto"/>
              <w:right w:val="nil"/>
            </w:tcBorders>
            <w:hideMark/>
          </w:tcPr>
          <w:p w14:paraId="5EFA0500" w14:textId="77777777" w:rsidR="002E0185" w:rsidRPr="002E0185" w:rsidRDefault="002E0185" w:rsidP="001B025D">
            <w:pPr>
              <w:widowControl w:val="0"/>
              <w:autoSpaceDE w:val="0"/>
              <w:autoSpaceDN w:val="0"/>
              <w:adjustRightInd w:val="0"/>
              <w:jc w:val="both"/>
              <w:rPr>
                <w:rFonts w:eastAsia="新細明體" w:cs="Segoe UI"/>
                <w:color w:val="000000"/>
                <w:sz w:val="17"/>
                <w:szCs w:val="17"/>
                <w:lang w:val="en-US" w:eastAsia="zh-TW"/>
              </w:rPr>
            </w:pPr>
            <w:r w:rsidRPr="002E0185">
              <w:rPr>
                <w:rFonts w:eastAsia="新細明體" w:cs="Segoe UI"/>
                <w:color w:val="000000"/>
                <w:sz w:val="17"/>
                <w:szCs w:val="17"/>
                <w:lang w:val="en-US" w:eastAsia="zh-TW"/>
              </w:rPr>
              <w:t xml:space="preserve">The template is mandatory for AIs </w:t>
            </w:r>
            <w:r w:rsidRPr="002E0185">
              <w:rPr>
                <w:rFonts w:eastAsia="新細明體" w:cs="Segoe UI"/>
                <w:color w:val="000000"/>
                <w:sz w:val="17"/>
                <w:szCs w:val="24"/>
                <w:lang w:val="en-US" w:eastAsia="en-GB"/>
              </w:rPr>
              <w:t>incorporated in Hong Kong</w:t>
            </w:r>
            <w:r w:rsidRPr="002E0185">
              <w:rPr>
                <w:rFonts w:eastAsia="新細明體" w:cs="Segoe UI"/>
                <w:color w:val="000000"/>
                <w:sz w:val="17"/>
                <w:szCs w:val="17"/>
                <w:lang w:val="en-US" w:eastAsia="zh-TW"/>
              </w:rPr>
              <w:t xml:space="preserve"> that use the full basic CVA approach to calculate part or all of their CVA risk capital charges.  The template should be completed with only the capital charges obtained from the netting sets which are under the full basic CVA approach. </w:t>
            </w:r>
          </w:p>
        </w:tc>
      </w:tr>
      <w:tr w:rsidR="002E0185" w:rsidRPr="002E0185" w14:paraId="0D2A3DAD" w14:textId="77777777" w:rsidTr="00AB074C">
        <w:tc>
          <w:tcPr>
            <w:tcW w:w="2008" w:type="dxa"/>
            <w:tcBorders>
              <w:top w:val="single" w:sz="4" w:space="0" w:color="auto"/>
              <w:left w:val="nil"/>
              <w:bottom w:val="single" w:sz="4" w:space="0" w:color="auto"/>
              <w:right w:val="single" w:sz="4" w:space="0" w:color="auto"/>
            </w:tcBorders>
            <w:hideMark/>
          </w:tcPr>
          <w:p w14:paraId="3B267F1B" w14:textId="77777777" w:rsidR="002E0185" w:rsidRPr="002E0185" w:rsidRDefault="002E0185" w:rsidP="002E0185">
            <w:pPr>
              <w:spacing w:before="40" w:after="40"/>
              <w:rPr>
                <w:b/>
                <w:sz w:val="17"/>
                <w:lang w:eastAsia="en-GB"/>
              </w:rPr>
            </w:pPr>
            <w:r w:rsidRPr="002E0185">
              <w:rPr>
                <w:b/>
                <w:sz w:val="17"/>
                <w:lang w:eastAsia="en-GB"/>
              </w:rPr>
              <w:t xml:space="preserve">Content: </w:t>
            </w:r>
          </w:p>
        </w:tc>
        <w:tc>
          <w:tcPr>
            <w:tcW w:w="7234" w:type="dxa"/>
            <w:tcBorders>
              <w:top w:val="single" w:sz="4" w:space="0" w:color="auto"/>
              <w:left w:val="single" w:sz="4" w:space="0" w:color="auto"/>
              <w:bottom w:val="single" w:sz="4" w:space="0" w:color="auto"/>
              <w:right w:val="nil"/>
            </w:tcBorders>
            <w:hideMark/>
          </w:tcPr>
          <w:p w14:paraId="4EE6F3F8" w14:textId="77777777" w:rsidR="002E0185" w:rsidRPr="002E0185" w:rsidRDefault="002E0185" w:rsidP="002E0185">
            <w:pPr>
              <w:spacing w:before="40" w:after="40"/>
              <w:jc w:val="both"/>
              <w:rPr>
                <w:sz w:val="17"/>
                <w:szCs w:val="17"/>
              </w:rPr>
            </w:pPr>
            <w:r w:rsidRPr="002E0185">
              <w:rPr>
                <w:sz w:val="17"/>
                <w:szCs w:val="17"/>
              </w:rPr>
              <w:t>Capital charge.</w:t>
            </w:r>
          </w:p>
        </w:tc>
      </w:tr>
      <w:tr w:rsidR="002E0185" w:rsidRPr="002E0185" w14:paraId="51C4F661" w14:textId="77777777" w:rsidTr="00AB074C">
        <w:tc>
          <w:tcPr>
            <w:tcW w:w="2008" w:type="dxa"/>
            <w:tcBorders>
              <w:top w:val="single" w:sz="4" w:space="0" w:color="auto"/>
              <w:left w:val="nil"/>
              <w:bottom w:val="single" w:sz="4" w:space="0" w:color="auto"/>
              <w:right w:val="single" w:sz="4" w:space="0" w:color="auto"/>
            </w:tcBorders>
            <w:hideMark/>
          </w:tcPr>
          <w:p w14:paraId="288CBB63" w14:textId="77777777" w:rsidR="002E0185" w:rsidRPr="002E0185" w:rsidRDefault="002E0185" w:rsidP="002E0185">
            <w:pPr>
              <w:spacing w:before="40" w:after="40"/>
              <w:rPr>
                <w:sz w:val="17"/>
                <w:lang w:eastAsia="en-GB"/>
              </w:rPr>
            </w:pPr>
            <w:r w:rsidRPr="002E0185">
              <w:rPr>
                <w:b/>
                <w:sz w:val="17"/>
                <w:lang w:eastAsia="en-GB"/>
              </w:rPr>
              <w:t>Frequency:</w:t>
            </w:r>
            <w:r w:rsidRPr="002E0185">
              <w:rPr>
                <w:sz w:val="17"/>
                <w:lang w:eastAsia="en-GB"/>
              </w:rPr>
              <w:t xml:space="preserve"> </w:t>
            </w:r>
          </w:p>
        </w:tc>
        <w:tc>
          <w:tcPr>
            <w:tcW w:w="7234" w:type="dxa"/>
            <w:tcBorders>
              <w:top w:val="single" w:sz="4" w:space="0" w:color="auto"/>
              <w:left w:val="single" w:sz="4" w:space="0" w:color="auto"/>
              <w:bottom w:val="single" w:sz="4" w:space="0" w:color="auto"/>
              <w:right w:val="nil"/>
            </w:tcBorders>
            <w:hideMark/>
          </w:tcPr>
          <w:p w14:paraId="39FD9EE1" w14:textId="77777777" w:rsidR="002E0185" w:rsidRPr="002E0185" w:rsidRDefault="002E0185" w:rsidP="002E0185">
            <w:pPr>
              <w:spacing w:before="40" w:after="40"/>
              <w:jc w:val="both"/>
              <w:rPr>
                <w:sz w:val="17"/>
                <w:lang w:eastAsia="en-GB"/>
              </w:rPr>
            </w:pPr>
            <w:r w:rsidRPr="002E0185">
              <w:rPr>
                <w:sz w:val="17"/>
                <w:lang w:eastAsia="en-GB"/>
              </w:rPr>
              <w:t>Semi-annual.</w:t>
            </w:r>
          </w:p>
        </w:tc>
      </w:tr>
      <w:tr w:rsidR="002E0185" w:rsidRPr="002E0185" w14:paraId="1AA8AE40" w14:textId="77777777" w:rsidTr="00AB074C">
        <w:tc>
          <w:tcPr>
            <w:tcW w:w="2008" w:type="dxa"/>
            <w:tcBorders>
              <w:top w:val="single" w:sz="4" w:space="0" w:color="auto"/>
              <w:left w:val="nil"/>
              <w:bottom w:val="single" w:sz="4" w:space="0" w:color="auto"/>
              <w:right w:val="single" w:sz="4" w:space="0" w:color="auto"/>
            </w:tcBorders>
            <w:hideMark/>
          </w:tcPr>
          <w:p w14:paraId="0C2CBC83" w14:textId="77777777" w:rsidR="002E0185" w:rsidRPr="002E0185" w:rsidRDefault="002E0185" w:rsidP="002E0185">
            <w:pPr>
              <w:spacing w:before="40" w:after="40"/>
              <w:rPr>
                <w:sz w:val="17"/>
                <w:lang w:eastAsia="en-GB"/>
              </w:rPr>
            </w:pPr>
            <w:r w:rsidRPr="002E0185">
              <w:rPr>
                <w:b/>
                <w:sz w:val="17"/>
                <w:lang w:eastAsia="en-GB"/>
              </w:rPr>
              <w:t>Format:</w:t>
            </w:r>
            <w:r w:rsidRPr="002E0185">
              <w:rPr>
                <w:sz w:val="17"/>
                <w:lang w:eastAsia="en-GB"/>
              </w:rPr>
              <w:t xml:space="preserve"> </w:t>
            </w:r>
          </w:p>
        </w:tc>
        <w:tc>
          <w:tcPr>
            <w:tcW w:w="7234" w:type="dxa"/>
            <w:tcBorders>
              <w:top w:val="single" w:sz="4" w:space="0" w:color="auto"/>
              <w:left w:val="single" w:sz="4" w:space="0" w:color="auto"/>
              <w:bottom w:val="single" w:sz="4" w:space="0" w:color="auto"/>
              <w:right w:val="nil"/>
            </w:tcBorders>
            <w:hideMark/>
          </w:tcPr>
          <w:p w14:paraId="2B4895D4" w14:textId="77777777" w:rsidR="002E0185" w:rsidRPr="002E0185" w:rsidRDefault="002E0185" w:rsidP="002E0185">
            <w:pPr>
              <w:spacing w:before="40" w:after="40"/>
              <w:jc w:val="both"/>
              <w:rPr>
                <w:sz w:val="17"/>
                <w:lang w:eastAsia="en-GB"/>
              </w:rPr>
            </w:pPr>
            <w:r w:rsidRPr="002E0185">
              <w:rPr>
                <w:sz w:val="17"/>
                <w:lang w:eastAsia="en-GB"/>
              </w:rPr>
              <w:t>Fixed.  Additional rows can be inserted for the breakdown of other risks.</w:t>
            </w:r>
          </w:p>
        </w:tc>
      </w:tr>
      <w:tr w:rsidR="002E0185" w:rsidRPr="002E0185" w14:paraId="0FCF733B" w14:textId="77777777" w:rsidTr="00AB074C">
        <w:tc>
          <w:tcPr>
            <w:tcW w:w="2008" w:type="dxa"/>
            <w:tcBorders>
              <w:top w:val="single" w:sz="4" w:space="0" w:color="auto"/>
              <w:left w:val="nil"/>
              <w:bottom w:val="single" w:sz="4" w:space="0" w:color="auto"/>
              <w:right w:val="single" w:sz="4" w:space="0" w:color="auto"/>
            </w:tcBorders>
            <w:hideMark/>
          </w:tcPr>
          <w:p w14:paraId="5431849F" w14:textId="77777777" w:rsidR="002E0185" w:rsidRPr="00B03D96" w:rsidRDefault="002E0185" w:rsidP="002E0185">
            <w:pPr>
              <w:spacing w:before="40" w:after="40"/>
              <w:rPr>
                <w:rFonts w:eastAsia="新細明體"/>
                <w:b/>
                <w:sz w:val="17"/>
                <w:szCs w:val="17"/>
                <w:lang w:eastAsia="en-GB"/>
              </w:rPr>
            </w:pPr>
            <w:r w:rsidRPr="00B03D96">
              <w:rPr>
                <w:rFonts w:eastAsia="新細明體"/>
                <w:b/>
                <w:sz w:val="17"/>
                <w:szCs w:val="17"/>
                <w:lang w:eastAsia="en-GB"/>
              </w:rPr>
              <w:t>Corresponding BDR section:</w:t>
            </w:r>
          </w:p>
        </w:tc>
        <w:tc>
          <w:tcPr>
            <w:tcW w:w="7234" w:type="dxa"/>
            <w:tcBorders>
              <w:top w:val="single" w:sz="4" w:space="0" w:color="auto"/>
              <w:left w:val="single" w:sz="4" w:space="0" w:color="auto"/>
              <w:bottom w:val="single" w:sz="4" w:space="0" w:color="auto"/>
              <w:right w:val="nil"/>
            </w:tcBorders>
          </w:tcPr>
          <w:p w14:paraId="0AB9AA85" w14:textId="1B09CC07" w:rsidR="002E0185" w:rsidRPr="00B03D96" w:rsidRDefault="002E0185" w:rsidP="002E0185">
            <w:pPr>
              <w:spacing w:before="40" w:after="40"/>
              <w:jc w:val="both"/>
              <w:rPr>
                <w:sz w:val="17"/>
                <w:lang w:eastAsia="en-GB"/>
              </w:rPr>
            </w:pPr>
            <w:r w:rsidRPr="00B03D96">
              <w:rPr>
                <w:sz w:val="17"/>
                <w:lang w:eastAsia="en-GB"/>
              </w:rPr>
              <w:t>16ZOD</w:t>
            </w:r>
          </w:p>
        </w:tc>
      </w:tr>
    </w:tbl>
    <w:p w14:paraId="248459C7" w14:textId="77777777" w:rsidR="002E0185" w:rsidRPr="002E0185" w:rsidRDefault="002E0185" w:rsidP="002E0185"/>
    <w:p w14:paraId="0474FBBE" w14:textId="77777777" w:rsidR="002E0185" w:rsidRPr="002E0185" w:rsidRDefault="002E0185" w:rsidP="002E0185"/>
    <w:tbl>
      <w:tblPr>
        <w:tblW w:w="9214" w:type="dxa"/>
        <w:tblInd w:w="-459" w:type="dxa"/>
        <w:tblBorders>
          <w:top w:val="single" w:sz="4" w:space="0" w:color="A6A6A6"/>
          <w:bottom w:val="single" w:sz="4" w:space="0" w:color="A6A6A6"/>
          <w:insideH w:val="single" w:sz="4" w:space="0" w:color="A6A6A6"/>
          <w:insideV w:val="single" w:sz="4" w:space="0" w:color="A6A6A6"/>
        </w:tblBorders>
        <w:tblLayout w:type="fixed"/>
        <w:tblLook w:val="04A0" w:firstRow="1" w:lastRow="0" w:firstColumn="1" w:lastColumn="0" w:noHBand="0" w:noVBand="1"/>
      </w:tblPr>
      <w:tblGrid>
        <w:gridCol w:w="567"/>
        <w:gridCol w:w="2552"/>
        <w:gridCol w:w="6095"/>
      </w:tblGrid>
      <w:tr w:rsidR="002E0185" w:rsidRPr="002E0185" w14:paraId="6EE842AA" w14:textId="77777777" w:rsidTr="00AB074C">
        <w:trPr>
          <w:cantSplit/>
          <w:tblHeader/>
        </w:trPr>
        <w:tc>
          <w:tcPr>
            <w:tcW w:w="3119" w:type="dxa"/>
            <w:gridSpan w:val="2"/>
            <w:tcBorders>
              <w:top w:val="nil"/>
              <w:left w:val="nil"/>
              <w:bottom w:val="nil"/>
              <w:right w:val="single" w:sz="4" w:space="0" w:color="auto"/>
            </w:tcBorders>
            <w:vAlign w:val="center"/>
          </w:tcPr>
          <w:p w14:paraId="16EA5056" w14:textId="77777777" w:rsidR="002E0185" w:rsidRPr="002E0185" w:rsidRDefault="002E0185" w:rsidP="002E0185">
            <w:pPr>
              <w:snapToGrid w:val="0"/>
              <w:spacing w:before="40" w:after="40"/>
              <w:rPr>
                <w:sz w:val="17"/>
                <w:lang w:eastAsia="fr-FR"/>
              </w:rPr>
            </w:pPr>
          </w:p>
        </w:tc>
        <w:tc>
          <w:tcPr>
            <w:tcW w:w="6095" w:type="dxa"/>
            <w:tcBorders>
              <w:top w:val="single" w:sz="4" w:space="0" w:color="auto"/>
              <w:left w:val="single" w:sz="4" w:space="0" w:color="auto"/>
              <w:bottom w:val="single" w:sz="4" w:space="0" w:color="auto"/>
              <w:right w:val="single" w:sz="4" w:space="0" w:color="auto"/>
            </w:tcBorders>
            <w:vAlign w:val="center"/>
            <w:hideMark/>
          </w:tcPr>
          <w:p w14:paraId="3618C271" w14:textId="77777777" w:rsidR="002E0185" w:rsidRPr="002E0185" w:rsidRDefault="002E0185" w:rsidP="002E0185">
            <w:pPr>
              <w:snapToGrid w:val="0"/>
              <w:spacing w:before="40" w:after="40"/>
              <w:jc w:val="center"/>
              <w:rPr>
                <w:sz w:val="17"/>
              </w:rPr>
            </w:pPr>
            <w:r w:rsidRPr="002E0185">
              <w:rPr>
                <w:sz w:val="17"/>
              </w:rPr>
              <w:t>(a)</w:t>
            </w:r>
          </w:p>
        </w:tc>
      </w:tr>
      <w:tr w:rsidR="002E0185" w:rsidRPr="002E0185" w14:paraId="3D029951" w14:textId="77777777" w:rsidTr="00AB074C">
        <w:trPr>
          <w:cantSplit/>
          <w:tblHeader/>
        </w:trPr>
        <w:tc>
          <w:tcPr>
            <w:tcW w:w="3119" w:type="dxa"/>
            <w:gridSpan w:val="2"/>
            <w:tcBorders>
              <w:top w:val="nil"/>
              <w:left w:val="nil"/>
              <w:bottom w:val="single" w:sz="4" w:space="0" w:color="auto"/>
              <w:right w:val="single" w:sz="4" w:space="0" w:color="auto"/>
            </w:tcBorders>
            <w:vAlign w:val="center"/>
          </w:tcPr>
          <w:p w14:paraId="5F5256E3" w14:textId="77777777" w:rsidR="002E0185" w:rsidRPr="002E0185" w:rsidRDefault="002E0185" w:rsidP="002E0185">
            <w:pPr>
              <w:snapToGrid w:val="0"/>
              <w:spacing w:before="40" w:after="40"/>
              <w:rPr>
                <w:sz w:val="17"/>
                <w:lang w:eastAsia="fr-FR"/>
              </w:rPr>
            </w:pPr>
          </w:p>
        </w:tc>
        <w:tc>
          <w:tcPr>
            <w:tcW w:w="6095" w:type="dxa"/>
            <w:tcBorders>
              <w:top w:val="single" w:sz="4" w:space="0" w:color="auto"/>
              <w:left w:val="single" w:sz="4" w:space="0" w:color="auto"/>
              <w:bottom w:val="single" w:sz="4" w:space="0" w:color="auto"/>
              <w:right w:val="single" w:sz="4" w:space="0" w:color="auto"/>
            </w:tcBorders>
            <w:vAlign w:val="center"/>
            <w:hideMark/>
          </w:tcPr>
          <w:p w14:paraId="74DC284A" w14:textId="77777777" w:rsidR="002E0185" w:rsidRPr="002E0185" w:rsidRDefault="002E0185" w:rsidP="002E0185">
            <w:pPr>
              <w:snapToGrid w:val="0"/>
              <w:spacing w:before="40" w:after="40"/>
              <w:jc w:val="center"/>
              <w:rPr>
                <w:sz w:val="17"/>
              </w:rPr>
            </w:pPr>
            <w:r w:rsidRPr="002E0185">
              <w:rPr>
                <w:sz w:val="17"/>
                <w:szCs w:val="17"/>
              </w:rPr>
              <w:t>CVA risk capital charge under the full basic CVA approach</w:t>
            </w:r>
          </w:p>
        </w:tc>
      </w:tr>
      <w:tr w:rsidR="002E0185" w:rsidRPr="002E0185" w14:paraId="0371E2A8" w14:textId="77777777" w:rsidTr="00AB074C">
        <w:trPr>
          <w:cantSplit/>
        </w:trPr>
        <w:tc>
          <w:tcPr>
            <w:tcW w:w="567" w:type="dxa"/>
            <w:tcBorders>
              <w:top w:val="single" w:sz="4" w:space="0" w:color="A6A6A6"/>
              <w:left w:val="nil"/>
              <w:bottom w:val="single" w:sz="4" w:space="0" w:color="A6A6A6"/>
              <w:right w:val="single" w:sz="4" w:space="0" w:color="auto"/>
            </w:tcBorders>
            <w:vAlign w:val="center"/>
            <w:hideMark/>
          </w:tcPr>
          <w:p w14:paraId="27C08AC6" w14:textId="77777777" w:rsidR="002E0185" w:rsidRPr="002E0185" w:rsidRDefault="002E0185" w:rsidP="002E0185">
            <w:pPr>
              <w:snapToGrid w:val="0"/>
              <w:spacing w:before="40" w:after="40"/>
              <w:rPr>
                <w:sz w:val="17"/>
              </w:rPr>
            </w:pPr>
            <w:r w:rsidRPr="002E0185">
              <w:rPr>
                <w:sz w:val="17"/>
              </w:rPr>
              <w:t>1</w:t>
            </w:r>
          </w:p>
        </w:tc>
        <w:tc>
          <w:tcPr>
            <w:tcW w:w="2552" w:type="dxa"/>
            <w:tcBorders>
              <w:top w:val="single" w:sz="4" w:space="0" w:color="A6A6A6"/>
              <w:left w:val="single" w:sz="4" w:space="0" w:color="auto"/>
              <w:bottom w:val="single" w:sz="4" w:space="0" w:color="A6A6A6"/>
              <w:right w:val="single" w:sz="4" w:space="0" w:color="auto"/>
            </w:tcBorders>
            <w:hideMark/>
          </w:tcPr>
          <w:p w14:paraId="2098994F" w14:textId="77777777" w:rsidR="002E0185" w:rsidRPr="002E0185" w:rsidRDefault="002E0185" w:rsidP="002E0185">
            <w:pPr>
              <w:snapToGrid w:val="0"/>
              <w:spacing w:before="40" w:after="40"/>
              <w:rPr>
                <w:sz w:val="17"/>
              </w:rPr>
            </w:pPr>
            <w:r w:rsidRPr="002E0185">
              <w:rPr>
                <w:iCs/>
                <w:sz w:val="17"/>
                <w:szCs w:val="17"/>
              </w:rPr>
              <w:t>BA_CVA</w:t>
            </w:r>
            <w:r w:rsidRPr="002E0185">
              <w:rPr>
                <w:iCs/>
                <w:sz w:val="17"/>
                <w:szCs w:val="17"/>
                <w:vertAlign w:val="subscript"/>
              </w:rPr>
              <w:t>reduced</w:t>
            </w:r>
          </w:p>
        </w:tc>
        <w:tc>
          <w:tcPr>
            <w:tcW w:w="6095" w:type="dxa"/>
            <w:tcBorders>
              <w:top w:val="single" w:sz="4" w:space="0" w:color="A6A6A6"/>
              <w:left w:val="single" w:sz="4" w:space="0" w:color="auto"/>
              <w:bottom w:val="single" w:sz="4" w:space="0" w:color="A6A6A6"/>
              <w:right w:val="single" w:sz="4" w:space="0" w:color="auto"/>
            </w:tcBorders>
            <w:vAlign w:val="center"/>
          </w:tcPr>
          <w:p w14:paraId="193E3B33" w14:textId="77777777" w:rsidR="002E0185" w:rsidRPr="002E0185" w:rsidRDefault="002E0185" w:rsidP="002E0185">
            <w:pPr>
              <w:snapToGrid w:val="0"/>
              <w:spacing w:before="40" w:after="40"/>
              <w:rPr>
                <w:sz w:val="17"/>
              </w:rPr>
            </w:pPr>
          </w:p>
        </w:tc>
      </w:tr>
      <w:tr w:rsidR="002E0185" w:rsidRPr="002E0185" w14:paraId="3DBF9CC0" w14:textId="77777777" w:rsidTr="00AB074C">
        <w:trPr>
          <w:cantSplit/>
        </w:trPr>
        <w:tc>
          <w:tcPr>
            <w:tcW w:w="567" w:type="dxa"/>
            <w:tcBorders>
              <w:top w:val="single" w:sz="4" w:space="0" w:color="A6A6A6"/>
              <w:left w:val="nil"/>
              <w:bottom w:val="single" w:sz="4" w:space="0" w:color="A6A6A6"/>
              <w:right w:val="single" w:sz="4" w:space="0" w:color="auto"/>
            </w:tcBorders>
            <w:vAlign w:val="center"/>
            <w:hideMark/>
          </w:tcPr>
          <w:p w14:paraId="4310F350" w14:textId="77777777" w:rsidR="002E0185" w:rsidRPr="002E0185" w:rsidRDefault="002E0185" w:rsidP="002E0185">
            <w:pPr>
              <w:snapToGrid w:val="0"/>
              <w:spacing w:before="40" w:after="40"/>
              <w:rPr>
                <w:sz w:val="17"/>
              </w:rPr>
            </w:pPr>
            <w:r w:rsidRPr="002E0185">
              <w:rPr>
                <w:sz w:val="17"/>
              </w:rPr>
              <w:t>2</w:t>
            </w:r>
          </w:p>
        </w:tc>
        <w:tc>
          <w:tcPr>
            <w:tcW w:w="2552" w:type="dxa"/>
            <w:tcBorders>
              <w:top w:val="single" w:sz="4" w:space="0" w:color="A6A6A6"/>
              <w:left w:val="single" w:sz="4" w:space="0" w:color="auto"/>
              <w:bottom w:val="single" w:sz="4" w:space="0" w:color="A6A6A6"/>
              <w:right w:val="single" w:sz="4" w:space="0" w:color="auto"/>
            </w:tcBorders>
            <w:hideMark/>
          </w:tcPr>
          <w:p w14:paraId="7C532B4F" w14:textId="77777777" w:rsidR="002E0185" w:rsidRPr="002E0185" w:rsidRDefault="002E0185" w:rsidP="002E0185">
            <w:pPr>
              <w:snapToGrid w:val="0"/>
              <w:spacing w:before="40" w:after="40"/>
              <w:rPr>
                <w:sz w:val="17"/>
              </w:rPr>
            </w:pPr>
            <w:r w:rsidRPr="002E0185">
              <w:rPr>
                <w:iCs/>
                <w:sz w:val="17"/>
                <w:szCs w:val="17"/>
              </w:rPr>
              <w:t>BA_CVA</w:t>
            </w:r>
            <w:r w:rsidRPr="002E0185">
              <w:rPr>
                <w:iCs/>
                <w:sz w:val="17"/>
                <w:szCs w:val="17"/>
                <w:vertAlign w:val="subscript"/>
              </w:rPr>
              <w:t>hedged</w:t>
            </w:r>
          </w:p>
        </w:tc>
        <w:tc>
          <w:tcPr>
            <w:tcW w:w="6095" w:type="dxa"/>
            <w:tcBorders>
              <w:top w:val="single" w:sz="4" w:space="0" w:color="A6A6A6"/>
              <w:left w:val="single" w:sz="4" w:space="0" w:color="auto"/>
              <w:bottom w:val="single" w:sz="4" w:space="0" w:color="A6A6A6"/>
              <w:right w:val="single" w:sz="4" w:space="0" w:color="auto"/>
            </w:tcBorders>
            <w:vAlign w:val="center"/>
          </w:tcPr>
          <w:p w14:paraId="1DB18171" w14:textId="77777777" w:rsidR="002E0185" w:rsidRPr="002E0185" w:rsidRDefault="002E0185" w:rsidP="002E0185">
            <w:pPr>
              <w:snapToGrid w:val="0"/>
              <w:spacing w:before="40" w:after="40"/>
              <w:rPr>
                <w:sz w:val="17"/>
              </w:rPr>
            </w:pPr>
          </w:p>
        </w:tc>
      </w:tr>
      <w:tr w:rsidR="002E0185" w:rsidRPr="002E0185" w14:paraId="0B65B6C5" w14:textId="77777777" w:rsidTr="00AB074C">
        <w:trPr>
          <w:cantSplit/>
        </w:trPr>
        <w:tc>
          <w:tcPr>
            <w:tcW w:w="567" w:type="dxa"/>
            <w:tcBorders>
              <w:top w:val="single" w:sz="4" w:space="0" w:color="A6A6A6"/>
              <w:left w:val="nil"/>
              <w:bottom w:val="single" w:sz="4" w:space="0" w:color="auto"/>
              <w:right w:val="single" w:sz="4" w:space="0" w:color="auto"/>
            </w:tcBorders>
            <w:vAlign w:val="center"/>
            <w:hideMark/>
          </w:tcPr>
          <w:p w14:paraId="7AED3D46" w14:textId="77777777" w:rsidR="002E0185" w:rsidRPr="002E0185" w:rsidRDefault="002E0185" w:rsidP="002E0185">
            <w:pPr>
              <w:snapToGrid w:val="0"/>
              <w:spacing w:before="40" w:after="40"/>
              <w:rPr>
                <w:sz w:val="17"/>
              </w:rPr>
            </w:pPr>
            <w:r w:rsidRPr="002E0185">
              <w:rPr>
                <w:sz w:val="17"/>
              </w:rPr>
              <w:t>3</w:t>
            </w:r>
          </w:p>
        </w:tc>
        <w:tc>
          <w:tcPr>
            <w:tcW w:w="2552" w:type="dxa"/>
            <w:tcBorders>
              <w:top w:val="single" w:sz="4" w:space="0" w:color="A6A6A6"/>
              <w:left w:val="single" w:sz="4" w:space="0" w:color="auto"/>
              <w:bottom w:val="single" w:sz="4" w:space="0" w:color="auto"/>
              <w:right w:val="single" w:sz="4" w:space="0" w:color="auto"/>
            </w:tcBorders>
            <w:hideMark/>
          </w:tcPr>
          <w:p w14:paraId="7A54AA3A" w14:textId="77777777" w:rsidR="002E0185" w:rsidRPr="002E0185" w:rsidRDefault="002E0185" w:rsidP="002E0185">
            <w:pPr>
              <w:snapToGrid w:val="0"/>
              <w:spacing w:before="40" w:after="40"/>
              <w:rPr>
                <w:b/>
                <w:sz w:val="17"/>
              </w:rPr>
            </w:pPr>
            <w:r w:rsidRPr="002E0185">
              <w:rPr>
                <w:b/>
                <w:sz w:val="17"/>
              </w:rPr>
              <w:t>Total</w:t>
            </w:r>
          </w:p>
        </w:tc>
        <w:tc>
          <w:tcPr>
            <w:tcW w:w="6095" w:type="dxa"/>
            <w:tcBorders>
              <w:top w:val="single" w:sz="4" w:space="0" w:color="A6A6A6"/>
              <w:left w:val="single" w:sz="4" w:space="0" w:color="auto"/>
              <w:bottom w:val="single" w:sz="4" w:space="0" w:color="auto"/>
              <w:right w:val="single" w:sz="4" w:space="0" w:color="auto"/>
            </w:tcBorders>
            <w:vAlign w:val="center"/>
          </w:tcPr>
          <w:p w14:paraId="1D136065" w14:textId="77777777" w:rsidR="002E0185" w:rsidRPr="002E0185" w:rsidRDefault="002E0185" w:rsidP="002E0185">
            <w:pPr>
              <w:snapToGrid w:val="0"/>
              <w:spacing w:before="40" w:after="40"/>
              <w:rPr>
                <w:sz w:val="17"/>
              </w:rPr>
            </w:pPr>
          </w:p>
        </w:tc>
      </w:tr>
    </w:tbl>
    <w:p w14:paraId="58216042" w14:textId="77777777" w:rsidR="002E0185" w:rsidRPr="002E0185" w:rsidRDefault="002E0185" w:rsidP="002E0185"/>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8563"/>
      </w:tblGrid>
      <w:tr w:rsidR="002E0185" w:rsidRPr="002E0185" w14:paraId="494EE410" w14:textId="77777777" w:rsidTr="00AB074C">
        <w:trPr>
          <w:tblHeader/>
        </w:trPr>
        <w:tc>
          <w:tcPr>
            <w:tcW w:w="9214"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1376A2C4" w14:textId="77777777" w:rsidR="002E0185" w:rsidRPr="002E0185" w:rsidRDefault="002E0185" w:rsidP="002E0185">
            <w:pPr>
              <w:spacing w:before="40" w:after="40"/>
              <w:jc w:val="both"/>
              <w:rPr>
                <w:rFonts w:eastAsia="新細明體"/>
                <w:b/>
                <w:sz w:val="17"/>
                <w:szCs w:val="17"/>
                <w:lang w:eastAsia="en-GB"/>
              </w:rPr>
            </w:pPr>
            <w:r w:rsidRPr="002E0185">
              <w:rPr>
                <w:rFonts w:eastAsia="新細明體"/>
                <w:b/>
                <w:sz w:val="17"/>
                <w:szCs w:val="17"/>
                <w:lang w:eastAsia="en-GB"/>
              </w:rPr>
              <w:t>Explanatory Note</w:t>
            </w:r>
          </w:p>
        </w:tc>
      </w:tr>
      <w:tr w:rsidR="002E0185" w:rsidRPr="002E0185" w14:paraId="1BB94611" w14:textId="77777777" w:rsidTr="00AB074C">
        <w:tc>
          <w:tcPr>
            <w:tcW w:w="9214"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72900FC1" w14:textId="77777777" w:rsidR="002E0185" w:rsidRPr="002E0185" w:rsidRDefault="002E0185" w:rsidP="002E0185">
            <w:pPr>
              <w:spacing w:before="40" w:after="40"/>
              <w:jc w:val="both"/>
              <w:rPr>
                <w:i/>
                <w:color w:val="000000"/>
                <w:lang w:eastAsia="fr-FR"/>
              </w:rPr>
            </w:pPr>
            <w:r w:rsidRPr="002E0185">
              <w:rPr>
                <w:rFonts w:eastAsia="新細明體"/>
                <w:b/>
                <w:sz w:val="17"/>
                <w:szCs w:val="17"/>
                <w:lang w:eastAsia="en-GB"/>
              </w:rPr>
              <w:t>Rows</w:t>
            </w:r>
          </w:p>
        </w:tc>
      </w:tr>
      <w:tr w:rsidR="002E0185" w:rsidRPr="002E0185" w14:paraId="141D9FA2" w14:textId="77777777" w:rsidTr="00AB074C">
        <w:tc>
          <w:tcPr>
            <w:tcW w:w="651" w:type="dxa"/>
            <w:tcBorders>
              <w:top w:val="single" w:sz="4" w:space="0" w:color="auto"/>
              <w:left w:val="single" w:sz="4" w:space="0" w:color="auto"/>
              <w:bottom w:val="single" w:sz="4" w:space="0" w:color="auto"/>
              <w:right w:val="single" w:sz="4" w:space="0" w:color="auto"/>
            </w:tcBorders>
            <w:hideMark/>
          </w:tcPr>
          <w:p w14:paraId="2DC1C3D5" w14:textId="77777777" w:rsidR="002E0185" w:rsidRPr="002E0185" w:rsidRDefault="002E0185" w:rsidP="002E0185">
            <w:pPr>
              <w:keepLines/>
              <w:widowControl w:val="0"/>
              <w:tabs>
                <w:tab w:val="left" w:pos="150"/>
                <w:tab w:val="left" w:pos="397"/>
                <w:tab w:val="left" w:pos="794"/>
                <w:tab w:val="left" w:pos="1191"/>
              </w:tabs>
              <w:spacing w:before="40" w:after="40"/>
              <w:rPr>
                <w:rFonts w:cs="Segoe UI"/>
                <w:sz w:val="17"/>
                <w:szCs w:val="17"/>
                <w:lang w:eastAsia="en-GB"/>
              </w:rPr>
            </w:pPr>
            <w:r w:rsidRPr="002E0185">
              <w:rPr>
                <w:rFonts w:cs="Segoe UI"/>
                <w:sz w:val="17"/>
                <w:szCs w:val="17"/>
                <w:lang w:eastAsia="en-GB"/>
              </w:rPr>
              <w:t>1</w:t>
            </w:r>
          </w:p>
        </w:tc>
        <w:tc>
          <w:tcPr>
            <w:tcW w:w="8563" w:type="dxa"/>
            <w:tcBorders>
              <w:top w:val="single" w:sz="4" w:space="0" w:color="auto"/>
              <w:left w:val="single" w:sz="4" w:space="0" w:color="auto"/>
              <w:bottom w:val="single" w:sz="4" w:space="0" w:color="auto"/>
              <w:right w:val="single" w:sz="4" w:space="0" w:color="auto"/>
            </w:tcBorders>
            <w:hideMark/>
          </w:tcPr>
          <w:p w14:paraId="7D828B0E" w14:textId="2457F7CD" w:rsidR="002E0185" w:rsidRPr="00686B0A" w:rsidRDefault="002E0185" w:rsidP="00E5343A">
            <w:pPr>
              <w:widowControl w:val="0"/>
              <w:autoSpaceDE w:val="0"/>
              <w:autoSpaceDN w:val="0"/>
              <w:adjustRightInd w:val="0"/>
              <w:jc w:val="both"/>
              <w:rPr>
                <w:rFonts w:eastAsia="新細明體" w:cs="Segoe UI"/>
                <w:color w:val="000000"/>
                <w:sz w:val="17"/>
                <w:szCs w:val="17"/>
                <w:lang w:val="en-US" w:eastAsia="zh-TW"/>
              </w:rPr>
            </w:pPr>
            <w:r w:rsidRPr="00686B0A">
              <w:rPr>
                <w:rFonts w:eastAsia="新細明體" w:cs="Segoe UI"/>
                <w:i/>
                <w:iCs/>
                <w:color w:val="000000"/>
                <w:sz w:val="17"/>
                <w:szCs w:val="17"/>
                <w:lang w:val="en-US" w:eastAsia="zh-TW"/>
              </w:rPr>
              <w:t>BA_CVA</w:t>
            </w:r>
            <w:r w:rsidRPr="00686B0A">
              <w:rPr>
                <w:rFonts w:eastAsia="新細明體" w:cs="Segoe UI"/>
                <w:i/>
                <w:iCs/>
                <w:color w:val="000000"/>
                <w:sz w:val="17"/>
                <w:szCs w:val="17"/>
                <w:vertAlign w:val="subscript"/>
                <w:lang w:val="en-US" w:eastAsia="zh-TW"/>
              </w:rPr>
              <w:t>reduced</w:t>
            </w:r>
            <w:r w:rsidRPr="00686B0A">
              <w:rPr>
                <w:rFonts w:eastAsia="新細明體" w:cs="Segoe UI"/>
                <w:color w:val="000000"/>
                <w:sz w:val="17"/>
                <w:szCs w:val="17"/>
                <w:lang w:val="en-US" w:eastAsia="zh-TW"/>
              </w:rPr>
              <w:t xml:space="preserve">: </w:t>
            </w:r>
            <w:r w:rsidRPr="00686B0A">
              <w:rPr>
                <w:rFonts w:eastAsia="新細明體" w:cs="Segoe UI"/>
                <w:iCs/>
                <w:color w:val="000000"/>
                <w:sz w:val="17"/>
                <w:szCs w:val="17"/>
                <w:lang w:val="en-US" w:eastAsia="zh-TW"/>
              </w:rPr>
              <w:t>BA_CVA</w:t>
            </w:r>
            <w:r w:rsidRPr="00686B0A">
              <w:rPr>
                <w:rFonts w:eastAsia="新細明體" w:cs="Segoe UI"/>
                <w:iCs/>
                <w:color w:val="000000"/>
                <w:sz w:val="17"/>
                <w:szCs w:val="17"/>
                <w:vertAlign w:val="subscript"/>
                <w:lang w:val="en-US" w:eastAsia="zh-TW"/>
              </w:rPr>
              <w:t>reduced</w:t>
            </w:r>
            <w:r w:rsidRPr="00686B0A">
              <w:rPr>
                <w:rFonts w:eastAsia="新細明體" w:cs="Segoe UI"/>
                <w:color w:val="000000"/>
                <w:sz w:val="17"/>
                <w:szCs w:val="17"/>
                <w:lang w:val="en-US" w:eastAsia="zh-TW"/>
              </w:rPr>
              <w:t xml:space="preserve"> as </w:t>
            </w:r>
            <w:r w:rsidRPr="00686B0A">
              <w:rPr>
                <w:rFonts w:eastAsia="新細明體" w:cs="Segoe UI"/>
                <w:iCs/>
                <w:color w:val="000000"/>
                <w:sz w:val="17"/>
                <w:szCs w:val="17"/>
                <w:lang w:val="en-US"/>
              </w:rPr>
              <w:t>calculated in accordance with</w:t>
            </w:r>
            <w:r w:rsidRPr="00686B0A">
              <w:rPr>
                <w:rFonts w:eastAsia="新細明體" w:cs="Segoe UI"/>
                <w:color w:val="000000"/>
                <w:sz w:val="17"/>
                <w:szCs w:val="17"/>
                <w:lang w:val="en-US" w:eastAsia="zh-TW"/>
              </w:rPr>
              <w:t xml:space="preserve"> Part 8A of the BCR.</w:t>
            </w:r>
          </w:p>
        </w:tc>
      </w:tr>
      <w:tr w:rsidR="002E0185" w:rsidRPr="002E0185" w14:paraId="083622D0" w14:textId="77777777" w:rsidTr="00AB074C">
        <w:tc>
          <w:tcPr>
            <w:tcW w:w="651" w:type="dxa"/>
            <w:tcBorders>
              <w:top w:val="single" w:sz="4" w:space="0" w:color="auto"/>
              <w:left w:val="single" w:sz="4" w:space="0" w:color="auto"/>
              <w:bottom w:val="single" w:sz="4" w:space="0" w:color="auto"/>
              <w:right w:val="single" w:sz="4" w:space="0" w:color="auto"/>
            </w:tcBorders>
            <w:hideMark/>
          </w:tcPr>
          <w:p w14:paraId="4F81D3F4" w14:textId="77777777" w:rsidR="002E0185" w:rsidRPr="002E0185" w:rsidRDefault="002E0185" w:rsidP="002E0185">
            <w:pPr>
              <w:keepLines/>
              <w:widowControl w:val="0"/>
              <w:tabs>
                <w:tab w:val="left" w:pos="150"/>
                <w:tab w:val="left" w:pos="397"/>
                <w:tab w:val="left" w:pos="794"/>
                <w:tab w:val="left" w:pos="1191"/>
              </w:tabs>
              <w:spacing w:before="40" w:after="40"/>
              <w:rPr>
                <w:rFonts w:cs="Segoe UI"/>
                <w:sz w:val="17"/>
                <w:szCs w:val="17"/>
                <w:lang w:eastAsia="en-GB"/>
              </w:rPr>
            </w:pPr>
            <w:r w:rsidRPr="002E0185">
              <w:rPr>
                <w:rFonts w:cs="Segoe UI"/>
                <w:sz w:val="17"/>
                <w:szCs w:val="17"/>
                <w:lang w:eastAsia="en-GB"/>
              </w:rPr>
              <w:t>2</w:t>
            </w:r>
          </w:p>
        </w:tc>
        <w:tc>
          <w:tcPr>
            <w:tcW w:w="8563" w:type="dxa"/>
            <w:tcBorders>
              <w:top w:val="single" w:sz="4" w:space="0" w:color="auto"/>
              <w:left w:val="single" w:sz="4" w:space="0" w:color="auto"/>
              <w:bottom w:val="single" w:sz="4" w:space="0" w:color="auto"/>
              <w:right w:val="single" w:sz="4" w:space="0" w:color="auto"/>
            </w:tcBorders>
            <w:hideMark/>
          </w:tcPr>
          <w:p w14:paraId="42AD2A22" w14:textId="30C6389F" w:rsidR="002E0185" w:rsidRPr="00686B0A" w:rsidRDefault="002E0185" w:rsidP="00E5343A">
            <w:pPr>
              <w:widowControl w:val="0"/>
              <w:autoSpaceDE w:val="0"/>
              <w:autoSpaceDN w:val="0"/>
              <w:adjustRightInd w:val="0"/>
              <w:jc w:val="both"/>
              <w:rPr>
                <w:rFonts w:eastAsia="新細明體" w:cs="Segoe UI"/>
                <w:color w:val="000000"/>
                <w:sz w:val="17"/>
                <w:szCs w:val="17"/>
                <w:lang w:val="en-US" w:eastAsia="zh-TW"/>
              </w:rPr>
            </w:pPr>
            <w:r w:rsidRPr="00686B0A">
              <w:rPr>
                <w:rFonts w:eastAsia="新細明體" w:cs="Segoe UI"/>
                <w:i/>
                <w:iCs/>
                <w:color w:val="000000"/>
                <w:sz w:val="17"/>
                <w:szCs w:val="17"/>
                <w:lang w:val="en-US" w:eastAsia="zh-TW"/>
              </w:rPr>
              <w:t>BA_CVA</w:t>
            </w:r>
            <w:r w:rsidRPr="00686B0A">
              <w:rPr>
                <w:rFonts w:eastAsia="新細明體" w:cs="Segoe UI"/>
                <w:i/>
                <w:iCs/>
                <w:color w:val="000000"/>
                <w:sz w:val="17"/>
                <w:szCs w:val="17"/>
                <w:vertAlign w:val="subscript"/>
                <w:lang w:val="en-US" w:eastAsia="zh-TW"/>
              </w:rPr>
              <w:t>hedged</w:t>
            </w:r>
            <w:r w:rsidRPr="00686B0A">
              <w:rPr>
                <w:rFonts w:eastAsia="新細明體" w:cs="Segoe UI"/>
                <w:color w:val="000000"/>
                <w:sz w:val="17"/>
                <w:szCs w:val="17"/>
                <w:lang w:val="en-US" w:eastAsia="zh-TW"/>
              </w:rPr>
              <w:t xml:space="preserve">: </w:t>
            </w:r>
            <w:r w:rsidRPr="00686B0A">
              <w:rPr>
                <w:rFonts w:eastAsia="新細明體" w:cs="Segoe UI"/>
                <w:iCs/>
                <w:color w:val="000000"/>
                <w:sz w:val="17"/>
                <w:szCs w:val="17"/>
                <w:lang w:val="en-US" w:eastAsia="zh-TW"/>
              </w:rPr>
              <w:t>BA_CVA</w:t>
            </w:r>
            <w:r w:rsidRPr="00686B0A">
              <w:rPr>
                <w:rFonts w:eastAsia="新細明體" w:cs="Segoe UI"/>
                <w:iCs/>
                <w:color w:val="000000"/>
                <w:sz w:val="17"/>
                <w:szCs w:val="17"/>
                <w:vertAlign w:val="subscript"/>
                <w:lang w:val="en-US" w:eastAsia="zh-TW"/>
              </w:rPr>
              <w:t>hedged</w:t>
            </w:r>
            <w:r w:rsidRPr="00686B0A">
              <w:rPr>
                <w:rFonts w:eastAsia="新細明體" w:cs="Segoe UI"/>
                <w:color w:val="000000"/>
                <w:sz w:val="17"/>
                <w:szCs w:val="17"/>
                <w:lang w:val="en-US" w:eastAsia="zh-TW"/>
              </w:rPr>
              <w:t xml:space="preserve"> as </w:t>
            </w:r>
            <w:r w:rsidRPr="00686B0A">
              <w:rPr>
                <w:rFonts w:eastAsia="新細明體" w:cs="Segoe UI"/>
                <w:iCs/>
                <w:color w:val="000000"/>
                <w:sz w:val="17"/>
                <w:szCs w:val="17"/>
                <w:lang w:val="en-US"/>
              </w:rPr>
              <w:t>calculated in accordance with</w:t>
            </w:r>
            <w:r w:rsidRPr="00686B0A">
              <w:rPr>
                <w:rFonts w:eastAsia="新細明體" w:cs="Segoe UI"/>
                <w:color w:val="000000"/>
                <w:sz w:val="17"/>
                <w:szCs w:val="17"/>
                <w:lang w:val="en-US" w:eastAsia="zh-TW"/>
              </w:rPr>
              <w:t xml:space="preserve"> Part 8A of the BCR. </w:t>
            </w:r>
          </w:p>
        </w:tc>
      </w:tr>
      <w:tr w:rsidR="002E0185" w:rsidRPr="002E0185" w14:paraId="2B3CD984" w14:textId="77777777" w:rsidTr="00AB074C">
        <w:tc>
          <w:tcPr>
            <w:tcW w:w="651" w:type="dxa"/>
            <w:tcBorders>
              <w:top w:val="single" w:sz="4" w:space="0" w:color="auto"/>
              <w:left w:val="single" w:sz="4" w:space="0" w:color="auto"/>
              <w:bottom w:val="single" w:sz="4" w:space="0" w:color="auto"/>
              <w:right w:val="single" w:sz="4" w:space="0" w:color="auto"/>
            </w:tcBorders>
            <w:hideMark/>
          </w:tcPr>
          <w:p w14:paraId="1FE22B7A" w14:textId="77777777" w:rsidR="002E0185" w:rsidRPr="002E0185" w:rsidRDefault="002E0185" w:rsidP="002E0185">
            <w:pPr>
              <w:keepLines/>
              <w:widowControl w:val="0"/>
              <w:tabs>
                <w:tab w:val="left" w:pos="150"/>
                <w:tab w:val="left" w:pos="397"/>
                <w:tab w:val="left" w:pos="794"/>
                <w:tab w:val="left" w:pos="1191"/>
              </w:tabs>
              <w:spacing w:before="40" w:after="40"/>
              <w:rPr>
                <w:rFonts w:cs="Segoe UI"/>
                <w:sz w:val="17"/>
                <w:szCs w:val="17"/>
                <w:lang w:eastAsia="en-GB"/>
              </w:rPr>
            </w:pPr>
            <w:r w:rsidRPr="002E0185">
              <w:rPr>
                <w:rFonts w:cs="Segoe UI"/>
                <w:sz w:val="17"/>
                <w:szCs w:val="17"/>
                <w:lang w:eastAsia="en-GB"/>
              </w:rPr>
              <w:t>3</w:t>
            </w:r>
          </w:p>
        </w:tc>
        <w:tc>
          <w:tcPr>
            <w:tcW w:w="8563" w:type="dxa"/>
            <w:tcBorders>
              <w:top w:val="single" w:sz="4" w:space="0" w:color="auto"/>
              <w:left w:val="single" w:sz="4" w:space="0" w:color="auto"/>
              <w:bottom w:val="single" w:sz="4" w:space="0" w:color="auto"/>
              <w:right w:val="single" w:sz="4" w:space="0" w:color="auto"/>
            </w:tcBorders>
            <w:hideMark/>
          </w:tcPr>
          <w:p w14:paraId="42AABDB6" w14:textId="51C8D184" w:rsidR="002E0185" w:rsidRPr="00686B0A" w:rsidRDefault="002E0185" w:rsidP="00E5343A">
            <w:pPr>
              <w:widowControl w:val="0"/>
              <w:autoSpaceDE w:val="0"/>
              <w:autoSpaceDN w:val="0"/>
              <w:adjustRightInd w:val="0"/>
              <w:jc w:val="both"/>
              <w:rPr>
                <w:rFonts w:eastAsia="新細明體" w:cs="Segoe UI"/>
                <w:color w:val="000000"/>
                <w:sz w:val="17"/>
                <w:szCs w:val="17"/>
                <w:lang w:val="en-US" w:eastAsia="zh-TW"/>
              </w:rPr>
            </w:pPr>
            <w:r w:rsidRPr="00686B0A">
              <w:rPr>
                <w:rFonts w:eastAsia="新細明體" w:cs="Segoe UI"/>
                <w:i/>
                <w:iCs/>
                <w:color w:val="000000"/>
                <w:sz w:val="17"/>
                <w:szCs w:val="17"/>
                <w:lang w:val="en-US" w:eastAsia="zh-TW"/>
              </w:rPr>
              <w:t xml:space="preserve">Total: </w:t>
            </w:r>
            <w:r w:rsidRPr="00686B0A">
              <w:rPr>
                <w:rFonts w:eastAsia="新細明體" w:cs="Segoe UI"/>
                <w:iCs/>
                <w:color w:val="000000"/>
                <w:sz w:val="17"/>
                <w:szCs w:val="17"/>
                <w:lang w:val="en-US" w:eastAsia="zh-TW"/>
              </w:rPr>
              <w:t>This is the CVA risk capital charge under the full basic CVA approach</w:t>
            </w:r>
            <w:r w:rsidRPr="00686B0A">
              <w:rPr>
                <w:rFonts w:eastAsia="新細明體" w:cs="Segoe UI"/>
                <w:i/>
                <w:iCs/>
                <w:color w:val="000000"/>
                <w:sz w:val="17"/>
                <w:szCs w:val="17"/>
                <w:lang w:val="en-US" w:eastAsia="zh-TW"/>
              </w:rPr>
              <w:t xml:space="preserve"> </w:t>
            </w:r>
            <w:r w:rsidRPr="00686B0A">
              <w:rPr>
                <w:rFonts w:eastAsia="新細明體" w:cs="Segoe UI"/>
                <w:iCs/>
                <w:color w:val="000000"/>
                <w:sz w:val="17"/>
                <w:szCs w:val="17"/>
                <w:lang w:val="en-US" w:eastAsia="zh-TW"/>
              </w:rPr>
              <w:t>(i.e. BA_CVA</w:t>
            </w:r>
            <w:r w:rsidRPr="00686B0A">
              <w:rPr>
                <w:rFonts w:eastAsia="新細明體" w:cs="Segoe UI"/>
                <w:iCs/>
                <w:color w:val="000000"/>
                <w:sz w:val="17"/>
                <w:szCs w:val="17"/>
                <w:vertAlign w:val="subscript"/>
                <w:lang w:val="en-US" w:eastAsia="zh-TW"/>
              </w:rPr>
              <w:t>full</w:t>
            </w:r>
            <w:r w:rsidRPr="00686B0A">
              <w:rPr>
                <w:rFonts w:eastAsia="新細明體" w:cs="Segoe UI"/>
                <w:color w:val="000000"/>
                <w:sz w:val="17"/>
                <w:szCs w:val="17"/>
                <w:lang w:val="en-US" w:eastAsia="zh-TW"/>
              </w:rPr>
              <w:t xml:space="preserve">) as </w:t>
            </w:r>
            <w:r w:rsidRPr="00686B0A">
              <w:rPr>
                <w:rFonts w:eastAsia="新細明體" w:cs="Segoe UI"/>
                <w:iCs/>
                <w:color w:val="000000"/>
                <w:sz w:val="17"/>
                <w:szCs w:val="17"/>
                <w:lang w:val="en-US"/>
              </w:rPr>
              <w:t>calculated in accordance with</w:t>
            </w:r>
            <w:r w:rsidRPr="00686B0A">
              <w:rPr>
                <w:rFonts w:eastAsia="新細明體" w:cs="Segoe UI"/>
                <w:color w:val="000000"/>
                <w:sz w:val="17"/>
                <w:szCs w:val="17"/>
                <w:lang w:val="en-US" w:eastAsia="zh-TW"/>
              </w:rPr>
              <w:t xml:space="preserve"> Part 8A of the BCR.  The value in [CVA2:3/a] should be equal to the value in [OV1:10/c] if the AI only uses the full basic CVA approach for all CVA risk exposures. </w:t>
            </w:r>
          </w:p>
        </w:tc>
      </w:tr>
    </w:tbl>
    <w:p w14:paraId="429FFBF6" w14:textId="16864F52" w:rsidR="001B2812" w:rsidRDefault="001B2812" w:rsidP="00001FA4"/>
    <w:p w14:paraId="399DBAD5" w14:textId="56891A89" w:rsidR="00001FA4" w:rsidRDefault="00001FA4" w:rsidP="00001FA4"/>
    <w:p w14:paraId="64CBD2B5" w14:textId="77777777" w:rsidR="00001FA4" w:rsidRDefault="00001FA4" w:rsidP="00001FA4">
      <w:pPr>
        <w:sectPr w:rsidR="00001FA4">
          <w:footerReference w:type="default" r:id="rId68"/>
          <w:pgSz w:w="11906" w:h="16838" w:code="9"/>
          <w:pgMar w:top="1440" w:right="1416" w:bottom="1440" w:left="1797" w:header="851" w:footer="737" w:gutter="0"/>
          <w:cols w:space="425"/>
          <w:docGrid w:type="linesAndChars" w:linePitch="360"/>
        </w:sectPr>
      </w:pPr>
    </w:p>
    <w:p w14:paraId="5E4E569D" w14:textId="201A9B88" w:rsidR="00417456" w:rsidRDefault="00417456" w:rsidP="00417456">
      <w:pPr>
        <w:pStyle w:val="Heading2"/>
        <w:ind w:firstLine="312"/>
      </w:pPr>
      <w:r w:rsidRPr="00DB061B">
        <w:rPr>
          <w:szCs w:val="22"/>
        </w:rPr>
        <w:lastRenderedPageBreak/>
        <w:t>Table CVAB: Additional qualitative disclosures for AI using sta</w:t>
      </w:r>
      <w:r w:rsidRPr="002A7E0C">
        <w:t>ndardized CVA approach</w:t>
      </w:r>
    </w:p>
    <w:tbl>
      <w:tblPr>
        <w:tblW w:w="9242" w:type="dxa"/>
        <w:tblInd w:w="-142"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417456" w14:paraId="76E40DB0" w14:textId="77777777" w:rsidTr="00646466">
        <w:tc>
          <w:tcPr>
            <w:tcW w:w="2008" w:type="dxa"/>
            <w:tcBorders>
              <w:top w:val="single" w:sz="4" w:space="0" w:color="auto"/>
              <w:left w:val="nil"/>
              <w:bottom w:val="single" w:sz="4" w:space="0" w:color="auto"/>
              <w:right w:val="single" w:sz="4" w:space="0" w:color="auto"/>
            </w:tcBorders>
            <w:hideMark/>
          </w:tcPr>
          <w:p w14:paraId="7E5DABFC" w14:textId="77777777" w:rsidR="00417456" w:rsidRDefault="00417456" w:rsidP="00646466">
            <w:pPr>
              <w:spacing w:before="40" w:after="40"/>
              <w:rPr>
                <w:noProof/>
                <w:sz w:val="17"/>
                <w:lang w:eastAsia="en-GB"/>
              </w:rPr>
            </w:pPr>
            <w:r>
              <w:rPr>
                <w:b/>
                <w:sz w:val="17"/>
                <w:lang w:eastAsia="en-GB"/>
              </w:rPr>
              <w:t>Purpose:</w:t>
            </w:r>
          </w:p>
        </w:tc>
        <w:tc>
          <w:tcPr>
            <w:tcW w:w="7234" w:type="dxa"/>
            <w:tcBorders>
              <w:top w:val="single" w:sz="4" w:space="0" w:color="auto"/>
              <w:left w:val="single" w:sz="4" w:space="0" w:color="auto"/>
              <w:bottom w:val="single" w:sz="4" w:space="0" w:color="auto"/>
              <w:right w:val="nil"/>
            </w:tcBorders>
            <w:hideMark/>
          </w:tcPr>
          <w:p w14:paraId="6A9BD26A" w14:textId="77777777" w:rsidR="00417456" w:rsidRDefault="00417456" w:rsidP="00646466">
            <w:pPr>
              <w:pStyle w:val="Default"/>
              <w:jc w:val="both"/>
              <w:rPr>
                <w:sz w:val="17"/>
                <w:szCs w:val="17"/>
              </w:rPr>
            </w:pPr>
            <w:r>
              <w:rPr>
                <w:sz w:val="17"/>
                <w:szCs w:val="17"/>
              </w:rPr>
              <w:t xml:space="preserve">To provide the main characteristics of the AI’s CVA risk management framework. </w:t>
            </w:r>
          </w:p>
        </w:tc>
      </w:tr>
      <w:tr w:rsidR="00417456" w14:paraId="78289735" w14:textId="77777777" w:rsidTr="00646466">
        <w:tc>
          <w:tcPr>
            <w:tcW w:w="2008" w:type="dxa"/>
            <w:tcBorders>
              <w:top w:val="single" w:sz="4" w:space="0" w:color="auto"/>
              <w:left w:val="nil"/>
              <w:bottom w:val="single" w:sz="4" w:space="0" w:color="auto"/>
              <w:right w:val="single" w:sz="4" w:space="0" w:color="auto"/>
            </w:tcBorders>
            <w:hideMark/>
          </w:tcPr>
          <w:p w14:paraId="25EE0955" w14:textId="77777777" w:rsidR="00417456" w:rsidRDefault="00417456" w:rsidP="00646466">
            <w:pPr>
              <w:spacing w:before="40" w:after="40"/>
              <w:rPr>
                <w:b/>
                <w:sz w:val="17"/>
                <w:lang w:eastAsia="en-GB"/>
              </w:rPr>
            </w:pPr>
            <w:r>
              <w:rPr>
                <w:b/>
                <w:sz w:val="17"/>
                <w:lang w:eastAsia="en-GB"/>
              </w:rPr>
              <w:t>Scope of application:</w:t>
            </w:r>
          </w:p>
        </w:tc>
        <w:tc>
          <w:tcPr>
            <w:tcW w:w="7234" w:type="dxa"/>
            <w:tcBorders>
              <w:top w:val="single" w:sz="4" w:space="0" w:color="auto"/>
              <w:left w:val="single" w:sz="4" w:space="0" w:color="auto"/>
              <w:bottom w:val="single" w:sz="4" w:space="0" w:color="auto"/>
              <w:right w:val="nil"/>
            </w:tcBorders>
            <w:hideMark/>
          </w:tcPr>
          <w:p w14:paraId="37E8C70A" w14:textId="37CD7D6F" w:rsidR="00417456" w:rsidRDefault="00417456" w:rsidP="00646466">
            <w:pPr>
              <w:pStyle w:val="Default"/>
              <w:jc w:val="both"/>
              <w:rPr>
                <w:sz w:val="17"/>
                <w:szCs w:val="17"/>
              </w:rPr>
            </w:pPr>
            <w:r>
              <w:rPr>
                <w:sz w:val="17"/>
                <w:szCs w:val="17"/>
              </w:rPr>
              <w:t xml:space="preserve">The table is mandatory for all AIs incorporated in Hong Kong using the </w:t>
            </w:r>
            <w:r w:rsidRPr="003E2F09">
              <w:rPr>
                <w:sz w:val="17"/>
                <w:szCs w:val="17"/>
              </w:rPr>
              <w:t>standardized CVA approach</w:t>
            </w:r>
            <w:r>
              <w:rPr>
                <w:sz w:val="17"/>
                <w:szCs w:val="17"/>
              </w:rPr>
              <w:t xml:space="preserve"> to calculate part or all of their CVA risk capital charge. </w:t>
            </w:r>
          </w:p>
        </w:tc>
      </w:tr>
      <w:tr w:rsidR="00417456" w14:paraId="637165F1" w14:textId="77777777" w:rsidTr="00646466">
        <w:tc>
          <w:tcPr>
            <w:tcW w:w="2008" w:type="dxa"/>
            <w:tcBorders>
              <w:top w:val="single" w:sz="4" w:space="0" w:color="auto"/>
              <w:left w:val="nil"/>
              <w:bottom w:val="single" w:sz="4" w:space="0" w:color="auto"/>
              <w:right w:val="single" w:sz="4" w:space="0" w:color="auto"/>
            </w:tcBorders>
            <w:hideMark/>
          </w:tcPr>
          <w:p w14:paraId="483DBE85" w14:textId="77777777" w:rsidR="00417456" w:rsidRDefault="00417456" w:rsidP="00646466">
            <w:pPr>
              <w:spacing w:before="40" w:after="40"/>
              <w:rPr>
                <w:b/>
                <w:sz w:val="17"/>
                <w:lang w:eastAsia="en-GB"/>
              </w:rPr>
            </w:pPr>
            <w:r>
              <w:rPr>
                <w:b/>
                <w:sz w:val="17"/>
                <w:lang w:eastAsia="en-GB"/>
              </w:rPr>
              <w:t>Content:</w:t>
            </w:r>
          </w:p>
        </w:tc>
        <w:tc>
          <w:tcPr>
            <w:tcW w:w="7234" w:type="dxa"/>
            <w:tcBorders>
              <w:top w:val="single" w:sz="4" w:space="0" w:color="auto"/>
              <w:left w:val="single" w:sz="4" w:space="0" w:color="auto"/>
              <w:bottom w:val="single" w:sz="4" w:space="0" w:color="auto"/>
              <w:right w:val="nil"/>
            </w:tcBorders>
            <w:hideMark/>
          </w:tcPr>
          <w:p w14:paraId="03C2CE4F" w14:textId="77777777" w:rsidR="00417456" w:rsidRDefault="00417456" w:rsidP="00646466">
            <w:pPr>
              <w:spacing w:before="40" w:after="40"/>
              <w:jc w:val="both"/>
              <w:rPr>
                <w:sz w:val="17"/>
                <w:lang w:eastAsia="en-GB"/>
              </w:rPr>
            </w:pPr>
            <w:r>
              <w:rPr>
                <w:sz w:val="17"/>
                <w:lang w:eastAsia="en-GB"/>
              </w:rPr>
              <w:t>Qualitative information.</w:t>
            </w:r>
          </w:p>
        </w:tc>
      </w:tr>
      <w:tr w:rsidR="00417456" w14:paraId="39926418" w14:textId="77777777" w:rsidTr="00646466">
        <w:tc>
          <w:tcPr>
            <w:tcW w:w="2008" w:type="dxa"/>
            <w:tcBorders>
              <w:top w:val="single" w:sz="4" w:space="0" w:color="auto"/>
              <w:left w:val="nil"/>
              <w:bottom w:val="single" w:sz="4" w:space="0" w:color="auto"/>
              <w:right w:val="single" w:sz="4" w:space="0" w:color="auto"/>
            </w:tcBorders>
            <w:hideMark/>
          </w:tcPr>
          <w:p w14:paraId="1060C611" w14:textId="77777777" w:rsidR="00417456" w:rsidRDefault="00417456" w:rsidP="00646466">
            <w:pPr>
              <w:spacing w:before="40" w:after="40"/>
              <w:rPr>
                <w:sz w:val="17"/>
                <w:lang w:eastAsia="en-GB"/>
              </w:rPr>
            </w:pPr>
            <w:r>
              <w:rPr>
                <w:b/>
                <w:sz w:val="17"/>
                <w:lang w:eastAsia="en-GB"/>
              </w:rPr>
              <w:t>Frequency:</w:t>
            </w:r>
          </w:p>
        </w:tc>
        <w:tc>
          <w:tcPr>
            <w:tcW w:w="7234" w:type="dxa"/>
            <w:tcBorders>
              <w:top w:val="single" w:sz="4" w:space="0" w:color="auto"/>
              <w:left w:val="single" w:sz="4" w:space="0" w:color="auto"/>
              <w:bottom w:val="single" w:sz="4" w:space="0" w:color="auto"/>
              <w:right w:val="nil"/>
            </w:tcBorders>
            <w:hideMark/>
          </w:tcPr>
          <w:p w14:paraId="6B9B22C9" w14:textId="77777777" w:rsidR="00417456" w:rsidRDefault="00417456" w:rsidP="00646466">
            <w:pPr>
              <w:pStyle w:val="TableText"/>
              <w:jc w:val="both"/>
              <w:rPr>
                <w:lang w:eastAsia="en-GB"/>
              </w:rPr>
            </w:pPr>
            <w:r>
              <w:rPr>
                <w:lang w:eastAsia="en-GB"/>
              </w:rPr>
              <w:t>Annual.</w:t>
            </w:r>
          </w:p>
        </w:tc>
      </w:tr>
      <w:tr w:rsidR="00417456" w14:paraId="46EF326D" w14:textId="77777777" w:rsidTr="00646466">
        <w:tc>
          <w:tcPr>
            <w:tcW w:w="2008" w:type="dxa"/>
            <w:tcBorders>
              <w:top w:val="single" w:sz="4" w:space="0" w:color="auto"/>
              <w:left w:val="nil"/>
              <w:bottom w:val="single" w:sz="4" w:space="0" w:color="auto"/>
              <w:right w:val="single" w:sz="4" w:space="0" w:color="auto"/>
            </w:tcBorders>
            <w:hideMark/>
          </w:tcPr>
          <w:p w14:paraId="4016B5ED" w14:textId="77777777" w:rsidR="00417456" w:rsidRDefault="00417456" w:rsidP="00646466">
            <w:pPr>
              <w:spacing w:before="40" w:after="40"/>
              <w:rPr>
                <w:sz w:val="17"/>
                <w:lang w:eastAsia="en-GB"/>
              </w:rPr>
            </w:pPr>
            <w:r>
              <w:rPr>
                <w:b/>
                <w:sz w:val="17"/>
                <w:lang w:eastAsia="en-GB"/>
              </w:rPr>
              <w:t>Format:</w:t>
            </w:r>
          </w:p>
        </w:tc>
        <w:tc>
          <w:tcPr>
            <w:tcW w:w="7234" w:type="dxa"/>
            <w:tcBorders>
              <w:top w:val="single" w:sz="4" w:space="0" w:color="auto"/>
              <w:left w:val="single" w:sz="4" w:space="0" w:color="auto"/>
              <w:bottom w:val="single" w:sz="4" w:space="0" w:color="auto"/>
              <w:right w:val="nil"/>
            </w:tcBorders>
            <w:hideMark/>
          </w:tcPr>
          <w:p w14:paraId="424E0A55" w14:textId="77777777" w:rsidR="00417456" w:rsidRDefault="00417456" w:rsidP="00646466">
            <w:pPr>
              <w:pStyle w:val="TableText"/>
              <w:jc w:val="both"/>
              <w:rPr>
                <w:lang w:eastAsia="en-GB"/>
              </w:rPr>
            </w:pPr>
            <w:r>
              <w:rPr>
                <w:lang w:eastAsia="en-GB"/>
              </w:rPr>
              <w:t>Flexible.</w:t>
            </w:r>
          </w:p>
        </w:tc>
      </w:tr>
      <w:tr w:rsidR="00417456" w14:paraId="67C6C629" w14:textId="77777777" w:rsidTr="00646466">
        <w:tc>
          <w:tcPr>
            <w:tcW w:w="2008" w:type="dxa"/>
            <w:tcBorders>
              <w:top w:val="single" w:sz="4" w:space="0" w:color="auto"/>
              <w:left w:val="nil"/>
              <w:bottom w:val="single" w:sz="4" w:space="0" w:color="auto"/>
              <w:right w:val="single" w:sz="4" w:space="0" w:color="auto"/>
            </w:tcBorders>
            <w:hideMark/>
          </w:tcPr>
          <w:p w14:paraId="616E4761" w14:textId="77777777" w:rsidR="00417456" w:rsidRDefault="00417456" w:rsidP="00646466">
            <w:pPr>
              <w:spacing w:before="40" w:after="40"/>
              <w:rPr>
                <w:b/>
                <w:sz w:val="17"/>
                <w:lang w:eastAsia="en-GB"/>
              </w:rPr>
            </w:pPr>
            <w:r w:rsidRPr="00A33DD7">
              <w:rPr>
                <w:b/>
                <w:sz w:val="17"/>
                <w:lang w:eastAsia="en-GB"/>
              </w:rPr>
              <w:t>Corresponding BDR section:</w:t>
            </w:r>
          </w:p>
        </w:tc>
        <w:tc>
          <w:tcPr>
            <w:tcW w:w="7234" w:type="dxa"/>
            <w:tcBorders>
              <w:top w:val="single" w:sz="4" w:space="0" w:color="auto"/>
              <w:left w:val="single" w:sz="4" w:space="0" w:color="auto"/>
              <w:bottom w:val="single" w:sz="4" w:space="0" w:color="auto"/>
              <w:right w:val="nil"/>
            </w:tcBorders>
          </w:tcPr>
          <w:p w14:paraId="5EB52E86" w14:textId="1C3EE00A" w:rsidR="00417456" w:rsidRDefault="00417456" w:rsidP="00646466">
            <w:pPr>
              <w:pStyle w:val="TableText"/>
              <w:jc w:val="both"/>
              <w:rPr>
                <w:lang w:eastAsia="en-GB"/>
              </w:rPr>
            </w:pPr>
            <w:r w:rsidRPr="00686B0A">
              <w:rPr>
                <w:lang w:eastAsia="en-GB"/>
              </w:rPr>
              <w:t>16ZOB</w:t>
            </w:r>
          </w:p>
        </w:tc>
      </w:tr>
    </w:tbl>
    <w:p w14:paraId="4FACF9EC" w14:textId="77777777" w:rsidR="00417456" w:rsidRDefault="00417456" w:rsidP="00417456">
      <w:pPr>
        <w:spacing w:before="120" w:after="120"/>
        <w:rPr>
          <w:sz w:val="22"/>
        </w:rPr>
      </w:pPr>
    </w:p>
    <w:tbl>
      <w:tblPr>
        <w:tblW w:w="8794" w:type="dxa"/>
        <w:jc w:val="center"/>
        <w:tblCellMar>
          <w:left w:w="70" w:type="dxa"/>
          <w:right w:w="70" w:type="dxa"/>
        </w:tblCellMar>
        <w:tblLook w:val="00A0" w:firstRow="1" w:lastRow="0" w:firstColumn="1" w:lastColumn="0" w:noHBand="0" w:noVBand="0"/>
      </w:tblPr>
      <w:tblGrid>
        <w:gridCol w:w="567"/>
        <w:gridCol w:w="8227"/>
      </w:tblGrid>
      <w:tr w:rsidR="00417456" w14:paraId="2C0E053E" w14:textId="77777777" w:rsidTr="00646466">
        <w:trPr>
          <w:trHeight w:val="448"/>
          <w:jc w:val="center"/>
        </w:trPr>
        <w:tc>
          <w:tcPr>
            <w:tcW w:w="8794" w:type="dxa"/>
            <w:gridSpan w:val="2"/>
            <w:tcBorders>
              <w:top w:val="single" w:sz="4" w:space="0" w:color="auto"/>
              <w:left w:val="nil"/>
              <w:bottom w:val="single" w:sz="4" w:space="0" w:color="auto"/>
              <w:right w:val="nil"/>
            </w:tcBorders>
            <w:shd w:val="clear" w:color="auto" w:fill="F2F2F2"/>
            <w:vAlign w:val="center"/>
            <w:hideMark/>
          </w:tcPr>
          <w:p w14:paraId="39FCA335" w14:textId="77777777" w:rsidR="00417456" w:rsidRDefault="00417456" w:rsidP="00646466">
            <w:pPr>
              <w:pStyle w:val="Default"/>
              <w:jc w:val="both"/>
              <w:rPr>
                <w:sz w:val="17"/>
                <w:szCs w:val="17"/>
              </w:rPr>
            </w:pPr>
            <w:r>
              <w:rPr>
                <w:sz w:val="17"/>
                <w:szCs w:val="17"/>
                <w:lang w:val="en-GB"/>
              </w:rPr>
              <w:t>An AI</w:t>
            </w:r>
            <w:r>
              <w:rPr>
                <w:sz w:val="17"/>
                <w:szCs w:val="17"/>
              </w:rPr>
              <w:t xml:space="preserve"> should provide the following information on its CVA risk management framework: </w:t>
            </w:r>
          </w:p>
        </w:tc>
      </w:tr>
      <w:tr w:rsidR="00417456" w14:paraId="08632E97" w14:textId="77777777" w:rsidTr="00646466">
        <w:trPr>
          <w:trHeight w:val="306"/>
          <w:jc w:val="center"/>
        </w:trPr>
        <w:tc>
          <w:tcPr>
            <w:tcW w:w="567" w:type="dxa"/>
            <w:tcBorders>
              <w:top w:val="single" w:sz="4" w:space="0" w:color="auto"/>
              <w:left w:val="nil"/>
              <w:bottom w:val="single" w:sz="4" w:space="0" w:color="auto"/>
              <w:right w:val="nil"/>
            </w:tcBorders>
            <w:noWrap/>
            <w:vAlign w:val="center"/>
            <w:hideMark/>
          </w:tcPr>
          <w:p w14:paraId="30EBDEF6" w14:textId="77777777" w:rsidR="00417456" w:rsidRDefault="00417456" w:rsidP="00646466">
            <w:pPr>
              <w:pStyle w:val="TableText"/>
              <w:jc w:val="both"/>
              <w:rPr>
                <w:lang w:eastAsia="fr-FR"/>
              </w:rPr>
            </w:pPr>
            <w:r>
              <w:rPr>
                <w:lang w:eastAsia="fr-FR"/>
              </w:rPr>
              <w:t>(a)</w:t>
            </w:r>
          </w:p>
        </w:tc>
        <w:tc>
          <w:tcPr>
            <w:tcW w:w="8227" w:type="dxa"/>
            <w:tcBorders>
              <w:top w:val="single" w:sz="4" w:space="0" w:color="auto"/>
              <w:left w:val="nil"/>
              <w:bottom w:val="single" w:sz="4" w:space="0" w:color="auto"/>
              <w:right w:val="nil"/>
            </w:tcBorders>
            <w:vAlign w:val="center"/>
            <w:hideMark/>
          </w:tcPr>
          <w:p w14:paraId="63D54920" w14:textId="77777777" w:rsidR="00417456" w:rsidRDefault="00417456" w:rsidP="00646466">
            <w:pPr>
              <w:pStyle w:val="Default"/>
              <w:jc w:val="both"/>
              <w:rPr>
                <w:sz w:val="17"/>
                <w:szCs w:val="17"/>
              </w:rPr>
            </w:pPr>
            <w:r>
              <w:rPr>
                <w:sz w:val="17"/>
                <w:szCs w:val="17"/>
              </w:rPr>
              <w:t xml:space="preserve">A description of the AI’s CVA risk management framework. </w:t>
            </w:r>
          </w:p>
        </w:tc>
      </w:tr>
      <w:tr w:rsidR="00417456" w14:paraId="42C44314" w14:textId="77777777" w:rsidTr="00B53687">
        <w:trPr>
          <w:trHeight w:val="306"/>
          <w:jc w:val="center"/>
        </w:trPr>
        <w:tc>
          <w:tcPr>
            <w:tcW w:w="567" w:type="dxa"/>
            <w:tcBorders>
              <w:top w:val="single" w:sz="4" w:space="0" w:color="auto"/>
              <w:left w:val="nil"/>
              <w:bottom w:val="single" w:sz="4" w:space="0" w:color="auto"/>
              <w:right w:val="nil"/>
            </w:tcBorders>
            <w:noWrap/>
            <w:vAlign w:val="center"/>
            <w:hideMark/>
          </w:tcPr>
          <w:p w14:paraId="5FFF01CA" w14:textId="77777777" w:rsidR="00417456" w:rsidRDefault="00417456" w:rsidP="00646466">
            <w:pPr>
              <w:pStyle w:val="TableText"/>
              <w:jc w:val="both"/>
              <w:rPr>
                <w:lang w:eastAsia="fr-FR"/>
              </w:rPr>
            </w:pPr>
            <w:r>
              <w:rPr>
                <w:lang w:eastAsia="fr-FR"/>
              </w:rPr>
              <w:t>(b)</w:t>
            </w:r>
          </w:p>
        </w:tc>
        <w:tc>
          <w:tcPr>
            <w:tcW w:w="8227" w:type="dxa"/>
            <w:tcBorders>
              <w:top w:val="single" w:sz="4" w:space="0" w:color="auto"/>
              <w:left w:val="nil"/>
              <w:bottom w:val="single" w:sz="4" w:space="0" w:color="auto"/>
              <w:right w:val="nil"/>
            </w:tcBorders>
            <w:vAlign w:val="center"/>
            <w:hideMark/>
          </w:tcPr>
          <w:p w14:paraId="54F47F4B" w14:textId="77777777" w:rsidR="00417456" w:rsidRDefault="00417456" w:rsidP="00646466">
            <w:pPr>
              <w:pStyle w:val="Default"/>
              <w:jc w:val="both"/>
              <w:rPr>
                <w:sz w:val="17"/>
                <w:szCs w:val="17"/>
              </w:rPr>
            </w:pPr>
            <w:r>
              <w:rPr>
                <w:sz w:val="17"/>
                <w:szCs w:val="17"/>
              </w:rPr>
              <w:t xml:space="preserve">A description of how senior management is involved in the CVA risk management framework. </w:t>
            </w:r>
          </w:p>
        </w:tc>
      </w:tr>
      <w:tr w:rsidR="00417456" w14:paraId="654B266F" w14:textId="77777777" w:rsidTr="00B53687">
        <w:trPr>
          <w:trHeight w:val="306"/>
          <w:jc w:val="center"/>
        </w:trPr>
        <w:tc>
          <w:tcPr>
            <w:tcW w:w="567" w:type="dxa"/>
            <w:tcBorders>
              <w:top w:val="single" w:sz="4" w:space="0" w:color="auto"/>
              <w:left w:val="nil"/>
              <w:bottom w:val="single" w:sz="4" w:space="0" w:color="auto"/>
              <w:right w:val="nil"/>
            </w:tcBorders>
            <w:noWrap/>
            <w:vAlign w:val="center"/>
            <w:hideMark/>
          </w:tcPr>
          <w:p w14:paraId="7E4E2024" w14:textId="77777777" w:rsidR="00417456" w:rsidRDefault="00417456" w:rsidP="00646466">
            <w:pPr>
              <w:pStyle w:val="TableText"/>
              <w:jc w:val="both"/>
              <w:rPr>
                <w:lang w:eastAsia="fr-FR"/>
              </w:rPr>
            </w:pPr>
            <w:r>
              <w:rPr>
                <w:lang w:eastAsia="fr-FR"/>
              </w:rPr>
              <w:t>(c)</w:t>
            </w:r>
          </w:p>
        </w:tc>
        <w:tc>
          <w:tcPr>
            <w:tcW w:w="8227" w:type="dxa"/>
            <w:tcBorders>
              <w:top w:val="single" w:sz="4" w:space="0" w:color="auto"/>
              <w:left w:val="nil"/>
              <w:bottom w:val="single" w:sz="4" w:space="0" w:color="auto"/>
              <w:right w:val="nil"/>
            </w:tcBorders>
            <w:vAlign w:val="center"/>
            <w:hideMark/>
          </w:tcPr>
          <w:p w14:paraId="16340908" w14:textId="77777777" w:rsidR="00417456" w:rsidRDefault="00417456" w:rsidP="00646466">
            <w:pPr>
              <w:pStyle w:val="Default"/>
              <w:jc w:val="both"/>
              <w:rPr>
                <w:sz w:val="17"/>
                <w:szCs w:val="17"/>
              </w:rPr>
            </w:pPr>
            <w:r>
              <w:rPr>
                <w:sz w:val="17"/>
                <w:szCs w:val="17"/>
              </w:rPr>
              <w:t xml:space="preserve">An overview of the governance of the CVA risk management framework (e.g. documentation, independent control unit, independent review, independence of the data acquisition from the lines of business). </w:t>
            </w:r>
          </w:p>
        </w:tc>
      </w:tr>
    </w:tbl>
    <w:p w14:paraId="0F0E68D0" w14:textId="77777777" w:rsidR="00417456" w:rsidRDefault="00417456" w:rsidP="00417456">
      <w:pPr>
        <w:spacing w:before="120" w:after="120"/>
        <w:rPr>
          <w:sz w:val="22"/>
        </w:rPr>
      </w:pPr>
    </w:p>
    <w:p w14:paraId="36D7AA09" w14:textId="77777777" w:rsidR="00417456" w:rsidRDefault="00417456" w:rsidP="00417456"/>
    <w:p w14:paraId="0AA2F723" w14:textId="77777777" w:rsidR="00417456" w:rsidRDefault="00417456" w:rsidP="00417456"/>
    <w:p w14:paraId="28EFA15B" w14:textId="77777777" w:rsidR="00417456" w:rsidRDefault="00417456" w:rsidP="00417456">
      <w:pPr>
        <w:sectPr w:rsidR="00417456">
          <w:footerReference w:type="default" r:id="rId69"/>
          <w:pgSz w:w="11906" w:h="16838" w:code="9"/>
          <w:pgMar w:top="1440" w:right="1416" w:bottom="1440" w:left="1797" w:header="851" w:footer="737" w:gutter="0"/>
          <w:cols w:space="425"/>
          <w:docGrid w:type="linesAndChars" w:linePitch="360"/>
        </w:sectPr>
      </w:pPr>
    </w:p>
    <w:p w14:paraId="756017BB" w14:textId="6BB37A40" w:rsidR="00CA15F8" w:rsidRPr="00CA15F8" w:rsidRDefault="00CA15F8" w:rsidP="00CA15F8">
      <w:pPr>
        <w:pStyle w:val="Heading2"/>
      </w:pPr>
      <w:r w:rsidRPr="00CA15F8">
        <w:rPr>
          <w:rFonts w:eastAsia="新細明體"/>
          <w:szCs w:val="24"/>
        </w:rPr>
        <w:lastRenderedPageBreak/>
        <w:t>Template CVA3:</w:t>
      </w:r>
      <w:r w:rsidR="00CE2592">
        <w:t xml:space="preserve"> </w:t>
      </w:r>
      <w:r w:rsidR="00CE2592" w:rsidRPr="00573C7A">
        <w:t xml:space="preserve">CVA risk under </w:t>
      </w:r>
      <w:r w:rsidR="00CE2592">
        <w:t>standardized CVA approach</w:t>
      </w:r>
    </w:p>
    <w:tbl>
      <w:tblPr>
        <w:tblW w:w="9214"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1701"/>
        <w:gridCol w:w="7513"/>
      </w:tblGrid>
      <w:tr w:rsidR="00CA15F8" w:rsidRPr="00CA15F8" w14:paraId="564AAB22" w14:textId="77777777" w:rsidTr="00AB074C">
        <w:tc>
          <w:tcPr>
            <w:tcW w:w="1701" w:type="dxa"/>
            <w:tcBorders>
              <w:top w:val="single" w:sz="4" w:space="0" w:color="auto"/>
              <w:left w:val="nil"/>
              <w:bottom w:val="single" w:sz="4" w:space="0" w:color="auto"/>
              <w:right w:val="single" w:sz="4" w:space="0" w:color="auto"/>
            </w:tcBorders>
            <w:hideMark/>
          </w:tcPr>
          <w:p w14:paraId="027B61E4" w14:textId="77777777" w:rsidR="00CA15F8" w:rsidRPr="00CA15F8" w:rsidRDefault="00CA15F8" w:rsidP="00CA15F8">
            <w:pPr>
              <w:spacing w:before="40" w:after="40"/>
              <w:rPr>
                <w:noProof/>
                <w:sz w:val="17"/>
                <w:lang w:eastAsia="en-GB"/>
              </w:rPr>
            </w:pPr>
            <w:r w:rsidRPr="00CA15F8">
              <w:rPr>
                <w:b/>
                <w:sz w:val="17"/>
                <w:lang w:eastAsia="en-GB"/>
              </w:rPr>
              <w:t>Purpose:</w:t>
            </w:r>
            <w:r w:rsidRPr="00CA15F8">
              <w:rPr>
                <w:sz w:val="17"/>
                <w:lang w:eastAsia="en-GB"/>
              </w:rPr>
              <w:t xml:space="preserve"> </w:t>
            </w:r>
          </w:p>
        </w:tc>
        <w:tc>
          <w:tcPr>
            <w:tcW w:w="7513" w:type="dxa"/>
            <w:tcBorders>
              <w:top w:val="single" w:sz="4" w:space="0" w:color="auto"/>
              <w:left w:val="single" w:sz="4" w:space="0" w:color="auto"/>
              <w:bottom w:val="single" w:sz="4" w:space="0" w:color="auto"/>
              <w:right w:val="nil"/>
            </w:tcBorders>
            <w:hideMark/>
          </w:tcPr>
          <w:p w14:paraId="52670C2B" w14:textId="33259429" w:rsidR="00CA15F8" w:rsidRPr="00CA15F8" w:rsidRDefault="00CA15F8" w:rsidP="00B0628A">
            <w:pPr>
              <w:widowControl w:val="0"/>
              <w:autoSpaceDE w:val="0"/>
              <w:autoSpaceDN w:val="0"/>
              <w:adjustRightInd w:val="0"/>
              <w:jc w:val="both"/>
              <w:rPr>
                <w:rFonts w:eastAsia="新細明體" w:cs="Segoe UI"/>
                <w:color w:val="000000"/>
                <w:sz w:val="17"/>
                <w:szCs w:val="17"/>
                <w:lang w:val="en-US" w:eastAsia="zh-TW"/>
              </w:rPr>
            </w:pPr>
            <w:r w:rsidRPr="00CA15F8">
              <w:rPr>
                <w:rFonts w:eastAsia="新細明體" w:cs="Segoe UI"/>
                <w:color w:val="000000"/>
                <w:sz w:val="17"/>
                <w:szCs w:val="17"/>
                <w:lang w:val="en-US" w:eastAsia="zh-TW"/>
              </w:rPr>
              <w:t xml:space="preserve">To provide the components used for the calculation of CVA risk capital charge under the standardized CVA approach. </w:t>
            </w:r>
          </w:p>
        </w:tc>
      </w:tr>
      <w:tr w:rsidR="00CA15F8" w:rsidRPr="00CA15F8" w14:paraId="46C50746" w14:textId="77777777" w:rsidTr="00AB074C">
        <w:tc>
          <w:tcPr>
            <w:tcW w:w="1701" w:type="dxa"/>
            <w:tcBorders>
              <w:top w:val="single" w:sz="4" w:space="0" w:color="auto"/>
              <w:left w:val="nil"/>
              <w:bottom w:val="single" w:sz="4" w:space="0" w:color="auto"/>
              <w:right w:val="single" w:sz="4" w:space="0" w:color="auto"/>
            </w:tcBorders>
            <w:hideMark/>
          </w:tcPr>
          <w:p w14:paraId="09941C35" w14:textId="77777777" w:rsidR="00CA15F8" w:rsidRPr="00CA15F8" w:rsidRDefault="00CA15F8" w:rsidP="00CA15F8">
            <w:pPr>
              <w:spacing w:before="40" w:after="40"/>
              <w:rPr>
                <w:b/>
                <w:sz w:val="17"/>
                <w:lang w:eastAsia="en-GB"/>
              </w:rPr>
            </w:pPr>
            <w:r w:rsidRPr="00CA15F8">
              <w:rPr>
                <w:b/>
                <w:sz w:val="17"/>
                <w:lang w:eastAsia="en-GB"/>
              </w:rPr>
              <w:t xml:space="preserve">Scope of application: </w:t>
            </w:r>
          </w:p>
        </w:tc>
        <w:tc>
          <w:tcPr>
            <w:tcW w:w="7513" w:type="dxa"/>
            <w:tcBorders>
              <w:top w:val="single" w:sz="4" w:space="0" w:color="auto"/>
              <w:left w:val="single" w:sz="4" w:space="0" w:color="auto"/>
              <w:bottom w:val="single" w:sz="4" w:space="0" w:color="auto"/>
              <w:right w:val="nil"/>
            </w:tcBorders>
            <w:hideMark/>
          </w:tcPr>
          <w:p w14:paraId="120AE377" w14:textId="77777777" w:rsidR="00CA15F8" w:rsidRPr="00CA15F8" w:rsidRDefault="00CA15F8" w:rsidP="00B0628A">
            <w:pPr>
              <w:widowControl w:val="0"/>
              <w:autoSpaceDE w:val="0"/>
              <w:autoSpaceDN w:val="0"/>
              <w:adjustRightInd w:val="0"/>
              <w:jc w:val="both"/>
              <w:rPr>
                <w:rFonts w:eastAsia="新細明體" w:cs="Segoe UI"/>
                <w:color w:val="000000"/>
                <w:sz w:val="17"/>
                <w:szCs w:val="17"/>
                <w:lang w:val="en-US" w:eastAsia="zh-TW"/>
              </w:rPr>
            </w:pPr>
            <w:r w:rsidRPr="00CA15F8">
              <w:rPr>
                <w:rFonts w:eastAsia="新細明體" w:cs="Segoe UI"/>
                <w:color w:val="000000"/>
                <w:sz w:val="17"/>
                <w:szCs w:val="17"/>
                <w:lang w:val="en-US" w:eastAsia="zh-TW"/>
              </w:rPr>
              <w:t xml:space="preserve">The template is mandatory for AIs incorporated in Hong Kong that use the standardized CVA approach to calculate part or all of their CVA risk capital charges. </w:t>
            </w:r>
          </w:p>
        </w:tc>
      </w:tr>
      <w:tr w:rsidR="00CA15F8" w:rsidRPr="00CA15F8" w14:paraId="2B16469E" w14:textId="77777777" w:rsidTr="00AB074C">
        <w:tc>
          <w:tcPr>
            <w:tcW w:w="1701" w:type="dxa"/>
            <w:tcBorders>
              <w:top w:val="single" w:sz="4" w:space="0" w:color="auto"/>
              <w:left w:val="nil"/>
              <w:bottom w:val="single" w:sz="4" w:space="0" w:color="auto"/>
              <w:right w:val="single" w:sz="4" w:space="0" w:color="auto"/>
            </w:tcBorders>
            <w:hideMark/>
          </w:tcPr>
          <w:p w14:paraId="0FB4E75E" w14:textId="77777777" w:rsidR="00CA15F8" w:rsidRPr="00CA15F8" w:rsidRDefault="00CA15F8" w:rsidP="00CA15F8">
            <w:pPr>
              <w:spacing w:before="40" w:after="40"/>
              <w:rPr>
                <w:b/>
                <w:sz w:val="17"/>
                <w:lang w:eastAsia="en-GB"/>
              </w:rPr>
            </w:pPr>
            <w:r w:rsidRPr="00CA15F8">
              <w:rPr>
                <w:b/>
                <w:sz w:val="17"/>
                <w:lang w:eastAsia="en-GB"/>
              </w:rPr>
              <w:t xml:space="preserve">Content: </w:t>
            </w:r>
          </w:p>
        </w:tc>
        <w:tc>
          <w:tcPr>
            <w:tcW w:w="7513" w:type="dxa"/>
            <w:tcBorders>
              <w:top w:val="single" w:sz="4" w:space="0" w:color="auto"/>
              <w:left w:val="single" w:sz="4" w:space="0" w:color="auto"/>
              <w:bottom w:val="single" w:sz="4" w:space="0" w:color="auto"/>
              <w:right w:val="nil"/>
            </w:tcBorders>
            <w:hideMark/>
          </w:tcPr>
          <w:p w14:paraId="2A1CB9F2" w14:textId="77777777" w:rsidR="00CA15F8" w:rsidRPr="00CA15F8" w:rsidRDefault="00CA15F8" w:rsidP="00CA15F8">
            <w:pPr>
              <w:spacing w:before="40" w:after="40"/>
              <w:jc w:val="both"/>
              <w:rPr>
                <w:sz w:val="17"/>
                <w:szCs w:val="17"/>
              </w:rPr>
            </w:pPr>
            <w:r w:rsidRPr="00CA15F8">
              <w:rPr>
                <w:sz w:val="17"/>
                <w:szCs w:val="17"/>
              </w:rPr>
              <w:t>Capital charge.</w:t>
            </w:r>
          </w:p>
        </w:tc>
      </w:tr>
      <w:tr w:rsidR="00CA15F8" w:rsidRPr="00CA15F8" w14:paraId="490BE085" w14:textId="77777777" w:rsidTr="00AB074C">
        <w:tc>
          <w:tcPr>
            <w:tcW w:w="1701" w:type="dxa"/>
            <w:tcBorders>
              <w:top w:val="single" w:sz="4" w:space="0" w:color="auto"/>
              <w:left w:val="nil"/>
              <w:bottom w:val="single" w:sz="4" w:space="0" w:color="auto"/>
              <w:right w:val="single" w:sz="4" w:space="0" w:color="auto"/>
            </w:tcBorders>
            <w:hideMark/>
          </w:tcPr>
          <w:p w14:paraId="109FDCBD" w14:textId="77777777" w:rsidR="00CA15F8" w:rsidRPr="00CA15F8" w:rsidRDefault="00CA15F8" w:rsidP="00CA15F8">
            <w:pPr>
              <w:spacing w:before="40" w:after="40"/>
              <w:rPr>
                <w:sz w:val="17"/>
                <w:lang w:eastAsia="en-GB"/>
              </w:rPr>
            </w:pPr>
            <w:r w:rsidRPr="00CA15F8">
              <w:rPr>
                <w:b/>
                <w:sz w:val="17"/>
                <w:lang w:eastAsia="en-GB"/>
              </w:rPr>
              <w:t>Frequency:</w:t>
            </w:r>
            <w:r w:rsidRPr="00CA15F8">
              <w:rPr>
                <w:sz w:val="17"/>
                <w:lang w:eastAsia="en-GB"/>
              </w:rPr>
              <w:t xml:space="preserve"> </w:t>
            </w:r>
          </w:p>
        </w:tc>
        <w:tc>
          <w:tcPr>
            <w:tcW w:w="7513" w:type="dxa"/>
            <w:tcBorders>
              <w:top w:val="single" w:sz="4" w:space="0" w:color="auto"/>
              <w:left w:val="single" w:sz="4" w:space="0" w:color="auto"/>
              <w:bottom w:val="single" w:sz="4" w:space="0" w:color="auto"/>
              <w:right w:val="nil"/>
            </w:tcBorders>
            <w:hideMark/>
          </w:tcPr>
          <w:p w14:paraId="5FE4011F" w14:textId="77777777" w:rsidR="00CA15F8" w:rsidRPr="00CA15F8" w:rsidRDefault="00CA15F8" w:rsidP="00CA15F8">
            <w:pPr>
              <w:spacing w:before="40" w:after="40"/>
              <w:jc w:val="both"/>
              <w:rPr>
                <w:sz w:val="17"/>
                <w:lang w:eastAsia="en-GB"/>
              </w:rPr>
            </w:pPr>
            <w:r w:rsidRPr="00CA15F8">
              <w:rPr>
                <w:sz w:val="17"/>
                <w:lang w:eastAsia="en-GB"/>
              </w:rPr>
              <w:t>Semi-annual.</w:t>
            </w:r>
          </w:p>
        </w:tc>
      </w:tr>
      <w:tr w:rsidR="00CA15F8" w:rsidRPr="00CA15F8" w14:paraId="6B615412" w14:textId="77777777" w:rsidTr="00AB074C">
        <w:tc>
          <w:tcPr>
            <w:tcW w:w="1701" w:type="dxa"/>
            <w:tcBorders>
              <w:top w:val="single" w:sz="4" w:space="0" w:color="auto"/>
              <w:left w:val="nil"/>
              <w:bottom w:val="single" w:sz="4" w:space="0" w:color="auto"/>
              <w:right w:val="single" w:sz="4" w:space="0" w:color="auto"/>
            </w:tcBorders>
            <w:hideMark/>
          </w:tcPr>
          <w:p w14:paraId="67B13B7C" w14:textId="77777777" w:rsidR="00CA15F8" w:rsidRPr="00CA15F8" w:rsidRDefault="00CA15F8" w:rsidP="00CA15F8">
            <w:pPr>
              <w:spacing w:before="40" w:after="40"/>
              <w:rPr>
                <w:sz w:val="17"/>
                <w:lang w:eastAsia="en-GB"/>
              </w:rPr>
            </w:pPr>
            <w:r w:rsidRPr="00CA15F8">
              <w:rPr>
                <w:b/>
                <w:sz w:val="17"/>
                <w:lang w:eastAsia="en-GB"/>
              </w:rPr>
              <w:t>Format:</w:t>
            </w:r>
            <w:r w:rsidRPr="00CA15F8">
              <w:rPr>
                <w:sz w:val="17"/>
                <w:lang w:eastAsia="en-GB"/>
              </w:rPr>
              <w:t xml:space="preserve"> </w:t>
            </w:r>
          </w:p>
        </w:tc>
        <w:tc>
          <w:tcPr>
            <w:tcW w:w="7513" w:type="dxa"/>
            <w:tcBorders>
              <w:top w:val="single" w:sz="4" w:space="0" w:color="auto"/>
              <w:left w:val="single" w:sz="4" w:space="0" w:color="auto"/>
              <w:bottom w:val="single" w:sz="4" w:space="0" w:color="auto"/>
              <w:right w:val="nil"/>
            </w:tcBorders>
            <w:hideMark/>
          </w:tcPr>
          <w:p w14:paraId="1543F6D7" w14:textId="387C9DB0" w:rsidR="00CA15F8" w:rsidRPr="00B03D96" w:rsidRDefault="00CA15F8" w:rsidP="00CA15F8">
            <w:pPr>
              <w:spacing w:before="40" w:after="40"/>
              <w:jc w:val="both"/>
              <w:rPr>
                <w:sz w:val="17"/>
                <w:lang w:eastAsia="en-GB"/>
              </w:rPr>
            </w:pPr>
            <w:r w:rsidRPr="00B03D96">
              <w:rPr>
                <w:sz w:val="17"/>
                <w:lang w:eastAsia="en-GB"/>
              </w:rPr>
              <w:t>Fixed.</w:t>
            </w:r>
            <w:r w:rsidR="00ED73D5" w:rsidRPr="00B03D96">
              <w:rPr>
                <w:sz w:val="17"/>
                <w:lang w:eastAsia="en-GB"/>
              </w:rPr>
              <w:t xml:space="preserve">  </w:t>
            </w:r>
            <w:r w:rsidRPr="00B03D96">
              <w:rPr>
                <w:sz w:val="17"/>
                <w:lang w:eastAsia="en-GB"/>
              </w:rPr>
              <w:t xml:space="preserve"> Additional rows can be inserted for the breakdown of other risks.</w:t>
            </w:r>
          </w:p>
        </w:tc>
      </w:tr>
      <w:tr w:rsidR="00CA15F8" w:rsidRPr="00CA15F8" w14:paraId="6020AFA3" w14:textId="77777777" w:rsidTr="00AB074C">
        <w:tc>
          <w:tcPr>
            <w:tcW w:w="1701" w:type="dxa"/>
            <w:tcBorders>
              <w:top w:val="single" w:sz="4" w:space="0" w:color="auto"/>
              <w:left w:val="nil"/>
              <w:bottom w:val="single" w:sz="4" w:space="0" w:color="auto"/>
              <w:right w:val="single" w:sz="4" w:space="0" w:color="auto"/>
            </w:tcBorders>
            <w:hideMark/>
          </w:tcPr>
          <w:p w14:paraId="0FE318B3" w14:textId="77777777" w:rsidR="00CA15F8" w:rsidRPr="00CA15F8" w:rsidRDefault="00CA15F8" w:rsidP="00CA15F8">
            <w:pPr>
              <w:spacing w:before="40" w:after="40"/>
              <w:rPr>
                <w:rFonts w:eastAsia="新細明體"/>
                <w:b/>
                <w:sz w:val="17"/>
                <w:szCs w:val="17"/>
                <w:lang w:eastAsia="en-GB"/>
              </w:rPr>
            </w:pPr>
            <w:r w:rsidRPr="00CA15F8">
              <w:rPr>
                <w:rFonts w:eastAsia="新細明體"/>
                <w:b/>
                <w:sz w:val="17"/>
                <w:szCs w:val="17"/>
                <w:lang w:eastAsia="en-GB"/>
              </w:rPr>
              <w:t>Corresponding BDR section:</w:t>
            </w:r>
          </w:p>
        </w:tc>
        <w:tc>
          <w:tcPr>
            <w:tcW w:w="7513" w:type="dxa"/>
            <w:tcBorders>
              <w:top w:val="single" w:sz="4" w:space="0" w:color="auto"/>
              <w:left w:val="single" w:sz="4" w:space="0" w:color="auto"/>
              <w:bottom w:val="single" w:sz="4" w:space="0" w:color="auto"/>
              <w:right w:val="nil"/>
            </w:tcBorders>
          </w:tcPr>
          <w:p w14:paraId="16373CB5" w14:textId="11AE8455" w:rsidR="00CA15F8" w:rsidRPr="00B03D96" w:rsidRDefault="00EC30BB" w:rsidP="00CA15F8">
            <w:pPr>
              <w:spacing w:before="40" w:after="40"/>
              <w:jc w:val="both"/>
              <w:rPr>
                <w:sz w:val="17"/>
                <w:lang w:eastAsia="en-GB"/>
              </w:rPr>
            </w:pPr>
            <w:r w:rsidRPr="00B03D96">
              <w:rPr>
                <w:sz w:val="17"/>
                <w:szCs w:val="17"/>
                <w:lang w:eastAsia="en-GB"/>
              </w:rPr>
              <w:t>16ZOE</w:t>
            </w:r>
          </w:p>
        </w:tc>
      </w:tr>
    </w:tbl>
    <w:p w14:paraId="60FEEFC8" w14:textId="77777777" w:rsidR="00CA15F8" w:rsidRPr="00CA15F8" w:rsidRDefault="00CA15F8" w:rsidP="00CA15F8"/>
    <w:tbl>
      <w:tblPr>
        <w:tblW w:w="0" w:type="dxa"/>
        <w:tblInd w:w="-459" w:type="dxa"/>
        <w:tblBorders>
          <w:top w:val="single" w:sz="4" w:space="0" w:color="A6A6A6"/>
          <w:bottom w:val="single" w:sz="4" w:space="0" w:color="A6A6A6"/>
          <w:insideH w:val="single" w:sz="4" w:space="0" w:color="A6A6A6"/>
          <w:insideV w:val="single" w:sz="4" w:space="0" w:color="A6A6A6"/>
        </w:tblBorders>
        <w:tblLayout w:type="fixed"/>
        <w:tblLook w:val="04A0" w:firstRow="1" w:lastRow="0" w:firstColumn="1" w:lastColumn="0" w:noHBand="0" w:noVBand="1"/>
      </w:tblPr>
      <w:tblGrid>
        <w:gridCol w:w="567"/>
        <w:gridCol w:w="2552"/>
        <w:gridCol w:w="3260"/>
        <w:gridCol w:w="2977"/>
      </w:tblGrid>
      <w:tr w:rsidR="00CA15F8" w:rsidRPr="00CA15F8" w14:paraId="7513EF22" w14:textId="77777777" w:rsidTr="00AB074C">
        <w:trPr>
          <w:cantSplit/>
          <w:tblHeader/>
        </w:trPr>
        <w:tc>
          <w:tcPr>
            <w:tcW w:w="3119" w:type="dxa"/>
            <w:gridSpan w:val="2"/>
            <w:tcBorders>
              <w:top w:val="nil"/>
              <w:left w:val="nil"/>
              <w:bottom w:val="nil"/>
              <w:right w:val="single" w:sz="4" w:space="0" w:color="auto"/>
            </w:tcBorders>
            <w:vAlign w:val="center"/>
          </w:tcPr>
          <w:p w14:paraId="2F41B741" w14:textId="77777777" w:rsidR="00CA15F8" w:rsidRPr="00CA15F8" w:rsidRDefault="00CA15F8" w:rsidP="00CA15F8">
            <w:pPr>
              <w:snapToGrid w:val="0"/>
              <w:spacing w:before="40" w:after="40"/>
              <w:rPr>
                <w:sz w:val="17"/>
                <w:lang w:eastAsia="fr-FR"/>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07200C2A" w14:textId="77777777" w:rsidR="00CA15F8" w:rsidRPr="00CA15F8" w:rsidRDefault="00CA15F8" w:rsidP="00CA15F8">
            <w:pPr>
              <w:snapToGrid w:val="0"/>
              <w:spacing w:before="40" w:after="40"/>
              <w:jc w:val="center"/>
              <w:rPr>
                <w:sz w:val="17"/>
              </w:rPr>
            </w:pPr>
            <w:r w:rsidRPr="00CA15F8">
              <w:rPr>
                <w:sz w:val="17"/>
              </w:rPr>
              <w:t>(a)</w:t>
            </w:r>
          </w:p>
        </w:tc>
        <w:tc>
          <w:tcPr>
            <w:tcW w:w="2977" w:type="dxa"/>
            <w:tcBorders>
              <w:top w:val="single" w:sz="4" w:space="0" w:color="auto"/>
              <w:left w:val="single" w:sz="4" w:space="0" w:color="auto"/>
              <w:bottom w:val="single" w:sz="4" w:space="0" w:color="auto"/>
              <w:right w:val="single" w:sz="4" w:space="0" w:color="auto"/>
            </w:tcBorders>
            <w:hideMark/>
          </w:tcPr>
          <w:p w14:paraId="737F48AC" w14:textId="77777777" w:rsidR="00CA15F8" w:rsidRPr="00CA15F8" w:rsidRDefault="00CA15F8" w:rsidP="00CA15F8">
            <w:pPr>
              <w:snapToGrid w:val="0"/>
              <w:spacing w:before="40" w:after="40"/>
              <w:jc w:val="center"/>
              <w:rPr>
                <w:sz w:val="17"/>
              </w:rPr>
            </w:pPr>
            <w:r w:rsidRPr="00CA15F8">
              <w:rPr>
                <w:sz w:val="17"/>
              </w:rPr>
              <w:t>(b)</w:t>
            </w:r>
          </w:p>
        </w:tc>
      </w:tr>
      <w:tr w:rsidR="00CA15F8" w:rsidRPr="00CA15F8" w14:paraId="01FAC2B2" w14:textId="77777777" w:rsidTr="00AB074C">
        <w:trPr>
          <w:cantSplit/>
          <w:tblHeader/>
        </w:trPr>
        <w:tc>
          <w:tcPr>
            <w:tcW w:w="3119" w:type="dxa"/>
            <w:gridSpan w:val="2"/>
            <w:tcBorders>
              <w:top w:val="nil"/>
              <w:left w:val="nil"/>
              <w:bottom w:val="single" w:sz="4" w:space="0" w:color="auto"/>
              <w:right w:val="single" w:sz="4" w:space="0" w:color="auto"/>
            </w:tcBorders>
            <w:vAlign w:val="center"/>
          </w:tcPr>
          <w:p w14:paraId="18C9E6E9" w14:textId="77777777" w:rsidR="00CA15F8" w:rsidRPr="00CA15F8" w:rsidRDefault="00CA15F8" w:rsidP="00CA15F8">
            <w:pPr>
              <w:snapToGrid w:val="0"/>
              <w:spacing w:before="40" w:after="40"/>
              <w:rPr>
                <w:sz w:val="17"/>
                <w:lang w:eastAsia="fr-FR"/>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14AC405B" w14:textId="77777777" w:rsidR="00CA15F8" w:rsidRPr="00CA15F8" w:rsidRDefault="00CA15F8" w:rsidP="00CA15F8">
            <w:pPr>
              <w:snapToGrid w:val="0"/>
              <w:spacing w:before="40" w:after="40"/>
              <w:jc w:val="center"/>
              <w:rPr>
                <w:sz w:val="17"/>
              </w:rPr>
            </w:pPr>
            <w:r w:rsidRPr="00CA15F8">
              <w:rPr>
                <w:sz w:val="17"/>
                <w:szCs w:val="17"/>
              </w:rPr>
              <w:t>CVA risk capital charge under the standardized CVA approach</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F2D9004" w14:textId="77777777" w:rsidR="00CA15F8" w:rsidRPr="00CA15F8" w:rsidRDefault="00CA15F8" w:rsidP="00CA15F8">
            <w:pPr>
              <w:snapToGrid w:val="0"/>
              <w:spacing w:before="40" w:after="40"/>
              <w:jc w:val="center"/>
              <w:rPr>
                <w:sz w:val="17"/>
              </w:rPr>
            </w:pPr>
            <w:r w:rsidRPr="00CA15F8">
              <w:rPr>
                <w:sz w:val="17"/>
              </w:rPr>
              <w:t>Number of counterparties</w:t>
            </w:r>
          </w:p>
        </w:tc>
      </w:tr>
      <w:tr w:rsidR="00CA15F8" w:rsidRPr="00CA15F8" w14:paraId="0F5CD970" w14:textId="77777777" w:rsidTr="00AB074C">
        <w:trPr>
          <w:cantSplit/>
        </w:trPr>
        <w:tc>
          <w:tcPr>
            <w:tcW w:w="567" w:type="dxa"/>
            <w:tcBorders>
              <w:top w:val="single" w:sz="4" w:space="0" w:color="A6A6A6"/>
              <w:left w:val="nil"/>
              <w:bottom w:val="single" w:sz="4" w:space="0" w:color="A6A6A6"/>
              <w:right w:val="single" w:sz="4" w:space="0" w:color="auto"/>
            </w:tcBorders>
            <w:vAlign w:val="center"/>
            <w:hideMark/>
          </w:tcPr>
          <w:p w14:paraId="0C0BE6F5" w14:textId="77777777" w:rsidR="00CA15F8" w:rsidRPr="00CA15F8" w:rsidRDefault="00CA15F8" w:rsidP="00CA15F8">
            <w:pPr>
              <w:snapToGrid w:val="0"/>
              <w:spacing w:before="40" w:after="40"/>
              <w:rPr>
                <w:sz w:val="17"/>
              </w:rPr>
            </w:pPr>
            <w:r w:rsidRPr="00CA15F8">
              <w:rPr>
                <w:sz w:val="17"/>
              </w:rPr>
              <w:t>1</w:t>
            </w:r>
          </w:p>
        </w:tc>
        <w:tc>
          <w:tcPr>
            <w:tcW w:w="2552" w:type="dxa"/>
            <w:tcBorders>
              <w:top w:val="single" w:sz="4" w:space="0" w:color="A6A6A6"/>
              <w:left w:val="single" w:sz="4" w:space="0" w:color="auto"/>
              <w:bottom w:val="single" w:sz="4" w:space="0" w:color="A6A6A6"/>
              <w:right w:val="single" w:sz="4" w:space="0" w:color="auto"/>
            </w:tcBorders>
            <w:hideMark/>
          </w:tcPr>
          <w:p w14:paraId="3FA7F2A3" w14:textId="77777777" w:rsidR="00CA15F8" w:rsidRPr="00CA15F8" w:rsidRDefault="00CA15F8" w:rsidP="00CA15F8">
            <w:pPr>
              <w:snapToGrid w:val="0"/>
              <w:spacing w:before="40" w:after="40"/>
              <w:rPr>
                <w:sz w:val="17"/>
              </w:rPr>
            </w:pPr>
            <w:r w:rsidRPr="00CA15F8">
              <w:rPr>
                <w:sz w:val="17"/>
              </w:rPr>
              <w:t>Interest rate risk</w:t>
            </w:r>
          </w:p>
        </w:tc>
        <w:tc>
          <w:tcPr>
            <w:tcW w:w="3260" w:type="dxa"/>
            <w:tcBorders>
              <w:top w:val="single" w:sz="4" w:space="0" w:color="A6A6A6"/>
              <w:left w:val="single" w:sz="4" w:space="0" w:color="auto"/>
              <w:bottom w:val="single" w:sz="4" w:space="0" w:color="A6A6A6"/>
              <w:right w:val="single" w:sz="4" w:space="0" w:color="auto"/>
            </w:tcBorders>
            <w:vAlign w:val="center"/>
          </w:tcPr>
          <w:p w14:paraId="29143970" w14:textId="77777777" w:rsidR="00CA15F8" w:rsidRPr="00CA15F8" w:rsidRDefault="00CA15F8" w:rsidP="00CA15F8">
            <w:pPr>
              <w:snapToGrid w:val="0"/>
              <w:spacing w:before="40" w:after="40"/>
              <w:rPr>
                <w:sz w:val="17"/>
              </w:rPr>
            </w:pPr>
          </w:p>
        </w:tc>
        <w:tc>
          <w:tcPr>
            <w:tcW w:w="2977" w:type="dxa"/>
            <w:tcBorders>
              <w:top w:val="single" w:sz="4" w:space="0" w:color="A6A6A6"/>
              <w:left w:val="single" w:sz="4" w:space="0" w:color="auto"/>
              <w:bottom w:val="single" w:sz="4" w:space="0" w:color="A6A6A6"/>
              <w:right w:val="single" w:sz="4" w:space="0" w:color="auto"/>
            </w:tcBorders>
            <w:shd w:val="clear" w:color="auto" w:fill="BFBFBF"/>
          </w:tcPr>
          <w:p w14:paraId="07EC4D44" w14:textId="77777777" w:rsidR="00CA15F8" w:rsidRPr="00CA15F8" w:rsidRDefault="00CA15F8" w:rsidP="00CA15F8">
            <w:pPr>
              <w:snapToGrid w:val="0"/>
              <w:spacing w:before="40" w:after="40"/>
              <w:rPr>
                <w:sz w:val="17"/>
              </w:rPr>
            </w:pPr>
          </w:p>
        </w:tc>
      </w:tr>
      <w:tr w:rsidR="00CA15F8" w:rsidRPr="00CA15F8" w14:paraId="1653D950" w14:textId="77777777" w:rsidTr="00AB074C">
        <w:trPr>
          <w:cantSplit/>
        </w:trPr>
        <w:tc>
          <w:tcPr>
            <w:tcW w:w="567" w:type="dxa"/>
            <w:tcBorders>
              <w:top w:val="single" w:sz="4" w:space="0" w:color="A6A6A6"/>
              <w:left w:val="nil"/>
              <w:bottom w:val="single" w:sz="4" w:space="0" w:color="A6A6A6"/>
              <w:right w:val="single" w:sz="4" w:space="0" w:color="auto"/>
            </w:tcBorders>
            <w:vAlign w:val="center"/>
            <w:hideMark/>
          </w:tcPr>
          <w:p w14:paraId="780E45D9" w14:textId="77777777" w:rsidR="00CA15F8" w:rsidRPr="00CA15F8" w:rsidRDefault="00CA15F8" w:rsidP="00CA15F8">
            <w:pPr>
              <w:snapToGrid w:val="0"/>
              <w:spacing w:before="40" w:after="40"/>
              <w:rPr>
                <w:sz w:val="17"/>
              </w:rPr>
            </w:pPr>
            <w:r w:rsidRPr="00CA15F8">
              <w:rPr>
                <w:sz w:val="17"/>
              </w:rPr>
              <w:t>2</w:t>
            </w:r>
          </w:p>
        </w:tc>
        <w:tc>
          <w:tcPr>
            <w:tcW w:w="2552" w:type="dxa"/>
            <w:tcBorders>
              <w:top w:val="single" w:sz="4" w:space="0" w:color="A6A6A6"/>
              <w:left w:val="single" w:sz="4" w:space="0" w:color="auto"/>
              <w:bottom w:val="single" w:sz="4" w:space="0" w:color="A6A6A6"/>
              <w:right w:val="single" w:sz="4" w:space="0" w:color="auto"/>
            </w:tcBorders>
            <w:hideMark/>
          </w:tcPr>
          <w:p w14:paraId="569A7D75" w14:textId="77777777" w:rsidR="00CA15F8" w:rsidRPr="00CA15F8" w:rsidRDefault="00CA15F8" w:rsidP="00CA15F8">
            <w:pPr>
              <w:snapToGrid w:val="0"/>
              <w:spacing w:before="40" w:after="40"/>
              <w:rPr>
                <w:sz w:val="17"/>
              </w:rPr>
            </w:pPr>
            <w:r w:rsidRPr="00CA15F8">
              <w:rPr>
                <w:sz w:val="17"/>
              </w:rPr>
              <w:t>Foreign exchange risk</w:t>
            </w:r>
          </w:p>
        </w:tc>
        <w:tc>
          <w:tcPr>
            <w:tcW w:w="3260" w:type="dxa"/>
            <w:tcBorders>
              <w:top w:val="single" w:sz="4" w:space="0" w:color="A6A6A6"/>
              <w:left w:val="single" w:sz="4" w:space="0" w:color="auto"/>
              <w:bottom w:val="single" w:sz="4" w:space="0" w:color="A6A6A6"/>
              <w:right w:val="single" w:sz="4" w:space="0" w:color="auto"/>
            </w:tcBorders>
            <w:vAlign w:val="center"/>
          </w:tcPr>
          <w:p w14:paraId="7FCBD36E" w14:textId="77777777" w:rsidR="00CA15F8" w:rsidRPr="00CA15F8" w:rsidRDefault="00CA15F8" w:rsidP="00CA15F8">
            <w:pPr>
              <w:snapToGrid w:val="0"/>
              <w:spacing w:before="40" w:after="40"/>
              <w:rPr>
                <w:sz w:val="17"/>
              </w:rPr>
            </w:pPr>
          </w:p>
        </w:tc>
        <w:tc>
          <w:tcPr>
            <w:tcW w:w="2977" w:type="dxa"/>
            <w:tcBorders>
              <w:top w:val="single" w:sz="4" w:space="0" w:color="A6A6A6"/>
              <w:left w:val="single" w:sz="4" w:space="0" w:color="auto"/>
              <w:bottom w:val="single" w:sz="4" w:space="0" w:color="A6A6A6"/>
              <w:right w:val="single" w:sz="4" w:space="0" w:color="auto"/>
            </w:tcBorders>
            <w:shd w:val="clear" w:color="auto" w:fill="BFBFBF"/>
          </w:tcPr>
          <w:p w14:paraId="497B32AC" w14:textId="77777777" w:rsidR="00CA15F8" w:rsidRPr="00CA15F8" w:rsidRDefault="00CA15F8" w:rsidP="00CA15F8">
            <w:pPr>
              <w:snapToGrid w:val="0"/>
              <w:spacing w:before="40" w:after="40"/>
              <w:rPr>
                <w:sz w:val="17"/>
              </w:rPr>
            </w:pPr>
          </w:p>
        </w:tc>
      </w:tr>
      <w:tr w:rsidR="00CA15F8" w:rsidRPr="00CA15F8" w14:paraId="38D17D35" w14:textId="77777777" w:rsidTr="00AB074C">
        <w:trPr>
          <w:cantSplit/>
        </w:trPr>
        <w:tc>
          <w:tcPr>
            <w:tcW w:w="567" w:type="dxa"/>
            <w:tcBorders>
              <w:top w:val="single" w:sz="4" w:space="0" w:color="A6A6A6"/>
              <w:left w:val="nil"/>
              <w:bottom w:val="single" w:sz="4" w:space="0" w:color="A6A6A6"/>
              <w:right w:val="single" w:sz="4" w:space="0" w:color="auto"/>
            </w:tcBorders>
            <w:vAlign w:val="center"/>
            <w:hideMark/>
          </w:tcPr>
          <w:p w14:paraId="29C489F6" w14:textId="77777777" w:rsidR="00CA15F8" w:rsidRPr="00CA15F8" w:rsidRDefault="00CA15F8" w:rsidP="00CA15F8">
            <w:pPr>
              <w:snapToGrid w:val="0"/>
              <w:spacing w:before="40" w:after="40"/>
              <w:rPr>
                <w:sz w:val="17"/>
              </w:rPr>
            </w:pPr>
            <w:r w:rsidRPr="00CA15F8">
              <w:rPr>
                <w:sz w:val="17"/>
              </w:rPr>
              <w:t>3</w:t>
            </w:r>
          </w:p>
        </w:tc>
        <w:tc>
          <w:tcPr>
            <w:tcW w:w="2552" w:type="dxa"/>
            <w:tcBorders>
              <w:top w:val="single" w:sz="4" w:space="0" w:color="A6A6A6"/>
              <w:left w:val="single" w:sz="4" w:space="0" w:color="auto"/>
              <w:bottom w:val="single" w:sz="4" w:space="0" w:color="A6A6A6"/>
              <w:right w:val="single" w:sz="4" w:space="0" w:color="auto"/>
            </w:tcBorders>
            <w:hideMark/>
          </w:tcPr>
          <w:p w14:paraId="73ED692C" w14:textId="77777777" w:rsidR="00CA15F8" w:rsidRPr="00CA15F8" w:rsidRDefault="00CA15F8" w:rsidP="00CA15F8">
            <w:pPr>
              <w:snapToGrid w:val="0"/>
              <w:spacing w:before="40" w:after="40"/>
              <w:rPr>
                <w:sz w:val="17"/>
              </w:rPr>
            </w:pPr>
            <w:r w:rsidRPr="00CA15F8">
              <w:rPr>
                <w:sz w:val="17"/>
              </w:rPr>
              <w:t>Reference credit spread risk</w:t>
            </w:r>
          </w:p>
        </w:tc>
        <w:tc>
          <w:tcPr>
            <w:tcW w:w="3260" w:type="dxa"/>
            <w:tcBorders>
              <w:top w:val="single" w:sz="4" w:space="0" w:color="A6A6A6"/>
              <w:left w:val="single" w:sz="4" w:space="0" w:color="auto"/>
              <w:bottom w:val="single" w:sz="4" w:space="0" w:color="A6A6A6"/>
              <w:right w:val="single" w:sz="4" w:space="0" w:color="auto"/>
            </w:tcBorders>
            <w:shd w:val="clear" w:color="auto" w:fill="FFFFFF"/>
            <w:vAlign w:val="center"/>
          </w:tcPr>
          <w:p w14:paraId="75E8AFC6" w14:textId="77777777" w:rsidR="00CA15F8" w:rsidRPr="00CA15F8" w:rsidRDefault="00CA15F8" w:rsidP="00CA15F8">
            <w:pPr>
              <w:snapToGrid w:val="0"/>
              <w:spacing w:before="40" w:after="40"/>
              <w:rPr>
                <w:sz w:val="17"/>
              </w:rPr>
            </w:pPr>
          </w:p>
        </w:tc>
        <w:tc>
          <w:tcPr>
            <w:tcW w:w="2977" w:type="dxa"/>
            <w:tcBorders>
              <w:top w:val="single" w:sz="4" w:space="0" w:color="A6A6A6"/>
              <w:left w:val="single" w:sz="4" w:space="0" w:color="auto"/>
              <w:bottom w:val="single" w:sz="4" w:space="0" w:color="A6A6A6"/>
              <w:right w:val="single" w:sz="4" w:space="0" w:color="auto"/>
            </w:tcBorders>
            <w:shd w:val="clear" w:color="auto" w:fill="BFBFBF"/>
          </w:tcPr>
          <w:p w14:paraId="7AAC2341" w14:textId="77777777" w:rsidR="00CA15F8" w:rsidRPr="00CA15F8" w:rsidRDefault="00CA15F8" w:rsidP="00CA15F8">
            <w:pPr>
              <w:snapToGrid w:val="0"/>
              <w:spacing w:before="40" w:after="40"/>
              <w:rPr>
                <w:sz w:val="17"/>
              </w:rPr>
            </w:pPr>
          </w:p>
        </w:tc>
      </w:tr>
      <w:tr w:rsidR="00CA15F8" w:rsidRPr="00CA15F8" w14:paraId="737AB361" w14:textId="77777777" w:rsidTr="00AB074C">
        <w:trPr>
          <w:cantSplit/>
        </w:trPr>
        <w:tc>
          <w:tcPr>
            <w:tcW w:w="567" w:type="dxa"/>
            <w:tcBorders>
              <w:top w:val="single" w:sz="4" w:space="0" w:color="A6A6A6"/>
              <w:left w:val="nil"/>
              <w:bottom w:val="single" w:sz="4" w:space="0" w:color="A6A6A6"/>
              <w:right w:val="single" w:sz="4" w:space="0" w:color="auto"/>
            </w:tcBorders>
            <w:vAlign w:val="center"/>
            <w:hideMark/>
          </w:tcPr>
          <w:p w14:paraId="57BD3930" w14:textId="77777777" w:rsidR="00CA15F8" w:rsidRPr="00CA15F8" w:rsidRDefault="00CA15F8" w:rsidP="00CA15F8">
            <w:pPr>
              <w:snapToGrid w:val="0"/>
              <w:spacing w:before="40" w:after="40"/>
              <w:rPr>
                <w:sz w:val="17"/>
              </w:rPr>
            </w:pPr>
            <w:r w:rsidRPr="00CA15F8">
              <w:rPr>
                <w:sz w:val="17"/>
              </w:rPr>
              <w:t>4</w:t>
            </w:r>
          </w:p>
        </w:tc>
        <w:tc>
          <w:tcPr>
            <w:tcW w:w="2552" w:type="dxa"/>
            <w:tcBorders>
              <w:top w:val="single" w:sz="4" w:space="0" w:color="A6A6A6"/>
              <w:left w:val="single" w:sz="4" w:space="0" w:color="auto"/>
              <w:bottom w:val="single" w:sz="4" w:space="0" w:color="A6A6A6"/>
              <w:right w:val="single" w:sz="4" w:space="0" w:color="auto"/>
            </w:tcBorders>
            <w:hideMark/>
          </w:tcPr>
          <w:p w14:paraId="1147C599" w14:textId="77777777" w:rsidR="00CA15F8" w:rsidRPr="00CA15F8" w:rsidRDefault="00CA15F8" w:rsidP="00CA15F8">
            <w:pPr>
              <w:snapToGrid w:val="0"/>
              <w:spacing w:before="40" w:after="40"/>
              <w:rPr>
                <w:sz w:val="17"/>
              </w:rPr>
            </w:pPr>
            <w:r w:rsidRPr="00CA15F8">
              <w:rPr>
                <w:sz w:val="17"/>
              </w:rPr>
              <w:t>Equity risk</w:t>
            </w:r>
          </w:p>
        </w:tc>
        <w:tc>
          <w:tcPr>
            <w:tcW w:w="3260" w:type="dxa"/>
            <w:tcBorders>
              <w:top w:val="single" w:sz="4" w:space="0" w:color="A6A6A6"/>
              <w:left w:val="single" w:sz="4" w:space="0" w:color="auto"/>
              <w:bottom w:val="single" w:sz="4" w:space="0" w:color="A6A6A6"/>
              <w:right w:val="single" w:sz="4" w:space="0" w:color="auto"/>
            </w:tcBorders>
            <w:shd w:val="clear" w:color="auto" w:fill="FFFFFF"/>
            <w:vAlign w:val="center"/>
          </w:tcPr>
          <w:p w14:paraId="09744C49" w14:textId="77777777" w:rsidR="00CA15F8" w:rsidRPr="00CA15F8" w:rsidRDefault="00CA15F8" w:rsidP="00CA15F8">
            <w:pPr>
              <w:snapToGrid w:val="0"/>
              <w:spacing w:before="40" w:after="40"/>
              <w:rPr>
                <w:sz w:val="17"/>
              </w:rPr>
            </w:pPr>
          </w:p>
        </w:tc>
        <w:tc>
          <w:tcPr>
            <w:tcW w:w="2977" w:type="dxa"/>
            <w:tcBorders>
              <w:top w:val="single" w:sz="4" w:space="0" w:color="A6A6A6"/>
              <w:left w:val="single" w:sz="4" w:space="0" w:color="auto"/>
              <w:bottom w:val="single" w:sz="4" w:space="0" w:color="A6A6A6"/>
              <w:right w:val="single" w:sz="4" w:space="0" w:color="auto"/>
            </w:tcBorders>
            <w:shd w:val="clear" w:color="auto" w:fill="BFBFBF"/>
          </w:tcPr>
          <w:p w14:paraId="4D9F4DDB" w14:textId="77777777" w:rsidR="00CA15F8" w:rsidRPr="00CA15F8" w:rsidRDefault="00CA15F8" w:rsidP="00CA15F8">
            <w:pPr>
              <w:snapToGrid w:val="0"/>
              <w:spacing w:before="40" w:after="40"/>
              <w:rPr>
                <w:sz w:val="17"/>
              </w:rPr>
            </w:pPr>
          </w:p>
        </w:tc>
      </w:tr>
      <w:tr w:rsidR="00CA15F8" w:rsidRPr="00CA15F8" w14:paraId="1071F522" w14:textId="77777777" w:rsidTr="00AB074C">
        <w:trPr>
          <w:cantSplit/>
        </w:trPr>
        <w:tc>
          <w:tcPr>
            <w:tcW w:w="567" w:type="dxa"/>
            <w:tcBorders>
              <w:top w:val="single" w:sz="4" w:space="0" w:color="A6A6A6"/>
              <w:left w:val="nil"/>
              <w:bottom w:val="single" w:sz="4" w:space="0" w:color="A6A6A6"/>
              <w:right w:val="single" w:sz="4" w:space="0" w:color="auto"/>
            </w:tcBorders>
            <w:vAlign w:val="center"/>
            <w:hideMark/>
          </w:tcPr>
          <w:p w14:paraId="454094DD" w14:textId="77777777" w:rsidR="00CA15F8" w:rsidRPr="00CA15F8" w:rsidRDefault="00CA15F8" w:rsidP="00CA15F8">
            <w:pPr>
              <w:snapToGrid w:val="0"/>
              <w:spacing w:before="40" w:after="40"/>
              <w:rPr>
                <w:sz w:val="17"/>
              </w:rPr>
            </w:pPr>
            <w:r w:rsidRPr="00CA15F8">
              <w:rPr>
                <w:sz w:val="17"/>
              </w:rPr>
              <w:t>5</w:t>
            </w:r>
          </w:p>
        </w:tc>
        <w:tc>
          <w:tcPr>
            <w:tcW w:w="2552" w:type="dxa"/>
            <w:tcBorders>
              <w:top w:val="single" w:sz="4" w:space="0" w:color="A6A6A6"/>
              <w:left w:val="single" w:sz="4" w:space="0" w:color="auto"/>
              <w:bottom w:val="single" w:sz="4" w:space="0" w:color="A6A6A6"/>
              <w:right w:val="single" w:sz="4" w:space="0" w:color="auto"/>
            </w:tcBorders>
            <w:hideMark/>
          </w:tcPr>
          <w:p w14:paraId="599BA93E" w14:textId="77777777" w:rsidR="00CA15F8" w:rsidRPr="00CA15F8" w:rsidRDefault="00CA15F8" w:rsidP="00CA15F8">
            <w:pPr>
              <w:snapToGrid w:val="0"/>
              <w:spacing w:before="40" w:after="40"/>
              <w:rPr>
                <w:sz w:val="17"/>
              </w:rPr>
            </w:pPr>
            <w:r w:rsidRPr="00CA15F8">
              <w:rPr>
                <w:sz w:val="17"/>
              </w:rPr>
              <w:t>Commodity risk</w:t>
            </w:r>
          </w:p>
        </w:tc>
        <w:tc>
          <w:tcPr>
            <w:tcW w:w="3260" w:type="dxa"/>
            <w:tcBorders>
              <w:top w:val="single" w:sz="4" w:space="0" w:color="A6A6A6"/>
              <w:left w:val="single" w:sz="4" w:space="0" w:color="auto"/>
              <w:bottom w:val="single" w:sz="4" w:space="0" w:color="A6A6A6"/>
              <w:right w:val="single" w:sz="4" w:space="0" w:color="auto"/>
            </w:tcBorders>
            <w:shd w:val="clear" w:color="auto" w:fill="FFFFFF"/>
            <w:vAlign w:val="center"/>
          </w:tcPr>
          <w:p w14:paraId="43B889E3" w14:textId="77777777" w:rsidR="00CA15F8" w:rsidRPr="00CA15F8" w:rsidRDefault="00CA15F8" w:rsidP="00CA15F8">
            <w:pPr>
              <w:snapToGrid w:val="0"/>
              <w:spacing w:before="40" w:after="40"/>
              <w:rPr>
                <w:sz w:val="17"/>
              </w:rPr>
            </w:pPr>
          </w:p>
        </w:tc>
        <w:tc>
          <w:tcPr>
            <w:tcW w:w="2977" w:type="dxa"/>
            <w:tcBorders>
              <w:top w:val="single" w:sz="4" w:space="0" w:color="A6A6A6"/>
              <w:left w:val="single" w:sz="4" w:space="0" w:color="auto"/>
              <w:bottom w:val="single" w:sz="4" w:space="0" w:color="A6A6A6"/>
              <w:right w:val="single" w:sz="4" w:space="0" w:color="auto"/>
            </w:tcBorders>
            <w:shd w:val="clear" w:color="auto" w:fill="BFBFBF"/>
          </w:tcPr>
          <w:p w14:paraId="198EA58E" w14:textId="77777777" w:rsidR="00CA15F8" w:rsidRPr="00CA15F8" w:rsidRDefault="00CA15F8" w:rsidP="00CA15F8">
            <w:pPr>
              <w:snapToGrid w:val="0"/>
              <w:spacing w:before="40" w:after="40"/>
              <w:rPr>
                <w:sz w:val="17"/>
              </w:rPr>
            </w:pPr>
          </w:p>
        </w:tc>
      </w:tr>
      <w:tr w:rsidR="00CA15F8" w:rsidRPr="00CA15F8" w14:paraId="57F1B347" w14:textId="77777777" w:rsidTr="00AB074C">
        <w:trPr>
          <w:cantSplit/>
        </w:trPr>
        <w:tc>
          <w:tcPr>
            <w:tcW w:w="567" w:type="dxa"/>
            <w:tcBorders>
              <w:top w:val="single" w:sz="4" w:space="0" w:color="A6A6A6"/>
              <w:left w:val="nil"/>
              <w:bottom w:val="single" w:sz="4" w:space="0" w:color="A6A6A6"/>
              <w:right w:val="single" w:sz="4" w:space="0" w:color="auto"/>
            </w:tcBorders>
            <w:vAlign w:val="center"/>
            <w:hideMark/>
          </w:tcPr>
          <w:p w14:paraId="7ED5C3D5" w14:textId="77777777" w:rsidR="00CA15F8" w:rsidRPr="00CA15F8" w:rsidRDefault="00CA15F8" w:rsidP="00CA15F8">
            <w:pPr>
              <w:snapToGrid w:val="0"/>
              <w:spacing w:before="40" w:after="40"/>
              <w:rPr>
                <w:sz w:val="17"/>
              </w:rPr>
            </w:pPr>
            <w:r w:rsidRPr="00CA15F8">
              <w:rPr>
                <w:sz w:val="17"/>
              </w:rPr>
              <w:t>6</w:t>
            </w:r>
          </w:p>
        </w:tc>
        <w:tc>
          <w:tcPr>
            <w:tcW w:w="2552" w:type="dxa"/>
            <w:tcBorders>
              <w:top w:val="single" w:sz="4" w:space="0" w:color="A6A6A6"/>
              <w:left w:val="single" w:sz="4" w:space="0" w:color="auto"/>
              <w:bottom w:val="single" w:sz="4" w:space="0" w:color="A6A6A6"/>
              <w:right w:val="single" w:sz="4" w:space="0" w:color="auto"/>
            </w:tcBorders>
            <w:hideMark/>
          </w:tcPr>
          <w:p w14:paraId="69C6C234" w14:textId="77777777" w:rsidR="00CA15F8" w:rsidRPr="00CA15F8" w:rsidRDefault="00CA15F8" w:rsidP="00CA15F8">
            <w:pPr>
              <w:snapToGrid w:val="0"/>
              <w:spacing w:before="40" w:after="40"/>
              <w:rPr>
                <w:sz w:val="17"/>
              </w:rPr>
            </w:pPr>
            <w:r w:rsidRPr="00CA15F8">
              <w:rPr>
                <w:sz w:val="17"/>
              </w:rPr>
              <w:t>Counterparty credit spread risk</w:t>
            </w:r>
          </w:p>
        </w:tc>
        <w:tc>
          <w:tcPr>
            <w:tcW w:w="3260" w:type="dxa"/>
            <w:tcBorders>
              <w:top w:val="single" w:sz="4" w:space="0" w:color="A6A6A6"/>
              <w:left w:val="single" w:sz="4" w:space="0" w:color="auto"/>
              <w:bottom w:val="single" w:sz="4" w:space="0" w:color="A6A6A6"/>
              <w:right w:val="single" w:sz="4" w:space="0" w:color="auto"/>
            </w:tcBorders>
            <w:shd w:val="clear" w:color="auto" w:fill="FFFFFF"/>
            <w:vAlign w:val="center"/>
          </w:tcPr>
          <w:p w14:paraId="0915409A" w14:textId="77777777" w:rsidR="00CA15F8" w:rsidRPr="00CA15F8" w:rsidRDefault="00CA15F8" w:rsidP="00CA15F8">
            <w:pPr>
              <w:snapToGrid w:val="0"/>
              <w:spacing w:before="40" w:after="40"/>
              <w:rPr>
                <w:sz w:val="17"/>
              </w:rPr>
            </w:pPr>
          </w:p>
        </w:tc>
        <w:tc>
          <w:tcPr>
            <w:tcW w:w="2977" w:type="dxa"/>
            <w:tcBorders>
              <w:top w:val="single" w:sz="4" w:space="0" w:color="A6A6A6"/>
              <w:left w:val="single" w:sz="4" w:space="0" w:color="auto"/>
              <w:bottom w:val="single" w:sz="4" w:space="0" w:color="A6A6A6"/>
              <w:right w:val="single" w:sz="4" w:space="0" w:color="auto"/>
            </w:tcBorders>
            <w:shd w:val="clear" w:color="auto" w:fill="BFBFBF"/>
          </w:tcPr>
          <w:p w14:paraId="0F5C0327" w14:textId="77777777" w:rsidR="00CA15F8" w:rsidRPr="00CA15F8" w:rsidRDefault="00CA15F8" w:rsidP="00CA15F8">
            <w:pPr>
              <w:snapToGrid w:val="0"/>
              <w:spacing w:before="40" w:after="40"/>
              <w:rPr>
                <w:sz w:val="17"/>
              </w:rPr>
            </w:pPr>
          </w:p>
        </w:tc>
      </w:tr>
      <w:tr w:rsidR="00CA15F8" w:rsidRPr="00CA15F8" w14:paraId="639E02D3" w14:textId="77777777" w:rsidTr="00AB074C">
        <w:trPr>
          <w:cantSplit/>
        </w:trPr>
        <w:tc>
          <w:tcPr>
            <w:tcW w:w="567" w:type="dxa"/>
            <w:tcBorders>
              <w:top w:val="single" w:sz="4" w:space="0" w:color="A6A6A6"/>
              <w:left w:val="nil"/>
              <w:bottom w:val="single" w:sz="4" w:space="0" w:color="auto"/>
              <w:right w:val="single" w:sz="4" w:space="0" w:color="auto"/>
            </w:tcBorders>
            <w:vAlign w:val="center"/>
            <w:hideMark/>
          </w:tcPr>
          <w:p w14:paraId="6E7788E7" w14:textId="77777777" w:rsidR="00CA15F8" w:rsidRPr="00CA15F8" w:rsidRDefault="00CA15F8" w:rsidP="00CA15F8">
            <w:pPr>
              <w:snapToGrid w:val="0"/>
              <w:spacing w:before="40" w:after="40"/>
              <w:rPr>
                <w:sz w:val="17"/>
              </w:rPr>
            </w:pPr>
            <w:r w:rsidRPr="00CA15F8">
              <w:rPr>
                <w:sz w:val="17"/>
              </w:rPr>
              <w:t>7</w:t>
            </w:r>
          </w:p>
        </w:tc>
        <w:tc>
          <w:tcPr>
            <w:tcW w:w="2552" w:type="dxa"/>
            <w:tcBorders>
              <w:top w:val="single" w:sz="4" w:space="0" w:color="A6A6A6"/>
              <w:left w:val="single" w:sz="4" w:space="0" w:color="auto"/>
              <w:bottom w:val="single" w:sz="4" w:space="0" w:color="auto"/>
              <w:right w:val="single" w:sz="4" w:space="0" w:color="auto"/>
            </w:tcBorders>
            <w:hideMark/>
          </w:tcPr>
          <w:p w14:paraId="7ACBE526" w14:textId="77777777" w:rsidR="00CA15F8" w:rsidRPr="00CA15F8" w:rsidRDefault="00CA15F8" w:rsidP="00CA15F8">
            <w:pPr>
              <w:snapToGrid w:val="0"/>
              <w:spacing w:before="40" w:after="40"/>
              <w:rPr>
                <w:b/>
                <w:sz w:val="17"/>
              </w:rPr>
            </w:pPr>
            <w:r w:rsidRPr="00CA15F8">
              <w:rPr>
                <w:b/>
                <w:sz w:val="17"/>
              </w:rPr>
              <w:t>Total (sum of rows 1 to 6)</w:t>
            </w:r>
          </w:p>
        </w:tc>
        <w:tc>
          <w:tcPr>
            <w:tcW w:w="3260" w:type="dxa"/>
            <w:tcBorders>
              <w:top w:val="single" w:sz="4" w:space="0" w:color="A6A6A6"/>
              <w:left w:val="single" w:sz="4" w:space="0" w:color="auto"/>
              <w:bottom w:val="single" w:sz="4" w:space="0" w:color="auto"/>
              <w:right w:val="single" w:sz="4" w:space="0" w:color="auto"/>
            </w:tcBorders>
            <w:shd w:val="clear" w:color="auto" w:fill="FFFFFF"/>
            <w:vAlign w:val="center"/>
          </w:tcPr>
          <w:p w14:paraId="7B22DDE9" w14:textId="77777777" w:rsidR="00CA15F8" w:rsidRPr="00CA15F8" w:rsidRDefault="00CA15F8" w:rsidP="00CA15F8">
            <w:pPr>
              <w:snapToGrid w:val="0"/>
              <w:spacing w:before="40" w:after="40"/>
              <w:rPr>
                <w:sz w:val="17"/>
              </w:rPr>
            </w:pPr>
          </w:p>
        </w:tc>
        <w:tc>
          <w:tcPr>
            <w:tcW w:w="2977" w:type="dxa"/>
            <w:tcBorders>
              <w:top w:val="single" w:sz="4" w:space="0" w:color="A6A6A6"/>
              <w:left w:val="single" w:sz="4" w:space="0" w:color="auto"/>
              <w:bottom w:val="single" w:sz="4" w:space="0" w:color="auto"/>
              <w:right w:val="single" w:sz="4" w:space="0" w:color="auto"/>
            </w:tcBorders>
          </w:tcPr>
          <w:p w14:paraId="03A81E46" w14:textId="77777777" w:rsidR="00CA15F8" w:rsidRPr="00CA15F8" w:rsidRDefault="00CA15F8" w:rsidP="00CA15F8">
            <w:pPr>
              <w:snapToGrid w:val="0"/>
              <w:spacing w:before="40" w:after="40"/>
              <w:rPr>
                <w:sz w:val="17"/>
              </w:rPr>
            </w:pPr>
          </w:p>
        </w:tc>
      </w:tr>
    </w:tbl>
    <w:p w14:paraId="3FDF369D" w14:textId="77777777" w:rsidR="00CA15F8" w:rsidRPr="00CA15F8" w:rsidRDefault="00CA15F8" w:rsidP="00CA15F8"/>
    <w:tbl>
      <w:tblPr>
        <w:tblW w:w="935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8705"/>
      </w:tblGrid>
      <w:tr w:rsidR="00CA15F8" w:rsidRPr="00CA15F8" w14:paraId="177CF7CB" w14:textId="77777777" w:rsidTr="00AB074C">
        <w:trPr>
          <w:tblHeader/>
        </w:trPr>
        <w:tc>
          <w:tcPr>
            <w:tcW w:w="9356"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713EF654" w14:textId="77777777" w:rsidR="00CA15F8" w:rsidRPr="00CA15F8" w:rsidRDefault="00CA15F8" w:rsidP="00CA15F8">
            <w:pPr>
              <w:spacing w:before="40" w:after="40"/>
              <w:jc w:val="both"/>
              <w:rPr>
                <w:rFonts w:eastAsia="新細明體"/>
                <w:b/>
                <w:sz w:val="17"/>
                <w:szCs w:val="17"/>
                <w:lang w:eastAsia="en-GB"/>
              </w:rPr>
            </w:pPr>
            <w:r w:rsidRPr="00CA15F8">
              <w:rPr>
                <w:rFonts w:eastAsia="新細明體"/>
                <w:b/>
                <w:sz w:val="17"/>
                <w:szCs w:val="17"/>
                <w:lang w:eastAsia="en-GB"/>
              </w:rPr>
              <w:t>Explanatory Note</w:t>
            </w:r>
          </w:p>
        </w:tc>
      </w:tr>
      <w:tr w:rsidR="00CA15F8" w:rsidRPr="00CA15F8" w14:paraId="5E2B7EDC" w14:textId="77777777" w:rsidTr="00AB074C">
        <w:tc>
          <w:tcPr>
            <w:tcW w:w="9356"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303AE337" w14:textId="77777777" w:rsidR="00CA15F8" w:rsidRPr="00CA15F8" w:rsidRDefault="00CA15F8" w:rsidP="00CA15F8">
            <w:pPr>
              <w:spacing w:before="40" w:after="40"/>
              <w:jc w:val="both"/>
              <w:rPr>
                <w:i/>
                <w:color w:val="000000"/>
                <w:lang w:eastAsia="fr-FR"/>
              </w:rPr>
            </w:pPr>
            <w:r w:rsidRPr="00CA15F8">
              <w:rPr>
                <w:rFonts w:eastAsia="新細明體"/>
                <w:b/>
                <w:sz w:val="17"/>
                <w:szCs w:val="17"/>
                <w:lang w:eastAsia="en-GB"/>
              </w:rPr>
              <w:t>Rows</w:t>
            </w:r>
          </w:p>
        </w:tc>
      </w:tr>
      <w:tr w:rsidR="00CA15F8" w:rsidRPr="00CA15F8" w14:paraId="05325A84" w14:textId="77777777" w:rsidTr="00AB074C">
        <w:tc>
          <w:tcPr>
            <w:tcW w:w="651" w:type="dxa"/>
            <w:tcBorders>
              <w:top w:val="single" w:sz="4" w:space="0" w:color="auto"/>
              <w:left w:val="single" w:sz="4" w:space="0" w:color="auto"/>
              <w:bottom w:val="single" w:sz="4" w:space="0" w:color="auto"/>
              <w:right w:val="single" w:sz="4" w:space="0" w:color="auto"/>
            </w:tcBorders>
            <w:hideMark/>
          </w:tcPr>
          <w:p w14:paraId="45AE9B82" w14:textId="77777777" w:rsidR="00CA15F8" w:rsidRPr="00CA15F8" w:rsidRDefault="00CA15F8" w:rsidP="00CA15F8">
            <w:pPr>
              <w:keepLines/>
              <w:widowControl w:val="0"/>
              <w:tabs>
                <w:tab w:val="left" w:pos="150"/>
                <w:tab w:val="left" w:pos="397"/>
                <w:tab w:val="left" w:pos="794"/>
                <w:tab w:val="left" w:pos="1191"/>
              </w:tabs>
              <w:spacing w:before="40" w:after="40"/>
              <w:rPr>
                <w:rFonts w:cs="Segoe UI"/>
                <w:sz w:val="17"/>
                <w:szCs w:val="17"/>
                <w:lang w:eastAsia="en-GB"/>
              </w:rPr>
            </w:pPr>
            <w:r w:rsidRPr="00CA15F8">
              <w:rPr>
                <w:rFonts w:cs="Segoe UI"/>
                <w:sz w:val="17"/>
                <w:szCs w:val="17"/>
                <w:lang w:eastAsia="en-GB"/>
              </w:rPr>
              <w:t>7</w:t>
            </w:r>
          </w:p>
        </w:tc>
        <w:tc>
          <w:tcPr>
            <w:tcW w:w="8705" w:type="dxa"/>
            <w:tcBorders>
              <w:top w:val="single" w:sz="4" w:space="0" w:color="auto"/>
              <w:left w:val="single" w:sz="4" w:space="0" w:color="auto"/>
              <w:bottom w:val="single" w:sz="4" w:space="0" w:color="auto"/>
              <w:right w:val="single" w:sz="4" w:space="0" w:color="auto"/>
            </w:tcBorders>
            <w:hideMark/>
          </w:tcPr>
          <w:p w14:paraId="56909F0B" w14:textId="631DC5B5" w:rsidR="00CA15F8" w:rsidRPr="00CA15F8" w:rsidRDefault="00CA15F8" w:rsidP="00665BBD">
            <w:pPr>
              <w:widowControl w:val="0"/>
              <w:autoSpaceDE w:val="0"/>
              <w:autoSpaceDN w:val="0"/>
              <w:adjustRightInd w:val="0"/>
              <w:jc w:val="both"/>
              <w:rPr>
                <w:rFonts w:eastAsia="新細明體" w:cs="Segoe UI"/>
                <w:color w:val="000000"/>
                <w:sz w:val="15"/>
                <w:szCs w:val="15"/>
                <w:lang w:val="en-US" w:eastAsia="zh-TW"/>
              </w:rPr>
            </w:pPr>
            <w:r w:rsidRPr="00CA15F8">
              <w:rPr>
                <w:rFonts w:eastAsia="新細明體" w:cs="Segoe UI"/>
                <w:i/>
                <w:color w:val="000000"/>
                <w:sz w:val="17"/>
                <w:szCs w:val="17"/>
                <w:lang w:val="en-US" w:eastAsia="zh-TW"/>
              </w:rPr>
              <w:t>Total</w:t>
            </w:r>
            <w:r w:rsidRPr="00CA15F8">
              <w:rPr>
                <w:rFonts w:eastAsia="新細明體" w:cs="Segoe UI"/>
                <w:color w:val="000000"/>
                <w:sz w:val="17"/>
                <w:szCs w:val="17"/>
                <w:lang w:val="en-US" w:eastAsia="en-GB"/>
              </w:rPr>
              <w:t xml:space="preserve">: for column (a), this is </w:t>
            </w:r>
            <w:r w:rsidRPr="00CA15F8">
              <w:rPr>
                <w:rFonts w:eastAsia="新細明體" w:cs="Segoe UI"/>
                <w:color w:val="000000"/>
                <w:sz w:val="17"/>
                <w:szCs w:val="17"/>
                <w:lang w:val="en-US" w:eastAsia="zh-TW"/>
              </w:rPr>
              <w:t xml:space="preserve">the sum of values in rows 1 to 6, and should be equal to the value in [OV1: 10/c] if the AI only uses the standardized CVA approach for all CVA risk exposures. </w:t>
            </w:r>
          </w:p>
        </w:tc>
      </w:tr>
    </w:tbl>
    <w:p w14:paraId="77C7348B" w14:textId="77777777" w:rsidR="00CA15F8" w:rsidRPr="00CA15F8" w:rsidRDefault="00CA15F8" w:rsidP="00CA15F8"/>
    <w:p w14:paraId="3037BA59" w14:textId="77777777" w:rsidR="00CA15F8" w:rsidRPr="00CA15F8" w:rsidRDefault="00CA15F8" w:rsidP="00CA15F8">
      <w:pPr>
        <w:sectPr w:rsidR="00CA15F8" w:rsidRPr="00CA15F8">
          <w:footerReference w:type="default" r:id="rId70"/>
          <w:pgSz w:w="11906" w:h="16838" w:code="9"/>
          <w:pgMar w:top="1440" w:right="1797" w:bottom="1440" w:left="1797" w:header="851" w:footer="737" w:gutter="0"/>
          <w:cols w:space="425"/>
          <w:docGrid w:type="lines" w:linePitch="360"/>
        </w:sectPr>
      </w:pPr>
    </w:p>
    <w:p w14:paraId="5A1CBE43" w14:textId="536F4D16" w:rsidR="00B704EF" w:rsidRPr="00B704EF" w:rsidRDefault="00B704EF" w:rsidP="00B704EF">
      <w:pPr>
        <w:pStyle w:val="Heading2"/>
      </w:pPr>
      <w:r w:rsidRPr="00B704EF">
        <w:rPr>
          <w:rFonts w:eastAsia="新細明體"/>
          <w:szCs w:val="24"/>
        </w:rPr>
        <w:lastRenderedPageBreak/>
        <w:t>Template CVA4:</w:t>
      </w:r>
      <w:r w:rsidR="00CE2592">
        <w:t xml:space="preserve"> RWA flow statements of CVA risk exposures under </w:t>
      </w:r>
      <w:r w:rsidR="00CE2592" w:rsidRPr="00344EE5">
        <w:t>standardized CVA approach</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B704EF" w:rsidRPr="00AE03BD" w14:paraId="436E9FD5" w14:textId="77777777" w:rsidTr="00AB074C">
        <w:tc>
          <w:tcPr>
            <w:tcW w:w="2008" w:type="dxa"/>
            <w:tcBorders>
              <w:top w:val="single" w:sz="4" w:space="0" w:color="auto"/>
              <w:left w:val="nil"/>
              <w:bottom w:val="single" w:sz="4" w:space="0" w:color="auto"/>
              <w:right w:val="single" w:sz="4" w:space="0" w:color="auto"/>
            </w:tcBorders>
            <w:hideMark/>
          </w:tcPr>
          <w:p w14:paraId="1BBBE83C" w14:textId="77777777" w:rsidR="00B704EF" w:rsidRPr="00B704EF" w:rsidRDefault="00B704EF" w:rsidP="00B704EF">
            <w:pPr>
              <w:spacing w:before="40" w:after="40"/>
              <w:rPr>
                <w:noProof/>
                <w:sz w:val="17"/>
                <w:lang w:eastAsia="en-GB"/>
              </w:rPr>
            </w:pPr>
            <w:r w:rsidRPr="00B704EF">
              <w:rPr>
                <w:b/>
                <w:sz w:val="17"/>
                <w:lang w:eastAsia="en-GB"/>
              </w:rPr>
              <w:t>Purpose:</w:t>
            </w:r>
            <w:r w:rsidRPr="00B704EF">
              <w:rPr>
                <w:sz w:val="17"/>
                <w:lang w:eastAsia="en-GB"/>
              </w:rPr>
              <w:t xml:space="preserve"> </w:t>
            </w:r>
          </w:p>
        </w:tc>
        <w:tc>
          <w:tcPr>
            <w:tcW w:w="7234" w:type="dxa"/>
            <w:tcBorders>
              <w:top w:val="single" w:sz="4" w:space="0" w:color="auto"/>
              <w:left w:val="single" w:sz="4" w:space="0" w:color="auto"/>
              <w:bottom w:val="single" w:sz="4" w:space="0" w:color="auto"/>
              <w:right w:val="nil"/>
            </w:tcBorders>
            <w:hideMark/>
          </w:tcPr>
          <w:p w14:paraId="12C8FBC0" w14:textId="77777777" w:rsidR="00B704EF" w:rsidRPr="00B704EF" w:rsidRDefault="00B704EF" w:rsidP="00AE03BD">
            <w:pPr>
              <w:widowControl w:val="0"/>
              <w:autoSpaceDE w:val="0"/>
              <w:autoSpaceDN w:val="0"/>
              <w:adjustRightInd w:val="0"/>
              <w:jc w:val="both"/>
              <w:rPr>
                <w:rFonts w:eastAsia="新細明體" w:cs="Segoe UI"/>
                <w:color w:val="000000"/>
                <w:sz w:val="17"/>
                <w:szCs w:val="17"/>
                <w:lang w:val="en-US" w:eastAsia="zh-TW"/>
              </w:rPr>
            </w:pPr>
            <w:r w:rsidRPr="00B704EF">
              <w:rPr>
                <w:rFonts w:eastAsia="新細明體" w:cs="Segoe UI"/>
                <w:color w:val="000000"/>
                <w:sz w:val="17"/>
                <w:szCs w:val="17"/>
                <w:lang w:val="en-US" w:eastAsia="zh-TW"/>
              </w:rPr>
              <w:t xml:space="preserve">Flow statement explaining variations in RWA for CVA risk determined under the standardized CVA approach.  </w:t>
            </w:r>
          </w:p>
        </w:tc>
      </w:tr>
      <w:tr w:rsidR="00B704EF" w:rsidRPr="00B704EF" w14:paraId="092EBE07" w14:textId="77777777" w:rsidTr="00AB074C">
        <w:tc>
          <w:tcPr>
            <w:tcW w:w="2008" w:type="dxa"/>
            <w:tcBorders>
              <w:top w:val="single" w:sz="4" w:space="0" w:color="auto"/>
              <w:left w:val="nil"/>
              <w:bottom w:val="single" w:sz="4" w:space="0" w:color="auto"/>
              <w:right w:val="single" w:sz="4" w:space="0" w:color="auto"/>
            </w:tcBorders>
            <w:hideMark/>
          </w:tcPr>
          <w:p w14:paraId="05F6993B" w14:textId="77777777" w:rsidR="00B704EF" w:rsidRPr="00B704EF" w:rsidRDefault="00B704EF" w:rsidP="00B704EF">
            <w:pPr>
              <w:spacing w:before="40" w:after="40"/>
              <w:rPr>
                <w:b/>
                <w:sz w:val="17"/>
                <w:lang w:eastAsia="en-GB"/>
              </w:rPr>
            </w:pPr>
            <w:r w:rsidRPr="00B704EF">
              <w:rPr>
                <w:b/>
                <w:sz w:val="17"/>
                <w:lang w:eastAsia="en-GB"/>
              </w:rPr>
              <w:t xml:space="preserve">Scope of application: </w:t>
            </w:r>
          </w:p>
        </w:tc>
        <w:tc>
          <w:tcPr>
            <w:tcW w:w="7234" w:type="dxa"/>
            <w:tcBorders>
              <w:top w:val="single" w:sz="4" w:space="0" w:color="auto"/>
              <w:left w:val="single" w:sz="4" w:space="0" w:color="auto"/>
              <w:bottom w:val="single" w:sz="4" w:space="0" w:color="auto"/>
              <w:right w:val="nil"/>
            </w:tcBorders>
            <w:hideMark/>
          </w:tcPr>
          <w:p w14:paraId="606120A8" w14:textId="77777777" w:rsidR="00B704EF" w:rsidRPr="00B704EF" w:rsidRDefault="00B704EF" w:rsidP="00AE03BD">
            <w:pPr>
              <w:widowControl w:val="0"/>
              <w:autoSpaceDE w:val="0"/>
              <w:autoSpaceDN w:val="0"/>
              <w:adjustRightInd w:val="0"/>
              <w:jc w:val="both"/>
              <w:rPr>
                <w:rFonts w:eastAsia="新細明體" w:cs="Segoe UI"/>
                <w:color w:val="000000"/>
                <w:sz w:val="17"/>
                <w:szCs w:val="17"/>
                <w:lang w:val="en-US" w:eastAsia="zh-TW"/>
              </w:rPr>
            </w:pPr>
            <w:r w:rsidRPr="00B704EF">
              <w:rPr>
                <w:rFonts w:eastAsia="新細明體" w:cs="Segoe UI"/>
                <w:color w:val="000000"/>
                <w:sz w:val="17"/>
                <w:szCs w:val="17"/>
                <w:lang w:val="en-US" w:eastAsia="zh-TW"/>
              </w:rPr>
              <w:t>The template is mandatory for AIs incorporated in Hong Kong that use the standardized CVA approach to calculate part or all of their CVA risk capital charges.</w:t>
            </w:r>
          </w:p>
        </w:tc>
      </w:tr>
      <w:tr w:rsidR="00B704EF" w:rsidRPr="00B704EF" w14:paraId="6F5E849C" w14:textId="77777777" w:rsidTr="00AB074C">
        <w:tc>
          <w:tcPr>
            <w:tcW w:w="2008" w:type="dxa"/>
            <w:tcBorders>
              <w:top w:val="single" w:sz="4" w:space="0" w:color="auto"/>
              <w:left w:val="nil"/>
              <w:bottom w:val="single" w:sz="4" w:space="0" w:color="auto"/>
              <w:right w:val="single" w:sz="4" w:space="0" w:color="auto"/>
            </w:tcBorders>
            <w:hideMark/>
          </w:tcPr>
          <w:p w14:paraId="613CC2B8" w14:textId="77777777" w:rsidR="00B704EF" w:rsidRPr="00B704EF" w:rsidRDefault="00B704EF" w:rsidP="00B704EF">
            <w:pPr>
              <w:spacing w:before="40" w:after="40"/>
              <w:rPr>
                <w:b/>
                <w:sz w:val="17"/>
                <w:lang w:eastAsia="en-GB"/>
              </w:rPr>
            </w:pPr>
            <w:r w:rsidRPr="00B704EF">
              <w:rPr>
                <w:b/>
                <w:sz w:val="17"/>
                <w:lang w:eastAsia="en-GB"/>
              </w:rPr>
              <w:t xml:space="preserve">Content: </w:t>
            </w:r>
          </w:p>
        </w:tc>
        <w:tc>
          <w:tcPr>
            <w:tcW w:w="7234" w:type="dxa"/>
            <w:tcBorders>
              <w:top w:val="single" w:sz="4" w:space="0" w:color="auto"/>
              <w:left w:val="single" w:sz="4" w:space="0" w:color="auto"/>
              <w:bottom w:val="single" w:sz="4" w:space="0" w:color="auto"/>
              <w:right w:val="nil"/>
            </w:tcBorders>
            <w:hideMark/>
          </w:tcPr>
          <w:p w14:paraId="7307052D" w14:textId="77777777" w:rsidR="00B704EF" w:rsidRPr="00B704EF" w:rsidRDefault="00B704EF" w:rsidP="00AE03BD">
            <w:pPr>
              <w:widowControl w:val="0"/>
              <w:autoSpaceDE w:val="0"/>
              <w:autoSpaceDN w:val="0"/>
              <w:adjustRightInd w:val="0"/>
              <w:jc w:val="both"/>
              <w:rPr>
                <w:rFonts w:eastAsia="新細明體" w:cs="Segoe UI"/>
                <w:color w:val="000000"/>
                <w:sz w:val="17"/>
                <w:szCs w:val="17"/>
                <w:lang w:val="en-US" w:eastAsia="zh-TW"/>
              </w:rPr>
            </w:pPr>
            <w:r w:rsidRPr="00B704EF">
              <w:rPr>
                <w:rFonts w:eastAsia="新細明體" w:cs="Segoe UI"/>
                <w:color w:val="000000"/>
                <w:sz w:val="17"/>
                <w:szCs w:val="17"/>
                <w:lang w:val="en-US" w:eastAsia="zh-TW"/>
              </w:rPr>
              <w:t xml:space="preserve">RWA for CVA risk.  Changes in RWA amounts over the reporting period for each of the key drivers should be based on an AI’s reasonable estimation of the figure. </w:t>
            </w:r>
          </w:p>
        </w:tc>
      </w:tr>
      <w:tr w:rsidR="00B704EF" w:rsidRPr="00B704EF" w14:paraId="5D26BD83" w14:textId="77777777" w:rsidTr="00AB074C">
        <w:tc>
          <w:tcPr>
            <w:tcW w:w="2008" w:type="dxa"/>
            <w:tcBorders>
              <w:top w:val="single" w:sz="4" w:space="0" w:color="auto"/>
              <w:left w:val="nil"/>
              <w:bottom w:val="single" w:sz="4" w:space="0" w:color="auto"/>
              <w:right w:val="single" w:sz="4" w:space="0" w:color="auto"/>
            </w:tcBorders>
            <w:hideMark/>
          </w:tcPr>
          <w:p w14:paraId="181238DB" w14:textId="77777777" w:rsidR="00B704EF" w:rsidRPr="00B704EF" w:rsidRDefault="00B704EF" w:rsidP="00B704EF">
            <w:pPr>
              <w:spacing w:before="40" w:after="40"/>
              <w:rPr>
                <w:sz w:val="17"/>
                <w:lang w:eastAsia="en-GB"/>
              </w:rPr>
            </w:pPr>
            <w:r w:rsidRPr="00B704EF">
              <w:rPr>
                <w:b/>
                <w:sz w:val="17"/>
                <w:lang w:eastAsia="en-GB"/>
              </w:rPr>
              <w:t>Frequency:</w:t>
            </w:r>
            <w:r w:rsidRPr="00B704EF">
              <w:rPr>
                <w:sz w:val="17"/>
                <w:lang w:eastAsia="en-GB"/>
              </w:rPr>
              <w:t xml:space="preserve"> </w:t>
            </w:r>
          </w:p>
        </w:tc>
        <w:tc>
          <w:tcPr>
            <w:tcW w:w="7234" w:type="dxa"/>
            <w:tcBorders>
              <w:top w:val="single" w:sz="4" w:space="0" w:color="auto"/>
              <w:left w:val="single" w:sz="4" w:space="0" w:color="auto"/>
              <w:bottom w:val="single" w:sz="4" w:space="0" w:color="auto"/>
              <w:right w:val="nil"/>
            </w:tcBorders>
            <w:hideMark/>
          </w:tcPr>
          <w:p w14:paraId="0E1BD77E" w14:textId="77777777" w:rsidR="00B704EF" w:rsidRPr="00B704EF" w:rsidRDefault="00B704EF" w:rsidP="00B704EF">
            <w:pPr>
              <w:spacing w:before="40" w:after="40"/>
              <w:jc w:val="both"/>
              <w:rPr>
                <w:sz w:val="17"/>
                <w:lang w:eastAsia="en-GB"/>
              </w:rPr>
            </w:pPr>
            <w:r w:rsidRPr="00B704EF">
              <w:rPr>
                <w:sz w:val="17"/>
                <w:lang w:eastAsia="en-GB"/>
              </w:rPr>
              <w:t>Quarterly.</w:t>
            </w:r>
          </w:p>
        </w:tc>
      </w:tr>
      <w:tr w:rsidR="00B704EF" w:rsidRPr="00B704EF" w14:paraId="6E2420BD" w14:textId="77777777" w:rsidTr="00AB074C">
        <w:tc>
          <w:tcPr>
            <w:tcW w:w="2008" w:type="dxa"/>
            <w:tcBorders>
              <w:top w:val="single" w:sz="4" w:space="0" w:color="auto"/>
              <w:left w:val="nil"/>
              <w:bottom w:val="single" w:sz="4" w:space="0" w:color="auto"/>
              <w:right w:val="single" w:sz="4" w:space="0" w:color="auto"/>
            </w:tcBorders>
            <w:hideMark/>
          </w:tcPr>
          <w:p w14:paraId="32412208" w14:textId="77777777" w:rsidR="00B704EF" w:rsidRPr="00B704EF" w:rsidRDefault="00B704EF" w:rsidP="00B704EF">
            <w:pPr>
              <w:spacing w:before="40" w:after="40"/>
              <w:rPr>
                <w:sz w:val="17"/>
                <w:lang w:eastAsia="en-GB"/>
              </w:rPr>
            </w:pPr>
            <w:r w:rsidRPr="00B704EF">
              <w:rPr>
                <w:b/>
                <w:sz w:val="17"/>
                <w:lang w:eastAsia="en-GB"/>
              </w:rPr>
              <w:t>Format:</w:t>
            </w:r>
            <w:r w:rsidRPr="00B704EF">
              <w:rPr>
                <w:sz w:val="17"/>
                <w:lang w:eastAsia="en-GB"/>
              </w:rPr>
              <w:t xml:space="preserve"> </w:t>
            </w:r>
          </w:p>
        </w:tc>
        <w:tc>
          <w:tcPr>
            <w:tcW w:w="7234" w:type="dxa"/>
            <w:tcBorders>
              <w:top w:val="single" w:sz="4" w:space="0" w:color="auto"/>
              <w:left w:val="single" w:sz="4" w:space="0" w:color="auto"/>
              <w:bottom w:val="single" w:sz="4" w:space="0" w:color="auto"/>
              <w:right w:val="nil"/>
            </w:tcBorders>
            <w:hideMark/>
          </w:tcPr>
          <w:p w14:paraId="07C365C6" w14:textId="77777777" w:rsidR="00B704EF" w:rsidRPr="00B704EF" w:rsidRDefault="00B704EF" w:rsidP="00B704EF">
            <w:pPr>
              <w:spacing w:before="40" w:after="40"/>
              <w:jc w:val="both"/>
              <w:rPr>
                <w:sz w:val="17"/>
                <w:lang w:eastAsia="en-GB"/>
              </w:rPr>
            </w:pPr>
            <w:r w:rsidRPr="00B704EF">
              <w:rPr>
                <w:sz w:val="17"/>
                <w:lang w:eastAsia="en-GB"/>
              </w:rPr>
              <w:t>Fixed.</w:t>
            </w:r>
          </w:p>
        </w:tc>
      </w:tr>
      <w:tr w:rsidR="00B704EF" w:rsidRPr="00B704EF" w14:paraId="5E6719E8" w14:textId="77777777" w:rsidTr="00AB074C">
        <w:tc>
          <w:tcPr>
            <w:tcW w:w="2008" w:type="dxa"/>
            <w:tcBorders>
              <w:top w:val="single" w:sz="4" w:space="0" w:color="auto"/>
              <w:left w:val="nil"/>
              <w:bottom w:val="single" w:sz="4" w:space="0" w:color="auto"/>
              <w:right w:val="single" w:sz="4" w:space="0" w:color="auto"/>
            </w:tcBorders>
            <w:hideMark/>
          </w:tcPr>
          <w:p w14:paraId="7B08DB42" w14:textId="77777777" w:rsidR="00B704EF" w:rsidRPr="00B704EF" w:rsidRDefault="00B704EF" w:rsidP="00B704EF">
            <w:pPr>
              <w:spacing w:before="40" w:after="40"/>
              <w:rPr>
                <w:b/>
                <w:sz w:val="17"/>
                <w:lang w:eastAsia="en-GB"/>
              </w:rPr>
            </w:pPr>
            <w:r w:rsidRPr="00B704EF">
              <w:rPr>
                <w:rFonts w:eastAsia="新細明體"/>
                <w:b/>
                <w:sz w:val="17"/>
                <w:szCs w:val="17"/>
                <w:lang w:eastAsia="en-GB"/>
              </w:rPr>
              <w:t>Accompanying narrative</w:t>
            </w:r>
            <w:r w:rsidRPr="00B704EF">
              <w:rPr>
                <w:rFonts w:eastAsia="新細明體"/>
                <w:sz w:val="17"/>
                <w:szCs w:val="17"/>
                <w:lang w:eastAsia="en-GB"/>
              </w:rPr>
              <w:t>:</w:t>
            </w:r>
          </w:p>
        </w:tc>
        <w:tc>
          <w:tcPr>
            <w:tcW w:w="7234" w:type="dxa"/>
            <w:tcBorders>
              <w:top w:val="single" w:sz="4" w:space="0" w:color="auto"/>
              <w:left w:val="single" w:sz="4" w:space="0" w:color="auto"/>
              <w:bottom w:val="single" w:sz="4" w:space="0" w:color="auto"/>
              <w:right w:val="nil"/>
            </w:tcBorders>
            <w:hideMark/>
          </w:tcPr>
          <w:p w14:paraId="1DD062B2" w14:textId="5DCD5EB1" w:rsidR="00B704EF" w:rsidRPr="00B704EF" w:rsidRDefault="004529D2" w:rsidP="00AE03BD">
            <w:pPr>
              <w:widowControl w:val="0"/>
              <w:autoSpaceDE w:val="0"/>
              <w:autoSpaceDN w:val="0"/>
              <w:adjustRightInd w:val="0"/>
              <w:jc w:val="both"/>
              <w:rPr>
                <w:rFonts w:eastAsia="新細明體" w:cs="Segoe UI"/>
                <w:color w:val="000000"/>
                <w:sz w:val="17"/>
                <w:szCs w:val="17"/>
                <w:lang w:val="en-US" w:eastAsia="zh-TW"/>
              </w:rPr>
            </w:pPr>
            <w:r>
              <w:rPr>
                <w:rFonts w:eastAsia="新細明體" w:cs="Segoe UI"/>
                <w:color w:val="000000"/>
                <w:sz w:val="17"/>
                <w:szCs w:val="17"/>
                <w:lang w:val="en-US" w:eastAsia="zh-TW"/>
              </w:rPr>
              <w:t xml:space="preserve">An </w:t>
            </w:r>
            <w:r w:rsidR="00B704EF" w:rsidRPr="00B704EF">
              <w:rPr>
                <w:rFonts w:eastAsia="新細明體" w:cs="Segoe UI"/>
                <w:color w:val="000000"/>
                <w:sz w:val="17"/>
                <w:szCs w:val="17"/>
                <w:lang w:val="en-US" w:eastAsia="zh-TW"/>
              </w:rPr>
              <w:t xml:space="preserve">AI </w:t>
            </w:r>
            <w:r>
              <w:rPr>
                <w:rFonts w:eastAsia="新細明體" w:cs="Segoe UI"/>
                <w:color w:val="000000"/>
                <w:sz w:val="17"/>
                <w:szCs w:val="17"/>
                <w:lang w:val="en-US" w:eastAsia="zh-TW"/>
              </w:rPr>
              <w:t>should</w:t>
            </w:r>
            <w:r w:rsidR="00B704EF" w:rsidRPr="00B704EF">
              <w:rPr>
                <w:rFonts w:eastAsia="新細明體" w:cs="Segoe UI"/>
                <w:color w:val="000000"/>
                <w:sz w:val="17"/>
                <w:szCs w:val="17"/>
                <w:lang w:val="en-US" w:eastAsia="zh-TW"/>
              </w:rPr>
              <w:t xml:space="preserve"> supplement the template with a narrative commentary to explain any material changes over the reporting period and the key drivers of such changes.  Factors behind changes could include movements in risk levels, scope changes (e.g. movement of netting sets between the standardized CVA approach and the full or reduced basic CVA approach), acquisition and disposal of business/product lines or entities or foreign currency translation movements.</w:t>
            </w:r>
          </w:p>
        </w:tc>
      </w:tr>
      <w:tr w:rsidR="00B704EF" w:rsidRPr="00B704EF" w14:paraId="73AD1446" w14:textId="77777777" w:rsidTr="00AB074C">
        <w:tc>
          <w:tcPr>
            <w:tcW w:w="2008" w:type="dxa"/>
            <w:tcBorders>
              <w:top w:val="single" w:sz="4" w:space="0" w:color="auto"/>
              <w:left w:val="nil"/>
              <w:bottom w:val="single" w:sz="4" w:space="0" w:color="auto"/>
              <w:right w:val="single" w:sz="4" w:space="0" w:color="auto"/>
            </w:tcBorders>
            <w:hideMark/>
          </w:tcPr>
          <w:p w14:paraId="3459D1EB" w14:textId="77777777" w:rsidR="00B704EF" w:rsidRPr="00B71D8C" w:rsidRDefault="00B704EF" w:rsidP="00B704EF">
            <w:pPr>
              <w:spacing w:before="40" w:after="40"/>
              <w:rPr>
                <w:rFonts w:eastAsia="新細明體"/>
                <w:b/>
                <w:sz w:val="17"/>
                <w:szCs w:val="17"/>
                <w:lang w:eastAsia="en-GB"/>
              </w:rPr>
            </w:pPr>
            <w:r w:rsidRPr="00B71D8C">
              <w:rPr>
                <w:rFonts w:eastAsia="新細明體"/>
                <w:b/>
                <w:sz w:val="17"/>
                <w:szCs w:val="17"/>
                <w:lang w:eastAsia="en-GB"/>
              </w:rPr>
              <w:t>Corresponding BDR section:</w:t>
            </w:r>
          </w:p>
        </w:tc>
        <w:tc>
          <w:tcPr>
            <w:tcW w:w="7234" w:type="dxa"/>
            <w:tcBorders>
              <w:top w:val="single" w:sz="4" w:space="0" w:color="auto"/>
              <w:left w:val="single" w:sz="4" w:space="0" w:color="auto"/>
              <w:bottom w:val="single" w:sz="4" w:space="0" w:color="auto"/>
              <w:right w:val="nil"/>
            </w:tcBorders>
          </w:tcPr>
          <w:p w14:paraId="74D6E8C7" w14:textId="378FA163" w:rsidR="00B704EF" w:rsidRPr="00B71D8C" w:rsidRDefault="00091FE0" w:rsidP="00B704EF">
            <w:pPr>
              <w:spacing w:before="40" w:after="40"/>
              <w:jc w:val="both"/>
              <w:rPr>
                <w:sz w:val="17"/>
                <w:lang w:eastAsia="en-GB"/>
              </w:rPr>
            </w:pPr>
            <w:r w:rsidRPr="00B71D8C">
              <w:rPr>
                <w:sz w:val="17"/>
                <w:szCs w:val="17"/>
                <w:lang w:eastAsia="en-GB"/>
              </w:rPr>
              <w:t>16ZOF</w:t>
            </w:r>
          </w:p>
        </w:tc>
      </w:tr>
    </w:tbl>
    <w:p w14:paraId="51EFB68B" w14:textId="77777777" w:rsidR="00B704EF" w:rsidRPr="00B704EF" w:rsidRDefault="00B704EF" w:rsidP="00B704EF"/>
    <w:tbl>
      <w:tblPr>
        <w:tblW w:w="9248" w:type="dxa"/>
        <w:tblInd w:w="-459" w:type="dxa"/>
        <w:tblBorders>
          <w:top w:val="single" w:sz="4" w:space="0" w:color="A6A6A6"/>
          <w:bottom w:val="single" w:sz="4" w:space="0" w:color="A6A6A6"/>
          <w:insideH w:val="single" w:sz="4" w:space="0" w:color="A6A6A6"/>
          <w:insideV w:val="single" w:sz="4" w:space="0" w:color="A6A6A6"/>
        </w:tblBorders>
        <w:tblLayout w:type="fixed"/>
        <w:tblLook w:val="04A0" w:firstRow="1" w:lastRow="0" w:firstColumn="1" w:lastColumn="0" w:noHBand="0" w:noVBand="1"/>
      </w:tblPr>
      <w:tblGrid>
        <w:gridCol w:w="459"/>
        <w:gridCol w:w="3747"/>
        <w:gridCol w:w="5042"/>
      </w:tblGrid>
      <w:tr w:rsidR="00B704EF" w:rsidRPr="00B704EF" w14:paraId="75D09FCB" w14:textId="77777777" w:rsidTr="00C779D2">
        <w:trPr>
          <w:cantSplit/>
          <w:tblHeader/>
        </w:trPr>
        <w:tc>
          <w:tcPr>
            <w:tcW w:w="4206" w:type="dxa"/>
            <w:gridSpan w:val="2"/>
            <w:tcBorders>
              <w:top w:val="nil"/>
              <w:left w:val="nil"/>
              <w:bottom w:val="nil"/>
              <w:right w:val="single" w:sz="4" w:space="0" w:color="auto"/>
            </w:tcBorders>
            <w:vAlign w:val="center"/>
          </w:tcPr>
          <w:p w14:paraId="743AC8BC" w14:textId="77777777" w:rsidR="00B704EF" w:rsidRPr="00B704EF" w:rsidRDefault="00B704EF" w:rsidP="00B704EF">
            <w:pPr>
              <w:snapToGrid w:val="0"/>
              <w:spacing w:before="40" w:after="40"/>
              <w:rPr>
                <w:sz w:val="17"/>
                <w:lang w:eastAsia="fr-FR"/>
              </w:rPr>
            </w:pPr>
          </w:p>
        </w:tc>
        <w:tc>
          <w:tcPr>
            <w:tcW w:w="5042" w:type="dxa"/>
            <w:tcBorders>
              <w:top w:val="single" w:sz="4" w:space="0" w:color="auto"/>
              <w:left w:val="single" w:sz="4" w:space="0" w:color="auto"/>
              <w:bottom w:val="single" w:sz="4" w:space="0" w:color="auto"/>
              <w:right w:val="single" w:sz="4" w:space="0" w:color="auto"/>
            </w:tcBorders>
            <w:vAlign w:val="center"/>
            <w:hideMark/>
          </w:tcPr>
          <w:p w14:paraId="0E33D720" w14:textId="77777777" w:rsidR="00B704EF" w:rsidRPr="00B704EF" w:rsidRDefault="00B704EF" w:rsidP="00B704EF">
            <w:pPr>
              <w:snapToGrid w:val="0"/>
              <w:spacing w:before="40" w:after="40"/>
              <w:jc w:val="center"/>
              <w:rPr>
                <w:sz w:val="17"/>
              </w:rPr>
            </w:pPr>
            <w:r w:rsidRPr="00B704EF">
              <w:rPr>
                <w:sz w:val="17"/>
              </w:rPr>
              <w:t>(a)</w:t>
            </w:r>
          </w:p>
        </w:tc>
      </w:tr>
      <w:tr w:rsidR="00B704EF" w:rsidRPr="00B704EF" w14:paraId="522F57C0" w14:textId="77777777" w:rsidTr="00C779D2">
        <w:trPr>
          <w:cantSplit/>
        </w:trPr>
        <w:tc>
          <w:tcPr>
            <w:tcW w:w="459" w:type="dxa"/>
            <w:tcBorders>
              <w:top w:val="single" w:sz="4" w:space="0" w:color="auto"/>
              <w:left w:val="nil"/>
              <w:bottom w:val="single" w:sz="4" w:space="0" w:color="BFBFBF"/>
              <w:right w:val="single" w:sz="4" w:space="0" w:color="auto"/>
            </w:tcBorders>
            <w:vAlign w:val="center"/>
            <w:hideMark/>
          </w:tcPr>
          <w:p w14:paraId="5F8F1F49" w14:textId="77777777" w:rsidR="00B704EF" w:rsidRPr="00B704EF" w:rsidRDefault="00B704EF" w:rsidP="00B704EF">
            <w:pPr>
              <w:snapToGrid w:val="0"/>
              <w:spacing w:before="40" w:after="40"/>
              <w:rPr>
                <w:sz w:val="17"/>
              </w:rPr>
            </w:pPr>
            <w:r w:rsidRPr="00B704EF">
              <w:rPr>
                <w:sz w:val="17"/>
              </w:rPr>
              <w:t>1</w:t>
            </w:r>
          </w:p>
        </w:tc>
        <w:tc>
          <w:tcPr>
            <w:tcW w:w="3747" w:type="dxa"/>
            <w:tcBorders>
              <w:top w:val="single" w:sz="4" w:space="0" w:color="auto"/>
              <w:left w:val="single" w:sz="4" w:space="0" w:color="auto"/>
              <w:bottom w:val="single" w:sz="4" w:space="0" w:color="A6A6A6"/>
              <w:right w:val="single" w:sz="4" w:space="0" w:color="auto"/>
            </w:tcBorders>
            <w:hideMark/>
          </w:tcPr>
          <w:p w14:paraId="10B02D22" w14:textId="77777777" w:rsidR="00B704EF" w:rsidRPr="00B704EF" w:rsidRDefault="00B704EF" w:rsidP="00B704EF">
            <w:pPr>
              <w:snapToGrid w:val="0"/>
              <w:spacing w:before="40" w:after="40"/>
              <w:rPr>
                <w:sz w:val="17"/>
              </w:rPr>
            </w:pPr>
            <w:r w:rsidRPr="00B704EF">
              <w:rPr>
                <w:sz w:val="17"/>
              </w:rPr>
              <w:t>Total RWA for CVA risk at end of previous reporting period</w:t>
            </w:r>
          </w:p>
        </w:tc>
        <w:tc>
          <w:tcPr>
            <w:tcW w:w="5042" w:type="dxa"/>
            <w:tcBorders>
              <w:top w:val="single" w:sz="4" w:space="0" w:color="A6A6A6"/>
              <w:left w:val="single" w:sz="4" w:space="0" w:color="auto"/>
              <w:bottom w:val="single" w:sz="4" w:space="0" w:color="A6A6A6"/>
              <w:right w:val="single" w:sz="4" w:space="0" w:color="auto"/>
            </w:tcBorders>
            <w:vAlign w:val="center"/>
          </w:tcPr>
          <w:p w14:paraId="51C01D42" w14:textId="77777777" w:rsidR="00B704EF" w:rsidRPr="00B704EF" w:rsidRDefault="00B704EF" w:rsidP="00B704EF">
            <w:pPr>
              <w:snapToGrid w:val="0"/>
              <w:spacing w:before="40" w:after="40"/>
              <w:rPr>
                <w:sz w:val="17"/>
              </w:rPr>
            </w:pPr>
          </w:p>
        </w:tc>
      </w:tr>
      <w:tr w:rsidR="00B704EF" w:rsidRPr="00B704EF" w14:paraId="730C3796" w14:textId="77777777" w:rsidTr="00C779D2">
        <w:trPr>
          <w:cantSplit/>
        </w:trPr>
        <w:tc>
          <w:tcPr>
            <w:tcW w:w="459" w:type="dxa"/>
            <w:tcBorders>
              <w:top w:val="single" w:sz="4" w:space="0" w:color="BFBFBF"/>
              <w:left w:val="nil"/>
              <w:bottom w:val="single" w:sz="4" w:space="0" w:color="auto"/>
              <w:right w:val="single" w:sz="4" w:space="0" w:color="auto"/>
            </w:tcBorders>
            <w:vAlign w:val="center"/>
            <w:hideMark/>
          </w:tcPr>
          <w:p w14:paraId="7D46345E" w14:textId="77777777" w:rsidR="00B704EF" w:rsidRPr="00B704EF" w:rsidRDefault="00B704EF" w:rsidP="00B704EF">
            <w:pPr>
              <w:snapToGrid w:val="0"/>
              <w:spacing w:before="40" w:after="40"/>
              <w:rPr>
                <w:sz w:val="17"/>
              </w:rPr>
            </w:pPr>
            <w:r w:rsidRPr="00B704EF">
              <w:rPr>
                <w:sz w:val="17"/>
              </w:rPr>
              <w:t>2</w:t>
            </w:r>
          </w:p>
        </w:tc>
        <w:tc>
          <w:tcPr>
            <w:tcW w:w="3747" w:type="dxa"/>
            <w:tcBorders>
              <w:top w:val="single" w:sz="4" w:space="0" w:color="A6A6A6"/>
              <w:left w:val="single" w:sz="4" w:space="0" w:color="auto"/>
              <w:bottom w:val="single" w:sz="4" w:space="0" w:color="auto"/>
              <w:right w:val="single" w:sz="4" w:space="0" w:color="auto"/>
            </w:tcBorders>
            <w:hideMark/>
          </w:tcPr>
          <w:p w14:paraId="0953EF44" w14:textId="77777777" w:rsidR="00B704EF" w:rsidRPr="00B704EF" w:rsidRDefault="00B704EF" w:rsidP="00B704EF">
            <w:pPr>
              <w:snapToGrid w:val="0"/>
              <w:spacing w:before="40" w:after="40"/>
              <w:rPr>
                <w:sz w:val="17"/>
              </w:rPr>
            </w:pPr>
            <w:r w:rsidRPr="00B704EF">
              <w:rPr>
                <w:sz w:val="17"/>
              </w:rPr>
              <w:t>Total RWA for CVA risk at end of reporting period</w:t>
            </w:r>
          </w:p>
        </w:tc>
        <w:tc>
          <w:tcPr>
            <w:tcW w:w="5042" w:type="dxa"/>
            <w:tcBorders>
              <w:top w:val="single" w:sz="4" w:space="0" w:color="A6A6A6"/>
              <w:left w:val="single" w:sz="4" w:space="0" w:color="auto"/>
              <w:bottom w:val="single" w:sz="4" w:space="0" w:color="auto"/>
              <w:right w:val="single" w:sz="4" w:space="0" w:color="auto"/>
            </w:tcBorders>
            <w:vAlign w:val="center"/>
          </w:tcPr>
          <w:p w14:paraId="740EB394" w14:textId="77777777" w:rsidR="00B704EF" w:rsidRPr="00B704EF" w:rsidRDefault="00B704EF" w:rsidP="00B704EF">
            <w:pPr>
              <w:snapToGrid w:val="0"/>
              <w:spacing w:before="40" w:after="40"/>
              <w:rPr>
                <w:sz w:val="17"/>
              </w:rPr>
            </w:pPr>
          </w:p>
        </w:tc>
      </w:tr>
    </w:tbl>
    <w:p w14:paraId="36BD7B64" w14:textId="77777777" w:rsidR="00B704EF" w:rsidRPr="00B704EF" w:rsidRDefault="00B704EF" w:rsidP="00B704EF"/>
    <w:tbl>
      <w:tblPr>
        <w:tblW w:w="924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8789"/>
      </w:tblGrid>
      <w:tr w:rsidR="00B704EF" w:rsidRPr="00B704EF" w14:paraId="3732AF32" w14:textId="77777777" w:rsidTr="00C779D2">
        <w:trPr>
          <w:tblHeader/>
        </w:trPr>
        <w:tc>
          <w:tcPr>
            <w:tcW w:w="9243"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1E337596" w14:textId="77777777" w:rsidR="00B704EF" w:rsidRPr="00B704EF" w:rsidRDefault="00B704EF" w:rsidP="00B704EF">
            <w:pPr>
              <w:spacing w:before="40" w:after="40"/>
              <w:jc w:val="both"/>
              <w:rPr>
                <w:rFonts w:eastAsia="新細明體"/>
                <w:b/>
                <w:sz w:val="17"/>
                <w:szCs w:val="17"/>
                <w:lang w:eastAsia="en-GB"/>
              </w:rPr>
            </w:pPr>
            <w:r w:rsidRPr="00B704EF">
              <w:rPr>
                <w:rFonts w:eastAsia="新細明體"/>
                <w:b/>
                <w:sz w:val="17"/>
                <w:szCs w:val="17"/>
                <w:lang w:eastAsia="en-GB"/>
              </w:rPr>
              <w:t>Explanatory Note</w:t>
            </w:r>
          </w:p>
        </w:tc>
      </w:tr>
      <w:tr w:rsidR="00B704EF" w:rsidRPr="00B704EF" w14:paraId="45A84344" w14:textId="77777777" w:rsidTr="00C779D2">
        <w:tc>
          <w:tcPr>
            <w:tcW w:w="924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2E77D161" w14:textId="77777777" w:rsidR="00B704EF" w:rsidRPr="00B704EF" w:rsidRDefault="00B704EF" w:rsidP="00B704EF">
            <w:pPr>
              <w:spacing w:before="40" w:after="40"/>
              <w:jc w:val="both"/>
              <w:rPr>
                <w:i/>
                <w:color w:val="000000"/>
                <w:lang w:eastAsia="fr-FR"/>
              </w:rPr>
            </w:pPr>
            <w:r w:rsidRPr="00B704EF">
              <w:rPr>
                <w:rFonts w:eastAsia="新細明體"/>
                <w:b/>
                <w:sz w:val="17"/>
                <w:szCs w:val="17"/>
                <w:lang w:eastAsia="en-GB"/>
              </w:rPr>
              <w:t>Rows</w:t>
            </w:r>
          </w:p>
        </w:tc>
      </w:tr>
      <w:tr w:rsidR="00B704EF" w:rsidRPr="00B704EF" w14:paraId="6D88D951" w14:textId="77777777" w:rsidTr="00C779D2">
        <w:tc>
          <w:tcPr>
            <w:tcW w:w="454" w:type="dxa"/>
            <w:tcBorders>
              <w:top w:val="single" w:sz="4" w:space="0" w:color="auto"/>
              <w:left w:val="single" w:sz="4" w:space="0" w:color="auto"/>
              <w:bottom w:val="single" w:sz="4" w:space="0" w:color="auto"/>
              <w:right w:val="single" w:sz="4" w:space="0" w:color="auto"/>
            </w:tcBorders>
            <w:hideMark/>
          </w:tcPr>
          <w:p w14:paraId="6329570D" w14:textId="77777777" w:rsidR="00B704EF" w:rsidRPr="00B704EF" w:rsidRDefault="00B704EF" w:rsidP="00B704EF">
            <w:pPr>
              <w:keepLines/>
              <w:widowControl w:val="0"/>
              <w:tabs>
                <w:tab w:val="left" w:pos="150"/>
                <w:tab w:val="left" w:pos="397"/>
                <w:tab w:val="left" w:pos="794"/>
                <w:tab w:val="left" w:pos="1191"/>
              </w:tabs>
              <w:spacing w:before="40" w:after="40"/>
              <w:rPr>
                <w:rFonts w:cs="Segoe UI"/>
                <w:sz w:val="17"/>
                <w:szCs w:val="17"/>
                <w:lang w:eastAsia="en-GB"/>
              </w:rPr>
            </w:pPr>
            <w:r w:rsidRPr="00B704EF">
              <w:rPr>
                <w:rFonts w:cs="Segoe UI"/>
                <w:sz w:val="17"/>
                <w:szCs w:val="17"/>
                <w:lang w:eastAsia="en-GB"/>
              </w:rPr>
              <w:t>1</w:t>
            </w:r>
          </w:p>
        </w:tc>
        <w:tc>
          <w:tcPr>
            <w:tcW w:w="8789" w:type="dxa"/>
            <w:tcBorders>
              <w:top w:val="single" w:sz="4" w:space="0" w:color="auto"/>
              <w:left w:val="single" w:sz="4" w:space="0" w:color="auto"/>
              <w:bottom w:val="single" w:sz="4" w:space="0" w:color="auto"/>
              <w:right w:val="single" w:sz="4" w:space="0" w:color="auto"/>
            </w:tcBorders>
            <w:hideMark/>
          </w:tcPr>
          <w:p w14:paraId="43FD7546" w14:textId="77777777" w:rsidR="00B704EF" w:rsidRPr="00B704EF" w:rsidRDefault="00B704EF" w:rsidP="005E4481">
            <w:pPr>
              <w:widowControl w:val="0"/>
              <w:autoSpaceDE w:val="0"/>
              <w:autoSpaceDN w:val="0"/>
              <w:adjustRightInd w:val="0"/>
              <w:jc w:val="both"/>
              <w:rPr>
                <w:rFonts w:eastAsia="新細明體" w:cs="Segoe UI"/>
                <w:color w:val="000000"/>
                <w:sz w:val="15"/>
                <w:szCs w:val="15"/>
                <w:lang w:val="en-US" w:eastAsia="zh-TW"/>
              </w:rPr>
            </w:pPr>
            <w:r w:rsidRPr="00B704EF">
              <w:rPr>
                <w:rFonts w:eastAsia="新細明體" w:cs="Segoe UI"/>
                <w:color w:val="000000"/>
                <w:sz w:val="17"/>
                <w:szCs w:val="17"/>
                <w:lang w:val="en-US" w:eastAsia="zh-TW"/>
              </w:rPr>
              <w:t>The value in [CVA4:1/a] should be equal to the value in [OV1:10/b] if the AI only uses the standardized CVA approach for all CVA risk exposures.</w:t>
            </w:r>
          </w:p>
        </w:tc>
      </w:tr>
      <w:tr w:rsidR="00B704EF" w:rsidRPr="00B704EF" w14:paraId="0DDABFCA" w14:textId="77777777" w:rsidTr="00C779D2">
        <w:tc>
          <w:tcPr>
            <w:tcW w:w="454" w:type="dxa"/>
            <w:tcBorders>
              <w:top w:val="single" w:sz="4" w:space="0" w:color="auto"/>
              <w:left w:val="single" w:sz="4" w:space="0" w:color="auto"/>
              <w:bottom w:val="single" w:sz="4" w:space="0" w:color="auto"/>
              <w:right w:val="single" w:sz="4" w:space="0" w:color="auto"/>
            </w:tcBorders>
            <w:hideMark/>
          </w:tcPr>
          <w:p w14:paraId="3605DEEE" w14:textId="77777777" w:rsidR="00B704EF" w:rsidRPr="00B704EF" w:rsidRDefault="00B704EF" w:rsidP="00B704EF">
            <w:pPr>
              <w:keepLines/>
              <w:widowControl w:val="0"/>
              <w:tabs>
                <w:tab w:val="left" w:pos="150"/>
                <w:tab w:val="left" w:pos="397"/>
                <w:tab w:val="left" w:pos="794"/>
                <w:tab w:val="left" w:pos="1191"/>
              </w:tabs>
              <w:spacing w:before="40" w:after="40"/>
              <w:rPr>
                <w:rFonts w:cs="Segoe UI"/>
                <w:sz w:val="17"/>
                <w:szCs w:val="17"/>
                <w:lang w:eastAsia="en-GB"/>
              </w:rPr>
            </w:pPr>
            <w:r w:rsidRPr="00B704EF">
              <w:rPr>
                <w:rFonts w:cs="Segoe UI"/>
                <w:sz w:val="17"/>
                <w:szCs w:val="17"/>
                <w:lang w:eastAsia="en-GB"/>
              </w:rPr>
              <w:t>2</w:t>
            </w:r>
          </w:p>
        </w:tc>
        <w:tc>
          <w:tcPr>
            <w:tcW w:w="8789" w:type="dxa"/>
            <w:tcBorders>
              <w:top w:val="single" w:sz="4" w:space="0" w:color="auto"/>
              <w:left w:val="single" w:sz="4" w:space="0" w:color="auto"/>
              <w:bottom w:val="single" w:sz="4" w:space="0" w:color="auto"/>
              <w:right w:val="single" w:sz="4" w:space="0" w:color="auto"/>
            </w:tcBorders>
            <w:hideMark/>
          </w:tcPr>
          <w:p w14:paraId="1A461686" w14:textId="77777777" w:rsidR="00B704EF" w:rsidRPr="00B704EF" w:rsidRDefault="00B704EF" w:rsidP="005E4481">
            <w:pPr>
              <w:widowControl w:val="0"/>
              <w:autoSpaceDE w:val="0"/>
              <w:autoSpaceDN w:val="0"/>
              <w:adjustRightInd w:val="0"/>
              <w:jc w:val="both"/>
              <w:rPr>
                <w:rFonts w:eastAsia="新細明體" w:cs="Segoe UI"/>
                <w:color w:val="000000"/>
                <w:sz w:val="17"/>
                <w:szCs w:val="17"/>
                <w:lang w:val="en-US" w:eastAsia="zh-TW"/>
              </w:rPr>
            </w:pPr>
            <w:r w:rsidRPr="00B704EF">
              <w:rPr>
                <w:rFonts w:eastAsia="新細明體" w:cs="Segoe UI"/>
                <w:color w:val="000000"/>
                <w:sz w:val="17"/>
                <w:szCs w:val="17"/>
                <w:lang w:val="en-US" w:eastAsia="zh-TW"/>
              </w:rPr>
              <w:t>The value in [CVA4:2/a] should be equal to the value in [OV1:10/a] if the AI only uses the standardized CVA approach for all CVA risk exposures.</w:t>
            </w:r>
          </w:p>
        </w:tc>
      </w:tr>
    </w:tbl>
    <w:p w14:paraId="1BFC6933" w14:textId="77777777" w:rsidR="00B704EF" w:rsidRPr="00B704EF" w:rsidRDefault="00B704EF" w:rsidP="00B704EF"/>
    <w:p w14:paraId="3D5C8193" w14:textId="77777777" w:rsidR="00B704EF" w:rsidRPr="00B704EF" w:rsidRDefault="00B704EF" w:rsidP="00B704EF"/>
    <w:p w14:paraId="20E3B926" w14:textId="77777777" w:rsidR="00B704EF" w:rsidRPr="00B704EF" w:rsidRDefault="00B704EF" w:rsidP="00B704EF">
      <w:pPr>
        <w:sectPr w:rsidR="00B704EF" w:rsidRPr="00B704EF" w:rsidSect="00AB074C">
          <w:footerReference w:type="default" r:id="rId71"/>
          <w:pgSz w:w="11906" w:h="16838"/>
          <w:pgMar w:top="1440" w:right="1797" w:bottom="1440" w:left="1797" w:header="851" w:footer="737" w:gutter="0"/>
          <w:cols w:space="720"/>
          <w:docGrid w:type="lines" w:linePitch="360"/>
        </w:sectPr>
      </w:pPr>
    </w:p>
    <w:p w14:paraId="5360F731" w14:textId="3B827C54" w:rsidR="00E44A82" w:rsidRDefault="00E44A82" w:rsidP="00E44A82">
      <w:pPr>
        <w:pStyle w:val="Heading1"/>
        <w:tabs>
          <w:tab w:val="left" w:pos="426"/>
        </w:tabs>
        <w:ind w:leftChars="-283" w:left="-566"/>
      </w:pPr>
      <w:r>
        <w:lastRenderedPageBreak/>
        <w:t>Part V:</w:t>
      </w:r>
      <w:r>
        <w:tab/>
        <w:t>Securitization exposures</w:t>
      </w:r>
    </w:p>
    <w:p w14:paraId="49F803CB" w14:textId="77777777" w:rsidR="00E44A82" w:rsidRDefault="00E44A82" w:rsidP="00E44A82">
      <w:pPr>
        <w:pStyle w:val="Bulletpoint"/>
        <w:numPr>
          <w:ilvl w:val="0"/>
          <w:numId w:val="0"/>
        </w:numPr>
        <w:ind w:leftChars="-283" w:left="-566"/>
      </w:pPr>
      <w:r>
        <w:t>Unless the context otherwise requires, the scope of the securitization section is as follows:</w:t>
      </w:r>
    </w:p>
    <w:p w14:paraId="4AB6594A" w14:textId="45AE67C5" w:rsidR="00E44A82" w:rsidRDefault="00E44A82" w:rsidP="00E44A82">
      <w:pPr>
        <w:pStyle w:val="Bulletpoint"/>
        <w:tabs>
          <w:tab w:val="clear" w:pos="794"/>
          <w:tab w:val="clear" w:pos="851"/>
          <w:tab w:val="clear" w:pos="1191"/>
        </w:tabs>
        <w:ind w:leftChars="-283" w:left="0" w:hanging="566"/>
      </w:pPr>
      <w:r>
        <w:t xml:space="preserve">Table SECA and </w:t>
      </w:r>
      <w:r w:rsidR="00802A14">
        <w:t>T</w:t>
      </w:r>
      <w:r>
        <w:t>emplates SEC1 and SEC2 cover all securitization exposures as defined under the BCR.</w:t>
      </w:r>
    </w:p>
    <w:p w14:paraId="508C3DDB" w14:textId="77777777" w:rsidR="00E44A82" w:rsidRDefault="00E44A82" w:rsidP="00E44A82">
      <w:pPr>
        <w:pStyle w:val="Bulletpoint"/>
        <w:tabs>
          <w:tab w:val="clear" w:pos="794"/>
          <w:tab w:val="clear" w:pos="851"/>
          <w:tab w:val="clear" w:pos="1191"/>
        </w:tabs>
        <w:ind w:leftChars="-283" w:left="0" w:hanging="566"/>
      </w:pPr>
      <w:r>
        <w:t>Templates SEC3 and SEC4 cover banking book securitization exposures subject to capital requirements according to the securitization framework under Part 7 of the BCR, and exclude securitization positions in the trading book under Part 8 of the BCR which are reported in Part VI of this document (i.e. Market risk section).</w:t>
      </w:r>
    </w:p>
    <w:p w14:paraId="7F205C2C" w14:textId="0A41919C" w:rsidR="00440941" w:rsidRDefault="00E44A82" w:rsidP="007A7C71">
      <w:pPr>
        <w:pStyle w:val="Bulletpoint"/>
        <w:numPr>
          <w:ilvl w:val="0"/>
          <w:numId w:val="0"/>
        </w:numPr>
        <w:ind w:left="-566"/>
        <w:rPr>
          <w:rFonts w:eastAsia="新細明體" w:cs="Segoe UI"/>
          <w:lang w:eastAsia="ja-JP"/>
        </w:rPr>
      </w:pPr>
      <w:r>
        <w:rPr>
          <w:rFonts w:eastAsia="新細明體" w:cs="Segoe UI"/>
          <w:lang w:eastAsia="ja-JP"/>
        </w:rPr>
        <w:t>An AI should disclose securitization exposures arising from eligib</w:t>
      </w:r>
      <w:r w:rsidR="00F25BB7">
        <w:rPr>
          <w:rFonts w:eastAsia="新細明體" w:cs="Segoe UI"/>
          <w:lang w:eastAsia="ja-JP"/>
        </w:rPr>
        <w:t xml:space="preserve">le securitization transactions </w:t>
      </w:r>
      <w:r w:rsidR="00802A14">
        <w:rPr>
          <w:rFonts w:eastAsia="新細明體" w:cs="Segoe UI"/>
          <w:lang w:eastAsia="ja-JP"/>
        </w:rPr>
        <w:t>in T</w:t>
      </w:r>
      <w:r>
        <w:rPr>
          <w:rFonts w:eastAsia="新細明體" w:cs="Segoe UI"/>
          <w:lang w:eastAsia="ja-JP"/>
        </w:rPr>
        <w:t>emplate SEC3.  Conversely, securitiza</w:t>
      </w:r>
      <w:r w:rsidR="00802A14">
        <w:rPr>
          <w:rFonts w:eastAsia="新細明體" w:cs="Segoe UI"/>
          <w:lang w:eastAsia="ja-JP"/>
        </w:rPr>
        <w:t>tion exposures are reported in T</w:t>
      </w:r>
      <w:r>
        <w:rPr>
          <w:rFonts w:eastAsia="新細明體" w:cs="Segoe UI"/>
          <w:lang w:eastAsia="ja-JP"/>
        </w:rPr>
        <w:t xml:space="preserve">emplates SEC1, SEC2 and SEC4 according to their respective disclosure requirements, irrespective of whether the exposures arise from an eligible securitization transaction or a non-eligible securitization transaction. </w:t>
      </w:r>
    </w:p>
    <w:p w14:paraId="41AE8457" w14:textId="77777777" w:rsidR="007A7C71" w:rsidRDefault="007A7C71" w:rsidP="007A7C71">
      <w:pPr>
        <w:pStyle w:val="Bulletpoint"/>
        <w:numPr>
          <w:ilvl w:val="0"/>
          <w:numId w:val="0"/>
        </w:numPr>
        <w:ind w:left="-566"/>
        <w:rPr>
          <w:rFonts w:eastAsia="新細明體" w:cs="Segoe UI"/>
          <w:lang w:eastAsia="ja-JP"/>
        </w:rPr>
      </w:pPr>
    </w:p>
    <w:p w14:paraId="1557F583" w14:textId="68EE52B5" w:rsidR="00440941" w:rsidRDefault="00440941" w:rsidP="007C2415">
      <w:pPr>
        <w:pStyle w:val="Heading2"/>
      </w:pPr>
      <w:r>
        <w:t>Table SECA: Qualitative disclosures related to securitization exposures</w:t>
      </w:r>
    </w:p>
    <w:tbl>
      <w:tblPr>
        <w:tblW w:w="9241" w:type="dxa"/>
        <w:tblInd w:w="-567"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7"/>
        <w:gridCol w:w="7234"/>
      </w:tblGrid>
      <w:tr w:rsidR="00FF60E7" w14:paraId="2BC65718" w14:textId="77777777" w:rsidTr="00FF60E7">
        <w:tc>
          <w:tcPr>
            <w:tcW w:w="2007" w:type="dxa"/>
          </w:tcPr>
          <w:p w14:paraId="068E53FE" w14:textId="4936A69A" w:rsidR="00E44A82" w:rsidRDefault="00E44A82" w:rsidP="00647044">
            <w:pPr>
              <w:spacing w:before="40" w:after="40"/>
              <w:rPr>
                <w:noProof/>
                <w:sz w:val="17"/>
                <w:lang w:eastAsia="en-GB"/>
              </w:rPr>
            </w:pPr>
            <w:r>
              <w:rPr>
                <w:b/>
                <w:sz w:val="17"/>
                <w:lang w:eastAsia="en-GB"/>
              </w:rPr>
              <w:t>Purpose:</w:t>
            </w:r>
          </w:p>
        </w:tc>
        <w:tc>
          <w:tcPr>
            <w:tcW w:w="7234" w:type="dxa"/>
          </w:tcPr>
          <w:p w14:paraId="1D38EC1A" w14:textId="77777777" w:rsidR="00E44A82" w:rsidRDefault="00E44A82" w:rsidP="00647044">
            <w:pPr>
              <w:spacing w:before="40" w:after="40"/>
              <w:jc w:val="both"/>
              <w:rPr>
                <w:sz w:val="17"/>
                <w:lang w:eastAsia="en-GB"/>
              </w:rPr>
            </w:pPr>
            <w:r>
              <w:rPr>
                <w:sz w:val="17"/>
                <w:lang w:eastAsia="en-GB"/>
              </w:rPr>
              <w:t xml:space="preserve">To provide qualitative information on the strategy and risk management with respect to securitization activities. </w:t>
            </w:r>
          </w:p>
        </w:tc>
      </w:tr>
      <w:tr w:rsidR="00FF60E7" w14:paraId="118E5A3E" w14:textId="77777777" w:rsidTr="00FF60E7">
        <w:tc>
          <w:tcPr>
            <w:tcW w:w="2007" w:type="dxa"/>
          </w:tcPr>
          <w:p w14:paraId="73080FA7" w14:textId="77777777" w:rsidR="00E44A82" w:rsidRDefault="00E44A82" w:rsidP="00647044">
            <w:pPr>
              <w:spacing w:before="40" w:after="40"/>
              <w:rPr>
                <w:b/>
                <w:sz w:val="17"/>
                <w:lang w:eastAsia="en-GB"/>
              </w:rPr>
            </w:pPr>
            <w:r>
              <w:rPr>
                <w:b/>
                <w:sz w:val="17"/>
                <w:lang w:eastAsia="en-GB"/>
              </w:rPr>
              <w:t>Scope of application:</w:t>
            </w:r>
          </w:p>
        </w:tc>
        <w:tc>
          <w:tcPr>
            <w:tcW w:w="7234" w:type="dxa"/>
          </w:tcPr>
          <w:p w14:paraId="174D7501" w14:textId="77777777" w:rsidR="00E44A82" w:rsidRDefault="00E44A82" w:rsidP="00647044">
            <w:pPr>
              <w:spacing w:before="40" w:after="40"/>
              <w:jc w:val="both"/>
              <w:rPr>
                <w:b/>
                <w:sz w:val="17"/>
                <w:lang w:eastAsia="en-GB"/>
              </w:rPr>
            </w:pPr>
            <w:r>
              <w:rPr>
                <w:sz w:val="17"/>
                <w:lang w:eastAsia="en-GB"/>
              </w:rPr>
              <w:t>The table is mandatory for AIs incorporated in Hong Kong with securitization exposures.</w:t>
            </w:r>
          </w:p>
        </w:tc>
      </w:tr>
      <w:tr w:rsidR="00FF60E7" w14:paraId="3DBF782D" w14:textId="77777777" w:rsidTr="00FF60E7">
        <w:tc>
          <w:tcPr>
            <w:tcW w:w="2007" w:type="dxa"/>
          </w:tcPr>
          <w:p w14:paraId="1D28BCD0" w14:textId="77777777" w:rsidR="00E44A82" w:rsidRDefault="00E44A82" w:rsidP="00647044">
            <w:pPr>
              <w:spacing w:before="40" w:after="40"/>
              <w:rPr>
                <w:b/>
                <w:sz w:val="17"/>
                <w:lang w:eastAsia="en-GB"/>
              </w:rPr>
            </w:pPr>
            <w:r>
              <w:rPr>
                <w:b/>
                <w:sz w:val="17"/>
                <w:lang w:eastAsia="en-GB"/>
              </w:rPr>
              <w:t>Content:</w:t>
            </w:r>
          </w:p>
        </w:tc>
        <w:tc>
          <w:tcPr>
            <w:tcW w:w="7234" w:type="dxa"/>
          </w:tcPr>
          <w:p w14:paraId="3EE04B8F" w14:textId="77777777" w:rsidR="00E44A82" w:rsidRDefault="00E44A82" w:rsidP="00647044">
            <w:pPr>
              <w:spacing w:before="40" w:after="40"/>
              <w:jc w:val="both"/>
              <w:rPr>
                <w:b/>
                <w:sz w:val="17"/>
                <w:lang w:eastAsia="en-GB"/>
              </w:rPr>
            </w:pPr>
            <w:r>
              <w:rPr>
                <w:sz w:val="17"/>
                <w:lang w:eastAsia="en-GB"/>
              </w:rPr>
              <w:t>Qualitative information.</w:t>
            </w:r>
          </w:p>
        </w:tc>
      </w:tr>
      <w:tr w:rsidR="00FF60E7" w14:paraId="39959628" w14:textId="77777777" w:rsidTr="00FF60E7">
        <w:tc>
          <w:tcPr>
            <w:tcW w:w="2007" w:type="dxa"/>
          </w:tcPr>
          <w:p w14:paraId="75723E45" w14:textId="77777777" w:rsidR="00E44A82" w:rsidRDefault="00E44A82" w:rsidP="00647044">
            <w:pPr>
              <w:spacing w:before="40" w:after="40"/>
              <w:rPr>
                <w:sz w:val="17"/>
                <w:lang w:eastAsia="en-GB"/>
              </w:rPr>
            </w:pPr>
            <w:r>
              <w:rPr>
                <w:b/>
                <w:sz w:val="17"/>
                <w:lang w:eastAsia="en-GB"/>
              </w:rPr>
              <w:t>Frequency:</w:t>
            </w:r>
          </w:p>
        </w:tc>
        <w:tc>
          <w:tcPr>
            <w:tcW w:w="7234" w:type="dxa"/>
          </w:tcPr>
          <w:p w14:paraId="3ACBDACC" w14:textId="77777777" w:rsidR="00E44A82" w:rsidRDefault="00E44A82" w:rsidP="00647044">
            <w:pPr>
              <w:spacing w:before="40" w:after="40"/>
              <w:jc w:val="both"/>
              <w:rPr>
                <w:sz w:val="17"/>
                <w:lang w:eastAsia="en-GB"/>
              </w:rPr>
            </w:pPr>
            <w:r>
              <w:rPr>
                <w:sz w:val="17"/>
                <w:lang w:eastAsia="en-GB"/>
              </w:rPr>
              <w:t>Annual.</w:t>
            </w:r>
          </w:p>
        </w:tc>
      </w:tr>
      <w:tr w:rsidR="00FF60E7" w14:paraId="15C79443" w14:textId="77777777" w:rsidTr="00FF60E7">
        <w:tc>
          <w:tcPr>
            <w:tcW w:w="2007" w:type="dxa"/>
          </w:tcPr>
          <w:p w14:paraId="3AAE5266" w14:textId="77777777" w:rsidR="00E44A82" w:rsidRDefault="00E44A82" w:rsidP="00647044">
            <w:pPr>
              <w:spacing w:before="40" w:after="40"/>
              <w:rPr>
                <w:sz w:val="17"/>
                <w:lang w:eastAsia="en-GB"/>
              </w:rPr>
            </w:pPr>
            <w:r>
              <w:rPr>
                <w:b/>
                <w:sz w:val="17"/>
                <w:lang w:eastAsia="en-GB"/>
              </w:rPr>
              <w:t>Format:</w:t>
            </w:r>
          </w:p>
        </w:tc>
        <w:tc>
          <w:tcPr>
            <w:tcW w:w="7234" w:type="dxa"/>
          </w:tcPr>
          <w:p w14:paraId="4C9BF30A" w14:textId="77777777" w:rsidR="00E44A82" w:rsidRDefault="00E44A82" w:rsidP="00647044">
            <w:pPr>
              <w:spacing w:before="40" w:after="40"/>
              <w:jc w:val="both"/>
              <w:rPr>
                <w:sz w:val="17"/>
                <w:lang w:eastAsia="en-GB"/>
              </w:rPr>
            </w:pPr>
            <w:r>
              <w:rPr>
                <w:sz w:val="17"/>
                <w:lang w:eastAsia="en-GB"/>
              </w:rPr>
              <w:t xml:space="preserve">Flexible. </w:t>
            </w:r>
          </w:p>
        </w:tc>
      </w:tr>
      <w:tr w:rsidR="00FF60E7" w14:paraId="0E95D4EA" w14:textId="77777777" w:rsidTr="00FF60E7">
        <w:tc>
          <w:tcPr>
            <w:tcW w:w="2007" w:type="dxa"/>
          </w:tcPr>
          <w:p w14:paraId="248F88B6" w14:textId="77777777" w:rsidR="00E44A82" w:rsidRDefault="00E44A82" w:rsidP="00647044">
            <w:pPr>
              <w:spacing w:before="40" w:after="40"/>
              <w:rPr>
                <w:b/>
                <w:sz w:val="17"/>
                <w:lang w:eastAsia="en-GB"/>
              </w:rPr>
            </w:pPr>
            <w:r>
              <w:rPr>
                <w:b/>
                <w:sz w:val="17"/>
                <w:lang w:eastAsia="en-GB"/>
              </w:rPr>
              <w:t>Corresponding BDR section:</w:t>
            </w:r>
          </w:p>
        </w:tc>
        <w:tc>
          <w:tcPr>
            <w:tcW w:w="7234" w:type="dxa"/>
          </w:tcPr>
          <w:p w14:paraId="317C74B3" w14:textId="77777777" w:rsidR="00E44A82" w:rsidRDefault="00E44A82" w:rsidP="00647044">
            <w:pPr>
              <w:spacing w:before="40" w:after="40"/>
              <w:jc w:val="both"/>
              <w:rPr>
                <w:sz w:val="17"/>
                <w:lang w:eastAsia="en-GB"/>
              </w:rPr>
            </w:pPr>
            <w:r>
              <w:rPr>
                <w:sz w:val="17"/>
                <w:lang w:eastAsia="en-GB"/>
              </w:rPr>
              <w:t>16ZE</w:t>
            </w:r>
          </w:p>
        </w:tc>
      </w:tr>
    </w:tbl>
    <w:p w14:paraId="2515DF57" w14:textId="77777777" w:rsidR="00E44A82" w:rsidRDefault="00E44A82" w:rsidP="00E44A82">
      <w:pPr>
        <w:spacing w:before="120" w:after="120"/>
        <w:rPr>
          <w:sz w:val="22"/>
        </w:rPr>
      </w:pPr>
    </w:p>
    <w:tbl>
      <w:tblPr>
        <w:tblW w:w="9284" w:type="dxa"/>
        <w:tblInd w:w="-567" w:type="dxa"/>
        <w:tblCellMar>
          <w:left w:w="70" w:type="dxa"/>
          <w:right w:w="70" w:type="dxa"/>
        </w:tblCellMar>
        <w:tblLook w:val="00A0" w:firstRow="1" w:lastRow="0" w:firstColumn="1" w:lastColumn="0" w:noHBand="0" w:noVBand="0"/>
      </w:tblPr>
      <w:tblGrid>
        <w:gridCol w:w="637"/>
        <w:gridCol w:w="8647"/>
      </w:tblGrid>
      <w:tr w:rsidR="00E44A82" w14:paraId="6B5AAAE2" w14:textId="77777777" w:rsidTr="0055298F">
        <w:trPr>
          <w:trHeight w:val="282"/>
        </w:trPr>
        <w:tc>
          <w:tcPr>
            <w:tcW w:w="9284" w:type="dxa"/>
            <w:gridSpan w:val="2"/>
            <w:tcBorders>
              <w:top w:val="single" w:sz="4" w:space="0" w:color="auto"/>
              <w:bottom w:val="single" w:sz="4" w:space="0" w:color="auto"/>
            </w:tcBorders>
            <w:noWrap/>
            <w:vAlign w:val="center"/>
          </w:tcPr>
          <w:p w14:paraId="5325C746" w14:textId="77777777" w:rsidR="00E44A82" w:rsidRDefault="00E44A82" w:rsidP="00647044">
            <w:pPr>
              <w:spacing w:before="20" w:after="20"/>
              <w:jc w:val="both"/>
              <w:rPr>
                <w:rFonts w:eastAsia="新細明體" w:cs="Segoe UI"/>
                <w:sz w:val="17"/>
                <w:lang w:eastAsia="fr-FR"/>
              </w:rPr>
            </w:pPr>
            <w:r>
              <w:rPr>
                <w:rFonts w:eastAsia="新細明體" w:cs="Segoe UI"/>
                <w:sz w:val="17"/>
                <w:lang w:eastAsia="fr-FR"/>
              </w:rPr>
              <w:t>An AI should describe its risk management objectives and policies for securitization transactions and main features of these activities according to the framework below (if the AI holds securitization positions that are reflected in both the regulatory banking book and the regulatory trading book, it should describe each of the following points by distinguishing activities in each of the regulatory books):</w:t>
            </w:r>
          </w:p>
        </w:tc>
      </w:tr>
      <w:tr w:rsidR="00E44A82" w14:paraId="33E23623" w14:textId="77777777" w:rsidTr="0055298F">
        <w:trPr>
          <w:trHeight w:val="300"/>
        </w:trPr>
        <w:tc>
          <w:tcPr>
            <w:tcW w:w="637" w:type="dxa"/>
            <w:tcBorders>
              <w:top w:val="single" w:sz="4" w:space="0" w:color="auto"/>
              <w:bottom w:val="single" w:sz="4" w:space="0" w:color="auto"/>
            </w:tcBorders>
            <w:noWrap/>
          </w:tcPr>
          <w:p w14:paraId="105A93DE" w14:textId="77777777" w:rsidR="00E44A82" w:rsidRDefault="00E44A82" w:rsidP="00647044">
            <w:pPr>
              <w:spacing w:before="20" w:after="20"/>
              <w:rPr>
                <w:rFonts w:eastAsia="新細明體" w:cs="Segoe UI"/>
                <w:sz w:val="17"/>
                <w:lang w:eastAsia="fr-FR"/>
              </w:rPr>
            </w:pPr>
            <w:r>
              <w:rPr>
                <w:rFonts w:eastAsia="新細明體" w:cs="Segoe UI"/>
                <w:sz w:val="17"/>
                <w:lang w:eastAsia="fr-FR"/>
              </w:rPr>
              <w:t>(a)</w:t>
            </w:r>
          </w:p>
        </w:tc>
        <w:tc>
          <w:tcPr>
            <w:tcW w:w="8647" w:type="dxa"/>
            <w:tcBorders>
              <w:top w:val="single" w:sz="4" w:space="0" w:color="auto"/>
              <w:bottom w:val="single" w:sz="4" w:space="0" w:color="auto"/>
            </w:tcBorders>
            <w:noWrap/>
            <w:vAlign w:val="bottom"/>
          </w:tcPr>
          <w:p w14:paraId="7DE7778C" w14:textId="77777777" w:rsidR="00E44A82" w:rsidRDefault="00E44A82" w:rsidP="00647044">
            <w:pPr>
              <w:spacing w:before="20" w:after="20"/>
              <w:jc w:val="both"/>
              <w:rPr>
                <w:rFonts w:eastAsia="新細明體" w:cs="Segoe UI"/>
                <w:sz w:val="17"/>
                <w:lang w:eastAsia="ja-JP"/>
              </w:rPr>
            </w:pPr>
            <w:r>
              <w:rPr>
                <w:rFonts w:eastAsia="新細明體" w:cs="Segoe UI"/>
                <w:sz w:val="17"/>
                <w:lang w:eastAsia="fr-FR"/>
              </w:rPr>
              <w:t>Its objectives in relation to securitization transactions, including the extent to which these transactions transfer credit risk of the underlying securitized exposures away from the AI to other entities, the type of risks assumed and the types of risks retained.</w:t>
            </w:r>
          </w:p>
        </w:tc>
      </w:tr>
      <w:tr w:rsidR="00E44A82" w14:paraId="5A3C0FF6" w14:textId="77777777" w:rsidTr="0055298F">
        <w:trPr>
          <w:trHeight w:val="300"/>
        </w:trPr>
        <w:tc>
          <w:tcPr>
            <w:tcW w:w="637" w:type="dxa"/>
            <w:tcBorders>
              <w:top w:val="single" w:sz="4" w:space="0" w:color="auto"/>
              <w:bottom w:val="single" w:sz="4" w:space="0" w:color="auto"/>
            </w:tcBorders>
            <w:noWrap/>
          </w:tcPr>
          <w:p w14:paraId="0843B55C" w14:textId="77777777" w:rsidR="00E44A82" w:rsidRDefault="00E44A82" w:rsidP="00647044">
            <w:pPr>
              <w:spacing w:before="20" w:after="20"/>
              <w:rPr>
                <w:rFonts w:eastAsia="新細明體" w:cs="Segoe UI"/>
                <w:sz w:val="17"/>
                <w:lang w:eastAsia="fr-FR"/>
              </w:rPr>
            </w:pPr>
            <w:r>
              <w:rPr>
                <w:rFonts w:eastAsia="新細明體" w:cs="Segoe UI"/>
                <w:sz w:val="17"/>
                <w:lang w:eastAsia="fr-FR"/>
              </w:rPr>
              <w:t>(b)</w:t>
            </w:r>
          </w:p>
        </w:tc>
        <w:tc>
          <w:tcPr>
            <w:tcW w:w="8647" w:type="dxa"/>
            <w:tcBorders>
              <w:top w:val="single" w:sz="4" w:space="0" w:color="auto"/>
              <w:bottom w:val="single" w:sz="4" w:space="0" w:color="auto"/>
            </w:tcBorders>
            <w:noWrap/>
            <w:vAlign w:val="bottom"/>
          </w:tcPr>
          <w:p w14:paraId="28913954" w14:textId="77777777" w:rsidR="00E44A82" w:rsidRDefault="00E44A82" w:rsidP="00647044">
            <w:pPr>
              <w:spacing w:before="20" w:after="20"/>
              <w:jc w:val="both"/>
              <w:rPr>
                <w:rFonts w:eastAsia="新細明體" w:cs="Segoe UI"/>
                <w:sz w:val="17"/>
                <w:lang w:eastAsia="fr-FR"/>
              </w:rPr>
            </w:pPr>
            <w:r>
              <w:rPr>
                <w:rFonts w:eastAsia="新細明體" w:cs="Segoe UI"/>
                <w:sz w:val="17"/>
                <w:lang w:eastAsia="fr-FR"/>
              </w:rPr>
              <w:t>A list of:</w:t>
            </w:r>
          </w:p>
          <w:p w14:paraId="66511A1D" w14:textId="77777777" w:rsidR="00E44A82" w:rsidRDefault="00E44A82" w:rsidP="008D652E">
            <w:pPr>
              <w:numPr>
                <w:ilvl w:val="0"/>
                <w:numId w:val="15"/>
              </w:numPr>
              <w:spacing w:before="20" w:after="20"/>
              <w:jc w:val="both"/>
              <w:rPr>
                <w:rFonts w:eastAsia="新細明體" w:cs="Segoe UI"/>
                <w:sz w:val="17"/>
                <w:lang w:eastAsia="fr-FR"/>
              </w:rPr>
            </w:pPr>
            <w:r>
              <w:rPr>
                <w:rFonts w:eastAsia="新細明體" w:cs="Segoe UI"/>
                <w:sz w:val="17"/>
                <w:lang w:eastAsia="fr-FR"/>
              </w:rPr>
              <w:t xml:space="preserve">SPEs </w:t>
            </w:r>
            <w:r>
              <w:rPr>
                <w:rFonts w:eastAsia="新細明體" w:cs="Segoe UI"/>
                <w:sz w:val="17"/>
                <w:lang w:eastAsia="ja-JP"/>
              </w:rPr>
              <w:t>where</w:t>
            </w:r>
            <w:r>
              <w:rPr>
                <w:rFonts w:eastAsia="新細明體" w:cs="Segoe UI"/>
                <w:sz w:val="17"/>
                <w:lang w:eastAsia="fr-FR"/>
              </w:rPr>
              <w:t xml:space="preserve"> the AI</w:t>
            </w:r>
            <w:r>
              <w:rPr>
                <w:rFonts w:eastAsia="新細明體" w:cs="Segoe UI"/>
                <w:sz w:val="17"/>
                <w:lang w:eastAsia="ja-JP"/>
              </w:rPr>
              <w:t xml:space="preserve"> acts </w:t>
            </w:r>
            <w:r>
              <w:rPr>
                <w:rFonts w:eastAsia="新細明體" w:cs="Segoe UI"/>
                <w:sz w:val="17"/>
                <w:lang w:eastAsia="fr-FR"/>
              </w:rPr>
              <w:t>as sponsor</w:t>
            </w:r>
            <w:r>
              <w:rPr>
                <w:rFonts w:eastAsia="新細明體" w:cs="Segoe UI"/>
                <w:sz w:val="17"/>
                <w:lang w:eastAsia="ja-JP"/>
              </w:rPr>
              <w:t xml:space="preserve"> (as defined in the BCR</w:t>
            </w:r>
            <w:r>
              <w:rPr>
                <w:rFonts w:eastAsia="新細明體" w:cs="Segoe UI" w:hint="eastAsia"/>
                <w:sz w:val="17"/>
                <w:lang w:eastAsia="zh-TW"/>
              </w:rPr>
              <w:t xml:space="preserve"> </w:t>
            </w:r>
            <w:r>
              <w:rPr>
                <w:rFonts w:ascii="TTE0t00" w:eastAsia="新細明體" w:hAnsi="TTE0t00" w:cs="TTE0t00"/>
                <w:sz w:val="17"/>
                <w:szCs w:val="17"/>
                <w:lang w:val="en-US" w:eastAsia="zh-TW"/>
              </w:rPr>
              <w:t>§</w:t>
            </w:r>
            <w:r>
              <w:rPr>
                <w:rFonts w:eastAsia="新細明體" w:cs="Segoe UI"/>
                <w:sz w:val="17"/>
                <w:lang w:eastAsia="ja-JP"/>
              </w:rPr>
              <w:t>227(1))</w:t>
            </w:r>
            <w:r>
              <w:rPr>
                <w:rFonts w:eastAsia="新細明體" w:cs="Segoe UI"/>
                <w:sz w:val="17"/>
                <w:lang w:eastAsia="fr-FR"/>
              </w:rPr>
              <w:t xml:space="preserve">, </w:t>
            </w:r>
            <w:r>
              <w:rPr>
                <w:rFonts w:eastAsia="新細明體" w:cs="Segoe UI"/>
                <w:sz w:val="17"/>
                <w:lang w:eastAsia="ja-JP"/>
              </w:rPr>
              <w:t>i</w:t>
            </w:r>
            <w:r>
              <w:rPr>
                <w:rFonts w:eastAsia="新細明體" w:cs="Segoe UI"/>
                <w:sz w:val="17"/>
                <w:lang w:eastAsia="fr-FR"/>
              </w:rPr>
              <w:t xml:space="preserve">ndicating whether the AI </w:t>
            </w:r>
            <w:r>
              <w:rPr>
                <w:rFonts w:eastAsia="新細明體" w:cs="Segoe UI"/>
                <w:sz w:val="17"/>
                <w:lang w:eastAsia="ja-JP"/>
              </w:rPr>
              <w:t xml:space="preserve">consolidates </w:t>
            </w:r>
            <w:r>
              <w:rPr>
                <w:rFonts w:eastAsia="新細明體" w:cs="Segoe UI"/>
                <w:sz w:val="17"/>
                <w:lang w:eastAsia="fr-FR"/>
              </w:rPr>
              <w:t>the SPEs into its scope of regulatory consolidation;</w:t>
            </w:r>
          </w:p>
          <w:p w14:paraId="5063B921" w14:textId="77777777" w:rsidR="00E44A82" w:rsidRDefault="00E44A82" w:rsidP="008D652E">
            <w:pPr>
              <w:numPr>
                <w:ilvl w:val="0"/>
                <w:numId w:val="15"/>
              </w:numPr>
              <w:spacing w:before="20" w:after="20"/>
              <w:jc w:val="both"/>
              <w:rPr>
                <w:rFonts w:eastAsia="新細明體" w:cs="Segoe UI"/>
                <w:sz w:val="17"/>
                <w:lang w:eastAsia="fr-FR"/>
              </w:rPr>
            </w:pPr>
            <w:r>
              <w:rPr>
                <w:rFonts w:eastAsia="新細明體" w:cs="Segoe UI"/>
                <w:sz w:val="17"/>
                <w:lang w:eastAsia="fr-FR"/>
              </w:rPr>
              <w:lastRenderedPageBreak/>
              <w:t>affiliated entities (i) that the AI manages or advises and (ii) that invest either in the securitization exposures that the AI has securitized or in SPEs that the AI sponsors; and</w:t>
            </w:r>
          </w:p>
          <w:p w14:paraId="1CC204BA" w14:textId="77777777" w:rsidR="00E44A82" w:rsidRDefault="00E44A82" w:rsidP="008D652E">
            <w:pPr>
              <w:numPr>
                <w:ilvl w:val="0"/>
                <w:numId w:val="15"/>
              </w:numPr>
              <w:spacing w:before="20" w:after="20"/>
              <w:jc w:val="both"/>
              <w:rPr>
                <w:rFonts w:eastAsia="新細明體" w:cs="Segoe UI"/>
                <w:sz w:val="17"/>
                <w:lang w:eastAsia="fr-FR"/>
              </w:rPr>
            </w:pPr>
            <w:r>
              <w:rPr>
                <w:rFonts w:eastAsia="新細明體" w:cs="Segoe UI"/>
                <w:sz w:val="17"/>
                <w:lang w:eastAsia="fr-FR"/>
              </w:rPr>
              <w:t>entities to which the AI provides implicit support and the associated capital impact for each of them.</w:t>
            </w:r>
          </w:p>
        </w:tc>
      </w:tr>
      <w:tr w:rsidR="00E44A82" w14:paraId="663806F6" w14:textId="77777777" w:rsidTr="0055298F">
        <w:trPr>
          <w:trHeight w:val="300"/>
        </w:trPr>
        <w:tc>
          <w:tcPr>
            <w:tcW w:w="637" w:type="dxa"/>
            <w:tcBorders>
              <w:top w:val="single" w:sz="4" w:space="0" w:color="auto"/>
              <w:bottom w:val="single" w:sz="4" w:space="0" w:color="auto"/>
            </w:tcBorders>
            <w:noWrap/>
          </w:tcPr>
          <w:p w14:paraId="4D3D39A4" w14:textId="77777777" w:rsidR="00E44A82" w:rsidRDefault="00E44A82" w:rsidP="00647044">
            <w:pPr>
              <w:spacing w:before="20" w:after="20"/>
              <w:rPr>
                <w:rFonts w:eastAsia="新細明體" w:cs="Segoe UI"/>
                <w:sz w:val="17"/>
                <w:lang w:eastAsia="fr-FR"/>
              </w:rPr>
            </w:pPr>
            <w:r>
              <w:rPr>
                <w:rFonts w:eastAsia="新細明體" w:cs="Segoe UI"/>
                <w:sz w:val="17"/>
                <w:lang w:eastAsia="fr-FR"/>
              </w:rPr>
              <w:lastRenderedPageBreak/>
              <w:t>(c)</w:t>
            </w:r>
          </w:p>
        </w:tc>
        <w:tc>
          <w:tcPr>
            <w:tcW w:w="8647" w:type="dxa"/>
            <w:tcBorders>
              <w:top w:val="single" w:sz="4" w:space="0" w:color="auto"/>
              <w:bottom w:val="single" w:sz="4" w:space="0" w:color="auto"/>
            </w:tcBorders>
            <w:noWrap/>
            <w:vAlign w:val="bottom"/>
          </w:tcPr>
          <w:p w14:paraId="40D92A49" w14:textId="77777777" w:rsidR="00E44A82" w:rsidRDefault="00E44A82" w:rsidP="00647044">
            <w:pPr>
              <w:spacing w:before="20" w:after="20"/>
              <w:jc w:val="both"/>
              <w:rPr>
                <w:rFonts w:eastAsia="新細明體" w:cs="Segoe UI"/>
                <w:sz w:val="17"/>
                <w:lang w:eastAsia="fr-FR"/>
              </w:rPr>
            </w:pPr>
            <w:r>
              <w:rPr>
                <w:rFonts w:eastAsia="新細明體" w:cs="Segoe UI"/>
                <w:sz w:val="17"/>
                <w:lang w:eastAsia="fr-FR"/>
              </w:rPr>
              <w:t>Summary of the AI’s accounting policies for securitization transactions.  Where relevant, the AI should distinguish securitization exposures from re-securitization exposures.</w:t>
            </w:r>
          </w:p>
        </w:tc>
      </w:tr>
      <w:tr w:rsidR="00E44A82" w14:paraId="314ACACD" w14:textId="77777777" w:rsidTr="0055298F">
        <w:trPr>
          <w:trHeight w:val="495"/>
        </w:trPr>
        <w:tc>
          <w:tcPr>
            <w:tcW w:w="637" w:type="dxa"/>
            <w:tcBorders>
              <w:top w:val="single" w:sz="4" w:space="0" w:color="auto"/>
              <w:bottom w:val="single" w:sz="4" w:space="0" w:color="auto"/>
            </w:tcBorders>
            <w:noWrap/>
          </w:tcPr>
          <w:p w14:paraId="0E700069" w14:textId="77777777" w:rsidR="00E44A82" w:rsidRDefault="00E44A82" w:rsidP="00647044">
            <w:pPr>
              <w:spacing w:before="20" w:after="20"/>
              <w:rPr>
                <w:rFonts w:eastAsia="新細明體" w:cs="Segoe UI"/>
                <w:sz w:val="17"/>
                <w:lang w:eastAsia="fr-FR"/>
              </w:rPr>
            </w:pPr>
            <w:r>
              <w:rPr>
                <w:rFonts w:eastAsia="新細明體" w:cs="Segoe UI"/>
                <w:sz w:val="17"/>
                <w:lang w:eastAsia="fr-FR"/>
              </w:rPr>
              <w:t>(d)</w:t>
            </w:r>
          </w:p>
        </w:tc>
        <w:tc>
          <w:tcPr>
            <w:tcW w:w="8647" w:type="dxa"/>
            <w:tcBorders>
              <w:top w:val="single" w:sz="4" w:space="0" w:color="auto"/>
              <w:bottom w:val="single" w:sz="4" w:space="0" w:color="auto"/>
            </w:tcBorders>
            <w:noWrap/>
            <w:vAlign w:val="bottom"/>
          </w:tcPr>
          <w:p w14:paraId="79CC64FA" w14:textId="77777777" w:rsidR="00E44A82" w:rsidRDefault="00E44A82" w:rsidP="00647044">
            <w:pPr>
              <w:spacing w:before="20" w:after="20"/>
              <w:jc w:val="both"/>
              <w:rPr>
                <w:rFonts w:eastAsia="新細明體" w:cs="Segoe UI"/>
                <w:sz w:val="17"/>
                <w:lang w:eastAsia="fr-FR"/>
              </w:rPr>
            </w:pPr>
            <w:r>
              <w:rPr>
                <w:rFonts w:eastAsia="新細明體" w:cs="Segoe UI"/>
                <w:sz w:val="17"/>
                <w:lang w:eastAsia="ja-JP"/>
              </w:rPr>
              <w:t>If applicable, t</w:t>
            </w:r>
            <w:r>
              <w:rPr>
                <w:rFonts w:eastAsia="新細明體" w:cs="Segoe UI"/>
                <w:sz w:val="17"/>
                <w:lang w:eastAsia="fr-FR"/>
              </w:rPr>
              <w:t>he names of ECAIs used for securitizations and the types of securitization exposure for which each ECAI is used.</w:t>
            </w:r>
          </w:p>
        </w:tc>
      </w:tr>
      <w:tr w:rsidR="00E44A82" w14:paraId="11F57B5F" w14:textId="77777777" w:rsidTr="0055298F">
        <w:trPr>
          <w:trHeight w:val="495"/>
        </w:trPr>
        <w:tc>
          <w:tcPr>
            <w:tcW w:w="637" w:type="dxa"/>
            <w:tcBorders>
              <w:top w:val="single" w:sz="4" w:space="0" w:color="auto"/>
              <w:bottom w:val="single" w:sz="4" w:space="0" w:color="auto"/>
            </w:tcBorders>
            <w:noWrap/>
          </w:tcPr>
          <w:p w14:paraId="1D52D73E" w14:textId="77777777" w:rsidR="00E44A82" w:rsidRDefault="00E44A82" w:rsidP="00647044">
            <w:pPr>
              <w:spacing w:before="20" w:after="20"/>
              <w:rPr>
                <w:rFonts w:eastAsia="新細明體" w:cs="Segoe UI"/>
                <w:sz w:val="17"/>
                <w:lang w:eastAsia="fr-FR"/>
              </w:rPr>
            </w:pPr>
            <w:r>
              <w:rPr>
                <w:rFonts w:eastAsia="新細明體" w:cs="Segoe UI"/>
                <w:sz w:val="17"/>
                <w:lang w:eastAsia="fr-FR"/>
              </w:rPr>
              <w:t>(e)</w:t>
            </w:r>
          </w:p>
        </w:tc>
        <w:tc>
          <w:tcPr>
            <w:tcW w:w="8647" w:type="dxa"/>
            <w:tcBorders>
              <w:top w:val="single" w:sz="4" w:space="0" w:color="auto"/>
              <w:bottom w:val="single" w:sz="4" w:space="0" w:color="auto"/>
            </w:tcBorders>
            <w:noWrap/>
            <w:vAlign w:val="bottom"/>
          </w:tcPr>
          <w:p w14:paraId="0E1824EB" w14:textId="77777777" w:rsidR="00E44A82" w:rsidRPr="00EC1833" w:rsidRDefault="00E44A82" w:rsidP="00647044">
            <w:pPr>
              <w:spacing w:before="20" w:after="20"/>
              <w:jc w:val="both"/>
              <w:rPr>
                <w:rFonts w:eastAsia="新細明體" w:cs="Segoe UI"/>
                <w:sz w:val="17"/>
                <w:lang w:eastAsia="ja-JP"/>
              </w:rPr>
            </w:pPr>
            <w:r w:rsidRPr="00EC1833">
              <w:rPr>
                <w:rFonts w:eastAsia="新細明體" w:cs="Segoe UI"/>
                <w:sz w:val="17"/>
                <w:lang w:eastAsia="ja-JP"/>
              </w:rPr>
              <w:t>If applicable, describe the process for implementing internal assessment approach (</w:t>
            </w:r>
            <w:r>
              <w:rPr>
                <w:rFonts w:eastAsia="新細明體" w:cs="Segoe UI"/>
                <w:sz w:val="17"/>
                <w:lang w:eastAsia="ja-JP"/>
              </w:rPr>
              <w:t>“</w:t>
            </w:r>
            <w:r w:rsidRPr="00EC1833">
              <w:rPr>
                <w:rFonts w:eastAsia="新細明體" w:cs="Segoe UI"/>
                <w:sz w:val="17"/>
                <w:lang w:eastAsia="ja-JP"/>
              </w:rPr>
              <w:t>IAA</w:t>
            </w:r>
            <w:r>
              <w:rPr>
                <w:rFonts w:eastAsia="新細明體" w:cs="Segoe UI"/>
                <w:sz w:val="17"/>
                <w:lang w:eastAsia="ja-JP"/>
              </w:rPr>
              <w:t>”</w:t>
            </w:r>
            <w:r w:rsidRPr="00EC1833">
              <w:rPr>
                <w:rFonts w:eastAsia="新細明體" w:cs="Segoe UI"/>
                <w:sz w:val="17"/>
                <w:lang w:eastAsia="ja-JP"/>
              </w:rPr>
              <w:t>)</w:t>
            </w:r>
            <w:r>
              <w:rPr>
                <w:rFonts w:eastAsia="新細明體" w:cs="Segoe UI"/>
                <w:sz w:val="17"/>
                <w:lang w:eastAsia="ja-JP"/>
              </w:rPr>
              <w:t xml:space="preserve"> under the BCR</w:t>
            </w:r>
            <w:r w:rsidRPr="00EC1833">
              <w:rPr>
                <w:rFonts w:eastAsia="新細明體" w:cs="Segoe UI"/>
                <w:sz w:val="17"/>
                <w:lang w:eastAsia="ja-JP"/>
              </w:rPr>
              <w:t xml:space="preserve">. </w:t>
            </w:r>
            <w:r>
              <w:rPr>
                <w:rFonts w:eastAsia="新細明體" w:cs="Segoe UI"/>
                <w:sz w:val="17"/>
                <w:lang w:eastAsia="ja-JP"/>
              </w:rPr>
              <w:t xml:space="preserve"> </w:t>
            </w:r>
            <w:r w:rsidRPr="00EC1833">
              <w:rPr>
                <w:rFonts w:eastAsia="新細明體" w:cs="Segoe UI"/>
                <w:sz w:val="17"/>
                <w:lang w:eastAsia="ja-JP"/>
              </w:rPr>
              <w:t>The description should include:</w:t>
            </w:r>
          </w:p>
          <w:p w14:paraId="4F4CF21C" w14:textId="77777777" w:rsidR="00E44A82" w:rsidRPr="00EC1833" w:rsidRDefault="00E44A82" w:rsidP="008D652E">
            <w:pPr>
              <w:pStyle w:val="ListParagraph"/>
              <w:numPr>
                <w:ilvl w:val="0"/>
                <w:numId w:val="18"/>
              </w:numPr>
              <w:spacing w:before="20" w:after="20"/>
              <w:ind w:leftChars="0" w:left="356" w:hanging="356"/>
              <w:jc w:val="both"/>
              <w:rPr>
                <w:rFonts w:eastAsia="新細明體" w:cs="Segoe UI"/>
                <w:sz w:val="17"/>
                <w:lang w:eastAsia="ja-JP"/>
              </w:rPr>
            </w:pPr>
            <w:r w:rsidRPr="00EC1833">
              <w:rPr>
                <w:rFonts w:eastAsia="新細明體" w:cs="Segoe UI"/>
                <w:sz w:val="17"/>
                <w:lang w:eastAsia="ja-JP"/>
              </w:rPr>
              <w:t>structure of the internal assessment process and relation between internal assessment and external ratings, including information on ECAIs as referenced in item (d)</w:t>
            </w:r>
            <w:r>
              <w:rPr>
                <w:rFonts w:eastAsia="新細明體" w:cs="Segoe UI"/>
                <w:sz w:val="17"/>
                <w:lang w:eastAsia="ja-JP"/>
              </w:rPr>
              <w:t xml:space="preserve"> above</w:t>
            </w:r>
            <w:r w:rsidRPr="00EC1833">
              <w:rPr>
                <w:rFonts w:eastAsia="新細明體" w:cs="Segoe UI"/>
                <w:sz w:val="17"/>
                <w:lang w:eastAsia="ja-JP"/>
              </w:rPr>
              <w:t xml:space="preserve"> of this table;</w:t>
            </w:r>
          </w:p>
          <w:p w14:paraId="55F0F27D" w14:textId="77777777" w:rsidR="00E44A82" w:rsidRPr="00EC1833" w:rsidRDefault="00E44A82" w:rsidP="008D652E">
            <w:pPr>
              <w:pStyle w:val="ListParagraph"/>
              <w:numPr>
                <w:ilvl w:val="0"/>
                <w:numId w:val="18"/>
              </w:numPr>
              <w:spacing w:before="20" w:after="20"/>
              <w:ind w:leftChars="0" w:left="356" w:hanging="356"/>
              <w:jc w:val="both"/>
              <w:rPr>
                <w:rFonts w:eastAsia="新細明體" w:cs="Segoe UI"/>
                <w:sz w:val="17"/>
                <w:lang w:eastAsia="ja-JP"/>
              </w:rPr>
            </w:pPr>
            <w:r w:rsidRPr="00EC1833">
              <w:rPr>
                <w:rFonts w:eastAsia="新細明體" w:cs="Segoe UI"/>
                <w:sz w:val="17"/>
                <w:lang w:eastAsia="ja-JP"/>
              </w:rPr>
              <w:t>control mechanisms for the internal assessment process including discussion of independence, accountability, and internal assessment process review; and</w:t>
            </w:r>
          </w:p>
          <w:p w14:paraId="179388D8" w14:textId="77777777" w:rsidR="00E44A82" w:rsidRDefault="00E44A82" w:rsidP="008D652E">
            <w:pPr>
              <w:pStyle w:val="ListParagraph"/>
              <w:numPr>
                <w:ilvl w:val="0"/>
                <w:numId w:val="18"/>
              </w:numPr>
              <w:spacing w:before="20" w:after="20"/>
              <w:ind w:leftChars="0" w:left="356" w:hanging="356"/>
              <w:jc w:val="both"/>
              <w:rPr>
                <w:rFonts w:eastAsia="新細明體" w:cs="Segoe UI"/>
                <w:sz w:val="17"/>
                <w:lang w:eastAsia="ja-JP"/>
              </w:rPr>
            </w:pPr>
            <w:r w:rsidRPr="00EC1833">
              <w:rPr>
                <w:rFonts w:eastAsia="新細明體" w:cs="Segoe UI"/>
                <w:sz w:val="17"/>
                <w:lang w:eastAsia="ja-JP"/>
              </w:rPr>
              <w:t>the exposure type to which the internal assessment process is applied; and stress factors used for determining credit enhancement levels, by exposure type.</w:t>
            </w:r>
          </w:p>
        </w:tc>
      </w:tr>
      <w:tr w:rsidR="00E44A82" w14:paraId="105DA12F" w14:textId="77777777" w:rsidTr="0055298F">
        <w:trPr>
          <w:trHeight w:val="229"/>
        </w:trPr>
        <w:tc>
          <w:tcPr>
            <w:tcW w:w="637" w:type="dxa"/>
            <w:tcBorders>
              <w:top w:val="single" w:sz="4" w:space="0" w:color="auto"/>
              <w:bottom w:val="single" w:sz="4" w:space="0" w:color="auto"/>
            </w:tcBorders>
            <w:noWrap/>
          </w:tcPr>
          <w:p w14:paraId="118AA822" w14:textId="77777777" w:rsidR="00E44A82" w:rsidRDefault="00E44A82" w:rsidP="00647044">
            <w:pPr>
              <w:spacing w:before="20" w:after="20"/>
              <w:rPr>
                <w:rFonts w:eastAsia="新細明體" w:cs="Segoe UI"/>
                <w:sz w:val="17"/>
                <w:lang w:eastAsia="fr-FR"/>
              </w:rPr>
            </w:pPr>
            <w:r>
              <w:rPr>
                <w:rFonts w:eastAsia="新細明體" w:cs="Segoe UI"/>
                <w:sz w:val="17"/>
                <w:lang w:eastAsia="fr-FR"/>
              </w:rPr>
              <w:t>(f)</w:t>
            </w:r>
          </w:p>
        </w:tc>
        <w:tc>
          <w:tcPr>
            <w:tcW w:w="8647" w:type="dxa"/>
            <w:tcBorders>
              <w:top w:val="single" w:sz="4" w:space="0" w:color="auto"/>
              <w:bottom w:val="single" w:sz="4" w:space="0" w:color="auto"/>
            </w:tcBorders>
            <w:noWrap/>
            <w:vAlign w:val="bottom"/>
          </w:tcPr>
          <w:p w14:paraId="0F60D1CF" w14:textId="77777777" w:rsidR="00E44A82" w:rsidRDefault="00E44A82" w:rsidP="00647044">
            <w:pPr>
              <w:spacing w:before="20" w:after="20"/>
              <w:jc w:val="both"/>
              <w:rPr>
                <w:rFonts w:eastAsia="新細明體" w:cs="Segoe UI"/>
                <w:sz w:val="17"/>
                <w:lang w:eastAsia="ja-JP"/>
              </w:rPr>
            </w:pPr>
            <w:r>
              <w:rPr>
                <w:rFonts w:eastAsia="新細明體" w:cs="Segoe UI"/>
                <w:sz w:val="17"/>
                <w:lang w:eastAsia="ja-JP"/>
              </w:rPr>
              <w:t>A</w:t>
            </w:r>
            <w:r w:rsidRPr="00EC1833">
              <w:rPr>
                <w:rFonts w:eastAsia="新細明體" w:cs="Segoe UI"/>
                <w:sz w:val="17"/>
                <w:lang w:eastAsia="ja-JP"/>
              </w:rPr>
              <w:t xml:space="preserve"> descri</w:t>
            </w:r>
            <w:r>
              <w:rPr>
                <w:rFonts w:eastAsia="新細明體" w:cs="Segoe UI"/>
                <w:sz w:val="17"/>
                <w:lang w:eastAsia="ja-JP"/>
              </w:rPr>
              <w:t>ption of</w:t>
            </w:r>
            <w:r w:rsidRPr="00EC1833">
              <w:rPr>
                <w:rFonts w:eastAsia="新細明體" w:cs="Segoe UI"/>
                <w:sz w:val="17"/>
                <w:lang w:eastAsia="ja-JP"/>
              </w:rPr>
              <w:t xml:space="preserve"> the use of internal assessment</w:t>
            </w:r>
            <w:r>
              <w:rPr>
                <w:rFonts w:eastAsia="新細明體" w:cs="Segoe UI"/>
                <w:sz w:val="17"/>
                <w:lang w:eastAsia="ja-JP"/>
              </w:rPr>
              <w:t>,</w:t>
            </w:r>
            <w:r w:rsidRPr="00EC1833">
              <w:rPr>
                <w:rFonts w:eastAsia="新細明體" w:cs="Segoe UI"/>
                <w:sz w:val="17"/>
                <w:lang w:eastAsia="ja-JP"/>
              </w:rPr>
              <w:t xml:space="preserve"> other than for IAA capital purposes</w:t>
            </w:r>
            <w:r>
              <w:rPr>
                <w:rFonts w:eastAsia="新細明體" w:cs="Segoe UI"/>
                <w:sz w:val="17"/>
                <w:lang w:eastAsia="ja-JP"/>
              </w:rPr>
              <w:t>, by the AI</w:t>
            </w:r>
            <w:r w:rsidRPr="00EC1833">
              <w:rPr>
                <w:rFonts w:eastAsia="新細明體" w:cs="Segoe UI"/>
                <w:sz w:val="17"/>
                <w:lang w:eastAsia="ja-JP"/>
              </w:rPr>
              <w:t>.</w:t>
            </w:r>
          </w:p>
        </w:tc>
      </w:tr>
    </w:tbl>
    <w:p w14:paraId="0D2C766A" w14:textId="4F8E4366" w:rsidR="00A81D4D" w:rsidRDefault="00A81D4D" w:rsidP="00E44A82">
      <w:pPr>
        <w:rPr>
          <w:sz w:val="22"/>
        </w:rPr>
      </w:pPr>
    </w:p>
    <w:p w14:paraId="3C06117E" w14:textId="77777777" w:rsidR="00A81D4D" w:rsidRDefault="00A81D4D" w:rsidP="00E44A82">
      <w:pPr>
        <w:rPr>
          <w:rFonts w:eastAsia="新細明體"/>
          <w:lang w:eastAsia="zh-TW"/>
        </w:rPr>
        <w:sectPr w:rsidR="00A81D4D">
          <w:footerReference w:type="default" r:id="rId72"/>
          <w:pgSz w:w="11906" w:h="16838" w:code="9"/>
          <w:pgMar w:top="1440" w:right="1416" w:bottom="1440" w:left="1797" w:header="851" w:footer="737" w:gutter="0"/>
          <w:cols w:space="425"/>
          <w:docGrid w:type="linesAndChars" w:linePitch="360"/>
        </w:sectPr>
      </w:pPr>
    </w:p>
    <w:p w14:paraId="773E8943" w14:textId="77777777" w:rsidR="00E44A82" w:rsidRPr="00027D14" w:rsidRDefault="00E44A82" w:rsidP="003B0A32">
      <w:pPr>
        <w:pStyle w:val="IndentedHeading2"/>
        <w:rPr>
          <w:b w:val="0"/>
        </w:rPr>
      </w:pPr>
      <w:r w:rsidRPr="00027D14">
        <w:rPr>
          <w:b w:val="0"/>
        </w:rPr>
        <w:lastRenderedPageBreak/>
        <w:t xml:space="preserve">I. </w:t>
      </w:r>
      <w:r w:rsidRPr="00027D14">
        <w:rPr>
          <w:b w:val="0"/>
        </w:rPr>
        <w:tab/>
        <w:t>Quantitative disclosure – description of securitization exposures</w:t>
      </w:r>
    </w:p>
    <w:p w14:paraId="2C8C45ED" w14:textId="4EE00750" w:rsidR="00E44A82" w:rsidRDefault="00A81D4D" w:rsidP="00027D14">
      <w:pPr>
        <w:pStyle w:val="Heading3"/>
        <w:ind w:left="170"/>
      </w:pPr>
      <w:r>
        <w:t>Template SEC1: Securitization exposures in banking book</w:t>
      </w:r>
    </w:p>
    <w:tbl>
      <w:tblPr>
        <w:tblW w:w="13892" w:type="dxa"/>
        <w:tblInd w:w="108"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552"/>
        <w:gridCol w:w="11340"/>
      </w:tblGrid>
      <w:tr w:rsidR="00A81D4D" w14:paraId="5979CB26" w14:textId="77777777" w:rsidTr="006C63B0">
        <w:tc>
          <w:tcPr>
            <w:tcW w:w="2552" w:type="dxa"/>
          </w:tcPr>
          <w:p w14:paraId="3180E31C" w14:textId="77777777" w:rsidR="00A81D4D" w:rsidRDefault="00A81D4D" w:rsidP="006C63B0">
            <w:pPr>
              <w:spacing w:before="40" w:after="40"/>
              <w:rPr>
                <w:noProof/>
                <w:sz w:val="17"/>
                <w:szCs w:val="17"/>
                <w:lang w:eastAsia="en-GB"/>
              </w:rPr>
            </w:pPr>
            <w:r>
              <w:rPr>
                <w:b/>
                <w:sz w:val="17"/>
                <w:szCs w:val="17"/>
                <w:lang w:eastAsia="en-GB"/>
              </w:rPr>
              <w:t>Purpose:</w:t>
            </w:r>
          </w:p>
        </w:tc>
        <w:tc>
          <w:tcPr>
            <w:tcW w:w="11340" w:type="dxa"/>
          </w:tcPr>
          <w:p w14:paraId="38957A18" w14:textId="77777777" w:rsidR="00A81D4D" w:rsidRDefault="00A81D4D" w:rsidP="006C63B0">
            <w:pPr>
              <w:spacing w:before="40" w:after="40"/>
              <w:jc w:val="both"/>
              <w:rPr>
                <w:rFonts w:eastAsia="新細明體"/>
                <w:sz w:val="17"/>
                <w:lang w:eastAsia="en-GB"/>
              </w:rPr>
            </w:pPr>
            <w:r>
              <w:rPr>
                <w:rFonts w:eastAsia="新細明體"/>
                <w:sz w:val="17"/>
                <w:lang w:eastAsia="en-GB"/>
              </w:rPr>
              <w:t>To present a breakdown of securitization exposures in the banking book (regardless of whether the exposures arising from eligible securitization transactions o</w:t>
            </w:r>
            <w:r w:rsidRPr="006057B8">
              <w:rPr>
                <w:rFonts w:eastAsia="新細明體"/>
                <w:sz w:val="17"/>
                <w:lang w:eastAsia="en-GB"/>
              </w:rPr>
              <w:t>r non-eligible securitization transaction</w:t>
            </w:r>
            <w:r>
              <w:rPr>
                <w:rFonts w:eastAsia="新細明體"/>
                <w:sz w:val="17"/>
                <w:lang w:eastAsia="en-GB"/>
              </w:rPr>
              <w:t>s)</w:t>
            </w:r>
            <w:r w:rsidRPr="006057B8">
              <w:rPr>
                <w:rFonts w:eastAsia="新細明體"/>
                <w:sz w:val="17"/>
                <w:lang w:eastAsia="en-GB"/>
              </w:rPr>
              <w:t>.</w:t>
            </w:r>
          </w:p>
        </w:tc>
      </w:tr>
      <w:tr w:rsidR="00A81D4D" w14:paraId="0F365C3D" w14:textId="77777777" w:rsidTr="006C63B0">
        <w:tc>
          <w:tcPr>
            <w:tcW w:w="2552" w:type="dxa"/>
          </w:tcPr>
          <w:p w14:paraId="3073683E" w14:textId="77777777" w:rsidR="00A81D4D" w:rsidRDefault="00A81D4D" w:rsidP="006C63B0">
            <w:pPr>
              <w:spacing w:before="40" w:after="40"/>
              <w:rPr>
                <w:b/>
                <w:sz w:val="17"/>
                <w:szCs w:val="17"/>
                <w:lang w:eastAsia="en-GB"/>
              </w:rPr>
            </w:pPr>
            <w:r>
              <w:rPr>
                <w:b/>
                <w:sz w:val="17"/>
                <w:szCs w:val="17"/>
                <w:lang w:eastAsia="en-GB"/>
              </w:rPr>
              <w:t>Scope of application:</w:t>
            </w:r>
          </w:p>
        </w:tc>
        <w:tc>
          <w:tcPr>
            <w:tcW w:w="11340" w:type="dxa"/>
          </w:tcPr>
          <w:p w14:paraId="5672DA87" w14:textId="77777777" w:rsidR="00A81D4D" w:rsidRDefault="00A81D4D" w:rsidP="006C63B0">
            <w:pPr>
              <w:spacing w:before="40" w:after="40"/>
              <w:jc w:val="both"/>
              <w:rPr>
                <w:rFonts w:eastAsia="新細明體"/>
                <w:b/>
                <w:sz w:val="17"/>
                <w:lang w:eastAsia="en-GB"/>
              </w:rPr>
            </w:pPr>
            <w:r>
              <w:rPr>
                <w:rFonts w:eastAsia="新細明體"/>
                <w:sz w:val="17"/>
                <w:lang w:eastAsia="en-GB"/>
              </w:rPr>
              <w:t>The template is mandatory for AIs</w:t>
            </w:r>
            <w:r>
              <w:rPr>
                <w:sz w:val="17"/>
                <w:lang w:eastAsia="en-GB"/>
              </w:rPr>
              <w:t xml:space="preserve"> incorporated in Hong Kong</w:t>
            </w:r>
            <w:r>
              <w:rPr>
                <w:rFonts w:eastAsia="新細明體"/>
                <w:sz w:val="17"/>
                <w:lang w:eastAsia="en-GB"/>
              </w:rPr>
              <w:t xml:space="preserve"> with securitization exposures in the banking book.</w:t>
            </w:r>
          </w:p>
        </w:tc>
      </w:tr>
      <w:tr w:rsidR="00A81D4D" w14:paraId="39D877CE" w14:textId="77777777" w:rsidTr="006C63B0">
        <w:trPr>
          <w:trHeight w:val="275"/>
        </w:trPr>
        <w:tc>
          <w:tcPr>
            <w:tcW w:w="2552" w:type="dxa"/>
          </w:tcPr>
          <w:p w14:paraId="337D58EB" w14:textId="77777777" w:rsidR="00A81D4D" w:rsidRDefault="00A81D4D" w:rsidP="006C63B0">
            <w:pPr>
              <w:spacing w:before="40" w:after="40"/>
              <w:rPr>
                <w:b/>
                <w:sz w:val="17"/>
                <w:szCs w:val="17"/>
                <w:lang w:eastAsia="en-GB"/>
              </w:rPr>
            </w:pPr>
            <w:r>
              <w:rPr>
                <w:b/>
                <w:sz w:val="17"/>
                <w:szCs w:val="17"/>
                <w:lang w:eastAsia="en-GB"/>
              </w:rPr>
              <w:t>Content:</w:t>
            </w:r>
          </w:p>
        </w:tc>
        <w:tc>
          <w:tcPr>
            <w:tcW w:w="11340" w:type="dxa"/>
          </w:tcPr>
          <w:p w14:paraId="6AC8F128" w14:textId="77777777" w:rsidR="00A81D4D" w:rsidRDefault="00A81D4D" w:rsidP="006C63B0">
            <w:pPr>
              <w:spacing w:before="40" w:after="40"/>
              <w:jc w:val="both"/>
              <w:rPr>
                <w:rFonts w:eastAsia="新細明體"/>
                <w:b/>
                <w:sz w:val="17"/>
                <w:lang w:eastAsia="en-GB"/>
              </w:rPr>
            </w:pPr>
            <w:r>
              <w:rPr>
                <w:rFonts w:eastAsia="新細明體"/>
                <w:sz w:val="17"/>
                <w:lang w:eastAsia="en-GB"/>
              </w:rPr>
              <w:t xml:space="preserve">Carrying values.  For the purpose of this template, securitization exposures are those defined under the BCR, including those arising from non-eligible securitization transactions. </w:t>
            </w:r>
          </w:p>
        </w:tc>
      </w:tr>
      <w:tr w:rsidR="00A81D4D" w14:paraId="2181EA3B" w14:textId="77777777" w:rsidTr="006C63B0">
        <w:tc>
          <w:tcPr>
            <w:tcW w:w="2552" w:type="dxa"/>
          </w:tcPr>
          <w:p w14:paraId="4078DF72" w14:textId="77777777" w:rsidR="00A81D4D" w:rsidRDefault="00A81D4D" w:rsidP="006C63B0">
            <w:pPr>
              <w:spacing w:before="40" w:after="40"/>
              <w:rPr>
                <w:sz w:val="17"/>
                <w:szCs w:val="17"/>
                <w:lang w:eastAsia="en-GB"/>
              </w:rPr>
            </w:pPr>
            <w:r>
              <w:rPr>
                <w:b/>
                <w:sz w:val="17"/>
                <w:szCs w:val="17"/>
                <w:lang w:eastAsia="en-GB"/>
              </w:rPr>
              <w:t>Frequency:</w:t>
            </w:r>
          </w:p>
        </w:tc>
        <w:tc>
          <w:tcPr>
            <w:tcW w:w="11340" w:type="dxa"/>
          </w:tcPr>
          <w:p w14:paraId="7820E86F" w14:textId="77777777" w:rsidR="00A81D4D" w:rsidRDefault="00A81D4D" w:rsidP="006C63B0">
            <w:pPr>
              <w:spacing w:before="40" w:after="40"/>
              <w:jc w:val="both"/>
              <w:rPr>
                <w:rFonts w:eastAsia="新細明體"/>
                <w:sz w:val="17"/>
                <w:lang w:eastAsia="en-GB"/>
              </w:rPr>
            </w:pPr>
            <w:r>
              <w:rPr>
                <w:rFonts w:eastAsia="新細明體"/>
                <w:sz w:val="17"/>
                <w:lang w:eastAsia="en-GB"/>
              </w:rPr>
              <w:t>Semi-annual.</w:t>
            </w:r>
          </w:p>
        </w:tc>
      </w:tr>
      <w:tr w:rsidR="00A81D4D" w14:paraId="7F4A7150" w14:textId="77777777" w:rsidTr="006C63B0">
        <w:tc>
          <w:tcPr>
            <w:tcW w:w="2552" w:type="dxa"/>
          </w:tcPr>
          <w:p w14:paraId="10038F4F" w14:textId="77777777" w:rsidR="00A81D4D" w:rsidRDefault="00A81D4D" w:rsidP="006C63B0">
            <w:pPr>
              <w:spacing w:before="40" w:after="40"/>
              <w:rPr>
                <w:sz w:val="17"/>
                <w:szCs w:val="17"/>
                <w:lang w:eastAsia="en-GB"/>
              </w:rPr>
            </w:pPr>
            <w:r>
              <w:rPr>
                <w:b/>
                <w:sz w:val="17"/>
                <w:szCs w:val="17"/>
                <w:lang w:eastAsia="en-GB"/>
              </w:rPr>
              <w:t>Format:</w:t>
            </w:r>
          </w:p>
        </w:tc>
        <w:tc>
          <w:tcPr>
            <w:tcW w:w="11340" w:type="dxa"/>
          </w:tcPr>
          <w:p w14:paraId="739D942D" w14:textId="77777777" w:rsidR="00A81D4D" w:rsidRDefault="00A81D4D" w:rsidP="006C63B0">
            <w:pPr>
              <w:spacing w:before="40" w:after="40"/>
              <w:jc w:val="both"/>
              <w:rPr>
                <w:rFonts w:eastAsia="新細明體"/>
                <w:sz w:val="17"/>
                <w:lang w:eastAsia="en-GB"/>
              </w:rPr>
            </w:pPr>
            <w:r>
              <w:rPr>
                <w:rFonts w:eastAsia="新細明體"/>
                <w:sz w:val="17"/>
                <w:lang w:eastAsia="en-GB"/>
              </w:rPr>
              <w:t>Flexible.</w:t>
            </w:r>
          </w:p>
        </w:tc>
      </w:tr>
      <w:tr w:rsidR="00A81D4D" w14:paraId="36902B7B" w14:textId="77777777" w:rsidTr="006C63B0">
        <w:tc>
          <w:tcPr>
            <w:tcW w:w="2552" w:type="dxa"/>
          </w:tcPr>
          <w:p w14:paraId="65EA0AB6" w14:textId="77777777" w:rsidR="00A81D4D" w:rsidRDefault="00A81D4D" w:rsidP="006C63B0">
            <w:pPr>
              <w:spacing w:before="40" w:after="40"/>
              <w:rPr>
                <w:b/>
                <w:sz w:val="17"/>
                <w:szCs w:val="17"/>
                <w:lang w:eastAsia="en-GB"/>
              </w:rPr>
            </w:pPr>
            <w:r>
              <w:rPr>
                <w:rFonts w:eastAsia="新細明體"/>
                <w:b/>
                <w:sz w:val="17"/>
                <w:szCs w:val="17"/>
                <w:lang w:eastAsia="en-GB"/>
              </w:rPr>
              <w:t>Accompanying narrative</w:t>
            </w:r>
            <w:r>
              <w:rPr>
                <w:rFonts w:eastAsia="新細明體"/>
                <w:sz w:val="17"/>
                <w:szCs w:val="17"/>
                <w:lang w:eastAsia="en-GB"/>
              </w:rPr>
              <w:t>:</w:t>
            </w:r>
          </w:p>
        </w:tc>
        <w:tc>
          <w:tcPr>
            <w:tcW w:w="11340" w:type="dxa"/>
          </w:tcPr>
          <w:p w14:paraId="5EA9E3AC" w14:textId="77777777" w:rsidR="00A81D4D" w:rsidRDefault="00A81D4D" w:rsidP="006C63B0">
            <w:pPr>
              <w:spacing w:before="40" w:after="40"/>
              <w:jc w:val="both"/>
              <w:rPr>
                <w:rFonts w:eastAsia="新細明體"/>
                <w:noProof/>
                <w:sz w:val="17"/>
                <w:lang w:eastAsia="en-GB"/>
              </w:rPr>
            </w:pPr>
            <w:r>
              <w:rPr>
                <w:sz w:val="17"/>
                <w:szCs w:val="17"/>
                <w:lang w:eastAsia="en-GB"/>
              </w:rPr>
              <w:t>An AI should supplement the template with a narrative commentary to explain any material movements in the current reporting period and the key drivers of such movements.</w:t>
            </w:r>
          </w:p>
        </w:tc>
      </w:tr>
      <w:tr w:rsidR="00A81D4D" w14:paraId="0DCFCEC5" w14:textId="77777777" w:rsidTr="006C63B0">
        <w:tc>
          <w:tcPr>
            <w:tcW w:w="2552" w:type="dxa"/>
          </w:tcPr>
          <w:p w14:paraId="53E0DA09" w14:textId="77777777" w:rsidR="00A81D4D" w:rsidRDefault="00A81D4D" w:rsidP="006C63B0">
            <w:pPr>
              <w:spacing w:before="40" w:after="40"/>
              <w:rPr>
                <w:rFonts w:eastAsia="新細明體"/>
                <w:b/>
                <w:sz w:val="17"/>
                <w:szCs w:val="17"/>
                <w:lang w:eastAsia="en-GB"/>
              </w:rPr>
            </w:pPr>
            <w:r>
              <w:rPr>
                <w:rFonts w:eastAsia="新細明體"/>
                <w:b/>
                <w:sz w:val="17"/>
                <w:szCs w:val="17"/>
                <w:lang w:eastAsia="en-GB"/>
              </w:rPr>
              <w:t>Corresponding BDR section:</w:t>
            </w:r>
          </w:p>
        </w:tc>
        <w:tc>
          <w:tcPr>
            <w:tcW w:w="11340" w:type="dxa"/>
          </w:tcPr>
          <w:p w14:paraId="741968A1" w14:textId="77777777" w:rsidR="00A81D4D" w:rsidRDefault="00A81D4D" w:rsidP="006C63B0">
            <w:pPr>
              <w:spacing w:before="40" w:after="40"/>
              <w:jc w:val="both"/>
              <w:rPr>
                <w:sz w:val="17"/>
                <w:szCs w:val="17"/>
                <w:lang w:eastAsia="en-GB"/>
              </w:rPr>
            </w:pPr>
            <w:r>
              <w:rPr>
                <w:sz w:val="17"/>
                <w:szCs w:val="17"/>
                <w:lang w:eastAsia="en-GB"/>
              </w:rPr>
              <w:t>16ZF</w:t>
            </w:r>
          </w:p>
        </w:tc>
      </w:tr>
    </w:tbl>
    <w:p w14:paraId="6DB8A82D" w14:textId="77777777" w:rsidR="00A81D4D" w:rsidRDefault="00A81D4D" w:rsidP="00E44A82">
      <w:pPr>
        <w:spacing w:before="40" w:after="40"/>
        <w:rPr>
          <w:sz w:val="22"/>
        </w:rPr>
      </w:pPr>
    </w:p>
    <w:tbl>
      <w:tblPr>
        <w:tblW w:w="13892" w:type="dxa"/>
        <w:tblInd w:w="108"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ayout w:type="fixed"/>
        <w:tblLook w:val="00A0" w:firstRow="1" w:lastRow="0" w:firstColumn="1" w:lastColumn="0" w:noHBand="0" w:noVBand="0"/>
      </w:tblPr>
      <w:tblGrid>
        <w:gridCol w:w="420"/>
        <w:gridCol w:w="2557"/>
        <w:gridCol w:w="1212"/>
        <w:gridCol w:w="1213"/>
        <w:gridCol w:w="1213"/>
        <w:gridCol w:w="1213"/>
        <w:gridCol w:w="1212"/>
        <w:gridCol w:w="1213"/>
        <w:gridCol w:w="1213"/>
        <w:gridCol w:w="1213"/>
        <w:gridCol w:w="1213"/>
      </w:tblGrid>
      <w:tr w:rsidR="00E44A82" w14:paraId="50BDDF5C" w14:textId="77777777" w:rsidTr="00647044">
        <w:trPr>
          <w:cantSplit/>
          <w:trHeight w:val="113"/>
          <w:tblHeader/>
        </w:trPr>
        <w:tc>
          <w:tcPr>
            <w:tcW w:w="420" w:type="dxa"/>
            <w:tcBorders>
              <w:top w:val="nil"/>
              <w:left w:val="nil"/>
              <w:bottom w:val="nil"/>
              <w:right w:val="nil"/>
            </w:tcBorders>
          </w:tcPr>
          <w:p w14:paraId="1C635C82" w14:textId="77777777" w:rsidR="00E44A82" w:rsidRDefault="00E44A82" w:rsidP="00647044">
            <w:pPr>
              <w:keepNext/>
              <w:snapToGrid w:val="0"/>
              <w:spacing w:before="40" w:after="40"/>
              <w:rPr>
                <w:rFonts w:eastAsia="新細明體" w:cs="Segoe UI"/>
                <w:sz w:val="17"/>
                <w:szCs w:val="17"/>
                <w:lang w:eastAsia="en-GB"/>
              </w:rPr>
            </w:pPr>
          </w:p>
        </w:tc>
        <w:tc>
          <w:tcPr>
            <w:tcW w:w="2557" w:type="dxa"/>
            <w:tcBorders>
              <w:top w:val="nil"/>
              <w:left w:val="nil"/>
              <w:bottom w:val="nil"/>
              <w:right w:val="single" w:sz="4" w:space="0" w:color="auto"/>
            </w:tcBorders>
            <w:vAlign w:val="center"/>
          </w:tcPr>
          <w:p w14:paraId="2AE09EAD" w14:textId="77777777" w:rsidR="00E44A82" w:rsidRDefault="00E44A82" w:rsidP="00647044">
            <w:pPr>
              <w:keepNext/>
              <w:snapToGrid w:val="0"/>
              <w:spacing w:before="40" w:after="40"/>
              <w:rPr>
                <w:rFonts w:eastAsia="新細明體" w:cs="Segoe UI"/>
                <w:sz w:val="17"/>
                <w:szCs w:val="17"/>
                <w:lang w:eastAsia="en-GB"/>
              </w:rPr>
            </w:pPr>
          </w:p>
        </w:tc>
        <w:tc>
          <w:tcPr>
            <w:tcW w:w="1212" w:type="dxa"/>
            <w:tcBorders>
              <w:top w:val="single" w:sz="4" w:space="0" w:color="auto"/>
              <w:left w:val="single" w:sz="4" w:space="0" w:color="auto"/>
              <w:bottom w:val="single" w:sz="4" w:space="0" w:color="auto"/>
              <w:right w:val="single" w:sz="4" w:space="0" w:color="auto"/>
            </w:tcBorders>
          </w:tcPr>
          <w:p w14:paraId="06341636" w14:textId="77777777" w:rsidR="00E44A82" w:rsidRDefault="00E44A82" w:rsidP="00647044">
            <w:pPr>
              <w:snapToGrid w:val="0"/>
              <w:spacing w:before="40" w:after="40"/>
              <w:jc w:val="center"/>
              <w:rPr>
                <w:rFonts w:eastAsia="新細明體" w:cs="Segoe UI"/>
                <w:bCs/>
                <w:sz w:val="17"/>
                <w:szCs w:val="17"/>
                <w:lang w:eastAsia="ja-JP"/>
              </w:rPr>
            </w:pPr>
            <w:r>
              <w:rPr>
                <w:rFonts w:eastAsia="新細明體" w:cs="Segoe UI"/>
                <w:bCs/>
                <w:sz w:val="17"/>
                <w:szCs w:val="17"/>
                <w:lang w:eastAsia="ja-JP"/>
              </w:rPr>
              <w:t>(a)</w:t>
            </w:r>
          </w:p>
        </w:tc>
        <w:tc>
          <w:tcPr>
            <w:tcW w:w="1213" w:type="dxa"/>
            <w:tcBorders>
              <w:top w:val="single" w:sz="4" w:space="0" w:color="auto"/>
              <w:left w:val="single" w:sz="4" w:space="0" w:color="auto"/>
              <w:bottom w:val="single" w:sz="4" w:space="0" w:color="auto"/>
              <w:right w:val="single" w:sz="4" w:space="0" w:color="auto"/>
            </w:tcBorders>
          </w:tcPr>
          <w:p w14:paraId="1744D469" w14:textId="77777777" w:rsidR="00E44A82" w:rsidRDefault="00E44A82" w:rsidP="00647044">
            <w:pPr>
              <w:snapToGrid w:val="0"/>
              <w:spacing w:before="40" w:after="40"/>
              <w:jc w:val="center"/>
              <w:rPr>
                <w:rFonts w:eastAsia="新細明體" w:cs="Segoe UI"/>
                <w:bCs/>
                <w:sz w:val="17"/>
                <w:szCs w:val="17"/>
                <w:lang w:eastAsia="ja-JP"/>
              </w:rPr>
            </w:pPr>
            <w:r>
              <w:rPr>
                <w:rFonts w:eastAsia="新細明體" w:cs="Segoe UI"/>
                <w:bCs/>
                <w:sz w:val="17"/>
                <w:szCs w:val="17"/>
                <w:lang w:eastAsia="ja-JP"/>
              </w:rPr>
              <w:t>(b)</w:t>
            </w:r>
          </w:p>
        </w:tc>
        <w:tc>
          <w:tcPr>
            <w:tcW w:w="1213" w:type="dxa"/>
            <w:tcBorders>
              <w:top w:val="single" w:sz="4" w:space="0" w:color="auto"/>
              <w:left w:val="single" w:sz="4" w:space="0" w:color="auto"/>
              <w:bottom w:val="single" w:sz="4" w:space="0" w:color="auto"/>
              <w:right w:val="single" w:sz="4" w:space="0" w:color="auto"/>
            </w:tcBorders>
          </w:tcPr>
          <w:p w14:paraId="46957BDD" w14:textId="77777777" w:rsidR="00E44A82" w:rsidRDefault="00E44A82" w:rsidP="00647044">
            <w:pPr>
              <w:snapToGrid w:val="0"/>
              <w:spacing w:before="40" w:after="40"/>
              <w:jc w:val="center"/>
              <w:rPr>
                <w:rFonts w:eastAsia="新細明體" w:cs="Segoe UI"/>
                <w:bCs/>
                <w:sz w:val="17"/>
                <w:szCs w:val="17"/>
                <w:lang w:eastAsia="ja-JP"/>
              </w:rPr>
            </w:pPr>
            <w:r>
              <w:rPr>
                <w:rFonts w:eastAsia="新細明體" w:cs="Segoe UI"/>
                <w:bCs/>
                <w:sz w:val="17"/>
                <w:szCs w:val="17"/>
                <w:lang w:eastAsia="ja-JP"/>
              </w:rPr>
              <w:t>(c)</w:t>
            </w:r>
          </w:p>
        </w:tc>
        <w:tc>
          <w:tcPr>
            <w:tcW w:w="1213" w:type="dxa"/>
            <w:tcBorders>
              <w:top w:val="single" w:sz="4" w:space="0" w:color="auto"/>
              <w:left w:val="single" w:sz="4" w:space="0" w:color="auto"/>
              <w:bottom w:val="single" w:sz="4" w:space="0" w:color="auto"/>
              <w:right w:val="single" w:sz="4" w:space="0" w:color="auto"/>
            </w:tcBorders>
          </w:tcPr>
          <w:p w14:paraId="6FBD9E35" w14:textId="77777777" w:rsidR="00E44A82" w:rsidRDefault="00E44A82" w:rsidP="00647044">
            <w:pPr>
              <w:snapToGrid w:val="0"/>
              <w:spacing w:before="40" w:after="40"/>
              <w:jc w:val="center"/>
              <w:rPr>
                <w:rFonts w:eastAsia="新細明體" w:cs="Segoe UI"/>
                <w:bCs/>
                <w:sz w:val="17"/>
                <w:szCs w:val="17"/>
                <w:lang w:eastAsia="ja-JP"/>
              </w:rPr>
            </w:pPr>
            <w:r>
              <w:rPr>
                <w:rFonts w:eastAsia="新細明體" w:cs="Segoe UI"/>
                <w:bCs/>
                <w:sz w:val="17"/>
                <w:szCs w:val="17"/>
                <w:lang w:eastAsia="ja-JP"/>
              </w:rPr>
              <w:t>(d)</w:t>
            </w:r>
          </w:p>
        </w:tc>
        <w:tc>
          <w:tcPr>
            <w:tcW w:w="1212" w:type="dxa"/>
            <w:tcBorders>
              <w:top w:val="single" w:sz="4" w:space="0" w:color="auto"/>
              <w:left w:val="single" w:sz="4" w:space="0" w:color="auto"/>
              <w:bottom w:val="single" w:sz="4" w:space="0" w:color="auto"/>
              <w:right w:val="single" w:sz="4" w:space="0" w:color="auto"/>
            </w:tcBorders>
          </w:tcPr>
          <w:p w14:paraId="586B37AF" w14:textId="77777777" w:rsidR="00E44A82" w:rsidRDefault="00E44A82" w:rsidP="00647044">
            <w:pPr>
              <w:snapToGrid w:val="0"/>
              <w:spacing w:before="40" w:after="40"/>
              <w:jc w:val="center"/>
              <w:rPr>
                <w:rFonts w:eastAsia="新細明體" w:cs="Segoe UI"/>
                <w:bCs/>
                <w:sz w:val="17"/>
                <w:szCs w:val="17"/>
                <w:lang w:eastAsia="ja-JP"/>
              </w:rPr>
            </w:pPr>
            <w:r>
              <w:rPr>
                <w:rFonts w:eastAsia="新細明體" w:cs="Segoe UI"/>
                <w:bCs/>
                <w:sz w:val="17"/>
                <w:szCs w:val="17"/>
                <w:lang w:eastAsia="ja-JP"/>
              </w:rPr>
              <w:t>(e)</w:t>
            </w:r>
          </w:p>
        </w:tc>
        <w:tc>
          <w:tcPr>
            <w:tcW w:w="1213" w:type="dxa"/>
            <w:tcBorders>
              <w:top w:val="single" w:sz="4" w:space="0" w:color="auto"/>
              <w:left w:val="single" w:sz="4" w:space="0" w:color="auto"/>
              <w:bottom w:val="single" w:sz="4" w:space="0" w:color="auto"/>
              <w:right w:val="single" w:sz="4" w:space="0" w:color="auto"/>
            </w:tcBorders>
          </w:tcPr>
          <w:p w14:paraId="24442C16" w14:textId="77777777" w:rsidR="00E44A82" w:rsidRDefault="00E44A82" w:rsidP="00647044">
            <w:pPr>
              <w:snapToGrid w:val="0"/>
              <w:spacing w:before="40" w:after="40"/>
              <w:jc w:val="center"/>
              <w:rPr>
                <w:rFonts w:eastAsia="新細明體" w:cs="Segoe UI"/>
                <w:bCs/>
                <w:sz w:val="17"/>
                <w:szCs w:val="17"/>
                <w:lang w:eastAsia="ja-JP"/>
              </w:rPr>
            </w:pPr>
            <w:r>
              <w:rPr>
                <w:rFonts w:eastAsia="新細明體" w:cs="Segoe UI"/>
                <w:bCs/>
                <w:sz w:val="17"/>
                <w:szCs w:val="17"/>
                <w:lang w:eastAsia="ja-JP"/>
              </w:rPr>
              <w:t>(f)</w:t>
            </w:r>
          </w:p>
        </w:tc>
        <w:tc>
          <w:tcPr>
            <w:tcW w:w="1213" w:type="dxa"/>
            <w:tcBorders>
              <w:top w:val="single" w:sz="4" w:space="0" w:color="auto"/>
              <w:left w:val="single" w:sz="4" w:space="0" w:color="auto"/>
              <w:bottom w:val="single" w:sz="4" w:space="0" w:color="auto"/>
              <w:right w:val="single" w:sz="4" w:space="0" w:color="auto"/>
            </w:tcBorders>
          </w:tcPr>
          <w:p w14:paraId="665C16F7" w14:textId="77777777" w:rsidR="00E44A82" w:rsidRDefault="00E44A82" w:rsidP="00647044">
            <w:pPr>
              <w:snapToGrid w:val="0"/>
              <w:spacing w:before="40" w:after="40"/>
              <w:jc w:val="center"/>
              <w:rPr>
                <w:rFonts w:eastAsia="新細明體" w:cs="Segoe UI"/>
                <w:bCs/>
                <w:sz w:val="17"/>
                <w:szCs w:val="17"/>
                <w:lang w:eastAsia="ja-JP"/>
              </w:rPr>
            </w:pPr>
            <w:r>
              <w:rPr>
                <w:rFonts w:eastAsia="新細明體" w:cs="Segoe UI"/>
                <w:bCs/>
                <w:sz w:val="17"/>
                <w:szCs w:val="17"/>
                <w:lang w:eastAsia="ja-JP"/>
              </w:rPr>
              <w:t>(g)</w:t>
            </w:r>
          </w:p>
        </w:tc>
        <w:tc>
          <w:tcPr>
            <w:tcW w:w="1213" w:type="dxa"/>
            <w:tcBorders>
              <w:top w:val="single" w:sz="4" w:space="0" w:color="auto"/>
              <w:left w:val="single" w:sz="4" w:space="0" w:color="auto"/>
              <w:bottom w:val="single" w:sz="4" w:space="0" w:color="auto"/>
              <w:right w:val="single" w:sz="4" w:space="0" w:color="auto"/>
            </w:tcBorders>
          </w:tcPr>
          <w:p w14:paraId="75E9ECCD" w14:textId="77777777" w:rsidR="00E44A82" w:rsidRDefault="00E44A82" w:rsidP="00647044">
            <w:pPr>
              <w:snapToGrid w:val="0"/>
              <w:spacing w:before="40" w:after="40"/>
              <w:jc w:val="center"/>
              <w:rPr>
                <w:rFonts w:eastAsia="新細明體" w:cs="Segoe UI"/>
                <w:bCs/>
                <w:sz w:val="17"/>
                <w:szCs w:val="17"/>
                <w:lang w:eastAsia="ja-JP"/>
              </w:rPr>
            </w:pPr>
            <w:r>
              <w:rPr>
                <w:rFonts w:eastAsia="新細明體" w:cs="Segoe UI"/>
                <w:bCs/>
                <w:sz w:val="17"/>
                <w:szCs w:val="17"/>
                <w:lang w:eastAsia="ja-JP"/>
              </w:rPr>
              <w:t>(h)</w:t>
            </w:r>
          </w:p>
        </w:tc>
        <w:tc>
          <w:tcPr>
            <w:tcW w:w="1213" w:type="dxa"/>
            <w:tcBorders>
              <w:top w:val="single" w:sz="4" w:space="0" w:color="auto"/>
              <w:left w:val="single" w:sz="4" w:space="0" w:color="auto"/>
              <w:bottom w:val="single" w:sz="4" w:space="0" w:color="auto"/>
              <w:right w:val="single" w:sz="4" w:space="0" w:color="auto"/>
            </w:tcBorders>
          </w:tcPr>
          <w:p w14:paraId="2A2E63F8" w14:textId="77777777" w:rsidR="00E44A82" w:rsidRDefault="00E44A82" w:rsidP="00647044">
            <w:pPr>
              <w:snapToGrid w:val="0"/>
              <w:spacing w:before="40" w:after="40"/>
              <w:jc w:val="center"/>
              <w:rPr>
                <w:rFonts w:eastAsia="新細明體" w:cs="Segoe UI"/>
                <w:bCs/>
                <w:sz w:val="17"/>
                <w:szCs w:val="17"/>
                <w:lang w:eastAsia="ja-JP"/>
              </w:rPr>
            </w:pPr>
            <w:r>
              <w:rPr>
                <w:rFonts w:eastAsia="新細明體" w:cs="Segoe UI"/>
                <w:bCs/>
                <w:sz w:val="17"/>
                <w:szCs w:val="17"/>
                <w:lang w:eastAsia="ja-JP"/>
              </w:rPr>
              <w:t>(i)</w:t>
            </w:r>
          </w:p>
        </w:tc>
      </w:tr>
      <w:tr w:rsidR="00E44A82" w14:paraId="4E9980BF" w14:textId="77777777" w:rsidTr="00647044">
        <w:trPr>
          <w:cantSplit/>
          <w:tblHeader/>
        </w:trPr>
        <w:tc>
          <w:tcPr>
            <w:tcW w:w="420" w:type="dxa"/>
            <w:tcBorders>
              <w:top w:val="nil"/>
              <w:left w:val="nil"/>
              <w:bottom w:val="nil"/>
              <w:right w:val="nil"/>
            </w:tcBorders>
          </w:tcPr>
          <w:p w14:paraId="1F2EA417" w14:textId="77777777" w:rsidR="00E44A82" w:rsidRDefault="00E44A82" w:rsidP="00647044">
            <w:pPr>
              <w:keepNext/>
              <w:snapToGrid w:val="0"/>
              <w:rPr>
                <w:rFonts w:eastAsia="新細明體" w:cs="Segoe UI"/>
                <w:sz w:val="17"/>
                <w:szCs w:val="17"/>
                <w:lang w:eastAsia="en-GB"/>
              </w:rPr>
            </w:pPr>
          </w:p>
        </w:tc>
        <w:tc>
          <w:tcPr>
            <w:tcW w:w="2557" w:type="dxa"/>
            <w:tcBorders>
              <w:top w:val="nil"/>
              <w:left w:val="nil"/>
              <w:bottom w:val="nil"/>
              <w:right w:val="single" w:sz="4" w:space="0" w:color="auto"/>
            </w:tcBorders>
            <w:vAlign w:val="center"/>
          </w:tcPr>
          <w:p w14:paraId="5B59CDC3" w14:textId="77777777" w:rsidR="00E44A82" w:rsidRDefault="00E44A82" w:rsidP="00647044">
            <w:pPr>
              <w:keepNext/>
              <w:snapToGrid w:val="0"/>
              <w:rPr>
                <w:rFonts w:eastAsia="新細明體" w:cs="Segoe UI"/>
                <w:sz w:val="17"/>
                <w:szCs w:val="17"/>
                <w:lang w:eastAsia="en-GB"/>
              </w:rPr>
            </w:pPr>
          </w:p>
        </w:tc>
        <w:tc>
          <w:tcPr>
            <w:tcW w:w="3638" w:type="dxa"/>
            <w:gridSpan w:val="3"/>
            <w:tcBorders>
              <w:top w:val="single" w:sz="4" w:space="0" w:color="auto"/>
              <w:left w:val="single" w:sz="4" w:space="0" w:color="auto"/>
              <w:bottom w:val="single" w:sz="4" w:space="0" w:color="auto"/>
              <w:right w:val="single" w:sz="4" w:space="0" w:color="auto"/>
            </w:tcBorders>
            <w:vAlign w:val="center"/>
          </w:tcPr>
          <w:p w14:paraId="1F378FA7" w14:textId="77777777" w:rsidR="00E44A82" w:rsidRDefault="00E44A82" w:rsidP="00647044">
            <w:pPr>
              <w:snapToGrid w:val="0"/>
              <w:spacing w:before="20" w:after="20"/>
              <w:jc w:val="center"/>
              <w:rPr>
                <w:rFonts w:eastAsia="新細明體" w:cs="Segoe UI"/>
                <w:bCs/>
                <w:sz w:val="17"/>
                <w:szCs w:val="17"/>
                <w:lang w:eastAsia="ja-JP"/>
              </w:rPr>
            </w:pPr>
            <w:r>
              <w:rPr>
                <w:rFonts w:eastAsia="新細明體" w:cs="Segoe UI"/>
                <w:bCs/>
                <w:sz w:val="17"/>
                <w:szCs w:val="17"/>
                <w:lang w:eastAsia="ja-JP"/>
              </w:rPr>
              <w:t>Acting as originator (excluding sponsor)</w:t>
            </w:r>
          </w:p>
        </w:tc>
        <w:tc>
          <w:tcPr>
            <w:tcW w:w="3638" w:type="dxa"/>
            <w:gridSpan w:val="3"/>
            <w:tcBorders>
              <w:top w:val="single" w:sz="4" w:space="0" w:color="auto"/>
              <w:left w:val="single" w:sz="4" w:space="0" w:color="auto"/>
              <w:bottom w:val="single" w:sz="4" w:space="0" w:color="auto"/>
              <w:right w:val="single" w:sz="4" w:space="0" w:color="auto"/>
            </w:tcBorders>
          </w:tcPr>
          <w:p w14:paraId="318EBD08" w14:textId="77777777" w:rsidR="00E44A82" w:rsidRDefault="00E44A82" w:rsidP="00647044">
            <w:pPr>
              <w:snapToGrid w:val="0"/>
              <w:spacing w:before="20" w:after="20"/>
              <w:jc w:val="center"/>
              <w:rPr>
                <w:rFonts w:eastAsia="新細明體" w:cs="Segoe UI"/>
                <w:bCs/>
                <w:sz w:val="17"/>
                <w:szCs w:val="17"/>
                <w:lang w:eastAsia="ja-JP"/>
              </w:rPr>
            </w:pPr>
            <w:r>
              <w:rPr>
                <w:rFonts w:eastAsia="新細明體" w:cs="Segoe UI"/>
                <w:bCs/>
                <w:sz w:val="17"/>
                <w:szCs w:val="17"/>
                <w:lang w:eastAsia="ja-JP"/>
              </w:rPr>
              <w:t>Acting as sponsor</w:t>
            </w:r>
          </w:p>
        </w:tc>
        <w:tc>
          <w:tcPr>
            <w:tcW w:w="3639" w:type="dxa"/>
            <w:gridSpan w:val="3"/>
            <w:tcBorders>
              <w:top w:val="single" w:sz="4" w:space="0" w:color="auto"/>
              <w:left w:val="single" w:sz="4" w:space="0" w:color="auto"/>
              <w:bottom w:val="single" w:sz="4" w:space="0" w:color="auto"/>
              <w:right w:val="single" w:sz="4" w:space="0" w:color="auto"/>
            </w:tcBorders>
            <w:vAlign w:val="center"/>
          </w:tcPr>
          <w:p w14:paraId="4BF69AB2" w14:textId="77777777" w:rsidR="00E44A82" w:rsidRDefault="00E44A82" w:rsidP="00647044">
            <w:pPr>
              <w:snapToGrid w:val="0"/>
              <w:spacing w:before="20" w:after="20"/>
              <w:jc w:val="center"/>
              <w:rPr>
                <w:rFonts w:eastAsia="新細明體" w:cs="Segoe UI"/>
                <w:bCs/>
                <w:sz w:val="17"/>
                <w:szCs w:val="17"/>
                <w:lang w:eastAsia="ja-JP"/>
              </w:rPr>
            </w:pPr>
            <w:r>
              <w:rPr>
                <w:rFonts w:eastAsia="新細明體" w:cs="Segoe UI"/>
                <w:bCs/>
                <w:sz w:val="17"/>
                <w:szCs w:val="17"/>
                <w:lang w:eastAsia="ja-JP"/>
              </w:rPr>
              <w:t>Acting as investor</w:t>
            </w:r>
          </w:p>
        </w:tc>
      </w:tr>
      <w:tr w:rsidR="00E44A82" w14:paraId="1CD7C675" w14:textId="77777777" w:rsidTr="00647044">
        <w:trPr>
          <w:cantSplit/>
          <w:tblHeader/>
        </w:trPr>
        <w:tc>
          <w:tcPr>
            <w:tcW w:w="420" w:type="dxa"/>
            <w:tcBorders>
              <w:top w:val="nil"/>
              <w:left w:val="nil"/>
              <w:bottom w:val="single" w:sz="4" w:space="0" w:color="auto"/>
              <w:right w:val="nil"/>
            </w:tcBorders>
          </w:tcPr>
          <w:p w14:paraId="71ECF04E" w14:textId="77777777" w:rsidR="00E44A82" w:rsidRDefault="00E44A82" w:rsidP="00647044">
            <w:pPr>
              <w:keepNext/>
              <w:snapToGrid w:val="0"/>
              <w:rPr>
                <w:rFonts w:eastAsia="新細明體" w:cs="Segoe UI"/>
                <w:sz w:val="17"/>
                <w:szCs w:val="17"/>
                <w:lang w:eastAsia="en-GB"/>
              </w:rPr>
            </w:pPr>
          </w:p>
        </w:tc>
        <w:tc>
          <w:tcPr>
            <w:tcW w:w="2557" w:type="dxa"/>
            <w:tcBorders>
              <w:top w:val="nil"/>
              <w:left w:val="nil"/>
              <w:bottom w:val="single" w:sz="4" w:space="0" w:color="auto"/>
              <w:right w:val="single" w:sz="4" w:space="0" w:color="auto"/>
            </w:tcBorders>
            <w:vAlign w:val="center"/>
          </w:tcPr>
          <w:p w14:paraId="29CBE722" w14:textId="77777777" w:rsidR="00E44A82" w:rsidRDefault="00E44A82" w:rsidP="00647044">
            <w:pPr>
              <w:keepNext/>
              <w:snapToGrid w:val="0"/>
              <w:rPr>
                <w:rFonts w:eastAsia="新細明體" w:cs="Segoe UI"/>
                <w:sz w:val="17"/>
                <w:szCs w:val="17"/>
                <w:lang w:eastAsia="en-GB"/>
              </w:rPr>
            </w:pPr>
          </w:p>
        </w:tc>
        <w:tc>
          <w:tcPr>
            <w:tcW w:w="1212" w:type="dxa"/>
            <w:tcBorders>
              <w:top w:val="single" w:sz="4" w:space="0" w:color="auto"/>
              <w:left w:val="single" w:sz="4" w:space="0" w:color="auto"/>
              <w:bottom w:val="single" w:sz="4" w:space="0" w:color="auto"/>
              <w:right w:val="single" w:sz="4" w:space="0" w:color="auto"/>
            </w:tcBorders>
            <w:vAlign w:val="center"/>
          </w:tcPr>
          <w:p w14:paraId="0E6ED481" w14:textId="77777777" w:rsidR="00E44A82" w:rsidRDefault="00E44A82" w:rsidP="00647044">
            <w:pPr>
              <w:snapToGrid w:val="0"/>
              <w:spacing w:before="20" w:after="20"/>
              <w:jc w:val="center"/>
              <w:rPr>
                <w:rFonts w:eastAsia="新細明體" w:cs="Segoe UI"/>
                <w:bCs/>
                <w:sz w:val="17"/>
                <w:szCs w:val="17"/>
                <w:lang w:eastAsia="it-IT"/>
              </w:rPr>
            </w:pPr>
            <w:r>
              <w:rPr>
                <w:rFonts w:eastAsia="新細明體" w:cs="Segoe UI"/>
                <w:bCs/>
                <w:sz w:val="17"/>
                <w:szCs w:val="17"/>
                <w:lang w:eastAsia="it-IT"/>
              </w:rPr>
              <w:t>Traditional</w:t>
            </w:r>
          </w:p>
        </w:tc>
        <w:tc>
          <w:tcPr>
            <w:tcW w:w="1213" w:type="dxa"/>
            <w:tcBorders>
              <w:top w:val="single" w:sz="4" w:space="0" w:color="auto"/>
              <w:left w:val="single" w:sz="4" w:space="0" w:color="auto"/>
              <w:bottom w:val="single" w:sz="4" w:space="0" w:color="auto"/>
              <w:right w:val="single" w:sz="4" w:space="0" w:color="auto"/>
            </w:tcBorders>
            <w:vAlign w:val="center"/>
          </w:tcPr>
          <w:p w14:paraId="4CDB0179" w14:textId="77777777" w:rsidR="00E44A82" w:rsidRDefault="00E44A82" w:rsidP="00647044">
            <w:pPr>
              <w:snapToGrid w:val="0"/>
              <w:spacing w:before="20" w:after="20"/>
              <w:jc w:val="center"/>
              <w:rPr>
                <w:rFonts w:eastAsia="新細明體" w:cs="Segoe UI"/>
                <w:bCs/>
                <w:sz w:val="17"/>
                <w:szCs w:val="17"/>
                <w:lang w:eastAsia="it-IT"/>
              </w:rPr>
            </w:pPr>
            <w:r>
              <w:rPr>
                <w:rFonts w:eastAsia="新細明體" w:cs="Segoe UI"/>
                <w:bCs/>
                <w:sz w:val="17"/>
                <w:szCs w:val="17"/>
                <w:lang w:eastAsia="it-IT"/>
              </w:rPr>
              <w:t>Synthetic</w:t>
            </w:r>
          </w:p>
        </w:tc>
        <w:tc>
          <w:tcPr>
            <w:tcW w:w="1213" w:type="dxa"/>
            <w:tcBorders>
              <w:top w:val="single" w:sz="4" w:space="0" w:color="auto"/>
              <w:left w:val="single" w:sz="4" w:space="0" w:color="auto"/>
              <w:bottom w:val="single" w:sz="4" w:space="0" w:color="auto"/>
              <w:right w:val="single" w:sz="4" w:space="0" w:color="auto"/>
            </w:tcBorders>
            <w:vAlign w:val="center"/>
          </w:tcPr>
          <w:p w14:paraId="08D46A09" w14:textId="77777777" w:rsidR="00E44A82" w:rsidRDefault="00E44A82" w:rsidP="00647044">
            <w:pPr>
              <w:snapToGrid w:val="0"/>
              <w:spacing w:before="20" w:after="20"/>
              <w:jc w:val="center"/>
              <w:rPr>
                <w:rFonts w:eastAsia="新細明體" w:cs="Segoe UI"/>
                <w:sz w:val="17"/>
                <w:szCs w:val="17"/>
                <w:lang w:eastAsia="it-IT"/>
              </w:rPr>
            </w:pPr>
            <w:r>
              <w:rPr>
                <w:rFonts w:eastAsia="新細明體" w:cs="Segoe UI"/>
                <w:bCs/>
                <w:sz w:val="17"/>
                <w:szCs w:val="17"/>
                <w:lang w:eastAsia="ja-JP"/>
              </w:rPr>
              <w:t>Sub-t</w:t>
            </w:r>
            <w:r>
              <w:rPr>
                <w:rFonts w:eastAsia="新細明體" w:cs="Segoe UI"/>
                <w:bCs/>
                <w:sz w:val="17"/>
                <w:szCs w:val="17"/>
                <w:lang w:eastAsia="it-IT"/>
              </w:rPr>
              <w:t>otal</w:t>
            </w:r>
          </w:p>
        </w:tc>
        <w:tc>
          <w:tcPr>
            <w:tcW w:w="1213" w:type="dxa"/>
            <w:tcBorders>
              <w:top w:val="single" w:sz="4" w:space="0" w:color="auto"/>
              <w:left w:val="single" w:sz="4" w:space="0" w:color="auto"/>
              <w:bottom w:val="single" w:sz="4" w:space="0" w:color="auto"/>
              <w:right w:val="single" w:sz="4" w:space="0" w:color="auto"/>
            </w:tcBorders>
            <w:vAlign w:val="center"/>
          </w:tcPr>
          <w:p w14:paraId="57F47E09" w14:textId="77777777" w:rsidR="00E44A82" w:rsidRDefault="00E44A82" w:rsidP="00647044">
            <w:pPr>
              <w:snapToGrid w:val="0"/>
              <w:spacing w:before="20" w:after="20"/>
              <w:jc w:val="center"/>
              <w:rPr>
                <w:rFonts w:eastAsia="新細明體" w:cs="Segoe UI"/>
                <w:bCs/>
                <w:sz w:val="17"/>
                <w:szCs w:val="17"/>
                <w:lang w:eastAsia="ja-JP"/>
              </w:rPr>
            </w:pPr>
            <w:r>
              <w:rPr>
                <w:rFonts w:eastAsia="新細明體" w:cs="Segoe UI"/>
                <w:bCs/>
                <w:sz w:val="17"/>
                <w:szCs w:val="17"/>
                <w:lang w:eastAsia="it-IT"/>
              </w:rPr>
              <w:t>Traditional</w:t>
            </w:r>
          </w:p>
        </w:tc>
        <w:tc>
          <w:tcPr>
            <w:tcW w:w="1212" w:type="dxa"/>
            <w:tcBorders>
              <w:top w:val="single" w:sz="4" w:space="0" w:color="auto"/>
              <w:left w:val="single" w:sz="4" w:space="0" w:color="auto"/>
              <w:bottom w:val="single" w:sz="4" w:space="0" w:color="auto"/>
              <w:right w:val="single" w:sz="4" w:space="0" w:color="auto"/>
            </w:tcBorders>
            <w:vAlign w:val="center"/>
          </w:tcPr>
          <w:p w14:paraId="599403E6" w14:textId="77777777" w:rsidR="00E44A82" w:rsidRDefault="00E44A82" w:rsidP="00647044">
            <w:pPr>
              <w:snapToGrid w:val="0"/>
              <w:spacing w:before="20" w:after="20"/>
              <w:jc w:val="center"/>
              <w:rPr>
                <w:rFonts w:eastAsia="新細明體" w:cs="Segoe UI"/>
                <w:bCs/>
                <w:sz w:val="17"/>
                <w:szCs w:val="17"/>
                <w:lang w:eastAsia="ja-JP"/>
              </w:rPr>
            </w:pPr>
            <w:r>
              <w:rPr>
                <w:rFonts w:eastAsia="新細明體" w:cs="Segoe UI"/>
                <w:bCs/>
                <w:sz w:val="17"/>
                <w:szCs w:val="17"/>
                <w:lang w:eastAsia="it-IT"/>
              </w:rPr>
              <w:t>Synthetic</w:t>
            </w:r>
          </w:p>
        </w:tc>
        <w:tc>
          <w:tcPr>
            <w:tcW w:w="1213" w:type="dxa"/>
            <w:tcBorders>
              <w:top w:val="single" w:sz="4" w:space="0" w:color="auto"/>
              <w:left w:val="single" w:sz="4" w:space="0" w:color="auto"/>
              <w:bottom w:val="single" w:sz="4" w:space="0" w:color="auto"/>
              <w:right w:val="single" w:sz="4" w:space="0" w:color="auto"/>
            </w:tcBorders>
            <w:vAlign w:val="center"/>
          </w:tcPr>
          <w:p w14:paraId="1E666639" w14:textId="77777777" w:rsidR="00E44A82" w:rsidRDefault="00E44A82" w:rsidP="00647044">
            <w:pPr>
              <w:snapToGrid w:val="0"/>
              <w:spacing w:before="20" w:after="20"/>
              <w:jc w:val="center"/>
              <w:rPr>
                <w:rFonts w:eastAsia="新細明體" w:cs="Segoe UI"/>
                <w:bCs/>
                <w:sz w:val="17"/>
                <w:szCs w:val="17"/>
                <w:lang w:eastAsia="ja-JP"/>
              </w:rPr>
            </w:pPr>
            <w:r>
              <w:rPr>
                <w:rFonts w:eastAsia="新細明體" w:cs="Segoe UI"/>
                <w:bCs/>
                <w:sz w:val="17"/>
                <w:szCs w:val="17"/>
                <w:lang w:eastAsia="ja-JP"/>
              </w:rPr>
              <w:t>Sub-t</w:t>
            </w:r>
            <w:r>
              <w:rPr>
                <w:rFonts w:eastAsia="新細明體" w:cs="Segoe UI"/>
                <w:bCs/>
                <w:sz w:val="17"/>
                <w:szCs w:val="17"/>
                <w:lang w:eastAsia="it-IT"/>
              </w:rPr>
              <w:t>otal</w:t>
            </w:r>
          </w:p>
        </w:tc>
        <w:tc>
          <w:tcPr>
            <w:tcW w:w="1213" w:type="dxa"/>
            <w:tcBorders>
              <w:top w:val="single" w:sz="4" w:space="0" w:color="auto"/>
              <w:left w:val="single" w:sz="4" w:space="0" w:color="auto"/>
              <w:bottom w:val="single" w:sz="4" w:space="0" w:color="auto"/>
              <w:right w:val="single" w:sz="4" w:space="0" w:color="auto"/>
            </w:tcBorders>
            <w:vAlign w:val="center"/>
          </w:tcPr>
          <w:p w14:paraId="596C601D" w14:textId="77777777" w:rsidR="00E44A82" w:rsidRDefault="00E44A82" w:rsidP="00647044">
            <w:pPr>
              <w:snapToGrid w:val="0"/>
              <w:spacing w:before="20" w:after="20"/>
              <w:jc w:val="center"/>
              <w:rPr>
                <w:rFonts w:eastAsia="新細明體" w:cs="Segoe UI"/>
                <w:bCs/>
                <w:sz w:val="17"/>
                <w:szCs w:val="17"/>
                <w:lang w:eastAsia="ja-JP"/>
              </w:rPr>
            </w:pPr>
            <w:r>
              <w:rPr>
                <w:rFonts w:eastAsia="新細明體" w:cs="Segoe UI"/>
                <w:bCs/>
                <w:sz w:val="17"/>
                <w:szCs w:val="17"/>
                <w:lang w:eastAsia="ja-JP"/>
              </w:rPr>
              <w:t>Traditional</w:t>
            </w:r>
          </w:p>
        </w:tc>
        <w:tc>
          <w:tcPr>
            <w:tcW w:w="1213" w:type="dxa"/>
            <w:tcBorders>
              <w:top w:val="single" w:sz="4" w:space="0" w:color="auto"/>
              <w:left w:val="single" w:sz="4" w:space="0" w:color="auto"/>
              <w:bottom w:val="single" w:sz="4" w:space="0" w:color="auto"/>
              <w:right w:val="single" w:sz="4" w:space="0" w:color="auto"/>
            </w:tcBorders>
            <w:vAlign w:val="center"/>
          </w:tcPr>
          <w:p w14:paraId="2DB01659" w14:textId="77777777" w:rsidR="00E44A82" w:rsidRDefault="00E44A82" w:rsidP="00647044">
            <w:pPr>
              <w:snapToGrid w:val="0"/>
              <w:spacing w:before="20" w:after="20"/>
              <w:jc w:val="center"/>
              <w:rPr>
                <w:rFonts w:eastAsia="新細明體" w:cs="Segoe UI"/>
                <w:bCs/>
                <w:sz w:val="17"/>
                <w:szCs w:val="17"/>
                <w:lang w:eastAsia="ja-JP"/>
              </w:rPr>
            </w:pPr>
            <w:r>
              <w:rPr>
                <w:rFonts w:eastAsia="新細明體" w:cs="Segoe UI"/>
                <w:bCs/>
                <w:sz w:val="17"/>
                <w:szCs w:val="17"/>
                <w:lang w:eastAsia="ja-JP"/>
              </w:rPr>
              <w:t>Synthetic</w:t>
            </w:r>
          </w:p>
        </w:tc>
        <w:tc>
          <w:tcPr>
            <w:tcW w:w="1213" w:type="dxa"/>
            <w:tcBorders>
              <w:top w:val="single" w:sz="4" w:space="0" w:color="auto"/>
              <w:left w:val="single" w:sz="4" w:space="0" w:color="auto"/>
              <w:bottom w:val="single" w:sz="4" w:space="0" w:color="auto"/>
              <w:right w:val="single" w:sz="4" w:space="0" w:color="auto"/>
            </w:tcBorders>
            <w:vAlign w:val="center"/>
          </w:tcPr>
          <w:p w14:paraId="575617B1" w14:textId="77777777" w:rsidR="00E44A82" w:rsidRDefault="00E44A82" w:rsidP="00647044">
            <w:pPr>
              <w:snapToGrid w:val="0"/>
              <w:spacing w:before="20" w:after="20"/>
              <w:jc w:val="center"/>
              <w:rPr>
                <w:rFonts w:eastAsia="新細明體" w:cs="Segoe UI"/>
                <w:bCs/>
                <w:sz w:val="17"/>
                <w:szCs w:val="17"/>
                <w:lang w:eastAsia="ja-JP"/>
              </w:rPr>
            </w:pPr>
            <w:r>
              <w:rPr>
                <w:rFonts w:eastAsia="新細明體" w:cs="Segoe UI"/>
                <w:bCs/>
                <w:sz w:val="17"/>
                <w:szCs w:val="17"/>
                <w:lang w:eastAsia="ja-JP"/>
              </w:rPr>
              <w:t>Sub-total</w:t>
            </w:r>
          </w:p>
        </w:tc>
      </w:tr>
      <w:tr w:rsidR="00E44A82" w14:paraId="75D24699" w14:textId="77777777" w:rsidTr="00647044">
        <w:trPr>
          <w:cantSplit/>
        </w:trPr>
        <w:tc>
          <w:tcPr>
            <w:tcW w:w="420" w:type="dxa"/>
            <w:tcBorders>
              <w:top w:val="single" w:sz="4" w:space="0" w:color="auto"/>
              <w:left w:val="nil"/>
              <w:bottom w:val="single" w:sz="4" w:space="0" w:color="BFBFBF"/>
              <w:right w:val="single" w:sz="4" w:space="0" w:color="auto"/>
            </w:tcBorders>
            <w:vAlign w:val="center"/>
          </w:tcPr>
          <w:p w14:paraId="1CE53239" w14:textId="77777777" w:rsidR="00E44A82" w:rsidRDefault="00E44A82" w:rsidP="00647044">
            <w:pPr>
              <w:pStyle w:val="TableText"/>
              <w:snapToGrid w:val="0"/>
              <w:rPr>
                <w:lang w:eastAsia="en-CA"/>
              </w:rPr>
            </w:pPr>
            <w:r>
              <w:rPr>
                <w:lang w:eastAsia="en-CA"/>
              </w:rPr>
              <w:t>1</w:t>
            </w:r>
          </w:p>
        </w:tc>
        <w:tc>
          <w:tcPr>
            <w:tcW w:w="2557" w:type="dxa"/>
            <w:tcBorders>
              <w:top w:val="single" w:sz="4" w:space="0" w:color="auto"/>
              <w:left w:val="nil"/>
              <w:bottom w:val="single" w:sz="4" w:space="0" w:color="BFBFBF"/>
              <w:right w:val="single" w:sz="4" w:space="0" w:color="auto"/>
            </w:tcBorders>
            <w:vAlign w:val="center"/>
          </w:tcPr>
          <w:p w14:paraId="1FC485A2" w14:textId="77777777" w:rsidR="00E44A82" w:rsidRDefault="00E44A82" w:rsidP="00647044">
            <w:pPr>
              <w:keepNext/>
              <w:tabs>
                <w:tab w:val="left" w:pos="397"/>
                <w:tab w:val="left" w:pos="794"/>
                <w:tab w:val="left" w:pos="1191"/>
              </w:tabs>
              <w:snapToGrid w:val="0"/>
              <w:spacing w:before="20" w:after="20"/>
              <w:ind w:left="-108"/>
              <w:rPr>
                <w:rFonts w:eastAsia="新細明體" w:cs="Segoe UI"/>
                <w:sz w:val="17"/>
                <w:szCs w:val="17"/>
                <w:lang w:eastAsia="en-GB"/>
              </w:rPr>
            </w:pPr>
            <w:r>
              <w:rPr>
                <w:rFonts w:eastAsia="新細明體" w:cs="Segoe UI"/>
                <w:sz w:val="17"/>
                <w:szCs w:val="17"/>
                <w:lang w:eastAsia="en-GB"/>
              </w:rPr>
              <w:t xml:space="preserve"> Retail (total) – of which:</w:t>
            </w:r>
          </w:p>
        </w:tc>
        <w:tc>
          <w:tcPr>
            <w:tcW w:w="1212" w:type="dxa"/>
            <w:tcBorders>
              <w:top w:val="single" w:sz="4" w:space="0" w:color="auto"/>
              <w:left w:val="single" w:sz="4" w:space="0" w:color="auto"/>
              <w:bottom w:val="single" w:sz="4" w:space="0" w:color="BFBFBF"/>
              <w:right w:val="single" w:sz="4" w:space="0" w:color="auto"/>
            </w:tcBorders>
          </w:tcPr>
          <w:p w14:paraId="514751EC"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381E9BCF"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094C1C35"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47E2E616"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auto"/>
              <w:left w:val="single" w:sz="4" w:space="0" w:color="auto"/>
              <w:bottom w:val="single" w:sz="4" w:space="0" w:color="BFBFBF"/>
              <w:right w:val="single" w:sz="4" w:space="0" w:color="auto"/>
            </w:tcBorders>
          </w:tcPr>
          <w:p w14:paraId="66A1A2BF"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61ED6189"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6AC3B10A"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706BB887"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6F930275"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r w:rsidR="00E44A82" w14:paraId="1B739668" w14:textId="77777777" w:rsidTr="00647044">
        <w:trPr>
          <w:cantSplit/>
        </w:trPr>
        <w:tc>
          <w:tcPr>
            <w:tcW w:w="420" w:type="dxa"/>
            <w:tcBorders>
              <w:top w:val="single" w:sz="4" w:space="0" w:color="BFBFBF"/>
              <w:left w:val="nil"/>
              <w:bottom w:val="single" w:sz="4" w:space="0" w:color="BFBFBF"/>
              <w:right w:val="single" w:sz="4" w:space="0" w:color="auto"/>
            </w:tcBorders>
            <w:vAlign w:val="center"/>
          </w:tcPr>
          <w:p w14:paraId="1EEB64C7" w14:textId="77777777" w:rsidR="00E44A82" w:rsidRDefault="00E44A82" w:rsidP="00647044">
            <w:pPr>
              <w:pStyle w:val="TableText"/>
              <w:snapToGrid w:val="0"/>
              <w:rPr>
                <w:lang w:eastAsia="en-CA"/>
              </w:rPr>
            </w:pPr>
            <w:r>
              <w:rPr>
                <w:lang w:eastAsia="en-CA"/>
              </w:rPr>
              <w:t>2</w:t>
            </w:r>
          </w:p>
        </w:tc>
        <w:tc>
          <w:tcPr>
            <w:tcW w:w="2557" w:type="dxa"/>
            <w:tcBorders>
              <w:top w:val="single" w:sz="4" w:space="0" w:color="BFBFBF"/>
              <w:left w:val="nil"/>
              <w:bottom w:val="single" w:sz="4" w:space="0" w:color="BFBFBF"/>
              <w:right w:val="single" w:sz="4" w:space="0" w:color="auto"/>
            </w:tcBorders>
            <w:vAlign w:val="center"/>
          </w:tcPr>
          <w:p w14:paraId="4785F03F" w14:textId="77777777" w:rsidR="00E44A82" w:rsidRDefault="00E44A82" w:rsidP="00647044">
            <w:pPr>
              <w:keepNext/>
              <w:tabs>
                <w:tab w:val="left" w:pos="397"/>
                <w:tab w:val="left" w:pos="794"/>
                <w:tab w:val="left" w:pos="1191"/>
              </w:tabs>
              <w:snapToGrid w:val="0"/>
              <w:spacing w:before="20" w:after="20"/>
              <w:ind w:left="57"/>
              <w:rPr>
                <w:rFonts w:eastAsia="新細明體" w:cs="Segoe UI"/>
                <w:sz w:val="17"/>
                <w:szCs w:val="17"/>
                <w:lang w:eastAsia="en-GB"/>
              </w:rPr>
            </w:pPr>
            <w:r>
              <w:rPr>
                <w:rFonts w:eastAsia="新細明體" w:cs="Segoe UI"/>
                <w:sz w:val="17"/>
                <w:szCs w:val="17"/>
                <w:lang w:eastAsia="en-GB"/>
              </w:rPr>
              <w:t>residential mortgage</w:t>
            </w:r>
          </w:p>
        </w:tc>
        <w:tc>
          <w:tcPr>
            <w:tcW w:w="1212" w:type="dxa"/>
            <w:tcBorders>
              <w:top w:val="single" w:sz="4" w:space="0" w:color="BFBFBF"/>
              <w:left w:val="single" w:sz="4" w:space="0" w:color="auto"/>
              <w:bottom w:val="single" w:sz="4" w:space="0" w:color="BFBFBF"/>
              <w:right w:val="single" w:sz="4" w:space="0" w:color="auto"/>
            </w:tcBorders>
          </w:tcPr>
          <w:p w14:paraId="785E8570"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5D3210BF"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64B9615A"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36D89E1A"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BFBFBF"/>
              <w:left w:val="single" w:sz="4" w:space="0" w:color="auto"/>
              <w:bottom w:val="single" w:sz="4" w:space="0" w:color="BFBFBF"/>
              <w:right w:val="single" w:sz="4" w:space="0" w:color="auto"/>
            </w:tcBorders>
          </w:tcPr>
          <w:p w14:paraId="2F360E35"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47CBDB06"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729E51D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3EB77F93"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20A600A6"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r w:rsidR="00E44A82" w14:paraId="1DF79D5F" w14:textId="77777777" w:rsidTr="00647044">
        <w:trPr>
          <w:cantSplit/>
        </w:trPr>
        <w:tc>
          <w:tcPr>
            <w:tcW w:w="420" w:type="dxa"/>
            <w:tcBorders>
              <w:top w:val="single" w:sz="4" w:space="0" w:color="BFBFBF"/>
              <w:left w:val="nil"/>
              <w:bottom w:val="single" w:sz="4" w:space="0" w:color="BFBFBF"/>
              <w:right w:val="single" w:sz="4" w:space="0" w:color="auto"/>
            </w:tcBorders>
            <w:vAlign w:val="center"/>
          </w:tcPr>
          <w:p w14:paraId="3C5DCCCD" w14:textId="77777777" w:rsidR="00E44A82" w:rsidRDefault="00E44A82" w:rsidP="00647044">
            <w:pPr>
              <w:pStyle w:val="TableText"/>
              <w:snapToGrid w:val="0"/>
              <w:rPr>
                <w:lang w:eastAsia="en-CA"/>
              </w:rPr>
            </w:pPr>
            <w:r>
              <w:rPr>
                <w:lang w:eastAsia="en-CA"/>
              </w:rPr>
              <w:t>3</w:t>
            </w:r>
          </w:p>
        </w:tc>
        <w:tc>
          <w:tcPr>
            <w:tcW w:w="2557" w:type="dxa"/>
            <w:tcBorders>
              <w:top w:val="single" w:sz="4" w:space="0" w:color="BFBFBF"/>
              <w:left w:val="nil"/>
              <w:bottom w:val="single" w:sz="4" w:space="0" w:color="BFBFBF"/>
              <w:right w:val="single" w:sz="4" w:space="0" w:color="auto"/>
            </w:tcBorders>
            <w:vAlign w:val="center"/>
          </w:tcPr>
          <w:p w14:paraId="7586B713" w14:textId="77777777" w:rsidR="00E44A82" w:rsidRDefault="00E44A82" w:rsidP="00647044">
            <w:pPr>
              <w:keepNext/>
              <w:tabs>
                <w:tab w:val="left" w:pos="397"/>
                <w:tab w:val="left" w:pos="794"/>
                <w:tab w:val="left" w:pos="1191"/>
              </w:tabs>
              <w:snapToGrid w:val="0"/>
              <w:spacing w:before="20" w:after="20"/>
              <w:ind w:left="57"/>
              <w:rPr>
                <w:rFonts w:eastAsia="新細明體" w:cs="Segoe UI"/>
                <w:sz w:val="17"/>
                <w:szCs w:val="17"/>
                <w:lang w:eastAsia="en-GB"/>
              </w:rPr>
            </w:pPr>
            <w:r>
              <w:rPr>
                <w:rFonts w:eastAsia="新細明體" w:cs="Segoe UI"/>
                <w:sz w:val="17"/>
                <w:szCs w:val="17"/>
                <w:lang w:eastAsia="en-GB"/>
              </w:rPr>
              <w:t>credit card</w:t>
            </w:r>
          </w:p>
        </w:tc>
        <w:tc>
          <w:tcPr>
            <w:tcW w:w="1212" w:type="dxa"/>
            <w:tcBorders>
              <w:top w:val="single" w:sz="4" w:space="0" w:color="BFBFBF"/>
              <w:left w:val="single" w:sz="4" w:space="0" w:color="auto"/>
              <w:bottom w:val="single" w:sz="4" w:space="0" w:color="BFBFBF"/>
              <w:right w:val="single" w:sz="4" w:space="0" w:color="auto"/>
            </w:tcBorders>
          </w:tcPr>
          <w:p w14:paraId="4C2A559A"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0F22DEF9"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47D0AAC2"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2B33A613"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BFBFBF"/>
              <w:left w:val="single" w:sz="4" w:space="0" w:color="auto"/>
              <w:bottom w:val="single" w:sz="4" w:space="0" w:color="BFBFBF"/>
              <w:right w:val="single" w:sz="4" w:space="0" w:color="auto"/>
            </w:tcBorders>
          </w:tcPr>
          <w:p w14:paraId="7776F952"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2A47B780"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1C5774F5"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622E8B1B"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2E9B7C2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r w:rsidR="00E44A82" w14:paraId="275B9A99" w14:textId="77777777" w:rsidTr="00647044">
        <w:trPr>
          <w:cantSplit/>
        </w:trPr>
        <w:tc>
          <w:tcPr>
            <w:tcW w:w="420" w:type="dxa"/>
            <w:tcBorders>
              <w:top w:val="single" w:sz="4" w:space="0" w:color="BFBFBF"/>
              <w:left w:val="nil"/>
              <w:bottom w:val="single" w:sz="4" w:space="0" w:color="BFBFBF"/>
              <w:right w:val="single" w:sz="4" w:space="0" w:color="auto"/>
            </w:tcBorders>
            <w:vAlign w:val="center"/>
          </w:tcPr>
          <w:p w14:paraId="3F5D02E1" w14:textId="77777777" w:rsidR="00E44A82" w:rsidRDefault="00E44A82" w:rsidP="00647044">
            <w:pPr>
              <w:pStyle w:val="TableText"/>
              <w:snapToGrid w:val="0"/>
              <w:rPr>
                <w:lang w:eastAsia="en-CA"/>
              </w:rPr>
            </w:pPr>
            <w:r>
              <w:rPr>
                <w:lang w:eastAsia="en-CA"/>
              </w:rPr>
              <w:t>4</w:t>
            </w:r>
          </w:p>
        </w:tc>
        <w:tc>
          <w:tcPr>
            <w:tcW w:w="2557" w:type="dxa"/>
            <w:tcBorders>
              <w:top w:val="single" w:sz="4" w:space="0" w:color="BFBFBF"/>
              <w:left w:val="nil"/>
              <w:bottom w:val="single" w:sz="4" w:space="0" w:color="BFBFBF"/>
              <w:right w:val="single" w:sz="4" w:space="0" w:color="auto"/>
            </w:tcBorders>
            <w:vAlign w:val="center"/>
          </w:tcPr>
          <w:p w14:paraId="6E444282" w14:textId="77777777" w:rsidR="00E44A82" w:rsidRDefault="00E44A82" w:rsidP="00647044">
            <w:pPr>
              <w:keepNext/>
              <w:tabs>
                <w:tab w:val="left" w:pos="397"/>
                <w:tab w:val="left" w:pos="794"/>
                <w:tab w:val="left" w:pos="1191"/>
              </w:tabs>
              <w:snapToGrid w:val="0"/>
              <w:spacing w:before="20" w:after="20"/>
              <w:ind w:left="57"/>
              <w:rPr>
                <w:rFonts w:eastAsia="新細明體" w:cs="Segoe UI"/>
                <w:sz w:val="17"/>
                <w:szCs w:val="17"/>
                <w:lang w:eastAsia="en-GB"/>
              </w:rPr>
            </w:pPr>
            <w:r>
              <w:rPr>
                <w:rFonts w:eastAsia="新細明體" w:cs="Segoe UI"/>
                <w:sz w:val="17"/>
                <w:szCs w:val="17"/>
                <w:lang w:eastAsia="en-GB"/>
              </w:rPr>
              <w:t>other retail exposures</w:t>
            </w:r>
          </w:p>
        </w:tc>
        <w:tc>
          <w:tcPr>
            <w:tcW w:w="1212" w:type="dxa"/>
            <w:tcBorders>
              <w:top w:val="single" w:sz="4" w:space="0" w:color="BFBFBF"/>
              <w:left w:val="single" w:sz="4" w:space="0" w:color="auto"/>
              <w:bottom w:val="single" w:sz="4" w:space="0" w:color="BFBFBF"/>
              <w:right w:val="single" w:sz="4" w:space="0" w:color="auto"/>
            </w:tcBorders>
          </w:tcPr>
          <w:p w14:paraId="4BB86E16"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7D641B61"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047B4CD5"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093F2CC6"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BFBFBF"/>
              <w:left w:val="single" w:sz="4" w:space="0" w:color="auto"/>
              <w:bottom w:val="single" w:sz="4" w:space="0" w:color="BFBFBF"/>
              <w:right w:val="single" w:sz="4" w:space="0" w:color="auto"/>
            </w:tcBorders>
          </w:tcPr>
          <w:p w14:paraId="57A54D8B"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7B9CAE60"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44DA93C2"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10634F1F"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4CDF2357"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r w:rsidR="00E44A82" w14:paraId="4C265022" w14:textId="77777777" w:rsidTr="00647044">
        <w:trPr>
          <w:cantSplit/>
        </w:trPr>
        <w:tc>
          <w:tcPr>
            <w:tcW w:w="420" w:type="dxa"/>
            <w:tcBorders>
              <w:top w:val="single" w:sz="4" w:space="0" w:color="BFBFBF"/>
              <w:left w:val="nil"/>
              <w:bottom w:val="single" w:sz="4" w:space="0" w:color="auto"/>
              <w:right w:val="single" w:sz="4" w:space="0" w:color="auto"/>
            </w:tcBorders>
            <w:vAlign w:val="center"/>
          </w:tcPr>
          <w:p w14:paraId="004698D5" w14:textId="77777777" w:rsidR="00E44A82" w:rsidRDefault="00E44A82" w:rsidP="00647044">
            <w:pPr>
              <w:pStyle w:val="TableText"/>
              <w:snapToGrid w:val="0"/>
              <w:rPr>
                <w:lang w:eastAsia="en-CA"/>
              </w:rPr>
            </w:pPr>
            <w:r>
              <w:rPr>
                <w:lang w:eastAsia="en-CA"/>
              </w:rPr>
              <w:t>5</w:t>
            </w:r>
          </w:p>
        </w:tc>
        <w:tc>
          <w:tcPr>
            <w:tcW w:w="2557" w:type="dxa"/>
            <w:tcBorders>
              <w:top w:val="single" w:sz="4" w:space="0" w:color="BFBFBF"/>
              <w:left w:val="nil"/>
              <w:bottom w:val="single" w:sz="4" w:space="0" w:color="auto"/>
              <w:right w:val="single" w:sz="4" w:space="0" w:color="auto"/>
            </w:tcBorders>
            <w:vAlign w:val="center"/>
          </w:tcPr>
          <w:p w14:paraId="2F61CE2A" w14:textId="77777777" w:rsidR="00E44A82" w:rsidRDefault="00E44A82" w:rsidP="00647044">
            <w:pPr>
              <w:keepNext/>
              <w:tabs>
                <w:tab w:val="left" w:pos="397"/>
                <w:tab w:val="left" w:pos="794"/>
                <w:tab w:val="left" w:pos="1191"/>
              </w:tabs>
              <w:snapToGrid w:val="0"/>
              <w:spacing w:before="20" w:after="20"/>
              <w:ind w:left="57"/>
              <w:rPr>
                <w:rFonts w:eastAsia="新細明體" w:cs="Segoe UI"/>
                <w:sz w:val="17"/>
                <w:szCs w:val="17"/>
                <w:lang w:eastAsia="en-GB"/>
              </w:rPr>
            </w:pPr>
            <w:r>
              <w:rPr>
                <w:rFonts w:eastAsia="新細明體" w:cs="Segoe UI"/>
                <w:sz w:val="17"/>
                <w:szCs w:val="17"/>
                <w:lang w:eastAsia="en-GB"/>
              </w:rPr>
              <w:t>re-securitization exposures</w:t>
            </w:r>
          </w:p>
        </w:tc>
        <w:tc>
          <w:tcPr>
            <w:tcW w:w="1212" w:type="dxa"/>
            <w:tcBorders>
              <w:top w:val="single" w:sz="4" w:space="0" w:color="BFBFBF"/>
              <w:left w:val="single" w:sz="4" w:space="0" w:color="auto"/>
              <w:bottom w:val="single" w:sz="4" w:space="0" w:color="auto"/>
              <w:right w:val="single" w:sz="4" w:space="0" w:color="auto"/>
            </w:tcBorders>
          </w:tcPr>
          <w:p w14:paraId="562EF03C"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61C300E4"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11061587"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3174A8B2"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BFBFBF"/>
              <w:left w:val="single" w:sz="4" w:space="0" w:color="auto"/>
              <w:bottom w:val="single" w:sz="4" w:space="0" w:color="auto"/>
              <w:right w:val="single" w:sz="4" w:space="0" w:color="auto"/>
            </w:tcBorders>
          </w:tcPr>
          <w:p w14:paraId="63788788"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21F46891"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385C3554"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4476A943"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17484FB3"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r w:rsidR="00E44A82" w14:paraId="47FDA2D9" w14:textId="77777777" w:rsidTr="00647044">
        <w:trPr>
          <w:cantSplit/>
        </w:trPr>
        <w:tc>
          <w:tcPr>
            <w:tcW w:w="420" w:type="dxa"/>
            <w:tcBorders>
              <w:top w:val="single" w:sz="4" w:space="0" w:color="auto"/>
              <w:left w:val="nil"/>
              <w:bottom w:val="single" w:sz="4" w:space="0" w:color="BFBFBF"/>
              <w:right w:val="single" w:sz="4" w:space="0" w:color="auto"/>
            </w:tcBorders>
            <w:vAlign w:val="center"/>
          </w:tcPr>
          <w:p w14:paraId="74DCF47A" w14:textId="77777777" w:rsidR="00E44A82" w:rsidRDefault="00E44A82" w:rsidP="00647044">
            <w:pPr>
              <w:pStyle w:val="TableText"/>
              <w:snapToGrid w:val="0"/>
              <w:rPr>
                <w:lang w:eastAsia="en-CA"/>
              </w:rPr>
            </w:pPr>
            <w:r>
              <w:rPr>
                <w:lang w:eastAsia="en-CA"/>
              </w:rPr>
              <w:t>6</w:t>
            </w:r>
          </w:p>
        </w:tc>
        <w:tc>
          <w:tcPr>
            <w:tcW w:w="2557" w:type="dxa"/>
            <w:tcBorders>
              <w:top w:val="single" w:sz="4" w:space="0" w:color="auto"/>
              <w:left w:val="nil"/>
              <w:bottom w:val="single" w:sz="4" w:space="0" w:color="BFBFBF"/>
              <w:right w:val="single" w:sz="4" w:space="0" w:color="auto"/>
            </w:tcBorders>
            <w:vAlign w:val="center"/>
          </w:tcPr>
          <w:p w14:paraId="5B9BDB23" w14:textId="77777777" w:rsidR="00E44A82" w:rsidRDefault="00E44A82" w:rsidP="00647044">
            <w:pPr>
              <w:keepNext/>
              <w:tabs>
                <w:tab w:val="left" w:pos="397"/>
                <w:tab w:val="left" w:pos="794"/>
                <w:tab w:val="left" w:pos="1191"/>
              </w:tabs>
              <w:snapToGrid w:val="0"/>
              <w:spacing w:before="20" w:after="20"/>
              <w:ind w:left="-108"/>
              <w:rPr>
                <w:rFonts w:eastAsia="新細明體" w:cs="Segoe UI"/>
                <w:sz w:val="17"/>
                <w:szCs w:val="17"/>
                <w:lang w:eastAsia="en-GB"/>
              </w:rPr>
            </w:pPr>
            <w:r>
              <w:rPr>
                <w:rFonts w:eastAsia="新細明體" w:cs="Segoe UI"/>
                <w:sz w:val="17"/>
                <w:szCs w:val="17"/>
                <w:lang w:eastAsia="en-GB"/>
              </w:rPr>
              <w:t xml:space="preserve"> Wholesale (total) – of which:</w:t>
            </w:r>
          </w:p>
        </w:tc>
        <w:tc>
          <w:tcPr>
            <w:tcW w:w="1212" w:type="dxa"/>
            <w:tcBorders>
              <w:top w:val="single" w:sz="4" w:space="0" w:color="auto"/>
              <w:left w:val="single" w:sz="4" w:space="0" w:color="auto"/>
              <w:bottom w:val="single" w:sz="4" w:space="0" w:color="BFBFBF"/>
              <w:right w:val="single" w:sz="4" w:space="0" w:color="auto"/>
            </w:tcBorders>
          </w:tcPr>
          <w:p w14:paraId="0532C06F"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070D1953"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1C914512"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0C1374B2"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auto"/>
              <w:left w:val="single" w:sz="4" w:space="0" w:color="auto"/>
              <w:bottom w:val="single" w:sz="4" w:space="0" w:color="BFBFBF"/>
              <w:right w:val="single" w:sz="4" w:space="0" w:color="auto"/>
            </w:tcBorders>
          </w:tcPr>
          <w:p w14:paraId="61708A22"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35702068"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2997F865"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46210086"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7B1DF99B"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r w:rsidR="00E44A82" w14:paraId="05C14785" w14:textId="77777777" w:rsidTr="00647044">
        <w:trPr>
          <w:cantSplit/>
        </w:trPr>
        <w:tc>
          <w:tcPr>
            <w:tcW w:w="420" w:type="dxa"/>
            <w:tcBorders>
              <w:top w:val="single" w:sz="4" w:space="0" w:color="BFBFBF"/>
              <w:left w:val="nil"/>
              <w:bottom w:val="single" w:sz="4" w:space="0" w:color="BFBFBF"/>
              <w:right w:val="single" w:sz="4" w:space="0" w:color="auto"/>
            </w:tcBorders>
            <w:vAlign w:val="center"/>
          </w:tcPr>
          <w:p w14:paraId="685D3C44" w14:textId="77777777" w:rsidR="00E44A82" w:rsidRDefault="00E44A82" w:rsidP="00647044">
            <w:pPr>
              <w:pStyle w:val="TableText"/>
              <w:snapToGrid w:val="0"/>
              <w:rPr>
                <w:lang w:eastAsia="en-CA"/>
              </w:rPr>
            </w:pPr>
            <w:r>
              <w:rPr>
                <w:lang w:eastAsia="en-CA"/>
              </w:rPr>
              <w:t>7</w:t>
            </w:r>
          </w:p>
        </w:tc>
        <w:tc>
          <w:tcPr>
            <w:tcW w:w="2557" w:type="dxa"/>
            <w:tcBorders>
              <w:top w:val="single" w:sz="4" w:space="0" w:color="BFBFBF"/>
              <w:left w:val="nil"/>
              <w:bottom w:val="single" w:sz="4" w:space="0" w:color="BFBFBF"/>
              <w:right w:val="single" w:sz="4" w:space="0" w:color="auto"/>
            </w:tcBorders>
            <w:vAlign w:val="center"/>
          </w:tcPr>
          <w:p w14:paraId="5BDDE9F2" w14:textId="77777777" w:rsidR="00E44A82" w:rsidRDefault="00E44A82" w:rsidP="00647044">
            <w:pPr>
              <w:keepNext/>
              <w:tabs>
                <w:tab w:val="left" w:pos="397"/>
                <w:tab w:val="left" w:pos="794"/>
                <w:tab w:val="left" w:pos="1191"/>
              </w:tabs>
              <w:snapToGrid w:val="0"/>
              <w:spacing w:before="20" w:after="20"/>
              <w:ind w:left="57"/>
              <w:rPr>
                <w:rFonts w:eastAsia="新細明體" w:cs="Segoe UI"/>
                <w:sz w:val="17"/>
                <w:szCs w:val="17"/>
                <w:lang w:eastAsia="en-GB"/>
              </w:rPr>
            </w:pPr>
            <w:r>
              <w:rPr>
                <w:rFonts w:eastAsia="新細明體" w:cs="Segoe UI"/>
                <w:sz w:val="17"/>
                <w:szCs w:val="17"/>
                <w:lang w:eastAsia="en-GB"/>
              </w:rPr>
              <w:t>loans to corporates</w:t>
            </w:r>
          </w:p>
        </w:tc>
        <w:tc>
          <w:tcPr>
            <w:tcW w:w="1212" w:type="dxa"/>
            <w:tcBorders>
              <w:top w:val="single" w:sz="4" w:space="0" w:color="BFBFBF"/>
              <w:left w:val="single" w:sz="4" w:space="0" w:color="auto"/>
              <w:bottom w:val="single" w:sz="4" w:space="0" w:color="BFBFBF"/>
              <w:right w:val="single" w:sz="4" w:space="0" w:color="auto"/>
            </w:tcBorders>
          </w:tcPr>
          <w:p w14:paraId="6B64E2AC"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1858C0B2"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1FE528D5"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355C47C0"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BFBFBF"/>
              <w:left w:val="single" w:sz="4" w:space="0" w:color="auto"/>
              <w:bottom w:val="single" w:sz="4" w:space="0" w:color="BFBFBF"/>
              <w:right w:val="single" w:sz="4" w:space="0" w:color="auto"/>
            </w:tcBorders>
          </w:tcPr>
          <w:p w14:paraId="30395875"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230353D4"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51B39EE4"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72E3777A"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1B6B7DAE"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r w:rsidR="00E44A82" w14:paraId="5A4798FF" w14:textId="77777777" w:rsidTr="00647044">
        <w:trPr>
          <w:cantSplit/>
        </w:trPr>
        <w:tc>
          <w:tcPr>
            <w:tcW w:w="420" w:type="dxa"/>
            <w:tcBorders>
              <w:top w:val="single" w:sz="4" w:space="0" w:color="BFBFBF"/>
              <w:left w:val="nil"/>
              <w:right w:val="single" w:sz="4" w:space="0" w:color="auto"/>
            </w:tcBorders>
            <w:vAlign w:val="center"/>
          </w:tcPr>
          <w:p w14:paraId="62E15B7B" w14:textId="77777777" w:rsidR="00E44A82" w:rsidRDefault="00E44A82" w:rsidP="00647044">
            <w:pPr>
              <w:pStyle w:val="TableText"/>
              <w:snapToGrid w:val="0"/>
              <w:rPr>
                <w:lang w:eastAsia="en-CA"/>
              </w:rPr>
            </w:pPr>
            <w:r>
              <w:rPr>
                <w:lang w:eastAsia="en-CA"/>
              </w:rPr>
              <w:t>8</w:t>
            </w:r>
          </w:p>
        </w:tc>
        <w:tc>
          <w:tcPr>
            <w:tcW w:w="2557" w:type="dxa"/>
            <w:tcBorders>
              <w:top w:val="single" w:sz="4" w:space="0" w:color="BFBFBF"/>
              <w:left w:val="nil"/>
              <w:right w:val="single" w:sz="4" w:space="0" w:color="auto"/>
            </w:tcBorders>
            <w:vAlign w:val="center"/>
          </w:tcPr>
          <w:p w14:paraId="7A7F774A" w14:textId="77777777" w:rsidR="00E44A82" w:rsidRDefault="00E44A82" w:rsidP="00647044">
            <w:pPr>
              <w:keepNext/>
              <w:tabs>
                <w:tab w:val="left" w:pos="397"/>
                <w:tab w:val="left" w:pos="794"/>
                <w:tab w:val="left" w:pos="1191"/>
              </w:tabs>
              <w:snapToGrid w:val="0"/>
              <w:spacing w:before="20" w:after="20"/>
              <w:ind w:left="57"/>
              <w:rPr>
                <w:rFonts w:eastAsia="新細明體" w:cs="Segoe UI"/>
                <w:sz w:val="17"/>
                <w:szCs w:val="17"/>
                <w:lang w:eastAsia="en-GB"/>
              </w:rPr>
            </w:pPr>
            <w:r>
              <w:rPr>
                <w:rFonts w:eastAsia="新細明體" w:cs="Segoe UI"/>
                <w:sz w:val="17"/>
                <w:szCs w:val="17"/>
                <w:lang w:eastAsia="en-GB"/>
              </w:rPr>
              <w:t xml:space="preserve">commercial mortgage </w:t>
            </w:r>
          </w:p>
        </w:tc>
        <w:tc>
          <w:tcPr>
            <w:tcW w:w="1212" w:type="dxa"/>
            <w:tcBorders>
              <w:top w:val="single" w:sz="4" w:space="0" w:color="BFBFBF"/>
              <w:left w:val="single" w:sz="4" w:space="0" w:color="auto"/>
              <w:bottom w:val="single" w:sz="4" w:space="0" w:color="BFBFBF"/>
              <w:right w:val="single" w:sz="4" w:space="0" w:color="auto"/>
            </w:tcBorders>
          </w:tcPr>
          <w:p w14:paraId="07104A85"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170794E1"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right w:val="single" w:sz="4" w:space="0" w:color="auto"/>
            </w:tcBorders>
          </w:tcPr>
          <w:p w14:paraId="18E736EF"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right w:val="single" w:sz="4" w:space="0" w:color="auto"/>
            </w:tcBorders>
          </w:tcPr>
          <w:p w14:paraId="79333554"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BFBFBF"/>
              <w:left w:val="single" w:sz="4" w:space="0" w:color="auto"/>
              <w:right w:val="single" w:sz="4" w:space="0" w:color="auto"/>
            </w:tcBorders>
          </w:tcPr>
          <w:p w14:paraId="3C91D4CC"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right w:val="single" w:sz="4" w:space="0" w:color="auto"/>
            </w:tcBorders>
          </w:tcPr>
          <w:p w14:paraId="419D648F"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4E27A29B"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6195FA49"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51AFA486"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r w:rsidR="00E44A82" w14:paraId="4F6FE75A" w14:textId="77777777" w:rsidTr="00647044">
        <w:trPr>
          <w:cantSplit/>
        </w:trPr>
        <w:tc>
          <w:tcPr>
            <w:tcW w:w="420" w:type="dxa"/>
            <w:tcBorders>
              <w:top w:val="single" w:sz="4" w:space="0" w:color="BFBFBF"/>
              <w:left w:val="nil"/>
              <w:bottom w:val="single" w:sz="4" w:space="0" w:color="BFBFBF"/>
              <w:right w:val="single" w:sz="4" w:space="0" w:color="auto"/>
            </w:tcBorders>
            <w:vAlign w:val="center"/>
          </w:tcPr>
          <w:p w14:paraId="07C55332" w14:textId="77777777" w:rsidR="00E44A82" w:rsidRDefault="00E44A82" w:rsidP="00647044">
            <w:pPr>
              <w:pStyle w:val="TableText"/>
              <w:snapToGrid w:val="0"/>
              <w:rPr>
                <w:lang w:eastAsia="en-CA"/>
              </w:rPr>
            </w:pPr>
            <w:r>
              <w:rPr>
                <w:lang w:eastAsia="en-CA"/>
              </w:rPr>
              <w:lastRenderedPageBreak/>
              <w:t>9</w:t>
            </w:r>
          </w:p>
        </w:tc>
        <w:tc>
          <w:tcPr>
            <w:tcW w:w="2557" w:type="dxa"/>
            <w:tcBorders>
              <w:top w:val="single" w:sz="4" w:space="0" w:color="BFBFBF"/>
              <w:left w:val="nil"/>
              <w:bottom w:val="single" w:sz="4" w:space="0" w:color="BFBFBF"/>
              <w:right w:val="single" w:sz="4" w:space="0" w:color="auto"/>
            </w:tcBorders>
            <w:vAlign w:val="center"/>
          </w:tcPr>
          <w:p w14:paraId="38154F80" w14:textId="77777777" w:rsidR="00E44A82" w:rsidRDefault="00E44A82" w:rsidP="00647044">
            <w:pPr>
              <w:keepNext/>
              <w:tabs>
                <w:tab w:val="left" w:pos="397"/>
                <w:tab w:val="left" w:pos="794"/>
                <w:tab w:val="left" w:pos="1191"/>
              </w:tabs>
              <w:snapToGrid w:val="0"/>
              <w:spacing w:before="20" w:after="20"/>
              <w:ind w:left="57"/>
              <w:rPr>
                <w:rFonts w:eastAsia="新細明體" w:cs="Segoe UI"/>
                <w:sz w:val="17"/>
                <w:szCs w:val="17"/>
                <w:lang w:eastAsia="ja-JP"/>
              </w:rPr>
            </w:pPr>
            <w:r>
              <w:rPr>
                <w:rFonts w:eastAsia="新細明體" w:cs="Segoe UI"/>
                <w:sz w:val="17"/>
                <w:szCs w:val="17"/>
                <w:lang w:eastAsia="en-GB"/>
              </w:rPr>
              <w:t>lease and receivables</w:t>
            </w:r>
          </w:p>
        </w:tc>
        <w:tc>
          <w:tcPr>
            <w:tcW w:w="1212" w:type="dxa"/>
            <w:tcBorders>
              <w:top w:val="single" w:sz="4" w:space="0" w:color="BFBFBF"/>
              <w:left w:val="single" w:sz="4" w:space="0" w:color="auto"/>
              <w:bottom w:val="single" w:sz="4" w:space="0" w:color="BFBFBF"/>
              <w:right w:val="single" w:sz="4" w:space="0" w:color="auto"/>
            </w:tcBorders>
          </w:tcPr>
          <w:p w14:paraId="2497AD08"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69D5C2FA"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right w:val="single" w:sz="4" w:space="0" w:color="auto"/>
            </w:tcBorders>
          </w:tcPr>
          <w:p w14:paraId="48A5DE11"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right w:val="single" w:sz="4" w:space="0" w:color="auto"/>
            </w:tcBorders>
          </w:tcPr>
          <w:p w14:paraId="1E450593"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BFBFBF"/>
              <w:left w:val="single" w:sz="4" w:space="0" w:color="auto"/>
              <w:right w:val="single" w:sz="4" w:space="0" w:color="auto"/>
            </w:tcBorders>
          </w:tcPr>
          <w:p w14:paraId="58F3923F"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right w:val="single" w:sz="4" w:space="0" w:color="auto"/>
            </w:tcBorders>
          </w:tcPr>
          <w:p w14:paraId="133E5D6C"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5A92A63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4700603B"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74788AC0"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r w:rsidR="00E44A82" w14:paraId="7ECC2689" w14:textId="77777777" w:rsidTr="00647044">
        <w:trPr>
          <w:cantSplit/>
        </w:trPr>
        <w:tc>
          <w:tcPr>
            <w:tcW w:w="420" w:type="dxa"/>
            <w:tcBorders>
              <w:top w:val="single" w:sz="4" w:space="0" w:color="BFBFBF"/>
              <w:left w:val="nil"/>
              <w:bottom w:val="single" w:sz="4" w:space="0" w:color="BFBFBF"/>
              <w:right w:val="single" w:sz="4" w:space="0" w:color="auto"/>
            </w:tcBorders>
            <w:vAlign w:val="center"/>
          </w:tcPr>
          <w:p w14:paraId="130B4E6D" w14:textId="77777777" w:rsidR="00E44A82" w:rsidRDefault="00E44A82" w:rsidP="00647044">
            <w:pPr>
              <w:pStyle w:val="TableText"/>
              <w:snapToGrid w:val="0"/>
              <w:rPr>
                <w:lang w:eastAsia="en-CA"/>
              </w:rPr>
            </w:pPr>
            <w:r>
              <w:rPr>
                <w:lang w:eastAsia="en-CA"/>
              </w:rPr>
              <w:t>10</w:t>
            </w:r>
          </w:p>
        </w:tc>
        <w:tc>
          <w:tcPr>
            <w:tcW w:w="2557" w:type="dxa"/>
            <w:tcBorders>
              <w:top w:val="single" w:sz="4" w:space="0" w:color="BFBFBF"/>
              <w:left w:val="nil"/>
              <w:bottom w:val="single" w:sz="4" w:space="0" w:color="BFBFBF"/>
              <w:right w:val="single" w:sz="4" w:space="0" w:color="auto"/>
            </w:tcBorders>
            <w:vAlign w:val="center"/>
          </w:tcPr>
          <w:p w14:paraId="33CC6033" w14:textId="77777777" w:rsidR="00E44A82" w:rsidRDefault="00E44A82" w:rsidP="00647044">
            <w:pPr>
              <w:keepNext/>
              <w:tabs>
                <w:tab w:val="left" w:pos="397"/>
                <w:tab w:val="left" w:pos="794"/>
                <w:tab w:val="left" w:pos="1191"/>
              </w:tabs>
              <w:snapToGrid w:val="0"/>
              <w:spacing w:before="20" w:after="20"/>
              <w:ind w:left="57"/>
              <w:rPr>
                <w:rFonts w:eastAsia="新細明體" w:cs="Segoe UI"/>
                <w:sz w:val="17"/>
                <w:szCs w:val="17"/>
                <w:lang w:eastAsia="en-GB"/>
              </w:rPr>
            </w:pPr>
            <w:r>
              <w:rPr>
                <w:rFonts w:eastAsia="新細明體" w:cs="Segoe UI"/>
                <w:sz w:val="17"/>
                <w:szCs w:val="17"/>
                <w:lang w:eastAsia="en-GB"/>
              </w:rPr>
              <w:t>other wholesale</w:t>
            </w:r>
          </w:p>
        </w:tc>
        <w:tc>
          <w:tcPr>
            <w:tcW w:w="1212" w:type="dxa"/>
            <w:tcBorders>
              <w:top w:val="single" w:sz="4" w:space="0" w:color="BFBFBF"/>
              <w:left w:val="single" w:sz="4" w:space="0" w:color="auto"/>
              <w:bottom w:val="single" w:sz="4" w:space="0" w:color="BFBFBF"/>
              <w:right w:val="single" w:sz="4" w:space="0" w:color="auto"/>
            </w:tcBorders>
          </w:tcPr>
          <w:p w14:paraId="42934BA2"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27C96E27"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right w:val="single" w:sz="4" w:space="0" w:color="auto"/>
            </w:tcBorders>
          </w:tcPr>
          <w:p w14:paraId="7593A203"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right w:val="single" w:sz="4" w:space="0" w:color="auto"/>
            </w:tcBorders>
          </w:tcPr>
          <w:p w14:paraId="3BBB30BF"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BFBFBF"/>
              <w:left w:val="single" w:sz="4" w:space="0" w:color="auto"/>
              <w:right w:val="single" w:sz="4" w:space="0" w:color="auto"/>
            </w:tcBorders>
          </w:tcPr>
          <w:p w14:paraId="1749D958"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right w:val="single" w:sz="4" w:space="0" w:color="auto"/>
            </w:tcBorders>
          </w:tcPr>
          <w:p w14:paraId="0723C32A"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0202CC99"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406FAEBF"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178FB2D4"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r w:rsidR="00E44A82" w14:paraId="51E97724" w14:textId="77777777" w:rsidTr="00647044">
        <w:trPr>
          <w:cantSplit/>
        </w:trPr>
        <w:tc>
          <w:tcPr>
            <w:tcW w:w="420" w:type="dxa"/>
            <w:tcBorders>
              <w:top w:val="single" w:sz="4" w:space="0" w:color="BFBFBF"/>
              <w:left w:val="nil"/>
              <w:bottom w:val="single" w:sz="4" w:space="0" w:color="auto"/>
              <w:right w:val="single" w:sz="4" w:space="0" w:color="auto"/>
            </w:tcBorders>
            <w:vAlign w:val="center"/>
          </w:tcPr>
          <w:p w14:paraId="78EF4675" w14:textId="77777777" w:rsidR="00E44A82" w:rsidRDefault="00E44A82" w:rsidP="00647044">
            <w:pPr>
              <w:pStyle w:val="TableText"/>
              <w:snapToGrid w:val="0"/>
              <w:rPr>
                <w:lang w:eastAsia="en-CA"/>
              </w:rPr>
            </w:pPr>
            <w:r>
              <w:rPr>
                <w:lang w:eastAsia="en-CA"/>
              </w:rPr>
              <w:t>11</w:t>
            </w:r>
          </w:p>
        </w:tc>
        <w:tc>
          <w:tcPr>
            <w:tcW w:w="2557" w:type="dxa"/>
            <w:tcBorders>
              <w:top w:val="single" w:sz="4" w:space="0" w:color="BFBFBF"/>
              <w:left w:val="nil"/>
              <w:bottom w:val="single" w:sz="4" w:space="0" w:color="auto"/>
              <w:right w:val="single" w:sz="4" w:space="0" w:color="auto"/>
            </w:tcBorders>
            <w:vAlign w:val="center"/>
          </w:tcPr>
          <w:p w14:paraId="0E6EFDE7" w14:textId="77777777" w:rsidR="00E44A82" w:rsidRDefault="00E44A82" w:rsidP="00647044">
            <w:pPr>
              <w:keepNext/>
              <w:tabs>
                <w:tab w:val="left" w:pos="397"/>
                <w:tab w:val="left" w:pos="794"/>
                <w:tab w:val="left" w:pos="1191"/>
              </w:tabs>
              <w:snapToGrid w:val="0"/>
              <w:spacing w:before="20" w:after="20"/>
              <w:ind w:left="57"/>
              <w:rPr>
                <w:rFonts w:eastAsia="新細明體" w:cs="Segoe UI"/>
                <w:sz w:val="17"/>
                <w:szCs w:val="17"/>
                <w:lang w:eastAsia="en-GB"/>
              </w:rPr>
            </w:pPr>
            <w:r>
              <w:rPr>
                <w:rFonts w:eastAsia="新細明體" w:cs="Segoe UI"/>
                <w:sz w:val="17"/>
                <w:szCs w:val="17"/>
                <w:lang w:eastAsia="en-GB"/>
              </w:rPr>
              <w:t>re-securitization exposures</w:t>
            </w:r>
          </w:p>
        </w:tc>
        <w:tc>
          <w:tcPr>
            <w:tcW w:w="1212" w:type="dxa"/>
            <w:tcBorders>
              <w:top w:val="single" w:sz="4" w:space="0" w:color="BFBFBF"/>
              <w:left w:val="single" w:sz="4" w:space="0" w:color="auto"/>
              <w:bottom w:val="single" w:sz="4" w:space="0" w:color="auto"/>
              <w:right w:val="single" w:sz="4" w:space="0" w:color="auto"/>
            </w:tcBorders>
          </w:tcPr>
          <w:p w14:paraId="530F4316"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0B8D775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4D28F27E"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36EB9F18"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BFBFBF"/>
              <w:left w:val="single" w:sz="4" w:space="0" w:color="auto"/>
              <w:bottom w:val="single" w:sz="4" w:space="0" w:color="auto"/>
              <w:right w:val="single" w:sz="4" w:space="0" w:color="auto"/>
            </w:tcBorders>
          </w:tcPr>
          <w:p w14:paraId="084334F6"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155381A9"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3FA1DE07"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3FCF7DC5"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1618D67F"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bl>
    <w:p w14:paraId="048C71FB" w14:textId="77777777" w:rsidR="00E44A82" w:rsidRDefault="00E44A82" w:rsidP="00E44A82">
      <w:pPr>
        <w:spacing w:before="40" w:after="40"/>
        <w:rPr>
          <w:sz w:val="22"/>
        </w:rPr>
      </w:pP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2758"/>
      </w:tblGrid>
      <w:tr w:rsidR="00E44A82" w14:paraId="024FECFB" w14:textId="77777777" w:rsidTr="00647044">
        <w:trPr>
          <w:tblHeader/>
        </w:trPr>
        <w:tc>
          <w:tcPr>
            <w:tcW w:w="13892" w:type="dxa"/>
            <w:gridSpan w:val="2"/>
            <w:shd w:val="clear" w:color="auto" w:fill="BFBFBF"/>
          </w:tcPr>
          <w:p w14:paraId="1AFD4BC1" w14:textId="77777777" w:rsidR="00E44A82" w:rsidRDefault="00E44A82" w:rsidP="00647044">
            <w:pPr>
              <w:pStyle w:val="TableNote"/>
              <w:keepNext/>
              <w:spacing w:before="40" w:after="40"/>
              <w:rPr>
                <w:rFonts w:eastAsia="新細明體"/>
                <w:b/>
                <w:sz w:val="17"/>
                <w:lang w:eastAsia="en-GB"/>
              </w:rPr>
            </w:pPr>
            <w:r>
              <w:rPr>
                <w:rFonts w:eastAsia="新細明體"/>
                <w:b/>
                <w:sz w:val="17"/>
                <w:lang w:eastAsia="en-GB"/>
              </w:rPr>
              <w:t>Explanatory Note</w:t>
            </w:r>
          </w:p>
        </w:tc>
      </w:tr>
      <w:tr w:rsidR="00E44A82" w14:paraId="58583771" w14:textId="77777777" w:rsidTr="00647044">
        <w:tc>
          <w:tcPr>
            <w:tcW w:w="13892" w:type="dxa"/>
            <w:gridSpan w:val="2"/>
            <w:shd w:val="clear" w:color="auto" w:fill="F2F2F2"/>
          </w:tcPr>
          <w:p w14:paraId="4F42FFB2" w14:textId="77777777" w:rsidR="00E44A82" w:rsidRDefault="00E44A82" w:rsidP="00647044">
            <w:pPr>
              <w:pStyle w:val="TableNote"/>
              <w:keepNext/>
              <w:spacing w:before="40" w:after="40"/>
              <w:rPr>
                <w:i/>
                <w:sz w:val="17"/>
                <w:szCs w:val="17"/>
              </w:rPr>
            </w:pPr>
            <w:r>
              <w:rPr>
                <w:rFonts w:eastAsia="新細明體"/>
                <w:b/>
                <w:sz w:val="17"/>
                <w:lang w:eastAsia="en-GB"/>
              </w:rPr>
              <w:t>Columns</w:t>
            </w:r>
          </w:p>
        </w:tc>
      </w:tr>
      <w:tr w:rsidR="00E44A82" w14:paraId="55891544" w14:textId="77777777" w:rsidTr="00647044">
        <w:tc>
          <w:tcPr>
            <w:tcW w:w="1134" w:type="dxa"/>
          </w:tcPr>
          <w:p w14:paraId="4B53CA7C" w14:textId="77777777" w:rsidR="00E44A82" w:rsidRDefault="00E44A82" w:rsidP="00647044">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(a) to (c)</w:t>
            </w:r>
          </w:p>
        </w:tc>
        <w:tc>
          <w:tcPr>
            <w:tcW w:w="12758" w:type="dxa"/>
          </w:tcPr>
          <w:p w14:paraId="688BC81E" w14:textId="77777777" w:rsidR="00E44A82" w:rsidRDefault="00E44A82" w:rsidP="00647044">
            <w:pPr>
              <w:keepLines/>
              <w:widowControl w:val="0"/>
              <w:tabs>
                <w:tab w:val="left" w:pos="150"/>
                <w:tab w:val="left" w:pos="397"/>
                <w:tab w:val="left" w:pos="794"/>
                <w:tab w:val="left" w:pos="1191"/>
              </w:tabs>
              <w:spacing w:before="20" w:after="20"/>
              <w:jc w:val="both"/>
              <w:rPr>
                <w:i/>
                <w:sz w:val="17"/>
                <w:szCs w:val="17"/>
              </w:rPr>
            </w:pPr>
            <w:r>
              <w:rPr>
                <w:rFonts w:eastAsia="新細明體" w:cs="Segoe UI"/>
                <w:bCs/>
                <w:i/>
                <w:sz w:val="17"/>
                <w:szCs w:val="17"/>
                <w:lang w:eastAsia="ja-JP"/>
              </w:rPr>
              <w:t>Acting as originator (excluding sponsor)</w:t>
            </w:r>
            <w:r>
              <w:rPr>
                <w:rFonts w:eastAsia="新細明體" w:cs="Segoe UI"/>
                <w:bCs/>
                <w:sz w:val="17"/>
                <w:szCs w:val="17"/>
                <w:lang w:eastAsia="ja-JP"/>
              </w:rPr>
              <w:t xml:space="preserve">: the </w:t>
            </w:r>
            <w:r>
              <w:rPr>
                <w:sz w:val="17"/>
                <w:szCs w:val="17"/>
              </w:rPr>
              <w:t>securitization</w:t>
            </w:r>
            <w:r>
              <w:rPr>
                <w:rFonts w:eastAsia="新細明體" w:cs="Segoe UI"/>
                <w:bCs/>
                <w:sz w:val="17"/>
                <w:szCs w:val="17"/>
                <w:lang w:eastAsia="ja-JP"/>
              </w:rPr>
              <w:t xml:space="preserve"> positions reported under these columns are the positions retained by an AI in a capacity that directly or indirectly originates the underlying exposures in the transaction, including </w:t>
            </w:r>
            <w:r w:rsidRPr="006057B8">
              <w:rPr>
                <w:rFonts w:eastAsia="新細明體" w:cs="Segoe UI"/>
                <w:bCs/>
                <w:sz w:val="17"/>
                <w:szCs w:val="17"/>
                <w:lang w:eastAsia="ja-JP"/>
              </w:rPr>
              <w:t>exposures arise from an eligible securitization transaction or a non-eligible securitization transaction.</w:t>
            </w:r>
            <w:r w:rsidDel="00EC4B7F">
              <w:rPr>
                <w:rFonts w:eastAsia="新細明體" w:cs="Segoe UI"/>
                <w:bCs/>
                <w:sz w:val="17"/>
                <w:szCs w:val="17"/>
                <w:lang w:eastAsia="ja-JP"/>
              </w:rPr>
              <w:t xml:space="preserve"> </w:t>
            </w:r>
          </w:p>
        </w:tc>
      </w:tr>
      <w:tr w:rsidR="00E44A82" w14:paraId="09E2BEDA" w14:textId="77777777" w:rsidTr="00647044">
        <w:tc>
          <w:tcPr>
            <w:tcW w:w="1134" w:type="dxa"/>
          </w:tcPr>
          <w:p w14:paraId="0701C0E7" w14:textId="77777777" w:rsidR="00E44A82" w:rsidRDefault="00E44A82" w:rsidP="00647044">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(d) to (f)</w:t>
            </w:r>
          </w:p>
        </w:tc>
        <w:tc>
          <w:tcPr>
            <w:tcW w:w="12758" w:type="dxa"/>
          </w:tcPr>
          <w:p w14:paraId="6952004F" w14:textId="77777777" w:rsidR="00E44A82" w:rsidRDefault="00E44A82" w:rsidP="00647044">
            <w:pPr>
              <w:keepLines/>
              <w:widowControl w:val="0"/>
              <w:tabs>
                <w:tab w:val="left" w:pos="150"/>
                <w:tab w:val="left" w:pos="397"/>
                <w:tab w:val="left" w:pos="794"/>
                <w:tab w:val="left" w:pos="1191"/>
              </w:tabs>
              <w:spacing w:before="20" w:after="20"/>
              <w:jc w:val="both"/>
              <w:rPr>
                <w:rFonts w:eastAsia="新細明體" w:cs="Segoe UI"/>
                <w:bCs/>
                <w:sz w:val="17"/>
                <w:szCs w:val="17"/>
                <w:lang w:eastAsia="ja-JP"/>
              </w:rPr>
            </w:pPr>
            <w:r>
              <w:rPr>
                <w:rFonts w:eastAsia="新細明體" w:cs="Segoe UI"/>
                <w:bCs/>
                <w:i/>
                <w:sz w:val="17"/>
                <w:szCs w:val="17"/>
                <w:lang w:eastAsia="ja-JP"/>
              </w:rPr>
              <w:t>Acting as sponsor</w:t>
            </w:r>
            <w:r>
              <w:rPr>
                <w:rFonts w:eastAsia="新細明體" w:cs="Segoe UI"/>
                <w:bCs/>
                <w:sz w:val="17"/>
                <w:szCs w:val="17"/>
                <w:lang w:eastAsia="ja-JP"/>
              </w:rPr>
              <w:t xml:space="preserve">: the securitization </w:t>
            </w:r>
            <w:r>
              <w:rPr>
                <w:sz w:val="17"/>
                <w:szCs w:val="17"/>
              </w:rPr>
              <w:t>positions</w:t>
            </w:r>
            <w:r>
              <w:rPr>
                <w:rFonts w:eastAsia="新細明體" w:cs="Segoe UI"/>
                <w:bCs/>
                <w:sz w:val="17"/>
                <w:szCs w:val="17"/>
                <w:lang w:eastAsia="ja-JP"/>
              </w:rPr>
              <w:t xml:space="preserve"> reported under these columns are those arising from the activities of an AI as a sponsor, for example, exposures to commercial paper conduits to which the AI provides programme-wide enhancements, liquidity and other facilities.  Where the AI acts as both originator and sponsor, it should avoid double-counting for the purpose of disclosure.  In this regard, the AI should merge the two columns into one as “Acting as originator / sponsor” in its presentation.</w:t>
            </w:r>
          </w:p>
        </w:tc>
      </w:tr>
      <w:tr w:rsidR="00E44A82" w14:paraId="11345507" w14:textId="77777777" w:rsidTr="00647044">
        <w:tc>
          <w:tcPr>
            <w:tcW w:w="1134" w:type="dxa"/>
          </w:tcPr>
          <w:p w14:paraId="5AC0771A" w14:textId="77777777" w:rsidR="00E44A82" w:rsidRDefault="00E44A82" w:rsidP="00647044">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(g) to (i)</w:t>
            </w:r>
          </w:p>
        </w:tc>
        <w:tc>
          <w:tcPr>
            <w:tcW w:w="12758" w:type="dxa"/>
          </w:tcPr>
          <w:p w14:paraId="24A60C58" w14:textId="77777777" w:rsidR="00E44A82" w:rsidRDefault="00E44A82" w:rsidP="00647044">
            <w:pPr>
              <w:keepLines/>
              <w:widowControl w:val="0"/>
              <w:tabs>
                <w:tab w:val="left" w:pos="150"/>
                <w:tab w:val="left" w:pos="397"/>
                <w:tab w:val="left" w:pos="794"/>
                <w:tab w:val="left" w:pos="1191"/>
              </w:tabs>
              <w:spacing w:before="20" w:after="20"/>
              <w:jc w:val="both"/>
              <w:rPr>
                <w:rFonts w:eastAsia="新細明體" w:cs="Segoe UI"/>
                <w:bCs/>
                <w:sz w:val="17"/>
                <w:szCs w:val="17"/>
                <w:lang w:eastAsia="ja-JP"/>
              </w:rPr>
            </w:pPr>
            <w:r>
              <w:rPr>
                <w:rFonts w:eastAsia="新細明體" w:cs="Segoe UI"/>
                <w:bCs/>
                <w:i/>
                <w:sz w:val="17"/>
                <w:szCs w:val="17"/>
                <w:lang w:eastAsia="ja-JP"/>
              </w:rPr>
              <w:t>Acting as investor</w:t>
            </w:r>
            <w:r>
              <w:rPr>
                <w:rFonts w:eastAsia="新細明體" w:cs="Segoe UI"/>
                <w:bCs/>
                <w:sz w:val="17"/>
                <w:szCs w:val="17"/>
                <w:lang w:eastAsia="ja-JP"/>
              </w:rPr>
              <w:t>: these columns represent the investment positions an AI purchased in third-party deals.</w:t>
            </w:r>
          </w:p>
        </w:tc>
      </w:tr>
      <w:tr w:rsidR="00E44A82" w14:paraId="5693C339" w14:textId="77777777" w:rsidTr="00647044">
        <w:tc>
          <w:tcPr>
            <w:tcW w:w="1134" w:type="dxa"/>
          </w:tcPr>
          <w:p w14:paraId="1FAEA4D8" w14:textId="77777777" w:rsidR="00E44A82" w:rsidRDefault="00E44A82" w:rsidP="00647044">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(a), (d) &amp; (g)</w:t>
            </w:r>
          </w:p>
        </w:tc>
        <w:tc>
          <w:tcPr>
            <w:tcW w:w="12758" w:type="dxa"/>
          </w:tcPr>
          <w:p w14:paraId="09F6A7E5" w14:textId="77777777" w:rsidR="00E44A82" w:rsidRDefault="00E44A82" w:rsidP="00647044">
            <w:pPr>
              <w:keepLines/>
              <w:widowControl w:val="0"/>
              <w:tabs>
                <w:tab w:val="left" w:pos="150"/>
                <w:tab w:val="left" w:pos="397"/>
                <w:tab w:val="left" w:pos="794"/>
                <w:tab w:val="left" w:pos="1191"/>
              </w:tabs>
              <w:spacing w:before="20" w:after="20"/>
              <w:jc w:val="both"/>
              <w:rPr>
                <w:rFonts w:eastAsia="新細明體" w:cs="Segoe UI"/>
                <w:bCs/>
                <w:i/>
                <w:sz w:val="17"/>
                <w:szCs w:val="17"/>
                <w:lang w:eastAsia="ja-JP"/>
              </w:rPr>
            </w:pPr>
            <w:r>
              <w:rPr>
                <w:rFonts w:eastAsia="新細明體" w:cs="Segoe UI"/>
                <w:bCs/>
                <w:i/>
                <w:sz w:val="17"/>
                <w:szCs w:val="17"/>
                <w:lang w:eastAsia="ja-JP"/>
              </w:rPr>
              <w:t>Traditional</w:t>
            </w:r>
            <w:r>
              <w:rPr>
                <w:rFonts w:eastAsia="新細明體" w:cs="Segoe UI"/>
                <w:bCs/>
                <w:sz w:val="17"/>
                <w:szCs w:val="17"/>
                <w:lang w:eastAsia="ja-JP"/>
              </w:rPr>
              <w:t>: this captures any traditional securitization transaction as defined under Part 7 of the BCR.</w:t>
            </w:r>
          </w:p>
        </w:tc>
      </w:tr>
      <w:tr w:rsidR="00E44A82" w14:paraId="130C0704" w14:textId="77777777" w:rsidTr="00647044">
        <w:tc>
          <w:tcPr>
            <w:tcW w:w="1134" w:type="dxa"/>
          </w:tcPr>
          <w:p w14:paraId="7DB54309" w14:textId="77777777" w:rsidR="00E44A82" w:rsidRDefault="00E44A82" w:rsidP="00647044">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(b), (e) &amp; (h)</w:t>
            </w:r>
          </w:p>
        </w:tc>
        <w:tc>
          <w:tcPr>
            <w:tcW w:w="12758" w:type="dxa"/>
          </w:tcPr>
          <w:p w14:paraId="2DD9AE9A" w14:textId="77777777" w:rsidR="00E44A82" w:rsidRDefault="00E44A82" w:rsidP="00647044">
            <w:pPr>
              <w:keepLines/>
              <w:widowControl w:val="0"/>
              <w:tabs>
                <w:tab w:val="left" w:pos="150"/>
                <w:tab w:val="left" w:pos="397"/>
                <w:tab w:val="left" w:pos="794"/>
                <w:tab w:val="left" w:pos="1191"/>
              </w:tabs>
              <w:spacing w:before="20" w:after="20"/>
              <w:jc w:val="both"/>
              <w:rPr>
                <w:rFonts w:eastAsia="新細明體" w:cs="Segoe UI"/>
                <w:bCs/>
                <w:i/>
                <w:sz w:val="17"/>
                <w:szCs w:val="17"/>
                <w:lang w:eastAsia="ja-JP"/>
              </w:rPr>
            </w:pPr>
            <w:r>
              <w:rPr>
                <w:rFonts w:eastAsia="新細明體" w:cs="Segoe UI"/>
                <w:bCs/>
                <w:i/>
                <w:sz w:val="17"/>
                <w:szCs w:val="17"/>
                <w:lang w:eastAsia="it-IT"/>
              </w:rPr>
              <w:t>Synthetic</w:t>
            </w:r>
            <w:r>
              <w:rPr>
                <w:rFonts w:eastAsia="新細明體" w:cs="Segoe UI"/>
                <w:bCs/>
                <w:sz w:val="17"/>
                <w:szCs w:val="17"/>
                <w:lang w:eastAsia="ja-JP"/>
              </w:rPr>
              <w:t>: this captures any synthetic securitization transaction as defined under Part 7 of the BCR.  If an AI has purchased protection it should report the net exposure amounts to which it is exposed under columns originator/sponsor (i.e. the amount that is not secured).  If the AI has sold protection, the exposure amount of the credit protection should be reported in the “investor” column.</w:t>
            </w:r>
          </w:p>
        </w:tc>
      </w:tr>
      <w:tr w:rsidR="00E44A82" w14:paraId="772034AC" w14:textId="77777777" w:rsidTr="00647044">
        <w:tc>
          <w:tcPr>
            <w:tcW w:w="13892" w:type="dxa"/>
            <w:gridSpan w:val="2"/>
            <w:shd w:val="clear" w:color="auto" w:fill="F2F2F2"/>
          </w:tcPr>
          <w:p w14:paraId="4F75D95A" w14:textId="77777777" w:rsidR="00E44A82" w:rsidRDefault="00E44A82" w:rsidP="00647044">
            <w:pPr>
              <w:keepLines/>
              <w:widowControl w:val="0"/>
              <w:tabs>
                <w:tab w:val="left" w:pos="150"/>
                <w:tab w:val="left" w:pos="397"/>
                <w:tab w:val="left" w:pos="794"/>
                <w:tab w:val="left" w:pos="1191"/>
              </w:tabs>
              <w:spacing w:before="20" w:after="20"/>
              <w:jc w:val="both"/>
              <w:rPr>
                <w:rFonts w:eastAsia="新細明體" w:cs="Segoe UI"/>
                <w:bCs/>
                <w:i/>
                <w:sz w:val="17"/>
                <w:szCs w:val="17"/>
                <w:lang w:eastAsia="it-IT"/>
              </w:rPr>
            </w:pPr>
            <w:r>
              <w:rPr>
                <w:rFonts w:eastAsia="新細明體"/>
                <w:b/>
                <w:sz w:val="17"/>
                <w:lang w:eastAsia="en-GB"/>
              </w:rPr>
              <w:t>Rows</w:t>
            </w:r>
          </w:p>
        </w:tc>
      </w:tr>
      <w:tr w:rsidR="00E44A82" w14:paraId="2C1A5604" w14:textId="77777777" w:rsidTr="00647044">
        <w:tc>
          <w:tcPr>
            <w:tcW w:w="1134" w:type="dxa"/>
          </w:tcPr>
          <w:p w14:paraId="2991A8AA" w14:textId="77777777" w:rsidR="00E44A82" w:rsidRDefault="00E44A82" w:rsidP="00647044">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All</w:t>
            </w:r>
          </w:p>
        </w:tc>
        <w:tc>
          <w:tcPr>
            <w:tcW w:w="12758" w:type="dxa"/>
          </w:tcPr>
          <w:p w14:paraId="5400571A" w14:textId="77777777" w:rsidR="00E44A82" w:rsidRDefault="00E44A82" w:rsidP="00647044">
            <w:pPr>
              <w:keepLines/>
              <w:widowControl w:val="0"/>
              <w:tabs>
                <w:tab w:val="left" w:pos="150"/>
                <w:tab w:val="left" w:pos="397"/>
                <w:tab w:val="left" w:pos="794"/>
                <w:tab w:val="left" w:pos="1191"/>
              </w:tabs>
              <w:spacing w:before="20" w:after="20"/>
              <w:jc w:val="both"/>
              <w:rPr>
                <w:rFonts w:eastAsia="新細明體" w:cs="Segoe UI"/>
                <w:bCs/>
                <w:i/>
                <w:sz w:val="17"/>
                <w:szCs w:val="17"/>
                <w:lang w:eastAsia="it-IT"/>
              </w:rPr>
            </w:pPr>
            <w:r>
              <w:rPr>
                <w:rFonts w:eastAsia="新細明體"/>
                <w:sz w:val="17"/>
                <w:lang w:eastAsia="en-GB"/>
              </w:rPr>
              <w:t>An AI may modify the breakdown of exposures in the rows if another breakdown would be more appropriate to reflect its transactions, except that the rows regarding re-securitization exposures (i.e. rows 5 and 11 in the above table) are fixed, meaning that all re-securitization exposures that fall under the definition in the BCR should be reported in these rows but not in other rows, which contain only securitization exposures other than re-securitization exposures.</w:t>
            </w:r>
          </w:p>
        </w:tc>
      </w:tr>
    </w:tbl>
    <w:p w14:paraId="09629B91" w14:textId="3F78D066" w:rsidR="00E44A82" w:rsidRDefault="00E44A82" w:rsidP="00E44A82">
      <w:pPr>
        <w:spacing w:before="40" w:after="40"/>
        <w:rPr>
          <w:rFonts w:eastAsia="新細明體"/>
          <w:sz w:val="22"/>
          <w:lang w:eastAsia="zh-TW"/>
        </w:rPr>
        <w:sectPr w:rsidR="00E44A82">
          <w:footerReference w:type="default" r:id="rId73"/>
          <w:pgSz w:w="16838" w:h="11906" w:orient="landscape" w:code="9"/>
          <w:pgMar w:top="1276" w:right="1440" w:bottom="993" w:left="1440" w:header="851" w:footer="737" w:gutter="0"/>
          <w:cols w:space="425"/>
          <w:docGrid w:type="linesAndChars" w:linePitch="360"/>
        </w:sectPr>
      </w:pPr>
    </w:p>
    <w:p w14:paraId="1F7F8A99" w14:textId="40DB668A" w:rsidR="00E44A82" w:rsidRDefault="00E86FDC" w:rsidP="00842509">
      <w:pPr>
        <w:pStyle w:val="Heading3"/>
        <w:ind w:left="113"/>
      </w:pPr>
      <w:r>
        <w:lastRenderedPageBreak/>
        <w:t>Template SEC2: Securitization exposures in trading book</w:t>
      </w:r>
    </w:p>
    <w:tbl>
      <w:tblPr>
        <w:tblW w:w="14000"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660"/>
        <w:gridCol w:w="11340"/>
      </w:tblGrid>
      <w:tr w:rsidR="00E86FDC" w14:paraId="6267F30D" w14:textId="77777777" w:rsidTr="007A7C71">
        <w:tc>
          <w:tcPr>
            <w:tcW w:w="2660" w:type="dxa"/>
          </w:tcPr>
          <w:p w14:paraId="0E6D711C" w14:textId="77777777" w:rsidR="00E86FDC" w:rsidRDefault="00E86FDC" w:rsidP="006C63B0">
            <w:pPr>
              <w:spacing w:before="40" w:after="40"/>
              <w:rPr>
                <w:noProof/>
                <w:sz w:val="17"/>
                <w:szCs w:val="17"/>
                <w:lang w:eastAsia="en-GB"/>
              </w:rPr>
            </w:pPr>
            <w:r>
              <w:rPr>
                <w:b/>
                <w:sz w:val="17"/>
                <w:szCs w:val="17"/>
                <w:lang w:eastAsia="en-GB"/>
              </w:rPr>
              <w:t>Purpose:</w:t>
            </w:r>
          </w:p>
        </w:tc>
        <w:tc>
          <w:tcPr>
            <w:tcW w:w="11340" w:type="dxa"/>
          </w:tcPr>
          <w:p w14:paraId="1798F7D2" w14:textId="77777777" w:rsidR="00E86FDC" w:rsidRDefault="00E86FDC" w:rsidP="006C63B0">
            <w:pPr>
              <w:spacing w:before="40" w:after="40"/>
              <w:jc w:val="both"/>
              <w:rPr>
                <w:rFonts w:eastAsia="新細明體"/>
                <w:sz w:val="17"/>
                <w:lang w:eastAsia="en-GB"/>
              </w:rPr>
            </w:pPr>
            <w:r>
              <w:rPr>
                <w:rFonts w:eastAsia="新細明體"/>
                <w:sz w:val="17"/>
                <w:lang w:eastAsia="en-GB"/>
              </w:rPr>
              <w:t>To present a breakdown of securitization exposures in the trading book (regardless of whether the exposures arising from eligible securitization transactions o</w:t>
            </w:r>
            <w:r w:rsidRPr="000B637B">
              <w:rPr>
                <w:rFonts w:eastAsia="新細明體"/>
                <w:sz w:val="17"/>
                <w:lang w:eastAsia="en-GB"/>
              </w:rPr>
              <w:t>r non-eligible securitization transaction</w:t>
            </w:r>
            <w:r>
              <w:rPr>
                <w:rFonts w:eastAsia="新細明體"/>
                <w:sz w:val="17"/>
                <w:lang w:eastAsia="en-GB"/>
              </w:rPr>
              <w:t>s)</w:t>
            </w:r>
            <w:r w:rsidRPr="000B637B">
              <w:rPr>
                <w:rFonts w:eastAsia="新細明體"/>
                <w:sz w:val="17"/>
                <w:lang w:eastAsia="en-GB"/>
              </w:rPr>
              <w:t>.</w:t>
            </w:r>
          </w:p>
        </w:tc>
      </w:tr>
      <w:tr w:rsidR="00E86FDC" w14:paraId="6EED3EAE" w14:textId="77777777" w:rsidTr="007A7C71">
        <w:tc>
          <w:tcPr>
            <w:tcW w:w="2660" w:type="dxa"/>
          </w:tcPr>
          <w:p w14:paraId="48E429AA" w14:textId="77777777" w:rsidR="00E86FDC" w:rsidRDefault="00E86FDC" w:rsidP="006C63B0">
            <w:pPr>
              <w:spacing w:before="40" w:after="40"/>
              <w:rPr>
                <w:b/>
                <w:sz w:val="17"/>
                <w:szCs w:val="17"/>
                <w:lang w:eastAsia="en-GB"/>
              </w:rPr>
            </w:pPr>
            <w:r>
              <w:rPr>
                <w:b/>
                <w:sz w:val="17"/>
                <w:szCs w:val="17"/>
                <w:lang w:eastAsia="en-GB"/>
              </w:rPr>
              <w:t>Scope of application:</w:t>
            </w:r>
          </w:p>
        </w:tc>
        <w:tc>
          <w:tcPr>
            <w:tcW w:w="11340" w:type="dxa"/>
          </w:tcPr>
          <w:p w14:paraId="741F46D5" w14:textId="77777777" w:rsidR="00E86FDC" w:rsidRDefault="00E86FDC" w:rsidP="006C63B0">
            <w:pPr>
              <w:spacing w:before="40" w:after="40"/>
              <w:jc w:val="both"/>
              <w:rPr>
                <w:rFonts w:eastAsia="新細明體"/>
                <w:b/>
                <w:sz w:val="17"/>
                <w:lang w:eastAsia="en-GB"/>
              </w:rPr>
            </w:pPr>
            <w:r>
              <w:rPr>
                <w:rFonts w:eastAsia="新細明體"/>
                <w:sz w:val="17"/>
                <w:lang w:eastAsia="en-GB"/>
              </w:rPr>
              <w:t>The template is mandatory for AIs</w:t>
            </w:r>
            <w:r>
              <w:rPr>
                <w:sz w:val="17"/>
                <w:lang w:eastAsia="en-GB"/>
              </w:rPr>
              <w:t xml:space="preserve"> incorporated in Hong Kong</w:t>
            </w:r>
            <w:r>
              <w:rPr>
                <w:rFonts w:eastAsia="新細明體"/>
                <w:sz w:val="17"/>
                <w:lang w:eastAsia="en-GB"/>
              </w:rPr>
              <w:t xml:space="preserve"> with securitization exposures in the trading book.</w:t>
            </w:r>
          </w:p>
        </w:tc>
      </w:tr>
      <w:tr w:rsidR="00E86FDC" w14:paraId="2099CA97" w14:textId="77777777" w:rsidTr="007A7C71">
        <w:trPr>
          <w:trHeight w:val="275"/>
        </w:trPr>
        <w:tc>
          <w:tcPr>
            <w:tcW w:w="2660" w:type="dxa"/>
          </w:tcPr>
          <w:p w14:paraId="1E8A893B" w14:textId="77777777" w:rsidR="00E86FDC" w:rsidRDefault="00E86FDC" w:rsidP="006C63B0">
            <w:pPr>
              <w:spacing w:before="40" w:after="40"/>
              <w:rPr>
                <w:b/>
                <w:sz w:val="17"/>
                <w:szCs w:val="17"/>
                <w:lang w:eastAsia="en-GB"/>
              </w:rPr>
            </w:pPr>
            <w:r>
              <w:rPr>
                <w:b/>
                <w:sz w:val="17"/>
                <w:szCs w:val="17"/>
                <w:lang w:eastAsia="en-GB"/>
              </w:rPr>
              <w:t>Content:</w:t>
            </w:r>
          </w:p>
        </w:tc>
        <w:tc>
          <w:tcPr>
            <w:tcW w:w="11340" w:type="dxa"/>
          </w:tcPr>
          <w:p w14:paraId="43BF6530" w14:textId="77777777" w:rsidR="00E86FDC" w:rsidRDefault="00E86FDC" w:rsidP="006C63B0">
            <w:pPr>
              <w:spacing w:before="40" w:after="40"/>
              <w:jc w:val="both"/>
              <w:rPr>
                <w:rFonts w:eastAsia="新細明體"/>
                <w:b/>
                <w:sz w:val="17"/>
                <w:lang w:eastAsia="en-GB"/>
              </w:rPr>
            </w:pPr>
            <w:r>
              <w:rPr>
                <w:rFonts w:eastAsia="新細明體"/>
                <w:sz w:val="17"/>
                <w:lang w:eastAsia="en-GB"/>
              </w:rPr>
              <w:t xml:space="preserve">Carrying values.  For the purpose of this template, securitization exposures are those defined under the BCR, including those arising from non-eligible securitization transactions. </w:t>
            </w:r>
          </w:p>
        </w:tc>
      </w:tr>
      <w:tr w:rsidR="00E86FDC" w14:paraId="0CBA37B8" w14:textId="77777777" w:rsidTr="007A7C71">
        <w:tc>
          <w:tcPr>
            <w:tcW w:w="2660" w:type="dxa"/>
          </w:tcPr>
          <w:p w14:paraId="46FDC8C3" w14:textId="77777777" w:rsidR="00E86FDC" w:rsidRDefault="00E86FDC" w:rsidP="006C63B0">
            <w:pPr>
              <w:spacing w:before="40" w:after="40"/>
              <w:rPr>
                <w:sz w:val="17"/>
                <w:szCs w:val="17"/>
                <w:lang w:eastAsia="en-GB"/>
              </w:rPr>
            </w:pPr>
            <w:r>
              <w:rPr>
                <w:b/>
                <w:sz w:val="17"/>
                <w:szCs w:val="17"/>
                <w:lang w:eastAsia="en-GB"/>
              </w:rPr>
              <w:t>Frequency:</w:t>
            </w:r>
          </w:p>
        </w:tc>
        <w:tc>
          <w:tcPr>
            <w:tcW w:w="11340" w:type="dxa"/>
          </w:tcPr>
          <w:p w14:paraId="110BCCBD" w14:textId="77777777" w:rsidR="00E86FDC" w:rsidRDefault="00E86FDC" w:rsidP="006C63B0">
            <w:pPr>
              <w:spacing w:before="40" w:after="40"/>
              <w:jc w:val="both"/>
              <w:rPr>
                <w:rFonts w:eastAsia="新細明體"/>
                <w:sz w:val="17"/>
                <w:lang w:eastAsia="en-GB"/>
              </w:rPr>
            </w:pPr>
            <w:r>
              <w:rPr>
                <w:rFonts w:eastAsia="新細明體"/>
                <w:sz w:val="17"/>
                <w:lang w:eastAsia="en-GB"/>
              </w:rPr>
              <w:t>Semi-annual.</w:t>
            </w:r>
          </w:p>
        </w:tc>
      </w:tr>
      <w:tr w:rsidR="00E86FDC" w14:paraId="7D2E78AD" w14:textId="77777777" w:rsidTr="007A7C71">
        <w:tc>
          <w:tcPr>
            <w:tcW w:w="2660" w:type="dxa"/>
          </w:tcPr>
          <w:p w14:paraId="5EF84524" w14:textId="77777777" w:rsidR="00E86FDC" w:rsidRDefault="00E86FDC" w:rsidP="006C63B0">
            <w:pPr>
              <w:spacing w:before="40" w:after="40"/>
              <w:rPr>
                <w:sz w:val="17"/>
                <w:szCs w:val="17"/>
                <w:lang w:eastAsia="en-GB"/>
              </w:rPr>
            </w:pPr>
            <w:r>
              <w:rPr>
                <w:b/>
                <w:sz w:val="17"/>
                <w:szCs w:val="17"/>
                <w:lang w:eastAsia="en-GB"/>
              </w:rPr>
              <w:t>Format:</w:t>
            </w:r>
          </w:p>
        </w:tc>
        <w:tc>
          <w:tcPr>
            <w:tcW w:w="11340" w:type="dxa"/>
          </w:tcPr>
          <w:p w14:paraId="758151DD" w14:textId="77777777" w:rsidR="00E86FDC" w:rsidRDefault="00E86FDC" w:rsidP="006C63B0">
            <w:pPr>
              <w:spacing w:before="40" w:after="40"/>
              <w:jc w:val="both"/>
              <w:rPr>
                <w:rFonts w:eastAsia="新細明體"/>
                <w:sz w:val="17"/>
                <w:lang w:eastAsia="en-GB"/>
              </w:rPr>
            </w:pPr>
            <w:r>
              <w:rPr>
                <w:rFonts w:eastAsia="新細明體"/>
                <w:sz w:val="17"/>
                <w:lang w:eastAsia="en-GB"/>
              </w:rPr>
              <w:t>Flexible.</w:t>
            </w:r>
          </w:p>
        </w:tc>
      </w:tr>
      <w:tr w:rsidR="00E86FDC" w14:paraId="3D46DA18" w14:textId="77777777" w:rsidTr="007A7C71">
        <w:tc>
          <w:tcPr>
            <w:tcW w:w="2660" w:type="dxa"/>
          </w:tcPr>
          <w:p w14:paraId="7AD88C8A" w14:textId="77777777" w:rsidR="00E86FDC" w:rsidRDefault="00E86FDC" w:rsidP="006C63B0">
            <w:pPr>
              <w:spacing w:before="40" w:after="40"/>
              <w:rPr>
                <w:b/>
                <w:sz w:val="17"/>
                <w:szCs w:val="17"/>
                <w:lang w:eastAsia="en-GB"/>
              </w:rPr>
            </w:pPr>
            <w:r>
              <w:rPr>
                <w:rFonts w:eastAsia="新細明體"/>
                <w:b/>
                <w:sz w:val="17"/>
                <w:szCs w:val="17"/>
                <w:lang w:eastAsia="en-GB"/>
              </w:rPr>
              <w:t>Accompanying narrative</w:t>
            </w:r>
            <w:r>
              <w:rPr>
                <w:rFonts w:eastAsia="新細明體"/>
                <w:sz w:val="17"/>
                <w:szCs w:val="17"/>
                <w:lang w:eastAsia="en-GB"/>
              </w:rPr>
              <w:t>:</w:t>
            </w:r>
          </w:p>
        </w:tc>
        <w:tc>
          <w:tcPr>
            <w:tcW w:w="11340" w:type="dxa"/>
          </w:tcPr>
          <w:p w14:paraId="60948889" w14:textId="77777777" w:rsidR="00E86FDC" w:rsidRDefault="00E86FDC" w:rsidP="006C63B0">
            <w:pPr>
              <w:spacing w:before="40" w:after="40"/>
              <w:jc w:val="both"/>
              <w:rPr>
                <w:rFonts w:eastAsia="新細明體"/>
                <w:noProof/>
                <w:sz w:val="17"/>
                <w:lang w:eastAsia="en-GB"/>
              </w:rPr>
            </w:pPr>
            <w:r>
              <w:rPr>
                <w:sz w:val="17"/>
                <w:szCs w:val="17"/>
                <w:lang w:eastAsia="en-GB"/>
              </w:rPr>
              <w:t>An AI should supplement the template with a narrative commentary to explain any material movements in the current reporting period and the key drivers of such movements.</w:t>
            </w:r>
          </w:p>
        </w:tc>
      </w:tr>
      <w:tr w:rsidR="00E86FDC" w14:paraId="2739F842" w14:textId="77777777" w:rsidTr="007A7C71">
        <w:tc>
          <w:tcPr>
            <w:tcW w:w="2660" w:type="dxa"/>
          </w:tcPr>
          <w:p w14:paraId="62299AE4" w14:textId="77777777" w:rsidR="00E86FDC" w:rsidRDefault="00E86FDC" w:rsidP="006C63B0">
            <w:pPr>
              <w:spacing w:before="40" w:after="40"/>
              <w:rPr>
                <w:rFonts w:eastAsia="新細明體"/>
                <w:b/>
                <w:sz w:val="17"/>
                <w:szCs w:val="17"/>
                <w:lang w:eastAsia="en-GB"/>
              </w:rPr>
            </w:pPr>
            <w:r>
              <w:rPr>
                <w:rFonts w:eastAsia="新細明體"/>
                <w:b/>
                <w:sz w:val="17"/>
                <w:szCs w:val="17"/>
                <w:lang w:eastAsia="en-GB"/>
              </w:rPr>
              <w:t>Corresponding BDR section:</w:t>
            </w:r>
          </w:p>
        </w:tc>
        <w:tc>
          <w:tcPr>
            <w:tcW w:w="11340" w:type="dxa"/>
          </w:tcPr>
          <w:p w14:paraId="7128044D" w14:textId="77777777" w:rsidR="00E86FDC" w:rsidRDefault="00E86FDC" w:rsidP="006C63B0">
            <w:pPr>
              <w:spacing w:before="40" w:after="40"/>
              <w:jc w:val="both"/>
              <w:rPr>
                <w:sz w:val="17"/>
                <w:szCs w:val="17"/>
                <w:lang w:eastAsia="en-GB"/>
              </w:rPr>
            </w:pPr>
            <w:r>
              <w:rPr>
                <w:sz w:val="17"/>
                <w:szCs w:val="17"/>
                <w:lang w:eastAsia="en-GB"/>
              </w:rPr>
              <w:t>16ZG</w:t>
            </w:r>
          </w:p>
        </w:tc>
      </w:tr>
    </w:tbl>
    <w:p w14:paraId="331981D8" w14:textId="77777777" w:rsidR="00E86FDC" w:rsidRDefault="00E86FDC" w:rsidP="00E44A82">
      <w:pPr>
        <w:spacing w:before="40" w:after="40"/>
        <w:rPr>
          <w:sz w:val="22"/>
        </w:rPr>
      </w:pPr>
    </w:p>
    <w:tbl>
      <w:tblPr>
        <w:tblW w:w="13892" w:type="dxa"/>
        <w:tblInd w:w="108"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ayout w:type="fixed"/>
        <w:tblLook w:val="00A0" w:firstRow="1" w:lastRow="0" w:firstColumn="1" w:lastColumn="0" w:noHBand="0" w:noVBand="0"/>
      </w:tblPr>
      <w:tblGrid>
        <w:gridCol w:w="420"/>
        <w:gridCol w:w="2557"/>
        <w:gridCol w:w="1212"/>
        <w:gridCol w:w="1213"/>
        <w:gridCol w:w="1213"/>
        <w:gridCol w:w="1213"/>
        <w:gridCol w:w="1212"/>
        <w:gridCol w:w="1213"/>
        <w:gridCol w:w="1213"/>
        <w:gridCol w:w="1213"/>
        <w:gridCol w:w="1213"/>
      </w:tblGrid>
      <w:tr w:rsidR="00E44A82" w14:paraId="2937C54F" w14:textId="77777777" w:rsidTr="00647044">
        <w:trPr>
          <w:cantSplit/>
          <w:trHeight w:val="113"/>
          <w:tblHeader/>
        </w:trPr>
        <w:tc>
          <w:tcPr>
            <w:tcW w:w="420" w:type="dxa"/>
            <w:tcBorders>
              <w:top w:val="nil"/>
              <w:left w:val="nil"/>
              <w:bottom w:val="nil"/>
              <w:right w:val="nil"/>
            </w:tcBorders>
          </w:tcPr>
          <w:p w14:paraId="7AF4C0BB" w14:textId="77777777" w:rsidR="00E44A82" w:rsidRDefault="00E44A82" w:rsidP="00647044">
            <w:pPr>
              <w:keepNext/>
              <w:snapToGrid w:val="0"/>
              <w:spacing w:before="40" w:after="40"/>
              <w:rPr>
                <w:rFonts w:eastAsia="新細明體" w:cs="Segoe UI"/>
                <w:sz w:val="17"/>
                <w:szCs w:val="17"/>
                <w:lang w:eastAsia="en-GB"/>
              </w:rPr>
            </w:pPr>
          </w:p>
        </w:tc>
        <w:tc>
          <w:tcPr>
            <w:tcW w:w="2557" w:type="dxa"/>
            <w:tcBorders>
              <w:top w:val="nil"/>
              <w:left w:val="nil"/>
              <w:bottom w:val="nil"/>
              <w:right w:val="single" w:sz="4" w:space="0" w:color="auto"/>
            </w:tcBorders>
            <w:vAlign w:val="center"/>
          </w:tcPr>
          <w:p w14:paraId="1A92CC22" w14:textId="77777777" w:rsidR="00E44A82" w:rsidRDefault="00E44A82" w:rsidP="00647044">
            <w:pPr>
              <w:keepNext/>
              <w:snapToGrid w:val="0"/>
              <w:spacing w:before="40" w:after="40"/>
              <w:rPr>
                <w:rFonts w:eastAsia="新細明體" w:cs="Segoe UI"/>
                <w:sz w:val="17"/>
                <w:szCs w:val="17"/>
                <w:lang w:eastAsia="en-GB"/>
              </w:rPr>
            </w:pPr>
          </w:p>
        </w:tc>
        <w:tc>
          <w:tcPr>
            <w:tcW w:w="1212" w:type="dxa"/>
            <w:tcBorders>
              <w:top w:val="single" w:sz="4" w:space="0" w:color="auto"/>
              <w:left w:val="single" w:sz="4" w:space="0" w:color="auto"/>
              <w:bottom w:val="single" w:sz="4" w:space="0" w:color="auto"/>
              <w:right w:val="single" w:sz="4" w:space="0" w:color="auto"/>
            </w:tcBorders>
          </w:tcPr>
          <w:p w14:paraId="0CADF41E" w14:textId="77777777" w:rsidR="00E44A82" w:rsidRDefault="00E44A82" w:rsidP="00647044">
            <w:pPr>
              <w:snapToGrid w:val="0"/>
              <w:spacing w:before="40" w:after="40"/>
              <w:jc w:val="center"/>
              <w:rPr>
                <w:rFonts w:eastAsia="新細明體" w:cs="Segoe UI"/>
                <w:bCs/>
                <w:sz w:val="17"/>
                <w:szCs w:val="17"/>
                <w:lang w:eastAsia="ja-JP"/>
              </w:rPr>
            </w:pPr>
            <w:r>
              <w:rPr>
                <w:rFonts w:eastAsia="新細明體" w:cs="Segoe UI"/>
                <w:bCs/>
                <w:sz w:val="17"/>
                <w:szCs w:val="17"/>
                <w:lang w:eastAsia="ja-JP"/>
              </w:rPr>
              <w:t>(a)</w:t>
            </w:r>
          </w:p>
        </w:tc>
        <w:tc>
          <w:tcPr>
            <w:tcW w:w="1213" w:type="dxa"/>
            <w:tcBorders>
              <w:top w:val="single" w:sz="4" w:space="0" w:color="auto"/>
              <w:left w:val="single" w:sz="4" w:space="0" w:color="auto"/>
              <w:bottom w:val="single" w:sz="4" w:space="0" w:color="auto"/>
              <w:right w:val="single" w:sz="4" w:space="0" w:color="auto"/>
            </w:tcBorders>
          </w:tcPr>
          <w:p w14:paraId="087AEC7B" w14:textId="77777777" w:rsidR="00E44A82" w:rsidRDefault="00E44A82" w:rsidP="00647044">
            <w:pPr>
              <w:snapToGrid w:val="0"/>
              <w:spacing w:before="40" w:after="40"/>
              <w:jc w:val="center"/>
              <w:rPr>
                <w:rFonts w:eastAsia="新細明體" w:cs="Segoe UI"/>
                <w:bCs/>
                <w:sz w:val="17"/>
                <w:szCs w:val="17"/>
                <w:lang w:eastAsia="ja-JP"/>
              </w:rPr>
            </w:pPr>
            <w:r>
              <w:rPr>
                <w:rFonts w:eastAsia="新細明體" w:cs="Segoe UI"/>
                <w:bCs/>
                <w:sz w:val="17"/>
                <w:szCs w:val="17"/>
                <w:lang w:eastAsia="ja-JP"/>
              </w:rPr>
              <w:t>(b)</w:t>
            </w:r>
          </w:p>
        </w:tc>
        <w:tc>
          <w:tcPr>
            <w:tcW w:w="1213" w:type="dxa"/>
            <w:tcBorders>
              <w:top w:val="single" w:sz="4" w:space="0" w:color="auto"/>
              <w:left w:val="single" w:sz="4" w:space="0" w:color="auto"/>
              <w:bottom w:val="single" w:sz="4" w:space="0" w:color="auto"/>
              <w:right w:val="single" w:sz="4" w:space="0" w:color="auto"/>
            </w:tcBorders>
          </w:tcPr>
          <w:p w14:paraId="6ECEEC65" w14:textId="77777777" w:rsidR="00E44A82" w:rsidRDefault="00E44A82" w:rsidP="00647044">
            <w:pPr>
              <w:snapToGrid w:val="0"/>
              <w:spacing w:before="40" w:after="40"/>
              <w:jc w:val="center"/>
              <w:rPr>
                <w:rFonts w:eastAsia="新細明體" w:cs="Segoe UI"/>
                <w:bCs/>
                <w:sz w:val="17"/>
                <w:szCs w:val="17"/>
                <w:lang w:eastAsia="ja-JP"/>
              </w:rPr>
            </w:pPr>
            <w:r>
              <w:rPr>
                <w:rFonts w:eastAsia="新細明體" w:cs="Segoe UI"/>
                <w:bCs/>
                <w:sz w:val="17"/>
                <w:szCs w:val="17"/>
                <w:lang w:eastAsia="ja-JP"/>
              </w:rPr>
              <w:t>(c)</w:t>
            </w:r>
          </w:p>
        </w:tc>
        <w:tc>
          <w:tcPr>
            <w:tcW w:w="1213" w:type="dxa"/>
            <w:tcBorders>
              <w:top w:val="single" w:sz="4" w:space="0" w:color="auto"/>
              <w:left w:val="single" w:sz="4" w:space="0" w:color="auto"/>
              <w:bottom w:val="single" w:sz="4" w:space="0" w:color="auto"/>
              <w:right w:val="single" w:sz="4" w:space="0" w:color="auto"/>
            </w:tcBorders>
          </w:tcPr>
          <w:p w14:paraId="134FC3FF" w14:textId="77777777" w:rsidR="00E44A82" w:rsidRDefault="00E44A82" w:rsidP="00647044">
            <w:pPr>
              <w:snapToGrid w:val="0"/>
              <w:spacing w:before="40" w:after="40"/>
              <w:jc w:val="center"/>
              <w:rPr>
                <w:rFonts w:eastAsia="新細明體" w:cs="Segoe UI"/>
                <w:bCs/>
                <w:sz w:val="17"/>
                <w:szCs w:val="17"/>
                <w:lang w:eastAsia="ja-JP"/>
              </w:rPr>
            </w:pPr>
            <w:r>
              <w:rPr>
                <w:rFonts w:eastAsia="新細明體" w:cs="Segoe UI"/>
                <w:bCs/>
                <w:sz w:val="17"/>
                <w:szCs w:val="17"/>
                <w:lang w:eastAsia="ja-JP"/>
              </w:rPr>
              <w:t>(d)</w:t>
            </w:r>
          </w:p>
        </w:tc>
        <w:tc>
          <w:tcPr>
            <w:tcW w:w="1212" w:type="dxa"/>
            <w:tcBorders>
              <w:top w:val="single" w:sz="4" w:space="0" w:color="auto"/>
              <w:left w:val="single" w:sz="4" w:space="0" w:color="auto"/>
              <w:bottom w:val="single" w:sz="4" w:space="0" w:color="auto"/>
              <w:right w:val="single" w:sz="4" w:space="0" w:color="auto"/>
            </w:tcBorders>
          </w:tcPr>
          <w:p w14:paraId="761ED74A" w14:textId="77777777" w:rsidR="00E44A82" w:rsidRDefault="00E44A82" w:rsidP="00647044">
            <w:pPr>
              <w:snapToGrid w:val="0"/>
              <w:spacing w:before="40" w:after="40"/>
              <w:jc w:val="center"/>
              <w:rPr>
                <w:rFonts w:eastAsia="新細明體" w:cs="Segoe UI"/>
                <w:bCs/>
                <w:sz w:val="17"/>
                <w:szCs w:val="17"/>
                <w:lang w:eastAsia="ja-JP"/>
              </w:rPr>
            </w:pPr>
            <w:r>
              <w:rPr>
                <w:rFonts w:eastAsia="新細明體" w:cs="Segoe UI"/>
                <w:bCs/>
                <w:sz w:val="17"/>
                <w:szCs w:val="17"/>
                <w:lang w:eastAsia="ja-JP"/>
              </w:rPr>
              <w:t>(e)</w:t>
            </w:r>
          </w:p>
        </w:tc>
        <w:tc>
          <w:tcPr>
            <w:tcW w:w="1213" w:type="dxa"/>
            <w:tcBorders>
              <w:top w:val="single" w:sz="4" w:space="0" w:color="auto"/>
              <w:left w:val="single" w:sz="4" w:space="0" w:color="auto"/>
              <w:bottom w:val="single" w:sz="4" w:space="0" w:color="auto"/>
              <w:right w:val="single" w:sz="4" w:space="0" w:color="auto"/>
            </w:tcBorders>
          </w:tcPr>
          <w:p w14:paraId="183620EE" w14:textId="77777777" w:rsidR="00E44A82" w:rsidRDefault="00E44A82" w:rsidP="00647044">
            <w:pPr>
              <w:snapToGrid w:val="0"/>
              <w:spacing w:before="40" w:after="40"/>
              <w:jc w:val="center"/>
              <w:rPr>
                <w:rFonts w:eastAsia="新細明體" w:cs="Segoe UI"/>
                <w:bCs/>
                <w:sz w:val="17"/>
                <w:szCs w:val="17"/>
                <w:lang w:eastAsia="ja-JP"/>
              </w:rPr>
            </w:pPr>
            <w:r>
              <w:rPr>
                <w:rFonts w:eastAsia="新細明體" w:cs="Segoe UI"/>
                <w:bCs/>
                <w:sz w:val="17"/>
                <w:szCs w:val="17"/>
                <w:lang w:eastAsia="ja-JP"/>
              </w:rPr>
              <w:t>(f)</w:t>
            </w:r>
          </w:p>
        </w:tc>
        <w:tc>
          <w:tcPr>
            <w:tcW w:w="1213" w:type="dxa"/>
            <w:tcBorders>
              <w:top w:val="single" w:sz="4" w:space="0" w:color="auto"/>
              <w:left w:val="single" w:sz="4" w:space="0" w:color="auto"/>
              <w:bottom w:val="single" w:sz="4" w:space="0" w:color="auto"/>
              <w:right w:val="single" w:sz="4" w:space="0" w:color="auto"/>
            </w:tcBorders>
          </w:tcPr>
          <w:p w14:paraId="6F9A056D" w14:textId="77777777" w:rsidR="00E44A82" w:rsidRDefault="00E44A82" w:rsidP="00647044">
            <w:pPr>
              <w:snapToGrid w:val="0"/>
              <w:spacing w:before="40" w:after="40"/>
              <w:jc w:val="center"/>
              <w:rPr>
                <w:rFonts w:eastAsia="新細明體" w:cs="Segoe UI"/>
                <w:bCs/>
                <w:sz w:val="17"/>
                <w:szCs w:val="17"/>
                <w:lang w:eastAsia="ja-JP"/>
              </w:rPr>
            </w:pPr>
            <w:r>
              <w:rPr>
                <w:rFonts w:eastAsia="新細明體" w:cs="Segoe UI"/>
                <w:bCs/>
                <w:sz w:val="17"/>
                <w:szCs w:val="17"/>
                <w:lang w:eastAsia="ja-JP"/>
              </w:rPr>
              <w:t>(g)</w:t>
            </w:r>
          </w:p>
        </w:tc>
        <w:tc>
          <w:tcPr>
            <w:tcW w:w="1213" w:type="dxa"/>
            <w:tcBorders>
              <w:top w:val="single" w:sz="4" w:space="0" w:color="auto"/>
              <w:left w:val="single" w:sz="4" w:space="0" w:color="auto"/>
              <w:bottom w:val="single" w:sz="4" w:space="0" w:color="auto"/>
              <w:right w:val="single" w:sz="4" w:space="0" w:color="auto"/>
            </w:tcBorders>
          </w:tcPr>
          <w:p w14:paraId="02CF24EE" w14:textId="77777777" w:rsidR="00E44A82" w:rsidRDefault="00E44A82" w:rsidP="00647044">
            <w:pPr>
              <w:snapToGrid w:val="0"/>
              <w:spacing w:before="40" w:after="40"/>
              <w:jc w:val="center"/>
              <w:rPr>
                <w:rFonts w:eastAsia="新細明體" w:cs="Segoe UI"/>
                <w:bCs/>
                <w:sz w:val="17"/>
                <w:szCs w:val="17"/>
                <w:lang w:eastAsia="ja-JP"/>
              </w:rPr>
            </w:pPr>
            <w:r>
              <w:rPr>
                <w:rFonts w:eastAsia="新細明體" w:cs="Segoe UI"/>
                <w:bCs/>
                <w:sz w:val="17"/>
                <w:szCs w:val="17"/>
                <w:lang w:eastAsia="ja-JP"/>
              </w:rPr>
              <w:t>(h)</w:t>
            </w:r>
          </w:p>
        </w:tc>
        <w:tc>
          <w:tcPr>
            <w:tcW w:w="1213" w:type="dxa"/>
            <w:tcBorders>
              <w:top w:val="single" w:sz="4" w:space="0" w:color="auto"/>
              <w:left w:val="single" w:sz="4" w:space="0" w:color="auto"/>
              <w:bottom w:val="single" w:sz="4" w:space="0" w:color="auto"/>
              <w:right w:val="single" w:sz="4" w:space="0" w:color="auto"/>
            </w:tcBorders>
          </w:tcPr>
          <w:p w14:paraId="5FC87B87" w14:textId="77777777" w:rsidR="00E44A82" w:rsidRDefault="00E44A82" w:rsidP="00647044">
            <w:pPr>
              <w:snapToGrid w:val="0"/>
              <w:spacing w:before="40" w:after="40"/>
              <w:jc w:val="center"/>
              <w:rPr>
                <w:rFonts w:eastAsia="新細明體" w:cs="Segoe UI"/>
                <w:bCs/>
                <w:sz w:val="17"/>
                <w:szCs w:val="17"/>
                <w:lang w:eastAsia="ja-JP"/>
              </w:rPr>
            </w:pPr>
            <w:r>
              <w:rPr>
                <w:rFonts w:eastAsia="新細明體" w:cs="Segoe UI"/>
                <w:bCs/>
                <w:sz w:val="17"/>
                <w:szCs w:val="17"/>
                <w:lang w:eastAsia="ja-JP"/>
              </w:rPr>
              <w:t>(i)</w:t>
            </w:r>
          </w:p>
        </w:tc>
      </w:tr>
      <w:tr w:rsidR="00E44A82" w14:paraId="53034887" w14:textId="77777777" w:rsidTr="00647044">
        <w:trPr>
          <w:cantSplit/>
          <w:tblHeader/>
        </w:trPr>
        <w:tc>
          <w:tcPr>
            <w:tcW w:w="420" w:type="dxa"/>
            <w:tcBorders>
              <w:top w:val="nil"/>
              <w:left w:val="nil"/>
              <w:bottom w:val="nil"/>
              <w:right w:val="nil"/>
            </w:tcBorders>
          </w:tcPr>
          <w:p w14:paraId="5B993B51" w14:textId="77777777" w:rsidR="00E44A82" w:rsidRDefault="00E44A82" w:rsidP="00647044">
            <w:pPr>
              <w:keepNext/>
              <w:snapToGrid w:val="0"/>
              <w:rPr>
                <w:rFonts w:eastAsia="新細明體" w:cs="Segoe UI"/>
                <w:sz w:val="17"/>
                <w:szCs w:val="17"/>
                <w:lang w:eastAsia="en-GB"/>
              </w:rPr>
            </w:pPr>
          </w:p>
        </w:tc>
        <w:tc>
          <w:tcPr>
            <w:tcW w:w="2557" w:type="dxa"/>
            <w:tcBorders>
              <w:top w:val="nil"/>
              <w:left w:val="nil"/>
              <w:bottom w:val="nil"/>
              <w:right w:val="single" w:sz="4" w:space="0" w:color="auto"/>
            </w:tcBorders>
            <w:vAlign w:val="center"/>
          </w:tcPr>
          <w:p w14:paraId="2085878A" w14:textId="77777777" w:rsidR="00E44A82" w:rsidRDefault="00E44A82" w:rsidP="00647044">
            <w:pPr>
              <w:keepNext/>
              <w:snapToGrid w:val="0"/>
              <w:rPr>
                <w:rFonts w:eastAsia="新細明體" w:cs="Segoe UI"/>
                <w:sz w:val="17"/>
                <w:szCs w:val="17"/>
                <w:lang w:eastAsia="en-GB"/>
              </w:rPr>
            </w:pPr>
          </w:p>
        </w:tc>
        <w:tc>
          <w:tcPr>
            <w:tcW w:w="3638" w:type="dxa"/>
            <w:gridSpan w:val="3"/>
            <w:tcBorders>
              <w:top w:val="single" w:sz="4" w:space="0" w:color="auto"/>
              <w:left w:val="single" w:sz="4" w:space="0" w:color="auto"/>
              <w:bottom w:val="single" w:sz="4" w:space="0" w:color="auto"/>
              <w:right w:val="single" w:sz="4" w:space="0" w:color="auto"/>
            </w:tcBorders>
            <w:vAlign w:val="center"/>
          </w:tcPr>
          <w:p w14:paraId="3DAD8F4D" w14:textId="77777777" w:rsidR="00E44A82" w:rsidRDefault="00E44A82" w:rsidP="00647044">
            <w:pPr>
              <w:snapToGrid w:val="0"/>
              <w:spacing w:before="20" w:after="20"/>
              <w:jc w:val="center"/>
              <w:rPr>
                <w:rFonts w:eastAsia="新細明體" w:cs="Segoe UI"/>
                <w:bCs/>
                <w:sz w:val="17"/>
                <w:szCs w:val="17"/>
                <w:lang w:eastAsia="ja-JP"/>
              </w:rPr>
            </w:pPr>
            <w:r>
              <w:rPr>
                <w:rFonts w:eastAsia="新細明體" w:cs="Segoe UI"/>
                <w:bCs/>
                <w:sz w:val="17"/>
                <w:szCs w:val="17"/>
                <w:lang w:eastAsia="ja-JP"/>
              </w:rPr>
              <w:t>Acting as originator (excluding sponsor)</w:t>
            </w:r>
          </w:p>
        </w:tc>
        <w:tc>
          <w:tcPr>
            <w:tcW w:w="3638" w:type="dxa"/>
            <w:gridSpan w:val="3"/>
            <w:tcBorders>
              <w:top w:val="single" w:sz="4" w:space="0" w:color="auto"/>
              <w:left w:val="single" w:sz="4" w:space="0" w:color="auto"/>
              <w:bottom w:val="single" w:sz="4" w:space="0" w:color="auto"/>
              <w:right w:val="single" w:sz="4" w:space="0" w:color="auto"/>
            </w:tcBorders>
          </w:tcPr>
          <w:p w14:paraId="465F5277" w14:textId="77777777" w:rsidR="00E44A82" w:rsidRDefault="00E44A82" w:rsidP="00647044">
            <w:pPr>
              <w:snapToGrid w:val="0"/>
              <w:spacing w:before="20" w:after="20"/>
              <w:jc w:val="center"/>
              <w:rPr>
                <w:rFonts w:eastAsia="新細明體" w:cs="Segoe UI"/>
                <w:bCs/>
                <w:sz w:val="17"/>
                <w:szCs w:val="17"/>
                <w:lang w:eastAsia="ja-JP"/>
              </w:rPr>
            </w:pPr>
            <w:r>
              <w:rPr>
                <w:rFonts w:eastAsia="新細明體" w:cs="Segoe UI"/>
                <w:bCs/>
                <w:sz w:val="17"/>
                <w:szCs w:val="17"/>
                <w:lang w:eastAsia="ja-JP"/>
              </w:rPr>
              <w:t>Acting as sponsor</w:t>
            </w:r>
          </w:p>
        </w:tc>
        <w:tc>
          <w:tcPr>
            <w:tcW w:w="3639" w:type="dxa"/>
            <w:gridSpan w:val="3"/>
            <w:tcBorders>
              <w:top w:val="single" w:sz="4" w:space="0" w:color="auto"/>
              <w:left w:val="single" w:sz="4" w:space="0" w:color="auto"/>
              <w:bottom w:val="single" w:sz="4" w:space="0" w:color="auto"/>
              <w:right w:val="single" w:sz="4" w:space="0" w:color="auto"/>
            </w:tcBorders>
            <w:vAlign w:val="center"/>
          </w:tcPr>
          <w:p w14:paraId="51EB82BC" w14:textId="77777777" w:rsidR="00E44A82" w:rsidRDefault="00E44A82" w:rsidP="00647044">
            <w:pPr>
              <w:snapToGrid w:val="0"/>
              <w:spacing w:before="20" w:after="20"/>
              <w:jc w:val="center"/>
              <w:rPr>
                <w:rFonts w:eastAsia="新細明體" w:cs="Segoe UI"/>
                <w:bCs/>
                <w:sz w:val="17"/>
                <w:szCs w:val="17"/>
                <w:lang w:eastAsia="ja-JP"/>
              </w:rPr>
            </w:pPr>
            <w:r>
              <w:rPr>
                <w:rFonts w:eastAsia="新細明體" w:cs="Segoe UI"/>
                <w:bCs/>
                <w:sz w:val="17"/>
                <w:szCs w:val="17"/>
                <w:lang w:eastAsia="ja-JP"/>
              </w:rPr>
              <w:t>Acting as investor</w:t>
            </w:r>
          </w:p>
        </w:tc>
      </w:tr>
      <w:tr w:rsidR="00E44A82" w14:paraId="490B6A16" w14:textId="77777777" w:rsidTr="00647044">
        <w:trPr>
          <w:cantSplit/>
          <w:tblHeader/>
        </w:trPr>
        <w:tc>
          <w:tcPr>
            <w:tcW w:w="420" w:type="dxa"/>
            <w:tcBorders>
              <w:top w:val="nil"/>
              <w:left w:val="nil"/>
              <w:bottom w:val="single" w:sz="4" w:space="0" w:color="auto"/>
              <w:right w:val="nil"/>
            </w:tcBorders>
          </w:tcPr>
          <w:p w14:paraId="400241E7" w14:textId="77777777" w:rsidR="00E44A82" w:rsidRDefault="00E44A82" w:rsidP="00647044">
            <w:pPr>
              <w:keepNext/>
              <w:snapToGrid w:val="0"/>
              <w:rPr>
                <w:rFonts w:eastAsia="新細明體" w:cs="Segoe UI"/>
                <w:sz w:val="17"/>
                <w:szCs w:val="17"/>
                <w:lang w:eastAsia="en-GB"/>
              </w:rPr>
            </w:pPr>
          </w:p>
        </w:tc>
        <w:tc>
          <w:tcPr>
            <w:tcW w:w="2557" w:type="dxa"/>
            <w:tcBorders>
              <w:top w:val="nil"/>
              <w:left w:val="nil"/>
              <w:bottom w:val="single" w:sz="4" w:space="0" w:color="auto"/>
              <w:right w:val="single" w:sz="4" w:space="0" w:color="auto"/>
            </w:tcBorders>
            <w:vAlign w:val="center"/>
          </w:tcPr>
          <w:p w14:paraId="31A7131C" w14:textId="77777777" w:rsidR="00E44A82" w:rsidRDefault="00E44A82" w:rsidP="00647044">
            <w:pPr>
              <w:keepNext/>
              <w:snapToGrid w:val="0"/>
              <w:rPr>
                <w:rFonts w:eastAsia="新細明體" w:cs="Segoe UI"/>
                <w:sz w:val="17"/>
                <w:szCs w:val="17"/>
                <w:lang w:eastAsia="en-GB"/>
              </w:rPr>
            </w:pPr>
          </w:p>
        </w:tc>
        <w:tc>
          <w:tcPr>
            <w:tcW w:w="1212" w:type="dxa"/>
            <w:tcBorders>
              <w:top w:val="single" w:sz="4" w:space="0" w:color="auto"/>
              <w:left w:val="single" w:sz="4" w:space="0" w:color="auto"/>
              <w:bottom w:val="single" w:sz="4" w:space="0" w:color="auto"/>
              <w:right w:val="single" w:sz="4" w:space="0" w:color="auto"/>
            </w:tcBorders>
            <w:vAlign w:val="center"/>
          </w:tcPr>
          <w:p w14:paraId="7194EAFE" w14:textId="77777777" w:rsidR="00E44A82" w:rsidRDefault="00E44A82" w:rsidP="00647044">
            <w:pPr>
              <w:snapToGrid w:val="0"/>
              <w:spacing w:before="20" w:after="20"/>
              <w:jc w:val="center"/>
              <w:rPr>
                <w:rFonts w:eastAsia="新細明體" w:cs="Segoe UI"/>
                <w:bCs/>
                <w:sz w:val="17"/>
                <w:szCs w:val="17"/>
                <w:lang w:eastAsia="it-IT"/>
              </w:rPr>
            </w:pPr>
            <w:r>
              <w:rPr>
                <w:rFonts w:eastAsia="新細明體" w:cs="Segoe UI"/>
                <w:bCs/>
                <w:sz w:val="17"/>
                <w:szCs w:val="17"/>
                <w:lang w:eastAsia="it-IT"/>
              </w:rPr>
              <w:t>Traditional</w:t>
            </w:r>
          </w:p>
        </w:tc>
        <w:tc>
          <w:tcPr>
            <w:tcW w:w="1213" w:type="dxa"/>
            <w:tcBorders>
              <w:top w:val="single" w:sz="4" w:space="0" w:color="auto"/>
              <w:left w:val="single" w:sz="4" w:space="0" w:color="auto"/>
              <w:bottom w:val="single" w:sz="4" w:space="0" w:color="auto"/>
              <w:right w:val="single" w:sz="4" w:space="0" w:color="auto"/>
            </w:tcBorders>
            <w:vAlign w:val="center"/>
          </w:tcPr>
          <w:p w14:paraId="7907F999" w14:textId="77777777" w:rsidR="00E44A82" w:rsidRDefault="00E44A82" w:rsidP="00647044">
            <w:pPr>
              <w:snapToGrid w:val="0"/>
              <w:spacing w:before="20" w:after="20"/>
              <w:jc w:val="center"/>
              <w:rPr>
                <w:rFonts w:eastAsia="新細明體" w:cs="Segoe UI"/>
                <w:bCs/>
                <w:sz w:val="17"/>
                <w:szCs w:val="17"/>
                <w:lang w:eastAsia="it-IT"/>
              </w:rPr>
            </w:pPr>
            <w:r>
              <w:rPr>
                <w:rFonts w:eastAsia="新細明體" w:cs="Segoe UI"/>
                <w:bCs/>
                <w:sz w:val="17"/>
                <w:szCs w:val="17"/>
                <w:lang w:eastAsia="it-IT"/>
              </w:rPr>
              <w:t>Synthetic</w:t>
            </w:r>
          </w:p>
        </w:tc>
        <w:tc>
          <w:tcPr>
            <w:tcW w:w="1213" w:type="dxa"/>
            <w:tcBorders>
              <w:top w:val="single" w:sz="4" w:space="0" w:color="auto"/>
              <w:left w:val="single" w:sz="4" w:space="0" w:color="auto"/>
              <w:bottom w:val="single" w:sz="4" w:space="0" w:color="auto"/>
              <w:right w:val="single" w:sz="4" w:space="0" w:color="auto"/>
            </w:tcBorders>
            <w:vAlign w:val="center"/>
          </w:tcPr>
          <w:p w14:paraId="41FF4F01" w14:textId="77777777" w:rsidR="00E44A82" w:rsidRDefault="00E44A82" w:rsidP="00647044">
            <w:pPr>
              <w:snapToGrid w:val="0"/>
              <w:spacing w:before="20" w:after="20"/>
              <w:jc w:val="center"/>
              <w:rPr>
                <w:rFonts w:eastAsia="新細明體" w:cs="Segoe UI"/>
                <w:sz w:val="17"/>
                <w:szCs w:val="17"/>
                <w:lang w:eastAsia="it-IT"/>
              </w:rPr>
            </w:pPr>
            <w:r>
              <w:rPr>
                <w:rFonts w:eastAsia="新細明體" w:cs="Segoe UI"/>
                <w:bCs/>
                <w:sz w:val="17"/>
                <w:szCs w:val="17"/>
                <w:lang w:eastAsia="ja-JP"/>
              </w:rPr>
              <w:t>Sub-t</w:t>
            </w:r>
            <w:r>
              <w:rPr>
                <w:rFonts w:eastAsia="新細明體" w:cs="Segoe UI"/>
                <w:bCs/>
                <w:sz w:val="17"/>
                <w:szCs w:val="17"/>
                <w:lang w:eastAsia="it-IT"/>
              </w:rPr>
              <w:t>otal</w:t>
            </w:r>
          </w:p>
        </w:tc>
        <w:tc>
          <w:tcPr>
            <w:tcW w:w="1213" w:type="dxa"/>
            <w:tcBorders>
              <w:top w:val="single" w:sz="4" w:space="0" w:color="auto"/>
              <w:left w:val="single" w:sz="4" w:space="0" w:color="auto"/>
              <w:bottom w:val="single" w:sz="4" w:space="0" w:color="auto"/>
              <w:right w:val="single" w:sz="4" w:space="0" w:color="auto"/>
            </w:tcBorders>
            <w:vAlign w:val="center"/>
          </w:tcPr>
          <w:p w14:paraId="7A86ACE8" w14:textId="77777777" w:rsidR="00E44A82" w:rsidRDefault="00E44A82" w:rsidP="00647044">
            <w:pPr>
              <w:snapToGrid w:val="0"/>
              <w:spacing w:before="20" w:after="20"/>
              <w:jc w:val="center"/>
              <w:rPr>
                <w:rFonts w:eastAsia="新細明體" w:cs="Segoe UI"/>
                <w:bCs/>
                <w:sz w:val="17"/>
                <w:szCs w:val="17"/>
                <w:lang w:eastAsia="ja-JP"/>
              </w:rPr>
            </w:pPr>
            <w:r>
              <w:rPr>
                <w:rFonts w:eastAsia="新細明體" w:cs="Segoe UI"/>
                <w:bCs/>
                <w:sz w:val="17"/>
                <w:szCs w:val="17"/>
                <w:lang w:eastAsia="it-IT"/>
              </w:rPr>
              <w:t>Traditional</w:t>
            </w:r>
          </w:p>
        </w:tc>
        <w:tc>
          <w:tcPr>
            <w:tcW w:w="1212" w:type="dxa"/>
            <w:tcBorders>
              <w:top w:val="single" w:sz="4" w:space="0" w:color="auto"/>
              <w:left w:val="single" w:sz="4" w:space="0" w:color="auto"/>
              <w:bottom w:val="single" w:sz="4" w:space="0" w:color="auto"/>
              <w:right w:val="single" w:sz="4" w:space="0" w:color="auto"/>
            </w:tcBorders>
            <w:vAlign w:val="center"/>
          </w:tcPr>
          <w:p w14:paraId="1BA42E6E" w14:textId="77777777" w:rsidR="00E44A82" w:rsidRDefault="00E44A82" w:rsidP="00647044">
            <w:pPr>
              <w:snapToGrid w:val="0"/>
              <w:spacing w:before="20" w:after="20"/>
              <w:jc w:val="center"/>
              <w:rPr>
                <w:rFonts w:eastAsia="新細明體" w:cs="Segoe UI"/>
                <w:bCs/>
                <w:sz w:val="17"/>
                <w:szCs w:val="17"/>
                <w:lang w:eastAsia="ja-JP"/>
              </w:rPr>
            </w:pPr>
            <w:r>
              <w:rPr>
                <w:rFonts w:eastAsia="新細明體" w:cs="Segoe UI"/>
                <w:bCs/>
                <w:sz w:val="17"/>
                <w:szCs w:val="17"/>
                <w:lang w:eastAsia="it-IT"/>
              </w:rPr>
              <w:t>Synthetic</w:t>
            </w:r>
          </w:p>
        </w:tc>
        <w:tc>
          <w:tcPr>
            <w:tcW w:w="1213" w:type="dxa"/>
            <w:tcBorders>
              <w:top w:val="single" w:sz="4" w:space="0" w:color="auto"/>
              <w:left w:val="single" w:sz="4" w:space="0" w:color="auto"/>
              <w:bottom w:val="single" w:sz="4" w:space="0" w:color="auto"/>
              <w:right w:val="single" w:sz="4" w:space="0" w:color="auto"/>
            </w:tcBorders>
            <w:vAlign w:val="center"/>
          </w:tcPr>
          <w:p w14:paraId="0495E60A" w14:textId="77777777" w:rsidR="00E44A82" w:rsidRDefault="00E44A82" w:rsidP="00647044">
            <w:pPr>
              <w:snapToGrid w:val="0"/>
              <w:spacing w:before="20" w:after="20"/>
              <w:jc w:val="center"/>
              <w:rPr>
                <w:rFonts w:eastAsia="新細明體" w:cs="Segoe UI"/>
                <w:bCs/>
                <w:sz w:val="17"/>
                <w:szCs w:val="17"/>
                <w:lang w:eastAsia="ja-JP"/>
              </w:rPr>
            </w:pPr>
            <w:r>
              <w:rPr>
                <w:rFonts w:eastAsia="新細明體" w:cs="Segoe UI"/>
                <w:bCs/>
                <w:sz w:val="17"/>
                <w:szCs w:val="17"/>
                <w:lang w:eastAsia="ja-JP"/>
              </w:rPr>
              <w:t>Sub-t</w:t>
            </w:r>
            <w:r>
              <w:rPr>
                <w:rFonts w:eastAsia="新細明體" w:cs="Segoe UI"/>
                <w:bCs/>
                <w:sz w:val="17"/>
                <w:szCs w:val="17"/>
                <w:lang w:eastAsia="it-IT"/>
              </w:rPr>
              <w:t>otal</w:t>
            </w:r>
          </w:p>
        </w:tc>
        <w:tc>
          <w:tcPr>
            <w:tcW w:w="1213" w:type="dxa"/>
            <w:tcBorders>
              <w:top w:val="single" w:sz="4" w:space="0" w:color="auto"/>
              <w:left w:val="single" w:sz="4" w:space="0" w:color="auto"/>
              <w:bottom w:val="single" w:sz="4" w:space="0" w:color="auto"/>
              <w:right w:val="single" w:sz="4" w:space="0" w:color="auto"/>
            </w:tcBorders>
            <w:vAlign w:val="center"/>
          </w:tcPr>
          <w:p w14:paraId="05A6CA54" w14:textId="77777777" w:rsidR="00E44A82" w:rsidRDefault="00E44A82" w:rsidP="00647044">
            <w:pPr>
              <w:snapToGrid w:val="0"/>
              <w:spacing w:before="20" w:after="20"/>
              <w:jc w:val="center"/>
              <w:rPr>
                <w:rFonts w:eastAsia="新細明體" w:cs="Segoe UI"/>
                <w:bCs/>
                <w:sz w:val="17"/>
                <w:szCs w:val="17"/>
                <w:lang w:eastAsia="ja-JP"/>
              </w:rPr>
            </w:pPr>
            <w:r>
              <w:rPr>
                <w:rFonts w:eastAsia="新細明體" w:cs="Segoe UI"/>
                <w:bCs/>
                <w:sz w:val="17"/>
                <w:szCs w:val="17"/>
                <w:lang w:eastAsia="ja-JP"/>
              </w:rPr>
              <w:t>Traditional</w:t>
            </w:r>
          </w:p>
        </w:tc>
        <w:tc>
          <w:tcPr>
            <w:tcW w:w="1213" w:type="dxa"/>
            <w:tcBorders>
              <w:top w:val="single" w:sz="4" w:space="0" w:color="auto"/>
              <w:left w:val="single" w:sz="4" w:space="0" w:color="auto"/>
              <w:bottom w:val="single" w:sz="4" w:space="0" w:color="auto"/>
              <w:right w:val="single" w:sz="4" w:space="0" w:color="auto"/>
            </w:tcBorders>
            <w:vAlign w:val="center"/>
          </w:tcPr>
          <w:p w14:paraId="6AACB0EF" w14:textId="77777777" w:rsidR="00E44A82" w:rsidRDefault="00E44A82" w:rsidP="00647044">
            <w:pPr>
              <w:snapToGrid w:val="0"/>
              <w:spacing w:before="20" w:after="20"/>
              <w:jc w:val="center"/>
              <w:rPr>
                <w:rFonts w:eastAsia="新細明體" w:cs="Segoe UI"/>
                <w:bCs/>
                <w:sz w:val="17"/>
                <w:szCs w:val="17"/>
                <w:lang w:eastAsia="ja-JP"/>
              </w:rPr>
            </w:pPr>
            <w:r>
              <w:rPr>
                <w:rFonts w:eastAsia="新細明體" w:cs="Segoe UI"/>
                <w:bCs/>
                <w:sz w:val="17"/>
                <w:szCs w:val="17"/>
                <w:lang w:eastAsia="ja-JP"/>
              </w:rPr>
              <w:t>Synthetic</w:t>
            </w:r>
          </w:p>
        </w:tc>
        <w:tc>
          <w:tcPr>
            <w:tcW w:w="1213" w:type="dxa"/>
            <w:tcBorders>
              <w:top w:val="single" w:sz="4" w:space="0" w:color="auto"/>
              <w:left w:val="single" w:sz="4" w:space="0" w:color="auto"/>
              <w:bottom w:val="single" w:sz="4" w:space="0" w:color="auto"/>
              <w:right w:val="single" w:sz="4" w:space="0" w:color="auto"/>
            </w:tcBorders>
            <w:vAlign w:val="center"/>
          </w:tcPr>
          <w:p w14:paraId="7E0CB868" w14:textId="77777777" w:rsidR="00E44A82" w:rsidRDefault="00E44A82" w:rsidP="00647044">
            <w:pPr>
              <w:snapToGrid w:val="0"/>
              <w:spacing w:before="20" w:after="20"/>
              <w:jc w:val="center"/>
              <w:rPr>
                <w:rFonts w:eastAsia="新細明體" w:cs="Segoe UI"/>
                <w:bCs/>
                <w:sz w:val="17"/>
                <w:szCs w:val="17"/>
                <w:lang w:eastAsia="ja-JP"/>
              </w:rPr>
            </w:pPr>
            <w:r>
              <w:rPr>
                <w:rFonts w:eastAsia="新細明體" w:cs="Segoe UI"/>
                <w:bCs/>
                <w:sz w:val="17"/>
                <w:szCs w:val="17"/>
                <w:lang w:eastAsia="ja-JP"/>
              </w:rPr>
              <w:t>Sub-total</w:t>
            </w:r>
          </w:p>
        </w:tc>
      </w:tr>
      <w:tr w:rsidR="00E44A82" w14:paraId="4032A232" w14:textId="77777777" w:rsidTr="00647044">
        <w:trPr>
          <w:cantSplit/>
        </w:trPr>
        <w:tc>
          <w:tcPr>
            <w:tcW w:w="420" w:type="dxa"/>
            <w:tcBorders>
              <w:top w:val="single" w:sz="4" w:space="0" w:color="auto"/>
              <w:left w:val="nil"/>
              <w:bottom w:val="single" w:sz="4" w:space="0" w:color="BFBFBF"/>
              <w:right w:val="single" w:sz="4" w:space="0" w:color="auto"/>
            </w:tcBorders>
            <w:vAlign w:val="center"/>
          </w:tcPr>
          <w:p w14:paraId="55F1B504" w14:textId="77777777" w:rsidR="00E44A82" w:rsidRDefault="00E44A82" w:rsidP="00647044">
            <w:pPr>
              <w:pStyle w:val="TableText"/>
              <w:snapToGrid w:val="0"/>
              <w:rPr>
                <w:lang w:eastAsia="en-CA"/>
              </w:rPr>
            </w:pPr>
            <w:r>
              <w:rPr>
                <w:lang w:eastAsia="en-CA"/>
              </w:rPr>
              <w:t>1</w:t>
            </w:r>
          </w:p>
        </w:tc>
        <w:tc>
          <w:tcPr>
            <w:tcW w:w="2557" w:type="dxa"/>
            <w:tcBorders>
              <w:top w:val="single" w:sz="4" w:space="0" w:color="auto"/>
              <w:left w:val="nil"/>
              <w:bottom w:val="single" w:sz="4" w:space="0" w:color="BFBFBF"/>
              <w:right w:val="single" w:sz="4" w:space="0" w:color="auto"/>
            </w:tcBorders>
            <w:vAlign w:val="center"/>
          </w:tcPr>
          <w:p w14:paraId="34BA514A" w14:textId="77777777" w:rsidR="00E44A82" w:rsidRDefault="00E44A82" w:rsidP="00647044">
            <w:pPr>
              <w:keepNext/>
              <w:tabs>
                <w:tab w:val="left" w:pos="397"/>
                <w:tab w:val="left" w:pos="794"/>
                <w:tab w:val="left" w:pos="1191"/>
              </w:tabs>
              <w:snapToGrid w:val="0"/>
              <w:spacing w:before="20" w:after="20"/>
              <w:ind w:left="-108"/>
              <w:rPr>
                <w:rFonts w:eastAsia="新細明體" w:cs="Segoe UI"/>
                <w:sz w:val="17"/>
                <w:szCs w:val="17"/>
                <w:lang w:eastAsia="en-GB"/>
              </w:rPr>
            </w:pPr>
            <w:r>
              <w:rPr>
                <w:rFonts w:eastAsia="新細明體" w:cs="Segoe UI"/>
                <w:sz w:val="17"/>
                <w:szCs w:val="17"/>
                <w:lang w:eastAsia="en-GB"/>
              </w:rPr>
              <w:t xml:space="preserve"> Retail (total) – of which:</w:t>
            </w:r>
          </w:p>
        </w:tc>
        <w:tc>
          <w:tcPr>
            <w:tcW w:w="1212" w:type="dxa"/>
            <w:tcBorders>
              <w:top w:val="single" w:sz="4" w:space="0" w:color="auto"/>
              <w:left w:val="single" w:sz="4" w:space="0" w:color="auto"/>
              <w:bottom w:val="single" w:sz="4" w:space="0" w:color="BFBFBF"/>
              <w:right w:val="single" w:sz="4" w:space="0" w:color="auto"/>
            </w:tcBorders>
          </w:tcPr>
          <w:p w14:paraId="6ACD60DE"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640A0E72"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70D91788"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5368C0BB"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auto"/>
              <w:left w:val="single" w:sz="4" w:space="0" w:color="auto"/>
              <w:bottom w:val="single" w:sz="4" w:space="0" w:color="BFBFBF"/>
              <w:right w:val="single" w:sz="4" w:space="0" w:color="auto"/>
            </w:tcBorders>
          </w:tcPr>
          <w:p w14:paraId="74B69761"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1BDA4F17"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2118D9BC"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5165B380"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45A403C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r w:rsidR="00E44A82" w14:paraId="609B0DB5" w14:textId="77777777" w:rsidTr="00647044">
        <w:trPr>
          <w:cantSplit/>
        </w:trPr>
        <w:tc>
          <w:tcPr>
            <w:tcW w:w="420" w:type="dxa"/>
            <w:tcBorders>
              <w:top w:val="single" w:sz="4" w:space="0" w:color="BFBFBF"/>
              <w:left w:val="nil"/>
              <w:bottom w:val="single" w:sz="4" w:space="0" w:color="BFBFBF"/>
              <w:right w:val="single" w:sz="4" w:space="0" w:color="auto"/>
            </w:tcBorders>
            <w:vAlign w:val="center"/>
          </w:tcPr>
          <w:p w14:paraId="71852005" w14:textId="77777777" w:rsidR="00E44A82" w:rsidRDefault="00E44A82" w:rsidP="00647044">
            <w:pPr>
              <w:pStyle w:val="TableText"/>
              <w:snapToGrid w:val="0"/>
              <w:rPr>
                <w:lang w:eastAsia="en-CA"/>
              </w:rPr>
            </w:pPr>
            <w:r>
              <w:rPr>
                <w:lang w:eastAsia="en-CA"/>
              </w:rPr>
              <w:t>2</w:t>
            </w:r>
          </w:p>
        </w:tc>
        <w:tc>
          <w:tcPr>
            <w:tcW w:w="2557" w:type="dxa"/>
            <w:tcBorders>
              <w:top w:val="single" w:sz="4" w:space="0" w:color="BFBFBF"/>
              <w:left w:val="nil"/>
              <w:bottom w:val="single" w:sz="4" w:space="0" w:color="BFBFBF"/>
              <w:right w:val="single" w:sz="4" w:space="0" w:color="auto"/>
            </w:tcBorders>
            <w:vAlign w:val="center"/>
          </w:tcPr>
          <w:p w14:paraId="1B2A4113" w14:textId="77777777" w:rsidR="00E44A82" w:rsidRDefault="00E44A82" w:rsidP="00647044">
            <w:pPr>
              <w:keepNext/>
              <w:tabs>
                <w:tab w:val="left" w:pos="397"/>
                <w:tab w:val="left" w:pos="794"/>
                <w:tab w:val="left" w:pos="1191"/>
              </w:tabs>
              <w:snapToGrid w:val="0"/>
              <w:spacing w:before="20" w:after="20"/>
              <w:ind w:left="57"/>
              <w:rPr>
                <w:rFonts w:eastAsia="新細明體" w:cs="Segoe UI"/>
                <w:sz w:val="17"/>
                <w:szCs w:val="17"/>
                <w:lang w:eastAsia="en-GB"/>
              </w:rPr>
            </w:pPr>
            <w:r>
              <w:rPr>
                <w:rFonts w:eastAsia="新細明體" w:cs="Segoe UI"/>
                <w:sz w:val="17"/>
                <w:szCs w:val="17"/>
                <w:lang w:eastAsia="en-GB"/>
              </w:rPr>
              <w:t>residential mortgage</w:t>
            </w:r>
          </w:p>
        </w:tc>
        <w:tc>
          <w:tcPr>
            <w:tcW w:w="1212" w:type="dxa"/>
            <w:tcBorders>
              <w:top w:val="single" w:sz="4" w:space="0" w:color="BFBFBF"/>
              <w:left w:val="single" w:sz="4" w:space="0" w:color="auto"/>
              <w:bottom w:val="single" w:sz="4" w:space="0" w:color="BFBFBF"/>
              <w:right w:val="single" w:sz="4" w:space="0" w:color="auto"/>
            </w:tcBorders>
          </w:tcPr>
          <w:p w14:paraId="3F0F470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48258CB2"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639373BC"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2ACBE2CB"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BFBFBF"/>
              <w:left w:val="single" w:sz="4" w:space="0" w:color="auto"/>
              <w:bottom w:val="single" w:sz="4" w:space="0" w:color="BFBFBF"/>
              <w:right w:val="single" w:sz="4" w:space="0" w:color="auto"/>
            </w:tcBorders>
          </w:tcPr>
          <w:p w14:paraId="6AC84402"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1FE5FEC2"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556B2008"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09B8BEA8"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0F76EE27"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r w:rsidR="00E44A82" w14:paraId="6C400FB3" w14:textId="77777777" w:rsidTr="00647044">
        <w:trPr>
          <w:cantSplit/>
        </w:trPr>
        <w:tc>
          <w:tcPr>
            <w:tcW w:w="420" w:type="dxa"/>
            <w:tcBorders>
              <w:top w:val="single" w:sz="4" w:space="0" w:color="BFBFBF"/>
              <w:left w:val="nil"/>
              <w:bottom w:val="single" w:sz="4" w:space="0" w:color="BFBFBF"/>
              <w:right w:val="single" w:sz="4" w:space="0" w:color="auto"/>
            </w:tcBorders>
            <w:vAlign w:val="center"/>
          </w:tcPr>
          <w:p w14:paraId="3769B3CB" w14:textId="77777777" w:rsidR="00E44A82" w:rsidRDefault="00E44A82" w:rsidP="00647044">
            <w:pPr>
              <w:pStyle w:val="TableText"/>
              <w:snapToGrid w:val="0"/>
              <w:rPr>
                <w:lang w:eastAsia="en-CA"/>
              </w:rPr>
            </w:pPr>
            <w:r>
              <w:rPr>
                <w:lang w:eastAsia="en-CA"/>
              </w:rPr>
              <w:t>3</w:t>
            </w:r>
          </w:p>
        </w:tc>
        <w:tc>
          <w:tcPr>
            <w:tcW w:w="2557" w:type="dxa"/>
            <w:tcBorders>
              <w:top w:val="single" w:sz="4" w:space="0" w:color="BFBFBF"/>
              <w:left w:val="nil"/>
              <w:bottom w:val="single" w:sz="4" w:space="0" w:color="BFBFBF"/>
              <w:right w:val="single" w:sz="4" w:space="0" w:color="auto"/>
            </w:tcBorders>
            <w:vAlign w:val="center"/>
          </w:tcPr>
          <w:p w14:paraId="6D2340D2" w14:textId="77777777" w:rsidR="00E44A82" w:rsidRDefault="00E44A82" w:rsidP="00647044">
            <w:pPr>
              <w:keepNext/>
              <w:tabs>
                <w:tab w:val="left" w:pos="397"/>
                <w:tab w:val="left" w:pos="794"/>
                <w:tab w:val="left" w:pos="1191"/>
              </w:tabs>
              <w:snapToGrid w:val="0"/>
              <w:spacing w:before="20" w:after="20"/>
              <w:ind w:left="57"/>
              <w:rPr>
                <w:rFonts w:eastAsia="新細明體" w:cs="Segoe UI"/>
                <w:sz w:val="17"/>
                <w:szCs w:val="17"/>
                <w:lang w:eastAsia="en-GB"/>
              </w:rPr>
            </w:pPr>
            <w:r>
              <w:rPr>
                <w:rFonts w:eastAsia="新細明體" w:cs="Segoe UI"/>
                <w:sz w:val="17"/>
                <w:szCs w:val="17"/>
                <w:lang w:eastAsia="en-GB"/>
              </w:rPr>
              <w:t>credit card</w:t>
            </w:r>
          </w:p>
        </w:tc>
        <w:tc>
          <w:tcPr>
            <w:tcW w:w="1212" w:type="dxa"/>
            <w:tcBorders>
              <w:top w:val="single" w:sz="4" w:space="0" w:color="BFBFBF"/>
              <w:left w:val="single" w:sz="4" w:space="0" w:color="auto"/>
              <w:bottom w:val="single" w:sz="4" w:space="0" w:color="BFBFBF"/>
              <w:right w:val="single" w:sz="4" w:space="0" w:color="auto"/>
            </w:tcBorders>
          </w:tcPr>
          <w:p w14:paraId="7C7A9C77"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06D17BE4"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2D8A9AA4"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395B63F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BFBFBF"/>
              <w:left w:val="single" w:sz="4" w:space="0" w:color="auto"/>
              <w:bottom w:val="single" w:sz="4" w:space="0" w:color="BFBFBF"/>
              <w:right w:val="single" w:sz="4" w:space="0" w:color="auto"/>
            </w:tcBorders>
          </w:tcPr>
          <w:p w14:paraId="0217B5A8"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62A0B237"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49E1CD10"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7684AA90"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5A9048A7"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r w:rsidR="00E44A82" w14:paraId="49BBEB67" w14:textId="77777777" w:rsidTr="00647044">
        <w:trPr>
          <w:cantSplit/>
        </w:trPr>
        <w:tc>
          <w:tcPr>
            <w:tcW w:w="420" w:type="dxa"/>
            <w:tcBorders>
              <w:top w:val="single" w:sz="4" w:space="0" w:color="BFBFBF"/>
              <w:left w:val="nil"/>
              <w:bottom w:val="single" w:sz="4" w:space="0" w:color="BFBFBF"/>
              <w:right w:val="single" w:sz="4" w:space="0" w:color="auto"/>
            </w:tcBorders>
            <w:vAlign w:val="center"/>
          </w:tcPr>
          <w:p w14:paraId="70A7287B" w14:textId="77777777" w:rsidR="00E44A82" w:rsidRDefault="00E44A82" w:rsidP="00647044">
            <w:pPr>
              <w:pStyle w:val="TableText"/>
              <w:snapToGrid w:val="0"/>
              <w:rPr>
                <w:lang w:eastAsia="en-CA"/>
              </w:rPr>
            </w:pPr>
            <w:r>
              <w:rPr>
                <w:lang w:eastAsia="en-CA"/>
              </w:rPr>
              <w:t>4</w:t>
            </w:r>
          </w:p>
        </w:tc>
        <w:tc>
          <w:tcPr>
            <w:tcW w:w="2557" w:type="dxa"/>
            <w:tcBorders>
              <w:top w:val="single" w:sz="4" w:space="0" w:color="BFBFBF"/>
              <w:left w:val="nil"/>
              <w:bottom w:val="single" w:sz="4" w:space="0" w:color="BFBFBF"/>
              <w:right w:val="single" w:sz="4" w:space="0" w:color="auto"/>
            </w:tcBorders>
            <w:vAlign w:val="center"/>
          </w:tcPr>
          <w:p w14:paraId="57C8EA99" w14:textId="77777777" w:rsidR="00E44A82" w:rsidRDefault="00E44A82" w:rsidP="00647044">
            <w:pPr>
              <w:keepNext/>
              <w:tabs>
                <w:tab w:val="left" w:pos="397"/>
                <w:tab w:val="left" w:pos="794"/>
                <w:tab w:val="left" w:pos="1191"/>
              </w:tabs>
              <w:snapToGrid w:val="0"/>
              <w:spacing w:before="20" w:after="20"/>
              <w:ind w:left="57"/>
              <w:rPr>
                <w:rFonts w:eastAsia="新細明體" w:cs="Segoe UI"/>
                <w:sz w:val="17"/>
                <w:szCs w:val="17"/>
                <w:lang w:eastAsia="en-GB"/>
              </w:rPr>
            </w:pPr>
            <w:r>
              <w:rPr>
                <w:rFonts w:eastAsia="新細明體" w:cs="Segoe UI"/>
                <w:sz w:val="17"/>
                <w:szCs w:val="17"/>
                <w:lang w:eastAsia="en-GB"/>
              </w:rPr>
              <w:t>other retail exposures</w:t>
            </w:r>
          </w:p>
        </w:tc>
        <w:tc>
          <w:tcPr>
            <w:tcW w:w="1212" w:type="dxa"/>
            <w:tcBorders>
              <w:top w:val="single" w:sz="4" w:space="0" w:color="BFBFBF"/>
              <w:left w:val="single" w:sz="4" w:space="0" w:color="auto"/>
              <w:bottom w:val="single" w:sz="4" w:space="0" w:color="BFBFBF"/>
              <w:right w:val="single" w:sz="4" w:space="0" w:color="auto"/>
            </w:tcBorders>
          </w:tcPr>
          <w:p w14:paraId="51DCC96C"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1E2805E9"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00776EA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00DD8AB7"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BFBFBF"/>
              <w:left w:val="single" w:sz="4" w:space="0" w:color="auto"/>
              <w:bottom w:val="single" w:sz="4" w:space="0" w:color="BFBFBF"/>
              <w:right w:val="single" w:sz="4" w:space="0" w:color="auto"/>
            </w:tcBorders>
          </w:tcPr>
          <w:p w14:paraId="4E1F33DF"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1E15C97E"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44DF98FA"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50FC7D1F"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0158E0F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r w:rsidR="00E44A82" w14:paraId="7F594F3C" w14:textId="77777777" w:rsidTr="00647044">
        <w:trPr>
          <w:cantSplit/>
        </w:trPr>
        <w:tc>
          <w:tcPr>
            <w:tcW w:w="420" w:type="dxa"/>
            <w:tcBorders>
              <w:top w:val="single" w:sz="4" w:space="0" w:color="BFBFBF"/>
              <w:left w:val="nil"/>
              <w:bottom w:val="single" w:sz="4" w:space="0" w:color="auto"/>
              <w:right w:val="single" w:sz="4" w:space="0" w:color="auto"/>
            </w:tcBorders>
            <w:vAlign w:val="center"/>
          </w:tcPr>
          <w:p w14:paraId="4942AFAD" w14:textId="77777777" w:rsidR="00E44A82" w:rsidRDefault="00E44A82" w:rsidP="00647044">
            <w:pPr>
              <w:pStyle w:val="TableText"/>
              <w:snapToGrid w:val="0"/>
              <w:rPr>
                <w:lang w:eastAsia="en-CA"/>
              </w:rPr>
            </w:pPr>
            <w:r>
              <w:rPr>
                <w:lang w:eastAsia="en-CA"/>
              </w:rPr>
              <w:t>5</w:t>
            </w:r>
          </w:p>
        </w:tc>
        <w:tc>
          <w:tcPr>
            <w:tcW w:w="2557" w:type="dxa"/>
            <w:tcBorders>
              <w:top w:val="single" w:sz="4" w:space="0" w:color="BFBFBF"/>
              <w:left w:val="nil"/>
              <w:bottom w:val="single" w:sz="4" w:space="0" w:color="auto"/>
              <w:right w:val="single" w:sz="4" w:space="0" w:color="auto"/>
            </w:tcBorders>
            <w:vAlign w:val="center"/>
          </w:tcPr>
          <w:p w14:paraId="1E5A5C50" w14:textId="77777777" w:rsidR="00E44A82" w:rsidRDefault="00E44A82" w:rsidP="00647044">
            <w:pPr>
              <w:keepNext/>
              <w:tabs>
                <w:tab w:val="left" w:pos="397"/>
                <w:tab w:val="left" w:pos="794"/>
                <w:tab w:val="left" w:pos="1191"/>
              </w:tabs>
              <w:snapToGrid w:val="0"/>
              <w:spacing w:before="20" w:after="20"/>
              <w:ind w:left="57"/>
              <w:rPr>
                <w:rFonts w:eastAsia="新細明體" w:cs="Segoe UI"/>
                <w:sz w:val="17"/>
                <w:szCs w:val="17"/>
                <w:lang w:eastAsia="en-GB"/>
              </w:rPr>
            </w:pPr>
            <w:r>
              <w:rPr>
                <w:rFonts w:eastAsia="新細明體" w:cs="Segoe UI"/>
                <w:sz w:val="17"/>
                <w:szCs w:val="17"/>
                <w:lang w:eastAsia="en-GB"/>
              </w:rPr>
              <w:t>re-securitization exposures</w:t>
            </w:r>
          </w:p>
        </w:tc>
        <w:tc>
          <w:tcPr>
            <w:tcW w:w="1212" w:type="dxa"/>
            <w:tcBorders>
              <w:top w:val="single" w:sz="4" w:space="0" w:color="BFBFBF"/>
              <w:left w:val="single" w:sz="4" w:space="0" w:color="auto"/>
              <w:bottom w:val="single" w:sz="4" w:space="0" w:color="auto"/>
              <w:right w:val="single" w:sz="4" w:space="0" w:color="auto"/>
            </w:tcBorders>
          </w:tcPr>
          <w:p w14:paraId="0B942216"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4CEC623C"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23817323"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382AC94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BFBFBF"/>
              <w:left w:val="single" w:sz="4" w:space="0" w:color="auto"/>
              <w:bottom w:val="single" w:sz="4" w:space="0" w:color="auto"/>
              <w:right w:val="single" w:sz="4" w:space="0" w:color="auto"/>
            </w:tcBorders>
          </w:tcPr>
          <w:p w14:paraId="5C7962AB"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37CB0FD7"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042B7D28"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136D170A"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5B199440"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r w:rsidR="00E44A82" w14:paraId="06DFFA8D" w14:textId="77777777" w:rsidTr="00647044">
        <w:trPr>
          <w:cantSplit/>
        </w:trPr>
        <w:tc>
          <w:tcPr>
            <w:tcW w:w="420" w:type="dxa"/>
            <w:tcBorders>
              <w:top w:val="single" w:sz="4" w:space="0" w:color="auto"/>
              <w:left w:val="nil"/>
              <w:bottom w:val="single" w:sz="4" w:space="0" w:color="BFBFBF"/>
              <w:right w:val="single" w:sz="4" w:space="0" w:color="auto"/>
            </w:tcBorders>
            <w:vAlign w:val="center"/>
          </w:tcPr>
          <w:p w14:paraId="2041B7E5" w14:textId="77777777" w:rsidR="00E44A82" w:rsidRDefault="00E44A82" w:rsidP="00647044">
            <w:pPr>
              <w:pStyle w:val="TableText"/>
              <w:snapToGrid w:val="0"/>
              <w:rPr>
                <w:lang w:eastAsia="en-CA"/>
              </w:rPr>
            </w:pPr>
            <w:r>
              <w:rPr>
                <w:lang w:eastAsia="en-CA"/>
              </w:rPr>
              <w:t>6</w:t>
            </w:r>
          </w:p>
        </w:tc>
        <w:tc>
          <w:tcPr>
            <w:tcW w:w="2557" w:type="dxa"/>
            <w:tcBorders>
              <w:top w:val="single" w:sz="4" w:space="0" w:color="auto"/>
              <w:left w:val="nil"/>
              <w:bottom w:val="single" w:sz="4" w:space="0" w:color="BFBFBF"/>
              <w:right w:val="single" w:sz="4" w:space="0" w:color="auto"/>
            </w:tcBorders>
            <w:vAlign w:val="center"/>
          </w:tcPr>
          <w:p w14:paraId="143892DA" w14:textId="77777777" w:rsidR="00E44A82" w:rsidRDefault="00E44A82" w:rsidP="00647044">
            <w:pPr>
              <w:keepNext/>
              <w:tabs>
                <w:tab w:val="left" w:pos="397"/>
                <w:tab w:val="left" w:pos="794"/>
                <w:tab w:val="left" w:pos="1191"/>
              </w:tabs>
              <w:snapToGrid w:val="0"/>
              <w:spacing w:before="20" w:after="20"/>
              <w:ind w:left="-108"/>
              <w:rPr>
                <w:rFonts w:eastAsia="新細明體" w:cs="Segoe UI"/>
                <w:sz w:val="17"/>
                <w:szCs w:val="17"/>
                <w:lang w:eastAsia="en-GB"/>
              </w:rPr>
            </w:pPr>
            <w:r>
              <w:rPr>
                <w:rFonts w:eastAsia="新細明體" w:cs="Segoe UI"/>
                <w:sz w:val="17"/>
                <w:szCs w:val="17"/>
                <w:lang w:eastAsia="en-GB"/>
              </w:rPr>
              <w:t xml:space="preserve"> Wholesale (total) – of which:</w:t>
            </w:r>
          </w:p>
        </w:tc>
        <w:tc>
          <w:tcPr>
            <w:tcW w:w="1212" w:type="dxa"/>
            <w:tcBorders>
              <w:top w:val="single" w:sz="4" w:space="0" w:color="auto"/>
              <w:left w:val="single" w:sz="4" w:space="0" w:color="auto"/>
              <w:bottom w:val="single" w:sz="4" w:space="0" w:color="BFBFBF"/>
              <w:right w:val="single" w:sz="4" w:space="0" w:color="auto"/>
            </w:tcBorders>
          </w:tcPr>
          <w:p w14:paraId="596673AF"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4A70ED25"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694685D9"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5189B4C4"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auto"/>
              <w:left w:val="single" w:sz="4" w:space="0" w:color="auto"/>
              <w:bottom w:val="single" w:sz="4" w:space="0" w:color="BFBFBF"/>
              <w:right w:val="single" w:sz="4" w:space="0" w:color="auto"/>
            </w:tcBorders>
          </w:tcPr>
          <w:p w14:paraId="2AE8A25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39A9977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3A2557C0"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45A42336"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auto"/>
              <w:left w:val="single" w:sz="4" w:space="0" w:color="auto"/>
              <w:bottom w:val="single" w:sz="4" w:space="0" w:color="BFBFBF"/>
              <w:right w:val="single" w:sz="4" w:space="0" w:color="auto"/>
            </w:tcBorders>
          </w:tcPr>
          <w:p w14:paraId="44E7ACE1"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r w:rsidR="00E44A82" w14:paraId="1177686F" w14:textId="77777777" w:rsidTr="00647044">
        <w:trPr>
          <w:cantSplit/>
        </w:trPr>
        <w:tc>
          <w:tcPr>
            <w:tcW w:w="420" w:type="dxa"/>
            <w:tcBorders>
              <w:top w:val="single" w:sz="4" w:space="0" w:color="BFBFBF"/>
              <w:left w:val="nil"/>
              <w:bottom w:val="single" w:sz="4" w:space="0" w:color="BFBFBF"/>
              <w:right w:val="single" w:sz="4" w:space="0" w:color="auto"/>
            </w:tcBorders>
            <w:vAlign w:val="center"/>
          </w:tcPr>
          <w:p w14:paraId="599B9949" w14:textId="77777777" w:rsidR="00E44A82" w:rsidRDefault="00E44A82" w:rsidP="00647044">
            <w:pPr>
              <w:pStyle w:val="TableText"/>
              <w:snapToGrid w:val="0"/>
              <w:rPr>
                <w:lang w:eastAsia="en-CA"/>
              </w:rPr>
            </w:pPr>
            <w:r>
              <w:rPr>
                <w:lang w:eastAsia="en-CA"/>
              </w:rPr>
              <w:t>7</w:t>
            </w:r>
          </w:p>
        </w:tc>
        <w:tc>
          <w:tcPr>
            <w:tcW w:w="2557" w:type="dxa"/>
            <w:tcBorders>
              <w:top w:val="single" w:sz="4" w:space="0" w:color="BFBFBF"/>
              <w:left w:val="nil"/>
              <w:bottom w:val="single" w:sz="4" w:space="0" w:color="BFBFBF"/>
              <w:right w:val="single" w:sz="4" w:space="0" w:color="auto"/>
            </w:tcBorders>
            <w:vAlign w:val="center"/>
          </w:tcPr>
          <w:p w14:paraId="415469D9" w14:textId="77777777" w:rsidR="00E44A82" w:rsidRDefault="00E44A82" w:rsidP="00647044">
            <w:pPr>
              <w:keepNext/>
              <w:tabs>
                <w:tab w:val="left" w:pos="397"/>
                <w:tab w:val="left" w:pos="794"/>
                <w:tab w:val="left" w:pos="1191"/>
              </w:tabs>
              <w:snapToGrid w:val="0"/>
              <w:spacing w:before="20" w:after="20"/>
              <w:ind w:left="57"/>
              <w:rPr>
                <w:rFonts w:eastAsia="新細明體" w:cs="Segoe UI"/>
                <w:sz w:val="17"/>
                <w:szCs w:val="17"/>
                <w:lang w:eastAsia="en-GB"/>
              </w:rPr>
            </w:pPr>
            <w:r>
              <w:rPr>
                <w:rFonts w:eastAsia="新細明體" w:cs="Segoe UI"/>
                <w:sz w:val="17"/>
                <w:szCs w:val="17"/>
                <w:lang w:eastAsia="en-GB"/>
              </w:rPr>
              <w:t>loans to corporates</w:t>
            </w:r>
          </w:p>
        </w:tc>
        <w:tc>
          <w:tcPr>
            <w:tcW w:w="1212" w:type="dxa"/>
            <w:tcBorders>
              <w:top w:val="single" w:sz="4" w:space="0" w:color="BFBFBF"/>
              <w:left w:val="single" w:sz="4" w:space="0" w:color="auto"/>
              <w:bottom w:val="single" w:sz="4" w:space="0" w:color="BFBFBF"/>
              <w:right w:val="single" w:sz="4" w:space="0" w:color="auto"/>
            </w:tcBorders>
          </w:tcPr>
          <w:p w14:paraId="5E6D8BF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2BA040C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3DE2D4C9"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4209F477"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BFBFBF"/>
              <w:left w:val="single" w:sz="4" w:space="0" w:color="auto"/>
              <w:bottom w:val="single" w:sz="4" w:space="0" w:color="BFBFBF"/>
              <w:right w:val="single" w:sz="4" w:space="0" w:color="auto"/>
            </w:tcBorders>
          </w:tcPr>
          <w:p w14:paraId="12F46415"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44B02DDB"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35DBF530"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525A08FB"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63175727"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r w:rsidR="00E44A82" w14:paraId="45C26ECB" w14:textId="77777777" w:rsidTr="00647044">
        <w:trPr>
          <w:cantSplit/>
        </w:trPr>
        <w:tc>
          <w:tcPr>
            <w:tcW w:w="420" w:type="dxa"/>
            <w:tcBorders>
              <w:top w:val="single" w:sz="4" w:space="0" w:color="BFBFBF"/>
              <w:left w:val="nil"/>
              <w:right w:val="single" w:sz="4" w:space="0" w:color="auto"/>
            </w:tcBorders>
            <w:vAlign w:val="center"/>
          </w:tcPr>
          <w:p w14:paraId="2CEE2811" w14:textId="77777777" w:rsidR="00E44A82" w:rsidRDefault="00E44A82" w:rsidP="00647044">
            <w:pPr>
              <w:pStyle w:val="TableText"/>
              <w:snapToGrid w:val="0"/>
              <w:rPr>
                <w:lang w:eastAsia="en-CA"/>
              </w:rPr>
            </w:pPr>
            <w:r>
              <w:rPr>
                <w:lang w:eastAsia="en-CA"/>
              </w:rPr>
              <w:t>8</w:t>
            </w:r>
          </w:p>
        </w:tc>
        <w:tc>
          <w:tcPr>
            <w:tcW w:w="2557" w:type="dxa"/>
            <w:tcBorders>
              <w:top w:val="single" w:sz="4" w:space="0" w:color="BFBFBF"/>
              <w:left w:val="nil"/>
              <w:right w:val="single" w:sz="4" w:space="0" w:color="auto"/>
            </w:tcBorders>
            <w:vAlign w:val="center"/>
          </w:tcPr>
          <w:p w14:paraId="4783E16D" w14:textId="77777777" w:rsidR="00E44A82" w:rsidRDefault="00E44A82" w:rsidP="00647044">
            <w:pPr>
              <w:keepNext/>
              <w:tabs>
                <w:tab w:val="left" w:pos="397"/>
                <w:tab w:val="left" w:pos="794"/>
                <w:tab w:val="left" w:pos="1191"/>
              </w:tabs>
              <w:snapToGrid w:val="0"/>
              <w:spacing w:before="20" w:after="20"/>
              <w:ind w:left="57"/>
              <w:rPr>
                <w:rFonts w:eastAsia="新細明體" w:cs="Segoe UI"/>
                <w:sz w:val="17"/>
                <w:szCs w:val="17"/>
                <w:lang w:eastAsia="en-GB"/>
              </w:rPr>
            </w:pPr>
            <w:r>
              <w:rPr>
                <w:rFonts w:eastAsia="新細明體" w:cs="Segoe UI"/>
                <w:sz w:val="17"/>
                <w:szCs w:val="17"/>
                <w:lang w:eastAsia="en-GB"/>
              </w:rPr>
              <w:t xml:space="preserve">commercial mortgage </w:t>
            </w:r>
          </w:p>
        </w:tc>
        <w:tc>
          <w:tcPr>
            <w:tcW w:w="1212" w:type="dxa"/>
            <w:tcBorders>
              <w:top w:val="single" w:sz="4" w:space="0" w:color="BFBFBF"/>
              <w:left w:val="single" w:sz="4" w:space="0" w:color="auto"/>
              <w:bottom w:val="single" w:sz="4" w:space="0" w:color="BFBFBF"/>
              <w:right w:val="single" w:sz="4" w:space="0" w:color="auto"/>
            </w:tcBorders>
          </w:tcPr>
          <w:p w14:paraId="296BF6DA"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2DE9E462"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right w:val="single" w:sz="4" w:space="0" w:color="auto"/>
            </w:tcBorders>
          </w:tcPr>
          <w:p w14:paraId="00EB5F9E"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right w:val="single" w:sz="4" w:space="0" w:color="auto"/>
            </w:tcBorders>
          </w:tcPr>
          <w:p w14:paraId="60BFE5F8"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BFBFBF"/>
              <w:left w:val="single" w:sz="4" w:space="0" w:color="auto"/>
              <w:right w:val="single" w:sz="4" w:space="0" w:color="auto"/>
            </w:tcBorders>
          </w:tcPr>
          <w:p w14:paraId="3CE6566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right w:val="single" w:sz="4" w:space="0" w:color="auto"/>
            </w:tcBorders>
          </w:tcPr>
          <w:p w14:paraId="6B8E7826"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53A440D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5F595040"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00688BA8"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r w:rsidR="00E44A82" w14:paraId="7AD351AC" w14:textId="77777777" w:rsidTr="00647044">
        <w:trPr>
          <w:cantSplit/>
        </w:trPr>
        <w:tc>
          <w:tcPr>
            <w:tcW w:w="420" w:type="dxa"/>
            <w:tcBorders>
              <w:top w:val="single" w:sz="4" w:space="0" w:color="BFBFBF"/>
              <w:left w:val="nil"/>
              <w:bottom w:val="single" w:sz="4" w:space="0" w:color="BFBFBF"/>
              <w:right w:val="single" w:sz="4" w:space="0" w:color="auto"/>
            </w:tcBorders>
            <w:vAlign w:val="center"/>
          </w:tcPr>
          <w:p w14:paraId="4F213584" w14:textId="77777777" w:rsidR="00E44A82" w:rsidRDefault="00E44A82" w:rsidP="00647044">
            <w:pPr>
              <w:pStyle w:val="TableText"/>
              <w:snapToGrid w:val="0"/>
              <w:rPr>
                <w:lang w:eastAsia="en-CA"/>
              </w:rPr>
            </w:pPr>
            <w:r>
              <w:rPr>
                <w:lang w:eastAsia="en-CA"/>
              </w:rPr>
              <w:t>9</w:t>
            </w:r>
          </w:p>
        </w:tc>
        <w:tc>
          <w:tcPr>
            <w:tcW w:w="2557" w:type="dxa"/>
            <w:tcBorders>
              <w:top w:val="single" w:sz="4" w:space="0" w:color="BFBFBF"/>
              <w:left w:val="nil"/>
              <w:bottom w:val="single" w:sz="4" w:space="0" w:color="BFBFBF"/>
              <w:right w:val="single" w:sz="4" w:space="0" w:color="auto"/>
            </w:tcBorders>
            <w:vAlign w:val="center"/>
          </w:tcPr>
          <w:p w14:paraId="480EF407" w14:textId="77777777" w:rsidR="00E44A82" w:rsidRDefault="00E44A82" w:rsidP="00647044">
            <w:pPr>
              <w:keepNext/>
              <w:tabs>
                <w:tab w:val="left" w:pos="397"/>
                <w:tab w:val="left" w:pos="794"/>
                <w:tab w:val="left" w:pos="1191"/>
              </w:tabs>
              <w:snapToGrid w:val="0"/>
              <w:spacing w:before="20" w:after="20"/>
              <w:ind w:left="57"/>
              <w:rPr>
                <w:rFonts w:eastAsia="新細明體" w:cs="Segoe UI"/>
                <w:sz w:val="17"/>
                <w:szCs w:val="17"/>
                <w:lang w:eastAsia="ja-JP"/>
              </w:rPr>
            </w:pPr>
            <w:r>
              <w:rPr>
                <w:rFonts w:eastAsia="新細明體" w:cs="Segoe UI"/>
                <w:sz w:val="17"/>
                <w:szCs w:val="17"/>
                <w:lang w:eastAsia="en-GB"/>
              </w:rPr>
              <w:t>lease and receivables</w:t>
            </w:r>
          </w:p>
        </w:tc>
        <w:tc>
          <w:tcPr>
            <w:tcW w:w="1212" w:type="dxa"/>
            <w:tcBorders>
              <w:top w:val="single" w:sz="4" w:space="0" w:color="BFBFBF"/>
              <w:left w:val="single" w:sz="4" w:space="0" w:color="auto"/>
              <w:bottom w:val="single" w:sz="4" w:space="0" w:color="BFBFBF"/>
              <w:right w:val="single" w:sz="4" w:space="0" w:color="auto"/>
            </w:tcBorders>
          </w:tcPr>
          <w:p w14:paraId="00B479A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26ACA01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right w:val="single" w:sz="4" w:space="0" w:color="auto"/>
            </w:tcBorders>
          </w:tcPr>
          <w:p w14:paraId="47875034"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right w:val="single" w:sz="4" w:space="0" w:color="auto"/>
            </w:tcBorders>
          </w:tcPr>
          <w:p w14:paraId="2D1CADC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BFBFBF"/>
              <w:left w:val="single" w:sz="4" w:space="0" w:color="auto"/>
              <w:right w:val="single" w:sz="4" w:space="0" w:color="auto"/>
            </w:tcBorders>
          </w:tcPr>
          <w:p w14:paraId="4044579B"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right w:val="single" w:sz="4" w:space="0" w:color="auto"/>
            </w:tcBorders>
          </w:tcPr>
          <w:p w14:paraId="18E1AFC0"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25201572"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5AE36ED5"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621FD8F6"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r w:rsidR="00E44A82" w14:paraId="680CC1E1" w14:textId="77777777" w:rsidTr="00647044">
        <w:trPr>
          <w:cantSplit/>
        </w:trPr>
        <w:tc>
          <w:tcPr>
            <w:tcW w:w="420" w:type="dxa"/>
            <w:tcBorders>
              <w:top w:val="single" w:sz="4" w:space="0" w:color="BFBFBF"/>
              <w:left w:val="nil"/>
              <w:bottom w:val="single" w:sz="4" w:space="0" w:color="BFBFBF"/>
              <w:right w:val="single" w:sz="4" w:space="0" w:color="auto"/>
            </w:tcBorders>
            <w:vAlign w:val="center"/>
          </w:tcPr>
          <w:p w14:paraId="17F11A70" w14:textId="77777777" w:rsidR="00E44A82" w:rsidRDefault="00E44A82" w:rsidP="00647044">
            <w:pPr>
              <w:pStyle w:val="TableText"/>
              <w:snapToGrid w:val="0"/>
              <w:rPr>
                <w:lang w:eastAsia="en-CA"/>
              </w:rPr>
            </w:pPr>
            <w:r>
              <w:rPr>
                <w:lang w:eastAsia="en-CA"/>
              </w:rPr>
              <w:t>10</w:t>
            </w:r>
          </w:p>
        </w:tc>
        <w:tc>
          <w:tcPr>
            <w:tcW w:w="2557" w:type="dxa"/>
            <w:tcBorders>
              <w:top w:val="single" w:sz="4" w:space="0" w:color="BFBFBF"/>
              <w:left w:val="nil"/>
              <w:bottom w:val="single" w:sz="4" w:space="0" w:color="BFBFBF"/>
              <w:right w:val="single" w:sz="4" w:space="0" w:color="auto"/>
            </w:tcBorders>
            <w:vAlign w:val="center"/>
          </w:tcPr>
          <w:p w14:paraId="17900458" w14:textId="77777777" w:rsidR="00E44A82" w:rsidRDefault="00E44A82" w:rsidP="00647044">
            <w:pPr>
              <w:keepNext/>
              <w:tabs>
                <w:tab w:val="left" w:pos="397"/>
                <w:tab w:val="left" w:pos="794"/>
                <w:tab w:val="left" w:pos="1191"/>
              </w:tabs>
              <w:snapToGrid w:val="0"/>
              <w:spacing w:before="20" w:after="20"/>
              <w:ind w:left="57"/>
              <w:rPr>
                <w:rFonts w:eastAsia="新細明體" w:cs="Segoe UI"/>
                <w:sz w:val="17"/>
                <w:szCs w:val="17"/>
                <w:lang w:eastAsia="en-GB"/>
              </w:rPr>
            </w:pPr>
            <w:r>
              <w:rPr>
                <w:rFonts w:eastAsia="新細明體" w:cs="Segoe UI"/>
                <w:sz w:val="17"/>
                <w:szCs w:val="17"/>
                <w:lang w:eastAsia="en-GB"/>
              </w:rPr>
              <w:t xml:space="preserve">other wholesale </w:t>
            </w:r>
          </w:p>
        </w:tc>
        <w:tc>
          <w:tcPr>
            <w:tcW w:w="1212" w:type="dxa"/>
            <w:tcBorders>
              <w:top w:val="single" w:sz="4" w:space="0" w:color="BFBFBF"/>
              <w:left w:val="single" w:sz="4" w:space="0" w:color="auto"/>
              <w:bottom w:val="single" w:sz="4" w:space="0" w:color="BFBFBF"/>
              <w:right w:val="single" w:sz="4" w:space="0" w:color="auto"/>
            </w:tcBorders>
          </w:tcPr>
          <w:p w14:paraId="0B036CA7"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1D6BFD7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right w:val="single" w:sz="4" w:space="0" w:color="auto"/>
            </w:tcBorders>
          </w:tcPr>
          <w:p w14:paraId="52E86E70"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right w:val="single" w:sz="4" w:space="0" w:color="auto"/>
            </w:tcBorders>
          </w:tcPr>
          <w:p w14:paraId="39E1AA36"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BFBFBF"/>
              <w:left w:val="single" w:sz="4" w:space="0" w:color="auto"/>
              <w:right w:val="single" w:sz="4" w:space="0" w:color="auto"/>
            </w:tcBorders>
          </w:tcPr>
          <w:p w14:paraId="214BA632"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right w:val="single" w:sz="4" w:space="0" w:color="auto"/>
            </w:tcBorders>
          </w:tcPr>
          <w:p w14:paraId="6E339810"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4C5D9E17"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3E86B0FF"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BFBFBF"/>
              <w:right w:val="single" w:sz="4" w:space="0" w:color="auto"/>
            </w:tcBorders>
          </w:tcPr>
          <w:p w14:paraId="5040FBE8"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r w:rsidR="00E44A82" w14:paraId="0E9B6A15" w14:textId="77777777" w:rsidTr="00647044">
        <w:trPr>
          <w:cantSplit/>
        </w:trPr>
        <w:tc>
          <w:tcPr>
            <w:tcW w:w="420" w:type="dxa"/>
            <w:tcBorders>
              <w:top w:val="single" w:sz="4" w:space="0" w:color="BFBFBF"/>
              <w:left w:val="nil"/>
              <w:bottom w:val="single" w:sz="4" w:space="0" w:color="auto"/>
              <w:right w:val="single" w:sz="4" w:space="0" w:color="auto"/>
            </w:tcBorders>
            <w:vAlign w:val="center"/>
          </w:tcPr>
          <w:p w14:paraId="4C76C355" w14:textId="77777777" w:rsidR="00E44A82" w:rsidRDefault="00E44A82" w:rsidP="00647044">
            <w:pPr>
              <w:pStyle w:val="TableText"/>
              <w:snapToGrid w:val="0"/>
              <w:rPr>
                <w:lang w:eastAsia="en-CA"/>
              </w:rPr>
            </w:pPr>
            <w:r>
              <w:rPr>
                <w:lang w:eastAsia="en-CA"/>
              </w:rPr>
              <w:t>11</w:t>
            </w:r>
          </w:p>
        </w:tc>
        <w:tc>
          <w:tcPr>
            <w:tcW w:w="2557" w:type="dxa"/>
            <w:tcBorders>
              <w:top w:val="single" w:sz="4" w:space="0" w:color="BFBFBF"/>
              <w:left w:val="nil"/>
              <w:bottom w:val="single" w:sz="4" w:space="0" w:color="auto"/>
              <w:right w:val="single" w:sz="4" w:space="0" w:color="auto"/>
            </w:tcBorders>
            <w:vAlign w:val="center"/>
          </w:tcPr>
          <w:p w14:paraId="0330719E" w14:textId="77777777" w:rsidR="00E44A82" w:rsidRDefault="00E44A82" w:rsidP="00647044">
            <w:pPr>
              <w:keepNext/>
              <w:tabs>
                <w:tab w:val="left" w:pos="397"/>
                <w:tab w:val="left" w:pos="794"/>
                <w:tab w:val="left" w:pos="1191"/>
              </w:tabs>
              <w:snapToGrid w:val="0"/>
              <w:spacing w:before="20" w:after="20"/>
              <w:ind w:left="57"/>
              <w:rPr>
                <w:rFonts w:eastAsia="新細明體" w:cs="Segoe UI"/>
                <w:sz w:val="17"/>
                <w:szCs w:val="17"/>
                <w:lang w:eastAsia="en-GB"/>
              </w:rPr>
            </w:pPr>
            <w:r>
              <w:rPr>
                <w:rFonts w:eastAsia="新細明體" w:cs="Segoe UI"/>
                <w:sz w:val="17"/>
                <w:szCs w:val="17"/>
                <w:lang w:eastAsia="en-GB"/>
              </w:rPr>
              <w:t>re-securitization exposures</w:t>
            </w:r>
          </w:p>
        </w:tc>
        <w:tc>
          <w:tcPr>
            <w:tcW w:w="1212" w:type="dxa"/>
            <w:tcBorders>
              <w:top w:val="single" w:sz="4" w:space="0" w:color="BFBFBF"/>
              <w:left w:val="single" w:sz="4" w:space="0" w:color="auto"/>
              <w:bottom w:val="single" w:sz="4" w:space="0" w:color="auto"/>
              <w:right w:val="single" w:sz="4" w:space="0" w:color="auto"/>
            </w:tcBorders>
          </w:tcPr>
          <w:p w14:paraId="748376CA"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72710CA8"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75FF81B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66212179"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2" w:type="dxa"/>
            <w:tcBorders>
              <w:top w:val="single" w:sz="4" w:space="0" w:color="BFBFBF"/>
              <w:left w:val="single" w:sz="4" w:space="0" w:color="auto"/>
              <w:bottom w:val="single" w:sz="4" w:space="0" w:color="auto"/>
              <w:right w:val="single" w:sz="4" w:space="0" w:color="auto"/>
            </w:tcBorders>
          </w:tcPr>
          <w:p w14:paraId="200E1BDD"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584FBF41"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066915E1"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0879167C"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c>
          <w:tcPr>
            <w:tcW w:w="1213" w:type="dxa"/>
            <w:tcBorders>
              <w:top w:val="single" w:sz="4" w:space="0" w:color="BFBFBF"/>
              <w:left w:val="single" w:sz="4" w:space="0" w:color="auto"/>
              <w:bottom w:val="single" w:sz="4" w:space="0" w:color="auto"/>
              <w:right w:val="single" w:sz="4" w:space="0" w:color="auto"/>
            </w:tcBorders>
          </w:tcPr>
          <w:p w14:paraId="286039F0" w14:textId="77777777" w:rsidR="00E44A82" w:rsidRDefault="00E44A82" w:rsidP="00647044">
            <w:pPr>
              <w:tabs>
                <w:tab w:val="decimal" w:pos="31"/>
              </w:tabs>
              <w:snapToGrid w:val="0"/>
              <w:spacing w:before="20" w:after="20"/>
              <w:jc w:val="center"/>
              <w:rPr>
                <w:rFonts w:eastAsia="新細明體" w:cs="Segoe UI"/>
                <w:sz w:val="17"/>
                <w:szCs w:val="17"/>
                <w:lang w:eastAsia="en-GB"/>
              </w:rPr>
            </w:pPr>
          </w:p>
        </w:tc>
      </w:tr>
    </w:tbl>
    <w:p w14:paraId="7B415C73" w14:textId="77777777" w:rsidR="00E44A82" w:rsidRDefault="00E44A82" w:rsidP="00E44A82">
      <w:pPr>
        <w:spacing w:before="40" w:after="40"/>
        <w:rPr>
          <w:sz w:val="22"/>
        </w:rPr>
      </w:pP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2758"/>
      </w:tblGrid>
      <w:tr w:rsidR="00E44A82" w14:paraId="1D80761B" w14:textId="77777777" w:rsidTr="00647044">
        <w:trPr>
          <w:tblHeader/>
        </w:trPr>
        <w:tc>
          <w:tcPr>
            <w:tcW w:w="13892" w:type="dxa"/>
            <w:gridSpan w:val="2"/>
            <w:shd w:val="clear" w:color="auto" w:fill="BFBFBF"/>
          </w:tcPr>
          <w:p w14:paraId="1584AA28" w14:textId="77777777" w:rsidR="00E44A82" w:rsidRDefault="00E44A82" w:rsidP="00647044">
            <w:pPr>
              <w:pStyle w:val="TableNote"/>
              <w:keepNext/>
              <w:spacing w:before="40" w:after="40"/>
              <w:rPr>
                <w:rFonts w:eastAsia="新細明體"/>
                <w:b/>
                <w:sz w:val="17"/>
                <w:lang w:eastAsia="en-GB"/>
              </w:rPr>
            </w:pPr>
            <w:r>
              <w:rPr>
                <w:rFonts w:eastAsia="新細明體"/>
                <w:b/>
                <w:sz w:val="17"/>
                <w:lang w:eastAsia="en-GB"/>
              </w:rPr>
              <w:t>Explanatory Note</w:t>
            </w:r>
          </w:p>
        </w:tc>
      </w:tr>
      <w:tr w:rsidR="00E44A82" w14:paraId="7C86B161" w14:textId="77777777" w:rsidTr="00647044">
        <w:tc>
          <w:tcPr>
            <w:tcW w:w="13892" w:type="dxa"/>
            <w:gridSpan w:val="2"/>
            <w:shd w:val="clear" w:color="auto" w:fill="F2F2F2"/>
          </w:tcPr>
          <w:p w14:paraId="643FBEC7" w14:textId="77777777" w:rsidR="00E44A82" w:rsidRDefault="00E44A82" w:rsidP="00647044">
            <w:pPr>
              <w:pStyle w:val="TableNote"/>
              <w:keepNext/>
              <w:spacing w:before="40" w:after="40"/>
              <w:rPr>
                <w:i/>
                <w:sz w:val="17"/>
                <w:szCs w:val="17"/>
              </w:rPr>
            </w:pPr>
            <w:r>
              <w:rPr>
                <w:rFonts w:eastAsia="新細明體"/>
                <w:b/>
                <w:sz w:val="17"/>
                <w:lang w:eastAsia="en-GB"/>
              </w:rPr>
              <w:t>Columns</w:t>
            </w:r>
          </w:p>
        </w:tc>
      </w:tr>
      <w:tr w:rsidR="00E44A82" w14:paraId="4904243C" w14:textId="77777777" w:rsidTr="00647044">
        <w:tc>
          <w:tcPr>
            <w:tcW w:w="1134" w:type="dxa"/>
          </w:tcPr>
          <w:p w14:paraId="564FD551" w14:textId="77777777" w:rsidR="00E44A82" w:rsidRDefault="00E44A82" w:rsidP="00647044">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(a) to (c)</w:t>
            </w:r>
          </w:p>
        </w:tc>
        <w:tc>
          <w:tcPr>
            <w:tcW w:w="12758" w:type="dxa"/>
          </w:tcPr>
          <w:p w14:paraId="4FB760A9" w14:textId="77777777" w:rsidR="00E44A82" w:rsidRDefault="00E44A82" w:rsidP="00647044">
            <w:pPr>
              <w:keepLines/>
              <w:widowControl w:val="0"/>
              <w:tabs>
                <w:tab w:val="left" w:pos="150"/>
                <w:tab w:val="left" w:pos="397"/>
                <w:tab w:val="left" w:pos="794"/>
                <w:tab w:val="left" w:pos="1191"/>
              </w:tabs>
              <w:spacing w:before="20" w:after="20"/>
              <w:jc w:val="both"/>
              <w:rPr>
                <w:i/>
                <w:sz w:val="17"/>
                <w:szCs w:val="17"/>
              </w:rPr>
            </w:pPr>
            <w:r>
              <w:rPr>
                <w:rFonts w:eastAsia="新細明體" w:cs="Segoe UI"/>
                <w:bCs/>
                <w:i/>
                <w:sz w:val="17"/>
                <w:szCs w:val="17"/>
                <w:lang w:eastAsia="ja-JP"/>
              </w:rPr>
              <w:t>Acting as originator (excluding sponsor)</w:t>
            </w:r>
            <w:r>
              <w:rPr>
                <w:rFonts w:eastAsia="新細明體" w:cs="Segoe UI"/>
                <w:bCs/>
                <w:sz w:val="17"/>
                <w:szCs w:val="17"/>
                <w:lang w:eastAsia="ja-JP"/>
              </w:rPr>
              <w:t xml:space="preserve">: the </w:t>
            </w:r>
            <w:r>
              <w:rPr>
                <w:sz w:val="17"/>
                <w:szCs w:val="17"/>
              </w:rPr>
              <w:t>securitization</w:t>
            </w:r>
            <w:r>
              <w:rPr>
                <w:rFonts w:eastAsia="新細明體" w:cs="Segoe UI"/>
                <w:bCs/>
                <w:sz w:val="17"/>
                <w:szCs w:val="17"/>
                <w:lang w:eastAsia="ja-JP"/>
              </w:rPr>
              <w:t xml:space="preserve"> positions reported under these columns are the positions retained by an AI in a capacity that directly or indirectly originates the underlying exposures in the transaction, including </w:t>
            </w:r>
            <w:r w:rsidRPr="000B637B">
              <w:rPr>
                <w:rFonts w:eastAsia="新細明體" w:cs="Segoe UI"/>
                <w:bCs/>
                <w:sz w:val="17"/>
                <w:szCs w:val="17"/>
                <w:lang w:eastAsia="ja-JP"/>
              </w:rPr>
              <w:t>exposures arise from an eligible securitization transaction or a non-eligible securitization transaction.</w:t>
            </w:r>
            <w:r w:rsidDel="00EC4B7F">
              <w:rPr>
                <w:rFonts w:eastAsia="新細明體" w:cs="Segoe UI"/>
                <w:bCs/>
                <w:sz w:val="17"/>
                <w:szCs w:val="17"/>
                <w:lang w:eastAsia="ja-JP"/>
              </w:rPr>
              <w:t xml:space="preserve"> </w:t>
            </w:r>
          </w:p>
        </w:tc>
      </w:tr>
      <w:tr w:rsidR="00E44A82" w14:paraId="1A908C06" w14:textId="77777777" w:rsidTr="00647044">
        <w:tc>
          <w:tcPr>
            <w:tcW w:w="1134" w:type="dxa"/>
          </w:tcPr>
          <w:p w14:paraId="3EEF00C4" w14:textId="77777777" w:rsidR="00E44A82" w:rsidRDefault="00E44A82" w:rsidP="00647044">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(d) to (f)</w:t>
            </w:r>
          </w:p>
        </w:tc>
        <w:tc>
          <w:tcPr>
            <w:tcW w:w="12758" w:type="dxa"/>
          </w:tcPr>
          <w:p w14:paraId="71FD396A" w14:textId="77777777" w:rsidR="00E44A82" w:rsidRDefault="00E44A82" w:rsidP="00647044">
            <w:pPr>
              <w:keepLines/>
              <w:widowControl w:val="0"/>
              <w:tabs>
                <w:tab w:val="left" w:pos="150"/>
                <w:tab w:val="left" w:pos="397"/>
                <w:tab w:val="left" w:pos="794"/>
                <w:tab w:val="left" w:pos="1191"/>
              </w:tabs>
              <w:spacing w:before="20" w:after="20"/>
              <w:jc w:val="both"/>
              <w:rPr>
                <w:rFonts w:eastAsia="新細明體" w:cs="Segoe UI"/>
                <w:bCs/>
                <w:sz w:val="17"/>
                <w:szCs w:val="17"/>
                <w:lang w:eastAsia="ja-JP"/>
              </w:rPr>
            </w:pPr>
            <w:r>
              <w:rPr>
                <w:rFonts w:eastAsia="新細明體" w:cs="Segoe UI"/>
                <w:bCs/>
                <w:i/>
                <w:sz w:val="17"/>
                <w:szCs w:val="17"/>
                <w:lang w:eastAsia="ja-JP"/>
              </w:rPr>
              <w:t>Acting as sponsor</w:t>
            </w:r>
            <w:r>
              <w:rPr>
                <w:rFonts w:eastAsia="新細明體" w:cs="Segoe UI"/>
                <w:bCs/>
                <w:sz w:val="17"/>
                <w:szCs w:val="17"/>
                <w:lang w:eastAsia="ja-JP"/>
              </w:rPr>
              <w:t xml:space="preserve">: the securitization </w:t>
            </w:r>
            <w:r>
              <w:rPr>
                <w:sz w:val="17"/>
                <w:szCs w:val="17"/>
              </w:rPr>
              <w:t>positions</w:t>
            </w:r>
            <w:r>
              <w:rPr>
                <w:rFonts w:eastAsia="新細明體" w:cs="Segoe UI"/>
                <w:bCs/>
                <w:sz w:val="17"/>
                <w:szCs w:val="17"/>
                <w:lang w:eastAsia="ja-JP"/>
              </w:rPr>
              <w:t xml:space="preserve"> reported under these columns are those arising from the activities of an AI as a sponsor, for example, exposures to commercial paper conduits to which the AI provides programme-wide enhancements, liquidity and other facilities.  Where the AI acts as both originator and sponsor, it should avoid double-counting for the purpose of disclosure.  In this regard, the AI should merge the two columns into one as “Acting as originator/ sponsor” in its presentation.</w:t>
            </w:r>
          </w:p>
        </w:tc>
      </w:tr>
      <w:tr w:rsidR="00E44A82" w14:paraId="504DEC6A" w14:textId="77777777" w:rsidTr="00647044">
        <w:tc>
          <w:tcPr>
            <w:tcW w:w="1134" w:type="dxa"/>
          </w:tcPr>
          <w:p w14:paraId="3658870A" w14:textId="77777777" w:rsidR="00E44A82" w:rsidRDefault="00E44A82" w:rsidP="00647044">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(g) to (i)</w:t>
            </w:r>
          </w:p>
        </w:tc>
        <w:tc>
          <w:tcPr>
            <w:tcW w:w="12758" w:type="dxa"/>
          </w:tcPr>
          <w:p w14:paraId="7D4161B2" w14:textId="77777777" w:rsidR="00E44A82" w:rsidRDefault="00E44A82" w:rsidP="00647044">
            <w:pPr>
              <w:keepLines/>
              <w:widowControl w:val="0"/>
              <w:tabs>
                <w:tab w:val="left" w:pos="150"/>
                <w:tab w:val="left" w:pos="397"/>
                <w:tab w:val="left" w:pos="794"/>
                <w:tab w:val="left" w:pos="1191"/>
              </w:tabs>
              <w:spacing w:before="20" w:after="20"/>
              <w:jc w:val="both"/>
              <w:rPr>
                <w:rFonts w:eastAsia="新細明體" w:cs="Segoe UI"/>
                <w:bCs/>
                <w:sz w:val="17"/>
                <w:szCs w:val="17"/>
                <w:lang w:eastAsia="ja-JP"/>
              </w:rPr>
            </w:pPr>
            <w:r>
              <w:rPr>
                <w:rFonts w:eastAsia="新細明體" w:cs="Segoe UI"/>
                <w:bCs/>
                <w:i/>
                <w:sz w:val="17"/>
                <w:szCs w:val="17"/>
                <w:lang w:eastAsia="ja-JP"/>
              </w:rPr>
              <w:t>Acting as investor</w:t>
            </w:r>
            <w:r>
              <w:rPr>
                <w:rFonts w:eastAsia="新細明體" w:cs="Segoe UI"/>
                <w:bCs/>
                <w:sz w:val="17"/>
                <w:szCs w:val="17"/>
                <w:lang w:eastAsia="ja-JP"/>
              </w:rPr>
              <w:t>: these columns represent the investment positions an AI purchased in third-party deals.</w:t>
            </w:r>
          </w:p>
        </w:tc>
      </w:tr>
      <w:tr w:rsidR="00E44A82" w14:paraId="4ECB4DB8" w14:textId="77777777" w:rsidTr="00647044">
        <w:tc>
          <w:tcPr>
            <w:tcW w:w="1134" w:type="dxa"/>
          </w:tcPr>
          <w:p w14:paraId="587376FF" w14:textId="77777777" w:rsidR="00E44A82" w:rsidRDefault="00E44A82" w:rsidP="00647044">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(a), (d) &amp; (g)</w:t>
            </w:r>
          </w:p>
        </w:tc>
        <w:tc>
          <w:tcPr>
            <w:tcW w:w="12758" w:type="dxa"/>
          </w:tcPr>
          <w:p w14:paraId="60A90254" w14:textId="77777777" w:rsidR="00E44A82" w:rsidRDefault="00E44A82" w:rsidP="00647044">
            <w:pPr>
              <w:keepLines/>
              <w:widowControl w:val="0"/>
              <w:tabs>
                <w:tab w:val="left" w:pos="150"/>
                <w:tab w:val="left" w:pos="397"/>
                <w:tab w:val="left" w:pos="794"/>
                <w:tab w:val="left" w:pos="1191"/>
              </w:tabs>
              <w:spacing w:before="20" w:after="20"/>
              <w:jc w:val="both"/>
              <w:rPr>
                <w:rFonts w:eastAsia="新細明體" w:cs="Segoe UI"/>
                <w:bCs/>
                <w:i/>
                <w:sz w:val="17"/>
                <w:szCs w:val="17"/>
                <w:lang w:eastAsia="ja-JP"/>
              </w:rPr>
            </w:pPr>
            <w:r>
              <w:rPr>
                <w:rFonts w:eastAsia="新細明體" w:cs="Segoe UI"/>
                <w:bCs/>
                <w:i/>
                <w:sz w:val="17"/>
                <w:szCs w:val="17"/>
                <w:lang w:eastAsia="ja-JP"/>
              </w:rPr>
              <w:t>Traditional</w:t>
            </w:r>
            <w:r>
              <w:rPr>
                <w:rFonts w:eastAsia="新細明體" w:cs="Segoe UI"/>
                <w:bCs/>
                <w:sz w:val="17"/>
                <w:szCs w:val="17"/>
                <w:lang w:eastAsia="ja-JP"/>
              </w:rPr>
              <w:t>: this captures any traditional securitization transaction as defined under Part 7 of the BCR.</w:t>
            </w:r>
          </w:p>
        </w:tc>
      </w:tr>
      <w:tr w:rsidR="00E44A82" w14:paraId="5AF10715" w14:textId="77777777" w:rsidTr="00647044">
        <w:tc>
          <w:tcPr>
            <w:tcW w:w="1134" w:type="dxa"/>
          </w:tcPr>
          <w:p w14:paraId="687179B0" w14:textId="77777777" w:rsidR="00E44A82" w:rsidRDefault="00E44A82" w:rsidP="00647044">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(b), (e) &amp; (h)</w:t>
            </w:r>
          </w:p>
        </w:tc>
        <w:tc>
          <w:tcPr>
            <w:tcW w:w="12758" w:type="dxa"/>
          </w:tcPr>
          <w:p w14:paraId="645639B7" w14:textId="77777777" w:rsidR="00E44A82" w:rsidRDefault="00E44A82" w:rsidP="00647044">
            <w:pPr>
              <w:keepLines/>
              <w:widowControl w:val="0"/>
              <w:tabs>
                <w:tab w:val="left" w:pos="150"/>
                <w:tab w:val="left" w:pos="397"/>
                <w:tab w:val="left" w:pos="794"/>
                <w:tab w:val="left" w:pos="1191"/>
              </w:tabs>
              <w:spacing w:before="20" w:after="20"/>
              <w:jc w:val="both"/>
              <w:rPr>
                <w:rFonts w:eastAsia="新細明體" w:cs="Segoe UI"/>
                <w:bCs/>
                <w:i/>
                <w:sz w:val="17"/>
                <w:szCs w:val="17"/>
                <w:lang w:eastAsia="ja-JP"/>
              </w:rPr>
            </w:pPr>
            <w:r>
              <w:rPr>
                <w:rFonts w:eastAsia="新細明體" w:cs="Segoe UI"/>
                <w:bCs/>
                <w:i/>
                <w:sz w:val="17"/>
                <w:szCs w:val="17"/>
                <w:lang w:eastAsia="it-IT"/>
              </w:rPr>
              <w:t>Synthetic</w:t>
            </w:r>
            <w:r>
              <w:rPr>
                <w:rFonts w:eastAsia="新細明體" w:cs="Segoe UI"/>
                <w:bCs/>
                <w:sz w:val="17"/>
                <w:szCs w:val="17"/>
                <w:lang w:eastAsia="ja-JP"/>
              </w:rPr>
              <w:t>: this captures any synthetic securitization transaction as defined under Part 7 of the BCR.  If an AI has purchased protection it should report the net exposure amounts to which it is exposed under columns originator/sponsor (i.e. the amount that is not secured).  If the AI has sold protection, the exposure amount of the credit protection should be reported in the “investor” column.</w:t>
            </w:r>
          </w:p>
        </w:tc>
      </w:tr>
      <w:tr w:rsidR="00E44A82" w14:paraId="63F25B17" w14:textId="77777777" w:rsidTr="00647044">
        <w:tc>
          <w:tcPr>
            <w:tcW w:w="13892" w:type="dxa"/>
            <w:gridSpan w:val="2"/>
            <w:shd w:val="clear" w:color="auto" w:fill="F2F2F2"/>
          </w:tcPr>
          <w:p w14:paraId="6BA99628" w14:textId="77777777" w:rsidR="00E44A82" w:rsidRDefault="00E44A82" w:rsidP="00647044">
            <w:pPr>
              <w:keepLines/>
              <w:widowControl w:val="0"/>
              <w:tabs>
                <w:tab w:val="left" w:pos="150"/>
                <w:tab w:val="left" w:pos="397"/>
                <w:tab w:val="left" w:pos="794"/>
                <w:tab w:val="left" w:pos="1191"/>
              </w:tabs>
              <w:spacing w:before="20" w:after="20"/>
              <w:jc w:val="both"/>
              <w:rPr>
                <w:rFonts w:eastAsia="新細明體" w:cs="Segoe UI"/>
                <w:bCs/>
                <w:i/>
                <w:sz w:val="17"/>
                <w:szCs w:val="17"/>
                <w:lang w:eastAsia="it-IT"/>
              </w:rPr>
            </w:pPr>
            <w:r>
              <w:rPr>
                <w:rFonts w:eastAsia="新細明體"/>
                <w:b/>
                <w:sz w:val="17"/>
                <w:lang w:eastAsia="en-GB"/>
              </w:rPr>
              <w:t>Rows</w:t>
            </w:r>
          </w:p>
        </w:tc>
      </w:tr>
      <w:tr w:rsidR="00E44A82" w14:paraId="6E04B402" w14:textId="77777777" w:rsidTr="00647044">
        <w:tc>
          <w:tcPr>
            <w:tcW w:w="1134" w:type="dxa"/>
          </w:tcPr>
          <w:p w14:paraId="639D642F" w14:textId="77777777" w:rsidR="00E44A82" w:rsidRDefault="00E44A82" w:rsidP="00647044">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All</w:t>
            </w:r>
          </w:p>
        </w:tc>
        <w:tc>
          <w:tcPr>
            <w:tcW w:w="12758" w:type="dxa"/>
          </w:tcPr>
          <w:p w14:paraId="28194F52" w14:textId="77777777" w:rsidR="00E44A82" w:rsidRDefault="00E44A82" w:rsidP="00647044">
            <w:pPr>
              <w:keepLines/>
              <w:widowControl w:val="0"/>
              <w:tabs>
                <w:tab w:val="left" w:pos="150"/>
                <w:tab w:val="left" w:pos="397"/>
                <w:tab w:val="left" w:pos="794"/>
                <w:tab w:val="left" w:pos="1191"/>
              </w:tabs>
              <w:spacing w:before="20" w:after="20"/>
              <w:jc w:val="both"/>
              <w:rPr>
                <w:rFonts w:eastAsia="新細明體" w:cs="Segoe UI"/>
                <w:bCs/>
                <w:i/>
                <w:sz w:val="17"/>
                <w:szCs w:val="17"/>
                <w:lang w:eastAsia="it-IT"/>
              </w:rPr>
            </w:pPr>
            <w:r>
              <w:rPr>
                <w:rFonts w:eastAsia="新細明體"/>
                <w:sz w:val="17"/>
                <w:lang w:eastAsia="en-GB"/>
              </w:rPr>
              <w:t>An AI may modify the breakdown of exposures in the rows if another breakdown would be more appropriate to reflect its transactions, except that the rows regarding re-securitization exposures (i.e. rows 5 and 11 in the above table) are fixed, meaning that all re-securitization exposures that fall under the definition in the BCR should be reported in these rows but not in other rows, which contain only securitization exposures other than re-securitization exposures.</w:t>
            </w:r>
          </w:p>
        </w:tc>
      </w:tr>
    </w:tbl>
    <w:p w14:paraId="0E21D4CD" w14:textId="169E7B4C" w:rsidR="00E44A82" w:rsidRDefault="00E44A82" w:rsidP="00E44A82">
      <w:pPr>
        <w:rPr>
          <w:rFonts w:eastAsia="新細明體"/>
          <w:lang w:eastAsia="zh-TW"/>
        </w:rPr>
      </w:pPr>
    </w:p>
    <w:p w14:paraId="42ED7711" w14:textId="77777777" w:rsidR="00E44A82" w:rsidRDefault="00E44A82" w:rsidP="00E44A82">
      <w:pPr>
        <w:rPr>
          <w:color w:val="AA322F"/>
          <w:sz w:val="24"/>
          <w:lang w:eastAsia="en-GB"/>
        </w:rPr>
        <w:sectPr w:rsidR="00E44A82">
          <w:footerReference w:type="default" r:id="rId74"/>
          <w:pgSz w:w="16838" w:h="11906" w:orient="landscape" w:code="9"/>
          <w:pgMar w:top="1276" w:right="1440" w:bottom="1134" w:left="1440" w:header="851" w:footer="737" w:gutter="0"/>
          <w:cols w:space="425"/>
          <w:docGrid w:type="linesAndChars" w:linePitch="360"/>
        </w:sectPr>
      </w:pPr>
    </w:p>
    <w:p w14:paraId="2AFDA2AA" w14:textId="77777777" w:rsidR="00E44A82" w:rsidRPr="00CE1C80" w:rsidRDefault="00E44A82" w:rsidP="003B0A32">
      <w:pPr>
        <w:pStyle w:val="IndentedHeading2"/>
        <w:rPr>
          <w:b w:val="0"/>
        </w:rPr>
      </w:pPr>
      <w:r w:rsidRPr="00CE1C80">
        <w:rPr>
          <w:b w:val="0"/>
        </w:rPr>
        <w:lastRenderedPageBreak/>
        <w:t xml:space="preserve">II. </w:t>
      </w:r>
      <w:r w:rsidRPr="00CE1C80">
        <w:rPr>
          <w:b w:val="0"/>
        </w:rPr>
        <w:tab/>
        <w:t>Quantitative disclosure – calculation of capital requirements</w:t>
      </w:r>
    </w:p>
    <w:p w14:paraId="3F7F039A" w14:textId="1040BDF0" w:rsidR="00E44A82" w:rsidRDefault="006B3FEF" w:rsidP="00CE1C80">
      <w:pPr>
        <w:pStyle w:val="Heading3"/>
      </w:pPr>
      <w:r>
        <w:t>Template SEC3: Securitization exposures in banking book and associated capital requirements – where AI acts as originator</w:t>
      </w:r>
      <w:r>
        <w:rPr>
          <w:rStyle w:val="FootnoteReference"/>
        </w:rPr>
        <w:footnoteReference w:id="15"/>
      </w:r>
    </w:p>
    <w:tbl>
      <w:tblPr>
        <w:tblW w:w="13892" w:type="dxa"/>
        <w:tblInd w:w="108"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552"/>
        <w:gridCol w:w="11340"/>
      </w:tblGrid>
      <w:tr w:rsidR="0036162E" w:rsidRPr="0036162E" w14:paraId="38955343" w14:textId="77777777" w:rsidTr="00AB074C">
        <w:tc>
          <w:tcPr>
            <w:tcW w:w="2552" w:type="dxa"/>
          </w:tcPr>
          <w:p w14:paraId="68558652" w14:textId="77777777" w:rsidR="0036162E" w:rsidRPr="0036162E" w:rsidRDefault="0036162E" w:rsidP="0036162E">
            <w:pPr>
              <w:spacing w:before="40" w:after="40"/>
              <w:rPr>
                <w:noProof/>
                <w:sz w:val="17"/>
                <w:szCs w:val="17"/>
                <w:lang w:eastAsia="en-GB"/>
              </w:rPr>
            </w:pPr>
            <w:r w:rsidRPr="0036162E">
              <w:rPr>
                <w:b/>
                <w:sz w:val="17"/>
                <w:szCs w:val="17"/>
                <w:lang w:eastAsia="en-GB"/>
              </w:rPr>
              <w:t>Purpose:</w:t>
            </w:r>
          </w:p>
        </w:tc>
        <w:tc>
          <w:tcPr>
            <w:tcW w:w="11340" w:type="dxa"/>
          </w:tcPr>
          <w:p w14:paraId="340ED886" w14:textId="77777777" w:rsidR="0036162E" w:rsidRPr="0036162E" w:rsidRDefault="0036162E" w:rsidP="0036162E">
            <w:pPr>
              <w:spacing w:before="40" w:after="40"/>
              <w:jc w:val="both"/>
              <w:rPr>
                <w:rFonts w:eastAsia="新細明體"/>
                <w:sz w:val="17"/>
                <w:szCs w:val="17"/>
                <w:lang w:eastAsia="en-GB"/>
              </w:rPr>
            </w:pPr>
            <w:r w:rsidRPr="0036162E">
              <w:rPr>
                <w:rFonts w:eastAsia="新細明體"/>
                <w:sz w:val="17"/>
                <w:szCs w:val="17"/>
                <w:lang w:eastAsia="en-GB"/>
              </w:rPr>
              <w:t>To present securitization exposures in the banking book where an AI acts as an originating institution of eligible securitization transactions and the associated capital requirements.</w:t>
            </w:r>
          </w:p>
        </w:tc>
      </w:tr>
      <w:tr w:rsidR="0036162E" w:rsidRPr="0036162E" w14:paraId="1532A017" w14:textId="77777777" w:rsidTr="00AB074C">
        <w:tc>
          <w:tcPr>
            <w:tcW w:w="2552" w:type="dxa"/>
          </w:tcPr>
          <w:p w14:paraId="53A80F39" w14:textId="77777777" w:rsidR="0036162E" w:rsidRPr="0036162E" w:rsidRDefault="0036162E" w:rsidP="0036162E">
            <w:pPr>
              <w:spacing w:before="40" w:after="40"/>
              <w:rPr>
                <w:b/>
                <w:sz w:val="17"/>
                <w:szCs w:val="17"/>
                <w:lang w:eastAsia="en-GB"/>
              </w:rPr>
            </w:pPr>
            <w:r w:rsidRPr="0036162E">
              <w:rPr>
                <w:b/>
                <w:sz w:val="17"/>
                <w:szCs w:val="17"/>
                <w:lang w:eastAsia="en-GB"/>
              </w:rPr>
              <w:t>Scope of application:</w:t>
            </w:r>
          </w:p>
        </w:tc>
        <w:tc>
          <w:tcPr>
            <w:tcW w:w="11340" w:type="dxa"/>
          </w:tcPr>
          <w:p w14:paraId="715CEE66" w14:textId="77777777" w:rsidR="0036162E" w:rsidRPr="0036162E" w:rsidRDefault="0036162E" w:rsidP="0036162E">
            <w:pPr>
              <w:spacing w:before="40" w:after="40"/>
              <w:jc w:val="both"/>
              <w:rPr>
                <w:rFonts w:eastAsia="新細明體"/>
                <w:b/>
                <w:sz w:val="17"/>
                <w:lang w:eastAsia="en-GB"/>
              </w:rPr>
            </w:pPr>
            <w:r w:rsidRPr="0036162E">
              <w:rPr>
                <w:rFonts w:eastAsia="新細明體"/>
                <w:sz w:val="17"/>
                <w:lang w:eastAsia="en-GB"/>
              </w:rPr>
              <w:t>The template is mandatory for AIs</w:t>
            </w:r>
            <w:r w:rsidRPr="0036162E">
              <w:rPr>
                <w:sz w:val="17"/>
                <w:lang w:eastAsia="en-GB"/>
              </w:rPr>
              <w:t xml:space="preserve"> incorporated in Hong Kong</w:t>
            </w:r>
            <w:r w:rsidRPr="0036162E">
              <w:rPr>
                <w:rFonts w:eastAsia="新細明體"/>
                <w:sz w:val="17"/>
                <w:lang w:eastAsia="en-GB"/>
              </w:rPr>
              <w:t xml:space="preserve"> with securitization exposures and acting as originator.</w:t>
            </w:r>
          </w:p>
        </w:tc>
      </w:tr>
      <w:tr w:rsidR="0036162E" w:rsidRPr="0036162E" w14:paraId="33409D6E" w14:textId="77777777" w:rsidTr="00AB074C">
        <w:trPr>
          <w:trHeight w:val="275"/>
        </w:trPr>
        <w:tc>
          <w:tcPr>
            <w:tcW w:w="2552" w:type="dxa"/>
          </w:tcPr>
          <w:p w14:paraId="52344E86" w14:textId="77777777" w:rsidR="0036162E" w:rsidRPr="0036162E" w:rsidRDefault="0036162E" w:rsidP="0036162E">
            <w:pPr>
              <w:spacing w:before="40" w:after="40"/>
              <w:rPr>
                <w:b/>
                <w:sz w:val="17"/>
                <w:szCs w:val="17"/>
                <w:lang w:eastAsia="en-GB"/>
              </w:rPr>
            </w:pPr>
            <w:r w:rsidRPr="0036162E">
              <w:rPr>
                <w:b/>
                <w:sz w:val="17"/>
                <w:szCs w:val="17"/>
                <w:lang w:eastAsia="en-GB"/>
              </w:rPr>
              <w:t>Content:</w:t>
            </w:r>
          </w:p>
        </w:tc>
        <w:tc>
          <w:tcPr>
            <w:tcW w:w="11340" w:type="dxa"/>
          </w:tcPr>
          <w:p w14:paraId="3BB53F0D" w14:textId="77777777" w:rsidR="0036162E" w:rsidRPr="0036162E" w:rsidRDefault="0036162E" w:rsidP="0036162E">
            <w:pPr>
              <w:spacing w:before="40" w:after="40"/>
              <w:jc w:val="both"/>
              <w:rPr>
                <w:rFonts w:eastAsia="新細明體"/>
                <w:b/>
                <w:sz w:val="17"/>
                <w:lang w:eastAsia="en-GB"/>
              </w:rPr>
            </w:pPr>
            <w:r w:rsidRPr="0036162E">
              <w:rPr>
                <w:rFonts w:eastAsia="新細明體"/>
                <w:sz w:val="17"/>
                <w:lang w:eastAsia="en-GB"/>
              </w:rPr>
              <w:t xml:space="preserve">Exposure values, RWAs and capital charges.  This template only contains securitization exposures arising from eligible securitization transactions. </w:t>
            </w:r>
          </w:p>
        </w:tc>
      </w:tr>
      <w:tr w:rsidR="0036162E" w:rsidRPr="0036162E" w14:paraId="35255858" w14:textId="77777777" w:rsidTr="00AB074C">
        <w:tc>
          <w:tcPr>
            <w:tcW w:w="2552" w:type="dxa"/>
          </w:tcPr>
          <w:p w14:paraId="50E45848" w14:textId="77777777" w:rsidR="0036162E" w:rsidRPr="0036162E" w:rsidRDefault="0036162E" w:rsidP="0036162E">
            <w:pPr>
              <w:spacing w:before="40" w:after="40"/>
              <w:rPr>
                <w:sz w:val="17"/>
                <w:szCs w:val="17"/>
                <w:lang w:eastAsia="en-GB"/>
              </w:rPr>
            </w:pPr>
            <w:r w:rsidRPr="0036162E">
              <w:rPr>
                <w:b/>
                <w:sz w:val="17"/>
                <w:szCs w:val="17"/>
                <w:lang w:eastAsia="en-GB"/>
              </w:rPr>
              <w:t>Frequency:</w:t>
            </w:r>
          </w:p>
        </w:tc>
        <w:tc>
          <w:tcPr>
            <w:tcW w:w="11340" w:type="dxa"/>
          </w:tcPr>
          <w:p w14:paraId="631B9B65" w14:textId="77777777" w:rsidR="0036162E" w:rsidRPr="0036162E" w:rsidRDefault="0036162E" w:rsidP="0036162E">
            <w:pPr>
              <w:spacing w:before="40" w:after="40"/>
              <w:jc w:val="both"/>
              <w:rPr>
                <w:rFonts w:eastAsia="新細明體"/>
                <w:sz w:val="17"/>
                <w:szCs w:val="17"/>
                <w:lang w:eastAsia="en-GB"/>
              </w:rPr>
            </w:pPr>
            <w:r w:rsidRPr="0036162E">
              <w:rPr>
                <w:rFonts w:eastAsia="新細明體"/>
                <w:sz w:val="17"/>
                <w:szCs w:val="17"/>
                <w:lang w:eastAsia="en-GB"/>
              </w:rPr>
              <w:t>Semi-annual.</w:t>
            </w:r>
          </w:p>
        </w:tc>
      </w:tr>
      <w:tr w:rsidR="0036162E" w:rsidRPr="0036162E" w14:paraId="57FB87EE" w14:textId="77777777" w:rsidTr="00AB074C">
        <w:tc>
          <w:tcPr>
            <w:tcW w:w="2552" w:type="dxa"/>
          </w:tcPr>
          <w:p w14:paraId="74BAFBF6" w14:textId="77777777" w:rsidR="0036162E" w:rsidRPr="0036162E" w:rsidRDefault="0036162E" w:rsidP="0036162E">
            <w:pPr>
              <w:spacing w:before="40" w:after="40"/>
              <w:rPr>
                <w:sz w:val="17"/>
                <w:szCs w:val="17"/>
                <w:lang w:eastAsia="en-GB"/>
              </w:rPr>
            </w:pPr>
            <w:r w:rsidRPr="0036162E">
              <w:rPr>
                <w:b/>
                <w:sz w:val="17"/>
                <w:szCs w:val="17"/>
                <w:lang w:eastAsia="en-GB"/>
              </w:rPr>
              <w:t>Format:</w:t>
            </w:r>
          </w:p>
        </w:tc>
        <w:tc>
          <w:tcPr>
            <w:tcW w:w="11340" w:type="dxa"/>
          </w:tcPr>
          <w:p w14:paraId="4460FDF5" w14:textId="77777777" w:rsidR="0036162E" w:rsidRPr="0036162E" w:rsidRDefault="0036162E" w:rsidP="0036162E">
            <w:pPr>
              <w:spacing w:before="40" w:after="40"/>
              <w:jc w:val="both"/>
              <w:rPr>
                <w:rFonts w:eastAsia="新細明體"/>
                <w:sz w:val="17"/>
                <w:szCs w:val="17"/>
                <w:lang w:eastAsia="en-GB"/>
              </w:rPr>
            </w:pPr>
            <w:r w:rsidRPr="0036162E">
              <w:rPr>
                <w:rFonts w:eastAsia="新細明體"/>
                <w:sz w:val="17"/>
                <w:szCs w:val="17"/>
                <w:lang w:eastAsia="en-GB"/>
              </w:rPr>
              <w:t>Fixed.</w:t>
            </w:r>
          </w:p>
        </w:tc>
      </w:tr>
      <w:tr w:rsidR="0036162E" w:rsidRPr="0036162E" w14:paraId="7E5A42EF" w14:textId="77777777" w:rsidTr="00AB074C">
        <w:tc>
          <w:tcPr>
            <w:tcW w:w="2552" w:type="dxa"/>
          </w:tcPr>
          <w:p w14:paraId="679A8CD3" w14:textId="77777777" w:rsidR="0036162E" w:rsidRPr="0036162E" w:rsidRDefault="0036162E" w:rsidP="0036162E">
            <w:pPr>
              <w:spacing w:before="40" w:after="40"/>
              <w:rPr>
                <w:b/>
                <w:sz w:val="17"/>
                <w:szCs w:val="17"/>
                <w:lang w:eastAsia="en-GB"/>
              </w:rPr>
            </w:pPr>
            <w:r w:rsidRPr="0036162E">
              <w:rPr>
                <w:rFonts w:eastAsia="新細明體"/>
                <w:b/>
                <w:sz w:val="17"/>
                <w:szCs w:val="17"/>
                <w:lang w:eastAsia="en-GB"/>
              </w:rPr>
              <w:t>Accompanying narrative</w:t>
            </w:r>
            <w:r w:rsidRPr="0036162E">
              <w:rPr>
                <w:rFonts w:eastAsia="新細明體"/>
                <w:sz w:val="17"/>
                <w:szCs w:val="17"/>
                <w:lang w:eastAsia="en-GB"/>
              </w:rPr>
              <w:t>:</w:t>
            </w:r>
          </w:p>
        </w:tc>
        <w:tc>
          <w:tcPr>
            <w:tcW w:w="11340" w:type="dxa"/>
          </w:tcPr>
          <w:p w14:paraId="2F1972EA" w14:textId="77777777" w:rsidR="0036162E" w:rsidRPr="0036162E" w:rsidRDefault="0036162E" w:rsidP="0036162E">
            <w:pPr>
              <w:spacing w:before="40" w:after="40"/>
              <w:jc w:val="both"/>
              <w:rPr>
                <w:rFonts w:eastAsia="新細明體"/>
                <w:noProof/>
                <w:sz w:val="17"/>
                <w:szCs w:val="17"/>
                <w:lang w:eastAsia="en-GB"/>
              </w:rPr>
            </w:pPr>
            <w:r w:rsidRPr="0036162E">
              <w:rPr>
                <w:sz w:val="17"/>
                <w:szCs w:val="17"/>
                <w:lang w:eastAsia="en-GB"/>
              </w:rPr>
              <w:t xml:space="preserve">An AI should supplement the template with a narrative commentary to explain any material movements in the current reporting period and the key drivers of such movements. </w:t>
            </w:r>
          </w:p>
        </w:tc>
      </w:tr>
      <w:tr w:rsidR="0036162E" w:rsidRPr="0036162E" w14:paraId="66D96B3F" w14:textId="77777777" w:rsidTr="00AB074C">
        <w:tc>
          <w:tcPr>
            <w:tcW w:w="2552" w:type="dxa"/>
          </w:tcPr>
          <w:p w14:paraId="67C6D969" w14:textId="77777777" w:rsidR="0036162E" w:rsidRPr="0036162E" w:rsidRDefault="0036162E" w:rsidP="0036162E">
            <w:pPr>
              <w:spacing w:before="40" w:after="40"/>
              <w:rPr>
                <w:rFonts w:eastAsia="新細明體"/>
                <w:b/>
                <w:sz w:val="17"/>
                <w:szCs w:val="17"/>
                <w:lang w:eastAsia="en-GB"/>
              </w:rPr>
            </w:pPr>
            <w:r w:rsidRPr="0036162E">
              <w:rPr>
                <w:rFonts w:eastAsia="新細明體"/>
                <w:b/>
                <w:sz w:val="17"/>
                <w:szCs w:val="17"/>
                <w:lang w:eastAsia="en-GB"/>
              </w:rPr>
              <w:t>Corresponding BDR section:</w:t>
            </w:r>
          </w:p>
        </w:tc>
        <w:tc>
          <w:tcPr>
            <w:tcW w:w="11340" w:type="dxa"/>
          </w:tcPr>
          <w:p w14:paraId="528F8475" w14:textId="77777777" w:rsidR="0036162E" w:rsidRPr="0036162E" w:rsidRDefault="0036162E" w:rsidP="0036162E">
            <w:pPr>
              <w:spacing w:before="40" w:after="40"/>
              <w:jc w:val="both"/>
              <w:rPr>
                <w:sz w:val="17"/>
                <w:szCs w:val="17"/>
                <w:lang w:eastAsia="en-GB"/>
              </w:rPr>
            </w:pPr>
            <w:r w:rsidRPr="0036162E">
              <w:rPr>
                <w:sz w:val="17"/>
                <w:szCs w:val="17"/>
                <w:lang w:eastAsia="en-GB"/>
              </w:rPr>
              <w:t>16ZH</w:t>
            </w:r>
          </w:p>
        </w:tc>
      </w:tr>
    </w:tbl>
    <w:p w14:paraId="3DF43B8F" w14:textId="77777777" w:rsidR="0036162E" w:rsidRPr="0036162E" w:rsidRDefault="0036162E" w:rsidP="0036162E">
      <w:pPr>
        <w:spacing w:before="40" w:after="40"/>
        <w:rPr>
          <w:sz w:val="22"/>
        </w:rPr>
      </w:pPr>
    </w:p>
    <w:tbl>
      <w:tblPr>
        <w:tblW w:w="14005"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16"/>
        <w:gridCol w:w="2607"/>
        <w:gridCol w:w="642"/>
        <w:gridCol w:w="643"/>
        <w:gridCol w:w="643"/>
        <w:gridCol w:w="753"/>
        <w:gridCol w:w="646"/>
        <w:gridCol w:w="638"/>
        <w:gridCol w:w="638"/>
        <w:gridCol w:w="638"/>
        <w:gridCol w:w="638"/>
        <w:gridCol w:w="637"/>
        <w:gridCol w:w="638"/>
        <w:gridCol w:w="638"/>
        <w:gridCol w:w="638"/>
        <w:gridCol w:w="638"/>
        <w:gridCol w:w="638"/>
        <w:gridCol w:w="638"/>
        <w:gridCol w:w="638"/>
      </w:tblGrid>
      <w:tr w:rsidR="0036162E" w:rsidRPr="0036162E" w14:paraId="4CFE644E" w14:textId="77777777" w:rsidTr="00F40CCC">
        <w:trPr>
          <w:trHeight w:val="227"/>
          <w:tblHeader/>
        </w:trPr>
        <w:tc>
          <w:tcPr>
            <w:tcW w:w="416" w:type="dxa"/>
            <w:tcBorders>
              <w:top w:val="nil"/>
              <w:left w:val="nil"/>
              <w:bottom w:val="nil"/>
              <w:right w:val="nil"/>
            </w:tcBorders>
          </w:tcPr>
          <w:p w14:paraId="5D9DB776" w14:textId="77777777" w:rsidR="0036162E" w:rsidRPr="0036162E" w:rsidRDefault="0036162E" w:rsidP="0036162E">
            <w:pPr>
              <w:snapToGrid w:val="0"/>
              <w:ind w:left="-93" w:firstLine="93"/>
              <w:jc w:val="center"/>
              <w:rPr>
                <w:rFonts w:eastAsia="新細明體" w:cs="Segoe UI"/>
                <w:color w:val="000000"/>
                <w:sz w:val="17"/>
                <w:szCs w:val="17"/>
                <w:lang w:eastAsia="en-GB"/>
              </w:rPr>
            </w:pPr>
          </w:p>
        </w:tc>
        <w:tc>
          <w:tcPr>
            <w:tcW w:w="2607" w:type="dxa"/>
            <w:tcBorders>
              <w:top w:val="nil"/>
              <w:left w:val="nil"/>
              <w:bottom w:val="nil"/>
              <w:right w:val="single" w:sz="4" w:space="0" w:color="auto"/>
            </w:tcBorders>
            <w:noWrap/>
            <w:vAlign w:val="bottom"/>
            <w:hideMark/>
          </w:tcPr>
          <w:p w14:paraId="069413E5" w14:textId="77777777" w:rsidR="0036162E" w:rsidRPr="0036162E" w:rsidRDefault="0036162E" w:rsidP="0036162E">
            <w:pPr>
              <w:snapToGrid w:val="0"/>
              <w:rPr>
                <w:rFonts w:eastAsia="新細明體" w:cs="Segoe UI"/>
                <w:color w:val="000000"/>
                <w:sz w:val="17"/>
                <w:szCs w:val="17"/>
                <w:lang w:eastAsia="en-GB"/>
              </w:rPr>
            </w:pPr>
          </w:p>
        </w:tc>
        <w:tc>
          <w:tcPr>
            <w:tcW w:w="642" w:type="dxa"/>
            <w:tcBorders>
              <w:top w:val="single" w:sz="4" w:space="0" w:color="auto"/>
              <w:left w:val="single" w:sz="4" w:space="0" w:color="auto"/>
              <w:bottom w:val="single" w:sz="4" w:space="0" w:color="auto"/>
              <w:right w:val="single" w:sz="4" w:space="0" w:color="auto"/>
            </w:tcBorders>
            <w:noWrap/>
            <w:vAlign w:val="center"/>
            <w:hideMark/>
          </w:tcPr>
          <w:p w14:paraId="79CBEC7D"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(a)</w:t>
            </w:r>
          </w:p>
        </w:tc>
        <w:tc>
          <w:tcPr>
            <w:tcW w:w="643" w:type="dxa"/>
            <w:tcBorders>
              <w:top w:val="single" w:sz="4" w:space="0" w:color="auto"/>
              <w:left w:val="single" w:sz="4" w:space="0" w:color="auto"/>
              <w:bottom w:val="single" w:sz="4" w:space="0" w:color="auto"/>
              <w:right w:val="single" w:sz="4" w:space="0" w:color="auto"/>
            </w:tcBorders>
            <w:noWrap/>
            <w:vAlign w:val="center"/>
            <w:hideMark/>
          </w:tcPr>
          <w:p w14:paraId="1F3C6F5F"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(b)</w:t>
            </w:r>
          </w:p>
        </w:tc>
        <w:tc>
          <w:tcPr>
            <w:tcW w:w="643" w:type="dxa"/>
            <w:tcBorders>
              <w:top w:val="single" w:sz="4" w:space="0" w:color="auto"/>
              <w:left w:val="single" w:sz="4" w:space="0" w:color="auto"/>
              <w:bottom w:val="single" w:sz="4" w:space="0" w:color="auto"/>
              <w:right w:val="single" w:sz="4" w:space="0" w:color="auto"/>
            </w:tcBorders>
            <w:noWrap/>
            <w:vAlign w:val="center"/>
            <w:hideMark/>
          </w:tcPr>
          <w:p w14:paraId="6C896201"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(c)</w:t>
            </w:r>
          </w:p>
        </w:tc>
        <w:tc>
          <w:tcPr>
            <w:tcW w:w="753" w:type="dxa"/>
            <w:tcBorders>
              <w:top w:val="single" w:sz="4" w:space="0" w:color="auto"/>
              <w:left w:val="single" w:sz="4" w:space="0" w:color="auto"/>
              <w:bottom w:val="single" w:sz="4" w:space="0" w:color="auto"/>
              <w:right w:val="single" w:sz="4" w:space="0" w:color="auto"/>
            </w:tcBorders>
            <w:noWrap/>
            <w:vAlign w:val="center"/>
            <w:hideMark/>
          </w:tcPr>
          <w:p w14:paraId="6D81C00A"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(d)</w:t>
            </w:r>
          </w:p>
        </w:tc>
        <w:tc>
          <w:tcPr>
            <w:tcW w:w="646" w:type="dxa"/>
            <w:tcBorders>
              <w:top w:val="single" w:sz="4" w:space="0" w:color="auto"/>
              <w:left w:val="single" w:sz="4" w:space="0" w:color="auto"/>
              <w:bottom w:val="single" w:sz="4" w:space="0" w:color="auto"/>
              <w:right w:val="single" w:sz="4" w:space="0" w:color="auto"/>
            </w:tcBorders>
            <w:noWrap/>
            <w:vAlign w:val="center"/>
            <w:hideMark/>
          </w:tcPr>
          <w:p w14:paraId="25B12D41"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(e)</w:t>
            </w:r>
          </w:p>
        </w:tc>
        <w:tc>
          <w:tcPr>
            <w:tcW w:w="638" w:type="dxa"/>
            <w:tcBorders>
              <w:top w:val="single" w:sz="4" w:space="0" w:color="auto"/>
              <w:left w:val="single" w:sz="4" w:space="0" w:color="auto"/>
              <w:bottom w:val="single" w:sz="4" w:space="0" w:color="auto"/>
              <w:right w:val="single" w:sz="4" w:space="0" w:color="auto"/>
            </w:tcBorders>
            <w:noWrap/>
            <w:vAlign w:val="center"/>
            <w:hideMark/>
          </w:tcPr>
          <w:p w14:paraId="1921E691"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(f)</w:t>
            </w:r>
          </w:p>
        </w:tc>
        <w:tc>
          <w:tcPr>
            <w:tcW w:w="638" w:type="dxa"/>
            <w:tcBorders>
              <w:top w:val="single" w:sz="4" w:space="0" w:color="auto"/>
              <w:left w:val="single" w:sz="4" w:space="0" w:color="auto"/>
              <w:bottom w:val="single" w:sz="4" w:space="0" w:color="auto"/>
              <w:right w:val="single" w:sz="4" w:space="0" w:color="auto"/>
            </w:tcBorders>
            <w:vAlign w:val="center"/>
          </w:tcPr>
          <w:p w14:paraId="4496F4E2"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(g)</w:t>
            </w:r>
          </w:p>
        </w:tc>
        <w:tc>
          <w:tcPr>
            <w:tcW w:w="638" w:type="dxa"/>
            <w:tcBorders>
              <w:top w:val="single" w:sz="4" w:space="0" w:color="auto"/>
              <w:left w:val="single" w:sz="4" w:space="0" w:color="auto"/>
              <w:bottom w:val="single" w:sz="4" w:space="0" w:color="auto"/>
              <w:right w:val="single" w:sz="4" w:space="0" w:color="auto"/>
            </w:tcBorders>
            <w:vAlign w:val="center"/>
          </w:tcPr>
          <w:p w14:paraId="6E3D6262"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(h)</w:t>
            </w:r>
          </w:p>
        </w:tc>
        <w:tc>
          <w:tcPr>
            <w:tcW w:w="638" w:type="dxa"/>
            <w:tcBorders>
              <w:top w:val="single" w:sz="4" w:space="0" w:color="auto"/>
              <w:left w:val="single" w:sz="4" w:space="0" w:color="auto"/>
              <w:bottom w:val="single" w:sz="4" w:space="0" w:color="auto"/>
              <w:right w:val="single" w:sz="4" w:space="0" w:color="auto"/>
            </w:tcBorders>
            <w:vAlign w:val="center"/>
          </w:tcPr>
          <w:p w14:paraId="43F4331A"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(i)</w:t>
            </w:r>
          </w:p>
        </w:tc>
        <w:tc>
          <w:tcPr>
            <w:tcW w:w="637" w:type="dxa"/>
            <w:tcBorders>
              <w:top w:val="single" w:sz="4" w:space="0" w:color="auto"/>
              <w:left w:val="single" w:sz="4" w:space="0" w:color="auto"/>
              <w:bottom w:val="single" w:sz="4" w:space="0" w:color="auto"/>
              <w:right w:val="single" w:sz="4" w:space="0" w:color="auto"/>
            </w:tcBorders>
            <w:vAlign w:val="center"/>
          </w:tcPr>
          <w:p w14:paraId="0A593CB2"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(j)</w:t>
            </w:r>
          </w:p>
        </w:tc>
        <w:tc>
          <w:tcPr>
            <w:tcW w:w="638" w:type="dxa"/>
            <w:tcBorders>
              <w:top w:val="single" w:sz="4" w:space="0" w:color="auto"/>
              <w:left w:val="single" w:sz="4" w:space="0" w:color="auto"/>
              <w:bottom w:val="single" w:sz="4" w:space="0" w:color="auto"/>
              <w:right w:val="single" w:sz="4" w:space="0" w:color="auto"/>
            </w:tcBorders>
            <w:vAlign w:val="center"/>
          </w:tcPr>
          <w:p w14:paraId="1C7A40BF"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(k)</w:t>
            </w:r>
          </w:p>
        </w:tc>
        <w:tc>
          <w:tcPr>
            <w:tcW w:w="638" w:type="dxa"/>
            <w:tcBorders>
              <w:top w:val="single" w:sz="4" w:space="0" w:color="auto"/>
              <w:left w:val="single" w:sz="4" w:space="0" w:color="auto"/>
              <w:bottom w:val="single" w:sz="4" w:space="0" w:color="auto"/>
              <w:right w:val="single" w:sz="4" w:space="0" w:color="auto"/>
            </w:tcBorders>
            <w:vAlign w:val="center"/>
          </w:tcPr>
          <w:p w14:paraId="1912AF30"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(l)</w:t>
            </w:r>
          </w:p>
        </w:tc>
        <w:tc>
          <w:tcPr>
            <w:tcW w:w="638" w:type="dxa"/>
            <w:tcBorders>
              <w:top w:val="single" w:sz="4" w:space="0" w:color="auto"/>
              <w:left w:val="single" w:sz="4" w:space="0" w:color="auto"/>
              <w:bottom w:val="single" w:sz="4" w:space="0" w:color="auto"/>
              <w:right w:val="single" w:sz="4" w:space="0" w:color="auto"/>
            </w:tcBorders>
            <w:vAlign w:val="center"/>
          </w:tcPr>
          <w:p w14:paraId="7CD78912"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(m)</w:t>
            </w:r>
          </w:p>
        </w:tc>
        <w:tc>
          <w:tcPr>
            <w:tcW w:w="638" w:type="dxa"/>
            <w:tcBorders>
              <w:top w:val="single" w:sz="4" w:space="0" w:color="auto"/>
              <w:left w:val="single" w:sz="4" w:space="0" w:color="auto"/>
              <w:bottom w:val="single" w:sz="4" w:space="0" w:color="auto"/>
              <w:right w:val="single" w:sz="4" w:space="0" w:color="auto"/>
            </w:tcBorders>
            <w:vAlign w:val="center"/>
          </w:tcPr>
          <w:p w14:paraId="73B26010"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(n)</w:t>
            </w:r>
          </w:p>
        </w:tc>
        <w:tc>
          <w:tcPr>
            <w:tcW w:w="638" w:type="dxa"/>
            <w:tcBorders>
              <w:top w:val="single" w:sz="4" w:space="0" w:color="auto"/>
              <w:left w:val="single" w:sz="4" w:space="0" w:color="auto"/>
              <w:bottom w:val="single" w:sz="4" w:space="0" w:color="auto"/>
              <w:right w:val="single" w:sz="4" w:space="0" w:color="auto"/>
            </w:tcBorders>
            <w:vAlign w:val="center"/>
          </w:tcPr>
          <w:p w14:paraId="1D1C2EA4"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(o)</w:t>
            </w:r>
          </w:p>
        </w:tc>
        <w:tc>
          <w:tcPr>
            <w:tcW w:w="638" w:type="dxa"/>
            <w:tcBorders>
              <w:top w:val="single" w:sz="4" w:space="0" w:color="auto"/>
              <w:left w:val="single" w:sz="4" w:space="0" w:color="auto"/>
              <w:bottom w:val="single" w:sz="4" w:space="0" w:color="auto"/>
              <w:right w:val="single" w:sz="4" w:space="0" w:color="auto"/>
            </w:tcBorders>
            <w:vAlign w:val="center"/>
          </w:tcPr>
          <w:p w14:paraId="5D36018C"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(p)</w:t>
            </w:r>
          </w:p>
        </w:tc>
        <w:tc>
          <w:tcPr>
            <w:tcW w:w="638" w:type="dxa"/>
            <w:tcBorders>
              <w:top w:val="single" w:sz="4" w:space="0" w:color="auto"/>
              <w:left w:val="single" w:sz="4" w:space="0" w:color="auto"/>
              <w:bottom w:val="single" w:sz="4" w:space="0" w:color="auto"/>
              <w:right w:val="single" w:sz="4" w:space="0" w:color="auto"/>
            </w:tcBorders>
            <w:vAlign w:val="center"/>
          </w:tcPr>
          <w:p w14:paraId="7BE64BFF"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(q)</w:t>
            </w:r>
          </w:p>
        </w:tc>
      </w:tr>
      <w:tr w:rsidR="0036162E" w:rsidRPr="0036162E" w14:paraId="46ACC830" w14:textId="77777777" w:rsidTr="00C6132F">
        <w:trPr>
          <w:trHeight w:val="254"/>
          <w:tblHeader/>
        </w:trPr>
        <w:tc>
          <w:tcPr>
            <w:tcW w:w="416" w:type="dxa"/>
            <w:tcBorders>
              <w:top w:val="nil"/>
              <w:left w:val="nil"/>
              <w:bottom w:val="nil"/>
              <w:right w:val="nil"/>
            </w:tcBorders>
          </w:tcPr>
          <w:p w14:paraId="565AE91D" w14:textId="77777777" w:rsidR="0036162E" w:rsidRPr="0036162E" w:rsidRDefault="0036162E" w:rsidP="0036162E">
            <w:pPr>
              <w:snapToGrid w:val="0"/>
              <w:jc w:val="center"/>
              <w:rPr>
                <w:rFonts w:eastAsia="新細明體" w:cs="Segoe UI"/>
                <w:color w:val="000000"/>
                <w:sz w:val="17"/>
                <w:szCs w:val="17"/>
                <w:lang w:eastAsia="en-GB"/>
              </w:rPr>
            </w:pPr>
          </w:p>
        </w:tc>
        <w:tc>
          <w:tcPr>
            <w:tcW w:w="2607" w:type="dxa"/>
            <w:tcBorders>
              <w:top w:val="nil"/>
              <w:left w:val="nil"/>
              <w:bottom w:val="nil"/>
              <w:right w:val="single" w:sz="4" w:space="0" w:color="auto"/>
            </w:tcBorders>
            <w:noWrap/>
            <w:vAlign w:val="center"/>
            <w:hideMark/>
          </w:tcPr>
          <w:p w14:paraId="78ADE323" w14:textId="77777777" w:rsidR="0036162E" w:rsidRPr="0036162E" w:rsidRDefault="0036162E" w:rsidP="0036162E">
            <w:pPr>
              <w:snapToGrid w:val="0"/>
              <w:rPr>
                <w:rFonts w:eastAsia="新細明體" w:cs="Segoe UI"/>
                <w:color w:val="000000"/>
                <w:sz w:val="17"/>
                <w:szCs w:val="17"/>
                <w:lang w:eastAsia="en-GB"/>
              </w:rPr>
            </w:pPr>
          </w:p>
        </w:tc>
        <w:tc>
          <w:tcPr>
            <w:tcW w:w="3327" w:type="dxa"/>
            <w:gridSpan w:val="5"/>
            <w:tcBorders>
              <w:top w:val="single" w:sz="4" w:space="0" w:color="auto"/>
              <w:left w:val="single" w:sz="4" w:space="0" w:color="auto"/>
              <w:bottom w:val="single" w:sz="4" w:space="0" w:color="auto"/>
              <w:right w:val="single" w:sz="4" w:space="0" w:color="auto"/>
            </w:tcBorders>
            <w:noWrap/>
            <w:vAlign w:val="center"/>
          </w:tcPr>
          <w:p w14:paraId="41EF9B3E" w14:textId="77777777" w:rsidR="0036162E" w:rsidRPr="0036162E" w:rsidRDefault="0036162E" w:rsidP="0036162E">
            <w:pPr>
              <w:snapToGrid w:val="0"/>
              <w:spacing w:before="20" w:after="20"/>
              <w:jc w:val="center"/>
              <w:rPr>
                <w:rFonts w:eastAsia="新細明體" w:cs="Segoe UI"/>
                <w:color w:val="000000"/>
                <w:sz w:val="17"/>
                <w:szCs w:val="17"/>
                <w:lang w:eastAsia="en-GB"/>
              </w:rPr>
            </w:pPr>
            <w:r w:rsidRPr="0036162E">
              <w:rPr>
                <w:rFonts w:eastAsia="新細明體" w:cs="Segoe UI"/>
                <w:color w:val="000000"/>
                <w:sz w:val="17"/>
                <w:szCs w:val="17"/>
                <w:lang w:eastAsia="en-GB"/>
              </w:rPr>
              <w:t>Exposure values (by RW bands)</w:t>
            </w: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20237829" w14:textId="77777777" w:rsidR="0036162E" w:rsidRPr="0036162E" w:rsidRDefault="0036162E" w:rsidP="0036162E">
            <w:pPr>
              <w:snapToGrid w:val="0"/>
              <w:spacing w:before="20" w:after="20"/>
              <w:jc w:val="center"/>
              <w:rPr>
                <w:rFonts w:eastAsia="新細明體" w:cs="Segoe UI"/>
                <w:sz w:val="17"/>
                <w:szCs w:val="17"/>
                <w:lang w:eastAsia="en-GB"/>
              </w:rPr>
            </w:pPr>
            <w:r w:rsidRPr="0036162E">
              <w:rPr>
                <w:rFonts w:eastAsia="新細明體" w:cs="Segoe UI"/>
                <w:sz w:val="17"/>
                <w:szCs w:val="17"/>
                <w:lang w:eastAsia="en-GB"/>
              </w:rPr>
              <w:t>Exposure values</w:t>
            </w:r>
          </w:p>
          <w:p w14:paraId="0BC5802F" w14:textId="77777777" w:rsidR="0036162E" w:rsidRPr="0036162E" w:rsidRDefault="0036162E" w:rsidP="0036162E">
            <w:pPr>
              <w:snapToGrid w:val="0"/>
              <w:spacing w:before="20" w:after="20"/>
              <w:jc w:val="center"/>
              <w:rPr>
                <w:rFonts w:eastAsia="新細明體" w:cs="Segoe UI"/>
                <w:sz w:val="17"/>
                <w:szCs w:val="17"/>
                <w:lang w:eastAsia="en-GB"/>
              </w:rPr>
            </w:pPr>
            <w:r w:rsidRPr="0036162E">
              <w:rPr>
                <w:rFonts w:eastAsia="新細明體" w:cs="Segoe UI"/>
                <w:sz w:val="17"/>
                <w:szCs w:val="17"/>
                <w:lang w:eastAsia="en-GB"/>
              </w:rPr>
              <w:t>(by regulatory approach)</w:t>
            </w:r>
          </w:p>
        </w:tc>
        <w:tc>
          <w:tcPr>
            <w:tcW w:w="2551" w:type="dxa"/>
            <w:gridSpan w:val="4"/>
            <w:tcBorders>
              <w:top w:val="single" w:sz="4" w:space="0" w:color="BFBFBF"/>
              <w:left w:val="single" w:sz="4" w:space="0" w:color="auto"/>
              <w:bottom w:val="single" w:sz="4" w:space="0" w:color="auto"/>
              <w:right w:val="single" w:sz="4" w:space="0" w:color="auto"/>
            </w:tcBorders>
            <w:vAlign w:val="center"/>
          </w:tcPr>
          <w:p w14:paraId="32D342E6" w14:textId="77777777" w:rsidR="0036162E" w:rsidRPr="0036162E" w:rsidRDefault="0036162E" w:rsidP="0036162E">
            <w:pPr>
              <w:snapToGrid w:val="0"/>
              <w:spacing w:before="20" w:after="20"/>
              <w:jc w:val="center"/>
              <w:rPr>
                <w:rFonts w:eastAsia="新細明體" w:cs="Segoe UI"/>
                <w:sz w:val="17"/>
                <w:szCs w:val="17"/>
                <w:lang w:eastAsia="en-GB"/>
              </w:rPr>
            </w:pPr>
            <w:r w:rsidRPr="0036162E">
              <w:rPr>
                <w:rFonts w:eastAsia="新細明體" w:cs="Segoe UI"/>
                <w:sz w:val="17"/>
                <w:szCs w:val="17"/>
                <w:lang w:eastAsia="en-GB"/>
              </w:rPr>
              <w:t>RWAs</w:t>
            </w:r>
          </w:p>
          <w:p w14:paraId="6DBA3164" w14:textId="77777777" w:rsidR="0036162E" w:rsidRPr="0036162E" w:rsidRDefault="0036162E" w:rsidP="0036162E">
            <w:pPr>
              <w:snapToGrid w:val="0"/>
              <w:spacing w:before="20" w:after="20"/>
              <w:jc w:val="center"/>
              <w:rPr>
                <w:rFonts w:eastAsia="新細明體" w:cs="Segoe UI"/>
                <w:sz w:val="17"/>
                <w:szCs w:val="17"/>
                <w:lang w:eastAsia="en-GB"/>
              </w:rPr>
            </w:pPr>
            <w:r w:rsidRPr="0036162E">
              <w:rPr>
                <w:rFonts w:eastAsia="新細明體" w:cs="Segoe UI"/>
                <w:sz w:val="17"/>
                <w:szCs w:val="17"/>
                <w:lang w:eastAsia="en-GB"/>
              </w:rPr>
              <w:t>(by regulatory approach)</w:t>
            </w: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1B05C03E" w14:textId="77777777" w:rsidR="0036162E" w:rsidRPr="0036162E" w:rsidRDefault="0036162E" w:rsidP="0036162E">
            <w:pPr>
              <w:snapToGrid w:val="0"/>
              <w:spacing w:before="20" w:after="20"/>
              <w:jc w:val="center"/>
              <w:rPr>
                <w:rFonts w:eastAsia="新細明體" w:cs="Segoe UI"/>
                <w:sz w:val="17"/>
                <w:szCs w:val="17"/>
                <w:lang w:eastAsia="en-GB"/>
              </w:rPr>
            </w:pPr>
            <w:r w:rsidRPr="0036162E">
              <w:rPr>
                <w:rFonts w:eastAsia="新細明體" w:cs="Segoe UI"/>
                <w:sz w:val="17"/>
                <w:szCs w:val="17"/>
                <w:lang w:eastAsia="en-GB"/>
              </w:rPr>
              <w:t>Capital charges after cap</w:t>
            </w:r>
          </w:p>
        </w:tc>
      </w:tr>
      <w:tr w:rsidR="0036162E" w:rsidRPr="0036162E" w14:paraId="67262743" w14:textId="77777777" w:rsidTr="00F40CCC">
        <w:trPr>
          <w:cantSplit/>
          <w:trHeight w:val="967"/>
          <w:tblHeader/>
        </w:trPr>
        <w:tc>
          <w:tcPr>
            <w:tcW w:w="416" w:type="dxa"/>
            <w:tcBorders>
              <w:top w:val="nil"/>
              <w:left w:val="nil"/>
              <w:bottom w:val="single" w:sz="4" w:space="0" w:color="auto"/>
              <w:right w:val="nil"/>
            </w:tcBorders>
            <w:textDirection w:val="btLr"/>
          </w:tcPr>
          <w:p w14:paraId="6D88C615" w14:textId="77777777" w:rsidR="0036162E" w:rsidRPr="0036162E" w:rsidRDefault="0036162E" w:rsidP="0036162E">
            <w:pPr>
              <w:snapToGrid w:val="0"/>
              <w:ind w:left="113" w:right="113"/>
              <w:jc w:val="center"/>
              <w:rPr>
                <w:rFonts w:eastAsia="新細明體" w:cs="Segoe UI"/>
                <w:color w:val="000000"/>
                <w:sz w:val="17"/>
                <w:szCs w:val="17"/>
                <w:lang w:eastAsia="en-GB"/>
              </w:rPr>
            </w:pPr>
          </w:p>
        </w:tc>
        <w:tc>
          <w:tcPr>
            <w:tcW w:w="2607" w:type="dxa"/>
            <w:tcBorders>
              <w:top w:val="nil"/>
              <w:left w:val="nil"/>
              <w:bottom w:val="single" w:sz="4" w:space="0" w:color="auto"/>
              <w:right w:val="single" w:sz="4" w:space="0" w:color="auto"/>
            </w:tcBorders>
            <w:noWrap/>
            <w:textDirection w:val="btLr"/>
            <w:vAlign w:val="bottom"/>
          </w:tcPr>
          <w:p w14:paraId="3323FC01" w14:textId="77777777" w:rsidR="0036162E" w:rsidRPr="0036162E" w:rsidRDefault="0036162E" w:rsidP="0036162E">
            <w:pPr>
              <w:snapToGrid w:val="0"/>
              <w:ind w:left="113" w:right="113"/>
              <w:rPr>
                <w:rFonts w:eastAsia="新細明體" w:cs="Segoe UI"/>
                <w:color w:val="000000"/>
                <w:sz w:val="17"/>
                <w:szCs w:val="17"/>
                <w:lang w:eastAsia="en-GB"/>
              </w:rPr>
            </w:pPr>
          </w:p>
        </w:tc>
        <w:tc>
          <w:tcPr>
            <w:tcW w:w="642" w:type="dxa"/>
            <w:tcBorders>
              <w:top w:val="single" w:sz="4" w:space="0" w:color="auto"/>
              <w:left w:val="single" w:sz="4" w:space="0" w:color="auto"/>
              <w:bottom w:val="single" w:sz="4" w:space="0" w:color="auto"/>
              <w:right w:val="single" w:sz="4" w:space="0" w:color="auto"/>
            </w:tcBorders>
            <w:noWrap/>
            <w:textDirection w:val="btLr"/>
            <w:vAlign w:val="center"/>
          </w:tcPr>
          <w:p w14:paraId="06878D41" w14:textId="77777777" w:rsidR="0036162E" w:rsidRPr="0036162E" w:rsidRDefault="0036162E" w:rsidP="0036162E">
            <w:pPr>
              <w:snapToGrid w:val="0"/>
              <w:ind w:left="113" w:right="113"/>
              <w:rPr>
                <w:rFonts w:eastAsia="新細明體" w:cs="Segoe UI"/>
                <w:color w:val="000000"/>
                <w:sz w:val="15"/>
                <w:szCs w:val="15"/>
                <w:lang w:eastAsia="ja-JP"/>
              </w:rPr>
            </w:pPr>
            <w:r w:rsidRPr="0036162E">
              <w:rPr>
                <w:rFonts w:eastAsia="新細明體" w:cs="Segoe UI"/>
                <w:color w:val="000000"/>
                <w:sz w:val="15"/>
                <w:szCs w:val="15"/>
                <w:lang w:eastAsia="ja-JP"/>
              </w:rPr>
              <w:t>≤20% RW</w:t>
            </w:r>
          </w:p>
        </w:tc>
        <w:tc>
          <w:tcPr>
            <w:tcW w:w="643" w:type="dxa"/>
            <w:tcBorders>
              <w:top w:val="single" w:sz="4" w:space="0" w:color="auto"/>
              <w:left w:val="single" w:sz="4" w:space="0" w:color="auto"/>
              <w:bottom w:val="single" w:sz="4" w:space="0" w:color="auto"/>
              <w:right w:val="single" w:sz="4" w:space="0" w:color="auto"/>
            </w:tcBorders>
            <w:noWrap/>
            <w:textDirection w:val="btLr"/>
            <w:vAlign w:val="center"/>
            <w:hideMark/>
          </w:tcPr>
          <w:p w14:paraId="1942B6C1" w14:textId="77777777" w:rsidR="0036162E" w:rsidRPr="0036162E" w:rsidRDefault="0036162E" w:rsidP="0036162E">
            <w:pPr>
              <w:snapToGrid w:val="0"/>
              <w:ind w:left="113" w:right="113"/>
              <w:rPr>
                <w:rFonts w:eastAsia="新細明體" w:cs="Segoe UI"/>
                <w:color w:val="000000"/>
                <w:sz w:val="15"/>
                <w:szCs w:val="15"/>
                <w:lang w:eastAsia="ja-JP"/>
              </w:rPr>
            </w:pPr>
            <w:r w:rsidRPr="0036162E">
              <w:rPr>
                <w:rFonts w:eastAsia="新細明體" w:cs="Segoe UI"/>
                <w:color w:val="000000"/>
                <w:sz w:val="15"/>
                <w:szCs w:val="15"/>
                <w:lang w:eastAsia="ja-JP"/>
              </w:rPr>
              <w:t>&gt;20% to 50% RW</w:t>
            </w:r>
          </w:p>
        </w:tc>
        <w:tc>
          <w:tcPr>
            <w:tcW w:w="643" w:type="dxa"/>
            <w:tcBorders>
              <w:top w:val="single" w:sz="4" w:space="0" w:color="auto"/>
              <w:left w:val="single" w:sz="4" w:space="0" w:color="auto"/>
              <w:bottom w:val="single" w:sz="4" w:space="0" w:color="auto"/>
              <w:right w:val="single" w:sz="4" w:space="0" w:color="auto"/>
            </w:tcBorders>
            <w:noWrap/>
            <w:textDirection w:val="btLr"/>
            <w:vAlign w:val="center"/>
            <w:hideMark/>
          </w:tcPr>
          <w:p w14:paraId="2F69D02C" w14:textId="77777777" w:rsidR="0036162E" w:rsidRPr="0036162E" w:rsidRDefault="0036162E" w:rsidP="0036162E">
            <w:pPr>
              <w:snapToGrid w:val="0"/>
              <w:ind w:left="113" w:right="113"/>
              <w:rPr>
                <w:rFonts w:eastAsia="新細明體" w:cs="Segoe UI"/>
                <w:color w:val="000000"/>
                <w:sz w:val="15"/>
                <w:szCs w:val="15"/>
                <w:lang w:eastAsia="ja-JP"/>
              </w:rPr>
            </w:pPr>
            <w:r w:rsidRPr="0036162E">
              <w:rPr>
                <w:rFonts w:eastAsia="新細明體" w:cs="Segoe UI"/>
                <w:color w:val="000000"/>
                <w:sz w:val="15"/>
                <w:szCs w:val="15"/>
                <w:lang w:eastAsia="ja-JP"/>
              </w:rPr>
              <w:t>&gt;50% to 100% RW</w:t>
            </w:r>
          </w:p>
        </w:tc>
        <w:tc>
          <w:tcPr>
            <w:tcW w:w="753" w:type="dxa"/>
            <w:tcBorders>
              <w:top w:val="single" w:sz="4" w:space="0" w:color="auto"/>
              <w:left w:val="single" w:sz="4" w:space="0" w:color="auto"/>
              <w:bottom w:val="single" w:sz="4" w:space="0" w:color="auto"/>
              <w:right w:val="single" w:sz="4" w:space="0" w:color="auto"/>
            </w:tcBorders>
            <w:noWrap/>
            <w:textDirection w:val="btLr"/>
            <w:vAlign w:val="center"/>
            <w:hideMark/>
          </w:tcPr>
          <w:p w14:paraId="0963FB75" w14:textId="77777777" w:rsidR="0036162E" w:rsidRPr="00C6132F" w:rsidRDefault="0036162E" w:rsidP="0036162E">
            <w:pPr>
              <w:snapToGrid w:val="0"/>
              <w:ind w:left="113" w:right="113"/>
              <w:rPr>
                <w:rFonts w:eastAsia="新細明體" w:cs="Segoe UI"/>
                <w:color w:val="000000"/>
                <w:sz w:val="14"/>
                <w:szCs w:val="14"/>
                <w:lang w:eastAsia="ja-JP"/>
              </w:rPr>
            </w:pPr>
            <w:r w:rsidRPr="00C6132F">
              <w:rPr>
                <w:rFonts w:eastAsia="新細明體" w:cs="Segoe UI"/>
                <w:color w:val="000000"/>
                <w:sz w:val="14"/>
                <w:szCs w:val="14"/>
                <w:lang w:eastAsia="ja-JP"/>
              </w:rPr>
              <w:t>&gt;100% to &lt;1250% RW</w:t>
            </w:r>
          </w:p>
        </w:tc>
        <w:tc>
          <w:tcPr>
            <w:tcW w:w="646" w:type="dxa"/>
            <w:tcBorders>
              <w:top w:val="single" w:sz="4" w:space="0" w:color="auto"/>
              <w:left w:val="single" w:sz="4" w:space="0" w:color="auto"/>
              <w:bottom w:val="single" w:sz="4" w:space="0" w:color="auto"/>
              <w:right w:val="single" w:sz="4" w:space="0" w:color="auto"/>
            </w:tcBorders>
            <w:noWrap/>
            <w:textDirection w:val="btLr"/>
            <w:vAlign w:val="center"/>
            <w:hideMark/>
          </w:tcPr>
          <w:p w14:paraId="5BB27851" w14:textId="77777777" w:rsidR="0036162E" w:rsidRPr="0036162E" w:rsidRDefault="0036162E" w:rsidP="0036162E">
            <w:pPr>
              <w:snapToGrid w:val="0"/>
              <w:ind w:left="113" w:right="113"/>
              <w:rPr>
                <w:rFonts w:eastAsia="新細明體" w:cs="Segoe UI"/>
                <w:color w:val="000000"/>
                <w:sz w:val="15"/>
                <w:szCs w:val="15"/>
                <w:lang w:eastAsia="ja-JP"/>
              </w:rPr>
            </w:pPr>
            <w:r w:rsidRPr="0036162E">
              <w:rPr>
                <w:rFonts w:eastAsia="新細明體" w:cs="Segoe UI"/>
                <w:color w:val="000000"/>
                <w:sz w:val="15"/>
                <w:szCs w:val="15"/>
                <w:lang w:eastAsia="ja-JP"/>
              </w:rPr>
              <w:t>1250% RW</w:t>
            </w:r>
          </w:p>
        </w:tc>
        <w:tc>
          <w:tcPr>
            <w:tcW w:w="638" w:type="dxa"/>
            <w:tcBorders>
              <w:top w:val="single" w:sz="4" w:space="0" w:color="auto"/>
              <w:left w:val="single" w:sz="4" w:space="0" w:color="auto"/>
              <w:bottom w:val="single" w:sz="4" w:space="0" w:color="auto"/>
              <w:right w:val="single" w:sz="4" w:space="0" w:color="auto"/>
            </w:tcBorders>
            <w:noWrap/>
            <w:textDirection w:val="btLr"/>
            <w:vAlign w:val="center"/>
            <w:hideMark/>
          </w:tcPr>
          <w:p w14:paraId="68BE99D5" w14:textId="77777777" w:rsidR="0036162E" w:rsidRPr="0036162E" w:rsidRDefault="0036162E" w:rsidP="0036162E">
            <w:pPr>
              <w:snapToGrid w:val="0"/>
              <w:ind w:left="113" w:right="113"/>
              <w:rPr>
                <w:rFonts w:eastAsia="新細明體" w:cs="Segoe UI"/>
                <w:color w:val="000000"/>
                <w:sz w:val="15"/>
                <w:szCs w:val="15"/>
                <w:lang w:eastAsia="en-GB"/>
              </w:rPr>
            </w:pPr>
            <w:r w:rsidRPr="0036162E">
              <w:rPr>
                <w:rFonts w:eastAsia="新細明體" w:cs="Segoe UI"/>
                <w:color w:val="000000"/>
                <w:sz w:val="15"/>
                <w:szCs w:val="15"/>
                <w:lang w:eastAsia="ja-JP"/>
              </w:rPr>
              <w:t>SEC-IRBA</w:t>
            </w:r>
          </w:p>
        </w:tc>
        <w:tc>
          <w:tcPr>
            <w:tcW w:w="638" w:type="dxa"/>
            <w:tcBorders>
              <w:top w:val="single" w:sz="4" w:space="0" w:color="auto"/>
              <w:left w:val="single" w:sz="4" w:space="0" w:color="auto"/>
              <w:bottom w:val="single" w:sz="4" w:space="0" w:color="auto"/>
              <w:right w:val="single" w:sz="4" w:space="0" w:color="auto"/>
            </w:tcBorders>
            <w:noWrap/>
            <w:textDirection w:val="btLr"/>
            <w:vAlign w:val="center"/>
          </w:tcPr>
          <w:p w14:paraId="73207B7C" w14:textId="77777777" w:rsidR="0036162E" w:rsidRPr="0036162E" w:rsidRDefault="0036162E" w:rsidP="0036162E">
            <w:pPr>
              <w:snapToGrid w:val="0"/>
              <w:ind w:left="113" w:right="113"/>
              <w:rPr>
                <w:rFonts w:eastAsia="新細明體" w:cs="Segoe UI"/>
                <w:color w:val="000000"/>
                <w:sz w:val="15"/>
                <w:szCs w:val="15"/>
                <w:lang w:eastAsia="ja-JP"/>
              </w:rPr>
            </w:pPr>
            <w:r w:rsidRPr="0036162E">
              <w:rPr>
                <w:rFonts w:eastAsia="新細明體" w:cs="Segoe UI"/>
                <w:color w:val="000000"/>
                <w:sz w:val="15"/>
                <w:szCs w:val="15"/>
                <w:lang w:eastAsia="ja-JP"/>
              </w:rPr>
              <w:t>SEC-ERBA (incl. IAA)</w:t>
            </w:r>
          </w:p>
        </w:tc>
        <w:tc>
          <w:tcPr>
            <w:tcW w:w="638" w:type="dxa"/>
            <w:tcBorders>
              <w:top w:val="single" w:sz="4" w:space="0" w:color="auto"/>
              <w:left w:val="single" w:sz="4" w:space="0" w:color="auto"/>
              <w:bottom w:val="single" w:sz="4" w:space="0" w:color="auto"/>
              <w:right w:val="single" w:sz="4" w:space="0" w:color="auto"/>
            </w:tcBorders>
            <w:noWrap/>
            <w:textDirection w:val="btLr"/>
            <w:vAlign w:val="center"/>
          </w:tcPr>
          <w:p w14:paraId="402E2E98" w14:textId="77777777" w:rsidR="0036162E" w:rsidRPr="0036162E" w:rsidRDefault="0036162E" w:rsidP="0036162E">
            <w:pPr>
              <w:snapToGrid w:val="0"/>
              <w:ind w:left="113" w:right="113"/>
              <w:rPr>
                <w:rFonts w:eastAsia="新細明體" w:cs="Segoe UI"/>
                <w:color w:val="000000"/>
                <w:sz w:val="15"/>
                <w:szCs w:val="15"/>
                <w:lang w:eastAsia="ja-JP"/>
              </w:rPr>
            </w:pPr>
            <w:r w:rsidRPr="0036162E">
              <w:rPr>
                <w:rFonts w:eastAsia="新細明體" w:cs="Segoe UI"/>
                <w:color w:val="000000"/>
                <w:sz w:val="15"/>
                <w:szCs w:val="15"/>
                <w:lang w:eastAsia="ja-JP"/>
              </w:rPr>
              <w:t>SEC-SA</w:t>
            </w:r>
          </w:p>
        </w:tc>
        <w:tc>
          <w:tcPr>
            <w:tcW w:w="638" w:type="dxa"/>
            <w:tcBorders>
              <w:top w:val="single" w:sz="4" w:space="0" w:color="auto"/>
              <w:left w:val="single" w:sz="4" w:space="0" w:color="auto"/>
              <w:bottom w:val="single" w:sz="4" w:space="0" w:color="auto"/>
              <w:right w:val="single" w:sz="4" w:space="0" w:color="auto"/>
            </w:tcBorders>
            <w:noWrap/>
            <w:textDirection w:val="btLr"/>
            <w:vAlign w:val="center"/>
          </w:tcPr>
          <w:p w14:paraId="46BE6272" w14:textId="77777777" w:rsidR="0036162E" w:rsidRPr="0036162E" w:rsidRDefault="0036162E" w:rsidP="0036162E">
            <w:pPr>
              <w:snapToGrid w:val="0"/>
              <w:ind w:left="113" w:right="113"/>
              <w:rPr>
                <w:rFonts w:eastAsia="新細明體" w:cs="Segoe UI"/>
                <w:color w:val="000000"/>
                <w:sz w:val="15"/>
                <w:szCs w:val="15"/>
                <w:lang w:eastAsia="ja-JP"/>
              </w:rPr>
            </w:pPr>
            <w:r w:rsidRPr="0036162E">
              <w:rPr>
                <w:rFonts w:eastAsia="新細明體" w:cs="Segoe UI"/>
                <w:color w:val="000000"/>
                <w:sz w:val="15"/>
                <w:szCs w:val="15"/>
                <w:lang w:eastAsia="en-GB"/>
              </w:rPr>
              <w:t>SEC-FBA</w:t>
            </w:r>
          </w:p>
        </w:tc>
        <w:tc>
          <w:tcPr>
            <w:tcW w:w="637" w:type="dxa"/>
            <w:tcBorders>
              <w:top w:val="single" w:sz="4" w:space="0" w:color="auto"/>
              <w:left w:val="single" w:sz="4" w:space="0" w:color="auto"/>
              <w:bottom w:val="single" w:sz="4" w:space="0" w:color="auto"/>
              <w:right w:val="single" w:sz="4" w:space="0" w:color="auto"/>
            </w:tcBorders>
            <w:noWrap/>
            <w:textDirection w:val="btLr"/>
            <w:vAlign w:val="center"/>
            <w:hideMark/>
          </w:tcPr>
          <w:p w14:paraId="10D39877" w14:textId="77777777" w:rsidR="0036162E" w:rsidRPr="0036162E" w:rsidRDefault="0036162E" w:rsidP="0036162E">
            <w:pPr>
              <w:snapToGrid w:val="0"/>
              <w:ind w:left="113" w:right="113"/>
              <w:rPr>
                <w:rFonts w:eastAsia="新細明體" w:cs="Segoe UI"/>
                <w:color w:val="000000"/>
                <w:sz w:val="15"/>
                <w:szCs w:val="15"/>
                <w:lang w:eastAsia="en-GB"/>
              </w:rPr>
            </w:pPr>
            <w:r w:rsidRPr="0036162E">
              <w:rPr>
                <w:rFonts w:eastAsia="新細明體" w:cs="Segoe UI"/>
                <w:color w:val="000000"/>
                <w:sz w:val="15"/>
                <w:szCs w:val="15"/>
                <w:lang w:eastAsia="ja-JP"/>
              </w:rPr>
              <w:t>SEC-IRBA</w:t>
            </w:r>
          </w:p>
        </w:tc>
        <w:tc>
          <w:tcPr>
            <w:tcW w:w="638" w:type="dxa"/>
            <w:tcBorders>
              <w:top w:val="single" w:sz="4" w:space="0" w:color="auto"/>
              <w:left w:val="single" w:sz="4" w:space="0" w:color="auto"/>
              <w:bottom w:val="single" w:sz="4" w:space="0" w:color="auto"/>
              <w:right w:val="single" w:sz="4" w:space="0" w:color="auto"/>
            </w:tcBorders>
            <w:textDirection w:val="btLr"/>
            <w:vAlign w:val="center"/>
          </w:tcPr>
          <w:p w14:paraId="208CDA09" w14:textId="77777777" w:rsidR="0036162E" w:rsidRPr="0036162E" w:rsidRDefault="0036162E" w:rsidP="0036162E">
            <w:pPr>
              <w:snapToGrid w:val="0"/>
              <w:ind w:left="113" w:right="113"/>
              <w:rPr>
                <w:rFonts w:eastAsia="新細明體" w:cs="Segoe UI"/>
                <w:color w:val="000000"/>
                <w:sz w:val="15"/>
                <w:szCs w:val="15"/>
                <w:lang w:eastAsia="ja-JP"/>
              </w:rPr>
            </w:pPr>
            <w:r w:rsidRPr="0036162E">
              <w:rPr>
                <w:rFonts w:eastAsia="新細明體" w:cs="Segoe UI"/>
                <w:color w:val="000000"/>
                <w:sz w:val="15"/>
                <w:szCs w:val="15"/>
                <w:lang w:eastAsia="ja-JP"/>
              </w:rPr>
              <w:t>SEC-ERBA (incl. IAA)</w:t>
            </w:r>
          </w:p>
        </w:tc>
        <w:tc>
          <w:tcPr>
            <w:tcW w:w="638" w:type="dxa"/>
            <w:tcBorders>
              <w:top w:val="single" w:sz="4" w:space="0" w:color="auto"/>
              <w:left w:val="single" w:sz="4" w:space="0" w:color="auto"/>
              <w:bottom w:val="single" w:sz="4" w:space="0" w:color="auto"/>
              <w:right w:val="single" w:sz="4" w:space="0" w:color="auto"/>
            </w:tcBorders>
            <w:textDirection w:val="btLr"/>
            <w:vAlign w:val="center"/>
          </w:tcPr>
          <w:p w14:paraId="569545B6" w14:textId="77777777" w:rsidR="0036162E" w:rsidRPr="0036162E" w:rsidRDefault="0036162E" w:rsidP="0036162E">
            <w:pPr>
              <w:snapToGrid w:val="0"/>
              <w:ind w:left="113" w:right="113"/>
              <w:rPr>
                <w:rFonts w:eastAsia="新細明體" w:cs="Segoe UI"/>
                <w:color w:val="000000"/>
                <w:sz w:val="15"/>
                <w:szCs w:val="15"/>
                <w:lang w:eastAsia="ja-JP"/>
              </w:rPr>
            </w:pPr>
            <w:r w:rsidRPr="0036162E">
              <w:rPr>
                <w:rFonts w:eastAsia="新細明體" w:cs="Segoe UI"/>
                <w:color w:val="000000"/>
                <w:sz w:val="15"/>
                <w:szCs w:val="15"/>
                <w:lang w:eastAsia="ja-JP"/>
              </w:rPr>
              <w:t>SEC-SA</w:t>
            </w:r>
          </w:p>
        </w:tc>
        <w:tc>
          <w:tcPr>
            <w:tcW w:w="638" w:type="dxa"/>
            <w:tcBorders>
              <w:top w:val="single" w:sz="4" w:space="0" w:color="auto"/>
              <w:left w:val="single" w:sz="4" w:space="0" w:color="auto"/>
              <w:bottom w:val="single" w:sz="4" w:space="0" w:color="auto"/>
              <w:right w:val="single" w:sz="4" w:space="0" w:color="auto"/>
            </w:tcBorders>
            <w:textDirection w:val="btLr"/>
            <w:vAlign w:val="center"/>
          </w:tcPr>
          <w:p w14:paraId="37A04B08" w14:textId="77777777" w:rsidR="0036162E" w:rsidRPr="0036162E" w:rsidRDefault="0036162E" w:rsidP="0036162E">
            <w:pPr>
              <w:snapToGrid w:val="0"/>
              <w:ind w:left="113" w:right="113"/>
              <w:rPr>
                <w:rFonts w:eastAsia="新細明體" w:cs="Segoe UI"/>
                <w:color w:val="000000"/>
                <w:sz w:val="15"/>
                <w:szCs w:val="15"/>
                <w:lang w:eastAsia="ja-JP"/>
              </w:rPr>
            </w:pPr>
            <w:r w:rsidRPr="0036162E">
              <w:rPr>
                <w:rFonts w:eastAsia="新細明體" w:cs="Segoe UI"/>
                <w:color w:val="000000"/>
                <w:sz w:val="15"/>
                <w:szCs w:val="15"/>
                <w:lang w:eastAsia="en-GB"/>
              </w:rPr>
              <w:t xml:space="preserve">SEC-FBA </w:t>
            </w:r>
          </w:p>
        </w:tc>
        <w:tc>
          <w:tcPr>
            <w:tcW w:w="638" w:type="dxa"/>
            <w:tcBorders>
              <w:top w:val="single" w:sz="4" w:space="0" w:color="auto"/>
              <w:left w:val="single" w:sz="4" w:space="0" w:color="auto"/>
              <w:bottom w:val="single" w:sz="4" w:space="0" w:color="auto"/>
              <w:right w:val="single" w:sz="4" w:space="0" w:color="auto"/>
            </w:tcBorders>
            <w:textDirection w:val="btLr"/>
            <w:vAlign w:val="center"/>
          </w:tcPr>
          <w:p w14:paraId="1B6B4BAC" w14:textId="77777777" w:rsidR="0036162E" w:rsidRPr="0036162E" w:rsidRDefault="0036162E" w:rsidP="0036162E">
            <w:pPr>
              <w:snapToGrid w:val="0"/>
              <w:ind w:left="113" w:right="113"/>
              <w:rPr>
                <w:rFonts w:eastAsia="新細明體" w:cs="Segoe UI"/>
                <w:color w:val="000000"/>
                <w:sz w:val="15"/>
                <w:szCs w:val="15"/>
                <w:lang w:eastAsia="en-GB"/>
              </w:rPr>
            </w:pPr>
            <w:r w:rsidRPr="0036162E">
              <w:rPr>
                <w:rFonts w:eastAsia="新細明體" w:cs="Segoe UI"/>
                <w:color w:val="000000"/>
                <w:sz w:val="15"/>
                <w:szCs w:val="15"/>
                <w:lang w:eastAsia="ja-JP"/>
              </w:rPr>
              <w:t>SEC-IRBA</w:t>
            </w:r>
          </w:p>
        </w:tc>
        <w:tc>
          <w:tcPr>
            <w:tcW w:w="638" w:type="dxa"/>
            <w:tcBorders>
              <w:top w:val="single" w:sz="4" w:space="0" w:color="auto"/>
              <w:left w:val="single" w:sz="4" w:space="0" w:color="auto"/>
              <w:bottom w:val="single" w:sz="4" w:space="0" w:color="auto"/>
              <w:right w:val="single" w:sz="4" w:space="0" w:color="auto"/>
            </w:tcBorders>
            <w:textDirection w:val="btLr"/>
            <w:vAlign w:val="center"/>
          </w:tcPr>
          <w:p w14:paraId="7E42D02F" w14:textId="77777777" w:rsidR="0036162E" w:rsidRPr="0036162E" w:rsidRDefault="0036162E" w:rsidP="0036162E">
            <w:pPr>
              <w:snapToGrid w:val="0"/>
              <w:ind w:left="113" w:right="113"/>
              <w:rPr>
                <w:rFonts w:eastAsia="新細明體" w:cs="Segoe UI"/>
                <w:color w:val="000000"/>
                <w:sz w:val="15"/>
                <w:szCs w:val="15"/>
                <w:lang w:eastAsia="ja-JP"/>
              </w:rPr>
            </w:pPr>
            <w:r w:rsidRPr="0036162E">
              <w:rPr>
                <w:rFonts w:eastAsia="新細明體" w:cs="Segoe UI"/>
                <w:color w:val="000000"/>
                <w:sz w:val="15"/>
                <w:szCs w:val="15"/>
                <w:lang w:eastAsia="ja-JP"/>
              </w:rPr>
              <w:t>SEC-ERBA (incl. IAA)</w:t>
            </w:r>
          </w:p>
        </w:tc>
        <w:tc>
          <w:tcPr>
            <w:tcW w:w="638" w:type="dxa"/>
            <w:tcBorders>
              <w:top w:val="single" w:sz="4" w:space="0" w:color="auto"/>
              <w:left w:val="single" w:sz="4" w:space="0" w:color="auto"/>
              <w:bottom w:val="single" w:sz="4" w:space="0" w:color="auto"/>
              <w:right w:val="single" w:sz="4" w:space="0" w:color="auto"/>
            </w:tcBorders>
            <w:textDirection w:val="btLr"/>
            <w:vAlign w:val="center"/>
          </w:tcPr>
          <w:p w14:paraId="64399EF2" w14:textId="77777777" w:rsidR="0036162E" w:rsidRPr="0036162E" w:rsidRDefault="0036162E" w:rsidP="0036162E">
            <w:pPr>
              <w:snapToGrid w:val="0"/>
              <w:ind w:left="113" w:right="113"/>
              <w:rPr>
                <w:rFonts w:eastAsia="新細明體" w:cs="Segoe UI"/>
                <w:color w:val="000000"/>
                <w:sz w:val="15"/>
                <w:szCs w:val="15"/>
                <w:lang w:eastAsia="ja-JP"/>
              </w:rPr>
            </w:pPr>
            <w:r w:rsidRPr="0036162E">
              <w:rPr>
                <w:rFonts w:eastAsia="新細明體" w:cs="Segoe UI"/>
                <w:color w:val="000000"/>
                <w:sz w:val="15"/>
                <w:szCs w:val="15"/>
                <w:lang w:eastAsia="ja-JP"/>
              </w:rPr>
              <w:t>SEC-SA</w:t>
            </w:r>
          </w:p>
        </w:tc>
        <w:tc>
          <w:tcPr>
            <w:tcW w:w="638" w:type="dxa"/>
            <w:tcBorders>
              <w:top w:val="single" w:sz="4" w:space="0" w:color="auto"/>
              <w:left w:val="single" w:sz="4" w:space="0" w:color="auto"/>
              <w:bottom w:val="single" w:sz="4" w:space="0" w:color="auto"/>
              <w:right w:val="single" w:sz="4" w:space="0" w:color="auto"/>
            </w:tcBorders>
            <w:textDirection w:val="btLr"/>
            <w:vAlign w:val="center"/>
          </w:tcPr>
          <w:p w14:paraId="11939E22" w14:textId="77777777" w:rsidR="0036162E" w:rsidRPr="0036162E" w:rsidRDefault="0036162E" w:rsidP="0036162E">
            <w:pPr>
              <w:snapToGrid w:val="0"/>
              <w:ind w:left="113" w:right="113"/>
              <w:rPr>
                <w:rFonts w:eastAsia="新細明體" w:cs="Segoe UI"/>
                <w:color w:val="000000"/>
                <w:sz w:val="15"/>
                <w:szCs w:val="15"/>
                <w:lang w:eastAsia="ja-JP"/>
              </w:rPr>
            </w:pPr>
            <w:r w:rsidRPr="0036162E">
              <w:rPr>
                <w:rFonts w:eastAsia="新細明體" w:cs="Segoe UI"/>
                <w:color w:val="000000"/>
                <w:sz w:val="15"/>
                <w:szCs w:val="15"/>
                <w:lang w:eastAsia="en-GB"/>
              </w:rPr>
              <w:t xml:space="preserve">SEC-FBA </w:t>
            </w:r>
          </w:p>
        </w:tc>
      </w:tr>
      <w:tr w:rsidR="0036162E" w:rsidRPr="0036162E" w14:paraId="5A59D4C9" w14:textId="77777777" w:rsidTr="00F40CCC">
        <w:trPr>
          <w:cantSplit/>
          <w:trHeight w:val="20"/>
        </w:trPr>
        <w:tc>
          <w:tcPr>
            <w:tcW w:w="416" w:type="dxa"/>
            <w:tcBorders>
              <w:top w:val="single" w:sz="4" w:space="0" w:color="auto"/>
              <w:left w:val="nil"/>
              <w:right w:val="single" w:sz="4" w:space="0" w:color="BFBFBF"/>
            </w:tcBorders>
          </w:tcPr>
          <w:p w14:paraId="3DBD15EC" w14:textId="77777777" w:rsidR="0036162E" w:rsidRPr="0036162E" w:rsidRDefault="0036162E" w:rsidP="0036162E">
            <w:pPr>
              <w:snapToGrid w:val="0"/>
              <w:jc w:val="center"/>
              <w:rPr>
                <w:rFonts w:eastAsia="新細明體" w:cs="Segoe UI"/>
                <w:b/>
                <w:color w:val="000000"/>
                <w:sz w:val="17"/>
                <w:szCs w:val="17"/>
                <w:lang w:eastAsia="en-GB"/>
              </w:rPr>
            </w:pPr>
            <w:r w:rsidRPr="0036162E">
              <w:rPr>
                <w:rFonts w:eastAsia="新細明體" w:cs="Segoe UI"/>
                <w:b/>
                <w:color w:val="000000"/>
                <w:sz w:val="17"/>
                <w:szCs w:val="17"/>
                <w:lang w:eastAsia="en-GB"/>
              </w:rPr>
              <w:t>1</w:t>
            </w:r>
          </w:p>
        </w:tc>
        <w:tc>
          <w:tcPr>
            <w:tcW w:w="2607" w:type="dxa"/>
            <w:tcBorders>
              <w:top w:val="single" w:sz="4" w:space="0" w:color="auto"/>
              <w:left w:val="single" w:sz="4" w:space="0" w:color="BFBFBF"/>
              <w:right w:val="single" w:sz="4" w:space="0" w:color="auto"/>
            </w:tcBorders>
            <w:noWrap/>
            <w:vAlign w:val="bottom"/>
          </w:tcPr>
          <w:p w14:paraId="19FEDDBF" w14:textId="77777777" w:rsidR="0036162E" w:rsidRPr="0036162E" w:rsidRDefault="0036162E" w:rsidP="0036162E">
            <w:pPr>
              <w:snapToGrid w:val="0"/>
              <w:rPr>
                <w:rFonts w:eastAsia="新細明體" w:cs="Segoe UI"/>
                <w:b/>
                <w:color w:val="000000"/>
                <w:sz w:val="17"/>
                <w:szCs w:val="17"/>
                <w:lang w:eastAsia="en-GB"/>
              </w:rPr>
            </w:pPr>
            <w:r w:rsidRPr="0036162E">
              <w:rPr>
                <w:rFonts w:eastAsia="新細明體" w:cs="Segoe UI"/>
                <w:b/>
                <w:color w:val="000000"/>
                <w:sz w:val="17"/>
                <w:szCs w:val="17"/>
                <w:lang w:eastAsia="en-GB"/>
              </w:rPr>
              <w:t>Total exposures</w:t>
            </w:r>
          </w:p>
        </w:tc>
        <w:tc>
          <w:tcPr>
            <w:tcW w:w="642" w:type="dxa"/>
            <w:tcBorders>
              <w:top w:val="single" w:sz="4" w:space="0" w:color="auto"/>
              <w:left w:val="single" w:sz="4" w:space="0" w:color="auto"/>
              <w:right w:val="single" w:sz="4" w:space="0" w:color="auto"/>
            </w:tcBorders>
            <w:noWrap/>
            <w:vAlign w:val="bottom"/>
          </w:tcPr>
          <w:p w14:paraId="618DA826" w14:textId="77777777" w:rsidR="0036162E" w:rsidRPr="0036162E" w:rsidRDefault="0036162E" w:rsidP="0036162E">
            <w:pPr>
              <w:snapToGrid w:val="0"/>
              <w:rPr>
                <w:rFonts w:eastAsia="新細明體" w:cs="Segoe UI"/>
                <w:color w:val="000000"/>
                <w:sz w:val="17"/>
                <w:szCs w:val="17"/>
                <w:lang w:eastAsia="en-GB"/>
              </w:rPr>
            </w:pPr>
          </w:p>
        </w:tc>
        <w:tc>
          <w:tcPr>
            <w:tcW w:w="643" w:type="dxa"/>
            <w:tcBorders>
              <w:top w:val="single" w:sz="4" w:space="0" w:color="auto"/>
              <w:left w:val="single" w:sz="4" w:space="0" w:color="auto"/>
              <w:right w:val="single" w:sz="4" w:space="0" w:color="auto"/>
            </w:tcBorders>
            <w:noWrap/>
            <w:vAlign w:val="bottom"/>
            <w:hideMark/>
          </w:tcPr>
          <w:p w14:paraId="1278A9C0" w14:textId="77777777" w:rsidR="0036162E" w:rsidRPr="0036162E" w:rsidRDefault="0036162E" w:rsidP="0036162E">
            <w:pPr>
              <w:snapToGrid w:val="0"/>
              <w:rPr>
                <w:rFonts w:eastAsia="新細明體" w:cs="Segoe UI"/>
                <w:color w:val="000000"/>
                <w:sz w:val="17"/>
                <w:szCs w:val="17"/>
                <w:lang w:eastAsia="en-GB"/>
              </w:rPr>
            </w:pPr>
          </w:p>
        </w:tc>
        <w:tc>
          <w:tcPr>
            <w:tcW w:w="643" w:type="dxa"/>
            <w:tcBorders>
              <w:top w:val="single" w:sz="4" w:space="0" w:color="auto"/>
              <w:left w:val="single" w:sz="4" w:space="0" w:color="auto"/>
              <w:right w:val="single" w:sz="4" w:space="0" w:color="auto"/>
            </w:tcBorders>
            <w:noWrap/>
            <w:vAlign w:val="bottom"/>
            <w:hideMark/>
          </w:tcPr>
          <w:p w14:paraId="3A14EC76" w14:textId="77777777" w:rsidR="0036162E" w:rsidRPr="0036162E" w:rsidRDefault="0036162E" w:rsidP="0036162E">
            <w:pPr>
              <w:snapToGrid w:val="0"/>
              <w:rPr>
                <w:rFonts w:eastAsia="新細明體" w:cs="Segoe UI"/>
                <w:color w:val="000000"/>
                <w:sz w:val="17"/>
                <w:szCs w:val="17"/>
                <w:lang w:eastAsia="en-GB"/>
              </w:rPr>
            </w:pPr>
          </w:p>
        </w:tc>
        <w:tc>
          <w:tcPr>
            <w:tcW w:w="753" w:type="dxa"/>
            <w:tcBorders>
              <w:top w:val="single" w:sz="4" w:space="0" w:color="auto"/>
              <w:left w:val="single" w:sz="4" w:space="0" w:color="auto"/>
              <w:right w:val="single" w:sz="4" w:space="0" w:color="auto"/>
            </w:tcBorders>
            <w:noWrap/>
            <w:vAlign w:val="bottom"/>
            <w:hideMark/>
          </w:tcPr>
          <w:p w14:paraId="4FC0502B" w14:textId="77777777" w:rsidR="0036162E" w:rsidRPr="0036162E" w:rsidRDefault="0036162E" w:rsidP="0036162E">
            <w:pPr>
              <w:snapToGrid w:val="0"/>
              <w:rPr>
                <w:rFonts w:eastAsia="新細明體" w:cs="Segoe UI"/>
                <w:color w:val="000000"/>
                <w:sz w:val="17"/>
                <w:szCs w:val="17"/>
                <w:lang w:eastAsia="en-GB"/>
              </w:rPr>
            </w:pPr>
          </w:p>
        </w:tc>
        <w:tc>
          <w:tcPr>
            <w:tcW w:w="646" w:type="dxa"/>
            <w:tcBorders>
              <w:top w:val="single" w:sz="4" w:space="0" w:color="auto"/>
              <w:left w:val="single" w:sz="4" w:space="0" w:color="auto"/>
              <w:right w:val="single" w:sz="4" w:space="0" w:color="auto"/>
            </w:tcBorders>
            <w:noWrap/>
            <w:vAlign w:val="bottom"/>
            <w:hideMark/>
          </w:tcPr>
          <w:p w14:paraId="1FD071A4"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auto"/>
              <w:left w:val="single" w:sz="4" w:space="0" w:color="auto"/>
              <w:right w:val="single" w:sz="4" w:space="0" w:color="auto"/>
            </w:tcBorders>
            <w:noWrap/>
            <w:vAlign w:val="bottom"/>
            <w:hideMark/>
          </w:tcPr>
          <w:p w14:paraId="1AA46943"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auto"/>
              <w:left w:val="single" w:sz="4" w:space="0" w:color="auto"/>
              <w:right w:val="single" w:sz="4" w:space="0" w:color="auto"/>
            </w:tcBorders>
            <w:noWrap/>
            <w:vAlign w:val="bottom"/>
            <w:hideMark/>
          </w:tcPr>
          <w:p w14:paraId="3066EA29"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auto"/>
              <w:left w:val="single" w:sz="4" w:space="0" w:color="auto"/>
              <w:right w:val="single" w:sz="4" w:space="0" w:color="auto"/>
            </w:tcBorders>
            <w:noWrap/>
            <w:vAlign w:val="bottom"/>
            <w:hideMark/>
          </w:tcPr>
          <w:p w14:paraId="7731F0EC"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auto"/>
              <w:left w:val="single" w:sz="4" w:space="0" w:color="auto"/>
              <w:right w:val="single" w:sz="4" w:space="0" w:color="auto"/>
            </w:tcBorders>
            <w:noWrap/>
            <w:vAlign w:val="bottom"/>
            <w:hideMark/>
          </w:tcPr>
          <w:p w14:paraId="51F47941" w14:textId="77777777" w:rsidR="0036162E" w:rsidRPr="0036162E" w:rsidRDefault="0036162E" w:rsidP="0036162E">
            <w:pPr>
              <w:snapToGrid w:val="0"/>
              <w:rPr>
                <w:rFonts w:eastAsia="新細明體" w:cs="Segoe UI"/>
                <w:color w:val="000000"/>
                <w:sz w:val="17"/>
                <w:szCs w:val="17"/>
                <w:lang w:eastAsia="en-GB"/>
              </w:rPr>
            </w:pPr>
          </w:p>
        </w:tc>
        <w:tc>
          <w:tcPr>
            <w:tcW w:w="637" w:type="dxa"/>
            <w:tcBorders>
              <w:top w:val="single" w:sz="4" w:space="0" w:color="auto"/>
              <w:left w:val="single" w:sz="4" w:space="0" w:color="auto"/>
              <w:right w:val="single" w:sz="4" w:space="0" w:color="auto"/>
            </w:tcBorders>
            <w:noWrap/>
            <w:vAlign w:val="bottom"/>
            <w:hideMark/>
          </w:tcPr>
          <w:p w14:paraId="2ADCA5A1"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auto"/>
              <w:left w:val="single" w:sz="4" w:space="0" w:color="auto"/>
              <w:right w:val="single" w:sz="4" w:space="0" w:color="auto"/>
            </w:tcBorders>
            <w:vAlign w:val="bottom"/>
          </w:tcPr>
          <w:p w14:paraId="6DCAE45B"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auto"/>
              <w:left w:val="single" w:sz="4" w:space="0" w:color="auto"/>
              <w:right w:val="single" w:sz="4" w:space="0" w:color="auto"/>
            </w:tcBorders>
            <w:vAlign w:val="bottom"/>
          </w:tcPr>
          <w:p w14:paraId="1BA77338"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auto"/>
              <w:left w:val="single" w:sz="4" w:space="0" w:color="auto"/>
              <w:right w:val="single" w:sz="4" w:space="0" w:color="auto"/>
            </w:tcBorders>
            <w:vAlign w:val="bottom"/>
          </w:tcPr>
          <w:p w14:paraId="01FBDE13"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auto"/>
              <w:left w:val="single" w:sz="4" w:space="0" w:color="auto"/>
              <w:bottom w:val="single" w:sz="4" w:space="0" w:color="BFBFBF"/>
              <w:right w:val="single" w:sz="4" w:space="0" w:color="auto"/>
            </w:tcBorders>
            <w:vAlign w:val="bottom"/>
          </w:tcPr>
          <w:p w14:paraId="36833141"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auto"/>
              <w:left w:val="single" w:sz="4" w:space="0" w:color="auto"/>
              <w:bottom w:val="single" w:sz="4" w:space="0" w:color="BFBFBF"/>
              <w:right w:val="single" w:sz="4" w:space="0" w:color="auto"/>
            </w:tcBorders>
            <w:vAlign w:val="bottom"/>
          </w:tcPr>
          <w:p w14:paraId="620566DA"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auto"/>
              <w:left w:val="single" w:sz="4" w:space="0" w:color="auto"/>
              <w:bottom w:val="single" w:sz="4" w:space="0" w:color="BFBFBF"/>
              <w:right w:val="single" w:sz="4" w:space="0" w:color="auto"/>
            </w:tcBorders>
            <w:vAlign w:val="bottom"/>
          </w:tcPr>
          <w:p w14:paraId="04479AAE"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auto"/>
              <w:left w:val="single" w:sz="4" w:space="0" w:color="auto"/>
              <w:bottom w:val="single" w:sz="4" w:space="0" w:color="BFBFBF"/>
              <w:right w:val="single" w:sz="4" w:space="0" w:color="auto"/>
            </w:tcBorders>
            <w:vAlign w:val="bottom"/>
          </w:tcPr>
          <w:p w14:paraId="4A05C4C0" w14:textId="77777777" w:rsidR="0036162E" w:rsidRPr="0036162E" w:rsidRDefault="0036162E" w:rsidP="0036162E">
            <w:pPr>
              <w:snapToGrid w:val="0"/>
              <w:rPr>
                <w:rFonts w:eastAsia="新細明體" w:cs="Segoe UI"/>
                <w:color w:val="000000"/>
                <w:sz w:val="17"/>
                <w:szCs w:val="17"/>
                <w:lang w:eastAsia="en-GB"/>
              </w:rPr>
            </w:pPr>
          </w:p>
        </w:tc>
      </w:tr>
      <w:tr w:rsidR="0036162E" w:rsidRPr="0036162E" w14:paraId="0BE72416" w14:textId="77777777" w:rsidTr="00F40CCC">
        <w:trPr>
          <w:trHeight w:val="20"/>
        </w:trPr>
        <w:tc>
          <w:tcPr>
            <w:tcW w:w="416" w:type="dxa"/>
            <w:tcBorders>
              <w:left w:val="nil"/>
              <w:right w:val="single" w:sz="4" w:space="0" w:color="BFBFBF"/>
            </w:tcBorders>
          </w:tcPr>
          <w:p w14:paraId="43451775"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2</w:t>
            </w:r>
          </w:p>
        </w:tc>
        <w:tc>
          <w:tcPr>
            <w:tcW w:w="2607" w:type="dxa"/>
            <w:tcBorders>
              <w:left w:val="single" w:sz="4" w:space="0" w:color="BFBFBF"/>
              <w:right w:val="single" w:sz="4" w:space="0" w:color="auto"/>
            </w:tcBorders>
            <w:noWrap/>
            <w:vAlign w:val="bottom"/>
          </w:tcPr>
          <w:p w14:paraId="4CA1C7AF" w14:textId="77777777" w:rsidR="0036162E" w:rsidRPr="0036162E" w:rsidRDefault="0036162E" w:rsidP="0036162E">
            <w:pPr>
              <w:snapToGrid w:val="0"/>
              <w:rPr>
                <w:rFonts w:eastAsia="新細明體" w:cs="Segoe UI"/>
                <w:color w:val="000000"/>
                <w:sz w:val="17"/>
                <w:szCs w:val="17"/>
                <w:lang w:eastAsia="ja-JP"/>
              </w:rPr>
            </w:pPr>
            <w:r w:rsidRPr="0036162E">
              <w:rPr>
                <w:rFonts w:eastAsia="新細明體" w:cs="Segoe UI"/>
                <w:color w:val="000000"/>
                <w:sz w:val="17"/>
                <w:szCs w:val="17"/>
                <w:lang w:eastAsia="en-GB"/>
              </w:rPr>
              <w:t xml:space="preserve">Traditional securitization </w:t>
            </w:r>
          </w:p>
        </w:tc>
        <w:tc>
          <w:tcPr>
            <w:tcW w:w="642" w:type="dxa"/>
            <w:tcBorders>
              <w:left w:val="single" w:sz="4" w:space="0" w:color="auto"/>
              <w:right w:val="single" w:sz="4" w:space="0" w:color="auto"/>
            </w:tcBorders>
            <w:noWrap/>
            <w:vAlign w:val="bottom"/>
          </w:tcPr>
          <w:p w14:paraId="757658CA" w14:textId="77777777" w:rsidR="0036162E" w:rsidRPr="0036162E" w:rsidRDefault="0036162E" w:rsidP="0036162E">
            <w:pPr>
              <w:snapToGrid w:val="0"/>
              <w:rPr>
                <w:rFonts w:eastAsia="新細明體" w:cs="Segoe UI"/>
                <w:color w:val="000000"/>
                <w:sz w:val="17"/>
                <w:szCs w:val="17"/>
                <w:lang w:eastAsia="en-GB"/>
              </w:rPr>
            </w:pPr>
          </w:p>
        </w:tc>
        <w:tc>
          <w:tcPr>
            <w:tcW w:w="643" w:type="dxa"/>
            <w:tcBorders>
              <w:left w:val="single" w:sz="4" w:space="0" w:color="auto"/>
              <w:right w:val="single" w:sz="4" w:space="0" w:color="auto"/>
            </w:tcBorders>
            <w:noWrap/>
            <w:vAlign w:val="bottom"/>
            <w:hideMark/>
          </w:tcPr>
          <w:p w14:paraId="583943E1" w14:textId="77777777" w:rsidR="0036162E" w:rsidRPr="0036162E" w:rsidRDefault="0036162E" w:rsidP="0036162E">
            <w:pPr>
              <w:snapToGrid w:val="0"/>
              <w:rPr>
                <w:rFonts w:eastAsia="新細明體" w:cs="Segoe UI"/>
                <w:color w:val="000000"/>
                <w:sz w:val="17"/>
                <w:szCs w:val="17"/>
                <w:lang w:eastAsia="en-GB"/>
              </w:rPr>
            </w:pPr>
          </w:p>
        </w:tc>
        <w:tc>
          <w:tcPr>
            <w:tcW w:w="643" w:type="dxa"/>
            <w:tcBorders>
              <w:left w:val="single" w:sz="4" w:space="0" w:color="auto"/>
              <w:right w:val="single" w:sz="4" w:space="0" w:color="auto"/>
            </w:tcBorders>
            <w:noWrap/>
            <w:vAlign w:val="bottom"/>
            <w:hideMark/>
          </w:tcPr>
          <w:p w14:paraId="27EDEA61" w14:textId="77777777" w:rsidR="0036162E" w:rsidRPr="0036162E" w:rsidRDefault="0036162E" w:rsidP="0036162E">
            <w:pPr>
              <w:snapToGrid w:val="0"/>
              <w:rPr>
                <w:rFonts w:eastAsia="新細明體" w:cs="Segoe UI"/>
                <w:color w:val="000000"/>
                <w:sz w:val="17"/>
                <w:szCs w:val="17"/>
                <w:lang w:eastAsia="en-GB"/>
              </w:rPr>
            </w:pPr>
          </w:p>
        </w:tc>
        <w:tc>
          <w:tcPr>
            <w:tcW w:w="753" w:type="dxa"/>
            <w:tcBorders>
              <w:left w:val="single" w:sz="4" w:space="0" w:color="auto"/>
              <w:right w:val="single" w:sz="4" w:space="0" w:color="auto"/>
            </w:tcBorders>
            <w:noWrap/>
            <w:vAlign w:val="bottom"/>
            <w:hideMark/>
          </w:tcPr>
          <w:p w14:paraId="6D454455" w14:textId="77777777" w:rsidR="0036162E" w:rsidRPr="0036162E" w:rsidRDefault="0036162E" w:rsidP="0036162E">
            <w:pPr>
              <w:snapToGrid w:val="0"/>
              <w:rPr>
                <w:rFonts w:eastAsia="新細明體" w:cs="Segoe UI"/>
                <w:color w:val="000000"/>
                <w:sz w:val="17"/>
                <w:szCs w:val="17"/>
                <w:lang w:eastAsia="en-GB"/>
              </w:rPr>
            </w:pPr>
          </w:p>
        </w:tc>
        <w:tc>
          <w:tcPr>
            <w:tcW w:w="646" w:type="dxa"/>
            <w:tcBorders>
              <w:left w:val="single" w:sz="4" w:space="0" w:color="auto"/>
              <w:right w:val="single" w:sz="4" w:space="0" w:color="auto"/>
            </w:tcBorders>
            <w:noWrap/>
            <w:vAlign w:val="bottom"/>
            <w:hideMark/>
          </w:tcPr>
          <w:p w14:paraId="155B5A75"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6CA9EB6E"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4DB9CC41"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6BDDA5AA"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3129529C" w14:textId="77777777" w:rsidR="0036162E" w:rsidRPr="0036162E" w:rsidRDefault="0036162E" w:rsidP="0036162E">
            <w:pPr>
              <w:snapToGrid w:val="0"/>
              <w:rPr>
                <w:rFonts w:eastAsia="新細明體" w:cs="Segoe UI"/>
                <w:color w:val="000000"/>
                <w:sz w:val="17"/>
                <w:szCs w:val="17"/>
                <w:lang w:eastAsia="en-GB"/>
              </w:rPr>
            </w:pPr>
          </w:p>
        </w:tc>
        <w:tc>
          <w:tcPr>
            <w:tcW w:w="637" w:type="dxa"/>
            <w:tcBorders>
              <w:left w:val="single" w:sz="4" w:space="0" w:color="auto"/>
              <w:right w:val="single" w:sz="4" w:space="0" w:color="auto"/>
            </w:tcBorders>
            <w:noWrap/>
            <w:vAlign w:val="bottom"/>
            <w:hideMark/>
          </w:tcPr>
          <w:p w14:paraId="1952FB39"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1F7C774D"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04F9844A"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7354D103"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right w:val="single" w:sz="4" w:space="0" w:color="auto"/>
            </w:tcBorders>
            <w:vAlign w:val="bottom"/>
          </w:tcPr>
          <w:p w14:paraId="17E360E5"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right w:val="single" w:sz="4" w:space="0" w:color="auto"/>
            </w:tcBorders>
            <w:vAlign w:val="bottom"/>
          </w:tcPr>
          <w:p w14:paraId="0908EDF6"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right w:val="single" w:sz="4" w:space="0" w:color="auto"/>
            </w:tcBorders>
            <w:vAlign w:val="bottom"/>
          </w:tcPr>
          <w:p w14:paraId="369DB5C2"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right w:val="single" w:sz="4" w:space="0" w:color="auto"/>
            </w:tcBorders>
            <w:vAlign w:val="bottom"/>
          </w:tcPr>
          <w:p w14:paraId="5B52A094" w14:textId="77777777" w:rsidR="0036162E" w:rsidRPr="0036162E" w:rsidRDefault="0036162E" w:rsidP="0036162E">
            <w:pPr>
              <w:snapToGrid w:val="0"/>
              <w:rPr>
                <w:rFonts w:eastAsia="新細明體" w:cs="Segoe UI"/>
                <w:color w:val="000000"/>
                <w:sz w:val="17"/>
                <w:szCs w:val="17"/>
                <w:lang w:eastAsia="en-GB"/>
              </w:rPr>
            </w:pPr>
          </w:p>
        </w:tc>
      </w:tr>
      <w:tr w:rsidR="0036162E" w:rsidRPr="0036162E" w14:paraId="42C44EFE" w14:textId="77777777" w:rsidTr="00F40CCC">
        <w:trPr>
          <w:trHeight w:val="227"/>
        </w:trPr>
        <w:tc>
          <w:tcPr>
            <w:tcW w:w="416" w:type="dxa"/>
            <w:tcBorders>
              <w:left w:val="nil"/>
              <w:right w:val="single" w:sz="4" w:space="0" w:color="BFBFBF"/>
            </w:tcBorders>
          </w:tcPr>
          <w:p w14:paraId="3D601D0F"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3</w:t>
            </w:r>
          </w:p>
        </w:tc>
        <w:tc>
          <w:tcPr>
            <w:tcW w:w="2607" w:type="dxa"/>
            <w:tcBorders>
              <w:left w:val="single" w:sz="4" w:space="0" w:color="BFBFBF"/>
              <w:right w:val="single" w:sz="4" w:space="0" w:color="auto"/>
            </w:tcBorders>
            <w:noWrap/>
            <w:vAlign w:val="bottom"/>
          </w:tcPr>
          <w:p w14:paraId="2B47A3B7" w14:textId="77777777" w:rsidR="0036162E" w:rsidRPr="0036162E" w:rsidRDefault="0036162E" w:rsidP="0036162E">
            <w:pPr>
              <w:snapToGrid w:val="0"/>
              <w:ind w:left="113"/>
              <w:rPr>
                <w:rFonts w:eastAsia="新細明體" w:cs="Segoe UI"/>
                <w:color w:val="000000"/>
                <w:sz w:val="17"/>
                <w:szCs w:val="17"/>
                <w:lang w:eastAsia="en-GB"/>
              </w:rPr>
            </w:pPr>
            <w:r w:rsidRPr="0036162E">
              <w:rPr>
                <w:rFonts w:eastAsia="新細明體" w:cs="Segoe UI"/>
                <w:color w:val="000000"/>
                <w:sz w:val="17"/>
                <w:szCs w:val="17"/>
                <w:lang w:eastAsia="en-GB"/>
              </w:rPr>
              <w:t>Of which securitization</w:t>
            </w:r>
          </w:p>
        </w:tc>
        <w:tc>
          <w:tcPr>
            <w:tcW w:w="642" w:type="dxa"/>
            <w:tcBorders>
              <w:left w:val="single" w:sz="4" w:space="0" w:color="auto"/>
              <w:right w:val="single" w:sz="4" w:space="0" w:color="auto"/>
            </w:tcBorders>
            <w:noWrap/>
            <w:vAlign w:val="bottom"/>
          </w:tcPr>
          <w:p w14:paraId="76606018" w14:textId="77777777" w:rsidR="0036162E" w:rsidRPr="0036162E" w:rsidRDefault="0036162E" w:rsidP="0036162E">
            <w:pPr>
              <w:snapToGrid w:val="0"/>
              <w:rPr>
                <w:rFonts w:eastAsia="新細明體" w:cs="Segoe UI"/>
                <w:color w:val="000000"/>
                <w:sz w:val="17"/>
                <w:szCs w:val="17"/>
                <w:lang w:eastAsia="en-GB"/>
              </w:rPr>
            </w:pPr>
          </w:p>
        </w:tc>
        <w:tc>
          <w:tcPr>
            <w:tcW w:w="643" w:type="dxa"/>
            <w:tcBorders>
              <w:left w:val="single" w:sz="4" w:space="0" w:color="auto"/>
              <w:right w:val="single" w:sz="4" w:space="0" w:color="auto"/>
            </w:tcBorders>
            <w:noWrap/>
            <w:vAlign w:val="bottom"/>
            <w:hideMark/>
          </w:tcPr>
          <w:p w14:paraId="6A5376E5" w14:textId="77777777" w:rsidR="0036162E" w:rsidRPr="0036162E" w:rsidRDefault="0036162E" w:rsidP="0036162E">
            <w:pPr>
              <w:snapToGrid w:val="0"/>
              <w:rPr>
                <w:rFonts w:eastAsia="新細明體" w:cs="Segoe UI"/>
                <w:color w:val="000000"/>
                <w:sz w:val="17"/>
                <w:szCs w:val="17"/>
                <w:lang w:eastAsia="en-GB"/>
              </w:rPr>
            </w:pPr>
          </w:p>
        </w:tc>
        <w:tc>
          <w:tcPr>
            <w:tcW w:w="643" w:type="dxa"/>
            <w:tcBorders>
              <w:left w:val="single" w:sz="4" w:space="0" w:color="auto"/>
              <w:right w:val="single" w:sz="4" w:space="0" w:color="auto"/>
            </w:tcBorders>
            <w:noWrap/>
            <w:vAlign w:val="bottom"/>
            <w:hideMark/>
          </w:tcPr>
          <w:p w14:paraId="1F052AE6" w14:textId="77777777" w:rsidR="0036162E" w:rsidRPr="0036162E" w:rsidRDefault="0036162E" w:rsidP="0036162E">
            <w:pPr>
              <w:snapToGrid w:val="0"/>
              <w:rPr>
                <w:rFonts w:eastAsia="新細明體" w:cs="Segoe UI"/>
                <w:color w:val="000000"/>
                <w:sz w:val="17"/>
                <w:szCs w:val="17"/>
                <w:lang w:eastAsia="en-GB"/>
              </w:rPr>
            </w:pPr>
          </w:p>
        </w:tc>
        <w:tc>
          <w:tcPr>
            <w:tcW w:w="753" w:type="dxa"/>
            <w:tcBorders>
              <w:left w:val="single" w:sz="4" w:space="0" w:color="auto"/>
              <w:right w:val="single" w:sz="4" w:space="0" w:color="auto"/>
            </w:tcBorders>
            <w:noWrap/>
            <w:vAlign w:val="bottom"/>
            <w:hideMark/>
          </w:tcPr>
          <w:p w14:paraId="244B8F20" w14:textId="77777777" w:rsidR="0036162E" w:rsidRPr="0036162E" w:rsidRDefault="0036162E" w:rsidP="0036162E">
            <w:pPr>
              <w:snapToGrid w:val="0"/>
              <w:rPr>
                <w:rFonts w:eastAsia="新細明體" w:cs="Segoe UI"/>
                <w:color w:val="000000"/>
                <w:sz w:val="17"/>
                <w:szCs w:val="17"/>
                <w:lang w:eastAsia="en-GB"/>
              </w:rPr>
            </w:pPr>
          </w:p>
        </w:tc>
        <w:tc>
          <w:tcPr>
            <w:tcW w:w="646" w:type="dxa"/>
            <w:tcBorders>
              <w:left w:val="single" w:sz="4" w:space="0" w:color="auto"/>
              <w:right w:val="single" w:sz="4" w:space="0" w:color="auto"/>
            </w:tcBorders>
            <w:noWrap/>
            <w:vAlign w:val="bottom"/>
            <w:hideMark/>
          </w:tcPr>
          <w:p w14:paraId="01BE82BD"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04AA4469"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130F2905"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47A56A1E"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2FE4CC2A" w14:textId="77777777" w:rsidR="0036162E" w:rsidRPr="0036162E" w:rsidRDefault="0036162E" w:rsidP="0036162E">
            <w:pPr>
              <w:snapToGrid w:val="0"/>
              <w:rPr>
                <w:rFonts w:eastAsia="新細明體" w:cs="Segoe UI"/>
                <w:color w:val="000000"/>
                <w:sz w:val="17"/>
                <w:szCs w:val="17"/>
                <w:lang w:eastAsia="en-GB"/>
              </w:rPr>
            </w:pPr>
          </w:p>
        </w:tc>
        <w:tc>
          <w:tcPr>
            <w:tcW w:w="637" w:type="dxa"/>
            <w:tcBorders>
              <w:left w:val="single" w:sz="4" w:space="0" w:color="auto"/>
              <w:right w:val="single" w:sz="4" w:space="0" w:color="auto"/>
            </w:tcBorders>
            <w:noWrap/>
            <w:vAlign w:val="bottom"/>
            <w:hideMark/>
          </w:tcPr>
          <w:p w14:paraId="77793F85"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0186D079"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2BF86EE0"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74C254B3"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5E384DC0"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310BA494"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26B595D6"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1F4204F1" w14:textId="77777777" w:rsidR="0036162E" w:rsidRPr="0036162E" w:rsidRDefault="0036162E" w:rsidP="0036162E">
            <w:pPr>
              <w:snapToGrid w:val="0"/>
              <w:rPr>
                <w:rFonts w:eastAsia="新細明體" w:cs="Segoe UI"/>
                <w:color w:val="000000"/>
                <w:sz w:val="17"/>
                <w:szCs w:val="17"/>
                <w:lang w:eastAsia="en-GB"/>
              </w:rPr>
            </w:pPr>
          </w:p>
        </w:tc>
      </w:tr>
      <w:tr w:rsidR="0036162E" w:rsidRPr="0036162E" w14:paraId="715321DD" w14:textId="77777777" w:rsidTr="00F40CCC">
        <w:trPr>
          <w:trHeight w:val="20"/>
        </w:trPr>
        <w:tc>
          <w:tcPr>
            <w:tcW w:w="416" w:type="dxa"/>
            <w:tcBorders>
              <w:left w:val="nil"/>
              <w:right w:val="single" w:sz="4" w:space="0" w:color="BFBFBF"/>
            </w:tcBorders>
          </w:tcPr>
          <w:p w14:paraId="00173E05"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4</w:t>
            </w:r>
          </w:p>
        </w:tc>
        <w:tc>
          <w:tcPr>
            <w:tcW w:w="2607" w:type="dxa"/>
            <w:tcBorders>
              <w:left w:val="single" w:sz="4" w:space="0" w:color="BFBFBF"/>
              <w:right w:val="single" w:sz="4" w:space="0" w:color="auto"/>
            </w:tcBorders>
            <w:noWrap/>
            <w:vAlign w:val="bottom"/>
            <w:hideMark/>
          </w:tcPr>
          <w:p w14:paraId="16B2EDD5" w14:textId="77777777" w:rsidR="0036162E" w:rsidRPr="0036162E" w:rsidRDefault="0036162E" w:rsidP="0036162E">
            <w:pPr>
              <w:snapToGrid w:val="0"/>
              <w:ind w:left="333"/>
              <w:rPr>
                <w:rFonts w:eastAsia="新細明體" w:cs="Segoe UI"/>
                <w:color w:val="000000"/>
                <w:sz w:val="17"/>
                <w:szCs w:val="17"/>
                <w:lang w:eastAsia="en-GB"/>
              </w:rPr>
            </w:pPr>
            <w:r w:rsidRPr="0036162E">
              <w:rPr>
                <w:rFonts w:eastAsia="新細明體" w:cs="Segoe UI"/>
                <w:color w:val="000000"/>
                <w:sz w:val="17"/>
                <w:szCs w:val="17"/>
                <w:lang w:eastAsia="en-GB"/>
              </w:rPr>
              <w:t>Of which retail</w:t>
            </w:r>
          </w:p>
        </w:tc>
        <w:tc>
          <w:tcPr>
            <w:tcW w:w="642" w:type="dxa"/>
            <w:tcBorders>
              <w:left w:val="single" w:sz="4" w:space="0" w:color="auto"/>
              <w:right w:val="single" w:sz="4" w:space="0" w:color="auto"/>
            </w:tcBorders>
            <w:noWrap/>
            <w:vAlign w:val="bottom"/>
            <w:hideMark/>
          </w:tcPr>
          <w:p w14:paraId="695AB7B4" w14:textId="77777777" w:rsidR="0036162E" w:rsidRPr="0036162E" w:rsidRDefault="0036162E" w:rsidP="0036162E">
            <w:pPr>
              <w:snapToGrid w:val="0"/>
              <w:rPr>
                <w:rFonts w:eastAsia="新細明體" w:cs="Segoe UI"/>
                <w:color w:val="000000"/>
                <w:sz w:val="17"/>
                <w:szCs w:val="17"/>
                <w:lang w:eastAsia="en-GB"/>
              </w:rPr>
            </w:pPr>
          </w:p>
        </w:tc>
        <w:tc>
          <w:tcPr>
            <w:tcW w:w="643" w:type="dxa"/>
            <w:tcBorders>
              <w:left w:val="single" w:sz="4" w:space="0" w:color="auto"/>
              <w:right w:val="single" w:sz="4" w:space="0" w:color="auto"/>
            </w:tcBorders>
            <w:noWrap/>
            <w:vAlign w:val="bottom"/>
            <w:hideMark/>
          </w:tcPr>
          <w:p w14:paraId="58466C25" w14:textId="77777777" w:rsidR="0036162E" w:rsidRPr="0036162E" w:rsidRDefault="0036162E" w:rsidP="0036162E">
            <w:pPr>
              <w:snapToGrid w:val="0"/>
              <w:rPr>
                <w:rFonts w:eastAsia="新細明體" w:cs="Segoe UI"/>
                <w:color w:val="000000"/>
                <w:sz w:val="17"/>
                <w:szCs w:val="17"/>
                <w:lang w:eastAsia="en-GB"/>
              </w:rPr>
            </w:pPr>
          </w:p>
        </w:tc>
        <w:tc>
          <w:tcPr>
            <w:tcW w:w="643" w:type="dxa"/>
            <w:tcBorders>
              <w:left w:val="single" w:sz="4" w:space="0" w:color="auto"/>
              <w:right w:val="single" w:sz="4" w:space="0" w:color="auto"/>
            </w:tcBorders>
            <w:noWrap/>
            <w:vAlign w:val="bottom"/>
            <w:hideMark/>
          </w:tcPr>
          <w:p w14:paraId="20AFA375" w14:textId="77777777" w:rsidR="0036162E" w:rsidRPr="0036162E" w:rsidRDefault="0036162E" w:rsidP="0036162E">
            <w:pPr>
              <w:snapToGrid w:val="0"/>
              <w:rPr>
                <w:rFonts w:eastAsia="新細明體" w:cs="Segoe UI"/>
                <w:color w:val="000000"/>
                <w:sz w:val="17"/>
                <w:szCs w:val="17"/>
                <w:lang w:eastAsia="en-GB"/>
              </w:rPr>
            </w:pPr>
          </w:p>
        </w:tc>
        <w:tc>
          <w:tcPr>
            <w:tcW w:w="753" w:type="dxa"/>
            <w:tcBorders>
              <w:left w:val="single" w:sz="4" w:space="0" w:color="auto"/>
              <w:right w:val="single" w:sz="4" w:space="0" w:color="auto"/>
            </w:tcBorders>
            <w:noWrap/>
            <w:vAlign w:val="bottom"/>
            <w:hideMark/>
          </w:tcPr>
          <w:p w14:paraId="0D1E7515" w14:textId="77777777" w:rsidR="0036162E" w:rsidRPr="0036162E" w:rsidRDefault="0036162E" w:rsidP="0036162E">
            <w:pPr>
              <w:snapToGrid w:val="0"/>
              <w:rPr>
                <w:rFonts w:eastAsia="新細明體" w:cs="Segoe UI"/>
                <w:color w:val="000000"/>
                <w:sz w:val="17"/>
                <w:szCs w:val="17"/>
                <w:lang w:eastAsia="en-GB"/>
              </w:rPr>
            </w:pPr>
          </w:p>
        </w:tc>
        <w:tc>
          <w:tcPr>
            <w:tcW w:w="646" w:type="dxa"/>
            <w:tcBorders>
              <w:left w:val="single" w:sz="4" w:space="0" w:color="auto"/>
              <w:right w:val="single" w:sz="4" w:space="0" w:color="auto"/>
            </w:tcBorders>
            <w:noWrap/>
            <w:vAlign w:val="bottom"/>
            <w:hideMark/>
          </w:tcPr>
          <w:p w14:paraId="647E553B"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5D98B7E3"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46D3582E"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34EAB8F3"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2BC60CC2" w14:textId="77777777" w:rsidR="0036162E" w:rsidRPr="0036162E" w:rsidRDefault="0036162E" w:rsidP="0036162E">
            <w:pPr>
              <w:snapToGrid w:val="0"/>
              <w:rPr>
                <w:rFonts w:eastAsia="新細明體" w:cs="Segoe UI"/>
                <w:color w:val="000000"/>
                <w:sz w:val="17"/>
                <w:szCs w:val="17"/>
                <w:lang w:eastAsia="en-GB"/>
              </w:rPr>
            </w:pPr>
          </w:p>
        </w:tc>
        <w:tc>
          <w:tcPr>
            <w:tcW w:w="637" w:type="dxa"/>
            <w:tcBorders>
              <w:left w:val="single" w:sz="4" w:space="0" w:color="auto"/>
              <w:right w:val="single" w:sz="4" w:space="0" w:color="auto"/>
            </w:tcBorders>
            <w:noWrap/>
            <w:vAlign w:val="bottom"/>
            <w:hideMark/>
          </w:tcPr>
          <w:p w14:paraId="67E43714"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3921FAD8"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67A0FE9E"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2654DE8C"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20EA70F6"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5CFC4783"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555044A1"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0365BEBE" w14:textId="77777777" w:rsidR="0036162E" w:rsidRPr="0036162E" w:rsidRDefault="0036162E" w:rsidP="0036162E">
            <w:pPr>
              <w:snapToGrid w:val="0"/>
              <w:rPr>
                <w:rFonts w:eastAsia="新細明體" w:cs="Segoe UI"/>
                <w:color w:val="000000"/>
                <w:sz w:val="17"/>
                <w:szCs w:val="17"/>
                <w:lang w:eastAsia="en-GB"/>
              </w:rPr>
            </w:pPr>
          </w:p>
        </w:tc>
      </w:tr>
      <w:tr w:rsidR="0036162E" w:rsidRPr="0036162E" w14:paraId="6F174547" w14:textId="77777777" w:rsidTr="00C6132F">
        <w:trPr>
          <w:trHeight w:val="20"/>
        </w:trPr>
        <w:tc>
          <w:tcPr>
            <w:tcW w:w="416" w:type="dxa"/>
            <w:tcBorders>
              <w:left w:val="nil"/>
              <w:right w:val="single" w:sz="4" w:space="0" w:color="BFBFBF"/>
            </w:tcBorders>
          </w:tcPr>
          <w:p w14:paraId="1D4706E2"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lastRenderedPageBreak/>
              <w:t>5</w:t>
            </w:r>
          </w:p>
        </w:tc>
        <w:tc>
          <w:tcPr>
            <w:tcW w:w="2607" w:type="dxa"/>
            <w:tcBorders>
              <w:left w:val="single" w:sz="4" w:space="0" w:color="BFBFBF"/>
              <w:right w:val="single" w:sz="4" w:space="0" w:color="auto"/>
            </w:tcBorders>
            <w:noWrap/>
            <w:vAlign w:val="bottom"/>
          </w:tcPr>
          <w:p w14:paraId="48DFDFA5" w14:textId="77777777" w:rsidR="0036162E" w:rsidRPr="0036162E" w:rsidRDefault="0036162E" w:rsidP="0036162E">
            <w:pPr>
              <w:snapToGrid w:val="0"/>
              <w:ind w:left="609"/>
              <w:rPr>
                <w:rFonts w:eastAsia="新細明體" w:cs="Segoe UI"/>
                <w:color w:val="000000"/>
                <w:sz w:val="17"/>
                <w:szCs w:val="17"/>
                <w:lang w:eastAsia="en-GB"/>
              </w:rPr>
            </w:pPr>
            <w:r w:rsidRPr="0036162E">
              <w:rPr>
                <w:rFonts w:eastAsia="新細明體" w:cs="Segoe UI"/>
                <w:color w:val="000000"/>
                <w:sz w:val="17"/>
                <w:szCs w:val="17"/>
                <w:lang w:eastAsia="en-GB"/>
              </w:rPr>
              <w:t>Of which simple, transparent and comparable</w:t>
            </w:r>
          </w:p>
        </w:tc>
        <w:tc>
          <w:tcPr>
            <w:tcW w:w="10982" w:type="dxa"/>
            <w:gridSpan w:val="17"/>
            <w:tcBorders>
              <w:left w:val="single" w:sz="4" w:space="0" w:color="auto"/>
              <w:right w:val="single" w:sz="4" w:space="0" w:color="auto"/>
            </w:tcBorders>
            <w:shd w:val="clear" w:color="auto" w:fill="BFBFBF"/>
            <w:noWrap/>
            <w:vAlign w:val="bottom"/>
          </w:tcPr>
          <w:p w14:paraId="4F93AB16"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N/A</w:t>
            </w:r>
          </w:p>
        </w:tc>
      </w:tr>
      <w:tr w:rsidR="0036162E" w:rsidRPr="0036162E" w14:paraId="4CECB027" w14:textId="77777777" w:rsidTr="00F40CCC">
        <w:trPr>
          <w:trHeight w:val="20"/>
        </w:trPr>
        <w:tc>
          <w:tcPr>
            <w:tcW w:w="416" w:type="dxa"/>
            <w:tcBorders>
              <w:left w:val="nil"/>
              <w:right w:val="single" w:sz="4" w:space="0" w:color="BFBFBF"/>
            </w:tcBorders>
          </w:tcPr>
          <w:p w14:paraId="6AC9B046" w14:textId="1C2F344D"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6</w:t>
            </w:r>
          </w:p>
        </w:tc>
        <w:tc>
          <w:tcPr>
            <w:tcW w:w="2607" w:type="dxa"/>
            <w:tcBorders>
              <w:left w:val="single" w:sz="4" w:space="0" w:color="BFBFBF"/>
              <w:right w:val="single" w:sz="4" w:space="0" w:color="auto"/>
            </w:tcBorders>
            <w:noWrap/>
            <w:vAlign w:val="bottom"/>
          </w:tcPr>
          <w:p w14:paraId="567C5474" w14:textId="77777777" w:rsidR="0036162E" w:rsidRPr="0036162E" w:rsidRDefault="0036162E" w:rsidP="0036162E">
            <w:pPr>
              <w:snapToGrid w:val="0"/>
              <w:ind w:left="333"/>
              <w:rPr>
                <w:rFonts w:eastAsia="新細明體" w:cs="Segoe UI"/>
                <w:color w:val="000000"/>
                <w:sz w:val="17"/>
                <w:szCs w:val="17"/>
                <w:lang w:eastAsia="en-GB"/>
              </w:rPr>
            </w:pPr>
            <w:r w:rsidRPr="0036162E">
              <w:rPr>
                <w:rFonts w:eastAsia="新細明體" w:cs="Segoe UI"/>
                <w:color w:val="000000"/>
                <w:sz w:val="17"/>
                <w:szCs w:val="17"/>
                <w:lang w:eastAsia="en-GB"/>
              </w:rPr>
              <w:t>Of which wholesale</w:t>
            </w:r>
          </w:p>
        </w:tc>
        <w:tc>
          <w:tcPr>
            <w:tcW w:w="642" w:type="dxa"/>
            <w:tcBorders>
              <w:left w:val="single" w:sz="4" w:space="0" w:color="auto"/>
              <w:right w:val="single" w:sz="4" w:space="0" w:color="auto"/>
            </w:tcBorders>
            <w:noWrap/>
            <w:vAlign w:val="bottom"/>
          </w:tcPr>
          <w:p w14:paraId="7AC0DD0C" w14:textId="77777777" w:rsidR="0036162E" w:rsidRPr="0036162E" w:rsidRDefault="0036162E" w:rsidP="0036162E">
            <w:pPr>
              <w:snapToGrid w:val="0"/>
              <w:rPr>
                <w:rFonts w:eastAsia="新細明體" w:cs="Segoe UI"/>
                <w:color w:val="000000"/>
                <w:sz w:val="17"/>
                <w:szCs w:val="17"/>
                <w:lang w:eastAsia="en-GB"/>
              </w:rPr>
            </w:pPr>
          </w:p>
        </w:tc>
        <w:tc>
          <w:tcPr>
            <w:tcW w:w="643" w:type="dxa"/>
            <w:tcBorders>
              <w:left w:val="single" w:sz="4" w:space="0" w:color="auto"/>
              <w:right w:val="single" w:sz="4" w:space="0" w:color="auto"/>
            </w:tcBorders>
            <w:noWrap/>
            <w:vAlign w:val="bottom"/>
          </w:tcPr>
          <w:p w14:paraId="53ED1FAD" w14:textId="77777777" w:rsidR="0036162E" w:rsidRPr="0036162E" w:rsidRDefault="0036162E" w:rsidP="0036162E">
            <w:pPr>
              <w:snapToGrid w:val="0"/>
              <w:rPr>
                <w:rFonts w:eastAsia="新細明體" w:cs="Segoe UI"/>
                <w:color w:val="000000"/>
                <w:sz w:val="17"/>
                <w:szCs w:val="17"/>
                <w:lang w:eastAsia="en-GB"/>
              </w:rPr>
            </w:pPr>
          </w:p>
        </w:tc>
        <w:tc>
          <w:tcPr>
            <w:tcW w:w="643" w:type="dxa"/>
            <w:tcBorders>
              <w:left w:val="single" w:sz="4" w:space="0" w:color="auto"/>
              <w:right w:val="single" w:sz="4" w:space="0" w:color="auto"/>
            </w:tcBorders>
            <w:noWrap/>
            <w:vAlign w:val="bottom"/>
          </w:tcPr>
          <w:p w14:paraId="4AE515AD" w14:textId="77777777" w:rsidR="0036162E" w:rsidRPr="0036162E" w:rsidRDefault="0036162E" w:rsidP="0036162E">
            <w:pPr>
              <w:snapToGrid w:val="0"/>
              <w:rPr>
                <w:rFonts w:eastAsia="新細明體" w:cs="Segoe UI"/>
                <w:color w:val="000000"/>
                <w:sz w:val="17"/>
                <w:szCs w:val="17"/>
                <w:lang w:eastAsia="en-GB"/>
              </w:rPr>
            </w:pPr>
          </w:p>
        </w:tc>
        <w:tc>
          <w:tcPr>
            <w:tcW w:w="753" w:type="dxa"/>
            <w:tcBorders>
              <w:left w:val="single" w:sz="4" w:space="0" w:color="auto"/>
              <w:right w:val="single" w:sz="4" w:space="0" w:color="auto"/>
            </w:tcBorders>
            <w:noWrap/>
            <w:vAlign w:val="bottom"/>
          </w:tcPr>
          <w:p w14:paraId="517D61EB" w14:textId="77777777" w:rsidR="0036162E" w:rsidRPr="0036162E" w:rsidRDefault="0036162E" w:rsidP="0036162E">
            <w:pPr>
              <w:snapToGrid w:val="0"/>
              <w:rPr>
                <w:rFonts w:eastAsia="新細明體" w:cs="Segoe UI"/>
                <w:color w:val="000000"/>
                <w:sz w:val="17"/>
                <w:szCs w:val="17"/>
                <w:lang w:eastAsia="en-GB"/>
              </w:rPr>
            </w:pPr>
          </w:p>
        </w:tc>
        <w:tc>
          <w:tcPr>
            <w:tcW w:w="646" w:type="dxa"/>
            <w:tcBorders>
              <w:left w:val="single" w:sz="4" w:space="0" w:color="auto"/>
              <w:right w:val="single" w:sz="4" w:space="0" w:color="auto"/>
            </w:tcBorders>
            <w:noWrap/>
            <w:vAlign w:val="bottom"/>
          </w:tcPr>
          <w:p w14:paraId="52224691"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tcPr>
          <w:p w14:paraId="07FA0C7C"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tcPr>
          <w:p w14:paraId="1EBDA26D"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tcPr>
          <w:p w14:paraId="6C0CFDF8"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tcPr>
          <w:p w14:paraId="49781325" w14:textId="77777777" w:rsidR="0036162E" w:rsidRPr="0036162E" w:rsidRDefault="0036162E" w:rsidP="0036162E">
            <w:pPr>
              <w:snapToGrid w:val="0"/>
              <w:rPr>
                <w:rFonts w:eastAsia="新細明體" w:cs="Segoe UI"/>
                <w:color w:val="000000"/>
                <w:sz w:val="17"/>
                <w:szCs w:val="17"/>
                <w:lang w:eastAsia="en-GB"/>
              </w:rPr>
            </w:pPr>
          </w:p>
        </w:tc>
        <w:tc>
          <w:tcPr>
            <w:tcW w:w="637" w:type="dxa"/>
            <w:tcBorders>
              <w:left w:val="single" w:sz="4" w:space="0" w:color="auto"/>
              <w:right w:val="single" w:sz="4" w:space="0" w:color="auto"/>
            </w:tcBorders>
            <w:noWrap/>
            <w:vAlign w:val="bottom"/>
          </w:tcPr>
          <w:p w14:paraId="1E835C9E"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3084DBA3"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73EAC591"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10AA4536"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6F2DF411"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50F92D01"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024070E2"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7D3748B1" w14:textId="77777777" w:rsidR="0036162E" w:rsidRPr="0036162E" w:rsidRDefault="0036162E" w:rsidP="0036162E">
            <w:pPr>
              <w:snapToGrid w:val="0"/>
              <w:rPr>
                <w:rFonts w:eastAsia="新細明體" w:cs="Segoe UI"/>
                <w:color w:val="000000"/>
                <w:sz w:val="17"/>
                <w:szCs w:val="17"/>
                <w:lang w:eastAsia="en-GB"/>
              </w:rPr>
            </w:pPr>
          </w:p>
        </w:tc>
      </w:tr>
      <w:tr w:rsidR="0036162E" w:rsidRPr="0036162E" w14:paraId="56BB5D61" w14:textId="77777777" w:rsidTr="00C6132F">
        <w:trPr>
          <w:trHeight w:val="20"/>
        </w:trPr>
        <w:tc>
          <w:tcPr>
            <w:tcW w:w="416" w:type="dxa"/>
            <w:tcBorders>
              <w:left w:val="nil"/>
              <w:right w:val="single" w:sz="4" w:space="0" w:color="BFBFBF"/>
            </w:tcBorders>
          </w:tcPr>
          <w:p w14:paraId="2F2EB0B2" w14:textId="77777777" w:rsidR="0036162E" w:rsidRPr="0036162E" w:rsidDel="00481F51"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7</w:t>
            </w:r>
          </w:p>
        </w:tc>
        <w:tc>
          <w:tcPr>
            <w:tcW w:w="2607" w:type="dxa"/>
            <w:tcBorders>
              <w:left w:val="single" w:sz="4" w:space="0" w:color="BFBFBF"/>
              <w:right w:val="single" w:sz="4" w:space="0" w:color="auto"/>
            </w:tcBorders>
            <w:noWrap/>
            <w:vAlign w:val="bottom"/>
          </w:tcPr>
          <w:p w14:paraId="2D3D5F0D" w14:textId="77777777" w:rsidR="0036162E" w:rsidRPr="0036162E" w:rsidRDefault="0036162E" w:rsidP="0036162E">
            <w:pPr>
              <w:snapToGrid w:val="0"/>
              <w:ind w:left="609"/>
              <w:rPr>
                <w:rFonts w:eastAsia="新細明體" w:cs="Segoe UI"/>
                <w:color w:val="000000"/>
                <w:sz w:val="17"/>
                <w:szCs w:val="17"/>
                <w:lang w:eastAsia="en-GB"/>
              </w:rPr>
            </w:pPr>
            <w:r w:rsidRPr="0036162E">
              <w:rPr>
                <w:rFonts w:eastAsia="新細明體" w:cs="Segoe UI"/>
                <w:color w:val="000000"/>
                <w:sz w:val="17"/>
                <w:szCs w:val="17"/>
                <w:lang w:eastAsia="en-GB"/>
              </w:rPr>
              <w:t>Of which simple, transparent and comparable</w:t>
            </w:r>
          </w:p>
        </w:tc>
        <w:tc>
          <w:tcPr>
            <w:tcW w:w="10982" w:type="dxa"/>
            <w:gridSpan w:val="17"/>
            <w:tcBorders>
              <w:left w:val="single" w:sz="4" w:space="0" w:color="auto"/>
              <w:right w:val="single" w:sz="4" w:space="0" w:color="auto"/>
            </w:tcBorders>
            <w:shd w:val="clear" w:color="auto" w:fill="BFBFBF"/>
            <w:noWrap/>
            <w:vAlign w:val="bottom"/>
          </w:tcPr>
          <w:p w14:paraId="26744D04"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N/A</w:t>
            </w:r>
          </w:p>
        </w:tc>
      </w:tr>
      <w:tr w:rsidR="0036162E" w:rsidRPr="0036162E" w14:paraId="15F1F240" w14:textId="77777777" w:rsidTr="00F40CCC">
        <w:trPr>
          <w:trHeight w:val="20"/>
        </w:trPr>
        <w:tc>
          <w:tcPr>
            <w:tcW w:w="416" w:type="dxa"/>
            <w:tcBorders>
              <w:left w:val="nil"/>
              <w:right w:val="single" w:sz="4" w:space="0" w:color="BFBFBF"/>
            </w:tcBorders>
          </w:tcPr>
          <w:p w14:paraId="6CFA44A7" w14:textId="59F61F93"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8</w:t>
            </w:r>
          </w:p>
        </w:tc>
        <w:tc>
          <w:tcPr>
            <w:tcW w:w="2607" w:type="dxa"/>
            <w:tcBorders>
              <w:left w:val="single" w:sz="4" w:space="0" w:color="BFBFBF"/>
              <w:right w:val="single" w:sz="4" w:space="0" w:color="auto"/>
            </w:tcBorders>
            <w:noWrap/>
            <w:vAlign w:val="bottom"/>
          </w:tcPr>
          <w:p w14:paraId="5828A284" w14:textId="77777777" w:rsidR="0036162E" w:rsidRPr="0036162E" w:rsidRDefault="0036162E" w:rsidP="0036162E">
            <w:pPr>
              <w:snapToGrid w:val="0"/>
              <w:ind w:left="113"/>
              <w:rPr>
                <w:rFonts w:eastAsia="新細明體" w:cs="Segoe UI"/>
                <w:color w:val="000000"/>
                <w:sz w:val="17"/>
                <w:szCs w:val="17"/>
                <w:lang w:eastAsia="en-GB"/>
              </w:rPr>
            </w:pPr>
            <w:r w:rsidRPr="0036162E">
              <w:rPr>
                <w:rFonts w:eastAsia="新細明體" w:cs="Segoe UI"/>
                <w:color w:val="000000"/>
                <w:sz w:val="17"/>
                <w:szCs w:val="17"/>
                <w:lang w:eastAsia="en-GB"/>
              </w:rPr>
              <w:t>Of which re-securitization</w:t>
            </w:r>
          </w:p>
        </w:tc>
        <w:tc>
          <w:tcPr>
            <w:tcW w:w="642" w:type="dxa"/>
            <w:tcBorders>
              <w:left w:val="single" w:sz="4" w:space="0" w:color="auto"/>
              <w:right w:val="single" w:sz="4" w:space="0" w:color="auto"/>
            </w:tcBorders>
            <w:noWrap/>
            <w:vAlign w:val="bottom"/>
          </w:tcPr>
          <w:p w14:paraId="29EF98DE" w14:textId="77777777" w:rsidR="0036162E" w:rsidRPr="0036162E" w:rsidRDefault="0036162E" w:rsidP="0036162E">
            <w:pPr>
              <w:snapToGrid w:val="0"/>
              <w:rPr>
                <w:rFonts w:eastAsia="新細明體" w:cs="Segoe UI"/>
                <w:color w:val="000000"/>
                <w:sz w:val="17"/>
                <w:szCs w:val="17"/>
                <w:lang w:eastAsia="en-GB"/>
              </w:rPr>
            </w:pPr>
          </w:p>
        </w:tc>
        <w:tc>
          <w:tcPr>
            <w:tcW w:w="643" w:type="dxa"/>
            <w:tcBorders>
              <w:left w:val="single" w:sz="4" w:space="0" w:color="auto"/>
              <w:right w:val="single" w:sz="4" w:space="0" w:color="auto"/>
            </w:tcBorders>
            <w:noWrap/>
            <w:vAlign w:val="bottom"/>
          </w:tcPr>
          <w:p w14:paraId="67C83A3D" w14:textId="77777777" w:rsidR="0036162E" w:rsidRPr="0036162E" w:rsidRDefault="0036162E" w:rsidP="0036162E">
            <w:pPr>
              <w:snapToGrid w:val="0"/>
              <w:rPr>
                <w:rFonts w:eastAsia="新細明體" w:cs="Segoe UI"/>
                <w:color w:val="000000"/>
                <w:sz w:val="17"/>
                <w:szCs w:val="17"/>
                <w:lang w:eastAsia="en-GB"/>
              </w:rPr>
            </w:pPr>
          </w:p>
        </w:tc>
        <w:tc>
          <w:tcPr>
            <w:tcW w:w="643" w:type="dxa"/>
            <w:tcBorders>
              <w:left w:val="single" w:sz="4" w:space="0" w:color="auto"/>
              <w:right w:val="single" w:sz="4" w:space="0" w:color="auto"/>
            </w:tcBorders>
            <w:noWrap/>
            <w:vAlign w:val="bottom"/>
          </w:tcPr>
          <w:p w14:paraId="076F1BD7" w14:textId="77777777" w:rsidR="0036162E" w:rsidRPr="0036162E" w:rsidRDefault="0036162E" w:rsidP="0036162E">
            <w:pPr>
              <w:snapToGrid w:val="0"/>
              <w:rPr>
                <w:rFonts w:eastAsia="新細明體" w:cs="Segoe UI"/>
                <w:color w:val="000000"/>
                <w:sz w:val="17"/>
                <w:szCs w:val="17"/>
                <w:lang w:eastAsia="en-GB"/>
              </w:rPr>
            </w:pPr>
          </w:p>
        </w:tc>
        <w:tc>
          <w:tcPr>
            <w:tcW w:w="753" w:type="dxa"/>
            <w:tcBorders>
              <w:left w:val="single" w:sz="4" w:space="0" w:color="auto"/>
              <w:right w:val="single" w:sz="4" w:space="0" w:color="auto"/>
            </w:tcBorders>
            <w:noWrap/>
            <w:vAlign w:val="bottom"/>
          </w:tcPr>
          <w:p w14:paraId="4C8BCD3D" w14:textId="77777777" w:rsidR="0036162E" w:rsidRPr="0036162E" w:rsidRDefault="0036162E" w:rsidP="0036162E">
            <w:pPr>
              <w:snapToGrid w:val="0"/>
              <w:rPr>
                <w:rFonts w:eastAsia="新細明體" w:cs="Segoe UI"/>
                <w:color w:val="000000"/>
                <w:sz w:val="17"/>
                <w:szCs w:val="17"/>
                <w:lang w:eastAsia="en-GB"/>
              </w:rPr>
            </w:pPr>
          </w:p>
        </w:tc>
        <w:tc>
          <w:tcPr>
            <w:tcW w:w="646" w:type="dxa"/>
            <w:tcBorders>
              <w:left w:val="single" w:sz="4" w:space="0" w:color="auto"/>
              <w:right w:val="single" w:sz="4" w:space="0" w:color="auto"/>
            </w:tcBorders>
            <w:noWrap/>
            <w:vAlign w:val="bottom"/>
          </w:tcPr>
          <w:p w14:paraId="2A4D779A"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tcPr>
          <w:p w14:paraId="78F20BA2"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tcPr>
          <w:p w14:paraId="78B54AFF"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tcPr>
          <w:p w14:paraId="5E0B104C"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tcPr>
          <w:p w14:paraId="697D1098" w14:textId="77777777" w:rsidR="0036162E" w:rsidRPr="0036162E" w:rsidRDefault="0036162E" w:rsidP="0036162E">
            <w:pPr>
              <w:snapToGrid w:val="0"/>
              <w:rPr>
                <w:rFonts w:eastAsia="新細明體" w:cs="Segoe UI"/>
                <w:color w:val="000000"/>
                <w:sz w:val="17"/>
                <w:szCs w:val="17"/>
                <w:lang w:eastAsia="en-GB"/>
              </w:rPr>
            </w:pPr>
          </w:p>
        </w:tc>
        <w:tc>
          <w:tcPr>
            <w:tcW w:w="637" w:type="dxa"/>
            <w:tcBorders>
              <w:left w:val="single" w:sz="4" w:space="0" w:color="auto"/>
              <w:right w:val="single" w:sz="4" w:space="0" w:color="auto"/>
            </w:tcBorders>
            <w:noWrap/>
            <w:vAlign w:val="bottom"/>
          </w:tcPr>
          <w:p w14:paraId="7DF28104"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5B4C6293"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1C6E7F71"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561BC3F4"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0239406F"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69699F2A"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140BFAFC" w14:textId="77777777" w:rsidR="0036162E" w:rsidRPr="0036162E" w:rsidRDefault="0036162E" w:rsidP="0036162E">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2AA84F2B" w14:textId="77777777" w:rsidR="0036162E" w:rsidRPr="0036162E" w:rsidRDefault="0036162E" w:rsidP="0036162E">
            <w:pPr>
              <w:snapToGrid w:val="0"/>
              <w:rPr>
                <w:rFonts w:eastAsia="新細明體" w:cs="Segoe UI"/>
                <w:color w:val="000000"/>
                <w:sz w:val="17"/>
                <w:szCs w:val="17"/>
                <w:lang w:eastAsia="en-GB"/>
              </w:rPr>
            </w:pPr>
          </w:p>
        </w:tc>
      </w:tr>
      <w:tr w:rsidR="0036162E" w:rsidRPr="0036162E" w14:paraId="02BE3A6E" w14:textId="77777777" w:rsidTr="00F40CCC">
        <w:trPr>
          <w:trHeight w:val="20"/>
        </w:trPr>
        <w:tc>
          <w:tcPr>
            <w:tcW w:w="416" w:type="dxa"/>
            <w:tcBorders>
              <w:top w:val="single" w:sz="4" w:space="0" w:color="BFBFBF"/>
              <w:left w:val="nil"/>
              <w:bottom w:val="single" w:sz="4" w:space="0" w:color="BFBFBF"/>
              <w:right w:val="single" w:sz="4" w:space="0" w:color="BFBFBF"/>
            </w:tcBorders>
          </w:tcPr>
          <w:p w14:paraId="792C073F"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9</w:t>
            </w:r>
          </w:p>
        </w:tc>
        <w:tc>
          <w:tcPr>
            <w:tcW w:w="2607" w:type="dxa"/>
            <w:tcBorders>
              <w:top w:val="single" w:sz="4" w:space="0" w:color="BFBFBF"/>
              <w:left w:val="single" w:sz="4" w:space="0" w:color="BFBFBF"/>
              <w:bottom w:val="single" w:sz="4" w:space="0" w:color="BFBFBF"/>
              <w:right w:val="single" w:sz="4" w:space="0" w:color="auto"/>
            </w:tcBorders>
            <w:noWrap/>
            <w:vAlign w:val="bottom"/>
          </w:tcPr>
          <w:p w14:paraId="291EE623" w14:textId="77777777" w:rsidR="0036162E" w:rsidRPr="0036162E" w:rsidRDefault="0036162E" w:rsidP="0036162E">
            <w:pPr>
              <w:snapToGrid w:val="0"/>
              <w:rPr>
                <w:rFonts w:eastAsia="新細明體" w:cs="Segoe UI"/>
                <w:color w:val="000000"/>
                <w:sz w:val="17"/>
                <w:szCs w:val="17"/>
                <w:lang w:eastAsia="ja-JP"/>
              </w:rPr>
            </w:pPr>
            <w:r w:rsidRPr="0036162E">
              <w:rPr>
                <w:rFonts w:eastAsia="新細明體" w:cs="Segoe UI"/>
                <w:color w:val="000000"/>
                <w:sz w:val="17"/>
                <w:szCs w:val="17"/>
                <w:lang w:eastAsia="en-GB"/>
              </w:rPr>
              <w:t xml:space="preserve">Synthetic securitization </w:t>
            </w:r>
          </w:p>
        </w:tc>
        <w:tc>
          <w:tcPr>
            <w:tcW w:w="642" w:type="dxa"/>
            <w:tcBorders>
              <w:top w:val="single" w:sz="4" w:space="0" w:color="BFBFBF"/>
              <w:left w:val="single" w:sz="4" w:space="0" w:color="auto"/>
              <w:bottom w:val="single" w:sz="4" w:space="0" w:color="BFBFBF"/>
              <w:right w:val="single" w:sz="4" w:space="0" w:color="auto"/>
            </w:tcBorders>
            <w:noWrap/>
            <w:vAlign w:val="bottom"/>
          </w:tcPr>
          <w:p w14:paraId="216F9612" w14:textId="77777777" w:rsidR="0036162E" w:rsidRPr="0036162E" w:rsidRDefault="0036162E" w:rsidP="0036162E">
            <w:pPr>
              <w:snapToGrid w:val="0"/>
              <w:rPr>
                <w:rFonts w:eastAsia="新細明體" w:cs="Segoe UI"/>
                <w:color w:val="000000"/>
                <w:sz w:val="17"/>
                <w:szCs w:val="17"/>
                <w:lang w:eastAsia="en-GB"/>
              </w:rPr>
            </w:pPr>
          </w:p>
        </w:tc>
        <w:tc>
          <w:tcPr>
            <w:tcW w:w="643" w:type="dxa"/>
            <w:tcBorders>
              <w:top w:val="single" w:sz="4" w:space="0" w:color="BFBFBF"/>
              <w:left w:val="single" w:sz="4" w:space="0" w:color="auto"/>
              <w:bottom w:val="single" w:sz="4" w:space="0" w:color="BFBFBF"/>
              <w:right w:val="single" w:sz="4" w:space="0" w:color="auto"/>
            </w:tcBorders>
            <w:noWrap/>
            <w:vAlign w:val="bottom"/>
          </w:tcPr>
          <w:p w14:paraId="50DD03B5" w14:textId="77777777" w:rsidR="0036162E" w:rsidRPr="0036162E" w:rsidRDefault="0036162E" w:rsidP="0036162E">
            <w:pPr>
              <w:snapToGrid w:val="0"/>
              <w:rPr>
                <w:rFonts w:eastAsia="新細明體" w:cs="Segoe UI"/>
                <w:color w:val="000000"/>
                <w:sz w:val="17"/>
                <w:szCs w:val="17"/>
                <w:lang w:eastAsia="en-GB"/>
              </w:rPr>
            </w:pPr>
          </w:p>
        </w:tc>
        <w:tc>
          <w:tcPr>
            <w:tcW w:w="643" w:type="dxa"/>
            <w:tcBorders>
              <w:top w:val="single" w:sz="4" w:space="0" w:color="BFBFBF"/>
              <w:left w:val="single" w:sz="4" w:space="0" w:color="auto"/>
              <w:bottom w:val="single" w:sz="4" w:space="0" w:color="BFBFBF"/>
              <w:right w:val="single" w:sz="4" w:space="0" w:color="auto"/>
            </w:tcBorders>
            <w:noWrap/>
            <w:vAlign w:val="bottom"/>
          </w:tcPr>
          <w:p w14:paraId="49E4286B" w14:textId="77777777" w:rsidR="0036162E" w:rsidRPr="0036162E" w:rsidRDefault="0036162E" w:rsidP="0036162E">
            <w:pPr>
              <w:snapToGrid w:val="0"/>
              <w:rPr>
                <w:rFonts w:eastAsia="新細明體" w:cs="Segoe UI"/>
                <w:color w:val="000000"/>
                <w:sz w:val="17"/>
                <w:szCs w:val="17"/>
                <w:lang w:eastAsia="en-GB"/>
              </w:rPr>
            </w:pPr>
          </w:p>
        </w:tc>
        <w:tc>
          <w:tcPr>
            <w:tcW w:w="753" w:type="dxa"/>
            <w:tcBorders>
              <w:top w:val="single" w:sz="4" w:space="0" w:color="BFBFBF"/>
              <w:left w:val="single" w:sz="4" w:space="0" w:color="auto"/>
              <w:bottom w:val="single" w:sz="4" w:space="0" w:color="BFBFBF"/>
              <w:right w:val="single" w:sz="4" w:space="0" w:color="auto"/>
            </w:tcBorders>
            <w:noWrap/>
            <w:vAlign w:val="bottom"/>
          </w:tcPr>
          <w:p w14:paraId="50EF7FC4" w14:textId="77777777" w:rsidR="0036162E" w:rsidRPr="0036162E" w:rsidRDefault="0036162E" w:rsidP="0036162E">
            <w:pPr>
              <w:snapToGrid w:val="0"/>
              <w:rPr>
                <w:rFonts w:eastAsia="新細明體" w:cs="Segoe UI"/>
                <w:color w:val="000000"/>
                <w:sz w:val="17"/>
                <w:szCs w:val="17"/>
                <w:lang w:eastAsia="en-GB"/>
              </w:rPr>
            </w:pPr>
          </w:p>
        </w:tc>
        <w:tc>
          <w:tcPr>
            <w:tcW w:w="646" w:type="dxa"/>
            <w:tcBorders>
              <w:top w:val="single" w:sz="4" w:space="0" w:color="BFBFBF"/>
              <w:left w:val="single" w:sz="4" w:space="0" w:color="auto"/>
              <w:bottom w:val="single" w:sz="4" w:space="0" w:color="BFBFBF"/>
              <w:right w:val="single" w:sz="4" w:space="0" w:color="auto"/>
            </w:tcBorders>
            <w:noWrap/>
            <w:vAlign w:val="bottom"/>
          </w:tcPr>
          <w:p w14:paraId="0F055574"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5AABEF0C"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10FE8A23"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10060DFA"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5352D835" w14:textId="77777777" w:rsidR="0036162E" w:rsidRPr="0036162E" w:rsidRDefault="0036162E" w:rsidP="0036162E">
            <w:pPr>
              <w:snapToGrid w:val="0"/>
              <w:rPr>
                <w:rFonts w:eastAsia="新細明體" w:cs="Segoe UI"/>
                <w:color w:val="000000"/>
                <w:sz w:val="17"/>
                <w:szCs w:val="17"/>
                <w:lang w:eastAsia="en-GB"/>
              </w:rPr>
            </w:pPr>
          </w:p>
        </w:tc>
        <w:tc>
          <w:tcPr>
            <w:tcW w:w="637" w:type="dxa"/>
            <w:tcBorders>
              <w:top w:val="single" w:sz="4" w:space="0" w:color="BFBFBF"/>
              <w:left w:val="single" w:sz="4" w:space="0" w:color="auto"/>
              <w:bottom w:val="single" w:sz="4" w:space="0" w:color="BFBFBF"/>
              <w:right w:val="single" w:sz="4" w:space="0" w:color="auto"/>
            </w:tcBorders>
            <w:noWrap/>
            <w:vAlign w:val="bottom"/>
          </w:tcPr>
          <w:p w14:paraId="2C3D3F6C"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44B6E7BA"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37E4AE13"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5AF6F122"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4E8D8436"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2615E3CF"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30D14E06"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68AAFD24" w14:textId="77777777" w:rsidR="0036162E" w:rsidRPr="0036162E" w:rsidRDefault="0036162E" w:rsidP="0036162E">
            <w:pPr>
              <w:snapToGrid w:val="0"/>
              <w:rPr>
                <w:rFonts w:eastAsia="新細明體" w:cs="Segoe UI"/>
                <w:color w:val="000000"/>
                <w:sz w:val="17"/>
                <w:szCs w:val="17"/>
                <w:lang w:eastAsia="en-GB"/>
              </w:rPr>
            </w:pPr>
          </w:p>
        </w:tc>
      </w:tr>
      <w:tr w:rsidR="0036162E" w:rsidRPr="0036162E" w14:paraId="61C2CF61" w14:textId="77777777" w:rsidTr="00F40CCC">
        <w:trPr>
          <w:trHeight w:val="20"/>
        </w:trPr>
        <w:tc>
          <w:tcPr>
            <w:tcW w:w="416" w:type="dxa"/>
            <w:tcBorders>
              <w:top w:val="single" w:sz="4" w:space="0" w:color="BFBFBF"/>
              <w:left w:val="nil"/>
              <w:bottom w:val="single" w:sz="4" w:space="0" w:color="BFBFBF"/>
              <w:right w:val="single" w:sz="4" w:space="0" w:color="BFBFBF"/>
            </w:tcBorders>
          </w:tcPr>
          <w:p w14:paraId="56D43419"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10</w:t>
            </w:r>
          </w:p>
        </w:tc>
        <w:tc>
          <w:tcPr>
            <w:tcW w:w="2607" w:type="dxa"/>
            <w:tcBorders>
              <w:top w:val="single" w:sz="4" w:space="0" w:color="BFBFBF"/>
              <w:left w:val="single" w:sz="4" w:space="0" w:color="BFBFBF"/>
              <w:bottom w:val="single" w:sz="4" w:space="0" w:color="BFBFBF"/>
              <w:right w:val="single" w:sz="4" w:space="0" w:color="auto"/>
            </w:tcBorders>
            <w:noWrap/>
            <w:vAlign w:val="bottom"/>
          </w:tcPr>
          <w:p w14:paraId="25DF8E62" w14:textId="77777777" w:rsidR="0036162E" w:rsidRPr="0036162E" w:rsidRDefault="0036162E" w:rsidP="0036162E">
            <w:pPr>
              <w:snapToGrid w:val="0"/>
              <w:ind w:left="113"/>
              <w:rPr>
                <w:rFonts w:eastAsia="新細明體" w:cs="Segoe UI"/>
                <w:color w:val="000000"/>
                <w:sz w:val="17"/>
                <w:szCs w:val="17"/>
                <w:lang w:eastAsia="en-GB"/>
              </w:rPr>
            </w:pPr>
            <w:r w:rsidRPr="0036162E">
              <w:rPr>
                <w:rFonts w:eastAsia="新細明體" w:cs="Segoe UI"/>
                <w:color w:val="000000"/>
                <w:sz w:val="17"/>
                <w:szCs w:val="17"/>
                <w:lang w:eastAsia="en-GB"/>
              </w:rPr>
              <w:t>Of which securitization</w:t>
            </w:r>
          </w:p>
        </w:tc>
        <w:tc>
          <w:tcPr>
            <w:tcW w:w="642" w:type="dxa"/>
            <w:tcBorders>
              <w:top w:val="single" w:sz="4" w:space="0" w:color="BFBFBF"/>
              <w:left w:val="single" w:sz="4" w:space="0" w:color="auto"/>
              <w:bottom w:val="single" w:sz="4" w:space="0" w:color="BFBFBF"/>
              <w:right w:val="single" w:sz="4" w:space="0" w:color="auto"/>
            </w:tcBorders>
            <w:noWrap/>
            <w:vAlign w:val="bottom"/>
          </w:tcPr>
          <w:p w14:paraId="0C661448" w14:textId="77777777" w:rsidR="0036162E" w:rsidRPr="0036162E" w:rsidRDefault="0036162E" w:rsidP="0036162E">
            <w:pPr>
              <w:snapToGrid w:val="0"/>
              <w:rPr>
                <w:rFonts w:eastAsia="新細明體" w:cs="Segoe UI"/>
                <w:color w:val="000000"/>
                <w:sz w:val="17"/>
                <w:szCs w:val="17"/>
                <w:lang w:eastAsia="en-GB"/>
              </w:rPr>
            </w:pPr>
          </w:p>
        </w:tc>
        <w:tc>
          <w:tcPr>
            <w:tcW w:w="643" w:type="dxa"/>
            <w:tcBorders>
              <w:top w:val="single" w:sz="4" w:space="0" w:color="BFBFBF"/>
              <w:left w:val="single" w:sz="4" w:space="0" w:color="auto"/>
              <w:bottom w:val="single" w:sz="4" w:space="0" w:color="BFBFBF"/>
              <w:right w:val="single" w:sz="4" w:space="0" w:color="auto"/>
            </w:tcBorders>
            <w:noWrap/>
            <w:vAlign w:val="bottom"/>
          </w:tcPr>
          <w:p w14:paraId="4324B6FE" w14:textId="77777777" w:rsidR="0036162E" w:rsidRPr="0036162E" w:rsidRDefault="0036162E" w:rsidP="0036162E">
            <w:pPr>
              <w:snapToGrid w:val="0"/>
              <w:rPr>
                <w:rFonts w:eastAsia="新細明體" w:cs="Segoe UI"/>
                <w:color w:val="000000"/>
                <w:sz w:val="17"/>
                <w:szCs w:val="17"/>
                <w:lang w:eastAsia="en-GB"/>
              </w:rPr>
            </w:pPr>
          </w:p>
        </w:tc>
        <w:tc>
          <w:tcPr>
            <w:tcW w:w="643" w:type="dxa"/>
            <w:tcBorders>
              <w:top w:val="single" w:sz="4" w:space="0" w:color="BFBFBF"/>
              <w:left w:val="single" w:sz="4" w:space="0" w:color="auto"/>
              <w:bottom w:val="single" w:sz="4" w:space="0" w:color="BFBFBF"/>
              <w:right w:val="single" w:sz="4" w:space="0" w:color="auto"/>
            </w:tcBorders>
            <w:noWrap/>
            <w:vAlign w:val="bottom"/>
          </w:tcPr>
          <w:p w14:paraId="728D07E3" w14:textId="77777777" w:rsidR="0036162E" w:rsidRPr="0036162E" w:rsidRDefault="0036162E" w:rsidP="0036162E">
            <w:pPr>
              <w:snapToGrid w:val="0"/>
              <w:rPr>
                <w:rFonts w:eastAsia="新細明體" w:cs="Segoe UI"/>
                <w:color w:val="000000"/>
                <w:sz w:val="17"/>
                <w:szCs w:val="17"/>
                <w:lang w:eastAsia="en-GB"/>
              </w:rPr>
            </w:pPr>
          </w:p>
        </w:tc>
        <w:tc>
          <w:tcPr>
            <w:tcW w:w="753" w:type="dxa"/>
            <w:tcBorders>
              <w:top w:val="single" w:sz="4" w:space="0" w:color="BFBFBF"/>
              <w:left w:val="single" w:sz="4" w:space="0" w:color="auto"/>
              <w:bottom w:val="single" w:sz="4" w:space="0" w:color="BFBFBF"/>
              <w:right w:val="single" w:sz="4" w:space="0" w:color="auto"/>
            </w:tcBorders>
            <w:noWrap/>
            <w:vAlign w:val="bottom"/>
          </w:tcPr>
          <w:p w14:paraId="27747299" w14:textId="77777777" w:rsidR="0036162E" w:rsidRPr="0036162E" w:rsidRDefault="0036162E" w:rsidP="0036162E">
            <w:pPr>
              <w:snapToGrid w:val="0"/>
              <w:rPr>
                <w:rFonts w:eastAsia="新細明體" w:cs="Segoe UI"/>
                <w:color w:val="000000"/>
                <w:sz w:val="17"/>
                <w:szCs w:val="17"/>
                <w:lang w:eastAsia="en-GB"/>
              </w:rPr>
            </w:pPr>
          </w:p>
        </w:tc>
        <w:tc>
          <w:tcPr>
            <w:tcW w:w="646" w:type="dxa"/>
            <w:tcBorders>
              <w:top w:val="single" w:sz="4" w:space="0" w:color="BFBFBF"/>
              <w:left w:val="single" w:sz="4" w:space="0" w:color="auto"/>
              <w:bottom w:val="single" w:sz="4" w:space="0" w:color="BFBFBF"/>
              <w:right w:val="single" w:sz="4" w:space="0" w:color="auto"/>
            </w:tcBorders>
            <w:noWrap/>
            <w:vAlign w:val="bottom"/>
          </w:tcPr>
          <w:p w14:paraId="395D170C"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4349FB6E"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083F7D29"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06B14B57"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5AA3F9FB" w14:textId="77777777" w:rsidR="0036162E" w:rsidRPr="0036162E" w:rsidRDefault="0036162E" w:rsidP="0036162E">
            <w:pPr>
              <w:snapToGrid w:val="0"/>
              <w:rPr>
                <w:rFonts w:eastAsia="新細明體" w:cs="Segoe UI"/>
                <w:color w:val="000000"/>
                <w:sz w:val="17"/>
                <w:szCs w:val="17"/>
                <w:lang w:eastAsia="en-GB"/>
              </w:rPr>
            </w:pPr>
          </w:p>
        </w:tc>
        <w:tc>
          <w:tcPr>
            <w:tcW w:w="637" w:type="dxa"/>
            <w:tcBorders>
              <w:top w:val="single" w:sz="4" w:space="0" w:color="BFBFBF"/>
              <w:left w:val="single" w:sz="4" w:space="0" w:color="auto"/>
              <w:bottom w:val="single" w:sz="4" w:space="0" w:color="BFBFBF"/>
              <w:right w:val="single" w:sz="4" w:space="0" w:color="auto"/>
            </w:tcBorders>
            <w:noWrap/>
            <w:vAlign w:val="bottom"/>
          </w:tcPr>
          <w:p w14:paraId="5FBA06EC"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7EA8656C"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1D47CA56"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662A0082"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74626F10"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7F4BB1F8"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15F76C5C"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5004C33D" w14:textId="77777777" w:rsidR="0036162E" w:rsidRPr="0036162E" w:rsidRDefault="0036162E" w:rsidP="0036162E">
            <w:pPr>
              <w:snapToGrid w:val="0"/>
              <w:rPr>
                <w:rFonts w:eastAsia="新細明體" w:cs="Segoe UI"/>
                <w:color w:val="000000"/>
                <w:sz w:val="17"/>
                <w:szCs w:val="17"/>
                <w:lang w:eastAsia="en-GB"/>
              </w:rPr>
            </w:pPr>
          </w:p>
        </w:tc>
      </w:tr>
      <w:tr w:rsidR="0036162E" w:rsidRPr="0036162E" w14:paraId="08C00402" w14:textId="77777777" w:rsidTr="00F40CCC">
        <w:trPr>
          <w:trHeight w:val="20"/>
        </w:trPr>
        <w:tc>
          <w:tcPr>
            <w:tcW w:w="416" w:type="dxa"/>
            <w:tcBorders>
              <w:top w:val="single" w:sz="4" w:space="0" w:color="BFBFBF"/>
              <w:left w:val="nil"/>
              <w:bottom w:val="single" w:sz="4" w:space="0" w:color="BFBFBF"/>
              <w:right w:val="single" w:sz="4" w:space="0" w:color="BFBFBF"/>
            </w:tcBorders>
          </w:tcPr>
          <w:p w14:paraId="099A9C60"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11</w:t>
            </w:r>
          </w:p>
        </w:tc>
        <w:tc>
          <w:tcPr>
            <w:tcW w:w="2607" w:type="dxa"/>
            <w:tcBorders>
              <w:top w:val="single" w:sz="4" w:space="0" w:color="BFBFBF"/>
              <w:left w:val="single" w:sz="4" w:space="0" w:color="BFBFBF"/>
              <w:bottom w:val="single" w:sz="4" w:space="0" w:color="BFBFBF"/>
              <w:right w:val="single" w:sz="4" w:space="0" w:color="auto"/>
            </w:tcBorders>
            <w:noWrap/>
            <w:vAlign w:val="bottom"/>
          </w:tcPr>
          <w:p w14:paraId="0B6DC414" w14:textId="77777777" w:rsidR="0036162E" w:rsidRPr="0036162E" w:rsidRDefault="0036162E" w:rsidP="0036162E">
            <w:pPr>
              <w:snapToGrid w:val="0"/>
              <w:ind w:left="397"/>
              <w:rPr>
                <w:rFonts w:eastAsia="新細明體" w:cs="Segoe UI"/>
                <w:color w:val="000000"/>
                <w:sz w:val="17"/>
                <w:szCs w:val="17"/>
                <w:lang w:eastAsia="en-GB"/>
              </w:rPr>
            </w:pPr>
            <w:r w:rsidRPr="0036162E">
              <w:rPr>
                <w:rFonts w:eastAsia="新細明體" w:cs="Segoe UI"/>
                <w:color w:val="000000"/>
                <w:sz w:val="17"/>
                <w:szCs w:val="17"/>
                <w:lang w:eastAsia="en-GB"/>
              </w:rPr>
              <w:t>Of which retail</w:t>
            </w:r>
          </w:p>
        </w:tc>
        <w:tc>
          <w:tcPr>
            <w:tcW w:w="642" w:type="dxa"/>
            <w:tcBorders>
              <w:top w:val="single" w:sz="4" w:space="0" w:color="BFBFBF"/>
              <w:left w:val="single" w:sz="4" w:space="0" w:color="auto"/>
              <w:bottom w:val="single" w:sz="4" w:space="0" w:color="BFBFBF"/>
              <w:right w:val="single" w:sz="4" w:space="0" w:color="auto"/>
            </w:tcBorders>
            <w:noWrap/>
            <w:vAlign w:val="bottom"/>
          </w:tcPr>
          <w:p w14:paraId="0D07E565" w14:textId="77777777" w:rsidR="0036162E" w:rsidRPr="0036162E" w:rsidRDefault="0036162E" w:rsidP="0036162E">
            <w:pPr>
              <w:snapToGrid w:val="0"/>
              <w:rPr>
                <w:rFonts w:eastAsia="新細明體" w:cs="Segoe UI"/>
                <w:color w:val="000000"/>
                <w:sz w:val="17"/>
                <w:szCs w:val="17"/>
                <w:lang w:eastAsia="en-GB"/>
              </w:rPr>
            </w:pPr>
          </w:p>
        </w:tc>
        <w:tc>
          <w:tcPr>
            <w:tcW w:w="643" w:type="dxa"/>
            <w:tcBorders>
              <w:top w:val="single" w:sz="4" w:space="0" w:color="BFBFBF"/>
              <w:left w:val="single" w:sz="4" w:space="0" w:color="auto"/>
              <w:bottom w:val="single" w:sz="4" w:space="0" w:color="BFBFBF"/>
              <w:right w:val="single" w:sz="4" w:space="0" w:color="auto"/>
            </w:tcBorders>
            <w:noWrap/>
            <w:vAlign w:val="bottom"/>
          </w:tcPr>
          <w:p w14:paraId="02F81B07" w14:textId="77777777" w:rsidR="0036162E" w:rsidRPr="0036162E" w:rsidRDefault="0036162E" w:rsidP="0036162E">
            <w:pPr>
              <w:snapToGrid w:val="0"/>
              <w:rPr>
                <w:rFonts w:eastAsia="新細明體" w:cs="Segoe UI"/>
                <w:color w:val="000000"/>
                <w:sz w:val="17"/>
                <w:szCs w:val="17"/>
                <w:lang w:eastAsia="en-GB"/>
              </w:rPr>
            </w:pPr>
          </w:p>
        </w:tc>
        <w:tc>
          <w:tcPr>
            <w:tcW w:w="643" w:type="dxa"/>
            <w:tcBorders>
              <w:top w:val="single" w:sz="4" w:space="0" w:color="BFBFBF"/>
              <w:left w:val="single" w:sz="4" w:space="0" w:color="auto"/>
              <w:bottom w:val="single" w:sz="4" w:space="0" w:color="BFBFBF"/>
              <w:right w:val="single" w:sz="4" w:space="0" w:color="auto"/>
            </w:tcBorders>
            <w:noWrap/>
            <w:vAlign w:val="bottom"/>
          </w:tcPr>
          <w:p w14:paraId="03318C07" w14:textId="77777777" w:rsidR="0036162E" w:rsidRPr="0036162E" w:rsidRDefault="0036162E" w:rsidP="0036162E">
            <w:pPr>
              <w:snapToGrid w:val="0"/>
              <w:rPr>
                <w:rFonts w:eastAsia="新細明體" w:cs="Segoe UI"/>
                <w:color w:val="000000"/>
                <w:sz w:val="17"/>
                <w:szCs w:val="17"/>
                <w:lang w:eastAsia="en-GB"/>
              </w:rPr>
            </w:pPr>
          </w:p>
        </w:tc>
        <w:tc>
          <w:tcPr>
            <w:tcW w:w="753" w:type="dxa"/>
            <w:tcBorders>
              <w:top w:val="single" w:sz="4" w:space="0" w:color="BFBFBF"/>
              <w:left w:val="single" w:sz="4" w:space="0" w:color="auto"/>
              <w:bottom w:val="single" w:sz="4" w:space="0" w:color="BFBFBF"/>
              <w:right w:val="single" w:sz="4" w:space="0" w:color="auto"/>
            </w:tcBorders>
            <w:noWrap/>
            <w:vAlign w:val="bottom"/>
          </w:tcPr>
          <w:p w14:paraId="1ED589AA" w14:textId="77777777" w:rsidR="0036162E" w:rsidRPr="0036162E" w:rsidRDefault="0036162E" w:rsidP="0036162E">
            <w:pPr>
              <w:snapToGrid w:val="0"/>
              <w:rPr>
                <w:rFonts w:eastAsia="新細明體" w:cs="Segoe UI"/>
                <w:color w:val="000000"/>
                <w:sz w:val="17"/>
                <w:szCs w:val="17"/>
                <w:lang w:eastAsia="en-GB"/>
              </w:rPr>
            </w:pPr>
          </w:p>
        </w:tc>
        <w:tc>
          <w:tcPr>
            <w:tcW w:w="646" w:type="dxa"/>
            <w:tcBorders>
              <w:top w:val="single" w:sz="4" w:space="0" w:color="BFBFBF"/>
              <w:left w:val="single" w:sz="4" w:space="0" w:color="auto"/>
              <w:bottom w:val="single" w:sz="4" w:space="0" w:color="BFBFBF"/>
              <w:right w:val="single" w:sz="4" w:space="0" w:color="auto"/>
            </w:tcBorders>
            <w:noWrap/>
            <w:vAlign w:val="bottom"/>
          </w:tcPr>
          <w:p w14:paraId="010F142D"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3A85B0E1"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35DF79DD"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5952D539"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59CABF8D" w14:textId="77777777" w:rsidR="0036162E" w:rsidRPr="0036162E" w:rsidRDefault="0036162E" w:rsidP="0036162E">
            <w:pPr>
              <w:snapToGrid w:val="0"/>
              <w:rPr>
                <w:rFonts w:eastAsia="新細明體" w:cs="Segoe UI"/>
                <w:color w:val="000000"/>
                <w:sz w:val="17"/>
                <w:szCs w:val="17"/>
                <w:lang w:eastAsia="en-GB"/>
              </w:rPr>
            </w:pPr>
          </w:p>
        </w:tc>
        <w:tc>
          <w:tcPr>
            <w:tcW w:w="637" w:type="dxa"/>
            <w:tcBorders>
              <w:top w:val="single" w:sz="4" w:space="0" w:color="BFBFBF"/>
              <w:left w:val="single" w:sz="4" w:space="0" w:color="auto"/>
              <w:bottom w:val="single" w:sz="4" w:space="0" w:color="BFBFBF"/>
              <w:right w:val="single" w:sz="4" w:space="0" w:color="auto"/>
            </w:tcBorders>
            <w:noWrap/>
            <w:vAlign w:val="bottom"/>
          </w:tcPr>
          <w:p w14:paraId="522367E0"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3354EC8B"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5C03671D"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09979C7B"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185ABF1A"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6C62068F"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07A28C0C"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01E351A6" w14:textId="77777777" w:rsidR="0036162E" w:rsidRPr="0036162E" w:rsidRDefault="0036162E" w:rsidP="0036162E">
            <w:pPr>
              <w:snapToGrid w:val="0"/>
              <w:rPr>
                <w:rFonts w:eastAsia="新細明體" w:cs="Segoe UI"/>
                <w:color w:val="000000"/>
                <w:sz w:val="17"/>
                <w:szCs w:val="17"/>
                <w:lang w:eastAsia="en-GB"/>
              </w:rPr>
            </w:pPr>
          </w:p>
        </w:tc>
      </w:tr>
      <w:tr w:rsidR="0036162E" w:rsidRPr="0036162E" w14:paraId="7021CAF7" w14:textId="77777777" w:rsidTr="00403D6C">
        <w:trPr>
          <w:trHeight w:val="20"/>
        </w:trPr>
        <w:tc>
          <w:tcPr>
            <w:tcW w:w="416" w:type="dxa"/>
            <w:tcBorders>
              <w:top w:val="single" w:sz="4" w:space="0" w:color="BFBFBF"/>
              <w:left w:val="nil"/>
              <w:bottom w:val="single" w:sz="4" w:space="0" w:color="BFBFBF"/>
              <w:right w:val="single" w:sz="4" w:space="0" w:color="BFBFBF"/>
            </w:tcBorders>
          </w:tcPr>
          <w:p w14:paraId="496664C5"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12</w:t>
            </w:r>
          </w:p>
        </w:tc>
        <w:tc>
          <w:tcPr>
            <w:tcW w:w="2607" w:type="dxa"/>
            <w:tcBorders>
              <w:top w:val="single" w:sz="4" w:space="0" w:color="BFBFBF"/>
              <w:left w:val="single" w:sz="4" w:space="0" w:color="BFBFBF"/>
              <w:bottom w:val="single" w:sz="4" w:space="0" w:color="BFBFBF"/>
              <w:right w:val="single" w:sz="4" w:space="0" w:color="auto"/>
            </w:tcBorders>
            <w:noWrap/>
            <w:vAlign w:val="bottom"/>
          </w:tcPr>
          <w:p w14:paraId="7834B232" w14:textId="77777777" w:rsidR="0036162E" w:rsidRPr="0036162E" w:rsidRDefault="0036162E" w:rsidP="0036162E">
            <w:pPr>
              <w:snapToGrid w:val="0"/>
              <w:ind w:left="397"/>
              <w:rPr>
                <w:rFonts w:eastAsia="新細明體" w:cs="Segoe UI"/>
                <w:color w:val="000000"/>
                <w:sz w:val="17"/>
                <w:szCs w:val="17"/>
                <w:lang w:eastAsia="en-GB"/>
              </w:rPr>
            </w:pPr>
            <w:r w:rsidRPr="0036162E">
              <w:rPr>
                <w:rFonts w:eastAsia="新細明體" w:cs="Segoe UI"/>
                <w:color w:val="000000"/>
                <w:sz w:val="17"/>
                <w:szCs w:val="17"/>
                <w:lang w:eastAsia="en-GB"/>
              </w:rPr>
              <w:t>Of which wholesale</w:t>
            </w:r>
          </w:p>
        </w:tc>
        <w:tc>
          <w:tcPr>
            <w:tcW w:w="642" w:type="dxa"/>
            <w:tcBorders>
              <w:top w:val="single" w:sz="4" w:space="0" w:color="BFBFBF"/>
              <w:left w:val="single" w:sz="4" w:space="0" w:color="auto"/>
              <w:bottom w:val="single" w:sz="4" w:space="0" w:color="BFBFBF"/>
              <w:right w:val="single" w:sz="4" w:space="0" w:color="auto"/>
            </w:tcBorders>
            <w:noWrap/>
            <w:vAlign w:val="bottom"/>
          </w:tcPr>
          <w:p w14:paraId="18A51483" w14:textId="77777777" w:rsidR="0036162E" w:rsidRPr="0036162E" w:rsidRDefault="0036162E" w:rsidP="0036162E">
            <w:pPr>
              <w:snapToGrid w:val="0"/>
              <w:rPr>
                <w:rFonts w:eastAsia="新細明體" w:cs="Segoe UI"/>
                <w:color w:val="000000"/>
                <w:sz w:val="17"/>
                <w:szCs w:val="17"/>
                <w:lang w:eastAsia="en-GB"/>
              </w:rPr>
            </w:pPr>
          </w:p>
        </w:tc>
        <w:tc>
          <w:tcPr>
            <w:tcW w:w="643" w:type="dxa"/>
            <w:tcBorders>
              <w:top w:val="single" w:sz="4" w:space="0" w:color="BFBFBF"/>
              <w:left w:val="single" w:sz="4" w:space="0" w:color="auto"/>
              <w:bottom w:val="single" w:sz="4" w:space="0" w:color="BFBFBF"/>
              <w:right w:val="single" w:sz="4" w:space="0" w:color="auto"/>
            </w:tcBorders>
            <w:noWrap/>
            <w:vAlign w:val="bottom"/>
          </w:tcPr>
          <w:p w14:paraId="1010B23F" w14:textId="77777777" w:rsidR="0036162E" w:rsidRPr="0036162E" w:rsidRDefault="0036162E" w:rsidP="0036162E">
            <w:pPr>
              <w:snapToGrid w:val="0"/>
              <w:rPr>
                <w:rFonts w:eastAsia="新細明體" w:cs="Segoe UI"/>
                <w:color w:val="000000"/>
                <w:sz w:val="17"/>
                <w:szCs w:val="17"/>
                <w:lang w:eastAsia="en-GB"/>
              </w:rPr>
            </w:pPr>
          </w:p>
        </w:tc>
        <w:tc>
          <w:tcPr>
            <w:tcW w:w="643" w:type="dxa"/>
            <w:tcBorders>
              <w:top w:val="single" w:sz="4" w:space="0" w:color="BFBFBF"/>
              <w:left w:val="single" w:sz="4" w:space="0" w:color="auto"/>
              <w:bottom w:val="single" w:sz="4" w:space="0" w:color="BFBFBF"/>
              <w:right w:val="single" w:sz="4" w:space="0" w:color="auto"/>
            </w:tcBorders>
            <w:noWrap/>
            <w:vAlign w:val="bottom"/>
          </w:tcPr>
          <w:p w14:paraId="6B92C764" w14:textId="77777777" w:rsidR="0036162E" w:rsidRPr="0036162E" w:rsidRDefault="0036162E" w:rsidP="0036162E">
            <w:pPr>
              <w:snapToGrid w:val="0"/>
              <w:rPr>
                <w:rFonts w:eastAsia="新細明體" w:cs="Segoe UI"/>
                <w:color w:val="000000"/>
                <w:sz w:val="17"/>
                <w:szCs w:val="17"/>
                <w:lang w:eastAsia="en-GB"/>
              </w:rPr>
            </w:pPr>
          </w:p>
        </w:tc>
        <w:tc>
          <w:tcPr>
            <w:tcW w:w="753" w:type="dxa"/>
            <w:tcBorders>
              <w:top w:val="single" w:sz="4" w:space="0" w:color="BFBFBF"/>
              <w:left w:val="single" w:sz="4" w:space="0" w:color="auto"/>
              <w:bottom w:val="single" w:sz="4" w:space="0" w:color="BFBFBF"/>
              <w:right w:val="single" w:sz="4" w:space="0" w:color="auto"/>
            </w:tcBorders>
            <w:noWrap/>
            <w:vAlign w:val="bottom"/>
          </w:tcPr>
          <w:p w14:paraId="78F8437B" w14:textId="77777777" w:rsidR="0036162E" w:rsidRPr="0036162E" w:rsidRDefault="0036162E" w:rsidP="0036162E">
            <w:pPr>
              <w:snapToGrid w:val="0"/>
              <w:rPr>
                <w:rFonts w:eastAsia="新細明體" w:cs="Segoe UI"/>
                <w:color w:val="000000"/>
                <w:sz w:val="17"/>
                <w:szCs w:val="17"/>
                <w:lang w:eastAsia="en-GB"/>
              </w:rPr>
            </w:pPr>
          </w:p>
        </w:tc>
        <w:tc>
          <w:tcPr>
            <w:tcW w:w="646" w:type="dxa"/>
            <w:tcBorders>
              <w:top w:val="single" w:sz="4" w:space="0" w:color="BFBFBF"/>
              <w:left w:val="single" w:sz="4" w:space="0" w:color="auto"/>
              <w:bottom w:val="single" w:sz="4" w:space="0" w:color="BFBFBF"/>
              <w:right w:val="single" w:sz="4" w:space="0" w:color="auto"/>
            </w:tcBorders>
            <w:noWrap/>
            <w:vAlign w:val="bottom"/>
          </w:tcPr>
          <w:p w14:paraId="6741C522"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6134A881"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3C314012"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4873B8E6"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1A89188A" w14:textId="77777777" w:rsidR="0036162E" w:rsidRPr="0036162E" w:rsidRDefault="0036162E" w:rsidP="0036162E">
            <w:pPr>
              <w:snapToGrid w:val="0"/>
              <w:rPr>
                <w:rFonts w:eastAsia="新細明體" w:cs="Segoe UI"/>
                <w:color w:val="000000"/>
                <w:sz w:val="17"/>
                <w:szCs w:val="17"/>
                <w:lang w:eastAsia="en-GB"/>
              </w:rPr>
            </w:pPr>
          </w:p>
        </w:tc>
        <w:tc>
          <w:tcPr>
            <w:tcW w:w="637" w:type="dxa"/>
            <w:tcBorders>
              <w:top w:val="single" w:sz="4" w:space="0" w:color="BFBFBF"/>
              <w:left w:val="single" w:sz="4" w:space="0" w:color="auto"/>
              <w:bottom w:val="single" w:sz="4" w:space="0" w:color="BFBFBF"/>
              <w:right w:val="single" w:sz="4" w:space="0" w:color="auto"/>
            </w:tcBorders>
            <w:noWrap/>
            <w:vAlign w:val="bottom"/>
          </w:tcPr>
          <w:p w14:paraId="187F1677"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5E8D8CC6"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775E74F3"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7DB97321"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4E82A5B5"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051C002D"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1E3F75A6"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039116BC" w14:textId="77777777" w:rsidR="0036162E" w:rsidRPr="0036162E" w:rsidRDefault="0036162E" w:rsidP="0036162E">
            <w:pPr>
              <w:snapToGrid w:val="0"/>
              <w:rPr>
                <w:rFonts w:eastAsia="新細明體" w:cs="Segoe UI"/>
                <w:color w:val="000000"/>
                <w:sz w:val="17"/>
                <w:szCs w:val="17"/>
                <w:lang w:eastAsia="en-GB"/>
              </w:rPr>
            </w:pPr>
          </w:p>
        </w:tc>
      </w:tr>
      <w:tr w:rsidR="0036162E" w:rsidRPr="0036162E" w14:paraId="0A2AD352" w14:textId="77777777" w:rsidTr="00403D6C">
        <w:trPr>
          <w:trHeight w:val="20"/>
        </w:trPr>
        <w:tc>
          <w:tcPr>
            <w:tcW w:w="416" w:type="dxa"/>
            <w:tcBorders>
              <w:top w:val="single" w:sz="4" w:space="0" w:color="BFBFBF"/>
              <w:left w:val="nil"/>
              <w:bottom w:val="single" w:sz="4" w:space="0" w:color="auto"/>
              <w:right w:val="single" w:sz="4" w:space="0" w:color="BFBFBF"/>
            </w:tcBorders>
          </w:tcPr>
          <w:p w14:paraId="5B744710" w14:textId="77777777" w:rsidR="0036162E" w:rsidRPr="0036162E" w:rsidRDefault="0036162E" w:rsidP="0036162E">
            <w:pPr>
              <w:snapToGrid w:val="0"/>
              <w:jc w:val="center"/>
              <w:rPr>
                <w:rFonts w:eastAsia="新細明體" w:cs="Segoe UI"/>
                <w:color w:val="000000"/>
                <w:sz w:val="17"/>
                <w:szCs w:val="17"/>
                <w:lang w:eastAsia="en-GB"/>
              </w:rPr>
            </w:pPr>
            <w:r w:rsidRPr="0036162E">
              <w:rPr>
                <w:rFonts w:eastAsia="新細明體" w:cs="Segoe UI"/>
                <w:color w:val="000000"/>
                <w:sz w:val="17"/>
                <w:szCs w:val="17"/>
                <w:lang w:eastAsia="en-GB"/>
              </w:rPr>
              <w:t>13</w:t>
            </w:r>
          </w:p>
        </w:tc>
        <w:tc>
          <w:tcPr>
            <w:tcW w:w="2607" w:type="dxa"/>
            <w:tcBorders>
              <w:top w:val="single" w:sz="4" w:space="0" w:color="BFBFBF"/>
              <w:left w:val="single" w:sz="4" w:space="0" w:color="BFBFBF"/>
              <w:bottom w:val="single" w:sz="4" w:space="0" w:color="auto"/>
              <w:right w:val="single" w:sz="4" w:space="0" w:color="auto"/>
            </w:tcBorders>
            <w:noWrap/>
            <w:vAlign w:val="bottom"/>
          </w:tcPr>
          <w:p w14:paraId="16D708DB" w14:textId="77777777" w:rsidR="0036162E" w:rsidRPr="0036162E" w:rsidRDefault="0036162E" w:rsidP="0036162E">
            <w:pPr>
              <w:snapToGrid w:val="0"/>
              <w:ind w:left="113"/>
              <w:rPr>
                <w:rFonts w:eastAsia="新細明體" w:cs="Segoe UI"/>
                <w:color w:val="000000"/>
                <w:sz w:val="17"/>
                <w:szCs w:val="17"/>
                <w:lang w:eastAsia="en-GB"/>
              </w:rPr>
            </w:pPr>
            <w:r w:rsidRPr="0036162E">
              <w:rPr>
                <w:rFonts w:eastAsia="新細明體" w:cs="Segoe UI"/>
                <w:color w:val="000000"/>
                <w:sz w:val="17"/>
                <w:szCs w:val="17"/>
                <w:lang w:eastAsia="en-GB"/>
              </w:rPr>
              <w:t>Of which re-securitization</w:t>
            </w:r>
          </w:p>
        </w:tc>
        <w:tc>
          <w:tcPr>
            <w:tcW w:w="642" w:type="dxa"/>
            <w:tcBorders>
              <w:top w:val="single" w:sz="4" w:space="0" w:color="BFBFBF"/>
              <w:left w:val="single" w:sz="4" w:space="0" w:color="auto"/>
              <w:bottom w:val="single" w:sz="4" w:space="0" w:color="auto"/>
              <w:right w:val="single" w:sz="4" w:space="0" w:color="auto"/>
            </w:tcBorders>
            <w:noWrap/>
            <w:vAlign w:val="bottom"/>
          </w:tcPr>
          <w:p w14:paraId="527B7D71" w14:textId="77777777" w:rsidR="0036162E" w:rsidRPr="0036162E" w:rsidRDefault="0036162E" w:rsidP="0036162E">
            <w:pPr>
              <w:snapToGrid w:val="0"/>
              <w:rPr>
                <w:rFonts w:eastAsia="新細明體" w:cs="Segoe UI"/>
                <w:color w:val="000000"/>
                <w:sz w:val="17"/>
                <w:szCs w:val="17"/>
                <w:lang w:eastAsia="en-GB"/>
              </w:rPr>
            </w:pPr>
          </w:p>
        </w:tc>
        <w:tc>
          <w:tcPr>
            <w:tcW w:w="643" w:type="dxa"/>
            <w:tcBorders>
              <w:top w:val="single" w:sz="4" w:space="0" w:color="BFBFBF"/>
              <w:left w:val="single" w:sz="4" w:space="0" w:color="auto"/>
              <w:bottom w:val="single" w:sz="4" w:space="0" w:color="auto"/>
              <w:right w:val="single" w:sz="4" w:space="0" w:color="auto"/>
            </w:tcBorders>
            <w:noWrap/>
            <w:vAlign w:val="bottom"/>
          </w:tcPr>
          <w:p w14:paraId="6688479E" w14:textId="77777777" w:rsidR="0036162E" w:rsidRPr="0036162E" w:rsidRDefault="0036162E" w:rsidP="0036162E">
            <w:pPr>
              <w:snapToGrid w:val="0"/>
              <w:rPr>
                <w:rFonts w:eastAsia="新細明體" w:cs="Segoe UI"/>
                <w:color w:val="000000"/>
                <w:sz w:val="17"/>
                <w:szCs w:val="17"/>
                <w:lang w:eastAsia="en-GB"/>
              </w:rPr>
            </w:pPr>
          </w:p>
        </w:tc>
        <w:tc>
          <w:tcPr>
            <w:tcW w:w="643" w:type="dxa"/>
            <w:tcBorders>
              <w:top w:val="single" w:sz="4" w:space="0" w:color="BFBFBF"/>
              <w:left w:val="single" w:sz="4" w:space="0" w:color="auto"/>
              <w:bottom w:val="single" w:sz="4" w:space="0" w:color="auto"/>
              <w:right w:val="single" w:sz="4" w:space="0" w:color="auto"/>
            </w:tcBorders>
            <w:noWrap/>
            <w:vAlign w:val="bottom"/>
          </w:tcPr>
          <w:p w14:paraId="15306400" w14:textId="77777777" w:rsidR="0036162E" w:rsidRPr="0036162E" w:rsidRDefault="0036162E" w:rsidP="0036162E">
            <w:pPr>
              <w:snapToGrid w:val="0"/>
              <w:rPr>
                <w:rFonts w:eastAsia="新細明體" w:cs="Segoe UI"/>
                <w:color w:val="000000"/>
                <w:sz w:val="17"/>
                <w:szCs w:val="17"/>
                <w:lang w:eastAsia="en-GB"/>
              </w:rPr>
            </w:pPr>
          </w:p>
        </w:tc>
        <w:tc>
          <w:tcPr>
            <w:tcW w:w="753" w:type="dxa"/>
            <w:tcBorders>
              <w:top w:val="single" w:sz="4" w:space="0" w:color="BFBFBF"/>
              <w:left w:val="single" w:sz="4" w:space="0" w:color="auto"/>
              <w:bottom w:val="single" w:sz="4" w:space="0" w:color="auto"/>
              <w:right w:val="single" w:sz="4" w:space="0" w:color="auto"/>
            </w:tcBorders>
            <w:noWrap/>
            <w:vAlign w:val="bottom"/>
          </w:tcPr>
          <w:p w14:paraId="7C79012E" w14:textId="77777777" w:rsidR="0036162E" w:rsidRPr="0036162E" w:rsidRDefault="0036162E" w:rsidP="0036162E">
            <w:pPr>
              <w:snapToGrid w:val="0"/>
              <w:rPr>
                <w:rFonts w:eastAsia="新細明體" w:cs="Segoe UI"/>
                <w:color w:val="000000"/>
                <w:sz w:val="17"/>
                <w:szCs w:val="17"/>
                <w:lang w:eastAsia="en-GB"/>
              </w:rPr>
            </w:pPr>
          </w:p>
        </w:tc>
        <w:tc>
          <w:tcPr>
            <w:tcW w:w="646" w:type="dxa"/>
            <w:tcBorders>
              <w:top w:val="single" w:sz="4" w:space="0" w:color="BFBFBF"/>
              <w:left w:val="single" w:sz="4" w:space="0" w:color="auto"/>
              <w:bottom w:val="single" w:sz="4" w:space="0" w:color="auto"/>
              <w:right w:val="single" w:sz="4" w:space="0" w:color="auto"/>
            </w:tcBorders>
            <w:noWrap/>
            <w:vAlign w:val="bottom"/>
          </w:tcPr>
          <w:p w14:paraId="492F2FDB"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noWrap/>
            <w:vAlign w:val="bottom"/>
          </w:tcPr>
          <w:p w14:paraId="324BBF00"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vAlign w:val="bottom"/>
          </w:tcPr>
          <w:p w14:paraId="1EEB1FB2"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vAlign w:val="bottom"/>
          </w:tcPr>
          <w:p w14:paraId="3D2BA816"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vAlign w:val="bottom"/>
          </w:tcPr>
          <w:p w14:paraId="4EDC2537" w14:textId="77777777" w:rsidR="0036162E" w:rsidRPr="0036162E" w:rsidRDefault="0036162E" w:rsidP="0036162E">
            <w:pPr>
              <w:snapToGrid w:val="0"/>
              <w:rPr>
                <w:rFonts w:eastAsia="新細明體" w:cs="Segoe UI"/>
                <w:color w:val="000000"/>
                <w:sz w:val="17"/>
                <w:szCs w:val="17"/>
                <w:lang w:eastAsia="en-GB"/>
              </w:rPr>
            </w:pPr>
          </w:p>
        </w:tc>
        <w:tc>
          <w:tcPr>
            <w:tcW w:w="637" w:type="dxa"/>
            <w:tcBorders>
              <w:top w:val="single" w:sz="4" w:space="0" w:color="BFBFBF"/>
              <w:left w:val="single" w:sz="4" w:space="0" w:color="auto"/>
              <w:bottom w:val="single" w:sz="4" w:space="0" w:color="auto"/>
              <w:right w:val="single" w:sz="4" w:space="0" w:color="auto"/>
            </w:tcBorders>
            <w:vAlign w:val="bottom"/>
          </w:tcPr>
          <w:p w14:paraId="6E8C84EC"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vAlign w:val="bottom"/>
          </w:tcPr>
          <w:p w14:paraId="1FD438B0"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vAlign w:val="bottom"/>
          </w:tcPr>
          <w:p w14:paraId="2B8F8198"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vAlign w:val="bottom"/>
          </w:tcPr>
          <w:p w14:paraId="3B6B6CE6"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vAlign w:val="bottom"/>
          </w:tcPr>
          <w:p w14:paraId="233D94BD"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tcPr>
          <w:p w14:paraId="0C7FE0B1"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tcPr>
          <w:p w14:paraId="20DBAB76" w14:textId="77777777" w:rsidR="0036162E" w:rsidRPr="0036162E" w:rsidRDefault="0036162E" w:rsidP="0036162E">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tcPr>
          <w:p w14:paraId="264D9A72" w14:textId="77777777" w:rsidR="0036162E" w:rsidRPr="0036162E" w:rsidRDefault="0036162E" w:rsidP="0036162E">
            <w:pPr>
              <w:snapToGrid w:val="0"/>
              <w:rPr>
                <w:rFonts w:eastAsia="新細明體" w:cs="Segoe UI"/>
                <w:color w:val="000000"/>
                <w:sz w:val="17"/>
                <w:szCs w:val="17"/>
                <w:lang w:eastAsia="en-GB"/>
              </w:rPr>
            </w:pPr>
          </w:p>
        </w:tc>
      </w:tr>
    </w:tbl>
    <w:p w14:paraId="292ABF10" w14:textId="0A723208" w:rsidR="00F40CCC" w:rsidRDefault="00F40CCC" w:rsidP="00F40CCC">
      <w:pPr>
        <w:keepLines/>
        <w:tabs>
          <w:tab w:val="left" w:pos="397"/>
          <w:tab w:val="left" w:pos="794"/>
          <w:tab w:val="left" w:pos="1191"/>
        </w:tabs>
        <w:snapToGrid w:val="0"/>
        <w:spacing w:before="20" w:after="20"/>
        <w:rPr>
          <w:rFonts w:cs="Segoe UI"/>
          <w:i/>
          <w:sz w:val="16"/>
          <w:szCs w:val="16"/>
          <w:lang w:eastAsia="en-GB"/>
        </w:rPr>
      </w:pPr>
      <w:r>
        <w:rPr>
          <w:rFonts w:cs="Segoe UI"/>
          <w:i/>
          <w:sz w:val="16"/>
          <w:szCs w:val="16"/>
          <w:lang w:eastAsia="en-GB"/>
        </w:rPr>
        <w:t xml:space="preserve"> </w:t>
      </w:r>
      <w:r w:rsidRPr="00131E32">
        <w:rPr>
          <w:rFonts w:cs="Segoe UI"/>
          <w:i/>
          <w:sz w:val="16"/>
          <w:szCs w:val="16"/>
          <w:lang w:eastAsia="en-GB"/>
        </w:rPr>
        <w:t>N/A: Not applicable in the case of Hong Kong</w:t>
      </w:r>
    </w:p>
    <w:p w14:paraId="20C06F59" w14:textId="77777777" w:rsidR="00AB074C" w:rsidRDefault="00AB074C" w:rsidP="00AB074C">
      <w:pPr>
        <w:spacing w:before="40" w:after="40"/>
        <w:rPr>
          <w:sz w:val="22"/>
        </w:rPr>
      </w:pP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2758"/>
      </w:tblGrid>
      <w:tr w:rsidR="00AB074C" w14:paraId="6CAAAFBA" w14:textId="77777777" w:rsidTr="00AB074C">
        <w:trPr>
          <w:tblHeader/>
        </w:trPr>
        <w:tc>
          <w:tcPr>
            <w:tcW w:w="13892" w:type="dxa"/>
            <w:gridSpan w:val="2"/>
            <w:shd w:val="clear" w:color="auto" w:fill="BFBFBF"/>
          </w:tcPr>
          <w:p w14:paraId="117C67E6" w14:textId="77777777" w:rsidR="00AB074C" w:rsidRDefault="00AB074C" w:rsidP="00AB074C">
            <w:pPr>
              <w:pStyle w:val="TableNote"/>
              <w:keepNext/>
              <w:spacing w:before="40" w:after="40"/>
              <w:rPr>
                <w:rFonts w:eastAsia="新細明體"/>
                <w:b/>
                <w:sz w:val="17"/>
                <w:lang w:eastAsia="en-GB"/>
              </w:rPr>
            </w:pPr>
            <w:r>
              <w:rPr>
                <w:rFonts w:eastAsia="新細明體"/>
                <w:b/>
                <w:sz w:val="17"/>
                <w:lang w:eastAsia="en-GB"/>
              </w:rPr>
              <w:t>Explanatory Note</w:t>
            </w:r>
          </w:p>
        </w:tc>
      </w:tr>
      <w:tr w:rsidR="00AB074C" w14:paraId="70D821BA" w14:textId="77777777" w:rsidTr="00AB074C">
        <w:tc>
          <w:tcPr>
            <w:tcW w:w="13892" w:type="dxa"/>
            <w:gridSpan w:val="2"/>
            <w:shd w:val="clear" w:color="auto" w:fill="F2F2F2"/>
          </w:tcPr>
          <w:p w14:paraId="6B247638" w14:textId="77777777" w:rsidR="00AB074C" w:rsidRDefault="00AB074C" w:rsidP="00AB074C">
            <w:pPr>
              <w:pStyle w:val="TableNote"/>
              <w:keepNext/>
              <w:spacing w:before="40" w:after="40"/>
              <w:rPr>
                <w:i/>
                <w:sz w:val="17"/>
                <w:szCs w:val="17"/>
              </w:rPr>
            </w:pPr>
            <w:r>
              <w:rPr>
                <w:rFonts w:eastAsia="新細明體"/>
                <w:b/>
                <w:sz w:val="17"/>
                <w:lang w:eastAsia="en-GB"/>
              </w:rPr>
              <w:t>Columns</w:t>
            </w:r>
          </w:p>
        </w:tc>
      </w:tr>
      <w:tr w:rsidR="00AB074C" w14:paraId="317FF949" w14:textId="77777777" w:rsidTr="00AB074C">
        <w:tc>
          <w:tcPr>
            <w:tcW w:w="1134" w:type="dxa"/>
          </w:tcPr>
          <w:p w14:paraId="2E92BF41" w14:textId="77777777" w:rsidR="00AB074C" w:rsidRDefault="00AB074C" w:rsidP="00AB074C">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(a) to (e)</w:t>
            </w:r>
          </w:p>
        </w:tc>
        <w:tc>
          <w:tcPr>
            <w:tcW w:w="12758" w:type="dxa"/>
          </w:tcPr>
          <w:p w14:paraId="4EBFDCA1" w14:textId="77777777" w:rsidR="00AB074C" w:rsidRDefault="00AB074C" w:rsidP="00AB074C">
            <w:pPr>
              <w:keepLines/>
              <w:widowControl w:val="0"/>
              <w:tabs>
                <w:tab w:val="left" w:pos="150"/>
                <w:tab w:val="left" w:pos="397"/>
                <w:tab w:val="left" w:pos="794"/>
                <w:tab w:val="left" w:pos="1191"/>
              </w:tabs>
              <w:spacing w:before="20" w:after="20"/>
              <w:jc w:val="both"/>
              <w:rPr>
                <w:i/>
                <w:sz w:val="17"/>
                <w:szCs w:val="17"/>
              </w:rPr>
            </w:pPr>
            <w:r>
              <w:rPr>
                <w:rFonts w:eastAsia="新細明體" w:cs="Segoe UI"/>
                <w:i/>
                <w:color w:val="000000"/>
                <w:sz w:val="17"/>
                <w:szCs w:val="17"/>
                <w:lang w:eastAsia="en-GB"/>
              </w:rPr>
              <w:t>Exposure values (by RW bands)</w:t>
            </w:r>
            <w:r>
              <w:rPr>
                <w:rFonts w:eastAsia="新細明體" w:cs="Segoe UI"/>
                <w:color w:val="000000"/>
                <w:sz w:val="17"/>
                <w:szCs w:val="17"/>
                <w:lang w:eastAsia="en-GB"/>
              </w:rPr>
              <w:t>: the exposure values subject to the securitization framework, allocated in accordance with the applicable risk-weights of the exposures.</w:t>
            </w:r>
          </w:p>
        </w:tc>
      </w:tr>
      <w:tr w:rsidR="00AB074C" w14:paraId="43459E8A" w14:textId="77777777" w:rsidTr="00AB074C">
        <w:tc>
          <w:tcPr>
            <w:tcW w:w="1134" w:type="dxa"/>
          </w:tcPr>
          <w:p w14:paraId="158B3579" w14:textId="77777777" w:rsidR="00AB074C" w:rsidRDefault="00AB074C" w:rsidP="00AB074C">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(f) to (i)</w:t>
            </w:r>
          </w:p>
        </w:tc>
        <w:tc>
          <w:tcPr>
            <w:tcW w:w="12758" w:type="dxa"/>
          </w:tcPr>
          <w:p w14:paraId="188F0F2B" w14:textId="77777777" w:rsidR="00AB074C" w:rsidRDefault="00AB074C" w:rsidP="00AB074C">
            <w:pPr>
              <w:keepLines/>
              <w:widowControl w:val="0"/>
              <w:tabs>
                <w:tab w:val="left" w:pos="150"/>
                <w:tab w:val="left" w:pos="397"/>
                <w:tab w:val="left" w:pos="794"/>
                <w:tab w:val="left" w:pos="1191"/>
              </w:tabs>
              <w:spacing w:before="20" w:after="20"/>
              <w:jc w:val="both"/>
              <w:rPr>
                <w:rFonts w:eastAsia="新細明體" w:cs="Segoe UI"/>
                <w:bCs/>
                <w:sz w:val="17"/>
                <w:szCs w:val="17"/>
                <w:lang w:eastAsia="ja-JP"/>
              </w:rPr>
            </w:pPr>
            <w:r>
              <w:rPr>
                <w:rFonts w:eastAsia="新細明體" w:cs="Segoe UI"/>
                <w:i/>
                <w:sz w:val="17"/>
                <w:szCs w:val="17"/>
                <w:lang w:eastAsia="en-GB"/>
              </w:rPr>
              <w:t xml:space="preserve">Exposure values (by </w:t>
            </w:r>
            <w:r>
              <w:rPr>
                <w:rFonts w:eastAsia="新細明體" w:cs="Segoe UI"/>
                <w:i/>
                <w:color w:val="000000"/>
                <w:sz w:val="17"/>
                <w:szCs w:val="17"/>
                <w:lang w:eastAsia="en-GB"/>
              </w:rPr>
              <w:t>regulatory</w:t>
            </w:r>
            <w:r>
              <w:rPr>
                <w:rFonts w:eastAsia="新細明體" w:cs="Segoe UI"/>
                <w:i/>
                <w:sz w:val="17"/>
                <w:szCs w:val="17"/>
                <w:lang w:eastAsia="en-GB"/>
              </w:rPr>
              <w:t xml:space="preserve"> approach)</w:t>
            </w:r>
            <w:r>
              <w:rPr>
                <w:rFonts w:eastAsia="新細明體" w:cs="Segoe UI"/>
                <w:sz w:val="17"/>
                <w:szCs w:val="17"/>
                <w:lang w:eastAsia="en-GB"/>
              </w:rPr>
              <w:t xml:space="preserve">: </w:t>
            </w:r>
            <w:r>
              <w:rPr>
                <w:rFonts w:eastAsia="新細明體" w:cs="Segoe UI"/>
                <w:color w:val="000000"/>
                <w:sz w:val="17"/>
                <w:szCs w:val="17"/>
                <w:lang w:eastAsia="en-GB"/>
              </w:rPr>
              <w:t xml:space="preserve">the exposure values subject to the securitization framework, allocated in accordance with the applicable regulatory approaches, namely the SEC-IRBA, SEC-ERBA </w:t>
            </w:r>
            <w:r>
              <w:rPr>
                <w:rFonts w:cs="Segoe UI"/>
                <w:sz w:val="17"/>
                <w:szCs w:val="17"/>
                <w:lang w:eastAsia="en-GB"/>
              </w:rPr>
              <w:t>(including those exposures that the AI uses IAA to determine the risk-weights)</w:t>
            </w:r>
            <w:r>
              <w:rPr>
                <w:rFonts w:eastAsia="新細明體" w:cs="Segoe UI"/>
                <w:color w:val="000000"/>
                <w:sz w:val="17"/>
                <w:szCs w:val="17"/>
                <w:lang w:eastAsia="en-GB"/>
              </w:rPr>
              <w:t xml:space="preserve">, SEC-SA and </w:t>
            </w:r>
            <w:r>
              <w:rPr>
                <w:rFonts w:eastAsia="新細明體" w:cs="Segoe UI"/>
                <w:color w:val="000000"/>
                <w:sz w:val="17"/>
                <w:szCs w:val="17"/>
                <w:lang w:eastAsia="zh-TW"/>
              </w:rPr>
              <w:t>SEC-FBA.</w:t>
            </w:r>
            <w:r>
              <w:rPr>
                <w:rFonts w:eastAsia="新細明體" w:cs="Segoe UI"/>
                <w:color w:val="000000"/>
                <w:sz w:val="17"/>
                <w:szCs w:val="17"/>
                <w:lang w:eastAsia="en-GB"/>
              </w:rPr>
              <w:t xml:space="preserve">  </w:t>
            </w:r>
          </w:p>
        </w:tc>
      </w:tr>
      <w:tr w:rsidR="00AB074C" w14:paraId="299AAD87" w14:textId="77777777" w:rsidTr="00AB074C">
        <w:tc>
          <w:tcPr>
            <w:tcW w:w="1134" w:type="dxa"/>
          </w:tcPr>
          <w:p w14:paraId="60DFFDA1" w14:textId="77777777" w:rsidR="00AB074C" w:rsidRDefault="00AB074C" w:rsidP="00AB074C">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(j) to (m)</w:t>
            </w:r>
          </w:p>
        </w:tc>
        <w:tc>
          <w:tcPr>
            <w:tcW w:w="12758" w:type="dxa"/>
          </w:tcPr>
          <w:p w14:paraId="0C12001A" w14:textId="77777777" w:rsidR="00AB074C" w:rsidRDefault="00AB074C" w:rsidP="00AB074C">
            <w:pPr>
              <w:keepLines/>
              <w:widowControl w:val="0"/>
              <w:tabs>
                <w:tab w:val="left" w:pos="150"/>
                <w:tab w:val="left" w:pos="397"/>
                <w:tab w:val="left" w:pos="794"/>
                <w:tab w:val="left" w:pos="1191"/>
              </w:tabs>
              <w:spacing w:before="20" w:after="20"/>
              <w:jc w:val="both"/>
              <w:rPr>
                <w:rFonts w:eastAsia="新細明體" w:cs="Segoe UI"/>
                <w:bCs/>
                <w:sz w:val="17"/>
                <w:szCs w:val="17"/>
                <w:lang w:eastAsia="ja-JP"/>
              </w:rPr>
            </w:pPr>
            <w:r>
              <w:rPr>
                <w:rFonts w:eastAsia="新細明體" w:cs="Segoe UI"/>
                <w:i/>
                <w:sz w:val="17"/>
                <w:szCs w:val="17"/>
                <w:lang w:eastAsia="en-GB"/>
              </w:rPr>
              <w:t xml:space="preserve">RWAs (by </w:t>
            </w:r>
            <w:r>
              <w:rPr>
                <w:rFonts w:eastAsia="新細明體" w:cs="Segoe UI"/>
                <w:i/>
                <w:color w:val="000000"/>
                <w:sz w:val="17"/>
                <w:szCs w:val="17"/>
                <w:lang w:eastAsia="en-GB"/>
              </w:rPr>
              <w:t>regulatory</w:t>
            </w:r>
            <w:r>
              <w:rPr>
                <w:rFonts w:eastAsia="新細明體" w:cs="Segoe UI"/>
                <w:i/>
                <w:sz w:val="17"/>
                <w:szCs w:val="17"/>
                <w:lang w:eastAsia="en-GB"/>
              </w:rPr>
              <w:t xml:space="preserve"> approach)</w:t>
            </w:r>
            <w:r>
              <w:rPr>
                <w:rFonts w:eastAsia="新細明體" w:cs="Segoe UI"/>
                <w:sz w:val="17"/>
                <w:szCs w:val="17"/>
                <w:lang w:eastAsia="en-GB"/>
              </w:rPr>
              <w:t xml:space="preserve">: </w:t>
            </w:r>
            <w:r>
              <w:rPr>
                <w:rFonts w:eastAsia="新細明體" w:cs="Segoe UI"/>
                <w:color w:val="000000"/>
                <w:sz w:val="17"/>
                <w:szCs w:val="17"/>
                <w:lang w:eastAsia="en-GB"/>
              </w:rPr>
              <w:t>the RWAs (to be calculated before application of the regulatory maximum or cap as explain below) subject to the securitization framework, allocated in accordance with the allocation method of exposure values as in columns (f) to (i).</w:t>
            </w:r>
          </w:p>
        </w:tc>
      </w:tr>
      <w:tr w:rsidR="00AB074C" w14:paraId="1328BFF9" w14:textId="77777777" w:rsidTr="00AB074C">
        <w:tc>
          <w:tcPr>
            <w:tcW w:w="1134" w:type="dxa"/>
          </w:tcPr>
          <w:p w14:paraId="2DFFE3D8" w14:textId="77777777" w:rsidR="00AB074C" w:rsidRDefault="00AB074C" w:rsidP="00AB074C">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lastRenderedPageBreak/>
              <w:t>(n) to (q)</w:t>
            </w:r>
          </w:p>
        </w:tc>
        <w:tc>
          <w:tcPr>
            <w:tcW w:w="12758" w:type="dxa"/>
          </w:tcPr>
          <w:p w14:paraId="4CD49A1A" w14:textId="77777777" w:rsidR="00AB074C" w:rsidRDefault="00AB074C" w:rsidP="00AB074C">
            <w:pPr>
              <w:keepLines/>
              <w:widowControl w:val="0"/>
              <w:tabs>
                <w:tab w:val="left" w:pos="150"/>
                <w:tab w:val="left" w:pos="397"/>
                <w:tab w:val="left" w:pos="794"/>
                <w:tab w:val="left" w:pos="1191"/>
              </w:tabs>
              <w:spacing w:before="20" w:after="20"/>
              <w:jc w:val="both"/>
              <w:rPr>
                <w:rFonts w:eastAsia="新細明體" w:cs="Segoe UI"/>
                <w:bCs/>
                <w:sz w:val="17"/>
                <w:szCs w:val="17"/>
                <w:lang w:eastAsia="ja-JP"/>
              </w:rPr>
            </w:pPr>
            <w:r>
              <w:rPr>
                <w:rFonts w:eastAsia="新細明體" w:cs="Segoe UI"/>
                <w:sz w:val="17"/>
                <w:szCs w:val="17"/>
                <w:lang w:eastAsia="en-GB"/>
              </w:rPr>
              <w:t xml:space="preserve">Capital charges after cap: </w:t>
            </w:r>
            <w:r>
              <w:rPr>
                <w:rFonts w:eastAsia="新細明體" w:cs="Segoe UI"/>
                <w:color w:val="000000"/>
                <w:sz w:val="17"/>
                <w:szCs w:val="17"/>
                <w:lang w:eastAsia="en-GB"/>
              </w:rPr>
              <w:t>the capital charges (after application of the regulatory maximum or cap pursuant to Part 7 of the BCR, as the case may require) as determined according to the securitization framework, allocated in accordance with the allocation method of RWAs as in columns (j) to (m).</w:t>
            </w:r>
            <w:r>
              <w:rPr>
                <w:rStyle w:val="FootnoteReference"/>
                <w:rFonts w:eastAsia="新細明體"/>
                <w:color w:val="000000"/>
                <w:sz w:val="17"/>
                <w:szCs w:val="17"/>
                <w:lang w:eastAsia="en-GB"/>
              </w:rPr>
              <w:footnoteReference w:id="16"/>
            </w:r>
          </w:p>
        </w:tc>
      </w:tr>
    </w:tbl>
    <w:p w14:paraId="1EC35683" w14:textId="77777777" w:rsidR="0036162E" w:rsidRPr="0036162E" w:rsidRDefault="0036162E" w:rsidP="0036162E"/>
    <w:p w14:paraId="162FB5D1" w14:textId="22A6B936" w:rsidR="006B3FEF" w:rsidRDefault="006B3FEF" w:rsidP="00E44A82">
      <w:pPr>
        <w:spacing w:before="40" w:after="40"/>
        <w:rPr>
          <w:sz w:val="22"/>
        </w:rPr>
      </w:pPr>
    </w:p>
    <w:p w14:paraId="711C0F3A" w14:textId="77777777" w:rsidR="006B3FEF" w:rsidRDefault="006B3FEF" w:rsidP="00E44A82">
      <w:pPr>
        <w:spacing w:before="40" w:after="40"/>
        <w:rPr>
          <w:sz w:val="22"/>
        </w:rPr>
        <w:sectPr w:rsidR="006B3FEF" w:rsidSect="00C6132F">
          <w:footerReference w:type="default" r:id="rId75"/>
          <w:pgSz w:w="16838" w:h="11906" w:orient="landscape" w:code="9"/>
          <w:pgMar w:top="1418" w:right="1440" w:bottom="1134" w:left="1440" w:header="851" w:footer="737" w:gutter="0"/>
          <w:cols w:space="425"/>
          <w:docGrid w:type="linesAndChars" w:linePitch="360"/>
        </w:sectPr>
      </w:pPr>
    </w:p>
    <w:p w14:paraId="4220B533" w14:textId="7E79CF94" w:rsidR="002B5B9D" w:rsidRDefault="00DE3652" w:rsidP="009F6639">
      <w:pPr>
        <w:pStyle w:val="Heading3"/>
        <w:ind w:firstLine="142"/>
      </w:pPr>
      <w:r>
        <w:lastRenderedPageBreak/>
        <w:t>Template SEC4: Securitization exposures in banking book and associated capital requirements – where AI acts as investor</w:t>
      </w:r>
    </w:p>
    <w:tbl>
      <w:tblPr>
        <w:tblW w:w="13892" w:type="dxa"/>
        <w:tblInd w:w="108"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552"/>
        <w:gridCol w:w="11340"/>
      </w:tblGrid>
      <w:tr w:rsidR="00AB074C" w14:paraId="36B2FB0F" w14:textId="77777777" w:rsidTr="00AB074C">
        <w:tc>
          <w:tcPr>
            <w:tcW w:w="2552" w:type="dxa"/>
          </w:tcPr>
          <w:p w14:paraId="6BFCA1B0" w14:textId="77777777" w:rsidR="00AB074C" w:rsidRDefault="00AB074C" w:rsidP="00AB074C">
            <w:pPr>
              <w:spacing w:before="40" w:after="40"/>
              <w:rPr>
                <w:noProof/>
                <w:sz w:val="17"/>
                <w:szCs w:val="17"/>
                <w:lang w:eastAsia="en-GB"/>
              </w:rPr>
            </w:pPr>
            <w:r>
              <w:rPr>
                <w:b/>
                <w:sz w:val="17"/>
                <w:szCs w:val="17"/>
                <w:lang w:eastAsia="en-GB"/>
              </w:rPr>
              <w:t>Purpose:</w:t>
            </w:r>
          </w:p>
        </w:tc>
        <w:tc>
          <w:tcPr>
            <w:tcW w:w="11340" w:type="dxa"/>
          </w:tcPr>
          <w:p w14:paraId="55D3BAD2" w14:textId="77777777" w:rsidR="00AB074C" w:rsidRDefault="00AB074C" w:rsidP="00AB074C">
            <w:pPr>
              <w:spacing w:before="40" w:after="40"/>
              <w:jc w:val="both"/>
              <w:rPr>
                <w:rFonts w:eastAsia="新細明體"/>
                <w:sz w:val="17"/>
                <w:szCs w:val="17"/>
                <w:lang w:eastAsia="en-GB"/>
              </w:rPr>
            </w:pPr>
            <w:r>
              <w:rPr>
                <w:rFonts w:eastAsia="新細明體"/>
                <w:sz w:val="17"/>
                <w:szCs w:val="17"/>
                <w:lang w:eastAsia="en-GB"/>
              </w:rPr>
              <w:t>To present securitization exposures in the banking book where an AI acts as an investing institution of securitization transactions and the associated capital requirements.</w:t>
            </w:r>
          </w:p>
        </w:tc>
      </w:tr>
      <w:tr w:rsidR="00AB074C" w14:paraId="2E50564B" w14:textId="77777777" w:rsidTr="00AB074C">
        <w:tc>
          <w:tcPr>
            <w:tcW w:w="2552" w:type="dxa"/>
          </w:tcPr>
          <w:p w14:paraId="0B563017" w14:textId="77777777" w:rsidR="00AB074C" w:rsidRDefault="00AB074C" w:rsidP="00AB074C">
            <w:pPr>
              <w:spacing w:before="40" w:after="40"/>
              <w:rPr>
                <w:b/>
                <w:sz w:val="17"/>
                <w:szCs w:val="17"/>
                <w:lang w:eastAsia="en-GB"/>
              </w:rPr>
            </w:pPr>
            <w:r>
              <w:rPr>
                <w:b/>
                <w:sz w:val="17"/>
                <w:szCs w:val="17"/>
                <w:lang w:eastAsia="en-GB"/>
              </w:rPr>
              <w:t>Scope of application:</w:t>
            </w:r>
          </w:p>
        </w:tc>
        <w:tc>
          <w:tcPr>
            <w:tcW w:w="11340" w:type="dxa"/>
          </w:tcPr>
          <w:p w14:paraId="047F9A55" w14:textId="77777777" w:rsidR="00AB074C" w:rsidRDefault="00AB074C" w:rsidP="00AB074C">
            <w:pPr>
              <w:spacing w:before="40" w:after="40"/>
              <w:jc w:val="both"/>
              <w:rPr>
                <w:rFonts w:eastAsia="新細明體"/>
                <w:b/>
                <w:sz w:val="17"/>
                <w:lang w:eastAsia="en-GB"/>
              </w:rPr>
            </w:pPr>
            <w:r>
              <w:rPr>
                <w:rFonts w:eastAsia="新細明體"/>
                <w:sz w:val="17"/>
                <w:lang w:eastAsia="en-GB"/>
              </w:rPr>
              <w:t>The template is mandatory for AIs</w:t>
            </w:r>
            <w:r>
              <w:rPr>
                <w:sz w:val="17"/>
                <w:lang w:eastAsia="en-GB"/>
              </w:rPr>
              <w:t xml:space="preserve"> incorporated in Hong Kong</w:t>
            </w:r>
            <w:r>
              <w:rPr>
                <w:rFonts w:eastAsia="新細明體"/>
                <w:sz w:val="17"/>
                <w:lang w:eastAsia="en-GB"/>
              </w:rPr>
              <w:t xml:space="preserve"> with securitization exposures and acting as investor.</w:t>
            </w:r>
          </w:p>
        </w:tc>
      </w:tr>
      <w:tr w:rsidR="00AB074C" w14:paraId="4C98CEBB" w14:textId="77777777" w:rsidTr="00AB074C">
        <w:trPr>
          <w:trHeight w:val="275"/>
        </w:trPr>
        <w:tc>
          <w:tcPr>
            <w:tcW w:w="2552" w:type="dxa"/>
          </w:tcPr>
          <w:p w14:paraId="5B0B438D" w14:textId="77777777" w:rsidR="00AB074C" w:rsidRDefault="00AB074C" w:rsidP="00AB074C">
            <w:pPr>
              <w:spacing w:before="40" w:after="40"/>
              <w:rPr>
                <w:b/>
                <w:sz w:val="17"/>
                <w:szCs w:val="17"/>
                <w:lang w:eastAsia="en-GB"/>
              </w:rPr>
            </w:pPr>
            <w:r>
              <w:rPr>
                <w:b/>
                <w:sz w:val="17"/>
                <w:szCs w:val="17"/>
                <w:lang w:eastAsia="en-GB"/>
              </w:rPr>
              <w:t>Content:</w:t>
            </w:r>
          </w:p>
        </w:tc>
        <w:tc>
          <w:tcPr>
            <w:tcW w:w="11340" w:type="dxa"/>
          </w:tcPr>
          <w:p w14:paraId="5A2B5CED" w14:textId="77777777" w:rsidR="00AB074C" w:rsidRDefault="00AB074C" w:rsidP="00AB074C">
            <w:pPr>
              <w:spacing w:before="40" w:after="40"/>
              <w:jc w:val="both"/>
              <w:rPr>
                <w:rFonts w:eastAsia="新細明體"/>
                <w:b/>
                <w:sz w:val="17"/>
                <w:lang w:eastAsia="en-GB"/>
              </w:rPr>
            </w:pPr>
            <w:r>
              <w:rPr>
                <w:rFonts w:eastAsia="新細明體"/>
                <w:sz w:val="17"/>
                <w:lang w:eastAsia="en-GB"/>
              </w:rPr>
              <w:t xml:space="preserve">Exposure values, RWAs and capital charges. </w:t>
            </w:r>
          </w:p>
        </w:tc>
      </w:tr>
      <w:tr w:rsidR="00AB074C" w14:paraId="36D0BA44" w14:textId="77777777" w:rsidTr="00AB074C">
        <w:tc>
          <w:tcPr>
            <w:tcW w:w="2552" w:type="dxa"/>
          </w:tcPr>
          <w:p w14:paraId="1D3FC596" w14:textId="77777777" w:rsidR="00AB074C" w:rsidRDefault="00AB074C" w:rsidP="00AB074C">
            <w:pPr>
              <w:spacing w:before="40" w:after="40"/>
              <w:rPr>
                <w:sz w:val="17"/>
                <w:szCs w:val="17"/>
                <w:lang w:eastAsia="en-GB"/>
              </w:rPr>
            </w:pPr>
            <w:r>
              <w:rPr>
                <w:b/>
                <w:sz w:val="17"/>
                <w:szCs w:val="17"/>
                <w:lang w:eastAsia="en-GB"/>
              </w:rPr>
              <w:t>Frequency:</w:t>
            </w:r>
          </w:p>
        </w:tc>
        <w:tc>
          <w:tcPr>
            <w:tcW w:w="11340" w:type="dxa"/>
          </w:tcPr>
          <w:p w14:paraId="328BC351" w14:textId="77777777" w:rsidR="00AB074C" w:rsidRDefault="00AB074C" w:rsidP="00AB074C">
            <w:pPr>
              <w:spacing w:before="40" w:after="40"/>
              <w:jc w:val="both"/>
              <w:rPr>
                <w:rFonts w:eastAsia="新細明體"/>
                <w:sz w:val="17"/>
                <w:szCs w:val="17"/>
                <w:lang w:eastAsia="en-GB"/>
              </w:rPr>
            </w:pPr>
            <w:r>
              <w:rPr>
                <w:rFonts w:eastAsia="新細明體"/>
                <w:sz w:val="17"/>
                <w:szCs w:val="17"/>
                <w:lang w:eastAsia="en-GB"/>
              </w:rPr>
              <w:t>Semi-annual.</w:t>
            </w:r>
          </w:p>
        </w:tc>
      </w:tr>
      <w:tr w:rsidR="00AB074C" w14:paraId="39B1CA92" w14:textId="77777777" w:rsidTr="00AB074C">
        <w:tc>
          <w:tcPr>
            <w:tcW w:w="2552" w:type="dxa"/>
          </w:tcPr>
          <w:p w14:paraId="00869341" w14:textId="77777777" w:rsidR="00AB074C" w:rsidRDefault="00AB074C" w:rsidP="00AB074C">
            <w:pPr>
              <w:spacing w:before="40" w:after="40"/>
              <w:rPr>
                <w:sz w:val="17"/>
                <w:szCs w:val="17"/>
                <w:lang w:eastAsia="en-GB"/>
              </w:rPr>
            </w:pPr>
            <w:r>
              <w:rPr>
                <w:b/>
                <w:sz w:val="17"/>
                <w:szCs w:val="17"/>
                <w:lang w:eastAsia="en-GB"/>
              </w:rPr>
              <w:t>Format:</w:t>
            </w:r>
          </w:p>
        </w:tc>
        <w:tc>
          <w:tcPr>
            <w:tcW w:w="11340" w:type="dxa"/>
          </w:tcPr>
          <w:p w14:paraId="45CBE234" w14:textId="77777777" w:rsidR="00AB074C" w:rsidRDefault="00AB074C" w:rsidP="00AB074C">
            <w:pPr>
              <w:spacing w:before="40" w:after="40"/>
              <w:jc w:val="both"/>
              <w:rPr>
                <w:rFonts w:eastAsia="新細明體"/>
                <w:sz w:val="17"/>
                <w:szCs w:val="17"/>
                <w:lang w:eastAsia="en-GB"/>
              </w:rPr>
            </w:pPr>
            <w:r>
              <w:rPr>
                <w:rFonts w:eastAsia="新細明體"/>
                <w:sz w:val="17"/>
                <w:szCs w:val="17"/>
                <w:lang w:eastAsia="en-GB"/>
              </w:rPr>
              <w:t>Fixed.</w:t>
            </w:r>
          </w:p>
        </w:tc>
      </w:tr>
      <w:tr w:rsidR="00AB074C" w14:paraId="3CF7D690" w14:textId="77777777" w:rsidTr="00AB074C">
        <w:tc>
          <w:tcPr>
            <w:tcW w:w="2552" w:type="dxa"/>
          </w:tcPr>
          <w:p w14:paraId="74B514A2" w14:textId="77777777" w:rsidR="00AB074C" w:rsidRDefault="00AB074C" w:rsidP="00AB074C">
            <w:pPr>
              <w:spacing w:before="40" w:after="40"/>
              <w:rPr>
                <w:b/>
                <w:sz w:val="17"/>
                <w:szCs w:val="17"/>
                <w:lang w:eastAsia="en-GB"/>
              </w:rPr>
            </w:pPr>
            <w:r>
              <w:rPr>
                <w:rFonts w:eastAsia="新細明體"/>
                <w:b/>
                <w:sz w:val="17"/>
                <w:szCs w:val="17"/>
                <w:lang w:eastAsia="en-GB"/>
              </w:rPr>
              <w:t>Accompanying narrative</w:t>
            </w:r>
            <w:r>
              <w:rPr>
                <w:rFonts w:eastAsia="新細明體"/>
                <w:sz w:val="17"/>
                <w:szCs w:val="17"/>
                <w:lang w:eastAsia="en-GB"/>
              </w:rPr>
              <w:t>:</w:t>
            </w:r>
          </w:p>
        </w:tc>
        <w:tc>
          <w:tcPr>
            <w:tcW w:w="11340" w:type="dxa"/>
          </w:tcPr>
          <w:p w14:paraId="61E583A2" w14:textId="77777777" w:rsidR="00AB074C" w:rsidRDefault="00AB074C" w:rsidP="00AB074C">
            <w:pPr>
              <w:spacing w:before="40" w:after="40"/>
              <w:jc w:val="both"/>
              <w:rPr>
                <w:rFonts w:eastAsia="新細明體"/>
                <w:noProof/>
                <w:sz w:val="17"/>
                <w:szCs w:val="17"/>
                <w:lang w:eastAsia="en-GB"/>
              </w:rPr>
            </w:pPr>
            <w:r>
              <w:rPr>
                <w:sz w:val="17"/>
                <w:szCs w:val="17"/>
                <w:lang w:eastAsia="en-GB"/>
              </w:rPr>
              <w:t xml:space="preserve">An AI should supplement the template with a narrative commentary to explain any material movements in the current reporting period and the key drivers of such movements. </w:t>
            </w:r>
          </w:p>
        </w:tc>
      </w:tr>
      <w:tr w:rsidR="00AB074C" w14:paraId="103A2D9A" w14:textId="77777777" w:rsidTr="00AB074C">
        <w:tc>
          <w:tcPr>
            <w:tcW w:w="2552" w:type="dxa"/>
          </w:tcPr>
          <w:p w14:paraId="0AEF1DB2" w14:textId="77777777" w:rsidR="00AB074C" w:rsidRDefault="00AB074C" w:rsidP="00AB074C">
            <w:pPr>
              <w:spacing w:before="40" w:after="40"/>
              <w:rPr>
                <w:rFonts w:eastAsia="新細明體"/>
                <w:b/>
                <w:sz w:val="17"/>
                <w:szCs w:val="17"/>
                <w:lang w:eastAsia="en-GB"/>
              </w:rPr>
            </w:pPr>
            <w:r>
              <w:rPr>
                <w:rFonts w:eastAsia="新細明體"/>
                <w:b/>
                <w:sz w:val="17"/>
                <w:szCs w:val="17"/>
                <w:lang w:eastAsia="en-GB"/>
              </w:rPr>
              <w:t>Corresponding BDR section:</w:t>
            </w:r>
          </w:p>
        </w:tc>
        <w:tc>
          <w:tcPr>
            <w:tcW w:w="11340" w:type="dxa"/>
          </w:tcPr>
          <w:p w14:paraId="1252DECE" w14:textId="77777777" w:rsidR="00AB074C" w:rsidRDefault="00AB074C" w:rsidP="00AB074C">
            <w:pPr>
              <w:spacing w:before="40" w:after="40"/>
              <w:jc w:val="both"/>
              <w:rPr>
                <w:sz w:val="17"/>
                <w:szCs w:val="17"/>
                <w:lang w:eastAsia="en-GB"/>
              </w:rPr>
            </w:pPr>
            <w:r>
              <w:rPr>
                <w:sz w:val="17"/>
                <w:szCs w:val="17"/>
                <w:lang w:eastAsia="en-GB"/>
              </w:rPr>
              <w:t>16ZI</w:t>
            </w:r>
          </w:p>
        </w:tc>
      </w:tr>
    </w:tbl>
    <w:p w14:paraId="3C131793" w14:textId="28B44519" w:rsidR="00CE2149" w:rsidRDefault="00CE2149" w:rsidP="00AB074C">
      <w:pPr>
        <w:spacing w:before="40" w:after="40"/>
        <w:rPr>
          <w:sz w:val="22"/>
        </w:rPr>
      </w:pPr>
    </w:p>
    <w:tbl>
      <w:tblPr>
        <w:tblW w:w="13892"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16"/>
        <w:gridCol w:w="2607"/>
        <w:gridCol w:w="642"/>
        <w:gridCol w:w="622"/>
        <w:gridCol w:w="664"/>
        <w:gridCol w:w="753"/>
        <w:gridCol w:w="533"/>
        <w:gridCol w:w="638"/>
        <w:gridCol w:w="638"/>
        <w:gridCol w:w="638"/>
        <w:gridCol w:w="638"/>
        <w:gridCol w:w="637"/>
        <w:gridCol w:w="638"/>
        <w:gridCol w:w="638"/>
        <w:gridCol w:w="638"/>
        <w:gridCol w:w="638"/>
        <w:gridCol w:w="638"/>
        <w:gridCol w:w="638"/>
        <w:gridCol w:w="638"/>
      </w:tblGrid>
      <w:tr w:rsidR="00AB074C" w14:paraId="6B30181E" w14:textId="77777777" w:rsidTr="00D046C3">
        <w:trPr>
          <w:trHeight w:val="227"/>
          <w:tblHeader/>
        </w:trPr>
        <w:tc>
          <w:tcPr>
            <w:tcW w:w="416" w:type="dxa"/>
            <w:tcBorders>
              <w:top w:val="nil"/>
              <w:left w:val="nil"/>
              <w:bottom w:val="nil"/>
              <w:right w:val="nil"/>
            </w:tcBorders>
          </w:tcPr>
          <w:p w14:paraId="0B4415AF" w14:textId="77777777" w:rsidR="00AB074C" w:rsidRDefault="00AB074C" w:rsidP="00AB074C">
            <w:pPr>
              <w:snapToGrid w:val="0"/>
              <w:ind w:left="-93" w:firstLine="93"/>
              <w:jc w:val="center"/>
              <w:rPr>
                <w:rFonts w:eastAsia="新細明體" w:cs="Segoe UI"/>
                <w:color w:val="000000"/>
                <w:sz w:val="17"/>
                <w:szCs w:val="17"/>
                <w:lang w:eastAsia="en-GB"/>
              </w:rPr>
            </w:pPr>
          </w:p>
        </w:tc>
        <w:tc>
          <w:tcPr>
            <w:tcW w:w="2607" w:type="dxa"/>
            <w:tcBorders>
              <w:top w:val="nil"/>
              <w:left w:val="nil"/>
              <w:bottom w:val="nil"/>
              <w:right w:val="single" w:sz="4" w:space="0" w:color="auto"/>
            </w:tcBorders>
            <w:noWrap/>
            <w:vAlign w:val="bottom"/>
            <w:hideMark/>
          </w:tcPr>
          <w:p w14:paraId="4E00A055" w14:textId="77777777" w:rsidR="00AB074C" w:rsidRDefault="00AB074C" w:rsidP="00AB074C">
            <w:pPr>
              <w:snapToGrid w:val="0"/>
              <w:rPr>
                <w:rFonts w:eastAsia="新細明體" w:cs="Segoe UI"/>
                <w:color w:val="000000"/>
                <w:sz w:val="17"/>
                <w:szCs w:val="17"/>
                <w:lang w:eastAsia="en-GB"/>
              </w:rPr>
            </w:pPr>
          </w:p>
        </w:tc>
        <w:tc>
          <w:tcPr>
            <w:tcW w:w="642" w:type="dxa"/>
            <w:tcBorders>
              <w:top w:val="single" w:sz="4" w:space="0" w:color="auto"/>
              <w:left w:val="single" w:sz="4" w:space="0" w:color="auto"/>
              <w:bottom w:val="single" w:sz="4" w:space="0" w:color="auto"/>
              <w:right w:val="single" w:sz="4" w:space="0" w:color="auto"/>
            </w:tcBorders>
            <w:noWrap/>
            <w:vAlign w:val="center"/>
            <w:hideMark/>
          </w:tcPr>
          <w:p w14:paraId="0913BAD8"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(a)</w:t>
            </w:r>
          </w:p>
        </w:tc>
        <w:tc>
          <w:tcPr>
            <w:tcW w:w="622" w:type="dxa"/>
            <w:tcBorders>
              <w:top w:val="single" w:sz="4" w:space="0" w:color="auto"/>
              <w:left w:val="single" w:sz="4" w:space="0" w:color="auto"/>
              <w:bottom w:val="single" w:sz="4" w:space="0" w:color="auto"/>
              <w:right w:val="single" w:sz="4" w:space="0" w:color="auto"/>
            </w:tcBorders>
            <w:noWrap/>
            <w:vAlign w:val="center"/>
            <w:hideMark/>
          </w:tcPr>
          <w:p w14:paraId="54F39B67"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(b)</w:t>
            </w:r>
          </w:p>
        </w:tc>
        <w:tc>
          <w:tcPr>
            <w:tcW w:w="664" w:type="dxa"/>
            <w:tcBorders>
              <w:top w:val="single" w:sz="4" w:space="0" w:color="auto"/>
              <w:left w:val="single" w:sz="4" w:space="0" w:color="auto"/>
              <w:bottom w:val="single" w:sz="4" w:space="0" w:color="auto"/>
              <w:right w:val="single" w:sz="4" w:space="0" w:color="auto"/>
            </w:tcBorders>
            <w:noWrap/>
            <w:vAlign w:val="center"/>
            <w:hideMark/>
          </w:tcPr>
          <w:p w14:paraId="209D9B55"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(c)</w:t>
            </w:r>
          </w:p>
        </w:tc>
        <w:tc>
          <w:tcPr>
            <w:tcW w:w="753" w:type="dxa"/>
            <w:tcBorders>
              <w:top w:val="single" w:sz="4" w:space="0" w:color="auto"/>
              <w:left w:val="single" w:sz="4" w:space="0" w:color="auto"/>
              <w:bottom w:val="single" w:sz="4" w:space="0" w:color="auto"/>
              <w:right w:val="single" w:sz="4" w:space="0" w:color="auto"/>
            </w:tcBorders>
            <w:noWrap/>
            <w:vAlign w:val="center"/>
            <w:hideMark/>
          </w:tcPr>
          <w:p w14:paraId="595CC858"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(d)</w:t>
            </w:r>
          </w:p>
        </w:tc>
        <w:tc>
          <w:tcPr>
            <w:tcW w:w="533" w:type="dxa"/>
            <w:tcBorders>
              <w:top w:val="single" w:sz="4" w:space="0" w:color="auto"/>
              <w:left w:val="single" w:sz="4" w:space="0" w:color="auto"/>
              <w:bottom w:val="single" w:sz="4" w:space="0" w:color="auto"/>
              <w:right w:val="single" w:sz="4" w:space="0" w:color="auto"/>
            </w:tcBorders>
            <w:noWrap/>
            <w:vAlign w:val="center"/>
            <w:hideMark/>
          </w:tcPr>
          <w:p w14:paraId="577EC836"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(e)</w:t>
            </w:r>
          </w:p>
        </w:tc>
        <w:tc>
          <w:tcPr>
            <w:tcW w:w="638" w:type="dxa"/>
            <w:tcBorders>
              <w:top w:val="single" w:sz="4" w:space="0" w:color="auto"/>
              <w:left w:val="single" w:sz="4" w:space="0" w:color="auto"/>
              <w:bottom w:val="single" w:sz="4" w:space="0" w:color="auto"/>
              <w:right w:val="single" w:sz="4" w:space="0" w:color="auto"/>
            </w:tcBorders>
            <w:noWrap/>
            <w:vAlign w:val="center"/>
            <w:hideMark/>
          </w:tcPr>
          <w:p w14:paraId="35D39D34"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(f)</w:t>
            </w:r>
          </w:p>
        </w:tc>
        <w:tc>
          <w:tcPr>
            <w:tcW w:w="638" w:type="dxa"/>
            <w:tcBorders>
              <w:top w:val="single" w:sz="4" w:space="0" w:color="auto"/>
              <w:left w:val="single" w:sz="4" w:space="0" w:color="auto"/>
              <w:bottom w:val="single" w:sz="4" w:space="0" w:color="auto"/>
              <w:right w:val="single" w:sz="4" w:space="0" w:color="auto"/>
            </w:tcBorders>
            <w:vAlign w:val="center"/>
          </w:tcPr>
          <w:p w14:paraId="1242A8B6"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(g)</w:t>
            </w:r>
          </w:p>
        </w:tc>
        <w:tc>
          <w:tcPr>
            <w:tcW w:w="638" w:type="dxa"/>
            <w:tcBorders>
              <w:top w:val="single" w:sz="4" w:space="0" w:color="auto"/>
              <w:left w:val="single" w:sz="4" w:space="0" w:color="auto"/>
              <w:bottom w:val="single" w:sz="4" w:space="0" w:color="auto"/>
              <w:right w:val="single" w:sz="4" w:space="0" w:color="auto"/>
            </w:tcBorders>
            <w:vAlign w:val="center"/>
          </w:tcPr>
          <w:p w14:paraId="224F1946"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(h)</w:t>
            </w:r>
          </w:p>
        </w:tc>
        <w:tc>
          <w:tcPr>
            <w:tcW w:w="638" w:type="dxa"/>
            <w:tcBorders>
              <w:top w:val="single" w:sz="4" w:space="0" w:color="auto"/>
              <w:left w:val="single" w:sz="4" w:space="0" w:color="auto"/>
              <w:bottom w:val="single" w:sz="4" w:space="0" w:color="auto"/>
              <w:right w:val="single" w:sz="4" w:space="0" w:color="auto"/>
            </w:tcBorders>
            <w:vAlign w:val="center"/>
          </w:tcPr>
          <w:p w14:paraId="4F894D06"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(i)</w:t>
            </w:r>
          </w:p>
        </w:tc>
        <w:tc>
          <w:tcPr>
            <w:tcW w:w="637" w:type="dxa"/>
            <w:tcBorders>
              <w:top w:val="single" w:sz="4" w:space="0" w:color="auto"/>
              <w:left w:val="single" w:sz="4" w:space="0" w:color="auto"/>
              <w:bottom w:val="single" w:sz="4" w:space="0" w:color="auto"/>
              <w:right w:val="single" w:sz="4" w:space="0" w:color="auto"/>
            </w:tcBorders>
            <w:vAlign w:val="center"/>
          </w:tcPr>
          <w:p w14:paraId="615CBAAA"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(j)</w:t>
            </w:r>
          </w:p>
        </w:tc>
        <w:tc>
          <w:tcPr>
            <w:tcW w:w="638" w:type="dxa"/>
            <w:tcBorders>
              <w:top w:val="single" w:sz="4" w:space="0" w:color="auto"/>
              <w:left w:val="single" w:sz="4" w:space="0" w:color="auto"/>
              <w:bottom w:val="single" w:sz="4" w:space="0" w:color="auto"/>
              <w:right w:val="single" w:sz="4" w:space="0" w:color="auto"/>
            </w:tcBorders>
            <w:vAlign w:val="center"/>
          </w:tcPr>
          <w:p w14:paraId="3D7203A5"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(k)</w:t>
            </w:r>
          </w:p>
        </w:tc>
        <w:tc>
          <w:tcPr>
            <w:tcW w:w="638" w:type="dxa"/>
            <w:tcBorders>
              <w:top w:val="single" w:sz="4" w:space="0" w:color="auto"/>
              <w:left w:val="single" w:sz="4" w:space="0" w:color="auto"/>
              <w:bottom w:val="single" w:sz="4" w:space="0" w:color="auto"/>
              <w:right w:val="single" w:sz="4" w:space="0" w:color="auto"/>
            </w:tcBorders>
            <w:vAlign w:val="center"/>
          </w:tcPr>
          <w:p w14:paraId="5A029C65"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(l)</w:t>
            </w:r>
          </w:p>
        </w:tc>
        <w:tc>
          <w:tcPr>
            <w:tcW w:w="638" w:type="dxa"/>
            <w:tcBorders>
              <w:top w:val="single" w:sz="4" w:space="0" w:color="auto"/>
              <w:left w:val="single" w:sz="4" w:space="0" w:color="auto"/>
              <w:bottom w:val="single" w:sz="4" w:space="0" w:color="auto"/>
              <w:right w:val="single" w:sz="4" w:space="0" w:color="auto"/>
            </w:tcBorders>
            <w:vAlign w:val="center"/>
          </w:tcPr>
          <w:p w14:paraId="3136A529"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(m)</w:t>
            </w:r>
          </w:p>
        </w:tc>
        <w:tc>
          <w:tcPr>
            <w:tcW w:w="638" w:type="dxa"/>
            <w:tcBorders>
              <w:top w:val="single" w:sz="4" w:space="0" w:color="auto"/>
              <w:left w:val="single" w:sz="4" w:space="0" w:color="auto"/>
              <w:bottom w:val="single" w:sz="4" w:space="0" w:color="auto"/>
              <w:right w:val="single" w:sz="4" w:space="0" w:color="auto"/>
            </w:tcBorders>
            <w:vAlign w:val="center"/>
          </w:tcPr>
          <w:p w14:paraId="186AE0E7"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(n)</w:t>
            </w:r>
          </w:p>
        </w:tc>
        <w:tc>
          <w:tcPr>
            <w:tcW w:w="638" w:type="dxa"/>
            <w:tcBorders>
              <w:top w:val="single" w:sz="4" w:space="0" w:color="auto"/>
              <w:left w:val="single" w:sz="4" w:space="0" w:color="auto"/>
              <w:bottom w:val="single" w:sz="4" w:space="0" w:color="auto"/>
              <w:right w:val="single" w:sz="4" w:space="0" w:color="auto"/>
            </w:tcBorders>
            <w:vAlign w:val="center"/>
          </w:tcPr>
          <w:p w14:paraId="5742AA93"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(o)</w:t>
            </w:r>
          </w:p>
        </w:tc>
        <w:tc>
          <w:tcPr>
            <w:tcW w:w="638" w:type="dxa"/>
            <w:tcBorders>
              <w:top w:val="single" w:sz="4" w:space="0" w:color="auto"/>
              <w:left w:val="single" w:sz="4" w:space="0" w:color="auto"/>
              <w:bottom w:val="single" w:sz="4" w:space="0" w:color="auto"/>
              <w:right w:val="single" w:sz="4" w:space="0" w:color="auto"/>
            </w:tcBorders>
            <w:vAlign w:val="center"/>
          </w:tcPr>
          <w:p w14:paraId="3396AD22"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(p)</w:t>
            </w:r>
          </w:p>
        </w:tc>
        <w:tc>
          <w:tcPr>
            <w:tcW w:w="638" w:type="dxa"/>
            <w:tcBorders>
              <w:top w:val="single" w:sz="4" w:space="0" w:color="auto"/>
              <w:left w:val="single" w:sz="4" w:space="0" w:color="auto"/>
              <w:bottom w:val="single" w:sz="4" w:space="0" w:color="auto"/>
              <w:right w:val="single" w:sz="4" w:space="0" w:color="auto"/>
            </w:tcBorders>
            <w:vAlign w:val="center"/>
          </w:tcPr>
          <w:p w14:paraId="367CC220"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(q)</w:t>
            </w:r>
          </w:p>
        </w:tc>
      </w:tr>
      <w:tr w:rsidR="00AB074C" w14:paraId="4F851331" w14:textId="77777777" w:rsidTr="00AB074C">
        <w:trPr>
          <w:trHeight w:val="254"/>
          <w:tblHeader/>
        </w:trPr>
        <w:tc>
          <w:tcPr>
            <w:tcW w:w="416" w:type="dxa"/>
            <w:tcBorders>
              <w:top w:val="nil"/>
              <w:left w:val="nil"/>
              <w:bottom w:val="nil"/>
              <w:right w:val="nil"/>
            </w:tcBorders>
          </w:tcPr>
          <w:p w14:paraId="2F1A3694" w14:textId="77777777" w:rsidR="00AB074C" w:rsidRDefault="00AB074C" w:rsidP="00AB074C">
            <w:pPr>
              <w:snapToGrid w:val="0"/>
              <w:jc w:val="center"/>
              <w:rPr>
                <w:rFonts w:eastAsia="新細明體" w:cs="Segoe UI"/>
                <w:color w:val="000000"/>
                <w:sz w:val="17"/>
                <w:szCs w:val="17"/>
                <w:lang w:eastAsia="en-GB"/>
              </w:rPr>
            </w:pPr>
          </w:p>
        </w:tc>
        <w:tc>
          <w:tcPr>
            <w:tcW w:w="2607" w:type="dxa"/>
            <w:tcBorders>
              <w:top w:val="nil"/>
              <w:left w:val="nil"/>
              <w:bottom w:val="nil"/>
              <w:right w:val="single" w:sz="4" w:space="0" w:color="auto"/>
            </w:tcBorders>
            <w:noWrap/>
            <w:vAlign w:val="center"/>
            <w:hideMark/>
          </w:tcPr>
          <w:p w14:paraId="1BAC9306" w14:textId="77777777" w:rsidR="00AB074C" w:rsidRDefault="00AB074C" w:rsidP="00AB074C">
            <w:pPr>
              <w:snapToGrid w:val="0"/>
              <w:rPr>
                <w:rFonts w:eastAsia="新細明體" w:cs="Segoe UI"/>
                <w:color w:val="000000"/>
                <w:sz w:val="17"/>
                <w:szCs w:val="17"/>
                <w:lang w:eastAsia="en-GB"/>
              </w:rPr>
            </w:pPr>
          </w:p>
        </w:tc>
        <w:tc>
          <w:tcPr>
            <w:tcW w:w="3214" w:type="dxa"/>
            <w:gridSpan w:val="5"/>
            <w:tcBorders>
              <w:top w:val="single" w:sz="4" w:space="0" w:color="auto"/>
              <w:left w:val="single" w:sz="4" w:space="0" w:color="auto"/>
              <w:bottom w:val="single" w:sz="4" w:space="0" w:color="auto"/>
              <w:right w:val="single" w:sz="4" w:space="0" w:color="auto"/>
            </w:tcBorders>
            <w:noWrap/>
            <w:vAlign w:val="center"/>
          </w:tcPr>
          <w:p w14:paraId="46911D0E" w14:textId="77777777" w:rsidR="00AB074C" w:rsidRDefault="00AB074C" w:rsidP="00AB074C">
            <w:pPr>
              <w:snapToGrid w:val="0"/>
              <w:spacing w:before="20" w:after="20"/>
              <w:jc w:val="center"/>
              <w:rPr>
                <w:rFonts w:eastAsia="新細明體" w:cs="Segoe UI"/>
                <w:color w:val="000000"/>
                <w:sz w:val="17"/>
                <w:szCs w:val="17"/>
                <w:lang w:eastAsia="en-GB"/>
              </w:rPr>
            </w:pPr>
            <w:r>
              <w:rPr>
                <w:rFonts w:eastAsia="新細明體" w:cs="Segoe UI"/>
                <w:color w:val="000000"/>
                <w:sz w:val="17"/>
                <w:szCs w:val="17"/>
                <w:lang w:eastAsia="en-GB"/>
              </w:rPr>
              <w:t>Exposure values (by RW bands)</w:t>
            </w: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48146DB0" w14:textId="77777777" w:rsidR="00AB074C" w:rsidRDefault="00AB074C" w:rsidP="00AB074C">
            <w:pPr>
              <w:snapToGrid w:val="0"/>
              <w:spacing w:before="20" w:after="20"/>
              <w:jc w:val="center"/>
              <w:rPr>
                <w:rFonts w:eastAsia="新細明體" w:cs="Segoe UI"/>
                <w:sz w:val="17"/>
                <w:szCs w:val="17"/>
                <w:lang w:eastAsia="en-GB"/>
              </w:rPr>
            </w:pPr>
            <w:r>
              <w:rPr>
                <w:rFonts w:eastAsia="新細明體" w:cs="Segoe UI"/>
                <w:sz w:val="17"/>
                <w:szCs w:val="17"/>
                <w:lang w:eastAsia="en-GB"/>
              </w:rPr>
              <w:t>Exposure values</w:t>
            </w:r>
          </w:p>
          <w:p w14:paraId="52C0DD57" w14:textId="77777777" w:rsidR="00AB074C" w:rsidRDefault="00AB074C" w:rsidP="00AB074C">
            <w:pPr>
              <w:snapToGrid w:val="0"/>
              <w:spacing w:before="20" w:after="20"/>
              <w:jc w:val="center"/>
              <w:rPr>
                <w:rFonts w:eastAsia="新細明體" w:cs="Segoe UI"/>
                <w:sz w:val="17"/>
                <w:szCs w:val="17"/>
                <w:lang w:eastAsia="en-GB"/>
              </w:rPr>
            </w:pPr>
            <w:r>
              <w:rPr>
                <w:rFonts w:eastAsia="新細明體" w:cs="Segoe UI"/>
                <w:sz w:val="17"/>
                <w:szCs w:val="17"/>
                <w:lang w:eastAsia="en-GB"/>
              </w:rPr>
              <w:t>(by regulatory approach)</w:t>
            </w:r>
          </w:p>
        </w:tc>
        <w:tc>
          <w:tcPr>
            <w:tcW w:w="2551" w:type="dxa"/>
            <w:gridSpan w:val="4"/>
            <w:tcBorders>
              <w:top w:val="single" w:sz="4" w:space="0" w:color="BFBFBF"/>
              <w:left w:val="single" w:sz="4" w:space="0" w:color="auto"/>
              <w:bottom w:val="single" w:sz="4" w:space="0" w:color="auto"/>
              <w:right w:val="single" w:sz="4" w:space="0" w:color="auto"/>
            </w:tcBorders>
            <w:vAlign w:val="center"/>
          </w:tcPr>
          <w:p w14:paraId="4BF83BBB" w14:textId="77777777" w:rsidR="00AB074C" w:rsidRDefault="00AB074C" w:rsidP="00AB074C">
            <w:pPr>
              <w:snapToGrid w:val="0"/>
              <w:spacing w:before="20" w:after="20"/>
              <w:jc w:val="center"/>
              <w:rPr>
                <w:rFonts w:eastAsia="新細明體" w:cs="Segoe UI"/>
                <w:sz w:val="17"/>
                <w:szCs w:val="17"/>
                <w:lang w:eastAsia="en-GB"/>
              </w:rPr>
            </w:pPr>
            <w:r>
              <w:rPr>
                <w:rFonts w:eastAsia="新細明體" w:cs="Segoe UI"/>
                <w:sz w:val="17"/>
                <w:szCs w:val="17"/>
                <w:lang w:eastAsia="en-GB"/>
              </w:rPr>
              <w:t>RWAs</w:t>
            </w:r>
          </w:p>
          <w:p w14:paraId="0D1848B5" w14:textId="77777777" w:rsidR="00AB074C" w:rsidRDefault="00AB074C" w:rsidP="00AB074C">
            <w:pPr>
              <w:snapToGrid w:val="0"/>
              <w:spacing w:before="20" w:after="20"/>
              <w:jc w:val="center"/>
              <w:rPr>
                <w:rFonts w:eastAsia="新細明體" w:cs="Segoe UI"/>
                <w:sz w:val="17"/>
                <w:szCs w:val="17"/>
                <w:lang w:eastAsia="en-GB"/>
              </w:rPr>
            </w:pPr>
            <w:r>
              <w:rPr>
                <w:rFonts w:eastAsia="新細明體" w:cs="Segoe UI"/>
                <w:sz w:val="17"/>
                <w:szCs w:val="17"/>
                <w:lang w:eastAsia="en-GB"/>
              </w:rPr>
              <w:t>(by regulatory approach)</w:t>
            </w: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77A9FE13" w14:textId="77777777" w:rsidR="00AB074C" w:rsidRDefault="00AB074C" w:rsidP="00AB074C">
            <w:pPr>
              <w:snapToGrid w:val="0"/>
              <w:spacing w:before="20" w:after="20"/>
              <w:jc w:val="center"/>
              <w:rPr>
                <w:rFonts w:eastAsia="新細明體" w:cs="Segoe UI"/>
                <w:sz w:val="17"/>
                <w:szCs w:val="17"/>
                <w:lang w:eastAsia="en-GB"/>
              </w:rPr>
            </w:pPr>
            <w:r>
              <w:rPr>
                <w:rFonts w:eastAsia="新細明體" w:cs="Segoe UI"/>
                <w:sz w:val="17"/>
                <w:szCs w:val="17"/>
                <w:lang w:eastAsia="en-GB"/>
              </w:rPr>
              <w:t>Capital charges after cap</w:t>
            </w:r>
          </w:p>
        </w:tc>
      </w:tr>
      <w:tr w:rsidR="00AB074C" w14:paraId="5FC22E5E" w14:textId="77777777" w:rsidTr="00D046C3">
        <w:trPr>
          <w:cantSplit/>
          <w:trHeight w:val="958"/>
          <w:tblHeader/>
        </w:trPr>
        <w:tc>
          <w:tcPr>
            <w:tcW w:w="416" w:type="dxa"/>
            <w:tcBorders>
              <w:top w:val="nil"/>
              <w:left w:val="nil"/>
              <w:bottom w:val="single" w:sz="4" w:space="0" w:color="auto"/>
              <w:right w:val="nil"/>
            </w:tcBorders>
            <w:textDirection w:val="btLr"/>
          </w:tcPr>
          <w:p w14:paraId="3F3E150B" w14:textId="77777777" w:rsidR="00AB074C" w:rsidRDefault="00AB074C" w:rsidP="00AB074C">
            <w:pPr>
              <w:snapToGrid w:val="0"/>
              <w:ind w:left="113" w:right="113"/>
              <w:jc w:val="center"/>
              <w:rPr>
                <w:rFonts w:eastAsia="新細明體" w:cs="Segoe UI"/>
                <w:color w:val="000000"/>
                <w:sz w:val="17"/>
                <w:szCs w:val="17"/>
                <w:lang w:eastAsia="en-GB"/>
              </w:rPr>
            </w:pPr>
          </w:p>
        </w:tc>
        <w:tc>
          <w:tcPr>
            <w:tcW w:w="2607" w:type="dxa"/>
            <w:tcBorders>
              <w:top w:val="nil"/>
              <w:left w:val="nil"/>
              <w:bottom w:val="single" w:sz="4" w:space="0" w:color="auto"/>
              <w:right w:val="single" w:sz="4" w:space="0" w:color="auto"/>
            </w:tcBorders>
            <w:noWrap/>
            <w:textDirection w:val="btLr"/>
            <w:vAlign w:val="bottom"/>
          </w:tcPr>
          <w:p w14:paraId="4BBA2375" w14:textId="77777777" w:rsidR="00AB074C" w:rsidRDefault="00AB074C" w:rsidP="00AB074C">
            <w:pPr>
              <w:snapToGrid w:val="0"/>
              <w:ind w:left="113" w:right="113"/>
              <w:rPr>
                <w:rFonts w:eastAsia="新細明體" w:cs="Segoe UI"/>
                <w:color w:val="000000"/>
                <w:sz w:val="17"/>
                <w:szCs w:val="17"/>
                <w:lang w:eastAsia="en-GB"/>
              </w:rPr>
            </w:pPr>
          </w:p>
        </w:tc>
        <w:tc>
          <w:tcPr>
            <w:tcW w:w="642" w:type="dxa"/>
            <w:tcBorders>
              <w:top w:val="single" w:sz="4" w:space="0" w:color="auto"/>
              <w:left w:val="single" w:sz="4" w:space="0" w:color="auto"/>
              <w:bottom w:val="single" w:sz="4" w:space="0" w:color="auto"/>
              <w:right w:val="single" w:sz="4" w:space="0" w:color="auto"/>
            </w:tcBorders>
            <w:noWrap/>
            <w:textDirection w:val="btLr"/>
            <w:vAlign w:val="center"/>
          </w:tcPr>
          <w:p w14:paraId="3EEF1EE3" w14:textId="032E6E37" w:rsidR="00AB074C" w:rsidRDefault="00AB074C" w:rsidP="00CE2149">
            <w:pPr>
              <w:snapToGrid w:val="0"/>
              <w:ind w:left="113" w:right="113"/>
              <w:rPr>
                <w:rFonts w:eastAsia="新細明體" w:cs="Segoe UI"/>
                <w:color w:val="000000"/>
                <w:sz w:val="15"/>
                <w:szCs w:val="15"/>
                <w:lang w:eastAsia="ja-JP"/>
              </w:rPr>
            </w:pPr>
            <w:r>
              <w:rPr>
                <w:rFonts w:eastAsia="新細明體" w:cs="Segoe UI"/>
                <w:color w:val="000000"/>
                <w:sz w:val="15"/>
                <w:szCs w:val="15"/>
                <w:lang w:eastAsia="ja-JP"/>
              </w:rPr>
              <w:t xml:space="preserve">≤20% </w:t>
            </w:r>
            <w:r w:rsidR="00CE2149">
              <w:rPr>
                <w:rFonts w:eastAsia="新細明體" w:cs="Segoe UI"/>
                <w:color w:val="000000"/>
                <w:sz w:val="15"/>
                <w:szCs w:val="15"/>
                <w:lang w:eastAsia="ja-JP"/>
              </w:rPr>
              <w:t>R</w:t>
            </w:r>
            <w:r>
              <w:rPr>
                <w:rFonts w:eastAsia="新細明體" w:cs="Segoe UI"/>
                <w:color w:val="000000"/>
                <w:sz w:val="15"/>
                <w:szCs w:val="15"/>
                <w:lang w:eastAsia="ja-JP"/>
              </w:rPr>
              <w:t>W</w:t>
            </w:r>
          </w:p>
        </w:tc>
        <w:tc>
          <w:tcPr>
            <w:tcW w:w="622" w:type="dxa"/>
            <w:tcBorders>
              <w:top w:val="single" w:sz="4" w:space="0" w:color="auto"/>
              <w:left w:val="single" w:sz="4" w:space="0" w:color="auto"/>
              <w:bottom w:val="single" w:sz="4" w:space="0" w:color="auto"/>
              <w:right w:val="single" w:sz="4" w:space="0" w:color="auto"/>
            </w:tcBorders>
            <w:noWrap/>
            <w:textDirection w:val="btLr"/>
            <w:vAlign w:val="center"/>
            <w:hideMark/>
          </w:tcPr>
          <w:p w14:paraId="7680CD11" w14:textId="77777777" w:rsidR="00AB074C" w:rsidRDefault="00AB074C" w:rsidP="00AB074C">
            <w:pPr>
              <w:snapToGrid w:val="0"/>
              <w:ind w:left="113" w:right="113"/>
              <w:rPr>
                <w:rFonts w:eastAsia="新細明體" w:cs="Segoe UI"/>
                <w:color w:val="000000"/>
                <w:sz w:val="15"/>
                <w:szCs w:val="15"/>
                <w:lang w:eastAsia="ja-JP"/>
              </w:rPr>
            </w:pPr>
            <w:r>
              <w:rPr>
                <w:rFonts w:eastAsia="新細明體" w:cs="Segoe UI"/>
                <w:color w:val="000000"/>
                <w:sz w:val="15"/>
                <w:szCs w:val="15"/>
                <w:lang w:eastAsia="ja-JP"/>
              </w:rPr>
              <w:t>&gt;20% to 50% RW</w:t>
            </w:r>
          </w:p>
        </w:tc>
        <w:tc>
          <w:tcPr>
            <w:tcW w:w="664" w:type="dxa"/>
            <w:tcBorders>
              <w:top w:val="single" w:sz="4" w:space="0" w:color="auto"/>
              <w:left w:val="single" w:sz="4" w:space="0" w:color="auto"/>
              <w:bottom w:val="single" w:sz="4" w:space="0" w:color="auto"/>
              <w:right w:val="single" w:sz="4" w:space="0" w:color="auto"/>
            </w:tcBorders>
            <w:noWrap/>
            <w:textDirection w:val="btLr"/>
            <w:vAlign w:val="center"/>
            <w:hideMark/>
          </w:tcPr>
          <w:p w14:paraId="464806E0" w14:textId="77777777" w:rsidR="00AB074C" w:rsidRDefault="00AB074C" w:rsidP="00AB074C">
            <w:pPr>
              <w:snapToGrid w:val="0"/>
              <w:ind w:left="113" w:right="113"/>
              <w:rPr>
                <w:rFonts w:eastAsia="新細明體" w:cs="Segoe UI"/>
                <w:color w:val="000000"/>
                <w:sz w:val="15"/>
                <w:szCs w:val="15"/>
                <w:lang w:eastAsia="ja-JP"/>
              </w:rPr>
            </w:pPr>
            <w:r>
              <w:rPr>
                <w:rFonts w:eastAsia="新細明體" w:cs="Segoe UI"/>
                <w:color w:val="000000"/>
                <w:sz w:val="15"/>
                <w:szCs w:val="15"/>
                <w:lang w:eastAsia="ja-JP"/>
              </w:rPr>
              <w:t>&gt;50% to 100% RW</w:t>
            </w:r>
          </w:p>
        </w:tc>
        <w:tc>
          <w:tcPr>
            <w:tcW w:w="753" w:type="dxa"/>
            <w:tcBorders>
              <w:top w:val="single" w:sz="4" w:space="0" w:color="auto"/>
              <w:left w:val="single" w:sz="4" w:space="0" w:color="auto"/>
              <w:bottom w:val="single" w:sz="4" w:space="0" w:color="auto"/>
              <w:right w:val="single" w:sz="4" w:space="0" w:color="auto"/>
            </w:tcBorders>
            <w:noWrap/>
            <w:textDirection w:val="btLr"/>
            <w:vAlign w:val="center"/>
            <w:hideMark/>
          </w:tcPr>
          <w:p w14:paraId="543CA966" w14:textId="77777777" w:rsidR="00AB074C" w:rsidRPr="00646466" w:rsidRDefault="00AB074C" w:rsidP="00AB074C">
            <w:pPr>
              <w:snapToGrid w:val="0"/>
              <w:ind w:left="113" w:right="113"/>
              <w:rPr>
                <w:rFonts w:eastAsia="新細明體" w:cs="Segoe UI"/>
                <w:color w:val="000000"/>
                <w:sz w:val="15"/>
                <w:szCs w:val="15"/>
                <w:lang w:eastAsia="ja-JP"/>
              </w:rPr>
            </w:pPr>
            <w:r w:rsidRPr="00646466">
              <w:rPr>
                <w:rFonts w:eastAsia="新細明體" w:cs="Segoe UI"/>
                <w:color w:val="000000"/>
                <w:sz w:val="15"/>
                <w:szCs w:val="15"/>
                <w:lang w:eastAsia="ja-JP"/>
              </w:rPr>
              <w:t>&gt;100% to &lt;1250% RW</w:t>
            </w:r>
          </w:p>
        </w:tc>
        <w:tc>
          <w:tcPr>
            <w:tcW w:w="533" w:type="dxa"/>
            <w:tcBorders>
              <w:top w:val="single" w:sz="4" w:space="0" w:color="auto"/>
              <w:left w:val="single" w:sz="4" w:space="0" w:color="auto"/>
              <w:bottom w:val="single" w:sz="4" w:space="0" w:color="auto"/>
              <w:right w:val="single" w:sz="4" w:space="0" w:color="auto"/>
            </w:tcBorders>
            <w:noWrap/>
            <w:textDirection w:val="btLr"/>
            <w:vAlign w:val="center"/>
            <w:hideMark/>
          </w:tcPr>
          <w:p w14:paraId="363B88B8" w14:textId="77777777" w:rsidR="00AB074C" w:rsidRDefault="00AB074C" w:rsidP="00AB074C">
            <w:pPr>
              <w:snapToGrid w:val="0"/>
              <w:ind w:left="113" w:right="113"/>
              <w:rPr>
                <w:rFonts w:eastAsia="新細明體" w:cs="Segoe UI"/>
                <w:color w:val="000000"/>
                <w:sz w:val="15"/>
                <w:szCs w:val="15"/>
                <w:lang w:eastAsia="ja-JP"/>
              </w:rPr>
            </w:pPr>
            <w:r>
              <w:rPr>
                <w:rFonts w:eastAsia="新細明體" w:cs="Segoe UI"/>
                <w:color w:val="000000"/>
                <w:sz w:val="15"/>
                <w:szCs w:val="15"/>
                <w:lang w:eastAsia="ja-JP"/>
              </w:rPr>
              <w:t>1250% RW</w:t>
            </w:r>
          </w:p>
        </w:tc>
        <w:tc>
          <w:tcPr>
            <w:tcW w:w="638" w:type="dxa"/>
            <w:tcBorders>
              <w:top w:val="single" w:sz="4" w:space="0" w:color="auto"/>
              <w:left w:val="single" w:sz="4" w:space="0" w:color="auto"/>
              <w:bottom w:val="single" w:sz="4" w:space="0" w:color="auto"/>
              <w:right w:val="single" w:sz="4" w:space="0" w:color="auto"/>
            </w:tcBorders>
            <w:noWrap/>
            <w:textDirection w:val="btLr"/>
            <w:vAlign w:val="center"/>
            <w:hideMark/>
          </w:tcPr>
          <w:p w14:paraId="24F8CC71" w14:textId="77777777" w:rsidR="00AB074C" w:rsidRDefault="00AB074C" w:rsidP="00AB074C">
            <w:pPr>
              <w:snapToGrid w:val="0"/>
              <w:ind w:left="113" w:right="113"/>
              <w:rPr>
                <w:rFonts w:eastAsia="新細明體" w:cs="Segoe UI"/>
                <w:color w:val="000000"/>
                <w:sz w:val="15"/>
                <w:szCs w:val="15"/>
                <w:lang w:eastAsia="en-GB"/>
              </w:rPr>
            </w:pPr>
            <w:r>
              <w:rPr>
                <w:rFonts w:eastAsia="新細明體" w:cs="Segoe UI"/>
                <w:color w:val="000000"/>
                <w:sz w:val="15"/>
                <w:szCs w:val="15"/>
                <w:lang w:eastAsia="ja-JP"/>
              </w:rPr>
              <w:t>SEC-IRBA</w:t>
            </w:r>
          </w:p>
        </w:tc>
        <w:tc>
          <w:tcPr>
            <w:tcW w:w="638" w:type="dxa"/>
            <w:tcBorders>
              <w:top w:val="single" w:sz="4" w:space="0" w:color="auto"/>
              <w:left w:val="single" w:sz="4" w:space="0" w:color="auto"/>
              <w:bottom w:val="single" w:sz="4" w:space="0" w:color="auto"/>
              <w:right w:val="single" w:sz="4" w:space="0" w:color="auto"/>
            </w:tcBorders>
            <w:noWrap/>
            <w:textDirection w:val="btLr"/>
            <w:vAlign w:val="center"/>
          </w:tcPr>
          <w:p w14:paraId="77C7DD78" w14:textId="77777777" w:rsidR="00AB074C" w:rsidRDefault="00AB074C" w:rsidP="00AB074C">
            <w:pPr>
              <w:snapToGrid w:val="0"/>
              <w:ind w:left="113" w:right="113"/>
              <w:rPr>
                <w:rFonts w:eastAsia="新細明體" w:cs="Segoe UI"/>
                <w:color w:val="000000"/>
                <w:sz w:val="15"/>
                <w:szCs w:val="15"/>
                <w:lang w:eastAsia="ja-JP"/>
              </w:rPr>
            </w:pPr>
            <w:r>
              <w:rPr>
                <w:rFonts w:eastAsia="新細明體" w:cs="Segoe UI"/>
                <w:color w:val="000000"/>
                <w:sz w:val="15"/>
                <w:szCs w:val="15"/>
                <w:lang w:eastAsia="ja-JP"/>
              </w:rPr>
              <w:t>SEC-ERBA (incl. IAA)</w:t>
            </w:r>
          </w:p>
        </w:tc>
        <w:tc>
          <w:tcPr>
            <w:tcW w:w="638" w:type="dxa"/>
            <w:tcBorders>
              <w:top w:val="single" w:sz="4" w:space="0" w:color="auto"/>
              <w:left w:val="single" w:sz="4" w:space="0" w:color="auto"/>
              <w:bottom w:val="single" w:sz="4" w:space="0" w:color="auto"/>
              <w:right w:val="single" w:sz="4" w:space="0" w:color="auto"/>
            </w:tcBorders>
            <w:noWrap/>
            <w:textDirection w:val="btLr"/>
            <w:vAlign w:val="center"/>
          </w:tcPr>
          <w:p w14:paraId="49883D4E" w14:textId="77777777" w:rsidR="00AB074C" w:rsidRDefault="00AB074C" w:rsidP="00AB074C">
            <w:pPr>
              <w:snapToGrid w:val="0"/>
              <w:ind w:left="113" w:right="113"/>
              <w:rPr>
                <w:rFonts w:eastAsia="新細明體" w:cs="Segoe UI"/>
                <w:color w:val="000000"/>
                <w:sz w:val="15"/>
                <w:szCs w:val="15"/>
                <w:lang w:eastAsia="ja-JP"/>
              </w:rPr>
            </w:pPr>
            <w:r>
              <w:rPr>
                <w:rFonts w:eastAsia="新細明體" w:cs="Segoe UI"/>
                <w:color w:val="000000"/>
                <w:sz w:val="15"/>
                <w:szCs w:val="15"/>
                <w:lang w:eastAsia="ja-JP"/>
              </w:rPr>
              <w:t>SEC-SA</w:t>
            </w:r>
          </w:p>
        </w:tc>
        <w:tc>
          <w:tcPr>
            <w:tcW w:w="638" w:type="dxa"/>
            <w:tcBorders>
              <w:top w:val="single" w:sz="4" w:space="0" w:color="auto"/>
              <w:left w:val="single" w:sz="4" w:space="0" w:color="auto"/>
              <w:bottom w:val="single" w:sz="4" w:space="0" w:color="auto"/>
              <w:right w:val="single" w:sz="4" w:space="0" w:color="auto"/>
            </w:tcBorders>
            <w:noWrap/>
            <w:textDirection w:val="btLr"/>
            <w:vAlign w:val="center"/>
          </w:tcPr>
          <w:p w14:paraId="0AA4A4CB" w14:textId="77777777" w:rsidR="00AB074C" w:rsidRDefault="00AB074C" w:rsidP="00AB074C">
            <w:pPr>
              <w:snapToGrid w:val="0"/>
              <w:ind w:left="113" w:right="113"/>
              <w:rPr>
                <w:rFonts w:eastAsia="新細明體" w:cs="Segoe UI"/>
                <w:color w:val="000000"/>
                <w:sz w:val="15"/>
                <w:szCs w:val="15"/>
                <w:lang w:eastAsia="ja-JP"/>
              </w:rPr>
            </w:pPr>
            <w:r>
              <w:rPr>
                <w:rFonts w:eastAsia="新細明體" w:cs="Segoe UI"/>
                <w:color w:val="000000"/>
                <w:sz w:val="15"/>
                <w:szCs w:val="15"/>
                <w:lang w:eastAsia="en-GB"/>
              </w:rPr>
              <w:t xml:space="preserve">SEC-FBA </w:t>
            </w:r>
          </w:p>
        </w:tc>
        <w:tc>
          <w:tcPr>
            <w:tcW w:w="637" w:type="dxa"/>
            <w:tcBorders>
              <w:top w:val="single" w:sz="4" w:space="0" w:color="auto"/>
              <w:left w:val="single" w:sz="4" w:space="0" w:color="auto"/>
              <w:bottom w:val="single" w:sz="4" w:space="0" w:color="auto"/>
              <w:right w:val="single" w:sz="4" w:space="0" w:color="auto"/>
            </w:tcBorders>
            <w:noWrap/>
            <w:textDirection w:val="btLr"/>
            <w:vAlign w:val="center"/>
            <w:hideMark/>
          </w:tcPr>
          <w:p w14:paraId="6952AFD9" w14:textId="77777777" w:rsidR="00AB074C" w:rsidRDefault="00AB074C" w:rsidP="00AB074C">
            <w:pPr>
              <w:snapToGrid w:val="0"/>
              <w:ind w:left="113" w:right="113"/>
              <w:rPr>
                <w:rFonts w:eastAsia="新細明體" w:cs="Segoe UI"/>
                <w:color w:val="000000"/>
                <w:sz w:val="15"/>
                <w:szCs w:val="15"/>
                <w:lang w:eastAsia="en-GB"/>
              </w:rPr>
            </w:pPr>
            <w:r>
              <w:rPr>
                <w:rFonts w:eastAsia="新細明體" w:cs="Segoe UI"/>
                <w:color w:val="000000"/>
                <w:sz w:val="15"/>
                <w:szCs w:val="15"/>
                <w:lang w:eastAsia="ja-JP"/>
              </w:rPr>
              <w:t>SEC-IRBA</w:t>
            </w:r>
          </w:p>
        </w:tc>
        <w:tc>
          <w:tcPr>
            <w:tcW w:w="638" w:type="dxa"/>
            <w:tcBorders>
              <w:top w:val="single" w:sz="4" w:space="0" w:color="auto"/>
              <w:left w:val="single" w:sz="4" w:space="0" w:color="auto"/>
              <w:bottom w:val="single" w:sz="4" w:space="0" w:color="auto"/>
              <w:right w:val="single" w:sz="4" w:space="0" w:color="auto"/>
            </w:tcBorders>
            <w:textDirection w:val="btLr"/>
            <w:vAlign w:val="center"/>
          </w:tcPr>
          <w:p w14:paraId="24310933" w14:textId="77777777" w:rsidR="00AB074C" w:rsidRDefault="00AB074C" w:rsidP="00AB074C">
            <w:pPr>
              <w:snapToGrid w:val="0"/>
              <w:ind w:left="113" w:right="113"/>
              <w:rPr>
                <w:rFonts w:eastAsia="新細明體" w:cs="Segoe UI"/>
                <w:color w:val="000000"/>
                <w:sz w:val="15"/>
                <w:szCs w:val="15"/>
                <w:lang w:eastAsia="ja-JP"/>
              </w:rPr>
            </w:pPr>
            <w:r>
              <w:rPr>
                <w:rFonts w:eastAsia="新細明體" w:cs="Segoe UI"/>
                <w:color w:val="000000"/>
                <w:sz w:val="15"/>
                <w:szCs w:val="15"/>
                <w:lang w:eastAsia="ja-JP"/>
              </w:rPr>
              <w:t>SEC-ERBA (incl. IAA)</w:t>
            </w:r>
          </w:p>
        </w:tc>
        <w:tc>
          <w:tcPr>
            <w:tcW w:w="638" w:type="dxa"/>
            <w:tcBorders>
              <w:top w:val="single" w:sz="4" w:space="0" w:color="auto"/>
              <w:left w:val="single" w:sz="4" w:space="0" w:color="auto"/>
              <w:bottom w:val="single" w:sz="4" w:space="0" w:color="auto"/>
              <w:right w:val="single" w:sz="4" w:space="0" w:color="auto"/>
            </w:tcBorders>
            <w:textDirection w:val="btLr"/>
            <w:vAlign w:val="center"/>
          </w:tcPr>
          <w:p w14:paraId="083ABC8D" w14:textId="77777777" w:rsidR="00AB074C" w:rsidRDefault="00AB074C" w:rsidP="00AB074C">
            <w:pPr>
              <w:snapToGrid w:val="0"/>
              <w:ind w:left="113" w:right="113"/>
              <w:rPr>
                <w:rFonts w:eastAsia="新細明體" w:cs="Segoe UI"/>
                <w:color w:val="000000"/>
                <w:sz w:val="15"/>
                <w:szCs w:val="15"/>
                <w:lang w:eastAsia="ja-JP"/>
              </w:rPr>
            </w:pPr>
            <w:r>
              <w:rPr>
                <w:rFonts w:eastAsia="新細明體" w:cs="Segoe UI"/>
                <w:color w:val="000000"/>
                <w:sz w:val="15"/>
                <w:szCs w:val="15"/>
                <w:lang w:eastAsia="ja-JP"/>
              </w:rPr>
              <w:t>SEC-SA</w:t>
            </w:r>
          </w:p>
        </w:tc>
        <w:tc>
          <w:tcPr>
            <w:tcW w:w="638" w:type="dxa"/>
            <w:tcBorders>
              <w:top w:val="single" w:sz="4" w:space="0" w:color="auto"/>
              <w:left w:val="single" w:sz="4" w:space="0" w:color="auto"/>
              <w:bottom w:val="single" w:sz="4" w:space="0" w:color="auto"/>
              <w:right w:val="single" w:sz="4" w:space="0" w:color="auto"/>
            </w:tcBorders>
            <w:textDirection w:val="btLr"/>
            <w:vAlign w:val="center"/>
          </w:tcPr>
          <w:p w14:paraId="50602A97" w14:textId="77777777" w:rsidR="00AB074C" w:rsidRDefault="00AB074C" w:rsidP="00AB074C">
            <w:pPr>
              <w:snapToGrid w:val="0"/>
              <w:ind w:left="113" w:right="113"/>
              <w:rPr>
                <w:rFonts w:eastAsia="新細明體" w:cs="Segoe UI"/>
                <w:color w:val="000000"/>
                <w:sz w:val="15"/>
                <w:szCs w:val="15"/>
                <w:lang w:eastAsia="ja-JP"/>
              </w:rPr>
            </w:pPr>
            <w:r>
              <w:rPr>
                <w:rFonts w:eastAsia="新細明體" w:cs="Segoe UI"/>
                <w:color w:val="000000"/>
                <w:sz w:val="15"/>
                <w:szCs w:val="15"/>
                <w:lang w:eastAsia="en-GB"/>
              </w:rPr>
              <w:t xml:space="preserve">SEC-FBA </w:t>
            </w:r>
          </w:p>
        </w:tc>
        <w:tc>
          <w:tcPr>
            <w:tcW w:w="638" w:type="dxa"/>
            <w:tcBorders>
              <w:top w:val="single" w:sz="4" w:space="0" w:color="auto"/>
              <w:left w:val="single" w:sz="4" w:space="0" w:color="auto"/>
              <w:bottom w:val="single" w:sz="4" w:space="0" w:color="auto"/>
              <w:right w:val="single" w:sz="4" w:space="0" w:color="auto"/>
            </w:tcBorders>
            <w:textDirection w:val="btLr"/>
            <w:vAlign w:val="center"/>
          </w:tcPr>
          <w:p w14:paraId="144EB3A2" w14:textId="77777777" w:rsidR="00AB074C" w:rsidRDefault="00AB074C" w:rsidP="00AB074C">
            <w:pPr>
              <w:snapToGrid w:val="0"/>
              <w:ind w:left="113" w:right="113"/>
              <w:rPr>
                <w:rFonts w:eastAsia="新細明體" w:cs="Segoe UI"/>
                <w:color w:val="000000"/>
                <w:sz w:val="15"/>
                <w:szCs w:val="15"/>
                <w:lang w:eastAsia="en-GB"/>
              </w:rPr>
            </w:pPr>
            <w:r>
              <w:rPr>
                <w:rFonts w:eastAsia="新細明體" w:cs="Segoe UI"/>
                <w:color w:val="000000"/>
                <w:sz w:val="15"/>
                <w:szCs w:val="15"/>
                <w:lang w:eastAsia="ja-JP"/>
              </w:rPr>
              <w:t>SEC-IRBA</w:t>
            </w:r>
          </w:p>
        </w:tc>
        <w:tc>
          <w:tcPr>
            <w:tcW w:w="638" w:type="dxa"/>
            <w:tcBorders>
              <w:top w:val="single" w:sz="4" w:space="0" w:color="auto"/>
              <w:left w:val="single" w:sz="4" w:space="0" w:color="auto"/>
              <w:bottom w:val="single" w:sz="4" w:space="0" w:color="auto"/>
              <w:right w:val="single" w:sz="4" w:space="0" w:color="auto"/>
            </w:tcBorders>
            <w:textDirection w:val="btLr"/>
            <w:vAlign w:val="center"/>
          </w:tcPr>
          <w:p w14:paraId="2A4DF9FC" w14:textId="77777777" w:rsidR="00AB074C" w:rsidRDefault="00AB074C" w:rsidP="00AB074C">
            <w:pPr>
              <w:snapToGrid w:val="0"/>
              <w:ind w:left="113" w:right="113"/>
              <w:rPr>
                <w:rFonts w:eastAsia="新細明體" w:cs="Segoe UI"/>
                <w:color w:val="000000"/>
                <w:sz w:val="15"/>
                <w:szCs w:val="15"/>
                <w:lang w:eastAsia="ja-JP"/>
              </w:rPr>
            </w:pPr>
            <w:r>
              <w:rPr>
                <w:rFonts w:eastAsia="新細明體" w:cs="Segoe UI"/>
                <w:color w:val="000000"/>
                <w:sz w:val="15"/>
                <w:szCs w:val="15"/>
                <w:lang w:eastAsia="ja-JP"/>
              </w:rPr>
              <w:t>SEC-ERBA (incl. IAA)</w:t>
            </w:r>
          </w:p>
        </w:tc>
        <w:tc>
          <w:tcPr>
            <w:tcW w:w="638" w:type="dxa"/>
            <w:tcBorders>
              <w:top w:val="single" w:sz="4" w:space="0" w:color="auto"/>
              <w:left w:val="single" w:sz="4" w:space="0" w:color="auto"/>
              <w:bottom w:val="single" w:sz="4" w:space="0" w:color="auto"/>
              <w:right w:val="single" w:sz="4" w:space="0" w:color="auto"/>
            </w:tcBorders>
            <w:textDirection w:val="btLr"/>
            <w:vAlign w:val="center"/>
          </w:tcPr>
          <w:p w14:paraId="0C7C11DD" w14:textId="77777777" w:rsidR="00AB074C" w:rsidRDefault="00AB074C" w:rsidP="00AB074C">
            <w:pPr>
              <w:snapToGrid w:val="0"/>
              <w:ind w:left="113" w:right="113"/>
              <w:rPr>
                <w:rFonts w:eastAsia="新細明體" w:cs="Segoe UI"/>
                <w:color w:val="000000"/>
                <w:sz w:val="15"/>
                <w:szCs w:val="15"/>
                <w:lang w:eastAsia="ja-JP"/>
              </w:rPr>
            </w:pPr>
            <w:r>
              <w:rPr>
                <w:rFonts w:eastAsia="新細明體" w:cs="Segoe UI"/>
                <w:color w:val="000000"/>
                <w:sz w:val="15"/>
                <w:szCs w:val="15"/>
                <w:lang w:eastAsia="ja-JP"/>
              </w:rPr>
              <w:t>SEC-SA</w:t>
            </w:r>
          </w:p>
        </w:tc>
        <w:tc>
          <w:tcPr>
            <w:tcW w:w="638" w:type="dxa"/>
            <w:tcBorders>
              <w:top w:val="single" w:sz="4" w:space="0" w:color="auto"/>
              <w:left w:val="single" w:sz="4" w:space="0" w:color="auto"/>
              <w:bottom w:val="single" w:sz="4" w:space="0" w:color="auto"/>
              <w:right w:val="single" w:sz="4" w:space="0" w:color="auto"/>
            </w:tcBorders>
            <w:textDirection w:val="btLr"/>
            <w:vAlign w:val="center"/>
          </w:tcPr>
          <w:p w14:paraId="0EC6128C" w14:textId="77777777" w:rsidR="00AB074C" w:rsidRDefault="00AB074C" w:rsidP="00AB074C">
            <w:pPr>
              <w:snapToGrid w:val="0"/>
              <w:ind w:left="113" w:right="113"/>
              <w:rPr>
                <w:rFonts w:eastAsia="新細明體" w:cs="Segoe UI"/>
                <w:color w:val="000000"/>
                <w:sz w:val="15"/>
                <w:szCs w:val="15"/>
                <w:lang w:eastAsia="ja-JP"/>
              </w:rPr>
            </w:pPr>
            <w:r>
              <w:rPr>
                <w:rFonts w:eastAsia="新細明體" w:cs="Segoe UI"/>
                <w:color w:val="000000"/>
                <w:sz w:val="15"/>
                <w:szCs w:val="15"/>
                <w:lang w:eastAsia="en-GB"/>
              </w:rPr>
              <w:t xml:space="preserve">SEC-FBA </w:t>
            </w:r>
          </w:p>
        </w:tc>
      </w:tr>
      <w:tr w:rsidR="00AB074C" w14:paraId="064F11DE" w14:textId="77777777" w:rsidTr="00D046C3">
        <w:trPr>
          <w:cantSplit/>
          <w:trHeight w:val="20"/>
        </w:trPr>
        <w:tc>
          <w:tcPr>
            <w:tcW w:w="416" w:type="dxa"/>
            <w:tcBorders>
              <w:top w:val="single" w:sz="4" w:space="0" w:color="auto"/>
              <w:left w:val="nil"/>
              <w:right w:val="single" w:sz="4" w:space="0" w:color="BFBFBF"/>
            </w:tcBorders>
          </w:tcPr>
          <w:p w14:paraId="3779BE1D" w14:textId="77777777" w:rsidR="00AB074C" w:rsidRDefault="00AB074C" w:rsidP="00AB074C">
            <w:pPr>
              <w:snapToGrid w:val="0"/>
              <w:jc w:val="center"/>
              <w:rPr>
                <w:rFonts w:eastAsia="新細明體" w:cs="Segoe UI"/>
                <w:b/>
                <w:color w:val="000000"/>
                <w:sz w:val="17"/>
                <w:szCs w:val="17"/>
                <w:lang w:eastAsia="en-GB"/>
              </w:rPr>
            </w:pPr>
            <w:r>
              <w:rPr>
                <w:rFonts w:eastAsia="新細明體" w:cs="Segoe UI"/>
                <w:b/>
                <w:color w:val="000000"/>
                <w:sz w:val="17"/>
                <w:szCs w:val="17"/>
                <w:lang w:eastAsia="en-GB"/>
              </w:rPr>
              <w:t>1</w:t>
            </w:r>
          </w:p>
        </w:tc>
        <w:tc>
          <w:tcPr>
            <w:tcW w:w="2607" w:type="dxa"/>
            <w:tcBorders>
              <w:top w:val="single" w:sz="4" w:space="0" w:color="auto"/>
              <w:left w:val="single" w:sz="4" w:space="0" w:color="BFBFBF"/>
              <w:right w:val="single" w:sz="4" w:space="0" w:color="auto"/>
            </w:tcBorders>
            <w:noWrap/>
            <w:vAlign w:val="bottom"/>
          </w:tcPr>
          <w:p w14:paraId="547F42F0" w14:textId="77777777" w:rsidR="00AB074C" w:rsidRDefault="00AB074C" w:rsidP="00AB074C">
            <w:pPr>
              <w:snapToGrid w:val="0"/>
              <w:rPr>
                <w:rFonts w:eastAsia="新細明體" w:cs="Segoe UI"/>
                <w:b/>
                <w:color w:val="000000"/>
                <w:sz w:val="17"/>
                <w:szCs w:val="17"/>
                <w:lang w:eastAsia="en-GB"/>
              </w:rPr>
            </w:pPr>
            <w:r>
              <w:rPr>
                <w:rFonts w:eastAsia="新細明體" w:cs="Segoe UI"/>
                <w:b/>
                <w:color w:val="000000"/>
                <w:sz w:val="17"/>
                <w:szCs w:val="17"/>
                <w:lang w:eastAsia="en-GB"/>
              </w:rPr>
              <w:t>Total exposures</w:t>
            </w:r>
          </w:p>
        </w:tc>
        <w:tc>
          <w:tcPr>
            <w:tcW w:w="642" w:type="dxa"/>
            <w:tcBorders>
              <w:top w:val="single" w:sz="4" w:space="0" w:color="auto"/>
              <w:left w:val="single" w:sz="4" w:space="0" w:color="auto"/>
              <w:right w:val="single" w:sz="4" w:space="0" w:color="auto"/>
            </w:tcBorders>
            <w:noWrap/>
            <w:vAlign w:val="bottom"/>
          </w:tcPr>
          <w:p w14:paraId="3137DA50" w14:textId="77777777" w:rsidR="00AB074C" w:rsidRDefault="00AB074C" w:rsidP="00AB074C">
            <w:pPr>
              <w:snapToGrid w:val="0"/>
              <w:rPr>
                <w:rFonts w:eastAsia="新細明體" w:cs="Segoe UI"/>
                <w:color w:val="000000"/>
                <w:sz w:val="17"/>
                <w:szCs w:val="17"/>
                <w:lang w:eastAsia="en-GB"/>
              </w:rPr>
            </w:pPr>
          </w:p>
        </w:tc>
        <w:tc>
          <w:tcPr>
            <w:tcW w:w="622" w:type="dxa"/>
            <w:tcBorders>
              <w:top w:val="single" w:sz="4" w:space="0" w:color="auto"/>
              <w:left w:val="single" w:sz="4" w:space="0" w:color="auto"/>
              <w:right w:val="single" w:sz="4" w:space="0" w:color="auto"/>
            </w:tcBorders>
            <w:noWrap/>
            <w:vAlign w:val="bottom"/>
            <w:hideMark/>
          </w:tcPr>
          <w:p w14:paraId="46BF02D5" w14:textId="77777777" w:rsidR="00AB074C" w:rsidRDefault="00AB074C" w:rsidP="00AB074C">
            <w:pPr>
              <w:snapToGrid w:val="0"/>
              <w:rPr>
                <w:rFonts w:eastAsia="新細明體" w:cs="Segoe UI"/>
                <w:color w:val="000000"/>
                <w:sz w:val="17"/>
                <w:szCs w:val="17"/>
                <w:lang w:eastAsia="en-GB"/>
              </w:rPr>
            </w:pPr>
          </w:p>
        </w:tc>
        <w:tc>
          <w:tcPr>
            <w:tcW w:w="664" w:type="dxa"/>
            <w:tcBorders>
              <w:top w:val="single" w:sz="4" w:space="0" w:color="auto"/>
              <w:left w:val="single" w:sz="4" w:space="0" w:color="auto"/>
              <w:right w:val="single" w:sz="4" w:space="0" w:color="auto"/>
            </w:tcBorders>
            <w:noWrap/>
            <w:vAlign w:val="bottom"/>
            <w:hideMark/>
          </w:tcPr>
          <w:p w14:paraId="28DC8211" w14:textId="77777777" w:rsidR="00AB074C" w:rsidRDefault="00AB074C" w:rsidP="00AB074C">
            <w:pPr>
              <w:snapToGrid w:val="0"/>
              <w:rPr>
                <w:rFonts w:eastAsia="新細明體" w:cs="Segoe UI"/>
                <w:color w:val="000000"/>
                <w:sz w:val="17"/>
                <w:szCs w:val="17"/>
                <w:lang w:eastAsia="en-GB"/>
              </w:rPr>
            </w:pPr>
          </w:p>
        </w:tc>
        <w:tc>
          <w:tcPr>
            <w:tcW w:w="753" w:type="dxa"/>
            <w:tcBorders>
              <w:top w:val="single" w:sz="4" w:space="0" w:color="auto"/>
              <w:left w:val="single" w:sz="4" w:space="0" w:color="auto"/>
              <w:right w:val="single" w:sz="4" w:space="0" w:color="auto"/>
            </w:tcBorders>
            <w:noWrap/>
            <w:vAlign w:val="bottom"/>
            <w:hideMark/>
          </w:tcPr>
          <w:p w14:paraId="2E76941A" w14:textId="77777777" w:rsidR="00AB074C" w:rsidRDefault="00AB074C" w:rsidP="00AB074C">
            <w:pPr>
              <w:snapToGrid w:val="0"/>
              <w:rPr>
                <w:rFonts w:eastAsia="新細明體" w:cs="Segoe UI"/>
                <w:color w:val="000000"/>
                <w:sz w:val="17"/>
                <w:szCs w:val="17"/>
                <w:lang w:eastAsia="en-GB"/>
              </w:rPr>
            </w:pPr>
          </w:p>
        </w:tc>
        <w:tc>
          <w:tcPr>
            <w:tcW w:w="533" w:type="dxa"/>
            <w:tcBorders>
              <w:top w:val="single" w:sz="4" w:space="0" w:color="auto"/>
              <w:left w:val="single" w:sz="4" w:space="0" w:color="auto"/>
              <w:right w:val="single" w:sz="4" w:space="0" w:color="auto"/>
            </w:tcBorders>
            <w:noWrap/>
            <w:vAlign w:val="bottom"/>
            <w:hideMark/>
          </w:tcPr>
          <w:p w14:paraId="161C7FB1"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auto"/>
              <w:left w:val="single" w:sz="4" w:space="0" w:color="auto"/>
              <w:right w:val="single" w:sz="4" w:space="0" w:color="auto"/>
            </w:tcBorders>
            <w:noWrap/>
            <w:vAlign w:val="bottom"/>
            <w:hideMark/>
          </w:tcPr>
          <w:p w14:paraId="5E5B5F66"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auto"/>
              <w:left w:val="single" w:sz="4" w:space="0" w:color="auto"/>
              <w:right w:val="single" w:sz="4" w:space="0" w:color="auto"/>
            </w:tcBorders>
            <w:noWrap/>
            <w:vAlign w:val="bottom"/>
            <w:hideMark/>
          </w:tcPr>
          <w:p w14:paraId="7267AB70"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auto"/>
              <w:left w:val="single" w:sz="4" w:space="0" w:color="auto"/>
              <w:right w:val="single" w:sz="4" w:space="0" w:color="auto"/>
            </w:tcBorders>
            <w:noWrap/>
            <w:vAlign w:val="bottom"/>
            <w:hideMark/>
          </w:tcPr>
          <w:p w14:paraId="0E28CA4C"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auto"/>
              <w:left w:val="single" w:sz="4" w:space="0" w:color="auto"/>
              <w:right w:val="single" w:sz="4" w:space="0" w:color="auto"/>
            </w:tcBorders>
            <w:noWrap/>
            <w:vAlign w:val="bottom"/>
            <w:hideMark/>
          </w:tcPr>
          <w:p w14:paraId="4DE57A95" w14:textId="77777777" w:rsidR="00AB074C" w:rsidRDefault="00AB074C" w:rsidP="00AB074C">
            <w:pPr>
              <w:snapToGrid w:val="0"/>
              <w:rPr>
                <w:rFonts w:eastAsia="新細明體" w:cs="Segoe UI"/>
                <w:color w:val="000000"/>
                <w:sz w:val="17"/>
                <w:szCs w:val="17"/>
                <w:lang w:eastAsia="en-GB"/>
              </w:rPr>
            </w:pPr>
          </w:p>
        </w:tc>
        <w:tc>
          <w:tcPr>
            <w:tcW w:w="637" w:type="dxa"/>
            <w:tcBorders>
              <w:top w:val="single" w:sz="4" w:space="0" w:color="auto"/>
              <w:left w:val="single" w:sz="4" w:space="0" w:color="auto"/>
              <w:right w:val="single" w:sz="4" w:space="0" w:color="auto"/>
            </w:tcBorders>
            <w:noWrap/>
            <w:vAlign w:val="bottom"/>
            <w:hideMark/>
          </w:tcPr>
          <w:p w14:paraId="779C9013"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auto"/>
              <w:left w:val="single" w:sz="4" w:space="0" w:color="auto"/>
              <w:right w:val="single" w:sz="4" w:space="0" w:color="auto"/>
            </w:tcBorders>
            <w:vAlign w:val="bottom"/>
          </w:tcPr>
          <w:p w14:paraId="4C5022F6"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auto"/>
              <w:left w:val="single" w:sz="4" w:space="0" w:color="auto"/>
              <w:right w:val="single" w:sz="4" w:space="0" w:color="auto"/>
            </w:tcBorders>
            <w:vAlign w:val="bottom"/>
          </w:tcPr>
          <w:p w14:paraId="395A0D29"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auto"/>
              <w:left w:val="single" w:sz="4" w:space="0" w:color="auto"/>
              <w:right w:val="single" w:sz="4" w:space="0" w:color="auto"/>
            </w:tcBorders>
            <w:vAlign w:val="bottom"/>
          </w:tcPr>
          <w:p w14:paraId="4EB7B6E9"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auto"/>
              <w:left w:val="single" w:sz="4" w:space="0" w:color="auto"/>
              <w:bottom w:val="single" w:sz="4" w:space="0" w:color="BFBFBF"/>
              <w:right w:val="single" w:sz="4" w:space="0" w:color="auto"/>
            </w:tcBorders>
            <w:vAlign w:val="bottom"/>
          </w:tcPr>
          <w:p w14:paraId="78F0DA63"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auto"/>
              <w:left w:val="single" w:sz="4" w:space="0" w:color="auto"/>
              <w:bottom w:val="single" w:sz="4" w:space="0" w:color="BFBFBF"/>
              <w:right w:val="single" w:sz="4" w:space="0" w:color="auto"/>
            </w:tcBorders>
            <w:vAlign w:val="bottom"/>
          </w:tcPr>
          <w:p w14:paraId="4AF70EB0"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auto"/>
              <w:left w:val="single" w:sz="4" w:space="0" w:color="auto"/>
              <w:bottom w:val="single" w:sz="4" w:space="0" w:color="BFBFBF"/>
              <w:right w:val="single" w:sz="4" w:space="0" w:color="auto"/>
            </w:tcBorders>
            <w:vAlign w:val="bottom"/>
          </w:tcPr>
          <w:p w14:paraId="02FB4032"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auto"/>
              <w:left w:val="single" w:sz="4" w:space="0" w:color="auto"/>
              <w:bottom w:val="single" w:sz="4" w:space="0" w:color="BFBFBF"/>
              <w:right w:val="single" w:sz="4" w:space="0" w:color="auto"/>
            </w:tcBorders>
            <w:vAlign w:val="bottom"/>
          </w:tcPr>
          <w:p w14:paraId="7BDA71DC" w14:textId="77777777" w:rsidR="00AB074C" w:rsidRDefault="00AB074C" w:rsidP="00AB074C">
            <w:pPr>
              <w:snapToGrid w:val="0"/>
              <w:rPr>
                <w:rFonts w:eastAsia="新細明體" w:cs="Segoe UI"/>
                <w:color w:val="000000"/>
                <w:sz w:val="17"/>
                <w:szCs w:val="17"/>
                <w:lang w:eastAsia="en-GB"/>
              </w:rPr>
            </w:pPr>
          </w:p>
        </w:tc>
      </w:tr>
      <w:tr w:rsidR="00AB074C" w14:paraId="0CBBDC93" w14:textId="77777777" w:rsidTr="00D046C3">
        <w:trPr>
          <w:trHeight w:val="20"/>
        </w:trPr>
        <w:tc>
          <w:tcPr>
            <w:tcW w:w="416" w:type="dxa"/>
            <w:tcBorders>
              <w:left w:val="nil"/>
              <w:right w:val="single" w:sz="4" w:space="0" w:color="BFBFBF"/>
            </w:tcBorders>
          </w:tcPr>
          <w:p w14:paraId="226D2F51"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2</w:t>
            </w:r>
          </w:p>
        </w:tc>
        <w:tc>
          <w:tcPr>
            <w:tcW w:w="2607" w:type="dxa"/>
            <w:tcBorders>
              <w:left w:val="single" w:sz="4" w:space="0" w:color="BFBFBF"/>
              <w:right w:val="single" w:sz="4" w:space="0" w:color="auto"/>
            </w:tcBorders>
            <w:noWrap/>
            <w:vAlign w:val="bottom"/>
          </w:tcPr>
          <w:p w14:paraId="51BCFCB5" w14:textId="77777777" w:rsidR="00AB074C" w:rsidRDefault="00AB074C" w:rsidP="00AB074C">
            <w:pPr>
              <w:snapToGrid w:val="0"/>
              <w:rPr>
                <w:rFonts w:eastAsia="新細明體" w:cs="Segoe UI"/>
                <w:color w:val="000000"/>
                <w:sz w:val="17"/>
                <w:szCs w:val="17"/>
                <w:lang w:eastAsia="ja-JP"/>
              </w:rPr>
            </w:pPr>
            <w:r>
              <w:rPr>
                <w:rFonts w:eastAsia="新細明體" w:cs="Segoe UI"/>
                <w:color w:val="000000"/>
                <w:sz w:val="17"/>
                <w:szCs w:val="17"/>
                <w:lang w:eastAsia="en-GB"/>
              </w:rPr>
              <w:t xml:space="preserve">Traditional securitization </w:t>
            </w:r>
          </w:p>
        </w:tc>
        <w:tc>
          <w:tcPr>
            <w:tcW w:w="642" w:type="dxa"/>
            <w:tcBorders>
              <w:left w:val="single" w:sz="4" w:space="0" w:color="auto"/>
              <w:right w:val="single" w:sz="4" w:space="0" w:color="auto"/>
            </w:tcBorders>
            <w:noWrap/>
            <w:vAlign w:val="bottom"/>
          </w:tcPr>
          <w:p w14:paraId="5A379421" w14:textId="77777777" w:rsidR="00AB074C" w:rsidRDefault="00AB074C" w:rsidP="00AB074C">
            <w:pPr>
              <w:snapToGrid w:val="0"/>
              <w:rPr>
                <w:rFonts w:eastAsia="新細明體" w:cs="Segoe UI"/>
                <w:color w:val="000000"/>
                <w:sz w:val="17"/>
                <w:szCs w:val="17"/>
                <w:lang w:eastAsia="en-GB"/>
              </w:rPr>
            </w:pPr>
          </w:p>
        </w:tc>
        <w:tc>
          <w:tcPr>
            <w:tcW w:w="622" w:type="dxa"/>
            <w:tcBorders>
              <w:left w:val="single" w:sz="4" w:space="0" w:color="auto"/>
              <w:right w:val="single" w:sz="4" w:space="0" w:color="auto"/>
            </w:tcBorders>
            <w:noWrap/>
            <w:vAlign w:val="bottom"/>
            <w:hideMark/>
          </w:tcPr>
          <w:p w14:paraId="213A90CE" w14:textId="77777777" w:rsidR="00AB074C" w:rsidRDefault="00AB074C" w:rsidP="00AB074C">
            <w:pPr>
              <w:snapToGrid w:val="0"/>
              <w:rPr>
                <w:rFonts w:eastAsia="新細明體" w:cs="Segoe UI"/>
                <w:color w:val="000000"/>
                <w:sz w:val="17"/>
                <w:szCs w:val="17"/>
                <w:lang w:eastAsia="en-GB"/>
              </w:rPr>
            </w:pPr>
          </w:p>
        </w:tc>
        <w:tc>
          <w:tcPr>
            <w:tcW w:w="664" w:type="dxa"/>
            <w:tcBorders>
              <w:left w:val="single" w:sz="4" w:space="0" w:color="auto"/>
              <w:right w:val="single" w:sz="4" w:space="0" w:color="auto"/>
            </w:tcBorders>
            <w:noWrap/>
            <w:vAlign w:val="bottom"/>
            <w:hideMark/>
          </w:tcPr>
          <w:p w14:paraId="5ED1E801" w14:textId="77777777" w:rsidR="00AB074C" w:rsidRDefault="00AB074C" w:rsidP="00AB074C">
            <w:pPr>
              <w:snapToGrid w:val="0"/>
              <w:rPr>
                <w:rFonts w:eastAsia="新細明體" w:cs="Segoe UI"/>
                <w:color w:val="000000"/>
                <w:sz w:val="17"/>
                <w:szCs w:val="17"/>
                <w:lang w:eastAsia="en-GB"/>
              </w:rPr>
            </w:pPr>
          </w:p>
        </w:tc>
        <w:tc>
          <w:tcPr>
            <w:tcW w:w="753" w:type="dxa"/>
            <w:tcBorders>
              <w:left w:val="single" w:sz="4" w:space="0" w:color="auto"/>
              <w:right w:val="single" w:sz="4" w:space="0" w:color="auto"/>
            </w:tcBorders>
            <w:noWrap/>
            <w:vAlign w:val="bottom"/>
            <w:hideMark/>
          </w:tcPr>
          <w:p w14:paraId="35BE5EE8" w14:textId="77777777" w:rsidR="00AB074C" w:rsidRDefault="00AB074C" w:rsidP="00AB074C">
            <w:pPr>
              <w:snapToGrid w:val="0"/>
              <w:rPr>
                <w:rFonts w:eastAsia="新細明體" w:cs="Segoe UI"/>
                <w:color w:val="000000"/>
                <w:sz w:val="17"/>
                <w:szCs w:val="17"/>
                <w:lang w:eastAsia="en-GB"/>
              </w:rPr>
            </w:pPr>
          </w:p>
        </w:tc>
        <w:tc>
          <w:tcPr>
            <w:tcW w:w="533" w:type="dxa"/>
            <w:tcBorders>
              <w:left w:val="single" w:sz="4" w:space="0" w:color="auto"/>
              <w:right w:val="single" w:sz="4" w:space="0" w:color="auto"/>
            </w:tcBorders>
            <w:noWrap/>
            <w:vAlign w:val="bottom"/>
            <w:hideMark/>
          </w:tcPr>
          <w:p w14:paraId="634BBD60"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6BACF692"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657C320D"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68991608"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53EF0DAB" w14:textId="77777777" w:rsidR="00AB074C" w:rsidRDefault="00AB074C" w:rsidP="00AB074C">
            <w:pPr>
              <w:snapToGrid w:val="0"/>
              <w:rPr>
                <w:rFonts w:eastAsia="新細明體" w:cs="Segoe UI"/>
                <w:color w:val="000000"/>
                <w:sz w:val="17"/>
                <w:szCs w:val="17"/>
                <w:lang w:eastAsia="en-GB"/>
              </w:rPr>
            </w:pPr>
          </w:p>
        </w:tc>
        <w:tc>
          <w:tcPr>
            <w:tcW w:w="637" w:type="dxa"/>
            <w:tcBorders>
              <w:left w:val="single" w:sz="4" w:space="0" w:color="auto"/>
              <w:right w:val="single" w:sz="4" w:space="0" w:color="auto"/>
            </w:tcBorders>
            <w:noWrap/>
            <w:vAlign w:val="bottom"/>
            <w:hideMark/>
          </w:tcPr>
          <w:p w14:paraId="14EC2E05"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43AE2193"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0A4AE13E"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75AFBD05"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right w:val="single" w:sz="4" w:space="0" w:color="auto"/>
            </w:tcBorders>
            <w:vAlign w:val="bottom"/>
          </w:tcPr>
          <w:p w14:paraId="71F35D2D"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right w:val="single" w:sz="4" w:space="0" w:color="auto"/>
            </w:tcBorders>
            <w:vAlign w:val="bottom"/>
          </w:tcPr>
          <w:p w14:paraId="204A8B00"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right w:val="single" w:sz="4" w:space="0" w:color="auto"/>
            </w:tcBorders>
            <w:vAlign w:val="bottom"/>
          </w:tcPr>
          <w:p w14:paraId="66C33805"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right w:val="single" w:sz="4" w:space="0" w:color="auto"/>
            </w:tcBorders>
            <w:vAlign w:val="bottom"/>
          </w:tcPr>
          <w:p w14:paraId="6A48FA6B" w14:textId="77777777" w:rsidR="00AB074C" w:rsidRDefault="00AB074C" w:rsidP="00AB074C">
            <w:pPr>
              <w:snapToGrid w:val="0"/>
              <w:rPr>
                <w:rFonts w:eastAsia="新細明體" w:cs="Segoe UI"/>
                <w:color w:val="000000"/>
                <w:sz w:val="17"/>
                <w:szCs w:val="17"/>
                <w:lang w:eastAsia="en-GB"/>
              </w:rPr>
            </w:pPr>
          </w:p>
        </w:tc>
      </w:tr>
      <w:tr w:rsidR="00AB074C" w14:paraId="75C71F17" w14:textId="77777777" w:rsidTr="00D046C3">
        <w:trPr>
          <w:trHeight w:val="227"/>
        </w:trPr>
        <w:tc>
          <w:tcPr>
            <w:tcW w:w="416" w:type="dxa"/>
            <w:tcBorders>
              <w:left w:val="nil"/>
              <w:right w:val="single" w:sz="4" w:space="0" w:color="BFBFBF"/>
            </w:tcBorders>
          </w:tcPr>
          <w:p w14:paraId="1E09B6FD"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3</w:t>
            </w:r>
          </w:p>
        </w:tc>
        <w:tc>
          <w:tcPr>
            <w:tcW w:w="2607" w:type="dxa"/>
            <w:tcBorders>
              <w:left w:val="single" w:sz="4" w:space="0" w:color="BFBFBF"/>
              <w:right w:val="single" w:sz="4" w:space="0" w:color="auto"/>
            </w:tcBorders>
            <w:noWrap/>
            <w:vAlign w:val="bottom"/>
          </w:tcPr>
          <w:p w14:paraId="75BDDB9A" w14:textId="77777777" w:rsidR="00AB074C" w:rsidRDefault="00AB074C" w:rsidP="00AB074C">
            <w:pPr>
              <w:snapToGrid w:val="0"/>
              <w:ind w:left="113"/>
              <w:rPr>
                <w:rFonts w:eastAsia="新細明體" w:cs="Segoe UI"/>
                <w:color w:val="000000"/>
                <w:sz w:val="17"/>
                <w:szCs w:val="17"/>
                <w:lang w:eastAsia="en-GB"/>
              </w:rPr>
            </w:pPr>
            <w:r>
              <w:rPr>
                <w:rFonts w:eastAsia="新細明體" w:cs="Segoe UI"/>
                <w:color w:val="000000"/>
                <w:sz w:val="17"/>
                <w:szCs w:val="17"/>
                <w:lang w:eastAsia="en-GB"/>
              </w:rPr>
              <w:t>Of which securitization</w:t>
            </w:r>
          </w:p>
        </w:tc>
        <w:tc>
          <w:tcPr>
            <w:tcW w:w="642" w:type="dxa"/>
            <w:tcBorders>
              <w:left w:val="single" w:sz="4" w:space="0" w:color="auto"/>
              <w:right w:val="single" w:sz="4" w:space="0" w:color="auto"/>
            </w:tcBorders>
            <w:noWrap/>
            <w:vAlign w:val="bottom"/>
          </w:tcPr>
          <w:p w14:paraId="0F9E9F08" w14:textId="77777777" w:rsidR="00AB074C" w:rsidRDefault="00AB074C" w:rsidP="00AB074C">
            <w:pPr>
              <w:snapToGrid w:val="0"/>
              <w:rPr>
                <w:rFonts w:eastAsia="新細明體" w:cs="Segoe UI"/>
                <w:color w:val="000000"/>
                <w:sz w:val="17"/>
                <w:szCs w:val="17"/>
                <w:lang w:eastAsia="en-GB"/>
              </w:rPr>
            </w:pPr>
          </w:p>
        </w:tc>
        <w:tc>
          <w:tcPr>
            <w:tcW w:w="622" w:type="dxa"/>
            <w:tcBorders>
              <w:left w:val="single" w:sz="4" w:space="0" w:color="auto"/>
              <w:right w:val="single" w:sz="4" w:space="0" w:color="auto"/>
            </w:tcBorders>
            <w:noWrap/>
            <w:vAlign w:val="bottom"/>
            <w:hideMark/>
          </w:tcPr>
          <w:p w14:paraId="5347A197" w14:textId="77777777" w:rsidR="00AB074C" w:rsidRDefault="00AB074C" w:rsidP="00AB074C">
            <w:pPr>
              <w:snapToGrid w:val="0"/>
              <w:rPr>
                <w:rFonts w:eastAsia="新細明體" w:cs="Segoe UI"/>
                <w:color w:val="000000"/>
                <w:sz w:val="17"/>
                <w:szCs w:val="17"/>
                <w:lang w:eastAsia="en-GB"/>
              </w:rPr>
            </w:pPr>
          </w:p>
        </w:tc>
        <w:tc>
          <w:tcPr>
            <w:tcW w:w="664" w:type="dxa"/>
            <w:tcBorders>
              <w:left w:val="single" w:sz="4" w:space="0" w:color="auto"/>
              <w:right w:val="single" w:sz="4" w:space="0" w:color="auto"/>
            </w:tcBorders>
            <w:noWrap/>
            <w:vAlign w:val="bottom"/>
            <w:hideMark/>
          </w:tcPr>
          <w:p w14:paraId="7E0EF3B8" w14:textId="77777777" w:rsidR="00AB074C" w:rsidRDefault="00AB074C" w:rsidP="00AB074C">
            <w:pPr>
              <w:snapToGrid w:val="0"/>
              <w:rPr>
                <w:rFonts w:eastAsia="新細明體" w:cs="Segoe UI"/>
                <w:color w:val="000000"/>
                <w:sz w:val="17"/>
                <w:szCs w:val="17"/>
                <w:lang w:eastAsia="en-GB"/>
              </w:rPr>
            </w:pPr>
          </w:p>
        </w:tc>
        <w:tc>
          <w:tcPr>
            <w:tcW w:w="753" w:type="dxa"/>
            <w:tcBorders>
              <w:left w:val="single" w:sz="4" w:space="0" w:color="auto"/>
              <w:right w:val="single" w:sz="4" w:space="0" w:color="auto"/>
            </w:tcBorders>
            <w:noWrap/>
            <w:vAlign w:val="bottom"/>
            <w:hideMark/>
          </w:tcPr>
          <w:p w14:paraId="1EA8E031" w14:textId="77777777" w:rsidR="00AB074C" w:rsidRDefault="00AB074C" w:rsidP="00AB074C">
            <w:pPr>
              <w:snapToGrid w:val="0"/>
              <w:rPr>
                <w:rFonts w:eastAsia="新細明體" w:cs="Segoe UI"/>
                <w:color w:val="000000"/>
                <w:sz w:val="17"/>
                <w:szCs w:val="17"/>
                <w:lang w:eastAsia="en-GB"/>
              </w:rPr>
            </w:pPr>
          </w:p>
        </w:tc>
        <w:tc>
          <w:tcPr>
            <w:tcW w:w="533" w:type="dxa"/>
            <w:tcBorders>
              <w:left w:val="single" w:sz="4" w:space="0" w:color="auto"/>
              <w:right w:val="single" w:sz="4" w:space="0" w:color="auto"/>
            </w:tcBorders>
            <w:noWrap/>
            <w:vAlign w:val="bottom"/>
            <w:hideMark/>
          </w:tcPr>
          <w:p w14:paraId="4FAD8580"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4EE76733"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1E6EF85B"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223A72F5"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3758E7D0" w14:textId="77777777" w:rsidR="00AB074C" w:rsidRDefault="00AB074C" w:rsidP="00AB074C">
            <w:pPr>
              <w:snapToGrid w:val="0"/>
              <w:rPr>
                <w:rFonts w:eastAsia="新細明體" w:cs="Segoe UI"/>
                <w:color w:val="000000"/>
                <w:sz w:val="17"/>
                <w:szCs w:val="17"/>
                <w:lang w:eastAsia="en-GB"/>
              </w:rPr>
            </w:pPr>
          </w:p>
        </w:tc>
        <w:tc>
          <w:tcPr>
            <w:tcW w:w="637" w:type="dxa"/>
            <w:tcBorders>
              <w:left w:val="single" w:sz="4" w:space="0" w:color="auto"/>
              <w:right w:val="single" w:sz="4" w:space="0" w:color="auto"/>
            </w:tcBorders>
            <w:noWrap/>
            <w:vAlign w:val="bottom"/>
            <w:hideMark/>
          </w:tcPr>
          <w:p w14:paraId="68C1E2FD"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712DE83D"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09334E52"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10505178"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74522C7A"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0F8133E4"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6AB07722"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0ED7543B" w14:textId="77777777" w:rsidR="00AB074C" w:rsidRDefault="00AB074C" w:rsidP="00AB074C">
            <w:pPr>
              <w:snapToGrid w:val="0"/>
              <w:rPr>
                <w:rFonts w:eastAsia="新細明體" w:cs="Segoe UI"/>
                <w:color w:val="000000"/>
                <w:sz w:val="17"/>
                <w:szCs w:val="17"/>
                <w:lang w:eastAsia="en-GB"/>
              </w:rPr>
            </w:pPr>
          </w:p>
        </w:tc>
      </w:tr>
      <w:tr w:rsidR="00AB074C" w14:paraId="5CAB9BF1" w14:textId="77777777" w:rsidTr="00D046C3">
        <w:trPr>
          <w:trHeight w:val="20"/>
        </w:trPr>
        <w:tc>
          <w:tcPr>
            <w:tcW w:w="416" w:type="dxa"/>
            <w:tcBorders>
              <w:left w:val="nil"/>
              <w:right w:val="single" w:sz="4" w:space="0" w:color="BFBFBF"/>
            </w:tcBorders>
          </w:tcPr>
          <w:p w14:paraId="7300B661"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4</w:t>
            </w:r>
          </w:p>
        </w:tc>
        <w:tc>
          <w:tcPr>
            <w:tcW w:w="2607" w:type="dxa"/>
            <w:tcBorders>
              <w:left w:val="single" w:sz="4" w:space="0" w:color="BFBFBF"/>
              <w:right w:val="single" w:sz="4" w:space="0" w:color="auto"/>
            </w:tcBorders>
            <w:noWrap/>
            <w:vAlign w:val="bottom"/>
            <w:hideMark/>
          </w:tcPr>
          <w:p w14:paraId="7D619F58" w14:textId="77777777" w:rsidR="00AB074C" w:rsidRDefault="00AB074C" w:rsidP="00AB074C">
            <w:pPr>
              <w:snapToGrid w:val="0"/>
              <w:ind w:left="333"/>
              <w:rPr>
                <w:rFonts w:eastAsia="新細明體" w:cs="Segoe UI"/>
                <w:color w:val="000000"/>
                <w:sz w:val="17"/>
                <w:szCs w:val="17"/>
                <w:lang w:eastAsia="en-GB"/>
              </w:rPr>
            </w:pPr>
            <w:r>
              <w:rPr>
                <w:rFonts w:eastAsia="新細明體" w:cs="Segoe UI"/>
                <w:color w:val="000000"/>
                <w:sz w:val="17"/>
                <w:szCs w:val="17"/>
                <w:lang w:eastAsia="en-GB"/>
              </w:rPr>
              <w:t>Of which retail</w:t>
            </w:r>
          </w:p>
        </w:tc>
        <w:tc>
          <w:tcPr>
            <w:tcW w:w="642" w:type="dxa"/>
            <w:tcBorders>
              <w:left w:val="single" w:sz="4" w:space="0" w:color="auto"/>
              <w:right w:val="single" w:sz="4" w:space="0" w:color="auto"/>
            </w:tcBorders>
            <w:noWrap/>
            <w:vAlign w:val="bottom"/>
            <w:hideMark/>
          </w:tcPr>
          <w:p w14:paraId="252AF9C4" w14:textId="77777777" w:rsidR="00AB074C" w:rsidRDefault="00AB074C" w:rsidP="00AB074C">
            <w:pPr>
              <w:snapToGrid w:val="0"/>
              <w:rPr>
                <w:rFonts w:eastAsia="新細明體" w:cs="Segoe UI"/>
                <w:color w:val="000000"/>
                <w:sz w:val="17"/>
                <w:szCs w:val="17"/>
                <w:lang w:eastAsia="en-GB"/>
              </w:rPr>
            </w:pPr>
          </w:p>
        </w:tc>
        <w:tc>
          <w:tcPr>
            <w:tcW w:w="622" w:type="dxa"/>
            <w:tcBorders>
              <w:left w:val="single" w:sz="4" w:space="0" w:color="auto"/>
              <w:right w:val="single" w:sz="4" w:space="0" w:color="auto"/>
            </w:tcBorders>
            <w:noWrap/>
            <w:vAlign w:val="bottom"/>
            <w:hideMark/>
          </w:tcPr>
          <w:p w14:paraId="7CBCA559" w14:textId="77777777" w:rsidR="00AB074C" w:rsidRDefault="00AB074C" w:rsidP="00AB074C">
            <w:pPr>
              <w:snapToGrid w:val="0"/>
              <w:rPr>
                <w:rFonts w:eastAsia="新細明體" w:cs="Segoe UI"/>
                <w:color w:val="000000"/>
                <w:sz w:val="17"/>
                <w:szCs w:val="17"/>
                <w:lang w:eastAsia="en-GB"/>
              </w:rPr>
            </w:pPr>
          </w:p>
        </w:tc>
        <w:tc>
          <w:tcPr>
            <w:tcW w:w="664" w:type="dxa"/>
            <w:tcBorders>
              <w:left w:val="single" w:sz="4" w:space="0" w:color="auto"/>
              <w:right w:val="single" w:sz="4" w:space="0" w:color="auto"/>
            </w:tcBorders>
            <w:noWrap/>
            <w:vAlign w:val="bottom"/>
            <w:hideMark/>
          </w:tcPr>
          <w:p w14:paraId="6C203CAB" w14:textId="77777777" w:rsidR="00AB074C" w:rsidRDefault="00AB074C" w:rsidP="00AB074C">
            <w:pPr>
              <w:snapToGrid w:val="0"/>
              <w:rPr>
                <w:rFonts w:eastAsia="新細明體" w:cs="Segoe UI"/>
                <w:color w:val="000000"/>
                <w:sz w:val="17"/>
                <w:szCs w:val="17"/>
                <w:lang w:eastAsia="en-GB"/>
              </w:rPr>
            </w:pPr>
          </w:p>
        </w:tc>
        <w:tc>
          <w:tcPr>
            <w:tcW w:w="753" w:type="dxa"/>
            <w:tcBorders>
              <w:left w:val="single" w:sz="4" w:space="0" w:color="auto"/>
              <w:right w:val="single" w:sz="4" w:space="0" w:color="auto"/>
            </w:tcBorders>
            <w:noWrap/>
            <w:vAlign w:val="bottom"/>
            <w:hideMark/>
          </w:tcPr>
          <w:p w14:paraId="2BC45758" w14:textId="77777777" w:rsidR="00AB074C" w:rsidRDefault="00AB074C" w:rsidP="00AB074C">
            <w:pPr>
              <w:snapToGrid w:val="0"/>
              <w:rPr>
                <w:rFonts w:eastAsia="新細明體" w:cs="Segoe UI"/>
                <w:color w:val="000000"/>
                <w:sz w:val="17"/>
                <w:szCs w:val="17"/>
                <w:lang w:eastAsia="en-GB"/>
              </w:rPr>
            </w:pPr>
          </w:p>
        </w:tc>
        <w:tc>
          <w:tcPr>
            <w:tcW w:w="533" w:type="dxa"/>
            <w:tcBorders>
              <w:left w:val="single" w:sz="4" w:space="0" w:color="auto"/>
              <w:right w:val="single" w:sz="4" w:space="0" w:color="auto"/>
            </w:tcBorders>
            <w:noWrap/>
            <w:vAlign w:val="bottom"/>
            <w:hideMark/>
          </w:tcPr>
          <w:p w14:paraId="2657A21D"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0AF2EF88"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24DBE257"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2286E458"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hideMark/>
          </w:tcPr>
          <w:p w14:paraId="2BF2DB69" w14:textId="77777777" w:rsidR="00AB074C" w:rsidRDefault="00AB074C" w:rsidP="00AB074C">
            <w:pPr>
              <w:snapToGrid w:val="0"/>
              <w:rPr>
                <w:rFonts w:eastAsia="新細明體" w:cs="Segoe UI"/>
                <w:color w:val="000000"/>
                <w:sz w:val="17"/>
                <w:szCs w:val="17"/>
                <w:lang w:eastAsia="en-GB"/>
              </w:rPr>
            </w:pPr>
          </w:p>
        </w:tc>
        <w:tc>
          <w:tcPr>
            <w:tcW w:w="637" w:type="dxa"/>
            <w:tcBorders>
              <w:left w:val="single" w:sz="4" w:space="0" w:color="auto"/>
              <w:right w:val="single" w:sz="4" w:space="0" w:color="auto"/>
            </w:tcBorders>
            <w:noWrap/>
            <w:vAlign w:val="bottom"/>
            <w:hideMark/>
          </w:tcPr>
          <w:p w14:paraId="1ED82403"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64EA4AE6"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0B484228"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6E1EC1E2"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2D00F4A3"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18B5DCAC"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13DF6297"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7BD605DB" w14:textId="77777777" w:rsidR="00AB074C" w:rsidRDefault="00AB074C" w:rsidP="00AB074C">
            <w:pPr>
              <w:snapToGrid w:val="0"/>
              <w:rPr>
                <w:rFonts w:eastAsia="新細明體" w:cs="Segoe UI"/>
                <w:color w:val="000000"/>
                <w:sz w:val="17"/>
                <w:szCs w:val="17"/>
                <w:lang w:eastAsia="en-GB"/>
              </w:rPr>
            </w:pPr>
          </w:p>
        </w:tc>
      </w:tr>
      <w:tr w:rsidR="00AB074C" w14:paraId="7DA41651" w14:textId="77777777" w:rsidTr="00AB074C">
        <w:trPr>
          <w:trHeight w:val="20"/>
        </w:trPr>
        <w:tc>
          <w:tcPr>
            <w:tcW w:w="416" w:type="dxa"/>
            <w:tcBorders>
              <w:left w:val="nil"/>
              <w:right w:val="single" w:sz="4" w:space="0" w:color="BFBFBF"/>
            </w:tcBorders>
          </w:tcPr>
          <w:p w14:paraId="3E8A5048"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5</w:t>
            </w:r>
          </w:p>
        </w:tc>
        <w:tc>
          <w:tcPr>
            <w:tcW w:w="2607" w:type="dxa"/>
            <w:tcBorders>
              <w:left w:val="single" w:sz="4" w:space="0" w:color="BFBFBF"/>
              <w:right w:val="single" w:sz="4" w:space="0" w:color="auto"/>
            </w:tcBorders>
            <w:noWrap/>
            <w:vAlign w:val="bottom"/>
          </w:tcPr>
          <w:p w14:paraId="5B36AAED" w14:textId="77777777" w:rsidR="00AB074C" w:rsidRDefault="00AB074C" w:rsidP="00AB074C">
            <w:pPr>
              <w:snapToGrid w:val="0"/>
              <w:ind w:left="609"/>
              <w:rPr>
                <w:rFonts w:eastAsia="新細明體" w:cs="Segoe UI"/>
                <w:color w:val="000000"/>
                <w:sz w:val="17"/>
                <w:szCs w:val="17"/>
                <w:lang w:eastAsia="en-GB"/>
              </w:rPr>
            </w:pPr>
            <w:r>
              <w:rPr>
                <w:rFonts w:eastAsia="新細明體" w:cs="Segoe UI"/>
                <w:color w:val="000000"/>
                <w:sz w:val="17"/>
                <w:szCs w:val="17"/>
                <w:lang w:eastAsia="en-GB"/>
              </w:rPr>
              <w:t>Of which simple, transparent and comparable</w:t>
            </w:r>
          </w:p>
        </w:tc>
        <w:tc>
          <w:tcPr>
            <w:tcW w:w="10869" w:type="dxa"/>
            <w:gridSpan w:val="17"/>
            <w:tcBorders>
              <w:left w:val="single" w:sz="4" w:space="0" w:color="auto"/>
              <w:right w:val="single" w:sz="4" w:space="0" w:color="auto"/>
            </w:tcBorders>
            <w:shd w:val="clear" w:color="auto" w:fill="BFBFBF"/>
            <w:noWrap/>
            <w:vAlign w:val="bottom"/>
          </w:tcPr>
          <w:p w14:paraId="5B483EF5"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N/A</w:t>
            </w:r>
          </w:p>
        </w:tc>
      </w:tr>
      <w:tr w:rsidR="00AB074C" w14:paraId="110C0963" w14:textId="77777777" w:rsidTr="00D046C3">
        <w:trPr>
          <w:trHeight w:val="20"/>
        </w:trPr>
        <w:tc>
          <w:tcPr>
            <w:tcW w:w="416" w:type="dxa"/>
            <w:tcBorders>
              <w:left w:val="nil"/>
              <w:right w:val="single" w:sz="4" w:space="0" w:color="BFBFBF"/>
            </w:tcBorders>
          </w:tcPr>
          <w:p w14:paraId="1AF90F0C" w14:textId="52262DAE"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6</w:t>
            </w:r>
          </w:p>
        </w:tc>
        <w:tc>
          <w:tcPr>
            <w:tcW w:w="2607" w:type="dxa"/>
            <w:tcBorders>
              <w:left w:val="single" w:sz="4" w:space="0" w:color="BFBFBF"/>
              <w:right w:val="single" w:sz="4" w:space="0" w:color="auto"/>
            </w:tcBorders>
            <w:noWrap/>
            <w:vAlign w:val="bottom"/>
          </w:tcPr>
          <w:p w14:paraId="5FC30F4E" w14:textId="77777777" w:rsidR="00AB074C" w:rsidRDefault="00AB074C" w:rsidP="00AB074C">
            <w:pPr>
              <w:snapToGrid w:val="0"/>
              <w:ind w:left="333"/>
              <w:rPr>
                <w:rFonts w:eastAsia="新細明體" w:cs="Segoe UI"/>
                <w:color w:val="000000"/>
                <w:sz w:val="17"/>
                <w:szCs w:val="17"/>
                <w:lang w:eastAsia="en-GB"/>
              </w:rPr>
            </w:pPr>
            <w:r>
              <w:rPr>
                <w:rFonts w:eastAsia="新細明體" w:cs="Segoe UI"/>
                <w:color w:val="000000"/>
                <w:sz w:val="17"/>
                <w:szCs w:val="17"/>
                <w:lang w:eastAsia="en-GB"/>
              </w:rPr>
              <w:t>Of which wholesale</w:t>
            </w:r>
          </w:p>
        </w:tc>
        <w:tc>
          <w:tcPr>
            <w:tcW w:w="642" w:type="dxa"/>
            <w:tcBorders>
              <w:left w:val="single" w:sz="4" w:space="0" w:color="auto"/>
              <w:right w:val="single" w:sz="4" w:space="0" w:color="auto"/>
            </w:tcBorders>
            <w:noWrap/>
            <w:vAlign w:val="bottom"/>
          </w:tcPr>
          <w:p w14:paraId="592F1C45" w14:textId="77777777" w:rsidR="00AB074C" w:rsidRDefault="00AB074C" w:rsidP="00AB074C">
            <w:pPr>
              <w:snapToGrid w:val="0"/>
              <w:rPr>
                <w:rFonts w:eastAsia="新細明體" w:cs="Segoe UI"/>
                <w:color w:val="000000"/>
                <w:sz w:val="17"/>
                <w:szCs w:val="17"/>
                <w:lang w:eastAsia="en-GB"/>
              </w:rPr>
            </w:pPr>
          </w:p>
        </w:tc>
        <w:tc>
          <w:tcPr>
            <w:tcW w:w="622" w:type="dxa"/>
            <w:tcBorders>
              <w:left w:val="single" w:sz="4" w:space="0" w:color="auto"/>
              <w:right w:val="single" w:sz="4" w:space="0" w:color="auto"/>
            </w:tcBorders>
            <w:noWrap/>
            <w:vAlign w:val="bottom"/>
          </w:tcPr>
          <w:p w14:paraId="7F5C6359" w14:textId="77777777" w:rsidR="00AB074C" w:rsidRDefault="00AB074C" w:rsidP="00AB074C">
            <w:pPr>
              <w:snapToGrid w:val="0"/>
              <w:rPr>
                <w:rFonts w:eastAsia="新細明體" w:cs="Segoe UI"/>
                <w:color w:val="000000"/>
                <w:sz w:val="17"/>
                <w:szCs w:val="17"/>
                <w:lang w:eastAsia="en-GB"/>
              </w:rPr>
            </w:pPr>
          </w:p>
        </w:tc>
        <w:tc>
          <w:tcPr>
            <w:tcW w:w="664" w:type="dxa"/>
            <w:tcBorders>
              <w:left w:val="single" w:sz="4" w:space="0" w:color="auto"/>
              <w:right w:val="single" w:sz="4" w:space="0" w:color="auto"/>
            </w:tcBorders>
            <w:noWrap/>
            <w:vAlign w:val="bottom"/>
          </w:tcPr>
          <w:p w14:paraId="165C36D5" w14:textId="77777777" w:rsidR="00AB074C" w:rsidRDefault="00AB074C" w:rsidP="00AB074C">
            <w:pPr>
              <w:snapToGrid w:val="0"/>
              <w:rPr>
                <w:rFonts w:eastAsia="新細明體" w:cs="Segoe UI"/>
                <w:color w:val="000000"/>
                <w:sz w:val="17"/>
                <w:szCs w:val="17"/>
                <w:lang w:eastAsia="en-GB"/>
              </w:rPr>
            </w:pPr>
          </w:p>
        </w:tc>
        <w:tc>
          <w:tcPr>
            <w:tcW w:w="753" w:type="dxa"/>
            <w:tcBorders>
              <w:left w:val="single" w:sz="4" w:space="0" w:color="auto"/>
              <w:right w:val="single" w:sz="4" w:space="0" w:color="auto"/>
            </w:tcBorders>
            <w:noWrap/>
            <w:vAlign w:val="bottom"/>
          </w:tcPr>
          <w:p w14:paraId="6AB059A0" w14:textId="77777777" w:rsidR="00AB074C" w:rsidRDefault="00AB074C" w:rsidP="00AB074C">
            <w:pPr>
              <w:snapToGrid w:val="0"/>
              <w:rPr>
                <w:rFonts w:eastAsia="新細明體" w:cs="Segoe UI"/>
                <w:color w:val="000000"/>
                <w:sz w:val="17"/>
                <w:szCs w:val="17"/>
                <w:lang w:eastAsia="en-GB"/>
              </w:rPr>
            </w:pPr>
          </w:p>
        </w:tc>
        <w:tc>
          <w:tcPr>
            <w:tcW w:w="533" w:type="dxa"/>
            <w:tcBorders>
              <w:left w:val="single" w:sz="4" w:space="0" w:color="auto"/>
              <w:right w:val="single" w:sz="4" w:space="0" w:color="auto"/>
            </w:tcBorders>
            <w:noWrap/>
            <w:vAlign w:val="bottom"/>
          </w:tcPr>
          <w:p w14:paraId="0A6B3D93"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tcPr>
          <w:p w14:paraId="4F25D9D6"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tcPr>
          <w:p w14:paraId="7A22D1BD"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tcPr>
          <w:p w14:paraId="24D52830"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tcPr>
          <w:p w14:paraId="20737BE7" w14:textId="77777777" w:rsidR="00AB074C" w:rsidRDefault="00AB074C" w:rsidP="00AB074C">
            <w:pPr>
              <w:snapToGrid w:val="0"/>
              <w:rPr>
                <w:rFonts w:eastAsia="新細明體" w:cs="Segoe UI"/>
                <w:color w:val="000000"/>
                <w:sz w:val="17"/>
                <w:szCs w:val="17"/>
                <w:lang w:eastAsia="en-GB"/>
              </w:rPr>
            </w:pPr>
          </w:p>
        </w:tc>
        <w:tc>
          <w:tcPr>
            <w:tcW w:w="637" w:type="dxa"/>
            <w:tcBorders>
              <w:left w:val="single" w:sz="4" w:space="0" w:color="auto"/>
              <w:right w:val="single" w:sz="4" w:space="0" w:color="auto"/>
            </w:tcBorders>
            <w:noWrap/>
            <w:vAlign w:val="bottom"/>
          </w:tcPr>
          <w:p w14:paraId="096504D1"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03768CBD"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7601D4B9"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3F4AA189"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2D23E701"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5561C9DC"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2389D51D"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79C18B5B" w14:textId="77777777" w:rsidR="00AB074C" w:rsidRDefault="00AB074C" w:rsidP="00AB074C">
            <w:pPr>
              <w:snapToGrid w:val="0"/>
              <w:rPr>
                <w:rFonts w:eastAsia="新細明體" w:cs="Segoe UI"/>
                <w:color w:val="000000"/>
                <w:sz w:val="17"/>
                <w:szCs w:val="17"/>
                <w:lang w:eastAsia="en-GB"/>
              </w:rPr>
            </w:pPr>
          </w:p>
        </w:tc>
      </w:tr>
      <w:tr w:rsidR="00AB074C" w14:paraId="099A3E19" w14:textId="77777777" w:rsidTr="00AB074C">
        <w:trPr>
          <w:trHeight w:val="20"/>
        </w:trPr>
        <w:tc>
          <w:tcPr>
            <w:tcW w:w="416" w:type="dxa"/>
            <w:tcBorders>
              <w:left w:val="nil"/>
              <w:right w:val="single" w:sz="4" w:space="0" w:color="BFBFBF"/>
            </w:tcBorders>
          </w:tcPr>
          <w:p w14:paraId="15D0E107" w14:textId="77777777" w:rsidR="00AB074C" w:rsidDel="00A5018E"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lastRenderedPageBreak/>
              <w:t>7</w:t>
            </w:r>
          </w:p>
        </w:tc>
        <w:tc>
          <w:tcPr>
            <w:tcW w:w="2607" w:type="dxa"/>
            <w:tcBorders>
              <w:left w:val="single" w:sz="4" w:space="0" w:color="BFBFBF"/>
              <w:right w:val="single" w:sz="4" w:space="0" w:color="auto"/>
            </w:tcBorders>
            <w:noWrap/>
            <w:vAlign w:val="bottom"/>
          </w:tcPr>
          <w:p w14:paraId="095576A7" w14:textId="77777777" w:rsidR="00AB074C" w:rsidRDefault="00AB074C" w:rsidP="00AB074C">
            <w:pPr>
              <w:snapToGrid w:val="0"/>
              <w:ind w:left="609"/>
              <w:rPr>
                <w:rFonts w:eastAsia="新細明體" w:cs="Segoe UI"/>
                <w:color w:val="000000"/>
                <w:sz w:val="17"/>
                <w:szCs w:val="17"/>
                <w:lang w:eastAsia="en-GB"/>
              </w:rPr>
            </w:pPr>
            <w:r>
              <w:rPr>
                <w:rFonts w:eastAsia="新細明體" w:cs="Segoe UI"/>
                <w:color w:val="000000"/>
                <w:sz w:val="17"/>
                <w:szCs w:val="17"/>
                <w:lang w:eastAsia="en-GB"/>
              </w:rPr>
              <w:t>Of which simple, transparent and comparable</w:t>
            </w:r>
          </w:p>
        </w:tc>
        <w:tc>
          <w:tcPr>
            <w:tcW w:w="10869" w:type="dxa"/>
            <w:gridSpan w:val="17"/>
            <w:tcBorders>
              <w:left w:val="single" w:sz="4" w:space="0" w:color="auto"/>
              <w:right w:val="single" w:sz="4" w:space="0" w:color="auto"/>
            </w:tcBorders>
            <w:shd w:val="clear" w:color="auto" w:fill="BFBFBF"/>
            <w:noWrap/>
            <w:vAlign w:val="bottom"/>
          </w:tcPr>
          <w:p w14:paraId="2EB5A57B"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N/A</w:t>
            </w:r>
          </w:p>
        </w:tc>
      </w:tr>
      <w:tr w:rsidR="00AB074C" w14:paraId="19191B80" w14:textId="77777777" w:rsidTr="00D046C3">
        <w:trPr>
          <w:trHeight w:val="20"/>
        </w:trPr>
        <w:tc>
          <w:tcPr>
            <w:tcW w:w="416" w:type="dxa"/>
            <w:tcBorders>
              <w:left w:val="nil"/>
              <w:right w:val="single" w:sz="4" w:space="0" w:color="BFBFBF"/>
            </w:tcBorders>
          </w:tcPr>
          <w:p w14:paraId="7D4CF376" w14:textId="1DB35FE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8</w:t>
            </w:r>
          </w:p>
        </w:tc>
        <w:tc>
          <w:tcPr>
            <w:tcW w:w="2607" w:type="dxa"/>
            <w:tcBorders>
              <w:left w:val="single" w:sz="4" w:space="0" w:color="BFBFBF"/>
              <w:right w:val="single" w:sz="4" w:space="0" w:color="auto"/>
            </w:tcBorders>
            <w:noWrap/>
            <w:vAlign w:val="bottom"/>
          </w:tcPr>
          <w:p w14:paraId="0C24E06B" w14:textId="77777777" w:rsidR="00AB074C" w:rsidRDefault="00AB074C" w:rsidP="00AB074C">
            <w:pPr>
              <w:snapToGrid w:val="0"/>
              <w:ind w:left="113"/>
              <w:rPr>
                <w:rFonts w:eastAsia="新細明體" w:cs="Segoe UI"/>
                <w:color w:val="000000"/>
                <w:sz w:val="17"/>
                <w:szCs w:val="17"/>
                <w:lang w:eastAsia="en-GB"/>
              </w:rPr>
            </w:pPr>
            <w:r>
              <w:rPr>
                <w:rFonts w:eastAsia="新細明體" w:cs="Segoe UI"/>
                <w:color w:val="000000"/>
                <w:sz w:val="17"/>
                <w:szCs w:val="17"/>
                <w:lang w:eastAsia="en-GB"/>
              </w:rPr>
              <w:t>Of which re-securitization</w:t>
            </w:r>
          </w:p>
        </w:tc>
        <w:tc>
          <w:tcPr>
            <w:tcW w:w="642" w:type="dxa"/>
            <w:tcBorders>
              <w:left w:val="single" w:sz="4" w:space="0" w:color="auto"/>
              <w:right w:val="single" w:sz="4" w:space="0" w:color="auto"/>
            </w:tcBorders>
            <w:noWrap/>
            <w:vAlign w:val="bottom"/>
          </w:tcPr>
          <w:p w14:paraId="7DC227BC" w14:textId="77777777" w:rsidR="00AB074C" w:rsidRDefault="00AB074C" w:rsidP="00AB074C">
            <w:pPr>
              <w:snapToGrid w:val="0"/>
              <w:rPr>
                <w:rFonts w:eastAsia="新細明體" w:cs="Segoe UI"/>
                <w:color w:val="000000"/>
                <w:sz w:val="17"/>
                <w:szCs w:val="17"/>
                <w:lang w:eastAsia="en-GB"/>
              </w:rPr>
            </w:pPr>
          </w:p>
        </w:tc>
        <w:tc>
          <w:tcPr>
            <w:tcW w:w="622" w:type="dxa"/>
            <w:tcBorders>
              <w:left w:val="single" w:sz="4" w:space="0" w:color="auto"/>
              <w:right w:val="single" w:sz="4" w:space="0" w:color="auto"/>
            </w:tcBorders>
            <w:noWrap/>
            <w:vAlign w:val="bottom"/>
          </w:tcPr>
          <w:p w14:paraId="1C7B4059" w14:textId="77777777" w:rsidR="00AB074C" w:rsidRDefault="00AB074C" w:rsidP="00AB074C">
            <w:pPr>
              <w:snapToGrid w:val="0"/>
              <w:rPr>
                <w:rFonts w:eastAsia="新細明體" w:cs="Segoe UI"/>
                <w:color w:val="000000"/>
                <w:sz w:val="17"/>
                <w:szCs w:val="17"/>
                <w:lang w:eastAsia="en-GB"/>
              </w:rPr>
            </w:pPr>
          </w:p>
        </w:tc>
        <w:tc>
          <w:tcPr>
            <w:tcW w:w="664" w:type="dxa"/>
            <w:tcBorders>
              <w:left w:val="single" w:sz="4" w:space="0" w:color="auto"/>
              <w:right w:val="single" w:sz="4" w:space="0" w:color="auto"/>
            </w:tcBorders>
            <w:noWrap/>
            <w:vAlign w:val="bottom"/>
          </w:tcPr>
          <w:p w14:paraId="3F606349" w14:textId="77777777" w:rsidR="00AB074C" w:rsidRDefault="00AB074C" w:rsidP="00AB074C">
            <w:pPr>
              <w:snapToGrid w:val="0"/>
              <w:rPr>
                <w:rFonts w:eastAsia="新細明體" w:cs="Segoe UI"/>
                <w:color w:val="000000"/>
                <w:sz w:val="17"/>
                <w:szCs w:val="17"/>
                <w:lang w:eastAsia="en-GB"/>
              </w:rPr>
            </w:pPr>
          </w:p>
        </w:tc>
        <w:tc>
          <w:tcPr>
            <w:tcW w:w="753" w:type="dxa"/>
            <w:tcBorders>
              <w:left w:val="single" w:sz="4" w:space="0" w:color="auto"/>
              <w:right w:val="single" w:sz="4" w:space="0" w:color="auto"/>
            </w:tcBorders>
            <w:noWrap/>
            <w:vAlign w:val="bottom"/>
          </w:tcPr>
          <w:p w14:paraId="6FCDAFE6" w14:textId="77777777" w:rsidR="00AB074C" w:rsidRDefault="00AB074C" w:rsidP="00AB074C">
            <w:pPr>
              <w:snapToGrid w:val="0"/>
              <w:rPr>
                <w:rFonts w:eastAsia="新細明體" w:cs="Segoe UI"/>
                <w:color w:val="000000"/>
                <w:sz w:val="17"/>
                <w:szCs w:val="17"/>
                <w:lang w:eastAsia="en-GB"/>
              </w:rPr>
            </w:pPr>
          </w:p>
        </w:tc>
        <w:tc>
          <w:tcPr>
            <w:tcW w:w="533" w:type="dxa"/>
            <w:tcBorders>
              <w:left w:val="single" w:sz="4" w:space="0" w:color="auto"/>
              <w:right w:val="single" w:sz="4" w:space="0" w:color="auto"/>
            </w:tcBorders>
            <w:noWrap/>
            <w:vAlign w:val="bottom"/>
          </w:tcPr>
          <w:p w14:paraId="40E1F63A"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tcPr>
          <w:p w14:paraId="37AFE9A9"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tcPr>
          <w:p w14:paraId="72A3C305"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tcPr>
          <w:p w14:paraId="0F7D93BA"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noWrap/>
            <w:vAlign w:val="bottom"/>
          </w:tcPr>
          <w:p w14:paraId="5F98F240" w14:textId="77777777" w:rsidR="00AB074C" w:rsidRDefault="00AB074C" w:rsidP="00AB074C">
            <w:pPr>
              <w:snapToGrid w:val="0"/>
              <w:rPr>
                <w:rFonts w:eastAsia="新細明體" w:cs="Segoe UI"/>
                <w:color w:val="000000"/>
                <w:sz w:val="17"/>
                <w:szCs w:val="17"/>
                <w:lang w:eastAsia="en-GB"/>
              </w:rPr>
            </w:pPr>
          </w:p>
        </w:tc>
        <w:tc>
          <w:tcPr>
            <w:tcW w:w="637" w:type="dxa"/>
            <w:tcBorders>
              <w:left w:val="single" w:sz="4" w:space="0" w:color="auto"/>
              <w:right w:val="single" w:sz="4" w:space="0" w:color="auto"/>
            </w:tcBorders>
            <w:noWrap/>
            <w:vAlign w:val="bottom"/>
          </w:tcPr>
          <w:p w14:paraId="09927D7C"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53E4B7AA"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0866E8C0"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6EFBC81E"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4C3913D8"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44BB2381"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5A4DE421" w14:textId="77777777" w:rsidR="00AB074C" w:rsidRDefault="00AB074C" w:rsidP="00AB074C">
            <w:pPr>
              <w:snapToGrid w:val="0"/>
              <w:rPr>
                <w:rFonts w:eastAsia="新細明體" w:cs="Segoe UI"/>
                <w:color w:val="000000"/>
                <w:sz w:val="17"/>
                <w:szCs w:val="17"/>
                <w:lang w:eastAsia="en-GB"/>
              </w:rPr>
            </w:pPr>
          </w:p>
        </w:tc>
        <w:tc>
          <w:tcPr>
            <w:tcW w:w="638" w:type="dxa"/>
            <w:tcBorders>
              <w:left w:val="single" w:sz="4" w:space="0" w:color="auto"/>
              <w:right w:val="single" w:sz="4" w:space="0" w:color="auto"/>
            </w:tcBorders>
            <w:vAlign w:val="bottom"/>
          </w:tcPr>
          <w:p w14:paraId="79359EC6" w14:textId="77777777" w:rsidR="00AB074C" w:rsidRDefault="00AB074C" w:rsidP="00AB074C">
            <w:pPr>
              <w:snapToGrid w:val="0"/>
              <w:rPr>
                <w:rFonts w:eastAsia="新細明體" w:cs="Segoe UI"/>
                <w:color w:val="000000"/>
                <w:sz w:val="17"/>
                <w:szCs w:val="17"/>
                <w:lang w:eastAsia="en-GB"/>
              </w:rPr>
            </w:pPr>
          </w:p>
        </w:tc>
      </w:tr>
      <w:tr w:rsidR="00AB074C" w14:paraId="4401CE51" w14:textId="77777777" w:rsidTr="00D046C3">
        <w:trPr>
          <w:trHeight w:val="20"/>
        </w:trPr>
        <w:tc>
          <w:tcPr>
            <w:tcW w:w="416" w:type="dxa"/>
            <w:tcBorders>
              <w:top w:val="single" w:sz="4" w:space="0" w:color="BFBFBF"/>
              <w:left w:val="nil"/>
              <w:bottom w:val="single" w:sz="4" w:space="0" w:color="BFBFBF"/>
              <w:right w:val="single" w:sz="4" w:space="0" w:color="BFBFBF"/>
            </w:tcBorders>
          </w:tcPr>
          <w:p w14:paraId="6BAF8227"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9</w:t>
            </w:r>
          </w:p>
        </w:tc>
        <w:tc>
          <w:tcPr>
            <w:tcW w:w="2607" w:type="dxa"/>
            <w:tcBorders>
              <w:top w:val="single" w:sz="4" w:space="0" w:color="BFBFBF"/>
              <w:left w:val="single" w:sz="4" w:space="0" w:color="BFBFBF"/>
              <w:bottom w:val="single" w:sz="4" w:space="0" w:color="BFBFBF"/>
              <w:right w:val="single" w:sz="4" w:space="0" w:color="auto"/>
            </w:tcBorders>
            <w:noWrap/>
            <w:vAlign w:val="bottom"/>
          </w:tcPr>
          <w:p w14:paraId="4720FB98" w14:textId="77777777" w:rsidR="00AB074C" w:rsidRDefault="00AB074C" w:rsidP="00AB074C">
            <w:pPr>
              <w:snapToGrid w:val="0"/>
              <w:rPr>
                <w:rFonts w:eastAsia="新細明體" w:cs="Segoe UI"/>
                <w:color w:val="000000"/>
                <w:sz w:val="17"/>
                <w:szCs w:val="17"/>
                <w:lang w:eastAsia="ja-JP"/>
              </w:rPr>
            </w:pPr>
            <w:r>
              <w:rPr>
                <w:rFonts w:eastAsia="新細明體" w:cs="Segoe UI"/>
                <w:color w:val="000000"/>
                <w:sz w:val="17"/>
                <w:szCs w:val="17"/>
                <w:lang w:eastAsia="en-GB"/>
              </w:rPr>
              <w:t xml:space="preserve">Synthetic securitization </w:t>
            </w:r>
          </w:p>
        </w:tc>
        <w:tc>
          <w:tcPr>
            <w:tcW w:w="642" w:type="dxa"/>
            <w:tcBorders>
              <w:top w:val="single" w:sz="4" w:space="0" w:color="BFBFBF"/>
              <w:left w:val="single" w:sz="4" w:space="0" w:color="auto"/>
              <w:bottom w:val="single" w:sz="4" w:space="0" w:color="BFBFBF"/>
              <w:right w:val="single" w:sz="4" w:space="0" w:color="auto"/>
            </w:tcBorders>
            <w:noWrap/>
            <w:vAlign w:val="bottom"/>
          </w:tcPr>
          <w:p w14:paraId="5760CDF5" w14:textId="77777777" w:rsidR="00AB074C" w:rsidRDefault="00AB074C" w:rsidP="00AB074C">
            <w:pPr>
              <w:snapToGrid w:val="0"/>
              <w:rPr>
                <w:rFonts w:eastAsia="新細明體" w:cs="Segoe UI"/>
                <w:color w:val="000000"/>
                <w:sz w:val="17"/>
                <w:szCs w:val="17"/>
                <w:lang w:eastAsia="en-GB"/>
              </w:rPr>
            </w:pPr>
          </w:p>
        </w:tc>
        <w:tc>
          <w:tcPr>
            <w:tcW w:w="622" w:type="dxa"/>
            <w:tcBorders>
              <w:top w:val="single" w:sz="4" w:space="0" w:color="BFBFBF"/>
              <w:left w:val="single" w:sz="4" w:space="0" w:color="auto"/>
              <w:bottom w:val="single" w:sz="4" w:space="0" w:color="BFBFBF"/>
              <w:right w:val="single" w:sz="4" w:space="0" w:color="auto"/>
            </w:tcBorders>
            <w:noWrap/>
            <w:vAlign w:val="bottom"/>
          </w:tcPr>
          <w:p w14:paraId="37CA24BE" w14:textId="77777777" w:rsidR="00AB074C" w:rsidRDefault="00AB074C" w:rsidP="00AB074C">
            <w:pPr>
              <w:snapToGrid w:val="0"/>
              <w:rPr>
                <w:rFonts w:eastAsia="新細明體" w:cs="Segoe UI"/>
                <w:color w:val="000000"/>
                <w:sz w:val="17"/>
                <w:szCs w:val="17"/>
                <w:lang w:eastAsia="en-GB"/>
              </w:rPr>
            </w:pPr>
          </w:p>
        </w:tc>
        <w:tc>
          <w:tcPr>
            <w:tcW w:w="664" w:type="dxa"/>
            <w:tcBorders>
              <w:top w:val="single" w:sz="4" w:space="0" w:color="BFBFBF"/>
              <w:left w:val="single" w:sz="4" w:space="0" w:color="auto"/>
              <w:bottom w:val="single" w:sz="4" w:space="0" w:color="BFBFBF"/>
              <w:right w:val="single" w:sz="4" w:space="0" w:color="auto"/>
            </w:tcBorders>
            <w:noWrap/>
            <w:vAlign w:val="bottom"/>
          </w:tcPr>
          <w:p w14:paraId="60F066B6" w14:textId="77777777" w:rsidR="00AB074C" w:rsidRDefault="00AB074C" w:rsidP="00AB074C">
            <w:pPr>
              <w:snapToGrid w:val="0"/>
              <w:rPr>
                <w:rFonts w:eastAsia="新細明體" w:cs="Segoe UI"/>
                <w:color w:val="000000"/>
                <w:sz w:val="17"/>
                <w:szCs w:val="17"/>
                <w:lang w:eastAsia="en-GB"/>
              </w:rPr>
            </w:pPr>
          </w:p>
        </w:tc>
        <w:tc>
          <w:tcPr>
            <w:tcW w:w="753" w:type="dxa"/>
            <w:tcBorders>
              <w:top w:val="single" w:sz="4" w:space="0" w:color="BFBFBF"/>
              <w:left w:val="single" w:sz="4" w:space="0" w:color="auto"/>
              <w:bottom w:val="single" w:sz="4" w:space="0" w:color="BFBFBF"/>
              <w:right w:val="single" w:sz="4" w:space="0" w:color="auto"/>
            </w:tcBorders>
            <w:noWrap/>
            <w:vAlign w:val="bottom"/>
          </w:tcPr>
          <w:p w14:paraId="01A13E38" w14:textId="77777777" w:rsidR="00AB074C" w:rsidRDefault="00AB074C" w:rsidP="00AB074C">
            <w:pPr>
              <w:snapToGrid w:val="0"/>
              <w:rPr>
                <w:rFonts w:eastAsia="新細明體" w:cs="Segoe UI"/>
                <w:color w:val="000000"/>
                <w:sz w:val="17"/>
                <w:szCs w:val="17"/>
                <w:lang w:eastAsia="en-GB"/>
              </w:rPr>
            </w:pPr>
          </w:p>
        </w:tc>
        <w:tc>
          <w:tcPr>
            <w:tcW w:w="533" w:type="dxa"/>
            <w:tcBorders>
              <w:top w:val="single" w:sz="4" w:space="0" w:color="BFBFBF"/>
              <w:left w:val="single" w:sz="4" w:space="0" w:color="auto"/>
              <w:bottom w:val="single" w:sz="4" w:space="0" w:color="BFBFBF"/>
              <w:right w:val="single" w:sz="4" w:space="0" w:color="auto"/>
            </w:tcBorders>
            <w:noWrap/>
            <w:vAlign w:val="bottom"/>
          </w:tcPr>
          <w:p w14:paraId="21DCA59D"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28CA4584"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72D990E2"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1F9831F1"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2CC0A1C6" w14:textId="77777777" w:rsidR="00AB074C" w:rsidRDefault="00AB074C" w:rsidP="00AB074C">
            <w:pPr>
              <w:snapToGrid w:val="0"/>
              <w:rPr>
                <w:rFonts w:eastAsia="新細明體" w:cs="Segoe UI"/>
                <w:color w:val="000000"/>
                <w:sz w:val="17"/>
                <w:szCs w:val="17"/>
                <w:lang w:eastAsia="en-GB"/>
              </w:rPr>
            </w:pPr>
          </w:p>
        </w:tc>
        <w:tc>
          <w:tcPr>
            <w:tcW w:w="637" w:type="dxa"/>
            <w:tcBorders>
              <w:top w:val="single" w:sz="4" w:space="0" w:color="BFBFBF"/>
              <w:left w:val="single" w:sz="4" w:space="0" w:color="auto"/>
              <w:bottom w:val="single" w:sz="4" w:space="0" w:color="BFBFBF"/>
              <w:right w:val="single" w:sz="4" w:space="0" w:color="auto"/>
            </w:tcBorders>
            <w:noWrap/>
            <w:vAlign w:val="bottom"/>
          </w:tcPr>
          <w:p w14:paraId="750AFDBF"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41B579E7"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6A1273F3"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60F713BB"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01BCE0B4"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4604FEDB"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48B1EA82"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6C7E4AA0" w14:textId="77777777" w:rsidR="00AB074C" w:rsidRDefault="00AB074C" w:rsidP="00AB074C">
            <w:pPr>
              <w:snapToGrid w:val="0"/>
              <w:rPr>
                <w:rFonts w:eastAsia="新細明體" w:cs="Segoe UI"/>
                <w:color w:val="000000"/>
                <w:sz w:val="17"/>
                <w:szCs w:val="17"/>
                <w:lang w:eastAsia="en-GB"/>
              </w:rPr>
            </w:pPr>
          </w:p>
        </w:tc>
      </w:tr>
      <w:tr w:rsidR="00AB074C" w14:paraId="1612317D" w14:textId="77777777" w:rsidTr="00D046C3">
        <w:trPr>
          <w:trHeight w:val="20"/>
        </w:trPr>
        <w:tc>
          <w:tcPr>
            <w:tcW w:w="416" w:type="dxa"/>
            <w:tcBorders>
              <w:top w:val="single" w:sz="4" w:space="0" w:color="BFBFBF"/>
              <w:left w:val="nil"/>
              <w:bottom w:val="single" w:sz="4" w:space="0" w:color="BFBFBF"/>
              <w:right w:val="single" w:sz="4" w:space="0" w:color="BFBFBF"/>
            </w:tcBorders>
          </w:tcPr>
          <w:p w14:paraId="1454CC60"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10</w:t>
            </w:r>
          </w:p>
        </w:tc>
        <w:tc>
          <w:tcPr>
            <w:tcW w:w="2607" w:type="dxa"/>
            <w:tcBorders>
              <w:top w:val="single" w:sz="4" w:space="0" w:color="BFBFBF"/>
              <w:left w:val="single" w:sz="4" w:space="0" w:color="BFBFBF"/>
              <w:bottom w:val="single" w:sz="4" w:space="0" w:color="BFBFBF"/>
              <w:right w:val="single" w:sz="4" w:space="0" w:color="auto"/>
            </w:tcBorders>
            <w:noWrap/>
            <w:vAlign w:val="bottom"/>
          </w:tcPr>
          <w:p w14:paraId="14313547" w14:textId="77777777" w:rsidR="00AB074C" w:rsidRDefault="00AB074C" w:rsidP="00AB074C">
            <w:pPr>
              <w:snapToGrid w:val="0"/>
              <w:ind w:left="113"/>
              <w:rPr>
                <w:rFonts w:eastAsia="新細明體" w:cs="Segoe UI"/>
                <w:color w:val="000000"/>
                <w:sz w:val="17"/>
                <w:szCs w:val="17"/>
                <w:lang w:eastAsia="en-GB"/>
              </w:rPr>
            </w:pPr>
            <w:r>
              <w:rPr>
                <w:rFonts w:eastAsia="新細明體" w:cs="Segoe UI"/>
                <w:color w:val="000000"/>
                <w:sz w:val="17"/>
                <w:szCs w:val="17"/>
                <w:lang w:eastAsia="en-GB"/>
              </w:rPr>
              <w:t>Of which securitization</w:t>
            </w:r>
          </w:p>
        </w:tc>
        <w:tc>
          <w:tcPr>
            <w:tcW w:w="642" w:type="dxa"/>
            <w:tcBorders>
              <w:top w:val="single" w:sz="4" w:space="0" w:color="BFBFBF"/>
              <w:left w:val="single" w:sz="4" w:space="0" w:color="auto"/>
              <w:bottom w:val="single" w:sz="4" w:space="0" w:color="BFBFBF"/>
              <w:right w:val="single" w:sz="4" w:space="0" w:color="auto"/>
            </w:tcBorders>
            <w:noWrap/>
            <w:vAlign w:val="bottom"/>
          </w:tcPr>
          <w:p w14:paraId="3ED59353" w14:textId="77777777" w:rsidR="00AB074C" w:rsidRDefault="00AB074C" w:rsidP="00AB074C">
            <w:pPr>
              <w:snapToGrid w:val="0"/>
              <w:rPr>
                <w:rFonts w:eastAsia="新細明體" w:cs="Segoe UI"/>
                <w:color w:val="000000"/>
                <w:sz w:val="17"/>
                <w:szCs w:val="17"/>
                <w:lang w:eastAsia="en-GB"/>
              </w:rPr>
            </w:pPr>
          </w:p>
        </w:tc>
        <w:tc>
          <w:tcPr>
            <w:tcW w:w="622" w:type="dxa"/>
            <w:tcBorders>
              <w:top w:val="single" w:sz="4" w:space="0" w:color="BFBFBF"/>
              <w:left w:val="single" w:sz="4" w:space="0" w:color="auto"/>
              <w:bottom w:val="single" w:sz="4" w:space="0" w:color="BFBFBF"/>
              <w:right w:val="single" w:sz="4" w:space="0" w:color="auto"/>
            </w:tcBorders>
            <w:noWrap/>
            <w:vAlign w:val="bottom"/>
          </w:tcPr>
          <w:p w14:paraId="2281A947" w14:textId="77777777" w:rsidR="00AB074C" w:rsidRDefault="00AB074C" w:rsidP="00AB074C">
            <w:pPr>
              <w:snapToGrid w:val="0"/>
              <w:rPr>
                <w:rFonts w:eastAsia="新細明體" w:cs="Segoe UI"/>
                <w:color w:val="000000"/>
                <w:sz w:val="17"/>
                <w:szCs w:val="17"/>
                <w:lang w:eastAsia="en-GB"/>
              </w:rPr>
            </w:pPr>
          </w:p>
        </w:tc>
        <w:tc>
          <w:tcPr>
            <w:tcW w:w="664" w:type="dxa"/>
            <w:tcBorders>
              <w:top w:val="single" w:sz="4" w:space="0" w:color="BFBFBF"/>
              <w:left w:val="single" w:sz="4" w:space="0" w:color="auto"/>
              <w:bottom w:val="single" w:sz="4" w:space="0" w:color="BFBFBF"/>
              <w:right w:val="single" w:sz="4" w:space="0" w:color="auto"/>
            </w:tcBorders>
            <w:noWrap/>
            <w:vAlign w:val="bottom"/>
          </w:tcPr>
          <w:p w14:paraId="6347BF44" w14:textId="77777777" w:rsidR="00AB074C" w:rsidRDefault="00AB074C" w:rsidP="00AB074C">
            <w:pPr>
              <w:snapToGrid w:val="0"/>
              <w:rPr>
                <w:rFonts w:eastAsia="新細明體" w:cs="Segoe UI"/>
                <w:color w:val="000000"/>
                <w:sz w:val="17"/>
                <w:szCs w:val="17"/>
                <w:lang w:eastAsia="en-GB"/>
              </w:rPr>
            </w:pPr>
          </w:p>
        </w:tc>
        <w:tc>
          <w:tcPr>
            <w:tcW w:w="753" w:type="dxa"/>
            <w:tcBorders>
              <w:top w:val="single" w:sz="4" w:space="0" w:color="BFBFBF"/>
              <w:left w:val="single" w:sz="4" w:space="0" w:color="auto"/>
              <w:bottom w:val="single" w:sz="4" w:space="0" w:color="BFBFBF"/>
              <w:right w:val="single" w:sz="4" w:space="0" w:color="auto"/>
            </w:tcBorders>
            <w:noWrap/>
            <w:vAlign w:val="bottom"/>
          </w:tcPr>
          <w:p w14:paraId="52816F90" w14:textId="77777777" w:rsidR="00AB074C" w:rsidRDefault="00AB074C" w:rsidP="00AB074C">
            <w:pPr>
              <w:snapToGrid w:val="0"/>
              <w:rPr>
                <w:rFonts w:eastAsia="新細明體" w:cs="Segoe UI"/>
                <w:color w:val="000000"/>
                <w:sz w:val="17"/>
                <w:szCs w:val="17"/>
                <w:lang w:eastAsia="en-GB"/>
              </w:rPr>
            </w:pPr>
          </w:p>
        </w:tc>
        <w:tc>
          <w:tcPr>
            <w:tcW w:w="533" w:type="dxa"/>
            <w:tcBorders>
              <w:top w:val="single" w:sz="4" w:space="0" w:color="BFBFBF"/>
              <w:left w:val="single" w:sz="4" w:space="0" w:color="auto"/>
              <w:bottom w:val="single" w:sz="4" w:space="0" w:color="BFBFBF"/>
              <w:right w:val="single" w:sz="4" w:space="0" w:color="auto"/>
            </w:tcBorders>
            <w:noWrap/>
            <w:vAlign w:val="bottom"/>
          </w:tcPr>
          <w:p w14:paraId="4AA1DBAD"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3E75590F"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36E66CCA"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40E86124"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2DE3812A" w14:textId="77777777" w:rsidR="00AB074C" w:rsidRDefault="00AB074C" w:rsidP="00AB074C">
            <w:pPr>
              <w:snapToGrid w:val="0"/>
              <w:rPr>
                <w:rFonts w:eastAsia="新細明體" w:cs="Segoe UI"/>
                <w:color w:val="000000"/>
                <w:sz w:val="17"/>
                <w:szCs w:val="17"/>
                <w:lang w:eastAsia="en-GB"/>
              </w:rPr>
            </w:pPr>
          </w:p>
        </w:tc>
        <w:tc>
          <w:tcPr>
            <w:tcW w:w="637" w:type="dxa"/>
            <w:tcBorders>
              <w:top w:val="single" w:sz="4" w:space="0" w:color="BFBFBF"/>
              <w:left w:val="single" w:sz="4" w:space="0" w:color="auto"/>
              <w:bottom w:val="single" w:sz="4" w:space="0" w:color="BFBFBF"/>
              <w:right w:val="single" w:sz="4" w:space="0" w:color="auto"/>
            </w:tcBorders>
            <w:noWrap/>
            <w:vAlign w:val="bottom"/>
          </w:tcPr>
          <w:p w14:paraId="0BDEEEFE"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02834BBC"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01FD2D63"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68C2EA62"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18A6A404"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4BEEE74C"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272C3124"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65660672" w14:textId="77777777" w:rsidR="00AB074C" w:rsidRDefault="00AB074C" w:rsidP="00AB074C">
            <w:pPr>
              <w:snapToGrid w:val="0"/>
              <w:rPr>
                <w:rFonts w:eastAsia="新細明體" w:cs="Segoe UI"/>
                <w:color w:val="000000"/>
                <w:sz w:val="17"/>
                <w:szCs w:val="17"/>
                <w:lang w:eastAsia="en-GB"/>
              </w:rPr>
            </w:pPr>
          </w:p>
        </w:tc>
      </w:tr>
      <w:tr w:rsidR="00AB074C" w14:paraId="7F80543E" w14:textId="77777777" w:rsidTr="00D046C3">
        <w:trPr>
          <w:trHeight w:val="20"/>
        </w:trPr>
        <w:tc>
          <w:tcPr>
            <w:tcW w:w="416" w:type="dxa"/>
            <w:tcBorders>
              <w:top w:val="single" w:sz="4" w:space="0" w:color="BFBFBF"/>
              <w:left w:val="nil"/>
              <w:bottom w:val="single" w:sz="4" w:space="0" w:color="BFBFBF"/>
              <w:right w:val="single" w:sz="4" w:space="0" w:color="BFBFBF"/>
            </w:tcBorders>
          </w:tcPr>
          <w:p w14:paraId="5301355E"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11</w:t>
            </w:r>
          </w:p>
        </w:tc>
        <w:tc>
          <w:tcPr>
            <w:tcW w:w="2607" w:type="dxa"/>
            <w:tcBorders>
              <w:top w:val="single" w:sz="4" w:space="0" w:color="BFBFBF"/>
              <w:left w:val="single" w:sz="4" w:space="0" w:color="BFBFBF"/>
              <w:bottom w:val="single" w:sz="4" w:space="0" w:color="BFBFBF"/>
              <w:right w:val="single" w:sz="4" w:space="0" w:color="auto"/>
            </w:tcBorders>
            <w:noWrap/>
            <w:vAlign w:val="bottom"/>
          </w:tcPr>
          <w:p w14:paraId="70693063" w14:textId="77777777" w:rsidR="00AB074C" w:rsidRDefault="00AB074C" w:rsidP="00AB074C">
            <w:pPr>
              <w:snapToGrid w:val="0"/>
              <w:ind w:left="397"/>
              <w:rPr>
                <w:rFonts w:eastAsia="新細明體" w:cs="Segoe UI"/>
                <w:color w:val="000000"/>
                <w:sz w:val="17"/>
                <w:szCs w:val="17"/>
                <w:lang w:eastAsia="en-GB"/>
              </w:rPr>
            </w:pPr>
            <w:r>
              <w:rPr>
                <w:rFonts w:eastAsia="新細明體" w:cs="Segoe UI"/>
                <w:color w:val="000000"/>
                <w:sz w:val="17"/>
                <w:szCs w:val="17"/>
                <w:lang w:eastAsia="en-GB"/>
              </w:rPr>
              <w:t>Of which retail</w:t>
            </w:r>
          </w:p>
        </w:tc>
        <w:tc>
          <w:tcPr>
            <w:tcW w:w="642" w:type="dxa"/>
            <w:tcBorders>
              <w:top w:val="single" w:sz="4" w:space="0" w:color="BFBFBF"/>
              <w:left w:val="single" w:sz="4" w:space="0" w:color="auto"/>
              <w:bottom w:val="single" w:sz="4" w:space="0" w:color="BFBFBF"/>
              <w:right w:val="single" w:sz="4" w:space="0" w:color="auto"/>
            </w:tcBorders>
            <w:noWrap/>
            <w:vAlign w:val="bottom"/>
          </w:tcPr>
          <w:p w14:paraId="0E722C9F" w14:textId="77777777" w:rsidR="00AB074C" w:rsidRDefault="00AB074C" w:rsidP="00AB074C">
            <w:pPr>
              <w:snapToGrid w:val="0"/>
              <w:rPr>
                <w:rFonts w:eastAsia="新細明體" w:cs="Segoe UI"/>
                <w:color w:val="000000"/>
                <w:sz w:val="17"/>
                <w:szCs w:val="17"/>
                <w:lang w:eastAsia="en-GB"/>
              </w:rPr>
            </w:pPr>
          </w:p>
        </w:tc>
        <w:tc>
          <w:tcPr>
            <w:tcW w:w="622" w:type="dxa"/>
            <w:tcBorders>
              <w:top w:val="single" w:sz="4" w:space="0" w:color="BFBFBF"/>
              <w:left w:val="single" w:sz="4" w:space="0" w:color="auto"/>
              <w:bottom w:val="single" w:sz="4" w:space="0" w:color="BFBFBF"/>
              <w:right w:val="single" w:sz="4" w:space="0" w:color="auto"/>
            </w:tcBorders>
            <w:noWrap/>
            <w:vAlign w:val="bottom"/>
          </w:tcPr>
          <w:p w14:paraId="4D267D8B" w14:textId="77777777" w:rsidR="00AB074C" w:rsidRDefault="00AB074C" w:rsidP="00AB074C">
            <w:pPr>
              <w:snapToGrid w:val="0"/>
              <w:rPr>
                <w:rFonts w:eastAsia="新細明體" w:cs="Segoe UI"/>
                <w:color w:val="000000"/>
                <w:sz w:val="17"/>
                <w:szCs w:val="17"/>
                <w:lang w:eastAsia="en-GB"/>
              </w:rPr>
            </w:pPr>
          </w:p>
        </w:tc>
        <w:tc>
          <w:tcPr>
            <w:tcW w:w="664" w:type="dxa"/>
            <w:tcBorders>
              <w:top w:val="single" w:sz="4" w:space="0" w:color="BFBFBF"/>
              <w:left w:val="single" w:sz="4" w:space="0" w:color="auto"/>
              <w:bottom w:val="single" w:sz="4" w:space="0" w:color="BFBFBF"/>
              <w:right w:val="single" w:sz="4" w:space="0" w:color="auto"/>
            </w:tcBorders>
            <w:noWrap/>
            <w:vAlign w:val="bottom"/>
          </w:tcPr>
          <w:p w14:paraId="58AB16A9" w14:textId="77777777" w:rsidR="00AB074C" w:rsidRDefault="00AB074C" w:rsidP="00AB074C">
            <w:pPr>
              <w:snapToGrid w:val="0"/>
              <w:rPr>
                <w:rFonts w:eastAsia="新細明體" w:cs="Segoe UI"/>
                <w:color w:val="000000"/>
                <w:sz w:val="17"/>
                <w:szCs w:val="17"/>
                <w:lang w:eastAsia="en-GB"/>
              </w:rPr>
            </w:pPr>
          </w:p>
        </w:tc>
        <w:tc>
          <w:tcPr>
            <w:tcW w:w="753" w:type="dxa"/>
            <w:tcBorders>
              <w:top w:val="single" w:sz="4" w:space="0" w:color="BFBFBF"/>
              <w:left w:val="single" w:sz="4" w:space="0" w:color="auto"/>
              <w:bottom w:val="single" w:sz="4" w:space="0" w:color="BFBFBF"/>
              <w:right w:val="single" w:sz="4" w:space="0" w:color="auto"/>
            </w:tcBorders>
            <w:noWrap/>
            <w:vAlign w:val="bottom"/>
          </w:tcPr>
          <w:p w14:paraId="36913114" w14:textId="77777777" w:rsidR="00AB074C" w:rsidRDefault="00AB074C" w:rsidP="00AB074C">
            <w:pPr>
              <w:snapToGrid w:val="0"/>
              <w:rPr>
                <w:rFonts w:eastAsia="新細明體" w:cs="Segoe UI"/>
                <w:color w:val="000000"/>
                <w:sz w:val="17"/>
                <w:szCs w:val="17"/>
                <w:lang w:eastAsia="en-GB"/>
              </w:rPr>
            </w:pPr>
          </w:p>
        </w:tc>
        <w:tc>
          <w:tcPr>
            <w:tcW w:w="533" w:type="dxa"/>
            <w:tcBorders>
              <w:top w:val="single" w:sz="4" w:space="0" w:color="BFBFBF"/>
              <w:left w:val="single" w:sz="4" w:space="0" w:color="auto"/>
              <w:bottom w:val="single" w:sz="4" w:space="0" w:color="BFBFBF"/>
              <w:right w:val="single" w:sz="4" w:space="0" w:color="auto"/>
            </w:tcBorders>
            <w:noWrap/>
            <w:vAlign w:val="bottom"/>
          </w:tcPr>
          <w:p w14:paraId="7B14A461"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61F30E74"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447E63AA"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3FC23D56"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19B7D826" w14:textId="77777777" w:rsidR="00AB074C" w:rsidRDefault="00AB074C" w:rsidP="00AB074C">
            <w:pPr>
              <w:snapToGrid w:val="0"/>
              <w:rPr>
                <w:rFonts w:eastAsia="新細明體" w:cs="Segoe UI"/>
                <w:color w:val="000000"/>
                <w:sz w:val="17"/>
                <w:szCs w:val="17"/>
                <w:lang w:eastAsia="en-GB"/>
              </w:rPr>
            </w:pPr>
          </w:p>
        </w:tc>
        <w:tc>
          <w:tcPr>
            <w:tcW w:w="637" w:type="dxa"/>
            <w:tcBorders>
              <w:top w:val="single" w:sz="4" w:space="0" w:color="BFBFBF"/>
              <w:left w:val="single" w:sz="4" w:space="0" w:color="auto"/>
              <w:bottom w:val="single" w:sz="4" w:space="0" w:color="BFBFBF"/>
              <w:right w:val="single" w:sz="4" w:space="0" w:color="auto"/>
            </w:tcBorders>
            <w:noWrap/>
            <w:vAlign w:val="bottom"/>
          </w:tcPr>
          <w:p w14:paraId="3CEBDD5B"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3F97C4B3"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3C61DC4C"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114D1E36"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568CC5D9"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718EF391"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1422E46F"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19A23963" w14:textId="77777777" w:rsidR="00AB074C" w:rsidRDefault="00AB074C" w:rsidP="00AB074C">
            <w:pPr>
              <w:snapToGrid w:val="0"/>
              <w:rPr>
                <w:rFonts w:eastAsia="新細明體" w:cs="Segoe UI"/>
                <w:color w:val="000000"/>
                <w:sz w:val="17"/>
                <w:szCs w:val="17"/>
                <w:lang w:eastAsia="en-GB"/>
              </w:rPr>
            </w:pPr>
          </w:p>
        </w:tc>
      </w:tr>
      <w:tr w:rsidR="00AB074C" w14:paraId="065CC260" w14:textId="77777777" w:rsidTr="007F406C">
        <w:trPr>
          <w:trHeight w:val="20"/>
        </w:trPr>
        <w:tc>
          <w:tcPr>
            <w:tcW w:w="416" w:type="dxa"/>
            <w:tcBorders>
              <w:top w:val="single" w:sz="4" w:space="0" w:color="BFBFBF"/>
              <w:left w:val="nil"/>
              <w:bottom w:val="single" w:sz="4" w:space="0" w:color="BFBFBF"/>
              <w:right w:val="single" w:sz="4" w:space="0" w:color="BFBFBF"/>
            </w:tcBorders>
          </w:tcPr>
          <w:p w14:paraId="792CC116"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12</w:t>
            </w:r>
          </w:p>
        </w:tc>
        <w:tc>
          <w:tcPr>
            <w:tcW w:w="2607" w:type="dxa"/>
            <w:tcBorders>
              <w:top w:val="single" w:sz="4" w:space="0" w:color="BFBFBF"/>
              <w:left w:val="single" w:sz="4" w:space="0" w:color="BFBFBF"/>
              <w:bottom w:val="single" w:sz="4" w:space="0" w:color="BFBFBF"/>
              <w:right w:val="single" w:sz="4" w:space="0" w:color="auto"/>
            </w:tcBorders>
            <w:noWrap/>
            <w:vAlign w:val="bottom"/>
          </w:tcPr>
          <w:p w14:paraId="44F85EDB" w14:textId="77777777" w:rsidR="00AB074C" w:rsidRDefault="00AB074C" w:rsidP="00AB074C">
            <w:pPr>
              <w:snapToGrid w:val="0"/>
              <w:ind w:left="397"/>
              <w:rPr>
                <w:rFonts w:eastAsia="新細明體" w:cs="Segoe UI"/>
                <w:color w:val="000000"/>
                <w:sz w:val="17"/>
                <w:szCs w:val="17"/>
                <w:lang w:eastAsia="en-GB"/>
              </w:rPr>
            </w:pPr>
            <w:r>
              <w:rPr>
                <w:rFonts w:eastAsia="新細明體" w:cs="Segoe UI"/>
                <w:color w:val="000000"/>
                <w:sz w:val="17"/>
                <w:szCs w:val="17"/>
                <w:lang w:eastAsia="en-GB"/>
              </w:rPr>
              <w:t>Of which wholesale</w:t>
            </w:r>
          </w:p>
        </w:tc>
        <w:tc>
          <w:tcPr>
            <w:tcW w:w="642" w:type="dxa"/>
            <w:tcBorders>
              <w:top w:val="single" w:sz="4" w:space="0" w:color="BFBFBF"/>
              <w:left w:val="single" w:sz="4" w:space="0" w:color="auto"/>
              <w:bottom w:val="single" w:sz="4" w:space="0" w:color="BFBFBF"/>
              <w:right w:val="single" w:sz="4" w:space="0" w:color="auto"/>
            </w:tcBorders>
            <w:noWrap/>
            <w:vAlign w:val="bottom"/>
          </w:tcPr>
          <w:p w14:paraId="075BC6C3" w14:textId="77777777" w:rsidR="00AB074C" w:rsidRDefault="00AB074C" w:rsidP="00AB074C">
            <w:pPr>
              <w:snapToGrid w:val="0"/>
              <w:rPr>
                <w:rFonts w:eastAsia="新細明體" w:cs="Segoe UI"/>
                <w:color w:val="000000"/>
                <w:sz w:val="17"/>
                <w:szCs w:val="17"/>
                <w:lang w:eastAsia="en-GB"/>
              </w:rPr>
            </w:pPr>
          </w:p>
        </w:tc>
        <w:tc>
          <w:tcPr>
            <w:tcW w:w="622" w:type="dxa"/>
            <w:tcBorders>
              <w:top w:val="single" w:sz="4" w:space="0" w:color="BFBFBF"/>
              <w:left w:val="single" w:sz="4" w:space="0" w:color="auto"/>
              <w:bottom w:val="single" w:sz="4" w:space="0" w:color="BFBFBF"/>
              <w:right w:val="single" w:sz="4" w:space="0" w:color="auto"/>
            </w:tcBorders>
            <w:noWrap/>
            <w:vAlign w:val="bottom"/>
          </w:tcPr>
          <w:p w14:paraId="66E4DA17" w14:textId="77777777" w:rsidR="00AB074C" w:rsidRDefault="00AB074C" w:rsidP="00AB074C">
            <w:pPr>
              <w:snapToGrid w:val="0"/>
              <w:rPr>
                <w:rFonts w:eastAsia="新細明體" w:cs="Segoe UI"/>
                <w:color w:val="000000"/>
                <w:sz w:val="17"/>
                <w:szCs w:val="17"/>
                <w:lang w:eastAsia="en-GB"/>
              </w:rPr>
            </w:pPr>
          </w:p>
        </w:tc>
        <w:tc>
          <w:tcPr>
            <w:tcW w:w="664" w:type="dxa"/>
            <w:tcBorders>
              <w:top w:val="single" w:sz="4" w:space="0" w:color="BFBFBF"/>
              <w:left w:val="single" w:sz="4" w:space="0" w:color="auto"/>
              <w:bottom w:val="single" w:sz="4" w:space="0" w:color="BFBFBF"/>
              <w:right w:val="single" w:sz="4" w:space="0" w:color="auto"/>
            </w:tcBorders>
            <w:noWrap/>
            <w:vAlign w:val="bottom"/>
          </w:tcPr>
          <w:p w14:paraId="748F877C" w14:textId="77777777" w:rsidR="00AB074C" w:rsidRDefault="00AB074C" w:rsidP="00AB074C">
            <w:pPr>
              <w:snapToGrid w:val="0"/>
              <w:rPr>
                <w:rFonts w:eastAsia="新細明體" w:cs="Segoe UI"/>
                <w:color w:val="000000"/>
                <w:sz w:val="17"/>
                <w:szCs w:val="17"/>
                <w:lang w:eastAsia="en-GB"/>
              </w:rPr>
            </w:pPr>
          </w:p>
        </w:tc>
        <w:tc>
          <w:tcPr>
            <w:tcW w:w="753" w:type="dxa"/>
            <w:tcBorders>
              <w:top w:val="single" w:sz="4" w:space="0" w:color="BFBFBF"/>
              <w:left w:val="single" w:sz="4" w:space="0" w:color="auto"/>
              <w:bottom w:val="single" w:sz="4" w:space="0" w:color="BFBFBF"/>
              <w:right w:val="single" w:sz="4" w:space="0" w:color="auto"/>
            </w:tcBorders>
            <w:noWrap/>
            <w:vAlign w:val="bottom"/>
          </w:tcPr>
          <w:p w14:paraId="414D85CD" w14:textId="77777777" w:rsidR="00AB074C" w:rsidRDefault="00AB074C" w:rsidP="00AB074C">
            <w:pPr>
              <w:snapToGrid w:val="0"/>
              <w:rPr>
                <w:rFonts w:eastAsia="新細明體" w:cs="Segoe UI"/>
                <w:color w:val="000000"/>
                <w:sz w:val="17"/>
                <w:szCs w:val="17"/>
                <w:lang w:eastAsia="en-GB"/>
              </w:rPr>
            </w:pPr>
          </w:p>
        </w:tc>
        <w:tc>
          <w:tcPr>
            <w:tcW w:w="533" w:type="dxa"/>
            <w:tcBorders>
              <w:top w:val="single" w:sz="4" w:space="0" w:color="BFBFBF"/>
              <w:left w:val="single" w:sz="4" w:space="0" w:color="auto"/>
              <w:bottom w:val="single" w:sz="4" w:space="0" w:color="BFBFBF"/>
              <w:right w:val="single" w:sz="4" w:space="0" w:color="auto"/>
            </w:tcBorders>
            <w:noWrap/>
            <w:vAlign w:val="bottom"/>
          </w:tcPr>
          <w:p w14:paraId="5612D6B9"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2BC45B76"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26F5990F"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36FD8A19"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noWrap/>
            <w:vAlign w:val="bottom"/>
          </w:tcPr>
          <w:p w14:paraId="37A7BD05" w14:textId="77777777" w:rsidR="00AB074C" w:rsidRDefault="00AB074C" w:rsidP="00AB074C">
            <w:pPr>
              <w:snapToGrid w:val="0"/>
              <w:rPr>
                <w:rFonts w:eastAsia="新細明體" w:cs="Segoe UI"/>
                <w:color w:val="000000"/>
                <w:sz w:val="17"/>
                <w:szCs w:val="17"/>
                <w:lang w:eastAsia="en-GB"/>
              </w:rPr>
            </w:pPr>
          </w:p>
        </w:tc>
        <w:tc>
          <w:tcPr>
            <w:tcW w:w="637" w:type="dxa"/>
            <w:tcBorders>
              <w:top w:val="single" w:sz="4" w:space="0" w:color="BFBFBF"/>
              <w:left w:val="single" w:sz="4" w:space="0" w:color="auto"/>
              <w:bottom w:val="single" w:sz="4" w:space="0" w:color="BFBFBF"/>
              <w:right w:val="single" w:sz="4" w:space="0" w:color="auto"/>
            </w:tcBorders>
            <w:noWrap/>
            <w:vAlign w:val="bottom"/>
          </w:tcPr>
          <w:p w14:paraId="390B3DC9"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7F4E211B"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735907E2"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39906BB4"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7480A2F1"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05F7ED7E"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135EAAA8"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BFBFBF"/>
              <w:right w:val="single" w:sz="4" w:space="0" w:color="auto"/>
            </w:tcBorders>
            <w:vAlign w:val="bottom"/>
          </w:tcPr>
          <w:p w14:paraId="31C5A521" w14:textId="77777777" w:rsidR="00AB074C" w:rsidRDefault="00AB074C" w:rsidP="00AB074C">
            <w:pPr>
              <w:snapToGrid w:val="0"/>
              <w:rPr>
                <w:rFonts w:eastAsia="新細明體" w:cs="Segoe UI"/>
                <w:color w:val="000000"/>
                <w:sz w:val="17"/>
                <w:szCs w:val="17"/>
                <w:lang w:eastAsia="en-GB"/>
              </w:rPr>
            </w:pPr>
          </w:p>
        </w:tc>
      </w:tr>
      <w:tr w:rsidR="00AB074C" w14:paraId="43E85CB9" w14:textId="77777777" w:rsidTr="007F406C">
        <w:trPr>
          <w:trHeight w:val="20"/>
        </w:trPr>
        <w:tc>
          <w:tcPr>
            <w:tcW w:w="416" w:type="dxa"/>
            <w:tcBorders>
              <w:top w:val="single" w:sz="4" w:space="0" w:color="BFBFBF"/>
              <w:left w:val="nil"/>
              <w:bottom w:val="single" w:sz="4" w:space="0" w:color="auto"/>
              <w:right w:val="single" w:sz="4" w:space="0" w:color="BFBFBF"/>
            </w:tcBorders>
          </w:tcPr>
          <w:p w14:paraId="2F99991E" w14:textId="77777777" w:rsidR="00AB074C" w:rsidRDefault="00AB074C" w:rsidP="00AB074C">
            <w:pPr>
              <w:snapToGrid w:val="0"/>
              <w:jc w:val="center"/>
              <w:rPr>
                <w:rFonts w:eastAsia="新細明體" w:cs="Segoe UI"/>
                <w:color w:val="000000"/>
                <w:sz w:val="17"/>
                <w:szCs w:val="17"/>
                <w:lang w:eastAsia="en-GB"/>
              </w:rPr>
            </w:pPr>
            <w:r>
              <w:rPr>
                <w:rFonts w:eastAsia="新細明體" w:cs="Segoe UI"/>
                <w:color w:val="000000"/>
                <w:sz w:val="17"/>
                <w:szCs w:val="17"/>
                <w:lang w:eastAsia="en-GB"/>
              </w:rPr>
              <w:t>13</w:t>
            </w:r>
          </w:p>
        </w:tc>
        <w:tc>
          <w:tcPr>
            <w:tcW w:w="2607" w:type="dxa"/>
            <w:tcBorders>
              <w:top w:val="single" w:sz="4" w:space="0" w:color="BFBFBF"/>
              <w:left w:val="single" w:sz="4" w:space="0" w:color="BFBFBF"/>
              <w:bottom w:val="single" w:sz="4" w:space="0" w:color="auto"/>
              <w:right w:val="single" w:sz="4" w:space="0" w:color="auto"/>
            </w:tcBorders>
            <w:noWrap/>
            <w:vAlign w:val="bottom"/>
          </w:tcPr>
          <w:p w14:paraId="3293EF3D" w14:textId="77777777" w:rsidR="00AB074C" w:rsidRDefault="00AB074C" w:rsidP="00AB074C">
            <w:pPr>
              <w:snapToGrid w:val="0"/>
              <w:ind w:left="113"/>
              <w:rPr>
                <w:rFonts w:eastAsia="新細明體" w:cs="Segoe UI"/>
                <w:color w:val="000000"/>
                <w:sz w:val="17"/>
                <w:szCs w:val="17"/>
                <w:lang w:eastAsia="en-GB"/>
              </w:rPr>
            </w:pPr>
            <w:r>
              <w:rPr>
                <w:rFonts w:eastAsia="新細明體" w:cs="Segoe UI"/>
                <w:color w:val="000000"/>
                <w:sz w:val="17"/>
                <w:szCs w:val="17"/>
                <w:lang w:eastAsia="en-GB"/>
              </w:rPr>
              <w:t>Of which re-securitization</w:t>
            </w:r>
          </w:p>
        </w:tc>
        <w:tc>
          <w:tcPr>
            <w:tcW w:w="642" w:type="dxa"/>
            <w:tcBorders>
              <w:top w:val="single" w:sz="4" w:space="0" w:color="BFBFBF"/>
              <w:left w:val="single" w:sz="4" w:space="0" w:color="auto"/>
              <w:bottom w:val="single" w:sz="4" w:space="0" w:color="auto"/>
              <w:right w:val="single" w:sz="4" w:space="0" w:color="auto"/>
            </w:tcBorders>
            <w:noWrap/>
            <w:vAlign w:val="bottom"/>
          </w:tcPr>
          <w:p w14:paraId="704DBABE" w14:textId="77777777" w:rsidR="00AB074C" w:rsidRDefault="00AB074C" w:rsidP="00AB074C">
            <w:pPr>
              <w:snapToGrid w:val="0"/>
              <w:rPr>
                <w:rFonts w:eastAsia="新細明體" w:cs="Segoe UI"/>
                <w:color w:val="000000"/>
                <w:sz w:val="17"/>
                <w:szCs w:val="17"/>
                <w:lang w:eastAsia="en-GB"/>
              </w:rPr>
            </w:pPr>
          </w:p>
        </w:tc>
        <w:tc>
          <w:tcPr>
            <w:tcW w:w="622" w:type="dxa"/>
            <w:tcBorders>
              <w:top w:val="single" w:sz="4" w:space="0" w:color="BFBFBF"/>
              <w:left w:val="single" w:sz="4" w:space="0" w:color="auto"/>
              <w:bottom w:val="single" w:sz="4" w:space="0" w:color="auto"/>
              <w:right w:val="single" w:sz="4" w:space="0" w:color="auto"/>
            </w:tcBorders>
            <w:noWrap/>
            <w:vAlign w:val="bottom"/>
          </w:tcPr>
          <w:p w14:paraId="71020514" w14:textId="77777777" w:rsidR="00AB074C" w:rsidRDefault="00AB074C" w:rsidP="00AB074C">
            <w:pPr>
              <w:snapToGrid w:val="0"/>
              <w:rPr>
                <w:rFonts w:eastAsia="新細明體" w:cs="Segoe UI"/>
                <w:color w:val="000000"/>
                <w:sz w:val="17"/>
                <w:szCs w:val="17"/>
                <w:lang w:eastAsia="en-GB"/>
              </w:rPr>
            </w:pPr>
          </w:p>
        </w:tc>
        <w:tc>
          <w:tcPr>
            <w:tcW w:w="664" w:type="dxa"/>
            <w:tcBorders>
              <w:top w:val="single" w:sz="4" w:space="0" w:color="BFBFBF"/>
              <w:left w:val="single" w:sz="4" w:space="0" w:color="auto"/>
              <w:bottom w:val="single" w:sz="4" w:space="0" w:color="auto"/>
              <w:right w:val="single" w:sz="4" w:space="0" w:color="auto"/>
            </w:tcBorders>
            <w:noWrap/>
            <w:vAlign w:val="bottom"/>
          </w:tcPr>
          <w:p w14:paraId="7589CC6B" w14:textId="77777777" w:rsidR="00AB074C" w:rsidRDefault="00AB074C" w:rsidP="00AB074C">
            <w:pPr>
              <w:snapToGrid w:val="0"/>
              <w:rPr>
                <w:rFonts w:eastAsia="新細明體" w:cs="Segoe UI"/>
                <w:color w:val="000000"/>
                <w:sz w:val="17"/>
                <w:szCs w:val="17"/>
                <w:lang w:eastAsia="en-GB"/>
              </w:rPr>
            </w:pPr>
          </w:p>
        </w:tc>
        <w:tc>
          <w:tcPr>
            <w:tcW w:w="753" w:type="dxa"/>
            <w:tcBorders>
              <w:top w:val="single" w:sz="4" w:space="0" w:color="BFBFBF"/>
              <w:left w:val="single" w:sz="4" w:space="0" w:color="auto"/>
              <w:bottom w:val="single" w:sz="4" w:space="0" w:color="auto"/>
              <w:right w:val="single" w:sz="4" w:space="0" w:color="auto"/>
            </w:tcBorders>
            <w:noWrap/>
            <w:vAlign w:val="bottom"/>
          </w:tcPr>
          <w:p w14:paraId="42742453" w14:textId="77777777" w:rsidR="00AB074C" w:rsidRDefault="00AB074C" w:rsidP="00AB074C">
            <w:pPr>
              <w:snapToGrid w:val="0"/>
              <w:rPr>
                <w:rFonts w:eastAsia="新細明體" w:cs="Segoe UI"/>
                <w:color w:val="000000"/>
                <w:sz w:val="17"/>
                <w:szCs w:val="17"/>
                <w:lang w:eastAsia="en-GB"/>
              </w:rPr>
            </w:pPr>
          </w:p>
        </w:tc>
        <w:tc>
          <w:tcPr>
            <w:tcW w:w="533" w:type="dxa"/>
            <w:tcBorders>
              <w:top w:val="single" w:sz="4" w:space="0" w:color="BFBFBF"/>
              <w:left w:val="single" w:sz="4" w:space="0" w:color="auto"/>
              <w:bottom w:val="single" w:sz="4" w:space="0" w:color="auto"/>
              <w:right w:val="single" w:sz="4" w:space="0" w:color="auto"/>
            </w:tcBorders>
            <w:noWrap/>
            <w:vAlign w:val="bottom"/>
          </w:tcPr>
          <w:p w14:paraId="7CA25CF0"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noWrap/>
            <w:vAlign w:val="bottom"/>
          </w:tcPr>
          <w:p w14:paraId="7BD46CC1"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vAlign w:val="bottom"/>
          </w:tcPr>
          <w:p w14:paraId="1F5D14D6"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vAlign w:val="bottom"/>
          </w:tcPr>
          <w:p w14:paraId="50F51ECC"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vAlign w:val="bottom"/>
          </w:tcPr>
          <w:p w14:paraId="66AB55C5" w14:textId="77777777" w:rsidR="00AB074C" w:rsidRDefault="00AB074C" w:rsidP="00AB074C">
            <w:pPr>
              <w:snapToGrid w:val="0"/>
              <w:rPr>
                <w:rFonts w:eastAsia="新細明體" w:cs="Segoe UI"/>
                <w:color w:val="000000"/>
                <w:sz w:val="17"/>
                <w:szCs w:val="17"/>
                <w:lang w:eastAsia="en-GB"/>
              </w:rPr>
            </w:pPr>
          </w:p>
        </w:tc>
        <w:tc>
          <w:tcPr>
            <w:tcW w:w="637" w:type="dxa"/>
            <w:tcBorders>
              <w:top w:val="single" w:sz="4" w:space="0" w:color="BFBFBF"/>
              <w:left w:val="single" w:sz="4" w:space="0" w:color="auto"/>
              <w:bottom w:val="single" w:sz="4" w:space="0" w:color="auto"/>
              <w:right w:val="single" w:sz="4" w:space="0" w:color="auto"/>
            </w:tcBorders>
            <w:vAlign w:val="bottom"/>
          </w:tcPr>
          <w:p w14:paraId="5606425A"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vAlign w:val="bottom"/>
          </w:tcPr>
          <w:p w14:paraId="492C6417"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vAlign w:val="bottom"/>
          </w:tcPr>
          <w:p w14:paraId="4708A7B0"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vAlign w:val="bottom"/>
          </w:tcPr>
          <w:p w14:paraId="3215E2E8"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vAlign w:val="bottom"/>
          </w:tcPr>
          <w:p w14:paraId="0CAE9B34"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tcPr>
          <w:p w14:paraId="2184C0DB"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tcPr>
          <w:p w14:paraId="7CE7566A" w14:textId="77777777" w:rsidR="00AB074C" w:rsidRDefault="00AB074C" w:rsidP="00AB074C">
            <w:pPr>
              <w:snapToGrid w:val="0"/>
              <w:rPr>
                <w:rFonts w:eastAsia="新細明體" w:cs="Segoe UI"/>
                <w:color w:val="000000"/>
                <w:sz w:val="17"/>
                <w:szCs w:val="17"/>
                <w:lang w:eastAsia="en-GB"/>
              </w:rPr>
            </w:pPr>
          </w:p>
        </w:tc>
        <w:tc>
          <w:tcPr>
            <w:tcW w:w="638" w:type="dxa"/>
            <w:tcBorders>
              <w:top w:val="single" w:sz="4" w:space="0" w:color="BFBFBF"/>
              <w:left w:val="single" w:sz="4" w:space="0" w:color="auto"/>
              <w:bottom w:val="single" w:sz="4" w:space="0" w:color="auto"/>
              <w:right w:val="single" w:sz="4" w:space="0" w:color="auto"/>
            </w:tcBorders>
          </w:tcPr>
          <w:p w14:paraId="51EB1DF0" w14:textId="77777777" w:rsidR="00AB074C" w:rsidRDefault="00AB074C" w:rsidP="00AB074C">
            <w:pPr>
              <w:snapToGrid w:val="0"/>
              <w:rPr>
                <w:rFonts w:eastAsia="新細明體" w:cs="Segoe UI"/>
                <w:color w:val="000000"/>
                <w:sz w:val="17"/>
                <w:szCs w:val="17"/>
                <w:lang w:eastAsia="en-GB"/>
              </w:rPr>
            </w:pPr>
          </w:p>
        </w:tc>
      </w:tr>
    </w:tbl>
    <w:p w14:paraId="70ABC642" w14:textId="2BD21B84" w:rsidR="00AB074C" w:rsidRDefault="006F11A3" w:rsidP="00AB074C">
      <w:pPr>
        <w:spacing w:before="40" w:after="40"/>
        <w:rPr>
          <w:rFonts w:cs="Segoe UI"/>
          <w:i/>
          <w:sz w:val="16"/>
          <w:szCs w:val="16"/>
          <w:lang w:eastAsia="en-GB"/>
        </w:rPr>
      </w:pPr>
      <w:r>
        <w:rPr>
          <w:rFonts w:cs="Segoe UI"/>
          <w:i/>
          <w:sz w:val="16"/>
          <w:szCs w:val="16"/>
          <w:lang w:eastAsia="en-GB"/>
        </w:rPr>
        <w:t xml:space="preserve">  </w:t>
      </w:r>
      <w:r w:rsidRPr="00131E32">
        <w:rPr>
          <w:rFonts w:cs="Segoe UI"/>
          <w:i/>
          <w:sz w:val="16"/>
          <w:szCs w:val="16"/>
          <w:lang w:eastAsia="en-GB"/>
        </w:rPr>
        <w:t>N/A: Not applicable in the case of Hong Kong</w:t>
      </w:r>
    </w:p>
    <w:p w14:paraId="367650F3" w14:textId="77777777" w:rsidR="006F11A3" w:rsidRDefault="006F11A3" w:rsidP="00AB074C">
      <w:pPr>
        <w:spacing w:before="40" w:after="40"/>
        <w:rPr>
          <w:sz w:val="22"/>
        </w:rPr>
      </w:pP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2758"/>
      </w:tblGrid>
      <w:tr w:rsidR="00AB074C" w14:paraId="569FEA9E" w14:textId="77777777" w:rsidTr="00AB074C">
        <w:trPr>
          <w:tblHeader/>
        </w:trPr>
        <w:tc>
          <w:tcPr>
            <w:tcW w:w="13892" w:type="dxa"/>
            <w:gridSpan w:val="2"/>
            <w:shd w:val="clear" w:color="auto" w:fill="BFBFBF"/>
          </w:tcPr>
          <w:p w14:paraId="08E1B9C2" w14:textId="77777777" w:rsidR="00AB074C" w:rsidRDefault="00AB074C" w:rsidP="00AB074C">
            <w:pPr>
              <w:pStyle w:val="TableNote"/>
              <w:keepNext/>
              <w:spacing w:before="40" w:after="40"/>
              <w:rPr>
                <w:rFonts w:eastAsia="新細明體"/>
                <w:b/>
                <w:sz w:val="17"/>
                <w:lang w:eastAsia="en-GB"/>
              </w:rPr>
            </w:pPr>
            <w:r>
              <w:rPr>
                <w:rFonts w:eastAsia="新細明體"/>
                <w:b/>
                <w:sz w:val="17"/>
                <w:lang w:eastAsia="en-GB"/>
              </w:rPr>
              <w:t>Explanatory Note</w:t>
            </w:r>
          </w:p>
        </w:tc>
      </w:tr>
      <w:tr w:rsidR="00AB074C" w14:paraId="0DCC8E4A" w14:textId="77777777" w:rsidTr="00AB074C">
        <w:tc>
          <w:tcPr>
            <w:tcW w:w="13892" w:type="dxa"/>
            <w:gridSpan w:val="2"/>
            <w:shd w:val="clear" w:color="auto" w:fill="F2F2F2"/>
          </w:tcPr>
          <w:p w14:paraId="4FF89081" w14:textId="77777777" w:rsidR="00AB074C" w:rsidRDefault="00AB074C" w:rsidP="00AB074C">
            <w:pPr>
              <w:pStyle w:val="TableNote"/>
              <w:keepNext/>
              <w:spacing w:before="40" w:after="40"/>
              <w:rPr>
                <w:i/>
                <w:sz w:val="17"/>
                <w:szCs w:val="17"/>
              </w:rPr>
            </w:pPr>
            <w:r>
              <w:rPr>
                <w:rFonts w:eastAsia="新細明體"/>
                <w:b/>
                <w:sz w:val="17"/>
                <w:lang w:eastAsia="en-GB"/>
              </w:rPr>
              <w:t>Columns</w:t>
            </w:r>
          </w:p>
        </w:tc>
      </w:tr>
      <w:tr w:rsidR="00AB074C" w14:paraId="6A857F5D" w14:textId="77777777" w:rsidTr="00AB074C">
        <w:tc>
          <w:tcPr>
            <w:tcW w:w="1134" w:type="dxa"/>
          </w:tcPr>
          <w:p w14:paraId="7B7B7629" w14:textId="77777777" w:rsidR="00AB074C" w:rsidRDefault="00AB074C" w:rsidP="00AB074C">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(a) to (e)</w:t>
            </w:r>
          </w:p>
        </w:tc>
        <w:tc>
          <w:tcPr>
            <w:tcW w:w="12758" w:type="dxa"/>
          </w:tcPr>
          <w:p w14:paraId="4A70F576" w14:textId="77777777" w:rsidR="00AB074C" w:rsidRDefault="00AB074C" w:rsidP="00AB074C">
            <w:pPr>
              <w:keepLines/>
              <w:widowControl w:val="0"/>
              <w:tabs>
                <w:tab w:val="left" w:pos="150"/>
                <w:tab w:val="left" w:pos="397"/>
                <w:tab w:val="left" w:pos="794"/>
                <w:tab w:val="left" w:pos="1191"/>
              </w:tabs>
              <w:spacing w:before="20" w:after="20"/>
              <w:jc w:val="both"/>
              <w:rPr>
                <w:i/>
                <w:sz w:val="17"/>
                <w:szCs w:val="17"/>
              </w:rPr>
            </w:pPr>
            <w:r>
              <w:rPr>
                <w:rFonts w:eastAsia="新細明體" w:cs="Segoe UI"/>
                <w:i/>
                <w:color w:val="000000"/>
                <w:sz w:val="17"/>
                <w:szCs w:val="17"/>
                <w:lang w:eastAsia="en-GB"/>
              </w:rPr>
              <w:t>Exposure values (by RW bands)</w:t>
            </w:r>
            <w:r>
              <w:rPr>
                <w:rFonts w:eastAsia="新細明體" w:cs="Segoe UI"/>
                <w:color w:val="000000"/>
                <w:sz w:val="17"/>
                <w:szCs w:val="17"/>
                <w:lang w:eastAsia="en-GB"/>
              </w:rPr>
              <w:t>: the exposure values subject to the securitization framework, allocated in accordance with the applicable risk-weights of the exposures.</w:t>
            </w:r>
          </w:p>
        </w:tc>
      </w:tr>
      <w:tr w:rsidR="00AB074C" w14:paraId="736A1827" w14:textId="77777777" w:rsidTr="00AB074C">
        <w:tc>
          <w:tcPr>
            <w:tcW w:w="1134" w:type="dxa"/>
          </w:tcPr>
          <w:p w14:paraId="1E740846" w14:textId="77777777" w:rsidR="00AB074C" w:rsidRDefault="00AB074C" w:rsidP="00AB074C">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(f) to (i)</w:t>
            </w:r>
          </w:p>
        </w:tc>
        <w:tc>
          <w:tcPr>
            <w:tcW w:w="12758" w:type="dxa"/>
          </w:tcPr>
          <w:p w14:paraId="646E3813" w14:textId="77777777" w:rsidR="00AB074C" w:rsidRDefault="00AB074C" w:rsidP="00AB074C">
            <w:pPr>
              <w:keepLines/>
              <w:widowControl w:val="0"/>
              <w:tabs>
                <w:tab w:val="left" w:pos="150"/>
                <w:tab w:val="left" w:pos="397"/>
                <w:tab w:val="left" w:pos="794"/>
                <w:tab w:val="left" w:pos="1191"/>
              </w:tabs>
              <w:spacing w:before="20" w:after="20"/>
              <w:jc w:val="both"/>
              <w:rPr>
                <w:rFonts w:eastAsia="新細明體" w:cs="Segoe UI"/>
                <w:bCs/>
                <w:sz w:val="17"/>
                <w:szCs w:val="17"/>
                <w:lang w:eastAsia="ja-JP"/>
              </w:rPr>
            </w:pPr>
            <w:r>
              <w:rPr>
                <w:rFonts w:eastAsia="新細明體" w:cs="Segoe UI"/>
                <w:i/>
                <w:sz w:val="17"/>
                <w:szCs w:val="17"/>
                <w:lang w:eastAsia="en-GB"/>
              </w:rPr>
              <w:t xml:space="preserve">Exposure values (by </w:t>
            </w:r>
            <w:r>
              <w:rPr>
                <w:rFonts w:eastAsia="新細明體" w:cs="Segoe UI"/>
                <w:i/>
                <w:color w:val="000000"/>
                <w:sz w:val="17"/>
                <w:szCs w:val="17"/>
                <w:lang w:eastAsia="en-GB"/>
              </w:rPr>
              <w:t>regulatory</w:t>
            </w:r>
            <w:r>
              <w:rPr>
                <w:rFonts w:eastAsia="新細明體" w:cs="Segoe UI"/>
                <w:i/>
                <w:sz w:val="17"/>
                <w:szCs w:val="17"/>
                <w:lang w:eastAsia="en-GB"/>
              </w:rPr>
              <w:t xml:space="preserve"> approach)</w:t>
            </w:r>
            <w:r>
              <w:rPr>
                <w:rFonts w:eastAsia="新細明體" w:cs="Segoe UI"/>
                <w:sz w:val="17"/>
                <w:szCs w:val="17"/>
                <w:lang w:eastAsia="en-GB"/>
              </w:rPr>
              <w:t xml:space="preserve">: </w:t>
            </w:r>
            <w:r>
              <w:rPr>
                <w:rFonts w:eastAsia="新細明體" w:cs="Segoe UI"/>
                <w:color w:val="000000"/>
                <w:sz w:val="17"/>
                <w:szCs w:val="17"/>
                <w:lang w:eastAsia="en-GB"/>
              </w:rPr>
              <w:t xml:space="preserve">the exposure values subject to the securitization framework, allocated in accordance with the applicable regulatory approaches, namely the SEC-IRBA, SEC-ERBA </w:t>
            </w:r>
            <w:r>
              <w:rPr>
                <w:rFonts w:cs="Segoe UI"/>
                <w:sz w:val="17"/>
                <w:szCs w:val="17"/>
                <w:lang w:eastAsia="en-GB"/>
              </w:rPr>
              <w:t>(including those exposures that the AI uses IAA to determine the risk-weights)</w:t>
            </w:r>
            <w:r>
              <w:rPr>
                <w:rFonts w:eastAsia="新細明體" w:cs="Segoe UI"/>
                <w:color w:val="000000"/>
                <w:sz w:val="17"/>
                <w:szCs w:val="17"/>
                <w:lang w:eastAsia="en-GB"/>
              </w:rPr>
              <w:t xml:space="preserve">, SEC-SA and </w:t>
            </w:r>
            <w:r>
              <w:rPr>
                <w:rFonts w:eastAsia="新細明體" w:cs="Segoe UI"/>
                <w:color w:val="000000"/>
                <w:sz w:val="17"/>
                <w:szCs w:val="17"/>
                <w:lang w:eastAsia="zh-TW"/>
              </w:rPr>
              <w:t>SEC-FBA.</w:t>
            </w:r>
            <w:r>
              <w:rPr>
                <w:rFonts w:eastAsia="新細明體" w:cs="Segoe UI"/>
                <w:color w:val="000000"/>
                <w:sz w:val="17"/>
                <w:szCs w:val="17"/>
                <w:lang w:eastAsia="en-GB"/>
              </w:rPr>
              <w:t xml:space="preserve"> </w:t>
            </w:r>
          </w:p>
        </w:tc>
      </w:tr>
      <w:tr w:rsidR="00AB074C" w14:paraId="009CD57B" w14:textId="77777777" w:rsidTr="00AB074C">
        <w:tc>
          <w:tcPr>
            <w:tcW w:w="1134" w:type="dxa"/>
          </w:tcPr>
          <w:p w14:paraId="482D758C" w14:textId="77777777" w:rsidR="00AB074C" w:rsidRDefault="00AB074C" w:rsidP="00AB074C">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(j) to (m)</w:t>
            </w:r>
          </w:p>
        </w:tc>
        <w:tc>
          <w:tcPr>
            <w:tcW w:w="12758" w:type="dxa"/>
          </w:tcPr>
          <w:p w14:paraId="13034C8F" w14:textId="77777777" w:rsidR="00AB074C" w:rsidRDefault="00AB074C" w:rsidP="00AB074C">
            <w:pPr>
              <w:keepLines/>
              <w:widowControl w:val="0"/>
              <w:tabs>
                <w:tab w:val="left" w:pos="150"/>
                <w:tab w:val="left" w:pos="397"/>
                <w:tab w:val="left" w:pos="794"/>
                <w:tab w:val="left" w:pos="1191"/>
              </w:tabs>
              <w:spacing w:before="20" w:after="20"/>
              <w:jc w:val="both"/>
              <w:rPr>
                <w:rFonts w:eastAsia="新細明體" w:cs="Segoe UI"/>
                <w:bCs/>
                <w:sz w:val="17"/>
                <w:szCs w:val="17"/>
                <w:lang w:eastAsia="ja-JP"/>
              </w:rPr>
            </w:pPr>
            <w:r>
              <w:rPr>
                <w:rFonts w:eastAsia="新細明體" w:cs="Segoe UI"/>
                <w:i/>
                <w:sz w:val="17"/>
                <w:szCs w:val="17"/>
                <w:lang w:eastAsia="en-GB"/>
              </w:rPr>
              <w:t xml:space="preserve">RWAs (by </w:t>
            </w:r>
            <w:r>
              <w:rPr>
                <w:rFonts w:eastAsia="新細明體" w:cs="Segoe UI"/>
                <w:i/>
                <w:color w:val="000000"/>
                <w:sz w:val="17"/>
                <w:szCs w:val="17"/>
                <w:lang w:eastAsia="en-GB"/>
              </w:rPr>
              <w:t>regulatory</w:t>
            </w:r>
            <w:r>
              <w:rPr>
                <w:rFonts w:eastAsia="新細明體" w:cs="Segoe UI"/>
                <w:i/>
                <w:sz w:val="17"/>
                <w:szCs w:val="17"/>
                <w:lang w:eastAsia="en-GB"/>
              </w:rPr>
              <w:t xml:space="preserve"> approach)</w:t>
            </w:r>
            <w:r>
              <w:rPr>
                <w:rFonts w:eastAsia="新細明體" w:cs="Segoe UI"/>
                <w:sz w:val="17"/>
                <w:szCs w:val="17"/>
                <w:lang w:eastAsia="en-GB"/>
              </w:rPr>
              <w:t xml:space="preserve">: </w:t>
            </w:r>
            <w:r>
              <w:rPr>
                <w:rFonts w:eastAsia="新細明體" w:cs="Segoe UI"/>
                <w:color w:val="000000"/>
                <w:sz w:val="17"/>
                <w:szCs w:val="17"/>
                <w:lang w:eastAsia="en-GB"/>
              </w:rPr>
              <w:t>the RWAs (to be calculated before application of the regulatory maximum or cap as explain below) subject to the securitization framework, allocated in accordance with the allocation method of exposure values as in columns (f) to (i).</w:t>
            </w:r>
          </w:p>
        </w:tc>
      </w:tr>
      <w:tr w:rsidR="00AB074C" w14:paraId="2CC1B352" w14:textId="77777777" w:rsidTr="00AB074C">
        <w:tc>
          <w:tcPr>
            <w:tcW w:w="1134" w:type="dxa"/>
          </w:tcPr>
          <w:p w14:paraId="1BB686C2" w14:textId="77777777" w:rsidR="00AB074C" w:rsidRDefault="00AB074C" w:rsidP="00AB074C">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lastRenderedPageBreak/>
              <w:t>(n) to (q)</w:t>
            </w:r>
          </w:p>
        </w:tc>
        <w:tc>
          <w:tcPr>
            <w:tcW w:w="12758" w:type="dxa"/>
          </w:tcPr>
          <w:p w14:paraId="445C875C" w14:textId="77777777" w:rsidR="00AB074C" w:rsidRDefault="00AB074C" w:rsidP="00AB074C">
            <w:pPr>
              <w:keepLines/>
              <w:widowControl w:val="0"/>
              <w:tabs>
                <w:tab w:val="left" w:pos="150"/>
                <w:tab w:val="left" w:pos="397"/>
                <w:tab w:val="left" w:pos="794"/>
                <w:tab w:val="left" w:pos="1191"/>
              </w:tabs>
              <w:spacing w:before="20" w:after="20"/>
              <w:jc w:val="both"/>
              <w:rPr>
                <w:rFonts w:eastAsia="新細明體" w:cs="Segoe UI"/>
                <w:bCs/>
                <w:sz w:val="17"/>
                <w:szCs w:val="17"/>
                <w:lang w:eastAsia="ja-JP"/>
              </w:rPr>
            </w:pPr>
            <w:r>
              <w:rPr>
                <w:rFonts w:eastAsia="新細明體" w:cs="Segoe UI"/>
                <w:sz w:val="17"/>
                <w:szCs w:val="17"/>
                <w:lang w:eastAsia="en-GB"/>
              </w:rPr>
              <w:t xml:space="preserve">Capital charges after cap: </w:t>
            </w:r>
            <w:r>
              <w:rPr>
                <w:rFonts w:eastAsia="新細明體" w:cs="Segoe UI"/>
                <w:color w:val="000000"/>
                <w:sz w:val="17"/>
                <w:szCs w:val="17"/>
                <w:lang w:eastAsia="en-GB"/>
              </w:rPr>
              <w:t>the capital charges (after application of the regulatory maximum or cap pursuant to Part 7 of the BCR, as the case may require) as determined according to the securitization framework, allocated in accordance with the allocation method of RWAs as in columns (j) to (m).</w:t>
            </w:r>
            <w:r>
              <w:rPr>
                <w:rStyle w:val="FootnoteReference"/>
                <w:rFonts w:eastAsia="新細明體"/>
                <w:color w:val="000000"/>
                <w:sz w:val="17"/>
                <w:szCs w:val="17"/>
                <w:lang w:eastAsia="en-GB"/>
              </w:rPr>
              <w:footnoteReference w:id="17"/>
            </w:r>
          </w:p>
        </w:tc>
      </w:tr>
    </w:tbl>
    <w:p w14:paraId="221D57E7" w14:textId="77777777" w:rsidR="00AB074C" w:rsidRPr="00AB074C" w:rsidRDefault="00AB074C" w:rsidP="00AB074C"/>
    <w:p w14:paraId="0C63385C" w14:textId="2D574440" w:rsidR="00DE3652" w:rsidRDefault="00DE3652" w:rsidP="007C29DB">
      <w:pPr>
        <w:rPr>
          <w:sz w:val="22"/>
        </w:rPr>
      </w:pPr>
    </w:p>
    <w:p w14:paraId="07E20F10" w14:textId="77777777" w:rsidR="00DE3652" w:rsidRDefault="00DE3652" w:rsidP="007C29DB">
      <w:pPr>
        <w:rPr>
          <w:sz w:val="22"/>
        </w:rPr>
        <w:sectPr w:rsidR="00DE3652" w:rsidSect="00E44A82">
          <w:footerReference w:type="default" r:id="rId76"/>
          <w:pgSz w:w="16838" w:h="11906" w:orient="landscape" w:code="9"/>
          <w:pgMar w:top="1797" w:right="1440" w:bottom="1797" w:left="1440" w:header="851" w:footer="737" w:gutter="0"/>
          <w:cols w:space="425"/>
          <w:docGrid w:type="linesAndChars" w:linePitch="360"/>
        </w:sectPr>
      </w:pPr>
    </w:p>
    <w:p w14:paraId="43D6C6CF" w14:textId="77777777" w:rsidR="00C2330E" w:rsidRPr="00A57E94" w:rsidRDefault="00C2330E" w:rsidP="00C2330E">
      <w:pPr>
        <w:pStyle w:val="Heading1"/>
        <w:tabs>
          <w:tab w:val="left" w:pos="426"/>
        </w:tabs>
        <w:ind w:leftChars="-283" w:left="-566"/>
      </w:pPr>
      <w:r w:rsidRPr="00A57E94">
        <w:lastRenderedPageBreak/>
        <w:t>Part VI:</w:t>
      </w:r>
      <w:r w:rsidRPr="00A57E94">
        <w:tab/>
        <w:t>Market risk</w:t>
      </w:r>
    </w:p>
    <w:p w14:paraId="51CBDC08" w14:textId="23E5DA5D" w:rsidR="0098236D" w:rsidRDefault="0098236D" w:rsidP="0098236D">
      <w:pPr>
        <w:pStyle w:val="Bulletpoint"/>
        <w:numPr>
          <w:ilvl w:val="0"/>
          <w:numId w:val="0"/>
        </w:numPr>
        <w:ind w:leftChars="-283" w:left="-566"/>
      </w:pPr>
      <w:r>
        <w:t>Unless the context otherwise requires, the market risk section includes exposures booked in the trading book and banking book that are subject to a market risk capital charge.  It also includes capital requirements for securitization positions held in the trading book.  However, it excludes the counterparty credit risk capital charges that apply to the same exposures</w:t>
      </w:r>
      <w:r w:rsidRPr="007E5494">
        <w:t xml:space="preserve"> </w:t>
      </w:r>
      <w:r w:rsidR="00F160D7">
        <w:t>and CVA risk</w:t>
      </w:r>
      <w:r>
        <w:t xml:space="preserve">, which are reported in Part IV – Counterparty credit risk </w:t>
      </w:r>
      <w:r w:rsidR="00F160D7">
        <w:t xml:space="preserve">and </w:t>
      </w:r>
      <w:r w:rsidR="00F160D7" w:rsidRPr="00AF458A">
        <w:t>Part IVA – Credit</w:t>
      </w:r>
      <w:r w:rsidR="00F160D7">
        <w:t xml:space="preserve"> valulation adjustment risk respectively</w:t>
      </w:r>
      <w:r>
        <w:t>.</w:t>
      </w:r>
    </w:p>
    <w:p w14:paraId="0CA27664" w14:textId="33BA3D55" w:rsidR="00C2330E" w:rsidRDefault="00C2330E" w:rsidP="00C2330E">
      <w:pPr>
        <w:pStyle w:val="Bulletpoint"/>
        <w:numPr>
          <w:ilvl w:val="0"/>
          <w:numId w:val="0"/>
        </w:numPr>
        <w:ind w:leftChars="-283" w:left="-566"/>
      </w:pPr>
    </w:p>
    <w:p w14:paraId="7D2D0D76" w14:textId="57D5B3FE" w:rsidR="00CE2149" w:rsidRDefault="00CE2149" w:rsidP="0098236D"/>
    <w:p w14:paraId="18F453D0" w14:textId="77777777" w:rsidR="00C72339" w:rsidRDefault="00C72339" w:rsidP="00C72339">
      <w:pPr>
        <w:pStyle w:val="Heading2"/>
      </w:pPr>
      <w:r w:rsidRPr="0098236D">
        <w:rPr>
          <w:rFonts w:eastAsia="新細明體"/>
          <w:szCs w:val="24"/>
        </w:rPr>
        <w:t xml:space="preserve">Table MRA: </w:t>
      </w:r>
      <w:r>
        <w:t>Qualitative disclosures related to market risk</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C72339" w:rsidRPr="0098236D" w14:paraId="7B8D224A" w14:textId="77777777" w:rsidTr="00FF4005">
        <w:tc>
          <w:tcPr>
            <w:tcW w:w="2008" w:type="dxa"/>
            <w:tcBorders>
              <w:top w:val="single" w:sz="4" w:space="0" w:color="auto"/>
              <w:left w:val="nil"/>
              <w:bottom w:val="single" w:sz="4" w:space="0" w:color="auto"/>
              <w:right w:val="single" w:sz="4" w:space="0" w:color="auto"/>
            </w:tcBorders>
            <w:hideMark/>
          </w:tcPr>
          <w:p w14:paraId="7040115A" w14:textId="77777777" w:rsidR="00C72339" w:rsidRPr="0098236D" w:rsidRDefault="00C72339" w:rsidP="00FF4005">
            <w:pPr>
              <w:spacing w:before="40" w:after="40"/>
              <w:rPr>
                <w:noProof/>
                <w:sz w:val="17"/>
                <w:lang w:eastAsia="en-GB"/>
              </w:rPr>
            </w:pPr>
            <w:r w:rsidRPr="0098236D">
              <w:rPr>
                <w:b/>
                <w:sz w:val="17"/>
                <w:lang w:eastAsia="en-GB"/>
              </w:rPr>
              <w:t>Purpose:</w:t>
            </w:r>
          </w:p>
        </w:tc>
        <w:tc>
          <w:tcPr>
            <w:tcW w:w="7234" w:type="dxa"/>
            <w:tcBorders>
              <w:top w:val="single" w:sz="4" w:space="0" w:color="auto"/>
              <w:left w:val="single" w:sz="4" w:space="0" w:color="auto"/>
              <w:bottom w:val="single" w:sz="4" w:space="0" w:color="auto"/>
              <w:right w:val="nil"/>
            </w:tcBorders>
            <w:hideMark/>
          </w:tcPr>
          <w:p w14:paraId="64E68BC6" w14:textId="77777777" w:rsidR="00C72339" w:rsidRPr="0098236D" w:rsidRDefault="00C72339" w:rsidP="00FF4005">
            <w:pPr>
              <w:widowControl w:val="0"/>
              <w:autoSpaceDE w:val="0"/>
              <w:autoSpaceDN w:val="0"/>
              <w:adjustRightInd w:val="0"/>
              <w:jc w:val="both"/>
              <w:rPr>
                <w:rFonts w:eastAsia="新細明體" w:cs="Segoe UI"/>
                <w:color w:val="000000"/>
                <w:sz w:val="17"/>
                <w:szCs w:val="17"/>
                <w:lang w:val="en-US" w:eastAsia="zh-TW"/>
              </w:rPr>
            </w:pPr>
            <w:r w:rsidRPr="0098236D">
              <w:rPr>
                <w:rFonts w:eastAsia="新細明體" w:cs="Segoe UI"/>
                <w:color w:val="000000"/>
                <w:sz w:val="17"/>
                <w:szCs w:val="17"/>
                <w:lang w:val="en-US" w:eastAsia="zh-TW"/>
              </w:rPr>
              <w:t xml:space="preserve">To provide a description of the risk management objectives and policies concerning market risk. </w:t>
            </w:r>
          </w:p>
        </w:tc>
      </w:tr>
      <w:tr w:rsidR="00C72339" w:rsidRPr="0098236D" w14:paraId="297AAB6A" w14:textId="77777777" w:rsidTr="00FF4005">
        <w:tc>
          <w:tcPr>
            <w:tcW w:w="2008" w:type="dxa"/>
            <w:tcBorders>
              <w:top w:val="single" w:sz="4" w:space="0" w:color="auto"/>
              <w:left w:val="nil"/>
              <w:bottom w:val="single" w:sz="4" w:space="0" w:color="auto"/>
              <w:right w:val="single" w:sz="4" w:space="0" w:color="auto"/>
            </w:tcBorders>
            <w:hideMark/>
          </w:tcPr>
          <w:p w14:paraId="70695848" w14:textId="77777777" w:rsidR="00C72339" w:rsidRPr="0098236D" w:rsidRDefault="00C72339" w:rsidP="00FF4005">
            <w:pPr>
              <w:spacing w:before="40" w:after="40"/>
              <w:rPr>
                <w:b/>
                <w:sz w:val="17"/>
                <w:lang w:eastAsia="en-GB"/>
              </w:rPr>
            </w:pPr>
            <w:r w:rsidRPr="0098236D">
              <w:rPr>
                <w:b/>
                <w:sz w:val="17"/>
                <w:lang w:eastAsia="en-GB"/>
              </w:rPr>
              <w:t>Scope of application:</w:t>
            </w:r>
          </w:p>
        </w:tc>
        <w:tc>
          <w:tcPr>
            <w:tcW w:w="7234" w:type="dxa"/>
            <w:tcBorders>
              <w:top w:val="single" w:sz="4" w:space="0" w:color="auto"/>
              <w:left w:val="single" w:sz="4" w:space="0" w:color="auto"/>
              <w:bottom w:val="single" w:sz="4" w:space="0" w:color="auto"/>
              <w:right w:val="nil"/>
            </w:tcBorders>
            <w:hideMark/>
          </w:tcPr>
          <w:p w14:paraId="146CB579" w14:textId="7F6B85C2" w:rsidR="00C72339" w:rsidRPr="0098236D" w:rsidRDefault="00C72339" w:rsidP="00B17D8A">
            <w:pPr>
              <w:spacing w:before="40" w:after="40"/>
              <w:jc w:val="both"/>
              <w:rPr>
                <w:sz w:val="17"/>
                <w:lang w:eastAsia="en-GB"/>
              </w:rPr>
            </w:pPr>
            <w:r w:rsidRPr="0098236D">
              <w:rPr>
                <w:sz w:val="17"/>
                <w:lang w:eastAsia="en-GB"/>
              </w:rPr>
              <w:t xml:space="preserve">The table is mandatory for AIs incorporated in Hong Kong that are subject to market risk capital charge in Part 8 of the BCR (other than those exempted under </w:t>
            </w:r>
            <w:r w:rsidR="00B17D8A">
              <w:rPr>
                <w:sz w:val="17"/>
                <w:lang w:eastAsia="en-GB"/>
              </w:rPr>
              <w:t xml:space="preserve">BCR </w:t>
            </w:r>
            <w:r w:rsidR="00B17D8A" w:rsidRPr="00B17D8A">
              <w:rPr>
                <w:rFonts w:hint="eastAsia"/>
                <w:sz w:val="17"/>
                <w:lang w:eastAsia="en-GB"/>
              </w:rPr>
              <w:t>§</w:t>
            </w:r>
            <w:r w:rsidRPr="0098236D">
              <w:rPr>
                <w:sz w:val="17"/>
                <w:lang w:eastAsia="en-GB"/>
              </w:rPr>
              <w:t>22).</w:t>
            </w:r>
          </w:p>
        </w:tc>
      </w:tr>
      <w:tr w:rsidR="00C72339" w:rsidRPr="0098236D" w14:paraId="380D9C8B" w14:textId="77777777" w:rsidTr="00FF4005">
        <w:tc>
          <w:tcPr>
            <w:tcW w:w="2008" w:type="dxa"/>
            <w:tcBorders>
              <w:top w:val="single" w:sz="4" w:space="0" w:color="auto"/>
              <w:left w:val="nil"/>
              <w:bottom w:val="single" w:sz="4" w:space="0" w:color="auto"/>
              <w:right w:val="single" w:sz="4" w:space="0" w:color="auto"/>
            </w:tcBorders>
            <w:hideMark/>
          </w:tcPr>
          <w:p w14:paraId="620ECDC8" w14:textId="77777777" w:rsidR="00C72339" w:rsidRPr="0098236D" w:rsidRDefault="00C72339" w:rsidP="00FF4005">
            <w:pPr>
              <w:spacing w:before="40" w:after="40"/>
              <w:rPr>
                <w:b/>
                <w:sz w:val="17"/>
                <w:lang w:eastAsia="en-GB"/>
              </w:rPr>
            </w:pPr>
            <w:r w:rsidRPr="0098236D">
              <w:rPr>
                <w:b/>
                <w:sz w:val="17"/>
                <w:lang w:eastAsia="en-GB"/>
              </w:rPr>
              <w:t>Content:</w:t>
            </w:r>
          </w:p>
        </w:tc>
        <w:tc>
          <w:tcPr>
            <w:tcW w:w="7234" w:type="dxa"/>
            <w:tcBorders>
              <w:top w:val="single" w:sz="4" w:space="0" w:color="auto"/>
              <w:left w:val="single" w:sz="4" w:space="0" w:color="auto"/>
              <w:bottom w:val="single" w:sz="4" w:space="0" w:color="auto"/>
              <w:right w:val="nil"/>
            </w:tcBorders>
            <w:hideMark/>
          </w:tcPr>
          <w:p w14:paraId="6CF96E69" w14:textId="77777777" w:rsidR="00C72339" w:rsidRPr="0098236D" w:rsidRDefault="00C72339" w:rsidP="00FF4005">
            <w:pPr>
              <w:spacing w:before="40" w:after="40"/>
              <w:jc w:val="both"/>
              <w:rPr>
                <w:sz w:val="17"/>
                <w:lang w:eastAsia="en-GB"/>
              </w:rPr>
            </w:pPr>
            <w:r w:rsidRPr="0098236D">
              <w:rPr>
                <w:sz w:val="17"/>
                <w:lang w:eastAsia="en-GB"/>
              </w:rPr>
              <w:t>Qualitative information.</w:t>
            </w:r>
          </w:p>
        </w:tc>
      </w:tr>
      <w:tr w:rsidR="00C72339" w:rsidRPr="0098236D" w14:paraId="0D63147D" w14:textId="77777777" w:rsidTr="00FF4005">
        <w:tc>
          <w:tcPr>
            <w:tcW w:w="2008" w:type="dxa"/>
            <w:tcBorders>
              <w:top w:val="single" w:sz="4" w:space="0" w:color="auto"/>
              <w:left w:val="nil"/>
              <w:bottom w:val="single" w:sz="4" w:space="0" w:color="auto"/>
              <w:right w:val="single" w:sz="4" w:space="0" w:color="auto"/>
            </w:tcBorders>
            <w:hideMark/>
          </w:tcPr>
          <w:p w14:paraId="7D3B57A2" w14:textId="77777777" w:rsidR="00C72339" w:rsidRPr="0098236D" w:rsidRDefault="00C72339" w:rsidP="00FF4005">
            <w:pPr>
              <w:spacing w:before="40" w:after="40"/>
              <w:rPr>
                <w:sz w:val="17"/>
                <w:lang w:eastAsia="en-GB"/>
              </w:rPr>
            </w:pPr>
            <w:r w:rsidRPr="0098236D">
              <w:rPr>
                <w:b/>
                <w:sz w:val="17"/>
                <w:lang w:eastAsia="en-GB"/>
              </w:rPr>
              <w:t>Frequency:</w:t>
            </w:r>
          </w:p>
        </w:tc>
        <w:tc>
          <w:tcPr>
            <w:tcW w:w="7234" w:type="dxa"/>
            <w:tcBorders>
              <w:top w:val="single" w:sz="4" w:space="0" w:color="auto"/>
              <w:left w:val="single" w:sz="4" w:space="0" w:color="auto"/>
              <w:bottom w:val="single" w:sz="4" w:space="0" w:color="auto"/>
              <w:right w:val="nil"/>
            </w:tcBorders>
            <w:hideMark/>
          </w:tcPr>
          <w:p w14:paraId="689DEB91" w14:textId="1C38DFF3" w:rsidR="00C72339" w:rsidRPr="0098236D" w:rsidRDefault="00C72339" w:rsidP="00FF4005">
            <w:pPr>
              <w:spacing w:before="40" w:after="40"/>
              <w:jc w:val="both"/>
              <w:rPr>
                <w:sz w:val="17"/>
                <w:lang w:eastAsia="en-GB"/>
              </w:rPr>
            </w:pPr>
            <w:r w:rsidRPr="0098236D">
              <w:rPr>
                <w:sz w:val="17"/>
                <w:lang w:eastAsia="en-GB"/>
              </w:rPr>
              <w:t>Annual</w:t>
            </w:r>
            <w:r w:rsidR="00BC5922">
              <w:rPr>
                <w:sz w:val="17"/>
                <w:lang w:eastAsia="en-GB"/>
              </w:rPr>
              <w:t>.</w:t>
            </w:r>
          </w:p>
        </w:tc>
      </w:tr>
      <w:tr w:rsidR="00C72339" w:rsidRPr="0098236D" w14:paraId="7850F664" w14:textId="77777777" w:rsidTr="00FF4005">
        <w:tc>
          <w:tcPr>
            <w:tcW w:w="2008" w:type="dxa"/>
            <w:tcBorders>
              <w:top w:val="single" w:sz="4" w:space="0" w:color="auto"/>
              <w:left w:val="nil"/>
              <w:bottom w:val="single" w:sz="4" w:space="0" w:color="auto"/>
              <w:right w:val="single" w:sz="4" w:space="0" w:color="auto"/>
            </w:tcBorders>
            <w:hideMark/>
          </w:tcPr>
          <w:p w14:paraId="2D15A7B9" w14:textId="77777777" w:rsidR="00C72339" w:rsidRPr="0098236D" w:rsidRDefault="00C72339" w:rsidP="00FF4005">
            <w:pPr>
              <w:spacing w:before="40" w:after="40"/>
              <w:rPr>
                <w:sz w:val="17"/>
                <w:lang w:eastAsia="en-GB"/>
              </w:rPr>
            </w:pPr>
            <w:r w:rsidRPr="0098236D">
              <w:rPr>
                <w:b/>
                <w:sz w:val="17"/>
                <w:lang w:eastAsia="en-GB"/>
              </w:rPr>
              <w:t>Format:</w:t>
            </w:r>
          </w:p>
        </w:tc>
        <w:tc>
          <w:tcPr>
            <w:tcW w:w="7234" w:type="dxa"/>
            <w:tcBorders>
              <w:top w:val="single" w:sz="4" w:space="0" w:color="auto"/>
              <w:left w:val="single" w:sz="4" w:space="0" w:color="auto"/>
              <w:bottom w:val="single" w:sz="4" w:space="0" w:color="auto"/>
              <w:right w:val="nil"/>
            </w:tcBorders>
            <w:hideMark/>
          </w:tcPr>
          <w:p w14:paraId="32D03368" w14:textId="77777777" w:rsidR="00C72339" w:rsidRPr="0098236D" w:rsidRDefault="00C72339" w:rsidP="00FF4005">
            <w:pPr>
              <w:spacing w:before="40" w:after="40"/>
              <w:jc w:val="both"/>
              <w:rPr>
                <w:sz w:val="17"/>
                <w:lang w:eastAsia="en-GB"/>
              </w:rPr>
            </w:pPr>
            <w:r w:rsidRPr="0098236D">
              <w:rPr>
                <w:sz w:val="17"/>
                <w:lang w:eastAsia="en-GB"/>
              </w:rPr>
              <w:t>Flexible.</w:t>
            </w:r>
          </w:p>
        </w:tc>
      </w:tr>
      <w:tr w:rsidR="00C72339" w:rsidRPr="0098236D" w14:paraId="1F9933F8" w14:textId="77777777" w:rsidTr="00FF4005">
        <w:tc>
          <w:tcPr>
            <w:tcW w:w="2008" w:type="dxa"/>
            <w:tcBorders>
              <w:top w:val="single" w:sz="4" w:space="0" w:color="auto"/>
              <w:left w:val="nil"/>
              <w:bottom w:val="single" w:sz="4" w:space="0" w:color="auto"/>
              <w:right w:val="single" w:sz="4" w:space="0" w:color="auto"/>
            </w:tcBorders>
            <w:hideMark/>
          </w:tcPr>
          <w:p w14:paraId="550963D2" w14:textId="77777777" w:rsidR="00C72339" w:rsidRPr="0098236D" w:rsidRDefault="00C72339" w:rsidP="00FF4005">
            <w:pPr>
              <w:spacing w:before="40" w:after="40"/>
              <w:rPr>
                <w:b/>
                <w:sz w:val="17"/>
                <w:lang w:eastAsia="en-GB"/>
              </w:rPr>
            </w:pPr>
            <w:r w:rsidRPr="0098236D">
              <w:rPr>
                <w:b/>
                <w:sz w:val="17"/>
                <w:lang w:eastAsia="en-GB"/>
              </w:rPr>
              <w:t>Corresponding BDR section:</w:t>
            </w:r>
          </w:p>
        </w:tc>
        <w:tc>
          <w:tcPr>
            <w:tcW w:w="7234" w:type="dxa"/>
            <w:tcBorders>
              <w:top w:val="single" w:sz="4" w:space="0" w:color="auto"/>
              <w:left w:val="single" w:sz="4" w:space="0" w:color="auto"/>
              <w:bottom w:val="single" w:sz="4" w:space="0" w:color="auto"/>
              <w:right w:val="nil"/>
            </w:tcBorders>
          </w:tcPr>
          <w:p w14:paraId="6447551D" w14:textId="77777777" w:rsidR="00C72339" w:rsidRPr="0098236D" w:rsidRDefault="00C72339" w:rsidP="00FF4005">
            <w:pPr>
              <w:spacing w:before="40" w:after="40"/>
              <w:jc w:val="both"/>
              <w:rPr>
                <w:sz w:val="17"/>
                <w:lang w:eastAsia="en-GB"/>
              </w:rPr>
            </w:pPr>
            <w:r w:rsidRPr="0098236D">
              <w:rPr>
                <w:sz w:val="17"/>
                <w:lang w:eastAsia="en-GB"/>
              </w:rPr>
              <w:t>16ZJ</w:t>
            </w:r>
          </w:p>
        </w:tc>
      </w:tr>
    </w:tbl>
    <w:p w14:paraId="536B834A" w14:textId="77777777" w:rsidR="00C72339" w:rsidRDefault="00C72339" w:rsidP="00C72339"/>
    <w:tbl>
      <w:tblPr>
        <w:tblW w:w="9263" w:type="dxa"/>
        <w:tblInd w:w="-459" w:type="dxa"/>
        <w:tblCellMar>
          <w:left w:w="70" w:type="dxa"/>
          <w:right w:w="70" w:type="dxa"/>
        </w:tblCellMar>
        <w:tblLook w:val="00A0" w:firstRow="1" w:lastRow="0" w:firstColumn="1" w:lastColumn="0" w:noHBand="0" w:noVBand="0"/>
      </w:tblPr>
      <w:tblGrid>
        <w:gridCol w:w="543"/>
        <w:gridCol w:w="8720"/>
      </w:tblGrid>
      <w:tr w:rsidR="00C72339" w14:paraId="1E19E4AE" w14:textId="77777777" w:rsidTr="00C72339">
        <w:trPr>
          <w:trHeight w:val="448"/>
        </w:trPr>
        <w:tc>
          <w:tcPr>
            <w:tcW w:w="9263" w:type="dxa"/>
            <w:gridSpan w:val="2"/>
            <w:tcBorders>
              <w:top w:val="single" w:sz="4" w:space="0" w:color="auto"/>
              <w:left w:val="nil"/>
              <w:bottom w:val="single" w:sz="4" w:space="0" w:color="auto"/>
              <w:right w:val="nil"/>
            </w:tcBorders>
            <w:vAlign w:val="center"/>
            <w:hideMark/>
          </w:tcPr>
          <w:p w14:paraId="5E9891B0" w14:textId="5AF764E0" w:rsidR="00C72339" w:rsidRDefault="00C72339" w:rsidP="00FF4005">
            <w:pPr>
              <w:pStyle w:val="Default"/>
              <w:jc w:val="both"/>
              <w:rPr>
                <w:sz w:val="17"/>
                <w:szCs w:val="17"/>
              </w:rPr>
            </w:pPr>
            <w:r>
              <w:rPr>
                <w:sz w:val="17"/>
                <w:szCs w:val="17"/>
                <w:lang w:eastAsia="fr-FR"/>
              </w:rPr>
              <w:t>An AI should describe its risk management objectives and policies for market risk according to the framework below:</w:t>
            </w:r>
          </w:p>
        </w:tc>
      </w:tr>
      <w:tr w:rsidR="00C72339" w14:paraId="5D109AE2" w14:textId="77777777" w:rsidTr="00C72339">
        <w:trPr>
          <w:trHeight w:val="318"/>
        </w:trPr>
        <w:tc>
          <w:tcPr>
            <w:tcW w:w="543" w:type="dxa"/>
            <w:tcBorders>
              <w:top w:val="single" w:sz="4" w:space="0" w:color="auto"/>
              <w:left w:val="nil"/>
              <w:bottom w:val="single" w:sz="4" w:space="0" w:color="auto"/>
              <w:right w:val="nil"/>
            </w:tcBorders>
            <w:noWrap/>
          </w:tcPr>
          <w:p w14:paraId="6266B596" w14:textId="77777777" w:rsidR="00C72339" w:rsidRDefault="00C72339" w:rsidP="00FF4005">
            <w:pPr>
              <w:widowControl w:val="0"/>
              <w:spacing w:before="40" w:after="40"/>
              <w:rPr>
                <w:sz w:val="17"/>
                <w:szCs w:val="17"/>
              </w:rPr>
            </w:pPr>
            <w:r>
              <w:rPr>
                <w:sz w:val="17"/>
                <w:szCs w:val="17"/>
              </w:rPr>
              <w:t>(a)</w:t>
            </w:r>
          </w:p>
        </w:tc>
        <w:tc>
          <w:tcPr>
            <w:tcW w:w="8720" w:type="dxa"/>
            <w:tcBorders>
              <w:top w:val="single" w:sz="4" w:space="0" w:color="auto"/>
              <w:left w:val="nil"/>
              <w:bottom w:val="single" w:sz="4" w:space="0" w:color="auto"/>
              <w:right w:val="nil"/>
            </w:tcBorders>
            <w:noWrap/>
            <w:vAlign w:val="bottom"/>
          </w:tcPr>
          <w:p w14:paraId="1951152F" w14:textId="0FE4C49E" w:rsidR="00C72339" w:rsidRDefault="00C72339" w:rsidP="00FF4005">
            <w:pPr>
              <w:pStyle w:val="Default"/>
              <w:jc w:val="both"/>
              <w:rPr>
                <w:sz w:val="17"/>
                <w:szCs w:val="17"/>
              </w:rPr>
            </w:pPr>
            <w:r w:rsidRPr="00B6669B">
              <w:rPr>
                <w:sz w:val="17"/>
                <w:szCs w:val="17"/>
              </w:rPr>
              <w:t xml:space="preserve">Strategies and processes of the AI, </w:t>
            </w:r>
            <w:r>
              <w:rPr>
                <w:sz w:val="17"/>
                <w:szCs w:val="17"/>
              </w:rPr>
              <w:t xml:space="preserve">which </w:t>
            </w:r>
            <w:r w:rsidRPr="00B6669B">
              <w:rPr>
                <w:sz w:val="17"/>
                <w:szCs w:val="17"/>
              </w:rPr>
              <w:t xml:space="preserve">should include an explanation </w:t>
            </w:r>
            <w:r>
              <w:rPr>
                <w:sz w:val="17"/>
                <w:szCs w:val="17"/>
              </w:rPr>
              <w:t xml:space="preserve">and/or a description </w:t>
            </w:r>
            <w:r w:rsidRPr="00B6669B">
              <w:rPr>
                <w:sz w:val="17"/>
                <w:szCs w:val="17"/>
              </w:rPr>
              <w:t>of</w:t>
            </w:r>
            <w:r>
              <w:rPr>
                <w:sz w:val="17"/>
                <w:szCs w:val="17"/>
              </w:rPr>
              <w:t>:</w:t>
            </w:r>
          </w:p>
          <w:p w14:paraId="56A66FCF" w14:textId="56578B22" w:rsidR="00C72339" w:rsidRDefault="00C72339" w:rsidP="00FF4005">
            <w:pPr>
              <w:pStyle w:val="Default"/>
              <w:numPr>
                <w:ilvl w:val="0"/>
                <w:numId w:val="72"/>
              </w:numPr>
              <w:ind w:left="361" w:hanging="361"/>
              <w:jc w:val="both"/>
              <w:rPr>
                <w:sz w:val="17"/>
                <w:szCs w:val="17"/>
              </w:rPr>
            </w:pPr>
            <w:r>
              <w:rPr>
                <w:sz w:val="17"/>
                <w:szCs w:val="17"/>
              </w:rPr>
              <w:t>the AI’s</w:t>
            </w:r>
            <w:r w:rsidRPr="00B6669B">
              <w:rPr>
                <w:sz w:val="17"/>
                <w:szCs w:val="17"/>
              </w:rPr>
              <w:t xml:space="preserve"> strategic objectives in undertaking trading activities, as well as the processes implemented to identify, measure, monitor and control the AI’s market risks, including policies for hedging risk and strategies/processes for monitoring the continuing effectiveness of hedges</w:t>
            </w:r>
            <w:r>
              <w:rPr>
                <w:sz w:val="17"/>
                <w:szCs w:val="17"/>
              </w:rPr>
              <w:t>;</w:t>
            </w:r>
          </w:p>
          <w:p w14:paraId="4A1C39D5" w14:textId="77777777" w:rsidR="00C72339" w:rsidRDefault="00C72339" w:rsidP="00FF4005">
            <w:pPr>
              <w:pStyle w:val="Default"/>
              <w:numPr>
                <w:ilvl w:val="0"/>
                <w:numId w:val="72"/>
              </w:numPr>
              <w:ind w:left="361" w:hanging="361"/>
              <w:jc w:val="both"/>
              <w:rPr>
                <w:sz w:val="17"/>
                <w:szCs w:val="17"/>
              </w:rPr>
            </w:pPr>
            <w:r>
              <w:rPr>
                <w:sz w:val="17"/>
                <w:szCs w:val="17"/>
              </w:rPr>
              <w:t xml:space="preserve">policies for determining whether a position is designated as trading, including the definition of stale positions and the risk management policies for monitoring those positions.  In addition, an AI should describe cases where instruments are assigned to the trading or banking book contrary to the general presumptions of their instrument category as set out in Part 8 of the BCR and the market and gross fair value of such cases, as well as cases where instruments have been moved between the banking book and the trading book since the last reporting period, including the gross fair value of such cases and the reason for the move; and </w:t>
            </w:r>
          </w:p>
          <w:p w14:paraId="37E36DDB" w14:textId="77777777" w:rsidR="00C72339" w:rsidRDefault="00C72339" w:rsidP="00FF4005">
            <w:pPr>
              <w:pStyle w:val="Default"/>
              <w:numPr>
                <w:ilvl w:val="0"/>
                <w:numId w:val="72"/>
              </w:numPr>
              <w:ind w:left="361" w:hanging="361"/>
              <w:jc w:val="both"/>
              <w:rPr>
                <w:sz w:val="17"/>
                <w:szCs w:val="17"/>
              </w:rPr>
            </w:pPr>
            <w:r w:rsidRPr="005B0CA8">
              <w:rPr>
                <w:sz w:val="17"/>
                <w:szCs w:val="17"/>
              </w:rPr>
              <w:t>description of internal risk transfer activities, including the types of internal risk transfer trading desk</w:t>
            </w:r>
            <w:r>
              <w:rPr>
                <w:sz w:val="17"/>
                <w:szCs w:val="17"/>
              </w:rPr>
              <w:t xml:space="preserve">. </w:t>
            </w:r>
          </w:p>
          <w:p w14:paraId="2AFA3D5B" w14:textId="77777777" w:rsidR="00C72339" w:rsidRPr="007C3D6F" w:rsidRDefault="00C72339" w:rsidP="00FF4005">
            <w:pPr>
              <w:pStyle w:val="Default"/>
              <w:jc w:val="both"/>
              <w:rPr>
                <w:sz w:val="17"/>
                <w:szCs w:val="17"/>
              </w:rPr>
            </w:pPr>
          </w:p>
        </w:tc>
      </w:tr>
      <w:tr w:rsidR="00C72339" w14:paraId="48DC1B49" w14:textId="77777777" w:rsidTr="00C72339">
        <w:trPr>
          <w:trHeight w:val="318"/>
        </w:trPr>
        <w:tc>
          <w:tcPr>
            <w:tcW w:w="543" w:type="dxa"/>
            <w:tcBorders>
              <w:top w:val="single" w:sz="4" w:space="0" w:color="auto"/>
              <w:left w:val="nil"/>
              <w:bottom w:val="single" w:sz="4" w:space="0" w:color="auto"/>
              <w:right w:val="nil"/>
            </w:tcBorders>
            <w:noWrap/>
            <w:hideMark/>
          </w:tcPr>
          <w:p w14:paraId="6112AD3C" w14:textId="77777777" w:rsidR="00C72339" w:rsidRDefault="00C72339" w:rsidP="00FF4005">
            <w:pPr>
              <w:widowControl w:val="0"/>
              <w:spacing w:before="40" w:after="40"/>
              <w:rPr>
                <w:sz w:val="17"/>
                <w:szCs w:val="17"/>
              </w:rPr>
            </w:pPr>
            <w:r>
              <w:rPr>
                <w:sz w:val="17"/>
                <w:szCs w:val="17"/>
              </w:rPr>
              <w:t>(b)</w:t>
            </w:r>
          </w:p>
        </w:tc>
        <w:tc>
          <w:tcPr>
            <w:tcW w:w="8720" w:type="dxa"/>
            <w:tcBorders>
              <w:top w:val="single" w:sz="4" w:space="0" w:color="auto"/>
              <w:left w:val="nil"/>
              <w:bottom w:val="single" w:sz="4" w:space="0" w:color="auto"/>
              <w:right w:val="nil"/>
            </w:tcBorders>
            <w:noWrap/>
            <w:vAlign w:val="bottom"/>
            <w:hideMark/>
          </w:tcPr>
          <w:p w14:paraId="248CCE89" w14:textId="3CE00AF7" w:rsidR="00C72339" w:rsidRDefault="00C72339" w:rsidP="00FF4005">
            <w:pPr>
              <w:pStyle w:val="Default"/>
              <w:jc w:val="both"/>
              <w:rPr>
                <w:sz w:val="17"/>
                <w:szCs w:val="17"/>
              </w:rPr>
            </w:pPr>
            <w:r w:rsidRPr="007C3D6F">
              <w:rPr>
                <w:sz w:val="17"/>
                <w:szCs w:val="17"/>
              </w:rPr>
              <w:t xml:space="preserve">Structure and organisation of the market risk management function: </w:t>
            </w:r>
            <w:r>
              <w:rPr>
                <w:sz w:val="17"/>
                <w:szCs w:val="17"/>
              </w:rPr>
              <w:t xml:space="preserve">including a </w:t>
            </w:r>
            <w:r w:rsidRPr="007C3D6F">
              <w:rPr>
                <w:sz w:val="17"/>
                <w:szCs w:val="17"/>
              </w:rPr>
              <w:t>description of the market risk governance structure established to implement the strategies and processes of the AI discussed in row (a) above</w:t>
            </w:r>
            <w:r>
              <w:rPr>
                <w:sz w:val="17"/>
                <w:szCs w:val="17"/>
              </w:rPr>
              <w:t xml:space="preserve">.  </w:t>
            </w:r>
          </w:p>
        </w:tc>
      </w:tr>
      <w:tr w:rsidR="00C72339" w14:paraId="64D23024" w14:textId="77777777" w:rsidTr="00C72339">
        <w:trPr>
          <w:trHeight w:val="318"/>
        </w:trPr>
        <w:tc>
          <w:tcPr>
            <w:tcW w:w="543" w:type="dxa"/>
            <w:tcBorders>
              <w:top w:val="single" w:sz="4" w:space="0" w:color="auto"/>
              <w:left w:val="nil"/>
              <w:bottom w:val="single" w:sz="4" w:space="0" w:color="auto"/>
              <w:right w:val="nil"/>
            </w:tcBorders>
            <w:noWrap/>
            <w:hideMark/>
          </w:tcPr>
          <w:p w14:paraId="3F0F9E3B" w14:textId="77777777" w:rsidR="00C72339" w:rsidRDefault="00C72339" w:rsidP="00FF4005">
            <w:pPr>
              <w:widowControl w:val="0"/>
              <w:spacing w:before="40" w:after="40"/>
              <w:rPr>
                <w:sz w:val="17"/>
                <w:szCs w:val="17"/>
              </w:rPr>
            </w:pPr>
            <w:r>
              <w:rPr>
                <w:sz w:val="17"/>
                <w:szCs w:val="17"/>
              </w:rPr>
              <w:lastRenderedPageBreak/>
              <w:t>(c)</w:t>
            </w:r>
          </w:p>
        </w:tc>
        <w:tc>
          <w:tcPr>
            <w:tcW w:w="8720" w:type="dxa"/>
            <w:tcBorders>
              <w:top w:val="single" w:sz="4" w:space="0" w:color="auto"/>
              <w:left w:val="nil"/>
              <w:bottom w:val="single" w:sz="4" w:space="0" w:color="auto"/>
              <w:right w:val="nil"/>
            </w:tcBorders>
            <w:noWrap/>
            <w:vAlign w:val="center"/>
            <w:hideMark/>
          </w:tcPr>
          <w:p w14:paraId="4F860DF4" w14:textId="47115A50" w:rsidR="00C72339" w:rsidRPr="007C3D6F" w:rsidRDefault="00C72339" w:rsidP="00FF4005">
            <w:pPr>
              <w:pStyle w:val="TableText"/>
              <w:jc w:val="both"/>
              <w:rPr>
                <w:noProof/>
                <w:lang w:eastAsia="en-GB"/>
              </w:rPr>
            </w:pPr>
            <w:r>
              <w:rPr>
                <w:szCs w:val="17"/>
              </w:rPr>
              <w:t xml:space="preserve">The scope and nature of risk reporting and/or measurement systems.  </w:t>
            </w:r>
          </w:p>
        </w:tc>
      </w:tr>
    </w:tbl>
    <w:p w14:paraId="3C670A70" w14:textId="77777777" w:rsidR="00C72339" w:rsidRDefault="00C72339" w:rsidP="0098236D"/>
    <w:p w14:paraId="37378B91" w14:textId="0A718813" w:rsidR="00C72339" w:rsidRDefault="00C72339" w:rsidP="0098236D"/>
    <w:p w14:paraId="407E0A2F" w14:textId="77777777" w:rsidR="00C72339" w:rsidRPr="0098236D" w:rsidRDefault="00C72339" w:rsidP="0098236D">
      <w:pPr>
        <w:sectPr w:rsidR="00C72339" w:rsidRPr="0098236D" w:rsidSect="00EE6B38">
          <w:footerReference w:type="default" r:id="rId77"/>
          <w:pgSz w:w="11906" w:h="16838"/>
          <w:pgMar w:top="1440" w:right="1418" w:bottom="1440" w:left="1797" w:header="851" w:footer="737" w:gutter="0"/>
          <w:cols w:space="720"/>
          <w:docGrid w:type="lines" w:linePitch="360"/>
        </w:sectPr>
      </w:pPr>
    </w:p>
    <w:p w14:paraId="13B3AF5D" w14:textId="7FF27EC9" w:rsidR="0098236D" w:rsidRPr="0098236D" w:rsidRDefault="0098236D" w:rsidP="0098236D">
      <w:pPr>
        <w:pStyle w:val="Heading2"/>
        <w:rPr>
          <w:rFonts w:eastAsia="新細明體"/>
          <w:szCs w:val="24"/>
        </w:rPr>
      </w:pPr>
      <w:r w:rsidRPr="0098236D">
        <w:rPr>
          <w:rFonts w:eastAsia="新細明體"/>
          <w:szCs w:val="24"/>
        </w:rPr>
        <w:lastRenderedPageBreak/>
        <w:t>Template MR1: Market risk under STM approach</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98236D" w:rsidRPr="0098236D" w14:paraId="36C84E34" w14:textId="77777777" w:rsidTr="00EE6B38">
        <w:tc>
          <w:tcPr>
            <w:tcW w:w="2008" w:type="dxa"/>
            <w:tcBorders>
              <w:top w:val="single" w:sz="4" w:space="0" w:color="auto"/>
              <w:left w:val="nil"/>
              <w:bottom w:val="single" w:sz="4" w:space="0" w:color="auto"/>
              <w:right w:val="single" w:sz="4" w:space="0" w:color="auto"/>
            </w:tcBorders>
            <w:hideMark/>
          </w:tcPr>
          <w:p w14:paraId="6F5B4851" w14:textId="77777777" w:rsidR="0098236D" w:rsidRPr="0098236D" w:rsidRDefault="0098236D" w:rsidP="0098236D">
            <w:pPr>
              <w:spacing w:before="40" w:after="40"/>
              <w:rPr>
                <w:noProof/>
                <w:sz w:val="17"/>
                <w:lang w:eastAsia="en-GB"/>
              </w:rPr>
            </w:pPr>
            <w:r w:rsidRPr="0098236D">
              <w:rPr>
                <w:b/>
                <w:sz w:val="17"/>
                <w:lang w:eastAsia="en-GB"/>
              </w:rPr>
              <w:t>Purpose:</w:t>
            </w:r>
            <w:r w:rsidRPr="0098236D">
              <w:rPr>
                <w:sz w:val="17"/>
                <w:lang w:eastAsia="en-GB"/>
              </w:rPr>
              <w:t xml:space="preserve"> </w:t>
            </w:r>
          </w:p>
        </w:tc>
        <w:tc>
          <w:tcPr>
            <w:tcW w:w="7234" w:type="dxa"/>
            <w:tcBorders>
              <w:top w:val="single" w:sz="4" w:space="0" w:color="auto"/>
              <w:left w:val="single" w:sz="4" w:space="0" w:color="auto"/>
              <w:bottom w:val="single" w:sz="4" w:space="0" w:color="auto"/>
              <w:right w:val="nil"/>
            </w:tcBorders>
            <w:hideMark/>
          </w:tcPr>
          <w:p w14:paraId="1BF23AD9" w14:textId="77777777" w:rsidR="0098236D" w:rsidRPr="0098236D" w:rsidRDefault="0098236D" w:rsidP="0098236D">
            <w:pPr>
              <w:spacing w:before="40" w:after="40"/>
              <w:jc w:val="both"/>
              <w:rPr>
                <w:rFonts w:cs="Segoe UI"/>
                <w:sz w:val="17"/>
                <w:szCs w:val="17"/>
                <w:lang w:eastAsia="en-GB"/>
              </w:rPr>
            </w:pPr>
            <w:r w:rsidRPr="0098236D">
              <w:rPr>
                <w:rFonts w:cs="Segoe UI"/>
                <w:sz w:val="17"/>
                <w:szCs w:val="17"/>
                <w:lang w:eastAsia="en-GB"/>
              </w:rPr>
              <w:t xml:space="preserve">To disclose </w:t>
            </w:r>
            <w:r w:rsidRPr="0098236D">
              <w:rPr>
                <w:rFonts w:cs="Segoe UI"/>
                <w:sz w:val="17"/>
                <w:szCs w:val="17"/>
              </w:rPr>
              <w:t>the</w:t>
            </w:r>
            <w:r w:rsidRPr="0098236D">
              <w:rPr>
                <w:rFonts w:cs="Segoe UI"/>
                <w:sz w:val="17"/>
                <w:szCs w:val="17"/>
                <w:lang w:eastAsia="en-GB"/>
              </w:rPr>
              <w:t xml:space="preserve"> components of the market risk capital charge calculated using the STM approach. </w:t>
            </w:r>
          </w:p>
        </w:tc>
      </w:tr>
      <w:tr w:rsidR="0098236D" w:rsidRPr="0098236D" w14:paraId="00C1B1B1" w14:textId="77777777" w:rsidTr="00EE6B38">
        <w:tc>
          <w:tcPr>
            <w:tcW w:w="2008" w:type="dxa"/>
            <w:tcBorders>
              <w:top w:val="single" w:sz="4" w:space="0" w:color="auto"/>
              <w:left w:val="nil"/>
              <w:bottom w:val="single" w:sz="4" w:space="0" w:color="auto"/>
              <w:right w:val="single" w:sz="4" w:space="0" w:color="auto"/>
            </w:tcBorders>
            <w:hideMark/>
          </w:tcPr>
          <w:p w14:paraId="3D6D03A6" w14:textId="77777777" w:rsidR="0098236D" w:rsidRPr="0098236D" w:rsidRDefault="0098236D" w:rsidP="0098236D">
            <w:pPr>
              <w:spacing w:before="40" w:after="40"/>
              <w:rPr>
                <w:b/>
                <w:sz w:val="17"/>
                <w:lang w:eastAsia="en-GB"/>
              </w:rPr>
            </w:pPr>
            <w:r w:rsidRPr="0098236D">
              <w:rPr>
                <w:b/>
                <w:sz w:val="17"/>
                <w:lang w:eastAsia="en-GB"/>
              </w:rPr>
              <w:t xml:space="preserve">Scope of application: </w:t>
            </w:r>
          </w:p>
        </w:tc>
        <w:tc>
          <w:tcPr>
            <w:tcW w:w="7234" w:type="dxa"/>
            <w:tcBorders>
              <w:top w:val="single" w:sz="4" w:space="0" w:color="auto"/>
              <w:left w:val="single" w:sz="4" w:space="0" w:color="auto"/>
              <w:bottom w:val="single" w:sz="4" w:space="0" w:color="auto"/>
              <w:right w:val="nil"/>
            </w:tcBorders>
            <w:hideMark/>
          </w:tcPr>
          <w:p w14:paraId="1A31BA38" w14:textId="3A7F7E17" w:rsidR="0098236D" w:rsidRPr="0098236D" w:rsidRDefault="0098236D" w:rsidP="00B17D8A">
            <w:pPr>
              <w:spacing w:before="40" w:after="40"/>
              <w:jc w:val="both"/>
              <w:rPr>
                <w:sz w:val="17"/>
                <w:szCs w:val="17"/>
              </w:rPr>
            </w:pPr>
            <w:r w:rsidRPr="0098236D">
              <w:rPr>
                <w:rFonts w:cs="Segoe UI"/>
                <w:sz w:val="17"/>
                <w:szCs w:val="17"/>
              </w:rPr>
              <w:t>The template is mandatory for AIs</w:t>
            </w:r>
            <w:r w:rsidRPr="0098236D">
              <w:rPr>
                <w:sz w:val="17"/>
                <w:lang w:eastAsia="en-GB"/>
              </w:rPr>
              <w:t xml:space="preserve"> incorporated in Hong Kong</w:t>
            </w:r>
            <w:r w:rsidRPr="0098236D">
              <w:rPr>
                <w:rFonts w:cs="Segoe UI"/>
                <w:sz w:val="17"/>
                <w:szCs w:val="17"/>
              </w:rPr>
              <w:t xml:space="preserve"> that use the STM approach</w:t>
            </w:r>
            <w:r w:rsidRPr="0098236D">
              <w:rPr>
                <w:rFonts w:eastAsia="新細明體"/>
                <w:sz w:val="17"/>
                <w:lang w:eastAsia="en-GB"/>
              </w:rPr>
              <w:t xml:space="preserve"> for calculating their market risk capital charges for all or part of their market risk exposures</w:t>
            </w:r>
            <w:r w:rsidRPr="0098236D">
              <w:rPr>
                <w:rFonts w:cs="Segoe UI"/>
                <w:sz w:val="17"/>
                <w:szCs w:val="17"/>
              </w:rPr>
              <w:t xml:space="preserve">.  </w:t>
            </w:r>
            <w:r w:rsidRPr="0098236D">
              <w:rPr>
                <w:sz w:val="17"/>
                <w:szCs w:val="17"/>
              </w:rPr>
              <w:t xml:space="preserve">AIs that have the MA’s approval </w:t>
            </w:r>
            <w:r w:rsidRPr="00B91D91">
              <w:rPr>
                <w:sz w:val="17"/>
                <w:szCs w:val="17"/>
              </w:rPr>
              <w:t xml:space="preserve">under </w:t>
            </w:r>
            <w:r w:rsidR="00B17D8A">
              <w:rPr>
                <w:sz w:val="17"/>
                <w:szCs w:val="17"/>
              </w:rPr>
              <w:t xml:space="preserve">BCR </w:t>
            </w:r>
            <w:r w:rsidR="00B17D8A" w:rsidRPr="00B17D8A">
              <w:rPr>
                <w:rFonts w:hint="eastAsia"/>
                <w:sz w:val="17"/>
                <w:szCs w:val="17"/>
              </w:rPr>
              <w:t>§</w:t>
            </w:r>
            <w:r w:rsidRPr="00B91D91">
              <w:rPr>
                <w:sz w:val="17"/>
                <w:szCs w:val="17"/>
              </w:rPr>
              <w:t>18(2)(a) to use</w:t>
            </w:r>
            <w:r w:rsidRPr="0098236D">
              <w:rPr>
                <w:sz w:val="17"/>
                <w:szCs w:val="17"/>
              </w:rPr>
              <w:t xml:space="preserve"> the IMA to calculate their market risk capital charges must disclose in this template their market risk capital charges for those exposures that are subject to the STM approach</w:t>
            </w:r>
            <w:r w:rsidRPr="0098236D">
              <w:rPr>
                <w:rFonts w:ascii="新細明體" w:eastAsia="新細明體" w:hAnsi="新細明體" w:hint="eastAsia"/>
                <w:sz w:val="17"/>
                <w:szCs w:val="17"/>
                <w:lang w:eastAsia="zh-TW"/>
              </w:rPr>
              <w:t>.</w:t>
            </w:r>
            <w:r w:rsidRPr="0098236D">
              <w:rPr>
                <w:sz w:val="17"/>
                <w:szCs w:val="17"/>
              </w:rPr>
              <w:t xml:space="preserve"> </w:t>
            </w:r>
          </w:p>
        </w:tc>
      </w:tr>
      <w:tr w:rsidR="0098236D" w:rsidRPr="0098236D" w14:paraId="51048D7E" w14:textId="77777777" w:rsidTr="00EE6B38">
        <w:tc>
          <w:tcPr>
            <w:tcW w:w="2008" w:type="dxa"/>
            <w:tcBorders>
              <w:top w:val="single" w:sz="4" w:space="0" w:color="auto"/>
              <w:left w:val="nil"/>
              <w:bottom w:val="single" w:sz="4" w:space="0" w:color="auto"/>
              <w:right w:val="single" w:sz="4" w:space="0" w:color="auto"/>
            </w:tcBorders>
            <w:hideMark/>
          </w:tcPr>
          <w:p w14:paraId="21CA8162" w14:textId="77777777" w:rsidR="0098236D" w:rsidRPr="0098236D" w:rsidRDefault="0098236D" w:rsidP="0098236D">
            <w:pPr>
              <w:spacing w:before="40" w:after="40"/>
              <w:rPr>
                <w:b/>
                <w:sz w:val="17"/>
                <w:lang w:eastAsia="en-GB"/>
              </w:rPr>
            </w:pPr>
            <w:r w:rsidRPr="0098236D">
              <w:rPr>
                <w:b/>
                <w:sz w:val="17"/>
                <w:lang w:eastAsia="en-GB"/>
              </w:rPr>
              <w:t xml:space="preserve">Content: </w:t>
            </w:r>
          </w:p>
        </w:tc>
        <w:tc>
          <w:tcPr>
            <w:tcW w:w="7234" w:type="dxa"/>
            <w:tcBorders>
              <w:top w:val="single" w:sz="4" w:space="0" w:color="auto"/>
              <w:left w:val="single" w:sz="4" w:space="0" w:color="auto"/>
              <w:bottom w:val="single" w:sz="4" w:space="0" w:color="auto"/>
              <w:right w:val="nil"/>
            </w:tcBorders>
            <w:hideMark/>
          </w:tcPr>
          <w:p w14:paraId="70D25B46" w14:textId="77777777" w:rsidR="0098236D" w:rsidRPr="0098236D" w:rsidRDefault="0098236D" w:rsidP="004526A7">
            <w:pPr>
              <w:widowControl w:val="0"/>
              <w:autoSpaceDE w:val="0"/>
              <w:autoSpaceDN w:val="0"/>
              <w:adjustRightInd w:val="0"/>
              <w:jc w:val="both"/>
              <w:rPr>
                <w:rFonts w:eastAsia="新細明體" w:cs="Segoe UI"/>
                <w:color w:val="000000"/>
                <w:sz w:val="17"/>
                <w:szCs w:val="17"/>
                <w:lang w:val="en-US" w:eastAsia="zh-TW"/>
              </w:rPr>
            </w:pPr>
            <w:r w:rsidRPr="0098236D">
              <w:rPr>
                <w:rFonts w:eastAsia="新細明體" w:cs="Segoe UI"/>
                <w:color w:val="000000"/>
                <w:sz w:val="17"/>
                <w:szCs w:val="17"/>
                <w:lang w:val="en-US" w:eastAsia="zh-TW"/>
              </w:rPr>
              <w:t xml:space="preserve">Market risk capital charge calculated under STM approach. </w:t>
            </w:r>
          </w:p>
        </w:tc>
      </w:tr>
      <w:tr w:rsidR="0098236D" w:rsidRPr="0098236D" w14:paraId="05FFC3F0" w14:textId="77777777" w:rsidTr="00EE6B38">
        <w:tc>
          <w:tcPr>
            <w:tcW w:w="2008" w:type="dxa"/>
            <w:tcBorders>
              <w:top w:val="single" w:sz="4" w:space="0" w:color="auto"/>
              <w:left w:val="nil"/>
              <w:bottom w:val="single" w:sz="4" w:space="0" w:color="auto"/>
              <w:right w:val="single" w:sz="4" w:space="0" w:color="auto"/>
            </w:tcBorders>
            <w:hideMark/>
          </w:tcPr>
          <w:p w14:paraId="36B50326" w14:textId="77777777" w:rsidR="0098236D" w:rsidRPr="0098236D" w:rsidRDefault="0098236D" w:rsidP="0098236D">
            <w:pPr>
              <w:spacing w:before="40" w:after="40"/>
              <w:rPr>
                <w:sz w:val="17"/>
                <w:lang w:eastAsia="en-GB"/>
              </w:rPr>
            </w:pPr>
            <w:r w:rsidRPr="0098236D">
              <w:rPr>
                <w:b/>
                <w:sz w:val="17"/>
                <w:lang w:eastAsia="en-GB"/>
              </w:rPr>
              <w:t>Frequency:</w:t>
            </w:r>
            <w:r w:rsidRPr="0098236D">
              <w:rPr>
                <w:sz w:val="17"/>
                <w:lang w:eastAsia="en-GB"/>
              </w:rPr>
              <w:t xml:space="preserve"> </w:t>
            </w:r>
          </w:p>
        </w:tc>
        <w:tc>
          <w:tcPr>
            <w:tcW w:w="7234" w:type="dxa"/>
            <w:tcBorders>
              <w:top w:val="single" w:sz="4" w:space="0" w:color="auto"/>
              <w:left w:val="single" w:sz="4" w:space="0" w:color="auto"/>
              <w:bottom w:val="single" w:sz="4" w:space="0" w:color="auto"/>
              <w:right w:val="nil"/>
            </w:tcBorders>
            <w:hideMark/>
          </w:tcPr>
          <w:p w14:paraId="5946A39E" w14:textId="77777777" w:rsidR="0098236D" w:rsidRPr="0098236D" w:rsidRDefault="0098236D" w:rsidP="0098236D">
            <w:pPr>
              <w:spacing w:before="40" w:after="40"/>
              <w:jc w:val="both"/>
              <w:rPr>
                <w:rFonts w:cs="Segoe UI"/>
                <w:sz w:val="17"/>
                <w:szCs w:val="17"/>
                <w:lang w:eastAsia="en-GB"/>
              </w:rPr>
            </w:pPr>
            <w:r w:rsidRPr="0098236D">
              <w:rPr>
                <w:rFonts w:cs="Segoe UI"/>
                <w:sz w:val="17"/>
                <w:szCs w:val="17"/>
                <w:lang w:eastAsia="en-GB"/>
              </w:rPr>
              <w:t>Semi-annual.</w:t>
            </w:r>
          </w:p>
        </w:tc>
      </w:tr>
      <w:tr w:rsidR="0098236D" w:rsidRPr="0098236D" w14:paraId="63BA6A33" w14:textId="77777777" w:rsidTr="00EE6B38">
        <w:tc>
          <w:tcPr>
            <w:tcW w:w="2008" w:type="dxa"/>
            <w:tcBorders>
              <w:top w:val="single" w:sz="4" w:space="0" w:color="auto"/>
              <w:left w:val="nil"/>
              <w:bottom w:val="single" w:sz="4" w:space="0" w:color="auto"/>
              <w:right w:val="single" w:sz="4" w:space="0" w:color="auto"/>
            </w:tcBorders>
            <w:hideMark/>
          </w:tcPr>
          <w:p w14:paraId="400C7201" w14:textId="77777777" w:rsidR="0098236D" w:rsidRPr="0098236D" w:rsidRDefault="0098236D" w:rsidP="0098236D">
            <w:pPr>
              <w:spacing w:before="40" w:after="40"/>
              <w:rPr>
                <w:sz w:val="17"/>
                <w:lang w:eastAsia="en-GB"/>
              </w:rPr>
            </w:pPr>
            <w:r w:rsidRPr="0098236D">
              <w:rPr>
                <w:b/>
                <w:sz w:val="17"/>
                <w:lang w:eastAsia="en-GB"/>
              </w:rPr>
              <w:t>Format:</w:t>
            </w:r>
            <w:r w:rsidRPr="0098236D">
              <w:rPr>
                <w:sz w:val="17"/>
                <w:lang w:eastAsia="en-GB"/>
              </w:rPr>
              <w:t xml:space="preserve"> </w:t>
            </w:r>
          </w:p>
        </w:tc>
        <w:tc>
          <w:tcPr>
            <w:tcW w:w="7234" w:type="dxa"/>
            <w:tcBorders>
              <w:top w:val="single" w:sz="4" w:space="0" w:color="auto"/>
              <w:left w:val="single" w:sz="4" w:space="0" w:color="auto"/>
              <w:bottom w:val="single" w:sz="4" w:space="0" w:color="auto"/>
              <w:right w:val="nil"/>
            </w:tcBorders>
            <w:hideMark/>
          </w:tcPr>
          <w:p w14:paraId="387E6376" w14:textId="77777777" w:rsidR="0098236D" w:rsidRPr="0098236D" w:rsidRDefault="0098236D" w:rsidP="0098236D">
            <w:pPr>
              <w:spacing w:before="40" w:after="40"/>
              <w:jc w:val="both"/>
              <w:rPr>
                <w:rFonts w:cs="Segoe UI"/>
                <w:noProof/>
                <w:sz w:val="17"/>
                <w:szCs w:val="17"/>
                <w:lang w:eastAsia="en-GB"/>
              </w:rPr>
            </w:pPr>
            <w:r w:rsidRPr="0098236D">
              <w:rPr>
                <w:rFonts w:cs="Segoe UI"/>
                <w:sz w:val="17"/>
                <w:szCs w:val="17"/>
                <w:lang w:eastAsia="en-GB"/>
              </w:rPr>
              <w:t xml:space="preserve">Fixed.  </w:t>
            </w:r>
          </w:p>
        </w:tc>
      </w:tr>
      <w:tr w:rsidR="0098236D" w:rsidRPr="0098236D" w14:paraId="083837F2" w14:textId="77777777" w:rsidTr="00EE6B38">
        <w:tc>
          <w:tcPr>
            <w:tcW w:w="2008" w:type="dxa"/>
            <w:tcBorders>
              <w:top w:val="single" w:sz="4" w:space="0" w:color="auto"/>
              <w:left w:val="nil"/>
              <w:bottom w:val="single" w:sz="4" w:space="0" w:color="auto"/>
              <w:right w:val="single" w:sz="4" w:space="0" w:color="auto"/>
            </w:tcBorders>
            <w:hideMark/>
          </w:tcPr>
          <w:p w14:paraId="0189198C" w14:textId="77777777" w:rsidR="0098236D" w:rsidRPr="0098236D" w:rsidRDefault="0098236D" w:rsidP="0098236D">
            <w:pPr>
              <w:spacing w:before="40" w:after="40"/>
              <w:rPr>
                <w:b/>
                <w:sz w:val="17"/>
                <w:lang w:eastAsia="en-GB"/>
              </w:rPr>
            </w:pPr>
            <w:r w:rsidRPr="0098236D">
              <w:rPr>
                <w:rFonts w:eastAsia="新細明體"/>
                <w:b/>
                <w:sz w:val="17"/>
                <w:szCs w:val="17"/>
                <w:lang w:eastAsia="en-GB"/>
              </w:rPr>
              <w:t>Accompanying narrative</w:t>
            </w:r>
            <w:r w:rsidRPr="0098236D">
              <w:rPr>
                <w:rFonts w:eastAsia="新細明體"/>
                <w:sz w:val="17"/>
                <w:szCs w:val="17"/>
                <w:lang w:eastAsia="en-GB"/>
              </w:rPr>
              <w:t>:</w:t>
            </w:r>
          </w:p>
        </w:tc>
        <w:tc>
          <w:tcPr>
            <w:tcW w:w="7234" w:type="dxa"/>
            <w:tcBorders>
              <w:top w:val="single" w:sz="4" w:space="0" w:color="auto"/>
              <w:left w:val="single" w:sz="4" w:space="0" w:color="auto"/>
              <w:bottom w:val="single" w:sz="4" w:space="0" w:color="auto"/>
              <w:right w:val="nil"/>
            </w:tcBorders>
            <w:hideMark/>
          </w:tcPr>
          <w:p w14:paraId="03A5BC5F" w14:textId="4814FC3E" w:rsidR="0098236D" w:rsidRPr="0098236D" w:rsidRDefault="004529D2" w:rsidP="00957651">
            <w:pPr>
              <w:widowControl w:val="0"/>
              <w:autoSpaceDE w:val="0"/>
              <w:autoSpaceDN w:val="0"/>
              <w:adjustRightInd w:val="0"/>
              <w:jc w:val="both"/>
              <w:rPr>
                <w:rFonts w:eastAsia="新細明體" w:cs="Segoe UI"/>
                <w:color w:val="000000"/>
                <w:sz w:val="17"/>
                <w:szCs w:val="17"/>
                <w:lang w:val="en-US" w:eastAsia="zh-TW"/>
              </w:rPr>
            </w:pPr>
            <w:r>
              <w:rPr>
                <w:rFonts w:eastAsia="新細明體" w:cs="Segoe UI"/>
                <w:color w:val="000000"/>
                <w:sz w:val="17"/>
                <w:szCs w:val="17"/>
                <w:lang w:val="en-US" w:eastAsia="zh-TW"/>
              </w:rPr>
              <w:t xml:space="preserve">An </w:t>
            </w:r>
            <w:r w:rsidR="0098236D" w:rsidRPr="0098236D">
              <w:rPr>
                <w:rFonts w:eastAsia="新細明體" w:cs="Segoe UI"/>
                <w:color w:val="000000"/>
                <w:sz w:val="17"/>
                <w:szCs w:val="17"/>
                <w:lang w:val="en-US" w:eastAsia="zh-TW"/>
              </w:rPr>
              <w:t xml:space="preserve">AI should supplement the template with a narrative commentary to explain any material changes over the current reporting period and the key drivers of such changes.  In particular, the narrative should inform about changes in the scope of application, including changes due to trading desks for which market risk capital charges are calculated using the STM approach. </w:t>
            </w:r>
          </w:p>
        </w:tc>
      </w:tr>
      <w:tr w:rsidR="0098236D" w:rsidRPr="0098236D" w14:paraId="21E66A34" w14:textId="77777777" w:rsidTr="00EE6B38">
        <w:tc>
          <w:tcPr>
            <w:tcW w:w="2008" w:type="dxa"/>
            <w:tcBorders>
              <w:top w:val="single" w:sz="4" w:space="0" w:color="auto"/>
              <w:left w:val="nil"/>
              <w:bottom w:val="single" w:sz="4" w:space="0" w:color="auto"/>
              <w:right w:val="single" w:sz="4" w:space="0" w:color="auto"/>
            </w:tcBorders>
            <w:hideMark/>
          </w:tcPr>
          <w:p w14:paraId="6FC6FD0F" w14:textId="77777777" w:rsidR="0098236D" w:rsidRPr="0098236D" w:rsidRDefault="0098236D" w:rsidP="0098236D">
            <w:pPr>
              <w:spacing w:before="40" w:after="40"/>
              <w:rPr>
                <w:rFonts w:eastAsia="新細明體"/>
                <w:b/>
                <w:sz w:val="17"/>
                <w:szCs w:val="17"/>
                <w:lang w:eastAsia="en-GB"/>
              </w:rPr>
            </w:pPr>
            <w:r w:rsidRPr="0098236D">
              <w:rPr>
                <w:rFonts w:eastAsia="新細明體"/>
                <w:b/>
                <w:sz w:val="17"/>
                <w:szCs w:val="17"/>
                <w:lang w:eastAsia="en-GB"/>
              </w:rPr>
              <w:t>Corresponding BDR section:</w:t>
            </w:r>
          </w:p>
        </w:tc>
        <w:tc>
          <w:tcPr>
            <w:tcW w:w="7234" w:type="dxa"/>
            <w:tcBorders>
              <w:top w:val="single" w:sz="4" w:space="0" w:color="auto"/>
              <w:left w:val="single" w:sz="4" w:space="0" w:color="auto"/>
              <w:bottom w:val="single" w:sz="4" w:space="0" w:color="auto"/>
              <w:right w:val="nil"/>
            </w:tcBorders>
          </w:tcPr>
          <w:p w14:paraId="3FE72796" w14:textId="681D9FBA" w:rsidR="0098236D" w:rsidRPr="0098236D" w:rsidRDefault="005B3BDE" w:rsidP="0098236D">
            <w:pPr>
              <w:spacing w:before="40" w:after="40"/>
              <w:jc w:val="both"/>
              <w:rPr>
                <w:sz w:val="17"/>
                <w:lang w:eastAsia="en-GB"/>
              </w:rPr>
            </w:pPr>
            <w:r w:rsidRPr="00B91D91">
              <w:rPr>
                <w:sz w:val="17"/>
                <w:lang w:eastAsia="en-GB"/>
              </w:rPr>
              <w:t>1</w:t>
            </w:r>
            <w:r w:rsidR="0098236D" w:rsidRPr="00B91D91">
              <w:rPr>
                <w:sz w:val="17"/>
                <w:lang w:eastAsia="en-GB"/>
              </w:rPr>
              <w:t>6ZL</w:t>
            </w:r>
          </w:p>
        </w:tc>
      </w:tr>
    </w:tbl>
    <w:p w14:paraId="1F851606" w14:textId="77777777" w:rsidR="0098236D" w:rsidRPr="0098236D" w:rsidRDefault="0098236D" w:rsidP="0098236D">
      <w:pPr>
        <w:rPr>
          <w:sz w:val="22"/>
        </w:rPr>
      </w:pPr>
    </w:p>
    <w:tbl>
      <w:tblPr>
        <w:tblW w:w="9176" w:type="dxa"/>
        <w:tblInd w:w="-49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0A0" w:firstRow="1" w:lastRow="0" w:firstColumn="1" w:lastColumn="0" w:noHBand="0" w:noVBand="0"/>
      </w:tblPr>
      <w:tblGrid>
        <w:gridCol w:w="567"/>
        <w:gridCol w:w="5543"/>
        <w:gridCol w:w="3066"/>
      </w:tblGrid>
      <w:tr w:rsidR="0098236D" w:rsidRPr="0098236D" w14:paraId="65628F14" w14:textId="77777777" w:rsidTr="00EE6B38">
        <w:trPr>
          <w:trHeight w:val="98"/>
          <w:tblHeader/>
        </w:trPr>
        <w:tc>
          <w:tcPr>
            <w:tcW w:w="567" w:type="dxa"/>
            <w:tcBorders>
              <w:top w:val="nil"/>
              <w:left w:val="nil"/>
              <w:bottom w:val="nil"/>
              <w:right w:val="nil"/>
            </w:tcBorders>
          </w:tcPr>
          <w:p w14:paraId="4FAAA272" w14:textId="77777777" w:rsidR="0098236D" w:rsidRPr="0098236D" w:rsidRDefault="0098236D" w:rsidP="0098236D">
            <w:pPr>
              <w:snapToGrid w:val="0"/>
              <w:spacing w:before="40" w:after="40"/>
              <w:rPr>
                <w:sz w:val="17"/>
                <w:lang w:eastAsia="fr-FR"/>
              </w:rPr>
            </w:pPr>
          </w:p>
        </w:tc>
        <w:tc>
          <w:tcPr>
            <w:tcW w:w="5543" w:type="dxa"/>
            <w:tcBorders>
              <w:top w:val="nil"/>
              <w:left w:val="nil"/>
              <w:bottom w:val="nil"/>
              <w:right w:val="single" w:sz="4" w:space="0" w:color="auto"/>
            </w:tcBorders>
            <w:noWrap/>
            <w:vAlign w:val="bottom"/>
          </w:tcPr>
          <w:p w14:paraId="6026C714" w14:textId="77777777" w:rsidR="0098236D" w:rsidRPr="0098236D" w:rsidRDefault="0098236D" w:rsidP="0098236D">
            <w:pPr>
              <w:snapToGrid w:val="0"/>
              <w:spacing w:before="40" w:after="40"/>
              <w:rPr>
                <w:color w:val="000000"/>
                <w:sz w:val="17"/>
                <w:lang w:eastAsia="fr-FR"/>
              </w:rPr>
            </w:pPr>
          </w:p>
        </w:tc>
        <w:tc>
          <w:tcPr>
            <w:tcW w:w="3066" w:type="dxa"/>
            <w:tcBorders>
              <w:top w:val="single" w:sz="4" w:space="0" w:color="auto"/>
              <w:left w:val="single" w:sz="4" w:space="0" w:color="auto"/>
              <w:bottom w:val="single" w:sz="4" w:space="0" w:color="auto"/>
              <w:right w:val="single" w:sz="4" w:space="0" w:color="auto"/>
            </w:tcBorders>
            <w:vAlign w:val="center"/>
            <w:hideMark/>
          </w:tcPr>
          <w:p w14:paraId="4AB03809" w14:textId="77777777" w:rsidR="0098236D" w:rsidRPr="0098236D" w:rsidRDefault="0098236D" w:rsidP="0098236D">
            <w:pPr>
              <w:snapToGrid w:val="0"/>
              <w:spacing w:before="40" w:after="40"/>
              <w:jc w:val="center"/>
              <w:rPr>
                <w:color w:val="000000"/>
                <w:sz w:val="17"/>
                <w:lang w:eastAsia="fr-FR"/>
              </w:rPr>
            </w:pPr>
            <w:r w:rsidRPr="0098236D">
              <w:rPr>
                <w:color w:val="000000"/>
                <w:sz w:val="17"/>
                <w:lang w:eastAsia="fr-FR"/>
              </w:rPr>
              <w:t>(a)</w:t>
            </w:r>
          </w:p>
        </w:tc>
      </w:tr>
      <w:tr w:rsidR="0098236D" w:rsidRPr="0098236D" w14:paraId="7C8CBB1C" w14:textId="77777777" w:rsidTr="00EE6B38">
        <w:trPr>
          <w:trHeight w:val="215"/>
          <w:tblHeader/>
        </w:trPr>
        <w:tc>
          <w:tcPr>
            <w:tcW w:w="567" w:type="dxa"/>
            <w:tcBorders>
              <w:top w:val="nil"/>
              <w:left w:val="nil"/>
              <w:bottom w:val="single" w:sz="4" w:space="0" w:color="auto"/>
              <w:right w:val="nil"/>
            </w:tcBorders>
          </w:tcPr>
          <w:p w14:paraId="1117DBFE" w14:textId="77777777" w:rsidR="0098236D" w:rsidRPr="0098236D" w:rsidRDefault="0098236D" w:rsidP="0098236D">
            <w:pPr>
              <w:snapToGrid w:val="0"/>
              <w:spacing w:before="40" w:after="40"/>
              <w:rPr>
                <w:sz w:val="17"/>
                <w:lang w:eastAsia="fr-FR"/>
              </w:rPr>
            </w:pPr>
          </w:p>
        </w:tc>
        <w:tc>
          <w:tcPr>
            <w:tcW w:w="5543" w:type="dxa"/>
            <w:tcBorders>
              <w:top w:val="nil"/>
              <w:left w:val="nil"/>
              <w:bottom w:val="single" w:sz="4" w:space="0" w:color="auto"/>
              <w:right w:val="single" w:sz="4" w:space="0" w:color="auto"/>
            </w:tcBorders>
            <w:vAlign w:val="center"/>
          </w:tcPr>
          <w:p w14:paraId="5B5F5E10" w14:textId="77777777" w:rsidR="0098236D" w:rsidRPr="0098236D" w:rsidRDefault="0098236D" w:rsidP="0098236D">
            <w:pPr>
              <w:snapToGrid w:val="0"/>
              <w:spacing w:before="40" w:after="40"/>
              <w:rPr>
                <w:color w:val="000000"/>
                <w:sz w:val="17"/>
                <w:lang w:eastAsia="fr-FR"/>
              </w:rPr>
            </w:pPr>
          </w:p>
        </w:tc>
        <w:tc>
          <w:tcPr>
            <w:tcW w:w="3066" w:type="dxa"/>
            <w:tcBorders>
              <w:top w:val="single" w:sz="4" w:space="0" w:color="auto"/>
              <w:left w:val="single" w:sz="4" w:space="0" w:color="auto"/>
              <w:bottom w:val="single" w:sz="4" w:space="0" w:color="auto"/>
              <w:right w:val="single" w:sz="4" w:space="0" w:color="auto"/>
            </w:tcBorders>
            <w:vAlign w:val="center"/>
            <w:hideMark/>
          </w:tcPr>
          <w:p w14:paraId="74A86DE4" w14:textId="77777777" w:rsidR="0098236D" w:rsidRPr="0098236D" w:rsidRDefault="0098236D" w:rsidP="0098236D">
            <w:pPr>
              <w:snapToGrid w:val="0"/>
              <w:spacing w:before="40" w:after="40"/>
              <w:jc w:val="center"/>
              <w:rPr>
                <w:color w:val="000000"/>
                <w:sz w:val="17"/>
                <w:lang w:eastAsia="fr-FR"/>
              </w:rPr>
            </w:pPr>
            <w:r w:rsidRPr="0098236D">
              <w:rPr>
                <w:color w:val="000000"/>
                <w:sz w:val="17"/>
                <w:lang w:eastAsia="fr-FR"/>
              </w:rPr>
              <w:t>Market risk capital charges under STM approach</w:t>
            </w:r>
          </w:p>
        </w:tc>
      </w:tr>
      <w:tr w:rsidR="0098236D" w:rsidRPr="0098236D" w14:paraId="10A1DE36" w14:textId="77777777" w:rsidTr="00EE6B38">
        <w:trPr>
          <w:trHeight w:val="249"/>
        </w:trPr>
        <w:tc>
          <w:tcPr>
            <w:tcW w:w="567" w:type="dxa"/>
            <w:tcBorders>
              <w:top w:val="single" w:sz="4" w:space="0" w:color="auto"/>
              <w:left w:val="nil"/>
              <w:bottom w:val="single" w:sz="4" w:space="0" w:color="BFBFBF"/>
              <w:right w:val="single" w:sz="4" w:space="0" w:color="auto"/>
            </w:tcBorders>
            <w:hideMark/>
          </w:tcPr>
          <w:p w14:paraId="3DF327F8" w14:textId="77777777" w:rsidR="0098236D" w:rsidRPr="0098236D" w:rsidRDefault="0098236D" w:rsidP="0098236D">
            <w:pPr>
              <w:snapToGrid w:val="0"/>
              <w:spacing w:before="40" w:after="40"/>
              <w:rPr>
                <w:sz w:val="17"/>
                <w:lang w:eastAsia="fr-FR"/>
              </w:rPr>
            </w:pPr>
            <w:r w:rsidRPr="0098236D">
              <w:rPr>
                <w:sz w:val="17"/>
                <w:lang w:eastAsia="fr-FR"/>
              </w:rPr>
              <w:t>1</w:t>
            </w:r>
          </w:p>
        </w:tc>
        <w:tc>
          <w:tcPr>
            <w:tcW w:w="5543" w:type="dxa"/>
            <w:tcBorders>
              <w:top w:val="single" w:sz="4" w:space="0" w:color="auto"/>
              <w:left w:val="single" w:sz="4" w:space="0" w:color="auto"/>
              <w:bottom w:val="single" w:sz="4" w:space="0" w:color="BFBFBF"/>
              <w:right w:val="single" w:sz="4" w:space="0" w:color="auto"/>
            </w:tcBorders>
            <w:hideMark/>
          </w:tcPr>
          <w:p w14:paraId="3451263E" w14:textId="77777777" w:rsidR="0098236D" w:rsidRPr="0098236D" w:rsidRDefault="0098236D" w:rsidP="0098236D">
            <w:pPr>
              <w:snapToGrid w:val="0"/>
              <w:spacing w:before="40" w:after="40"/>
              <w:rPr>
                <w:noProof/>
                <w:color w:val="000000"/>
                <w:sz w:val="17"/>
                <w:lang w:eastAsia="fr-FR"/>
              </w:rPr>
            </w:pPr>
            <w:r w:rsidRPr="0098236D">
              <w:rPr>
                <w:noProof/>
                <w:color w:val="000000"/>
                <w:sz w:val="17"/>
                <w:lang w:eastAsia="fr-FR"/>
              </w:rPr>
              <w:t>General interest rate risk</w:t>
            </w:r>
          </w:p>
        </w:tc>
        <w:tc>
          <w:tcPr>
            <w:tcW w:w="3066" w:type="dxa"/>
            <w:tcBorders>
              <w:top w:val="single" w:sz="4" w:space="0" w:color="auto"/>
              <w:left w:val="single" w:sz="4" w:space="0" w:color="auto"/>
              <w:bottom w:val="single" w:sz="4" w:space="0" w:color="BFBFBF"/>
              <w:right w:val="single" w:sz="4" w:space="0" w:color="auto"/>
            </w:tcBorders>
            <w:noWrap/>
            <w:vAlign w:val="bottom"/>
            <w:hideMark/>
          </w:tcPr>
          <w:p w14:paraId="2834E780" w14:textId="77777777" w:rsidR="0098236D" w:rsidRPr="0098236D" w:rsidRDefault="0098236D" w:rsidP="0098236D">
            <w:pPr>
              <w:snapToGrid w:val="0"/>
              <w:spacing w:before="40" w:after="40"/>
              <w:rPr>
                <w:color w:val="000000"/>
                <w:sz w:val="17"/>
                <w:lang w:eastAsia="fr-FR"/>
              </w:rPr>
            </w:pPr>
            <w:r w:rsidRPr="0098236D">
              <w:rPr>
                <w:color w:val="000000"/>
                <w:sz w:val="17"/>
                <w:lang w:eastAsia="fr-FR"/>
              </w:rPr>
              <w:t> </w:t>
            </w:r>
          </w:p>
        </w:tc>
      </w:tr>
      <w:tr w:rsidR="0098236D" w:rsidRPr="0098236D" w14:paraId="4EA6BBAB" w14:textId="77777777" w:rsidTr="00EE6B38">
        <w:trPr>
          <w:trHeight w:val="249"/>
        </w:trPr>
        <w:tc>
          <w:tcPr>
            <w:tcW w:w="567" w:type="dxa"/>
            <w:tcBorders>
              <w:top w:val="single" w:sz="4" w:space="0" w:color="BFBFBF"/>
              <w:left w:val="nil"/>
              <w:bottom w:val="single" w:sz="4" w:space="0" w:color="BFBFBF"/>
              <w:right w:val="single" w:sz="4" w:space="0" w:color="auto"/>
            </w:tcBorders>
            <w:hideMark/>
          </w:tcPr>
          <w:p w14:paraId="2CD686C0" w14:textId="77777777" w:rsidR="0098236D" w:rsidRPr="0098236D" w:rsidRDefault="0098236D" w:rsidP="0098236D">
            <w:pPr>
              <w:snapToGrid w:val="0"/>
              <w:spacing w:before="40" w:after="40"/>
              <w:rPr>
                <w:sz w:val="17"/>
                <w:lang w:eastAsia="fr-FR"/>
              </w:rPr>
            </w:pPr>
            <w:r w:rsidRPr="0098236D">
              <w:rPr>
                <w:sz w:val="17"/>
                <w:lang w:eastAsia="fr-FR"/>
              </w:rPr>
              <w:t>2</w:t>
            </w:r>
          </w:p>
        </w:tc>
        <w:tc>
          <w:tcPr>
            <w:tcW w:w="5543" w:type="dxa"/>
            <w:tcBorders>
              <w:top w:val="single" w:sz="4" w:space="0" w:color="BFBFBF"/>
              <w:left w:val="single" w:sz="4" w:space="0" w:color="auto"/>
              <w:bottom w:val="single" w:sz="4" w:space="0" w:color="BFBFBF"/>
              <w:right w:val="single" w:sz="4" w:space="0" w:color="auto"/>
            </w:tcBorders>
            <w:hideMark/>
          </w:tcPr>
          <w:p w14:paraId="3CFC3204" w14:textId="77777777" w:rsidR="0098236D" w:rsidRPr="0098236D" w:rsidRDefault="0098236D" w:rsidP="0098236D">
            <w:pPr>
              <w:snapToGrid w:val="0"/>
              <w:spacing w:before="40" w:after="40"/>
              <w:rPr>
                <w:noProof/>
                <w:color w:val="000000"/>
                <w:sz w:val="17"/>
                <w:lang w:eastAsia="fr-FR"/>
              </w:rPr>
            </w:pPr>
            <w:r w:rsidRPr="0098236D">
              <w:rPr>
                <w:noProof/>
                <w:color w:val="000000"/>
                <w:sz w:val="17"/>
                <w:lang w:eastAsia="fr-FR"/>
              </w:rPr>
              <w:t>Equity risk</w:t>
            </w:r>
          </w:p>
        </w:tc>
        <w:tc>
          <w:tcPr>
            <w:tcW w:w="3066" w:type="dxa"/>
            <w:tcBorders>
              <w:top w:val="single" w:sz="4" w:space="0" w:color="BFBFBF"/>
              <w:left w:val="single" w:sz="4" w:space="0" w:color="auto"/>
              <w:bottom w:val="single" w:sz="4" w:space="0" w:color="BFBFBF"/>
              <w:right w:val="single" w:sz="4" w:space="0" w:color="auto"/>
            </w:tcBorders>
            <w:noWrap/>
            <w:vAlign w:val="bottom"/>
            <w:hideMark/>
          </w:tcPr>
          <w:p w14:paraId="32179B1F" w14:textId="77777777" w:rsidR="0098236D" w:rsidRPr="0098236D" w:rsidRDefault="0098236D" w:rsidP="0098236D">
            <w:pPr>
              <w:snapToGrid w:val="0"/>
              <w:spacing w:before="40" w:after="40"/>
              <w:rPr>
                <w:color w:val="000000"/>
                <w:sz w:val="17"/>
                <w:lang w:eastAsia="fr-FR"/>
              </w:rPr>
            </w:pPr>
            <w:r w:rsidRPr="0098236D">
              <w:rPr>
                <w:color w:val="000000"/>
                <w:sz w:val="17"/>
                <w:lang w:eastAsia="fr-FR"/>
              </w:rPr>
              <w:t> </w:t>
            </w:r>
          </w:p>
        </w:tc>
      </w:tr>
      <w:tr w:rsidR="0098236D" w:rsidRPr="0098236D" w14:paraId="5522F305" w14:textId="77777777" w:rsidTr="00EE6B38">
        <w:trPr>
          <w:trHeight w:val="249"/>
        </w:trPr>
        <w:tc>
          <w:tcPr>
            <w:tcW w:w="567" w:type="dxa"/>
            <w:tcBorders>
              <w:top w:val="single" w:sz="4" w:space="0" w:color="BFBFBF"/>
              <w:left w:val="nil"/>
              <w:bottom w:val="single" w:sz="4" w:space="0" w:color="BFBFBF"/>
              <w:right w:val="single" w:sz="4" w:space="0" w:color="auto"/>
            </w:tcBorders>
            <w:hideMark/>
          </w:tcPr>
          <w:p w14:paraId="6D7A6CEE" w14:textId="77777777" w:rsidR="0098236D" w:rsidRPr="0098236D" w:rsidRDefault="0098236D" w:rsidP="0098236D">
            <w:pPr>
              <w:snapToGrid w:val="0"/>
              <w:spacing w:before="40" w:after="40"/>
              <w:rPr>
                <w:sz w:val="17"/>
                <w:lang w:eastAsia="fr-FR"/>
              </w:rPr>
            </w:pPr>
            <w:r w:rsidRPr="0098236D">
              <w:rPr>
                <w:sz w:val="17"/>
                <w:lang w:eastAsia="fr-FR"/>
              </w:rPr>
              <w:t>3</w:t>
            </w:r>
          </w:p>
        </w:tc>
        <w:tc>
          <w:tcPr>
            <w:tcW w:w="5543" w:type="dxa"/>
            <w:tcBorders>
              <w:top w:val="single" w:sz="4" w:space="0" w:color="BFBFBF"/>
              <w:left w:val="single" w:sz="4" w:space="0" w:color="auto"/>
              <w:bottom w:val="single" w:sz="4" w:space="0" w:color="BFBFBF"/>
              <w:right w:val="single" w:sz="4" w:space="0" w:color="auto"/>
            </w:tcBorders>
            <w:hideMark/>
          </w:tcPr>
          <w:p w14:paraId="0CB1D030" w14:textId="77777777" w:rsidR="0098236D" w:rsidRPr="0098236D" w:rsidRDefault="0098236D" w:rsidP="0098236D">
            <w:pPr>
              <w:snapToGrid w:val="0"/>
              <w:spacing w:before="40" w:after="40"/>
              <w:rPr>
                <w:noProof/>
                <w:color w:val="000000"/>
                <w:sz w:val="17"/>
                <w:lang w:eastAsia="fr-FR"/>
              </w:rPr>
            </w:pPr>
            <w:r w:rsidRPr="0098236D">
              <w:rPr>
                <w:noProof/>
                <w:color w:val="000000"/>
                <w:sz w:val="17"/>
                <w:lang w:eastAsia="fr-FR"/>
              </w:rPr>
              <w:t>Commodity risk</w:t>
            </w:r>
          </w:p>
        </w:tc>
        <w:tc>
          <w:tcPr>
            <w:tcW w:w="3066" w:type="dxa"/>
            <w:tcBorders>
              <w:top w:val="single" w:sz="4" w:space="0" w:color="BFBFBF"/>
              <w:left w:val="single" w:sz="4" w:space="0" w:color="auto"/>
              <w:bottom w:val="single" w:sz="4" w:space="0" w:color="BFBFBF"/>
              <w:right w:val="single" w:sz="4" w:space="0" w:color="auto"/>
            </w:tcBorders>
            <w:noWrap/>
            <w:vAlign w:val="bottom"/>
            <w:hideMark/>
          </w:tcPr>
          <w:p w14:paraId="1C8C804E" w14:textId="77777777" w:rsidR="0098236D" w:rsidRPr="0098236D" w:rsidRDefault="0098236D" w:rsidP="0098236D">
            <w:pPr>
              <w:snapToGrid w:val="0"/>
              <w:spacing w:before="40" w:after="40"/>
              <w:rPr>
                <w:color w:val="000000"/>
                <w:sz w:val="17"/>
                <w:lang w:eastAsia="fr-FR"/>
              </w:rPr>
            </w:pPr>
            <w:r w:rsidRPr="0098236D">
              <w:rPr>
                <w:color w:val="000000"/>
                <w:sz w:val="17"/>
                <w:lang w:eastAsia="fr-FR"/>
              </w:rPr>
              <w:t> </w:t>
            </w:r>
          </w:p>
        </w:tc>
      </w:tr>
      <w:tr w:rsidR="0098236D" w:rsidRPr="0098236D" w14:paraId="4F03C36A" w14:textId="77777777" w:rsidTr="00EE6B38">
        <w:trPr>
          <w:trHeight w:val="249"/>
        </w:trPr>
        <w:tc>
          <w:tcPr>
            <w:tcW w:w="567" w:type="dxa"/>
            <w:tcBorders>
              <w:top w:val="single" w:sz="4" w:space="0" w:color="BFBFBF"/>
              <w:left w:val="nil"/>
              <w:bottom w:val="single" w:sz="4" w:space="0" w:color="BFBFBF"/>
              <w:right w:val="single" w:sz="4" w:space="0" w:color="auto"/>
            </w:tcBorders>
            <w:hideMark/>
          </w:tcPr>
          <w:p w14:paraId="38D1F9FB" w14:textId="77777777" w:rsidR="0098236D" w:rsidRPr="0098236D" w:rsidRDefault="0098236D" w:rsidP="0098236D">
            <w:pPr>
              <w:snapToGrid w:val="0"/>
              <w:spacing w:before="40" w:after="40"/>
              <w:rPr>
                <w:sz w:val="17"/>
                <w:lang w:eastAsia="fr-FR"/>
              </w:rPr>
            </w:pPr>
            <w:r w:rsidRPr="0098236D">
              <w:rPr>
                <w:sz w:val="17"/>
                <w:lang w:eastAsia="fr-FR"/>
              </w:rPr>
              <w:t>4</w:t>
            </w:r>
          </w:p>
        </w:tc>
        <w:tc>
          <w:tcPr>
            <w:tcW w:w="5543" w:type="dxa"/>
            <w:tcBorders>
              <w:top w:val="single" w:sz="4" w:space="0" w:color="BFBFBF"/>
              <w:left w:val="single" w:sz="4" w:space="0" w:color="auto"/>
              <w:bottom w:val="single" w:sz="4" w:space="0" w:color="BFBFBF"/>
              <w:right w:val="single" w:sz="4" w:space="0" w:color="auto"/>
            </w:tcBorders>
            <w:hideMark/>
          </w:tcPr>
          <w:p w14:paraId="6A6FF2FD" w14:textId="77777777" w:rsidR="0098236D" w:rsidRPr="0098236D" w:rsidRDefault="0098236D" w:rsidP="0098236D">
            <w:pPr>
              <w:snapToGrid w:val="0"/>
              <w:spacing w:before="40" w:after="40"/>
              <w:rPr>
                <w:noProof/>
                <w:color w:val="000000"/>
                <w:sz w:val="17"/>
                <w:lang w:eastAsia="fr-FR"/>
              </w:rPr>
            </w:pPr>
            <w:r w:rsidRPr="0098236D">
              <w:rPr>
                <w:noProof/>
                <w:color w:val="000000"/>
                <w:sz w:val="17"/>
                <w:lang w:eastAsia="fr-FR"/>
              </w:rPr>
              <w:t>Foreign exchange risk</w:t>
            </w:r>
          </w:p>
        </w:tc>
        <w:tc>
          <w:tcPr>
            <w:tcW w:w="3066" w:type="dxa"/>
            <w:tcBorders>
              <w:top w:val="single" w:sz="4" w:space="0" w:color="BFBFBF"/>
              <w:left w:val="single" w:sz="4" w:space="0" w:color="auto"/>
              <w:bottom w:val="single" w:sz="4" w:space="0" w:color="BFBFBF"/>
              <w:right w:val="single" w:sz="4" w:space="0" w:color="auto"/>
            </w:tcBorders>
            <w:noWrap/>
            <w:vAlign w:val="bottom"/>
          </w:tcPr>
          <w:p w14:paraId="63C9C7D3" w14:textId="77777777" w:rsidR="0098236D" w:rsidRPr="0098236D" w:rsidRDefault="0098236D" w:rsidP="0098236D">
            <w:pPr>
              <w:snapToGrid w:val="0"/>
              <w:spacing w:before="40" w:after="40"/>
              <w:rPr>
                <w:color w:val="000000"/>
                <w:sz w:val="17"/>
                <w:lang w:eastAsia="fr-FR"/>
              </w:rPr>
            </w:pPr>
          </w:p>
        </w:tc>
      </w:tr>
      <w:tr w:rsidR="0098236D" w:rsidRPr="0098236D" w14:paraId="1E2DC333" w14:textId="77777777" w:rsidTr="00EE6B38">
        <w:trPr>
          <w:trHeight w:val="249"/>
        </w:trPr>
        <w:tc>
          <w:tcPr>
            <w:tcW w:w="567" w:type="dxa"/>
            <w:tcBorders>
              <w:top w:val="single" w:sz="4" w:space="0" w:color="BFBFBF"/>
              <w:left w:val="nil"/>
              <w:bottom w:val="single" w:sz="4" w:space="0" w:color="BFBFBF"/>
              <w:right w:val="single" w:sz="4" w:space="0" w:color="auto"/>
            </w:tcBorders>
            <w:hideMark/>
          </w:tcPr>
          <w:p w14:paraId="5E6CAA93" w14:textId="77777777" w:rsidR="0098236D" w:rsidRPr="0098236D" w:rsidRDefault="0098236D" w:rsidP="0098236D">
            <w:pPr>
              <w:snapToGrid w:val="0"/>
              <w:spacing w:before="40" w:after="40"/>
              <w:rPr>
                <w:sz w:val="17"/>
                <w:lang w:eastAsia="fr-FR"/>
              </w:rPr>
            </w:pPr>
            <w:r w:rsidRPr="0098236D">
              <w:rPr>
                <w:sz w:val="17"/>
                <w:lang w:eastAsia="fr-FR"/>
              </w:rPr>
              <w:t>5</w:t>
            </w:r>
          </w:p>
        </w:tc>
        <w:tc>
          <w:tcPr>
            <w:tcW w:w="5543" w:type="dxa"/>
            <w:tcBorders>
              <w:top w:val="single" w:sz="4" w:space="0" w:color="BFBFBF"/>
              <w:left w:val="single" w:sz="4" w:space="0" w:color="auto"/>
              <w:bottom w:val="single" w:sz="4" w:space="0" w:color="BFBFBF"/>
              <w:right w:val="single" w:sz="4" w:space="0" w:color="auto"/>
            </w:tcBorders>
            <w:hideMark/>
          </w:tcPr>
          <w:p w14:paraId="09D8A6EB" w14:textId="77777777" w:rsidR="0098236D" w:rsidRPr="0098236D" w:rsidRDefault="0098236D" w:rsidP="0098236D">
            <w:pPr>
              <w:snapToGrid w:val="0"/>
              <w:spacing w:before="40" w:after="40"/>
              <w:rPr>
                <w:color w:val="000000"/>
                <w:sz w:val="17"/>
                <w:lang w:eastAsia="fr-FR"/>
              </w:rPr>
            </w:pPr>
            <w:r w:rsidRPr="0098236D">
              <w:rPr>
                <w:color w:val="000000"/>
                <w:sz w:val="17"/>
                <w:lang w:eastAsia="fr-FR"/>
              </w:rPr>
              <w:t>Credit spread risk (non-securitization)</w:t>
            </w:r>
          </w:p>
        </w:tc>
        <w:tc>
          <w:tcPr>
            <w:tcW w:w="3066" w:type="dxa"/>
            <w:tcBorders>
              <w:top w:val="single" w:sz="4" w:space="0" w:color="BFBFBF"/>
              <w:left w:val="single" w:sz="4" w:space="0" w:color="auto"/>
              <w:bottom w:val="single" w:sz="4" w:space="0" w:color="BFBFBF"/>
              <w:right w:val="single" w:sz="4" w:space="0" w:color="auto"/>
            </w:tcBorders>
            <w:noWrap/>
            <w:vAlign w:val="bottom"/>
          </w:tcPr>
          <w:p w14:paraId="57882CDB" w14:textId="77777777" w:rsidR="0098236D" w:rsidRPr="0098236D" w:rsidRDefault="0098236D" w:rsidP="0098236D">
            <w:pPr>
              <w:snapToGrid w:val="0"/>
              <w:spacing w:before="40" w:after="40"/>
              <w:rPr>
                <w:color w:val="000000"/>
                <w:sz w:val="17"/>
                <w:lang w:eastAsia="fr-FR"/>
              </w:rPr>
            </w:pPr>
          </w:p>
        </w:tc>
      </w:tr>
      <w:tr w:rsidR="0098236D" w:rsidRPr="0098236D" w14:paraId="6CCC20F1" w14:textId="77777777" w:rsidTr="00EE6B38">
        <w:trPr>
          <w:trHeight w:val="249"/>
        </w:trPr>
        <w:tc>
          <w:tcPr>
            <w:tcW w:w="567" w:type="dxa"/>
            <w:tcBorders>
              <w:top w:val="single" w:sz="4" w:space="0" w:color="BFBFBF"/>
              <w:left w:val="nil"/>
              <w:bottom w:val="single" w:sz="4" w:space="0" w:color="BFBFBF"/>
              <w:right w:val="single" w:sz="4" w:space="0" w:color="auto"/>
            </w:tcBorders>
            <w:hideMark/>
          </w:tcPr>
          <w:p w14:paraId="5CA635BF" w14:textId="77777777" w:rsidR="0098236D" w:rsidRPr="0098236D" w:rsidRDefault="0098236D" w:rsidP="0098236D">
            <w:pPr>
              <w:snapToGrid w:val="0"/>
              <w:spacing w:before="40" w:after="40"/>
              <w:rPr>
                <w:sz w:val="17"/>
                <w:lang w:eastAsia="fr-FR"/>
              </w:rPr>
            </w:pPr>
            <w:r w:rsidRPr="0098236D">
              <w:rPr>
                <w:sz w:val="17"/>
                <w:lang w:eastAsia="fr-FR"/>
              </w:rPr>
              <w:t>6</w:t>
            </w:r>
          </w:p>
        </w:tc>
        <w:tc>
          <w:tcPr>
            <w:tcW w:w="5543" w:type="dxa"/>
            <w:tcBorders>
              <w:top w:val="single" w:sz="4" w:space="0" w:color="BFBFBF"/>
              <w:left w:val="single" w:sz="4" w:space="0" w:color="auto"/>
              <w:bottom w:val="single" w:sz="4" w:space="0" w:color="BFBFBF"/>
              <w:right w:val="single" w:sz="4" w:space="0" w:color="auto"/>
            </w:tcBorders>
            <w:hideMark/>
          </w:tcPr>
          <w:p w14:paraId="6F68BF65" w14:textId="77777777" w:rsidR="0098236D" w:rsidRPr="0098236D" w:rsidRDefault="0098236D" w:rsidP="0098236D">
            <w:pPr>
              <w:snapToGrid w:val="0"/>
              <w:spacing w:before="40" w:after="40"/>
              <w:rPr>
                <w:color w:val="000000"/>
                <w:sz w:val="17"/>
                <w:lang w:eastAsia="fr-FR"/>
              </w:rPr>
            </w:pPr>
            <w:r w:rsidRPr="0098236D">
              <w:rPr>
                <w:color w:val="000000"/>
                <w:sz w:val="17"/>
                <w:lang w:eastAsia="fr-FR"/>
              </w:rPr>
              <w:t>Credit spread risk (securitization: non-</w:t>
            </w:r>
            <w:r w:rsidRPr="0098236D">
              <w:rPr>
                <w:sz w:val="17"/>
              </w:rPr>
              <w:t>correlation trading portfolio (“</w:t>
            </w:r>
            <w:r w:rsidRPr="0098236D">
              <w:rPr>
                <w:color w:val="000000"/>
                <w:sz w:val="17"/>
                <w:lang w:eastAsia="fr-FR"/>
              </w:rPr>
              <w:t>CTP”))</w:t>
            </w:r>
          </w:p>
        </w:tc>
        <w:tc>
          <w:tcPr>
            <w:tcW w:w="3066" w:type="dxa"/>
            <w:tcBorders>
              <w:top w:val="single" w:sz="4" w:space="0" w:color="BFBFBF"/>
              <w:left w:val="single" w:sz="4" w:space="0" w:color="auto"/>
              <w:bottom w:val="single" w:sz="4" w:space="0" w:color="BFBFBF"/>
              <w:right w:val="single" w:sz="4" w:space="0" w:color="auto"/>
            </w:tcBorders>
            <w:noWrap/>
            <w:vAlign w:val="bottom"/>
          </w:tcPr>
          <w:p w14:paraId="20836BD2" w14:textId="77777777" w:rsidR="0098236D" w:rsidRPr="0098236D" w:rsidRDefault="0098236D" w:rsidP="0098236D">
            <w:pPr>
              <w:snapToGrid w:val="0"/>
              <w:spacing w:before="40" w:after="40"/>
              <w:rPr>
                <w:color w:val="000000"/>
                <w:sz w:val="17"/>
                <w:lang w:eastAsia="fr-FR"/>
              </w:rPr>
            </w:pPr>
          </w:p>
        </w:tc>
      </w:tr>
      <w:tr w:rsidR="0098236D" w:rsidRPr="0098236D" w14:paraId="2C46AD97" w14:textId="77777777" w:rsidTr="00EE6B38">
        <w:trPr>
          <w:trHeight w:val="249"/>
        </w:trPr>
        <w:tc>
          <w:tcPr>
            <w:tcW w:w="567" w:type="dxa"/>
            <w:tcBorders>
              <w:top w:val="single" w:sz="4" w:space="0" w:color="BFBFBF"/>
              <w:left w:val="nil"/>
              <w:bottom w:val="single" w:sz="4" w:space="0" w:color="BFBFBF"/>
              <w:right w:val="single" w:sz="4" w:space="0" w:color="auto"/>
            </w:tcBorders>
            <w:hideMark/>
          </w:tcPr>
          <w:p w14:paraId="6E18AC98" w14:textId="77777777" w:rsidR="0098236D" w:rsidRPr="0098236D" w:rsidRDefault="0098236D" w:rsidP="0098236D">
            <w:pPr>
              <w:snapToGrid w:val="0"/>
              <w:spacing w:before="40" w:after="40"/>
              <w:rPr>
                <w:sz w:val="17"/>
                <w:lang w:eastAsia="fr-FR"/>
              </w:rPr>
            </w:pPr>
            <w:r w:rsidRPr="0098236D">
              <w:rPr>
                <w:sz w:val="17"/>
                <w:lang w:eastAsia="fr-FR"/>
              </w:rPr>
              <w:t>7</w:t>
            </w:r>
          </w:p>
        </w:tc>
        <w:tc>
          <w:tcPr>
            <w:tcW w:w="5543" w:type="dxa"/>
            <w:tcBorders>
              <w:top w:val="single" w:sz="4" w:space="0" w:color="BFBFBF"/>
              <w:left w:val="single" w:sz="4" w:space="0" w:color="auto"/>
              <w:bottom w:val="single" w:sz="4" w:space="0" w:color="BFBFBF"/>
              <w:right w:val="single" w:sz="4" w:space="0" w:color="auto"/>
            </w:tcBorders>
            <w:hideMark/>
          </w:tcPr>
          <w:p w14:paraId="43A2248D" w14:textId="77777777" w:rsidR="0098236D" w:rsidRPr="0098236D" w:rsidRDefault="0098236D" w:rsidP="0098236D">
            <w:pPr>
              <w:snapToGrid w:val="0"/>
              <w:spacing w:before="40" w:after="40"/>
              <w:rPr>
                <w:color w:val="000000"/>
                <w:sz w:val="17"/>
                <w:lang w:eastAsia="fr-FR"/>
              </w:rPr>
            </w:pPr>
            <w:r w:rsidRPr="0098236D">
              <w:rPr>
                <w:color w:val="000000"/>
                <w:sz w:val="17"/>
                <w:lang w:eastAsia="fr-FR"/>
              </w:rPr>
              <w:t>Credit spread risk (securitization: CTP)</w:t>
            </w:r>
          </w:p>
        </w:tc>
        <w:tc>
          <w:tcPr>
            <w:tcW w:w="3066" w:type="dxa"/>
            <w:tcBorders>
              <w:top w:val="single" w:sz="4" w:space="0" w:color="BFBFBF"/>
              <w:left w:val="single" w:sz="4" w:space="0" w:color="auto"/>
              <w:bottom w:val="single" w:sz="4" w:space="0" w:color="BFBFBF"/>
              <w:right w:val="single" w:sz="4" w:space="0" w:color="auto"/>
            </w:tcBorders>
            <w:noWrap/>
            <w:vAlign w:val="bottom"/>
          </w:tcPr>
          <w:p w14:paraId="3E610D44" w14:textId="77777777" w:rsidR="0098236D" w:rsidRPr="0098236D" w:rsidRDefault="0098236D" w:rsidP="0098236D">
            <w:pPr>
              <w:snapToGrid w:val="0"/>
              <w:spacing w:before="40" w:after="40"/>
              <w:rPr>
                <w:color w:val="000000"/>
                <w:sz w:val="17"/>
                <w:lang w:eastAsia="fr-FR"/>
              </w:rPr>
            </w:pPr>
          </w:p>
        </w:tc>
      </w:tr>
      <w:tr w:rsidR="0098236D" w:rsidRPr="0098236D" w14:paraId="6790610F" w14:textId="77777777" w:rsidTr="00EE6B38">
        <w:trPr>
          <w:trHeight w:val="249"/>
        </w:trPr>
        <w:tc>
          <w:tcPr>
            <w:tcW w:w="567" w:type="dxa"/>
            <w:tcBorders>
              <w:top w:val="single" w:sz="4" w:space="0" w:color="BFBFBF"/>
              <w:left w:val="nil"/>
              <w:bottom w:val="single" w:sz="4" w:space="0" w:color="BFBFBF"/>
              <w:right w:val="single" w:sz="4" w:space="0" w:color="auto"/>
            </w:tcBorders>
            <w:hideMark/>
          </w:tcPr>
          <w:p w14:paraId="2E7E4310" w14:textId="77777777" w:rsidR="0098236D" w:rsidRPr="0098236D" w:rsidRDefault="0098236D" w:rsidP="0098236D">
            <w:pPr>
              <w:snapToGrid w:val="0"/>
              <w:spacing w:before="40" w:after="40"/>
              <w:rPr>
                <w:bCs/>
                <w:sz w:val="17"/>
                <w:lang w:eastAsia="fr-FR"/>
              </w:rPr>
            </w:pPr>
            <w:r w:rsidRPr="0098236D">
              <w:rPr>
                <w:bCs/>
                <w:sz w:val="17"/>
                <w:lang w:eastAsia="fr-FR"/>
              </w:rPr>
              <w:t>8</w:t>
            </w:r>
          </w:p>
        </w:tc>
        <w:tc>
          <w:tcPr>
            <w:tcW w:w="5543" w:type="dxa"/>
            <w:tcBorders>
              <w:top w:val="single" w:sz="4" w:space="0" w:color="BFBFBF"/>
              <w:left w:val="single" w:sz="4" w:space="0" w:color="auto"/>
              <w:bottom w:val="single" w:sz="4" w:space="0" w:color="BFBFBF"/>
              <w:right w:val="single" w:sz="4" w:space="0" w:color="auto"/>
            </w:tcBorders>
            <w:hideMark/>
          </w:tcPr>
          <w:p w14:paraId="3CDF820C" w14:textId="77777777" w:rsidR="0098236D" w:rsidRPr="0098236D" w:rsidRDefault="0098236D" w:rsidP="0098236D">
            <w:pPr>
              <w:snapToGrid w:val="0"/>
              <w:spacing w:before="40" w:after="40"/>
              <w:rPr>
                <w:bCs/>
                <w:color w:val="000000"/>
                <w:sz w:val="17"/>
                <w:lang w:eastAsia="fr-FR"/>
              </w:rPr>
            </w:pPr>
            <w:r w:rsidRPr="0098236D">
              <w:rPr>
                <w:rFonts w:eastAsia="新細明體"/>
                <w:sz w:val="17"/>
              </w:rPr>
              <w:t>Standardized default risk charge</w:t>
            </w:r>
            <w:r w:rsidRPr="0098236D">
              <w:rPr>
                <w:bCs/>
                <w:color w:val="000000"/>
                <w:sz w:val="17"/>
                <w:lang w:eastAsia="fr-FR"/>
              </w:rPr>
              <w:t xml:space="preserve"> (“SA-DRC”) (non-securitization)</w:t>
            </w:r>
          </w:p>
        </w:tc>
        <w:tc>
          <w:tcPr>
            <w:tcW w:w="3066" w:type="dxa"/>
            <w:tcBorders>
              <w:top w:val="single" w:sz="4" w:space="0" w:color="BFBFBF"/>
              <w:left w:val="single" w:sz="4" w:space="0" w:color="auto"/>
              <w:bottom w:val="single" w:sz="4" w:space="0" w:color="BFBFBF"/>
              <w:right w:val="single" w:sz="4" w:space="0" w:color="auto"/>
            </w:tcBorders>
            <w:noWrap/>
            <w:vAlign w:val="bottom"/>
          </w:tcPr>
          <w:p w14:paraId="658CD9E7" w14:textId="77777777" w:rsidR="0098236D" w:rsidRPr="0098236D" w:rsidRDefault="0098236D" w:rsidP="0098236D">
            <w:pPr>
              <w:snapToGrid w:val="0"/>
              <w:spacing w:before="40" w:after="40"/>
              <w:rPr>
                <w:color w:val="000000"/>
                <w:sz w:val="17"/>
                <w:lang w:eastAsia="fr-FR"/>
              </w:rPr>
            </w:pPr>
          </w:p>
        </w:tc>
      </w:tr>
      <w:tr w:rsidR="0098236D" w:rsidRPr="0098236D" w14:paraId="69890427" w14:textId="77777777" w:rsidTr="00EE6B38">
        <w:trPr>
          <w:trHeight w:val="249"/>
        </w:trPr>
        <w:tc>
          <w:tcPr>
            <w:tcW w:w="567" w:type="dxa"/>
            <w:tcBorders>
              <w:top w:val="single" w:sz="4" w:space="0" w:color="BFBFBF"/>
              <w:left w:val="nil"/>
              <w:bottom w:val="single" w:sz="4" w:space="0" w:color="BFBFBF"/>
              <w:right w:val="single" w:sz="4" w:space="0" w:color="auto"/>
            </w:tcBorders>
            <w:hideMark/>
          </w:tcPr>
          <w:p w14:paraId="28E87D1A" w14:textId="77777777" w:rsidR="0098236D" w:rsidRPr="0098236D" w:rsidRDefault="0098236D" w:rsidP="0098236D">
            <w:pPr>
              <w:snapToGrid w:val="0"/>
              <w:spacing w:before="40" w:after="40"/>
              <w:rPr>
                <w:bCs/>
                <w:sz w:val="17"/>
                <w:lang w:eastAsia="fr-FR"/>
              </w:rPr>
            </w:pPr>
            <w:r w:rsidRPr="0098236D">
              <w:rPr>
                <w:bCs/>
                <w:sz w:val="17"/>
                <w:lang w:eastAsia="fr-FR"/>
              </w:rPr>
              <w:t>9</w:t>
            </w:r>
          </w:p>
        </w:tc>
        <w:tc>
          <w:tcPr>
            <w:tcW w:w="5543" w:type="dxa"/>
            <w:tcBorders>
              <w:top w:val="single" w:sz="4" w:space="0" w:color="BFBFBF"/>
              <w:left w:val="single" w:sz="4" w:space="0" w:color="auto"/>
              <w:bottom w:val="single" w:sz="4" w:space="0" w:color="BFBFBF"/>
              <w:right w:val="single" w:sz="4" w:space="0" w:color="auto"/>
            </w:tcBorders>
            <w:hideMark/>
          </w:tcPr>
          <w:p w14:paraId="7A142390" w14:textId="77777777" w:rsidR="0098236D" w:rsidRPr="0098236D" w:rsidRDefault="0098236D" w:rsidP="0098236D">
            <w:pPr>
              <w:snapToGrid w:val="0"/>
              <w:spacing w:before="40" w:after="40"/>
              <w:rPr>
                <w:bCs/>
                <w:color w:val="000000"/>
                <w:sz w:val="17"/>
                <w:lang w:eastAsia="fr-FR"/>
              </w:rPr>
            </w:pPr>
            <w:r w:rsidRPr="0098236D">
              <w:rPr>
                <w:bCs/>
                <w:color w:val="000000"/>
                <w:sz w:val="17"/>
                <w:lang w:eastAsia="fr-FR"/>
              </w:rPr>
              <w:t>SA-DRC (securitization: non-CTP)</w:t>
            </w:r>
          </w:p>
        </w:tc>
        <w:tc>
          <w:tcPr>
            <w:tcW w:w="3066" w:type="dxa"/>
            <w:tcBorders>
              <w:top w:val="single" w:sz="4" w:space="0" w:color="BFBFBF"/>
              <w:left w:val="single" w:sz="4" w:space="0" w:color="auto"/>
              <w:bottom w:val="single" w:sz="4" w:space="0" w:color="BFBFBF"/>
              <w:right w:val="single" w:sz="4" w:space="0" w:color="auto"/>
            </w:tcBorders>
            <w:noWrap/>
            <w:vAlign w:val="bottom"/>
          </w:tcPr>
          <w:p w14:paraId="71A53256" w14:textId="77777777" w:rsidR="0098236D" w:rsidRPr="0098236D" w:rsidRDefault="0098236D" w:rsidP="0098236D">
            <w:pPr>
              <w:snapToGrid w:val="0"/>
              <w:spacing w:before="40" w:after="40"/>
              <w:rPr>
                <w:color w:val="000000"/>
                <w:sz w:val="17"/>
                <w:lang w:eastAsia="fr-FR"/>
              </w:rPr>
            </w:pPr>
          </w:p>
        </w:tc>
      </w:tr>
      <w:tr w:rsidR="0098236D" w:rsidRPr="0098236D" w14:paraId="52452537" w14:textId="77777777" w:rsidTr="00EE6B38">
        <w:trPr>
          <w:trHeight w:val="249"/>
        </w:trPr>
        <w:tc>
          <w:tcPr>
            <w:tcW w:w="567" w:type="dxa"/>
            <w:tcBorders>
              <w:top w:val="single" w:sz="4" w:space="0" w:color="BFBFBF"/>
              <w:left w:val="nil"/>
              <w:bottom w:val="single" w:sz="4" w:space="0" w:color="BFBFBF"/>
              <w:right w:val="single" w:sz="4" w:space="0" w:color="auto"/>
            </w:tcBorders>
            <w:hideMark/>
          </w:tcPr>
          <w:p w14:paraId="48713032" w14:textId="77777777" w:rsidR="0098236D" w:rsidRPr="0098236D" w:rsidRDefault="0098236D" w:rsidP="0098236D">
            <w:pPr>
              <w:snapToGrid w:val="0"/>
              <w:spacing w:before="40" w:after="40"/>
              <w:rPr>
                <w:bCs/>
                <w:sz w:val="17"/>
                <w:lang w:eastAsia="fr-FR"/>
              </w:rPr>
            </w:pPr>
            <w:r w:rsidRPr="0098236D">
              <w:rPr>
                <w:bCs/>
                <w:sz w:val="17"/>
                <w:lang w:eastAsia="fr-FR"/>
              </w:rPr>
              <w:t>10</w:t>
            </w:r>
          </w:p>
        </w:tc>
        <w:tc>
          <w:tcPr>
            <w:tcW w:w="5543" w:type="dxa"/>
            <w:tcBorders>
              <w:top w:val="single" w:sz="4" w:space="0" w:color="BFBFBF"/>
              <w:left w:val="single" w:sz="4" w:space="0" w:color="auto"/>
              <w:bottom w:val="single" w:sz="4" w:space="0" w:color="BFBFBF"/>
              <w:right w:val="single" w:sz="4" w:space="0" w:color="auto"/>
            </w:tcBorders>
            <w:hideMark/>
          </w:tcPr>
          <w:p w14:paraId="3952DAD0" w14:textId="77777777" w:rsidR="0098236D" w:rsidRPr="0098236D" w:rsidRDefault="0098236D" w:rsidP="0098236D">
            <w:pPr>
              <w:snapToGrid w:val="0"/>
              <w:spacing w:before="40" w:after="40"/>
              <w:rPr>
                <w:bCs/>
                <w:color w:val="000000"/>
                <w:sz w:val="17"/>
                <w:lang w:eastAsia="fr-FR"/>
              </w:rPr>
            </w:pPr>
            <w:r w:rsidRPr="0098236D">
              <w:rPr>
                <w:bCs/>
                <w:color w:val="000000"/>
                <w:sz w:val="17"/>
                <w:lang w:eastAsia="fr-FR"/>
              </w:rPr>
              <w:t>SA-DRC (securitization: CTP)</w:t>
            </w:r>
          </w:p>
        </w:tc>
        <w:tc>
          <w:tcPr>
            <w:tcW w:w="3066" w:type="dxa"/>
            <w:tcBorders>
              <w:top w:val="single" w:sz="4" w:space="0" w:color="BFBFBF"/>
              <w:left w:val="single" w:sz="4" w:space="0" w:color="auto"/>
              <w:bottom w:val="single" w:sz="4" w:space="0" w:color="BFBFBF"/>
              <w:right w:val="single" w:sz="4" w:space="0" w:color="auto"/>
            </w:tcBorders>
            <w:noWrap/>
            <w:vAlign w:val="bottom"/>
          </w:tcPr>
          <w:p w14:paraId="3AA11F93" w14:textId="77777777" w:rsidR="0098236D" w:rsidRPr="0098236D" w:rsidRDefault="0098236D" w:rsidP="0098236D">
            <w:pPr>
              <w:snapToGrid w:val="0"/>
              <w:spacing w:before="40" w:after="40"/>
              <w:rPr>
                <w:color w:val="000000"/>
                <w:sz w:val="17"/>
                <w:lang w:eastAsia="fr-FR"/>
              </w:rPr>
            </w:pPr>
          </w:p>
        </w:tc>
      </w:tr>
      <w:tr w:rsidR="0098236D" w:rsidRPr="0098236D" w14:paraId="6946C71C" w14:textId="77777777" w:rsidTr="00EE6B38">
        <w:trPr>
          <w:trHeight w:val="249"/>
        </w:trPr>
        <w:tc>
          <w:tcPr>
            <w:tcW w:w="567" w:type="dxa"/>
            <w:tcBorders>
              <w:top w:val="single" w:sz="4" w:space="0" w:color="BFBFBF"/>
              <w:left w:val="nil"/>
              <w:bottom w:val="single" w:sz="4" w:space="0" w:color="BFBFBF"/>
              <w:right w:val="single" w:sz="4" w:space="0" w:color="auto"/>
            </w:tcBorders>
            <w:hideMark/>
          </w:tcPr>
          <w:p w14:paraId="41B18E84" w14:textId="77777777" w:rsidR="0098236D" w:rsidRPr="0098236D" w:rsidRDefault="0098236D" w:rsidP="0098236D">
            <w:pPr>
              <w:snapToGrid w:val="0"/>
              <w:spacing w:before="40" w:after="40"/>
              <w:rPr>
                <w:bCs/>
                <w:sz w:val="17"/>
                <w:lang w:eastAsia="fr-FR"/>
              </w:rPr>
            </w:pPr>
            <w:r w:rsidRPr="0098236D">
              <w:rPr>
                <w:bCs/>
                <w:sz w:val="17"/>
                <w:lang w:eastAsia="fr-FR"/>
              </w:rPr>
              <w:t>11</w:t>
            </w:r>
          </w:p>
        </w:tc>
        <w:tc>
          <w:tcPr>
            <w:tcW w:w="5543" w:type="dxa"/>
            <w:tcBorders>
              <w:top w:val="single" w:sz="4" w:space="0" w:color="BFBFBF"/>
              <w:left w:val="single" w:sz="4" w:space="0" w:color="auto"/>
              <w:bottom w:val="single" w:sz="4" w:space="0" w:color="BFBFBF"/>
              <w:right w:val="single" w:sz="4" w:space="0" w:color="auto"/>
            </w:tcBorders>
            <w:hideMark/>
          </w:tcPr>
          <w:p w14:paraId="53B52822" w14:textId="77777777" w:rsidR="0098236D" w:rsidRPr="0098236D" w:rsidRDefault="0098236D" w:rsidP="0098236D">
            <w:pPr>
              <w:snapToGrid w:val="0"/>
              <w:spacing w:before="40" w:after="40"/>
              <w:rPr>
                <w:bCs/>
                <w:color w:val="000000"/>
                <w:sz w:val="17"/>
                <w:lang w:eastAsia="fr-FR"/>
              </w:rPr>
            </w:pPr>
            <w:r w:rsidRPr="0098236D">
              <w:rPr>
                <w:bCs/>
                <w:color w:val="000000"/>
                <w:sz w:val="17"/>
                <w:lang w:eastAsia="fr-FR"/>
              </w:rPr>
              <w:t>Residual risk add-on</w:t>
            </w:r>
          </w:p>
        </w:tc>
        <w:tc>
          <w:tcPr>
            <w:tcW w:w="3066" w:type="dxa"/>
            <w:tcBorders>
              <w:top w:val="single" w:sz="4" w:space="0" w:color="BFBFBF"/>
              <w:left w:val="single" w:sz="4" w:space="0" w:color="auto"/>
              <w:bottom w:val="single" w:sz="4" w:space="0" w:color="BFBFBF"/>
              <w:right w:val="single" w:sz="4" w:space="0" w:color="auto"/>
            </w:tcBorders>
            <w:noWrap/>
            <w:vAlign w:val="bottom"/>
          </w:tcPr>
          <w:p w14:paraId="67D17372" w14:textId="77777777" w:rsidR="0098236D" w:rsidRPr="0098236D" w:rsidRDefault="0098236D" w:rsidP="0098236D">
            <w:pPr>
              <w:snapToGrid w:val="0"/>
              <w:spacing w:before="40" w:after="40"/>
              <w:rPr>
                <w:color w:val="000000"/>
                <w:sz w:val="17"/>
                <w:lang w:eastAsia="fr-FR"/>
              </w:rPr>
            </w:pPr>
          </w:p>
        </w:tc>
      </w:tr>
      <w:tr w:rsidR="0098236D" w:rsidRPr="0098236D" w14:paraId="5A608AC9" w14:textId="77777777" w:rsidTr="00EE6B38">
        <w:trPr>
          <w:trHeight w:val="249"/>
        </w:trPr>
        <w:tc>
          <w:tcPr>
            <w:tcW w:w="567" w:type="dxa"/>
            <w:tcBorders>
              <w:top w:val="single" w:sz="4" w:space="0" w:color="BFBFBF"/>
              <w:left w:val="nil"/>
              <w:bottom w:val="single" w:sz="4" w:space="0" w:color="auto"/>
              <w:right w:val="single" w:sz="4" w:space="0" w:color="auto"/>
            </w:tcBorders>
            <w:hideMark/>
          </w:tcPr>
          <w:p w14:paraId="5B51702F" w14:textId="77777777" w:rsidR="0098236D" w:rsidRPr="0098236D" w:rsidRDefault="0098236D" w:rsidP="0098236D">
            <w:pPr>
              <w:snapToGrid w:val="0"/>
              <w:spacing w:before="40" w:after="40"/>
              <w:rPr>
                <w:bCs/>
                <w:sz w:val="17"/>
                <w:lang w:eastAsia="fr-FR"/>
              </w:rPr>
            </w:pPr>
            <w:r w:rsidRPr="0098236D">
              <w:rPr>
                <w:bCs/>
                <w:sz w:val="17"/>
                <w:lang w:eastAsia="fr-FR"/>
              </w:rPr>
              <w:t>12</w:t>
            </w:r>
          </w:p>
        </w:tc>
        <w:tc>
          <w:tcPr>
            <w:tcW w:w="5543" w:type="dxa"/>
            <w:tcBorders>
              <w:top w:val="single" w:sz="4" w:space="0" w:color="BFBFBF"/>
              <w:left w:val="single" w:sz="4" w:space="0" w:color="auto"/>
              <w:bottom w:val="single" w:sz="4" w:space="0" w:color="auto"/>
              <w:right w:val="single" w:sz="4" w:space="0" w:color="auto"/>
            </w:tcBorders>
            <w:hideMark/>
          </w:tcPr>
          <w:p w14:paraId="5E49B44F" w14:textId="77777777" w:rsidR="0098236D" w:rsidRPr="0098236D" w:rsidRDefault="0098236D" w:rsidP="0098236D">
            <w:pPr>
              <w:snapToGrid w:val="0"/>
              <w:spacing w:before="40" w:after="40"/>
              <w:rPr>
                <w:b/>
                <w:bCs/>
                <w:color w:val="000000"/>
                <w:sz w:val="17"/>
                <w:lang w:eastAsia="fr-FR"/>
              </w:rPr>
            </w:pPr>
            <w:r w:rsidRPr="0098236D">
              <w:rPr>
                <w:b/>
                <w:bCs/>
                <w:color w:val="000000"/>
                <w:sz w:val="17"/>
                <w:lang w:eastAsia="fr-FR"/>
              </w:rPr>
              <w:t>Total</w:t>
            </w:r>
          </w:p>
        </w:tc>
        <w:tc>
          <w:tcPr>
            <w:tcW w:w="3066" w:type="dxa"/>
            <w:tcBorders>
              <w:top w:val="single" w:sz="4" w:space="0" w:color="BFBFBF"/>
              <w:left w:val="single" w:sz="4" w:space="0" w:color="auto"/>
              <w:bottom w:val="single" w:sz="4" w:space="0" w:color="auto"/>
              <w:right w:val="single" w:sz="4" w:space="0" w:color="auto"/>
            </w:tcBorders>
            <w:noWrap/>
            <w:vAlign w:val="bottom"/>
          </w:tcPr>
          <w:p w14:paraId="4C97107E" w14:textId="77777777" w:rsidR="0098236D" w:rsidRPr="0098236D" w:rsidRDefault="0098236D" w:rsidP="0098236D">
            <w:pPr>
              <w:snapToGrid w:val="0"/>
              <w:spacing w:before="40" w:after="40"/>
              <w:rPr>
                <w:color w:val="000000"/>
                <w:sz w:val="17"/>
                <w:lang w:eastAsia="fr-FR"/>
              </w:rPr>
            </w:pPr>
          </w:p>
        </w:tc>
      </w:tr>
    </w:tbl>
    <w:p w14:paraId="44B93921" w14:textId="77777777" w:rsidR="0098236D" w:rsidRPr="0098236D" w:rsidRDefault="0098236D" w:rsidP="0098236D">
      <w:pPr>
        <w:rPr>
          <w:sz w:val="22"/>
        </w:rPr>
      </w:pPr>
    </w:p>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47"/>
      </w:tblGrid>
      <w:tr w:rsidR="0098236D" w:rsidRPr="0098236D" w14:paraId="51422B6F" w14:textId="77777777" w:rsidTr="00EE6B38">
        <w:trPr>
          <w:tblHeader/>
        </w:trPr>
        <w:tc>
          <w:tcPr>
            <w:tcW w:w="9214"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10D18759" w14:textId="77777777" w:rsidR="0098236D" w:rsidRPr="0098236D" w:rsidRDefault="0098236D" w:rsidP="0098236D">
            <w:pPr>
              <w:spacing w:before="40" w:after="40"/>
              <w:jc w:val="both"/>
              <w:rPr>
                <w:rFonts w:eastAsia="新細明體"/>
                <w:b/>
                <w:sz w:val="17"/>
                <w:szCs w:val="17"/>
                <w:lang w:eastAsia="en-GB"/>
              </w:rPr>
            </w:pPr>
            <w:r w:rsidRPr="0098236D">
              <w:rPr>
                <w:rFonts w:eastAsia="新細明體"/>
                <w:b/>
                <w:sz w:val="17"/>
                <w:szCs w:val="17"/>
                <w:lang w:eastAsia="en-GB"/>
              </w:rPr>
              <w:t>Explanatory Note</w:t>
            </w:r>
          </w:p>
        </w:tc>
      </w:tr>
      <w:tr w:rsidR="0098236D" w:rsidRPr="0098236D" w14:paraId="1495A162" w14:textId="77777777" w:rsidTr="00EE6B38">
        <w:tc>
          <w:tcPr>
            <w:tcW w:w="9214"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728933D0" w14:textId="77777777" w:rsidR="0098236D" w:rsidRPr="0098236D" w:rsidRDefault="0098236D" w:rsidP="0098236D">
            <w:pPr>
              <w:spacing w:before="40" w:after="40"/>
              <w:jc w:val="both"/>
              <w:rPr>
                <w:i/>
                <w:color w:val="000000"/>
                <w:lang w:eastAsia="fr-FR"/>
              </w:rPr>
            </w:pPr>
            <w:r w:rsidRPr="0098236D">
              <w:rPr>
                <w:rFonts w:eastAsia="新細明體"/>
                <w:b/>
                <w:sz w:val="17"/>
                <w:szCs w:val="17"/>
                <w:lang w:eastAsia="en-GB"/>
              </w:rPr>
              <w:t>Rows</w:t>
            </w:r>
          </w:p>
        </w:tc>
      </w:tr>
      <w:tr w:rsidR="0098236D" w:rsidRPr="0098236D" w14:paraId="296C9447" w14:textId="77777777" w:rsidTr="00EE6B38">
        <w:trPr>
          <w:trHeight w:val="373"/>
        </w:trPr>
        <w:tc>
          <w:tcPr>
            <w:tcW w:w="567" w:type="dxa"/>
            <w:tcBorders>
              <w:top w:val="single" w:sz="4" w:space="0" w:color="auto"/>
              <w:left w:val="single" w:sz="4" w:space="0" w:color="auto"/>
              <w:bottom w:val="single" w:sz="4" w:space="0" w:color="auto"/>
              <w:right w:val="single" w:sz="4" w:space="0" w:color="auto"/>
            </w:tcBorders>
            <w:hideMark/>
          </w:tcPr>
          <w:p w14:paraId="4B5CF8F4" w14:textId="77777777" w:rsidR="0098236D" w:rsidRPr="0098236D" w:rsidRDefault="0098236D" w:rsidP="0098236D">
            <w:pPr>
              <w:keepLines/>
              <w:widowControl w:val="0"/>
              <w:tabs>
                <w:tab w:val="left" w:pos="150"/>
                <w:tab w:val="left" w:pos="397"/>
                <w:tab w:val="left" w:pos="794"/>
                <w:tab w:val="left" w:pos="1191"/>
              </w:tabs>
              <w:spacing w:before="40" w:after="40"/>
              <w:rPr>
                <w:rFonts w:cs="Segoe UI"/>
                <w:sz w:val="17"/>
                <w:szCs w:val="17"/>
                <w:lang w:eastAsia="en-GB"/>
              </w:rPr>
            </w:pPr>
            <w:r w:rsidRPr="0098236D">
              <w:rPr>
                <w:rFonts w:cs="Segoe UI"/>
                <w:sz w:val="17"/>
                <w:szCs w:val="17"/>
                <w:lang w:eastAsia="en-GB"/>
              </w:rPr>
              <w:t>12</w:t>
            </w:r>
          </w:p>
        </w:tc>
        <w:tc>
          <w:tcPr>
            <w:tcW w:w="8647" w:type="dxa"/>
            <w:tcBorders>
              <w:top w:val="single" w:sz="4" w:space="0" w:color="auto"/>
              <w:left w:val="single" w:sz="4" w:space="0" w:color="auto"/>
              <w:bottom w:val="single" w:sz="4" w:space="0" w:color="auto"/>
              <w:right w:val="single" w:sz="4" w:space="0" w:color="auto"/>
            </w:tcBorders>
            <w:hideMark/>
          </w:tcPr>
          <w:p w14:paraId="48C78600" w14:textId="77777777" w:rsidR="0098236D" w:rsidRPr="0098236D" w:rsidRDefault="0098236D" w:rsidP="0098236D">
            <w:pPr>
              <w:spacing w:before="40" w:after="40"/>
              <w:jc w:val="both"/>
              <w:rPr>
                <w:i/>
                <w:sz w:val="17"/>
                <w:szCs w:val="17"/>
              </w:rPr>
            </w:pPr>
            <w:r w:rsidRPr="0098236D">
              <w:rPr>
                <w:i/>
                <w:sz w:val="17"/>
                <w:szCs w:val="17"/>
              </w:rPr>
              <w:t>Total</w:t>
            </w:r>
            <w:r w:rsidRPr="0098236D">
              <w:rPr>
                <w:sz w:val="17"/>
                <w:szCs w:val="17"/>
                <w:lang w:eastAsia="en-GB"/>
              </w:rPr>
              <w:t xml:space="preserve">: </w:t>
            </w:r>
            <w:r w:rsidRPr="0098236D">
              <w:rPr>
                <w:rFonts w:cs="Segoe UI"/>
                <w:sz w:val="17"/>
                <w:szCs w:val="17"/>
              </w:rPr>
              <w:t>the sum of values in rows 1 to 11, which is also equal to the value in [OV1: 21/c].</w:t>
            </w:r>
          </w:p>
        </w:tc>
      </w:tr>
    </w:tbl>
    <w:p w14:paraId="45813F4F" w14:textId="77777777" w:rsidR="0098236D" w:rsidRPr="0098236D" w:rsidRDefault="0098236D" w:rsidP="0098236D">
      <w:pPr>
        <w:rPr>
          <w:rFonts w:eastAsia="新細明體"/>
          <w:lang w:eastAsia="zh-TW"/>
        </w:rPr>
        <w:sectPr w:rsidR="0098236D" w:rsidRPr="0098236D" w:rsidSect="00EE6B38">
          <w:footerReference w:type="default" r:id="rId78"/>
          <w:pgSz w:w="11906" w:h="16838"/>
          <w:pgMar w:top="1440" w:right="1797" w:bottom="1440" w:left="1797" w:header="851" w:footer="737" w:gutter="0"/>
          <w:cols w:space="720"/>
          <w:docGrid w:type="lines" w:linePitch="360"/>
        </w:sectPr>
      </w:pPr>
    </w:p>
    <w:p w14:paraId="0FA2A17F" w14:textId="53858E2B" w:rsidR="0098236D" w:rsidRPr="0098236D" w:rsidRDefault="0098236D" w:rsidP="0098236D">
      <w:pPr>
        <w:pStyle w:val="Heading2"/>
        <w:rPr>
          <w:rFonts w:eastAsia="新細明體"/>
          <w:szCs w:val="24"/>
          <w:lang w:eastAsia="zh-TW"/>
        </w:rPr>
      </w:pPr>
      <w:r w:rsidRPr="0098236D">
        <w:rPr>
          <w:rFonts w:eastAsia="新細明體"/>
          <w:szCs w:val="24"/>
        </w:rPr>
        <w:lastRenderedPageBreak/>
        <w:t>Table MRB: Additional qualitative disclosures for AI using IMA</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1553D5" w14:paraId="0B035BEA" w14:textId="77777777" w:rsidTr="00DB2ABD">
        <w:tc>
          <w:tcPr>
            <w:tcW w:w="2008" w:type="dxa"/>
            <w:tcBorders>
              <w:top w:val="single" w:sz="4" w:space="0" w:color="auto"/>
              <w:left w:val="nil"/>
              <w:bottom w:val="single" w:sz="4" w:space="0" w:color="auto"/>
              <w:right w:val="single" w:sz="4" w:space="0" w:color="auto"/>
            </w:tcBorders>
            <w:hideMark/>
          </w:tcPr>
          <w:p w14:paraId="7865EF30" w14:textId="77777777" w:rsidR="001553D5" w:rsidRDefault="001553D5" w:rsidP="00DB2ABD">
            <w:pPr>
              <w:spacing w:before="40" w:after="40"/>
              <w:rPr>
                <w:noProof/>
                <w:sz w:val="17"/>
                <w:lang w:eastAsia="en-GB"/>
              </w:rPr>
            </w:pPr>
            <w:r>
              <w:rPr>
                <w:b/>
                <w:sz w:val="17"/>
                <w:lang w:eastAsia="en-GB"/>
              </w:rPr>
              <w:t>Purpose:</w:t>
            </w:r>
          </w:p>
        </w:tc>
        <w:tc>
          <w:tcPr>
            <w:tcW w:w="7234" w:type="dxa"/>
            <w:tcBorders>
              <w:top w:val="single" w:sz="4" w:space="0" w:color="auto"/>
              <w:left w:val="single" w:sz="4" w:space="0" w:color="auto"/>
              <w:bottom w:val="single" w:sz="4" w:space="0" w:color="auto"/>
              <w:right w:val="nil"/>
            </w:tcBorders>
            <w:hideMark/>
          </w:tcPr>
          <w:p w14:paraId="79960323" w14:textId="77777777" w:rsidR="001553D5" w:rsidRDefault="001553D5" w:rsidP="00DB2ABD">
            <w:pPr>
              <w:pStyle w:val="Default"/>
              <w:jc w:val="both"/>
              <w:rPr>
                <w:sz w:val="17"/>
                <w:szCs w:val="17"/>
              </w:rPr>
            </w:pPr>
            <w:r>
              <w:rPr>
                <w:sz w:val="17"/>
                <w:szCs w:val="17"/>
              </w:rPr>
              <w:t xml:space="preserve">To provide the scope, main characteristics and key modelling choices of the different models used for the calculation of market risk capital charge using the IMA. </w:t>
            </w:r>
          </w:p>
        </w:tc>
      </w:tr>
      <w:tr w:rsidR="001553D5" w14:paraId="460E9E47" w14:textId="77777777" w:rsidTr="00DB2ABD">
        <w:tc>
          <w:tcPr>
            <w:tcW w:w="2008" w:type="dxa"/>
            <w:tcBorders>
              <w:top w:val="single" w:sz="4" w:space="0" w:color="auto"/>
              <w:left w:val="nil"/>
              <w:bottom w:val="single" w:sz="4" w:space="0" w:color="auto"/>
              <w:right w:val="single" w:sz="4" w:space="0" w:color="auto"/>
            </w:tcBorders>
            <w:hideMark/>
          </w:tcPr>
          <w:p w14:paraId="1AE9DFC6" w14:textId="77777777" w:rsidR="001553D5" w:rsidRDefault="001553D5" w:rsidP="00DB2ABD">
            <w:pPr>
              <w:spacing w:before="40" w:after="40"/>
              <w:rPr>
                <w:b/>
                <w:sz w:val="17"/>
                <w:lang w:eastAsia="en-GB"/>
              </w:rPr>
            </w:pPr>
            <w:r>
              <w:rPr>
                <w:b/>
                <w:sz w:val="17"/>
                <w:lang w:eastAsia="en-GB"/>
              </w:rPr>
              <w:t>Scope of application:</w:t>
            </w:r>
          </w:p>
        </w:tc>
        <w:tc>
          <w:tcPr>
            <w:tcW w:w="7234" w:type="dxa"/>
            <w:tcBorders>
              <w:top w:val="single" w:sz="4" w:space="0" w:color="auto"/>
              <w:left w:val="single" w:sz="4" w:space="0" w:color="auto"/>
              <w:bottom w:val="single" w:sz="4" w:space="0" w:color="auto"/>
              <w:right w:val="nil"/>
            </w:tcBorders>
            <w:hideMark/>
          </w:tcPr>
          <w:p w14:paraId="193A7883" w14:textId="77777777" w:rsidR="001553D5" w:rsidRDefault="001553D5" w:rsidP="00DB2ABD">
            <w:pPr>
              <w:pStyle w:val="Default"/>
              <w:jc w:val="both"/>
              <w:rPr>
                <w:sz w:val="17"/>
                <w:szCs w:val="17"/>
              </w:rPr>
            </w:pPr>
            <w:r>
              <w:rPr>
                <w:sz w:val="17"/>
                <w:szCs w:val="17"/>
              </w:rPr>
              <w:t xml:space="preserve">The table is mandatory for AIs incorporated in Hong Kong that use the IMA for calculating </w:t>
            </w:r>
            <w:r w:rsidRPr="00F2642C">
              <w:rPr>
                <w:sz w:val="17"/>
                <w:szCs w:val="17"/>
              </w:rPr>
              <w:t xml:space="preserve">all or part of </w:t>
            </w:r>
            <w:r>
              <w:rPr>
                <w:sz w:val="17"/>
                <w:szCs w:val="17"/>
              </w:rPr>
              <w:t xml:space="preserve">their market risk capital charge. </w:t>
            </w:r>
          </w:p>
          <w:p w14:paraId="732DFB4D" w14:textId="77777777" w:rsidR="001553D5" w:rsidRDefault="001553D5" w:rsidP="00DB2ABD">
            <w:pPr>
              <w:pStyle w:val="Default"/>
              <w:jc w:val="both"/>
              <w:rPr>
                <w:sz w:val="17"/>
                <w:szCs w:val="17"/>
              </w:rPr>
            </w:pPr>
            <w:r>
              <w:rPr>
                <w:sz w:val="17"/>
                <w:szCs w:val="17"/>
              </w:rPr>
              <w:t xml:space="preserve">To provide meaningful information to users on its use of internal models, an AI should describe the main characteristics of the models used at the group-wide level (according to the scope of regulatory consolidation) and explain the extent to which they represent all the models used at the group-wide level.  The commentary should include the percentage of market risk capital charge covered by the models described for each of the </w:t>
            </w:r>
            <w:r w:rsidRPr="00D17205">
              <w:rPr>
                <w:sz w:val="17"/>
                <w:szCs w:val="17"/>
              </w:rPr>
              <w:t xml:space="preserve">market risk capital charge components </w:t>
            </w:r>
            <w:r>
              <w:rPr>
                <w:sz w:val="17"/>
                <w:szCs w:val="17"/>
              </w:rPr>
              <w:t>(modellable risk factors, non-modellable risk factors (“NMRFs”) and default risk charge).</w:t>
            </w:r>
          </w:p>
        </w:tc>
      </w:tr>
      <w:tr w:rsidR="001553D5" w14:paraId="513488AF" w14:textId="77777777" w:rsidTr="00DB2ABD">
        <w:tc>
          <w:tcPr>
            <w:tcW w:w="2008" w:type="dxa"/>
            <w:tcBorders>
              <w:top w:val="single" w:sz="4" w:space="0" w:color="auto"/>
              <w:left w:val="nil"/>
              <w:bottom w:val="single" w:sz="4" w:space="0" w:color="auto"/>
              <w:right w:val="single" w:sz="4" w:space="0" w:color="auto"/>
            </w:tcBorders>
            <w:hideMark/>
          </w:tcPr>
          <w:p w14:paraId="39DAD373" w14:textId="77777777" w:rsidR="001553D5" w:rsidRDefault="001553D5" w:rsidP="00DB2ABD">
            <w:pPr>
              <w:spacing w:before="40" w:after="40"/>
              <w:rPr>
                <w:b/>
                <w:sz w:val="17"/>
                <w:lang w:eastAsia="en-GB"/>
              </w:rPr>
            </w:pPr>
            <w:r>
              <w:rPr>
                <w:b/>
                <w:sz w:val="17"/>
                <w:lang w:eastAsia="en-GB"/>
              </w:rPr>
              <w:t>Content:</w:t>
            </w:r>
          </w:p>
        </w:tc>
        <w:tc>
          <w:tcPr>
            <w:tcW w:w="7234" w:type="dxa"/>
            <w:tcBorders>
              <w:top w:val="single" w:sz="4" w:space="0" w:color="auto"/>
              <w:left w:val="single" w:sz="4" w:space="0" w:color="auto"/>
              <w:bottom w:val="single" w:sz="4" w:space="0" w:color="auto"/>
              <w:right w:val="nil"/>
            </w:tcBorders>
            <w:hideMark/>
          </w:tcPr>
          <w:p w14:paraId="1AEEAB76" w14:textId="77777777" w:rsidR="001553D5" w:rsidRDefault="001553D5" w:rsidP="00DB2ABD">
            <w:pPr>
              <w:spacing w:before="40" w:after="40"/>
              <w:jc w:val="both"/>
              <w:rPr>
                <w:b/>
                <w:sz w:val="17"/>
                <w:lang w:eastAsia="en-GB"/>
              </w:rPr>
            </w:pPr>
            <w:r>
              <w:rPr>
                <w:sz w:val="17"/>
                <w:lang w:eastAsia="en-GB"/>
              </w:rPr>
              <w:t>Qualitative information.</w:t>
            </w:r>
          </w:p>
        </w:tc>
      </w:tr>
      <w:tr w:rsidR="001553D5" w14:paraId="6FFF3630" w14:textId="77777777" w:rsidTr="00DB2ABD">
        <w:tc>
          <w:tcPr>
            <w:tcW w:w="2008" w:type="dxa"/>
            <w:tcBorders>
              <w:top w:val="single" w:sz="4" w:space="0" w:color="auto"/>
              <w:left w:val="nil"/>
              <w:bottom w:val="single" w:sz="4" w:space="0" w:color="auto"/>
              <w:right w:val="single" w:sz="4" w:space="0" w:color="auto"/>
            </w:tcBorders>
            <w:hideMark/>
          </w:tcPr>
          <w:p w14:paraId="676C91F7" w14:textId="77777777" w:rsidR="001553D5" w:rsidRDefault="001553D5" w:rsidP="00DB2ABD">
            <w:pPr>
              <w:spacing w:before="40" w:after="40"/>
              <w:rPr>
                <w:sz w:val="17"/>
                <w:lang w:eastAsia="en-GB"/>
              </w:rPr>
            </w:pPr>
            <w:r>
              <w:rPr>
                <w:b/>
                <w:sz w:val="17"/>
                <w:lang w:eastAsia="en-GB"/>
              </w:rPr>
              <w:t>Frequency:</w:t>
            </w:r>
          </w:p>
        </w:tc>
        <w:tc>
          <w:tcPr>
            <w:tcW w:w="7234" w:type="dxa"/>
            <w:tcBorders>
              <w:top w:val="single" w:sz="4" w:space="0" w:color="auto"/>
              <w:left w:val="single" w:sz="4" w:space="0" w:color="auto"/>
              <w:bottom w:val="single" w:sz="4" w:space="0" w:color="auto"/>
              <w:right w:val="nil"/>
            </w:tcBorders>
            <w:hideMark/>
          </w:tcPr>
          <w:p w14:paraId="4B289C41" w14:textId="77777777" w:rsidR="001553D5" w:rsidRDefault="001553D5" w:rsidP="00DB2ABD">
            <w:pPr>
              <w:pStyle w:val="TableText"/>
              <w:jc w:val="both"/>
              <w:rPr>
                <w:lang w:eastAsia="en-GB"/>
              </w:rPr>
            </w:pPr>
            <w:r>
              <w:rPr>
                <w:lang w:eastAsia="en-GB"/>
              </w:rPr>
              <w:t>Annual.</w:t>
            </w:r>
          </w:p>
        </w:tc>
      </w:tr>
      <w:tr w:rsidR="001553D5" w14:paraId="33B798D9" w14:textId="77777777" w:rsidTr="00DB2ABD">
        <w:tc>
          <w:tcPr>
            <w:tcW w:w="2008" w:type="dxa"/>
            <w:tcBorders>
              <w:top w:val="single" w:sz="4" w:space="0" w:color="auto"/>
              <w:left w:val="nil"/>
              <w:bottom w:val="single" w:sz="4" w:space="0" w:color="auto"/>
              <w:right w:val="single" w:sz="4" w:space="0" w:color="auto"/>
            </w:tcBorders>
            <w:hideMark/>
          </w:tcPr>
          <w:p w14:paraId="2CCEC1B4" w14:textId="77777777" w:rsidR="001553D5" w:rsidRDefault="001553D5" w:rsidP="00DB2ABD">
            <w:pPr>
              <w:spacing w:before="40" w:after="40"/>
              <w:rPr>
                <w:sz w:val="17"/>
                <w:lang w:eastAsia="en-GB"/>
              </w:rPr>
            </w:pPr>
            <w:r>
              <w:rPr>
                <w:b/>
                <w:sz w:val="17"/>
                <w:lang w:eastAsia="en-GB"/>
              </w:rPr>
              <w:t>Format:</w:t>
            </w:r>
          </w:p>
        </w:tc>
        <w:tc>
          <w:tcPr>
            <w:tcW w:w="7234" w:type="dxa"/>
            <w:tcBorders>
              <w:top w:val="single" w:sz="4" w:space="0" w:color="auto"/>
              <w:left w:val="single" w:sz="4" w:space="0" w:color="auto"/>
              <w:bottom w:val="single" w:sz="4" w:space="0" w:color="auto"/>
              <w:right w:val="nil"/>
            </w:tcBorders>
            <w:hideMark/>
          </w:tcPr>
          <w:p w14:paraId="12E9F062" w14:textId="77777777" w:rsidR="001553D5" w:rsidRDefault="001553D5" w:rsidP="00DB2ABD">
            <w:pPr>
              <w:pStyle w:val="TableText"/>
              <w:jc w:val="both"/>
              <w:rPr>
                <w:noProof/>
                <w:lang w:eastAsia="en-GB"/>
              </w:rPr>
            </w:pPr>
            <w:r>
              <w:rPr>
                <w:lang w:eastAsia="en-GB"/>
              </w:rPr>
              <w:t>Flexible.</w:t>
            </w:r>
          </w:p>
        </w:tc>
      </w:tr>
      <w:tr w:rsidR="001553D5" w14:paraId="6B1ADA9A" w14:textId="77777777" w:rsidTr="00B91D91">
        <w:tc>
          <w:tcPr>
            <w:tcW w:w="2008" w:type="dxa"/>
            <w:tcBorders>
              <w:top w:val="single" w:sz="4" w:space="0" w:color="auto"/>
              <w:left w:val="nil"/>
              <w:bottom w:val="single" w:sz="4" w:space="0" w:color="auto"/>
              <w:right w:val="single" w:sz="4" w:space="0" w:color="auto"/>
            </w:tcBorders>
            <w:hideMark/>
          </w:tcPr>
          <w:p w14:paraId="256F8DFB" w14:textId="77777777" w:rsidR="001553D5" w:rsidRDefault="001553D5" w:rsidP="00DB2ABD">
            <w:pPr>
              <w:spacing w:before="40" w:after="40"/>
              <w:rPr>
                <w:b/>
                <w:sz w:val="17"/>
                <w:lang w:eastAsia="en-GB"/>
              </w:rPr>
            </w:pPr>
            <w:r w:rsidRPr="00202127">
              <w:rPr>
                <w:b/>
                <w:sz w:val="17"/>
                <w:lang w:eastAsia="en-GB"/>
              </w:rPr>
              <w:t>Corresponding BDR section:</w:t>
            </w:r>
            <w:r>
              <w:rPr>
                <w:b/>
                <w:sz w:val="17"/>
                <w:lang w:eastAsia="en-GB"/>
              </w:rPr>
              <w:t xml:space="preserve"> </w:t>
            </w:r>
          </w:p>
        </w:tc>
        <w:tc>
          <w:tcPr>
            <w:tcW w:w="7234" w:type="dxa"/>
            <w:tcBorders>
              <w:top w:val="single" w:sz="4" w:space="0" w:color="auto"/>
              <w:left w:val="single" w:sz="4" w:space="0" w:color="auto"/>
              <w:bottom w:val="single" w:sz="4" w:space="0" w:color="auto"/>
              <w:right w:val="nil"/>
            </w:tcBorders>
            <w:shd w:val="clear" w:color="auto" w:fill="auto"/>
          </w:tcPr>
          <w:p w14:paraId="43A6A528" w14:textId="45ABDB2B" w:rsidR="001553D5" w:rsidRPr="00B91D91" w:rsidRDefault="001553D5" w:rsidP="00DB2ABD">
            <w:pPr>
              <w:pStyle w:val="TableText"/>
              <w:jc w:val="both"/>
              <w:rPr>
                <w:lang w:eastAsia="en-GB"/>
              </w:rPr>
            </w:pPr>
            <w:r w:rsidRPr="00B91D91">
              <w:rPr>
                <w:szCs w:val="17"/>
              </w:rPr>
              <w:t>16ZK</w:t>
            </w:r>
          </w:p>
        </w:tc>
      </w:tr>
    </w:tbl>
    <w:p w14:paraId="0059EB42" w14:textId="77777777" w:rsidR="001553D5" w:rsidRDefault="001553D5" w:rsidP="001553D5"/>
    <w:tbl>
      <w:tblPr>
        <w:tblW w:w="9321" w:type="dxa"/>
        <w:jc w:val="center"/>
        <w:tblCellMar>
          <w:left w:w="70" w:type="dxa"/>
          <w:right w:w="70" w:type="dxa"/>
        </w:tblCellMar>
        <w:tblLook w:val="00A0" w:firstRow="1" w:lastRow="0" w:firstColumn="1" w:lastColumn="0" w:noHBand="0" w:noVBand="0"/>
      </w:tblPr>
      <w:tblGrid>
        <w:gridCol w:w="650"/>
        <w:gridCol w:w="8671"/>
      </w:tblGrid>
      <w:tr w:rsidR="001553D5" w14:paraId="26ADCACD" w14:textId="77777777" w:rsidTr="00DB2ABD">
        <w:trPr>
          <w:trHeight w:val="448"/>
          <w:jc w:val="center"/>
        </w:trPr>
        <w:tc>
          <w:tcPr>
            <w:tcW w:w="650" w:type="dxa"/>
            <w:tcBorders>
              <w:top w:val="single" w:sz="4" w:space="0" w:color="auto"/>
              <w:left w:val="nil"/>
              <w:bottom w:val="single" w:sz="4" w:space="0" w:color="auto"/>
              <w:right w:val="nil"/>
            </w:tcBorders>
            <w:shd w:val="clear" w:color="auto" w:fill="F2F2F2"/>
            <w:vAlign w:val="center"/>
            <w:hideMark/>
          </w:tcPr>
          <w:p w14:paraId="54C90D31" w14:textId="77777777" w:rsidR="001553D5" w:rsidRDefault="001553D5" w:rsidP="00DB2ABD">
            <w:pPr>
              <w:pStyle w:val="Default"/>
              <w:tabs>
                <w:tab w:val="left" w:pos="540"/>
              </w:tabs>
              <w:autoSpaceDE/>
              <w:adjustRightInd/>
              <w:spacing w:before="40" w:after="40"/>
              <w:jc w:val="both"/>
              <w:rPr>
                <w:rFonts w:eastAsia="Times New Roman" w:cs="Times New Roman"/>
                <w:color w:val="auto"/>
                <w:sz w:val="17"/>
                <w:szCs w:val="17"/>
                <w:lang w:eastAsia="en-US"/>
              </w:rPr>
            </w:pPr>
            <w:r>
              <w:rPr>
                <w:rFonts w:eastAsia="Times New Roman" w:cs="Times New Roman"/>
                <w:color w:val="auto"/>
                <w:sz w:val="17"/>
                <w:szCs w:val="17"/>
                <w:lang w:eastAsia="en-US"/>
              </w:rPr>
              <w:t>(I)</w:t>
            </w:r>
          </w:p>
        </w:tc>
        <w:tc>
          <w:tcPr>
            <w:tcW w:w="8671" w:type="dxa"/>
            <w:tcBorders>
              <w:top w:val="single" w:sz="4" w:space="0" w:color="auto"/>
              <w:left w:val="nil"/>
              <w:bottom w:val="single" w:sz="4" w:space="0" w:color="auto"/>
              <w:right w:val="nil"/>
            </w:tcBorders>
            <w:shd w:val="clear" w:color="auto" w:fill="F2F2F2"/>
            <w:vAlign w:val="center"/>
            <w:hideMark/>
          </w:tcPr>
          <w:p w14:paraId="400BFB20" w14:textId="77777777" w:rsidR="001553D5" w:rsidRDefault="001553D5" w:rsidP="00DB2ABD">
            <w:pPr>
              <w:pStyle w:val="Default"/>
              <w:tabs>
                <w:tab w:val="left" w:pos="540"/>
              </w:tabs>
              <w:autoSpaceDE/>
              <w:adjustRightInd/>
              <w:spacing w:before="40" w:after="40"/>
              <w:jc w:val="both"/>
              <w:rPr>
                <w:rFonts w:eastAsia="Times New Roman" w:cs="Times New Roman"/>
                <w:color w:val="auto"/>
                <w:sz w:val="17"/>
                <w:szCs w:val="17"/>
                <w:lang w:eastAsia="en-US"/>
              </w:rPr>
            </w:pPr>
            <w:r>
              <w:rPr>
                <w:sz w:val="17"/>
                <w:szCs w:val="17"/>
              </w:rPr>
              <w:t>An AI should provide a general description of the trading desk structure and types of instruments included in the IMA trading desks.</w:t>
            </w:r>
          </w:p>
        </w:tc>
      </w:tr>
    </w:tbl>
    <w:p w14:paraId="7449DB95" w14:textId="77777777" w:rsidR="001553D5" w:rsidRPr="001052F2" w:rsidRDefault="001553D5" w:rsidP="001553D5">
      <w:pPr>
        <w:rPr>
          <w:rFonts w:eastAsia="新細明體"/>
          <w:lang w:eastAsia="zh-TW"/>
        </w:rPr>
      </w:pPr>
    </w:p>
    <w:tbl>
      <w:tblPr>
        <w:tblW w:w="9321" w:type="dxa"/>
        <w:jc w:val="center"/>
        <w:tblCellMar>
          <w:left w:w="70" w:type="dxa"/>
          <w:right w:w="70" w:type="dxa"/>
        </w:tblCellMar>
        <w:tblLook w:val="00A0" w:firstRow="1" w:lastRow="0" w:firstColumn="1" w:lastColumn="0" w:noHBand="0" w:noVBand="0"/>
      </w:tblPr>
      <w:tblGrid>
        <w:gridCol w:w="650"/>
        <w:gridCol w:w="8671"/>
      </w:tblGrid>
      <w:tr w:rsidR="001553D5" w14:paraId="400E1E40" w14:textId="77777777" w:rsidTr="00AD012F">
        <w:trPr>
          <w:trHeight w:val="448"/>
          <w:jc w:val="center"/>
        </w:trPr>
        <w:tc>
          <w:tcPr>
            <w:tcW w:w="650" w:type="dxa"/>
            <w:tcBorders>
              <w:top w:val="single" w:sz="4" w:space="0" w:color="auto"/>
              <w:left w:val="nil"/>
              <w:bottom w:val="single" w:sz="4" w:space="0" w:color="auto"/>
              <w:right w:val="nil"/>
            </w:tcBorders>
            <w:shd w:val="clear" w:color="auto" w:fill="F2F2F2"/>
            <w:vAlign w:val="center"/>
            <w:hideMark/>
          </w:tcPr>
          <w:p w14:paraId="5079DD69" w14:textId="77777777" w:rsidR="001553D5" w:rsidRDefault="001553D5" w:rsidP="00DB2ABD">
            <w:pPr>
              <w:pStyle w:val="ListParagraph"/>
              <w:widowControl w:val="0"/>
              <w:tabs>
                <w:tab w:val="left" w:pos="540"/>
              </w:tabs>
              <w:spacing w:before="40" w:after="40"/>
              <w:ind w:leftChars="0" w:left="0"/>
              <w:jc w:val="both"/>
              <w:rPr>
                <w:sz w:val="17"/>
                <w:szCs w:val="17"/>
                <w:lang w:eastAsia="fr-FR"/>
              </w:rPr>
            </w:pPr>
            <w:r>
              <w:rPr>
                <w:sz w:val="17"/>
                <w:szCs w:val="17"/>
                <w:lang w:eastAsia="fr-FR"/>
              </w:rPr>
              <w:t>(II)</w:t>
            </w:r>
          </w:p>
        </w:tc>
        <w:tc>
          <w:tcPr>
            <w:tcW w:w="8671" w:type="dxa"/>
            <w:tcBorders>
              <w:top w:val="single" w:sz="4" w:space="0" w:color="auto"/>
              <w:left w:val="nil"/>
              <w:bottom w:val="single" w:sz="4" w:space="0" w:color="auto"/>
              <w:right w:val="nil"/>
            </w:tcBorders>
            <w:shd w:val="clear" w:color="auto" w:fill="F2F2F2"/>
            <w:vAlign w:val="center"/>
            <w:hideMark/>
          </w:tcPr>
          <w:p w14:paraId="6E2FEFC4" w14:textId="77777777" w:rsidR="001553D5" w:rsidRDefault="001553D5" w:rsidP="00DB2ABD">
            <w:pPr>
              <w:pStyle w:val="ListParagraph"/>
              <w:widowControl w:val="0"/>
              <w:tabs>
                <w:tab w:val="left" w:pos="540"/>
              </w:tabs>
              <w:spacing w:before="40" w:after="40"/>
              <w:ind w:leftChars="0" w:left="0"/>
              <w:jc w:val="both"/>
              <w:rPr>
                <w:sz w:val="17"/>
                <w:szCs w:val="17"/>
                <w:lang w:eastAsia="fr-FR"/>
              </w:rPr>
            </w:pPr>
            <w:r>
              <w:rPr>
                <w:sz w:val="17"/>
                <w:szCs w:val="17"/>
                <w:lang w:eastAsia="fr-FR"/>
              </w:rPr>
              <w:t>An AI using internal models to determine the market risk charges for modellable risk factors (“ES models”) should provide the following information:</w:t>
            </w:r>
          </w:p>
        </w:tc>
      </w:tr>
      <w:tr w:rsidR="001553D5" w14:paraId="7EEA0504" w14:textId="77777777" w:rsidTr="00AD012F">
        <w:trPr>
          <w:trHeight w:val="318"/>
          <w:jc w:val="center"/>
        </w:trPr>
        <w:tc>
          <w:tcPr>
            <w:tcW w:w="650" w:type="dxa"/>
            <w:tcBorders>
              <w:top w:val="single" w:sz="4" w:space="0" w:color="auto"/>
              <w:left w:val="nil"/>
              <w:bottom w:val="single" w:sz="4" w:space="0" w:color="auto"/>
            </w:tcBorders>
            <w:noWrap/>
            <w:hideMark/>
          </w:tcPr>
          <w:p w14:paraId="78AB5463" w14:textId="77777777" w:rsidR="001553D5" w:rsidRDefault="001553D5" w:rsidP="00DB2ABD">
            <w:pPr>
              <w:widowControl w:val="0"/>
              <w:spacing w:before="40" w:after="40"/>
              <w:rPr>
                <w:sz w:val="17"/>
                <w:szCs w:val="17"/>
              </w:rPr>
            </w:pPr>
            <w:r>
              <w:rPr>
                <w:sz w:val="17"/>
                <w:szCs w:val="17"/>
              </w:rPr>
              <w:t>(a)</w:t>
            </w:r>
          </w:p>
        </w:tc>
        <w:tc>
          <w:tcPr>
            <w:tcW w:w="8671" w:type="dxa"/>
            <w:tcBorders>
              <w:top w:val="single" w:sz="4" w:space="0" w:color="auto"/>
              <w:bottom w:val="single" w:sz="4" w:space="0" w:color="auto"/>
              <w:right w:val="nil"/>
            </w:tcBorders>
            <w:noWrap/>
            <w:vAlign w:val="bottom"/>
            <w:hideMark/>
          </w:tcPr>
          <w:p w14:paraId="5FD163AE" w14:textId="77777777" w:rsidR="001553D5" w:rsidRDefault="001553D5" w:rsidP="00DB2ABD">
            <w:pPr>
              <w:pStyle w:val="Default"/>
              <w:jc w:val="both"/>
              <w:rPr>
                <w:sz w:val="17"/>
                <w:szCs w:val="17"/>
              </w:rPr>
            </w:pPr>
            <w:r>
              <w:rPr>
                <w:sz w:val="17"/>
                <w:szCs w:val="17"/>
              </w:rPr>
              <w:t xml:space="preserve">A description of trading desks covered by the ES models.  Where applicable, the AI should also describe the main trading desks not included in the calculation of market risk capital charge for modellable risk factors (due to lack of historical data or model constraints). </w:t>
            </w:r>
          </w:p>
        </w:tc>
      </w:tr>
      <w:tr w:rsidR="001553D5" w14:paraId="48CF70E3" w14:textId="77777777" w:rsidTr="00AD012F">
        <w:trPr>
          <w:trHeight w:val="318"/>
          <w:jc w:val="center"/>
        </w:trPr>
        <w:tc>
          <w:tcPr>
            <w:tcW w:w="650" w:type="dxa"/>
            <w:tcBorders>
              <w:top w:val="single" w:sz="4" w:space="0" w:color="auto"/>
              <w:left w:val="nil"/>
              <w:bottom w:val="single" w:sz="4" w:space="0" w:color="auto"/>
            </w:tcBorders>
            <w:noWrap/>
            <w:hideMark/>
          </w:tcPr>
          <w:p w14:paraId="72CF5F7D" w14:textId="77777777" w:rsidR="001553D5" w:rsidRDefault="001553D5" w:rsidP="00DB2ABD">
            <w:pPr>
              <w:widowControl w:val="0"/>
              <w:spacing w:before="40" w:after="40"/>
              <w:rPr>
                <w:sz w:val="17"/>
                <w:szCs w:val="17"/>
              </w:rPr>
            </w:pPr>
            <w:r>
              <w:rPr>
                <w:sz w:val="17"/>
                <w:szCs w:val="17"/>
              </w:rPr>
              <w:t>(b)</w:t>
            </w:r>
          </w:p>
        </w:tc>
        <w:tc>
          <w:tcPr>
            <w:tcW w:w="8671" w:type="dxa"/>
            <w:tcBorders>
              <w:top w:val="single" w:sz="4" w:space="0" w:color="auto"/>
              <w:bottom w:val="single" w:sz="4" w:space="0" w:color="auto"/>
              <w:right w:val="nil"/>
            </w:tcBorders>
            <w:noWrap/>
            <w:vAlign w:val="bottom"/>
            <w:hideMark/>
          </w:tcPr>
          <w:p w14:paraId="188F3420" w14:textId="41E481F3" w:rsidR="001553D5" w:rsidRDefault="001553D5" w:rsidP="00025C06">
            <w:pPr>
              <w:pStyle w:val="Default"/>
              <w:jc w:val="both"/>
              <w:rPr>
                <w:sz w:val="17"/>
                <w:szCs w:val="17"/>
              </w:rPr>
            </w:pPr>
            <w:r>
              <w:rPr>
                <w:sz w:val="17"/>
                <w:szCs w:val="17"/>
              </w:rPr>
              <w:t xml:space="preserve">The soundness criteria on which the internal capital adequacy assessment is based (e.g. forward-looking stress testing) and a description of the methodologies </w:t>
            </w:r>
            <w:r w:rsidRPr="00B91D91">
              <w:rPr>
                <w:sz w:val="17"/>
                <w:szCs w:val="17"/>
              </w:rPr>
              <w:t xml:space="preserve">used to achieve a capital adequacy assessment that is consistent with the soundness standards as set out in Schedule 3 </w:t>
            </w:r>
            <w:r w:rsidR="00025C06">
              <w:rPr>
                <w:sz w:val="17"/>
                <w:szCs w:val="17"/>
              </w:rPr>
              <w:t>to</w:t>
            </w:r>
            <w:r w:rsidRPr="00B91D91">
              <w:rPr>
                <w:sz w:val="17"/>
                <w:szCs w:val="17"/>
              </w:rPr>
              <w:t xml:space="preserve"> the BCR</w:t>
            </w:r>
            <w:r>
              <w:rPr>
                <w:sz w:val="17"/>
                <w:szCs w:val="17"/>
              </w:rPr>
              <w:t xml:space="preserve">. </w:t>
            </w:r>
          </w:p>
        </w:tc>
      </w:tr>
      <w:tr w:rsidR="001553D5" w14:paraId="0CEE206C" w14:textId="77777777" w:rsidTr="00AD012F">
        <w:trPr>
          <w:trHeight w:val="318"/>
          <w:jc w:val="center"/>
        </w:trPr>
        <w:tc>
          <w:tcPr>
            <w:tcW w:w="650" w:type="dxa"/>
            <w:tcBorders>
              <w:top w:val="single" w:sz="4" w:space="0" w:color="auto"/>
              <w:left w:val="nil"/>
              <w:bottom w:val="single" w:sz="4" w:space="0" w:color="auto"/>
            </w:tcBorders>
            <w:noWrap/>
            <w:hideMark/>
          </w:tcPr>
          <w:p w14:paraId="592A9652" w14:textId="77777777" w:rsidR="001553D5" w:rsidRDefault="001553D5" w:rsidP="00DB2ABD">
            <w:pPr>
              <w:widowControl w:val="0"/>
              <w:spacing w:before="40" w:after="40"/>
              <w:rPr>
                <w:sz w:val="17"/>
                <w:szCs w:val="17"/>
              </w:rPr>
            </w:pPr>
            <w:r>
              <w:rPr>
                <w:sz w:val="17"/>
                <w:szCs w:val="17"/>
              </w:rPr>
              <w:t>(c)</w:t>
            </w:r>
          </w:p>
        </w:tc>
        <w:tc>
          <w:tcPr>
            <w:tcW w:w="8671" w:type="dxa"/>
            <w:tcBorders>
              <w:top w:val="single" w:sz="4" w:space="0" w:color="auto"/>
              <w:bottom w:val="single" w:sz="4" w:space="0" w:color="auto"/>
              <w:right w:val="nil"/>
            </w:tcBorders>
            <w:noWrap/>
            <w:vAlign w:val="bottom"/>
            <w:hideMark/>
          </w:tcPr>
          <w:p w14:paraId="51D5AA2B" w14:textId="77777777" w:rsidR="001553D5" w:rsidRDefault="001553D5" w:rsidP="00DB2ABD">
            <w:pPr>
              <w:pStyle w:val="Default"/>
              <w:jc w:val="both"/>
              <w:rPr>
                <w:sz w:val="17"/>
                <w:szCs w:val="17"/>
              </w:rPr>
            </w:pPr>
            <w:r>
              <w:rPr>
                <w:sz w:val="17"/>
                <w:szCs w:val="17"/>
              </w:rPr>
              <w:t>A general description of the ES model(s).  For example, the AI may describe whether the model(s) is (are) based on historical simulation, Monte Carlo simulations or other appropriate analytical methods, and the stressed ES relevant period for stressed ES calculation.</w:t>
            </w:r>
          </w:p>
        </w:tc>
      </w:tr>
      <w:tr w:rsidR="001553D5" w14:paraId="7404F234" w14:textId="77777777" w:rsidTr="00AD012F">
        <w:trPr>
          <w:trHeight w:val="318"/>
          <w:jc w:val="center"/>
        </w:trPr>
        <w:tc>
          <w:tcPr>
            <w:tcW w:w="650" w:type="dxa"/>
            <w:tcBorders>
              <w:top w:val="single" w:sz="4" w:space="0" w:color="auto"/>
              <w:left w:val="nil"/>
              <w:bottom w:val="single" w:sz="4" w:space="0" w:color="auto"/>
            </w:tcBorders>
            <w:noWrap/>
            <w:hideMark/>
          </w:tcPr>
          <w:p w14:paraId="265E78D2" w14:textId="77777777" w:rsidR="001553D5" w:rsidRPr="00BC5922" w:rsidRDefault="001553D5" w:rsidP="00BC5922">
            <w:pPr>
              <w:pStyle w:val="Default"/>
              <w:jc w:val="both"/>
              <w:rPr>
                <w:sz w:val="17"/>
                <w:szCs w:val="17"/>
              </w:rPr>
            </w:pPr>
            <w:r w:rsidRPr="00BC5922">
              <w:rPr>
                <w:sz w:val="17"/>
                <w:szCs w:val="17"/>
              </w:rPr>
              <w:t>(d)</w:t>
            </w:r>
          </w:p>
        </w:tc>
        <w:tc>
          <w:tcPr>
            <w:tcW w:w="8671" w:type="dxa"/>
            <w:tcBorders>
              <w:top w:val="single" w:sz="4" w:space="0" w:color="auto"/>
              <w:bottom w:val="single" w:sz="4" w:space="0" w:color="auto"/>
              <w:right w:val="nil"/>
            </w:tcBorders>
            <w:noWrap/>
            <w:vAlign w:val="bottom"/>
            <w:hideMark/>
          </w:tcPr>
          <w:p w14:paraId="114DE2DD" w14:textId="77777777" w:rsidR="001553D5" w:rsidRDefault="001553D5" w:rsidP="00BC5922">
            <w:pPr>
              <w:pStyle w:val="Default"/>
              <w:jc w:val="both"/>
              <w:rPr>
                <w:sz w:val="17"/>
                <w:szCs w:val="17"/>
              </w:rPr>
            </w:pPr>
            <w:r>
              <w:rPr>
                <w:sz w:val="17"/>
                <w:szCs w:val="17"/>
              </w:rPr>
              <w:t xml:space="preserve">The frequency by which model data is updated. </w:t>
            </w:r>
          </w:p>
        </w:tc>
      </w:tr>
      <w:tr w:rsidR="001553D5" w14:paraId="03D21FED" w14:textId="77777777" w:rsidTr="00AD012F">
        <w:trPr>
          <w:trHeight w:val="318"/>
          <w:jc w:val="center"/>
        </w:trPr>
        <w:tc>
          <w:tcPr>
            <w:tcW w:w="650" w:type="dxa"/>
            <w:tcBorders>
              <w:top w:val="single" w:sz="4" w:space="0" w:color="auto"/>
              <w:left w:val="nil"/>
              <w:bottom w:val="single" w:sz="4" w:space="0" w:color="auto"/>
            </w:tcBorders>
            <w:noWrap/>
            <w:hideMark/>
          </w:tcPr>
          <w:p w14:paraId="7CCC9E63" w14:textId="77777777" w:rsidR="001553D5" w:rsidRDefault="001553D5" w:rsidP="00DB2ABD">
            <w:pPr>
              <w:pStyle w:val="TableText"/>
              <w:rPr>
                <w:lang w:eastAsia="fr-FR"/>
              </w:rPr>
            </w:pPr>
            <w:r>
              <w:rPr>
                <w:lang w:eastAsia="fr-FR"/>
              </w:rPr>
              <w:t>(e)</w:t>
            </w:r>
          </w:p>
        </w:tc>
        <w:tc>
          <w:tcPr>
            <w:tcW w:w="8671" w:type="dxa"/>
            <w:tcBorders>
              <w:top w:val="single" w:sz="4" w:space="0" w:color="auto"/>
              <w:bottom w:val="single" w:sz="4" w:space="0" w:color="auto"/>
              <w:right w:val="nil"/>
            </w:tcBorders>
            <w:noWrap/>
            <w:vAlign w:val="bottom"/>
            <w:hideMark/>
          </w:tcPr>
          <w:p w14:paraId="50E53293" w14:textId="77777777" w:rsidR="001553D5" w:rsidRDefault="001553D5" w:rsidP="00DB2ABD">
            <w:pPr>
              <w:pStyle w:val="Default"/>
              <w:jc w:val="both"/>
              <w:rPr>
                <w:sz w:val="17"/>
                <w:szCs w:val="17"/>
              </w:rPr>
            </w:pPr>
            <w:r>
              <w:rPr>
                <w:sz w:val="17"/>
                <w:szCs w:val="17"/>
              </w:rPr>
              <w:t xml:space="preserve">A description of the ES calculation based on current and stressed observations.  For example, the AI should describe the reduced set of modellable risk factors used to calibrate the period of stress, the share of the variations in the fully specified ES that is explained by the reduced set of modellable risk factors, and the observation period used to identify the stressed ES relevant period. </w:t>
            </w:r>
          </w:p>
        </w:tc>
      </w:tr>
    </w:tbl>
    <w:p w14:paraId="2F1F7781" w14:textId="77777777" w:rsidR="001553D5" w:rsidRDefault="001553D5" w:rsidP="001553D5"/>
    <w:tbl>
      <w:tblPr>
        <w:tblW w:w="9242" w:type="dxa"/>
        <w:jc w:val="center"/>
        <w:tblCellMar>
          <w:left w:w="70" w:type="dxa"/>
          <w:right w:w="70" w:type="dxa"/>
        </w:tblCellMar>
        <w:tblLook w:val="00A0" w:firstRow="1" w:lastRow="0" w:firstColumn="1" w:lastColumn="0" w:noHBand="0" w:noVBand="0"/>
      </w:tblPr>
      <w:tblGrid>
        <w:gridCol w:w="607"/>
        <w:gridCol w:w="8635"/>
      </w:tblGrid>
      <w:tr w:rsidR="001553D5" w14:paraId="3D7DA029" w14:textId="77777777" w:rsidTr="00AD012F">
        <w:trPr>
          <w:trHeight w:val="448"/>
          <w:jc w:val="center"/>
        </w:trPr>
        <w:tc>
          <w:tcPr>
            <w:tcW w:w="607" w:type="dxa"/>
            <w:tcBorders>
              <w:top w:val="single" w:sz="4" w:space="0" w:color="auto"/>
              <w:left w:val="nil"/>
              <w:bottom w:val="single" w:sz="4" w:space="0" w:color="auto"/>
              <w:right w:val="nil"/>
            </w:tcBorders>
            <w:shd w:val="clear" w:color="auto" w:fill="F2F2F2"/>
            <w:vAlign w:val="center"/>
            <w:hideMark/>
          </w:tcPr>
          <w:p w14:paraId="65385060" w14:textId="77777777" w:rsidR="001553D5" w:rsidRDefault="001553D5" w:rsidP="00DB2ABD">
            <w:pPr>
              <w:pStyle w:val="ListParagraph"/>
              <w:widowControl w:val="0"/>
              <w:tabs>
                <w:tab w:val="left" w:pos="540"/>
              </w:tabs>
              <w:spacing w:before="40" w:after="40"/>
              <w:ind w:leftChars="0" w:left="0"/>
              <w:jc w:val="both"/>
              <w:rPr>
                <w:sz w:val="17"/>
                <w:szCs w:val="17"/>
              </w:rPr>
            </w:pPr>
            <w:r>
              <w:rPr>
                <w:sz w:val="17"/>
                <w:szCs w:val="17"/>
              </w:rPr>
              <w:t>(III)</w:t>
            </w:r>
          </w:p>
        </w:tc>
        <w:tc>
          <w:tcPr>
            <w:tcW w:w="8635" w:type="dxa"/>
            <w:tcBorders>
              <w:top w:val="single" w:sz="4" w:space="0" w:color="auto"/>
              <w:left w:val="nil"/>
              <w:bottom w:val="single" w:sz="4" w:space="0" w:color="auto"/>
              <w:right w:val="nil"/>
            </w:tcBorders>
            <w:shd w:val="clear" w:color="auto" w:fill="F2F2F2"/>
            <w:vAlign w:val="center"/>
            <w:hideMark/>
          </w:tcPr>
          <w:p w14:paraId="3C705BC6" w14:textId="77777777" w:rsidR="001553D5" w:rsidRDefault="001553D5" w:rsidP="00DB2ABD">
            <w:pPr>
              <w:pStyle w:val="ListParagraph"/>
              <w:widowControl w:val="0"/>
              <w:tabs>
                <w:tab w:val="left" w:pos="540"/>
              </w:tabs>
              <w:spacing w:before="40" w:after="40"/>
              <w:ind w:leftChars="0" w:left="0"/>
              <w:jc w:val="both"/>
              <w:rPr>
                <w:sz w:val="17"/>
                <w:szCs w:val="17"/>
              </w:rPr>
            </w:pPr>
            <w:r>
              <w:rPr>
                <w:sz w:val="17"/>
                <w:szCs w:val="17"/>
                <w:lang w:eastAsia="fr-FR"/>
              </w:rPr>
              <w:t>An AI using internal models to determine the market risk charges for NMRFs</w:t>
            </w:r>
            <w:r>
              <w:rPr>
                <w:sz w:val="17"/>
                <w:szCs w:val="17"/>
              </w:rPr>
              <w:t xml:space="preserve"> must provide the following information:</w:t>
            </w:r>
          </w:p>
        </w:tc>
      </w:tr>
      <w:tr w:rsidR="001553D5" w14:paraId="7589AA44" w14:textId="77777777" w:rsidTr="00AD012F">
        <w:trPr>
          <w:trHeight w:val="318"/>
          <w:jc w:val="center"/>
        </w:trPr>
        <w:tc>
          <w:tcPr>
            <w:tcW w:w="607" w:type="dxa"/>
            <w:tcBorders>
              <w:top w:val="single" w:sz="4" w:space="0" w:color="auto"/>
              <w:left w:val="nil"/>
              <w:bottom w:val="single" w:sz="4" w:space="0" w:color="auto"/>
            </w:tcBorders>
            <w:noWrap/>
            <w:hideMark/>
          </w:tcPr>
          <w:p w14:paraId="17760795" w14:textId="77777777" w:rsidR="001553D5" w:rsidRDefault="001553D5" w:rsidP="00DB2ABD">
            <w:pPr>
              <w:widowControl w:val="0"/>
              <w:spacing w:before="40" w:after="40"/>
              <w:rPr>
                <w:sz w:val="17"/>
                <w:szCs w:val="17"/>
              </w:rPr>
            </w:pPr>
            <w:r>
              <w:rPr>
                <w:sz w:val="17"/>
                <w:szCs w:val="17"/>
              </w:rPr>
              <w:t>(a)</w:t>
            </w:r>
          </w:p>
        </w:tc>
        <w:tc>
          <w:tcPr>
            <w:tcW w:w="8635" w:type="dxa"/>
            <w:tcBorders>
              <w:top w:val="single" w:sz="4" w:space="0" w:color="auto"/>
              <w:bottom w:val="single" w:sz="4" w:space="0" w:color="auto"/>
              <w:right w:val="nil"/>
            </w:tcBorders>
            <w:noWrap/>
            <w:vAlign w:val="center"/>
            <w:hideMark/>
          </w:tcPr>
          <w:p w14:paraId="260DABEF" w14:textId="6B973012" w:rsidR="001553D5" w:rsidRDefault="001553D5" w:rsidP="00025C06">
            <w:pPr>
              <w:pStyle w:val="TableText"/>
              <w:jc w:val="both"/>
              <w:rPr>
                <w:lang w:eastAsia="fr-FR"/>
              </w:rPr>
            </w:pPr>
            <w:r>
              <w:rPr>
                <w:lang w:eastAsia="fr-FR"/>
              </w:rPr>
              <w:t xml:space="preserve">A general description of each methodology used to achieve a capital assessment for categories of NMRFs that is consistent with the required soundness standard as set out in </w:t>
            </w:r>
            <w:r w:rsidRPr="00B91D91">
              <w:rPr>
                <w:lang w:eastAsia="fr-FR"/>
              </w:rPr>
              <w:t xml:space="preserve">Schedule 3 </w:t>
            </w:r>
            <w:r w:rsidR="00025C06">
              <w:rPr>
                <w:lang w:eastAsia="fr-FR"/>
              </w:rPr>
              <w:t>to</w:t>
            </w:r>
            <w:r w:rsidRPr="00B91D91">
              <w:rPr>
                <w:lang w:eastAsia="fr-FR"/>
              </w:rPr>
              <w:t xml:space="preserve"> the</w:t>
            </w:r>
            <w:r>
              <w:rPr>
                <w:lang w:eastAsia="fr-FR"/>
              </w:rPr>
              <w:t xml:space="preserve"> BCR.</w:t>
            </w:r>
          </w:p>
        </w:tc>
      </w:tr>
    </w:tbl>
    <w:p w14:paraId="3D55E69E" w14:textId="77777777" w:rsidR="001553D5" w:rsidRDefault="001553D5" w:rsidP="001553D5"/>
    <w:tbl>
      <w:tblPr>
        <w:tblW w:w="9242" w:type="dxa"/>
        <w:jc w:val="center"/>
        <w:tblCellMar>
          <w:left w:w="70" w:type="dxa"/>
          <w:right w:w="70" w:type="dxa"/>
        </w:tblCellMar>
        <w:tblLook w:val="00A0" w:firstRow="1" w:lastRow="0" w:firstColumn="1" w:lastColumn="0" w:noHBand="0" w:noVBand="0"/>
      </w:tblPr>
      <w:tblGrid>
        <w:gridCol w:w="610"/>
        <w:gridCol w:w="8632"/>
      </w:tblGrid>
      <w:tr w:rsidR="001553D5" w14:paraId="153B42C5" w14:textId="77777777" w:rsidTr="00AD012F">
        <w:trPr>
          <w:trHeight w:val="448"/>
          <w:jc w:val="center"/>
        </w:trPr>
        <w:tc>
          <w:tcPr>
            <w:tcW w:w="607" w:type="dxa"/>
            <w:tcBorders>
              <w:top w:val="single" w:sz="4" w:space="0" w:color="auto"/>
              <w:left w:val="nil"/>
              <w:bottom w:val="single" w:sz="4" w:space="0" w:color="auto"/>
              <w:right w:val="nil"/>
            </w:tcBorders>
            <w:shd w:val="clear" w:color="auto" w:fill="F2F2F2"/>
            <w:vAlign w:val="center"/>
            <w:hideMark/>
          </w:tcPr>
          <w:p w14:paraId="237D153D" w14:textId="77777777" w:rsidR="001553D5" w:rsidRDefault="001553D5" w:rsidP="00DB2ABD">
            <w:pPr>
              <w:pStyle w:val="ListParagraph"/>
              <w:widowControl w:val="0"/>
              <w:tabs>
                <w:tab w:val="left" w:pos="540"/>
              </w:tabs>
              <w:spacing w:before="40" w:after="40"/>
              <w:ind w:leftChars="0" w:left="0"/>
              <w:jc w:val="both"/>
              <w:rPr>
                <w:sz w:val="17"/>
                <w:szCs w:val="17"/>
              </w:rPr>
            </w:pPr>
            <w:r>
              <w:rPr>
                <w:sz w:val="17"/>
                <w:szCs w:val="17"/>
              </w:rPr>
              <w:t>(IV)</w:t>
            </w:r>
          </w:p>
        </w:tc>
        <w:tc>
          <w:tcPr>
            <w:tcW w:w="8635" w:type="dxa"/>
            <w:tcBorders>
              <w:top w:val="single" w:sz="4" w:space="0" w:color="auto"/>
              <w:left w:val="nil"/>
              <w:bottom w:val="single" w:sz="4" w:space="0" w:color="auto"/>
              <w:right w:val="nil"/>
            </w:tcBorders>
            <w:shd w:val="clear" w:color="auto" w:fill="F2F2F2"/>
            <w:vAlign w:val="center"/>
            <w:hideMark/>
          </w:tcPr>
          <w:p w14:paraId="10A496D6" w14:textId="77777777" w:rsidR="001553D5" w:rsidRDefault="001553D5" w:rsidP="00DB2ABD">
            <w:pPr>
              <w:pStyle w:val="ListParagraph"/>
              <w:widowControl w:val="0"/>
              <w:tabs>
                <w:tab w:val="left" w:pos="540"/>
              </w:tabs>
              <w:spacing w:before="40" w:after="40"/>
              <w:ind w:leftChars="0" w:left="0"/>
              <w:jc w:val="both"/>
              <w:rPr>
                <w:sz w:val="17"/>
                <w:szCs w:val="17"/>
              </w:rPr>
            </w:pPr>
            <w:r>
              <w:rPr>
                <w:sz w:val="17"/>
                <w:szCs w:val="17"/>
              </w:rPr>
              <w:t>An AI using internal models to determine the default risk charge must provide the following information:</w:t>
            </w:r>
          </w:p>
        </w:tc>
      </w:tr>
      <w:tr w:rsidR="001553D5" w14:paraId="00376A7B" w14:textId="77777777" w:rsidTr="00AD012F">
        <w:trPr>
          <w:trHeight w:val="318"/>
          <w:jc w:val="center"/>
        </w:trPr>
        <w:tc>
          <w:tcPr>
            <w:tcW w:w="610" w:type="dxa"/>
            <w:tcBorders>
              <w:top w:val="single" w:sz="4" w:space="0" w:color="auto"/>
              <w:left w:val="nil"/>
              <w:bottom w:val="single" w:sz="4" w:space="0" w:color="auto"/>
            </w:tcBorders>
            <w:noWrap/>
            <w:hideMark/>
          </w:tcPr>
          <w:p w14:paraId="1D7D4DCB" w14:textId="77777777" w:rsidR="001553D5" w:rsidRDefault="001553D5" w:rsidP="00DB2ABD">
            <w:pPr>
              <w:widowControl w:val="0"/>
              <w:spacing w:before="40" w:after="40"/>
              <w:rPr>
                <w:sz w:val="17"/>
                <w:szCs w:val="17"/>
              </w:rPr>
            </w:pPr>
            <w:r>
              <w:rPr>
                <w:sz w:val="17"/>
                <w:szCs w:val="17"/>
              </w:rPr>
              <w:t>(a)</w:t>
            </w:r>
          </w:p>
        </w:tc>
        <w:tc>
          <w:tcPr>
            <w:tcW w:w="8632" w:type="dxa"/>
            <w:tcBorders>
              <w:top w:val="single" w:sz="4" w:space="0" w:color="auto"/>
              <w:bottom w:val="single" w:sz="4" w:space="0" w:color="auto"/>
              <w:right w:val="nil"/>
            </w:tcBorders>
            <w:noWrap/>
            <w:vAlign w:val="center"/>
            <w:hideMark/>
          </w:tcPr>
          <w:p w14:paraId="6B1E307F" w14:textId="77777777" w:rsidR="001553D5" w:rsidRDefault="001553D5" w:rsidP="00DB2ABD">
            <w:pPr>
              <w:pStyle w:val="TableText"/>
              <w:jc w:val="both"/>
              <w:rPr>
                <w:lang w:eastAsia="fr-FR"/>
              </w:rPr>
            </w:pPr>
            <w:r>
              <w:rPr>
                <w:lang w:eastAsia="fr-FR"/>
              </w:rPr>
              <w:t xml:space="preserve">A general description of the methodology, including information about the characteristics and scope of the VAR and whether different models are used for different exposure classes.  For example, the AI may describe the range of probability of default (“PD”) by obligors on the different types of positions, the approaches used to correct market-implied PDs as applicable, the treatment of netting, basis risk between long and short exposures of different obligors, mismatch between a position and its hedge and concentrations that can arise within and across product classes during stressed conditions. </w:t>
            </w:r>
          </w:p>
        </w:tc>
      </w:tr>
      <w:tr w:rsidR="001553D5" w14:paraId="6B6279F4" w14:textId="77777777" w:rsidTr="00AD012F">
        <w:trPr>
          <w:trHeight w:val="318"/>
          <w:jc w:val="center"/>
        </w:trPr>
        <w:tc>
          <w:tcPr>
            <w:tcW w:w="610" w:type="dxa"/>
            <w:tcBorders>
              <w:top w:val="single" w:sz="4" w:space="0" w:color="auto"/>
              <w:left w:val="nil"/>
              <w:bottom w:val="single" w:sz="4" w:space="0" w:color="auto"/>
            </w:tcBorders>
            <w:noWrap/>
            <w:hideMark/>
          </w:tcPr>
          <w:p w14:paraId="68FCAB5A" w14:textId="77777777" w:rsidR="001553D5" w:rsidRDefault="001553D5" w:rsidP="00DB2ABD">
            <w:pPr>
              <w:widowControl w:val="0"/>
              <w:spacing w:before="40" w:after="40"/>
              <w:rPr>
                <w:sz w:val="17"/>
                <w:szCs w:val="17"/>
              </w:rPr>
            </w:pPr>
            <w:r>
              <w:rPr>
                <w:sz w:val="17"/>
                <w:szCs w:val="17"/>
              </w:rPr>
              <w:t>(b)</w:t>
            </w:r>
          </w:p>
        </w:tc>
        <w:tc>
          <w:tcPr>
            <w:tcW w:w="8632" w:type="dxa"/>
            <w:tcBorders>
              <w:top w:val="single" w:sz="4" w:space="0" w:color="auto"/>
              <w:bottom w:val="single" w:sz="4" w:space="0" w:color="auto"/>
              <w:right w:val="nil"/>
            </w:tcBorders>
            <w:noWrap/>
            <w:vAlign w:val="center"/>
            <w:hideMark/>
          </w:tcPr>
          <w:p w14:paraId="40467E27" w14:textId="7806BD79" w:rsidR="001553D5" w:rsidRDefault="001553D5" w:rsidP="00025C06">
            <w:pPr>
              <w:pStyle w:val="Default"/>
              <w:jc w:val="both"/>
              <w:rPr>
                <w:sz w:val="17"/>
                <w:szCs w:val="17"/>
              </w:rPr>
            </w:pPr>
            <w:r>
              <w:rPr>
                <w:sz w:val="17"/>
                <w:szCs w:val="17"/>
              </w:rPr>
              <w:t xml:space="preserve">The methodology used to achieve a capital assessment that is consistent with both the required soundness standard </w:t>
            </w:r>
            <w:r w:rsidRPr="00FE7F7D">
              <w:rPr>
                <w:sz w:val="17"/>
                <w:szCs w:val="17"/>
              </w:rPr>
              <w:t xml:space="preserve">as set out in </w:t>
            </w:r>
            <w:r w:rsidRPr="00B91D91">
              <w:rPr>
                <w:sz w:val="17"/>
                <w:szCs w:val="17"/>
              </w:rPr>
              <w:t xml:space="preserve">Schedule 3 </w:t>
            </w:r>
            <w:r w:rsidR="00025C06">
              <w:rPr>
                <w:sz w:val="17"/>
                <w:szCs w:val="17"/>
              </w:rPr>
              <w:t>to</w:t>
            </w:r>
            <w:r w:rsidRPr="00B91D91">
              <w:rPr>
                <w:sz w:val="17"/>
                <w:szCs w:val="17"/>
              </w:rPr>
              <w:t xml:space="preserve"> the</w:t>
            </w:r>
            <w:r w:rsidRPr="00FE7F7D">
              <w:rPr>
                <w:sz w:val="17"/>
                <w:szCs w:val="17"/>
              </w:rPr>
              <w:t xml:space="preserve"> BCR</w:t>
            </w:r>
            <w:r>
              <w:rPr>
                <w:sz w:val="17"/>
                <w:szCs w:val="17"/>
              </w:rPr>
              <w:t>.</w:t>
            </w:r>
          </w:p>
        </w:tc>
      </w:tr>
    </w:tbl>
    <w:p w14:paraId="3BED7309" w14:textId="77777777" w:rsidR="001553D5" w:rsidRDefault="001553D5" w:rsidP="001553D5"/>
    <w:tbl>
      <w:tblPr>
        <w:tblW w:w="9242" w:type="dxa"/>
        <w:jc w:val="center"/>
        <w:tblCellMar>
          <w:left w:w="70" w:type="dxa"/>
          <w:right w:w="70" w:type="dxa"/>
        </w:tblCellMar>
        <w:tblLook w:val="00A0" w:firstRow="1" w:lastRow="0" w:firstColumn="1" w:lastColumn="0" w:noHBand="0" w:noVBand="0"/>
      </w:tblPr>
      <w:tblGrid>
        <w:gridCol w:w="610"/>
        <w:gridCol w:w="8632"/>
      </w:tblGrid>
      <w:tr w:rsidR="001553D5" w14:paraId="4796F5ED" w14:textId="77777777" w:rsidTr="00DC69BE">
        <w:trPr>
          <w:trHeight w:val="448"/>
          <w:jc w:val="center"/>
        </w:trPr>
        <w:tc>
          <w:tcPr>
            <w:tcW w:w="610" w:type="dxa"/>
            <w:tcBorders>
              <w:top w:val="single" w:sz="4" w:space="0" w:color="auto"/>
              <w:left w:val="nil"/>
              <w:bottom w:val="single" w:sz="4" w:space="0" w:color="auto"/>
              <w:right w:val="nil"/>
            </w:tcBorders>
            <w:shd w:val="clear" w:color="auto" w:fill="F2F2F2"/>
            <w:vAlign w:val="center"/>
            <w:hideMark/>
          </w:tcPr>
          <w:p w14:paraId="1F63019B" w14:textId="77777777" w:rsidR="001553D5" w:rsidRDefault="001553D5" w:rsidP="00DB2ABD">
            <w:pPr>
              <w:pStyle w:val="ListParagraph"/>
              <w:widowControl w:val="0"/>
              <w:tabs>
                <w:tab w:val="left" w:pos="540"/>
              </w:tabs>
              <w:spacing w:before="40" w:after="40"/>
              <w:ind w:leftChars="0" w:left="0"/>
              <w:jc w:val="both"/>
              <w:rPr>
                <w:sz w:val="17"/>
                <w:szCs w:val="17"/>
              </w:rPr>
            </w:pPr>
            <w:r>
              <w:rPr>
                <w:sz w:val="17"/>
                <w:szCs w:val="17"/>
              </w:rPr>
              <w:t>(V)</w:t>
            </w:r>
          </w:p>
        </w:tc>
        <w:tc>
          <w:tcPr>
            <w:tcW w:w="8632" w:type="dxa"/>
            <w:tcBorders>
              <w:top w:val="single" w:sz="4" w:space="0" w:color="auto"/>
              <w:left w:val="nil"/>
              <w:bottom w:val="single" w:sz="4" w:space="0" w:color="auto"/>
              <w:right w:val="nil"/>
            </w:tcBorders>
            <w:shd w:val="clear" w:color="auto" w:fill="F2F2F2"/>
            <w:vAlign w:val="center"/>
            <w:hideMark/>
          </w:tcPr>
          <w:p w14:paraId="344148EA" w14:textId="134059A8" w:rsidR="001553D5" w:rsidRDefault="001553D5" w:rsidP="00DB2ABD">
            <w:pPr>
              <w:pStyle w:val="ListParagraph"/>
              <w:widowControl w:val="0"/>
              <w:tabs>
                <w:tab w:val="left" w:pos="540"/>
              </w:tabs>
              <w:spacing w:before="40" w:after="40"/>
              <w:ind w:leftChars="0" w:left="0"/>
              <w:jc w:val="both"/>
              <w:rPr>
                <w:sz w:val="17"/>
                <w:szCs w:val="17"/>
              </w:rPr>
            </w:pPr>
            <w:r>
              <w:rPr>
                <w:sz w:val="17"/>
                <w:szCs w:val="17"/>
              </w:rPr>
              <w:t>Validation of models and modelling processes</w:t>
            </w:r>
            <w:r w:rsidR="00D62B1D">
              <w:rPr>
                <w:sz w:val="17"/>
                <w:szCs w:val="17"/>
              </w:rPr>
              <w:t>:</w:t>
            </w:r>
          </w:p>
        </w:tc>
      </w:tr>
      <w:tr w:rsidR="001553D5" w14:paraId="7EA43391" w14:textId="77777777" w:rsidTr="00AD012F">
        <w:trPr>
          <w:trHeight w:val="318"/>
          <w:jc w:val="center"/>
        </w:trPr>
        <w:tc>
          <w:tcPr>
            <w:tcW w:w="610" w:type="dxa"/>
            <w:tcBorders>
              <w:top w:val="single" w:sz="4" w:space="0" w:color="auto"/>
              <w:left w:val="nil"/>
              <w:bottom w:val="single" w:sz="4" w:space="0" w:color="auto"/>
            </w:tcBorders>
            <w:noWrap/>
            <w:hideMark/>
          </w:tcPr>
          <w:p w14:paraId="0565526D" w14:textId="77777777" w:rsidR="001553D5" w:rsidRDefault="001553D5" w:rsidP="00DB2ABD">
            <w:pPr>
              <w:widowControl w:val="0"/>
              <w:spacing w:before="40" w:after="40"/>
              <w:rPr>
                <w:sz w:val="17"/>
                <w:szCs w:val="17"/>
              </w:rPr>
            </w:pPr>
            <w:r>
              <w:rPr>
                <w:sz w:val="17"/>
                <w:szCs w:val="17"/>
              </w:rPr>
              <w:t>(a)</w:t>
            </w:r>
          </w:p>
        </w:tc>
        <w:tc>
          <w:tcPr>
            <w:tcW w:w="8632" w:type="dxa"/>
            <w:tcBorders>
              <w:top w:val="single" w:sz="4" w:space="0" w:color="auto"/>
              <w:bottom w:val="single" w:sz="4" w:space="0" w:color="auto"/>
              <w:right w:val="nil"/>
            </w:tcBorders>
            <w:noWrap/>
            <w:vAlign w:val="center"/>
            <w:hideMark/>
          </w:tcPr>
          <w:p w14:paraId="1B17E476" w14:textId="77777777" w:rsidR="001553D5" w:rsidRDefault="001553D5" w:rsidP="00DB2ABD">
            <w:pPr>
              <w:pStyle w:val="TableText"/>
              <w:jc w:val="both"/>
              <w:rPr>
                <w:lang w:eastAsia="fr-FR"/>
              </w:rPr>
            </w:pPr>
            <w:r>
              <w:rPr>
                <w:lang w:eastAsia="fr-FR"/>
              </w:rPr>
              <w:t xml:space="preserve">The approaches used in the validation of the models and modelling processes, describing general approaches used and the types of assumptions and benchmarks on which they rely. </w:t>
            </w:r>
          </w:p>
        </w:tc>
      </w:tr>
    </w:tbl>
    <w:p w14:paraId="7C5B446C" w14:textId="77777777" w:rsidR="001553D5" w:rsidRDefault="001553D5" w:rsidP="001553D5"/>
    <w:p w14:paraId="545CE216" w14:textId="77777777" w:rsidR="001553D5" w:rsidRDefault="001553D5" w:rsidP="001553D5"/>
    <w:p w14:paraId="5C52FAC4" w14:textId="77777777" w:rsidR="001553D5" w:rsidRPr="0098236D" w:rsidRDefault="001553D5" w:rsidP="0098236D">
      <w:pPr>
        <w:rPr>
          <w:sz w:val="22"/>
        </w:rPr>
        <w:sectPr w:rsidR="001553D5" w:rsidRPr="0098236D" w:rsidSect="0098236D">
          <w:footerReference w:type="default" r:id="rId79"/>
          <w:pgSz w:w="11906" w:h="16838"/>
          <w:pgMar w:top="1440" w:right="1797" w:bottom="1440" w:left="1797" w:header="851" w:footer="737" w:gutter="0"/>
          <w:cols w:space="720"/>
          <w:docGrid w:type="lines" w:linePitch="360"/>
        </w:sectPr>
      </w:pPr>
    </w:p>
    <w:p w14:paraId="5441DF3E" w14:textId="35FF1957" w:rsidR="0098236D" w:rsidRDefault="0098236D" w:rsidP="0098236D">
      <w:pPr>
        <w:pStyle w:val="Heading2"/>
        <w:rPr>
          <w:rFonts w:eastAsia="新細明體"/>
          <w:szCs w:val="24"/>
        </w:rPr>
      </w:pPr>
      <w:r w:rsidRPr="0098236D">
        <w:rPr>
          <w:rFonts w:eastAsia="新細明體"/>
          <w:szCs w:val="24"/>
        </w:rPr>
        <w:lastRenderedPageBreak/>
        <w:t>Template MR2: Market risk under IMA</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F920A7" w14:paraId="5F421243" w14:textId="77777777" w:rsidTr="00DB2ABD">
        <w:tc>
          <w:tcPr>
            <w:tcW w:w="2008" w:type="dxa"/>
            <w:tcBorders>
              <w:top w:val="single" w:sz="4" w:space="0" w:color="auto"/>
              <w:left w:val="nil"/>
              <w:bottom w:val="single" w:sz="4" w:space="0" w:color="auto"/>
              <w:right w:val="single" w:sz="4" w:space="0" w:color="auto"/>
            </w:tcBorders>
            <w:hideMark/>
          </w:tcPr>
          <w:p w14:paraId="6B653EFE" w14:textId="77777777" w:rsidR="00F920A7" w:rsidRDefault="00F920A7" w:rsidP="00DB2ABD">
            <w:pPr>
              <w:spacing w:before="40" w:after="40"/>
              <w:rPr>
                <w:noProof/>
                <w:sz w:val="17"/>
                <w:lang w:eastAsia="en-GB"/>
              </w:rPr>
            </w:pPr>
            <w:r>
              <w:rPr>
                <w:b/>
                <w:sz w:val="17"/>
                <w:lang w:eastAsia="en-GB"/>
              </w:rPr>
              <w:t>Purpose:</w:t>
            </w:r>
            <w:r>
              <w:rPr>
                <w:sz w:val="17"/>
                <w:lang w:eastAsia="en-GB"/>
              </w:rPr>
              <w:t xml:space="preserve"> </w:t>
            </w:r>
          </w:p>
        </w:tc>
        <w:tc>
          <w:tcPr>
            <w:tcW w:w="7234" w:type="dxa"/>
            <w:tcBorders>
              <w:top w:val="single" w:sz="4" w:space="0" w:color="auto"/>
              <w:left w:val="single" w:sz="4" w:space="0" w:color="auto"/>
              <w:bottom w:val="single" w:sz="4" w:space="0" w:color="auto"/>
              <w:right w:val="nil"/>
            </w:tcBorders>
            <w:hideMark/>
          </w:tcPr>
          <w:p w14:paraId="262E74C3" w14:textId="77777777" w:rsidR="00F920A7" w:rsidRDefault="00F920A7" w:rsidP="00DB2ABD">
            <w:pPr>
              <w:pStyle w:val="TableText"/>
              <w:jc w:val="both"/>
              <w:rPr>
                <w:lang w:eastAsia="en-GB"/>
              </w:rPr>
            </w:pPr>
            <w:r>
              <w:rPr>
                <w:lang w:eastAsia="en-GB"/>
              </w:rPr>
              <w:t>To provide the components of the market risk capital charge calculated using the IMA for market risk</w:t>
            </w:r>
          </w:p>
        </w:tc>
      </w:tr>
      <w:tr w:rsidR="00F920A7" w14:paraId="63B9FA74" w14:textId="77777777" w:rsidTr="00DB2ABD">
        <w:tc>
          <w:tcPr>
            <w:tcW w:w="2008" w:type="dxa"/>
            <w:tcBorders>
              <w:top w:val="single" w:sz="4" w:space="0" w:color="auto"/>
              <w:left w:val="nil"/>
              <w:bottom w:val="single" w:sz="4" w:space="0" w:color="auto"/>
              <w:right w:val="single" w:sz="4" w:space="0" w:color="auto"/>
            </w:tcBorders>
            <w:hideMark/>
          </w:tcPr>
          <w:p w14:paraId="04C381BD" w14:textId="77777777" w:rsidR="00F920A7" w:rsidRDefault="00F920A7" w:rsidP="00DB2ABD">
            <w:pPr>
              <w:spacing w:before="40" w:after="40"/>
              <w:rPr>
                <w:b/>
                <w:sz w:val="17"/>
                <w:lang w:eastAsia="en-GB"/>
              </w:rPr>
            </w:pPr>
            <w:r>
              <w:rPr>
                <w:b/>
                <w:sz w:val="17"/>
                <w:lang w:eastAsia="en-GB"/>
              </w:rPr>
              <w:t xml:space="preserve">Scope of application: </w:t>
            </w:r>
          </w:p>
        </w:tc>
        <w:tc>
          <w:tcPr>
            <w:tcW w:w="7234" w:type="dxa"/>
            <w:tcBorders>
              <w:top w:val="single" w:sz="4" w:space="0" w:color="auto"/>
              <w:left w:val="single" w:sz="4" w:space="0" w:color="auto"/>
              <w:bottom w:val="single" w:sz="4" w:space="0" w:color="auto"/>
              <w:right w:val="nil"/>
            </w:tcBorders>
            <w:hideMark/>
          </w:tcPr>
          <w:p w14:paraId="5B54EAA1" w14:textId="77777777" w:rsidR="00F920A7" w:rsidRDefault="00F920A7" w:rsidP="00DB2ABD">
            <w:pPr>
              <w:pStyle w:val="Default"/>
              <w:jc w:val="both"/>
              <w:rPr>
                <w:sz w:val="17"/>
                <w:szCs w:val="17"/>
              </w:rPr>
            </w:pPr>
            <w:r>
              <w:rPr>
                <w:sz w:val="17"/>
                <w:szCs w:val="17"/>
              </w:rPr>
              <w:t xml:space="preserve">The template is mandatory for AIs incorporated in Hong Kong that use the IMA for calculating all or part of their market risk capital charge. </w:t>
            </w:r>
          </w:p>
        </w:tc>
      </w:tr>
      <w:tr w:rsidR="00F920A7" w14:paraId="2CB8F42C" w14:textId="77777777" w:rsidTr="00DB2ABD">
        <w:tc>
          <w:tcPr>
            <w:tcW w:w="2008" w:type="dxa"/>
            <w:tcBorders>
              <w:top w:val="single" w:sz="4" w:space="0" w:color="auto"/>
              <w:left w:val="nil"/>
              <w:bottom w:val="single" w:sz="4" w:space="0" w:color="auto"/>
              <w:right w:val="single" w:sz="4" w:space="0" w:color="auto"/>
            </w:tcBorders>
            <w:hideMark/>
          </w:tcPr>
          <w:p w14:paraId="70CA176B" w14:textId="77777777" w:rsidR="00F920A7" w:rsidRDefault="00F920A7" w:rsidP="00DB2ABD">
            <w:pPr>
              <w:spacing w:before="40" w:after="40"/>
              <w:rPr>
                <w:b/>
                <w:sz w:val="17"/>
                <w:lang w:eastAsia="en-GB"/>
              </w:rPr>
            </w:pPr>
            <w:r>
              <w:rPr>
                <w:b/>
                <w:sz w:val="17"/>
                <w:lang w:eastAsia="en-GB"/>
              </w:rPr>
              <w:t xml:space="preserve">Content: </w:t>
            </w:r>
          </w:p>
        </w:tc>
        <w:tc>
          <w:tcPr>
            <w:tcW w:w="7234" w:type="dxa"/>
            <w:tcBorders>
              <w:top w:val="single" w:sz="4" w:space="0" w:color="auto"/>
              <w:left w:val="single" w:sz="4" w:space="0" w:color="auto"/>
              <w:bottom w:val="single" w:sz="4" w:space="0" w:color="auto"/>
              <w:right w:val="nil"/>
            </w:tcBorders>
            <w:hideMark/>
          </w:tcPr>
          <w:p w14:paraId="13F15790" w14:textId="77777777" w:rsidR="00F920A7" w:rsidRDefault="00F920A7" w:rsidP="00DB2ABD">
            <w:pPr>
              <w:pStyle w:val="Default"/>
              <w:jc w:val="both"/>
              <w:rPr>
                <w:sz w:val="17"/>
                <w:szCs w:val="17"/>
              </w:rPr>
            </w:pPr>
            <w:r>
              <w:rPr>
                <w:sz w:val="17"/>
                <w:szCs w:val="17"/>
              </w:rPr>
              <w:t xml:space="preserve">Components for calculating market risk capital charge at the group-wide level (according to the scope of regulatory consolidation). </w:t>
            </w:r>
          </w:p>
        </w:tc>
      </w:tr>
      <w:tr w:rsidR="00F920A7" w14:paraId="089E2897" w14:textId="77777777" w:rsidTr="00DB2ABD">
        <w:tc>
          <w:tcPr>
            <w:tcW w:w="2008" w:type="dxa"/>
            <w:tcBorders>
              <w:top w:val="single" w:sz="4" w:space="0" w:color="auto"/>
              <w:left w:val="nil"/>
              <w:bottom w:val="single" w:sz="4" w:space="0" w:color="auto"/>
              <w:right w:val="single" w:sz="4" w:space="0" w:color="auto"/>
            </w:tcBorders>
            <w:hideMark/>
          </w:tcPr>
          <w:p w14:paraId="4E7C130D" w14:textId="77777777" w:rsidR="00F920A7" w:rsidRDefault="00F920A7" w:rsidP="00DB2ABD">
            <w:pPr>
              <w:spacing w:before="40" w:after="40"/>
              <w:rPr>
                <w:sz w:val="17"/>
                <w:lang w:eastAsia="en-GB"/>
              </w:rPr>
            </w:pPr>
            <w:r>
              <w:rPr>
                <w:b/>
                <w:sz w:val="17"/>
                <w:lang w:eastAsia="en-GB"/>
              </w:rPr>
              <w:t>Frequency:</w:t>
            </w:r>
            <w:r>
              <w:rPr>
                <w:sz w:val="17"/>
                <w:lang w:eastAsia="en-GB"/>
              </w:rPr>
              <w:t xml:space="preserve"> </w:t>
            </w:r>
          </w:p>
        </w:tc>
        <w:tc>
          <w:tcPr>
            <w:tcW w:w="7234" w:type="dxa"/>
            <w:tcBorders>
              <w:top w:val="single" w:sz="4" w:space="0" w:color="auto"/>
              <w:left w:val="single" w:sz="4" w:space="0" w:color="auto"/>
              <w:bottom w:val="single" w:sz="4" w:space="0" w:color="auto"/>
              <w:right w:val="nil"/>
            </w:tcBorders>
            <w:hideMark/>
          </w:tcPr>
          <w:p w14:paraId="08F3B61D" w14:textId="77777777" w:rsidR="00F920A7" w:rsidRDefault="00F920A7" w:rsidP="00DB2ABD">
            <w:pPr>
              <w:pStyle w:val="TableText"/>
              <w:jc w:val="both"/>
              <w:rPr>
                <w:lang w:eastAsia="en-GB"/>
              </w:rPr>
            </w:pPr>
            <w:r>
              <w:rPr>
                <w:lang w:eastAsia="en-GB"/>
              </w:rPr>
              <w:t>Quarterly.</w:t>
            </w:r>
          </w:p>
        </w:tc>
      </w:tr>
      <w:tr w:rsidR="00F920A7" w14:paraId="17E571CF" w14:textId="77777777" w:rsidTr="00DB2ABD">
        <w:tc>
          <w:tcPr>
            <w:tcW w:w="2008" w:type="dxa"/>
            <w:tcBorders>
              <w:top w:val="single" w:sz="4" w:space="0" w:color="auto"/>
              <w:left w:val="nil"/>
              <w:bottom w:val="single" w:sz="4" w:space="0" w:color="auto"/>
              <w:right w:val="single" w:sz="4" w:space="0" w:color="auto"/>
            </w:tcBorders>
            <w:hideMark/>
          </w:tcPr>
          <w:p w14:paraId="3687E938" w14:textId="77777777" w:rsidR="00F920A7" w:rsidRDefault="00F920A7" w:rsidP="00DB2ABD">
            <w:pPr>
              <w:spacing w:before="40" w:after="40"/>
              <w:rPr>
                <w:sz w:val="17"/>
                <w:lang w:eastAsia="en-GB"/>
              </w:rPr>
            </w:pPr>
            <w:r>
              <w:rPr>
                <w:b/>
                <w:sz w:val="17"/>
                <w:lang w:eastAsia="en-GB"/>
              </w:rPr>
              <w:t>Format:</w:t>
            </w:r>
            <w:r>
              <w:rPr>
                <w:sz w:val="17"/>
                <w:lang w:eastAsia="en-GB"/>
              </w:rPr>
              <w:t xml:space="preserve"> </w:t>
            </w:r>
          </w:p>
        </w:tc>
        <w:tc>
          <w:tcPr>
            <w:tcW w:w="7234" w:type="dxa"/>
            <w:tcBorders>
              <w:top w:val="single" w:sz="4" w:space="0" w:color="auto"/>
              <w:left w:val="single" w:sz="4" w:space="0" w:color="auto"/>
              <w:bottom w:val="single" w:sz="4" w:space="0" w:color="auto"/>
              <w:right w:val="nil"/>
            </w:tcBorders>
            <w:hideMark/>
          </w:tcPr>
          <w:p w14:paraId="170AE44F" w14:textId="188C1B57" w:rsidR="00F920A7" w:rsidRDefault="00F920A7" w:rsidP="00DB2ABD">
            <w:pPr>
              <w:pStyle w:val="TableText"/>
              <w:jc w:val="both"/>
              <w:rPr>
                <w:lang w:eastAsia="en-GB"/>
              </w:rPr>
            </w:pPr>
            <w:r>
              <w:rPr>
                <w:lang w:eastAsia="en-GB"/>
              </w:rPr>
              <w:t>Fixed</w:t>
            </w:r>
            <w:r w:rsidR="004852A1">
              <w:rPr>
                <w:lang w:eastAsia="en-GB"/>
              </w:rPr>
              <w:t>.</w:t>
            </w:r>
            <w:r>
              <w:rPr>
                <w:lang w:eastAsia="en-GB"/>
              </w:rPr>
              <w:t xml:space="preserve"> </w:t>
            </w:r>
          </w:p>
        </w:tc>
      </w:tr>
      <w:tr w:rsidR="00F920A7" w14:paraId="1A6C4F9B" w14:textId="77777777" w:rsidTr="00DB2ABD">
        <w:tc>
          <w:tcPr>
            <w:tcW w:w="2008" w:type="dxa"/>
            <w:tcBorders>
              <w:top w:val="single" w:sz="4" w:space="0" w:color="auto"/>
              <w:left w:val="nil"/>
              <w:bottom w:val="single" w:sz="4" w:space="0" w:color="auto"/>
              <w:right w:val="single" w:sz="4" w:space="0" w:color="auto"/>
            </w:tcBorders>
            <w:hideMark/>
          </w:tcPr>
          <w:p w14:paraId="584BD423" w14:textId="77777777" w:rsidR="00F920A7" w:rsidRDefault="00F920A7" w:rsidP="00DB2ABD">
            <w:pPr>
              <w:spacing w:before="40" w:after="40"/>
              <w:rPr>
                <w:b/>
                <w:sz w:val="17"/>
                <w:lang w:eastAsia="en-GB"/>
              </w:rPr>
            </w:pPr>
            <w:r>
              <w:rPr>
                <w:rFonts w:eastAsia="新細明體"/>
                <w:b/>
                <w:sz w:val="17"/>
                <w:szCs w:val="17"/>
                <w:lang w:eastAsia="en-GB"/>
              </w:rPr>
              <w:t>Accompanying narrative</w:t>
            </w:r>
            <w:r>
              <w:rPr>
                <w:rFonts w:eastAsia="新細明體"/>
                <w:sz w:val="17"/>
                <w:szCs w:val="17"/>
                <w:lang w:eastAsia="en-GB"/>
              </w:rPr>
              <w:t>:</w:t>
            </w:r>
          </w:p>
        </w:tc>
        <w:tc>
          <w:tcPr>
            <w:tcW w:w="7234" w:type="dxa"/>
            <w:tcBorders>
              <w:top w:val="single" w:sz="4" w:space="0" w:color="auto"/>
              <w:left w:val="single" w:sz="4" w:space="0" w:color="auto"/>
              <w:bottom w:val="single" w:sz="4" w:space="0" w:color="auto"/>
              <w:right w:val="nil"/>
            </w:tcBorders>
            <w:hideMark/>
          </w:tcPr>
          <w:p w14:paraId="7016168F" w14:textId="380981B8" w:rsidR="00F920A7" w:rsidRDefault="00F920A7" w:rsidP="00DB2ABD">
            <w:pPr>
              <w:pStyle w:val="Default"/>
              <w:jc w:val="both"/>
              <w:rPr>
                <w:sz w:val="17"/>
                <w:szCs w:val="17"/>
              </w:rPr>
            </w:pPr>
            <w:r>
              <w:rPr>
                <w:sz w:val="17"/>
                <w:szCs w:val="17"/>
                <w:lang w:val="en-GB"/>
              </w:rPr>
              <w:t>An AI</w:t>
            </w:r>
            <w:r>
              <w:rPr>
                <w:sz w:val="17"/>
                <w:szCs w:val="17"/>
              </w:rPr>
              <w:t xml:space="preserve"> should report the components of </w:t>
            </w:r>
            <w:r w:rsidR="00105442" w:rsidRPr="00B91D91">
              <w:rPr>
                <w:sz w:val="17"/>
                <w:szCs w:val="17"/>
              </w:rPr>
              <w:t>its</w:t>
            </w:r>
            <w:r>
              <w:rPr>
                <w:sz w:val="17"/>
                <w:szCs w:val="17"/>
              </w:rPr>
              <w:t xml:space="preserve"> total market risk capital charge that are included for </w:t>
            </w:r>
            <w:r w:rsidR="00105442" w:rsidRPr="00B91D91">
              <w:rPr>
                <w:sz w:val="17"/>
                <w:szCs w:val="17"/>
              </w:rPr>
              <w:t>its</w:t>
            </w:r>
            <w:r>
              <w:rPr>
                <w:sz w:val="17"/>
                <w:szCs w:val="17"/>
              </w:rPr>
              <w:t xml:space="preserve"> most recent measure as at the end of the current reporting period and the components that are included for </w:t>
            </w:r>
            <w:r w:rsidR="00105442" w:rsidRPr="00B91D91">
              <w:rPr>
                <w:sz w:val="17"/>
                <w:szCs w:val="17"/>
              </w:rPr>
              <w:t>its</w:t>
            </w:r>
            <w:r>
              <w:rPr>
                <w:sz w:val="17"/>
                <w:szCs w:val="17"/>
              </w:rPr>
              <w:t xml:space="preserve"> average of the last 60 trading days for expected shortfall, IMCC and SES, and 12 weeks for default risk charge.  </w:t>
            </w:r>
            <w:r>
              <w:rPr>
                <w:sz w:val="17"/>
                <w:szCs w:val="17"/>
                <w:lang w:val="en-GB"/>
              </w:rPr>
              <w:t xml:space="preserve">An </w:t>
            </w:r>
            <w:r>
              <w:rPr>
                <w:sz w:val="17"/>
                <w:szCs w:val="17"/>
              </w:rPr>
              <w:t xml:space="preserve">AI should also provide a comparison of VaR estimates with actual gains/losses experienced by the AI, with analysis of important </w:t>
            </w:r>
            <w:r w:rsidRPr="007B3DF8">
              <w:rPr>
                <w:sz w:val="17"/>
                <w:szCs w:val="17"/>
              </w:rPr>
              <w:t>exceptions</w:t>
            </w:r>
            <w:r>
              <w:rPr>
                <w:sz w:val="17"/>
                <w:szCs w:val="17"/>
              </w:rPr>
              <w:t xml:space="preserve"> in backtesting results.  An AI should explain any material changes in the current reporting period for the figures reported in the template and the key drivers of such changes.</w:t>
            </w:r>
          </w:p>
        </w:tc>
      </w:tr>
      <w:tr w:rsidR="00F920A7" w14:paraId="7AE846E3" w14:textId="77777777" w:rsidTr="00DB2ABD">
        <w:tc>
          <w:tcPr>
            <w:tcW w:w="2008" w:type="dxa"/>
            <w:tcBorders>
              <w:top w:val="single" w:sz="4" w:space="0" w:color="auto"/>
              <w:left w:val="nil"/>
              <w:bottom w:val="single" w:sz="4" w:space="0" w:color="auto"/>
              <w:right w:val="single" w:sz="4" w:space="0" w:color="auto"/>
            </w:tcBorders>
            <w:hideMark/>
          </w:tcPr>
          <w:p w14:paraId="4836B743" w14:textId="77777777" w:rsidR="00F920A7" w:rsidRDefault="00F920A7" w:rsidP="00DB2ABD">
            <w:pPr>
              <w:spacing w:before="40" w:after="40"/>
              <w:rPr>
                <w:rFonts w:eastAsia="新細明體"/>
                <w:b/>
                <w:sz w:val="17"/>
                <w:szCs w:val="17"/>
                <w:lang w:eastAsia="en-GB"/>
              </w:rPr>
            </w:pPr>
            <w:r w:rsidRPr="00BE4B71">
              <w:rPr>
                <w:rFonts w:eastAsia="新細明體"/>
                <w:b/>
                <w:sz w:val="17"/>
                <w:szCs w:val="17"/>
                <w:lang w:eastAsia="en-GB"/>
              </w:rPr>
              <w:t>Corresponding BDR section:</w:t>
            </w:r>
          </w:p>
        </w:tc>
        <w:tc>
          <w:tcPr>
            <w:tcW w:w="7234" w:type="dxa"/>
            <w:tcBorders>
              <w:top w:val="single" w:sz="4" w:space="0" w:color="auto"/>
              <w:left w:val="single" w:sz="4" w:space="0" w:color="auto"/>
              <w:bottom w:val="single" w:sz="4" w:space="0" w:color="auto"/>
              <w:right w:val="nil"/>
            </w:tcBorders>
          </w:tcPr>
          <w:p w14:paraId="762169E4" w14:textId="5FC252AC" w:rsidR="00F920A7" w:rsidRDefault="00F920A7" w:rsidP="00DB2ABD">
            <w:pPr>
              <w:pStyle w:val="TableText"/>
              <w:jc w:val="both"/>
              <w:rPr>
                <w:lang w:eastAsia="en-GB"/>
              </w:rPr>
            </w:pPr>
            <w:r w:rsidRPr="00B91D91">
              <w:rPr>
                <w:lang w:eastAsia="en-GB"/>
              </w:rPr>
              <w:t>16ZM</w:t>
            </w:r>
          </w:p>
        </w:tc>
      </w:tr>
    </w:tbl>
    <w:p w14:paraId="3BF4646E" w14:textId="77777777" w:rsidR="00F920A7" w:rsidRDefault="00F920A7" w:rsidP="00F920A7">
      <w:pPr>
        <w:spacing w:before="120" w:after="120"/>
        <w:rPr>
          <w:sz w:val="22"/>
        </w:rPr>
      </w:pPr>
    </w:p>
    <w:tbl>
      <w:tblPr>
        <w:tblW w:w="9248" w:type="dxa"/>
        <w:tblInd w:w="-459" w:type="dxa"/>
        <w:tblLook w:val="00A0" w:firstRow="1" w:lastRow="0" w:firstColumn="1" w:lastColumn="0" w:noHBand="0" w:noVBand="0"/>
      </w:tblPr>
      <w:tblGrid>
        <w:gridCol w:w="424"/>
        <w:gridCol w:w="1158"/>
        <w:gridCol w:w="1211"/>
        <w:gridCol w:w="851"/>
        <w:gridCol w:w="1034"/>
        <w:gridCol w:w="851"/>
        <w:gridCol w:w="868"/>
        <w:gridCol w:w="1080"/>
        <w:gridCol w:w="851"/>
        <w:gridCol w:w="920"/>
      </w:tblGrid>
      <w:tr w:rsidR="00F920A7" w14:paraId="1E816458" w14:textId="77777777" w:rsidTr="00DB2ABD">
        <w:trPr>
          <w:cantSplit/>
          <w:trHeight w:val="155"/>
        </w:trPr>
        <w:tc>
          <w:tcPr>
            <w:tcW w:w="424" w:type="dxa"/>
          </w:tcPr>
          <w:p w14:paraId="29BDB471" w14:textId="77777777" w:rsidR="00F920A7" w:rsidRDefault="00F920A7" w:rsidP="00DB2ABD">
            <w:pPr>
              <w:pStyle w:val="TableText"/>
              <w:snapToGrid w:val="0"/>
              <w:rPr>
                <w:lang w:eastAsia="en-GB"/>
              </w:rPr>
            </w:pPr>
          </w:p>
        </w:tc>
        <w:tc>
          <w:tcPr>
            <w:tcW w:w="2369" w:type="dxa"/>
            <w:gridSpan w:val="2"/>
            <w:tcBorders>
              <w:top w:val="nil"/>
              <w:left w:val="nil"/>
              <w:bottom w:val="nil"/>
              <w:right w:val="single" w:sz="4" w:space="0" w:color="auto"/>
            </w:tcBorders>
            <w:vAlign w:val="center"/>
          </w:tcPr>
          <w:p w14:paraId="6DC01CC7" w14:textId="77777777" w:rsidR="00F920A7" w:rsidRDefault="00F920A7" w:rsidP="00DB2ABD">
            <w:pPr>
              <w:pStyle w:val="TableText"/>
              <w:snapToGrid w:val="0"/>
              <w:rPr>
                <w:lang w:eastAsia="en-GB"/>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7E1CF44D" w14:textId="77777777" w:rsidR="00F920A7" w:rsidRDefault="00F920A7" w:rsidP="00DB2ABD">
            <w:pPr>
              <w:pStyle w:val="TableText"/>
              <w:snapToGrid w:val="0"/>
              <w:jc w:val="center"/>
              <w:rPr>
                <w:lang w:eastAsia="en-GB"/>
              </w:rPr>
            </w:pPr>
            <w:r>
              <w:rPr>
                <w:lang w:eastAsia="en-GB"/>
              </w:rPr>
              <w:t>(a)</w:t>
            </w:r>
          </w:p>
        </w:tc>
        <w:tc>
          <w:tcPr>
            <w:tcW w:w="1034" w:type="dxa"/>
            <w:tcBorders>
              <w:top w:val="single" w:sz="4" w:space="0" w:color="auto"/>
              <w:left w:val="single" w:sz="4" w:space="0" w:color="auto"/>
              <w:bottom w:val="single" w:sz="4" w:space="0" w:color="auto"/>
              <w:right w:val="single" w:sz="4" w:space="0" w:color="auto"/>
            </w:tcBorders>
            <w:vAlign w:val="center"/>
            <w:hideMark/>
          </w:tcPr>
          <w:p w14:paraId="37D53179" w14:textId="77777777" w:rsidR="00F920A7" w:rsidRDefault="00F920A7" w:rsidP="00DB2ABD">
            <w:pPr>
              <w:pStyle w:val="TableText"/>
              <w:snapToGrid w:val="0"/>
              <w:jc w:val="center"/>
              <w:rPr>
                <w:lang w:eastAsia="en-GB"/>
              </w:rPr>
            </w:pPr>
            <w:r>
              <w:rPr>
                <w:lang w:eastAsia="en-GB"/>
              </w:rPr>
              <w:t>(b)</w:t>
            </w:r>
          </w:p>
        </w:tc>
        <w:tc>
          <w:tcPr>
            <w:tcW w:w="851" w:type="dxa"/>
            <w:tcBorders>
              <w:top w:val="single" w:sz="4" w:space="0" w:color="auto"/>
              <w:left w:val="single" w:sz="4" w:space="0" w:color="auto"/>
              <w:bottom w:val="single" w:sz="4" w:space="0" w:color="auto"/>
              <w:right w:val="single" w:sz="4" w:space="0" w:color="auto"/>
            </w:tcBorders>
            <w:vAlign w:val="center"/>
            <w:hideMark/>
          </w:tcPr>
          <w:p w14:paraId="08D7C068" w14:textId="77777777" w:rsidR="00F920A7" w:rsidRDefault="00F920A7" w:rsidP="00DB2ABD">
            <w:pPr>
              <w:pStyle w:val="TableText"/>
              <w:snapToGrid w:val="0"/>
              <w:jc w:val="center"/>
              <w:rPr>
                <w:lang w:eastAsia="en-GB"/>
              </w:rPr>
            </w:pPr>
            <w:r>
              <w:rPr>
                <w:lang w:eastAsia="en-GB"/>
              </w:rPr>
              <w:t>(c)</w:t>
            </w:r>
          </w:p>
        </w:tc>
        <w:tc>
          <w:tcPr>
            <w:tcW w:w="868" w:type="dxa"/>
            <w:tcBorders>
              <w:top w:val="single" w:sz="4" w:space="0" w:color="auto"/>
              <w:left w:val="single" w:sz="4" w:space="0" w:color="auto"/>
              <w:bottom w:val="single" w:sz="4" w:space="0" w:color="auto"/>
              <w:right w:val="single" w:sz="4" w:space="0" w:color="auto"/>
            </w:tcBorders>
            <w:vAlign w:val="center"/>
            <w:hideMark/>
          </w:tcPr>
          <w:p w14:paraId="57FD1A44" w14:textId="77777777" w:rsidR="00F920A7" w:rsidRDefault="00F920A7" w:rsidP="00DB2ABD">
            <w:pPr>
              <w:pStyle w:val="TableText"/>
              <w:snapToGrid w:val="0"/>
              <w:jc w:val="center"/>
              <w:rPr>
                <w:lang w:eastAsia="en-GB"/>
              </w:rPr>
            </w:pPr>
            <w:r>
              <w:rPr>
                <w:lang w:eastAsia="en-GB"/>
              </w:rPr>
              <w:t>(d)</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3E57D4B" w14:textId="77777777" w:rsidR="00F920A7" w:rsidRDefault="00F920A7" w:rsidP="00DB2ABD">
            <w:pPr>
              <w:pStyle w:val="TableText"/>
              <w:snapToGrid w:val="0"/>
              <w:jc w:val="center"/>
              <w:rPr>
                <w:lang w:eastAsia="en-GB"/>
              </w:rPr>
            </w:pPr>
            <w:r>
              <w:rPr>
                <w:lang w:eastAsia="en-GB"/>
              </w:rPr>
              <w:t>(e)</w:t>
            </w:r>
          </w:p>
        </w:tc>
        <w:tc>
          <w:tcPr>
            <w:tcW w:w="851" w:type="dxa"/>
            <w:tcBorders>
              <w:top w:val="single" w:sz="4" w:space="0" w:color="auto"/>
              <w:left w:val="single" w:sz="4" w:space="0" w:color="auto"/>
              <w:bottom w:val="single" w:sz="4" w:space="0" w:color="auto"/>
              <w:right w:val="single" w:sz="4" w:space="0" w:color="auto"/>
            </w:tcBorders>
            <w:vAlign w:val="center"/>
            <w:hideMark/>
          </w:tcPr>
          <w:p w14:paraId="360470E0" w14:textId="77777777" w:rsidR="00F920A7" w:rsidRDefault="00F920A7" w:rsidP="00DB2ABD">
            <w:pPr>
              <w:pStyle w:val="TableText"/>
              <w:snapToGrid w:val="0"/>
              <w:jc w:val="center"/>
              <w:rPr>
                <w:lang w:eastAsia="en-GB"/>
              </w:rPr>
            </w:pPr>
            <w:r>
              <w:rPr>
                <w:lang w:eastAsia="en-GB"/>
              </w:rPr>
              <w:t>(f)</w:t>
            </w:r>
          </w:p>
        </w:tc>
        <w:tc>
          <w:tcPr>
            <w:tcW w:w="920" w:type="dxa"/>
            <w:tcBorders>
              <w:top w:val="single" w:sz="4" w:space="0" w:color="auto"/>
              <w:left w:val="single" w:sz="4" w:space="0" w:color="auto"/>
              <w:bottom w:val="single" w:sz="4" w:space="0" w:color="auto"/>
              <w:right w:val="single" w:sz="4" w:space="0" w:color="auto"/>
            </w:tcBorders>
            <w:hideMark/>
          </w:tcPr>
          <w:p w14:paraId="636B17EA" w14:textId="77777777" w:rsidR="00F920A7" w:rsidRDefault="00F920A7" w:rsidP="00DB2ABD">
            <w:pPr>
              <w:pStyle w:val="TableText"/>
              <w:snapToGrid w:val="0"/>
              <w:jc w:val="center"/>
              <w:rPr>
                <w:lang w:eastAsia="en-GB"/>
              </w:rPr>
            </w:pPr>
            <w:r>
              <w:rPr>
                <w:lang w:eastAsia="en-GB"/>
              </w:rPr>
              <w:t>(g)</w:t>
            </w:r>
          </w:p>
        </w:tc>
      </w:tr>
      <w:tr w:rsidR="00F920A7" w14:paraId="376759D2" w14:textId="77777777" w:rsidTr="00C779D2">
        <w:trPr>
          <w:cantSplit/>
          <w:trHeight w:val="521"/>
        </w:trPr>
        <w:tc>
          <w:tcPr>
            <w:tcW w:w="424" w:type="dxa"/>
            <w:tcBorders>
              <w:top w:val="nil"/>
              <w:left w:val="nil"/>
              <w:right w:val="nil"/>
            </w:tcBorders>
          </w:tcPr>
          <w:p w14:paraId="64F352DE" w14:textId="77777777" w:rsidR="00F920A7" w:rsidRDefault="00F920A7" w:rsidP="00DB2ABD">
            <w:pPr>
              <w:pStyle w:val="TableText"/>
              <w:snapToGrid w:val="0"/>
              <w:rPr>
                <w:lang w:eastAsia="en-GB"/>
              </w:rPr>
            </w:pPr>
          </w:p>
        </w:tc>
        <w:tc>
          <w:tcPr>
            <w:tcW w:w="2369" w:type="dxa"/>
            <w:gridSpan w:val="2"/>
            <w:tcBorders>
              <w:top w:val="nil"/>
              <w:left w:val="nil"/>
              <w:right w:val="single" w:sz="4" w:space="0" w:color="auto"/>
            </w:tcBorders>
            <w:vAlign w:val="center"/>
          </w:tcPr>
          <w:p w14:paraId="65BEF2C0" w14:textId="77777777" w:rsidR="00F920A7" w:rsidRDefault="00F920A7" w:rsidP="00DB2ABD">
            <w:pPr>
              <w:pStyle w:val="TableText"/>
              <w:snapToGrid w:val="0"/>
              <w:rPr>
                <w:noProof/>
                <w:lang w:eastAsia="en-GB"/>
              </w:rPr>
            </w:pPr>
          </w:p>
        </w:tc>
        <w:tc>
          <w:tcPr>
            <w:tcW w:w="4684" w:type="dxa"/>
            <w:gridSpan w:val="5"/>
            <w:tcBorders>
              <w:top w:val="single" w:sz="4" w:space="0" w:color="auto"/>
              <w:left w:val="single" w:sz="4" w:space="0" w:color="auto"/>
              <w:bottom w:val="single" w:sz="4" w:space="0" w:color="auto"/>
              <w:right w:val="single" w:sz="4" w:space="0" w:color="auto"/>
            </w:tcBorders>
            <w:vAlign w:val="center"/>
            <w:hideMark/>
          </w:tcPr>
          <w:p w14:paraId="6973A35D" w14:textId="77777777" w:rsidR="00F920A7" w:rsidRDefault="00F920A7" w:rsidP="00DB2ABD">
            <w:pPr>
              <w:pStyle w:val="TableText"/>
              <w:snapToGrid w:val="0"/>
              <w:jc w:val="center"/>
              <w:rPr>
                <w:lang w:eastAsia="en-GB"/>
              </w:rPr>
            </w:pPr>
            <w:r>
              <w:rPr>
                <w:lang w:eastAsia="en-GB"/>
              </w:rPr>
              <w:t>At the current quarter</w:t>
            </w:r>
          </w:p>
        </w:tc>
        <w:tc>
          <w:tcPr>
            <w:tcW w:w="1771" w:type="dxa"/>
            <w:gridSpan w:val="2"/>
            <w:tcBorders>
              <w:top w:val="single" w:sz="4" w:space="0" w:color="auto"/>
              <w:left w:val="single" w:sz="4" w:space="0" w:color="auto"/>
              <w:bottom w:val="single" w:sz="4" w:space="0" w:color="auto"/>
              <w:right w:val="single" w:sz="4" w:space="0" w:color="auto"/>
            </w:tcBorders>
            <w:vAlign w:val="center"/>
            <w:hideMark/>
          </w:tcPr>
          <w:p w14:paraId="144F0B0B" w14:textId="77777777" w:rsidR="00F920A7" w:rsidRDefault="00F920A7" w:rsidP="00DB2ABD">
            <w:pPr>
              <w:pStyle w:val="TableText"/>
              <w:snapToGrid w:val="0"/>
              <w:jc w:val="center"/>
              <w:rPr>
                <w:lang w:eastAsia="en-GB"/>
              </w:rPr>
            </w:pPr>
            <w:r>
              <w:rPr>
                <w:lang w:eastAsia="en-GB"/>
              </w:rPr>
              <w:t>At the previous quarter</w:t>
            </w:r>
          </w:p>
        </w:tc>
      </w:tr>
      <w:tr w:rsidR="00F920A7" w14:paraId="17225EB7" w14:textId="77777777" w:rsidTr="00C779D2">
        <w:trPr>
          <w:cantSplit/>
          <w:trHeight w:val="521"/>
        </w:trPr>
        <w:tc>
          <w:tcPr>
            <w:tcW w:w="424" w:type="dxa"/>
            <w:tcBorders>
              <w:top w:val="nil"/>
              <w:left w:val="nil"/>
              <w:right w:val="nil"/>
            </w:tcBorders>
          </w:tcPr>
          <w:p w14:paraId="12EDA94E" w14:textId="77777777" w:rsidR="00F920A7" w:rsidRDefault="00F920A7" w:rsidP="00DB2ABD">
            <w:pPr>
              <w:pStyle w:val="TableText"/>
              <w:snapToGrid w:val="0"/>
              <w:rPr>
                <w:lang w:eastAsia="en-GB"/>
              </w:rPr>
            </w:pPr>
          </w:p>
        </w:tc>
        <w:tc>
          <w:tcPr>
            <w:tcW w:w="2369" w:type="dxa"/>
            <w:gridSpan w:val="2"/>
            <w:tcBorders>
              <w:top w:val="nil"/>
              <w:left w:val="nil"/>
              <w:right w:val="single" w:sz="4" w:space="0" w:color="auto"/>
            </w:tcBorders>
            <w:vAlign w:val="center"/>
          </w:tcPr>
          <w:p w14:paraId="4284CAE9" w14:textId="77777777" w:rsidR="00F920A7" w:rsidRDefault="00F920A7" w:rsidP="00DB2ABD">
            <w:pPr>
              <w:pStyle w:val="TableText"/>
              <w:snapToGrid w:val="0"/>
              <w:rPr>
                <w:noProof/>
                <w:lang w:eastAsia="en-GB"/>
              </w:rPr>
            </w:pPr>
          </w:p>
        </w:tc>
        <w:tc>
          <w:tcPr>
            <w:tcW w:w="3604" w:type="dxa"/>
            <w:gridSpan w:val="4"/>
            <w:tcBorders>
              <w:top w:val="single" w:sz="4" w:space="0" w:color="auto"/>
              <w:left w:val="single" w:sz="4" w:space="0" w:color="auto"/>
              <w:bottom w:val="single" w:sz="4" w:space="0" w:color="auto"/>
              <w:right w:val="single" w:sz="4" w:space="0" w:color="auto"/>
            </w:tcBorders>
            <w:vAlign w:val="center"/>
            <w:hideMark/>
          </w:tcPr>
          <w:p w14:paraId="7B69219C" w14:textId="77777777" w:rsidR="00F920A7" w:rsidRDefault="00F920A7" w:rsidP="00DB2ABD">
            <w:pPr>
              <w:pStyle w:val="TableText"/>
              <w:snapToGrid w:val="0"/>
              <w:jc w:val="center"/>
              <w:rPr>
                <w:lang w:eastAsia="en-GB"/>
              </w:rPr>
            </w:pPr>
            <w:r>
              <w:rPr>
                <w:lang w:eastAsia="en-GB"/>
              </w:rPr>
              <w:t>Risk measure for previous 60 trading days/ 12 weeks</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B3B5D21" w14:textId="77777777" w:rsidR="00F920A7" w:rsidRDefault="00F920A7" w:rsidP="00DB2ABD">
            <w:pPr>
              <w:pStyle w:val="TableText"/>
              <w:snapToGrid w:val="0"/>
              <w:jc w:val="center"/>
              <w:rPr>
                <w:lang w:eastAsia="en-GB"/>
              </w:rPr>
            </w:pPr>
            <w:r>
              <w:rPr>
                <w:lang w:eastAsia="en-GB"/>
              </w:rPr>
              <w:t>Number of backtesting exceptions</w:t>
            </w:r>
          </w:p>
        </w:tc>
        <w:tc>
          <w:tcPr>
            <w:tcW w:w="1771" w:type="dxa"/>
            <w:gridSpan w:val="2"/>
            <w:tcBorders>
              <w:top w:val="single" w:sz="4" w:space="0" w:color="auto"/>
              <w:left w:val="single" w:sz="4" w:space="0" w:color="auto"/>
              <w:bottom w:val="single" w:sz="4" w:space="0" w:color="auto"/>
              <w:right w:val="single" w:sz="4" w:space="0" w:color="auto"/>
            </w:tcBorders>
            <w:vAlign w:val="center"/>
            <w:hideMark/>
          </w:tcPr>
          <w:p w14:paraId="7F706D69" w14:textId="77777777" w:rsidR="00F920A7" w:rsidRDefault="00F920A7" w:rsidP="00DB2ABD">
            <w:pPr>
              <w:pStyle w:val="TableText"/>
              <w:snapToGrid w:val="0"/>
              <w:jc w:val="center"/>
              <w:rPr>
                <w:lang w:eastAsia="en-GB"/>
              </w:rPr>
            </w:pPr>
            <w:r>
              <w:rPr>
                <w:lang w:eastAsia="en-GB"/>
              </w:rPr>
              <w:t>Risk measure: for previous 60 trading days/ 12 weeks</w:t>
            </w:r>
          </w:p>
        </w:tc>
      </w:tr>
      <w:tr w:rsidR="00F920A7" w14:paraId="67449D41" w14:textId="77777777" w:rsidTr="00C779D2">
        <w:trPr>
          <w:cantSplit/>
          <w:trHeight w:val="521"/>
        </w:trPr>
        <w:tc>
          <w:tcPr>
            <w:tcW w:w="424" w:type="dxa"/>
            <w:tcBorders>
              <w:left w:val="nil"/>
              <w:bottom w:val="single" w:sz="4" w:space="0" w:color="auto"/>
              <w:right w:val="nil"/>
            </w:tcBorders>
          </w:tcPr>
          <w:p w14:paraId="1C9858D7" w14:textId="77777777" w:rsidR="00F920A7" w:rsidRDefault="00F920A7" w:rsidP="00DB2ABD">
            <w:pPr>
              <w:pStyle w:val="TableText"/>
              <w:snapToGrid w:val="0"/>
              <w:rPr>
                <w:lang w:eastAsia="en-GB"/>
              </w:rPr>
            </w:pPr>
          </w:p>
        </w:tc>
        <w:tc>
          <w:tcPr>
            <w:tcW w:w="2369" w:type="dxa"/>
            <w:gridSpan w:val="2"/>
            <w:tcBorders>
              <w:left w:val="nil"/>
              <w:bottom w:val="single" w:sz="4" w:space="0" w:color="auto"/>
              <w:right w:val="single" w:sz="4" w:space="0" w:color="auto"/>
            </w:tcBorders>
            <w:vAlign w:val="center"/>
          </w:tcPr>
          <w:p w14:paraId="1B94F917" w14:textId="77777777" w:rsidR="00F920A7" w:rsidRDefault="00F920A7" w:rsidP="00DB2ABD">
            <w:pPr>
              <w:pStyle w:val="TableText"/>
              <w:snapToGrid w:val="0"/>
              <w:rPr>
                <w:noProof/>
                <w:lang w:eastAsia="en-GB"/>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3D2497AF" w14:textId="77777777" w:rsidR="00F920A7" w:rsidRDefault="00F920A7" w:rsidP="00DB2ABD">
            <w:pPr>
              <w:pStyle w:val="TableText"/>
              <w:snapToGrid w:val="0"/>
              <w:jc w:val="center"/>
              <w:rPr>
                <w:lang w:eastAsia="en-GB"/>
              </w:rPr>
            </w:pPr>
            <w:r>
              <w:rPr>
                <w:lang w:eastAsia="en-GB"/>
              </w:rPr>
              <w:t>Most recent</w:t>
            </w:r>
          </w:p>
        </w:tc>
        <w:tc>
          <w:tcPr>
            <w:tcW w:w="1034" w:type="dxa"/>
            <w:tcBorders>
              <w:top w:val="single" w:sz="4" w:space="0" w:color="auto"/>
              <w:left w:val="single" w:sz="4" w:space="0" w:color="auto"/>
              <w:bottom w:val="single" w:sz="4" w:space="0" w:color="auto"/>
              <w:right w:val="single" w:sz="4" w:space="0" w:color="auto"/>
            </w:tcBorders>
            <w:vAlign w:val="center"/>
            <w:hideMark/>
          </w:tcPr>
          <w:p w14:paraId="3FDBF47C" w14:textId="77777777" w:rsidR="00F920A7" w:rsidRDefault="00F920A7" w:rsidP="00DB2ABD">
            <w:pPr>
              <w:pStyle w:val="TableText"/>
              <w:snapToGrid w:val="0"/>
              <w:jc w:val="center"/>
              <w:rPr>
                <w:lang w:eastAsia="en-GB"/>
              </w:rPr>
            </w:pPr>
            <w:r>
              <w:rPr>
                <w:lang w:eastAsia="en-GB"/>
              </w:rPr>
              <w:t>Average</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3EFFB4" w14:textId="77777777" w:rsidR="00F920A7" w:rsidRPr="00976D0F" w:rsidRDefault="00F920A7" w:rsidP="00DB2ABD">
            <w:pPr>
              <w:pStyle w:val="TableText"/>
              <w:snapToGrid w:val="0"/>
              <w:jc w:val="center"/>
              <w:rPr>
                <w:lang w:eastAsia="en-GB"/>
              </w:rPr>
            </w:pPr>
            <w:r w:rsidRPr="00976D0F">
              <w:rPr>
                <w:lang w:eastAsia="en-GB"/>
              </w:rPr>
              <w:t xml:space="preserve">High </w:t>
            </w:r>
          </w:p>
        </w:tc>
        <w:tc>
          <w:tcPr>
            <w:tcW w:w="868" w:type="dxa"/>
            <w:tcBorders>
              <w:top w:val="single" w:sz="4" w:space="0" w:color="auto"/>
              <w:left w:val="single" w:sz="4" w:space="0" w:color="auto"/>
              <w:bottom w:val="single" w:sz="4" w:space="0" w:color="auto"/>
              <w:right w:val="single" w:sz="4" w:space="0" w:color="auto"/>
            </w:tcBorders>
            <w:vAlign w:val="center"/>
            <w:hideMark/>
          </w:tcPr>
          <w:p w14:paraId="2FE4813F" w14:textId="77777777" w:rsidR="00F920A7" w:rsidRPr="00976D0F" w:rsidRDefault="00F920A7" w:rsidP="00DB2ABD">
            <w:pPr>
              <w:pStyle w:val="TableText"/>
              <w:snapToGrid w:val="0"/>
              <w:jc w:val="center"/>
              <w:rPr>
                <w:lang w:eastAsia="en-GB"/>
              </w:rPr>
            </w:pPr>
            <w:r w:rsidRPr="00976D0F">
              <w:rPr>
                <w:lang w:eastAsia="en-GB"/>
              </w:rPr>
              <w:t>Low</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C3F143E" w14:textId="77777777" w:rsidR="00F920A7" w:rsidRDefault="00F920A7" w:rsidP="00DB2ABD">
            <w:pPr>
              <w:pStyle w:val="TableText"/>
              <w:snapToGrid w:val="0"/>
              <w:jc w:val="center"/>
              <w:rPr>
                <w:lang w:eastAsia="en-GB"/>
              </w:rPr>
            </w:pPr>
            <w:r>
              <w:rPr>
                <w:lang w:eastAsia="en-GB"/>
              </w:rPr>
              <w:t>VaR measure 99.0%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AF87DDE" w14:textId="77777777" w:rsidR="00F920A7" w:rsidRDefault="00F920A7" w:rsidP="00DB2ABD">
            <w:pPr>
              <w:pStyle w:val="TableText"/>
              <w:snapToGrid w:val="0"/>
              <w:jc w:val="center"/>
              <w:rPr>
                <w:lang w:eastAsia="en-GB"/>
              </w:rPr>
            </w:pPr>
            <w:r>
              <w:rPr>
                <w:lang w:eastAsia="en-GB"/>
              </w:rPr>
              <w:t>Most recent</w:t>
            </w:r>
          </w:p>
        </w:tc>
        <w:tc>
          <w:tcPr>
            <w:tcW w:w="920" w:type="dxa"/>
            <w:tcBorders>
              <w:top w:val="single" w:sz="4" w:space="0" w:color="auto"/>
              <w:left w:val="single" w:sz="4" w:space="0" w:color="auto"/>
              <w:bottom w:val="single" w:sz="4" w:space="0" w:color="auto"/>
              <w:right w:val="single" w:sz="4" w:space="0" w:color="auto"/>
            </w:tcBorders>
            <w:vAlign w:val="center"/>
            <w:hideMark/>
          </w:tcPr>
          <w:p w14:paraId="3A01847E" w14:textId="77777777" w:rsidR="00F920A7" w:rsidRDefault="00F920A7" w:rsidP="00DB2ABD">
            <w:pPr>
              <w:pStyle w:val="TableText"/>
              <w:snapToGrid w:val="0"/>
              <w:jc w:val="center"/>
              <w:rPr>
                <w:lang w:eastAsia="en-GB"/>
              </w:rPr>
            </w:pPr>
            <w:r>
              <w:rPr>
                <w:lang w:eastAsia="en-GB"/>
              </w:rPr>
              <w:t>Average</w:t>
            </w:r>
          </w:p>
        </w:tc>
      </w:tr>
      <w:tr w:rsidR="00F920A7" w14:paraId="7761B089" w14:textId="77777777" w:rsidTr="00DB2ABD">
        <w:trPr>
          <w:cantSplit/>
          <w:trHeight w:val="293"/>
        </w:trPr>
        <w:tc>
          <w:tcPr>
            <w:tcW w:w="424" w:type="dxa"/>
            <w:tcBorders>
              <w:top w:val="single" w:sz="4" w:space="0" w:color="auto"/>
              <w:left w:val="nil"/>
              <w:bottom w:val="single" w:sz="4" w:space="0" w:color="auto"/>
              <w:right w:val="single" w:sz="4" w:space="0" w:color="auto"/>
            </w:tcBorders>
            <w:hideMark/>
          </w:tcPr>
          <w:p w14:paraId="4E51AB64" w14:textId="77777777" w:rsidR="00F920A7" w:rsidRPr="00885733" w:rsidRDefault="00F920A7" w:rsidP="00DB2ABD">
            <w:pPr>
              <w:pStyle w:val="TableText"/>
              <w:snapToGrid w:val="0"/>
              <w:rPr>
                <w:lang w:eastAsia="en-GB"/>
              </w:rPr>
            </w:pPr>
            <w:r w:rsidRPr="00885733">
              <w:rPr>
                <w:lang w:eastAsia="en-GB"/>
              </w:rPr>
              <w:t>1</w:t>
            </w:r>
          </w:p>
        </w:tc>
        <w:tc>
          <w:tcPr>
            <w:tcW w:w="2369" w:type="dxa"/>
            <w:gridSpan w:val="2"/>
            <w:tcBorders>
              <w:top w:val="single" w:sz="4" w:space="0" w:color="auto"/>
              <w:left w:val="nil"/>
              <w:bottom w:val="single" w:sz="4" w:space="0" w:color="auto"/>
              <w:right w:val="single" w:sz="4" w:space="0" w:color="auto"/>
            </w:tcBorders>
            <w:hideMark/>
          </w:tcPr>
          <w:p w14:paraId="2E2900EF" w14:textId="77777777" w:rsidR="00F920A7" w:rsidRPr="00885733" w:rsidRDefault="00F920A7" w:rsidP="00DB2ABD">
            <w:pPr>
              <w:pStyle w:val="TableText"/>
              <w:snapToGrid w:val="0"/>
              <w:rPr>
                <w:lang w:eastAsia="en-GB"/>
              </w:rPr>
            </w:pPr>
            <w:r w:rsidRPr="00885733">
              <w:rPr>
                <w:lang w:eastAsia="en-GB"/>
              </w:rPr>
              <w:t>Unconstrained expected shortfall</w:t>
            </w:r>
          </w:p>
        </w:tc>
        <w:tc>
          <w:tcPr>
            <w:tcW w:w="851" w:type="dxa"/>
            <w:tcBorders>
              <w:top w:val="single" w:sz="4" w:space="0" w:color="auto"/>
              <w:left w:val="single" w:sz="4" w:space="0" w:color="auto"/>
              <w:bottom w:val="single" w:sz="4" w:space="0" w:color="auto"/>
              <w:right w:val="single" w:sz="4" w:space="0" w:color="auto"/>
            </w:tcBorders>
          </w:tcPr>
          <w:p w14:paraId="76158FFC" w14:textId="77777777" w:rsidR="00F920A7" w:rsidRDefault="00F920A7" w:rsidP="00DB2ABD">
            <w:pPr>
              <w:pStyle w:val="TableText"/>
              <w:snapToGrid w:val="0"/>
              <w:rPr>
                <w:lang w:eastAsia="en-GB"/>
              </w:rPr>
            </w:pPr>
          </w:p>
        </w:tc>
        <w:tc>
          <w:tcPr>
            <w:tcW w:w="1034" w:type="dxa"/>
            <w:tcBorders>
              <w:top w:val="single" w:sz="4" w:space="0" w:color="auto"/>
              <w:left w:val="single" w:sz="4" w:space="0" w:color="auto"/>
              <w:bottom w:val="single" w:sz="4" w:space="0" w:color="auto"/>
              <w:right w:val="single" w:sz="4" w:space="0" w:color="auto"/>
            </w:tcBorders>
          </w:tcPr>
          <w:p w14:paraId="3441BB79" w14:textId="77777777" w:rsidR="00F920A7" w:rsidRDefault="00F920A7" w:rsidP="00DB2ABD">
            <w:pPr>
              <w:pStyle w:val="TableText"/>
              <w:snapToGrid w:val="0"/>
              <w:rPr>
                <w:lang w:eastAsia="en-GB"/>
              </w:rPr>
            </w:pPr>
          </w:p>
        </w:tc>
        <w:tc>
          <w:tcPr>
            <w:tcW w:w="851" w:type="dxa"/>
            <w:tcBorders>
              <w:top w:val="single" w:sz="4" w:space="0" w:color="auto"/>
              <w:left w:val="single" w:sz="4" w:space="0" w:color="auto"/>
              <w:bottom w:val="single" w:sz="4" w:space="0" w:color="auto"/>
              <w:right w:val="single" w:sz="4" w:space="0" w:color="auto"/>
            </w:tcBorders>
          </w:tcPr>
          <w:p w14:paraId="58C1CD6C" w14:textId="77777777" w:rsidR="00F920A7" w:rsidRDefault="00F920A7" w:rsidP="00DB2ABD">
            <w:pPr>
              <w:pStyle w:val="TableText"/>
              <w:snapToGrid w:val="0"/>
              <w:rPr>
                <w:lang w:eastAsia="en-GB"/>
              </w:rPr>
            </w:pPr>
          </w:p>
        </w:tc>
        <w:tc>
          <w:tcPr>
            <w:tcW w:w="868" w:type="dxa"/>
            <w:tcBorders>
              <w:top w:val="single" w:sz="4" w:space="0" w:color="auto"/>
              <w:left w:val="single" w:sz="4" w:space="0" w:color="auto"/>
              <w:bottom w:val="single" w:sz="4" w:space="0" w:color="auto"/>
              <w:right w:val="single" w:sz="4" w:space="0" w:color="auto"/>
            </w:tcBorders>
          </w:tcPr>
          <w:p w14:paraId="1DF2987B" w14:textId="77777777" w:rsidR="00F920A7" w:rsidRDefault="00F920A7" w:rsidP="00DB2ABD">
            <w:pPr>
              <w:pStyle w:val="TableText"/>
              <w:snapToGrid w:val="0"/>
              <w:rPr>
                <w:lang w:eastAsia="en-GB"/>
              </w:rPr>
            </w:pPr>
          </w:p>
        </w:tc>
        <w:tc>
          <w:tcPr>
            <w:tcW w:w="1080" w:type="dxa"/>
            <w:tcBorders>
              <w:top w:val="single" w:sz="4" w:space="0" w:color="auto"/>
              <w:left w:val="single" w:sz="4" w:space="0" w:color="auto"/>
              <w:bottom w:val="single" w:sz="4" w:space="0" w:color="auto"/>
              <w:right w:val="single" w:sz="4" w:space="0" w:color="auto"/>
            </w:tcBorders>
          </w:tcPr>
          <w:p w14:paraId="7ED05DE7" w14:textId="77777777" w:rsidR="00F920A7" w:rsidRDefault="00F920A7" w:rsidP="00DB2ABD">
            <w:pPr>
              <w:pStyle w:val="TableText"/>
              <w:snapToGrid w:val="0"/>
              <w:rPr>
                <w:lang w:eastAsia="en-GB"/>
              </w:rPr>
            </w:pPr>
          </w:p>
        </w:tc>
        <w:tc>
          <w:tcPr>
            <w:tcW w:w="851" w:type="dxa"/>
            <w:tcBorders>
              <w:top w:val="single" w:sz="4" w:space="0" w:color="auto"/>
              <w:left w:val="single" w:sz="4" w:space="0" w:color="auto"/>
              <w:bottom w:val="single" w:sz="4" w:space="0" w:color="auto"/>
              <w:right w:val="single" w:sz="4" w:space="0" w:color="auto"/>
            </w:tcBorders>
          </w:tcPr>
          <w:p w14:paraId="1AAF621A" w14:textId="77777777" w:rsidR="00F920A7" w:rsidRDefault="00F920A7" w:rsidP="00DB2ABD">
            <w:pPr>
              <w:pStyle w:val="TableText"/>
              <w:snapToGrid w:val="0"/>
              <w:rPr>
                <w:lang w:eastAsia="en-GB"/>
              </w:rPr>
            </w:pPr>
          </w:p>
        </w:tc>
        <w:tc>
          <w:tcPr>
            <w:tcW w:w="920" w:type="dxa"/>
            <w:tcBorders>
              <w:top w:val="single" w:sz="4" w:space="0" w:color="auto"/>
              <w:left w:val="single" w:sz="4" w:space="0" w:color="auto"/>
              <w:bottom w:val="single" w:sz="4" w:space="0" w:color="auto"/>
              <w:right w:val="single" w:sz="4" w:space="0" w:color="auto"/>
            </w:tcBorders>
          </w:tcPr>
          <w:p w14:paraId="55534A99" w14:textId="77777777" w:rsidR="00F920A7" w:rsidRDefault="00F920A7" w:rsidP="00DB2ABD">
            <w:pPr>
              <w:pStyle w:val="TableText"/>
              <w:snapToGrid w:val="0"/>
              <w:rPr>
                <w:lang w:eastAsia="en-GB"/>
              </w:rPr>
            </w:pPr>
          </w:p>
        </w:tc>
      </w:tr>
      <w:tr w:rsidR="00F920A7" w14:paraId="555F652F" w14:textId="77777777" w:rsidTr="007D2451">
        <w:trPr>
          <w:cantSplit/>
          <w:trHeight w:val="293"/>
        </w:trPr>
        <w:tc>
          <w:tcPr>
            <w:tcW w:w="424" w:type="dxa"/>
            <w:tcBorders>
              <w:top w:val="single" w:sz="4" w:space="0" w:color="auto"/>
              <w:left w:val="nil"/>
              <w:bottom w:val="single" w:sz="4" w:space="0" w:color="BFBFBF"/>
              <w:right w:val="single" w:sz="4" w:space="0" w:color="auto"/>
            </w:tcBorders>
            <w:hideMark/>
          </w:tcPr>
          <w:p w14:paraId="79BE799E" w14:textId="77777777" w:rsidR="00F920A7" w:rsidRDefault="00F920A7" w:rsidP="00DB2ABD">
            <w:pPr>
              <w:pStyle w:val="TableText"/>
              <w:snapToGrid w:val="0"/>
              <w:rPr>
                <w:lang w:eastAsia="en-GB"/>
              </w:rPr>
            </w:pPr>
            <w:r>
              <w:rPr>
                <w:lang w:eastAsia="en-GB"/>
              </w:rPr>
              <w:t>2</w:t>
            </w:r>
          </w:p>
        </w:tc>
        <w:tc>
          <w:tcPr>
            <w:tcW w:w="1158" w:type="dxa"/>
            <w:vMerge w:val="restart"/>
            <w:tcBorders>
              <w:top w:val="single" w:sz="4" w:space="0" w:color="auto"/>
              <w:left w:val="nil"/>
              <w:bottom w:val="single" w:sz="4" w:space="0" w:color="BFBFBF"/>
              <w:right w:val="single" w:sz="4" w:space="0" w:color="auto"/>
            </w:tcBorders>
          </w:tcPr>
          <w:p w14:paraId="1B4C9A5C" w14:textId="77777777" w:rsidR="00F920A7" w:rsidRDefault="00F920A7" w:rsidP="00DB2ABD">
            <w:pPr>
              <w:pStyle w:val="TableText"/>
              <w:snapToGrid w:val="0"/>
              <w:rPr>
                <w:lang w:eastAsia="en-GB"/>
              </w:rPr>
            </w:pPr>
          </w:p>
          <w:p w14:paraId="64CA8DEA" w14:textId="77777777" w:rsidR="00F920A7" w:rsidRDefault="00F920A7" w:rsidP="00DB2ABD">
            <w:pPr>
              <w:pStyle w:val="TableText"/>
              <w:snapToGrid w:val="0"/>
              <w:rPr>
                <w:lang w:eastAsia="en-GB"/>
              </w:rPr>
            </w:pPr>
            <w:r>
              <w:rPr>
                <w:lang w:eastAsia="en-GB"/>
              </w:rPr>
              <w:t>Expected shortfall for the regulatory risk classes</w:t>
            </w:r>
          </w:p>
        </w:tc>
        <w:tc>
          <w:tcPr>
            <w:tcW w:w="1211" w:type="dxa"/>
            <w:tcBorders>
              <w:top w:val="single" w:sz="4" w:space="0" w:color="auto"/>
              <w:left w:val="single" w:sz="4" w:space="0" w:color="auto"/>
              <w:bottom w:val="single" w:sz="4" w:space="0" w:color="BFBFBF"/>
              <w:right w:val="single" w:sz="4" w:space="0" w:color="auto"/>
            </w:tcBorders>
            <w:hideMark/>
          </w:tcPr>
          <w:p w14:paraId="49B349AF" w14:textId="77777777" w:rsidR="00F920A7" w:rsidRDefault="00F920A7" w:rsidP="00DB2ABD">
            <w:pPr>
              <w:pStyle w:val="TableText"/>
              <w:snapToGrid w:val="0"/>
              <w:rPr>
                <w:lang w:eastAsia="en-GB"/>
              </w:rPr>
            </w:pPr>
            <w:r>
              <w:rPr>
                <w:lang w:eastAsia="en-GB"/>
              </w:rPr>
              <w:t>General interest rate risk</w:t>
            </w:r>
          </w:p>
        </w:tc>
        <w:tc>
          <w:tcPr>
            <w:tcW w:w="851" w:type="dxa"/>
            <w:tcBorders>
              <w:top w:val="single" w:sz="4" w:space="0" w:color="auto"/>
              <w:left w:val="single" w:sz="4" w:space="0" w:color="auto"/>
              <w:bottom w:val="single" w:sz="4" w:space="0" w:color="BFBFBF"/>
              <w:right w:val="single" w:sz="4" w:space="0" w:color="auto"/>
            </w:tcBorders>
          </w:tcPr>
          <w:p w14:paraId="7E1EAC31" w14:textId="77777777" w:rsidR="00F920A7" w:rsidRDefault="00F920A7" w:rsidP="00DB2ABD">
            <w:pPr>
              <w:pStyle w:val="TableText"/>
              <w:snapToGrid w:val="0"/>
              <w:rPr>
                <w:lang w:eastAsia="en-GB"/>
              </w:rPr>
            </w:pPr>
          </w:p>
        </w:tc>
        <w:tc>
          <w:tcPr>
            <w:tcW w:w="1034" w:type="dxa"/>
            <w:tcBorders>
              <w:top w:val="single" w:sz="4" w:space="0" w:color="auto"/>
              <w:left w:val="single" w:sz="4" w:space="0" w:color="auto"/>
              <w:bottom w:val="single" w:sz="4" w:space="0" w:color="BFBFBF"/>
              <w:right w:val="single" w:sz="4" w:space="0" w:color="auto"/>
            </w:tcBorders>
          </w:tcPr>
          <w:p w14:paraId="79C0CA09" w14:textId="77777777" w:rsidR="00F920A7" w:rsidRDefault="00F920A7" w:rsidP="00DB2ABD">
            <w:pPr>
              <w:pStyle w:val="TableText"/>
              <w:snapToGrid w:val="0"/>
              <w:rPr>
                <w:lang w:eastAsia="en-GB"/>
              </w:rPr>
            </w:pPr>
          </w:p>
        </w:tc>
        <w:tc>
          <w:tcPr>
            <w:tcW w:w="851" w:type="dxa"/>
            <w:tcBorders>
              <w:top w:val="single" w:sz="4" w:space="0" w:color="auto"/>
              <w:left w:val="single" w:sz="4" w:space="0" w:color="auto"/>
              <w:bottom w:val="single" w:sz="4" w:space="0" w:color="BFBFBF"/>
              <w:right w:val="single" w:sz="4" w:space="0" w:color="auto"/>
            </w:tcBorders>
          </w:tcPr>
          <w:p w14:paraId="7413AD62" w14:textId="77777777" w:rsidR="00F920A7" w:rsidRDefault="00F920A7" w:rsidP="00DB2ABD">
            <w:pPr>
              <w:pStyle w:val="TableText"/>
              <w:snapToGrid w:val="0"/>
              <w:rPr>
                <w:lang w:eastAsia="en-GB"/>
              </w:rPr>
            </w:pPr>
          </w:p>
        </w:tc>
        <w:tc>
          <w:tcPr>
            <w:tcW w:w="868" w:type="dxa"/>
            <w:tcBorders>
              <w:top w:val="single" w:sz="4" w:space="0" w:color="auto"/>
              <w:left w:val="single" w:sz="4" w:space="0" w:color="auto"/>
              <w:bottom w:val="single" w:sz="4" w:space="0" w:color="BFBFBF"/>
              <w:right w:val="single" w:sz="4" w:space="0" w:color="auto"/>
            </w:tcBorders>
          </w:tcPr>
          <w:p w14:paraId="31EF7B05" w14:textId="77777777" w:rsidR="00F920A7" w:rsidRDefault="00F920A7" w:rsidP="00DB2ABD">
            <w:pPr>
              <w:pStyle w:val="TableText"/>
              <w:snapToGrid w:val="0"/>
              <w:rPr>
                <w:lang w:eastAsia="en-GB"/>
              </w:rPr>
            </w:pPr>
          </w:p>
        </w:tc>
        <w:tc>
          <w:tcPr>
            <w:tcW w:w="1080" w:type="dxa"/>
            <w:tcBorders>
              <w:top w:val="single" w:sz="4" w:space="0" w:color="auto"/>
              <w:left w:val="single" w:sz="4" w:space="0" w:color="auto"/>
              <w:bottom w:val="single" w:sz="4" w:space="0" w:color="BFBFBF"/>
              <w:right w:val="single" w:sz="4" w:space="0" w:color="auto"/>
            </w:tcBorders>
            <w:shd w:val="clear" w:color="auto" w:fill="BFBFBF"/>
          </w:tcPr>
          <w:p w14:paraId="4B4F3061" w14:textId="77777777" w:rsidR="00F920A7" w:rsidRDefault="00F920A7" w:rsidP="00DB2ABD">
            <w:pPr>
              <w:pStyle w:val="TableText"/>
              <w:snapToGrid w:val="0"/>
              <w:rPr>
                <w:lang w:eastAsia="en-GB"/>
              </w:rPr>
            </w:pPr>
          </w:p>
        </w:tc>
        <w:tc>
          <w:tcPr>
            <w:tcW w:w="851" w:type="dxa"/>
            <w:tcBorders>
              <w:top w:val="single" w:sz="4" w:space="0" w:color="auto"/>
              <w:left w:val="single" w:sz="4" w:space="0" w:color="auto"/>
              <w:bottom w:val="single" w:sz="4" w:space="0" w:color="BFBFBF"/>
              <w:right w:val="single" w:sz="4" w:space="0" w:color="auto"/>
            </w:tcBorders>
          </w:tcPr>
          <w:p w14:paraId="37FFD09B" w14:textId="77777777" w:rsidR="00F920A7" w:rsidRDefault="00F920A7" w:rsidP="00DB2ABD">
            <w:pPr>
              <w:pStyle w:val="TableText"/>
              <w:snapToGrid w:val="0"/>
              <w:rPr>
                <w:lang w:eastAsia="en-GB"/>
              </w:rPr>
            </w:pPr>
          </w:p>
        </w:tc>
        <w:tc>
          <w:tcPr>
            <w:tcW w:w="920" w:type="dxa"/>
            <w:tcBorders>
              <w:top w:val="single" w:sz="4" w:space="0" w:color="auto"/>
              <w:left w:val="single" w:sz="4" w:space="0" w:color="auto"/>
              <w:bottom w:val="single" w:sz="4" w:space="0" w:color="BFBFBF"/>
              <w:right w:val="single" w:sz="4" w:space="0" w:color="auto"/>
            </w:tcBorders>
          </w:tcPr>
          <w:p w14:paraId="6BF29C34" w14:textId="77777777" w:rsidR="00F920A7" w:rsidRDefault="00F920A7" w:rsidP="00DB2ABD">
            <w:pPr>
              <w:pStyle w:val="TableText"/>
              <w:snapToGrid w:val="0"/>
              <w:rPr>
                <w:lang w:eastAsia="en-GB"/>
              </w:rPr>
            </w:pPr>
          </w:p>
        </w:tc>
      </w:tr>
      <w:tr w:rsidR="00F920A7" w14:paraId="2DC355BB" w14:textId="77777777" w:rsidTr="007D2451">
        <w:trPr>
          <w:cantSplit/>
          <w:trHeight w:val="277"/>
        </w:trPr>
        <w:tc>
          <w:tcPr>
            <w:tcW w:w="424" w:type="dxa"/>
            <w:tcBorders>
              <w:top w:val="single" w:sz="4" w:space="0" w:color="BFBFBF"/>
              <w:left w:val="nil"/>
              <w:bottom w:val="single" w:sz="4" w:space="0" w:color="BFBFBF"/>
              <w:right w:val="single" w:sz="4" w:space="0" w:color="auto"/>
            </w:tcBorders>
            <w:hideMark/>
          </w:tcPr>
          <w:p w14:paraId="47B9A44D" w14:textId="77777777" w:rsidR="00F920A7" w:rsidRDefault="00F920A7" w:rsidP="00DB2ABD">
            <w:pPr>
              <w:pStyle w:val="TableText"/>
              <w:snapToGrid w:val="0"/>
              <w:rPr>
                <w:lang w:eastAsia="en-GB"/>
              </w:rPr>
            </w:pPr>
            <w:r>
              <w:rPr>
                <w:lang w:eastAsia="en-GB"/>
              </w:rPr>
              <w:t>3</w:t>
            </w:r>
          </w:p>
        </w:tc>
        <w:tc>
          <w:tcPr>
            <w:tcW w:w="0" w:type="auto"/>
            <w:vMerge/>
            <w:tcBorders>
              <w:top w:val="single" w:sz="4" w:space="0" w:color="BFBFBF"/>
              <w:left w:val="nil"/>
              <w:bottom w:val="single" w:sz="4" w:space="0" w:color="BFBFBF"/>
              <w:right w:val="single" w:sz="4" w:space="0" w:color="auto"/>
            </w:tcBorders>
            <w:vAlign w:val="center"/>
            <w:hideMark/>
          </w:tcPr>
          <w:p w14:paraId="37E0EADA" w14:textId="77777777" w:rsidR="00F920A7" w:rsidRDefault="00F920A7" w:rsidP="00DB2ABD">
            <w:pPr>
              <w:rPr>
                <w:sz w:val="17"/>
                <w:lang w:eastAsia="en-GB"/>
              </w:rPr>
            </w:pPr>
          </w:p>
        </w:tc>
        <w:tc>
          <w:tcPr>
            <w:tcW w:w="1211" w:type="dxa"/>
            <w:tcBorders>
              <w:top w:val="single" w:sz="4" w:space="0" w:color="BFBFBF"/>
              <w:left w:val="single" w:sz="4" w:space="0" w:color="auto"/>
              <w:bottom w:val="single" w:sz="4" w:space="0" w:color="BFBFBF"/>
              <w:right w:val="single" w:sz="4" w:space="0" w:color="auto"/>
            </w:tcBorders>
            <w:hideMark/>
          </w:tcPr>
          <w:p w14:paraId="4A9E6E9B" w14:textId="77777777" w:rsidR="00F920A7" w:rsidRDefault="00F920A7" w:rsidP="00DB2ABD">
            <w:pPr>
              <w:pStyle w:val="TableText"/>
              <w:snapToGrid w:val="0"/>
              <w:rPr>
                <w:lang w:eastAsia="en-GB"/>
              </w:rPr>
            </w:pPr>
            <w:r>
              <w:rPr>
                <w:lang w:eastAsia="en-GB"/>
              </w:rPr>
              <w:t>Equity risk</w:t>
            </w:r>
          </w:p>
        </w:tc>
        <w:tc>
          <w:tcPr>
            <w:tcW w:w="851" w:type="dxa"/>
            <w:tcBorders>
              <w:top w:val="single" w:sz="4" w:space="0" w:color="BFBFBF"/>
              <w:left w:val="single" w:sz="4" w:space="0" w:color="auto"/>
              <w:bottom w:val="single" w:sz="4" w:space="0" w:color="BFBFBF"/>
              <w:right w:val="single" w:sz="4" w:space="0" w:color="auto"/>
            </w:tcBorders>
          </w:tcPr>
          <w:p w14:paraId="3B06201A" w14:textId="77777777" w:rsidR="00F920A7" w:rsidRDefault="00F920A7" w:rsidP="00DB2ABD">
            <w:pPr>
              <w:pStyle w:val="TableText"/>
              <w:snapToGrid w:val="0"/>
              <w:rPr>
                <w:lang w:eastAsia="en-GB"/>
              </w:rPr>
            </w:pPr>
          </w:p>
        </w:tc>
        <w:tc>
          <w:tcPr>
            <w:tcW w:w="1034" w:type="dxa"/>
            <w:tcBorders>
              <w:top w:val="single" w:sz="4" w:space="0" w:color="BFBFBF"/>
              <w:left w:val="single" w:sz="4" w:space="0" w:color="auto"/>
              <w:bottom w:val="single" w:sz="4" w:space="0" w:color="BFBFBF"/>
              <w:right w:val="single" w:sz="4" w:space="0" w:color="auto"/>
            </w:tcBorders>
          </w:tcPr>
          <w:p w14:paraId="750A5F95" w14:textId="77777777" w:rsidR="00F920A7" w:rsidRDefault="00F920A7" w:rsidP="00DB2ABD">
            <w:pPr>
              <w:pStyle w:val="TableText"/>
              <w:snapToGrid w:val="0"/>
              <w:rPr>
                <w:lang w:eastAsia="en-GB"/>
              </w:rPr>
            </w:pPr>
          </w:p>
        </w:tc>
        <w:tc>
          <w:tcPr>
            <w:tcW w:w="851" w:type="dxa"/>
            <w:tcBorders>
              <w:top w:val="single" w:sz="4" w:space="0" w:color="BFBFBF"/>
              <w:left w:val="single" w:sz="4" w:space="0" w:color="auto"/>
              <w:bottom w:val="single" w:sz="4" w:space="0" w:color="BFBFBF"/>
              <w:right w:val="single" w:sz="4" w:space="0" w:color="auto"/>
            </w:tcBorders>
          </w:tcPr>
          <w:p w14:paraId="2A01C4AD" w14:textId="77777777" w:rsidR="00F920A7" w:rsidRDefault="00F920A7" w:rsidP="00DB2ABD">
            <w:pPr>
              <w:pStyle w:val="TableText"/>
              <w:snapToGrid w:val="0"/>
              <w:rPr>
                <w:lang w:eastAsia="en-GB"/>
              </w:rPr>
            </w:pPr>
          </w:p>
        </w:tc>
        <w:tc>
          <w:tcPr>
            <w:tcW w:w="868" w:type="dxa"/>
            <w:tcBorders>
              <w:top w:val="single" w:sz="4" w:space="0" w:color="BFBFBF"/>
              <w:left w:val="single" w:sz="4" w:space="0" w:color="auto"/>
              <w:bottom w:val="single" w:sz="4" w:space="0" w:color="BFBFBF"/>
              <w:right w:val="single" w:sz="4" w:space="0" w:color="auto"/>
            </w:tcBorders>
          </w:tcPr>
          <w:p w14:paraId="20E2E9E8" w14:textId="77777777" w:rsidR="00F920A7" w:rsidRDefault="00F920A7" w:rsidP="00DB2ABD">
            <w:pPr>
              <w:pStyle w:val="TableText"/>
              <w:snapToGrid w:val="0"/>
              <w:rPr>
                <w:lang w:eastAsia="en-GB"/>
              </w:rPr>
            </w:pPr>
          </w:p>
        </w:tc>
        <w:tc>
          <w:tcPr>
            <w:tcW w:w="1080" w:type="dxa"/>
            <w:tcBorders>
              <w:top w:val="single" w:sz="4" w:space="0" w:color="BFBFBF"/>
              <w:left w:val="single" w:sz="4" w:space="0" w:color="auto"/>
              <w:bottom w:val="single" w:sz="4" w:space="0" w:color="BFBFBF"/>
              <w:right w:val="single" w:sz="4" w:space="0" w:color="auto"/>
            </w:tcBorders>
            <w:shd w:val="clear" w:color="auto" w:fill="BFBFBF"/>
          </w:tcPr>
          <w:p w14:paraId="3C342094" w14:textId="77777777" w:rsidR="00F920A7" w:rsidRDefault="00F920A7" w:rsidP="00DB2ABD">
            <w:pPr>
              <w:pStyle w:val="TableText"/>
              <w:snapToGrid w:val="0"/>
              <w:rPr>
                <w:lang w:eastAsia="en-GB"/>
              </w:rPr>
            </w:pPr>
          </w:p>
        </w:tc>
        <w:tc>
          <w:tcPr>
            <w:tcW w:w="851" w:type="dxa"/>
            <w:tcBorders>
              <w:top w:val="single" w:sz="4" w:space="0" w:color="BFBFBF"/>
              <w:left w:val="single" w:sz="4" w:space="0" w:color="auto"/>
              <w:bottom w:val="single" w:sz="4" w:space="0" w:color="BFBFBF"/>
              <w:right w:val="single" w:sz="4" w:space="0" w:color="auto"/>
            </w:tcBorders>
          </w:tcPr>
          <w:p w14:paraId="36D2A98E" w14:textId="77777777" w:rsidR="00F920A7" w:rsidRDefault="00F920A7" w:rsidP="00DB2ABD">
            <w:pPr>
              <w:pStyle w:val="TableText"/>
              <w:snapToGrid w:val="0"/>
              <w:rPr>
                <w:lang w:eastAsia="en-GB"/>
              </w:rPr>
            </w:pPr>
          </w:p>
        </w:tc>
        <w:tc>
          <w:tcPr>
            <w:tcW w:w="920" w:type="dxa"/>
            <w:tcBorders>
              <w:top w:val="single" w:sz="4" w:space="0" w:color="BFBFBF"/>
              <w:left w:val="single" w:sz="4" w:space="0" w:color="auto"/>
              <w:bottom w:val="single" w:sz="4" w:space="0" w:color="BFBFBF"/>
              <w:right w:val="single" w:sz="4" w:space="0" w:color="auto"/>
            </w:tcBorders>
          </w:tcPr>
          <w:p w14:paraId="4ABF739E" w14:textId="77777777" w:rsidR="00F920A7" w:rsidRDefault="00F920A7" w:rsidP="00DB2ABD">
            <w:pPr>
              <w:pStyle w:val="TableText"/>
              <w:snapToGrid w:val="0"/>
              <w:rPr>
                <w:lang w:eastAsia="en-GB"/>
              </w:rPr>
            </w:pPr>
          </w:p>
        </w:tc>
      </w:tr>
      <w:tr w:rsidR="00F920A7" w14:paraId="5CAB5D0C" w14:textId="77777777" w:rsidTr="007D2451">
        <w:trPr>
          <w:cantSplit/>
          <w:trHeight w:val="293"/>
        </w:trPr>
        <w:tc>
          <w:tcPr>
            <w:tcW w:w="424" w:type="dxa"/>
            <w:tcBorders>
              <w:top w:val="single" w:sz="4" w:space="0" w:color="BFBFBF"/>
              <w:left w:val="nil"/>
              <w:bottom w:val="single" w:sz="4" w:space="0" w:color="BFBFBF"/>
              <w:right w:val="single" w:sz="4" w:space="0" w:color="auto"/>
            </w:tcBorders>
            <w:hideMark/>
          </w:tcPr>
          <w:p w14:paraId="39BCBEE6" w14:textId="77777777" w:rsidR="00F920A7" w:rsidRDefault="00F920A7" w:rsidP="00DB2ABD">
            <w:pPr>
              <w:pStyle w:val="TableText"/>
              <w:snapToGrid w:val="0"/>
              <w:rPr>
                <w:lang w:eastAsia="en-GB"/>
              </w:rPr>
            </w:pPr>
            <w:r>
              <w:rPr>
                <w:lang w:eastAsia="en-GB"/>
              </w:rPr>
              <w:t>4</w:t>
            </w:r>
          </w:p>
        </w:tc>
        <w:tc>
          <w:tcPr>
            <w:tcW w:w="0" w:type="auto"/>
            <w:vMerge/>
            <w:tcBorders>
              <w:top w:val="single" w:sz="4" w:space="0" w:color="BFBFBF"/>
              <w:left w:val="nil"/>
              <w:bottom w:val="single" w:sz="4" w:space="0" w:color="BFBFBF"/>
              <w:right w:val="single" w:sz="4" w:space="0" w:color="auto"/>
            </w:tcBorders>
            <w:vAlign w:val="center"/>
            <w:hideMark/>
          </w:tcPr>
          <w:p w14:paraId="18F460D6" w14:textId="77777777" w:rsidR="00F920A7" w:rsidRDefault="00F920A7" w:rsidP="00DB2ABD">
            <w:pPr>
              <w:rPr>
                <w:sz w:val="17"/>
                <w:lang w:eastAsia="en-GB"/>
              </w:rPr>
            </w:pPr>
          </w:p>
        </w:tc>
        <w:tc>
          <w:tcPr>
            <w:tcW w:w="1211" w:type="dxa"/>
            <w:tcBorders>
              <w:top w:val="single" w:sz="4" w:space="0" w:color="BFBFBF"/>
              <w:left w:val="single" w:sz="4" w:space="0" w:color="auto"/>
              <w:bottom w:val="single" w:sz="4" w:space="0" w:color="BFBFBF"/>
              <w:right w:val="single" w:sz="4" w:space="0" w:color="auto"/>
            </w:tcBorders>
            <w:hideMark/>
          </w:tcPr>
          <w:p w14:paraId="7233BF11" w14:textId="77777777" w:rsidR="00F920A7" w:rsidRDefault="00F920A7" w:rsidP="00DB2ABD">
            <w:pPr>
              <w:pStyle w:val="TableText"/>
              <w:snapToGrid w:val="0"/>
              <w:rPr>
                <w:lang w:eastAsia="en-GB"/>
              </w:rPr>
            </w:pPr>
            <w:r>
              <w:rPr>
                <w:lang w:eastAsia="en-GB"/>
              </w:rPr>
              <w:t>Commodity risk</w:t>
            </w:r>
          </w:p>
        </w:tc>
        <w:tc>
          <w:tcPr>
            <w:tcW w:w="851" w:type="dxa"/>
            <w:tcBorders>
              <w:top w:val="single" w:sz="4" w:space="0" w:color="BFBFBF"/>
              <w:left w:val="single" w:sz="4" w:space="0" w:color="auto"/>
              <w:bottom w:val="single" w:sz="4" w:space="0" w:color="BFBFBF"/>
              <w:right w:val="single" w:sz="4" w:space="0" w:color="auto"/>
            </w:tcBorders>
          </w:tcPr>
          <w:p w14:paraId="4635DA66" w14:textId="77777777" w:rsidR="00F920A7" w:rsidRDefault="00F920A7" w:rsidP="00DB2ABD">
            <w:pPr>
              <w:pStyle w:val="TableText"/>
              <w:snapToGrid w:val="0"/>
              <w:rPr>
                <w:lang w:eastAsia="en-GB"/>
              </w:rPr>
            </w:pPr>
          </w:p>
        </w:tc>
        <w:tc>
          <w:tcPr>
            <w:tcW w:w="1034" w:type="dxa"/>
            <w:tcBorders>
              <w:top w:val="single" w:sz="4" w:space="0" w:color="BFBFBF"/>
              <w:left w:val="single" w:sz="4" w:space="0" w:color="auto"/>
              <w:bottom w:val="single" w:sz="4" w:space="0" w:color="BFBFBF"/>
              <w:right w:val="single" w:sz="4" w:space="0" w:color="auto"/>
            </w:tcBorders>
          </w:tcPr>
          <w:p w14:paraId="1B085233" w14:textId="77777777" w:rsidR="00F920A7" w:rsidRDefault="00F920A7" w:rsidP="00DB2ABD">
            <w:pPr>
              <w:pStyle w:val="TableText"/>
              <w:snapToGrid w:val="0"/>
              <w:rPr>
                <w:lang w:eastAsia="en-GB"/>
              </w:rPr>
            </w:pPr>
          </w:p>
        </w:tc>
        <w:tc>
          <w:tcPr>
            <w:tcW w:w="851" w:type="dxa"/>
            <w:tcBorders>
              <w:top w:val="single" w:sz="4" w:space="0" w:color="BFBFBF"/>
              <w:left w:val="single" w:sz="4" w:space="0" w:color="auto"/>
              <w:bottom w:val="single" w:sz="4" w:space="0" w:color="BFBFBF"/>
              <w:right w:val="single" w:sz="4" w:space="0" w:color="auto"/>
            </w:tcBorders>
          </w:tcPr>
          <w:p w14:paraId="29462B85" w14:textId="77777777" w:rsidR="00F920A7" w:rsidRDefault="00F920A7" w:rsidP="00DB2ABD">
            <w:pPr>
              <w:pStyle w:val="TableText"/>
              <w:snapToGrid w:val="0"/>
              <w:rPr>
                <w:lang w:eastAsia="en-GB"/>
              </w:rPr>
            </w:pPr>
          </w:p>
        </w:tc>
        <w:tc>
          <w:tcPr>
            <w:tcW w:w="868" w:type="dxa"/>
            <w:tcBorders>
              <w:top w:val="single" w:sz="4" w:space="0" w:color="BFBFBF"/>
              <w:left w:val="single" w:sz="4" w:space="0" w:color="auto"/>
              <w:bottom w:val="single" w:sz="4" w:space="0" w:color="BFBFBF"/>
              <w:right w:val="single" w:sz="4" w:space="0" w:color="auto"/>
            </w:tcBorders>
          </w:tcPr>
          <w:p w14:paraId="0400619D" w14:textId="77777777" w:rsidR="00F920A7" w:rsidRDefault="00F920A7" w:rsidP="00DB2ABD">
            <w:pPr>
              <w:pStyle w:val="TableText"/>
              <w:snapToGrid w:val="0"/>
              <w:rPr>
                <w:lang w:eastAsia="en-GB"/>
              </w:rPr>
            </w:pPr>
          </w:p>
        </w:tc>
        <w:tc>
          <w:tcPr>
            <w:tcW w:w="1080" w:type="dxa"/>
            <w:tcBorders>
              <w:top w:val="single" w:sz="4" w:space="0" w:color="BFBFBF"/>
              <w:left w:val="single" w:sz="4" w:space="0" w:color="auto"/>
              <w:bottom w:val="single" w:sz="4" w:space="0" w:color="BFBFBF"/>
              <w:right w:val="single" w:sz="4" w:space="0" w:color="auto"/>
            </w:tcBorders>
            <w:shd w:val="clear" w:color="auto" w:fill="BFBFBF"/>
          </w:tcPr>
          <w:p w14:paraId="1DAD84C7" w14:textId="77777777" w:rsidR="00F920A7" w:rsidRDefault="00F920A7" w:rsidP="00DB2ABD">
            <w:pPr>
              <w:pStyle w:val="TableText"/>
              <w:snapToGrid w:val="0"/>
              <w:rPr>
                <w:lang w:eastAsia="en-GB"/>
              </w:rPr>
            </w:pPr>
          </w:p>
        </w:tc>
        <w:tc>
          <w:tcPr>
            <w:tcW w:w="851" w:type="dxa"/>
            <w:tcBorders>
              <w:top w:val="single" w:sz="4" w:space="0" w:color="BFBFBF"/>
              <w:left w:val="single" w:sz="4" w:space="0" w:color="auto"/>
              <w:bottom w:val="single" w:sz="4" w:space="0" w:color="BFBFBF"/>
              <w:right w:val="single" w:sz="4" w:space="0" w:color="auto"/>
            </w:tcBorders>
          </w:tcPr>
          <w:p w14:paraId="24CB775F" w14:textId="77777777" w:rsidR="00F920A7" w:rsidRDefault="00F920A7" w:rsidP="00DB2ABD">
            <w:pPr>
              <w:pStyle w:val="TableText"/>
              <w:snapToGrid w:val="0"/>
              <w:rPr>
                <w:lang w:eastAsia="en-GB"/>
              </w:rPr>
            </w:pPr>
          </w:p>
        </w:tc>
        <w:tc>
          <w:tcPr>
            <w:tcW w:w="920" w:type="dxa"/>
            <w:tcBorders>
              <w:top w:val="single" w:sz="4" w:space="0" w:color="BFBFBF"/>
              <w:left w:val="single" w:sz="4" w:space="0" w:color="auto"/>
              <w:bottom w:val="single" w:sz="4" w:space="0" w:color="BFBFBF"/>
              <w:right w:val="single" w:sz="4" w:space="0" w:color="auto"/>
            </w:tcBorders>
          </w:tcPr>
          <w:p w14:paraId="2CAF5061" w14:textId="77777777" w:rsidR="00F920A7" w:rsidRDefault="00F920A7" w:rsidP="00DB2ABD">
            <w:pPr>
              <w:pStyle w:val="TableText"/>
              <w:snapToGrid w:val="0"/>
              <w:rPr>
                <w:lang w:eastAsia="en-GB"/>
              </w:rPr>
            </w:pPr>
          </w:p>
        </w:tc>
      </w:tr>
      <w:tr w:rsidR="00F920A7" w14:paraId="3C0ECDF7" w14:textId="77777777" w:rsidTr="007D2451">
        <w:trPr>
          <w:cantSplit/>
          <w:trHeight w:val="293"/>
        </w:trPr>
        <w:tc>
          <w:tcPr>
            <w:tcW w:w="424" w:type="dxa"/>
            <w:tcBorders>
              <w:top w:val="single" w:sz="4" w:space="0" w:color="BFBFBF"/>
              <w:left w:val="nil"/>
              <w:bottom w:val="single" w:sz="4" w:space="0" w:color="BFBFBF"/>
              <w:right w:val="single" w:sz="4" w:space="0" w:color="auto"/>
            </w:tcBorders>
            <w:hideMark/>
          </w:tcPr>
          <w:p w14:paraId="351D7DF6" w14:textId="77777777" w:rsidR="00F920A7" w:rsidRDefault="00F920A7" w:rsidP="00DB2ABD">
            <w:pPr>
              <w:pStyle w:val="TableText"/>
              <w:snapToGrid w:val="0"/>
              <w:rPr>
                <w:lang w:eastAsia="en-GB"/>
              </w:rPr>
            </w:pPr>
            <w:r>
              <w:rPr>
                <w:lang w:eastAsia="en-GB"/>
              </w:rPr>
              <w:t>5</w:t>
            </w:r>
          </w:p>
        </w:tc>
        <w:tc>
          <w:tcPr>
            <w:tcW w:w="0" w:type="auto"/>
            <w:vMerge/>
            <w:tcBorders>
              <w:top w:val="single" w:sz="4" w:space="0" w:color="BFBFBF"/>
              <w:left w:val="nil"/>
              <w:bottom w:val="single" w:sz="4" w:space="0" w:color="BFBFBF"/>
              <w:right w:val="single" w:sz="4" w:space="0" w:color="auto"/>
            </w:tcBorders>
            <w:vAlign w:val="center"/>
            <w:hideMark/>
          </w:tcPr>
          <w:p w14:paraId="47760FB9" w14:textId="77777777" w:rsidR="00F920A7" w:rsidRDefault="00F920A7" w:rsidP="00DB2ABD">
            <w:pPr>
              <w:rPr>
                <w:sz w:val="17"/>
                <w:lang w:eastAsia="en-GB"/>
              </w:rPr>
            </w:pPr>
          </w:p>
        </w:tc>
        <w:tc>
          <w:tcPr>
            <w:tcW w:w="1211" w:type="dxa"/>
            <w:tcBorders>
              <w:top w:val="single" w:sz="4" w:space="0" w:color="BFBFBF"/>
              <w:left w:val="single" w:sz="4" w:space="0" w:color="auto"/>
              <w:bottom w:val="single" w:sz="4" w:space="0" w:color="BFBFBF"/>
              <w:right w:val="single" w:sz="4" w:space="0" w:color="auto"/>
            </w:tcBorders>
            <w:hideMark/>
          </w:tcPr>
          <w:p w14:paraId="1745FF61" w14:textId="77777777" w:rsidR="00F920A7" w:rsidRDefault="00F920A7" w:rsidP="00DB2ABD">
            <w:pPr>
              <w:pStyle w:val="TableText"/>
              <w:snapToGrid w:val="0"/>
              <w:rPr>
                <w:lang w:eastAsia="en-GB"/>
              </w:rPr>
            </w:pPr>
            <w:r>
              <w:rPr>
                <w:lang w:eastAsia="en-GB"/>
              </w:rPr>
              <w:t>Foreign exchange risk</w:t>
            </w:r>
          </w:p>
        </w:tc>
        <w:tc>
          <w:tcPr>
            <w:tcW w:w="851" w:type="dxa"/>
            <w:tcBorders>
              <w:top w:val="single" w:sz="4" w:space="0" w:color="BFBFBF"/>
              <w:left w:val="single" w:sz="4" w:space="0" w:color="auto"/>
              <w:bottom w:val="single" w:sz="4" w:space="0" w:color="BFBFBF"/>
              <w:right w:val="single" w:sz="4" w:space="0" w:color="auto"/>
            </w:tcBorders>
          </w:tcPr>
          <w:p w14:paraId="7362F78A" w14:textId="77777777" w:rsidR="00F920A7" w:rsidRDefault="00F920A7" w:rsidP="00DB2ABD">
            <w:pPr>
              <w:pStyle w:val="TableText"/>
              <w:snapToGrid w:val="0"/>
              <w:rPr>
                <w:lang w:eastAsia="en-GB"/>
              </w:rPr>
            </w:pPr>
          </w:p>
        </w:tc>
        <w:tc>
          <w:tcPr>
            <w:tcW w:w="1034" w:type="dxa"/>
            <w:tcBorders>
              <w:top w:val="single" w:sz="4" w:space="0" w:color="BFBFBF"/>
              <w:left w:val="single" w:sz="4" w:space="0" w:color="auto"/>
              <w:bottom w:val="single" w:sz="4" w:space="0" w:color="BFBFBF"/>
              <w:right w:val="single" w:sz="4" w:space="0" w:color="auto"/>
            </w:tcBorders>
          </w:tcPr>
          <w:p w14:paraId="36BF5807" w14:textId="77777777" w:rsidR="00F920A7" w:rsidRDefault="00F920A7" w:rsidP="00DB2ABD">
            <w:pPr>
              <w:pStyle w:val="TableText"/>
              <w:snapToGrid w:val="0"/>
              <w:rPr>
                <w:lang w:eastAsia="en-GB"/>
              </w:rPr>
            </w:pPr>
          </w:p>
        </w:tc>
        <w:tc>
          <w:tcPr>
            <w:tcW w:w="851" w:type="dxa"/>
            <w:tcBorders>
              <w:top w:val="single" w:sz="4" w:space="0" w:color="BFBFBF"/>
              <w:left w:val="single" w:sz="4" w:space="0" w:color="auto"/>
              <w:bottom w:val="single" w:sz="4" w:space="0" w:color="BFBFBF"/>
              <w:right w:val="single" w:sz="4" w:space="0" w:color="auto"/>
            </w:tcBorders>
          </w:tcPr>
          <w:p w14:paraId="65A0D7C9" w14:textId="77777777" w:rsidR="00F920A7" w:rsidRDefault="00F920A7" w:rsidP="00DB2ABD">
            <w:pPr>
              <w:pStyle w:val="TableText"/>
              <w:snapToGrid w:val="0"/>
              <w:rPr>
                <w:lang w:eastAsia="en-GB"/>
              </w:rPr>
            </w:pPr>
          </w:p>
        </w:tc>
        <w:tc>
          <w:tcPr>
            <w:tcW w:w="868" w:type="dxa"/>
            <w:tcBorders>
              <w:top w:val="single" w:sz="4" w:space="0" w:color="BFBFBF"/>
              <w:left w:val="single" w:sz="4" w:space="0" w:color="auto"/>
              <w:bottom w:val="single" w:sz="4" w:space="0" w:color="BFBFBF"/>
              <w:right w:val="single" w:sz="4" w:space="0" w:color="auto"/>
            </w:tcBorders>
          </w:tcPr>
          <w:p w14:paraId="668332A7" w14:textId="77777777" w:rsidR="00F920A7" w:rsidRDefault="00F920A7" w:rsidP="00DB2ABD">
            <w:pPr>
              <w:pStyle w:val="TableText"/>
              <w:snapToGrid w:val="0"/>
              <w:rPr>
                <w:lang w:eastAsia="en-GB"/>
              </w:rPr>
            </w:pPr>
          </w:p>
        </w:tc>
        <w:tc>
          <w:tcPr>
            <w:tcW w:w="1080" w:type="dxa"/>
            <w:tcBorders>
              <w:top w:val="single" w:sz="4" w:space="0" w:color="BFBFBF"/>
              <w:left w:val="single" w:sz="4" w:space="0" w:color="auto"/>
              <w:bottom w:val="single" w:sz="4" w:space="0" w:color="BFBFBF"/>
              <w:right w:val="single" w:sz="4" w:space="0" w:color="auto"/>
            </w:tcBorders>
            <w:shd w:val="clear" w:color="auto" w:fill="BFBFBF"/>
          </w:tcPr>
          <w:p w14:paraId="523B1B71" w14:textId="77777777" w:rsidR="00F920A7" w:rsidRDefault="00F920A7" w:rsidP="00DB2ABD">
            <w:pPr>
              <w:pStyle w:val="TableText"/>
              <w:snapToGrid w:val="0"/>
              <w:rPr>
                <w:lang w:eastAsia="en-GB"/>
              </w:rPr>
            </w:pPr>
          </w:p>
        </w:tc>
        <w:tc>
          <w:tcPr>
            <w:tcW w:w="851" w:type="dxa"/>
            <w:tcBorders>
              <w:top w:val="single" w:sz="4" w:space="0" w:color="BFBFBF"/>
              <w:left w:val="single" w:sz="4" w:space="0" w:color="auto"/>
              <w:bottom w:val="single" w:sz="4" w:space="0" w:color="BFBFBF"/>
              <w:right w:val="single" w:sz="4" w:space="0" w:color="auto"/>
            </w:tcBorders>
          </w:tcPr>
          <w:p w14:paraId="409891AC" w14:textId="77777777" w:rsidR="00F920A7" w:rsidRDefault="00F920A7" w:rsidP="00DB2ABD">
            <w:pPr>
              <w:pStyle w:val="TableText"/>
              <w:snapToGrid w:val="0"/>
              <w:rPr>
                <w:lang w:eastAsia="en-GB"/>
              </w:rPr>
            </w:pPr>
          </w:p>
        </w:tc>
        <w:tc>
          <w:tcPr>
            <w:tcW w:w="920" w:type="dxa"/>
            <w:tcBorders>
              <w:top w:val="single" w:sz="4" w:space="0" w:color="BFBFBF"/>
              <w:left w:val="single" w:sz="4" w:space="0" w:color="auto"/>
              <w:bottom w:val="single" w:sz="4" w:space="0" w:color="BFBFBF"/>
              <w:right w:val="single" w:sz="4" w:space="0" w:color="auto"/>
            </w:tcBorders>
          </w:tcPr>
          <w:p w14:paraId="3819423C" w14:textId="77777777" w:rsidR="00F920A7" w:rsidRDefault="00F920A7" w:rsidP="00DB2ABD">
            <w:pPr>
              <w:pStyle w:val="TableText"/>
              <w:snapToGrid w:val="0"/>
              <w:rPr>
                <w:lang w:eastAsia="en-GB"/>
              </w:rPr>
            </w:pPr>
          </w:p>
        </w:tc>
      </w:tr>
      <w:tr w:rsidR="00F920A7" w14:paraId="4901385D" w14:textId="77777777" w:rsidTr="007D2451">
        <w:trPr>
          <w:cantSplit/>
          <w:trHeight w:val="293"/>
        </w:trPr>
        <w:tc>
          <w:tcPr>
            <w:tcW w:w="424" w:type="dxa"/>
            <w:tcBorders>
              <w:top w:val="single" w:sz="4" w:space="0" w:color="BFBFBF"/>
              <w:left w:val="nil"/>
              <w:bottom w:val="single" w:sz="4" w:space="0" w:color="auto"/>
              <w:right w:val="single" w:sz="4" w:space="0" w:color="auto"/>
            </w:tcBorders>
            <w:hideMark/>
          </w:tcPr>
          <w:p w14:paraId="1F00523A" w14:textId="77777777" w:rsidR="00F920A7" w:rsidRDefault="00F920A7" w:rsidP="00DB2ABD">
            <w:pPr>
              <w:pStyle w:val="TableText"/>
              <w:snapToGrid w:val="0"/>
              <w:rPr>
                <w:lang w:eastAsia="en-GB"/>
              </w:rPr>
            </w:pPr>
            <w:r>
              <w:rPr>
                <w:lang w:eastAsia="en-GB"/>
              </w:rPr>
              <w:t>6</w:t>
            </w:r>
          </w:p>
        </w:tc>
        <w:tc>
          <w:tcPr>
            <w:tcW w:w="0" w:type="auto"/>
            <w:vMerge/>
            <w:tcBorders>
              <w:top w:val="single" w:sz="4" w:space="0" w:color="BFBFBF"/>
              <w:left w:val="nil"/>
              <w:bottom w:val="single" w:sz="4" w:space="0" w:color="auto"/>
              <w:right w:val="single" w:sz="4" w:space="0" w:color="auto"/>
            </w:tcBorders>
            <w:vAlign w:val="center"/>
            <w:hideMark/>
          </w:tcPr>
          <w:p w14:paraId="6A5F3836" w14:textId="77777777" w:rsidR="00F920A7" w:rsidRDefault="00F920A7" w:rsidP="00DB2ABD">
            <w:pPr>
              <w:rPr>
                <w:sz w:val="17"/>
                <w:lang w:eastAsia="en-GB"/>
              </w:rPr>
            </w:pPr>
          </w:p>
        </w:tc>
        <w:tc>
          <w:tcPr>
            <w:tcW w:w="1211" w:type="dxa"/>
            <w:tcBorders>
              <w:top w:val="single" w:sz="4" w:space="0" w:color="BFBFBF"/>
              <w:left w:val="single" w:sz="4" w:space="0" w:color="auto"/>
              <w:bottom w:val="single" w:sz="4" w:space="0" w:color="auto"/>
              <w:right w:val="single" w:sz="4" w:space="0" w:color="auto"/>
            </w:tcBorders>
            <w:hideMark/>
          </w:tcPr>
          <w:p w14:paraId="61FC51D9" w14:textId="77777777" w:rsidR="00F920A7" w:rsidRDefault="00F920A7" w:rsidP="00DB2ABD">
            <w:pPr>
              <w:pStyle w:val="TableText"/>
              <w:snapToGrid w:val="0"/>
              <w:rPr>
                <w:noProof/>
                <w:lang w:eastAsia="en-GB"/>
              </w:rPr>
            </w:pPr>
            <w:r>
              <w:rPr>
                <w:noProof/>
                <w:lang w:eastAsia="en-GB"/>
              </w:rPr>
              <w:t>Credit spread risk</w:t>
            </w:r>
          </w:p>
        </w:tc>
        <w:tc>
          <w:tcPr>
            <w:tcW w:w="851" w:type="dxa"/>
            <w:tcBorders>
              <w:top w:val="single" w:sz="4" w:space="0" w:color="BFBFBF"/>
              <w:left w:val="single" w:sz="4" w:space="0" w:color="auto"/>
              <w:bottom w:val="single" w:sz="4" w:space="0" w:color="auto"/>
              <w:right w:val="single" w:sz="4" w:space="0" w:color="auto"/>
            </w:tcBorders>
          </w:tcPr>
          <w:p w14:paraId="27DCD0B1" w14:textId="77777777" w:rsidR="00F920A7" w:rsidRDefault="00F920A7" w:rsidP="00DB2ABD">
            <w:pPr>
              <w:pStyle w:val="TableText"/>
              <w:snapToGrid w:val="0"/>
              <w:rPr>
                <w:lang w:eastAsia="en-GB"/>
              </w:rPr>
            </w:pPr>
          </w:p>
        </w:tc>
        <w:tc>
          <w:tcPr>
            <w:tcW w:w="1034" w:type="dxa"/>
            <w:tcBorders>
              <w:top w:val="single" w:sz="4" w:space="0" w:color="BFBFBF"/>
              <w:left w:val="single" w:sz="4" w:space="0" w:color="auto"/>
              <w:bottom w:val="single" w:sz="4" w:space="0" w:color="auto"/>
              <w:right w:val="single" w:sz="4" w:space="0" w:color="auto"/>
            </w:tcBorders>
          </w:tcPr>
          <w:p w14:paraId="5D3EEE7D" w14:textId="77777777" w:rsidR="00F920A7" w:rsidRDefault="00F920A7" w:rsidP="00DB2ABD">
            <w:pPr>
              <w:pStyle w:val="TableText"/>
              <w:snapToGrid w:val="0"/>
              <w:rPr>
                <w:lang w:eastAsia="en-GB"/>
              </w:rPr>
            </w:pPr>
          </w:p>
        </w:tc>
        <w:tc>
          <w:tcPr>
            <w:tcW w:w="851" w:type="dxa"/>
            <w:tcBorders>
              <w:top w:val="single" w:sz="4" w:space="0" w:color="BFBFBF"/>
              <w:left w:val="single" w:sz="4" w:space="0" w:color="auto"/>
              <w:bottom w:val="single" w:sz="4" w:space="0" w:color="auto"/>
              <w:right w:val="single" w:sz="4" w:space="0" w:color="auto"/>
            </w:tcBorders>
          </w:tcPr>
          <w:p w14:paraId="52502998" w14:textId="77777777" w:rsidR="00F920A7" w:rsidRDefault="00F920A7" w:rsidP="00DB2ABD">
            <w:pPr>
              <w:pStyle w:val="TableText"/>
              <w:snapToGrid w:val="0"/>
              <w:rPr>
                <w:lang w:eastAsia="en-GB"/>
              </w:rPr>
            </w:pPr>
          </w:p>
        </w:tc>
        <w:tc>
          <w:tcPr>
            <w:tcW w:w="868" w:type="dxa"/>
            <w:tcBorders>
              <w:top w:val="single" w:sz="4" w:space="0" w:color="BFBFBF"/>
              <w:left w:val="single" w:sz="4" w:space="0" w:color="auto"/>
              <w:bottom w:val="single" w:sz="4" w:space="0" w:color="auto"/>
              <w:right w:val="single" w:sz="4" w:space="0" w:color="auto"/>
            </w:tcBorders>
          </w:tcPr>
          <w:p w14:paraId="6858938B" w14:textId="77777777" w:rsidR="00F920A7" w:rsidRDefault="00F920A7" w:rsidP="00DB2ABD">
            <w:pPr>
              <w:pStyle w:val="TableText"/>
              <w:snapToGrid w:val="0"/>
              <w:rPr>
                <w:lang w:eastAsia="en-GB"/>
              </w:rPr>
            </w:pPr>
          </w:p>
        </w:tc>
        <w:tc>
          <w:tcPr>
            <w:tcW w:w="1080" w:type="dxa"/>
            <w:tcBorders>
              <w:top w:val="single" w:sz="4" w:space="0" w:color="BFBFBF"/>
              <w:left w:val="single" w:sz="4" w:space="0" w:color="auto"/>
              <w:bottom w:val="single" w:sz="4" w:space="0" w:color="auto"/>
              <w:right w:val="single" w:sz="4" w:space="0" w:color="auto"/>
            </w:tcBorders>
            <w:shd w:val="clear" w:color="auto" w:fill="BFBFBF"/>
          </w:tcPr>
          <w:p w14:paraId="292127D8" w14:textId="77777777" w:rsidR="00F920A7" w:rsidRDefault="00F920A7" w:rsidP="00DB2ABD">
            <w:pPr>
              <w:pStyle w:val="TableText"/>
              <w:snapToGrid w:val="0"/>
              <w:rPr>
                <w:lang w:eastAsia="en-GB"/>
              </w:rPr>
            </w:pPr>
          </w:p>
        </w:tc>
        <w:tc>
          <w:tcPr>
            <w:tcW w:w="851" w:type="dxa"/>
            <w:tcBorders>
              <w:top w:val="single" w:sz="4" w:space="0" w:color="BFBFBF"/>
              <w:left w:val="single" w:sz="4" w:space="0" w:color="auto"/>
              <w:bottom w:val="single" w:sz="4" w:space="0" w:color="auto"/>
              <w:right w:val="single" w:sz="4" w:space="0" w:color="auto"/>
            </w:tcBorders>
          </w:tcPr>
          <w:p w14:paraId="780255F8" w14:textId="77777777" w:rsidR="00F920A7" w:rsidRDefault="00F920A7" w:rsidP="00DB2ABD">
            <w:pPr>
              <w:pStyle w:val="TableText"/>
              <w:snapToGrid w:val="0"/>
              <w:rPr>
                <w:lang w:eastAsia="en-GB"/>
              </w:rPr>
            </w:pPr>
          </w:p>
        </w:tc>
        <w:tc>
          <w:tcPr>
            <w:tcW w:w="920" w:type="dxa"/>
            <w:tcBorders>
              <w:top w:val="single" w:sz="4" w:space="0" w:color="BFBFBF"/>
              <w:left w:val="single" w:sz="4" w:space="0" w:color="auto"/>
              <w:bottom w:val="single" w:sz="4" w:space="0" w:color="auto"/>
              <w:right w:val="single" w:sz="4" w:space="0" w:color="auto"/>
            </w:tcBorders>
          </w:tcPr>
          <w:p w14:paraId="0CA8F665" w14:textId="77777777" w:rsidR="00F920A7" w:rsidRDefault="00F920A7" w:rsidP="00DB2ABD">
            <w:pPr>
              <w:pStyle w:val="TableText"/>
              <w:snapToGrid w:val="0"/>
              <w:rPr>
                <w:lang w:eastAsia="en-GB"/>
              </w:rPr>
            </w:pPr>
          </w:p>
        </w:tc>
      </w:tr>
      <w:tr w:rsidR="00F920A7" w14:paraId="04D03CBA" w14:textId="77777777" w:rsidTr="00DB2ABD">
        <w:trPr>
          <w:cantSplit/>
          <w:trHeight w:val="293"/>
        </w:trPr>
        <w:tc>
          <w:tcPr>
            <w:tcW w:w="424" w:type="dxa"/>
            <w:tcBorders>
              <w:top w:val="single" w:sz="4" w:space="0" w:color="auto"/>
              <w:left w:val="nil"/>
              <w:bottom w:val="single" w:sz="4" w:space="0" w:color="auto"/>
              <w:right w:val="single" w:sz="4" w:space="0" w:color="auto"/>
            </w:tcBorders>
            <w:hideMark/>
          </w:tcPr>
          <w:p w14:paraId="4EDC200D" w14:textId="77777777" w:rsidR="00F920A7" w:rsidRDefault="00F920A7" w:rsidP="00DB2ABD">
            <w:pPr>
              <w:pStyle w:val="TableText"/>
              <w:snapToGrid w:val="0"/>
              <w:rPr>
                <w:lang w:eastAsia="en-GB"/>
              </w:rPr>
            </w:pPr>
            <w:r>
              <w:rPr>
                <w:lang w:eastAsia="en-GB"/>
              </w:rPr>
              <w:lastRenderedPageBreak/>
              <w:t>7</w:t>
            </w:r>
          </w:p>
        </w:tc>
        <w:tc>
          <w:tcPr>
            <w:tcW w:w="2369" w:type="dxa"/>
            <w:gridSpan w:val="2"/>
            <w:tcBorders>
              <w:top w:val="single" w:sz="4" w:space="0" w:color="auto"/>
              <w:left w:val="nil"/>
              <w:bottom w:val="single" w:sz="4" w:space="0" w:color="auto"/>
              <w:right w:val="single" w:sz="4" w:space="0" w:color="auto"/>
            </w:tcBorders>
            <w:hideMark/>
          </w:tcPr>
          <w:p w14:paraId="6DC66B83" w14:textId="77777777" w:rsidR="00F920A7" w:rsidRDefault="00F920A7" w:rsidP="00DB2ABD">
            <w:pPr>
              <w:pStyle w:val="TableText"/>
              <w:snapToGrid w:val="0"/>
              <w:rPr>
                <w:lang w:eastAsia="en-GB"/>
              </w:rPr>
            </w:pPr>
            <w:r>
              <w:rPr>
                <w:lang w:eastAsia="en-GB"/>
              </w:rPr>
              <w:t>Constrained expected shortfall</w:t>
            </w:r>
          </w:p>
        </w:tc>
        <w:tc>
          <w:tcPr>
            <w:tcW w:w="851" w:type="dxa"/>
            <w:tcBorders>
              <w:top w:val="single" w:sz="4" w:space="0" w:color="auto"/>
              <w:left w:val="single" w:sz="4" w:space="0" w:color="auto"/>
              <w:bottom w:val="single" w:sz="4" w:space="0" w:color="auto"/>
              <w:right w:val="single" w:sz="4" w:space="0" w:color="auto"/>
            </w:tcBorders>
          </w:tcPr>
          <w:p w14:paraId="701763CB" w14:textId="77777777" w:rsidR="00F920A7" w:rsidRDefault="00F920A7" w:rsidP="00DB2ABD">
            <w:pPr>
              <w:pStyle w:val="TableText"/>
              <w:snapToGrid w:val="0"/>
              <w:rPr>
                <w:lang w:eastAsia="en-GB"/>
              </w:rPr>
            </w:pPr>
          </w:p>
        </w:tc>
        <w:tc>
          <w:tcPr>
            <w:tcW w:w="1034" w:type="dxa"/>
            <w:tcBorders>
              <w:top w:val="single" w:sz="4" w:space="0" w:color="auto"/>
              <w:left w:val="single" w:sz="4" w:space="0" w:color="auto"/>
              <w:bottom w:val="single" w:sz="4" w:space="0" w:color="auto"/>
              <w:right w:val="single" w:sz="4" w:space="0" w:color="auto"/>
            </w:tcBorders>
          </w:tcPr>
          <w:p w14:paraId="4C5C4F77" w14:textId="77777777" w:rsidR="00F920A7" w:rsidRDefault="00F920A7" w:rsidP="00DB2ABD">
            <w:pPr>
              <w:pStyle w:val="TableText"/>
              <w:snapToGrid w:val="0"/>
              <w:rPr>
                <w:lang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BFBFBF"/>
          </w:tcPr>
          <w:p w14:paraId="0C6177A7" w14:textId="77777777" w:rsidR="00F920A7" w:rsidRDefault="00F920A7" w:rsidP="00DB2ABD">
            <w:pPr>
              <w:pStyle w:val="TableText"/>
              <w:snapToGrid w:val="0"/>
              <w:rPr>
                <w:lang w:eastAsia="en-GB"/>
              </w:rPr>
            </w:pPr>
          </w:p>
        </w:tc>
        <w:tc>
          <w:tcPr>
            <w:tcW w:w="868" w:type="dxa"/>
            <w:tcBorders>
              <w:top w:val="single" w:sz="4" w:space="0" w:color="auto"/>
              <w:left w:val="single" w:sz="4" w:space="0" w:color="auto"/>
              <w:bottom w:val="single" w:sz="4" w:space="0" w:color="auto"/>
              <w:right w:val="single" w:sz="4" w:space="0" w:color="auto"/>
            </w:tcBorders>
            <w:shd w:val="clear" w:color="auto" w:fill="BFBFBF"/>
          </w:tcPr>
          <w:p w14:paraId="1237F8F8" w14:textId="77777777" w:rsidR="00F920A7" w:rsidRDefault="00F920A7" w:rsidP="00DB2ABD">
            <w:pPr>
              <w:pStyle w:val="TableText"/>
              <w:snapToGrid w:val="0"/>
              <w:rPr>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BFBFBF"/>
          </w:tcPr>
          <w:p w14:paraId="0856F785" w14:textId="77777777" w:rsidR="00F920A7" w:rsidRDefault="00F920A7" w:rsidP="00DB2ABD">
            <w:pPr>
              <w:pStyle w:val="TableText"/>
              <w:snapToGrid w:val="0"/>
              <w:rPr>
                <w:lang w:eastAsia="en-GB"/>
              </w:rPr>
            </w:pPr>
          </w:p>
        </w:tc>
        <w:tc>
          <w:tcPr>
            <w:tcW w:w="851" w:type="dxa"/>
            <w:tcBorders>
              <w:top w:val="single" w:sz="4" w:space="0" w:color="auto"/>
              <w:left w:val="single" w:sz="4" w:space="0" w:color="auto"/>
              <w:bottom w:val="single" w:sz="4" w:space="0" w:color="auto"/>
              <w:right w:val="single" w:sz="4" w:space="0" w:color="auto"/>
            </w:tcBorders>
          </w:tcPr>
          <w:p w14:paraId="0B62705A" w14:textId="77777777" w:rsidR="00F920A7" w:rsidRDefault="00F920A7" w:rsidP="00DB2ABD">
            <w:pPr>
              <w:pStyle w:val="TableText"/>
              <w:snapToGrid w:val="0"/>
              <w:rPr>
                <w:lang w:eastAsia="en-GB"/>
              </w:rPr>
            </w:pPr>
          </w:p>
        </w:tc>
        <w:tc>
          <w:tcPr>
            <w:tcW w:w="920" w:type="dxa"/>
            <w:tcBorders>
              <w:top w:val="single" w:sz="4" w:space="0" w:color="auto"/>
              <w:left w:val="single" w:sz="4" w:space="0" w:color="auto"/>
              <w:bottom w:val="single" w:sz="4" w:space="0" w:color="auto"/>
              <w:right w:val="single" w:sz="4" w:space="0" w:color="auto"/>
            </w:tcBorders>
          </w:tcPr>
          <w:p w14:paraId="5A7CE7AA" w14:textId="77777777" w:rsidR="00F920A7" w:rsidRDefault="00F920A7" w:rsidP="00DB2ABD">
            <w:pPr>
              <w:pStyle w:val="TableText"/>
              <w:snapToGrid w:val="0"/>
              <w:rPr>
                <w:lang w:eastAsia="en-GB"/>
              </w:rPr>
            </w:pPr>
          </w:p>
        </w:tc>
      </w:tr>
      <w:tr w:rsidR="00F920A7" w14:paraId="3752412E" w14:textId="77777777" w:rsidTr="00DB2ABD">
        <w:trPr>
          <w:cantSplit/>
          <w:trHeight w:val="293"/>
        </w:trPr>
        <w:tc>
          <w:tcPr>
            <w:tcW w:w="424" w:type="dxa"/>
            <w:tcBorders>
              <w:top w:val="single" w:sz="4" w:space="0" w:color="auto"/>
              <w:left w:val="nil"/>
              <w:bottom w:val="single" w:sz="4" w:space="0" w:color="auto"/>
              <w:right w:val="single" w:sz="4" w:space="0" w:color="auto"/>
            </w:tcBorders>
            <w:hideMark/>
          </w:tcPr>
          <w:p w14:paraId="43B6687D" w14:textId="77777777" w:rsidR="00F920A7" w:rsidRDefault="00F920A7" w:rsidP="00DB2ABD">
            <w:pPr>
              <w:pStyle w:val="TableText"/>
              <w:snapToGrid w:val="0"/>
              <w:rPr>
                <w:lang w:eastAsia="en-GB"/>
              </w:rPr>
            </w:pPr>
            <w:r>
              <w:rPr>
                <w:lang w:eastAsia="en-GB"/>
              </w:rPr>
              <w:t>8</w:t>
            </w:r>
          </w:p>
        </w:tc>
        <w:tc>
          <w:tcPr>
            <w:tcW w:w="2369" w:type="dxa"/>
            <w:gridSpan w:val="2"/>
            <w:tcBorders>
              <w:top w:val="single" w:sz="4" w:space="0" w:color="auto"/>
              <w:left w:val="nil"/>
              <w:bottom w:val="single" w:sz="4" w:space="0" w:color="auto"/>
              <w:right w:val="single" w:sz="4" w:space="0" w:color="auto"/>
            </w:tcBorders>
            <w:hideMark/>
          </w:tcPr>
          <w:p w14:paraId="47D350BC" w14:textId="77777777" w:rsidR="00F920A7" w:rsidRDefault="00F920A7" w:rsidP="00DB2ABD">
            <w:pPr>
              <w:pStyle w:val="TableText"/>
              <w:snapToGrid w:val="0"/>
              <w:rPr>
                <w:lang w:eastAsia="en-GB"/>
              </w:rPr>
            </w:pPr>
            <w:r>
              <w:rPr>
                <w:lang w:eastAsia="en-GB"/>
              </w:rPr>
              <w:t xml:space="preserve">IMCC </w:t>
            </w:r>
          </w:p>
        </w:tc>
        <w:tc>
          <w:tcPr>
            <w:tcW w:w="851" w:type="dxa"/>
            <w:tcBorders>
              <w:top w:val="single" w:sz="4" w:space="0" w:color="auto"/>
              <w:left w:val="single" w:sz="4" w:space="0" w:color="auto"/>
              <w:bottom w:val="single" w:sz="4" w:space="0" w:color="auto"/>
              <w:right w:val="single" w:sz="4" w:space="0" w:color="auto"/>
            </w:tcBorders>
          </w:tcPr>
          <w:p w14:paraId="10CD2786" w14:textId="77777777" w:rsidR="00F920A7" w:rsidRDefault="00F920A7" w:rsidP="00DB2ABD">
            <w:pPr>
              <w:pStyle w:val="TableText"/>
              <w:snapToGrid w:val="0"/>
              <w:rPr>
                <w:lang w:eastAsia="en-GB"/>
              </w:rPr>
            </w:pPr>
          </w:p>
        </w:tc>
        <w:tc>
          <w:tcPr>
            <w:tcW w:w="1034" w:type="dxa"/>
            <w:tcBorders>
              <w:top w:val="single" w:sz="4" w:space="0" w:color="auto"/>
              <w:left w:val="single" w:sz="4" w:space="0" w:color="auto"/>
              <w:bottom w:val="single" w:sz="4" w:space="0" w:color="auto"/>
              <w:right w:val="single" w:sz="4" w:space="0" w:color="auto"/>
            </w:tcBorders>
          </w:tcPr>
          <w:p w14:paraId="2971F063" w14:textId="77777777" w:rsidR="00F920A7" w:rsidRDefault="00F920A7" w:rsidP="00DB2ABD">
            <w:pPr>
              <w:pStyle w:val="TableText"/>
              <w:snapToGrid w:val="0"/>
              <w:rPr>
                <w:lang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BFBFBF"/>
          </w:tcPr>
          <w:p w14:paraId="131FBBFE" w14:textId="77777777" w:rsidR="00F920A7" w:rsidRDefault="00F920A7" w:rsidP="00DB2ABD">
            <w:pPr>
              <w:pStyle w:val="TableText"/>
              <w:snapToGrid w:val="0"/>
              <w:rPr>
                <w:lang w:eastAsia="en-GB"/>
              </w:rPr>
            </w:pPr>
          </w:p>
        </w:tc>
        <w:tc>
          <w:tcPr>
            <w:tcW w:w="868" w:type="dxa"/>
            <w:tcBorders>
              <w:top w:val="single" w:sz="4" w:space="0" w:color="auto"/>
              <w:left w:val="single" w:sz="4" w:space="0" w:color="auto"/>
              <w:bottom w:val="single" w:sz="4" w:space="0" w:color="auto"/>
              <w:right w:val="single" w:sz="4" w:space="0" w:color="auto"/>
            </w:tcBorders>
            <w:shd w:val="clear" w:color="auto" w:fill="BFBFBF"/>
          </w:tcPr>
          <w:p w14:paraId="437BB153" w14:textId="77777777" w:rsidR="00F920A7" w:rsidRDefault="00F920A7" w:rsidP="00DB2ABD">
            <w:pPr>
              <w:pStyle w:val="TableText"/>
              <w:snapToGrid w:val="0"/>
              <w:rPr>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BFBFBF"/>
          </w:tcPr>
          <w:p w14:paraId="7B4EA3E0" w14:textId="77777777" w:rsidR="00F920A7" w:rsidRDefault="00F920A7" w:rsidP="00DB2ABD">
            <w:pPr>
              <w:pStyle w:val="TableText"/>
              <w:snapToGrid w:val="0"/>
              <w:rPr>
                <w:lang w:eastAsia="en-GB"/>
              </w:rPr>
            </w:pPr>
          </w:p>
        </w:tc>
        <w:tc>
          <w:tcPr>
            <w:tcW w:w="851" w:type="dxa"/>
            <w:tcBorders>
              <w:top w:val="single" w:sz="4" w:space="0" w:color="auto"/>
              <w:left w:val="single" w:sz="4" w:space="0" w:color="auto"/>
              <w:bottom w:val="single" w:sz="4" w:space="0" w:color="auto"/>
              <w:right w:val="single" w:sz="4" w:space="0" w:color="auto"/>
            </w:tcBorders>
          </w:tcPr>
          <w:p w14:paraId="12F1C9B4" w14:textId="77777777" w:rsidR="00F920A7" w:rsidRDefault="00F920A7" w:rsidP="00DB2ABD">
            <w:pPr>
              <w:pStyle w:val="TableText"/>
              <w:snapToGrid w:val="0"/>
              <w:rPr>
                <w:lang w:eastAsia="en-GB"/>
              </w:rPr>
            </w:pPr>
          </w:p>
        </w:tc>
        <w:tc>
          <w:tcPr>
            <w:tcW w:w="920" w:type="dxa"/>
            <w:tcBorders>
              <w:top w:val="single" w:sz="4" w:space="0" w:color="auto"/>
              <w:left w:val="single" w:sz="4" w:space="0" w:color="auto"/>
              <w:bottom w:val="single" w:sz="4" w:space="0" w:color="auto"/>
              <w:right w:val="single" w:sz="4" w:space="0" w:color="auto"/>
            </w:tcBorders>
          </w:tcPr>
          <w:p w14:paraId="60D3C5A5" w14:textId="77777777" w:rsidR="00F920A7" w:rsidRDefault="00F920A7" w:rsidP="00DB2ABD">
            <w:pPr>
              <w:pStyle w:val="TableText"/>
              <w:snapToGrid w:val="0"/>
              <w:rPr>
                <w:lang w:eastAsia="en-GB"/>
              </w:rPr>
            </w:pPr>
          </w:p>
        </w:tc>
      </w:tr>
      <w:tr w:rsidR="00F920A7" w14:paraId="5E02FE32" w14:textId="77777777" w:rsidTr="00DB2ABD">
        <w:trPr>
          <w:cantSplit/>
          <w:trHeight w:val="293"/>
        </w:trPr>
        <w:tc>
          <w:tcPr>
            <w:tcW w:w="424" w:type="dxa"/>
            <w:tcBorders>
              <w:top w:val="single" w:sz="4" w:space="0" w:color="auto"/>
              <w:left w:val="nil"/>
              <w:bottom w:val="single" w:sz="4" w:space="0" w:color="auto"/>
              <w:right w:val="single" w:sz="4" w:space="0" w:color="auto"/>
            </w:tcBorders>
            <w:hideMark/>
          </w:tcPr>
          <w:p w14:paraId="699B4D50" w14:textId="77777777" w:rsidR="00F920A7" w:rsidRDefault="00F920A7" w:rsidP="00DB2ABD">
            <w:pPr>
              <w:pStyle w:val="TableText"/>
              <w:snapToGrid w:val="0"/>
              <w:rPr>
                <w:lang w:eastAsia="en-GB"/>
              </w:rPr>
            </w:pPr>
            <w:r>
              <w:rPr>
                <w:lang w:eastAsia="en-GB"/>
              </w:rPr>
              <w:t>9</w:t>
            </w:r>
          </w:p>
        </w:tc>
        <w:tc>
          <w:tcPr>
            <w:tcW w:w="2369" w:type="dxa"/>
            <w:gridSpan w:val="2"/>
            <w:tcBorders>
              <w:top w:val="single" w:sz="4" w:space="0" w:color="auto"/>
              <w:left w:val="nil"/>
              <w:bottom w:val="single" w:sz="4" w:space="0" w:color="auto"/>
              <w:right w:val="single" w:sz="4" w:space="0" w:color="auto"/>
            </w:tcBorders>
            <w:hideMark/>
          </w:tcPr>
          <w:p w14:paraId="05F1DA78" w14:textId="77777777" w:rsidR="00F920A7" w:rsidRDefault="00F920A7" w:rsidP="00DB2ABD">
            <w:pPr>
              <w:pStyle w:val="TableText"/>
              <w:snapToGrid w:val="0"/>
              <w:rPr>
                <w:lang w:eastAsia="en-GB"/>
              </w:rPr>
            </w:pPr>
            <w:r>
              <w:rPr>
                <w:lang w:eastAsia="en-GB"/>
              </w:rPr>
              <w:t>Non-modellable risk factors (i.e. SES)</w:t>
            </w:r>
          </w:p>
        </w:tc>
        <w:tc>
          <w:tcPr>
            <w:tcW w:w="851" w:type="dxa"/>
            <w:tcBorders>
              <w:top w:val="single" w:sz="4" w:space="0" w:color="auto"/>
              <w:left w:val="single" w:sz="4" w:space="0" w:color="auto"/>
              <w:bottom w:val="single" w:sz="4" w:space="0" w:color="auto"/>
              <w:right w:val="single" w:sz="4" w:space="0" w:color="auto"/>
            </w:tcBorders>
          </w:tcPr>
          <w:p w14:paraId="2A56F05B" w14:textId="77777777" w:rsidR="00F920A7" w:rsidRDefault="00F920A7" w:rsidP="00DB2ABD">
            <w:pPr>
              <w:pStyle w:val="TableText"/>
              <w:snapToGrid w:val="0"/>
              <w:rPr>
                <w:lang w:eastAsia="en-GB"/>
              </w:rPr>
            </w:pPr>
          </w:p>
        </w:tc>
        <w:tc>
          <w:tcPr>
            <w:tcW w:w="1034" w:type="dxa"/>
            <w:tcBorders>
              <w:top w:val="single" w:sz="4" w:space="0" w:color="auto"/>
              <w:left w:val="single" w:sz="4" w:space="0" w:color="auto"/>
              <w:bottom w:val="single" w:sz="4" w:space="0" w:color="auto"/>
              <w:right w:val="single" w:sz="4" w:space="0" w:color="auto"/>
            </w:tcBorders>
          </w:tcPr>
          <w:p w14:paraId="644FA6D4" w14:textId="77777777" w:rsidR="00F920A7" w:rsidRDefault="00F920A7" w:rsidP="00DB2ABD">
            <w:pPr>
              <w:pStyle w:val="TableText"/>
              <w:snapToGrid w:val="0"/>
              <w:rPr>
                <w:lang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BFBFBF"/>
          </w:tcPr>
          <w:p w14:paraId="5EBFEFB3" w14:textId="77777777" w:rsidR="00F920A7" w:rsidRDefault="00F920A7" w:rsidP="00DB2ABD">
            <w:pPr>
              <w:pStyle w:val="TableText"/>
              <w:snapToGrid w:val="0"/>
              <w:rPr>
                <w:lang w:eastAsia="en-GB"/>
              </w:rPr>
            </w:pPr>
          </w:p>
        </w:tc>
        <w:tc>
          <w:tcPr>
            <w:tcW w:w="868" w:type="dxa"/>
            <w:tcBorders>
              <w:top w:val="single" w:sz="4" w:space="0" w:color="auto"/>
              <w:left w:val="single" w:sz="4" w:space="0" w:color="auto"/>
              <w:bottom w:val="single" w:sz="4" w:space="0" w:color="auto"/>
              <w:right w:val="single" w:sz="4" w:space="0" w:color="auto"/>
            </w:tcBorders>
            <w:shd w:val="clear" w:color="auto" w:fill="BFBFBF"/>
          </w:tcPr>
          <w:p w14:paraId="045B9A52" w14:textId="77777777" w:rsidR="00F920A7" w:rsidRDefault="00F920A7" w:rsidP="00DB2ABD">
            <w:pPr>
              <w:pStyle w:val="TableText"/>
              <w:snapToGrid w:val="0"/>
              <w:rPr>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BFBFBF"/>
          </w:tcPr>
          <w:p w14:paraId="493BEBAB" w14:textId="77777777" w:rsidR="00F920A7" w:rsidRDefault="00F920A7" w:rsidP="00DB2ABD">
            <w:pPr>
              <w:pStyle w:val="TableText"/>
              <w:snapToGrid w:val="0"/>
              <w:rPr>
                <w:lang w:eastAsia="en-GB"/>
              </w:rPr>
            </w:pPr>
          </w:p>
        </w:tc>
        <w:tc>
          <w:tcPr>
            <w:tcW w:w="851" w:type="dxa"/>
            <w:tcBorders>
              <w:top w:val="single" w:sz="4" w:space="0" w:color="auto"/>
              <w:left w:val="single" w:sz="4" w:space="0" w:color="auto"/>
              <w:bottom w:val="single" w:sz="4" w:space="0" w:color="auto"/>
              <w:right w:val="single" w:sz="4" w:space="0" w:color="auto"/>
            </w:tcBorders>
          </w:tcPr>
          <w:p w14:paraId="1ACCDB96" w14:textId="77777777" w:rsidR="00F920A7" w:rsidRDefault="00F920A7" w:rsidP="00DB2ABD">
            <w:pPr>
              <w:pStyle w:val="TableText"/>
              <w:snapToGrid w:val="0"/>
              <w:rPr>
                <w:lang w:eastAsia="en-GB"/>
              </w:rPr>
            </w:pPr>
          </w:p>
        </w:tc>
        <w:tc>
          <w:tcPr>
            <w:tcW w:w="920" w:type="dxa"/>
            <w:tcBorders>
              <w:top w:val="single" w:sz="4" w:space="0" w:color="auto"/>
              <w:left w:val="single" w:sz="4" w:space="0" w:color="auto"/>
              <w:bottom w:val="single" w:sz="4" w:space="0" w:color="auto"/>
              <w:right w:val="single" w:sz="4" w:space="0" w:color="auto"/>
            </w:tcBorders>
          </w:tcPr>
          <w:p w14:paraId="4010C283" w14:textId="77777777" w:rsidR="00F920A7" w:rsidRDefault="00F920A7" w:rsidP="00DB2ABD">
            <w:pPr>
              <w:pStyle w:val="TableText"/>
              <w:snapToGrid w:val="0"/>
              <w:rPr>
                <w:lang w:eastAsia="en-GB"/>
              </w:rPr>
            </w:pPr>
          </w:p>
        </w:tc>
      </w:tr>
      <w:tr w:rsidR="00F920A7" w14:paraId="44140FBC" w14:textId="77777777" w:rsidTr="00DB2ABD">
        <w:trPr>
          <w:cantSplit/>
          <w:trHeight w:val="293"/>
        </w:trPr>
        <w:tc>
          <w:tcPr>
            <w:tcW w:w="424" w:type="dxa"/>
            <w:tcBorders>
              <w:top w:val="single" w:sz="4" w:space="0" w:color="auto"/>
              <w:left w:val="nil"/>
              <w:bottom w:val="single" w:sz="4" w:space="0" w:color="auto"/>
              <w:right w:val="single" w:sz="4" w:space="0" w:color="auto"/>
            </w:tcBorders>
            <w:hideMark/>
          </w:tcPr>
          <w:p w14:paraId="33DE9F81" w14:textId="77777777" w:rsidR="00F920A7" w:rsidRDefault="00F920A7" w:rsidP="00DB2ABD">
            <w:pPr>
              <w:pStyle w:val="TableText"/>
              <w:snapToGrid w:val="0"/>
              <w:rPr>
                <w:lang w:eastAsia="en-GB"/>
              </w:rPr>
            </w:pPr>
            <w:r>
              <w:rPr>
                <w:lang w:eastAsia="en-GB"/>
              </w:rPr>
              <w:t>10</w:t>
            </w:r>
          </w:p>
        </w:tc>
        <w:tc>
          <w:tcPr>
            <w:tcW w:w="2369" w:type="dxa"/>
            <w:gridSpan w:val="2"/>
            <w:tcBorders>
              <w:top w:val="single" w:sz="4" w:space="0" w:color="auto"/>
              <w:left w:val="nil"/>
              <w:bottom w:val="single" w:sz="4" w:space="0" w:color="auto"/>
              <w:right w:val="single" w:sz="4" w:space="0" w:color="auto"/>
            </w:tcBorders>
            <w:hideMark/>
          </w:tcPr>
          <w:p w14:paraId="7E99DB72" w14:textId="77777777" w:rsidR="00F920A7" w:rsidRDefault="00F920A7" w:rsidP="00DB2ABD">
            <w:pPr>
              <w:pStyle w:val="TableText"/>
              <w:snapToGrid w:val="0"/>
              <w:rPr>
                <w:lang w:eastAsia="en-GB"/>
              </w:rPr>
            </w:pPr>
            <w:r>
              <w:rPr>
                <w:lang w:eastAsia="en-GB"/>
              </w:rPr>
              <w:t>Default risk charge</w:t>
            </w:r>
          </w:p>
        </w:tc>
        <w:tc>
          <w:tcPr>
            <w:tcW w:w="851" w:type="dxa"/>
            <w:tcBorders>
              <w:top w:val="single" w:sz="4" w:space="0" w:color="auto"/>
              <w:left w:val="single" w:sz="4" w:space="0" w:color="auto"/>
              <w:bottom w:val="single" w:sz="4" w:space="0" w:color="auto"/>
              <w:right w:val="single" w:sz="4" w:space="0" w:color="auto"/>
            </w:tcBorders>
          </w:tcPr>
          <w:p w14:paraId="6F849E78" w14:textId="77777777" w:rsidR="00F920A7" w:rsidRDefault="00F920A7" w:rsidP="00DB2ABD">
            <w:pPr>
              <w:pStyle w:val="TableText"/>
              <w:snapToGrid w:val="0"/>
              <w:rPr>
                <w:lang w:eastAsia="en-GB"/>
              </w:rPr>
            </w:pPr>
          </w:p>
        </w:tc>
        <w:tc>
          <w:tcPr>
            <w:tcW w:w="1034" w:type="dxa"/>
            <w:tcBorders>
              <w:top w:val="single" w:sz="4" w:space="0" w:color="auto"/>
              <w:left w:val="single" w:sz="4" w:space="0" w:color="auto"/>
              <w:bottom w:val="single" w:sz="4" w:space="0" w:color="auto"/>
              <w:right w:val="single" w:sz="4" w:space="0" w:color="auto"/>
            </w:tcBorders>
          </w:tcPr>
          <w:p w14:paraId="4DC05DC0" w14:textId="77777777" w:rsidR="00F920A7" w:rsidRDefault="00F920A7" w:rsidP="00DB2ABD">
            <w:pPr>
              <w:pStyle w:val="TableText"/>
              <w:snapToGrid w:val="0"/>
              <w:rPr>
                <w:lang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BFBFBF"/>
          </w:tcPr>
          <w:p w14:paraId="67D967D6" w14:textId="77777777" w:rsidR="00F920A7" w:rsidRDefault="00F920A7" w:rsidP="00DB2ABD">
            <w:pPr>
              <w:pStyle w:val="TableText"/>
              <w:snapToGrid w:val="0"/>
              <w:rPr>
                <w:lang w:eastAsia="en-GB"/>
              </w:rPr>
            </w:pPr>
          </w:p>
        </w:tc>
        <w:tc>
          <w:tcPr>
            <w:tcW w:w="868" w:type="dxa"/>
            <w:tcBorders>
              <w:top w:val="single" w:sz="4" w:space="0" w:color="auto"/>
              <w:left w:val="single" w:sz="4" w:space="0" w:color="auto"/>
              <w:bottom w:val="single" w:sz="4" w:space="0" w:color="auto"/>
              <w:right w:val="single" w:sz="4" w:space="0" w:color="auto"/>
            </w:tcBorders>
            <w:shd w:val="clear" w:color="auto" w:fill="BFBFBF"/>
          </w:tcPr>
          <w:p w14:paraId="1A717BD3" w14:textId="77777777" w:rsidR="00F920A7" w:rsidRDefault="00F920A7" w:rsidP="00DB2ABD">
            <w:pPr>
              <w:pStyle w:val="TableText"/>
              <w:snapToGrid w:val="0"/>
              <w:rPr>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BFBFBF"/>
          </w:tcPr>
          <w:p w14:paraId="0EA80387" w14:textId="77777777" w:rsidR="00F920A7" w:rsidRDefault="00F920A7" w:rsidP="00DB2ABD">
            <w:pPr>
              <w:pStyle w:val="TableText"/>
              <w:snapToGrid w:val="0"/>
              <w:rPr>
                <w:lang w:eastAsia="en-GB"/>
              </w:rPr>
            </w:pPr>
          </w:p>
        </w:tc>
        <w:tc>
          <w:tcPr>
            <w:tcW w:w="851" w:type="dxa"/>
            <w:tcBorders>
              <w:top w:val="single" w:sz="4" w:space="0" w:color="auto"/>
              <w:left w:val="single" w:sz="4" w:space="0" w:color="auto"/>
              <w:bottom w:val="single" w:sz="4" w:space="0" w:color="auto"/>
              <w:right w:val="single" w:sz="4" w:space="0" w:color="auto"/>
            </w:tcBorders>
          </w:tcPr>
          <w:p w14:paraId="5E9C1C85" w14:textId="77777777" w:rsidR="00F920A7" w:rsidRDefault="00F920A7" w:rsidP="00DB2ABD">
            <w:pPr>
              <w:pStyle w:val="TableText"/>
              <w:snapToGrid w:val="0"/>
              <w:rPr>
                <w:lang w:eastAsia="en-GB"/>
              </w:rPr>
            </w:pPr>
          </w:p>
        </w:tc>
        <w:tc>
          <w:tcPr>
            <w:tcW w:w="920" w:type="dxa"/>
            <w:tcBorders>
              <w:top w:val="single" w:sz="4" w:space="0" w:color="auto"/>
              <w:left w:val="single" w:sz="4" w:space="0" w:color="auto"/>
              <w:bottom w:val="single" w:sz="4" w:space="0" w:color="auto"/>
              <w:right w:val="single" w:sz="4" w:space="0" w:color="auto"/>
            </w:tcBorders>
          </w:tcPr>
          <w:p w14:paraId="25FF094A" w14:textId="77777777" w:rsidR="00F920A7" w:rsidRDefault="00F920A7" w:rsidP="00DB2ABD">
            <w:pPr>
              <w:pStyle w:val="TableText"/>
              <w:snapToGrid w:val="0"/>
              <w:rPr>
                <w:lang w:eastAsia="en-GB"/>
              </w:rPr>
            </w:pPr>
          </w:p>
        </w:tc>
      </w:tr>
      <w:tr w:rsidR="00F920A7" w14:paraId="14EEB886" w14:textId="77777777" w:rsidTr="00DB2ABD">
        <w:trPr>
          <w:cantSplit/>
          <w:trHeight w:val="293"/>
        </w:trPr>
        <w:tc>
          <w:tcPr>
            <w:tcW w:w="424" w:type="dxa"/>
            <w:tcBorders>
              <w:top w:val="single" w:sz="4" w:space="0" w:color="auto"/>
              <w:left w:val="nil"/>
              <w:bottom w:val="single" w:sz="4" w:space="0" w:color="auto"/>
              <w:right w:val="single" w:sz="4" w:space="0" w:color="auto"/>
            </w:tcBorders>
            <w:hideMark/>
          </w:tcPr>
          <w:p w14:paraId="50AC6D72" w14:textId="77777777" w:rsidR="00F920A7" w:rsidRDefault="00F920A7" w:rsidP="00DB2ABD">
            <w:pPr>
              <w:pStyle w:val="TableText"/>
              <w:snapToGrid w:val="0"/>
              <w:rPr>
                <w:lang w:eastAsia="en-GB"/>
              </w:rPr>
            </w:pPr>
            <w:r>
              <w:rPr>
                <w:lang w:eastAsia="en-GB"/>
              </w:rPr>
              <w:t>11</w:t>
            </w:r>
          </w:p>
        </w:tc>
        <w:tc>
          <w:tcPr>
            <w:tcW w:w="2369" w:type="dxa"/>
            <w:gridSpan w:val="2"/>
            <w:tcBorders>
              <w:top w:val="single" w:sz="4" w:space="0" w:color="auto"/>
              <w:left w:val="nil"/>
              <w:bottom w:val="single" w:sz="4" w:space="0" w:color="auto"/>
              <w:right w:val="single" w:sz="4" w:space="0" w:color="auto"/>
            </w:tcBorders>
            <w:hideMark/>
          </w:tcPr>
          <w:p w14:paraId="01EF9991" w14:textId="77777777" w:rsidR="00F920A7" w:rsidRDefault="00F920A7" w:rsidP="00DB2ABD">
            <w:pPr>
              <w:pStyle w:val="TableText"/>
              <w:snapToGrid w:val="0"/>
              <w:rPr>
                <w:lang w:eastAsia="en-GB"/>
              </w:rPr>
            </w:pPr>
            <w:r>
              <w:rPr>
                <w:lang w:eastAsia="en-GB"/>
              </w:rPr>
              <w:t>Capital surcharge for trading desks assigned to the yellow zone</w:t>
            </w:r>
          </w:p>
        </w:tc>
        <w:tc>
          <w:tcPr>
            <w:tcW w:w="1885" w:type="dxa"/>
            <w:gridSpan w:val="2"/>
            <w:tcBorders>
              <w:top w:val="single" w:sz="4" w:space="0" w:color="auto"/>
              <w:left w:val="single" w:sz="4" w:space="0" w:color="auto"/>
              <w:bottom w:val="single" w:sz="4" w:space="0" w:color="auto"/>
              <w:right w:val="single" w:sz="4" w:space="0" w:color="auto"/>
            </w:tcBorders>
          </w:tcPr>
          <w:p w14:paraId="5FE2F969" w14:textId="77777777" w:rsidR="00F920A7" w:rsidRDefault="00F920A7" w:rsidP="00DB2ABD">
            <w:pPr>
              <w:pStyle w:val="TableText"/>
              <w:snapToGrid w:val="0"/>
              <w:rPr>
                <w:lang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BFBFBF"/>
          </w:tcPr>
          <w:p w14:paraId="218711A8" w14:textId="77777777" w:rsidR="00F920A7" w:rsidRDefault="00F920A7" w:rsidP="00DB2ABD">
            <w:pPr>
              <w:pStyle w:val="TableText"/>
              <w:snapToGrid w:val="0"/>
              <w:rPr>
                <w:lang w:eastAsia="en-GB"/>
              </w:rPr>
            </w:pPr>
          </w:p>
        </w:tc>
        <w:tc>
          <w:tcPr>
            <w:tcW w:w="868" w:type="dxa"/>
            <w:tcBorders>
              <w:top w:val="single" w:sz="4" w:space="0" w:color="auto"/>
              <w:left w:val="single" w:sz="4" w:space="0" w:color="auto"/>
              <w:bottom w:val="single" w:sz="4" w:space="0" w:color="auto"/>
              <w:right w:val="single" w:sz="4" w:space="0" w:color="auto"/>
            </w:tcBorders>
            <w:shd w:val="clear" w:color="auto" w:fill="BFBFBF"/>
          </w:tcPr>
          <w:p w14:paraId="55BD22B6" w14:textId="77777777" w:rsidR="00F920A7" w:rsidRDefault="00F920A7" w:rsidP="00DB2ABD">
            <w:pPr>
              <w:pStyle w:val="TableText"/>
              <w:snapToGrid w:val="0"/>
              <w:rPr>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BFBFBF"/>
          </w:tcPr>
          <w:p w14:paraId="53E9814C" w14:textId="77777777" w:rsidR="00F920A7" w:rsidRDefault="00F920A7" w:rsidP="00DB2ABD">
            <w:pPr>
              <w:pStyle w:val="TableText"/>
              <w:snapToGrid w:val="0"/>
              <w:rPr>
                <w:lang w:eastAsia="en-GB"/>
              </w:rPr>
            </w:pPr>
          </w:p>
        </w:tc>
        <w:tc>
          <w:tcPr>
            <w:tcW w:w="1771" w:type="dxa"/>
            <w:gridSpan w:val="2"/>
            <w:tcBorders>
              <w:top w:val="single" w:sz="4" w:space="0" w:color="auto"/>
              <w:left w:val="single" w:sz="4" w:space="0" w:color="auto"/>
              <w:bottom w:val="single" w:sz="4" w:space="0" w:color="auto"/>
              <w:right w:val="single" w:sz="4" w:space="0" w:color="auto"/>
            </w:tcBorders>
          </w:tcPr>
          <w:p w14:paraId="40123101" w14:textId="77777777" w:rsidR="00F920A7" w:rsidRDefault="00F920A7" w:rsidP="00DB2ABD">
            <w:pPr>
              <w:pStyle w:val="TableText"/>
              <w:snapToGrid w:val="0"/>
              <w:rPr>
                <w:lang w:eastAsia="en-GB"/>
              </w:rPr>
            </w:pPr>
          </w:p>
        </w:tc>
      </w:tr>
      <w:tr w:rsidR="00F920A7" w14:paraId="7449F1ED" w14:textId="77777777" w:rsidTr="00DB2ABD">
        <w:trPr>
          <w:cantSplit/>
          <w:trHeight w:val="293"/>
        </w:trPr>
        <w:tc>
          <w:tcPr>
            <w:tcW w:w="424" w:type="dxa"/>
            <w:tcBorders>
              <w:top w:val="single" w:sz="4" w:space="0" w:color="auto"/>
              <w:left w:val="nil"/>
              <w:bottom w:val="single" w:sz="4" w:space="0" w:color="auto"/>
              <w:right w:val="single" w:sz="4" w:space="0" w:color="auto"/>
            </w:tcBorders>
            <w:hideMark/>
          </w:tcPr>
          <w:p w14:paraId="2529B942" w14:textId="77777777" w:rsidR="00F920A7" w:rsidRDefault="00F920A7" w:rsidP="00DB2ABD">
            <w:pPr>
              <w:pStyle w:val="TableText"/>
              <w:snapToGrid w:val="0"/>
              <w:rPr>
                <w:lang w:eastAsia="en-GB"/>
              </w:rPr>
            </w:pPr>
            <w:r>
              <w:rPr>
                <w:lang w:eastAsia="en-GB"/>
              </w:rPr>
              <w:t>12</w:t>
            </w:r>
          </w:p>
        </w:tc>
        <w:tc>
          <w:tcPr>
            <w:tcW w:w="2369" w:type="dxa"/>
            <w:gridSpan w:val="2"/>
            <w:tcBorders>
              <w:top w:val="single" w:sz="4" w:space="0" w:color="auto"/>
              <w:left w:val="nil"/>
              <w:bottom w:val="single" w:sz="4" w:space="0" w:color="auto"/>
              <w:right w:val="single" w:sz="4" w:space="0" w:color="auto"/>
            </w:tcBorders>
            <w:hideMark/>
          </w:tcPr>
          <w:p w14:paraId="4CB4E4E1" w14:textId="77777777" w:rsidR="00F920A7" w:rsidRDefault="00F920A7" w:rsidP="00DB2ABD">
            <w:pPr>
              <w:pStyle w:val="TableText"/>
              <w:snapToGrid w:val="0"/>
              <w:rPr>
                <w:lang w:eastAsia="en-GB"/>
              </w:rPr>
            </w:pPr>
            <w:r>
              <w:rPr>
                <w:lang w:eastAsia="en-GB"/>
              </w:rPr>
              <w:t>Market risk capital charge for trading desks assigned to the green or yellow zone (including capital surcharge)</w:t>
            </w:r>
          </w:p>
        </w:tc>
        <w:tc>
          <w:tcPr>
            <w:tcW w:w="1885" w:type="dxa"/>
            <w:gridSpan w:val="2"/>
            <w:tcBorders>
              <w:top w:val="single" w:sz="4" w:space="0" w:color="auto"/>
              <w:left w:val="single" w:sz="4" w:space="0" w:color="auto"/>
              <w:bottom w:val="single" w:sz="4" w:space="0" w:color="auto"/>
              <w:right w:val="single" w:sz="4" w:space="0" w:color="auto"/>
            </w:tcBorders>
          </w:tcPr>
          <w:p w14:paraId="52BD65A7" w14:textId="77777777" w:rsidR="00F920A7" w:rsidRDefault="00F920A7" w:rsidP="00DB2ABD">
            <w:pPr>
              <w:pStyle w:val="TableText"/>
              <w:snapToGrid w:val="0"/>
              <w:rPr>
                <w:lang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BFBFBF"/>
          </w:tcPr>
          <w:p w14:paraId="46F1904F" w14:textId="77777777" w:rsidR="00F920A7" w:rsidRDefault="00F920A7" w:rsidP="00DB2ABD">
            <w:pPr>
              <w:pStyle w:val="TableText"/>
              <w:snapToGrid w:val="0"/>
              <w:rPr>
                <w:lang w:eastAsia="en-GB"/>
              </w:rPr>
            </w:pPr>
          </w:p>
        </w:tc>
        <w:tc>
          <w:tcPr>
            <w:tcW w:w="868" w:type="dxa"/>
            <w:tcBorders>
              <w:top w:val="single" w:sz="4" w:space="0" w:color="auto"/>
              <w:left w:val="single" w:sz="4" w:space="0" w:color="auto"/>
              <w:bottom w:val="single" w:sz="4" w:space="0" w:color="auto"/>
              <w:right w:val="single" w:sz="4" w:space="0" w:color="auto"/>
            </w:tcBorders>
            <w:shd w:val="clear" w:color="auto" w:fill="BFBFBF"/>
          </w:tcPr>
          <w:p w14:paraId="3C39FBF8" w14:textId="77777777" w:rsidR="00F920A7" w:rsidRDefault="00F920A7" w:rsidP="00DB2ABD">
            <w:pPr>
              <w:pStyle w:val="TableText"/>
              <w:snapToGrid w:val="0"/>
              <w:rPr>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BFBFBF"/>
          </w:tcPr>
          <w:p w14:paraId="178427B2" w14:textId="77777777" w:rsidR="00F920A7" w:rsidRDefault="00F920A7" w:rsidP="00DB2ABD">
            <w:pPr>
              <w:pStyle w:val="TableText"/>
              <w:snapToGrid w:val="0"/>
              <w:rPr>
                <w:lang w:eastAsia="en-GB"/>
              </w:rPr>
            </w:pPr>
          </w:p>
        </w:tc>
        <w:tc>
          <w:tcPr>
            <w:tcW w:w="1771" w:type="dxa"/>
            <w:gridSpan w:val="2"/>
            <w:tcBorders>
              <w:top w:val="single" w:sz="4" w:space="0" w:color="auto"/>
              <w:left w:val="single" w:sz="4" w:space="0" w:color="auto"/>
              <w:bottom w:val="single" w:sz="4" w:space="0" w:color="auto"/>
              <w:right w:val="single" w:sz="4" w:space="0" w:color="auto"/>
            </w:tcBorders>
          </w:tcPr>
          <w:p w14:paraId="43F39FE5" w14:textId="77777777" w:rsidR="00F920A7" w:rsidRDefault="00F920A7" w:rsidP="00DB2ABD">
            <w:pPr>
              <w:pStyle w:val="TableText"/>
              <w:snapToGrid w:val="0"/>
              <w:rPr>
                <w:lang w:eastAsia="en-GB"/>
              </w:rPr>
            </w:pPr>
          </w:p>
        </w:tc>
      </w:tr>
      <w:tr w:rsidR="00F920A7" w14:paraId="13306541" w14:textId="77777777" w:rsidTr="00DB2ABD">
        <w:trPr>
          <w:cantSplit/>
          <w:trHeight w:val="293"/>
        </w:trPr>
        <w:tc>
          <w:tcPr>
            <w:tcW w:w="424" w:type="dxa"/>
            <w:tcBorders>
              <w:top w:val="single" w:sz="4" w:space="0" w:color="auto"/>
              <w:left w:val="nil"/>
              <w:bottom w:val="single" w:sz="4" w:space="0" w:color="auto"/>
              <w:right w:val="single" w:sz="4" w:space="0" w:color="auto"/>
            </w:tcBorders>
            <w:hideMark/>
          </w:tcPr>
          <w:p w14:paraId="53D2F3DA" w14:textId="77777777" w:rsidR="00F920A7" w:rsidRDefault="00F920A7" w:rsidP="00DB2ABD">
            <w:pPr>
              <w:pStyle w:val="TableText"/>
              <w:snapToGrid w:val="0"/>
              <w:rPr>
                <w:lang w:eastAsia="en-GB"/>
              </w:rPr>
            </w:pPr>
            <w:r>
              <w:rPr>
                <w:lang w:eastAsia="en-GB"/>
              </w:rPr>
              <w:t>13</w:t>
            </w:r>
          </w:p>
        </w:tc>
        <w:tc>
          <w:tcPr>
            <w:tcW w:w="2369" w:type="dxa"/>
            <w:gridSpan w:val="2"/>
            <w:tcBorders>
              <w:top w:val="single" w:sz="4" w:space="0" w:color="auto"/>
              <w:left w:val="nil"/>
              <w:bottom w:val="single" w:sz="4" w:space="0" w:color="auto"/>
              <w:right w:val="single" w:sz="4" w:space="0" w:color="auto"/>
            </w:tcBorders>
            <w:hideMark/>
          </w:tcPr>
          <w:p w14:paraId="5EE1DB9E" w14:textId="77777777" w:rsidR="00F920A7" w:rsidRPr="00CB5BF6" w:rsidRDefault="00F920A7" w:rsidP="00DB2ABD">
            <w:pPr>
              <w:pStyle w:val="TableText"/>
              <w:snapToGrid w:val="0"/>
              <w:rPr>
                <w:lang w:eastAsia="en-GB"/>
              </w:rPr>
            </w:pPr>
            <w:r w:rsidRPr="00CB5BF6">
              <w:rPr>
                <w:lang w:eastAsia="en-GB"/>
              </w:rPr>
              <w:t>Total market risk capital charge for trading desks subject to STM approach as disclosed in Template MR1</w:t>
            </w:r>
            <w:r w:rsidRPr="00CB5BF6">
              <w:rPr>
                <w:szCs w:val="17"/>
              </w:rPr>
              <w:t xml:space="preserve"> </w:t>
            </w:r>
          </w:p>
        </w:tc>
        <w:tc>
          <w:tcPr>
            <w:tcW w:w="1885" w:type="dxa"/>
            <w:gridSpan w:val="2"/>
            <w:tcBorders>
              <w:top w:val="single" w:sz="4" w:space="0" w:color="auto"/>
              <w:left w:val="single" w:sz="4" w:space="0" w:color="auto"/>
              <w:bottom w:val="single" w:sz="4" w:space="0" w:color="auto"/>
              <w:right w:val="single" w:sz="4" w:space="0" w:color="auto"/>
            </w:tcBorders>
          </w:tcPr>
          <w:p w14:paraId="19B32C0B" w14:textId="77777777" w:rsidR="00F920A7" w:rsidRPr="00CB5BF6" w:rsidRDefault="00F920A7" w:rsidP="00DB2ABD">
            <w:pPr>
              <w:pStyle w:val="TableText"/>
              <w:snapToGrid w:val="0"/>
              <w:rPr>
                <w:lang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BFBFBF"/>
          </w:tcPr>
          <w:p w14:paraId="09AD6E34" w14:textId="77777777" w:rsidR="00F920A7" w:rsidRDefault="00F920A7" w:rsidP="00DB2ABD">
            <w:pPr>
              <w:pStyle w:val="TableText"/>
              <w:snapToGrid w:val="0"/>
              <w:rPr>
                <w:lang w:eastAsia="en-GB"/>
              </w:rPr>
            </w:pPr>
          </w:p>
        </w:tc>
        <w:tc>
          <w:tcPr>
            <w:tcW w:w="868" w:type="dxa"/>
            <w:tcBorders>
              <w:top w:val="single" w:sz="4" w:space="0" w:color="auto"/>
              <w:left w:val="single" w:sz="4" w:space="0" w:color="auto"/>
              <w:bottom w:val="single" w:sz="4" w:space="0" w:color="auto"/>
              <w:right w:val="single" w:sz="4" w:space="0" w:color="auto"/>
            </w:tcBorders>
            <w:shd w:val="clear" w:color="auto" w:fill="BFBFBF"/>
          </w:tcPr>
          <w:p w14:paraId="5D6969F3" w14:textId="77777777" w:rsidR="00F920A7" w:rsidRDefault="00F920A7" w:rsidP="00DB2ABD">
            <w:pPr>
              <w:pStyle w:val="TableText"/>
              <w:snapToGrid w:val="0"/>
              <w:rPr>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BFBFBF"/>
          </w:tcPr>
          <w:p w14:paraId="30127DCC" w14:textId="77777777" w:rsidR="00F920A7" w:rsidRDefault="00F920A7" w:rsidP="00DB2ABD">
            <w:pPr>
              <w:pStyle w:val="TableText"/>
              <w:snapToGrid w:val="0"/>
              <w:rPr>
                <w:lang w:eastAsia="en-GB"/>
              </w:rPr>
            </w:pPr>
          </w:p>
        </w:tc>
        <w:tc>
          <w:tcPr>
            <w:tcW w:w="1771" w:type="dxa"/>
            <w:gridSpan w:val="2"/>
            <w:tcBorders>
              <w:top w:val="single" w:sz="4" w:space="0" w:color="auto"/>
              <w:left w:val="single" w:sz="4" w:space="0" w:color="auto"/>
              <w:bottom w:val="single" w:sz="4" w:space="0" w:color="auto"/>
              <w:right w:val="single" w:sz="4" w:space="0" w:color="auto"/>
            </w:tcBorders>
          </w:tcPr>
          <w:p w14:paraId="5070D1E0" w14:textId="77777777" w:rsidR="00F920A7" w:rsidRDefault="00F920A7" w:rsidP="00DB2ABD">
            <w:pPr>
              <w:pStyle w:val="TableText"/>
              <w:snapToGrid w:val="0"/>
              <w:rPr>
                <w:lang w:eastAsia="en-GB"/>
              </w:rPr>
            </w:pPr>
          </w:p>
        </w:tc>
      </w:tr>
      <w:tr w:rsidR="00F920A7" w14:paraId="6B0CA1D2" w14:textId="77777777" w:rsidTr="00DB2ABD">
        <w:trPr>
          <w:cantSplit/>
          <w:trHeight w:val="293"/>
        </w:trPr>
        <w:tc>
          <w:tcPr>
            <w:tcW w:w="424" w:type="dxa"/>
            <w:tcBorders>
              <w:top w:val="single" w:sz="4" w:space="0" w:color="auto"/>
              <w:left w:val="nil"/>
              <w:bottom w:val="single" w:sz="4" w:space="0" w:color="auto"/>
              <w:right w:val="single" w:sz="4" w:space="0" w:color="auto"/>
            </w:tcBorders>
            <w:hideMark/>
          </w:tcPr>
          <w:p w14:paraId="42A93126" w14:textId="77777777" w:rsidR="00F920A7" w:rsidRDefault="00F920A7" w:rsidP="00DB2ABD">
            <w:pPr>
              <w:pStyle w:val="TableText"/>
              <w:snapToGrid w:val="0"/>
              <w:rPr>
                <w:lang w:eastAsia="en-GB"/>
              </w:rPr>
            </w:pPr>
            <w:r>
              <w:rPr>
                <w:lang w:eastAsia="en-GB"/>
              </w:rPr>
              <w:t>14</w:t>
            </w:r>
          </w:p>
        </w:tc>
        <w:tc>
          <w:tcPr>
            <w:tcW w:w="2369" w:type="dxa"/>
            <w:gridSpan w:val="2"/>
            <w:tcBorders>
              <w:top w:val="single" w:sz="4" w:space="0" w:color="auto"/>
              <w:left w:val="nil"/>
              <w:bottom w:val="single" w:sz="4" w:space="0" w:color="auto"/>
              <w:right w:val="single" w:sz="4" w:space="0" w:color="auto"/>
            </w:tcBorders>
            <w:hideMark/>
          </w:tcPr>
          <w:p w14:paraId="6FCF6408" w14:textId="77777777" w:rsidR="00F920A7" w:rsidRDefault="00F920A7" w:rsidP="00DB2ABD">
            <w:pPr>
              <w:pStyle w:val="TableText"/>
              <w:snapToGrid w:val="0"/>
              <w:rPr>
                <w:lang w:val="en-US" w:eastAsia="en-GB"/>
              </w:rPr>
            </w:pPr>
            <w:r>
              <w:rPr>
                <w:lang w:val="en-US" w:eastAsia="en-GB"/>
              </w:rPr>
              <w:t>Difference in market risk capital charge under the IMA and STM approach for trading desks assigned to the green or yellow zone</w:t>
            </w:r>
          </w:p>
        </w:tc>
        <w:tc>
          <w:tcPr>
            <w:tcW w:w="1885" w:type="dxa"/>
            <w:gridSpan w:val="2"/>
            <w:tcBorders>
              <w:top w:val="single" w:sz="4" w:space="0" w:color="auto"/>
              <w:left w:val="single" w:sz="4" w:space="0" w:color="auto"/>
              <w:bottom w:val="single" w:sz="4" w:space="0" w:color="auto"/>
              <w:right w:val="single" w:sz="4" w:space="0" w:color="auto"/>
            </w:tcBorders>
          </w:tcPr>
          <w:p w14:paraId="023D6FF6" w14:textId="77777777" w:rsidR="00F920A7" w:rsidRDefault="00F920A7" w:rsidP="00DB2ABD">
            <w:pPr>
              <w:pStyle w:val="TableText"/>
              <w:snapToGrid w:val="0"/>
              <w:rPr>
                <w:lang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BFBFBF"/>
          </w:tcPr>
          <w:p w14:paraId="09FCD6F5" w14:textId="77777777" w:rsidR="00F920A7" w:rsidRDefault="00F920A7" w:rsidP="00DB2ABD">
            <w:pPr>
              <w:pStyle w:val="TableText"/>
              <w:snapToGrid w:val="0"/>
              <w:rPr>
                <w:lang w:eastAsia="en-GB"/>
              </w:rPr>
            </w:pPr>
          </w:p>
        </w:tc>
        <w:tc>
          <w:tcPr>
            <w:tcW w:w="868" w:type="dxa"/>
            <w:tcBorders>
              <w:top w:val="single" w:sz="4" w:space="0" w:color="auto"/>
              <w:left w:val="single" w:sz="4" w:space="0" w:color="auto"/>
              <w:bottom w:val="single" w:sz="4" w:space="0" w:color="auto"/>
              <w:right w:val="single" w:sz="4" w:space="0" w:color="auto"/>
            </w:tcBorders>
            <w:shd w:val="clear" w:color="auto" w:fill="BFBFBF"/>
          </w:tcPr>
          <w:p w14:paraId="43CF3D63" w14:textId="77777777" w:rsidR="00F920A7" w:rsidRDefault="00F920A7" w:rsidP="00DB2ABD">
            <w:pPr>
              <w:pStyle w:val="TableText"/>
              <w:snapToGrid w:val="0"/>
              <w:rPr>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BFBFBF"/>
          </w:tcPr>
          <w:p w14:paraId="0072DB45" w14:textId="77777777" w:rsidR="00F920A7" w:rsidRDefault="00F920A7" w:rsidP="00DB2ABD">
            <w:pPr>
              <w:pStyle w:val="TableText"/>
              <w:snapToGrid w:val="0"/>
              <w:rPr>
                <w:lang w:eastAsia="en-GB"/>
              </w:rPr>
            </w:pPr>
          </w:p>
        </w:tc>
        <w:tc>
          <w:tcPr>
            <w:tcW w:w="1771" w:type="dxa"/>
            <w:gridSpan w:val="2"/>
            <w:tcBorders>
              <w:top w:val="single" w:sz="4" w:space="0" w:color="auto"/>
              <w:left w:val="single" w:sz="4" w:space="0" w:color="auto"/>
              <w:bottom w:val="single" w:sz="4" w:space="0" w:color="auto"/>
              <w:right w:val="single" w:sz="4" w:space="0" w:color="auto"/>
            </w:tcBorders>
          </w:tcPr>
          <w:p w14:paraId="5152A83A" w14:textId="77777777" w:rsidR="00F920A7" w:rsidRDefault="00F920A7" w:rsidP="00DB2ABD">
            <w:pPr>
              <w:pStyle w:val="TableText"/>
              <w:snapToGrid w:val="0"/>
              <w:rPr>
                <w:lang w:eastAsia="en-GB"/>
              </w:rPr>
            </w:pPr>
          </w:p>
        </w:tc>
      </w:tr>
      <w:tr w:rsidR="00F920A7" w14:paraId="69AA1C24" w14:textId="77777777" w:rsidTr="00DB2ABD">
        <w:trPr>
          <w:cantSplit/>
          <w:trHeight w:val="293"/>
        </w:trPr>
        <w:tc>
          <w:tcPr>
            <w:tcW w:w="424" w:type="dxa"/>
            <w:tcBorders>
              <w:top w:val="single" w:sz="4" w:space="0" w:color="auto"/>
              <w:left w:val="nil"/>
              <w:bottom w:val="single" w:sz="4" w:space="0" w:color="auto"/>
              <w:right w:val="single" w:sz="4" w:space="0" w:color="auto"/>
            </w:tcBorders>
            <w:hideMark/>
          </w:tcPr>
          <w:p w14:paraId="5EA8D80B" w14:textId="77777777" w:rsidR="00F920A7" w:rsidRDefault="00F920A7" w:rsidP="00DB2ABD">
            <w:pPr>
              <w:pStyle w:val="TableText"/>
              <w:snapToGrid w:val="0"/>
              <w:rPr>
                <w:lang w:eastAsia="en-GB"/>
              </w:rPr>
            </w:pPr>
            <w:r>
              <w:rPr>
                <w:lang w:eastAsia="en-GB"/>
              </w:rPr>
              <w:t>15</w:t>
            </w:r>
          </w:p>
        </w:tc>
        <w:tc>
          <w:tcPr>
            <w:tcW w:w="2369" w:type="dxa"/>
            <w:gridSpan w:val="2"/>
            <w:tcBorders>
              <w:top w:val="single" w:sz="4" w:space="0" w:color="auto"/>
              <w:left w:val="nil"/>
              <w:bottom w:val="single" w:sz="4" w:space="0" w:color="auto"/>
              <w:right w:val="single" w:sz="4" w:space="0" w:color="auto"/>
            </w:tcBorders>
            <w:hideMark/>
          </w:tcPr>
          <w:p w14:paraId="0E75076C" w14:textId="77777777" w:rsidR="00F920A7" w:rsidRDefault="00F920A7" w:rsidP="00DB2ABD">
            <w:pPr>
              <w:pStyle w:val="TableText"/>
              <w:snapToGrid w:val="0"/>
              <w:rPr>
                <w:lang w:val="en-US" w:eastAsia="en-GB"/>
              </w:rPr>
            </w:pPr>
            <w:r w:rsidRPr="00CB5BF6">
              <w:rPr>
                <w:lang w:val="en-US" w:eastAsia="en-GB"/>
              </w:rPr>
              <w:t>Market risk capital charge for all trading desks (including those subject to the IMA) calculated using the STM approach</w:t>
            </w:r>
          </w:p>
        </w:tc>
        <w:tc>
          <w:tcPr>
            <w:tcW w:w="1885" w:type="dxa"/>
            <w:gridSpan w:val="2"/>
            <w:tcBorders>
              <w:top w:val="single" w:sz="4" w:space="0" w:color="auto"/>
              <w:left w:val="single" w:sz="4" w:space="0" w:color="auto"/>
              <w:bottom w:val="single" w:sz="4" w:space="0" w:color="auto"/>
              <w:right w:val="single" w:sz="4" w:space="0" w:color="auto"/>
            </w:tcBorders>
          </w:tcPr>
          <w:p w14:paraId="3AAA8384" w14:textId="77777777" w:rsidR="00F920A7" w:rsidRDefault="00F920A7" w:rsidP="00DB2ABD">
            <w:pPr>
              <w:pStyle w:val="TableText"/>
              <w:snapToGrid w:val="0"/>
              <w:rPr>
                <w:lang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BFBFBF"/>
          </w:tcPr>
          <w:p w14:paraId="3A842B28" w14:textId="77777777" w:rsidR="00F920A7" w:rsidRDefault="00F920A7" w:rsidP="00DB2ABD">
            <w:pPr>
              <w:pStyle w:val="TableText"/>
              <w:snapToGrid w:val="0"/>
              <w:rPr>
                <w:lang w:eastAsia="en-GB"/>
              </w:rPr>
            </w:pPr>
          </w:p>
        </w:tc>
        <w:tc>
          <w:tcPr>
            <w:tcW w:w="868" w:type="dxa"/>
            <w:tcBorders>
              <w:top w:val="single" w:sz="4" w:space="0" w:color="auto"/>
              <w:left w:val="single" w:sz="4" w:space="0" w:color="auto"/>
              <w:bottom w:val="single" w:sz="4" w:space="0" w:color="auto"/>
              <w:right w:val="single" w:sz="4" w:space="0" w:color="auto"/>
            </w:tcBorders>
            <w:shd w:val="clear" w:color="auto" w:fill="BFBFBF"/>
          </w:tcPr>
          <w:p w14:paraId="7B786CF4" w14:textId="77777777" w:rsidR="00F920A7" w:rsidRDefault="00F920A7" w:rsidP="00DB2ABD">
            <w:pPr>
              <w:pStyle w:val="TableText"/>
              <w:snapToGrid w:val="0"/>
              <w:rPr>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BFBFBF"/>
          </w:tcPr>
          <w:p w14:paraId="55F8BB29" w14:textId="77777777" w:rsidR="00F920A7" w:rsidRDefault="00F920A7" w:rsidP="00DB2ABD">
            <w:pPr>
              <w:pStyle w:val="TableText"/>
              <w:snapToGrid w:val="0"/>
              <w:rPr>
                <w:lang w:eastAsia="en-GB"/>
              </w:rPr>
            </w:pPr>
          </w:p>
        </w:tc>
        <w:tc>
          <w:tcPr>
            <w:tcW w:w="1771" w:type="dxa"/>
            <w:gridSpan w:val="2"/>
            <w:tcBorders>
              <w:top w:val="single" w:sz="4" w:space="0" w:color="auto"/>
              <w:left w:val="single" w:sz="4" w:space="0" w:color="auto"/>
              <w:bottom w:val="single" w:sz="4" w:space="0" w:color="auto"/>
              <w:right w:val="single" w:sz="4" w:space="0" w:color="auto"/>
            </w:tcBorders>
          </w:tcPr>
          <w:p w14:paraId="4230EABD" w14:textId="77777777" w:rsidR="00F920A7" w:rsidRDefault="00F920A7" w:rsidP="00DB2ABD">
            <w:pPr>
              <w:pStyle w:val="TableText"/>
              <w:snapToGrid w:val="0"/>
              <w:rPr>
                <w:lang w:eastAsia="en-GB"/>
              </w:rPr>
            </w:pPr>
          </w:p>
        </w:tc>
      </w:tr>
      <w:tr w:rsidR="00F920A7" w14:paraId="52E61675" w14:textId="77777777" w:rsidTr="00DB2ABD">
        <w:trPr>
          <w:cantSplit/>
          <w:trHeight w:val="293"/>
        </w:trPr>
        <w:tc>
          <w:tcPr>
            <w:tcW w:w="424" w:type="dxa"/>
            <w:tcBorders>
              <w:top w:val="single" w:sz="4" w:space="0" w:color="auto"/>
              <w:left w:val="nil"/>
              <w:bottom w:val="single" w:sz="4" w:space="0" w:color="auto"/>
              <w:right w:val="single" w:sz="4" w:space="0" w:color="auto"/>
            </w:tcBorders>
            <w:hideMark/>
          </w:tcPr>
          <w:p w14:paraId="3E0675DB" w14:textId="77777777" w:rsidR="00F920A7" w:rsidRDefault="00F920A7" w:rsidP="00DB2ABD">
            <w:pPr>
              <w:pStyle w:val="TableText"/>
              <w:snapToGrid w:val="0"/>
              <w:rPr>
                <w:lang w:eastAsia="en-GB"/>
              </w:rPr>
            </w:pPr>
            <w:r>
              <w:rPr>
                <w:lang w:eastAsia="en-GB"/>
              </w:rPr>
              <w:t>16</w:t>
            </w:r>
          </w:p>
        </w:tc>
        <w:tc>
          <w:tcPr>
            <w:tcW w:w="2369" w:type="dxa"/>
            <w:gridSpan w:val="2"/>
            <w:tcBorders>
              <w:top w:val="single" w:sz="4" w:space="0" w:color="auto"/>
              <w:left w:val="nil"/>
              <w:bottom w:val="single" w:sz="4" w:space="0" w:color="auto"/>
              <w:right w:val="single" w:sz="4" w:space="0" w:color="auto"/>
            </w:tcBorders>
            <w:hideMark/>
          </w:tcPr>
          <w:p w14:paraId="18E4382A" w14:textId="77777777" w:rsidR="00F920A7" w:rsidRDefault="00F920A7" w:rsidP="00DB2ABD">
            <w:pPr>
              <w:pStyle w:val="TableText"/>
              <w:snapToGrid w:val="0"/>
              <w:rPr>
                <w:lang w:val="en-US" w:eastAsia="en-GB"/>
              </w:rPr>
            </w:pPr>
            <w:r>
              <w:rPr>
                <w:lang w:val="en-US" w:eastAsia="en-GB"/>
              </w:rPr>
              <w:t>Total market risk capital charge</w:t>
            </w:r>
          </w:p>
        </w:tc>
        <w:tc>
          <w:tcPr>
            <w:tcW w:w="1885" w:type="dxa"/>
            <w:gridSpan w:val="2"/>
            <w:tcBorders>
              <w:top w:val="single" w:sz="4" w:space="0" w:color="auto"/>
              <w:left w:val="single" w:sz="4" w:space="0" w:color="auto"/>
              <w:bottom w:val="single" w:sz="4" w:space="0" w:color="auto"/>
              <w:right w:val="single" w:sz="4" w:space="0" w:color="auto"/>
            </w:tcBorders>
          </w:tcPr>
          <w:p w14:paraId="064B626D" w14:textId="77777777" w:rsidR="00F920A7" w:rsidRDefault="00F920A7" w:rsidP="00DB2ABD">
            <w:pPr>
              <w:pStyle w:val="TableText"/>
              <w:snapToGrid w:val="0"/>
              <w:rPr>
                <w:lang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BFBFBF"/>
          </w:tcPr>
          <w:p w14:paraId="150BA7CC" w14:textId="77777777" w:rsidR="00F920A7" w:rsidRDefault="00F920A7" w:rsidP="00DB2ABD">
            <w:pPr>
              <w:pStyle w:val="TableText"/>
              <w:snapToGrid w:val="0"/>
              <w:rPr>
                <w:lang w:eastAsia="en-GB"/>
              </w:rPr>
            </w:pPr>
          </w:p>
        </w:tc>
        <w:tc>
          <w:tcPr>
            <w:tcW w:w="868" w:type="dxa"/>
            <w:tcBorders>
              <w:top w:val="single" w:sz="4" w:space="0" w:color="auto"/>
              <w:left w:val="single" w:sz="4" w:space="0" w:color="auto"/>
              <w:bottom w:val="single" w:sz="4" w:space="0" w:color="auto"/>
              <w:right w:val="single" w:sz="4" w:space="0" w:color="auto"/>
            </w:tcBorders>
            <w:shd w:val="clear" w:color="auto" w:fill="BFBFBF"/>
          </w:tcPr>
          <w:p w14:paraId="7B30F96C" w14:textId="77777777" w:rsidR="00F920A7" w:rsidRDefault="00F920A7" w:rsidP="00DB2ABD">
            <w:pPr>
              <w:pStyle w:val="TableText"/>
              <w:snapToGrid w:val="0"/>
              <w:rPr>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BFBFBF"/>
          </w:tcPr>
          <w:p w14:paraId="20DDACE8" w14:textId="77777777" w:rsidR="00F920A7" w:rsidRDefault="00F920A7" w:rsidP="00DB2ABD">
            <w:pPr>
              <w:pStyle w:val="TableText"/>
              <w:snapToGrid w:val="0"/>
              <w:rPr>
                <w:lang w:eastAsia="en-GB"/>
              </w:rPr>
            </w:pPr>
          </w:p>
        </w:tc>
        <w:tc>
          <w:tcPr>
            <w:tcW w:w="1771" w:type="dxa"/>
            <w:gridSpan w:val="2"/>
            <w:tcBorders>
              <w:top w:val="single" w:sz="4" w:space="0" w:color="auto"/>
              <w:left w:val="single" w:sz="4" w:space="0" w:color="auto"/>
              <w:bottom w:val="single" w:sz="4" w:space="0" w:color="auto"/>
              <w:right w:val="single" w:sz="4" w:space="0" w:color="auto"/>
            </w:tcBorders>
          </w:tcPr>
          <w:p w14:paraId="733EFFBE" w14:textId="77777777" w:rsidR="00F920A7" w:rsidRDefault="00F920A7" w:rsidP="00DB2ABD">
            <w:pPr>
              <w:pStyle w:val="TableText"/>
              <w:snapToGrid w:val="0"/>
              <w:rPr>
                <w:lang w:eastAsia="en-GB"/>
              </w:rPr>
            </w:pPr>
          </w:p>
        </w:tc>
      </w:tr>
    </w:tbl>
    <w:p w14:paraId="5FF858D9" w14:textId="77777777" w:rsidR="00F920A7" w:rsidRDefault="00F920A7" w:rsidP="00F920A7">
      <w:pPr>
        <w:spacing w:before="120" w:after="120"/>
        <w:ind w:leftChars="-283" w:left="-566"/>
        <w:rPr>
          <w:sz w:val="22"/>
        </w:rPr>
      </w:pPr>
    </w:p>
    <w:tbl>
      <w:tblPr>
        <w:tblW w:w="950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792"/>
      </w:tblGrid>
      <w:tr w:rsidR="00F920A7" w14:paraId="151FCCE7" w14:textId="77777777" w:rsidTr="00DB2ABD">
        <w:trPr>
          <w:tblHeader/>
        </w:trPr>
        <w:tc>
          <w:tcPr>
            <w:tcW w:w="9501"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55756E92" w14:textId="77777777" w:rsidR="00F920A7" w:rsidRDefault="00F920A7" w:rsidP="00DB2ABD">
            <w:pPr>
              <w:spacing w:before="40" w:after="40"/>
              <w:jc w:val="both"/>
              <w:rPr>
                <w:rFonts w:eastAsia="新細明體"/>
                <w:b/>
                <w:sz w:val="17"/>
                <w:lang w:eastAsia="en-GB"/>
              </w:rPr>
            </w:pPr>
            <w:r>
              <w:rPr>
                <w:rFonts w:eastAsia="新細明體"/>
                <w:b/>
                <w:sz w:val="17"/>
                <w:lang w:eastAsia="en-GB"/>
              </w:rPr>
              <w:t>Explanatory Note</w:t>
            </w:r>
          </w:p>
        </w:tc>
      </w:tr>
      <w:tr w:rsidR="00F920A7" w14:paraId="490A3DA4" w14:textId="77777777" w:rsidTr="00DB2ABD">
        <w:tc>
          <w:tcPr>
            <w:tcW w:w="9501" w:type="dxa"/>
            <w:gridSpan w:val="2"/>
            <w:tcBorders>
              <w:top w:val="single" w:sz="4" w:space="0" w:color="auto"/>
              <w:left w:val="single" w:sz="4" w:space="0" w:color="auto"/>
              <w:bottom w:val="single" w:sz="4" w:space="0" w:color="auto"/>
              <w:right w:val="single" w:sz="4" w:space="0" w:color="auto"/>
            </w:tcBorders>
            <w:shd w:val="clear" w:color="auto" w:fill="F2F2F2"/>
          </w:tcPr>
          <w:p w14:paraId="0004890C" w14:textId="77777777" w:rsidR="00F920A7" w:rsidRDefault="00F920A7" w:rsidP="00DB2ABD">
            <w:pPr>
              <w:spacing w:before="40" w:after="40"/>
              <w:jc w:val="both"/>
              <w:rPr>
                <w:rFonts w:eastAsia="新細明體"/>
                <w:b/>
                <w:sz w:val="17"/>
                <w:lang w:eastAsia="en-GB"/>
              </w:rPr>
            </w:pPr>
            <w:r>
              <w:rPr>
                <w:rFonts w:eastAsia="新細明體"/>
                <w:b/>
                <w:sz w:val="17"/>
                <w:lang w:eastAsia="en-GB"/>
              </w:rPr>
              <w:t>Columns</w:t>
            </w:r>
          </w:p>
        </w:tc>
      </w:tr>
      <w:tr w:rsidR="00F920A7" w14:paraId="52FF7863" w14:textId="77777777" w:rsidTr="00DB2ABD">
        <w:tc>
          <w:tcPr>
            <w:tcW w:w="709" w:type="dxa"/>
            <w:tcBorders>
              <w:top w:val="single" w:sz="4" w:space="0" w:color="auto"/>
              <w:left w:val="single" w:sz="4" w:space="0" w:color="auto"/>
              <w:bottom w:val="single" w:sz="4" w:space="0" w:color="auto"/>
              <w:right w:val="single" w:sz="4" w:space="0" w:color="auto"/>
            </w:tcBorders>
            <w:shd w:val="clear" w:color="auto" w:fill="FFFFFF"/>
          </w:tcPr>
          <w:p w14:paraId="28EBA3D5" w14:textId="0B0D0C96" w:rsidR="00F920A7" w:rsidRPr="00CE715B" w:rsidRDefault="001422A5" w:rsidP="00DB2ABD">
            <w:pPr>
              <w:spacing w:before="40" w:after="40"/>
              <w:jc w:val="both"/>
              <w:rPr>
                <w:rFonts w:eastAsia="新細明體"/>
                <w:sz w:val="17"/>
                <w:szCs w:val="17"/>
                <w:lang w:eastAsia="en-GB"/>
              </w:rPr>
            </w:pPr>
            <w:r>
              <w:rPr>
                <w:rFonts w:eastAsia="新細明體"/>
                <w:sz w:val="17"/>
                <w:szCs w:val="17"/>
                <w:lang w:eastAsia="en-GB"/>
              </w:rPr>
              <w:t>(</w:t>
            </w:r>
            <w:r w:rsidR="00F920A7" w:rsidRPr="00CE715B">
              <w:rPr>
                <w:rFonts w:eastAsia="新細明體"/>
                <w:sz w:val="17"/>
                <w:szCs w:val="17"/>
                <w:lang w:eastAsia="en-GB"/>
              </w:rPr>
              <w:t>a</w:t>
            </w:r>
            <w:r>
              <w:rPr>
                <w:rFonts w:eastAsia="新細明體"/>
                <w:sz w:val="17"/>
                <w:szCs w:val="17"/>
                <w:lang w:eastAsia="en-GB"/>
              </w:rPr>
              <w:t>)</w:t>
            </w: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72F8EF41" w14:textId="77777777" w:rsidR="00F920A7" w:rsidRPr="00CE715B" w:rsidRDefault="00F920A7" w:rsidP="00DB2ABD">
            <w:pPr>
              <w:pStyle w:val="Default"/>
              <w:jc w:val="both"/>
              <w:rPr>
                <w:sz w:val="17"/>
                <w:szCs w:val="17"/>
                <w:lang w:eastAsia="en-GB"/>
              </w:rPr>
            </w:pPr>
            <w:r w:rsidRPr="00CE715B">
              <w:rPr>
                <w:i/>
                <w:sz w:val="17"/>
                <w:szCs w:val="17"/>
              </w:rPr>
              <w:t>Most recent</w:t>
            </w:r>
            <w:r w:rsidRPr="00CE715B">
              <w:rPr>
                <w:sz w:val="17"/>
                <w:szCs w:val="17"/>
              </w:rPr>
              <w:t>: For each of the rows 1 to 10, the value in this column is the position as of the end of the reporting period.</w:t>
            </w:r>
          </w:p>
        </w:tc>
      </w:tr>
      <w:tr w:rsidR="00F920A7" w14:paraId="01A99F7A" w14:textId="77777777" w:rsidTr="00DB2ABD">
        <w:tc>
          <w:tcPr>
            <w:tcW w:w="709" w:type="dxa"/>
            <w:tcBorders>
              <w:top w:val="single" w:sz="4" w:space="0" w:color="auto"/>
              <w:left w:val="single" w:sz="4" w:space="0" w:color="auto"/>
              <w:bottom w:val="single" w:sz="4" w:space="0" w:color="auto"/>
              <w:right w:val="single" w:sz="4" w:space="0" w:color="auto"/>
            </w:tcBorders>
            <w:shd w:val="clear" w:color="auto" w:fill="FFFFFF"/>
          </w:tcPr>
          <w:p w14:paraId="2DBA5DD6" w14:textId="180635DE" w:rsidR="00F920A7" w:rsidRPr="00CE715B" w:rsidRDefault="001422A5" w:rsidP="00DB2ABD">
            <w:pPr>
              <w:spacing w:before="40" w:after="40"/>
              <w:jc w:val="both"/>
              <w:rPr>
                <w:rFonts w:eastAsia="新細明體"/>
                <w:sz w:val="17"/>
                <w:szCs w:val="17"/>
                <w:lang w:eastAsia="en-GB"/>
              </w:rPr>
            </w:pPr>
            <w:r>
              <w:rPr>
                <w:rFonts w:eastAsia="新細明體"/>
                <w:sz w:val="17"/>
                <w:szCs w:val="17"/>
                <w:lang w:eastAsia="en-GB"/>
              </w:rPr>
              <w:t>(</w:t>
            </w:r>
            <w:r w:rsidR="00F920A7" w:rsidRPr="00CE715B">
              <w:rPr>
                <w:rFonts w:eastAsia="新細明體"/>
                <w:sz w:val="17"/>
                <w:szCs w:val="17"/>
                <w:lang w:eastAsia="en-GB"/>
              </w:rPr>
              <w:t>b</w:t>
            </w:r>
            <w:r>
              <w:rPr>
                <w:rFonts w:eastAsia="新細明體"/>
                <w:sz w:val="17"/>
                <w:szCs w:val="17"/>
                <w:lang w:eastAsia="en-GB"/>
              </w:rPr>
              <w:t>)</w:t>
            </w: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61AE957C" w14:textId="77777777" w:rsidR="00F920A7" w:rsidRPr="00CE715B" w:rsidRDefault="00F920A7" w:rsidP="00DB2ABD">
            <w:pPr>
              <w:pStyle w:val="Default"/>
              <w:jc w:val="both"/>
              <w:rPr>
                <w:sz w:val="17"/>
                <w:szCs w:val="17"/>
              </w:rPr>
            </w:pPr>
            <w:r w:rsidRPr="00CE715B">
              <w:rPr>
                <w:i/>
                <w:sz w:val="17"/>
                <w:szCs w:val="17"/>
              </w:rPr>
              <w:t>Average</w:t>
            </w:r>
            <w:r w:rsidRPr="00CE715B">
              <w:rPr>
                <w:sz w:val="17"/>
                <w:szCs w:val="17"/>
              </w:rPr>
              <w:t>: For each of the rows 1 to 9, the value in this column is an average</w:t>
            </w:r>
            <w:r>
              <w:rPr>
                <w:rFonts w:hint="eastAsia"/>
                <w:sz w:val="17"/>
                <w:szCs w:val="17"/>
              </w:rPr>
              <w:t>-</w:t>
            </w:r>
            <w:r w:rsidRPr="00CE715B">
              <w:rPr>
                <w:sz w:val="17"/>
                <w:szCs w:val="17"/>
              </w:rPr>
              <w:t>based figure of the last 60 trading days.  For row 10, the value in this column is an aver</w:t>
            </w:r>
            <w:r>
              <w:rPr>
                <w:sz w:val="17"/>
                <w:szCs w:val="17"/>
              </w:rPr>
              <w:t>age-based figure of the last</w:t>
            </w:r>
            <w:r w:rsidRPr="00CE715B">
              <w:rPr>
                <w:sz w:val="17"/>
                <w:szCs w:val="17"/>
              </w:rPr>
              <w:t xml:space="preserve"> 12 weeks.</w:t>
            </w:r>
          </w:p>
        </w:tc>
      </w:tr>
      <w:tr w:rsidR="00F920A7" w14:paraId="410098AC" w14:textId="77777777" w:rsidTr="00DB2ABD">
        <w:tc>
          <w:tcPr>
            <w:tcW w:w="709" w:type="dxa"/>
            <w:tcBorders>
              <w:top w:val="single" w:sz="4" w:space="0" w:color="auto"/>
              <w:left w:val="single" w:sz="4" w:space="0" w:color="auto"/>
              <w:bottom w:val="single" w:sz="4" w:space="0" w:color="auto"/>
              <w:right w:val="single" w:sz="4" w:space="0" w:color="auto"/>
            </w:tcBorders>
            <w:shd w:val="clear" w:color="auto" w:fill="FFFFFF"/>
          </w:tcPr>
          <w:p w14:paraId="6357AE3C" w14:textId="69B32D98" w:rsidR="00F920A7" w:rsidRPr="00CE715B" w:rsidRDefault="001422A5" w:rsidP="00DB2ABD">
            <w:pPr>
              <w:spacing w:before="40" w:after="40"/>
              <w:jc w:val="both"/>
              <w:rPr>
                <w:rFonts w:eastAsia="新細明體"/>
                <w:sz w:val="17"/>
                <w:szCs w:val="17"/>
                <w:lang w:eastAsia="en-GB"/>
              </w:rPr>
            </w:pPr>
            <w:r>
              <w:rPr>
                <w:rFonts w:eastAsia="新細明體"/>
                <w:sz w:val="17"/>
                <w:szCs w:val="17"/>
                <w:lang w:eastAsia="en-GB"/>
              </w:rPr>
              <w:t>(</w:t>
            </w:r>
            <w:r w:rsidR="00F920A7" w:rsidRPr="00CE715B">
              <w:rPr>
                <w:rFonts w:eastAsia="新細明體"/>
                <w:sz w:val="17"/>
                <w:szCs w:val="17"/>
                <w:lang w:eastAsia="en-GB"/>
              </w:rPr>
              <w:t>c</w:t>
            </w:r>
            <w:r>
              <w:rPr>
                <w:rFonts w:eastAsia="新細明體"/>
                <w:sz w:val="17"/>
                <w:szCs w:val="17"/>
                <w:lang w:eastAsia="en-GB"/>
              </w:rPr>
              <w:t>)</w:t>
            </w: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35C4265D" w14:textId="77777777" w:rsidR="00F920A7" w:rsidRPr="00CE715B" w:rsidRDefault="00F920A7" w:rsidP="00DB2ABD">
            <w:pPr>
              <w:pStyle w:val="Default"/>
              <w:jc w:val="both"/>
              <w:rPr>
                <w:i/>
                <w:sz w:val="17"/>
                <w:szCs w:val="17"/>
              </w:rPr>
            </w:pPr>
            <w:r w:rsidRPr="00CE715B">
              <w:rPr>
                <w:i/>
                <w:sz w:val="17"/>
                <w:szCs w:val="17"/>
              </w:rPr>
              <w:t>High</w:t>
            </w:r>
            <w:r w:rsidRPr="00CE715B">
              <w:rPr>
                <w:sz w:val="17"/>
                <w:szCs w:val="17"/>
              </w:rPr>
              <w:t xml:space="preserve">: For rows 1 to 6, an AI should report the highest value </w:t>
            </w:r>
            <w:r>
              <w:rPr>
                <w:sz w:val="17"/>
                <w:szCs w:val="17"/>
              </w:rPr>
              <w:t xml:space="preserve">in the last </w:t>
            </w:r>
            <w:r w:rsidRPr="00CE715B">
              <w:rPr>
                <w:sz w:val="17"/>
                <w:szCs w:val="17"/>
              </w:rPr>
              <w:t>60 trading days.</w:t>
            </w:r>
          </w:p>
        </w:tc>
      </w:tr>
      <w:tr w:rsidR="00F920A7" w14:paraId="38B19491" w14:textId="77777777" w:rsidTr="00DB2ABD">
        <w:tc>
          <w:tcPr>
            <w:tcW w:w="709" w:type="dxa"/>
            <w:tcBorders>
              <w:top w:val="single" w:sz="4" w:space="0" w:color="auto"/>
              <w:left w:val="single" w:sz="4" w:space="0" w:color="auto"/>
              <w:bottom w:val="single" w:sz="4" w:space="0" w:color="auto"/>
              <w:right w:val="single" w:sz="4" w:space="0" w:color="auto"/>
            </w:tcBorders>
            <w:shd w:val="clear" w:color="auto" w:fill="FFFFFF"/>
          </w:tcPr>
          <w:p w14:paraId="4EEDE4FC" w14:textId="6A2854F2" w:rsidR="00F920A7" w:rsidRPr="00CE715B" w:rsidRDefault="001422A5" w:rsidP="00DB2ABD">
            <w:pPr>
              <w:spacing w:before="40" w:after="40"/>
              <w:jc w:val="both"/>
              <w:rPr>
                <w:rFonts w:eastAsia="新細明體"/>
                <w:sz w:val="17"/>
                <w:szCs w:val="17"/>
                <w:lang w:eastAsia="en-GB"/>
              </w:rPr>
            </w:pPr>
            <w:r>
              <w:rPr>
                <w:rFonts w:eastAsia="新細明體"/>
                <w:sz w:val="17"/>
                <w:szCs w:val="17"/>
                <w:lang w:eastAsia="en-GB"/>
              </w:rPr>
              <w:t>(</w:t>
            </w:r>
            <w:r w:rsidR="00F920A7" w:rsidRPr="00CE715B">
              <w:rPr>
                <w:rFonts w:eastAsia="新細明體"/>
                <w:sz w:val="17"/>
                <w:szCs w:val="17"/>
                <w:lang w:eastAsia="en-GB"/>
              </w:rPr>
              <w:t>d</w:t>
            </w:r>
            <w:r>
              <w:rPr>
                <w:rFonts w:eastAsia="新細明體"/>
                <w:sz w:val="17"/>
                <w:szCs w:val="17"/>
                <w:lang w:eastAsia="en-GB"/>
              </w:rPr>
              <w:t>)</w:t>
            </w: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177683F9" w14:textId="77777777" w:rsidR="00F920A7" w:rsidRPr="00CE715B" w:rsidRDefault="00F920A7" w:rsidP="00DB2ABD">
            <w:pPr>
              <w:pStyle w:val="Default"/>
              <w:jc w:val="both"/>
              <w:rPr>
                <w:sz w:val="17"/>
                <w:szCs w:val="17"/>
              </w:rPr>
            </w:pPr>
            <w:r w:rsidRPr="00CE715B">
              <w:rPr>
                <w:i/>
                <w:sz w:val="17"/>
                <w:szCs w:val="17"/>
              </w:rPr>
              <w:t>Low</w:t>
            </w:r>
            <w:r w:rsidRPr="00CE715B">
              <w:rPr>
                <w:sz w:val="17"/>
                <w:szCs w:val="17"/>
              </w:rPr>
              <w:t xml:space="preserve">: For rows 1 to 6, an AI should report the lowest value </w:t>
            </w:r>
            <w:r>
              <w:rPr>
                <w:sz w:val="17"/>
                <w:szCs w:val="17"/>
              </w:rPr>
              <w:t xml:space="preserve">in the last </w:t>
            </w:r>
            <w:r w:rsidRPr="00CE715B">
              <w:rPr>
                <w:sz w:val="17"/>
                <w:szCs w:val="17"/>
              </w:rPr>
              <w:t>60 trading days.</w:t>
            </w:r>
          </w:p>
        </w:tc>
      </w:tr>
      <w:tr w:rsidR="00F920A7" w14:paraId="0156590A" w14:textId="77777777" w:rsidTr="00DB2ABD">
        <w:tc>
          <w:tcPr>
            <w:tcW w:w="709" w:type="dxa"/>
            <w:tcBorders>
              <w:top w:val="single" w:sz="4" w:space="0" w:color="auto"/>
              <w:left w:val="single" w:sz="4" w:space="0" w:color="auto"/>
              <w:bottom w:val="single" w:sz="4" w:space="0" w:color="auto"/>
              <w:right w:val="single" w:sz="4" w:space="0" w:color="auto"/>
            </w:tcBorders>
            <w:shd w:val="clear" w:color="auto" w:fill="FFFFFF"/>
          </w:tcPr>
          <w:p w14:paraId="0F9D3F7E" w14:textId="5FD0705F" w:rsidR="00F920A7" w:rsidRPr="00CE715B" w:rsidRDefault="001422A5" w:rsidP="00DB2ABD">
            <w:pPr>
              <w:spacing w:before="40" w:after="40"/>
              <w:jc w:val="both"/>
              <w:rPr>
                <w:rFonts w:eastAsia="新細明體"/>
                <w:sz w:val="17"/>
                <w:szCs w:val="17"/>
                <w:lang w:eastAsia="en-GB"/>
              </w:rPr>
            </w:pPr>
            <w:r>
              <w:rPr>
                <w:rFonts w:eastAsia="新細明體"/>
                <w:sz w:val="17"/>
                <w:szCs w:val="17"/>
                <w:lang w:eastAsia="en-GB"/>
              </w:rPr>
              <w:t>(</w:t>
            </w:r>
            <w:r w:rsidR="00F920A7" w:rsidRPr="00CE715B">
              <w:rPr>
                <w:rFonts w:eastAsia="新細明體"/>
                <w:sz w:val="17"/>
                <w:szCs w:val="17"/>
                <w:lang w:eastAsia="en-GB"/>
              </w:rPr>
              <w:t>f</w:t>
            </w:r>
            <w:r>
              <w:rPr>
                <w:rFonts w:eastAsia="新細明體"/>
                <w:sz w:val="17"/>
                <w:szCs w:val="17"/>
                <w:lang w:eastAsia="en-GB"/>
              </w:rPr>
              <w:t>)</w:t>
            </w:r>
            <w:r w:rsidR="00F920A7" w:rsidRPr="00CE715B">
              <w:rPr>
                <w:rFonts w:eastAsia="新細明體"/>
                <w:sz w:val="17"/>
                <w:szCs w:val="17"/>
                <w:lang w:eastAsia="en-GB"/>
              </w:rPr>
              <w:t xml:space="preserve"> &amp; </w:t>
            </w:r>
            <w:r>
              <w:rPr>
                <w:rFonts w:eastAsia="新細明體"/>
                <w:sz w:val="17"/>
                <w:szCs w:val="17"/>
                <w:lang w:eastAsia="en-GB"/>
              </w:rPr>
              <w:t>(</w:t>
            </w:r>
            <w:r w:rsidR="00F920A7" w:rsidRPr="00CE715B">
              <w:rPr>
                <w:rFonts w:eastAsia="新細明體"/>
                <w:sz w:val="17"/>
                <w:szCs w:val="17"/>
                <w:lang w:eastAsia="en-GB"/>
              </w:rPr>
              <w:t>g</w:t>
            </w:r>
            <w:r>
              <w:rPr>
                <w:rFonts w:eastAsia="新細明體"/>
                <w:sz w:val="17"/>
                <w:szCs w:val="17"/>
                <w:lang w:eastAsia="en-GB"/>
              </w:rPr>
              <w:t>)</w:t>
            </w: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1E997CD2" w14:textId="77777777" w:rsidR="00F920A7" w:rsidRPr="00CE715B" w:rsidRDefault="00F920A7" w:rsidP="00DB2ABD">
            <w:pPr>
              <w:pStyle w:val="Default"/>
              <w:jc w:val="both"/>
              <w:rPr>
                <w:i/>
                <w:sz w:val="17"/>
                <w:szCs w:val="17"/>
              </w:rPr>
            </w:pPr>
            <w:r w:rsidRPr="00CE715B">
              <w:rPr>
                <w:sz w:val="17"/>
                <w:szCs w:val="17"/>
              </w:rPr>
              <w:t xml:space="preserve">Corresponding value for each of the rows as </w:t>
            </w:r>
            <w:r w:rsidRPr="00F53EAD">
              <w:rPr>
                <w:sz w:val="17"/>
                <w:szCs w:val="17"/>
              </w:rPr>
              <w:t xml:space="preserve">reported in the previous reporting period (i.e. the previous </w:t>
            </w:r>
            <w:r w:rsidRPr="00F53EAD">
              <w:rPr>
                <w:rFonts w:hint="eastAsia"/>
                <w:sz w:val="17"/>
                <w:szCs w:val="17"/>
              </w:rPr>
              <w:t>quarter</w:t>
            </w:r>
            <w:r w:rsidRPr="00F53EAD">
              <w:rPr>
                <w:sz w:val="17"/>
                <w:szCs w:val="17"/>
              </w:rPr>
              <w:t>).</w:t>
            </w:r>
          </w:p>
        </w:tc>
      </w:tr>
      <w:tr w:rsidR="00F920A7" w14:paraId="3B0DB138" w14:textId="77777777" w:rsidTr="00DB2ABD">
        <w:tc>
          <w:tcPr>
            <w:tcW w:w="9501"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68A27274" w14:textId="77777777" w:rsidR="00F920A7" w:rsidRDefault="00F920A7" w:rsidP="00DB2ABD">
            <w:pPr>
              <w:spacing w:before="40" w:after="40"/>
              <w:jc w:val="both"/>
              <w:rPr>
                <w:rFonts w:eastAsia="新細明體"/>
                <w:b/>
                <w:sz w:val="17"/>
                <w:lang w:eastAsia="en-GB"/>
              </w:rPr>
            </w:pPr>
            <w:r>
              <w:rPr>
                <w:rFonts w:eastAsia="新細明體"/>
                <w:b/>
                <w:sz w:val="17"/>
                <w:lang w:eastAsia="en-GB"/>
              </w:rPr>
              <w:t>Rows</w:t>
            </w:r>
          </w:p>
        </w:tc>
      </w:tr>
      <w:tr w:rsidR="00F920A7" w14:paraId="0FCAD931" w14:textId="77777777" w:rsidTr="00DB2ABD">
        <w:trPr>
          <w:trHeight w:val="377"/>
        </w:trPr>
        <w:tc>
          <w:tcPr>
            <w:tcW w:w="709" w:type="dxa"/>
            <w:tcBorders>
              <w:top w:val="single" w:sz="4" w:space="0" w:color="auto"/>
              <w:left w:val="single" w:sz="4" w:space="0" w:color="auto"/>
              <w:bottom w:val="single" w:sz="4" w:space="0" w:color="auto"/>
              <w:right w:val="single" w:sz="4" w:space="0" w:color="auto"/>
            </w:tcBorders>
            <w:hideMark/>
          </w:tcPr>
          <w:p w14:paraId="175497EC" w14:textId="77777777" w:rsidR="00F920A7" w:rsidRPr="00CE715B" w:rsidRDefault="00F920A7" w:rsidP="00DB2ABD">
            <w:pPr>
              <w:keepLines/>
              <w:widowControl w:val="0"/>
              <w:tabs>
                <w:tab w:val="left" w:pos="150"/>
                <w:tab w:val="left" w:pos="397"/>
                <w:tab w:val="left" w:pos="794"/>
                <w:tab w:val="left" w:pos="1191"/>
              </w:tabs>
              <w:spacing w:before="20" w:after="20"/>
              <w:rPr>
                <w:rFonts w:cs="Segoe UI"/>
                <w:sz w:val="17"/>
                <w:szCs w:val="17"/>
              </w:rPr>
            </w:pPr>
            <w:r w:rsidRPr="00CE715B">
              <w:rPr>
                <w:rFonts w:cs="Segoe UI"/>
                <w:sz w:val="17"/>
                <w:szCs w:val="17"/>
              </w:rPr>
              <w:t>1</w:t>
            </w:r>
          </w:p>
        </w:tc>
        <w:tc>
          <w:tcPr>
            <w:tcW w:w="8788" w:type="dxa"/>
            <w:tcBorders>
              <w:top w:val="single" w:sz="4" w:space="0" w:color="auto"/>
              <w:left w:val="single" w:sz="4" w:space="0" w:color="auto"/>
              <w:bottom w:val="single" w:sz="4" w:space="0" w:color="auto"/>
              <w:right w:val="single" w:sz="4" w:space="0" w:color="auto"/>
            </w:tcBorders>
            <w:hideMark/>
          </w:tcPr>
          <w:p w14:paraId="235505C3" w14:textId="0B593D29" w:rsidR="00F920A7" w:rsidRPr="00B91D91" w:rsidRDefault="00F920A7" w:rsidP="00DB2ABD">
            <w:pPr>
              <w:pStyle w:val="Default"/>
              <w:jc w:val="both"/>
              <w:rPr>
                <w:sz w:val="17"/>
                <w:szCs w:val="17"/>
              </w:rPr>
            </w:pPr>
            <w:r w:rsidRPr="00B91D91">
              <w:rPr>
                <w:i/>
                <w:sz w:val="17"/>
                <w:szCs w:val="17"/>
              </w:rPr>
              <w:t>Unconstrained expected shortfall</w:t>
            </w:r>
            <w:r w:rsidRPr="00B91D91">
              <w:rPr>
                <w:sz w:val="17"/>
                <w:szCs w:val="17"/>
              </w:rPr>
              <w:t xml:space="preserve">: </w:t>
            </w:r>
            <w:r w:rsidRPr="00B91D91">
              <w:rPr>
                <w:rFonts w:hint="eastAsia"/>
                <w:sz w:val="17"/>
                <w:szCs w:val="17"/>
              </w:rPr>
              <w:t>IMCC(C)</w:t>
            </w:r>
            <w:r w:rsidRPr="00B91D91">
              <w:rPr>
                <w:sz w:val="17"/>
                <w:szCs w:val="17"/>
              </w:rPr>
              <w:t xml:space="preserve"> calculated in accordance with Division 13, Part 8 of the BCR.</w:t>
            </w:r>
          </w:p>
        </w:tc>
      </w:tr>
      <w:tr w:rsidR="00F920A7" w14:paraId="29B1C1B0" w14:textId="77777777" w:rsidTr="00DB2ABD">
        <w:tc>
          <w:tcPr>
            <w:tcW w:w="709" w:type="dxa"/>
            <w:tcBorders>
              <w:top w:val="single" w:sz="4" w:space="0" w:color="auto"/>
              <w:left w:val="single" w:sz="4" w:space="0" w:color="auto"/>
              <w:bottom w:val="single" w:sz="4" w:space="0" w:color="auto"/>
              <w:right w:val="single" w:sz="4" w:space="0" w:color="auto"/>
            </w:tcBorders>
          </w:tcPr>
          <w:p w14:paraId="73FAEDFC" w14:textId="77777777" w:rsidR="00F920A7" w:rsidRPr="00CE715B" w:rsidRDefault="00F920A7" w:rsidP="00DB2ABD">
            <w:pPr>
              <w:keepLines/>
              <w:widowControl w:val="0"/>
              <w:tabs>
                <w:tab w:val="left" w:pos="150"/>
                <w:tab w:val="left" w:pos="397"/>
                <w:tab w:val="left" w:pos="794"/>
                <w:tab w:val="left" w:pos="1191"/>
              </w:tabs>
              <w:spacing w:before="20" w:after="20"/>
              <w:rPr>
                <w:rFonts w:cs="Segoe UI"/>
                <w:sz w:val="17"/>
                <w:szCs w:val="17"/>
              </w:rPr>
            </w:pPr>
            <w:r w:rsidRPr="00CE715B">
              <w:rPr>
                <w:rFonts w:cs="Segoe UI"/>
                <w:sz w:val="17"/>
                <w:szCs w:val="17"/>
              </w:rPr>
              <w:t>2 to 6</w:t>
            </w:r>
          </w:p>
        </w:tc>
        <w:tc>
          <w:tcPr>
            <w:tcW w:w="8788" w:type="dxa"/>
            <w:tcBorders>
              <w:top w:val="single" w:sz="4" w:space="0" w:color="auto"/>
              <w:left w:val="single" w:sz="4" w:space="0" w:color="auto"/>
              <w:bottom w:val="single" w:sz="4" w:space="0" w:color="auto"/>
              <w:right w:val="single" w:sz="4" w:space="0" w:color="auto"/>
            </w:tcBorders>
          </w:tcPr>
          <w:p w14:paraId="7C88DDCB" w14:textId="0A5CD3DA" w:rsidR="00F920A7" w:rsidRPr="00B91D91" w:rsidRDefault="00F920A7" w:rsidP="00DB2ABD">
            <w:pPr>
              <w:pStyle w:val="Default"/>
              <w:jc w:val="both"/>
              <w:rPr>
                <w:iCs/>
                <w:sz w:val="17"/>
                <w:szCs w:val="17"/>
              </w:rPr>
            </w:pPr>
            <w:r w:rsidRPr="00B91D91">
              <w:rPr>
                <w:rFonts w:hint="eastAsia"/>
                <w:sz w:val="17"/>
                <w:szCs w:val="17"/>
              </w:rPr>
              <w:t>IMCC(C</w:t>
            </w:r>
            <w:r w:rsidRPr="00B91D91">
              <w:rPr>
                <w:position w:val="-6"/>
                <w:sz w:val="17"/>
                <w:szCs w:val="17"/>
                <w:vertAlign w:val="superscript"/>
              </w:rPr>
              <w:t>i</w:t>
            </w:r>
            <w:r w:rsidRPr="00B91D91">
              <w:rPr>
                <w:rFonts w:hint="eastAsia"/>
                <w:sz w:val="17"/>
                <w:szCs w:val="17"/>
                <w:lang w:eastAsia="zh-HK"/>
              </w:rPr>
              <w:t>)</w:t>
            </w:r>
            <w:r w:rsidRPr="00B91D91">
              <w:rPr>
                <w:sz w:val="17"/>
                <w:szCs w:val="17"/>
                <w:lang w:eastAsia="zh-HK"/>
              </w:rPr>
              <w:t xml:space="preserve"> for each of the risk classes calculated in accordance with </w:t>
            </w:r>
            <w:r w:rsidRPr="00B91D91">
              <w:rPr>
                <w:sz w:val="17"/>
                <w:szCs w:val="17"/>
              </w:rPr>
              <w:t>Division 13, Part 8 of the BCR.</w:t>
            </w:r>
          </w:p>
        </w:tc>
      </w:tr>
      <w:tr w:rsidR="00F920A7" w14:paraId="234048B6" w14:textId="77777777" w:rsidTr="00DB2ABD">
        <w:tc>
          <w:tcPr>
            <w:tcW w:w="709" w:type="dxa"/>
            <w:tcBorders>
              <w:top w:val="single" w:sz="4" w:space="0" w:color="auto"/>
              <w:left w:val="single" w:sz="4" w:space="0" w:color="auto"/>
              <w:bottom w:val="single" w:sz="4" w:space="0" w:color="auto"/>
              <w:right w:val="single" w:sz="4" w:space="0" w:color="auto"/>
            </w:tcBorders>
            <w:hideMark/>
          </w:tcPr>
          <w:p w14:paraId="23604A0A" w14:textId="77777777" w:rsidR="00F920A7" w:rsidRPr="00CE715B" w:rsidRDefault="00F920A7" w:rsidP="00DB2ABD">
            <w:pPr>
              <w:keepLines/>
              <w:widowControl w:val="0"/>
              <w:tabs>
                <w:tab w:val="left" w:pos="150"/>
                <w:tab w:val="left" w:pos="397"/>
                <w:tab w:val="left" w:pos="794"/>
                <w:tab w:val="left" w:pos="1191"/>
              </w:tabs>
              <w:spacing w:before="20" w:after="20"/>
              <w:rPr>
                <w:rFonts w:cs="Segoe UI"/>
                <w:sz w:val="17"/>
                <w:szCs w:val="17"/>
              </w:rPr>
            </w:pPr>
            <w:r w:rsidRPr="00CE715B">
              <w:rPr>
                <w:rFonts w:cs="Segoe UI"/>
                <w:sz w:val="17"/>
                <w:szCs w:val="17"/>
              </w:rPr>
              <w:t>7</w:t>
            </w:r>
          </w:p>
        </w:tc>
        <w:tc>
          <w:tcPr>
            <w:tcW w:w="8788" w:type="dxa"/>
            <w:tcBorders>
              <w:top w:val="single" w:sz="4" w:space="0" w:color="auto"/>
              <w:left w:val="single" w:sz="4" w:space="0" w:color="auto"/>
              <w:bottom w:val="single" w:sz="4" w:space="0" w:color="auto"/>
              <w:right w:val="single" w:sz="4" w:space="0" w:color="auto"/>
            </w:tcBorders>
            <w:hideMark/>
          </w:tcPr>
          <w:p w14:paraId="400537F3" w14:textId="77777777" w:rsidR="00F920A7" w:rsidRPr="00B91D91" w:rsidRDefault="00F920A7" w:rsidP="00DB2ABD">
            <w:pPr>
              <w:pStyle w:val="Default"/>
              <w:jc w:val="both"/>
              <w:rPr>
                <w:sz w:val="17"/>
                <w:szCs w:val="17"/>
              </w:rPr>
            </w:pPr>
            <w:r w:rsidRPr="00B91D91">
              <w:rPr>
                <w:i/>
                <w:iCs/>
                <w:sz w:val="17"/>
                <w:szCs w:val="17"/>
              </w:rPr>
              <w:t>Constrained expected shortfall</w:t>
            </w:r>
            <w:r w:rsidRPr="00B91D91">
              <w:rPr>
                <w:sz w:val="17"/>
                <w:szCs w:val="17"/>
              </w:rPr>
              <w:t>: this is the sum of values in rows 2 to 6.</w:t>
            </w:r>
          </w:p>
        </w:tc>
      </w:tr>
      <w:tr w:rsidR="00F920A7" w14:paraId="4BA00137" w14:textId="77777777" w:rsidTr="00DB2ABD">
        <w:tc>
          <w:tcPr>
            <w:tcW w:w="709" w:type="dxa"/>
            <w:tcBorders>
              <w:top w:val="single" w:sz="4" w:space="0" w:color="auto"/>
              <w:left w:val="single" w:sz="4" w:space="0" w:color="auto"/>
              <w:bottom w:val="single" w:sz="4" w:space="0" w:color="auto"/>
              <w:right w:val="single" w:sz="4" w:space="0" w:color="auto"/>
            </w:tcBorders>
          </w:tcPr>
          <w:p w14:paraId="74322304" w14:textId="77777777" w:rsidR="00F920A7" w:rsidRPr="00CE715B" w:rsidRDefault="00F920A7" w:rsidP="00DB2ABD">
            <w:pPr>
              <w:keepLines/>
              <w:widowControl w:val="0"/>
              <w:tabs>
                <w:tab w:val="left" w:pos="150"/>
                <w:tab w:val="left" w:pos="397"/>
                <w:tab w:val="left" w:pos="794"/>
                <w:tab w:val="left" w:pos="1191"/>
              </w:tabs>
              <w:spacing w:before="20" w:after="20"/>
              <w:rPr>
                <w:rFonts w:cs="Segoe UI"/>
                <w:sz w:val="17"/>
                <w:szCs w:val="17"/>
              </w:rPr>
            </w:pPr>
            <w:r w:rsidRPr="00CE715B">
              <w:rPr>
                <w:rFonts w:cs="Segoe UI"/>
                <w:sz w:val="17"/>
                <w:szCs w:val="17"/>
              </w:rPr>
              <w:lastRenderedPageBreak/>
              <w:t>8</w:t>
            </w:r>
          </w:p>
        </w:tc>
        <w:tc>
          <w:tcPr>
            <w:tcW w:w="8788" w:type="dxa"/>
            <w:tcBorders>
              <w:top w:val="single" w:sz="4" w:space="0" w:color="auto"/>
              <w:left w:val="single" w:sz="4" w:space="0" w:color="auto"/>
              <w:bottom w:val="single" w:sz="4" w:space="0" w:color="auto"/>
              <w:right w:val="single" w:sz="4" w:space="0" w:color="auto"/>
            </w:tcBorders>
          </w:tcPr>
          <w:p w14:paraId="4276336F" w14:textId="4F525CBE" w:rsidR="00F920A7" w:rsidRPr="00B91D91" w:rsidRDefault="00F920A7" w:rsidP="00DB2ABD">
            <w:pPr>
              <w:pStyle w:val="Default"/>
              <w:jc w:val="both"/>
              <w:rPr>
                <w:iCs/>
                <w:sz w:val="17"/>
                <w:szCs w:val="17"/>
              </w:rPr>
            </w:pPr>
            <w:r w:rsidRPr="00B91D91">
              <w:rPr>
                <w:i/>
                <w:iCs/>
                <w:sz w:val="17"/>
                <w:szCs w:val="17"/>
              </w:rPr>
              <w:t>IMCC</w:t>
            </w:r>
            <w:r w:rsidRPr="00B91D91">
              <w:rPr>
                <w:iCs/>
                <w:sz w:val="17"/>
                <w:szCs w:val="17"/>
              </w:rPr>
              <w:t xml:space="preserve">: IMCC calculated in accordance with </w:t>
            </w:r>
            <w:r w:rsidRPr="00B91D91">
              <w:rPr>
                <w:sz w:val="17"/>
                <w:szCs w:val="17"/>
              </w:rPr>
              <w:t>Division 13, Part 8 of the BCR.</w:t>
            </w:r>
          </w:p>
        </w:tc>
      </w:tr>
      <w:tr w:rsidR="00F920A7" w14:paraId="10A3F627" w14:textId="77777777" w:rsidTr="00DB2ABD">
        <w:tc>
          <w:tcPr>
            <w:tcW w:w="709" w:type="dxa"/>
            <w:tcBorders>
              <w:top w:val="single" w:sz="4" w:space="0" w:color="auto"/>
              <w:left w:val="single" w:sz="4" w:space="0" w:color="auto"/>
              <w:bottom w:val="single" w:sz="4" w:space="0" w:color="auto"/>
              <w:right w:val="single" w:sz="4" w:space="0" w:color="auto"/>
            </w:tcBorders>
            <w:hideMark/>
          </w:tcPr>
          <w:p w14:paraId="545B774B" w14:textId="77777777" w:rsidR="00F920A7" w:rsidRPr="00CE715B" w:rsidRDefault="00F920A7" w:rsidP="00DB2ABD">
            <w:pPr>
              <w:keepLines/>
              <w:widowControl w:val="0"/>
              <w:tabs>
                <w:tab w:val="left" w:pos="150"/>
                <w:tab w:val="left" w:pos="397"/>
                <w:tab w:val="left" w:pos="794"/>
                <w:tab w:val="left" w:pos="1191"/>
              </w:tabs>
              <w:spacing w:before="20" w:after="20"/>
              <w:rPr>
                <w:rFonts w:cs="Segoe UI"/>
                <w:sz w:val="17"/>
                <w:szCs w:val="17"/>
              </w:rPr>
            </w:pPr>
            <w:r w:rsidRPr="00CE715B">
              <w:rPr>
                <w:rFonts w:cs="Segoe UI"/>
                <w:sz w:val="17"/>
                <w:szCs w:val="17"/>
              </w:rPr>
              <w:t>9</w:t>
            </w:r>
          </w:p>
        </w:tc>
        <w:tc>
          <w:tcPr>
            <w:tcW w:w="8788" w:type="dxa"/>
            <w:tcBorders>
              <w:top w:val="single" w:sz="4" w:space="0" w:color="auto"/>
              <w:left w:val="single" w:sz="4" w:space="0" w:color="auto"/>
              <w:bottom w:val="single" w:sz="4" w:space="0" w:color="auto"/>
              <w:right w:val="single" w:sz="4" w:space="0" w:color="auto"/>
            </w:tcBorders>
            <w:hideMark/>
          </w:tcPr>
          <w:p w14:paraId="53FC49B1" w14:textId="5315CB6D" w:rsidR="00F920A7" w:rsidRPr="00B91D91" w:rsidRDefault="00F920A7" w:rsidP="00DB2ABD">
            <w:pPr>
              <w:pStyle w:val="Default"/>
              <w:jc w:val="both"/>
              <w:rPr>
                <w:sz w:val="17"/>
                <w:szCs w:val="17"/>
              </w:rPr>
            </w:pPr>
            <w:r w:rsidRPr="00B91D91">
              <w:rPr>
                <w:i/>
                <w:iCs/>
                <w:sz w:val="17"/>
                <w:szCs w:val="17"/>
              </w:rPr>
              <w:t>Non-modellable risk factors (i.e. SES)</w:t>
            </w:r>
            <w:r w:rsidRPr="00B91D91">
              <w:rPr>
                <w:sz w:val="17"/>
                <w:szCs w:val="17"/>
              </w:rPr>
              <w:t xml:space="preserve">: SES calculated in accordance with Division 13, Part 8 of the BCR. </w:t>
            </w:r>
          </w:p>
        </w:tc>
      </w:tr>
      <w:tr w:rsidR="00F920A7" w14:paraId="2DBBF355" w14:textId="77777777" w:rsidTr="00DB2ABD">
        <w:tc>
          <w:tcPr>
            <w:tcW w:w="709" w:type="dxa"/>
            <w:tcBorders>
              <w:top w:val="single" w:sz="4" w:space="0" w:color="auto"/>
              <w:left w:val="single" w:sz="4" w:space="0" w:color="auto"/>
              <w:bottom w:val="single" w:sz="4" w:space="0" w:color="auto"/>
              <w:right w:val="single" w:sz="4" w:space="0" w:color="auto"/>
            </w:tcBorders>
            <w:hideMark/>
          </w:tcPr>
          <w:p w14:paraId="7D26EA64" w14:textId="77777777" w:rsidR="00F920A7" w:rsidRPr="00CE715B" w:rsidRDefault="00F920A7" w:rsidP="00DB2ABD">
            <w:pPr>
              <w:keepLines/>
              <w:widowControl w:val="0"/>
              <w:tabs>
                <w:tab w:val="left" w:pos="150"/>
                <w:tab w:val="left" w:pos="397"/>
                <w:tab w:val="left" w:pos="794"/>
                <w:tab w:val="left" w:pos="1191"/>
              </w:tabs>
              <w:spacing w:before="20" w:after="20"/>
              <w:rPr>
                <w:rFonts w:cs="Segoe UI"/>
                <w:sz w:val="17"/>
                <w:szCs w:val="17"/>
              </w:rPr>
            </w:pPr>
            <w:r w:rsidRPr="00CE715B">
              <w:rPr>
                <w:rFonts w:cs="Segoe UI"/>
                <w:sz w:val="17"/>
                <w:szCs w:val="17"/>
              </w:rPr>
              <w:t>10</w:t>
            </w:r>
          </w:p>
        </w:tc>
        <w:tc>
          <w:tcPr>
            <w:tcW w:w="8788" w:type="dxa"/>
            <w:tcBorders>
              <w:top w:val="single" w:sz="4" w:space="0" w:color="auto"/>
              <w:left w:val="single" w:sz="4" w:space="0" w:color="auto"/>
              <w:bottom w:val="single" w:sz="4" w:space="0" w:color="auto"/>
              <w:right w:val="single" w:sz="4" w:space="0" w:color="auto"/>
            </w:tcBorders>
            <w:hideMark/>
          </w:tcPr>
          <w:p w14:paraId="58FAEF52" w14:textId="10A49C43" w:rsidR="00F920A7" w:rsidRPr="00B91D91" w:rsidRDefault="00F920A7" w:rsidP="00DB2ABD">
            <w:pPr>
              <w:pStyle w:val="Default"/>
              <w:jc w:val="both"/>
              <w:rPr>
                <w:sz w:val="17"/>
                <w:szCs w:val="17"/>
              </w:rPr>
            </w:pPr>
            <w:r w:rsidRPr="00B91D91">
              <w:rPr>
                <w:i/>
                <w:iCs/>
                <w:sz w:val="17"/>
                <w:szCs w:val="17"/>
              </w:rPr>
              <w:t>Default risk charge</w:t>
            </w:r>
            <w:r w:rsidRPr="00B91D91">
              <w:rPr>
                <w:sz w:val="17"/>
                <w:szCs w:val="17"/>
              </w:rPr>
              <w:t xml:space="preserve">: default risk charge as defined in section 281 of the BCR.  This is the measure of the default risk of trading book positions, except those subject to STM approach, covering inter alia, sovereign exposures (including those denominated in the sovereign’s domestic currency), equity positions and defaulted debt positions. </w:t>
            </w:r>
          </w:p>
        </w:tc>
      </w:tr>
      <w:tr w:rsidR="00F920A7" w14:paraId="551C0BD2" w14:textId="77777777" w:rsidTr="00DB2ABD">
        <w:tc>
          <w:tcPr>
            <w:tcW w:w="709" w:type="dxa"/>
            <w:tcBorders>
              <w:top w:val="single" w:sz="4" w:space="0" w:color="auto"/>
              <w:left w:val="single" w:sz="4" w:space="0" w:color="auto"/>
              <w:bottom w:val="single" w:sz="4" w:space="0" w:color="auto"/>
              <w:right w:val="single" w:sz="4" w:space="0" w:color="auto"/>
            </w:tcBorders>
            <w:hideMark/>
          </w:tcPr>
          <w:p w14:paraId="1E72D5DA" w14:textId="77777777" w:rsidR="00F920A7" w:rsidRPr="00CE715B" w:rsidRDefault="00F920A7" w:rsidP="00DB2ABD">
            <w:pPr>
              <w:keepLines/>
              <w:widowControl w:val="0"/>
              <w:tabs>
                <w:tab w:val="left" w:pos="150"/>
                <w:tab w:val="left" w:pos="397"/>
                <w:tab w:val="left" w:pos="794"/>
                <w:tab w:val="left" w:pos="1191"/>
              </w:tabs>
              <w:spacing w:before="20" w:after="20"/>
              <w:rPr>
                <w:rFonts w:cs="Segoe UI"/>
                <w:sz w:val="17"/>
                <w:szCs w:val="17"/>
              </w:rPr>
            </w:pPr>
            <w:r w:rsidRPr="00CE715B">
              <w:rPr>
                <w:rFonts w:cs="Segoe UI"/>
                <w:sz w:val="17"/>
                <w:szCs w:val="17"/>
              </w:rPr>
              <w:t>11</w:t>
            </w:r>
          </w:p>
        </w:tc>
        <w:tc>
          <w:tcPr>
            <w:tcW w:w="8788" w:type="dxa"/>
            <w:tcBorders>
              <w:top w:val="single" w:sz="4" w:space="0" w:color="auto"/>
              <w:left w:val="single" w:sz="4" w:space="0" w:color="auto"/>
              <w:bottom w:val="single" w:sz="4" w:space="0" w:color="auto"/>
              <w:right w:val="single" w:sz="4" w:space="0" w:color="auto"/>
            </w:tcBorders>
            <w:hideMark/>
          </w:tcPr>
          <w:p w14:paraId="3682DB19" w14:textId="4E299122" w:rsidR="00F920A7" w:rsidRPr="00B91D91" w:rsidRDefault="00F920A7" w:rsidP="00DB2ABD">
            <w:pPr>
              <w:pStyle w:val="Default"/>
              <w:jc w:val="both"/>
              <w:rPr>
                <w:sz w:val="17"/>
                <w:szCs w:val="17"/>
              </w:rPr>
            </w:pPr>
            <w:r w:rsidRPr="00B91D91">
              <w:rPr>
                <w:i/>
                <w:iCs/>
                <w:sz w:val="17"/>
                <w:szCs w:val="17"/>
              </w:rPr>
              <w:t>Capital surcharge for trading desks assigned to the yellow zone</w:t>
            </w:r>
            <w:r w:rsidRPr="00B91D91">
              <w:rPr>
                <w:sz w:val="17"/>
                <w:szCs w:val="17"/>
              </w:rPr>
              <w:t xml:space="preserve">: capital surcharge for approved trading desks that fulfil the backtesting requirements and are assigned to the yellow zone in the profit and loss attribution test, which is calculated in accordance with Division 13, Part 8 of the BCR. </w:t>
            </w:r>
          </w:p>
        </w:tc>
      </w:tr>
      <w:tr w:rsidR="00F920A7" w14:paraId="21A4E72D" w14:textId="77777777" w:rsidTr="00DB2ABD">
        <w:tc>
          <w:tcPr>
            <w:tcW w:w="709" w:type="dxa"/>
            <w:tcBorders>
              <w:top w:val="single" w:sz="4" w:space="0" w:color="auto"/>
              <w:left w:val="single" w:sz="4" w:space="0" w:color="auto"/>
              <w:bottom w:val="single" w:sz="4" w:space="0" w:color="auto"/>
              <w:right w:val="single" w:sz="4" w:space="0" w:color="auto"/>
            </w:tcBorders>
            <w:hideMark/>
          </w:tcPr>
          <w:p w14:paraId="2FFE6AE8" w14:textId="77777777" w:rsidR="00F920A7" w:rsidRPr="00CE715B" w:rsidRDefault="00F920A7" w:rsidP="00DB2ABD">
            <w:pPr>
              <w:keepLines/>
              <w:widowControl w:val="0"/>
              <w:tabs>
                <w:tab w:val="left" w:pos="150"/>
                <w:tab w:val="left" w:pos="397"/>
                <w:tab w:val="left" w:pos="794"/>
                <w:tab w:val="left" w:pos="1191"/>
              </w:tabs>
              <w:spacing w:before="20" w:after="20"/>
              <w:rPr>
                <w:rFonts w:cs="Segoe UI"/>
                <w:sz w:val="17"/>
                <w:szCs w:val="17"/>
              </w:rPr>
            </w:pPr>
            <w:r w:rsidRPr="00CE715B">
              <w:rPr>
                <w:rFonts w:cs="Segoe UI"/>
                <w:sz w:val="17"/>
                <w:szCs w:val="17"/>
              </w:rPr>
              <w:t>12</w:t>
            </w:r>
          </w:p>
        </w:tc>
        <w:tc>
          <w:tcPr>
            <w:tcW w:w="8788" w:type="dxa"/>
            <w:tcBorders>
              <w:top w:val="single" w:sz="4" w:space="0" w:color="auto"/>
              <w:left w:val="single" w:sz="4" w:space="0" w:color="auto"/>
              <w:bottom w:val="single" w:sz="4" w:space="0" w:color="auto"/>
              <w:right w:val="single" w:sz="4" w:space="0" w:color="auto"/>
            </w:tcBorders>
            <w:hideMark/>
          </w:tcPr>
          <w:p w14:paraId="4E58042C" w14:textId="77777777" w:rsidR="00F920A7" w:rsidRPr="00373D21" w:rsidRDefault="00F920A7" w:rsidP="00DB2ABD">
            <w:pPr>
              <w:pStyle w:val="Default"/>
              <w:jc w:val="both"/>
              <w:rPr>
                <w:sz w:val="17"/>
                <w:szCs w:val="17"/>
              </w:rPr>
            </w:pPr>
            <w:r w:rsidRPr="00373D21">
              <w:rPr>
                <w:i/>
                <w:iCs/>
                <w:sz w:val="17"/>
                <w:szCs w:val="17"/>
              </w:rPr>
              <w:t xml:space="preserve">Market risk capital charge for trading desks </w:t>
            </w:r>
            <w:r>
              <w:rPr>
                <w:i/>
                <w:iCs/>
                <w:sz w:val="17"/>
                <w:szCs w:val="17"/>
              </w:rPr>
              <w:t xml:space="preserve">assigned to the </w:t>
            </w:r>
            <w:r w:rsidRPr="00373D21">
              <w:rPr>
                <w:i/>
                <w:iCs/>
                <w:sz w:val="17"/>
                <w:szCs w:val="17"/>
              </w:rPr>
              <w:t xml:space="preserve">green or yellow zone (including capital surcharge): </w:t>
            </w:r>
            <w:r w:rsidRPr="00373D21">
              <w:rPr>
                <w:iCs/>
                <w:sz w:val="17"/>
                <w:szCs w:val="17"/>
              </w:rPr>
              <w:t xml:space="preserve">the value is the sum of market risk capital charge for trading desks assigned to </w:t>
            </w:r>
            <w:r>
              <w:rPr>
                <w:iCs/>
                <w:sz w:val="17"/>
                <w:szCs w:val="17"/>
              </w:rPr>
              <w:t xml:space="preserve">the </w:t>
            </w:r>
            <w:r w:rsidRPr="00373D21">
              <w:rPr>
                <w:iCs/>
                <w:sz w:val="17"/>
                <w:szCs w:val="17"/>
              </w:rPr>
              <w:t>green or yellow zone</w:t>
            </w:r>
            <w:r>
              <w:rPr>
                <w:iCs/>
                <w:sz w:val="17"/>
                <w:szCs w:val="17"/>
              </w:rPr>
              <w:t xml:space="preserve">, including any </w:t>
            </w:r>
            <w:r w:rsidRPr="00373D21">
              <w:rPr>
                <w:iCs/>
                <w:sz w:val="17"/>
                <w:szCs w:val="17"/>
              </w:rPr>
              <w:t xml:space="preserve">capital surcharge for trading desks </w:t>
            </w:r>
            <w:r>
              <w:rPr>
                <w:iCs/>
                <w:sz w:val="17"/>
                <w:szCs w:val="17"/>
              </w:rPr>
              <w:t>assigned to the yellow zone, where applicable.</w:t>
            </w:r>
            <w:r w:rsidRPr="00373D21">
              <w:rPr>
                <w:sz w:val="17"/>
                <w:szCs w:val="17"/>
              </w:rPr>
              <w:t xml:space="preserve">  The value of row 12</w:t>
            </w:r>
            <w:r>
              <w:rPr>
                <w:sz w:val="17"/>
                <w:szCs w:val="17"/>
              </w:rPr>
              <w:t xml:space="preserve"> =</w:t>
            </w:r>
            <w:r w:rsidRPr="00373D21">
              <w:rPr>
                <w:sz w:val="17"/>
                <w:szCs w:val="17"/>
              </w:rPr>
              <w:t xml:space="preserve"> max(row 8/a + row 9/a; multiplication factor (i.e. </w:t>
            </w:r>
            <w:r w:rsidRPr="00373D21">
              <w:rPr>
                <w:i/>
                <w:sz w:val="17"/>
                <w:szCs w:val="17"/>
              </w:rPr>
              <w:t>m</w:t>
            </w:r>
            <w:r w:rsidRPr="00373D21">
              <w:rPr>
                <w:i/>
                <w:sz w:val="17"/>
                <w:szCs w:val="17"/>
                <w:vertAlign w:val="subscript"/>
              </w:rPr>
              <w:t>c</w:t>
            </w:r>
            <w:r w:rsidRPr="00373D21">
              <w:rPr>
                <w:sz w:val="17"/>
                <w:szCs w:val="17"/>
              </w:rPr>
              <w:t>)</w:t>
            </w:r>
            <w:r w:rsidRPr="00373D21" w:rsidDel="00006CCC">
              <w:rPr>
                <w:sz w:val="17"/>
                <w:szCs w:val="17"/>
              </w:rPr>
              <w:t xml:space="preserve"> </w:t>
            </w:r>
            <w:r w:rsidRPr="00373D21">
              <w:rPr>
                <w:sz w:val="17"/>
                <w:szCs w:val="17"/>
              </w:rPr>
              <w:t xml:space="preserve">*row 8/b + row 9/b) + max(row 10/a; row 10/b) + row 11. </w:t>
            </w:r>
          </w:p>
        </w:tc>
      </w:tr>
      <w:tr w:rsidR="00F920A7" w14:paraId="7B6661A8" w14:textId="77777777" w:rsidTr="00DB2ABD">
        <w:tc>
          <w:tcPr>
            <w:tcW w:w="709" w:type="dxa"/>
            <w:tcBorders>
              <w:top w:val="single" w:sz="4" w:space="0" w:color="auto"/>
              <w:left w:val="single" w:sz="4" w:space="0" w:color="auto"/>
              <w:bottom w:val="single" w:sz="4" w:space="0" w:color="auto"/>
              <w:right w:val="single" w:sz="4" w:space="0" w:color="auto"/>
            </w:tcBorders>
            <w:hideMark/>
          </w:tcPr>
          <w:p w14:paraId="4E455EFF" w14:textId="77777777" w:rsidR="00F920A7" w:rsidRDefault="00F920A7" w:rsidP="00DB2ABD">
            <w:pPr>
              <w:keepLines/>
              <w:widowControl w:val="0"/>
              <w:tabs>
                <w:tab w:val="left" w:pos="150"/>
                <w:tab w:val="left" w:pos="397"/>
                <w:tab w:val="left" w:pos="794"/>
                <w:tab w:val="left" w:pos="1191"/>
              </w:tabs>
              <w:spacing w:before="20" w:after="20"/>
              <w:rPr>
                <w:rFonts w:cs="Segoe UI"/>
                <w:sz w:val="17"/>
                <w:szCs w:val="17"/>
              </w:rPr>
            </w:pPr>
            <w:r>
              <w:rPr>
                <w:rFonts w:cs="Segoe UI"/>
                <w:sz w:val="17"/>
                <w:szCs w:val="17"/>
              </w:rPr>
              <w:t>13</w:t>
            </w:r>
          </w:p>
        </w:tc>
        <w:tc>
          <w:tcPr>
            <w:tcW w:w="8788" w:type="dxa"/>
            <w:tcBorders>
              <w:top w:val="single" w:sz="4" w:space="0" w:color="auto"/>
              <w:left w:val="single" w:sz="4" w:space="0" w:color="auto"/>
              <w:bottom w:val="single" w:sz="4" w:space="0" w:color="auto"/>
              <w:right w:val="single" w:sz="4" w:space="0" w:color="auto"/>
            </w:tcBorders>
            <w:hideMark/>
          </w:tcPr>
          <w:p w14:paraId="565A3893" w14:textId="77777777" w:rsidR="00F920A7" w:rsidRPr="00D368F6" w:rsidRDefault="00F920A7" w:rsidP="00DB2ABD">
            <w:pPr>
              <w:pStyle w:val="Default"/>
              <w:jc w:val="both"/>
              <w:rPr>
                <w:sz w:val="17"/>
                <w:szCs w:val="17"/>
              </w:rPr>
            </w:pPr>
            <w:r w:rsidRPr="003A24DB">
              <w:rPr>
                <w:i/>
                <w:iCs/>
                <w:sz w:val="17"/>
                <w:szCs w:val="17"/>
              </w:rPr>
              <w:t>Total market risk capital charge for trading desks subject to STM approach as disclosed in Template MR1</w:t>
            </w:r>
            <w:r w:rsidRPr="003A24DB">
              <w:rPr>
                <w:sz w:val="17"/>
                <w:szCs w:val="17"/>
              </w:rPr>
              <w:t>: marke</w:t>
            </w:r>
            <w:r w:rsidRPr="00F4514B">
              <w:rPr>
                <w:sz w:val="17"/>
                <w:szCs w:val="17"/>
              </w:rPr>
              <w:t xml:space="preserve">t risk capital charge for trading desks that are subject to the STM approach </w:t>
            </w:r>
            <w:r w:rsidRPr="00016137">
              <w:rPr>
                <w:iCs/>
                <w:sz w:val="17"/>
                <w:szCs w:val="17"/>
              </w:rPr>
              <w:t xml:space="preserve">(i.e. </w:t>
            </w:r>
            <w:r w:rsidRPr="00016137">
              <w:rPr>
                <w:i/>
                <w:iCs/>
                <w:sz w:val="17"/>
                <w:szCs w:val="17"/>
              </w:rPr>
              <w:t>C</w:t>
            </w:r>
            <w:r w:rsidRPr="00016137">
              <w:rPr>
                <w:i/>
                <w:iCs/>
                <w:sz w:val="17"/>
                <w:szCs w:val="17"/>
                <w:vertAlign w:val="subscript"/>
              </w:rPr>
              <w:t>U</w:t>
            </w:r>
            <w:r w:rsidRPr="00016137">
              <w:rPr>
                <w:iCs/>
                <w:sz w:val="17"/>
                <w:szCs w:val="17"/>
              </w:rPr>
              <w:t>)</w:t>
            </w:r>
            <w:r w:rsidRPr="00016137">
              <w:rPr>
                <w:sz w:val="17"/>
                <w:szCs w:val="17"/>
              </w:rPr>
              <w:t xml:space="preserve">.  </w:t>
            </w:r>
            <w:r w:rsidRPr="00046578">
              <w:rPr>
                <w:sz w:val="17"/>
                <w:szCs w:val="17"/>
              </w:rPr>
              <w:t xml:space="preserve">The value </w:t>
            </w:r>
            <w:r w:rsidRPr="008B3768">
              <w:rPr>
                <w:sz w:val="17"/>
                <w:szCs w:val="17"/>
              </w:rPr>
              <w:t xml:space="preserve">in this row is equal </w:t>
            </w:r>
            <w:r w:rsidRPr="00237C59">
              <w:rPr>
                <w:sz w:val="17"/>
                <w:szCs w:val="17"/>
              </w:rPr>
              <w:t xml:space="preserve">to the total market risk capital charge </w:t>
            </w:r>
            <w:r w:rsidRPr="00D368F6">
              <w:rPr>
                <w:sz w:val="17"/>
                <w:szCs w:val="17"/>
              </w:rPr>
              <w:t xml:space="preserve">under the STM approach as disclosed in [MR1: 12/a].  </w:t>
            </w:r>
          </w:p>
          <w:p w14:paraId="5E39345F" w14:textId="77777777" w:rsidR="00F920A7" w:rsidRPr="00D368F6" w:rsidRDefault="00F920A7" w:rsidP="00DB2ABD">
            <w:pPr>
              <w:pStyle w:val="Default"/>
              <w:snapToGrid w:val="0"/>
              <w:jc w:val="both"/>
              <w:rPr>
                <w:sz w:val="17"/>
                <w:szCs w:val="17"/>
              </w:rPr>
            </w:pPr>
          </w:p>
          <w:p w14:paraId="539AF99A" w14:textId="2BB1A230" w:rsidR="00F920A7" w:rsidRPr="00373D21" w:rsidRDefault="00F920A7" w:rsidP="001422A5">
            <w:pPr>
              <w:pStyle w:val="Default"/>
              <w:jc w:val="both"/>
              <w:rPr>
                <w:sz w:val="17"/>
                <w:szCs w:val="17"/>
              </w:rPr>
            </w:pPr>
            <w:r w:rsidRPr="00D368F6">
              <w:rPr>
                <w:sz w:val="17"/>
                <w:szCs w:val="17"/>
              </w:rPr>
              <w:t>The value in this row multiplied by 12.5 is equal to the value in [CMS1:5/b] (Note: The linkage to [CMS1:5/b] will not hold if an AI using the STM approach for market risk also uses SEC-IRBA and/or SEC-IAA when determining the default risk charge component for securitizations held in the trading book).</w:t>
            </w:r>
          </w:p>
        </w:tc>
      </w:tr>
      <w:tr w:rsidR="00F920A7" w14:paraId="628F5E5A" w14:textId="77777777" w:rsidTr="00DB2ABD">
        <w:tc>
          <w:tcPr>
            <w:tcW w:w="709" w:type="dxa"/>
            <w:tcBorders>
              <w:top w:val="single" w:sz="4" w:space="0" w:color="auto"/>
              <w:left w:val="single" w:sz="4" w:space="0" w:color="auto"/>
              <w:bottom w:val="single" w:sz="4" w:space="0" w:color="auto"/>
              <w:right w:val="single" w:sz="4" w:space="0" w:color="auto"/>
            </w:tcBorders>
            <w:hideMark/>
          </w:tcPr>
          <w:p w14:paraId="21BD6CA2" w14:textId="77777777" w:rsidR="00F920A7" w:rsidRDefault="00F920A7" w:rsidP="00DB2ABD">
            <w:pPr>
              <w:keepLines/>
              <w:widowControl w:val="0"/>
              <w:tabs>
                <w:tab w:val="left" w:pos="150"/>
                <w:tab w:val="left" w:pos="397"/>
                <w:tab w:val="left" w:pos="794"/>
                <w:tab w:val="left" w:pos="1191"/>
              </w:tabs>
              <w:spacing w:before="20" w:after="20"/>
              <w:rPr>
                <w:rFonts w:cs="Segoe UI"/>
                <w:sz w:val="17"/>
                <w:szCs w:val="17"/>
              </w:rPr>
            </w:pPr>
            <w:r>
              <w:rPr>
                <w:rFonts w:cs="Segoe UI"/>
                <w:sz w:val="17"/>
                <w:szCs w:val="17"/>
              </w:rPr>
              <w:t>14</w:t>
            </w:r>
          </w:p>
        </w:tc>
        <w:tc>
          <w:tcPr>
            <w:tcW w:w="8788" w:type="dxa"/>
            <w:tcBorders>
              <w:top w:val="single" w:sz="4" w:space="0" w:color="auto"/>
              <w:left w:val="single" w:sz="4" w:space="0" w:color="auto"/>
              <w:bottom w:val="single" w:sz="4" w:space="0" w:color="auto"/>
              <w:right w:val="single" w:sz="4" w:space="0" w:color="auto"/>
            </w:tcBorders>
            <w:hideMark/>
          </w:tcPr>
          <w:p w14:paraId="7AFD4D67" w14:textId="6325A376" w:rsidR="00F920A7" w:rsidRPr="00B91D91" w:rsidRDefault="00F920A7" w:rsidP="00DB2ABD">
            <w:pPr>
              <w:pStyle w:val="Default"/>
              <w:jc w:val="both"/>
              <w:rPr>
                <w:sz w:val="17"/>
                <w:szCs w:val="17"/>
              </w:rPr>
            </w:pPr>
            <w:r w:rsidRPr="00B91D91">
              <w:rPr>
                <w:i/>
                <w:iCs/>
                <w:sz w:val="17"/>
                <w:szCs w:val="17"/>
              </w:rPr>
              <w:t xml:space="preserve">Difference in market risk capital charge under the IMA and STM approach for trading desks assigned to the green or yellow zone: </w:t>
            </w:r>
            <w:r w:rsidRPr="00B91D91">
              <w:rPr>
                <w:iCs/>
                <w:sz w:val="17"/>
                <w:szCs w:val="17"/>
              </w:rPr>
              <w:t xml:space="preserve">this is the difference between the market risk </w:t>
            </w:r>
            <w:r w:rsidRPr="00B91D91">
              <w:rPr>
                <w:sz w:val="17"/>
                <w:szCs w:val="17"/>
              </w:rPr>
              <w:t xml:space="preserve">capital charges for trading desks </w:t>
            </w:r>
            <w:r w:rsidRPr="00B91D91">
              <w:rPr>
                <w:rFonts w:hint="eastAsia"/>
                <w:sz w:val="17"/>
                <w:szCs w:val="17"/>
              </w:rPr>
              <w:t xml:space="preserve">that </w:t>
            </w:r>
            <w:r w:rsidRPr="00B91D91">
              <w:rPr>
                <w:sz w:val="17"/>
                <w:szCs w:val="17"/>
              </w:rPr>
              <w:t>fulfil the back-testing requirements and assigned to green zone and yellow zone in the profit and loss attribution test calculated under the IMA (i.e. IMA</w:t>
            </w:r>
            <w:r w:rsidRPr="00B91D91">
              <w:rPr>
                <w:sz w:val="17"/>
                <w:szCs w:val="17"/>
                <w:vertAlign w:val="subscript"/>
              </w:rPr>
              <w:t>G,Y</w:t>
            </w:r>
            <w:r w:rsidRPr="00B91D91">
              <w:rPr>
                <w:sz w:val="17"/>
                <w:szCs w:val="17"/>
              </w:rPr>
              <w:t xml:space="preserve"> calculated in accordance with Division 13, Part 8 of the BCR) and the STM approach (i.e. SA</w:t>
            </w:r>
            <w:r w:rsidRPr="00B91D91">
              <w:rPr>
                <w:sz w:val="17"/>
                <w:szCs w:val="17"/>
                <w:vertAlign w:val="subscript"/>
              </w:rPr>
              <w:t>G,Y</w:t>
            </w:r>
            <w:r w:rsidRPr="00B91D91">
              <w:rPr>
                <w:sz w:val="17"/>
                <w:szCs w:val="17"/>
              </w:rPr>
              <w:t xml:space="preserve"> calculated in accordance with Division 13, Part 8 of the BCR).  The value reported in this row should be a negative value if the value of IMA</w:t>
            </w:r>
            <w:r w:rsidRPr="00B91D91">
              <w:rPr>
                <w:sz w:val="17"/>
                <w:szCs w:val="17"/>
                <w:vertAlign w:val="subscript"/>
              </w:rPr>
              <w:t>G,Y</w:t>
            </w:r>
            <w:r w:rsidRPr="00B91D91">
              <w:rPr>
                <w:sz w:val="17"/>
                <w:szCs w:val="17"/>
              </w:rPr>
              <w:t xml:space="preserve"> is smaller than that of SA</w:t>
            </w:r>
            <w:r w:rsidRPr="00B91D91">
              <w:rPr>
                <w:sz w:val="17"/>
                <w:szCs w:val="17"/>
                <w:vertAlign w:val="subscript"/>
              </w:rPr>
              <w:t>G,Y</w:t>
            </w:r>
            <w:r w:rsidRPr="00B91D91">
              <w:rPr>
                <w:sz w:val="17"/>
                <w:szCs w:val="17"/>
              </w:rPr>
              <w:t xml:space="preserve">. </w:t>
            </w:r>
          </w:p>
        </w:tc>
      </w:tr>
      <w:tr w:rsidR="00F920A7" w14:paraId="147966B6" w14:textId="77777777" w:rsidTr="00DB2ABD">
        <w:tc>
          <w:tcPr>
            <w:tcW w:w="709" w:type="dxa"/>
            <w:tcBorders>
              <w:top w:val="single" w:sz="4" w:space="0" w:color="auto"/>
              <w:left w:val="single" w:sz="4" w:space="0" w:color="auto"/>
              <w:bottom w:val="single" w:sz="4" w:space="0" w:color="auto"/>
              <w:right w:val="single" w:sz="4" w:space="0" w:color="auto"/>
            </w:tcBorders>
            <w:hideMark/>
          </w:tcPr>
          <w:p w14:paraId="31239F4D" w14:textId="77777777" w:rsidR="00F920A7" w:rsidRDefault="00F920A7" w:rsidP="00DB2ABD">
            <w:pPr>
              <w:keepLines/>
              <w:widowControl w:val="0"/>
              <w:tabs>
                <w:tab w:val="left" w:pos="150"/>
                <w:tab w:val="left" w:pos="397"/>
                <w:tab w:val="left" w:pos="794"/>
                <w:tab w:val="left" w:pos="1191"/>
              </w:tabs>
              <w:spacing w:before="20" w:after="20"/>
              <w:rPr>
                <w:rFonts w:cs="Segoe UI"/>
                <w:sz w:val="17"/>
                <w:szCs w:val="17"/>
              </w:rPr>
            </w:pPr>
            <w:r>
              <w:rPr>
                <w:rFonts w:cs="Segoe UI"/>
                <w:sz w:val="17"/>
                <w:szCs w:val="17"/>
              </w:rPr>
              <w:t>15</w:t>
            </w:r>
          </w:p>
        </w:tc>
        <w:tc>
          <w:tcPr>
            <w:tcW w:w="8788" w:type="dxa"/>
            <w:tcBorders>
              <w:top w:val="single" w:sz="4" w:space="0" w:color="auto"/>
              <w:left w:val="single" w:sz="4" w:space="0" w:color="auto"/>
              <w:bottom w:val="single" w:sz="4" w:space="0" w:color="auto"/>
              <w:right w:val="single" w:sz="4" w:space="0" w:color="auto"/>
            </w:tcBorders>
            <w:hideMark/>
          </w:tcPr>
          <w:p w14:paraId="3EA3296F" w14:textId="59DBCA3D" w:rsidR="00F920A7" w:rsidRPr="00B91D91" w:rsidRDefault="00F920A7" w:rsidP="00DB2ABD">
            <w:pPr>
              <w:pStyle w:val="Default"/>
              <w:jc w:val="both"/>
              <w:rPr>
                <w:sz w:val="17"/>
                <w:szCs w:val="17"/>
              </w:rPr>
            </w:pPr>
            <w:r w:rsidRPr="00B91D91">
              <w:rPr>
                <w:i/>
                <w:iCs/>
                <w:sz w:val="17"/>
                <w:szCs w:val="17"/>
              </w:rPr>
              <w:t>Market risk capital charge for all trading desks (including those subject to the IMA) calculated using the STM approach</w:t>
            </w:r>
            <w:r w:rsidRPr="00B91D91">
              <w:rPr>
                <w:sz w:val="17"/>
                <w:szCs w:val="17"/>
              </w:rPr>
              <w:t>: this is the market risk capital charge for all instruments across all trading desks of the AI, regardless of whether those trading desks are subject to the IMA, calculated under the STM approach (i.e. SA</w:t>
            </w:r>
            <w:r w:rsidRPr="00B91D91">
              <w:rPr>
                <w:sz w:val="17"/>
                <w:szCs w:val="17"/>
                <w:vertAlign w:val="subscript"/>
              </w:rPr>
              <w:t>all desks</w:t>
            </w:r>
            <w:r w:rsidRPr="00B91D91">
              <w:rPr>
                <w:sz w:val="17"/>
                <w:szCs w:val="17"/>
              </w:rPr>
              <w:t xml:space="preserve"> calculated in accordance with Divisions 1A to 1D, Part 8 of the BCR).  The value in this row multiplied by 12.5 should be equal to the value in [CMS1:5/d] (Note: The linkage to [CMS1:5/d] will not hold if an AI using the STM approach for market risk also uses SEC-IRBA and/or SEC-IAA when determining the default risk charge component for securitizations held in the trading book).</w:t>
            </w:r>
          </w:p>
        </w:tc>
      </w:tr>
      <w:tr w:rsidR="00F920A7" w14:paraId="4242C94B" w14:textId="77777777" w:rsidTr="00DB2ABD">
        <w:tc>
          <w:tcPr>
            <w:tcW w:w="709" w:type="dxa"/>
            <w:tcBorders>
              <w:top w:val="single" w:sz="4" w:space="0" w:color="auto"/>
              <w:left w:val="single" w:sz="4" w:space="0" w:color="auto"/>
              <w:bottom w:val="single" w:sz="4" w:space="0" w:color="auto"/>
              <w:right w:val="single" w:sz="4" w:space="0" w:color="auto"/>
            </w:tcBorders>
            <w:hideMark/>
          </w:tcPr>
          <w:p w14:paraId="1066105D" w14:textId="77777777" w:rsidR="00F920A7" w:rsidRDefault="00F920A7" w:rsidP="00DB2ABD">
            <w:pPr>
              <w:keepLines/>
              <w:widowControl w:val="0"/>
              <w:tabs>
                <w:tab w:val="left" w:pos="150"/>
                <w:tab w:val="left" w:pos="397"/>
                <w:tab w:val="left" w:pos="794"/>
                <w:tab w:val="left" w:pos="1191"/>
              </w:tabs>
              <w:spacing w:before="20" w:after="20"/>
              <w:rPr>
                <w:rFonts w:cs="Segoe UI"/>
                <w:sz w:val="17"/>
                <w:szCs w:val="17"/>
              </w:rPr>
            </w:pPr>
            <w:r>
              <w:rPr>
                <w:rFonts w:cs="Segoe UI"/>
                <w:sz w:val="17"/>
                <w:szCs w:val="17"/>
              </w:rPr>
              <w:t>16</w:t>
            </w:r>
          </w:p>
        </w:tc>
        <w:tc>
          <w:tcPr>
            <w:tcW w:w="8788" w:type="dxa"/>
            <w:tcBorders>
              <w:top w:val="single" w:sz="4" w:space="0" w:color="auto"/>
              <w:left w:val="single" w:sz="4" w:space="0" w:color="auto"/>
              <w:bottom w:val="single" w:sz="4" w:space="0" w:color="auto"/>
              <w:right w:val="single" w:sz="4" w:space="0" w:color="auto"/>
            </w:tcBorders>
            <w:hideMark/>
          </w:tcPr>
          <w:p w14:paraId="368E74C3" w14:textId="571D4416" w:rsidR="00F920A7" w:rsidRPr="000D6775" w:rsidRDefault="00F920A7" w:rsidP="00DB2ABD">
            <w:pPr>
              <w:pStyle w:val="Default"/>
              <w:jc w:val="both"/>
              <w:rPr>
                <w:sz w:val="17"/>
                <w:szCs w:val="17"/>
              </w:rPr>
            </w:pPr>
            <w:r w:rsidRPr="00373D21">
              <w:rPr>
                <w:i/>
                <w:iCs/>
                <w:sz w:val="17"/>
                <w:szCs w:val="17"/>
              </w:rPr>
              <w:t>Total market risk capital charge</w:t>
            </w:r>
            <w:r w:rsidRPr="00373D21">
              <w:rPr>
                <w:sz w:val="17"/>
                <w:szCs w:val="17"/>
              </w:rPr>
              <w:t xml:space="preserve">: </w:t>
            </w:r>
            <w:r>
              <w:rPr>
                <w:sz w:val="17"/>
                <w:szCs w:val="17"/>
              </w:rPr>
              <w:t>t</w:t>
            </w:r>
            <w:r w:rsidRPr="00B01632">
              <w:rPr>
                <w:sz w:val="17"/>
                <w:szCs w:val="17"/>
              </w:rPr>
              <w:t xml:space="preserve">otal </w:t>
            </w:r>
            <w:r>
              <w:rPr>
                <w:sz w:val="17"/>
                <w:szCs w:val="17"/>
              </w:rPr>
              <w:t xml:space="preserve">market risk </w:t>
            </w:r>
            <w:r w:rsidRPr="00B01632">
              <w:rPr>
                <w:sz w:val="17"/>
                <w:szCs w:val="17"/>
              </w:rPr>
              <w:t xml:space="preserve">capital </w:t>
            </w:r>
            <w:r>
              <w:rPr>
                <w:sz w:val="17"/>
                <w:szCs w:val="17"/>
              </w:rPr>
              <w:t xml:space="preserve">charge </w:t>
            </w:r>
            <w:r w:rsidRPr="00B01632">
              <w:rPr>
                <w:sz w:val="17"/>
                <w:szCs w:val="17"/>
              </w:rPr>
              <w:t xml:space="preserve">calculated </w:t>
            </w:r>
            <w:r>
              <w:rPr>
                <w:sz w:val="17"/>
                <w:szCs w:val="17"/>
              </w:rPr>
              <w:t>in accordance with Part 8 of the BCR.</w:t>
            </w:r>
          </w:p>
          <w:p w14:paraId="1222206E" w14:textId="7E65867E" w:rsidR="00F920A7" w:rsidRPr="00373D21" w:rsidRDefault="00F920A7" w:rsidP="00DB2ABD">
            <w:pPr>
              <w:pStyle w:val="Default"/>
              <w:jc w:val="both"/>
              <w:rPr>
                <w:sz w:val="17"/>
                <w:szCs w:val="17"/>
              </w:rPr>
            </w:pPr>
            <w:r w:rsidRPr="00373D21">
              <w:rPr>
                <w:sz w:val="17"/>
                <w:szCs w:val="17"/>
              </w:rPr>
              <w:t xml:space="preserve">The value in this row minus [MR2:13] is equal to [OV1:22/c].  The value in this row minus [MR2:13] </w:t>
            </w:r>
            <w:r w:rsidR="002B4BB7" w:rsidRPr="00B91D91">
              <w:rPr>
                <w:sz w:val="17"/>
                <w:szCs w:val="17"/>
              </w:rPr>
              <w:t>and then multiplied by 12.5</w:t>
            </w:r>
            <w:r w:rsidR="002B4BB7">
              <w:rPr>
                <w:sz w:val="17"/>
                <w:szCs w:val="17"/>
              </w:rPr>
              <w:t xml:space="preserve"> </w:t>
            </w:r>
            <w:r w:rsidRPr="00373D21">
              <w:rPr>
                <w:sz w:val="17"/>
                <w:szCs w:val="17"/>
              </w:rPr>
              <w:t xml:space="preserve">is also equal to [CMS1:5/a] (Note: The linkage to [CMS1:5/a] will not hold if an AI using the STM approach for market risk also uses SEC-IRBA and/or SEC-IAA when determining the default risk charge component for securitizations held in the trading book.)  The value in this row multiplied by 12.5 is equal to [CMS1:5/c]. </w:t>
            </w:r>
          </w:p>
        </w:tc>
      </w:tr>
    </w:tbl>
    <w:p w14:paraId="29B1F058" w14:textId="77777777" w:rsidR="0098236D" w:rsidRPr="0098236D" w:rsidRDefault="0098236D" w:rsidP="0098236D">
      <w:pPr>
        <w:spacing w:before="120" w:after="120"/>
        <w:rPr>
          <w:sz w:val="22"/>
        </w:rPr>
        <w:sectPr w:rsidR="0098236D" w:rsidRPr="0098236D" w:rsidSect="00EE6B38">
          <w:footerReference w:type="default" r:id="rId80"/>
          <w:pgSz w:w="11906" w:h="16838" w:code="9"/>
          <w:pgMar w:top="1440" w:right="1418" w:bottom="1440" w:left="1797" w:header="851" w:footer="737" w:gutter="0"/>
          <w:cols w:space="425"/>
          <w:docGrid w:type="linesAndChars" w:linePitch="360"/>
        </w:sectPr>
      </w:pPr>
    </w:p>
    <w:p w14:paraId="046F28D4" w14:textId="3180FFD8" w:rsidR="0098236D" w:rsidRDefault="0098236D" w:rsidP="0098236D">
      <w:pPr>
        <w:pStyle w:val="Heading2"/>
        <w:rPr>
          <w:rFonts w:eastAsia="新細明體"/>
          <w:szCs w:val="24"/>
        </w:rPr>
      </w:pPr>
      <w:r w:rsidRPr="0098236D">
        <w:rPr>
          <w:rFonts w:eastAsia="新細明體"/>
          <w:szCs w:val="24"/>
        </w:rPr>
        <w:lastRenderedPageBreak/>
        <w:t>Template MR3: Market risk under SSTM approach</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F920A7" w14:paraId="4FC9E391" w14:textId="77777777" w:rsidTr="00DB2ABD">
        <w:tc>
          <w:tcPr>
            <w:tcW w:w="2008" w:type="dxa"/>
            <w:tcBorders>
              <w:top w:val="single" w:sz="4" w:space="0" w:color="auto"/>
              <w:left w:val="nil"/>
              <w:bottom w:val="single" w:sz="4" w:space="0" w:color="auto"/>
              <w:right w:val="single" w:sz="4" w:space="0" w:color="auto"/>
            </w:tcBorders>
            <w:hideMark/>
          </w:tcPr>
          <w:p w14:paraId="5B3031FF" w14:textId="77777777" w:rsidR="00F920A7" w:rsidRDefault="00F920A7" w:rsidP="00DB2ABD">
            <w:pPr>
              <w:spacing w:before="40" w:after="40"/>
              <w:rPr>
                <w:noProof/>
                <w:sz w:val="17"/>
                <w:lang w:eastAsia="en-GB"/>
              </w:rPr>
            </w:pPr>
            <w:r>
              <w:rPr>
                <w:b/>
                <w:sz w:val="17"/>
                <w:lang w:eastAsia="en-GB"/>
              </w:rPr>
              <w:t>Purpose:</w:t>
            </w:r>
            <w:r>
              <w:rPr>
                <w:sz w:val="17"/>
                <w:lang w:eastAsia="en-GB"/>
              </w:rPr>
              <w:t xml:space="preserve"> </w:t>
            </w:r>
          </w:p>
        </w:tc>
        <w:tc>
          <w:tcPr>
            <w:tcW w:w="7234" w:type="dxa"/>
            <w:tcBorders>
              <w:top w:val="single" w:sz="4" w:space="0" w:color="auto"/>
              <w:left w:val="single" w:sz="4" w:space="0" w:color="auto"/>
              <w:bottom w:val="single" w:sz="4" w:space="0" w:color="auto"/>
              <w:right w:val="nil"/>
            </w:tcBorders>
            <w:hideMark/>
          </w:tcPr>
          <w:p w14:paraId="62FAEFAE" w14:textId="77777777" w:rsidR="00F920A7" w:rsidRDefault="00F920A7" w:rsidP="00DB2ABD">
            <w:pPr>
              <w:pStyle w:val="Default"/>
              <w:jc w:val="both"/>
              <w:rPr>
                <w:sz w:val="17"/>
                <w:szCs w:val="17"/>
              </w:rPr>
            </w:pPr>
            <w:r>
              <w:rPr>
                <w:sz w:val="17"/>
                <w:szCs w:val="17"/>
              </w:rPr>
              <w:t xml:space="preserve">Provide the components of the market risk capital charge under the SSTM approach for market risk. </w:t>
            </w:r>
          </w:p>
        </w:tc>
      </w:tr>
      <w:tr w:rsidR="00F920A7" w14:paraId="052BA3F8" w14:textId="77777777" w:rsidTr="00DB2ABD">
        <w:tc>
          <w:tcPr>
            <w:tcW w:w="2008" w:type="dxa"/>
            <w:tcBorders>
              <w:top w:val="single" w:sz="4" w:space="0" w:color="auto"/>
              <w:left w:val="nil"/>
              <w:bottom w:val="single" w:sz="4" w:space="0" w:color="auto"/>
              <w:right w:val="single" w:sz="4" w:space="0" w:color="auto"/>
            </w:tcBorders>
            <w:hideMark/>
          </w:tcPr>
          <w:p w14:paraId="0F2C0719" w14:textId="77777777" w:rsidR="00F920A7" w:rsidRDefault="00F920A7" w:rsidP="00DB2ABD">
            <w:pPr>
              <w:spacing w:before="40" w:after="40"/>
              <w:rPr>
                <w:b/>
                <w:sz w:val="17"/>
                <w:lang w:eastAsia="en-GB"/>
              </w:rPr>
            </w:pPr>
            <w:r>
              <w:rPr>
                <w:b/>
                <w:sz w:val="17"/>
                <w:lang w:eastAsia="en-GB"/>
              </w:rPr>
              <w:t xml:space="preserve">Scope of application: </w:t>
            </w:r>
          </w:p>
        </w:tc>
        <w:tc>
          <w:tcPr>
            <w:tcW w:w="7234" w:type="dxa"/>
            <w:tcBorders>
              <w:top w:val="single" w:sz="4" w:space="0" w:color="auto"/>
              <w:left w:val="single" w:sz="4" w:space="0" w:color="auto"/>
              <w:bottom w:val="single" w:sz="4" w:space="0" w:color="auto"/>
              <w:right w:val="nil"/>
            </w:tcBorders>
            <w:hideMark/>
          </w:tcPr>
          <w:p w14:paraId="27190042" w14:textId="77777777" w:rsidR="00F920A7" w:rsidRDefault="00F920A7" w:rsidP="00DB2ABD">
            <w:pPr>
              <w:pStyle w:val="Default"/>
              <w:jc w:val="both"/>
              <w:rPr>
                <w:sz w:val="17"/>
                <w:szCs w:val="17"/>
              </w:rPr>
            </w:pPr>
            <w:r>
              <w:rPr>
                <w:sz w:val="17"/>
                <w:szCs w:val="17"/>
              </w:rPr>
              <w:t xml:space="preserve">The template is mandatory for AIs incorporated in Hong Kong that use the SSTM approach to determine their market risk capital charge. </w:t>
            </w:r>
          </w:p>
        </w:tc>
      </w:tr>
      <w:tr w:rsidR="00F920A7" w14:paraId="69BE22BA" w14:textId="77777777" w:rsidTr="00DB2ABD">
        <w:tc>
          <w:tcPr>
            <w:tcW w:w="2008" w:type="dxa"/>
            <w:tcBorders>
              <w:top w:val="single" w:sz="4" w:space="0" w:color="auto"/>
              <w:left w:val="nil"/>
              <w:bottom w:val="single" w:sz="4" w:space="0" w:color="auto"/>
              <w:right w:val="single" w:sz="4" w:space="0" w:color="auto"/>
            </w:tcBorders>
            <w:hideMark/>
          </w:tcPr>
          <w:p w14:paraId="763E1936" w14:textId="77777777" w:rsidR="00F920A7" w:rsidRDefault="00F920A7" w:rsidP="00DB2ABD">
            <w:pPr>
              <w:spacing w:before="40" w:after="40"/>
              <w:rPr>
                <w:b/>
                <w:sz w:val="17"/>
                <w:lang w:eastAsia="en-GB"/>
              </w:rPr>
            </w:pPr>
            <w:r>
              <w:rPr>
                <w:b/>
                <w:sz w:val="17"/>
                <w:lang w:eastAsia="en-GB"/>
              </w:rPr>
              <w:t xml:space="preserve">Content: </w:t>
            </w:r>
          </w:p>
        </w:tc>
        <w:tc>
          <w:tcPr>
            <w:tcW w:w="7234" w:type="dxa"/>
            <w:tcBorders>
              <w:top w:val="single" w:sz="4" w:space="0" w:color="auto"/>
              <w:left w:val="single" w:sz="4" w:space="0" w:color="auto"/>
              <w:bottom w:val="single" w:sz="4" w:space="0" w:color="auto"/>
              <w:right w:val="nil"/>
            </w:tcBorders>
            <w:hideMark/>
          </w:tcPr>
          <w:p w14:paraId="475A2EB1" w14:textId="2E03404C" w:rsidR="00F920A7" w:rsidRDefault="00F920A7" w:rsidP="00DB2ABD">
            <w:pPr>
              <w:spacing w:before="40" w:after="40"/>
              <w:jc w:val="both"/>
              <w:rPr>
                <w:sz w:val="17"/>
                <w:szCs w:val="17"/>
              </w:rPr>
            </w:pPr>
            <w:r>
              <w:rPr>
                <w:sz w:val="17"/>
                <w:szCs w:val="17"/>
              </w:rPr>
              <w:t>Market risk capital charge</w:t>
            </w:r>
            <w:r w:rsidR="001422A5">
              <w:rPr>
                <w:sz w:val="17"/>
                <w:szCs w:val="17"/>
              </w:rPr>
              <w:t>.</w:t>
            </w:r>
          </w:p>
        </w:tc>
      </w:tr>
      <w:tr w:rsidR="00F920A7" w14:paraId="01F06C5F" w14:textId="77777777" w:rsidTr="00DB2ABD">
        <w:tc>
          <w:tcPr>
            <w:tcW w:w="2008" w:type="dxa"/>
            <w:tcBorders>
              <w:top w:val="single" w:sz="4" w:space="0" w:color="auto"/>
              <w:left w:val="nil"/>
              <w:bottom w:val="single" w:sz="4" w:space="0" w:color="auto"/>
              <w:right w:val="single" w:sz="4" w:space="0" w:color="auto"/>
            </w:tcBorders>
            <w:hideMark/>
          </w:tcPr>
          <w:p w14:paraId="3E471F06" w14:textId="77777777" w:rsidR="00F920A7" w:rsidRDefault="00F920A7" w:rsidP="00DB2ABD">
            <w:pPr>
              <w:spacing w:before="40" w:after="40"/>
              <w:rPr>
                <w:sz w:val="17"/>
                <w:lang w:eastAsia="en-GB"/>
              </w:rPr>
            </w:pPr>
            <w:r>
              <w:rPr>
                <w:b/>
                <w:sz w:val="17"/>
                <w:lang w:eastAsia="en-GB"/>
              </w:rPr>
              <w:t>Frequency:</w:t>
            </w:r>
            <w:r>
              <w:rPr>
                <w:sz w:val="17"/>
                <w:lang w:eastAsia="en-GB"/>
              </w:rPr>
              <w:t xml:space="preserve"> </w:t>
            </w:r>
          </w:p>
        </w:tc>
        <w:tc>
          <w:tcPr>
            <w:tcW w:w="7234" w:type="dxa"/>
            <w:tcBorders>
              <w:top w:val="single" w:sz="4" w:space="0" w:color="auto"/>
              <w:left w:val="single" w:sz="4" w:space="0" w:color="auto"/>
              <w:bottom w:val="single" w:sz="4" w:space="0" w:color="auto"/>
              <w:right w:val="nil"/>
            </w:tcBorders>
            <w:hideMark/>
          </w:tcPr>
          <w:p w14:paraId="497E00C5" w14:textId="77777777" w:rsidR="00F920A7" w:rsidRDefault="00F920A7" w:rsidP="00DB2ABD">
            <w:pPr>
              <w:pStyle w:val="TableText"/>
              <w:jc w:val="both"/>
              <w:rPr>
                <w:lang w:eastAsia="en-GB"/>
              </w:rPr>
            </w:pPr>
            <w:r>
              <w:rPr>
                <w:lang w:eastAsia="en-GB"/>
              </w:rPr>
              <w:t>Semi-annual.</w:t>
            </w:r>
          </w:p>
        </w:tc>
      </w:tr>
      <w:tr w:rsidR="00F920A7" w14:paraId="67B2A2C9" w14:textId="77777777" w:rsidTr="00DB2ABD">
        <w:tc>
          <w:tcPr>
            <w:tcW w:w="2008" w:type="dxa"/>
            <w:tcBorders>
              <w:top w:val="single" w:sz="4" w:space="0" w:color="auto"/>
              <w:left w:val="nil"/>
              <w:bottom w:val="single" w:sz="4" w:space="0" w:color="auto"/>
              <w:right w:val="single" w:sz="4" w:space="0" w:color="auto"/>
            </w:tcBorders>
            <w:hideMark/>
          </w:tcPr>
          <w:p w14:paraId="7F7A3413" w14:textId="77777777" w:rsidR="00F920A7" w:rsidRDefault="00F920A7" w:rsidP="00DB2ABD">
            <w:pPr>
              <w:spacing w:before="40" w:after="40"/>
              <w:rPr>
                <w:sz w:val="17"/>
                <w:lang w:eastAsia="en-GB"/>
              </w:rPr>
            </w:pPr>
            <w:r>
              <w:rPr>
                <w:b/>
                <w:sz w:val="17"/>
                <w:lang w:eastAsia="en-GB"/>
              </w:rPr>
              <w:t>Format:</w:t>
            </w:r>
            <w:r>
              <w:rPr>
                <w:sz w:val="17"/>
                <w:lang w:eastAsia="en-GB"/>
              </w:rPr>
              <w:t xml:space="preserve"> </w:t>
            </w:r>
          </w:p>
        </w:tc>
        <w:tc>
          <w:tcPr>
            <w:tcW w:w="7234" w:type="dxa"/>
            <w:tcBorders>
              <w:top w:val="single" w:sz="4" w:space="0" w:color="auto"/>
              <w:left w:val="single" w:sz="4" w:space="0" w:color="auto"/>
              <w:bottom w:val="single" w:sz="4" w:space="0" w:color="auto"/>
              <w:right w:val="nil"/>
            </w:tcBorders>
            <w:hideMark/>
          </w:tcPr>
          <w:p w14:paraId="0E2CCC9F" w14:textId="77777777" w:rsidR="00F920A7" w:rsidRDefault="00F920A7" w:rsidP="00DB2ABD">
            <w:pPr>
              <w:pStyle w:val="TableText"/>
              <w:jc w:val="both"/>
              <w:rPr>
                <w:lang w:eastAsia="en-GB"/>
              </w:rPr>
            </w:pPr>
            <w:r>
              <w:rPr>
                <w:lang w:eastAsia="en-GB"/>
              </w:rPr>
              <w:t xml:space="preserve">Fixed.  </w:t>
            </w:r>
          </w:p>
        </w:tc>
      </w:tr>
      <w:tr w:rsidR="00F920A7" w14:paraId="3FAF3293" w14:textId="77777777" w:rsidTr="00DB2ABD">
        <w:tc>
          <w:tcPr>
            <w:tcW w:w="2008" w:type="dxa"/>
            <w:tcBorders>
              <w:top w:val="single" w:sz="4" w:space="0" w:color="auto"/>
              <w:left w:val="nil"/>
              <w:bottom w:val="single" w:sz="4" w:space="0" w:color="auto"/>
              <w:right w:val="single" w:sz="4" w:space="0" w:color="auto"/>
            </w:tcBorders>
            <w:hideMark/>
          </w:tcPr>
          <w:p w14:paraId="4B1BED9C" w14:textId="77777777" w:rsidR="00F920A7" w:rsidRDefault="00F920A7" w:rsidP="00DB2ABD">
            <w:pPr>
              <w:spacing w:before="40" w:after="40"/>
              <w:rPr>
                <w:b/>
                <w:sz w:val="17"/>
                <w:lang w:eastAsia="en-GB"/>
              </w:rPr>
            </w:pPr>
            <w:r>
              <w:rPr>
                <w:rFonts w:eastAsia="新細明體"/>
                <w:b/>
                <w:sz w:val="17"/>
                <w:szCs w:val="17"/>
                <w:lang w:eastAsia="en-GB"/>
              </w:rPr>
              <w:t>Accompanying narrative</w:t>
            </w:r>
            <w:r>
              <w:rPr>
                <w:rFonts w:eastAsia="新細明體"/>
                <w:sz w:val="17"/>
                <w:szCs w:val="17"/>
                <w:lang w:eastAsia="en-GB"/>
              </w:rPr>
              <w:t>:</w:t>
            </w:r>
          </w:p>
        </w:tc>
        <w:tc>
          <w:tcPr>
            <w:tcW w:w="7234" w:type="dxa"/>
            <w:tcBorders>
              <w:top w:val="single" w:sz="4" w:space="0" w:color="auto"/>
              <w:left w:val="single" w:sz="4" w:space="0" w:color="auto"/>
              <w:bottom w:val="single" w:sz="4" w:space="0" w:color="auto"/>
              <w:right w:val="nil"/>
            </w:tcBorders>
          </w:tcPr>
          <w:p w14:paraId="0977456E" w14:textId="77777777" w:rsidR="00F920A7" w:rsidRDefault="00F920A7" w:rsidP="00DB2ABD">
            <w:pPr>
              <w:pStyle w:val="TableText"/>
              <w:jc w:val="both"/>
              <w:rPr>
                <w:noProof/>
                <w:lang w:eastAsia="en-GB"/>
              </w:rPr>
            </w:pPr>
            <w:r w:rsidRPr="00A03979">
              <w:rPr>
                <w:noProof/>
                <w:lang w:eastAsia="en-GB"/>
              </w:rPr>
              <w:t xml:space="preserve">An AI should supplement the template with a narrative commentary to explain any </w:t>
            </w:r>
            <w:r>
              <w:rPr>
                <w:noProof/>
                <w:lang w:eastAsia="en-GB"/>
              </w:rPr>
              <w:t xml:space="preserve">material changes over the </w:t>
            </w:r>
            <w:r w:rsidRPr="00A03979">
              <w:rPr>
                <w:noProof/>
                <w:lang w:eastAsia="en-GB"/>
              </w:rPr>
              <w:t xml:space="preserve">current reporting period and the key drivers of such </w:t>
            </w:r>
            <w:r>
              <w:rPr>
                <w:noProof/>
                <w:lang w:eastAsia="en-GB"/>
              </w:rPr>
              <w:t>changes</w:t>
            </w:r>
            <w:r w:rsidRPr="00A03979">
              <w:rPr>
                <w:noProof/>
                <w:lang w:eastAsia="en-GB"/>
              </w:rPr>
              <w:t>.</w:t>
            </w:r>
          </w:p>
        </w:tc>
      </w:tr>
      <w:tr w:rsidR="00F920A7" w14:paraId="791B0846" w14:textId="77777777" w:rsidTr="00DB2ABD">
        <w:tc>
          <w:tcPr>
            <w:tcW w:w="2008" w:type="dxa"/>
            <w:tcBorders>
              <w:top w:val="single" w:sz="4" w:space="0" w:color="auto"/>
              <w:left w:val="nil"/>
              <w:bottom w:val="single" w:sz="4" w:space="0" w:color="auto"/>
              <w:right w:val="single" w:sz="4" w:space="0" w:color="auto"/>
            </w:tcBorders>
            <w:hideMark/>
          </w:tcPr>
          <w:p w14:paraId="3F341249" w14:textId="77777777" w:rsidR="00F920A7" w:rsidRDefault="00F920A7" w:rsidP="00DB2ABD">
            <w:pPr>
              <w:spacing w:before="40" w:after="40"/>
              <w:rPr>
                <w:rFonts w:eastAsia="新細明體"/>
                <w:b/>
                <w:sz w:val="17"/>
                <w:szCs w:val="17"/>
                <w:lang w:eastAsia="en-GB"/>
              </w:rPr>
            </w:pPr>
            <w:r w:rsidRPr="00DF6718">
              <w:rPr>
                <w:rFonts w:eastAsia="新細明體"/>
                <w:b/>
                <w:sz w:val="17"/>
                <w:szCs w:val="17"/>
                <w:lang w:eastAsia="en-GB"/>
              </w:rPr>
              <w:t>Corresponding BDR section:</w:t>
            </w:r>
          </w:p>
        </w:tc>
        <w:tc>
          <w:tcPr>
            <w:tcW w:w="7234" w:type="dxa"/>
            <w:tcBorders>
              <w:top w:val="single" w:sz="4" w:space="0" w:color="auto"/>
              <w:left w:val="single" w:sz="4" w:space="0" w:color="auto"/>
              <w:bottom w:val="single" w:sz="4" w:space="0" w:color="auto"/>
              <w:right w:val="nil"/>
            </w:tcBorders>
          </w:tcPr>
          <w:p w14:paraId="4BAE4F0A" w14:textId="18C9DD48" w:rsidR="00F920A7" w:rsidRDefault="00F920A7" w:rsidP="00DB2ABD">
            <w:pPr>
              <w:pStyle w:val="TableText"/>
              <w:jc w:val="both"/>
              <w:rPr>
                <w:lang w:eastAsia="en-GB"/>
              </w:rPr>
            </w:pPr>
            <w:r w:rsidRPr="00B91D91">
              <w:rPr>
                <w:lang w:eastAsia="en-GB"/>
              </w:rPr>
              <w:t>16ZN</w:t>
            </w:r>
          </w:p>
        </w:tc>
      </w:tr>
    </w:tbl>
    <w:p w14:paraId="1D1956E0" w14:textId="77777777" w:rsidR="00F920A7" w:rsidRDefault="00F920A7" w:rsidP="00F920A7">
      <w:pPr>
        <w:spacing w:before="120" w:after="120"/>
        <w:rPr>
          <w:sz w:val="22"/>
        </w:rPr>
      </w:pPr>
    </w:p>
    <w:tbl>
      <w:tblPr>
        <w:tblW w:w="9214" w:type="dxa"/>
        <w:tblInd w:w="-459" w:type="dxa"/>
        <w:tblBorders>
          <w:top w:val="single" w:sz="4" w:space="0" w:color="A6A6A6"/>
          <w:bottom w:val="single" w:sz="4" w:space="0" w:color="A6A6A6"/>
          <w:insideH w:val="single" w:sz="4" w:space="0" w:color="A6A6A6"/>
          <w:insideV w:val="single" w:sz="4" w:space="0" w:color="A6A6A6"/>
        </w:tblBorders>
        <w:tblLayout w:type="fixed"/>
        <w:tblLook w:val="04A0" w:firstRow="1" w:lastRow="0" w:firstColumn="1" w:lastColumn="0" w:noHBand="0" w:noVBand="1"/>
      </w:tblPr>
      <w:tblGrid>
        <w:gridCol w:w="425"/>
        <w:gridCol w:w="2552"/>
        <w:gridCol w:w="1559"/>
        <w:gridCol w:w="1701"/>
        <w:gridCol w:w="1560"/>
        <w:gridCol w:w="1417"/>
      </w:tblGrid>
      <w:tr w:rsidR="00F920A7" w14:paraId="6B7E9C98" w14:textId="77777777" w:rsidTr="00DB2ABD">
        <w:trPr>
          <w:cantSplit/>
          <w:tblHeader/>
        </w:trPr>
        <w:tc>
          <w:tcPr>
            <w:tcW w:w="2977" w:type="dxa"/>
            <w:gridSpan w:val="2"/>
            <w:tcBorders>
              <w:top w:val="nil"/>
              <w:left w:val="nil"/>
              <w:bottom w:val="nil"/>
              <w:right w:val="single" w:sz="4" w:space="0" w:color="auto"/>
            </w:tcBorders>
            <w:vAlign w:val="center"/>
          </w:tcPr>
          <w:p w14:paraId="70268326" w14:textId="77777777" w:rsidR="00F920A7" w:rsidRDefault="00F920A7" w:rsidP="00DB2ABD">
            <w:pPr>
              <w:pStyle w:val="TableText"/>
              <w:snapToGrid w:val="0"/>
              <w:rPr>
                <w:lang w:eastAsia="fr-FR"/>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1082365A" w14:textId="77777777" w:rsidR="00F920A7" w:rsidRDefault="00F920A7" w:rsidP="00DB2ABD">
            <w:pPr>
              <w:pStyle w:val="TableText"/>
              <w:snapToGrid w:val="0"/>
              <w:jc w:val="center"/>
            </w:pPr>
            <w:r>
              <w:t>(a)</w:t>
            </w:r>
          </w:p>
        </w:tc>
        <w:tc>
          <w:tcPr>
            <w:tcW w:w="1701" w:type="dxa"/>
            <w:tcBorders>
              <w:top w:val="single" w:sz="4" w:space="0" w:color="auto"/>
              <w:left w:val="single" w:sz="4" w:space="0" w:color="auto"/>
              <w:bottom w:val="single" w:sz="4" w:space="0" w:color="auto"/>
              <w:right w:val="single" w:sz="4" w:space="0" w:color="auto"/>
            </w:tcBorders>
            <w:hideMark/>
          </w:tcPr>
          <w:p w14:paraId="6E6BE3BF" w14:textId="77777777" w:rsidR="00F920A7" w:rsidRDefault="00F920A7" w:rsidP="00DB2ABD">
            <w:pPr>
              <w:pStyle w:val="TableText"/>
              <w:snapToGrid w:val="0"/>
              <w:jc w:val="center"/>
            </w:pPr>
            <w:r>
              <w:t>(b)</w:t>
            </w:r>
          </w:p>
        </w:tc>
        <w:tc>
          <w:tcPr>
            <w:tcW w:w="1560" w:type="dxa"/>
            <w:tcBorders>
              <w:top w:val="single" w:sz="4" w:space="0" w:color="auto"/>
              <w:left w:val="single" w:sz="4" w:space="0" w:color="auto"/>
              <w:bottom w:val="single" w:sz="4" w:space="0" w:color="auto"/>
              <w:right w:val="single" w:sz="4" w:space="0" w:color="auto"/>
            </w:tcBorders>
            <w:hideMark/>
          </w:tcPr>
          <w:p w14:paraId="3C0D1A69" w14:textId="77777777" w:rsidR="00F920A7" w:rsidRDefault="00F920A7" w:rsidP="00DB2ABD">
            <w:pPr>
              <w:pStyle w:val="TableText"/>
              <w:snapToGrid w:val="0"/>
              <w:jc w:val="center"/>
            </w:pPr>
            <w:r>
              <w:t>(c)</w:t>
            </w:r>
          </w:p>
        </w:tc>
        <w:tc>
          <w:tcPr>
            <w:tcW w:w="1417" w:type="dxa"/>
            <w:tcBorders>
              <w:top w:val="single" w:sz="4" w:space="0" w:color="auto"/>
              <w:left w:val="single" w:sz="4" w:space="0" w:color="auto"/>
              <w:bottom w:val="single" w:sz="4" w:space="0" w:color="auto"/>
              <w:right w:val="single" w:sz="4" w:space="0" w:color="auto"/>
            </w:tcBorders>
            <w:hideMark/>
          </w:tcPr>
          <w:p w14:paraId="5DBB0A14" w14:textId="77777777" w:rsidR="00F920A7" w:rsidRDefault="00F920A7" w:rsidP="00DB2ABD">
            <w:pPr>
              <w:pStyle w:val="TableText"/>
              <w:snapToGrid w:val="0"/>
              <w:jc w:val="center"/>
            </w:pPr>
            <w:r>
              <w:t>(d)</w:t>
            </w:r>
          </w:p>
        </w:tc>
      </w:tr>
      <w:tr w:rsidR="00F920A7" w14:paraId="40200472" w14:textId="77777777" w:rsidTr="00C232F8">
        <w:trPr>
          <w:cantSplit/>
          <w:tblHeader/>
        </w:trPr>
        <w:tc>
          <w:tcPr>
            <w:tcW w:w="2977" w:type="dxa"/>
            <w:gridSpan w:val="2"/>
            <w:tcBorders>
              <w:top w:val="nil"/>
              <w:left w:val="nil"/>
              <w:bottom w:val="nil"/>
              <w:right w:val="single" w:sz="4" w:space="0" w:color="auto"/>
            </w:tcBorders>
            <w:vAlign w:val="center"/>
          </w:tcPr>
          <w:p w14:paraId="734A72AB" w14:textId="77777777" w:rsidR="00F920A7" w:rsidRDefault="00F920A7" w:rsidP="00DB2ABD">
            <w:pPr>
              <w:pStyle w:val="TableText"/>
              <w:snapToGrid w:val="0"/>
              <w:rPr>
                <w:lang w:eastAsia="fr-FR"/>
              </w:rPr>
            </w:pPr>
          </w:p>
        </w:tc>
        <w:tc>
          <w:tcPr>
            <w:tcW w:w="1559" w:type="dxa"/>
            <w:tcBorders>
              <w:top w:val="single" w:sz="4" w:space="0" w:color="auto"/>
              <w:left w:val="single" w:sz="4" w:space="0" w:color="auto"/>
              <w:bottom w:val="single" w:sz="4" w:space="0" w:color="auto"/>
              <w:right w:val="single" w:sz="4" w:space="0" w:color="auto"/>
            </w:tcBorders>
            <w:vAlign w:val="center"/>
          </w:tcPr>
          <w:p w14:paraId="0A1E0947" w14:textId="77777777" w:rsidR="00F920A7" w:rsidRDefault="00F920A7" w:rsidP="00DB2ABD">
            <w:pPr>
              <w:pStyle w:val="TableText"/>
              <w:snapToGrid w:val="0"/>
              <w:jc w:val="center"/>
            </w:pP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14:paraId="3D56A5B6" w14:textId="77777777" w:rsidR="00F920A7" w:rsidRDefault="00F920A7" w:rsidP="00DB2ABD">
            <w:pPr>
              <w:pStyle w:val="TableText"/>
              <w:snapToGrid w:val="0"/>
              <w:jc w:val="center"/>
            </w:pPr>
            <w:r>
              <w:t>Options</w:t>
            </w:r>
          </w:p>
        </w:tc>
      </w:tr>
      <w:tr w:rsidR="00F920A7" w14:paraId="3D7B6661" w14:textId="77777777" w:rsidTr="00C232F8">
        <w:trPr>
          <w:cantSplit/>
          <w:tblHeader/>
        </w:trPr>
        <w:tc>
          <w:tcPr>
            <w:tcW w:w="2977" w:type="dxa"/>
            <w:gridSpan w:val="2"/>
            <w:tcBorders>
              <w:top w:val="nil"/>
              <w:left w:val="nil"/>
              <w:bottom w:val="single" w:sz="4" w:space="0" w:color="auto"/>
              <w:right w:val="single" w:sz="4" w:space="0" w:color="auto"/>
            </w:tcBorders>
            <w:vAlign w:val="center"/>
          </w:tcPr>
          <w:p w14:paraId="27574E46" w14:textId="77777777" w:rsidR="00F920A7" w:rsidRDefault="00F920A7" w:rsidP="00DB2ABD">
            <w:pPr>
              <w:pStyle w:val="TableText"/>
              <w:snapToGrid w:val="0"/>
              <w:rPr>
                <w:lang w:eastAsia="fr-FR"/>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5B62AA7F" w14:textId="77777777" w:rsidR="00F920A7" w:rsidRDefault="00F920A7" w:rsidP="00DB2ABD">
            <w:pPr>
              <w:pStyle w:val="TableText"/>
              <w:snapToGrid w:val="0"/>
              <w:jc w:val="center"/>
            </w:pPr>
            <w:r>
              <w:t>Outright products</w:t>
            </w:r>
          </w:p>
        </w:tc>
        <w:tc>
          <w:tcPr>
            <w:tcW w:w="1701" w:type="dxa"/>
            <w:tcBorders>
              <w:top w:val="single" w:sz="4" w:space="0" w:color="auto"/>
              <w:left w:val="single" w:sz="4" w:space="0" w:color="auto"/>
              <w:bottom w:val="single" w:sz="4" w:space="0" w:color="auto"/>
              <w:right w:val="single" w:sz="4" w:space="0" w:color="auto"/>
            </w:tcBorders>
            <w:hideMark/>
          </w:tcPr>
          <w:p w14:paraId="7333A685" w14:textId="77777777" w:rsidR="00F920A7" w:rsidRDefault="00F920A7" w:rsidP="00DB2ABD">
            <w:pPr>
              <w:pStyle w:val="TableText"/>
              <w:snapToGrid w:val="0"/>
              <w:jc w:val="center"/>
            </w:pPr>
            <w:r>
              <w:t>Simplified approach</w:t>
            </w:r>
          </w:p>
        </w:tc>
        <w:tc>
          <w:tcPr>
            <w:tcW w:w="1560" w:type="dxa"/>
            <w:tcBorders>
              <w:top w:val="single" w:sz="4" w:space="0" w:color="auto"/>
              <w:left w:val="single" w:sz="4" w:space="0" w:color="auto"/>
              <w:bottom w:val="single" w:sz="4" w:space="0" w:color="auto"/>
              <w:right w:val="single" w:sz="4" w:space="0" w:color="auto"/>
            </w:tcBorders>
            <w:hideMark/>
          </w:tcPr>
          <w:p w14:paraId="1F883B19" w14:textId="77777777" w:rsidR="00F920A7" w:rsidRDefault="00F920A7" w:rsidP="00DB2ABD">
            <w:pPr>
              <w:pStyle w:val="TableText"/>
              <w:snapToGrid w:val="0"/>
              <w:jc w:val="center"/>
            </w:pPr>
            <w:r>
              <w:t>Delta-plus method</w:t>
            </w:r>
          </w:p>
        </w:tc>
        <w:tc>
          <w:tcPr>
            <w:tcW w:w="1417" w:type="dxa"/>
            <w:tcBorders>
              <w:top w:val="single" w:sz="4" w:space="0" w:color="auto"/>
              <w:left w:val="single" w:sz="4" w:space="0" w:color="auto"/>
              <w:bottom w:val="single" w:sz="4" w:space="0" w:color="auto"/>
              <w:right w:val="single" w:sz="4" w:space="0" w:color="auto"/>
            </w:tcBorders>
            <w:hideMark/>
          </w:tcPr>
          <w:p w14:paraId="484FEE72" w14:textId="77777777" w:rsidR="00F920A7" w:rsidRDefault="00F920A7" w:rsidP="00DB2ABD">
            <w:pPr>
              <w:pStyle w:val="TableText"/>
              <w:snapToGrid w:val="0"/>
              <w:jc w:val="center"/>
            </w:pPr>
            <w:r>
              <w:t>Other approach</w:t>
            </w:r>
          </w:p>
        </w:tc>
      </w:tr>
      <w:tr w:rsidR="00F920A7" w14:paraId="6C05FCDC" w14:textId="77777777" w:rsidTr="00DB2ABD">
        <w:trPr>
          <w:cantSplit/>
        </w:trPr>
        <w:tc>
          <w:tcPr>
            <w:tcW w:w="425" w:type="dxa"/>
            <w:tcBorders>
              <w:top w:val="single" w:sz="4" w:space="0" w:color="A6A6A6"/>
              <w:left w:val="nil"/>
              <w:bottom w:val="single" w:sz="4" w:space="0" w:color="A6A6A6"/>
              <w:right w:val="single" w:sz="4" w:space="0" w:color="auto"/>
            </w:tcBorders>
            <w:vAlign w:val="center"/>
            <w:hideMark/>
          </w:tcPr>
          <w:p w14:paraId="42135E58" w14:textId="77777777" w:rsidR="00F920A7" w:rsidRDefault="00F920A7" w:rsidP="00DB2ABD">
            <w:pPr>
              <w:pStyle w:val="TableText"/>
              <w:snapToGrid w:val="0"/>
            </w:pPr>
            <w:r>
              <w:t>1</w:t>
            </w:r>
          </w:p>
        </w:tc>
        <w:tc>
          <w:tcPr>
            <w:tcW w:w="2552" w:type="dxa"/>
            <w:tcBorders>
              <w:top w:val="single" w:sz="4" w:space="0" w:color="A6A6A6"/>
              <w:left w:val="single" w:sz="4" w:space="0" w:color="auto"/>
              <w:bottom w:val="single" w:sz="4" w:space="0" w:color="A6A6A6"/>
              <w:right w:val="single" w:sz="4" w:space="0" w:color="auto"/>
            </w:tcBorders>
            <w:hideMark/>
          </w:tcPr>
          <w:p w14:paraId="7C173E44" w14:textId="77777777" w:rsidR="00F920A7" w:rsidRDefault="00F920A7" w:rsidP="00DB2ABD">
            <w:pPr>
              <w:pStyle w:val="TableText"/>
              <w:snapToGrid w:val="0"/>
            </w:pPr>
            <w:r>
              <w:t>Interest rate exposures (general and specific risk)</w:t>
            </w:r>
          </w:p>
        </w:tc>
        <w:tc>
          <w:tcPr>
            <w:tcW w:w="1559" w:type="dxa"/>
            <w:tcBorders>
              <w:top w:val="single" w:sz="4" w:space="0" w:color="A6A6A6"/>
              <w:left w:val="single" w:sz="4" w:space="0" w:color="auto"/>
              <w:bottom w:val="single" w:sz="4" w:space="0" w:color="A6A6A6"/>
              <w:right w:val="single" w:sz="4" w:space="0" w:color="auto"/>
            </w:tcBorders>
            <w:vAlign w:val="center"/>
          </w:tcPr>
          <w:p w14:paraId="22BCB0EA" w14:textId="77777777" w:rsidR="00F920A7" w:rsidRDefault="00F920A7" w:rsidP="00DB2ABD">
            <w:pPr>
              <w:pStyle w:val="TableText"/>
              <w:snapToGrid w:val="0"/>
            </w:pPr>
          </w:p>
        </w:tc>
        <w:tc>
          <w:tcPr>
            <w:tcW w:w="1701" w:type="dxa"/>
            <w:tcBorders>
              <w:top w:val="single" w:sz="4" w:space="0" w:color="A6A6A6"/>
              <w:left w:val="single" w:sz="4" w:space="0" w:color="auto"/>
              <w:bottom w:val="single" w:sz="4" w:space="0" w:color="A6A6A6"/>
              <w:right w:val="single" w:sz="4" w:space="0" w:color="auto"/>
            </w:tcBorders>
            <w:vAlign w:val="center"/>
          </w:tcPr>
          <w:p w14:paraId="3BDBBE60" w14:textId="77777777" w:rsidR="00F920A7" w:rsidRDefault="00F920A7" w:rsidP="00DB2ABD">
            <w:pPr>
              <w:pStyle w:val="TableText"/>
              <w:snapToGrid w:val="0"/>
            </w:pPr>
          </w:p>
        </w:tc>
        <w:tc>
          <w:tcPr>
            <w:tcW w:w="1560" w:type="dxa"/>
            <w:tcBorders>
              <w:top w:val="single" w:sz="4" w:space="0" w:color="A6A6A6"/>
              <w:left w:val="single" w:sz="4" w:space="0" w:color="auto"/>
              <w:bottom w:val="single" w:sz="4" w:space="0" w:color="A6A6A6"/>
              <w:right w:val="single" w:sz="4" w:space="0" w:color="auto"/>
            </w:tcBorders>
            <w:vAlign w:val="center"/>
          </w:tcPr>
          <w:p w14:paraId="782339A5" w14:textId="77777777" w:rsidR="00F920A7" w:rsidRDefault="00F920A7" w:rsidP="00DB2ABD">
            <w:pPr>
              <w:pStyle w:val="TableText"/>
              <w:snapToGrid w:val="0"/>
            </w:pPr>
          </w:p>
        </w:tc>
        <w:tc>
          <w:tcPr>
            <w:tcW w:w="1417" w:type="dxa"/>
            <w:tcBorders>
              <w:top w:val="single" w:sz="4" w:space="0" w:color="A6A6A6"/>
              <w:left w:val="single" w:sz="4" w:space="0" w:color="auto"/>
              <w:bottom w:val="single" w:sz="4" w:space="0" w:color="A6A6A6"/>
              <w:right w:val="single" w:sz="4" w:space="0" w:color="auto"/>
            </w:tcBorders>
            <w:vAlign w:val="center"/>
          </w:tcPr>
          <w:p w14:paraId="7A6767CC" w14:textId="77777777" w:rsidR="00F920A7" w:rsidRDefault="00F920A7" w:rsidP="00DB2ABD">
            <w:pPr>
              <w:pStyle w:val="TableText"/>
              <w:snapToGrid w:val="0"/>
            </w:pPr>
          </w:p>
        </w:tc>
      </w:tr>
      <w:tr w:rsidR="00F920A7" w14:paraId="08B69A7F" w14:textId="77777777" w:rsidTr="00DB2ABD">
        <w:trPr>
          <w:cantSplit/>
        </w:trPr>
        <w:tc>
          <w:tcPr>
            <w:tcW w:w="425" w:type="dxa"/>
            <w:tcBorders>
              <w:top w:val="single" w:sz="4" w:space="0" w:color="A6A6A6"/>
              <w:left w:val="nil"/>
              <w:bottom w:val="single" w:sz="4" w:space="0" w:color="A6A6A6"/>
              <w:right w:val="single" w:sz="4" w:space="0" w:color="auto"/>
            </w:tcBorders>
            <w:vAlign w:val="center"/>
            <w:hideMark/>
          </w:tcPr>
          <w:p w14:paraId="3CC27896" w14:textId="77777777" w:rsidR="00F920A7" w:rsidRDefault="00F920A7" w:rsidP="00DB2ABD">
            <w:pPr>
              <w:pStyle w:val="TableText"/>
              <w:snapToGrid w:val="0"/>
            </w:pPr>
            <w:r>
              <w:t>2</w:t>
            </w:r>
          </w:p>
        </w:tc>
        <w:tc>
          <w:tcPr>
            <w:tcW w:w="2552" w:type="dxa"/>
            <w:tcBorders>
              <w:top w:val="single" w:sz="4" w:space="0" w:color="A6A6A6"/>
              <w:left w:val="single" w:sz="4" w:space="0" w:color="auto"/>
              <w:bottom w:val="single" w:sz="4" w:space="0" w:color="A6A6A6"/>
              <w:right w:val="single" w:sz="4" w:space="0" w:color="auto"/>
            </w:tcBorders>
            <w:hideMark/>
          </w:tcPr>
          <w:p w14:paraId="0B98E54B" w14:textId="77777777" w:rsidR="00F920A7" w:rsidRDefault="00F920A7" w:rsidP="00DB2ABD">
            <w:pPr>
              <w:pStyle w:val="TableText"/>
              <w:snapToGrid w:val="0"/>
            </w:pPr>
            <w:r>
              <w:t>Equity exposures (general and specific risk)</w:t>
            </w:r>
          </w:p>
        </w:tc>
        <w:tc>
          <w:tcPr>
            <w:tcW w:w="1559" w:type="dxa"/>
            <w:tcBorders>
              <w:top w:val="single" w:sz="4" w:space="0" w:color="A6A6A6"/>
              <w:left w:val="single" w:sz="4" w:space="0" w:color="auto"/>
              <w:bottom w:val="single" w:sz="4" w:space="0" w:color="A6A6A6"/>
              <w:right w:val="single" w:sz="4" w:space="0" w:color="auto"/>
            </w:tcBorders>
            <w:vAlign w:val="center"/>
          </w:tcPr>
          <w:p w14:paraId="03A116B6" w14:textId="77777777" w:rsidR="00F920A7" w:rsidRDefault="00F920A7" w:rsidP="00DB2ABD">
            <w:pPr>
              <w:pStyle w:val="TableText"/>
              <w:snapToGrid w:val="0"/>
            </w:pPr>
          </w:p>
        </w:tc>
        <w:tc>
          <w:tcPr>
            <w:tcW w:w="1701" w:type="dxa"/>
            <w:tcBorders>
              <w:top w:val="single" w:sz="4" w:space="0" w:color="A6A6A6"/>
              <w:left w:val="single" w:sz="4" w:space="0" w:color="auto"/>
              <w:bottom w:val="single" w:sz="4" w:space="0" w:color="A6A6A6"/>
              <w:right w:val="single" w:sz="4" w:space="0" w:color="auto"/>
            </w:tcBorders>
            <w:vAlign w:val="center"/>
          </w:tcPr>
          <w:p w14:paraId="55F0FAE4" w14:textId="77777777" w:rsidR="00F920A7" w:rsidRDefault="00F920A7" w:rsidP="00DB2ABD">
            <w:pPr>
              <w:pStyle w:val="TableText"/>
              <w:snapToGrid w:val="0"/>
            </w:pPr>
          </w:p>
        </w:tc>
        <w:tc>
          <w:tcPr>
            <w:tcW w:w="1560" w:type="dxa"/>
            <w:tcBorders>
              <w:top w:val="single" w:sz="4" w:space="0" w:color="A6A6A6"/>
              <w:left w:val="single" w:sz="4" w:space="0" w:color="auto"/>
              <w:bottom w:val="single" w:sz="4" w:space="0" w:color="A6A6A6"/>
              <w:right w:val="single" w:sz="4" w:space="0" w:color="auto"/>
            </w:tcBorders>
            <w:vAlign w:val="center"/>
          </w:tcPr>
          <w:p w14:paraId="18D5CE34" w14:textId="77777777" w:rsidR="00F920A7" w:rsidRDefault="00F920A7" w:rsidP="00DB2ABD">
            <w:pPr>
              <w:pStyle w:val="TableText"/>
              <w:snapToGrid w:val="0"/>
            </w:pPr>
          </w:p>
        </w:tc>
        <w:tc>
          <w:tcPr>
            <w:tcW w:w="1417" w:type="dxa"/>
            <w:tcBorders>
              <w:top w:val="single" w:sz="4" w:space="0" w:color="A6A6A6"/>
              <w:left w:val="single" w:sz="4" w:space="0" w:color="auto"/>
              <w:bottom w:val="single" w:sz="4" w:space="0" w:color="A6A6A6"/>
              <w:right w:val="single" w:sz="4" w:space="0" w:color="auto"/>
            </w:tcBorders>
            <w:vAlign w:val="center"/>
          </w:tcPr>
          <w:p w14:paraId="5D545E68" w14:textId="77777777" w:rsidR="00F920A7" w:rsidRDefault="00F920A7" w:rsidP="00DB2ABD">
            <w:pPr>
              <w:pStyle w:val="TableText"/>
              <w:snapToGrid w:val="0"/>
            </w:pPr>
          </w:p>
        </w:tc>
      </w:tr>
      <w:tr w:rsidR="00F920A7" w14:paraId="3E916C9A" w14:textId="77777777" w:rsidTr="00DB2ABD">
        <w:trPr>
          <w:cantSplit/>
        </w:trPr>
        <w:tc>
          <w:tcPr>
            <w:tcW w:w="425" w:type="dxa"/>
            <w:tcBorders>
              <w:top w:val="single" w:sz="4" w:space="0" w:color="A6A6A6"/>
              <w:left w:val="nil"/>
              <w:bottom w:val="single" w:sz="4" w:space="0" w:color="A6A6A6"/>
              <w:right w:val="single" w:sz="4" w:space="0" w:color="auto"/>
            </w:tcBorders>
            <w:vAlign w:val="center"/>
            <w:hideMark/>
          </w:tcPr>
          <w:p w14:paraId="60519E07" w14:textId="77777777" w:rsidR="00F920A7" w:rsidRDefault="00F920A7" w:rsidP="00DB2ABD">
            <w:pPr>
              <w:pStyle w:val="TableText"/>
              <w:snapToGrid w:val="0"/>
            </w:pPr>
            <w:r>
              <w:t>3</w:t>
            </w:r>
          </w:p>
        </w:tc>
        <w:tc>
          <w:tcPr>
            <w:tcW w:w="2552" w:type="dxa"/>
            <w:tcBorders>
              <w:top w:val="single" w:sz="4" w:space="0" w:color="A6A6A6"/>
              <w:left w:val="single" w:sz="4" w:space="0" w:color="auto"/>
              <w:bottom w:val="single" w:sz="4" w:space="0" w:color="A6A6A6"/>
              <w:right w:val="single" w:sz="4" w:space="0" w:color="auto"/>
            </w:tcBorders>
            <w:hideMark/>
          </w:tcPr>
          <w:p w14:paraId="36284C9C" w14:textId="77777777" w:rsidR="00F920A7" w:rsidRDefault="00F920A7" w:rsidP="00DB2ABD">
            <w:pPr>
              <w:pStyle w:val="TableText"/>
              <w:snapToGrid w:val="0"/>
            </w:pPr>
            <w:r>
              <w:t>Commodity exposures</w:t>
            </w:r>
          </w:p>
        </w:tc>
        <w:tc>
          <w:tcPr>
            <w:tcW w:w="1559" w:type="dxa"/>
            <w:tcBorders>
              <w:top w:val="single" w:sz="4" w:space="0" w:color="A6A6A6"/>
              <w:left w:val="single" w:sz="4" w:space="0" w:color="auto"/>
              <w:bottom w:val="single" w:sz="4" w:space="0" w:color="A6A6A6"/>
              <w:right w:val="single" w:sz="4" w:space="0" w:color="auto"/>
            </w:tcBorders>
            <w:vAlign w:val="center"/>
          </w:tcPr>
          <w:p w14:paraId="430FBCE3" w14:textId="77777777" w:rsidR="00F920A7" w:rsidRDefault="00F920A7" w:rsidP="00DB2ABD">
            <w:pPr>
              <w:pStyle w:val="TableText"/>
              <w:snapToGrid w:val="0"/>
            </w:pPr>
          </w:p>
        </w:tc>
        <w:tc>
          <w:tcPr>
            <w:tcW w:w="1701" w:type="dxa"/>
            <w:tcBorders>
              <w:top w:val="single" w:sz="4" w:space="0" w:color="A6A6A6"/>
              <w:left w:val="single" w:sz="4" w:space="0" w:color="auto"/>
              <w:bottom w:val="single" w:sz="4" w:space="0" w:color="A6A6A6"/>
              <w:right w:val="single" w:sz="4" w:space="0" w:color="auto"/>
            </w:tcBorders>
            <w:vAlign w:val="center"/>
          </w:tcPr>
          <w:p w14:paraId="4DCE1D7E" w14:textId="77777777" w:rsidR="00F920A7" w:rsidRDefault="00F920A7" w:rsidP="00DB2ABD">
            <w:pPr>
              <w:pStyle w:val="TableText"/>
              <w:snapToGrid w:val="0"/>
            </w:pPr>
          </w:p>
        </w:tc>
        <w:tc>
          <w:tcPr>
            <w:tcW w:w="1560" w:type="dxa"/>
            <w:tcBorders>
              <w:top w:val="single" w:sz="4" w:space="0" w:color="A6A6A6"/>
              <w:left w:val="single" w:sz="4" w:space="0" w:color="auto"/>
              <w:bottom w:val="single" w:sz="4" w:space="0" w:color="A6A6A6"/>
              <w:right w:val="single" w:sz="4" w:space="0" w:color="auto"/>
            </w:tcBorders>
            <w:vAlign w:val="center"/>
          </w:tcPr>
          <w:p w14:paraId="774E3A1F" w14:textId="77777777" w:rsidR="00F920A7" w:rsidRDefault="00F920A7" w:rsidP="00DB2ABD">
            <w:pPr>
              <w:pStyle w:val="TableText"/>
              <w:snapToGrid w:val="0"/>
            </w:pPr>
          </w:p>
        </w:tc>
        <w:tc>
          <w:tcPr>
            <w:tcW w:w="1417" w:type="dxa"/>
            <w:tcBorders>
              <w:top w:val="single" w:sz="4" w:space="0" w:color="A6A6A6"/>
              <w:left w:val="single" w:sz="4" w:space="0" w:color="auto"/>
              <w:bottom w:val="single" w:sz="4" w:space="0" w:color="A6A6A6"/>
              <w:right w:val="single" w:sz="4" w:space="0" w:color="auto"/>
            </w:tcBorders>
            <w:vAlign w:val="center"/>
          </w:tcPr>
          <w:p w14:paraId="0F189ED1" w14:textId="77777777" w:rsidR="00F920A7" w:rsidRDefault="00F920A7" w:rsidP="00DB2ABD">
            <w:pPr>
              <w:pStyle w:val="TableText"/>
              <w:snapToGrid w:val="0"/>
            </w:pPr>
          </w:p>
        </w:tc>
      </w:tr>
      <w:tr w:rsidR="00F920A7" w14:paraId="461E6BFE" w14:textId="77777777" w:rsidTr="00DB2ABD">
        <w:trPr>
          <w:cantSplit/>
        </w:trPr>
        <w:tc>
          <w:tcPr>
            <w:tcW w:w="425" w:type="dxa"/>
            <w:tcBorders>
              <w:top w:val="single" w:sz="4" w:space="0" w:color="A6A6A6"/>
              <w:left w:val="nil"/>
              <w:bottom w:val="single" w:sz="4" w:space="0" w:color="A6A6A6"/>
              <w:right w:val="single" w:sz="4" w:space="0" w:color="auto"/>
            </w:tcBorders>
            <w:vAlign w:val="center"/>
            <w:hideMark/>
          </w:tcPr>
          <w:p w14:paraId="6C001E05" w14:textId="77777777" w:rsidR="00F920A7" w:rsidRDefault="00F920A7" w:rsidP="00DB2ABD">
            <w:pPr>
              <w:pStyle w:val="TableText"/>
              <w:snapToGrid w:val="0"/>
            </w:pPr>
            <w:r>
              <w:t>4</w:t>
            </w:r>
          </w:p>
        </w:tc>
        <w:tc>
          <w:tcPr>
            <w:tcW w:w="2552" w:type="dxa"/>
            <w:tcBorders>
              <w:top w:val="single" w:sz="4" w:space="0" w:color="A6A6A6"/>
              <w:left w:val="single" w:sz="4" w:space="0" w:color="auto"/>
              <w:bottom w:val="single" w:sz="4" w:space="0" w:color="A6A6A6"/>
              <w:right w:val="single" w:sz="4" w:space="0" w:color="auto"/>
            </w:tcBorders>
            <w:hideMark/>
          </w:tcPr>
          <w:p w14:paraId="5B8C89FF" w14:textId="77777777" w:rsidR="00F920A7" w:rsidRDefault="00F920A7" w:rsidP="00DB2ABD">
            <w:pPr>
              <w:pStyle w:val="TableText"/>
              <w:snapToGrid w:val="0"/>
            </w:pPr>
            <w:r>
              <w:t>Foreign exchange (including gold) exposures</w:t>
            </w:r>
          </w:p>
        </w:tc>
        <w:tc>
          <w:tcPr>
            <w:tcW w:w="1559" w:type="dxa"/>
            <w:tcBorders>
              <w:top w:val="single" w:sz="4" w:space="0" w:color="A6A6A6"/>
              <w:left w:val="single" w:sz="4" w:space="0" w:color="auto"/>
              <w:bottom w:val="single" w:sz="4" w:space="0" w:color="A6A6A6"/>
              <w:right w:val="single" w:sz="4" w:space="0" w:color="auto"/>
            </w:tcBorders>
            <w:vAlign w:val="center"/>
          </w:tcPr>
          <w:p w14:paraId="3996CFEF" w14:textId="77777777" w:rsidR="00F920A7" w:rsidRDefault="00F920A7" w:rsidP="00DB2ABD">
            <w:pPr>
              <w:pStyle w:val="TableText"/>
              <w:snapToGrid w:val="0"/>
            </w:pPr>
          </w:p>
        </w:tc>
        <w:tc>
          <w:tcPr>
            <w:tcW w:w="1701" w:type="dxa"/>
            <w:tcBorders>
              <w:top w:val="single" w:sz="4" w:space="0" w:color="A6A6A6"/>
              <w:left w:val="single" w:sz="4" w:space="0" w:color="auto"/>
              <w:bottom w:val="single" w:sz="4" w:space="0" w:color="A6A6A6"/>
              <w:right w:val="single" w:sz="4" w:space="0" w:color="auto"/>
            </w:tcBorders>
            <w:vAlign w:val="center"/>
          </w:tcPr>
          <w:p w14:paraId="69B3C48F" w14:textId="77777777" w:rsidR="00F920A7" w:rsidRDefault="00F920A7" w:rsidP="00DB2ABD">
            <w:pPr>
              <w:pStyle w:val="TableText"/>
              <w:snapToGrid w:val="0"/>
            </w:pPr>
          </w:p>
        </w:tc>
        <w:tc>
          <w:tcPr>
            <w:tcW w:w="1560" w:type="dxa"/>
            <w:tcBorders>
              <w:top w:val="single" w:sz="4" w:space="0" w:color="A6A6A6"/>
              <w:left w:val="single" w:sz="4" w:space="0" w:color="auto"/>
              <w:bottom w:val="single" w:sz="4" w:space="0" w:color="A6A6A6"/>
              <w:right w:val="single" w:sz="4" w:space="0" w:color="auto"/>
            </w:tcBorders>
            <w:vAlign w:val="center"/>
          </w:tcPr>
          <w:p w14:paraId="30889FC1" w14:textId="77777777" w:rsidR="00F920A7" w:rsidRDefault="00F920A7" w:rsidP="00DB2ABD">
            <w:pPr>
              <w:pStyle w:val="TableText"/>
              <w:snapToGrid w:val="0"/>
            </w:pPr>
          </w:p>
        </w:tc>
        <w:tc>
          <w:tcPr>
            <w:tcW w:w="1417" w:type="dxa"/>
            <w:tcBorders>
              <w:top w:val="single" w:sz="4" w:space="0" w:color="A6A6A6"/>
              <w:left w:val="single" w:sz="4" w:space="0" w:color="auto"/>
              <w:bottom w:val="single" w:sz="4" w:space="0" w:color="A6A6A6"/>
              <w:right w:val="single" w:sz="4" w:space="0" w:color="auto"/>
            </w:tcBorders>
            <w:vAlign w:val="center"/>
          </w:tcPr>
          <w:p w14:paraId="046587FB" w14:textId="77777777" w:rsidR="00F920A7" w:rsidRDefault="00F920A7" w:rsidP="00DB2ABD">
            <w:pPr>
              <w:pStyle w:val="TableText"/>
              <w:snapToGrid w:val="0"/>
            </w:pPr>
          </w:p>
        </w:tc>
      </w:tr>
      <w:tr w:rsidR="00F920A7" w14:paraId="49901A95" w14:textId="77777777" w:rsidTr="00DB2ABD">
        <w:trPr>
          <w:cantSplit/>
        </w:trPr>
        <w:tc>
          <w:tcPr>
            <w:tcW w:w="425" w:type="dxa"/>
            <w:tcBorders>
              <w:top w:val="single" w:sz="4" w:space="0" w:color="A6A6A6"/>
              <w:left w:val="nil"/>
              <w:bottom w:val="single" w:sz="4" w:space="0" w:color="A6A6A6"/>
              <w:right w:val="single" w:sz="4" w:space="0" w:color="auto"/>
            </w:tcBorders>
            <w:hideMark/>
          </w:tcPr>
          <w:p w14:paraId="1821D7E0" w14:textId="77777777" w:rsidR="00F920A7" w:rsidRDefault="00F920A7" w:rsidP="00DB2ABD">
            <w:pPr>
              <w:pStyle w:val="TableText"/>
              <w:snapToGrid w:val="0"/>
            </w:pPr>
            <w:r>
              <w:t>5</w:t>
            </w:r>
          </w:p>
        </w:tc>
        <w:tc>
          <w:tcPr>
            <w:tcW w:w="2552" w:type="dxa"/>
            <w:tcBorders>
              <w:top w:val="single" w:sz="4" w:space="0" w:color="A6A6A6"/>
              <w:left w:val="single" w:sz="4" w:space="0" w:color="auto"/>
              <w:bottom w:val="single" w:sz="4" w:space="0" w:color="A6A6A6"/>
              <w:right w:val="single" w:sz="4" w:space="0" w:color="auto"/>
            </w:tcBorders>
            <w:hideMark/>
          </w:tcPr>
          <w:p w14:paraId="656375BA" w14:textId="77777777" w:rsidR="00F920A7" w:rsidRDefault="00F920A7" w:rsidP="00DB2ABD">
            <w:pPr>
              <w:pStyle w:val="TableText"/>
              <w:snapToGrid w:val="0"/>
            </w:pPr>
            <w:r>
              <w:t>Securitization exposures</w:t>
            </w:r>
          </w:p>
        </w:tc>
        <w:tc>
          <w:tcPr>
            <w:tcW w:w="1559" w:type="dxa"/>
            <w:tcBorders>
              <w:top w:val="single" w:sz="4" w:space="0" w:color="A6A6A6"/>
              <w:left w:val="single" w:sz="4" w:space="0" w:color="auto"/>
              <w:bottom w:val="single" w:sz="4" w:space="0" w:color="A6A6A6"/>
              <w:right w:val="single" w:sz="4" w:space="0" w:color="auto"/>
            </w:tcBorders>
            <w:vAlign w:val="center"/>
          </w:tcPr>
          <w:p w14:paraId="33A85A1B" w14:textId="77777777" w:rsidR="00F920A7" w:rsidRDefault="00F920A7" w:rsidP="00DB2ABD">
            <w:pPr>
              <w:pStyle w:val="TableText"/>
              <w:snapToGrid w:val="0"/>
            </w:pPr>
          </w:p>
        </w:tc>
        <w:tc>
          <w:tcPr>
            <w:tcW w:w="1701" w:type="dxa"/>
            <w:tcBorders>
              <w:top w:val="single" w:sz="4" w:space="0" w:color="A6A6A6"/>
              <w:left w:val="single" w:sz="4" w:space="0" w:color="auto"/>
              <w:bottom w:val="single" w:sz="4" w:space="0" w:color="A6A6A6"/>
              <w:right w:val="single" w:sz="4" w:space="0" w:color="auto"/>
            </w:tcBorders>
            <w:shd w:val="clear" w:color="auto" w:fill="BFBFBF"/>
            <w:vAlign w:val="center"/>
          </w:tcPr>
          <w:p w14:paraId="5C95891C" w14:textId="77777777" w:rsidR="00F920A7" w:rsidRDefault="00F920A7" w:rsidP="00DB2ABD">
            <w:pPr>
              <w:pStyle w:val="TableText"/>
              <w:snapToGrid w:val="0"/>
            </w:pPr>
          </w:p>
        </w:tc>
        <w:tc>
          <w:tcPr>
            <w:tcW w:w="1560" w:type="dxa"/>
            <w:tcBorders>
              <w:top w:val="single" w:sz="4" w:space="0" w:color="A6A6A6"/>
              <w:left w:val="single" w:sz="4" w:space="0" w:color="auto"/>
              <w:bottom w:val="single" w:sz="4" w:space="0" w:color="A6A6A6"/>
              <w:right w:val="single" w:sz="4" w:space="0" w:color="auto"/>
            </w:tcBorders>
            <w:shd w:val="clear" w:color="auto" w:fill="BFBFBF"/>
            <w:vAlign w:val="center"/>
          </w:tcPr>
          <w:p w14:paraId="6FB9E610" w14:textId="77777777" w:rsidR="00F920A7" w:rsidRDefault="00F920A7" w:rsidP="00DB2ABD">
            <w:pPr>
              <w:pStyle w:val="TableText"/>
              <w:snapToGrid w:val="0"/>
            </w:pPr>
          </w:p>
        </w:tc>
        <w:tc>
          <w:tcPr>
            <w:tcW w:w="1417" w:type="dxa"/>
            <w:tcBorders>
              <w:top w:val="single" w:sz="4" w:space="0" w:color="A6A6A6"/>
              <w:left w:val="single" w:sz="4" w:space="0" w:color="auto"/>
              <w:bottom w:val="single" w:sz="4" w:space="0" w:color="A6A6A6"/>
              <w:right w:val="single" w:sz="4" w:space="0" w:color="auto"/>
            </w:tcBorders>
            <w:shd w:val="clear" w:color="auto" w:fill="BFBFBF"/>
            <w:vAlign w:val="center"/>
          </w:tcPr>
          <w:p w14:paraId="49BBED6C" w14:textId="77777777" w:rsidR="00F920A7" w:rsidRDefault="00F920A7" w:rsidP="00DB2ABD">
            <w:pPr>
              <w:pStyle w:val="TableText"/>
              <w:snapToGrid w:val="0"/>
            </w:pPr>
          </w:p>
        </w:tc>
      </w:tr>
      <w:tr w:rsidR="00F920A7" w14:paraId="1FA749A8" w14:textId="77777777" w:rsidTr="00DB2ABD">
        <w:trPr>
          <w:cantSplit/>
        </w:trPr>
        <w:tc>
          <w:tcPr>
            <w:tcW w:w="425" w:type="dxa"/>
            <w:tcBorders>
              <w:top w:val="single" w:sz="4" w:space="0" w:color="A6A6A6"/>
              <w:left w:val="nil"/>
              <w:bottom w:val="single" w:sz="4" w:space="0" w:color="A6A6A6"/>
              <w:right w:val="single" w:sz="4" w:space="0" w:color="auto"/>
            </w:tcBorders>
            <w:hideMark/>
          </w:tcPr>
          <w:p w14:paraId="38589182" w14:textId="77777777" w:rsidR="00F920A7" w:rsidRDefault="00F920A7" w:rsidP="00DB2ABD">
            <w:pPr>
              <w:pStyle w:val="TableText"/>
              <w:snapToGrid w:val="0"/>
            </w:pPr>
            <w:r>
              <w:t>6</w:t>
            </w:r>
          </w:p>
        </w:tc>
        <w:tc>
          <w:tcPr>
            <w:tcW w:w="2552" w:type="dxa"/>
            <w:tcBorders>
              <w:top w:val="single" w:sz="4" w:space="0" w:color="A6A6A6"/>
              <w:left w:val="single" w:sz="4" w:space="0" w:color="auto"/>
              <w:bottom w:val="single" w:sz="4" w:space="0" w:color="A6A6A6"/>
              <w:right w:val="single" w:sz="4" w:space="0" w:color="auto"/>
            </w:tcBorders>
            <w:hideMark/>
          </w:tcPr>
          <w:p w14:paraId="38D2F7BA" w14:textId="77777777" w:rsidR="00F920A7" w:rsidRDefault="00F920A7" w:rsidP="00DB2ABD">
            <w:pPr>
              <w:pStyle w:val="TableText"/>
              <w:snapToGrid w:val="0"/>
            </w:pPr>
            <w:r>
              <w:t>Total</w:t>
            </w:r>
          </w:p>
        </w:tc>
        <w:tc>
          <w:tcPr>
            <w:tcW w:w="1559" w:type="dxa"/>
            <w:tcBorders>
              <w:top w:val="single" w:sz="4" w:space="0" w:color="A6A6A6"/>
              <w:left w:val="single" w:sz="4" w:space="0" w:color="auto"/>
              <w:bottom w:val="single" w:sz="4" w:space="0" w:color="A6A6A6"/>
              <w:right w:val="single" w:sz="4" w:space="0" w:color="auto"/>
            </w:tcBorders>
            <w:vAlign w:val="center"/>
          </w:tcPr>
          <w:p w14:paraId="107669B3" w14:textId="77777777" w:rsidR="00F920A7" w:rsidRDefault="00F920A7" w:rsidP="00DB2ABD">
            <w:pPr>
              <w:pStyle w:val="TableText"/>
              <w:snapToGrid w:val="0"/>
            </w:pPr>
          </w:p>
        </w:tc>
        <w:tc>
          <w:tcPr>
            <w:tcW w:w="1701" w:type="dxa"/>
            <w:tcBorders>
              <w:top w:val="single" w:sz="4" w:space="0" w:color="A6A6A6"/>
              <w:left w:val="single" w:sz="4" w:space="0" w:color="auto"/>
              <w:bottom w:val="single" w:sz="4" w:space="0" w:color="A6A6A6"/>
              <w:right w:val="single" w:sz="4" w:space="0" w:color="auto"/>
            </w:tcBorders>
            <w:vAlign w:val="center"/>
          </w:tcPr>
          <w:p w14:paraId="29C1A450" w14:textId="77777777" w:rsidR="00F920A7" w:rsidRDefault="00F920A7" w:rsidP="00DB2ABD">
            <w:pPr>
              <w:pStyle w:val="TableText"/>
              <w:snapToGrid w:val="0"/>
            </w:pPr>
          </w:p>
        </w:tc>
        <w:tc>
          <w:tcPr>
            <w:tcW w:w="1560" w:type="dxa"/>
            <w:tcBorders>
              <w:top w:val="single" w:sz="4" w:space="0" w:color="A6A6A6"/>
              <w:left w:val="single" w:sz="4" w:space="0" w:color="auto"/>
              <w:bottom w:val="single" w:sz="4" w:space="0" w:color="A6A6A6"/>
              <w:right w:val="single" w:sz="4" w:space="0" w:color="auto"/>
            </w:tcBorders>
            <w:vAlign w:val="center"/>
          </w:tcPr>
          <w:p w14:paraId="04C951F4" w14:textId="77777777" w:rsidR="00F920A7" w:rsidRDefault="00F920A7" w:rsidP="00DB2ABD">
            <w:pPr>
              <w:pStyle w:val="TableText"/>
              <w:snapToGrid w:val="0"/>
            </w:pPr>
          </w:p>
        </w:tc>
        <w:tc>
          <w:tcPr>
            <w:tcW w:w="1417" w:type="dxa"/>
            <w:tcBorders>
              <w:top w:val="single" w:sz="4" w:space="0" w:color="A6A6A6"/>
              <w:left w:val="single" w:sz="4" w:space="0" w:color="auto"/>
              <w:bottom w:val="single" w:sz="4" w:space="0" w:color="A6A6A6"/>
              <w:right w:val="single" w:sz="4" w:space="0" w:color="auto"/>
            </w:tcBorders>
            <w:vAlign w:val="center"/>
          </w:tcPr>
          <w:p w14:paraId="3A59BCA8" w14:textId="77777777" w:rsidR="00F920A7" w:rsidRDefault="00F920A7" w:rsidP="00DB2ABD">
            <w:pPr>
              <w:pStyle w:val="TableText"/>
              <w:snapToGrid w:val="0"/>
            </w:pPr>
          </w:p>
        </w:tc>
      </w:tr>
    </w:tbl>
    <w:p w14:paraId="140B026F" w14:textId="4B5B7771" w:rsidR="00CD791C" w:rsidRDefault="00CD791C" w:rsidP="00C2330E">
      <w:pPr>
        <w:spacing w:before="40" w:after="40"/>
        <w:rPr>
          <w:sz w:val="22"/>
        </w:rPr>
      </w:pPr>
    </w:p>
    <w:p w14:paraId="0F01FF79" w14:textId="4DD9CB28" w:rsidR="00F920A7" w:rsidRDefault="00F920A7" w:rsidP="00C2330E">
      <w:pPr>
        <w:spacing w:before="40" w:after="40"/>
        <w:rPr>
          <w:sz w:val="22"/>
        </w:rPr>
      </w:pPr>
    </w:p>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47"/>
      </w:tblGrid>
      <w:tr w:rsidR="00F920A7" w14:paraId="074984BD" w14:textId="77777777" w:rsidTr="00DB2ABD">
        <w:trPr>
          <w:tblHeader/>
        </w:trPr>
        <w:tc>
          <w:tcPr>
            <w:tcW w:w="9214"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4A06F09D" w14:textId="77777777" w:rsidR="00F920A7" w:rsidRDefault="00F920A7" w:rsidP="00DB2ABD">
            <w:pPr>
              <w:spacing w:before="40" w:after="40"/>
              <w:jc w:val="both"/>
              <w:rPr>
                <w:rFonts w:eastAsia="新細明體"/>
                <w:b/>
                <w:sz w:val="17"/>
                <w:szCs w:val="17"/>
                <w:lang w:eastAsia="en-GB"/>
              </w:rPr>
            </w:pPr>
            <w:r>
              <w:rPr>
                <w:rFonts w:eastAsia="新細明體"/>
                <w:b/>
                <w:sz w:val="17"/>
                <w:szCs w:val="17"/>
                <w:lang w:eastAsia="en-GB"/>
              </w:rPr>
              <w:t>Explanatory Note</w:t>
            </w:r>
          </w:p>
        </w:tc>
      </w:tr>
      <w:tr w:rsidR="00F920A7" w14:paraId="0D1DAA77" w14:textId="77777777" w:rsidTr="00DB2ABD">
        <w:tc>
          <w:tcPr>
            <w:tcW w:w="9214"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2A760800" w14:textId="77777777" w:rsidR="00F920A7" w:rsidRDefault="00F920A7" w:rsidP="00DB2ABD">
            <w:pPr>
              <w:spacing w:before="40" w:after="40"/>
              <w:jc w:val="both"/>
              <w:rPr>
                <w:i/>
                <w:color w:val="000000"/>
                <w:lang w:eastAsia="fr-FR"/>
              </w:rPr>
            </w:pPr>
            <w:r>
              <w:rPr>
                <w:rFonts w:eastAsia="新細明體"/>
                <w:b/>
                <w:sz w:val="17"/>
                <w:szCs w:val="17"/>
                <w:lang w:eastAsia="en-GB"/>
              </w:rPr>
              <w:t>Columns</w:t>
            </w:r>
          </w:p>
        </w:tc>
      </w:tr>
      <w:tr w:rsidR="00F920A7" w14:paraId="2A653D8A" w14:textId="77777777" w:rsidTr="00DB2ABD">
        <w:tc>
          <w:tcPr>
            <w:tcW w:w="567" w:type="dxa"/>
            <w:tcBorders>
              <w:top w:val="single" w:sz="4" w:space="0" w:color="auto"/>
              <w:left w:val="single" w:sz="4" w:space="0" w:color="auto"/>
              <w:bottom w:val="single" w:sz="4" w:space="0" w:color="auto"/>
              <w:right w:val="single" w:sz="4" w:space="0" w:color="auto"/>
            </w:tcBorders>
            <w:hideMark/>
          </w:tcPr>
          <w:p w14:paraId="46214F20" w14:textId="27303100" w:rsidR="00F920A7" w:rsidRDefault="001422A5" w:rsidP="00DB2ABD">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w:t>
            </w:r>
            <w:r w:rsidR="00F920A7">
              <w:rPr>
                <w:rFonts w:cs="Segoe UI"/>
                <w:sz w:val="17"/>
                <w:szCs w:val="17"/>
                <w:lang w:eastAsia="en-GB"/>
              </w:rPr>
              <w:t>a</w:t>
            </w:r>
            <w:r>
              <w:rPr>
                <w:rFonts w:cs="Segoe UI"/>
                <w:sz w:val="17"/>
                <w:szCs w:val="17"/>
                <w:lang w:eastAsia="en-GB"/>
              </w:rPr>
              <w:t>)</w:t>
            </w:r>
          </w:p>
        </w:tc>
        <w:tc>
          <w:tcPr>
            <w:tcW w:w="8647" w:type="dxa"/>
            <w:tcBorders>
              <w:top w:val="single" w:sz="4" w:space="0" w:color="auto"/>
              <w:left w:val="single" w:sz="4" w:space="0" w:color="auto"/>
              <w:bottom w:val="single" w:sz="4" w:space="0" w:color="auto"/>
              <w:right w:val="single" w:sz="4" w:space="0" w:color="auto"/>
            </w:tcBorders>
            <w:hideMark/>
          </w:tcPr>
          <w:p w14:paraId="06E56BCD" w14:textId="77777777" w:rsidR="00F920A7" w:rsidRPr="00AD5B40" w:rsidRDefault="00F920A7" w:rsidP="00DB2ABD">
            <w:pPr>
              <w:pStyle w:val="Default"/>
              <w:jc w:val="both"/>
              <w:rPr>
                <w:sz w:val="17"/>
                <w:szCs w:val="17"/>
              </w:rPr>
            </w:pPr>
            <w:r w:rsidRPr="00AD5B40">
              <w:rPr>
                <w:i/>
                <w:iCs/>
                <w:sz w:val="17"/>
                <w:szCs w:val="17"/>
              </w:rPr>
              <w:t>Outright products</w:t>
            </w:r>
            <w:r w:rsidRPr="00AD5B40">
              <w:rPr>
                <w:sz w:val="17"/>
                <w:szCs w:val="17"/>
              </w:rPr>
              <w:t xml:space="preserve">: The market risk capital charge calculated in accordance with Divisions </w:t>
            </w:r>
            <w:r>
              <w:rPr>
                <w:sz w:val="17"/>
                <w:szCs w:val="17"/>
              </w:rPr>
              <w:t xml:space="preserve">2, </w:t>
            </w:r>
            <w:r w:rsidRPr="00AD5B40">
              <w:rPr>
                <w:sz w:val="17"/>
                <w:szCs w:val="17"/>
              </w:rPr>
              <w:t>3, 4, 5, 6 and 10, Part 8 of the BCR.</w:t>
            </w:r>
          </w:p>
        </w:tc>
      </w:tr>
      <w:tr w:rsidR="00F920A7" w14:paraId="28A2760E" w14:textId="77777777" w:rsidTr="00DB2ABD">
        <w:tc>
          <w:tcPr>
            <w:tcW w:w="567" w:type="dxa"/>
            <w:tcBorders>
              <w:top w:val="single" w:sz="4" w:space="0" w:color="auto"/>
              <w:left w:val="single" w:sz="4" w:space="0" w:color="auto"/>
              <w:bottom w:val="single" w:sz="4" w:space="0" w:color="auto"/>
              <w:right w:val="single" w:sz="4" w:space="0" w:color="auto"/>
            </w:tcBorders>
            <w:hideMark/>
          </w:tcPr>
          <w:p w14:paraId="08F6951A" w14:textId="5916D089" w:rsidR="00F920A7" w:rsidRDefault="001422A5" w:rsidP="00DB2ABD">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w:t>
            </w:r>
            <w:r w:rsidR="00F920A7">
              <w:rPr>
                <w:rFonts w:cs="Segoe UI"/>
                <w:sz w:val="17"/>
                <w:szCs w:val="17"/>
                <w:lang w:eastAsia="en-GB"/>
              </w:rPr>
              <w:t>b</w:t>
            </w:r>
            <w:r>
              <w:rPr>
                <w:rFonts w:cs="Segoe UI"/>
                <w:sz w:val="17"/>
                <w:szCs w:val="17"/>
                <w:lang w:eastAsia="en-GB"/>
              </w:rPr>
              <w:t>)</w:t>
            </w:r>
          </w:p>
        </w:tc>
        <w:tc>
          <w:tcPr>
            <w:tcW w:w="8647" w:type="dxa"/>
            <w:tcBorders>
              <w:top w:val="single" w:sz="4" w:space="0" w:color="auto"/>
              <w:left w:val="single" w:sz="4" w:space="0" w:color="auto"/>
              <w:bottom w:val="single" w:sz="4" w:space="0" w:color="auto"/>
              <w:right w:val="single" w:sz="4" w:space="0" w:color="auto"/>
            </w:tcBorders>
            <w:hideMark/>
          </w:tcPr>
          <w:p w14:paraId="76C2C23C" w14:textId="77777777" w:rsidR="00F920A7" w:rsidRPr="00AD5B40" w:rsidRDefault="00F920A7" w:rsidP="00DB2ABD">
            <w:pPr>
              <w:pStyle w:val="Default"/>
              <w:jc w:val="both"/>
              <w:rPr>
                <w:sz w:val="17"/>
                <w:szCs w:val="17"/>
              </w:rPr>
            </w:pPr>
            <w:r w:rsidRPr="00AD5B40">
              <w:rPr>
                <w:i/>
                <w:iCs/>
                <w:sz w:val="17"/>
                <w:szCs w:val="17"/>
              </w:rPr>
              <w:t>Options under the simplified approach</w:t>
            </w:r>
            <w:r w:rsidRPr="00AD5B40">
              <w:rPr>
                <w:sz w:val="17"/>
                <w:szCs w:val="17"/>
              </w:rPr>
              <w:t>: The market risk capital charge calculated in accordance with Division</w:t>
            </w:r>
            <w:r>
              <w:rPr>
                <w:sz w:val="17"/>
                <w:szCs w:val="17"/>
              </w:rPr>
              <w:t>s 2 and</w:t>
            </w:r>
            <w:r w:rsidRPr="00AD5B40">
              <w:rPr>
                <w:sz w:val="17"/>
                <w:szCs w:val="17"/>
              </w:rPr>
              <w:t xml:space="preserve"> 8, Part 8 of the BCR.</w:t>
            </w:r>
          </w:p>
        </w:tc>
      </w:tr>
      <w:tr w:rsidR="00F920A7" w14:paraId="0F9FD839" w14:textId="77777777" w:rsidTr="00DB2ABD">
        <w:tc>
          <w:tcPr>
            <w:tcW w:w="567" w:type="dxa"/>
            <w:tcBorders>
              <w:top w:val="single" w:sz="4" w:space="0" w:color="auto"/>
              <w:left w:val="single" w:sz="4" w:space="0" w:color="auto"/>
              <w:bottom w:val="single" w:sz="4" w:space="0" w:color="auto"/>
              <w:right w:val="single" w:sz="4" w:space="0" w:color="auto"/>
            </w:tcBorders>
            <w:hideMark/>
          </w:tcPr>
          <w:p w14:paraId="7B97AD1B" w14:textId="3CC79BC2" w:rsidR="00F920A7" w:rsidRDefault="001422A5" w:rsidP="00DB2ABD">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w:t>
            </w:r>
            <w:r w:rsidR="00F920A7">
              <w:rPr>
                <w:rFonts w:cs="Segoe UI"/>
                <w:sz w:val="17"/>
                <w:szCs w:val="17"/>
                <w:lang w:eastAsia="en-GB"/>
              </w:rPr>
              <w:t>c</w:t>
            </w:r>
            <w:r>
              <w:rPr>
                <w:rFonts w:cs="Segoe UI"/>
                <w:sz w:val="17"/>
                <w:szCs w:val="17"/>
                <w:lang w:eastAsia="en-GB"/>
              </w:rPr>
              <w:t>)</w:t>
            </w:r>
          </w:p>
        </w:tc>
        <w:tc>
          <w:tcPr>
            <w:tcW w:w="8647" w:type="dxa"/>
            <w:tcBorders>
              <w:top w:val="single" w:sz="4" w:space="0" w:color="auto"/>
              <w:left w:val="single" w:sz="4" w:space="0" w:color="auto"/>
              <w:bottom w:val="single" w:sz="4" w:space="0" w:color="auto"/>
              <w:right w:val="single" w:sz="4" w:space="0" w:color="auto"/>
            </w:tcBorders>
            <w:hideMark/>
          </w:tcPr>
          <w:p w14:paraId="04D8E397" w14:textId="77777777" w:rsidR="00F920A7" w:rsidRPr="00AD5B40" w:rsidRDefault="00F920A7" w:rsidP="00DB2ABD">
            <w:pPr>
              <w:pStyle w:val="Default"/>
              <w:jc w:val="both"/>
              <w:rPr>
                <w:sz w:val="17"/>
                <w:szCs w:val="17"/>
              </w:rPr>
            </w:pPr>
            <w:r w:rsidRPr="00AD5B40">
              <w:rPr>
                <w:i/>
                <w:iCs/>
                <w:sz w:val="17"/>
                <w:szCs w:val="17"/>
              </w:rPr>
              <w:t>Options under the delta-plus method</w:t>
            </w:r>
            <w:r w:rsidRPr="00AD5B40">
              <w:rPr>
                <w:sz w:val="17"/>
                <w:szCs w:val="17"/>
              </w:rPr>
              <w:t>: The market risk capital charge calculated in accordance with Division</w:t>
            </w:r>
            <w:r>
              <w:rPr>
                <w:sz w:val="17"/>
                <w:szCs w:val="17"/>
              </w:rPr>
              <w:t>s 2 and</w:t>
            </w:r>
            <w:r w:rsidRPr="00AD5B40">
              <w:rPr>
                <w:sz w:val="17"/>
                <w:szCs w:val="17"/>
              </w:rPr>
              <w:t xml:space="preserve"> 9, Part 8 of the BCR.</w:t>
            </w:r>
          </w:p>
        </w:tc>
      </w:tr>
      <w:tr w:rsidR="00F920A7" w14:paraId="457B7F23" w14:textId="77777777" w:rsidTr="00DB2ABD">
        <w:tc>
          <w:tcPr>
            <w:tcW w:w="567" w:type="dxa"/>
            <w:tcBorders>
              <w:top w:val="single" w:sz="4" w:space="0" w:color="auto"/>
              <w:left w:val="single" w:sz="4" w:space="0" w:color="auto"/>
              <w:bottom w:val="single" w:sz="4" w:space="0" w:color="auto"/>
              <w:right w:val="single" w:sz="4" w:space="0" w:color="auto"/>
            </w:tcBorders>
            <w:hideMark/>
          </w:tcPr>
          <w:p w14:paraId="0236B750" w14:textId="505B5D42" w:rsidR="00F920A7" w:rsidRDefault="001422A5" w:rsidP="00DB2ABD">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w:t>
            </w:r>
            <w:r w:rsidR="00F920A7">
              <w:rPr>
                <w:rFonts w:cs="Segoe UI"/>
                <w:sz w:val="17"/>
                <w:szCs w:val="17"/>
                <w:lang w:eastAsia="en-GB"/>
              </w:rPr>
              <w:t>d</w:t>
            </w:r>
            <w:r>
              <w:rPr>
                <w:rFonts w:cs="Segoe UI"/>
                <w:sz w:val="17"/>
                <w:szCs w:val="17"/>
                <w:lang w:eastAsia="en-GB"/>
              </w:rPr>
              <w:t>)</w:t>
            </w:r>
          </w:p>
        </w:tc>
        <w:tc>
          <w:tcPr>
            <w:tcW w:w="8647" w:type="dxa"/>
            <w:tcBorders>
              <w:top w:val="single" w:sz="4" w:space="0" w:color="auto"/>
              <w:left w:val="single" w:sz="4" w:space="0" w:color="auto"/>
              <w:bottom w:val="single" w:sz="4" w:space="0" w:color="auto"/>
              <w:right w:val="single" w:sz="4" w:space="0" w:color="auto"/>
            </w:tcBorders>
            <w:hideMark/>
          </w:tcPr>
          <w:p w14:paraId="082318CF" w14:textId="77777777" w:rsidR="00F920A7" w:rsidRPr="00AD5B40" w:rsidRDefault="00F920A7" w:rsidP="00DB2ABD">
            <w:pPr>
              <w:pStyle w:val="Default"/>
              <w:jc w:val="both"/>
              <w:rPr>
                <w:sz w:val="17"/>
                <w:szCs w:val="17"/>
              </w:rPr>
            </w:pPr>
            <w:r w:rsidRPr="00AD5B40">
              <w:rPr>
                <w:i/>
                <w:iCs/>
                <w:sz w:val="17"/>
                <w:szCs w:val="17"/>
              </w:rPr>
              <w:t>Options under the other approach</w:t>
            </w:r>
            <w:r w:rsidRPr="00AD5B40">
              <w:rPr>
                <w:sz w:val="17"/>
                <w:szCs w:val="17"/>
              </w:rPr>
              <w:t>: The market risk capital charge calculated in accordance with any other approach (e.g. scenario approach) which has been approved by the MA pursuant to Part 8 of the BCR.</w:t>
            </w:r>
          </w:p>
        </w:tc>
      </w:tr>
      <w:tr w:rsidR="00F920A7" w14:paraId="1E8AAEE4" w14:textId="77777777" w:rsidTr="00DB2ABD">
        <w:tc>
          <w:tcPr>
            <w:tcW w:w="9214"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2DC94C8E" w14:textId="77777777" w:rsidR="00F920A7" w:rsidRDefault="00F920A7" w:rsidP="00DB2ABD">
            <w:pPr>
              <w:spacing w:before="40" w:after="40"/>
              <w:jc w:val="both"/>
              <w:rPr>
                <w:i/>
                <w:color w:val="000000"/>
                <w:lang w:eastAsia="fr-FR"/>
              </w:rPr>
            </w:pPr>
            <w:r>
              <w:rPr>
                <w:rFonts w:eastAsia="新細明體"/>
                <w:b/>
                <w:sz w:val="17"/>
                <w:szCs w:val="17"/>
                <w:lang w:eastAsia="en-GB"/>
              </w:rPr>
              <w:lastRenderedPageBreak/>
              <w:t>Rows</w:t>
            </w:r>
          </w:p>
        </w:tc>
      </w:tr>
      <w:tr w:rsidR="00F920A7" w14:paraId="0FE24F65" w14:textId="77777777" w:rsidTr="00DB2ABD">
        <w:tc>
          <w:tcPr>
            <w:tcW w:w="567" w:type="dxa"/>
            <w:tcBorders>
              <w:top w:val="single" w:sz="4" w:space="0" w:color="auto"/>
              <w:left w:val="single" w:sz="4" w:space="0" w:color="auto"/>
              <w:bottom w:val="single" w:sz="4" w:space="0" w:color="auto"/>
              <w:right w:val="single" w:sz="4" w:space="0" w:color="auto"/>
            </w:tcBorders>
            <w:hideMark/>
          </w:tcPr>
          <w:p w14:paraId="4964295C" w14:textId="77777777" w:rsidR="00F920A7" w:rsidRDefault="00F920A7" w:rsidP="00DB2ABD">
            <w:pPr>
              <w:keepLines/>
              <w:widowControl w:val="0"/>
              <w:tabs>
                <w:tab w:val="left" w:pos="150"/>
                <w:tab w:val="left" w:pos="397"/>
                <w:tab w:val="left" w:pos="794"/>
                <w:tab w:val="left" w:pos="1191"/>
              </w:tabs>
              <w:spacing w:before="40" w:after="40"/>
              <w:rPr>
                <w:rFonts w:cs="Segoe UI"/>
                <w:sz w:val="17"/>
                <w:szCs w:val="17"/>
                <w:lang w:eastAsia="en-GB"/>
              </w:rPr>
            </w:pPr>
            <w:r>
              <w:rPr>
                <w:rFonts w:cs="Segoe UI"/>
                <w:sz w:val="17"/>
                <w:szCs w:val="17"/>
                <w:lang w:eastAsia="en-GB"/>
              </w:rPr>
              <w:t>5</w:t>
            </w:r>
          </w:p>
        </w:tc>
        <w:tc>
          <w:tcPr>
            <w:tcW w:w="8647" w:type="dxa"/>
            <w:tcBorders>
              <w:top w:val="single" w:sz="4" w:space="0" w:color="auto"/>
              <w:left w:val="single" w:sz="4" w:space="0" w:color="auto"/>
              <w:bottom w:val="single" w:sz="4" w:space="0" w:color="auto"/>
              <w:right w:val="single" w:sz="4" w:space="0" w:color="auto"/>
            </w:tcBorders>
            <w:hideMark/>
          </w:tcPr>
          <w:p w14:paraId="229381AB" w14:textId="77777777" w:rsidR="00F920A7" w:rsidRPr="00AD5B40" w:rsidRDefault="00F920A7" w:rsidP="00DB2ABD">
            <w:pPr>
              <w:pStyle w:val="Default"/>
              <w:jc w:val="both"/>
              <w:rPr>
                <w:sz w:val="17"/>
                <w:szCs w:val="17"/>
              </w:rPr>
            </w:pPr>
            <w:r w:rsidRPr="00AD5B40">
              <w:rPr>
                <w:i/>
                <w:iCs/>
                <w:sz w:val="17"/>
                <w:szCs w:val="17"/>
              </w:rPr>
              <w:t>Securitization</w:t>
            </w:r>
            <w:r>
              <w:rPr>
                <w:i/>
                <w:iCs/>
                <w:sz w:val="17"/>
                <w:szCs w:val="17"/>
              </w:rPr>
              <w:t xml:space="preserve"> exposures</w:t>
            </w:r>
            <w:r w:rsidRPr="00AD5B40">
              <w:rPr>
                <w:sz w:val="17"/>
                <w:szCs w:val="17"/>
              </w:rPr>
              <w:t xml:space="preserve">: The market risk capital charge arising from securitization exposures (including re-securitization exposures) should be disclosed in this row and calculated in accordance with Division 3, Part 8 of BCR.  </w:t>
            </w:r>
          </w:p>
        </w:tc>
      </w:tr>
    </w:tbl>
    <w:p w14:paraId="3753A35C" w14:textId="001838B2" w:rsidR="00F920A7" w:rsidRDefault="00F920A7" w:rsidP="00C2330E">
      <w:pPr>
        <w:spacing w:before="40" w:after="40"/>
        <w:rPr>
          <w:sz w:val="22"/>
        </w:rPr>
      </w:pPr>
    </w:p>
    <w:p w14:paraId="1B044069" w14:textId="77777777" w:rsidR="00F920A7" w:rsidRPr="00F920A7" w:rsidRDefault="00F920A7" w:rsidP="00F920A7">
      <w:pPr>
        <w:rPr>
          <w:sz w:val="22"/>
        </w:rPr>
      </w:pPr>
    </w:p>
    <w:p w14:paraId="3C43C4BA" w14:textId="511F9861" w:rsidR="00F920A7" w:rsidRDefault="00F920A7" w:rsidP="00F920A7">
      <w:pPr>
        <w:rPr>
          <w:sz w:val="22"/>
        </w:rPr>
      </w:pPr>
    </w:p>
    <w:p w14:paraId="4425A1F9" w14:textId="62DE99CF" w:rsidR="00F920A7" w:rsidRDefault="00F920A7" w:rsidP="00F920A7">
      <w:pPr>
        <w:tabs>
          <w:tab w:val="left" w:pos="1667"/>
        </w:tabs>
        <w:rPr>
          <w:sz w:val="22"/>
        </w:rPr>
      </w:pPr>
      <w:r>
        <w:rPr>
          <w:sz w:val="22"/>
        </w:rPr>
        <w:tab/>
      </w:r>
    </w:p>
    <w:p w14:paraId="12BD3BD9" w14:textId="4A240E58" w:rsidR="00F920A7" w:rsidRPr="00F920A7" w:rsidRDefault="00F920A7" w:rsidP="00F920A7">
      <w:pPr>
        <w:tabs>
          <w:tab w:val="left" w:pos="1667"/>
        </w:tabs>
        <w:rPr>
          <w:sz w:val="22"/>
        </w:rPr>
        <w:sectPr w:rsidR="00F920A7" w:rsidRPr="00F920A7">
          <w:footerReference w:type="default" r:id="rId81"/>
          <w:pgSz w:w="11906" w:h="16838" w:code="9"/>
          <w:pgMar w:top="1440" w:right="1416" w:bottom="1440" w:left="1797" w:header="851" w:footer="737" w:gutter="0"/>
          <w:cols w:space="425"/>
          <w:docGrid w:type="lines" w:linePitch="360"/>
        </w:sectPr>
      </w:pPr>
      <w:r>
        <w:rPr>
          <w:sz w:val="22"/>
        </w:rPr>
        <w:tab/>
      </w:r>
    </w:p>
    <w:p w14:paraId="1B00FAAC" w14:textId="77777777" w:rsidR="00843F0A" w:rsidRDefault="008974E3" w:rsidP="00E030C5">
      <w:pPr>
        <w:keepNext/>
        <w:keepLines/>
        <w:tabs>
          <w:tab w:val="left" w:pos="567"/>
        </w:tabs>
        <w:ind w:left="-454" w:rightChars="-142" w:right="-284"/>
        <w:outlineLvl w:val="0"/>
        <w:rPr>
          <w:color w:val="AA322F"/>
          <w:sz w:val="28"/>
          <w:szCs w:val="28"/>
        </w:rPr>
      </w:pPr>
      <w:r w:rsidRPr="00E030C5">
        <w:rPr>
          <w:color w:val="AA322F"/>
          <w:sz w:val="28"/>
          <w:szCs w:val="28"/>
        </w:rPr>
        <w:lastRenderedPageBreak/>
        <w:t>Part VII:</w:t>
      </w:r>
      <w:r w:rsidRPr="00E030C5">
        <w:rPr>
          <w:color w:val="AA322F"/>
          <w:sz w:val="28"/>
          <w:szCs w:val="28"/>
        </w:rPr>
        <w:tab/>
        <w:t>Interest rate risk in banking book</w:t>
      </w:r>
    </w:p>
    <w:p w14:paraId="5B4E4D30" w14:textId="01A11075" w:rsidR="00940108" w:rsidRPr="00843F0A" w:rsidRDefault="00843F0A" w:rsidP="00A376A3">
      <w:pPr>
        <w:pStyle w:val="Heading2"/>
        <w:ind w:right="-907"/>
        <w:rPr>
          <w:color w:val="AA322F"/>
          <w:sz w:val="28"/>
          <w:szCs w:val="28"/>
        </w:rPr>
      </w:pPr>
      <w:r w:rsidRPr="0023654F">
        <w:t xml:space="preserve">Table </w:t>
      </w:r>
      <w:r>
        <w:t>IRRBB</w:t>
      </w:r>
      <w:r w:rsidRPr="0023654F">
        <w:t xml:space="preserve">A: </w:t>
      </w:r>
      <w:r>
        <w:t xml:space="preserve">Interest rate risk in banking book – </w:t>
      </w:r>
      <w:r w:rsidRPr="0023654F">
        <w:t>risk management</w:t>
      </w:r>
      <w:r>
        <w:t xml:space="preserve"> objectives and policies</w:t>
      </w:r>
    </w:p>
    <w:tbl>
      <w:tblPr>
        <w:tblW w:w="9356" w:type="dxa"/>
        <w:tblInd w:w="-567"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116"/>
        <w:gridCol w:w="7240"/>
      </w:tblGrid>
      <w:tr w:rsidR="008974E3" w:rsidRPr="0023654F" w14:paraId="040D57A9" w14:textId="77777777" w:rsidTr="00DD675D">
        <w:tc>
          <w:tcPr>
            <w:tcW w:w="2116" w:type="dxa"/>
          </w:tcPr>
          <w:p w14:paraId="6509132B" w14:textId="77777777" w:rsidR="008974E3" w:rsidRPr="0023654F" w:rsidRDefault="008974E3" w:rsidP="00647044">
            <w:pPr>
              <w:spacing w:before="40" w:after="40"/>
              <w:rPr>
                <w:noProof/>
                <w:sz w:val="17"/>
                <w:lang w:eastAsia="en-GB"/>
              </w:rPr>
            </w:pPr>
            <w:r w:rsidRPr="0023654F">
              <w:rPr>
                <w:b/>
                <w:sz w:val="17"/>
                <w:lang w:eastAsia="en-GB"/>
              </w:rPr>
              <w:t>Purpose:</w:t>
            </w:r>
          </w:p>
        </w:tc>
        <w:tc>
          <w:tcPr>
            <w:tcW w:w="7240" w:type="dxa"/>
          </w:tcPr>
          <w:p w14:paraId="28313D67" w14:textId="77777777" w:rsidR="008974E3" w:rsidRPr="009449CE" w:rsidRDefault="008974E3" w:rsidP="00647044">
            <w:pPr>
              <w:spacing w:before="40" w:after="40"/>
              <w:jc w:val="both"/>
              <w:rPr>
                <w:sz w:val="17"/>
                <w:szCs w:val="17"/>
              </w:rPr>
            </w:pPr>
            <w:r>
              <w:rPr>
                <w:sz w:val="17"/>
                <w:lang w:eastAsia="en-GB"/>
              </w:rPr>
              <w:t>To p</w:t>
            </w:r>
            <w:r>
              <w:rPr>
                <w:sz w:val="17"/>
                <w:szCs w:val="17"/>
              </w:rPr>
              <w:t>rovide a description of the risk management objectives and policies concerning interest rate risk in the banking book (“IRRBB”)</w:t>
            </w:r>
            <w:r w:rsidRPr="00995A5E">
              <w:rPr>
                <w:sz w:val="17"/>
                <w:lang w:eastAsia="en-GB"/>
              </w:rPr>
              <w:t>.</w:t>
            </w:r>
          </w:p>
        </w:tc>
      </w:tr>
      <w:tr w:rsidR="008974E3" w:rsidRPr="0023654F" w14:paraId="1D46CEE9" w14:textId="77777777" w:rsidTr="00DD675D">
        <w:tc>
          <w:tcPr>
            <w:tcW w:w="2116" w:type="dxa"/>
          </w:tcPr>
          <w:p w14:paraId="0EE8AD90" w14:textId="77777777" w:rsidR="008974E3" w:rsidRPr="0023654F" w:rsidRDefault="008974E3" w:rsidP="00647044">
            <w:pPr>
              <w:spacing w:before="40" w:after="40"/>
              <w:rPr>
                <w:b/>
                <w:sz w:val="17"/>
                <w:lang w:eastAsia="en-GB"/>
              </w:rPr>
            </w:pPr>
            <w:r>
              <w:rPr>
                <w:b/>
                <w:sz w:val="17"/>
                <w:lang w:eastAsia="en-GB"/>
              </w:rPr>
              <w:t>Scope of application:</w:t>
            </w:r>
          </w:p>
        </w:tc>
        <w:tc>
          <w:tcPr>
            <w:tcW w:w="7240" w:type="dxa"/>
          </w:tcPr>
          <w:p w14:paraId="0F572583" w14:textId="77777777" w:rsidR="008974E3" w:rsidRPr="0023654F" w:rsidRDefault="008974E3" w:rsidP="00647044">
            <w:pPr>
              <w:spacing w:before="40" w:after="40"/>
              <w:jc w:val="both"/>
              <w:rPr>
                <w:b/>
                <w:sz w:val="17"/>
                <w:lang w:eastAsia="en-GB"/>
              </w:rPr>
            </w:pPr>
            <w:r w:rsidRPr="0023654F">
              <w:rPr>
                <w:rFonts w:eastAsiaTheme="minorEastAsia"/>
                <w:sz w:val="17"/>
                <w:lang w:eastAsia="en-GB"/>
              </w:rPr>
              <w:t xml:space="preserve">The </w:t>
            </w:r>
            <w:r>
              <w:rPr>
                <w:rFonts w:eastAsiaTheme="minorEastAsia"/>
                <w:sz w:val="17"/>
                <w:lang w:eastAsia="en-GB"/>
              </w:rPr>
              <w:t xml:space="preserve">table </w:t>
            </w:r>
            <w:r w:rsidRPr="0023654F">
              <w:rPr>
                <w:rFonts w:eastAsiaTheme="minorEastAsia"/>
                <w:sz w:val="17"/>
                <w:lang w:eastAsia="en-GB"/>
              </w:rPr>
              <w:t xml:space="preserve">is mandatory for all </w:t>
            </w:r>
            <w:r>
              <w:rPr>
                <w:rFonts w:eastAsiaTheme="minorEastAsia"/>
                <w:sz w:val="17"/>
                <w:lang w:eastAsia="en-GB"/>
              </w:rPr>
              <w:t>AI</w:t>
            </w:r>
            <w:r w:rsidRPr="0023654F">
              <w:rPr>
                <w:rFonts w:eastAsiaTheme="minorEastAsia"/>
                <w:sz w:val="17"/>
                <w:lang w:eastAsia="en-GB"/>
              </w:rPr>
              <w:t>s</w:t>
            </w:r>
            <w:r>
              <w:rPr>
                <w:rFonts w:eastAsiaTheme="minorEastAsia"/>
                <w:sz w:val="17"/>
                <w:lang w:eastAsia="en-GB"/>
              </w:rPr>
              <w:t xml:space="preserve"> incorporated in Hong Kong.  </w:t>
            </w:r>
            <w:r w:rsidRPr="00932298">
              <w:rPr>
                <w:rFonts w:eastAsiaTheme="minorEastAsia"/>
                <w:sz w:val="17"/>
                <w:lang w:eastAsia="en-GB"/>
              </w:rPr>
              <w:t>This table should be used for reporting an AI’s interest rate exposures re</w:t>
            </w:r>
            <w:r w:rsidRPr="00932298">
              <w:rPr>
                <w:sz w:val="17"/>
                <w:szCs w:val="17"/>
              </w:rPr>
              <w:t xml:space="preserve">lated to financial year end on or after 30 June 2019.  </w:t>
            </w:r>
          </w:p>
        </w:tc>
      </w:tr>
      <w:tr w:rsidR="008974E3" w:rsidRPr="0023654F" w14:paraId="447C59DC" w14:textId="77777777" w:rsidTr="00DD675D">
        <w:tc>
          <w:tcPr>
            <w:tcW w:w="2116" w:type="dxa"/>
          </w:tcPr>
          <w:p w14:paraId="407C7C96" w14:textId="77777777" w:rsidR="008974E3" w:rsidRPr="0023654F" w:rsidRDefault="008974E3" w:rsidP="00647044">
            <w:pPr>
              <w:spacing w:before="40" w:after="40"/>
              <w:rPr>
                <w:b/>
                <w:sz w:val="17"/>
                <w:lang w:eastAsia="en-GB"/>
              </w:rPr>
            </w:pPr>
            <w:r>
              <w:rPr>
                <w:b/>
                <w:sz w:val="17"/>
                <w:lang w:eastAsia="en-GB"/>
              </w:rPr>
              <w:t>Content:</w:t>
            </w:r>
          </w:p>
        </w:tc>
        <w:tc>
          <w:tcPr>
            <w:tcW w:w="7240" w:type="dxa"/>
          </w:tcPr>
          <w:p w14:paraId="02C46C53" w14:textId="77777777" w:rsidR="008974E3" w:rsidRPr="009449CE" w:rsidRDefault="008974E3" w:rsidP="00647044">
            <w:pPr>
              <w:spacing w:before="40" w:after="40"/>
              <w:jc w:val="both"/>
              <w:rPr>
                <w:b/>
                <w:sz w:val="17"/>
                <w:lang w:val="en-US" w:eastAsia="en-GB"/>
              </w:rPr>
            </w:pPr>
            <w:r w:rsidRPr="0023654F">
              <w:rPr>
                <w:sz w:val="17"/>
                <w:lang w:eastAsia="en-GB"/>
              </w:rPr>
              <w:t xml:space="preserve">Qualitative </w:t>
            </w:r>
            <w:r>
              <w:rPr>
                <w:sz w:val="17"/>
                <w:szCs w:val="17"/>
              </w:rPr>
              <w:t xml:space="preserve">and quantitative </w:t>
            </w:r>
            <w:r w:rsidRPr="0023654F">
              <w:rPr>
                <w:sz w:val="17"/>
                <w:lang w:eastAsia="en-GB"/>
              </w:rPr>
              <w:t>information.</w:t>
            </w:r>
            <w:r>
              <w:rPr>
                <w:sz w:val="17"/>
                <w:lang w:eastAsia="en-GB"/>
              </w:rPr>
              <w:t xml:space="preserve">  </w:t>
            </w:r>
            <w:r>
              <w:rPr>
                <w:sz w:val="17"/>
                <w:szCs w:val="17"/>
              </w:rPr>
              <w:t>The latter should be based on the daily or monthly average of the year or on the data as at the reporting date.</w:t>
            </w:r>
          </w:p>
        </w:tc>
      </w:tr>
      <w:tr w:rsidR="008974E3" w:rsidRPr="0023654F" w14:paraId="3A823A81" w14:textId="77777777" w:rsidTr="00DD675D">
        <w:tc>
          <w:tcPr>
            <w:tcW w:w="2116" w:type="dxa"/>
          </w:tcPr>
          <w:p w14:paraId="71901F1E" w14:textId="77777777" w:rsidR="008974E3" w:rsidRPr="0023654F" w:rsidRDefault="008974E3" w:rsidP="00647044">
            <w:pPr>
              <w:spacing w:before="40" w:after="40"/>
              <w:rPr>
                <w:sz w:val="17"/>
                <w:lang w:eastAsia="en-GB"/>
              </w:rPr>
            </w:pPr>
            <w:r w:rsidRPr="0023654F">
              <w:rPr>
                <w:b/>
                <w:sz w:val="17"/>
                <w:lang w:eastAsia="en-GB"/>
              </w:rPr>
              <w:t>Frequency:</w:t>
            </w:r>
          </w:p>
        </w:tc>
        <w:tc>
          <w:tcPr>
            <w:tcW w:w="7240" w:type="dxa"/>
          </w:tcPr>
          <w:p w14:paraId="4106BCB5" w14:textId="77777777" w:rsidR="008974E3" w:rsidRPr="0023654F" w:rsidRDefault="008974E3" w:rsidP="00647044">
            <w:pPr>
              <w:spacing w:before="40" w:after="40"/>
              <w:jc w:val="both"/>
              <w:rPr>
                <w:sz w:val="17"/>
                <w:lang w:eastAsia="en-GB"/>
              </w:rPr>
            </w:pPr>
            <w:r w:rsidRPr="0023654F">
              <w:rPr>
                <w:sz w:val="17"/>
                <w:lang w:eastAsia="en-GB"/>
              </w:rPr>
              <w:t>Annual</w:t>
            </w:r>
            <w:r>
              <w:rPr>
                <w:sz w:val="17"/>
                <w:lang w:eastAsia="en-GB"/>
              </w:rPr>
              <w:t>.</w:t>
            </w:r>
          </w:p>
        </w:tc>
      </w:tr>
      <w:tr w:rsidR="008974E3" w:rsidRPr="0023654F" w14:paraId="5540F98F" w14:textId="77777777" w:rsidTr="00DD675D">
        <w:tc>
          <w:tcPr>
            <w:tcW w:w="2116" w:type="dxa"/>
          </w:tcPr>
          <w:p w14:paraId="310B3D08" w14:textId="77777777" w:rsidR="008974E3" w:rsidRPr="0023654F" w:rsidRDefault="008974E3" w:rsidP="00647044">
            <w:pPr>
              <w:spacing w:before="40" w:after="40"/>
              <w:rPr>
                <w:sz w:val="17"/>
                <w:lang w:eastAsia="en-GB"/>
              </w:rPr>
            </w:pPr>
            <w:r w:rsidRPr="0023654F">
              <w:rPr>
                <w:b/>
                <w:sz w:val="17"/>
                <w:lang w:eastAsia="en-GB"/>
              </w:rPr>
              <w:t>Format:</w:t>
            </w:r>
          </w:p>
        </w:tc>
        <w:tc>
          <w:tcPr>
            <w:tcW w:w="7240" w:type="dxa"/>
          </w:tcPr>
          <w:p w14:paraId="17313167" w14:textId="77777777" w:rsidR="008974E3" w:rsidRPr="00995A5E" w:rsidRDefault="008974E3" w:rsidP="00647044">
            <w:pPr>
              <w:spacing w:before="40" w:after="40"/>
              <w:jc w:val="both"/>
              <w:rPr>
                <w:sz w:val="17"/>
                <w:lang w:val="en-US" w:eastAsia="en-GB"/>
              </w:rPr>
            </w:pPr>
            <w:r w:rsidRPr="0023654F">
              <w:rPr>
                <w:sz w:val="17"/>
                <w:lang w:eastAsia="en-GB"/>
              </w:rPr>
              <w:t>Flexible</w:t>
            </w:r>
            <w:r>
              <w:rPr>
                <w:sz w:val="17"/>
                <w:lang w:eastAsia="en-GB"/>
              </w:rPr>
              <w:t>.</w:t>
            </w:r>
          </w:p>
        </w:tc>
      </w:tr>
      <w:tr w:rsidR="008974E3" w:rsidRPr="0023654F" w14:paraId="5B103D3A" w14:textId="77777777" w:rsidTr="00DD675D">
        <w:tc>
          <w:tcPr>
            <w:tcW w:w="2116" w:type="dxa"/>
          </w:tcPr>
          <w:p w14:paraId="38B2C52E" w14:textId="77777777" w:rsidR="008974E3" w:rsidRPr="0023654F" w:rsidRDefault="008974E3" w:rsidP="00647044">
            <w:pPr>
              <w:spacing w:before="40" w:after="40"/>
              <w:rPr>
                <w:b/>
                <w:sz w:val="17"/>
                <w:lang w:eastAsia="en-GB"/>
              </w:rPr>
            </w:pPr>
            <w:r>
              <w:rPr>
                <w:b/>
                <w:sz w:val="17"/>
                <w:lang w:eastAsia="en-GB"/>
              </w:rPr>
              <w:t>Corresponding BDR section:</w:t>
            </w:r>
          </w:p>
        </w:tc>
        <w:tc>
          <w:tcPr>
            <w:tcW w:w="7240" w:type="dxa"/>
          </w:tcPr>
          <w:p w14:paraId="3D435492" w14:textId="77777777" w:rsidR="008974E3" w:rsidRPr="0023654F" w:rsidRDefault="008974E3" w:rsidP="00647044">
            <w:pPr>
              <w:spacing w:before="40" w:after="40"/>
              <w:jc w:val="both"/>
              <w:rPr>
                <w:sz w:val="17"/>
                <w:lang w:eastAsia="en-GB"/>
              </w:rPr>
            </w:pPr>
            <w:r w:rsidRPr="001B530B">
              <w:rPr>
                <w:sz w:val="17"/>
                <w:lang w:eastAsia="en-GB"/>
              </w:rPr>
              <w:t>16ZP</w:t>
            </w:r>
          </w:p>
        </w:tc>
      </w:tr>
    </w:tbl>
    <w:p w14:paraId="1909D242" w14:textId="77777777" w:rsidR="008974E3" w:rsidRPr="0023654F" w:rsidRDefault="008974E3" w:rsidP="008974E3">
      <w:pPr>
        <w:spacing w:before="120" w:after="120"/>
        <w:rPr>
          <w:sz w:val="22"/>
        </w:rPr>
      </w:pPr>
    </w:p>
    <w:tbl>
      <w:tblPr>
        <w:tblW w:w="9356" w:type="dxa"/>
        <w:jc w:val="center"/>
        <w:tblCellMar>
          <w:left w:w="70" w:type="dxa"/>
          <w:right w:w="70" w:type="dxa"/>
        </w:tblCellMar>
        <w:tblLook w:val="00A0" w:firstRow="1" w:lastRow="0" w:firstColumn="1" w:lastColumn="0" w:noHBand="0" w:noVBand="0"/>
      </w:tblPr>
      <w:tblGrid>
        <w:gridCol w:w="343"/>
        <w:gridCol w:w="9155"/>
      </w:tblGrid>
      <w:tr w:rsidR="008974E3" w:rsidRPr="0023654F" w14:paraId="65825988" w14:textId="77777777" w:rsidTr="00A376A3">
        <w:trPr>
          <w:trHeight w:val="448"/>
          <w:jc w:val="center"/>
        </w:trPr>
        <w:tc>
          <w:tcPr>
            <w:tcW w:w="9356" w:type="dxa"/>
            <w:gridSpan w:val="2"/>
            <w:tcBorders>
              <w:top w:val="single" w:sz="4" w:space="0" w:color="auto"/>
              <w:bottom w:val="single" w:sz="4" w:space="0" w:color="auto"/>
            </w:tcBorders>
            <w:vAlign w:val="center"/>
          </w:tcPr>
          <w:p w14:paraId="28D3EEF1" w14:textId="77777777" w:rsidR="008974E3" w:rsidRPr="0023654F" w:rsidRDefault="008974E3" w:rsidP="00647044">
            <w:pPr>
              <w:widowControl w:val="0"/>
              <w:spacing w:before="40" w:after="40"/>
              <w:jc w:val="both"/>
              <w:rPr>
                <w:sz w:val="17"/>
                <w:szCs w:val="17"/>
              </w:rPr>
            </w:pPr>
            <w:r>
              <w:rPr>
                <w:sz w:val="17"/>
                <w:szCs w:val="17"/>
              </w:rPr>
              <w:t>An AI</w:t>
            </w:r>
            <w:r w:rsidRPr="0023654F">
              <w:rPr>
                <w:sz w:val="17"/>
                <w:szCs w:val="17"/>
              </w:rPr>
              <w:t xml:space="preserve"> </w:t>
            </w:r>
            <w:r>
              <w:rPr>
                <w:sz w:val="17"/>
                <w:szCs w:val="17"/>
              </w:rPr>
              <w:t>should</w:t>
            </w:r>
            <w:r w:rsidRPr="0023654F">
              <w:rPr>
                <w:sz w:val="17"/>
                <w:szCs w:val="17"/>
              </w:rPr>
              <w:t xml:space="preserve"> describe </w:t>
            </w:r>
            <w:r>
              <w:rPr>
                <w:sz w:val="17"/>
                <w:szCs w:val="17"/>
              </w:rPr>
              <w:t>the following</w:t>
            </w:r>
            <w:r w:rsidRPr="0023654F">
              <w:rPr>
                <w:sz w:val="17"/>
                <w:szCs w:val="17"/>
              </w:rPr>
              <w:t xml:space="preserve"> </w:t>
            </w:r>
            <w:r>
              <w:rPr>
                <w:sz w:val="17"/>
                <w:szCs w:val="17"/>
              </w:rPr>
              <w:t xml:space="preserve">elements of IRRBB </w:t>
            </w:r>
            <w:r w:rsidRPr="0023654F">
              <w:rPr>
                <w:sz w:val="17"/>
                <w:szCs w:val="17"/>
              </w:rPr>
              <w:t>risk management</w:t>
            </w:r>
            <w:r>
              <w:rPr>
                <w:sz w:val="17"/>
                <w:szCs w:val="17"/>
              </w:rPr>
              <w:t>, where relevant</w:t>
            </w:r>
            <w:r w:rsidRPr="0023654F">
              <w:rPr>
                <w:sz w:val="17"/>
                <w:szCs w:val="17"/>
              </w:rPr>
              <w:t>:</w:t>
            </w:r>
          </w:p>
        </w:tc>
      </w:tr>
      <w:tr w:rsidR="008974E3" w:rsidRPr="0023654F" w14:paraId="3EB7A75D" w14:textId="77777777" w:rsidTr="00A376A3">
        <w:trPr>
          <w:trHeight w:val="355"/>
          <w:jc w:val="center"/>
        </w:trPr>
        <w:tc>
          <w:tcPr>
            <w:tcW w:w="9356" w:type="dxa"/>
            <w:gridSpan w:val="2"/>
            <w:tcBorders>
              <w:top w:val="single" w:sz="4" w:space="0" w:color="auto"/>
              <w:bottom w:val="single" w:sz="4" w:space="0" w:color="auto"/>
            </w:tcBorders>
            <w:shd w:val="clear" w:color="auto" w:fill="D9D9D9" w:themeFill="background1" w:themeFillShade="D9"/>
            <w:vAlign w:val="center"/>
          </w:tcPr>
          <w:p w14:paraId="54B1A945" w14:textId="77777777" w:rsidR="008974E3" w:rsidRDefault="008974E3" w:rsidP="00647044">
            <w:pPr>
              <w:pStyle w:val="Default"/>
              <w:jc w:val="both"/>
              <w:rPr>
                <w:sz w:val="17"/>
                <w:szCs w:val="17"/>
              </w:rPr>
            </w:pPr>
            <w:r>
              <w:rPr>
                <w:sz w:val="17"/>
                <w:szCs w:val="17"/>
              </w:rPr>
              <w:t>Qualitative disclosures</w:t>
            </w:r>
          </w:p>
        </w:tc>
      </w:tr>
      <w:tr w:rsidR="008974E3" w:rsidRPr="0023654F" w14:paraId="6B8D6860" w14:textId="77777777" w:rsidTr="00A376A3">
        <w:trPr>
          <w:trHeight w:val="318"/>
          <w:jc w:val="center"/>
        </w:trPr>
        <w:tc>
          <w:tcPr>
            <w:tcW w:w="201" w:type="dxa"/>
            <w:tcBorders>
              <w:top w:val="single" w:sz="4" w:space="0" w:color="auto"/>
              <w:bottom w:val="single" w:sz="4" w:space="0" w:color="auto"/>
            </w:tcBorders>
            <w:noWrap/>
          </w:tcPr>
          <w:p w14:paraId="269C78D2" w14:textId="77777777" w:rsidR="008974E3" w:rsidRPr="0023654F" w:rsidRDefault="008974E3" w:rsidP="00647044">
            <w:pPr>
              <w:widowControl w:val="0"/>
              <w:spacing w:before="40" w:after="40"/>
              <w:jc w:val="both"/>
              <w:rPr>
                <w:sz w:val="17"/>
                <w:szCs w:val="17"/>
              </w:rPr>
            </w:pPr>
            <w:r>
              <w:rPr>
                <w:sz w:val="17"/>
                <w:szCs w:val="17"/>
              </w:rPr>
              <w:t>(</w:t>
            </w:r>
            <w:r w:rsidRPr="0023654F">
              <w:rPr>
                <w:sz w:val="17"/>
                <w:szCs w:val="17"/>
              </w:rPr>
              <w:t>a</w:t>
            </w:r>
            <w:r>
              <w:rPr>
                <w:sz w:val="17"/>
                <w:szCs w:val="17"/>
              </w:rPr>
              <w:t>)</w:t>
            </w:r>
          </w:p>
        </w:tc>
        <w:tc>
          <w:tcPr>
            <w:tcW w:w="9155" w:type="dxa"/>
            <w:tcBorders>
              <w:top w:val="single" w:sz="4" w:space="0" w:color="auto"/>
              <w:bottom w:val="single" w:sz="4" w:space="0" w:color="auto"/>
            </w:tcBorders>
            <w:noWrap/>
          </w:tcPr>
          <w:p w14:paraId="5BD3E88E" w14:textId="77777777" w:rsidR="008974E3" w:rsidRPr="003156C3" w:rsidRDefault="008974E3" w:rsidP="00647044">
            <w:pPr>
              <w:widowControl w:val="0"/>
              <w:spacing w:before="40" w:after="40"/>
              <w:jc w:val="both"/>
              <w:rPr>
                <w:sz w:val="17"/>
                <w:szCs w:val="17"/>
              </w:rPr>
            </w:pPr>
            <w:r w:rsidRPr="003F4820">
              <w:rPr>
                <w:sz w:val="17"/>
                <w:szCs w:val="17"/>
              </w:rPr>
              <w:t xml:space="preserve">A description of how the </w:t>
            </w:r>
            <w:r>
              <w:rPr>
                <w:sz w:val="17"/>
                <w:szCs w:val="17"/>
              </w:rPr>
              <w:t>AI</w:t>
            </w:r>
            <w:r w:rsidRPr="003F4820">
              <w:rPr>
                <w:sz w:val="17"/>
                <w:szCs w:val="17"/>
              </w:rPr>
              <w:t xml:space="preserve"> defines IRRBB for purposes of risk control and measurement.</w:t>
            </w:r>
          </w:p>
        </w:tc>
      </w:tr>
      <w:tr w:rsidR="008974E3" w:rsidRPr="0023654F" w14:paraId="70F87E3F" w14:textId="77777777" w:rsidTr="00A376A3">
        <w:trPr>
          <w:trHeight w:val="318"/>
          <w:jc w:val="center"/>
        </w:trPr>
        <w:tc>
          <w:tcPr>
            <w:tcW w:w="201" w:type="dxa"/>
            <w:tcBorders>
              <w:top w:val="single" w:sz="4" w:space="0" w:color="auto"/>
              <w:bottom w:val="single" w:sz="4" w:space="0" w:color="auto"/>
            </w:tcBorders>
            <w:noWrap/>
          </w:tcPr>
          <w:p w14:paraId="2AEA0E15" w14:textId="77777777" w:rsidR="008974E3" w:rsidRPr="0023654F" w:rsidRDefault="008974E3" w:rsidP="00647044">
            <w:pPr>
              <w:widowControl w:val="0"/>
              <w:spacing w:before="40" w:after="40"/>
              <w:jc w:val="both"/>
              <w:rPr>
                <w:sz w:val="17"/>
                <w:szCs w:val="17"/>
              </w:rPr>
            </w:pPr>
            <w:r>
              <w:rPr>
                <w:sz w:val="17"/>
                <w:szCs w:val="17"/>
              </w:rPr>
              <w:t>(</w:t>
            </w:r>
            <w:r w:rsidRPr="0023654F">
              <w:rPr>
                <w:sz w:val="17"/>
                <w:szCs w:val="17"/>
              </w:rPr>
              <w:t>b</w:t>
            </w:r>
            <w:r>
              <w:rPr>
                <w:sz w:val="17"/>
                <w:szCs w:val="17"/>
              </w:rPr>
              <w:t>)</w:t>
            </w:r>
          </w:p>
        </w:tc>
        <w:tc>
          <w:tcPr>
            <w:tcW w:w="9155" w:type="dxa"/>
            <w:tcBorders>
              <w:top w:val="single" w:sz="4" w:space="0" w:color="auto"/>
              <w:bottom w:val="single" w:sz="4" w:space="0" w:color="auto"/>
            </w:tcBorders>
            <w:noWrap/>
          </w:tcPr>
          <w:p w14:paraId="702B01FC" w14:textId="77777777" w:rsidR="008974E3" w:rsidRDefault="008974E3" w:rsidP="00647044">
            <w:pPr>
              <w:widowControl w:val="0"/>
              <w:spacing w:before="40" w:after="40" w:line="240" w:lineRule="atLeast"/>
              <w:jc w:val="both"/>
              <w:rPr>
                <w:sz w:val="17"/>
                <w:szCs w:val="17"/>
              </w:rPr>
            </w:pPr>
            <w:r w:rsidRPr="003F4820">
              <w:rPr>
                <w:sz w:val="17"/>
                <w:szCs w:val="17"/>
              </w:rPr>
              <w:t xml:space="preserve">A description of the </w:t>
            </w:r>
            <w:r>
              <w:rPr>
                <w:sz w:val="17"/>
                <w:szCs w:val="17"/>
              </w:rPr>
              <w:t>AI</w:t>
            </w:r>
            <w:r w:rsidRPr="003F4820">
              <w:rPr>
                <w:sz w:val="17"/>
                <w:szCs w:val="17"/>
              </w:rPr>
              <w:t xml:space="preserve">’s overall IRRBB management and mitigation strategies. </w:t>
            </w:r>
            <w:r>
              <w:rPr>
                <w:sz w:val="17"/>
                <w:szCs w:val="17"/>
              </w:rPr>
              <w:t xml:space="preserve"> </w:t>
            </w:r>
            <w:r w:rsidRPr="003F4820">
              <w:rPr>
                <w:sz w:val="17"/>
                <w:szCs w:val="17"/>
              </w:rPr>
              <w:t xml:space="preserve">Examples </w:t>
            </w:r>
            <w:r>
              <w:rPr>
                <w:sz w:val="17"/>
                <w:szCs w:val="17"/>
              </w:rPr>
              <w:t>include:</w:t>
            </w:r>
          </w:p>
          <w:p w14:paraId="3CF80FE4" w14:textId="77777777" w:rsidR="008974E3" w:rsidRDefault="008974E3" w:rsidP="008D652E">
            <w:pPr>
              <w:pStyle w:val="TableText"/>
              <w:numPr>
                <w:ilvl w:val="0"/>
                <w:numId w:val="34"/>
              </w:numPr>
              <w:ind w:left="480" w:hanging="480"/>
              <w:jc w:val="both"/>
              <w:rPr>
                <w:szCs w:val="17"/>
              </w:rPr>
            </w:pPr>
            <w:r w:rsidRPr="003F4820">
              <w:rPr>
                <w:szCs w:val="17"/>
              </w:rPr>
              <w:t>monitoring of economic value of equity (</w:t>
            </w:r>
            <w:r>
              <w:rPr>
                <w:szCs w:val="17"/>
              </w:rPr>
              <w:t>“</w:t>
            </w:r>
            <w:r w:rsidRPr="003F4820">
              <w:rPr>
                <w:szCs w:val="17"/>
              </w:rPr>
              <w:t>EVE</w:t>
            </w:r>
            <w:r>
              <w:rPr>
                <w:szCs w:val="17"/>
              </w:rPr>
              <w:t>”</w:t>
            </w:r>
            <w:r w:rsidRPr="003F4820">
              <w:rPr>
                <w:szCs w:val="17"/>
              </w:rPr>
              <w:t>) and net interest income (</w:t>
            </w:r>
            <w:r>
              <w:rPr>
                <w:szCs w:val="17"/>
              </w:rPr>
              <w:t>“</w:t>
            </w:r>
            <w:r w:rsidRPr="003F4820">
              <w:rPr>
                <w:szCs w:val="17"/>
              </w:rPr>
              <w:t>NII</w:t>
            </w:r>
            <w:r>
              <w:rPr>
                <w:szCs w:val="17"/>
              </w:rPr>
              <w:t>”</w:t>
            </w:r>
            <w:r w:rsidRPr="003F4820">
              <w:rPr>
                <w:szCs w:val="17"/>
              </w:rPr>
              <w:t>) in relation to established limits</w:t>
            </w:r>
            <w:r>
              <w:rPr>
                <w:szCs w:val="17"/>
              </w:rPr>
              <w:t>;</w:t>
            </w:r>
          </w:p>
          <w:p w14:paraId="138674AC" w14:textId="77777777" w:rsidR="008974E3" w:rsidRDefault="008974E3" w:rsidP="008D652E">
            <w:pPr>
              <w:pStyle w:val="TableText"/>
              <w:numPr>
                <w:ilvl w:val="0"/>
                <w:numId w:val="34"/>
              </w:numPr>
              <w:ind w:left="480" w:hanging="480"/>
              <w:jc w:val="both"/>
              <w:rPr>
                <w:szCs w:val="17"/>
              </w:rPr>
            </w:pPr>
            <w:r w:rsidRPr="003F4820">
              <w:rPr>
                <w:szCs w:val="17"/>
              </w:rPr>
              <w:t>hedging practices</w:t>
            </w:r>
            <w:r>
              <w:rPr>
                <w:szCs w:val="17"/>
              </w:rPr>
              <w:t>;</w:t>
            </w:r>
          </w:p>
          <w:p w14:paraId="2836B1F8" w14:textId="77777777" w:rsidR="008974E3" w:rsidRDefault="008974E3" w:rsidP="008D652E">
            <w:pPr>
              <w:pStyle w:val="TableText"/>
              <w:numPr>
                <w:ilvl w:val="0"/>
                <w:numId w:val="34"/>
              </w:numPr>
              <w:ind w:left="480" w:hanging="480"/>
              <w:jc w:val="both"/>
              <w:rPr>
                <w:szCs w:val="17"/>
              </w:rPr>
            </w:pPr>
            <w:r w:rsidRPr="003F4820">
              <w:rPr>
                <w:szCs w:val="17"/>
              </w:rPr>
              <w:t>conduct of stress testing</w:t>
            </w:r>
            <w:r>
              <w:rPr>
                <w:szCs w:val="17"/>
              </w:rPr>
              <w:t>;</w:t>
            </w:r>
          </w:p>
          <w:p w14:paraId="55563582" w14:textId="77777777" w:rsidR="008974E3" w:rsidRDefault="008974E3" w:rsidP="008D652E">
            <w:pPr>
              <w:pStyle w:val="TableText"/>
              <w:numPr>
                <w:ilvl w:val="0"/>
                <w:numId w:val="34"/>
              </w:numPr>
              <w:ind w:left="480" w:hanging="480"/>
              <w:jc w:val="both"/>
              <w:rPr>
                <w:szCs w:val="17"/>
              </w:rPr>
            </w:pPr>
            <w:r w:rsidRPr="003F4820">
              <w:rPr>
                <w:szCs w:val="17"/>
              </w:rPr>
              <w:t>outcome analysis</w:t>
            </w:r>
            <w:r>
              <w:rPr>
                <w:szCs w:val="17"/>
              </w:rPr>
              <w:t>;</w:t>
            </w:r>
          </w:p>
          <w:p w14:paraId="674FA1D4" w14:textId="77777777" w:rsidR="008974E3" w:rsidRDefault="008974E3" w:rsidP="008D652E">
            <w:pPr>
              <w:pStyle w:val="TableText"/>
              <w:numPr>
                <w:ilvl w:val="0"/>
                <w:numId w:val="34"/>
              </w:numPr>
              <w:ind w:left="480" w:hanging="480"/>
              <w:jc w:val="both"/>
              <w:rPr>
                <w:szCs w:val="17"/>
              </w:rPr>
            </w:pPr>
            <w:r w:rsidRPr="003F4820">
              <w:rPr>
                <w:szCs w:val="17"/>
              </w:rPr>
              <w:t>the role of independent audit</w:t>
            </w:r>
            <w:r>
              <w:rPr>
                <w:szCs w:val="17"/>
              </w:rPr>
              <w:t>;</w:t>
            </w:r>
          </w:p>
          <w:p w14:paraId="7500278A" w14:textId="77777777" w:rsidR="008974E3" w:rsidRDefault="008974E3" w:rsidP="008D652E">
            <w:pPr>
              <w:pStyle w:val="TableText"/>
              <w:numPr>
                <w:ilvl w:val="0"/>
                <w:numId w:val="34"/>
              </w:numPr>
              <w:ind w:left="480" w:hanging="480"/>
              <w:jc w:val="both"/>
              <w:rPr>
                <w:szCs w:val="17"/>
              </w:rPr>
            </w:pPr>
            <w:r w:rsidRPr="003F4820">
              <w:rPr>
                <w:szCs w:val="17"/>
              </w:rPr>
              <w:t>the role and practices of the ALCO</w:t>
            </w:r>
            <w:r>
              <w:rPr>
                <w:szCs w:val="17"/>
              </w:rPr>
              <w:t>;</w:t>
            </w:r>
          </w:p>
          <w:p w14:paraId="21F9DE0F" w14:textId="77777777" w:rsidR="008974E3" w:rsidRDefault="008974E3" w:rsidP="008D652E">
            <w:pPr>
              <w:pStyle w:val="TableText"/>
              <w:numPr>
                <w:ilvl w:val="0"/>
                <w:numId w:val="34"/>
              </w:numPr>
              <w:ind w:left="480" w:hanging="480"/>
              <w:jc w:val="both"/>
              <w:rPr>
                <w:szCs w:val="17"/>
              </w:rPr>
            </w:pPr>
            <w:r w:rsidRPr="003F4820">
              <w:rPr>
                <w:szCs w:val="17"/>
              </w:rPr>
              <w:t xml:space="preserve">the </w:t>
            </w:r>
            <w:r>
              <w:rPr>
                <w:szCs w:val="17"/>
              </w:rPr>
              <w:t>AI</w:t>
            </w:r>
            <w:r w:rsidRPr="003F4820">
              <w:rPr>
                <w:szCs w:val="17"/>
              </w:rPr>
              <w:t>’s practices to ensure appropriate model validation</w:t>
            </w:r>
            <w:r>
              <w:rPr>
                <w:szCs w:val="17"/>
              </w:rPr>
              <w:t>;</w:t>
            </w:r>
            <w:r w:rsidRPr="003F4820">
              <w:rPr>
                <w:szCs w:val="17"/>
              </w:rPr>
              <w:t xml:space="preserve"> and</w:t>
            </w:r>
          </w:p>
          <w:p w14:paraId="09C8A1EC" w14:textId="77777777" w:rsidR="008974E3" w:rsidRPr="003F4820" w:rsidRDefault="008974E3" w:rsidP="008D652E">
            <w:pPr>
              <w:pStyle w:val="TableText"/>
              <w:numPr>
                <w:ilvl w:val="0"/>
                <w:numId w:val="34"/>
              </w:numPr>
              <w:ind w:left="480" w:hanging="480"/>
              <w:jc w:val="both"/>
              <w:rPr>
                <w:szCs w:val="17"/>
              </w:rPr>
            </w:pPr>
            <w:r w:rsidRPr="003F4820">
              <w:rPr>
                <w:szCs w:val="17"/>
              </w:rPr>
              <w:t>timely updates in response to changing market conditions.</w:t>
            </w:r>
          </w:p>
        </w:tc>
      </w:tr>
      <w:tr w:rsidR="008974E3" w:rsidRPr="0023654F" w14:paraId="3A285756" w14:textId="77777777" w:rsidTr="00A376A3">
        <w:trPr>
          <w:trHeight w:val="318"/>
          <w:jc w:val="center"/>
        </w:trPr>
        <w:tc>
          <w:tcPr>
            <w:tcW w:w="201" w:type="dxa"/>
            <w:tcBorders>
              <w:top w:val="single" w:sz="4" w:space="0" w:color="auto"/>
              <w:bottom w:val="single" w:sz="4" w:space="0" w:color="auto"/>
            </w:tcBorders>
            <w:noWrap/>
          </w:tcPr>
          <w:p w14:paraId="08103AD7" w14:textId="77777777" w:rsidR="008974E3" w:rsidRPr="0023654F" w:rsidRDefault="008974E3" w:rsidP="00647044">
            <w:pPr>
              <w:widowControl w:val="0"/>
              <w:spacing w:before="40" w:after="40"/>
              <w:jc w:val="both"/>
              <w:rPr>
                <w:sz w:val="17"/>
                <w:szCs w:val="17"/>
              </w:rPr>
            </w:pPr>
            <w:r>
              <w:rPr>
                <w:sz w:val="17"/>
                <w:szCs w:val="17"/>
              </w:rPr>
              <w:t>(</w:t>
            </w:r>
            <w:r w:rsidRPr="0023654F">
              <w:rPr>
                <w:sz w:val="17"/>
                <w:szCs w:val="17"/>
              </w:rPr>
              <w:t>c</w:t>
            </w:r>
            <w:r>
              <w:rPr>
                <w:sz w:val="17"/>
                <w:szCs w:val="17"/>
              </w:rPr>
              <w:t>)</w:t>
            </w:r>
          </w:p>
        </w:tc>
        <w:tc>
          <w:tcPr>
            <w:tcW w:w="9155" w:type="dxa"/>
            <w:tcBorders>
              <w:top w:val="single" w:sz="4" w:space="0" w:color="auto"/>
              <w:bottom w:val="single" w:sz="4" w:space="0" w:color="auto"/>
            </w:tcBorders>
            <w:noWrap/>
          </w:tcPr>
          <w:p w14:paraId="71ADF8A2" w14:textId="77777777" w:rsidR="008974E3" w:rsidRPr="0023654F" w:rsidRDefault="008974E3" w:rsidP="00647044">
            <w:pPr>
              <w:widowControl w:val="0"/>
              <w:spacing w:before="40" w:after="40"/>
              <w:jc w:val="both"/>
              <w:rPr>
                <w:sz w:val="17"/>
                <w:szCs w:val="17"/>
              </w:rPr>
            </w:pPr>
            <w:r w:rsidRPr="003F4820">
              <w:rPr>
                <w:sz w:val="17"/>
                <w:szCs w:val="17"/>
              </w:rPr>
              <w:t xml:space="preserve">The periodicity of the calculation of the </w:t>
            </w:r>
            <w:r>
              <w:rPr>
                <w:sz w:val="17"/>
                <w:szCs w:val="17"/>
              </w:rPr>
              <w:t>AI</w:t>
            </w:r>
            <w:r w:rsidRPr="003F4820">
              <w:rPr>
                <w:sz w:val="17"/>
                <w:szCs w:val="17"/>
              </w:rPr>
              <w:t xml:space="preserve">’s IRRBB measures, and a description of the specific measures that the </w:t>
            </w:r>
            <w:r>
              <w:rPr>
                <w:sz w:val="17"/>
                <w:szCs w:val="17"/>
              </w:rPr>
              <w:t>AI</w:t>
            </w:r>
            <w:r w:rsidRPr="003F4820">
              <w:rPr>
                <w:sz w:val="17"/>
                <w:szCs w:val="17"/>
              </w:rPr>
              <w:t xml:space="preserve"> uses to gauge its sensitivity to IRRBB.</w:t>
            </w:r>
          </w:p>
        </w:tc>
      </w:tr>
      <w:tr w:rsidR="008974E3" w:rsidRPr="0023654F" w14:paraId="300FC1FD" w14:textId="77777777" w:rsidTr="00A376A3">
        <w:trPr>
          <w:trHeight w:val="318"/>
          <w:jc w:val="center"/>
        </w:trPr>
        <w:tc>
          <w:tcPr>
            <w:tcW w:w="201" w:type="dxa"/>
            <w:tcBorders>
              <w:top w:val="single" w:sz="4" w:space="0" w:color="auto"/>
              <w:bottom w:val="single" w:sz="4" w:space="0" w:color="auto"/>
            </w:tcBorders>
            <w:noWrap/>
          </w:tcPr>
          <w:p w14:paraId="38AB5B14" w14:textId="77777777" w:rsidR="008974E3" w:rsidRPr="0023654F" w:rsidRDefault="008974E3" w:rsidP="00647044">
            <w:pPr>
              <w:widowControl w:val="0"/>
              <w:spacing w:before="40" w:after="40"/>
              <w:jc w:val="both"/>
              <w:rPr>
                <w:sz w:val="17"/>
                <w:szCs w:val="17"/>
              </w:rPr>
            </w:pPr>
            <w:r>
              <w:rPr>
                <w:sz w:val="17"/>
                <w:szCs w:val="17"/>
              </w:rPr>
              <w:t>(</w:t>
            </w:r>
            <w:r w:rsidRPr="0023654F">
              <w:rPr>
                <w:sz w:val="17"/>
                <w:szCs w:val="17"/>
              </w:rPr>
              <w:t>d</w:t>
            </w:r>
            <w:r>
              <w:rPr>
                <w:sz w:val="17"/>
                <w:szCs w:val="17"/>
              </w:rPr>
              <w:t>)</w:t>
            </w:r>
          </w:p>
        </w:tc>
        <w:tc>
          <w:tcPr>
            <w:tcW w:w="9155" w:type="dxa"/>
            <w:tcBorders>
              <w:top w:val="single" w:sz="4" w:space="0" w:color="auto"/>
              <w:bottom w:val="single" w:sz="4" w:space="0" w:color="auto"/>
            </w:tcBorders>
            <w:noWrap/>
          </w:tcPr>
          <w:p w14:paraId="20D1EA21" w14:textId="77777777" w:rsidR="008974E3" w:rsidRPr="0023654F" w:rsidRDefault="008974E3" w:rsidP="00647044">
            <w:pPr>
              <w:widowControl w:val="0"/>
              <w:spacing w:before="40" w:after="40"/>
              <w:jc w:val="both"/>
              <w:rPr>
                <w:sz w:val="17"/>
                <w:szCs w:val="17"/>
              </w:rPr>
            </w:pPr>
            <w:r w:rsidRPr="003F4820">
              <w:rPr>
                <w:sz w:val="17"/>
                <w:szCs w:val="17"/>
              </w:rPr>
              <w:t xml:space="preserve">A description of the interest rate shock and stress scenarios that the </w:t>
            </w:r>
            <w:r>
              <w:rPr>
                <w:sz w:val="17"/>
                <w:szCs w:val="17"/>
              </w:rPr>
              <w:t>AI</w:t>
            </w:r>
            <w:r w:rsidRPr="003F4820">
              <w:rPr>
                <w:sz w:val="17"/>
                <w:szCs w:val="17"/>
              </w:rPr>
              <w:t xml:space="preserve"> uses to estimate changes in the economic value and in earnings.</w:t>
            </w:r>
          </w:p>
        </w:tc>
      </w:tr>
      <w:tr w:rsidR="008974E3" w:rsidRPr="0023654F" w14:paraId="2BEC60B5" w14:textId="77777777" w:rsidTr="00A376A3">
        <w:trPr>
          <w:trHeight w:val="318"/>
          <w:jc w:val="center"/>
        </w:trPr>
        <w:tc>
          <w:tcPr>
            <w:tcW w:w="201" w:type="dxa"/>
            <w:tcBorders>
              <w:top w:val="single" w:sz="4" w:space="0" w:color="auto"/>
              <w:bottom w:val="single" w:sz="4" w:space="0" w:color="auto"/>
            </w:tcBorders>
            <w:noWrap/>
          </w:tcPr>
          <w:p w14:paraId="6791E41E" w14:textId="77777777" w:rsidR="008974E3" w:rsidRPr="0023654F" w:rsidRDefault="008974E3" w:rsidP="00647044">
            <w:pPr>
              <w:widowControl w:val="0"/>
              <w:spacing w:before="40" w:after="40"/>
              <w:jc w:val="both"/>
              <w:rPr>
                <w:sz w:val="17"/>
                <w:szCs w:val="17"/>
              </w:rPr>
            </w:pPr>
            <w:r>
              <w:rPr>
                <w:sz w:val="17"/>
                <w:szCs w:val="17"/>
              </w:rPr>
              <w:t>(</w:t>
            </w:r>
            <w:r w:rsidRPr="0023654F">
              <w:rPr>
                <w:sz w:val="17"/>
                <w:szCs w:val="17"/>
              </w:rPr>
              <w:t>e</w:t>
            </w:r>
            <w:r>
              <w:rPr>
                <w:sz w:val="17"/>
                <w:szCs w:val="17"/>
              </w:rPr>
              <w:t>)</w:t>
            </w:r>
          </w:p>
        </w:tc>
        <w:tc>
          <w:tcPr>
            <w:tcW w:w="9155" w:type="dxa"/>
            <w:tcBorders>
              <w:top w:val="single" w:sz="4" w:space="0" w:color="auto"/>
              <w:bottom w:val="single" w:sz="4" w:space="0" w:color="auto"/>
            </w:tcBorders>
            <w:noWrap/>
          </w:tcPr>
          <w:p w14:paraId="62E9519A" w14:textId="6CDD294C" w:rsidR="008974E3" w:rsidRPr="0023654F" w:rsidRDefault="008974E3" w:rsidP="00647044">
            <w:pPr>
              <w:widowControl w:val="0"/>
              <w:spacing w:before="40" w:after="40"/>
              <w:jc w:val="both"/>
              <w:rPr>
                <w:sz w:val="17"/>
                <w:szCs w:val="17"/>
              </w:rPr>
            </w:pPr>
            <w:r w:rsidRPr="003F4820">
              <w:rPr>
                <w:sz w:val="17"/>
                <w:szCs w:val="17"/>
              </w:rPr>
              <w:t xml:space="preserve">Where significant modelling assumptions used in the </w:t>
            </w:r>
            <w:r>
              <w:rPr>
                <w:sz w:val="17"/>
                <w:szCs w:val="17"/>
              </w:rPr>
              <w:t>AI</w:t>
            </w:r>
            <w:r w:rsidRPr="003F4820">
              <w:rPr>
                <w:sz w:val="17"/>
                <w:szCs w:val="17"/>
              </w:rPr>
              <w:t>’s internal measurement systems (</w:t>
            </w:r>
            <w:r>
              <w:rPr>
                <w:sz w:val="17"/>
                <w:szCs w:val="17"/>
              </w:rPr>
              <w:t>“</w:t>
            </w:r>
            <w:r w:rsidRPr="003F4820">
              <w:rPr>
                <w:sz w:val="17"/>
                <w:szCs w:val="17"/>
              </w:rPr>
              <w:t>IMS</w:t>
            </w:r>
            <w:r>
              <w:rPr>
                <w:sz w:val="17"/>
                <w:szCs w:val="17"/>
              </w:rPr>
              <w:t>”</w:t>
            </w:r>
            <w:r w:rsidRPr="003F4820">
              <w:rPr>
                <w:sz w:val="17"/>
                <w:szCs w:val="17"/>
              </w:rPr>
              <w:t>) (i</w:t>
            </w:r>
            <w:r>
              <w:rPr>
                <w:sz w:val="17"/>
                <w:szCs w:val="17"/>
              </w:rPr>
              <w:t>.</w:t>
            </w:r>
            <w:r w:rsidRPr="003F4820">
              <w:rPr>
                <w:sz w:val="17"/>
                <w:szCs w:val="17"/>
              </w:rPr>
              <w:t>e</w:t>
            </w:r>
            <w:r>
              <w:rPr>
                <w:sz w:val="17"/>
                <w:szCs w:val="17"/>
              </w:rPr>
              <w:t>.</w:t>
            </w:r>
            <w:r w:rsidRPr="003F4820">
              <w:rPr>
                <w:sz w:val="17"/>
                <w:szCs w:val="17"/>
              </w:rPr>
              <w:t xml:space="preserve"> the EVE metric generated by the </w:t>
            </w:r>
            <w:r>
              <w:rPr>
                <w:sz w:val="17"/>
                <w:szCs w:val="17"/>
              </w:rPr>
              <w:t>AI</w:t>
            </w:r>
            <w:r w:rsidRPr="003F4820">
              <w:rPr>
                <w:sz w:val="17"/>
                <w:szCs w:val="17"/>
              </w:rPr>
              <w:t xml:space="preserve"> for purposes other than disclosure, e</w:t>
            </w:r>
            <w:r>
              <w:rPr>
                <w:sz w:val="17"/>
                <w:szCs w:val="17"/>
              </w:rPr>
              <w:t>.</w:t>
            </w:r>
            <w:r w:rsidRPr="003F4820">
              <w:rPr>
                <w:sz w:val="17"/>
                <w:szCs w:val="17"/>
              </w:rPr>
              <w:t>g</w:t>
            </w:r>
            <w:r>
              <w:rPr>
                <w:sz w:val="17"/>
                <w:szCs w:val="17"/>
              </w:rPr>
              <w:t>.</w:t>
            </w:r>
            <w:r w:rsidRPr="003F4820">
              <w:rPr>
                <w:sz w:val="17"/>
                <w:szCs w:val="17"/>
              </w:rPr>
              <w:t xml:space="preserve"> for internal assessment of capital adequacy) are different from the modelling assumptions prescribed for the disclosure in </w:t>
            </w:r>
            <w:r w:rsidR="002B229E">
              <w:rPr>
                <w:sz w:val="17"/>
                <w:szCs w:val="17"/>
              </w:rPr>
              <w:t>T</w:t>
            </w:r>
            <w:r w:rsidRPr="003F4820">
              <w:rPr>
                <w:sz w:val="17"/>
                <w:szCs w:val="17"/>
              </w:rPr>
              <w:t xml:space="preserve">emplate IRRBB1, the </w:t>
            </w:r>
            <w:r>
              <w:rPr>
                <w:sz w:val="17"/>
                <w:szCs w:val="17"/>
              </w:rPr>
              <w:t>AI</w:t>
            </w:r>
            <w:r w:rsidRPr="003F4820">
              <w:rPr>
                <w:sz w:val="17"/>
                <w:szCs w:val="17"/>
              </w:rPr>
              <w:t xml:space="preserve"> should provide a description of those assumptions and their directional implications and explain its rationale for making those assumptions (e</w:t>
            </w:r>
            <w:r>
              <w:rPr>
                <w:sz w:val="17"/>
                <w:szCs w:val="17"/>
              </w:rPr>
              <w:t>.</w:t>
            </w:r>
            <w:r w:rsidRPr="003F4820">
              <w:rPr>
                <w:sz w:val="17"/>
                <w:szCs w:val="17"/>
              </w:rPr>
              <w:t>g</w:t>
            </w:r>
            <w:r>
              <w:rPr>
                <w:sz w:val="17"/>
                <w:szCs w:val="17"/>
              </w:rPr>
              <w:t>.</w:t>
            </w:r>
            <w:r w:rsidRPr="003F4820">
              <w:rPr>
                <w:sz w:val="17"/>
                <w:szCs w:val="17"/>
              </w:rPr>
              <w:t xml:space="preserve"> historical data, </w:t>
            </w:r>
            <w:r w:rsidRPr="003F4820">
              <w:rPr>
                <w:sz w:val="17"/>
                <w:szCs w:val="17"/>
              </w:rPr>
              <w:lastRenderedPageBreak/>
              <w:t>published research, management judgment and analysis).</w:t>
            </w:r>
          </w:p>
        </w:tc>
      </w:tr>
      <w:tr w:rsidR="008974E3" w:rsidRPr="0023654F" w14:paraId="1CEFC98C" w14:textId="77777777" w:rsidTr="00A376A3">
        <w:trPr>
          <w:trHeight w:val="318"/>
          <w:jc w:val="center"/>
        </w:trPr>
        <w:tc>
          <w:tcPr>
            <w:tcW w:w="201" w:type="dxa"/>
            <w:tcBorders>
              <w:top w:val="single" w:sz="4" w:space="0" w:color="auto"/>
              <w:bottom w:val="single" w:sz="4" w:space="0" w:color="auto"/>
            </w:tcBorders>
            <w:noWrap/>
          </w:tcPr>
          <w:p w14:paraId="2646B87A" w14:textId="77777777" w:rsidR="008974E3" w:rsidRDefault="008974E3" w:rsidP="00647044">
            <w:pPr>
              <w:widowControl w:val="0"/>
              <w:spacing w:before="40" w:after="40"/>
              <w:jc w:val="both"/>
              <w:rPr>
                <w:sz w:val="17"/>
                <w:szCs w:val="17"/>
              </w:rPr>
            </w:pPr>
            <w:r>
              <w:rPr>
                <w:sz w:val="17"/>
                <w:szCs w:val="17"/>
              </w:rPr>
              <w:lastRenderedPageBreak/>
              <w:t>(f)</w:t>
            </w:r>
          </w:p>
        </w:tc>
        <w:tc>
          <w:tcPr>
            <w:tcW w:w="9155" w:type="dxa"/>
            <w:tcBorders>
              <w:top w:val="single" w:sz="4" w:space="0" w:color="auto"/>
              <w:bottom w:val="single" w:sz="4" w:space="0" w:color="auto"/>
            </w:tcBorders>
            <w:noWrap/>
          </w:tcPr>
          <w:p w14:paraId="021FE70F" w14:textId="77777777" w:rsidR="008974E3" w:rsidRPr="0023654F" w:rsidRDefault="008974E3" w:rsidP="00647044">
            <w:pPr>
              <w:widowControl w:val="0"/>
              <w:spacing w:before="40" w:after="40"/>
              <w:jc w:val="both"/>
              <w:rPr>
                <w:sz w:val="17"/>
                <w:szCs w:val="17"/>
              </w:rPr>
            </w:pPr>
            <w:r w:rsidRPr="003F4820">
              <w:rPr>
                <w:sz w:val="17"/>
                <w:szCs w:val="17"/>
              </w:rPr>
              <w:t xml:space="preserve">A high-level description of how the </w:t>
            </w:r>
            <w:r>
              <w:rPr>
                <w:sz w:val="17"/>
                <w:szCs w:val="17"/>
              </w:rPr>
              <w:t>AI</w:t>
            </w:r>
            <w:r w:rsidRPr="003F4820">
              <w:rPr>
                <w:sz w:val="17"/>
                <w:szCs w:val="17"/>
              </w:rPr>
              <w:t xml:space="preserve"> hedges its IRRBB, as well as the associated accounting treatment.</w:t>
            </w:r>
          </w:p>
        </w:tc>
      </w:tr>
      <w:tr w:rsidR="008974E3" w:rsidRPr="0023654F" w14:paraId="15B894E3" w14:textId="77777777" w:rsidTr="00A376A3">
        <w:trPr>
          <w:trHeight w:val="318"/>
          <w:jc w:val="center"/>
        </w:trPr>
        <w:tc>
          <w:tcPr>
            <w:tcW w:w="201" w:type="dxa"/>
            <w:tcBorders>
              <w:top w:val="single" w:sz="4" w:space="0" w:color="auto"/>
              <w:bottom w:val="single" w:sz="4" w:space="0" w:color="auto"/>
            </w:tcBorders>
            <w:noWrap/>
          </w:tcPr>
          <w:p w14:paraId="3613C1F3" w14:textId="77777777" w:rsidR="008974E3" w:rsidRDefault="008974E3" w:rsidP="00647044">
            <w:pPr>
              <w:widowControl w:val="0"/>
              <w:spacing w:before="40" w:after="40"/>
              <w:jc w:val="both"/>
              <w:rPr>
                <w:sz w:val="17"/>
                <w:szCs w:val="17"/>
              </w:rPr>
            </w:pPr>
            <w:r>
              <w:rPr>
                <w:sz w:val="17"/>
                <w:szCs w:val="17"/>
              </w:rPr>
              <w:t>(g)</w:t>
            </w:r>
          </w:p>
        </w:tc>
        <w:tc>
          <w:tcPr>
            <w:tcW w:w="9155" w:type="dxa"/>
            <w:tcBorders>
              <w:top w:val="single" w:sz="4" w:space="0" w:color="auto"/>
              <w:bottom w:val="single" w:sz="4" w:space="0" w:color="auto"/>
            </w:tcBorders>
            <w:noWrap/>
          </w:tcPr>
          <w:p w14:paraId="2F0459B3" w14:textId="21244220" w:rsidR="008974E3" w:rsidRDefault="008974E3" w:rsidP="00647044">
            <w:pPr>
              <w:widowControl w:val="0"/>
              <w:spacing w:before="40" w:after="40"/>
              <w:jc w:val="both"/>
              <w:rPr>
                <w:sz w:val="17"/>
                <w:szCs w:val="17"/>
              </w:rPr>
            </w:pPr>
            <w:r w:rsidRPr="003F4820">
              <w:rPr>
                <w:sz w:val="17"/>
                <w:szCs w:val="17"/>
              </w:rPr>
              <w:t xml:space="preserve">A high-level description of key modelling and parametric assumptions used in calculating ΔEVE and ΔNII in </w:t>
            </w:r>
            <w:r w:rsidR="002B229E">
              <w:rPr>
                <w:sz w:val="17"/>
                <w:szCs w:val="17"/>
              </w:rPr>
              <w:t>T</w:t>
            </w:r>
            <w:r>
              <w:rPr>
                <w:sz w:val="17"/>
                <w:szCs w:val="17"/>
              </w:rPr>
              <w:t>emplate IRRBB1</w:t>
            </w:r>
            <w:r w:rsidRPr="003F4820">
              <w:rPr>
                <w:sz w:val="17"/>
                <w:szCs w:val="17"/>
              </w:rPr>
              <w:t>, which includes:</w:t>
            </w:r>
          </w:p>
          <w:p w14:paraId="54F1FA5F" w14:textId="77777777" w:rsidR="008974E3" w:rsidRDefault="008974E3" w:rsidP="008D652E">
            <w:pPr>
              <w:pStyle w:val="TableText"/>
              <w:numPr>
                <w:ilvl w:val="0"/>
                <w:numId w:val="35"/>
              </w:numPr>
              <w:ind w:left="480" w:hanging="480"/>
              <w:jc w:val="both"/>
              <w:rPr>
                <w:szCs w:val="17"/>
              </w:rPr>
            </w:pPr>
            <w:r>
              <w:rPr>
                <w:szCs w:val="17"/>
              </w:rPr>
              <w:t>f</w:t>
            </w:r>
            <w:r w:rsidRPr="003F4820">
              <w:rPr>
                <w:szCs w:val="17"/>
              </w:rPr>
              <w:t>or ΔEVE, whether commercial margins and other spread components have been included in the cash flows used in the computation and discount rate used</w:t>
            </w:r>
            <w:r>
              <w:rPr>
                <w:szCs w:val="17"/>
              </w:rPr>
              <w:t>;</w:t>
            </w:r>
          </w:p>
          <w:p w14:paraId="621F0040" w14:textId="77777777" w:rsidR="008974E3" w:rsidRDefault="008974E3" w:rsidP="008D652E">
            <w:pPr>
              <w:pStyle w:val="TableText"/>
              <w:numPr>
                <w:ilvl w:val="0"/>
                <w:numId w:val="35"/>
              </w:numPr>
              <w:ind w:left="480" w:hanging="480"/>
              <w:jc w:val="both"/>
              <w:rPr>
                <w:szCs w:val="17"/>
              </w:rPr>
            </w:pPr>
            <w:r>
              <w:rPr>
                <w:szCs w:val="17"/>
              </w:rPr>
              <w:t>h</w:t>
            </w:r>
            <w:r w:rsidRPr="003F4820">
              <w:rPr>
                <w:szCs w:val="17"/>
              </w:rPr>
              <w:t>ow the average repricing maturity of non-maturity deposits has been determined (including any unique product characteristics that affect ass</w:t>
            </w:r>
            <w:r>
              <w:rPr>
                <w:szCs w:val="17"/>
              </w:rPr>
              <w:t>essment of repricing behaviour);</w:t>
            </w:r>
          </w:p>
          <w:p w14:paraId="5A598D1C" w14:textId="77777777" w:rsidR="008974E3" w:rsidRDefault="008974E3" w:rsidP="008D652E">
            <w:pPr>
              <w:pStyle w:val="TableText"/>
              <w:numPr>
                <w:ilvl w:val="0"/>
                <w:numId w:val="35"/>
              </w:numPr>
              <w:ind w:left="480" w:hanging="480"/>
              <w:jc w:val="both"/>
              <w:rPr>
                <w:szCs w:val="17"/>
              </w:rPr>
            </w:pPr>
            <w:r>
              <w:rPr>
                <w:szCs w:val="17"/>
              </w:rPr>
              <w:t>t</w:t>
            </w:r>
            <w:r w:rsidRPr="003F4820">
              <w:rPr>
                <w:szCs w:val="17"/>
              </w:rPr>
              <w:t>he methodology used to estimate the prepayment rates of customer loans, and/or the early withdrawal rates for time deposits, and other significant assumptions</w:t>
            </w:r>
            <w:r>
              <w:rPr>
                <w:szCs w:val="17"/>
              </w:rPr>
              <w:t>;</w:t>
            </w:r>
          </w:p>
          <w:p w14:paraId="388760A9" w14:textId="26D9A505" w:rsidR="008974E3" w:rsidRDefault="008974E3" w:rsidP="008D652E">
            <w:pPr>
              <w:pStyle w:val="TableText"/>
              <w:numPr>
                <w:ilvl w:val="0"/>
                <w:numId w:val="35"/>
              </w:numPr>
              <w:ind w:left="480" w:hanging="480"/>
              <w:jc w:val="both"/>
              <w:rPr>
                <w:szCs w:val="17"/>
              </w:rPr>
            </w:pPr>
            <w:r>
              <w:rPr>
                <w:szCs w:val="17"/>
              </w:rPr>
              <w:t>a</w:t>
            </w:r>
            <w:r w:rsidRPr="003F4820">
              <w:rPr>
                <w:szCs w:val="17"/>
              </w:rPr>
              <w:t xml:space="preserve">ny other assumptions (including for instruments with behavioural optionalities that have been excluded) that have a material impact on the disclosed ΔEVE and ΔNII in </w:t>
            </w:r>
            <w:r w:rsidR="002B229E">
              <w:rPr>
                <w:szCs w:val="17"/>
              </w:rPr>
              <w:t>T</w:t>
            </w:r>
            <w:r>
              <w:rPr>
                <w:szCs w:val="17"/>
              </w:rPr>
              <w:t>emplate IRRB</w:t>
            </w:r>
            <w:r w:rsidRPr="003F4820">
              <w:rPr>
                <w:szCs w:val="17"/>
              </w:rPr>
              <w:t>B</w:t>
            </w:r>
            <w:r>
              <w:rPr>
                <w:szCs w:val="17"/>
              </w:rPr>
              <w:t>1</w:t>
            </w:r>
            <w:r w:rsidRPr="003F4820">
              <w:rPr>
                <w:szCs w:val="17"/>
              </w:rPr>
              <w:t>, including an explanation of why these are material</w:t>
            </w:r>
            <w:r>
              <w:rPr>
                <w:szCs w:val="17"/>
              </w:rPr>
              <w:t>; and</w:t>
            </w:r>
          </w:p>
          <w:p w14:paraId="3C94060A" w14:textId="77777777" w:rsidR="008974E3" w:rsidRPr="0023654F" w:rsidRDefault="008974E3" w:rsidP="008D652E">
            <w:pPr>
              <w:pStyle w:val="TableText"/>
              <w:numPr>
                <w:ilvl w:val="0"/>
                <w:numId w:val="35"/>
              </w:numPr>
              <w:ind w:left="480" w:hanging="480"/>
              <w:jc w:val="both"/>
              <w:rPr>
                <w:szCs w:val="17"/>
              </w:rPr>
            </w:pPr>
            <w:r>
              <w:rPr>
                <w:szCs w:val="17"/>
              </w:rPr>
              <w:t>a</w:t>
            </w:r>
            <w:r w:rsidRPr="003F4820">
              <w:rPr>
                <w:szCs w:val="17"/>
              </w:rPr>
              <w:t>ny methods of aggregation across currencies and any significant interest rate correlations between different currencies.</w:t>
            </w:r>
          </w:p>
        </w:tc>
      </w:tr>
      <w:tr w:rsidR="008974E3" w:rsidRPr="0023654F" w14:paraId="0FB57D43" w14:textId="77777777" w:rsidTr="00A376A3">
        <w:trPr>
          <w:trHeight w:val="318"/>
          <w:jc w:val="center"/>
        </w:trPr>
        <w:tc>
          <w:tcPr>
            <w:tcW w:w="201" w:type="dxa"/>
            <w:tcBorders>
              <w:top w:val="single" w:sz="4" w:space="0" w:color="auto"/>
              <w:bottom w:val="single" w:sz="4" w:space="0" w:color="auto"/>
            </w:tcBorders>
            <w:noWrap/>
          </w:tcPr>
          <w:p w14:paraId="6534877A" w14:textId="77777777" w:rsidR="008974E3" w:rsidRDefault="008974E3" w:rsidP="00647044">
            <w:pPr>
              <w:widowControl w:val="0"/>
              <w:spacing w:before="40" w:after="40"/>
              <w:jc w:val="both"/>
              <w:rPr>
                <w:sz w:val="17"/>
                <w:szCs w:val="17"/>
              </w:rPr>
            </w:pPr>
            <w:r>
              <w:rPr>
                <w:sz w:val="17"/>
                <w:szCs w:val="17"/>
              </w:rPr>
              <w:t>(h)</w:t>
            </w:r>
          </w:p>
        </w:tc>
        <w:tc>
          <w:tcPr>
            <w:tcW w:w="9155" w:type="dxa"/>
            <w:tcBorders>
              <w:top w:val="single" w:sz="4" w:space="0" w:color="auto"/>
              <w:bottom w:val="single" w:sz="4" w:space="0" w:color="auto"/>
            </w:tcBorders>
            <w:noWrap/>
          </w:tcPr>
          <w:p w14:paraId="2B3E4A4F" w14:textId="77777777" w:rsidR="008974E3" w:rsidRPr="0023654F" w:rsidRDefault="008974E3" w:rsidP="00D564CE">
            <w:pPr>
              <w:widowControl w:val="0"/>
              <w:spacing w:before="40" w:after="40"/>
              <w:jc w:val="both"/>
              <w:rPr>
                <w:sz w:val="17"/>
                <w:szCs w:val="17"/>
              </w:rPr>
            </w:pPr>
            <w:r w:rsidRPr="003F4820">
              <w:rPr>
                <w:sz w:val="17"/>
                <w:szCs w:val="17"/>
              </w:rPr>
              <w:t xml:space="preserve">Any other information which the </w:t>
            </w:r>
            <w:r>
              <w:rPr>
                <w:sz w:val="17"/>
                <w:szCs w:val="17"/>
              </w:rPr>
              <w:t>AI</w:t>
            </w:r>
            <w:r w:rsidRPr="003F4820">
              <w:rPr>
                <w:sz w:val="17"/>
                <w:szCs w:val="17"/>
              </w:rPr>
              <w:t xml:space="preserve"> </w:t>
            </w:r>
            <w:r>
              <w:rPr>
                <w:sz w:val="17"/>
                <w:szCs w:val="17"/>
              </w:rPr>
              <w:t>considers as relevant</w:t>
            </w:r>
            <w:r w:rsidRPr="003F4820">
              <w:rPr>
                <w:sz w:val="17"/>
                <w:szCs w:val="17"/>
              </w:rPr>
              <w:t xml:space="preserve"> regarding its interpretation of the significance and sensitivity of the IRRBB measures disclosed and/or an explanation of any significant variations in the level of the reported IRRBB since previous disclosures.</w:t>
            </w:r>
          </w:p>
        </w:tc>
      </w:tr>
      <w:tr w:rsidR="008974E3" w:rsidRPr="0023654F" w14:paraId="696D0446" w14:textId="77777777" w:rsidTr="00A376A3">
        <w:trPr>
          <w:trHeight w:val="195"/>
          <w:jc w:val="center"/>
        </w:trPr>
        <w:tc>
          <w:tcPr>
            <w:tcW w:w="9356" w:type="dxa"/>
            <w:gridSpan w:val="2"/>
            <w:tcBorders>
              <w:top w:val="single" w:sz="4" w:space="0" w:color="auto"/>
              <w:bottom w:val="single" w:sz="4" w:space="0" w:color="auto"/>
            </w:tcBorders>
            <w:shd w:val="clear" w:color="auto" w:fill="D9D9D9" w:themeFill="background1" w:themeFillShade="D9"/>
            <w:noWrap/>
          </w:tcPr>
          <w:p w14:paraId="40932E89" w14:textId="77777777" w:rsidR="008974E3" w:rsidRPr="003156C3" w:rsidRDefault="008974E3" w:rsidP="00647044">
            <w:pPr>
              <w:pStyle w:val="Default"/>
              <w:jc w:val="both"/>
              <w:rPr>
                <w:sz w:val="17"/>
                <w:szCs w:val="17"/>
                <w:lang w:val="en-GB"/>
              </w:rPr>
            </w:pPr>
            <w:r>
              <w:rPr>
                <w:sz w:val="17"/>
                <w:szCs w:val="17"/>
              </w:rPr>
              <w:t xml:space="preserve">Quantitative disclosures </w:t>
            </w:r>
          </w:p>
        </w:tc>
      </w:tr>
      <w:tr w:rsidR="008974E3" w:rsidRPr="0023654F" w14:paraId="126BBD56" w14:textId="77777777" w:rsidTr="00A376A3">
        <w:trPr>
          <w:trHeight w:val="318"/>
          <w:jc w:val="center"/>
        </w:trPr>
        <w:tc>
          <w:tcPr>
            <w:tcW w:w="201" w:type="dxa"/>
            <w:tcBorders>
              <w:top w:val="single" w:sz="4" w:space="0" w:color="auto"/>
              <w:bottom w:val="single" w:sz="4" w:space="0" w:color="auto"/>
            </w:tcBorders>
            <w:noWrap/>
          </w:tcPr>
          <w:p w14:paraId="1649EEB6" w14:textId="77777777" w:rsidR="008974E3" w:rsidRPr="0023654F" w:rsidRDefault="008974E3" w:rsidP="00647044">
            <w:pPr>
              <w:widowControl w:val="0"/>
              <w:spacing w:before="40" w:after="40"/>
              <w:jc w:val="both"/>
              <w:rPr>
                <w:sz w:val="17"/>
                <w:szCs w:val="17"/>
              </w:rPr>
            </w:pPr>
            <w:r>
              <w:rPr>
                <w:sz w:val="17"/>
                <w:szCs w:val="17"/>
              </w:rPr>
              <w:t>1</w:t>
            </w:r>
          </w:p>
        </w:tc>
        <w:tc>
          <w:tcPr>
            <w:tcW w:w="9155" w:type="dxa"/>
            <w:tcBorders>
              <w:top w:val="single" w:sz="4" w:space="0" w:color="auto"/>
              <w:bottom w:val="single" w:sz="4" w:space="0" w:color="auto"/>
            </w:tcBorders>
            <w:noWrap/>
          </w:tcPr>
          <w:p w14:paraId="2D578A92" w14:textId="77777777" w:rsidR="008974E3" w:rsidRPr="0023654F" w:rsidRDefault="008974E3" w:rsidP="00647044">
            <w:pPr>
              <w:widowControl w:val="0"/>
              <w:spacing w:before="40" w:after="40"/>
              <w:jc w:val="both"/>
              <w:rPr>
                <w:sz w:val="17"/>
                <w:szCs w:val="17"/>
              </w:rPr>
            </w:pPr>
            <w:r w:rsidRPr="003F4820">
              <w:rPr>
                <w:sz w:val="17"/>
                <w:szCs w:val="17"/>
              </w:rPr>
              <w:t xml:space="preserve">Average repricing maturity assigned to </w:t>
            </w:r>
            <w:r w:rsidRPr="009A182C">
              <w:rPr>
                <w:sz w:val="17"/>
                <w:szCs w:val="17"/>
              </w:rPr>
              <w:t xml:space="preserve">non-maturity deposits </w:t>
            </w:r>
            <w:r>
              <w:rPr>
                <w:sz w:val="17"/>
                <w:szCs w:val="17"/>
              </w:rPr>
              <w:t>(“</w:t>
            </w:r>
            <w:r w:rsidRPr="003F4820">
              <w:rPr>
                <w:sz w:val="17"/>
                <w:szCs w:val="17"/>
              </w:rPr>
              <w:t>NMDs</w:t>
            </w:r>
            <w:r>
              <w:rPr>
                <w:sz w:val="17"/>
                <w:szCs w:val="17"/>
              </w:rPr>
              <w:t>”): This refers to notional-weighted maturity of NMDs</w:t>
            </w:r>
            <w:r w:rsidRPr="003F4820">
              <w:rPr>
                <w:sz w:val="17"/>
                <w:szCs w:val="17"/>
              </w:rPr>
              <w:t>.</w:t>
            </w:r>
          </w:p>
        </w:tc>
      </w:tr>
      <w:tr w:rsidR="008974E3" w:rsidRPr="0023654F" w14:paraId="23CB6EA2" w14:textId="77777777" w:rsidTr="00A376A3">
        <w:trPr>
          <w:trHeight w:val="318"/>
          <w:jc w:val="center"/>
        </w:trPr>
        <w:tc>
          <w:tcPr>
            <w:tcW w:w="201" w:type="dxa"/>
            <w:tcBorders>
              <w:top w:val="single" w:sz="4" w:space="0" w:color="auto"/>
              <w:bottom w:val="single" w:sz="4" w:space="0" w:color="auto"/>
            </w:tcBorders>
            <w:noWrap/>
          </w:tcPr>
          <w:p w14:paraId="4A4B4BDB" w14:textId="77777777" w:rsidR="008974E3" w:rsidRPr="0023654F" w:rsidRDefault="008974E3" w:rsidP="00647044">
            <w:pPr>
              <w:widowControl w:val="0"/>
              <w:spacing w:before="40" w:after="40"/>
              <w:jc w:val="both"/>
              <w:rPr>
                <w:sz w:val="17"/>
                <w:szCs w:val="17"/>
              </w:rPr>
            </w:pPr>
            <w:r>
              <w:rPr>
                <w:sz w:val="17"/>
                <w:szCs w:val="17"/>
              </w:rPr>
              <w:t>2</w:t>
            </w:r>
          </w:p>
        </w:tc>
        <w:tc>
          <w:tcPr>
            <w:tcW w:w="9155" w:type="dxa"/>
            <w:tcBorders>
              <w:top w:val="single" w:sz="4" w:space="0" w:color="auto"/>
              <w:bottom w:val="single" w:sz="4" w:space="0" w:color="auto"/>
            </w:tcBorders>
            <w:noWrap/>
          </w:tcPr>
          <w:p w14:paraId="45A9F291" w14:textId="77777777" w:rsidR="008974E3" w:rsidRPr="003156C3" w:rsidRDefault="008974E3" w:rsidP="00647044">
            <w:pPr>
              <w:widowControl w:val="0"/>
              <w:spacing w:before="40" w:after="40"/>
              <w:jc w:val="both"/>
              <w:rPr>
                <w:sz w:val="17"/>
                <w:szCs w:val="17"/>
              </w:rPr>
            </w:pPr>
            <w:r w:rsidRPr="003F4820">
              <w:rPr>
                <w:sz w:val="17"/>
                <w:szCs w:val="17"/>
              </w:rPr>
              <w:t>Longest repricing maturity assigned to NMDs.</w:t>
            </w:r>
          </w:p>
        </w:tc>
      </w:tr>
    </w:tbl>
    <w:p w14:paraId="69030AB6" w14:textId="5244C41F" w:rsidR="00F22AAA" w:rsidRDefault="00F22AAA" w:rsidP="008974E3"/>
    <w:p w14:paraId="532EA5B1" w14:textId="77777777" w:rsidR="008974E3" w:rsidRDefault="008974E3" w:rsidP="008974E3">
      <w:pPr>
        <w:sectPr w:rsidR="008974E3">
          <w:headerReference w:type="even" r:id="rId82"/>
          <w:headerReference w:type="default" r:id="rId83"/>
          <w:footerReference w:type="even" r:id="rId84"/>
          <w:footerReference w:type="default" r:id="rId85"/>
          <w:headerReference w:type="first" r:id="rId86"/>
          <w:footerReference w:type="first" r:id="rId87"/>
          <w:pgSz w:w="11906" w:h="16838"/>
          <w:pgMar w:top="1440" w:right="1800" w:bottom="1440" w:left="1800" w:header="851" w:footer="992" w:gutter="0"/>
          <w:cols w:space="425"/>
          <w:docGrid w:type="lines" w:linePitch="360"/>
        </w:sectPr>
      </w:pPr>
    </w:p>
    <w:p w14:paraId="6D030CCD" w14:textId="17A7A4B6" w:rsidR="008974E3" w:rsidRPr="00F22AAA" w:rsidRDefault="00F22AAA" w:rsidP="00A93C7B">
      <w:pPr>
        <w:pStyle w:val="Heading2"/>
        <w:ind w:left="-397"/>
        <w:rPr>
          <w:sz w:val="20"/>
        </w:rPr>
      </w:pPr>
      <w:r w:rsidRPr="0023654F">
        <w:lastRenderedPageBreak/>
        <w:t xml:space="preserve">Template </w:t>
      </w:r>
      <w:r>
        <w:t>IRRBB1: Quantitative information on interest rate risk in banking book</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F22AAA" w:rsidRPr="005B71C7" w14:paraId="053DCB6F" w14:textId="77777777" w:rsidTr="006C63B0">
        <w:tc>
          <w:tcPr>
            <w:tcW w:w="2008" w:type="dxa"/>
          </w:tcPr>
          <w:p w14:paraId="374727E6" w14:textId="77777777" w:rsidR="00F22AAA" w:rsidRPr="0023654F" w:rsidRDefault="00F22AAA" w:rsidP="006C63B0">
            <w:pPr>
              <w:spacing w:before="40" w:after="40"/>
              <w:rPr>
                <w:noProof/>
                <w:sz w:val="17"/>
                <w:lang w:eastAsia="en-GB"/>
              </w:rPr>
            </w:pPr>
            <w:r w:rsidRPr="0023654F">
              <w:rPr>
                <w:b/>
                <w:sz w:val="17"/>
                <w:lang w:eastAsia="en-GB"/>
              </w:rPr>
              <w:t>Purpose:</w:t>
            </w:r>
            <w:r w:rsidRPr="0023654F">
              <w:rPr>
                <w:sz w:val="17"/>
                <w:lang w:eastAsia="en-GB"/>
              </w:rPr>
              <w:t xml:space="preserve"> </w:t>
            </w:r>
          </w:p>
        </w:tc>
        <w:tc>
          <w:tcPr>
            <w:tcW w:w="7234" w:type="dxa"/>
          </w:tcPr>
          <w:p w14:paraId="3FD26371" w14:textId="77777777" w:rsidR="00F22AAA" w:rsidRPr="00C979AC" w:rsidRDefault="00F22AAA" w:rsidP="006C63B0">
            <w:pPr>
              <w:spacing w:before="40" w:after="40"/>
              <w:jc w:val="both"/>
              <w:rPr>
                <w:sz w:val="17"/>
                <w:szCs w:val="17"/>
              </w:rPr>
            </w:pPr>
            <w:r w:rsidRPr="0023654F">
              <w:rPr>
                <w:rFonts w:eastAsiaTheme="minorEastAsia"/>
                <w:sz w:val="17"/>
                <w:lang w:eastAsia="en-GB"/>
              </w:rPr>
              <w:t xml:space="preserve">To </w:t>
            </w:r>
            <w:r>
              <w:rPr>
                <w:rFonts w:eastAsiaTheme="minorEastAsia"/>
                <w:sz w:val="17"/>
                <w:lang w:eastAsia="en-GB"/>
              </w:rPr>
              <w:t>p</w:t>
            </w:r>
            <w:r>
              <w:rPr>
                <w:sz w:val="17"/>
                <w:szCs w:val="17"/>
              </w:rPr>
              <w:t>rovide information on the changes in economic value of equity and net interest income under each of the prescribed interest rate shock scenarios in respect of its interest rate exposures arising from banking book positions.</w:t>
            </w:r>
          </w:p>
        </w:tc>
      </w:tr>
      <w:tr w:rsidR="00F22AAA" w:rsidRPr="005B71C7" w14:paraId="03205A49" w14:textId="77777777" w:rsidTr="006C63B0">
        <w:tc>
          <w:tcPr>
            <w:tcW w:w="2008" w:type="dxa"/>
          </w:tcPr>
          <w:p w14:paraId="2EB20B96" w14:textId="77777777" w:rsidR="00F22AAA" w:rsidRPr="0023654F" w:rsidRDefault="00F22AAA" w:rsidP="006C63B0">
            <w:pPr>
              <w:spacing w:before="40" w:after="40"/>
              <w:rPr>
                <w:b/>
                <w:sz w:val="17"/>
                <w:lang w:eastAsia="en-GB"/>
              </w:rPr>
            </w:pPr>
            <w:r>
              <w:rPr>
                <w:b/>
                <w:sz w:val="17"/>
                <w:lang w:eastAsia="en-GB"/>
              </w:rPr>
              <w:t>Scope of application:</w:t>
            </w:r>
          </w:p>
        </w:tc>
        <w:tc>
          <w:tcPr>
            <w:tcW w:w="7234" w:type="dxa"/>
          </w:tcPr>
          <w:p w14:paraId="7F733E0C" w14:textId="77777777" w:rsidR="00F22AAA" w:rsidRPr="00C979AC" w:rsidRDefault="00F22AAA" w:rsidP="006C63B0">
            <w:pPr>
              <w:spacing w:before="40" w:after="40"/>
              <w:jc w:val="both"/>
              <w:rPr>
                <w:rFonts w:eastAsiaTheme="minorEastAsia"/>
                <w:sz w:val="17"/>
                <w:lang w:eastAsia="en-GB"/>
              </w:rPr>
            </w:pPr>
            <w:r w:rsidRPr="00C979AC">
              <w:rPr>
                <w:rFonts w:eastAsiaTheme="minorEastAsia"/>
                <w:sz w:val="17"/>
                <w:lang w:eastAsia="en-GB"/>
              </w:rPr>
              <w:t xml:space="preserve">The template is mandatory for all </w:t>
            </w:r>
            <w:r>
              <w:rPr>
                <w:rFonts w:eastAsiaTheme="minorEastAsia"/>
                <w:sz w:val="17"/>
                <w:lang w:eastAsia="en-GB"/>
              </w:rPr>
              <w:t>AI</w:t>
            </w:r>
            <w:r w:rsidRPr="00C979AC">
              <w:rPr>
                <w:rFonts w:eastAsiaTheme="minorEastAsia"/>
                <w:sz w:val="17"/>
                <w:lang w:eastAsia="en-GB"/>
              </w:rPr>
              <w:t>s</w:t>
            </w:r>
            <w:r>
              <w:rPr>
                <w:rFonts w:eastAsiaTheme="minorEastAsia"/>
                <w:sz w:val="17"/>
                <w:lang w:eastAsia="en-GB"/>
              </w:rPr>
              <w:t xml:space="preserve"> incorporated in Hong Kong.</w:t>
            </w:r>
            <w:r w:rsidRPr="002C017F">
              <w:rPr>
                <w:rFonts w:eastAsiaTheme="minorEastAsia"/>
                <w:sz w:val="17"/>
                <w:lang w:eastAsia="en-GB"/>
              </w:rPr>
              <w:t xml:space="preserve">  This template should be used for reporting an AI’s interest rate exposures re</w:t>
            </w:r>
            <w:r w:rsidRPr="002C017F">
              <w:rPr>
                <w:sz w:val="17"/>
                <w:szCs w:val="17"/>
              </w:rPr>
              <w:t>lated to financial year end on or after 30 June 2019.</w:t>
            </w:r>
            <w:r>
              <w:rPr>
                <w:rFonts w:eastAsiaTheme="minorEastAsia"/>
                <w:sz w:val="17"/>
                <w:lang w:eastAsia="en-GB"/>
              </w:rPr>
              <w:t xml:space="preserve">  If an AI is exempted und</w:t>
            </w:r>
            <w:r w:rsidRPr="00287341">
              <w:rPr>
                <w:rFonts w:eastAsiaTheme="minorEastAsia"/>
                <w:sz w:val="17"/>
                <w:szCs w:val="17"/>
                <w:lang w:eastAsia="en-GB"/>
              </w:rPr>
              <w:t xml:space="preserve">er BCR </w:t>
            </w:r>
            <w:r w:rsidRPr="00287341">
              <w:rPr>
                <w:sz w:val="17"/>
                <w:szCs w:val="17"/>
              </w:rPr>
              <w:t>§</w:t>
            </w:r>
            <w:r>
              <w:rPr>
                <w:sz w:val="17"/>
                <w:szCs w:val="17"/>
              </w:rPr>
              <w:t>22(1) from calculating its market risk, it should aggregate the positions of banking book and trading book for disclosure purpose.</w:t>
            </w:r>
          </w:p>
        </w:tc>
      </w:tr>
      <w:tr w:rsidR="00F22AAA" w:rsidRPr="0023654F" w14:paraId="23408813" w14:textId="77777777" w:rsidTr="006C63B0">
        <w:tc>
          <w:tcPr>
            <w:tcW w:w="2008" w:type="dxa"/>
          </w:tcPr>
          <w:p w14:paraId="0B3442D1" w14:textId="77777777" w:rsidR="00F22AAA" w:rsidRPr="0023654F" w:rsidRDefault="00F22AAA" w:rsidP="006C63B0">
            <w:pPr>
              <w:spacing w:before="40" w:after="40"/>
              <w:rPr>
                <w:b/>
                <w:sz w:val="17"/>
                <w:lang w:eastAsia="en-GB"/>
              </w:rPr>
            </w:pPr>
            <w:r>
              <w:rPr>
                <w:b/>
                <w:sz w:val="17"/>
                <w:lang w:eastAsia="en-GB"/>
              </w:rPr>
              <w:t>Content:</w:t>
            </w:r>
          </w:p>
        </w:tc>
        <w:tc>
          <w:tcPr>
            <w:tcW w:w="7234" w:type="dxa"/>
          </w:tcPr>
          <w:p w14:paraId="6EF40A6A" w14:textId="77777777" w:rsidR="00F22AAA" w:rsidRPr="00C979AC" w:rsidRDefault="00F22AAA" w:rsidP="006C63B0">
            <w:pPr>
              <w:spacing w:before="40" w:after="40"/>
              <w:jc w:val="both"/>
              <w:rPr>
                <w:rFonts w:eastAsiaTheme="minorEastAsia"/>
                <w:sz w:val="17"/>
                <w:lang w:eastAsia="en-GB"/>
              </w:rPr>
            </w:pPr>
            <w:r w:rsidRPr="00D47BE7">
              <w:rPr>
                <w:rFonts w:eastAsiaTheme="minorEastAsia"/>
                <w:sz w:val="17"/>
                <w:lang w:eastAsia="en-GB"/>
              </w:rPr>
              <w:t>Quantitative information</w:t>
            </w:r>
            <w:r>
              <w:rPr>
                <w:rFonts w:eastAsiaTheme="minorEastAsia"/>
                <w:sz w:val="17"/>
                <w:lang w:eastAsia="en-GB"/>
              </w:rPr>
              <w:t>.</w:t>
            </w:r>
          </w:p>
        </w:tc>
      </w:tr>
      <w:tr w:rsidR="00F22AAA" w:rsidRPr="0023654F" w14:paraId="4F52FE53" w14:textId="77777777" w:rsidTr="006C63B0">
        <w:tc>
          <w:tcPr>
            <w:tcW w:w="2008" w:type="dxa"/>
          </w:tcPr>
          <w:p w14:paraId="7DB10A1B" w14:textId="77777777" w:rsidR="00F22AAA" w:rsidRPr="0023654F" w:rsidRDefault="00F22AAA" w:rsidP="006C63B0">
            <w:pPr>
              <w:spacing w:before="40" w:after="40"/>
              <w:rPr>
                <w:sz w:val="17"/>
                <w:lang w:eastAsia="en-GB"/>
              </w:rPr>
            </w:pPr>
            <w:r w:rsidRPr="0023654F">
              <w:rPr>
                <w:b/>
                <w:sz w:val="17"/>
                <w:lang w:eastAsia="en-GB"/>
              </w:rPr>
              <w:t>Frequency:</w:t>
            </w:r>
          </w:p>
        </w:tc>
        <w:tc>
          <w:tcPr>
            <w:tcW w:w="7234" w:type="dxa"/>
          </w:tcPr>
          <w:p w14:paraId="0BDD9969" w14:textId="77777777" w:rsidR="00F22AAA" w:rsidRPr="0023654F" w:rsidRDefault="00F22AAA" w:rsidP="006C63B0">
            <w:pPr>
              <w:spacing w:before="40" w:after="40"/>
              <w:jc w:val="both"/>
              <w:rPr>
                <w:rFonts w:eastAsiaTheme="minorEastAsia"/>
                <w:sz w:val="17"/>
                <w:lang w:eastAsia="en-GB"/>
              </w:rPr>
            </w:pPr>
            <w:r>
              <w:rPr>
                <w:rFonts w:eastAsiaTheme="minorEastAsia"/>
                <w:sz w:val="17"/>
                <w:lang w:eastAsia="en-GB"/>
              </w:rPr>
              <w:t>Annual</w:t>
            </w:r>
            <w:r w:rsidRPr="0023654F">
              <w:rPr>
                <w:rFonts w:eastAsiaTheme="minorEastAsia"/>
                <w:sz w:val="17"/>
                <w:lang w:eastAsia="en-GB"/>
              </w:rPr>
              <w:t>.</w:t>
            </w:r>
          </w:p>
        </w:tc>
      </w:tr>
      <w:tr w:rsidR="00F22AAA" w:rsidRPr="0023654F" w14:paraId="6C6B39AC" w14:textId="77777777" w:rsidTr="006C63B0">
        <w:tc>
          <w:tcPr>
            <w:tcW w:w="2008" w:type="dxa"/>
          </w:tcPr>
          <w:p w14:paraId="3DF3A44C" w14:textId="77777777" w:rsidR="00F22AAA" w:rsidRPr="0023654F" w:rsidRDefault="00F22AAA" w:rsidP="006C63B0">
            <w:pPr>
              <w:spacing w:before="40" w:after="40"/>
              <w:rPr>
                <w:sz w:val="17"/>
                <w:lang w:eastAsia="en-GB"/>
              </w:rPr>
            </w:pPr>
            <w:r w:rsidRPr="0023654F">
              <w:rPr>
                <w:b/>
                <w:sz w:val="17"/>
                <w:lang w:eastAsia="en-GB"/>
              </w:rPr>
              <w:t>Format:</w:t>
            </w:r>
          </w:p>
        </w:tc>
        <w:tc>
          <w:tcPr>
            <w:tcW w:w="7234" w:type="dxa"/>
          </w:tcPr>
          <w:p w14:paraId="46F2D1E6" w14:textId="77777777" w:rsidR="00F22AAA" w:rsidRPr="00C979AC" w:rsidRDefault="00F22AAA" w:rsidP="006C63B0">
            <w:pPr>
              <w:spacing w:before="40" w:after="40"/>
              <w:jc w:val="both"/>
              <w:rPr>
                <w:sz w:val="17"/>
                <w:szCs w:val="17"/>
              </w:rPr>
            </w:pPr>
            <w:r>
              <w:rPr>
                <w:rFonts w:eastAsiaTheme="minorEastAsia"/>
                <w:sz w:val="17"/>
                <w:lang w:eastAsia="en-GB"/>
              </w:rPr>
              <w:t>Fixed</w:t>
            </w:r>
            <w:r>
              <w:rPr>
                <w:sz w:val="17"/>
                <w:szCs w:val="17"/>
              </w:rPr>
              <w:t>.</w:t>
            </w:r>
          </w:p>
        </w:tc>
      </w:tr>
      <w:tr w:rsidR="00F22AAA" w:rsidRPr="0023654F" w14:paraId="167E7EAC" w14:textId="77777777" w:rsidTr="006C63B0">
        <w:tc>
          <w:tcPr>
            <w:tcW w:w="2008" w:type="dxa"/>
          </w:tcPr>
          <w:p w14:paraId="68906282" w14:textId="77777777" w:rsidR="00F22AAA" w:rsidRPr="0023654F" w:rsidRDefault="00F22AAA" w:rsidP="006C63B0">
            <w:pPr>
              <w:spacing w:before="40" w:after="40"/>
              <w:rPr>
                <w:b/>
                <w:sz w:val="17"/>
                <w:lang w:eastAsia="en-GB"/>
              </w:rPr>
            </w:pPr>
            <w:r w:rsidRPr="0023654F">
              <w:rPr>
                <w:rFonts w:eastAsiaTheme="minorEastAsia"/>
                <w:b/>
                <w:sz w:val="17"/>
                <w:szCs w:val="17"/>
                <w:lang w:eastAsia="en-GB"/>
              </w:rPr>
              <w:t>Accompanying narrative</w:t>
            </w:r>
            <w:r w:rsidRPr="0023654F">
              <w:rPr>
                <w:rFonts w:eastAsiaTheme="minorEastAsia"/>
                <w:sz w:val="17"/>
                <w:szCs w:val="17"/>
                <w:lang w:eastAsia="en-GB"/>
              </w:rPr>
              <w:t>:</w:t>
            </w:r>
          </w:p>
        </w:tc>
        <w:tc>
          <w:tcPr>
            <w:tcW w:w="7234" w:type="dxa"/>
          </w:tcPr>
          <w:p w14:paraId="06200C24" w14:textId="77777777" w:rsidR="00F22AAA" w:rsidRPr="00C979AC" w:rsidRDefault="00F22AAA" w:rsidP="006C63B0">
            <w:pPr>
              <w:spacing w:before="40" w:after="40"/>
              <w:jc w:val="both"/>
              <w:rPr>
                <w:rFonts w:eastAsiaTheme="minorEastAsia"/>
                <w:sz w:val="17"/>
                <w:szCs w:val="17"/>
                <w:lang w:val="en-US" w:eastAsia="zh-TW"/>
              </w:rPr>
            </w:pPr>
            <w:r>
              <w:rPr>
                <w:sz w:val="17"/>
                <w:szCs w:val="17"/>
              </w:rPr>
              <w:t xml:space="preserve">An AI should provide a commentary on the significance of the reported values and an explanation of any material changes since the end of the preceding reporting period. </w:t>
            </w:r>
          </w:p>
        </w:tc>
      </w:tr>
      <w:tr w:rsidR="00F22AAA" w:rsidRPr="0023654F" w14:paraId="07FCBDC0" w14:textId="77777777" w:rsidTr="006C63B0">
        <w:tc>
          <w:tcPr>
            <w:tcW w:w="2008" w:type="dxa"/>
          </w:tcPr>
          <w:p w14:paraId="0DCE4BCD" w14:textId="77777777" w:rsidR="00F22AAA" w:rsidRPr="0023654F" w:rsidRDefault="00F22AAA" w:rsidP="006C63B0">
            <w:pPr>
              <w:spacing w:before="40" w:after="40"/>
              <w:rPr>
                <w:rFonts w:eastAsiaTheme="minorEastAsia"/>
                <w:b/>
                <w:sz w:val="17"/>
                <w:szCs w:val="17"/>
                <w:lang w:eastAsia="en-GB"/>
              </w:rPr>
            </w:pPr>
            <w:r>
              <w:rPr>
                <w:rFonts w:eastAsiaTheme="minorEastAsia"/>
                <w:b/>
                <w:sz w:val="17"/>
                <w:szCs w:val="17"/>
                <w:lang w:eastAsia="en-GB"/>
              </w:rPr>
              <w:t>Corresponding BDR section:</w:t>
            </w:r>
          </w:p>
        </w:tc>
        <w:tc>
          <w:tcPr>
            <w:tcW w:w="7234" w:type="dxa"/>
          </w:tcPr>
          <w:p w14:paraId="3E3EBD9B" w14:textId="77777777" w:rsidR="00F22AAA" w:rsidRDefault="00F22AAA" w:rsidP="006C63B0">
            <w:pPr>
              <w:pStyle w:val="TableText"/>
              <w:jc w:val="both"/>
              <w:rPr>
                <w:szCs w:val="17"/>
                <w:lang w:eastAsia="en-GB"/>
              </w:rPr>
            </w:pPr>
            <w:r w:rsidRPr="001B530B">
              <w:rPr>
                <w:szCs w:val="17"/>
                <w:lang w:eastAsia="en-GB"/>
              </w:rPr>
              <w:t>16ZQ</w:t>
            </w:r>
          </w:p>
        </w:tc>
      </w:tr>
    </w:tbl>
    <w:p w14:paraId="11603332" w14:textId="77777777" w:rsidR="00F22AAA" w:rsidRDefault="00F22AAA" w:rsidP="008974E3">
      <w:pPr>
        <w:spacing w:before="120" w:after="120"/>
        <w:rPr>
          <w:sz w:val="22"/>
        </w:rPr>
      </w:pPr>
    </w:p>
    <w:tbl>
      <w:tblPr>
        <w:tblW w:w="9248" w:type="dxa"/>
        <w:tblInd w:w="-459"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ayout w:type="fixed"/>
        <w:tblLook w:val="00A0" w:firstRow="1" w:lastRow="0" w:firstColumn="1" w:lastColumn="0" w:noHBand="0" w:noVBand="0"/>
      </w:tblPr>
      <w:tblGrid>
        <w:gridCol w:w="567"/>
        <w:gridCol w:w="284"/>
        <w:gridCol w:w="2551"/>
        <w:gridCol w:w="1461"/>
        <w:gridCol w:w="1462"/>
        <w:gridCol w:w="1461"/>
        <w:gridCol w:w="1462"/>
      </w:tblGrid>
      <w:tr w:rsidR="008974E3" w:rsidRPr="0023654F" w14:paraId="094C232A" w14:textId="77777777" w:rsidTr="00AA6C65">
        <w:trPr>
          <w:cantSplit/>
          <w:trHeight w:val="107"/>
          <w:tblHeader/>
        </w:trPr>
        <w:tc>
          <w:tcPr>
            <w:tcW w:w="851" w:type="dxa"/>
            <w:gridSpan w:val="2"/>
            <w:tcBorders>
              <w:top w:val="nil"/>
              <w:left w:val="nil"/>
              <w:bottom w:val="nil"/>
              <w:right w:val="nil"/>
            </w:tcBorders>
          </w:tcPr>
          <w:p w14:paraId="290EF5BB" w14:textId="77777777" w:rsidR="008974E3" w:rsidRPr="0023654F" w:rsidRDefault="008974E3" w:rsidP="00647044">
            <w:pPr>
              <w:pStyle w:val="TableText"/>
              <w:snapToGrid w:val="0"/>
              <w:rPr>
                <w:lang w:eastAsia="en-GB"/>
              </w:rPr>
            </w:pPr>
          </w:p>
        </w:tc>
        <w:tc>
          <w:tcPr>
            <w:tcW w:w="2551" w:type="dxa"/>
            <w:tcBorders>
              <w:top w:val="nil"/>
              <w:left w:val="nil"/>
              <w:bottom w:val="nil"/>
              <w:right w:val="single" w:sz="4" w:space="0" w:color="auto"/>
            </w:tcBorders>
            <w:vAlign w:val="center"/>
          </w:tcPr>
          <w:p w14:paraId="3DF5D815" w14:textId="77777777" w:rsidR="008974E3" w:rsidRPr="0085469C" w:rsidRDefault="008974E3" w:rsidP="00647044">
            <w:pPr>
              <w:pStyle w:val="TableText"/>
              <w:snapToGrid w:val="0"/>
              <w:rPr>
                <w:bCs/>
                <w:szCs w:val="17"/>
                <w:lang w:eastAsia="it-IT"/>
              </w:rPr>
            </w:pPr>
          </w:p>
        </w:tc>
        <w:tc>
          <w:tcPr>
            <w:tcW w:w="1461" w:type="dxa"/>
            <w:tcBorders>
              <w:top w:val="single" w:sz="4" w:space="0" w:color="auto"/>
              <w:left w:val="single" w:sz="4" w:space="0" w:color="auto"/>
              <w:bottom w:val="single" w:sz="4" w:space="0" w:color="auto"/>
              <w:right w:val="single" w:sz="4" w:space="0" w:color="auto"/>
            </w:tcBorders>
            <w:vAlign w:val="center"/>
          </w:tcPr>
          <w:p w14:paraId="1B6F6C9B" w14:textId="77777777" w:rsidR="008974E3" w:rsidRPr="0085469C" w:rsidRDefault="008974E3" w:rsidP="00647044">
            <w:pPr>
              <w:spacing w:before="120" w:after="60" w:line="100" w:lineRule="exact"/>
              <w:jc w:val="center"/>
              <w:rPr>
                <w:bCs/>
                <w:sz w:val="17"/>
                <w:szCs w:val="17"/>
                <w:lang w:eastAsia="it-IT"/>
              </w:rPr>
            </w:pPr>
            <w:r w:rsidRPr="0085469C">
              <w:rPr>
                <w:bCs/>
                <w:sz w:val="17"/>
                <w:szCs w:val="17"/>
                <w:lang w:eastAsia="it-IT"/>
              </w:rPr>
              <w:t>(a)</w:t>
            </w:r>
          </w:p>
        </w:tc>
        <w:tc>
          <w:tcPr>
            <w:tcW w:w="1462" w:type="dxa"/>
            <w:tcBorders>
              <w:top w:val="single" w:sz="4" w:space="0" w:color="auto"/>
              <w:left w:val="nil"/>
              <w:bottom w:val="single" w:sz="4" w:space="0" w:color="auto"/>
              <w:right w:val="single" w:sz="4" w:space="0" w:color="auto"/>
            </w:tcBorders>
            <w:vAlign w:val="center"/>
          </w:tcPr>
          <w:p w14:paraId="1CA63B05" w14:textId="77777777" w:rsidR="008974E3" w:rsidRPr="0085469C" w:rsidRDefault="008974E3" w:rsidP="00647044">
            <w:pPr>
              <w:spacing w:before="120" w:after="60" w:line="100" w:lineRule="exact"/>
              <w:jc w:val="center"/>
              <w:rPr>
                <w:bCs/>
                <w:sz w:val="17"/>
                <w:szCs w:val="17"/>
                <w:lang w:eastAsia="it-IT"/>
              </w:rPr>
            </w:pPr>
            <w:r w:rsidRPr="0085469C">
              <w:rPr>
                <w:bCs/>
                <w:sz w:val="17"/>
                <w:szCs w:val="17"/>
                <w:lang w:eastAsia="it-IT"/>
              </w:rPr>
              <w:t>(</w:t>
            </w:r>
            <w:r>
              <w:rPr>
                <w:bCs/>
                <w:sz w:val="17"/>
                <w:szCs w:val="17"/>
                <w:lang w:eastAsia="it-IT"/>
              </w:rPr>
              <w:t>b</w:t>
            </w:r>
            <w:r w:rsidRPr="0085469C">
              <w:rPr>
                <w:bCs/>
                <w:sz w:val="17"/>
                <w:szCs w:val="17"/>
                <w:lang w:eastAsia="it-IT"/>
              </w:rPr>
              <w:t>)</w:t>
            </w:r>
          </w:p>
        </w:tc>
        <w:tc>
          <w:tcPr>
            <w:tcW w:w="1461" w:type="dxa"/>
            <w:tcBorders>
              <w:top w:val="single" w:sz="4" w:space="0" w:color="auto"/>
              <w:left w:val="nil"/>
              <w:bottom w:val="single" w:sz="4" w:space="0" w:color="auto"/>
              <w:right w:val="single" w:sz="4" w:space="0" w:color="auto"/>
            </w:tcBorders>
            <w:vAlign w:val="center"/>
          </w:tcPr>
          <w:p w14:paraId="3032F7F3" w14:textId="77777777" w:rsidR="008974E3" w:rsidRPr="0085469C" w:rsidRDefault="008974E3" w:rsidP="00647044">
            <w:pPr>
              <w:spacing w:before="120" w:after="60" w:line="100" w:lineRule="exact"/>
              <w:jc w:val="center"/>
              <w:rPr>
                <w:bCs/>
                <w:sz w:val="17"/>
                <w:szCs w:val="17"/>
                <w:lang w:eastAsia="it-IT"/>
              </w:rPr>
            </w:pPr>
            <w:r w:rsidRPr="0085469C">
              <w:rPr>
                <w:bCs/>
                <w:sz w:val="17"/>
                <w:szCs w:val="17"/>
                <w:lang w:eastAsia="it-IT"/>
              </w:rPr>
              <w:t>(</w:t>
            </w:r>
            <w:r>
              <w:rPr>
                <w:bCs/>
                <w:sz w:val="17"/>
                <w:szCs w:val="17"/>
                <w:lang w:eastAsia="it-IT"/>
              </w:rPr>
              <w:t>c</w:t>
            </w:r>
            <w:r w:rsidRPr="0085469C">
              <w:rPr>
                <w:bCs/>
                <w:sz w:val="17"/>
                <w:szCs w:val="17"/>
                <w:lang w:eastAsia="it-IT"/>
              </w:rPr>
              <w:t>)</w:t>
            </w:r>
          </w:p>
        </w:tc>
        <w:tc>
          <w:tcPr>
            <w:tcW w:w="1462" w:type="dxa"/>
            <w:tcBorders>
              <w:top w:val="single" w:sz="4" w:space="0" w:color="auto"/>
              <w:left w:val="single" w:sz="4" w:space="0" w:color="auto"/>
              <w:bottom w:val="single" w:sz="4" w:space="0" w:color="auto"/>
              <w:right w:val="single" w:sz="4" w:space="0" w:color="auto"/>
            </w:tcBorders>
            <w:vAlign w:val="center"/>
          </w:tcPr>
          <w:p w14:paraId="2E5EE38B" w14:textId="77777777" w:rsidR="008974E3" w:rsidRPr="0085469C" w:rsidRDefault="008974E3" w:rsidP="00647044">
            <w:pPr>
              <w:pStyle w:val="TableText"/>
              <w:spacing w:before="120" w:after="60" w:line="100" w:lineRule="exact"/>
              <w:jc w:val="center"/>
              <w:rPr>
                <w:bCs/>
                <w:szCs w:val="17"/>
                <w:lang w:eastAsia="it-IT"/>
              </w:rPr>
            </w:pPr>
            <w:r w:rsidRPr="0085469C">
              <w:rPr>
                <w:bCs/>
                <w:szCs w:val="17"/>
                <w:lang w:eastAsia="it-IT"/>
              </w:rPr>
              <w:t>(</w:t>
            </w:r>
            <w:r>
              <w:rPr>
                <w:bCs/>
                <w:szCs w:val="17"/>
                <w:lang w:eastAsia="it-IT"/>
              </w:rPr>
              <w:t>d</w:t>
            </w:r>
            <w:r w:rsidRPr="0085469C">
              <w:rPr>
                <w:bCs/>
                <w:szCs w:val="17"/>
                <w:lang w:eastAsia="it-IT"/>
              </w:rPr>
              <w:t>)</w:t>
            </w:r>
          </w:p>
        </w:tc>
      </w:tr>
      <w:tr w:rsidR="008974E3" w:rsidRPr="0023654F" w14:paraId="000BFE36" w14:textId="77777777" w:rsidTr="00AA6C65">
        <w:trPr>
          <w:cantSplit/>
          <w:tblHeader/>
        </w:trPr>
        <w:tc>
          <w:tcPr>
            <w:tcW w:w="3402" w:type="dxa"/>
            <w:gridSpan w:val="3"/>
            <w:tcBorders>
              <w:top w:val="nil"/>
              <w:left w:val="nil"/>
              <w:bottom w:val="single" w:sz="4" w:space="0" w:color="auto"/>
              <w:right w:val="single" w:sz="4" w:space="0" w:color="auto"/>
            </w:tcBorders>
            <w:vAlign w:val="center"/>
          </w:tcPr>
          <w:p w14:paraId="48EDC9AA" w14:textId="77777777" w:rsidR="008974E3" w:rsidRPr="00961CCB" w:rsidRDefault="008974E3" w:rsidP="00647044">
            <w:pPr>
              <w:pStyle w:val="TableText"/>
              <w:snapToGrid w:val="0"/>
              <w:rPr>
                <w:b/>
                <w:lang w:eastAsia="en-GB"/>
              </w:rPr>
            </w:pPr>
            <w:r>
              <w:rPr>
                <w:lang w:eastAsia="en-GB"/>
              </w:rPr>
              <w:t>(in reporting currency)</w:t>
            </w:r>
          </w:p>
        </w:tc>
        <w:tc>
          <w:tcPr>
            <w:tcW w:w="2923" w:type="dxa"/>
            <w:gridSpan w:val="2"/>
            <w:tcBorders>
              <w:top w:val="single" w:sz="4" w:space="0" w:color="auto"/>
              <w:left w:val="nil"/>
              <w:bottom w:val="single" w:sz="4" w:space="0" w:color="auto"/>
              <w:right w:val="single" w:sz="4" w:space="0" w:color="auto"/>
            </w:tcBorders>
            <w:vAlign w:val="center"/>
          </w:tcPr>
          <w:p w14:paraId="655E5C91" w14:textId="77777777" w:rsidR="008974E3" w:rsidRPr="00AA6481" w:rsidRDefault="008974E3" w:rsidP="00647044">
            <w:pPr>
              <w:pStyle w:val="TableText"/>
              <w:snapToGrid w:val="0"/>
              <w:jc w:val="center"/>
              <w:rPr>
                <w:b/>
                <w:szCs w:val="17"/>
                <w:lang w:val="en-US" w:eastAsia="en-GB"/>
              </w:rPr>
            </w:pPr>
            <w:r w:rsidRPr="00AA6481">
              <w:rPr>
                <w:b/>
                <w:szCs w:val="17"/>
              </w:rPr>
              <w:t>ΔEVE</w:t>
            </w:r>
          </w:p>
        </w:tc>
        <w:tc>
          <w:tcPr>
            <w:tcW w:w="2923" w:type="dxa"/>
            <w:gridSpan w:val="2"/>
            <w:tcBorders>
              <w:top w:val="single" w:sz="4" w:space="0" w:color="auto"/>
              <w:left w:val="nil"/>
              <w:bottom w:val="single" w:sz="4" w:space="0" w:color="auto"/>
              <w:right w:val="single" w:sz="4" w:space="0" w:color="auto"/>
            </w:tcBorders>
            <w:vAlign w:val="center"/>
          </w:tcPr>
          <w:p w14:paraId="70121066" w14:textId="77777777" w:rsidR="008974E3" w:rsidRPr="00AA6481" w:rsidRDefault="008974E3" w:rsidP="00647044">
            <w:pPr>
              <w:pStyle w:val="TableText"/>
              <w:snapToGrid w:val="0"/>
              <w:jc w:val="center"/>
              <w:rPr>
                <w:b/>
                <w:szCs w:val="17"/>
              </w:rPr>
            </w:pPr>
            <w:r w:rsidRPr="00AA6481">
              <w:rPr>
                <w:b/>
                <w:szCs w:val="17"/>
              </w:rPr>
              <w:t>ΔNII</w:t>
            </w:r>
          </w:p>
        </w:tc>
      </w:tr>
      <w:tr w:rsidR="008974E3" w:rsidRPr="0023654F" w14:paraId="206DB240" w14:textId="77777777" w:rsidTr="00AA6C65">
        <w:trPr>
          <w:cantSplit/>
          <w:tblHeader/>
        </w:trPr>
        <w:tc>
          <w:tcPr>
            <w:tcW w:w="567" w:type="dxa"/>
            <w:tcBorders>
              <w:top w:val="single" w:sz="4" w:space="0" w:color="auto"/>
              <w:left w:val="nil"/>
              <w:bottom w:val="single" w:sz="4" w:space="0" w:color="auto"/>
              <w:right w:val="single" w:sz="4" w:space="0" w:color="auto"/>
            </w:tcBorders>
            <w:vAlign w:val="center"/>
          </w:tcPr>
          <w:p w14:paraId="6724197C" w14:textId="77777777" w:rsidR="008974E3" w:rsidRPr="00665E29" w:rsidRDefault="008974E3" w:rsidP="00647044">
            <w:pPr>
              <w:pStyle w:val="TableText"/>
              <w:snapToGrid w:val="0"/>
              <w:jc w:val="center"/>
              <w:rPr>
                <w:b/>
                <w:lang w:eastAsia="en-GB"/>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6EF288E8" w14:textId="77777777" w:rsidR="008974E3" w:rsidRPr="00961CCB" w:rsidRDefault="008974E3" w:rsidP="00647044">
            <w:pPr>
              <w:pStyle w:val="TableText"/>
              <w:snapToGrid w:val="0"/>
              <w:rPr>
                <w:b/>
                <w:lang w:eastAsia="en-GB"/>
              </w:rPr>
            </w:pPr>
            <w:r>
              <w:rPr>
                <w:b/>
                <w:lang w:eastAsia="en-GB"/>
              </w:rPr>
              <w:t>Period</w:t>
            </w:r>
          </w:p>
        </w:tc>
        <w:tc>
          <w:tcPr>
            <w:tcW w:w="1461" w:type="dxa"/>
            <w:tcBorders>
              <w:top w:val="single" w:sz="4" w:space="0" w:color="auto"/>
              <w:left w:val="nil"/>
              <w:bottom w:val="single" w:sz="4" w:space="0" w:color="auto"/>
              <w:right w:val="single" w:sz="4" w:space="0" w:color="auto"/>
            </w:tcBorders>
            <w:vAlign w:val="center"/>
          </w:tcPr>
          <w:p w14:paraId="697B121B" w14:textId="77777777" w:rsidR="008974E3" w:rsidRPr="00961CCB" w:rsidRDefault="008974E3" w:rsidP="00647044">
            <w:pPr>
              <w:pStyle w:val="TableText"/>
              <w:snapToGrid w:val="0"/>
              <w:jc w:val="center"/>
              <w:rPr>
                <w:b/>
                <w:szCs w:val="17"/>
                <w:lang w:val="en-US" w:eastAsia="en-GB"/>
              </w:rPr>
            </w:pPr>
            <w:r>
              <w:rPr>
                <w:b/>
                <w:szCs w:val="17"/>
                <w:lang w:val="en-US" w:eastAsia="en-GB"/>
              </w:rPr>
              <w:t>T</w:t>
            </w:r>
          </w:p>
        </w:tc>
        <w:tc>
          <w:tcPr>
            <w:tcW w:w="1462" w:type="dxa"/>
            <w:tcBorders>
              <w:top w:val="single" w:sz="4" w:space="0" w:color="auto"/>
              <w:left w:val="nil"/>
              <w:bottom w:val="single" w:sz="4" w:space="0" w:color="auto"/>
              <w:right w:val="single" w:sz="4" w:space="0" w:color="auto"/>
            </w:tcBorders>
            <w:vAlign w:val="center"/>
          </w:tcPr>
          <w:p w14:paraId="31729051" w14:textId="77777777" w:rsidR="008974E3" w:rsidRPr="00961CCB" w:rsidRDefault="008974E3" w:rsidP="00647044">
            <w:pPr>
              <w:pStyle w:val="TableText"/>
              <w:snapToGrid w:val="0"/>
              <w:jc w:val="center"/>
              <w:rPr>
                <w:b/>
                <w:szCs w:val="17"/>
                <w:lang w:val="en-US" w:eastAsia="en-GB"/>
              </w:rPr>
            </w:pPr>
            <w:r>
              <w:rPr>
                <w:b/>
                <w:szCs w:val="17"/>
                <w:lang w:val="en-US" w:eastAsia="en-GB"/>
              </w:rPr>
              <w:t>T-1</w:t>
            </w:r>
          </w:p>
        </w:tc>
        <w:tc>
          <w:tcPr>
            <w:tcW w:w="1461" w:type="dxa"/>
            <w:tcBorders>
              <w:top w:val="single" w:sz="4" w:space="0" w:color="auto"/>
              <w:left w:val="nil"/>
              <w:bottom w:val="single" w:sz="4" w:space="0" w:color="auto"/>
              <w:right w:val="single" w:sz="4" w:space="0" w:color="auto"/>
            </w:tcBorders>
            <w:vAlign w:val="center"/>
          </w:tcPr>
          <w:p w14:paraId="13174C98" w14:textId="77777777" w:rsidR="008974E3" w:rsidRPr="00961CCB" w:rsidRDefault="008974E3" w:rsidP="00647044">
            <w:pPr>
              <w:pStyle w:val="TableText"/>
              <w:snapToGrid w:val="0"/>
              <w:jc w:val="center"/>
              <w:rPr>
                <w:b/>
                <w:szCs w:val="17"/>
                <w:lang w:val="en-US" w:eastAsia="en-GB"/>
              </w:rPr>
            </w:pPr>
            <w:r>
              <w:rPr>
                <w:b/>
                <w:szCs w:val="17"/>
                <w:lang w:val="en-US" w:eastAsia="en-GB"/>
              </w:rPr>
              <w:t>T</w:t>
            </w:r>
          </w:p>
        </w:tc>
        <w:tc>
          <w:tcPr>
            <w:tcW w:w="1462" w:type="dxa"/>
            <w:tcBorders>
              <w:top w:val="single" w:sz="4" w:space="0" w:color="auto"/>
              <w:left w:val="single" w:sz="4" w:space="0" w:color="auto"/>
              <w:bottom w:val="single" w:sz="4" w:space="0" w:color="auto"/>
              <w:right w:val="single" w:sz="4" w:space="0" w:color="auto"/>
            </w:tcBorders>
            <w:vAlign w:val="center"/>
          </w:tcPr>
          <w:p w14:paraId="7FE21C89" w14:textId="77777777" w:rsidR="008974E3" w:rsidRPr="00961CCB" w:rsidRDefault="008974E3" w:rsidP="00647044">
            <w:pPr>
              <w:pStyle w:val="TableText"/>
              <w:snapToGrid w:val="0"/>
              <w:jc w:val="center"/>
              <w:rPr>
                <w:b/>
                <w:szCs w:val="17"/>
              </w:rPr>
            </w:pPr>
            <w:r>
              <w:rPr>
                <w:b/>
                <w:szCs w:val="17"/>
              </w:rPr>
              <w:t>T-1</w:t>
            </w:r>
          </w:p>
        </w:tc>
      </w:tr>
      <w:tr w:rsidR="008974E3" w:rsidRPr="0023654F" w14:paraId="7C941E8B" w14:textId="77777777" w:rsidTr="00AA6C65">
        <w:trPr>
          <w:cantSplit/>
        </w:trPr>
        <w:tc>
          <w:tcPr>
            <w:tcW w:w="567" w:type="dxa"/>
            <w:tcBorders>
              <w:top w:val="single" w:sz="4" w:space="0" w:color="auto"/>
              <w:left w:val="nil"/>
              <w:bottom w:val="single" w:sz="4" w:space="0" w:color="auto"/>
              <w:right w:val="single" w:sz="4" w:space="0" w:color="auto"/>
            </w:tcBorders>
            <w:shd w:val="clear" w:color="auto" w:fill="auto"/>
          </w:tcPr>
          <w:p w14:paraId="2B5C0C1B" w14:textId="77777777" w:rsidR="008974E3" w:rsidRPr="00911851" w:rsidRDefault="008974E3" w:rsidP="00647044">
            <w:pPr>
              <w:pStyle w:val="TableText"/>
              <w:snapToGrid w:val="0"/>
              <w:rPr>
                <w:lang w:eastAsia="en-GB"/>
              </w:rPr>
            </w:pPr>
            <w:r>
              <w:rPr>
                <w:lang w:eastAsia="en-GB"/>
              </w:rPr>
              <w:t>1</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05492CE5" w14:textId="77777777" w:rsidR="008974E3" w:rsidRPr="00701CEA" w:rsidRDefault="008974E3" w:rsidP="00647044">
            <w:pPr>
              <w:pStyle w:val="TableText"/>
              <w:snapToGrid w:val="0"/>
              <w:rPr>
                <w:szCs w:val="17"/>
                <w:lang w:eastAsia="en-GB"/>
              </w:rPr>
            </w:pPr>
            <w:r>
              <w:rPr>
                <w:szCs w:val="17"/>
                <w:lang w:eastAsia="en-GB"/>
              </w:rPr>
              <w:t>Parallel up</w:t>
            </w:r>
          </w:p>
        </w:tc>
        <w:tc>
          <w:tcPr>
            <w:tcW w:w="1461" w:type="dxa"/>
            <w:tcBorders>
              <w:top w:val="single" w:sz="4" w:space="0" w:color="auto"/>
              <w:left w:val="single" w:sz="4" w:space="0" w:color="auto"/>
              <w:bottom w:val="single" w:sz="4" w:space="0" w:color="auto"/>
              <w:right w:val="single" w:sz="4" w:space="0" w:color="auto"/>
            </w:tcBorders>
            <w:shd w:val="clear" w:color="auto" w:fill="auto"/>
          </w:tcPr>
          <w:p w14:paraId="634C12CC" w14:textId="77777777" w:rsidR="008974E3" w:rsidRPr="00701CEA" w:rsidRDefault="008974E3" w:rsidP="00647044">
            <w:pPr>
              <w:pStyle w:val="TableText"/>
              <w:snapToGrid w:val="0"/>
              <w:rPr>
                <w:szCs w:val="17"/>
                <w:lang w:eastAsia="en-GB"/>
              </w:rPr>
            </w:pPr>
          </w:p>
        </w:tc>
        <w:tc>
          <w:tcPr>
            <w:tcW w:w="1462" w:type="dxa"/>
            <w:tcBorders>
              <w:top w:val="single" w:sz="4" w:space="0" w:color="auto"/>
              <w:left w:val="single" w:sz="4" w:space="0" w:color="auto"/>
              <w:bottom w:val="single" w:sz="4" w:space="0" w:color="auto"/>
              <w:right w:val="single" w:sz="4" w:space="0" w:color="auto"/>
            </w:tcBorders>
            <w:shd w:val="clear" w:color="auto" w:fill="FFFFFF" w:themeFill="background1"/>
          </w:tcPr>
          <w:p w14:paraId="787A127E" w14:textId="77777777" w:rsidR="008974E3" w:rsidRPr="00701CEA" w:rsidRDefault="008974E3" w:rsidP="00647044">
            <w:pPr>
              <w:pStyle w:val="TableText"/>
              <w:snapToGrid w:val="0"/>
              <w:rPr>
                <w:szCs w:val="17"/>
                <w:lang w:eastAsia="en-GB"/>
              </w:rPr>
            </w:pPr>
          </w:p>
        </w:tc>
        <w:tc>
          <w:tcPr>
            <w:tcW w:w="1461" w:type="dxa"/>
            <w:tcBorders>
              <w:top w:val="single" w:sz="4" w:space="0" w:color="auto"/>
              <w:left w:val="single" w:sz="4" w:space="0" w:color="auto"/>
              <w:bottom w:val="single" w:sz="4" w:space="0" w:color="auto"/>
              <w:right w:val="single" w:sz="4" w:space="0" w:color="auto"/>
            </w:tcBorders>
            <w:shd w:val="clear" w:color="auto" w:fill="FFFFFF" w:themeFill="background1"/>
          </w:tcPr>
          <w:p w14:paraId="7E246BAC" w14:textId="77777777" w:rsidR="008974E3" w:rsidRPr="00701CEA" w:rsidRDefault="008974E3" w:rsidP="00647044">
            <w:pPr>
              <w:pStyle w:val="TableText"/>
              <w:snapToGrid w:val="0"/>
              <w:rPr>
                <w:szCs w:val="17"/>
                <w:lang w:eastAsia="en-GB"/>
              </w:rPr>
            </w:pPr>
          </w:p>
        </w:tc>
        <w:tc>
          <w:tcPr>
            <w:tcW w:w="14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43A815" w14:textId="77777777" w:rsidR="008974E3" w:rsidRPr="00701CEA" w:rsidRDefault="008974E3" w:rsidP="00647044">
            <w:pPr>
              <w:pStyle w:val="TableText"/>
              <w:snapToGrid w:val="0"/>
              <w:rPr>
                <w:szCs w:val="17"/>
                <w:lang w:eastAsia="en-GB"/>
              </w:rPr>
            </w:pPr>
          </w:p>
        </w:tc>
      </w:tr>
      <w:tr w:rsidR="008974E3" w:rsidRPr="0023654F" w14:paraId="140B6462" w14:textId="77777777" w:rsidTr="00AA6C65">
        <w:trPr>
          <w:cantSplit/>
        </w:trPr>
        <w:tc>
          <w:tcPr>
            <w:tcW w:w="567" w:type="dxa"/>
            <w:tcBorders>
              <w:top w:val="single" w:sz="4" w:space="0" w:color="auto"/>
              <w:left w:val="nil"/>
              <w:bottom w:val="single" w:sz="4" w:space="0" w:color="auto"/>
              <w:right w:val="single" w:sz="4" w:space="0" w:color="auto"/>
            </w:tcBorders>
            <w:shd w:val="clear" w:color="auto" w:fill="auto"/>
          </w:tcPr>
          <w:p w14:paraId="5964B06F" w14:textId="77777777" w:rsidR="008974E3" w:rsidRPr="0023654F" w:rsidRDefault="008974E3" w:rsidP="00647044">
            <w:pPr>
              <w:pStyle w:val="TableText"/>
              <w:snapToGrid w:val="0"/>
              <w:rPr>
                <w:lang w:eastAsia="en-GB"/>
              </w:rPr>
            </w:pPr>
            <w:r w:rsidRPr="0023654F">
              <w:rPr>
                <w:lang w:eastAsia="en-GB"/>
              </w:rPr>
              <w:t>2</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16892" w14:textId="77777777" w:rsidR="008974E3" w:rsidRDefault="008974E3" w:rsidP="00647044">
            <w:pPr>
              <w:pStyle w:val="TableText"/>
              <w:snapToGrid w:val="0"/>
              <w:rPr>
                <w:szCs w:val="17"/>
                <w:lang w:eastAsia="en-GB"/>
              </w:rPr>
            </w:pPr>
            <w:r>
              <w:rPr>
                <w:szCs w:val="17"/>
                <w:lang w:eastAsia="en-GB"/>
              </w:rPr>
              <w:t>Parallel down</w:t>
            </w:r>
          </w:p>
        </w:tc>
        <w:tc>
          <w:tcPr>
            <w:tcW w:w="1461" w:type="dxa"/>
            <w:tcBorders>
              <w:top w:val="single" w:sz="4" w:space="0" w:color="auto"/>
              <w:left w:val="single" w:sz="4" w:space="0" w:color="auto"/>
              <w:bottom w:val="single" w:sz="4" w:space="0" w:color="auto"/>
              <w:right w:val="single" w:sz="4" w:space="0" w:color="auto"/>
            </w:tcBorders>
            <w:shd w:val="clear" w:color="auto" w:fill="auto"/>
          </w:tcPr>
          <w:p w14:paraId="2AA55F24" w14:textId="77777777" w:rsidR="008974E3" w:rsidRPr="00701CEA" w:rsidRDefault="008974E3" w:rsidP="00647044">
            <w:pPr>
              <w:pStyle w:val="TableText"/>
              <w:snapToGrid w:val="0"/>
              <w:rPr>
                <w:szCs w:val="17"/>
                <w:lang w:eastAsia="en-GB"/>
              </w:rPr>
            </w:pPr>
          </w:p>
        </w:tc>
        <w:tc>
          <w:tcPr>
            <w:tcW w:w="1462" w:type="dxa"/>
            <w:tcBorders>
              <w:top w:val="single" w:sz="4" w:space="0" w:color="auto"/>
              <w:left w:val="single" w:sz="4" w:space="0" w:color="auto"/>
              <w:bottom w:val="single" w:sz="4" w:space="0" w:color="auto"/>
              <w:right w:val="single" w:sz="4" w:space="0" w:color="auto"/>
            </w:tcBorders>
            <w:shd w:val="clear" w:color="auto" w:fill="FFFFFF" w:themeFill="background1"/>
          </w:tcPr>
          <w:p w14:paraId="253FA11A" w14:textId="77777777" w:rsidR="008974E3" w:rsidRPr="00701CEA" w:rsidRDefault="008974E3" w:rsidP="00647044">
            <w:pPr>
              <w:pStyle w:val="TableText"/>
              <w:snapToGrid w:val="0"/>
              <w:rPr>
                <w:szCs w:val="17"/>
                <w:lang w:eastAsia="en-GB"/>
              </w:rPr>
            </w:pPr>
          </w:p>
        </w:tc>
        <w:tc>
          <w:tcPr>
            <w:tcW w:w="1461" w:type="dxa"/>
            <w:tcBorders>
              <w:top w:val="single" w:sz="4" w:space="0" w:color="auto"/>
              <w:left w:val="single" w:sz="4" w:space="0" w:color="auto"/>
              <w:bottom w:val="single" w:sz="4" w:space="0" w:color="auto"/>
              <w:right w:val="single" w:sz="4" w:space="0" w:color="auto"/>
            </w:tcBorders>
            <w:shd w:val="clear" w:color="auto" w:fill="FFFFFF" w:themeFill="background1"/>
          </w:tcPr>
          <w:p w14:paraId="15141EB1" w14:textId="77777777" w:rsidR="008974E3" w:rsidRPr="00701CEA" w:rsidRDefault="008974E3" w:rsidP="00647044">
            <w:pPr>
              <w:pStyle w:val="TableText"/>
              <w:snapToGrid w:val="0"/>
              <w:rPr>
                <w:szCs w:val="17"/>
                <w:lang w:eastAsia="en-GB"/>
              </w:rPr>
            </w:pPr>
          </w:p>
        </w:tc>
        <w:tc>
          <w:tcPr>
            <w:tcW w:w="14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A2147" w14:textId="77777777" w:rsidR="008974E3" w:rsidRPr="00701CEA" w:rsidRDefault="008974E3" w:rsidP="00647044">
            <w:pPr>
              <w:pStyle w:val="TableText"/>
              <w:snapToGrid w:val="0"/>
              <w:rPr>
                <w:szCs w:val="17"/>
                <w:lang w:eastAsia="en-GB"/>
              </w:rPr>
            </w:pPr>
          </w:p>
        </w:tc>
      </w:tr>
      <w:tr w:rsidR="008974E3" w:rsidRPr="0023654F" w14:paraId="37899C89" w14:textId="77777777" w:rsidTr="00AA6C65">
        <w:trPr>
          <w:cantSplit/>
        </w:trPr>
        <w:tc>
          <w:tcPr>
            <w:tcW w:w="567" w:type="dxa"/>
            <w:tcBorders>
              <w:top w:val="single" w:sz="4" w:space="0" w:color="auto"/>
              <w:left w:val="nil"/>
              <w:bottom w:val="single" w:sz="4" w:space="0" w:color="auto"/>
              <w:right w:val="single" w:sz="4" w:space="0" w:color="auto"/>
            </w:tcBorders>
            <w:shd w:val="clear" w:color="auto" w:fill="auto"/>
          </w:tcPr>
          <w:p w14:paraId="1416B0F0" w14:textId="77777777" w:rsidR="008974E3" w:rsidRPr="0023654F" w:rsidRDefault="008974E3" w:rsidP="00647044">
            <w:pPr>
              <w:pStyle w:val="TableText"/>
              <w:snapToGrid w:val="0"/>
              <w:rPr>
                <w:lang w:eastAsia="en-GB"/>
              </w:rPr>
            </w:pPr>
            <w:r>
              <w:rPr>
                <w:lang w:eastAsia="en-GB"/>
              </w:rPr>
              <w:t>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E968B" w14:textId="77777777" w:rsidR="008974E3" w:rsidRDefault="008974E3" w:rsidP="00647044">
            <w:pPr>
              <w:pStyle w:val="TableText"/>
              <w:snapToGrid w:val="0"/>
              <w:rPr>
                <w:szCs w:val="17"/>
                <w:lang w:eastAsia="en-GB"/>
              </w:rPr>
            </w:pPr>
            <w:r>
              <w:rPr>
                <w:szCs w:val="17"/>
                <w:lang w:eastAsia="en-GB"/>
              </w:rPr>
              <w:t>Steepener</w:t>
            </w:r>
          </w:p>
        </w:tc>
        <w:tc>
          <w:tcPr>
            <w:tcW w:w="1461" w:type="dxa"/>
            <w:tcBorders>
              <w:top w:val="single" w:sz="4" w:space="0" w:color="auto"/>
              <w:left w:val="single" w:sz="4" w:space="0" w:color="auto"/>
              <w:bottom w:val="single" w:sz="4" w:space="0" w:color="auto"/>
              <w:right w:val="single" w:sz="4" w:space="0" w:color="auto"/>
            </w:tcBorders>
            <w:shd w:val="clear" w:color="auto" w:fill="auto"/>
          </w:tcPr>
          <w:p w14:paraId="0A32248C" w14:textId="77777777" w:rsidR="008974E3" w:rsidRPr="00701CEA" w:rsidRDefault="008974E3" w:rsidP="00647044">
            <w:pPr>
              <w:pStyle w:val="TableText"/>
              <w:snapToGrid w:val="0"/>
              <w:rPr>
                <w:szCs w:val="17"/>
                <w:lang w:eastAsia="en-GB"/>
              </w:rPr>
            </w:pPr>
          </w:p>
        </w:tc>
        <w:tc>
          <w:tcPr>
            <w:tcW w:w="1462" w:type="dxa"/>
            <w:tcBorders>
              <w:top w:val="single" w:sz="4" w:space="0" w:color="auto"/>
              <w:left w:val="single" w:sz="4" w:space="0" w:color="auto"/>
              <w:bottom w:val="single" w:sz="4" w:space="0" w:color="auto"/>
              <w:right w:val="single" w:sz="4" w:space="0" w:color="auto"/>
            </w:tcBorders>
            <w:shd w:val="clear" w:color="auto" w:fill="auto"/>
          </w:tcPr>
          <w:p w14:paraId="40B0BE5D" w14:textId="77777777" w:rsidR="008974E3" w:rsidRPr="00701CEA" w:rsidRDefault="008974E3" w:rsidP="00647044">
            <w:pPr>
              <w:pStyle w:val="TableText"/>
              <w:snapToGrid w:val="0"/>
              <w:rPr>
                <w:szCs w:val="17"/>
                <w:lang w:eastAsia="en-GB"/>
              </w:rPr>
            </w:pPr>
          </w:p>
        </w:tc>
        <w:tc>
          <w:tcPr>
            <w:tcW w:w="1461" w:type="dxa"/>
            <w:tcBorders>
              <w:top w:val="single" w:sz="4" w:space="0" w:color="auto"/>
              <w:left w:val="single" w:sz="4" w:space="0" w:color="auto"/>
              <w:bottom w:val="single" w:sz="4" w:space="0" w:color="808080" w:themeColor="background1" w:themeShade="80"/>
              <w:right w:val="single" w:sz="4" w:space="0" w:color="auto"/>
            </w:tcBorders>
            <w:shd w:val="clear" w:color="auto" w:fill="808080" w:themeFill="background1" w:themeFillShade="80"/>
          </w:tcPr>
          <w:p w14:paraId="5783D5C4" w14:textId="77777777" w:rsidR="008974E3" w:rsidRPr="00701CEA" w:rsidRDefault="008974E3" w:rsidP="00647044">
            <w:pPr>
              <w:pStyle w:val="TableText"/>
              <w:snapToGrid w:val="0"/>
              <w:rPr>
                <w:szCs w:val="17"/>
                <w:lang w:eastAsia="en-GB"/>
              </w:rPr>
            </w:pPr>
          </w:p>
        </w:tc>
        <w:tc>
          <w:tcPr>
            <w:tcW w:w="1462" w:type="dxa"/>
            <w:tcBorders>
              <w:top w:val="single" w:sz="4" w:space="0" w:color="auto"/>
              <w:left w:val="single" w:sz="4" w:space="0" w:color="auto"/>
              <w:bottom w:val="single" w:sz="4" w:space="0" w:color="808080" w:themeColor="background1" w:themeShade="80"/>
              <w:right w:val="single" w:sz="4" w:space="0" w:color="auto"/>
            </w:tcBorders>
            <w:shd w:val="clear" w:color="auto" w:fill="808080" w:themeFill="background1" w:themeFillShade="80"/>
            <w:vAlign w:val="center"/>
          </w:tcPr>
          <w:p w14:paraId="77ACB430" w14:textId="77777777" w:rsidR="008974E3" w:rsidRPr="00701CEA" w:rsidRDefault="008974E3" w:rsidP="00647044">
            <w:pPr>
              <w:pStyle w:val="TableText"/>
              <w:snapToGrid w:val="0"/>
              <w:rPr>
                <w:szCs w:val="17"/>
                <w:lang w:eastAsia="en-GB"/>
              </w:rPr>
            </w:pPr>
          </w:p>
        </w:tc>
      </w:tr>
      <w:tr w:rsidR="008974E3" w:rsidRPr="0023654F" w14:paraId="6B6A4524" w14:textId="77777777" w:rsidTr="00AA6C65">
        <w:trPr>
          <w:cantSplit/>
        </w:trPr>
        <w:tc>
          <w:tcPr>
            <w:tcW w:w="567" w:type="dxa"/>
            <w:tcBorders>
              <w:top w:val="single" w:sz="4" w:space="0" w:color="auto"/>
              <w:left w:val="nil"/>
              <w:bottom w:val="single" w:sz="4" w:space="0" w:color="auto"/>
              <w:right w:val="single" w:sz="4" w:space="0" w:color="auto"/>
            </w:tcBorders>
            <w:shd w:val="clear" w:color="auto" w:fill="auto"/>
          </w:tcPr>
          <w:p w14:paraId="3546FA6E" w14:textId="77777777" w:rsidR="008974E3" w:rsidRDefault="008974E3" w:rsidP="00647044">
            <w:pPr>
              <w:pStyle w:val="TableText"/>
              <w:snapToGrid w:val="0"/>
              <w:rPr>
                <w:lang w:eastAsia="en-GB"/>
              </w:rPr>
            </w:pPr>
            <w:r>
              <w:rPr>
                <w:lang w:eastAsia="en-GB"/>
              </w:rPr>
              <w:t>4</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20C73" w14:textId="77777777" w:rsidR="008974E3" w:rsidRDefault="008974E3" w:rsidP="00647044">
            <w:pPr>
              <w:pStyle w:val="TableText"/>
              <w:snapToGrid w:val="0"/>
              <w:rPr>
                <w:szCs w:val="17"/>
                <w:lang w:eastAsia="en-GB"/>
              </w:rPr>
            </w:pPr>
            <w:r>
              <w:rPr>
                <w:szCs w:val="17"/>
                <w:lang w:eastAsia="en-GB"/>
              </w:rPr>
              <w:t>Flattener</w:t>
            </w:r>
          </w:p>
        </w:tc>
        <w:tc>
          <w:tcPr>
            <w:tcW w:w="1461" w:type="dxa"/>
            <w:tcBorders>
              <w:top w:val="single" w:sz="4" w:space="0" w:color="auto"/>
              <w:left w:val="single" w:sz="4" w:space="0" w:color="auto"/>
              <w:bottom w:val="single" w:sz="4" w:space="0" w:color="auto"/>
              <w:right w:val="single" w:sz="4" w:space="0" w:color="auto"/>
            </w:tcBorders>
            <w:shd w:val="clear" w:color="auto" w:fill="auto"/>
          </w:tcPr>
          <w:p w14:paraId="0CA4845A" w14:textId="77777777" w:rsidR="008974E3" w:rsidRPr="00701CEA" w:rsidRDefault="008974E3" w:rsidP="00647044">
            <w:pPr>
              <w:pStyle w:val="TableText"/>
              <w:snapToGrid w:val="0"/>
              <w:rPr>
                <w:szCs w:val="17"/>
                <w:lang w:eastAsia="en-GB"/>
              </w:rPr>
            </w:pPr>
          </w:p>
        </w:tc>
        <w:tc>
          <w:tcPr>
            <w:tcW w:w="1462" w:type="dxa"/>
            <w:tcBorders>
              <w:top w:val="single" w:sz="4" w:space="0" w:color="auto"/>
              <w:left w:val="single" w:sz="4" w:space="0" w:color="auto"/>
              <w:bottom w:val="single" w:sz="4" w:space="0" w:color="auto"/>
              <w:right w:val="single" w:sz="4" w:space="0" w:color="auto"/>
            </w:tcBorders>
            <w:shd w:val="clear" w:color="auto" w:fill="auto"/>
          </w:tcPr>
          <w:p w14:paraId="1E762BD1" w14:textId="77777777" w:rsidR="008974E3" w:rsidRPr="00701CEA" w:rsidRDefault="008974E3" w:rsidP="00647044">
            <w:pPr>
              <w:pStyle w:val="TableText"/>
              <w:snapToGrid w:val="0"/>
              <w:rPr>
                <w:szCs w:val="17"/>
                <w:lang w:eastAsia="en-GB"/>
              </w:rPr>
            </w:pPr>
          </w:p>
        </w:tc>
        <w:tc>
          <w:tcPr>
            <w:tcW w:w="1461" w:type="dxa"/>
            <w:tcBorders>
              <w:top w:val="single" w:sz="4" w:space="0" w:color="808080" w:themeColor="background1" w:themeShade="80"/>
              <w:left w:val="single" w:sz="4" w:space="0" w:color="auto"/>
              <w:bottom w:val="single" w:sz="4" w:space="0" w:color="808080" w:themeColor="background1" w:themeShade="80"/>
              <w:right w:val="single" w:sz="4" w:space="0" w:color="auto"/>
            </w:tcBorders>
            <w:shd w:val="clear" w:color="auto" w:fill="808080" w:themeFill="background1" w:themeFillShade="80"/>
          </w:tcPr>
          <w:p w14:paraId="367BB077" w14:textId="77777777" w:rsidR="008974E3" w:rsidRPr="00701CEA" w:rsidRDefault="008974E3" w:rsidP="00647044">
            <w:pPr>
              <w:pStyle w:val="TableText"/>
              <w:snapToGrid w:val="0"/>
              <w:rPr>
                <w:szCs w:val="17"/>
                <w:lang w:eastAsia="en-GB"/>
              </w:rPr>
            </w:pPr>
          </w:p>
        </w:tc>
        <w:tc>
          <w:tcPr>
            <w:tcW w:w="1462" w:type="dxa"/>
            <w:tcBorders>
              <w:top w:val="single" w:sz="4" w:space="0" w:color="808080" w:themeColor="background1" w:themeShade="80"/>
              <w:left w:val="single" w:sz="4" w:space="0" w:color="auto"/>
              <w:bottom w:val="single" w:sz="4" w:space="0" w:color="808080" w:themeColor="background1" w:themeShade="80"/>
              <w:right w:val="single" w:sz="4" w:space="0" w:color="auto"/>
            </w:tcBorders>
            <w:shd w:val="clear" w:color="auto" w:fill="808080" w:themeFill="background1" w:themeFillShade="80"/>
            <w:vAlign w:val="center"/>
          </w:tcPr>
          <w:p w14:paraId="422DA045" w14:textId="77777777" w:rsidR="008974E3" w:rsidRPr="00701CEA" w:rsidRDefault="008974E3" w:rsidP="00647044">
            <w:pPr>
              <w:pStyle w:val="TableText"/>
              <w:snapToGrid w:val="0"/>
              <w:rPr>
                <w:szCs w:val="17"/>
                <w:lang w:eastAsia="en-GB"/>
              </w:rPr>
            </w:pPr>
          </w:p>
        </w:tc>
      </w:tr>
      <w:tr w:rsidR="008974E3" w:rsidRPr="0023654F" w14:paraId="54699E6A" w14:textId="77777777" w:rsidTr="00AA6C65">
        <w:trPr>
          <w:cantSplit/>
        </w:trPr>
        <w:tc>
          <w:tcPr>
            <w:tcW w:w="567" w:type="dxa"/>
            <w:tcBorders>
              <w:top w:val="single" w:sz="4" w:space="0" w:color="auto"/>
              <w:left w:val="nil"/>
              <w:bottom w:val="single" w:sz="4" w:space="0" w:color="auto"/>
              <w:right w:val="single" w:sz="4" w:space="0" w:color="auto"/>
            </w:tcBorders>
            <w:shd w:val="clear" w:color="auto" w:fill="auto"/>
          </w:tcPr>
          <w:p w14:paraId="66EB5A41" w14:textId="77777777" w:rsidR="008974E3" w:rsidRDefault="008974E3" w:rsidP="00647044">
            <w:pPr>
              <w:pStyle w:val="TableText"/>
              <w:snapToGrid w:val="0"/>
              <w:rPr>
                <w:lang w:eastAsia="en-GB"/>
              </w:rPr>
            </w:pPr>
            <w:r>
              <w:rPr>
                <w:lang w:eastAsia="en-GB"/>
              </w:rPr>
              <w:t>5</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26A45" w14:textId="77777777" w:rsidR="008974E3" w:rsidRDefault="008974E3" w:rsidP="00647044">
            <w:pPr>
              <w:pStyle w:val="TableText"/>
              <w:snapToGrid w:val="0"/>
              <w:rPr>
                <w:szCs w:val="17"/>
                <w:lang w:eastAsia="en-GB"/>
              </w:rPr>
            </w:pPr>
            <w:r>
              <w:rPr>
                <w:szCs w:val="17"/>
                <w:lang w:eastAsia="en-GB"/>
              </w:rPr>
              <w:t>Short rate up</w:t>
            </w:r>
          </w:p>
        </w:tc>
        <w:tc>
          <w:tcPr>
            <w:tcW w:w="1461" w:type="dxa"/>
            <w:tcBorders>
              <w:top w:val="single" w:sz="4" w:space="0" w:color="auto"/>
              <w:left w:val="single" w:sz="4" w:space="0" w:color="auto"/>
              <w:bottom w:val="single" w:sz="4" w:space="0" w:color="auto"/>
              <w:right w:val="single" w:sz="4" w:space="0" w:color="auto"/>
            </w:tcBorders>
            <w:shd w:val="clear" w:color="auto" w:fill="auto"/>
          </w:tcPr>
          <w:p w14:paraId="07E3C02C" w14:textId="77777777" w:rsidR="008974E3" w:rsidRPr="00701CEA" w:rsidRDefault="008974E3" w:rsidP="00647044">
            <w:pPr>
              <w:pStyle w:val="TableText"/>
              <w:snapToGrid w:val="0"/>
              <w:rPr>
                <w:szCs w:val="17"/>
                <w:lang w:eastAsia="en-GB"/>
              </w:rPr>
            </w:pPr>
          </w:p>
        </w:tc>
        <w:tc>
          <w:tcPr>
            <w:tcW w:w="1462" w:type="dxa"/>
            <w:tcBorders>
              <w:top w:val="single" w:sz="4" w:space="0" w:color="auto"/>
              <w:left w:val="single" w:sz="4" w:space="0" w:color="auto"/>
              <w:bottom w:val="single" w:sz="4" w:space="0" w:color="auto"/>
              <w:right w:val="single" w:sz="4" w:space="0" w:color="auto"/>
            </w:tcBorders>
            <w:shd w:val="clear" w:color="auto" w:fill="auto"/>
          </w:tcPr>
          <w:p w14:paraId="47500910" w14:textId="77777777" w:rsidR="008974E3" w:rsidRPr="00701CEA" w:rsidRDefault="008974E3" w:rsidP="00647044">
            <w:pPr>
              <w:pStyle w:val="TableText"/>
              <w:snapToGrid w:val="0"/>
              <w:rPr>
                <w:szCs w:val="17"/>
                <w:lang w:eastAsia="en-GB"/>
              </w:rPr>
            </w:pPr>
          </w:p>
        </w:tc>
        <w:tc>
          <w:tcPr>
            <w:tcW w:w="1461" w:type="dxa"/>
            <w:tcBorders>
              <w:top w:val="single" w:sz="4" w:space="0" w:color="808080" w:themeColor="background1" w:themeShade="80"/>
              <w:left w:val="single" w:sz="4" w:space="0" w:color="auto"/>
              <w:bottom w:val="single" w:sz="4" w:space="0" w:color="808080" w:themeColor="background1" w:themeShade="80"/>
              <w:right w:val="single" w:sz="4" w:space="0" w:color="auto"/>
            </w:tcBorders>
            <w:shd w:val="clear" w:color="auto" w:fill="808080" w:themeFill="background1" w:themeFillShade="80"/>
          </w:tcPr>
          <w:p w14:paraId="647883AD" w14:textId="77777777" w:rsidR="008974E3" w:rsidRPr="00701CEA" w:rsidRDefault="008974E3" w:rsidP="00647044">
            <w:pPr>
              <w:pStyle w:val="TableText"/>
              <w:snapToGrid w:val="0"/>
              <w:rPr>
                <w:szCs w:val="17"/>
                <w:lang w:eastAsia="en-GB"/>
              </w:rPr>
            </w:pPr>
          </w:p>
        </w:tc>
        <w:tc>
          <w:tcPr>
            <w:tcW w:w="1462" w:type="dxa"/>
            <w:tcBorders>
              <w:top w:val="single" w:sz="4" w:space="0" w:color="808080" w:themeColor="background1" w:themeShade="80"/>
              <w:left w:val="single" w:sz="4" w:space="0" w:color="auto"/>
              <w:bottom w:val="single" w:sz="4" w:space="0" w:color="808080" w:themeColor="background1" w:themeShade="80"/>
              <w:right w:val="single" w:sz="4" w:space="0" w:color="auto"/>
            </w:tcBorders>
            <w:shd w:val="clear" w:color="auto" w:fill="808080" w:themeFill="background1" w:themeFillShade="80"/>
            <w:vAlign w:val="center"/>
          </w:tcPr>
          <w:p w14:paraId="7E606E04" w14:textId="77777777" w:rsidR="008974E3" w:rsidRPr="00701CEA" w:rsidRDefault="008974E3" w:rsidP="00647044">
            <w:pPr>
              <w:pStyle w:val="TableText"/>
              <w:snapToGrid w:val="0"/>
              <w:rPr>
                <w:szCs w:val="17"/>
                <w:lang w:eastAsia="en-GB"/>
              </w:rPr>
            </w:pPr>
          </w:p>
        </w:tc>
      </w:tr>
      <w:tr w:rsidR="008974E3" w:rsidRPr="0023654F" w14:paraId="663F8EC6" w14:textId="77777777" w:rsidTr="00AA6C65">
        <w:trPr>
          <w:cantSplit/>
        </w:trPr>
        <w:tc>
          <w:tcPr>
            <w:tcW w:w="567" w:type="dxa"/>
            <w:tcBorders>
              <w:top w:val="single" w:sz="4" w:space="0" w:color="auto"/>
              <w:left w:val="nil"/>
              <w:bottom w:val="single" w:sz="4" w:space="0" w:color="auto"/>
              <w:right w:val="single" w:sz="4" w:space="0" w:color="auto"/>
            </w:tcBorders>
            <w:shd w:val="clear" w:color="auto" w:fill="auto"/>
          </w:tcPr>
          <w:p w14:paraId="72EF3839" w14:textId="77777777" w:rsidR="008974E3" w:rsidRDefault="008974E3" w:rsidP="00647044">
            <w:pPr>
              <w:pStyle w:val="TableText"/>
              <w:snapToGrid w:val="0"/>
              <w:rPr>
                <w:lang w:eastAsia="en-GB"/>
              </w:rPr>
            </w:pPr>
            <w:r>
              <w:rPr>
                <w:lang w:eastAsia="en-GB"/>
              </w:rPr>
              <w:t>6</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CDC3D" w14:textId="77777777" w:rsidR="008974E3" w:rsidRDefault="008974E3" w:rsidP="00647044">
            <w:pPr>
              <w:pStyle w:val="TableText"/>
              <w:snapToGrid w:val="0"/>
              <w:rPr>
                <w:szCs w:val="17"/>
                <w:lang w:eastAsia="en-GB"/>
              </w:rPr>
            </w:pPr>
            <w:r>
              <w:rPr>
                <w:szCs w:val="17"/>
                <w:lang w:eastAsia="en-GB"/>
              </w:rPr>
              <w:t>Short rate down</w:t>
            </w:r>
          </w:p>
        </w:tc>
        <w:tc>
          <w:tcPr>
            <w:tcW w:w="1461" w:type="dxa"/>
            <w:tcBorders>
              <w:top w:val="single" w:sz="4" w:space="0" w:color="auto"/>
              <w:left w:val="single" w:sz="4" w:space="0" w:color="auto"/>
              <w:bottom w:val="single" w:sz="4" w:space="0" w:color="auto"/>
              <w:right w:val="single" w:sz="4" w:space="0" w:color="auto"/>
            </w:tcBorders>
            <w:shd w:val="clear" w:color="auto" w:fill="auto"/>
          </w:tcPr>
          <w:p w14:paraId="45AA01FA" w14:textId="77777777" w:rsidR="008974E3" w:rsidRPr="00701CEA" w:rsidRDefault="008974E3" w:rsidP="00647044">
            <w:pPr>
              <w:pStyle w:val="TableText"/>
              <w:snapToGrid w:val="0"/>
              <w:rPr>
                <w:szCs w:val="17"/>
                <w:lang w:eastAsia="en-GB"/>
              </w:rPr>
            </w:pPr>
          </w:p>
        </w:tc>
        <w:tc>
          <w:tcPr>
            <w:tcW w:w="1462" w:type="dxa"/>
            <w:tcBorders>
              <w:top w:val="single" w:sz="4" w:space="0" w:color="auto"/>
              <w:left w:val="single" w:sz="4" w:space="0" w:color="auto"/>
              <w:bottom w:val="single" w:sz="4" w:space="0" w:color="auto"/>
              <w:right w:val="single" w:sz="4" w:space="0" w:color="auto"/>
            </w:tcBorders>
            <w:shd w:val="clear" w:color="auto" w:fill="auto"/>
          </w:tcPr>
          <w:p w14:paraId="261AAA4A" w14:textId="77777777" w:rsidR="008974E3" w:rsidRPr="00701CEA" w:rsidRDefault="008974E3" w:rsidP="00647044">
            <w:pPr>
              <w:pStyle w:val="TableText"/>
              <w:snapToGrid w:val="0"/>
              <w:rPr>
                <w:szCs w:val="17"/>
                <w:lang w:eastAsia="en-GB"/>
              </w:rPr>
            </w:pPr>
          </w:p>
        </w:tc>
        <w:tc>
          <w:tcPr>
            <w:tcW w:w="1461" w:type="dxa"/>
            <w:tcBorders>
              <w:top w:val="single" w:sz="4" w:space="0" w:color="808080" w:themeColor="background1" w:themeShade="80"/>
              <w:left w:val="single" w:sz="4" w:space="0" w:color="auto"/>
              <w:bottom w:val="single" w:sz="4" w:space="0" w:color="auto"/>
              <w:right w:val="single" w:sz="4" w:space="0" w:color="auto"/>
            </w:tcBorders>
            <w:shd w:val="clear" w:color="auto" w:fill="808080" w:themeFill="background1" w:themeFillShade="80"/>
          </w:tcPr>
          <w:p w14:paraId="6803A3E2" w14:textId="77777777" w:rsidR="008974E3" w:rsidRPr="00701CEA" w:rsidRDefault="008974E3" w:rsidP="00647044">
            <w:pPr>
              <w:pStyle w:val="TableText"/>
              <w:snapToGrid w:val="0"/>
              <w:rPr>
                <w:szCs w:val="17"/>
                <w:lang w:eastAsia="en-GB"/>
              </w:rPr>
            </w:pPr>
          </w:p>
        </w:tc>
        <w:tc>
          <w:tcPr>
            <w:tcW w:w="1462" w:type="dxa"/>
            <w:tcBorders>
              <w:top w:val="single" w:sz="4" w:space="0" w:color="808080" w:themeColor="background1" w:themeShade="80"/>
              <w:left w:val="single" w:sz="4" w:space="0" w:color="auto"/>
              <w:bottom w:val="single" w:sz="4" w:space="0" w:color="auto"/>
              <w:right w:val="single" w:sz="4" w:space="0" w:color="auto"/>
            </w:tcBorders>
            <w:shd w:val="clear" w:color="auto" w:fill="808080" w:themeFill="background1" w:themeFillShade="80"/>
            <w:vAlign w:val="center"/>
          </w:tcPr>
          <w:p w14:paraId="6EB30E7C" w14:textId="77777777" w:rsidR="008974E3" w:rsidRPr="00701CEA" w:rsidRDefault="008974E3" w:rsidP="00647044">
            <w:pPr>
              <w:pStyle w:val="TableText"/>
              <w:snapToGrid w:val="0"/>
              <w:rPr>
                <w:szCs w:val="17"/>
                <w:lang w:eastAsia="en-GB"/>
              </w:rPr>
            </w:pPr>
          </w:p>
        </w:tc>
      </w:tr>
      <w:tr w:rsidR="008974E3" w:rsidRPr="0023654F" w14:paraId="561E5B4F" w14:textId="77777777" w:rsidTr="00AA6C65">
        <w:trPr>
          <w:cantSplit/>
        </w:trPr>
        <w:tc>
          <w:tcPr>
            <w:tcW w:w="567" w:type="dxa"/>
            <w:tcBorders>
              <w:top w:val="single" w:sz="4" w:space="0" w:color="auto"/>
              <w:left w:val="nil"/>
              <w:bottom w:val="single" w:sz="4" w:space="0" w:color="auto"/>
              <w:right w:val="single" w:sz="4" w:space="0" w:color="auto"/>
            </w:tcBorders>
            <w:shd w:val="clear" w:color="auto" w:fill="auto"/>
          </w:tcPr>
          <w:p w14:paraId="2F553924" w14:textId="77777777" w:rsidR="008974E3" w:rsidRDefault="008974E3" w:rsidP="00647044">
            <w:pPr>
              <w:pStyle w:val="TableText"/>
              <w:snapToGrid w:val="0"/>
              <w:rPr>
                <w:lang w:eastAsia="en-GB"/>
              </w:rPr>
            </w:pPr>
            <w:r>
              <w:rPr>
                <w:lang w:eastAsia="en-GB"/>
              </w:rPr>
              <w:t>7</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DF38A" w14:textId="77777777" w:rsidR="008974E3" w:rsidRPr="001B530B" w:rsidRDefault="008974E3" w:rsidP="00647044">
            <w:pPr>
              <w:pStyle w:val="TableText"/>
              <w:snapToGrid w:val="0"/>
              <w:rPr>
                <w:b/>
                <w:szCs w:val="17"/>
                <w:lang w:eastAsia="en-GB"/>
              </w:rPr>
            </w:pPr>
            <w:r w:rsidRPr="001B530B">
              <w:rPr>
                <w:b/>
                <w:szCs w:val="17"/>
                <w:lang w:eastAsia="en-GB"/>
              </w:rPr>
              <w:t>Maximum</w:t>
            </w:r>
          </w:p>
        </w:tc>
        <w:tc>
          <w:tcPr>
            <w:tcW w:w="1461" w:type="dxa"/>
            <w:tcBorders>
              <w:top w:val="single" w:sz="4" w:space="0" w:color="auto"/>
              <w:left w:val="single" w:sz="4" w:space="0" w:color="auto"/>
              <w:bottom w:val="single" w:sz="4" w:space="0" w:color="auto"/>
              <w:right w:val="single" w:sz="4" w:space="0" w:color="auto"/>
            </w:tcBorders>
            <w:shd w:val="clear" w:color="auto" w:fill="FFFFFF" w:themeFill="background1"/>
          </w:tcPr>
          <w:p w14:paraId="41F4F0B1" w14:textId="77777777" w:rsidR="008974E3" w:rsidRPr="00701CEA" w:rsidRDefault="008974E3" w:rsidP="00647044">
            <w:pPr>
              <w:pStyle w:val="TableText"/>
              <w:snapToGrid w:val="0"/>
              <w:rPr>
                <w:szCs w:val="17"/>
                <w:lang w:eastAsia="en-GB"/>
              </w:rPr>
            </w:pPr>
          </w:p>
        </w:tc>
        <w:tc>
          <w:tcPr>
            <w:tcW w:w="1462" w:type="dxa"/>
            <w:tcBorders>
              <w:top w:val="single" w:sz="4" w:space="0" w:color="auto"/>
              <w:left w:val="single" w:sz="4" w:space="0" w:color="auto"/>
              <w:bottom w:val="single" w:sz="4" w:space="0" w:color="auto"/>
              <w:right w:val="single" w:sz="4" w:space="0" w:color="auto"/>
            </w:tcBorders>
            <w:shd w:val="clear" w:color="auto" w:fill="FFFFFF" w:themeFill="background1"/>
          </w:tcPr>
          <w:p w14:paraId="6CC27E01" w14:textId="77777777" w:rsidR="008974E3" w:rsidRPr="00701CEA" w:rsidRDefault="008974E3" w:rsidP="00647044">
            <w:pPr>
              <w:pStyle w:val="TableText"/>
              <w:snapToGrid w:val="0"/>
              <w:rPr>
                <w:szCs w:val="17"/>
                <w:lang w:eastAsia="en-GB"/>
              </w:rPr>
            </w:pPr>
          </w:p>
        </w:tc>
        <w:tc>
          <w:tcPr>
            <w:tcW w:w="1461" w:type="dxa"/>
            <w:tcBorders>
              <w:top w:val="single" w:sz="4" w:space="0" w:color="auto"/>
              <w:left w:val="single" w:sz="4" w:space="0" w:color="auto"/>
              <w:bottom w:val="single" w:sz="4" w:space="0" w:color="auto"/>
              <w:right w:val="single" w:sz="4" w:space="0" w:color="auto"/>
            </w:tcBorders>
            <w:shd w:val="clear" w:color="auto" w:fill="FFFFFF" w:themeFill="background1"/>
          </w:tcPr>
          <w:p w14:paraId="7C68E60B" w14:textId="77777777" w:rsidR="008974E3" w:rsidRPr="00701CEA" w:rsidRDefault="008974E3" w:rsidP="00647044">
            <w:pPr>
              <w:pStyle w:val="TableText"/>
              <w:snapToGrid w:val="0"/>
              <w:rPr>
                <w:szCs w:val="17"/>
                <w:lang w:eastAsia="en-GB"/>
              </w:rPr>
            </w:pPr>
          </w:p>
        </w:tc>
        <w:tc>
          <w:tcPr>
            <w:tcW w:w="14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4E3399" w14:textId="77777777" w:rsidR="008974E3" w:rsidRPr="00701CEA" w:rsidRDefault="008974E3" w:rsidP="00647044">
            <w:pPr>
              <w:pStyle w:val="TableText"/>
              <w:snapToGrid w:val="0"/>
              <w:rPr>
                <w:szCs w:val="17"/>
                <w:lang w:eastAsia="en-GB"/>
              </w:rPr>
            </w:pPr>
          </w:p>
        </w:tc>
      </w:tr>
      <w:tr w:rsidR="008974E3" w:rsidRPr="0023654F" w14:paraId="371ED2E6" w14:textId="77777777" w:rsidTr="00AA6C65">
        <w:trPr>
          <w:cantSplit/>
        </w:trPr>
        <w:tc>
          <w:tcPr>
            <w:tcW w:w="567" w:type="dxa"/>
            <w:tcBorders>
              <w:top w:val="single" w:sz="4" w:space="0" w:color="auto"/>
              <w:left w:val="nil"/>
              <w:bottom w:val="single" w:sz="4" w:space="0" w:color="auto"/>
              <w:right w:val="single" w:sz="4" w:space="0" w:color="auto"/>
            </w:tcBorders>
            <w:shd w:val="clear" w:color="auto" w:fill="auto"/>
          </w:tcPr>
          <w:p w14:paraId="65A1C0A9" w14:textId="77777777" w:rsidR="008974E3" w:rsidRDefault="008974E3" w:rsidP="00647044">
            <w:pPr>
              <w:pStyle w:val="TableText"/>
              <w:snapToGrid w:val="0"/>
              <w:rPr>
                <w:lang w:eastAsia="en-GB"/>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6900DE" w14:textId="77777777" w:rsidR="008974E3" w:rsidRPr="00AA6481" w:rsidRDefault="008974E3" w:rsidP="00647044">
            <w:pPr>
              <w:pStyle w:val="TableText"/>
              <w:snapToGrid w:val="0"/>
              <w:rPr>
                <w:b/>
                <w:szCs w:val="17"/>
                <w:lang w:eastAsia="en-GB"/>
              </w:rPr>
            </w:pPr>
            <w:r w:rsidRPr="00AA6481">
              <w:rPr>
                <w:b/>
                <w:lang w:eastAsia="en-GB"/>
              </w:rPr>
              <w:t>Period</w:t>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530696" w14:textId="77777777" w:rsidR="008974E3" w:rsidRPr="00D47BE7" w:rsidRDefault="008974E3" w:rsidP="00647044">
            <w:pPr>
              <w:pStyle w:val="TableText"/>
              <w:snapToGrid w:val="0"/>
              <w:jc w:val="center"/>
              <w:rPr>
                <w:b/>
                <w:szCs w:val="17"/>
                <w:lang w:val="en-US" w:eastAsia="en-GB"/>
              </w:rPr>
            </w:pPr>
            <w:r w:rsidRPr="00D47BE7">
              <w:rPr>
                <w:b/>
                <w:szCs w:val="17"/>
                <w:lang w:val="en-US" w:eastAsia="en-GB"/>
              </w:rPr>
              <w:t>T</w:t>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307C56" w14:textId="77777777" w:rsidR="008974E3" w:rsidRPr="00D47BE7" w:rsidRDefault="008974E3" w:rsidP="00647044">
            <w:pPr>
              <w:pStyle w:val="TableText"/>
              <w:snapToGrid w:val="0"/>
              <w:jc w:val="center"/>
              <w:rPr>
                <w:b/>
                <w:szCs w:val="17"/>
                <w:lang w:val="en-US" w:eastAsia="en-GB"/>
              </w:rPr>
            </w:pPr>
            <w:r w:rsidRPr="00D47BE7">
              <w:rPr>
                <w:b/>
                <w:szCs w:val="17"/>
                <w:lang w:val="en-US" w:eastAsia="en-GB"/>
              </w:rPr>
              <w:t>T-1</w:t>
            </w:r>
          </w:p>
        </w:tc>
      </w:tr>
      <w:tr w:rsidR="008974E3" w:rsidRPr="0023654F" w14:paraId="0E21C631" w14:textId="77777777" w:rsidTr="00AA6C65">
        <w:trPr>
          <w:cantSplit/>
        </w:trPr>
        <w:tc>
          <w:tcPr>
            <w:tcW w:w="567" w:type="dxa"/>
            <w:tcBorders>
              <w:top w:val="single" w:sz="4" w:space="0" w:color="auto"/>
              <w:left w:val="nil"/>
              <w:bottom w:val="single" w:sz="4" w:space="0" w:color="auto"/>
              <w:right w:val="single" w:sz="4" w:space="0" w:color="auto"/>
            </w:tcBorders>
            <w:shd w:val="clear" w:color="auto" w:fill="auto"/>
            <w:vAlign w:val="center"/>
          </w:tcPr>
          <w:p w14:paraId="348D8B5C" w14:textId="77777777" w:rsidR="008974E3" w:rsidRPr="0023654F" w:rsidRDefault="008974E3" w:rsidP="00647044">
            <w:pPr>
              <w:snapToGrid w:val="0"/>
              <w:contextualSpacing/>
              <w:rPr>
                <w:rFonts w:cs="Segoe UI"/>
                <w:sz w:val="17"/>
                <w:lang w:eastAsia="en-GB"/>
              </w:rPr>
            </w:pPr>
            <w:r>
              <w:rPr>
                <w:rFonts w:cs="Segoe UI"/>
                <w:sz w:val="17"/>
                <w:lang w:eastAsia="en-GB"/>
              </w:rPr>
              <w:t>8</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81F0A" w14:textId="77777777" w:rsidR="008974E3" w:rsidRPr="00AA6481" w:rsidRDefault="008974E3" w:rsidP="00647044">
            <w:pPr>
              <w:snapToGrid w:val="0"/>
              <w:contextualSpacing/>
              <w:rPr>
                <w:rFonts w:cs="Segoe UI"/>
                <w:b/>
                <w:sz w:val="17"/>
                <w:lang w:eastAsia="en-GB"/>
              </w:rPr>
            </w:pPr>
            <w:r w:rsidRPr="00AA6481">
              <w:rPr>
                <w:rFonts w:cs="Segoe UI"/>
                <w:b/>
                <w:sz w:val="17"/>
                <w:lang w:eastAsia="en-GB"/>
              </w:rPr>
              <w:t>Tier 1 capital</w:t>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3B9B92" w14:textId="77777777" w:rsidR="008974E3" w:rsidRPr="00701CEA" w:rsidRDefault="008974E3" w:rsidP="00647044">
            <w:pPr>
              <w:pStyle w:val="TableText"/>
              <w:snapToGrid w:val="0"/>
              <w:rPr>
                <w:szCs w:val="17"/>
                <w:lang w:eastAsia="en-GB"/>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CC212F" w14:textId="77777777" w:rsidR="008974E3" w:rsidRPr="00701CEA" w:rsidRDefault="008974E3" w:rsidP="00647044">
            <w:pPr>
              <w:pStyle w:val="TableText"/>
              <w:snapToGrid w:val="0"/>
              <w:rPr>
                <w:szCs w:val="17"/>
                <w:lang w:eastAsia="en-GB"/>
              </w:rPr>
            </w:pPr>
          </w:p>
        </w:tc>
      </w:tr>
    </w:tbl>
    <w:p w14:paraId="058F4306" w14:textId="77777777" w:rsidR="000747DD" w:rsidRPr="000747DD" w:rsidRDefault="000747DD" w:rsidP="000747DD">
      <w:pPr>
        <w:spacing w:before="120" w:after="120"/>
        <w:ind w:leftChars="-283" w:left="-566"/>
        <w:rPr>
          <w:sz w:val="22"/>
        </w:rPr>
      </w:pPr>
    </w:p>
    <w:tbl>
      <w:tblPr>
        <w:tblStyle w:val="TableGrid5"/>
        <w:tblW w:w="9214" w:type="dxa"/>
        <w:tblInd w:w="-459" w:type="dxa"/>
        <w:tblLayout w:type="fixed"/>
        <w:tblLook w:val="04A0" w:firstRow="1" w:lastRow="0" w:firstColumn="1" w:lastColumn="0" w:noHBand="0" w:noVBand="1"/>
      </w:tblPr>
      <w:tblGrid>
        <w:gridCol w:w="567"/>
        <w:gridCol w:w="8647"/>
      </w:tblGrid>
      <w:tr w:rsidR="000747DD" w:rsidRPr="000747DD" w14:paraId="11B3DABC" w14:textId="77777777" w:rsidTr="000747DD">
        <w:trPr>
          <w:tblHeader/>
        </w:trPr>
        <w:tc>
          <w:tcPr>
            <w:tcW w:w="9214" w:type="dxa"/>
            <w:gridSpan w:val="2"/>
            <w:shd w:val="clear" w:color="auto" w:fill="BFBFBF"/>
          </w:tcPr>
          <w:p w14:paraId="640AE9AF" w14:textId="77777777" w:rsidR="000747DD" w:rsidRPr="000747DD" w:rsidRDefault="000747DD" w:rsidP="000747DD">
            <w:pPr>
              <w:spacing w:before="40" w:after="40"/>
              <w:jc w:val="both"/>
              <w:rPr>
                <w:rFonts w:eastAsia="新細明體"/>
                <w:b/>
                <w:sz w:val="17"/>
                <w:szCs w:val="17"/>
                <w:lang w:eastAsia="en-GB"/>
              </w:rPr>
            </w:pPr>
            <w:r w:rsidRPr="000747DD">
              <w:rPr>
                <w:rFonts w:eastAsia="新細明體"/>
                <w:b/>
                <w:sz w:val="17"/>
                <w:szCs w:val="17"/>
                <w:lang w:eastAsia="en-GB"/>
              </w:rPr>
              <w:t>Explanatory Note</w:t>
            </w:r>
          </w:p>
        </w:tc>
      </w:tr>
      <w:tr w:rsidR="000747DD" w:rsidRPr="000747DD" w14:paraId="5E260C06" w14:textId="77777777" w:rsidTr="000747DD">
        <w:trPr>
          <w:trHeight w:val="153"/>
        </w:trPr>
        <w:tc>
          <w:tcPr>
            <w:tcW w:w="9214" w:type="dxa"/>
            <w:gridSpan w:val="2"/>
            <w:shd w:val="clear" w:color="auto" w:fill="F2F2F2"/>
          </w:tcPr>
          <w:p w14:paraId="3BDB10F3" w14:textId="77777777" w:rsidR="000747DD" w:rsidRPr="000747DD" w:rsidRDefault="000747DD" w:rsidP="000747DD">
            <w:pPr>
              <w:spacing w:before="40" w:after="40"/>
              <w:jc w:val="both"/>
              <w:rPr>
                <w:rFonts w:eastAsia="新細明體"/>
                <w:b/>
                <w:sz w:val="17"/>
                <w:szCs w:val="17"/>
                <w:lang w:eastAsia="en-GB"/>
              </w:rPr>
            </w:pPr>
            <w:r w:rsidRPr="000747DD">
              <w:rPr>
                <w:rFonts w:eastAsia="新細明體"/>
                <w:b/>
                <w:sz w:val="17"/>
                <w:szCs w:val="17"/>
                <w:lang w:eastAsia="en-GB"/>
              </w:rPr>
              <w:t>Columns</w:t>
            </w:r>
          </w:p>
        </w:tc>
      </w:tr>
      <w:tr w:rsidR="000747DD" w:rsidRPr="000747DD" w14:paraId="052B3A5E" w14:textId="77777777" w:rsidTr="00126350">
        <w:tc>
          <w:tcPr>
            <w:tcW w:w="567" w:type="dxa"/>
          </w:tcPr>
          <w:p w14:paraId="74A82289" w14:textId="77777777" w:rsidR="000747DD" w:rsidRPr="000747DD" w:rsidRDefault="000747DD" w:rsidP="000747DD">
            <w:pPr>
              <w:keepLines/>
              <w:widowControl w:val="0"/>
              <w:tabs>
                <w:tab w:val="left" w:pos="794"/>
                <w:tab w:val="left" w:pos="1191"/>
              </w:tabs>
              <w:spacing w:before="40" w:after="40"/>
              <w:ind w:rightChars="-54" w:right="-108"/>
              <w:rPr>
                <w:rFonts w:cs="Segoe UI"/>
                <w:sz w:val="17"/>
                <w:szCs w:val="17"/>
                <w:lang w:eastAsia="en-GB"/>
              </w:rPr>
            </w:pPr>
            <w:r w:rsidRPr="000747DD">
              <w:rPr>
                <w:rFonts w:cs="Segoe UI"/>
                <w:sz w:val="17"/>
                <w:szCs w:val="17"/>
                <w:lang w:eastAsia="en-GB"/>
              </w:rPr>
              <w:t>(a) &amp; (b)</w:t>
            </w:r>
          </w:p>
        </w:tc>
        <w:tc>
          <w:tcPr>
            <w:tcW w:w="8647" w:type="dxa"/>
          </w:tcPr>
          <w:p w14:paraId="7141D23C" w14:textId="2828212C" w:rsidR="007350C9" w:rsidRPr="000747DD" w:rsidRDefault="007350C9" w:rsidP="000747DD">
            <w:pPr>
              <w:widowControl w:val="0"/>
              <w:spacing w:before="40" w:after="40"/>
              <w:jc w:val="both"/>
              <w:rPr>
                <w:sz w:val="17"/>
                <w:szCs w:val="17"/>
              </w:rPr>
            </w:pPr>
            <w:r w:rsidRPr="000E5A8B">
              <w:rPr>
                <w:sz w:val="17"/>
                <w:szCs w:val="17"/>
              </w:rPr>
              <w:t>The change in the economic value of equity (“ΔEVE”) based on the standardised framework described in the Supervisory Policy Manual (</w:t>
            </w:r>
            <w:r>
              <w:rPr>
                <w:sz w:val="17"/>
                <w:szCs w:val="17"/>
              </w:rPr>
              <w:t>“</w:t>
            </w:r>
            <w:r w:rsidRPr="000E5A8B">
              <w:rPr>
                <w:sz w:val="17"/>
                <w:szCs w:val="17"/>
              </w:rPr>
              <w:t>SPM</w:t>
            </w:r>
            <w:r>
              <w:rPr>
                <w:sz w:val="17"/>
                <w:szCs w:val="17"/>
              </w:rPr>
              <w:t>”</w:t>
            </w:r>
            <w:r w:rsidRPr="000E5A8B">
              <w:rPr>
                <w:sz w:val="17"/>
                <w:szCs w:val="17"/>
              </w:rPr>
              <w:t xml:space="preserve">) </w:t>
            </w:r>
            <w:r>
              <w:rPr>
                <w:sz w:val="17"/>
                <w:szCs w:val="17"/>
              </w:rPr>
              <w:t xml:space="preserve">module </w:t>
            </w:r>
            <w:r w:rsidRPr="000E5A8B">
              <w:rPr>
                <w:sz w:val="17"/>
                <w:szCs w:val="17"/>
              </w:rPr>
              <w:t>IR-1 “Interest Rate Risk</w:t>
            </w:r>
            <w:r>
              <w:rPr>
                <w:sz w:val="17"/>
                <w:szCs w:val="17"/>
              </w:rPr>
              <w:t xml:space="preserve"> in the Banking Book</w:t>
            </w:r>
            <w:r w:rsidRPr="000E5A8B">
              <w:rPr>
                <w:sz w:val="17"/>
                <w:szCs w:val="17"/>
              </w:rPr>
              <w:t xml:space="preserve">” and the </w:t>
            </w:r>
            <w:r>
              <w:rPr>
                <w:sz w:val="17"/>
                <w:szCs w:val="17"/>
              </w:rPr>
              <w:t>R</w:t>
            </w:r>
            <w:r w:rsidRPr="000E5A8B">
              <w:rPr>
                <w:sz w:val="17"/>
                <w:szCs w:val="17"/>
              </w:rPr>
              <w:t>eturn</w:t>
            </w:r>
            <w:r>
              <w:rPr>
                <w:sz w:val="17"/>
                <w:szCs w:val="17"/>
              </w:rPr>
              <w:t xml:space="preserve"> on</w:t>
            </w:r>
            <w:r w:rsidRPr="000E5A8B">
              <w:rPr>
                <w:sz w:val="17"/>
                <w:szCs w:val="17"/>
              </w:rPr>
              <w:t xml:space="preserve"> Interest Rate Risk</w:t>
            </w:r>
            <w:r>
              <w:rPr>
                <w:sz w:val="17"/>
                <w:szCs w:val="17"/>
              </w:rPr>
              <w:t xml:space="preserve"> in the Banking Book (</w:t>
            </w:r>
            <w:r w:rsidRPr="000E5A8B">
              <w:rPr>
                <w:sz w:val="17"/>
                <w:szCs w:val="17"/>
              </w:rPr>
              <w:t>MA(BS)12</w:t>
            </w:r>
            <w:r>
              <w:rPr>
                <w:sz w:val="17"/>
                <w:szCs w:val="17"/>
              </w:rPr>
              <w:t>A</w:t>
            </w:r>
            <w:r w:rsidRPr="000E5A8B">
              <w:rPr>
                <w:sz w:val="17"/>
                <w:szCs w:val="17"/>
              </w:rPr>
              <w:t>)</w:t>
            </w:r>
            <w:r w:rsidRPr="000E5A8B">
              <w:rPr>
                <w:sz w:val="17"/>
                <w:szCs w:val="17"/>
                <w:lang w:eastAsia="en-GB"/>
              </w:rPr>
              <w:t xml:space="preserve"> (</w:t>
            </w:r>
            <w:r>
              <w:rPr>
                <w:sz w:val="17"/>
                <w:szCs w:val="17"/>
                <w:lang w:eastAsia="en-GB"/>
              </w:rPr>
              <w:t>“</w:t>
            </w:r>
            <w:r w:rsidRPr="000E5A8B">
              <w:rPr>
                <w:sz w:val="17"/>
                <w:szCs w:val="17"/>
                <w:lang w:eastAsia="en-GB"/>
              </w:rPr>
              <w:t>IRR</w:t>
            </w:r>
            <w:r>
              <w:rPr>
                <w:sz w:val="17"/>
                <w:szCs w:val="17"/>
                <w:lang w:eastAsia="en-GB"/>
              </w:rPr>
              <w:t>BB</w:t>
            </w:r>
            <w:r w:rsidRPr="000E5A8B">
              <w:rPr>
                <w:sz w:val="17"/>
                <w:szCs w:val="17"/>
                <w:lang w:eastAsia="en-GB"/>
              </w:rPr>
              <w:t xml:space="preserve"> return</w:t>
            </w:r>
            <w:r>
              <w:rPr>
                <w:sz w:val="17"/>
                <w:szCs w:val="17"/>
                <w:lang w:eastAsia="en-GB"/>
              </w:rPr>
              <w:t>”</w:t>
            </w:r>
            <w:r w:rsidRPr="000E5A8B">
              <w:rPr>
                <w:sz w:val="17"/>
                <w:szCs w:val="17"/>
                <w:lang w:eastAsia="en-GB"/>
              </w:rPr>
              <w:t>)</w:t>
            </w:r>
            <w:r w:rsidRPr="000E5A8B">
              <w:rPr>
                <w:sz w:val="17"/>
                <w:szCs w:val="17"/>
              </w:rPr>
              <w:t>.</w:t>
            </w:r>
          </w:p>
        </w:tc>
      </w:tr>
      <w:tr w:rsidR="000747DD" w:rsidRPr="000747DD" w14:paraId="2E4B0897" w14:textId="77777777" w:rsidTr="00126350">
        <w:tc>
          <w:tcPr>
            <w:tcW w:w="567" w:type="dxa"/>
          </w:tcPr>
          <w:p w14:paraId="666AD148" w14:textId="77777777" w:rsidR="000747DD" w:rsidRPr="000747DD" w:rsidRDefault="000747DD" w:rsidP="000747DD">
            <w:pPr>
              <w:keepLines/>
              <w:widowControl w:val="0"/>
              <w:tabs>
                <w:tab w:val="left" w:pos="794"/>
                <w:tab w:val="left" w:pos="1191"/>
              </w:tabs>
              <w:spacing w:before="40" w:after="40"/>
              <w:ind w:rightChars="-54" w:right="-108"/>
              <w:rPr>
                <w:rFonts w:cs="Segoe UI"/>
                <w:sz w:val="17"/>
                <w:szCs w:val="17"/>
                <w:lang w:eastAsia="en-GB"/>
              </w:rPr>
            </w:pPr>
            <w:r w:rsidRPr="000747DD">
              <w:rPr>
                <w:rFonts w:cs="Segoe UI"/>
                <w:sz w:val="17"/>
                <w:szCs w:val="17"/>
                <w:lang w:eastAsia="en-GB"/>
              </w:rPr>
              <w:lastRenderedPageBreak/>
              <w:t>(c) &amp; (d)</w:t>
            </w:r>
          </w:p>
        </w:tc>
        <w:tc>
          <w:tcPr>
            <w:tcW w:w="8647" w:type="dxa"/>
          </w:tcPr>
          <w:p w14:paraId="2AEBACA5" w14:textId="727CB1C4" w:rsidR="00A148CB" w:rsidRPr="000747DD" w:rsidRDefault="00A148CB" w:rsidP="000747DD">
            <w:pPr>
              <w:widowControl w:val="0"/>
              <w:spacing w:before="40" w:after="40"/>
              <w:jc w:val="both"/>
              <w:rPr>
                <w:szCs w:val="17"/>
                <w:lang w:eastAsia="en-GB"/>
              </w:rPr>
            </w:pPr>
            <w:r w:rsidRPr="000E5A8B">
              <w:rPr>
                <w:sz w:val="17"/>
                <w:szCs w:val="17"/>
                <w:lang w:eastAsia="en-GB"/>
              </w:rPr>
              <w:t xml:space="preserve">The change in projected net interest income (“ΔNII”) over a forward-looking rolling 12-month period based on the methodology described in the SPM </w:t>
            </w:r>
            <w:r>
              <w:rPr>
                <w:sz w:val="17"/>
                <w:szCs w:val="17"/>
                <w:lang w:eastAsia="en-GB"/>
              </w:rPr>
              <w:t xml:space="preserve">module </w:t>
            </w:r>
            <w:r w:rsidRPr="000E5A8B">
              <w:rPr>
                <w:sz w:val="17"/>
                <w:szCs w:val="17"/>
                <w:lang w:eastAsia="en-GB"/>
              </w:rPr>
              <w:t>IR-1 “Interest Rate Risk</w:t>
            </w:r>
            <w:r>
              <w:rPr>
                <w:sz w:val="17"/>
                <w:szCs w:val="17"/>
                <w:lang w:eastAsia="en-GB"/>
              </w:rPr>
              <w:t xml:space="preserve"> in the Banking Book</w:t>
            </w:r>
            <w:r w:rsidRPr="000E5A8B">
              <w:rPr>
                <w:sz w:val="17"/>
                <w:szCs w:val="17"/>
                <w:lang w:eastAsia="en-GB"/>
              </w:rPr>
              <w:t xml:space="preserve">” and the </w:t>
            </w:r>
            <w:r>
              <w:rPr>
                <w:sz w:val="17"/>
                <w:szCs w:val="17"/>
                <w:lang w:eastAsia="en-GB"/>
              </w:rPr>
              <w:t xml:space="preserve">IRRBB </w:t>
            </w:r>
            <w:r w:rsidRPr="000E5A8B">
              <w:rPr>
                <w:sz w:val="17"/>
                <w:szCs w:val="17"/>
                <w:lang w:eastAsia="en-GB"/>
              </w:rPr>
              <w:t>return.</w:t>
            </w:r>
            <w:r>
              <w:rPr>
                <w:sz w:val="17"/>
                <w:szCs w:val="17"/>
                <w:lang w:eastAsia="en-GB"/>
              </w:rPr>
              <w:t xml:space="preserve">  The cells in rows 3 to 6 (in dark grey) need not be filled in.</w:t>
            </w:r>
          </w:p>
        </w:tc>
      </w:tr>
      <w:tr w:rsidR="000747DD" w:rsidRPr="000747DD" w14:paraId="6D3AE366" w14:textId="77777777" w:rsidTr="000747DD">
        <w:tc>
          <w:tcPr>
            <w:tcW w:w="9214" w:type="dxa"/>
            <w:gridSpan w:val="2"/>
            <w:shd w:val="clear" w:color="auto" w:fill="F2F2F2"/>
          </w:tcPr>
          <w:p w14:paraId="0F9549BF" w14:textId="77777777" w:rsidR="000747DD" w:rsidRPr="000747DD" w:rsidRDefault="000747DD" w:rsidP="000747DD">
            <w:pPr>
              <w:spacing w:before="40" w:after="40"/>
              <w:jc w:val="both"/>
              <w:rPr>
                <w:sz w:val="17"/>
                <w:szCs w:val="17"/>
                <w:lang w:eastAsia="en-GB"/>
              </w:rPr>
            </w:pPr>
            <w:r w:rsidRPr="000747DD">
              <w:rPr>
                <w:rFonts w:eastAsia="新細明體"/>
                <w:b/>
                <w:sz w:val="17"/>
                <w:szCs w:val="17"/>
                <w:lang w:eastAsia="en-GB"/>
              </w:rPr>
              <w:t>Row</w:t>
            </w:r>
          </w:p>
        </w:tc>
      </w:tr>
      <w:tr w:rsidR="000747DD" w:rsidRPr="000747DD" w14:paraId="34075A25" w14:textId="77777777" w:rsidTr="00126350">
        <w:tc>
          <w:tcPr>
            <w:tcW w:w="567" w:type="dxa"/>
          </w:tcPr>
          <w:p w14:paraId="0732B70B" w14:textId="77777777" w:rsidR="000747DD" w:rsidRPr="000747DD" w:rsidRDefault="000747DD" w:rsidP="000747DD">
            <w:pPr>
              <w:keepLines/>
              <w:widowControl w:val="0"/>
              <w:tabs>
                <w:tab w:val="left" w:pos="150"/>
                <w:tab w:val="left" w:pos="397"/>
                <w:tab w:val="left" w:pos="794"/>
                <w:tab w:val="left" w:pos="1191"/>
              </w:tabs>
              <w:spacing w:before="40" w:after="40"/>
              <w:rPr>
                <w:rFonts w:cs="Segoe UI"/>
                <w:sz w:val="17"/>
                <w:szCs w:val="17"/>
                <w:lang w:eastAsia="en-GB"/>
              </w:rPr>
            </w:pPr>
            <w:r w:rsidRPr="000747DD">
              <w:rPr>
                <w:rFonts w:cs="Segoe UI"/>
                <w:sz w:val="17"/>
                <w:szCs w:val="17"/>
                <w:lang w:eastAsia="en-GB"/>
              </w:rPr>
              <w:t>7</w:t>
            </w:r>
          </w:p>
        </w:tc>
        <w:tc>
          <w:tcPr>
            <w:tcW w:w="8647" w:type="dxa"/>
          </w:tcPr>
          <w:p w14:paraId="3FA4E58E" w14:textId="77777777" w:rsidR="000747DD" w:rsidRPr="000747DD" w:rsidRDefault="000747DD" w:rsidP="000747DD">
            <w:pPr>
              <w:widowControl w:val="0"/>
              <w:spacing w:before="40" w:after="40"/>
              <w:jc w:val="both"/>
              <w:rPr>
                <w:sz w:val="17"/>
                <w:szCs w:val="17"/>
                <w:lang w:eastAsia="en-GB"/>
              </w:rPr>
            </w:pPr>
            <w:r w:rsidRPr="000747DD">
              <w:rPr>
                <w:i/>
                <w:sz w:val="17"/>
                <w:szCs w:val="17"/>
                <w:lang w:eastAsia="en-GB"/>
              </w:rPr>
              <w:t>Maximum</w:t>
            </w:r>
            <w:r w:rsidRPr="000747DD">
              <w:rPr>
                <w:sz w:val="17"/>
                <w:szCs w:val="17"/>
                <w:lang w:eastAsia="en-GB"/>
              </w:rPr>
              <w:t>: This refers to the maximum of economic value of equity (across interest rate shock scenarios 1 to 6 above) and net interest income (across interest rate shock scenarios 1 and 2 above).  Positive values indicate losses under the alternative scenarios.</w:t>
            </w:r>
          </w:p>
        </w:tc>
      </w:tr>
    </w:tbl>
    <w:p w14:paraId="191A03F4" w14:textId="77777777" w:rsidR="000747DD" w:rsidRPr="000747DD" w:rsidRDefault="000747DD" w:rsidP="000747DD">
      <w:pPr>
        <w:spacing w:before="120" w:after="120"/>
        <w:rPr>
          <w:sz w:val="22"/>
        </w:rPr>
      </w:pPr>
    </w:p>
    <w:p w14:paraId="1A75CA0C" w14:textId="77777777" w:rsidR="008974E3" w:rsidRDefault="008974E3" w:rsidP="008974E3">
      <w:pPr>
        <w:spacing w:before="120" w:after="120"/>
        <w:rPr>
          <w:sz w:val="22"/>
        </w:rPr>
      </w:pPr>
    </w:p>
    <w:p w14:paraId="33D4F697" w14:textId="77777777" w:rsidR="008974E3" w:rsidRDefault="008974E3" w:rsidP="008974E3">
      <w:pPr>
        <w:sectPr w:rsidR="008974E3">
          <w:headerReference w:type="even" r:id="rId88"/>
          <w:headerReference w:type="default" r:id="rId89"/>
          <w:footerReference w:type="even" r:id="rId90"/>
          <w:footerReference w:type="default" r:id="rId91"/>
          <w:headerReference w:type="first" r:id="rId92"/>
          <w:footerReference w:type="first" r:id="rId93"/>
          <w:pgSz w:w="11906" w:h="16838"/>
          <w:pgMar w:top="1440" w:right="1800" w:bottom="1440" w:left="1800" w:header="851" w:footer="992" w:gutter="0"/>
          <w:cols w:space="425"/>
          <w:docGrid w:type="lines" w:linePitch="360"/>
        </w:sectPr>
      </w:pPr>
    </w:p>
    <w:p w14:paraId="0C04DC98" w14:textId="3871FEA2" w:rsidR="008974E3" w:rsidRDefault="008974E3" w:rsidP="00953CFF">
      <w:pPr>
        <w:keepNext/>
        <w:keepLines/>
        <w:tabs>
          <w:tab w:val="left" w:pos="567"/>
        </w:tabs>
        <w:ind w:leftChars="-283" w:left="-566" w:rightChars="-142" w:right="-284"/>
        <w:outlineLvl w:val="0"/>
        <w:rPr>
          <w:color w:val="AA322F"/>
          <w:sz w:val="28"/>
          <w:szCs w:val="28"/>
        </w:rPr>
      </w:pPr>
      <w:r w:rsidRPr="00953CFF">
        <w:rPr>
          <w:color w:val="AA322F"/>
          <w:sz w:val="28"/>
          <w:szCs w:val="28"/>
        </w:rPr>
        <w:lastRenderedPageBreak/>
        <w:t>Part VIII:</w:t>
      </w:r>
      <w:r w:rsidRPr="00953CFF">
        <w:rPr>
          <w:color w:val="AA322F"/>
          <w:sz w:val="28"/>
          <w:szCs w:val="28"/>
        </w:rPr>
        <w:tab/>
        <w:t>Remuneration</w:t>
      </w:r>
    </w:p>
    <w:p w14:paraId="084269B1" w14:textId="0055586D" w:rsidR="00F937CE" w:rsidRPr="00953CFF" w:rsidRDefault="00F937CE" w:rsidP="003B1729">
      <w:pPr>
        <w:pStyle w:val="Heading2"/>
        <w:rPr>
          <w:color w:val="AA322F"/>
          <w:sz w:val="28"/>
          <w:szCs w:val="28"/>
        </w:rPr>
      </w:pPr>
      <w:r w:rsidRPr="0023654F">
        <w:t xml:space="preserve">Table </w:t>
      </w:r>
      <w:r>
        <w:t>REM</w:t>
      </w:r>
      <w:r w:rsidRPr="0023654F">
        <w:t xml:space="preserve">A: </w:t>
      </w:r>
      <w:r>
        <w:t>Remuneration policy</w:t>
      </w:r>
    </w:p>
    <w:tbl>
      <w:tblPr>
        <w:tblW w:w="9356" w:type="dxa"/>
        <w:tblInd w:w="-567"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116"/>
        <w:gridCol w:w="7240"/>
      </w:tblGrid>
      <w:tr w:rsidR="008974E3" w:rsidRPr="0023654F" w14:paraId="3CBCE101" w14:textId="77777777" w:rsidTr="006F1CCF">
        <w:tc>
          <w:tcPr>
            <w:tcW w:w="2116" w:type="dxa"/>
          </w:tcPr>
          <w:p w14:paraId="79C6D19E" w14:textId="77777777" w:rsidR="008974E3" w:rsidRPr="0023654F" w:rsidRDefault="008974E3" w:rsidP="00647044">
            <w:pPr>
              <w:spacing w:before="40" w:after="40"/>
              <w:rPr>
                <w:noProof/>
                <w:sz w:val="17"/>
                <w:lang w:eastAsia="en-GB"/>
              </w:rPr>
            </w:pPr>
            <w:r w:rsidRPr="0023654F">
              <w:rPr>
                <w:b/>
                <w:sz w:val="17"/>
                <w:lang w:eastAsia="en-GB"/>
              </w:rPr>
              <w:t>Purpose:</w:t>
            </w:r>
          </w:p>
        </w:tc>
        <w:tc>
          <w:tcPr>
            <w:tcW w:w="7240" w:type="dxa"/>
          </w:tcPr>
          <w:p w14:paraId="5B649534" w14:textId="77777777" w:rsidR="008974E3" w:rsidRPr="00B54EA4" w:rsidRDefault="008974E3" w:rsidP="00647044">
            <w:pPr>
              <w:pStyle w:val="TableText"/>
              <w:jc w:val="both"/>
              <w:rPr>
                <w:lang w:val="en-US" w:eastAsia="en-GB"/>
              </w:rPr>
            </w:pPr>
            <w:r w:rsidRPr="0023654F">
              <w:rPr>
                <w:lang w:eastAsia="en-GB"/>
              </w:rPr>
              <w:t xml:space="preserve">To </w:t>
            </w:r>
            <w:r>
              <w:rPr>
                <w:lang w:eastAsia="en-GB"/>
              </w:rPr>
              <w:t>d</w:t>
            </w:r>
            <w:r>
              <w:rPr>
                <w:szCs w:val="17"/>
              </w:rPr>
              <w:t>escribe the remuneration policy as well as key features of the remuneration system to allow meaningful assessments by Pillar 3 data users of an AI’s compensation practices.</w:t>
            </w:r>
          </w:p>
        </w:tc>
      </w:tr>
      <w:tr w:rsidR="008974E3" w:rsidRPr="0023654F" w14:paraId="6DFA3A0F" w14:textId="77777777" w:rsidTr="006F1CCF">
        <w:tc>
          <w:tcPr>
            <w:tcW w:w="2116" w:type="dxa"/>
          </w:tcPr>
          <w:p w14:paraId="3510B988" w14:textId="77777777" w:rsidR="008974E3" w:rsidRPr="0023654F" w:rsidRDefault="008974E3" w:rsidP="00647044">
            <w:pPr>
              <w:spacing w:before="40" w:after="40"/>
              <w:rPr>
                <w:b/>
                <w:sz w:val="17"/>
                <w:lang w:eastAsia="en-GB"/>
              </w:rPr>
            </w:pPr>
            <w:r>
              <w:rPr>
                <w:b/>
                <w:sz w:val="17"/>
                <w:lang w:eastAsia="en-GB"/>
              </w:rPr>
              <w:t>Scope of application:</w:t>
            </w:r>
          </w:p>
        </w:tc>
        <w:tc>
          <w:tcPr>
            <w:tcW w:w="7240" w:type="dxa"/>
          </w:tcPr>
          <w:p w14:paraId="5DAA6BE6" w14:textId="77777777" w:rsidR="008974E3" w:rsidRPr="0023654F" w:rsidRDefault="008974E3" w:rsidP="00647044">
            <w:pPr>
              <w:spacing w:before="40" w:after="40"/>
              <w:jc w:val="both"/>
              <w:rPr>
                <w:b/>
                <w:sz w:val="17"/>
                <w:lang w:eastAsia="en-GB"/>
              </w:rPr>
            </w:pPr>
            <w:r w:rsidRPr="0023654F">
              <w:rPr>
                <w:sz w:val="17"/>
                <w:lang w:eastAsia="en-GB"/>
              </w:rPr>
              <w:t xml:space="preserve">The table is mandatory for </w:t>
            </w:r>
            <w:r>
              <w:rPr>
                <w:sz w:val="17"/>
                <w:lang w:eastAsia="en-GB"/>
              </w:rPr>
              <w:t>all AI</w:t>
            </w:r>
            <w:r w:rsidRPr="0023654F">
              <w:rPr>
                <w:sz w:val="17"/>
                <w:lang w:eastAsia="en-GB"/>
              </w:rPr>
              <w:t xml:space="preserve">s </w:t>
            </w:r>
            <w:r>
              <w:rPr>
                <w:sz w:val="17"/>
                <w:lang w:eastAsia="en-GB"/>
              </w:rPr>
              <w:t>incorporated in Hong Kong.</w:t>
            </w:r>
          </w:p>
        </w:tc>
      </w:tr>
      <w:tr w:rsidR="008974E3" w:rsidRPr="0023654F" w14:paraId="3A955F9A" w14:textId="77777777" w:rsidTr="006F1CCF">
        <w:tc>
          <w:tcPr>
            <w:tcW w:w="2116" w:type="dxa"/>
          </w:tcPr>
          <w:p w14:paraId="339233AE" w14:textId="77777777" w:rsidR="008974E3" w:rsidRPr="0023654F" w:rsidRDefault="008974E3" w:rsidP="00647044">
            <w:pPr>
              <w:spacing w:before="40" w:after="40"/>
              <w:rPr>
                <w:b/>
                <w:sz w:val="17"/>
                <w:lang w:eastAsia="en-GB"/>
              </w:rPr>
            </w:pPr>
            <w:r>
              <w:rPr>
                <w:b/>
                <w:sz w:val="17"/>
                <w:lang w:eastAsia="en-GB"/>
              </w:rPr>
              <w:t>Content:</w:t>
            </w:r>
          </w:p>
        </w:tc>
        <w:tc>
          <w:tcPr>
            <w:tcW w:w="7240" w:type="dxa"/>
          </w:tcPr>
          <w:p w14:paraId="0AD57926" w14:textId="77777777" w:rsidR="008974E3" w:rsidRPr="0023654F" w:rsidRDefault="008974E3" w:rsidP="00647044">
            <w:pPr>
              <w:spacing w:before="40" w:after="40"/>
              <w:jc w:val="both"/>
              <w:rPr>
                <w:b/>
                <w:sz w:val="17"/>
                <w:lang w:eastAsia="en-GB"/>
              </w:rPr>
            </w:pPr>
            <w:r w:rsidRPr="0023654F">
              <w:rPr>
                <w:sz w:val="17"/>
                <w:lang w:eastAsia="en-GB"/>
              </w:rPr>
              <w:t>Qualitative information.</w:t>
            </w:r>
          </w:p>
        </w:tc>
      </w:tr>
      <w:tr w:rsidR="008974E3" w:rsidRPr="0023654F" w14:paraId="5D227D67" w14:textId="77777777" w:rsidTr="006F1CCF">
        <w:tc>
          <w:tcPr>
            <w:tcW w:w="2116" w:type="dxa"/>
          </w:tcPr>
          <w:p w14:paraId="0F8164A6" w14:textId="77777777" w:rsidR="008974E3" w:rsidRPr="0023654F" w:rsidRDefault="008974E3" w:rsidP="00647044">
            <w:pPr>
              <w:spacing w:before="40" w:after="40"/>
              <w:rPr>
                <w:sz w:val="17"/>
                <w:lang w:eastAsia="en-GB"/>
              </w:rPr>
            </w:pPr>
            <w:r w:rsidRPr="0023654F">
              <w:rPr>
                <w:b/>
                <w:sz w:val="17"/>
                <w:lang w:eastAsia="en-GB"/>
              </w:rPr>
              <w:t>Frequency:</w:t>
            </w:r>
          </w:p>
        </w:tc>
        <w:tc>
          <w:tcPr>
            <w:tcW w:w="7240" w:type="dxa"/>
          </w:tcPr>
          <w:p w14:paraId="71FEF5A4" w14:textId="77777777" w:rsidR="008974E3" w:rsidRPr="00E60D4A" w:rsidRDefault="008974E3" w:rsidP="00647044">
            <w:pPr>
              <w:pStyle w:val="TableText"/>
              <w:jc w:val="both"/>
              <w:rPr>
                <w:lang w:val="en-US" w:eastAsia="en-GB"/>
              </w:rPr>
            </w:pPr>
            <w:r w:rsidRPr="0023654F">
              <w:rPr>
                <w:lang w:eastAsia="en-GB"/>
              </w:rPr>
              <w:t>Annual.</w:t>
            </w:r>
          </w:p>
        </w:tc>
      </w:tr>
      <w:tr w:rsidR="008974E3" w:rsidRPr="0023654F" w14:paraId="16330E23" w14:textId="77777777" w:rsidTr="006F1CCF">
        <w:tc>
          <w:tcPr>
            <w:tcW w:w="2116" w:type="dxa"/>
          </w:tcPr>
          <w:p w14:paraId="0F31B6C2" w14:textId="77777777" w:rsidR="008974E3" w:rsidRPr="0023654F" w:rsidRDefault="008974E3" w:rsidP="00647044">
            <w:pPr>
              <w:spacing w:before="40" w:after="40"/>
              <w:rPr>
                <w:sz w:val="17"/>
                <w:lang w:eastAsia="en-GB"/>
              </w:rPr>
            </w:pPr>
            <w:r w:rsidRPr="0023654F">
              <w:rPr>
                <w:b/>
                <w:sz w:val="17"/>
                <w:lang w:eastAsia="en-GB"/>
              </w:rPr>
              <w:t>Format:</w:t>
            </w:r>
          </w:p>
        </w:tc>
        <w:tc>
          <w:tcPr>
            <w:tcW w:w="7240" w:type="dxa"/>
          </w:tcPr>
          <w:p w14:paraId="013CD7E5" w14:textId="77777777" w:rsidR="008974E3" w:rsidRPr="0023654F" w:rsidRDefault="008974E3" w:rsidP="00647044">
            <w:pPr>
              <w:pStyle w:val="TableText"/>
              <w:jc w:val="both"/>
              <w:rPr>
                <w:lang w:eastAsia="en-GB"/>
              </w:rPr>
            </w:pPr>
            <w:r w:rsidRPr="0023654F">
              <w:rPr>
                <w:lang w:eastAsia="en-GB"/>
              </w:rPr>
              <w:t>Flexible.</w:t>
            </w:r>
          </w:p>
        </w:tc>
      </w:tr>
      <w:tr w:rsidR="008974E3" w:rsidRPr="0023654F" w14:paraId="51D35EAE" w14:textId="77777777" w:rsidTr="006F1CCF">
        <w:tc>
          <w:tcPr>
            <w:tcW w:w="2116" w:type="dxa"/>
          </w:tcPr>
          <w:p w14:paraId="3FB2130F" w14:textId="77777777" w:rsidR="008974E3" w:rsidRPr="0023654F" w:rsidRDefault="008974E3" w:rsidP="00647044">
            <w:pPr>
              <w:spacing w:before="40" w:after="40"/>
              <w:rPr>
                <w:b/>
                <w:sz w:val="17"/>
                <w:lang w:eastAsia="en-GB"/>
              </w:rPr>
            </w:pPr>
            <w:r>
              <w:rPr>
                <w:b/>
                <w:sz w:val="17"/>
                <w:lang w:eastAsia="en-GB"/>
              </w:rPr>
              <w:t>Corresponding BDR section:</w:t>
            </w:r>
          </w:p>
        </w:tc>
        <w:tc>
          <w:tcPr>
            <w:tcW w:w="7240" w:type="dxa"/>
          </w:tcPr>
          <w:p w14:paraId="2D91EA39" w14:textId="77777777" w:rsidR="008974E3" w:rsidRPr="0023654F" w:rsidRDefault="008974E3" w:rsidP="00647044">
            <w:pPr>
              <w:pStyle w:val="TableText"/>
              <w:jc w:val="both"/>
              <w:rPr>
                <w:lang w:eastAsia="en-GB"/>
              </w:rPr>
            </w:pPr>
            <w:r w:rsidRPr="001B530B">
              <w:rPr>
                <w:lang w:eastAsia="en-GB"/>
              </w:rPr>
              <w:t>16ZS</w:t>
            </w:r>
          </w:p>
        </w:tc>
      </w:tr>
    </w:tbl>
    <w:p w14:paraId="34E4081D" w14:textId="497DA901" w:rsidR="008974E3" w:rsidRDefault="008974E3" w:rsidP="008974E3">
      <w:pPr>
        <w:spacing w:before="120" w:after="120"/>
        <w:rPr>
          <w:sz w:val="22"/>
        </w:rPr>
      </w:pPr>
    </w:p>
    <w:tbl>
      <w:tblPr>
        <w:tblW w:w="9439" w:type="dxa"/>
        <w:tblInd w:w="-567" w:type="dxa"/>
        <w:tblCellMar>
          <w:left w:w="70" w:type="dxa"/>
          <w:right w:w="70" w:type="dxa"/>
        </w:tblCellMar>
        <w:tblLook w:val="00A0" w:firstRow="1" w:lastRow="0" w:firstColumn="1" w:lastColumn="0" w:noHBand="0" w:noVBand="0"/>
      </w:tblPr>
      <w:tblGrid>
        <w:gridCol w:w="567"/>
        <w:gridCol w:w="8872"/>
      </w:tblGrid>
      <w:tr w:rsidR="00F2251E" w:rsidRPr="008E69B3" w14:paraId="60857A88" w14:textId="77777777" w:rsidTr="00D53E76">
        <w:trPr>
          <w:trHeight w:val="448"/>
        </w:trPr>
        <w:tc>
          <w:tcPr>
            <w:tcW w:w="9439" w:type="dxa"/>
            <w:gridSpan w:val="2"/>
            <w:tcBorders>
              <w:top w:val="single" w:sz="4" w:space="0" w:color="auto"/>
              <w:bottom w:val="single" w:sz="4" w:space="0" w:color="auto"/>
            </w:tcBorders>
            <w:vAlign w:val="center"/>
          </w:tcPr>
          <w:p w14:paraId="3639BFF2" w14:textId="77777777" w:rsidR="00F2251E" w:rsidRPr="00C631D0" w:rsidRDefault="00F2251E" w:rsidP="00F65190">
            <w:pPr>
              <w:widowControl w:val="0"/>
              <w:spacing w:before="40" w:after="40"/>
              <w:jc w:val="both"/>
              <w:rPr>
                <w:sz w:val="17"/>
                <w:szCs w:val="17"/>
                <w:lang w:eastAsia="fr-FR"/>
              </w:rPr>
            </w:pPr>
            <w:r>
              <w:rPr>
                <w:sz w:val="17"/>
                <w:szCs w:val="17"/>
                <w:lang w:eastAsia="fr-FR"/>
              </w:rPr>
              <w:t>An AI</w:t>
            </w:r>
            <w:r w:rsidRPr="00C631D0">
              <w:rPr>
                <w:sz w:val="17"/>
                <w:szCs w:val="17"/>
                <w:lang w:eastAsia="fr-FR"/>
              </w:rPr>
              <w:t xml:space="preserve"> </w:t>
            </w:r>
            <w:r>
              <w:rPr>
                <w:sz w:val="17"/>
                <w:szCs w:val="17"/>
                <w:lang w:eastAsia="fr-FR"/>
              </w:rPr>
              <w:t>should</w:t>
            </w:r>
            <w:r w:rsidRPr="00C631D0">
              <w:rPr>
                <w:sz w:val="17"/>
                <w:szCs w:val="17"/>
                <w:lang w:eastAsia="fr-FR"/>
              </w:rPr>
              <w:t xml:space="preserve"> </w:t>
            </w:r>
            <w:r w:rsidRPr="008E69B3">
              <w:rPr>
                <w:sz w:val="17"/>
                <w:szCs w:val="17"/>
                <w:lang w:eastAsia="fr-FR"/>
              </w:rPr>
              <w:t xml:space="preserve">describe the main elements of </w:t>
            </w:r>
            <w:r>
              <w:rPr>
                <w:sz w:val="17"/>
                <w:szCs w:val="17"/>
                <w:lang w:eastAsia="fr-FR"/>
              </w:rPr>
              <w:t>its</w:t>
            </w:r>
            <w:r w:rsidRPr="008E69B3">
              <w:rPr>
                <w:sz w:val="17"/>
                <w:szCs w:val="17"/>
                <w:lang w:eastAsia="fr-FR"/>
              </w:rPr>
              <w:t xml:space="preserve"> remuneration system and how </w:t>
            </w:r>
            <w:r>
              <w:rPr>
                <w:sz w:val="17"/>
                <w:szCs w:val="17"/>
                <w:lang w:eastAsia="fr-FR"/>
              </w:rPr>
              <w:t>i</w:t>
            </w:r>
            <w:r w:rsidRPr="008E69B3">
              <w:rPr>
                <w:sz w:val="17"/>
                <w:szCs w:val="17"/>
                <w:lang w:eastAsia="fr-FR"/>
              </w:rPr>
              <w:t>t develop</w:t>
            </w:r>
            <w:r>
              <w:rPr>
                <w:sz w:val="17"/>
                <w:szCs w:val="17"/>
                <w:lang w:eastAsia="fr-FR"/>
              </w:rPr>
              <w:t>ed</w:t>
            </w:r>
            <w:r w:rsidRPr="008E69B3">
              <w:rPr>
                <w:sz w:val="17"/>
                <w:szCs w:val="17"/>
                <w:lang w:eastAsia="fr-FR"/>
              </w:rPr>
              <w:t xml:space="preserve"> this system. </w:t>
            </w:r>
            <w:r>
              <w:rPr>
                <w:sz w:val="17"/>
                <w:szCs w:val="17"/>
                <w:lang w:eastAsia="fr-FR"/>
              </w:rPr>
              <w:t xml:space="preserve"> </w:t>
            </w:r>
            <w:r w:rsidRPr="008E69B3">
              <w:rPr>
                <w:sz w:val="17"/>
                <w:szCs w:val="17"/>
                <w:lang w:eastAsia="fr-FR"/>
              </w:rPr>
              <w:t>In particular, the following elements, where relevant, should be described</w:t>
            </w:r>
            <w:r w:rsidRPr="00781FE5">
              <w:rPr>
                <w:sz w:val="17"/>
                <w:szCs w:val="17"/>
                <w:lang w:eastAsia="fr-FR"/>
              </w:rPr>
              <w:t>:</w:t>
            </w:r>
          </w:p>
        </w:tc>
      </w:tr>
      <w:tr w:rsidR="00F2251E" w:rsidRPr="0023654F" w14:paraId="784BEA5B" w14:textId="77777777" w:rsidTr="00D53E76">
        <w:trPr>
          <w:trHeight w:val="318"/>
        </w:trPr>
        <w:tc>
          <w:tcPr>
            <w:tcW w:w="567" w:type="dxa"/>
            <w:tcBorders>
              <w:top w:val="single" w:sz="4" w:space="0" w:color="auto"/>
              <w:bottom w:val="single" w:sz="4" w:space="0" w:color="auto"/>
            </w:tcBorders>
            <w:noWrap/>
          </w:tcPr>
          <w:p w14:paraId="7BBAA884" w14:textId="77777777" w:rsidR="00F2251E" w:rsidRPr="0023654F" w:rsidRDefault="00F2251E" w:rsidP="00F65190">
            <w:pPr>
              <w:widowControl w:val="0"/>
              <w:spacing w:before="40" w:after="40"/>
              <w:rPr>
                <w:sz w:val="17"/>
                <w:szCs w:val="17"/>
              </w:rPr>
            </w:pPr>
            <w:r>
              <w:rPr>
                <w:sz w:val="17"/>
                <w:szCs w:val="17"/>
              </w:rPr>
              <w:t>(</w:t>
            </w:r>
            <w:r w:rsidRPr="0023654F">
              <w:rPr>
                <w:sz w:val="17"/>
                <w:szCs w:val="17"/>
              </w:rPr>
              <w:t>a</w:t>
            </w:r>
            <w:r>
              <w:rPr>
                <w:sz w:val="17"/>
                <w:szCs w:val="17"/>
              </w:rPr>
              <w:t>)</w:t>
            </w:r>
          </w:p>
        </w:tc>
        <w:tc>
          <w:tcPr>
            <w:tcW w:w="8872" w:type="dxa"/>
            <w:tcBorders>
              <w:top w:val="single" w:sz="4" w:space="0" w:color="auto"/>
              <w:bottom w:val="single" w:sz="4" w:space="0" w:color="auto"/>
            </w:tcBorders>
            <w:noWrap/>
            <w:vAlign w:val="bottom"/>
          </w:tcPr>
          <w:p w14:paraId="42DFCC7C" w14:textId="77777777" w:rsidR="00F2251E" w:rsidRPr="00E67885" w:rsidRDefault="00F2251E" w:rsidP="00F65190">
            <w:pPr>
              <w:pStyle w:val="TableText"/>
              <w:jc w:val="both"/>
              <w:rPr>
                <w:noProof/>
                <w:szCs w:val="17"/>
                <w:lang w:eastAsia="en-GB"/>
              </w:rPr>
            </w:pPr>
            <w:r w:rsidRPr="00E67885">
              <w:rPr>
                <w:noProof/>
                <w:szCs w:val="17"/>
                <w:lang w:eastAsia="en-GB"/>
              </w:rPr>
              <w:t xml:space="preserve">Information relating to the bodies that oversee remuneration. </w:t>
            </w:r>
            <w:r>
              <w:rPr>
                <w:noProof/>
                <w:szCs w:val="17"/>
                <w:lang w:eastAsia="en-GB"/>
              </w:rPr>
              <w:t xml:space="preserve"> </w:t>
            </w:r>
            <w:r w:rsidRPr="00E67885">
              <w:rPr>
                <w:noProof/>
                <w:szCs w:val="17"/>
                <w:lang w:eastAsia="en-GB"/>
              </w:rPr>
              <w:t>Disclosures should include:</w:t>
            </w:r>
          </w:p>
          <w:p w14:paraId="1EB486B1" w14:textId="77777777" w:rsidR="00F2251E" w:rsidRDefault="00F2251E" w:rsidP="008D652E">
            <w:pPr>
              <w:pStyle w:val="TableText"/>
              <w:numPr>
                <w:ilvl w:val="0"/>
                <w:numId w:val="36"/>
              </w:numPr>
              <w:tabs>
                <w:tab w:val="left" w:pos="509"/>
              </w:tabs>
              <w:ind w:left="509" w:hanging="509"/>
              <w:jc w:val="both"/>
              <w:rPr>
                <w:noProof/>
                <w:szCs w:val="17"/>
                <w:lang w:eastAsia="en-GB"/>
              </w:rPr>
            </w:pPr>
            <w:r>
              <w:rPr>
                <w:szCs w:val="17"/>
              </w:rPr>
              <w:t>n</w:t>
            </w:r>
            <w:r w:rsidRPr="00E67885">
              <w:rPr>
                <w:szCs w:val="17"/>
              </w:rPr>
              <w:t>ame, composition and mandate of the ma</w:t>
            </w:r>
            <w:r>
              <w:rPr>
                <w:szCs w:val="17"/>
              </w:rPr>
              <w:t>in body overseeing remuneration;</w:t>
            </w:r>
          </w:p>
          <w:p w14:paraId="0E9FFF62" w14:textId="77777777" w:rsidR="00F2251E" w:rsidRDefault="00F2251E" w:rsidP="008D652E">
            <w:pPr>
              <w:pStyle w:val="TableText"/>
              <w:numPr>
                <w:ilvl w:val="0"/>
                <w:numId w:val="36"/>
              </w:numPr>
              <w:tabs>
                <w:tab w:val="left" w:pos="509"/>
              </w:tabs>
              <w:ind w:left="509" w:hanging="509"/>
              <w:jc w:val="both"/>
              <w:rPr>
                <w:noProof/>
                <w:szCs w:val="17"/>
                <w:lang w:eastAsia="en-GB"/>
              </w:rPr>
            </w:pPr>
            <w:r>
              <w:rPr>
                <w:noProof/>
                <w:szCs w:val="17"/>
                <w:lang w:eastAsia="en-GB"/>
              </w:rPr>
              <w:t>e</w:t>
            </w:r>
            <w:r w:rsidRPr="00E67885">
              <w:rPr>
                <w:noProof/>
                <w:szCs w:val="17"/>
                <w:lang w:eastAsia="en-GB"/>
              </w:rPr>
              <w:t>xternal consultants whose advice has been sought, the body by which they were commissioned, and in what ar</w:t>
            </w:r>
            <w:r>
              <w:rPr>
                <w:noProof/>
                <w:szCs w:val="17"/>
                <w:lang w:eastAsia="en-GB"/>
              </w:rPr>
              <w:t>eas of the remuneration process;</w:t>
            </w:r>
          </w:p>
          <w:p w14:paraId="2B15063B" w14:textId="77777777" w:rsidR="00F2251E" w:rsidRDefault="00F2251E" w:rsidP="008D652E">
            <w:pPr>
              <w:pStyle w:val="TableText"/>
              <w:numPr>
                <w:ilvl w:val="0"/>
                <w:numId w:val="36"/>
              </w:numPr>
              <w:tabs>
                <w:tab w:val="left" w:pos="509"/>
              </w:tabs>
              <w:ind w:left="509" w:hanging="509"/>
              <w:jc w:val="both"/>
              <w:rPr>
                <w:noProof/>
                <w:szCs w:val="17"/>
                <w:lang w:eastAsia="en-GB"/>
              </w:rPr>
            </w:pPr>
            <w:r>
              <w:rPr>
                <w:noProof/>
                <w:szCs w:val="17"/>
                <w:lang w:eastAsia="en-GB"/>
              </w:rPr>
              <w:t>a</w:t>
            </w:r>
            <w:r w:rsidRPr="00E67885">
              <w:rPr>
                <w:noProof/>
                <w:szCs w:val="17"/>
                <w:lang w:eastAsia="en-GB"/>
              </w:rPr>
              <w:t xml:space="preserve"> description of the scope of the </w:t>
            </w:r>
            <w:r>
              <w:rPr>
                <w:noProof/>
                <w:szCs w:val="17"/>
                <w:lang w:eastAsia="en-GB"/>
              </w:rPr>
              <w:t>AI</w:t>
            </w:r>
            <w:r w:rsidRPr="00E67885">
              <w:rPr>
                <w:noProof/>
                <w:szCs w:val="17"/>
                <w:lang w:eastAsia="en-GB"/>
              </w:rPr>
              <w:t>’s remuneration policy (e</w:t>
            </w:r>
            <w:r>
              <w:rPr>
                <w:noProof/>
                <w:szCs w:val="17"/>
                <w:lang w:eastAsia="en-GB"/>
              </w:rPr>
              <w:t>.</w:t>
            </w:r>
            <w:r w:rsidRPr="00E67885">
              <w:rPr>
                <w:noProof/>
                <w:szCs w:val="17"/>
                <w:lang w:eastAsia="en-GB"/>
              </w:rPr>
              <w:t>g</w:t>
            </w:r>
            <w:r>
              <w:rPr>
                <w:noProof/>
                <w:szCs w:val="17"/>
                <w:lang w:eastAsia="en-GB"/>
              </w:rPr>
              <w:t>.</w:t>
            </w:r>
            <w:r w:rsidRPr="00E67885">
              <w:rPr>
                <w:noProof/>
                <w:szCs w:val="17"/>
                <w:lang w:eastAsia="en-GB"/>
              </w:rPr>
              <w:t xml:space="preserve"> by regions, business lines), including the extent to which it is applicable to fo</w:t>
            </w:r>
            <w:r>
              <w:rPr>
                <w:noProof/>
                <w:szCs w:val="17"/>
                <w:lang w:eastAsia="en-GB"/>
              </w:rPr>
              <w:t>reign subsidiaries and branches; and</w:t>
            </w:r>
          </w:p>
          <w:p w14:paraId="609CBEAD" w14:textId="77777777" w:rsidR="00F2251E" w:rsidRPr="00E67885" w:rsidRDefault="00F2251E" w:rsidP="008D652E">
            <w:pPr>
              <w:pStyle w:val="TableText"/>
              <w:numPr>
                <w:ilvl w:val="0"/>
                <w:numId w:val="36"/>
              </w:numPr>
              <w:tabs>
                <w:tab w:val="left" w:pos="509"/>
              </w:tabs>
              <w:ind w:left="509" w:hanging="509"/>
              <w:jc w:val="both"/>
              <w:rPr>
                <w:noProof/>
                <w:szCs w:val="17"/>
                <w:lang w:eastAsia="en-GB"/>
              </w:rPr>
            </w:pPr>
            <w:r>
              <w:rPr>
                <w:noProof/>
                <w:szCs w:val="17"/>
                <w:lang w:eastAsia="en-GB"/>
              </w:rPr>
              <w:t>a</w:t>
            </w:r>
            <w:r w:rsidRPr="00E67885">
              <w:rPr>
                <w:noProof/>
                <w:szCs w:val="17"/>
                <w:lang w:eastAsia="en-GB"/>
              </w:rPr>
              <w:t xml:space="preserve"> description of the types of employees considered as</w:t>
            </w:r>
            <w:r>
              <w:rPr>
                <w:noProof/>
                <w:szCs w:val="17"/>
                <w:lang w:eastAsia="en-GB"/>
              </w:rPr>
              <w:t xml:space="preserve"> key personnel</w:t>
            </w:r>
            <w:r w:rsidRPr="00E67885">
              <w:rPr>
                <w:noProof/>
                <w:szCs w:val="17"/>
                <w:lang w:eastAsia="en-GB"/>
              </w:rPr>
              <w:t xml:space="preserve"> and as senior managers.</w:t>
            </w:r>
          </w:p>
        </w:tc>
      </w:tr>
      <w:tr w:rsidR="00F2251E" w:rsidRPr="0023654F" w14:paraId="66E3A4FC" w14:textId="77777777" w:rsidTr="00D53E76">
        <w:trPr>
          <w:trHeight w:val="318"/>
        </w:trPr>
        <w:tc>
          <w:tcPr>
            <w:tcW w:w="567" w:type="dxa"/>
            <w:tcBorders>
              <w:top w:val="single" w:sz="4" w:space="0" w:color="auto"/>
              <w:bottom w:val="single" w:sz="4" w:space="0" w:color="auto"/>
            </w:tcBorders>
            <w:noWrap/>
          </w:tcPr>
          <w:p w14:paraId="136A9A66" w14:textId="77777777" w:rsidR="00F2251E" w:rsidRPr="0023654F" w:rsidRDefault="00F2251E" w:rsidP="00F65190">
            <w:pPr>
              <w:widowControl w:val="0"/>
              <w:spacing w:before="40" w:after="40"/>
              <w:rPr>
                <w:sz w:val="17"/>
                <w:szCs w:val="17"/>
              </w:rPr>
            </w:pPr>
            <w:r>
              <w:rPr>
                <w:sz w:val="17"/>
                <w:szCs w:val="17"/>
              </w:rPr>
              <w:t>(</w:t>
            </w:r>
            <w:r w:rsidRPr="0023654F">
              <w:rPr>
                <w:sz w:val="17"/>
                <w:szCs w:val="17"/>
              </w:rPr>
              <w:t>b</w:t>
            </w:r>
            <w:r>
              <w:rPr>
                <w:sz w:val="17"/>
                <w:szCs w:val="17"/>
              </w:rPr>
              <w:t>)</w:t>
            </w:r>
          </w:p>
        </w:tc>
        <w:tc>
          <w:tcPr>
            <w:tcW w:w="8872" w:type="dxa"/>
            <w:tcBorders>
              <w:top w:val="single" w:sz="4" w:space="0" w:color="auto"/>
              <w:bottom w:val="single" w:sz="4" w:space="0" w:color="auto"/>
            </w:tcBorders>
            <w:noWrap/>
            <w:vAlign w:val="bottom"/>
          </w:tcPr>
          <w:p w14:paraId="7BB1FFE9" w14:textId="77777777" w:rsidR="00F2251E" w:rsidRPr="00FD3863" w:rsidRDefault="00F2251E" w:rsidP="00F65190">
            <w:pPr>
              <w:pStyle w:val="TableText"/>
              <w:jc w:val="both"/>
              <w:rPr>
                <w:noProof/>
                <w:lang w:eastAsia="en-GB"/>
              </w:rPr>
            </w:pPr>
            <w:r w:rsidRPr="00FD3863">
              <w:rPr>
                <w:noProof/>
                <w:szCs w:val="17"/>
                <w:lang w:eastAsia="en-GB"/>
              </w:rPr>
              <w:t>Information</w:t>
            </w:r>
            <w:r w:rsidRPr="00FD3863">
              <w:rPr>
                <w:noProof/>
                <w:lang w:eastAsia="en-GB"/>
              </w:rPr>
              <w:t xml:space="preserve"> relating to the design and structure of remuneration processes. </w:t>
            </w:r>
            <w:r>
              <w:rPr>
                <w:noProof/>
                <w:lang w:eastAsia="en-GB"/>
              </w:rPr>
              <w:t xml:space="preserve"> </w:t>
            </w:r>
            <w:r w:rsidRPr="00FD3863">
              <w:rPr>
                <w:noProof/>
                <w:lang w:eastAsia="en-GB"/>
              </w:rPr>
              <w:t>Disclosures should include</w:t>
            </w:r>
            <w:r>
              <w:rPr>
                <w:noProof/>
                <w:lang w:eastAsia="en-GB"/>
              </w:rPr>
              <w:t>:</w:t>
            </w:r>
            <w:r w:rsidRPr="00FD3863">
              <w:rPr>
                <w:noProof/>
                <w:lang w:eastAsia="en-GB"/>
              </w:rPr>
              <w:t xml:space="preserve"> </w:t>
            </w:r>
          </w:p>
          <w:p w14:paraId="76B38B12" w14:textId="77777777" w:rsidR="00F2251E" w:rsidRDefault="00F2251E" w:rsidP="008D652E">
            <w:pPr>
              <w:pStyle w:val="TableText"/>
              <w:numPr>
                <w:ilvl w:val="0"/>
                <w:numId w:val="37"/>
              </w:numPr>
              <w:tabs>
                <w:tab w:val="left" w:pos="509"/>
              </w:tabs>
              <w:ind w:left="509" w:hanging="509"/>
              <w:jc w:val="both"/>
              <w:rPr>
                <w:noProof/>
                <w:lang w:eastAsia="en-GB"/>
              </w:rPr>
            </w:pPr>
            <w:r>
              <w:rPr>
                <w:noProof/>
                <w:lang w:eastAsia="en-GB"/>
              </w:rPr>
              <w:t>a</w:t>
            </w:r>
            <w:r w:rsidRPr="00FD3863">
              <w:rPr>
                <w:noProof/>
                <w:lang w:eastAsia="en-GB"/>
              </w:rPr>
              <w:t>n overview of the key features and object</w:t>
            </w:r>
            <w:r>
              <w:rPr>
                <w:noProof/>
                <w:lang w:eastAsia="en-GB"/>
              </w:rPr>
              <w:t>ives of remuneration policy;</w:t>
            </w:r>
          </w:p>
          <w:p w14:paraId="60EB3470" w14:textId="77777777" w:rsidR="00F2251E" w:rsidRDefault="00F2251E" w:rsidP="008D652E">
            <w:pPr>
              <w:pStyle w:val="TableText"/>
              <w:numPr>
                <w:ilvl w:val="0"/>
                <w:numId w:val="37"/>
              </w:numPr>
              <w:tabs>
                <w:tab w:val="left" w:pos="509"/>
              </w:tabs>
              <w:ind w:left="509" w:hanging="509"/>
              <w:jc w:val="both"/>
              <w:rPr>
                <w:noProof/>
                <w:lang w:eastAsia="en-GB"/>
              </w:rPr>
            </w:pPr>
            <w:r>
              <w:rPr>
                <w:noProof/>
                <w:lang w:eastAsia="en-GB"/>
              </w:rPr>
              <w:t>w</w:t>
            </w:r>
            <w:r w:rsidRPr="00FD3863">
              <w:rPr>
                <w:noProof/>
                <w:lang w:eastAsia="en-GB"/>
              </w:rPr>
              <w:t>hether the remuneration committee reviewed the firm’s remuneration policy during the past year, and if so, an overview of any changes that were made, the reasons for those changes a</w:t>
            </w:r>
            <w:r>
              <w:rPr>
                <w:noProof/>
                <w:lang w:eastAsia="en-GB"/>
              </w:rPr>
              <w:t>nd their impact on remuneration; and</w:t>
            </w:r>
          </w:p>
          <w:p w14:paraId="3A47931D" w14:textId="77777777" w:rsidR="00F2251E" w:rsidRPr="0023654F" w:rsidRDefault="00F2251E" w:rsidP="008D652E">
            <w:pPr>
              <w:pStyle w:val="TableText"/>
              <w:numPr>
                <w:ilvl w:val="0"/>
                <w:numId w:val="37"/>
              </w:numPr>
              <w:tabs>
                <w:tab w:val="left" w:pos="509"/>
              </w:tabs>
              <w:ind w:left="509" w:hanging="509"/>
              <w:jc w:val="both"/>
              <w:rPr>
                <w:noProof/>
                <w:lang w:eastAsia="en-GB"/>
              </w:rPr>
            </w:pPr>
            <w:r>
              <w:rPr>
                <w:noProof/>
                <w:lang w:eastAsia="en-GB"/>
              </w:rPr>
              <w:t>a</w:t>
            </w:r>
            <w:r w:rsidRPr="00FD3863">
              <w:rPr>
                <w:noProof/>
                <w:lang w:eastAsia="en-GB"/>
              </w:rPr>
              <w:t xml:space="preserve"> discussion of how the </w:t>
            </w:r>
            <w:r>
              <w:rPr>
                <w:noProof/>
                <w:lang w:eastAsia="en-GB"/>
              </w:rPr>
              <w:t>AI</w:t>
            </w:r>
            <w:r w:rsidRPr="00FD3863">
              <w:rPr>
                <w:noProof/>
                <w:lang w:eastAsia="en-GB"/>
              </w:rPr>
              <w:t xml:space="preserve"> ensures that risk and compliance employees are remunerated independently of the businesses they oversee.</w:t>
            </w:r>
          </w:p>
        </w:tc>
      </w:tr>
      <w:tr w:rsidR="00F2251E" w:rsidRPr="0023654F" w14:paraId="11C6C9E8" w14:textId="77777777" w:rsidTr="00D53E76">
        <w:trPr>
          <w:trHeight w:val="318"/>
        </w:trPr>
        <w:tc>
          <w:tcPr>
            <w:tcW w:w="567" w:type="dxa"/>
            <w:tcBorders>
              <w:top w:val="single" w:sz="4" w:space="0" w:color="auto"/>
              <w:bottom w:val="single" w:sz="4" w:space="0" w:color="auto"/>
            </w:tcBorders>
            <w:noWrap/>
          </w:tcPr>
          <w:p w14:paraId="463D5580" w14:textId="77777777" w:rsidR="00F2251E" w:rsidRPr="0023654F" w:rsidRDefault="00F2251E" w:rsidP="00F65190">
            <w:pPr>
              <w:widowControl w:val="0"/>
              <w:spacing w:before="40" w:after="40"/>
              <w:rPr>
                <w:sz w:val="17"/>
                <w:szCs w:val="17"/>
              </w:rPr>
            </w:pPr>
            <w:r>
              <w:rPr>
                <w:sz w:val="17"/>
                <w:szCs w:val="17"/>
              </w:rPr>
              <w:t>(</w:t>
            </w:r>
            <w:r w:rsidRPr="0023654F">
              <w:rPr>
                <w:sz w:val="17"/>
                <w:szCs w:val="17"/>
              </w:rPr>
              <w:t>c</w:t>
            </w:r>
            <w:r>
              <w:rPr>
                <w:sz w:val="17"/>
                <w:szCs w:val="17"/>
              </w:rPr>
              <w:t>)</w:t>
            </w:r>
          </w:p>
        </w:tc>
        <w:tc>
          <w:tcPr>
            <w:tcW w:w="8872" w:type="dxa"/>
            <w:tcBorders>
              <w:top w:val="single" w:sz="4" w:space="0" w:color="auto"/>
              <w:bottom w:val="single" w:sz="4" w:space="0" w:color="auto"/>
            </w:tcBorders>
            <w:noWrap/>
            <w:vAlign w:val="center"/>
          </w:tcPr>
          <w:p w14:paraId="3A05F64D" w14:textId="77777777" w:rsidR="00F2251E" w:rsidRPr="0023654F" w:rsidRDefault="00F2251E" w:rsidP="00F65190">
            <w:pPr>
              <w:pStyle w:val="TableText"/>
              <w:jc w:val="both"/>
              <w:rPr>
                <w:noProof/>
                <w:lang w:eastAsia="en-GB"/>
              </w:rPr>
            </w:pPr>
            <w:r w:rsidRPr="00D6478A">
              <w:rPr>
                <w:noProof/>
                <w:lang w:eastAsia="en-GB"/>
              </w:rPr>
              <w:t>Description of the ways in which current and future risks are taken into account in the remuneration processes.</w:t>
            </w:r>
            <w:r>
              <w:rPr>
                <w:noProof/>
                <w:lang w:eastAsia="en-GB"/>
              </w:rPr>
              <w:t xml:space="preserve"> </w:t>
            </w:r>
            <w:r w:rsidRPr="00D6478A">
              <w:rPr>
                <w:noProof/>
                <w:lang w:eastAsia="en-GB"/>
              </w:rPr>
              <w:t xml:space="preserve"> Disclosures should include an overview of the key risks, their measurement and how these measures affect remuneration.</w:t>
            </w:r>
          </w:p>
        </w:tc>
      </w:tr>
      <w:tr w:rsidR="00F2251E" w:rsidRPr="0023654F" w14:paraId="4386063D" w14:textId="77777777" w:rsidTr="00D53E76">
        <w:trPr>
          <w:trHeight w:val="318"/>
        </w:trPr>
        <w:tc>
          <w:tcPr>
            <w:tcW w:w="567" w:type="dxa"/>
            <w:tcBorders>
              <w:top w:val="single" w:sz="4" w:space="0" w:color="auto"/>
              <w:bottom w:val="single" w:sz="4" w:space="0" w:color="auto"/>
            </w:tcBorders>
            <w:noWrap/>
          </w:tcPr>
          <w:p w14:paraId="123C8C45" w14:textId="77777777" w:rsidR="00F2251E" w:rsidRDefault="00F2251E" w:rsidP="00F65190">
            <w:pPr>
              <w:widowControl w:val="0"/>
              <w:spacing w:before="40" w:after="40"/>
              <w:rPr>
                <w:sz w:val="17"/>
                <w:szCs w:val="17"/>
              </w:rPr>
            </w:pPr>
            <w:r>
              <w:rPr>
                <w:sz w:val="17"/>
                <w:szCs w:val="17"/>
              </w:rPr>
              <w:t>(d)</w:t>
            </w:r>
          </w:p>
        </w:tc>
        <w:tc>
          <w:tcPr>
            <w:tcW w:w="8872" w:type="dxa"/>
            <w:tcBorders>
              <w:top w:val="single" w:sz="4" w:space="0" w:color="auto"/>
              <w:bottom w:val="single" w:sz="4" w:space="0" w:color="auto"/>
            </w:tcBorders>
            <w:noWrap/>
            <w:vAlign w:val="center"/>
          </w:tcPr>
          <w:p w14:paraId="37DDF561" w14:textId="77777777" w:rsidR="00F2251E" w:rsidRDefault="00F2251E" w:rsidP="00F65190">
            <w:pPr>
              <w:pStyle w:val="TableText"/>
              <w:jc w:val="both"/>
              <w:rPr>
                <w:noProof/>
                <w:lang w:eastAsia="en-GB"/>
              </w:rPr>
            </w:pPr>
            <w:r w:rsidRPr="00D6478A">
              <w:rPr>
                <w:noProof/>
                <w:lang w:eastAsia="en-GB"/>
              </w:rPr>
              <w:t xml:space="preserve">Description of the ways in which the </w:t>
            </w:r>
            <w:r>
              <w:rPr>
                <w:noProof/>
                <w:lang w:eastAsia="en-GB"/>
              </w:rPr>
              <w:t>AI</w:t>
            </w:r>
            <w:r w:rsidRPr="00D6478A">
              <w:rPr>
                <w:noProof/>
                <w:lang w:eastAsia="en-GB"/>
              </w:rPr>
              <w:t xml:space="preserve"> seeks to link performance during a performance measurement period with levels of remuneration. </w:t>
            </w:r>
            <w:r>
              <w:rPr>
                <w:noProof/>
                <w:lang w:eastAsia="en-GB"/>
              </w:rPr>
              <w:t xml:space="preserve"> </w:t>
            </w:r>
            <w:r w:rsidRPr="00D6478A">
              <w:rPr>
                <w:noProof/>
                <w:lang w:eastAsia="en-GB"/>
              </w:rPr>
              <w:t>Disclosures should include:</w:t>
            </w:r>
          </w:p>
          <w:p w14:paraId="591B5A8F" w14:textId="77777777" w:rsidR="00F2251E" w:rsidRDefault="00F2251E" w:rsidP="008D652E">
            <w:pPr>
              <w:pStyle w:val="TableText"/>
              <w:numPr>
                <w:ilvl w:val="0"/>
                <w:numId w:val="38"/>
              </w:numPr>
              <w:tabs>
                <w:tab w:val="left" w:pos="509"/>
              </w:tabs>
              <w:ind w:left="509" w:hanging="509"/>
              <w:jc w:val="both"/>
              <w:rPr>
                <w:noProof/>
                <w:lang w:eastAsia="en-GB"/>
              </w:rPr>
            </w:pPr>
            <w:r>
              <w:rPr>
                <w:noProof/>
                <w:lang w:eastAsia="en-GB"/>
              </w:rPr>
              <w:t>a</w:t>
            </w:r>
            <w:r w:rsidRPr="00D6478A">
              <w:rPr>
                <w:noProof/>
                <w:lang w:eastAsia="en-GB"/>
              </w:rPr>
              <w:t xml:space="preserve">n overview of main performance metrics for </w:t>
            </w:r>
            <w:r>
              <w:rPr>
                <w:noProof/>
                <w:lang w:eastAsia="en-GB"/>
              </w:rPr>
              <w:t>the institution</w:t>
            </w:r>
            <w:r w:rsidRPr="00D6478A">
              <w:rPr>
                <w:noProof/>
                <w:lang w:eastAsia="en-GB"/>
              </w:rPr>
              <w:t>, top-level</w:t>
            </w:r>
            <w:r>
              <w:rPr>
                <w:noProof/>
                <w:lang w:eastAsia="en-GB"/>
              </w:rPr>
              <w:t xml:space="preserve"> business lines and individuals;</w:t>
            </w:r>
          </w:p>
          <w:p w14:paraId="096E155E" w14:textId="77777777" w:rsidR="00F2251E" w:rsidRDefault="00F2251E" w:rsidP="008D652E">
            <w:pPr>
              <w:pStyle w:val="TableText"/>
              <w:numPr>
                <w:ilvl w:val="0"/>
                <w:numId w:val="38"/>
              </w:numPr>
              <w:tabs>
                <w:tab w:val="left" w:pos="509"/>
              </w:tabs>
              <w:ind w:left="509" w:hanging="509"/>
              <w:jc w:val="both"/>
              <w:rPr>
                <w:noProof/>
                <w:lang w:eastAsia="en-GB"/>
              </w:rPr>
            </w:pPr>
            <w:r>
              <w:rPr>
                <w:noProof/>
                <w:lang w:eastAsia="en-GB"/>
              </w:rPr>
              <w:lastRenderedPageBreak/>
              <w:t xml:space="preserve">a </w:t>
            </w:r>
            <w:r w:rsidRPr="00D6478A">
              <w:rPr>
                <w:noProof/>
                <w:lang w:eastAsia="en-GB"/>
              </w:rPr>
              <w:t xml:space="preserve">discussion of how amounts of individual remuneration are linked to </w:t>
            </w:r>
            <w:r>
              <w:rPr>
                <w:noProof/>
                <w:lang w:eastAsia="en-GB"/>
              </w:rPr>
              <w:t>institution</w:t>
            </w:r>
            <w:r w:rsidRPr="00D6478A">
              <w:rPr>
                <w:noProof/>
                <w:lang w:eastAsia="en-GB"/>
              </w:rPr>
              <w:t>-</w:t>
            </w:r>
            <w:r>
              <w:rPr>
                <w:noProof/>
                <w:lang w:eastAsia="en-GB"/>
              </w:rPr>
              <w:t>wide and individual performance; and</w:t>
            </w:r>
          </w:p>
          <w:p w14:paraId="5F365C76" w14:textId="77777777" w:rsidR="00F2251E" w:rsidRPr="00D6478A" w:rsidRDefault="00F2251E" w:rsidP="008D652E">
            <w:pPr>
              <w:pStyle w:val="TableText"/>
              <w:numPr>
                <w:ilvl w:val="0"/>
                <w:numId w:val="38"/>
              </w:numPr>
              <w:tabs>
                <w:tab w:val="left" w:pos="509"/>
              </w:tabs>
              <w:ind w:left="509" w:hanging="509"/>
              <w:jc w:val="both"/>
              <w:rPr>
                <w:noProof/>
                <w:lang w:eastAsia="en-GB"/>
              </w:rPr>
            </w:pPr>
            <w:r>
              <w:rPr>
                <w:noProof/>
                <w:lang w:eastAsia="en-GB"/>
              </w:rPr>
              <w:t xml:space="preserve">a </w:t>
            </w:r>
            <w:r w:rsidRPr="00D6478A">
              <w:rPr>
                <w:noProof/>
                <w:lang w:eastAsia="en-GB"/>
              </w:rPr>
              <w:t xml:space="preserve">discussion of the measures the </w:t>
            </w:r>
            <w:r>
              <w:rPr>
                <w:noProof/>
                <w:lang w:eastAsia="en-GB"/>
              </w:rPr>
              <w:t>AI</w:t>
            </w:r>
            <w:r w:rsidRPr="00D6478A">
              <w:rPr>
                <w:noProof/>
                <w:lang w:eastAsia="en-GB"/>
              </w:rPr>
              <w:t xml:space="preserve"> will in general implement to adjust remuneration in the event that performance metrics are weak, including the </w:t>
            </w:r>
            <w:r>
              <w:rPr>
                <w:noProof/>
                <w:lang w:eastAsia="en-GB"/>
              </w:rPr>
              <w:t>AI</w:t>
            </w:r>
            <w:r w:rsidRPr="00D6478A">
              <w:rPr>
                <w:noProof/>
                <w:lang w:eastAsia="en-GB"/>
              </w:rPr>
              <w:t>’s criteria for determining “weak” performance metrics.</w:t>
            </w:r>
          </w:p>
        </w:tc>
      </w:tr>
      <w:tr w:rsidR="00F2251E" w:rsidRPr="0023654F" w14:paraId="359394C1" w14:textId="77777777" w:rsidTr="00D53E76">
        <w:trPr>
          <w:trHeight w:val="318"/>
        </w:trPr>
        <w:tc>
          <w:tcPr>
            <w:tcW w:w="567" w:type="dxa"/>
            <w:tcBorders>
              <w:top w:val="single" w:sz="4" w:space="0" w:color="auto"/>
              <w:bottom w:val="single" w:sz="4" w:space="0" w:color="auto"/>
            </w:tcBorders>
            <w:noWrap/>
          </w:tcPr>
          <w:p w14:paraId="07AA372B" w14:textId="77777777" w:rsidR="00F2251E" w:rsidRDefault="00F2251E" w:rsidP="00F65190">
            <w:pPr>
              <w:widowControl w:val="0"/>
              <w:spacing w:before="40" w:after="40"/>
              <w:rPr>
                <w:sz w:val="17"/>
                <w:szCs w:val="17"/>
              </w:rPr>
            </w:pPr>
            <w:r>
              <w:rPr>
                <w:sz w:val="17"/>
                <w:szCs w:val="17"/>
              </w:rPr>
              <w:lastRenderedPageBreak/>
              <w:t>(e)</w:t>
            </w:r>
          </w:p>
        </w:tc>
        <w:tc>
          <w:tcPr>
            <w:tcW w:w="8872" w:type="dxa"/>
            <w:tcBorders>
              <w:top w:val="single" w:sz="4" w:space="0" w:color="auto"/>
              <w:bottom w:val="single" w:sz="4" w:space="0" w:color="auto"/>
            </w:tcBorders>
            <w:noWrap/>
            <w:vAlign w:val="center"/>
          </w:tcPr>
          <w:p w14:paraId="28131A67" w14:textId="77777777" w:rsidR="00F2251E" w:rsidRDefault="00F2251E" w:rsidP="00F65190">
            <w:pPr>
              <w:pStyle w:val="TableText"/>
              <w:jc w:val="both"/>
              <w:rPr>
                <w:noProof/>
                <w:lang w:eastAsia="en-GB"/>
              </w:rPr>
            </w:pPr>
            <w:r w:rsidRPr="003270C2">
              <w:rPr>
                <w:noProof/>
                <w:lang w:eastAsia="en-GB"/>
              </w:rPr>
              <w:t xml:space="preserve">Description of the ways in which the </w:t>
            </w:r>
            <w:r>
              <w:rPr>
                <w:noProof/>
                <w:lang w:eastAsia="en-GB"/>
              </w:rPr>
              <w:t>AI</w:t>
            </w:r>
            <w:r w:rsidRPr="003270C2">
              <w:rPr>
                <w:noProof/>
                <w:lang w:eastAsia="en-GB"/>
              </w:rPr>
              <w:t xml:space="preserve"> seeks to adjust remuneration to take account of longer-term performance.</w:t>
            </w:r>
            <w:r>
              <w:rPr>
                <w:noProof/>
                <w:lang w:eastAsia="en-GB"/>
              </w:rPr>
              <w:t xml:space="preserve"> </w:t>
            </w:r>
            <w:r w:rsidRPr="003270C2">
              <w:rPr>
                <w:noProof/>
                <w:lang w:eastAsia="en-GB"/>
              </w:rPr>
              <w:t xml:space="preserve"> Disclosures should include:</w:t>
            </w:r>
          </w:p>
          <w:p w14:paraId="7FE8BA94" w14:textId="77777777" w:rsidR="00F2251E" w:rsidRDefault="00F2251E" w:rsidP="008D652E">
            <w:pPr>
              <w:pStyle w:val="TableText"/>
              <w:numPr>
                <w:ilvl w:val="0"/>
                <w:numId w:val="39"/>
              </w:numPr>
              <w:tabs>
                <w:tab w:val="left" w:pos="509"/>
              </w:tabs>
              <w:ind w:left="509" w:hanging="509"/>
              <w:jc w:val="both"/>
              <w:rPr>
                <w:noProof/>
                <w:lang w:eastAsia="en-GB"/>
              </w:rPr>
            </w:pPr>
            <w:r>
              <w:rPr>
                <w:noProof/>
                <w:lang w:eastAsia="en-GB"/>
              </w:rPr>
              <w:t>a</w:t>
            </w:r>
            <w:r w:rsidRPr="003270C2">
              <w:rPr>
                <w:noProof/>
                <w:lang w:eastAsia="en-GB"/>
              </w:rPr>
              <w:t xml:space="preserve"> discussion of the </w:t>
            </w:r>
            <w:r>
              <w:rPr>
                <w:noProof/>
                <w:lang w:eastAsia="en-GB"/>
              </w:rPr>
              <w:t>AI</w:t>
            </w:r>
            <w:r w:rsidRPr="003270C2">
              <w:rPr>
                <w:noProof/>
                <w:lang w:eastAsia="en-GB"/>
              </w:rPr>
              <w:t>’s policy on deferral and vesting of variable remuneration and, if the fraction of variable remuneration that is deferred differs across employees or groups of employees, a description of the factors that determine the fraction and their relative importance</w:t>
            </w:r>
            <w:r>
              <w:rPr>
                <w:noProof/>
                <w:lang w:eastAsia="en-GB"/>
              </w:rPr>
              <w:t>; and</w:t>
            </w:r>
          </w:p>
          <w:p w14:paraId="1E4AC5D1" w14:textId="77777777" w:rsidR="00F2251E" w:rsidRPr="00D6478A" w:rsidRDefault="00F2251E" w:rsidP="008D652E">
            <w:pPr>
              <w:pStyle w:val="TableText"/>
              <w:numPr>
                <w:ilvl w:val="0"/>
                <w:numId w:val="39"/>
              </w:numPr>
              <w:tabs>
                <w:tab w:val="left" w:pos="509"/>
              </w:tabs>
              <w:ind w:left="509" w:hanging="509"/>
              <w:jc w:val="both"/>
              <w:rPr>
                <w:noProof/>
                <w:lang w:eastAsia="en-GB"/>
              </w:rPr>
            </w:pPr>
            <w:r>
              <w:rPr>
                <w:noProof/>
                <w:lang w:eastAsia="en-GB"/>
              </w:rPr>
              <w:t>a</w:t>
            </w:r>
            <w:r w:rsidRPr="003270C2">
              <w:rPr>
                <w:noProof/>
                <w:lang w:eastAsia="en-GB"/>
              </w:rPr>
              <w:t xml:space="preserve"> discussion of the </w:t>
            </w:r>
            <w:r>
              <w:rPr>
                <w:noProof/>
                <w:lang w:eastAsia="en-GB"/>
              </w:rPr>
              <w:t>AI</w:t>
            </w:r>
            <w:r w:rsidRPr="003270C2">
              <w:rPr>
                <w:noProof/>
                <w:lang w:eastAsia="en-GB"/>
              </w:rPr>
              <w:t>’s policy and criteria for adjusting deferred remuneration before vesting and (if permitted by national law) after vesting through clawback arrangements.</w:t>
            </w:r>
          </w:p>
        </w:tc>
      </w:tr>
      <w:tr w:rsidR="00F2251E" w:rsidRPr="0023654F" w14:paraId="6FF0804E" w14:textId="77777777" w:rsidTr="00D53E76">
        <w:trPr>
          <w:trHeight w:val="318"/>
        </w:trPr>
        <w:tc>
          <w:tcPr>
            <w:tcW w:w="567" w:type="dxa"/>
            <w:tcBorders>
              <w:top w:val="single" w:sz="4" w:space="0" w:color="auto"/>
              <w:bottom w:val="single" w:sz="4" w:space="0" w:color="auto"/>
            </w:tcBorders>
            <w:noWrap/>
          </w:tcPr>
          <w:p w14:paraId="79BE81EF" w14:textId="77777777" w:rsidR="00F2251E" w:rsidRDefault="00F2251E" w:rsidP="00F65190">
            <w:pPr>
              <w:widowControl w:val="0"/>
              <w:spacing w:before="40" w:after="40"/>
              <w:rPr>
                <w:sz w:val="17"/>
                <w:szCs w:val="17"/>
              </w:rPr>
            </w:pPr>
            <w:r>
              <w:rPr>
                <w:sz w:val="17"/>
                <w:szCs w:val="17"/>
              </w:rPr>
              <w:t>(f)</w:t>
            </w:r>
          </w:p>
        </w:tc>
        <w:tc>
          <w:tcPr>
            <w:tcW w:w="8872" w:type="dxa"/>
            <w:tcBorders>
              <w:top w:val="single" w:sz="4" w:space="0" w:color="auto"/>
              <w:bottom w:val="single" w:sz="4" w:space="0" w:color="auto"/>
            </w:tcBorders>
            <w:noWrap/>
            <w:vAlign w:val="center"/>
          </w:tcPr>
          <w:p w14:paraId="1C8B9527" w14:textId="77777777" w:rsidR="00F2251E" w:rsidRDefault="00F2251E" w:rsidP="00F65190">
            <w:pPr>
              <w:pStyle w:val="TableText"/>
              <w:jc w:val="both"/>
              <w:rPr>
                <w:noProof/>
                <w:lang w:eastAsia="en-GB"/>
              </w:rPr>
            </w:pPr>
            <w:r w:rsidRPr="00794988">
              <w:rPr>
                <w:noProof/>
                <w:lang w:eastAsia="en-GB"/>
              </w:rPr>
              <w:t xml:space="preserve">Description of the different forms of variable remuneration that the </w:t>
            </w:r>
            <w:r>
              <w:rPr>
                <w:noProof/>
                <w:lang w:eastAsia="en-GB"/>
              </w:rPr>
              <w:t>AI</w:t>
            </w:r>
            <w:r w:rsidRPr="00794988">
              <w:rPr>
                <w:noProof/>
                <w:lang w:eastAsia="en-GB"/>
              </w:rPr>
              <w:t xml:space="preserve"> utilises and the rationale for using these different forms. </w:t>
            </w:r>
            <w:r>
              <w:rPr>
                <w:noProof/>
                <w:lang w:eastAsia="en-GB"/>
              </w:rPr>
              <w:t xml:space="preserve"> </w:t>
            </w:r>
            <w:r w:rsidRPr="00794988">
              <w:rPr>
                <w:noProof/>
                <w:lang w:eastAsia="en-GB"/>
              </w:rPr>
              <w:t>Disclosures should include:</w:t>
            </w:r>
          </w:p>
          <w:p w14:paraId="31E5BF3A" w14:textId="77777777" w:rsidR="00F2251E" w:rsidRDefault="00F2251E" w:rsidP="008D652E">
            <w:pPr>
              <w:pStyle w:val="TableText"/>
              <w:numPr>
                <w:ilvl w:val="0"/>
                <w:numId w:val="40"/>
              </w:numPr>
              <w:tabs>
                <w:tab w:val="left" w:pos="509"/>
              </w:tabs>
              <w:ind w:left="509" w:hanging="509"/>
              <w:jc w:val="both"/>
              <w:rPr>
                <w:noProof/>
                <w:lang w:eastAsia="en-GB"/>
              </w:rPr>
            </w:pPr>
            <w:r>
              <w:rPr>
                <w:noProof/>
                <w:lang w:eastAsia="en-GB"/>
              </w:rPr>
              <w:t>a</w:t>
            </w:r>
            <w:r w:rsidRPr="00794988">
              <w:rPr>
                <w:noProof/>
                <w:lang w:eastAsia="en-GB"/>
              </w:rPr>
              <w:t>n overview of the forms of variable remuneration offered (i</w:t>
            </w:r>
            <w:r>
              <w:rPr>
                <w:noProof/>
                <w:lang w:eastAsia="en-GB"/>
              </w:rPr>
              <w:t>.</w:t>
            </w:r>
            <w:r w:rsidRPr="00794988">
              <w:rPr>
                <w:noProof/>
                <w:lang w:eastAsia="en-GB"/>
              </w:rPr>
              <w:t>e</w:t>
            </w:r>
            <w:r>
              <w:rPr>
                <w:noProof/>
                <w:lang w:eastAsia="en-GB"/>
              </w:rPr>
              <w:t>.</w:t>
            </w:r>
            <w:r w:rsidRPr="00794988">
              <w:rPr>
                <w:noProof/>
                <w:lang w:eastAsia="en-GB"/>
              </w:rPr>
              <w:t xml:space="preserve"> cash, shares and share-linked instruments and other fo</w:t>
            </w:r>
            <w:r>
              <w:rPr>
                <w:noProof/>
                <w:lang w:eastAsia="en-GB"/>
              </w:rPr>
              <w:t>rms); and</w:t>
            </w:r>
          </w:p>
          <w:p w14:paraId="55E5E78A" w14:textId="77777777" w:rsidR="00F2251E" w:rsidRPr="003270C2" w:rsidRDefault="00F2251E" w:rsidP="008D652E">
            <w:pPr>
              <w:pStyle w:val="TableText"/>
              <w:numPr>
                <w:ilvl w:val="0"/>
                <w:numId w:val="40"/>
              </w:numPr>
              <w:tabs>
                <w:tab w:val="left" w:pos="509"/>
              </w:tabs>
              <w:ind w:left="509" w:hanging="509"/>
              <w:jc w:val="both"/>
              <w:rPr>
                <w:noProof/>
                <w:lang w:eastAsia="en-GB"/>
              </w:rPr>
            </w:pPr>
            <w:r>
              <w:rPr>
                <w:noProof/>
                <w:lang w:eastAsia="en-GB"/>
              </w:rPr>
              <w:t>a</w:t>
            </w:r>
            <w:r w:rsidRPr="00794988">
              <w:rPr>
                <w:noProof/>
                <w:lang w:eastAsia="en-GB"/>
              </w:rPr>
              <w:t xml:space="preserve"> discussion of the use of the different forms of variable remuneration and, if the mix of different forms of variable remuneration differs across employees or groups of employee), a description the factors that determine the mix and their relative importance.</w:t>
            </w:r>
          </w:p>
        </w:tc>
      </w:tr>
    </w:tbl>
    <w:p w14:paraId="281A77FD" w14:textId="6AB7A2B0" w:rsidR="008974E3" w:rsidRDefault="008974E3" w:rsidP="008974E3"/>
    <w:p w14:paraId="1A79F443" w14:textId="18FDFA02" w:rsidR="008974E3" w:rsidRDefault="008974E3" w:rsidP="008974E3">
      <w:pPr>
        <w:sectPr w:rsidR="008974E3" w:rsidSect="00647044">
          <w:headerReference w:type="even" r:id="rId94"/>
          <w:headerReference w:type="default" r:id="rId95"/>
          <w:footerReference w:type="even" r:id="rId96"/>
          <w:footerReference w:type="default" r:id="rId97"/>
          <w:headerReference w:type="first" r:id="rId98"/>
          <w:footerReference w:type="first" r:id="rId99"/>
          <w:pgSz w:w="11906" w:h="16838"/>
          <w:pgMar w:top="1440" w:right="1416" w:bottom="1440" w:left="1800" w:header="851" w:footer="992" w:gutter="0"/>
          <w:cols w:space="425"/>
          <w:docGrid w:type="lines" w:linePitch="360"/>
        </w:sectPr>
      </w:pPr>
    </w:p>
    <w:p w14:paraId="47CC7056" w14:textId="53E99FBF" w:rsidR="008974E3" w:rsidRDefault="0000244C" w:rsidP="00F06059">
      <w:pPr>
        <w:pStyle w:val="Heading2"/>
        <w:ind w:left="-397"/>
      </w:pPr>
      <w:r w:rsidRPr="0023654F">
        <w:lastRenderedPageBreak/>
        <w:t xml:space="preserve">Template </w:t>
      </w:r>
      <w:r>
        <w:t>REM1</w:t>
      </w:r>
      <w:r w:rsidRPr="0023654F">
        <w:t xml:space="preserve">: </w:t>
      </w:r>
      <w:r>
        <w:t>Remuneration awarded during financial year</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00244C" w:rsidRPr="005B71C7" w14:paraId="79FE0FA1" w14:textId="77777777" w:rsidTr="006C63B0">
        <w:tc>
          <w:tcPr>
            <w:tcW w:w="2008" w:type="dxa"/>
          </w:tcPr>
          <w:p w14:paraId="163311D7" w14:textId="77777777" w:rsidR="0000244C" w:rsidRPr="0023654F" w:rsidRDefault="0000244C" w:rsidP="006C63B0">
            <w:pPr>
              <w:spacing w:before="40" w:after="40"/>
              <w:rPr>
                <w:noProof/>
                <w:sz w:val="17"/>
                <w:lang w:eastAsia="en-GB"/>
              </w:rPr>
            </w:pPr>
            <w:r w:rsidRPr="0023654F">
              <w:rPr>
                <w:b/>
                <w:sz w:val="17"/>
                <w:lang w:eastAsia="en-GB"/>
              </w:rPr>
              <w:t>Purpose:</w:t>
            </w:r>
            <w:r w:rsidRPr="0023654F">
              <w:rPr>
                <w:sz w:val="17"/>
                <w:lang w:eastAsia="en-GB"/>
              </w:rPr>
              <w:t xml:space="preserve"> </w:t>
            </w:r>
          </w:p>
        </w:tc>
        <w:tc>
          <w:tcPr>
            <w:tcW w:w="7234" w:type="dxa"/>
          </w:tcPr>
          <w:p w14:paraId="40403355" w14:textId="77777777" w:rsidR="0000244C" w:rsidRPr="00025AEC" w:rsidRDefault="0000244C" w:rsidP="006C63B0">
            <w:pPr>
              <w:spacing w:before="40" w:after="40"/>
              <w:jc w:val="both"/>
              <w:rPr>
                <w:rFonts w:eastAsiaTheme="minorEastAsia"/>
                <w:sz w:val="17"/>
                <w:lang w:eastAsia="en-GB"/>
              </w:rPr>
            </w:pPr>
            <w:r w:rsidRPr="00025AEC">
              <w:rPr>
                <w:rFonts w:eastAsiaTheme="minorEastAsia"/>
                <w:sz w:val="17"/>
                <w:lang w:eastAsia="en-GB"/>
              </w:rPr>
              <w:t xml:space="preserve">To </w:t>
            </w:r>
            <w:r>
              <w:rPr>
                <w:rFonts w:eastAsiaTheme="minorEastAsia"/>
                <w:sz w:val="17"/>
                <w:lang w:eastAsia="en-GB"/>
              </w:rPr>
              <w:t>p</w:t>
            </w:r>
            <w:r>
              <w:rPr>
                <w:sz w:val="17"/>
                <w:szCs w:val="17"/>
              </w:rPr>
              <w:t>rovide quantitative information on remuneration for the financial year.</w:t>
            </w:r>
          </w:p>
        </w:tc>
      </w:tr>
      <w:tr w:rsidR="0000244C" w:rsidRPr="005B71C7" w14:paraId="71FE69D0" w14:textId="77777777" w:rsidTr="006C63B0">
        <w:tc>
          <w:tcPr>
            <w:tcW w:w="2008" w:type="dxa"/>
          </w:tcPr>
          <w:p w14:paraId="22AA85D5" w14:textId="77777777" w:rsidR="0000244C" w:rsidRPr="0023654F" w:rsidRDefault="0000244C" w:rsidP="006C63B0">
            <w:pPr>
              <w:spacing w:before="40" w:after="40"/>
              <w:rPr>
                <w:b/>
                <w:sz w:val="17"/>
                <w:lang w:eastAsia="en-GB"/>
              </w:rPr>
            </w:pPr>
            <w:r w:rsidRPr="0023654F">
              <w:rPr>
                <w:b/>
                <w:sz w:val="17"/>
                <w:lang w:eastAsia="en-GB"/>
              </w:rPr>
              <w:t xml:space="preserve">Scope of application: </w:t>
            </w:r>
          </w:p>
        </w:tc>
        <w:tc>
          <w:tcPr>
            <w:tcW w:w="7234" w:type="dxa"/>
          </w:tcPr>
          <w:p w14:paraId="02DCF70D" w14:textId="77777777" w:rsidR="0000244C" w:rsidRPr="00025AEC" w:rsidRDefault="0000244C" w:rsidP="006C63B0">
            <w:pPr>
              <w:spacing w:before="40" w:after="40"/>
              <w:jc w:val="both"/>
              <w:rPr>
                <w:rFonts w:eastAsiaTheme="minorEastAsia"/>
                <w:sz w:val="17"/>
                <w:lang w:eastAsia="en-GB"/>
              </w:rPr>
            </w:pPr>
            <w:r w:rsidRPr="0023654F">
              <w:rPr>
                <w:rFonts w:eastAsiaTheme="minorEastAsia"/>
                <w:sz w:val="17"/>
                <w:lang w:eastAsia="en-GB"/>
              </w:rPr>
              <w:t xml:space="preserve">The template is mandatory for </w:t>
            </w:r>
            <w:r>
              <w:rPr>
                <w:rFonts w:eastAsiaTheme="minorEastAsia"/>
                <w:sz w:val="17"/>
                <w:lang w:eastAsia="en-GB"/>
              </w:rPr>
              <w:t>all AI</w:t>
            </w:r>
            <w:r w:rsidRPr="0023654F">
              <w:rPr>
                <w:rFonts w:eastAsiaTheme="minorEastAsia"/>
                <w:sz w:val="17"/>
                <w:lang w:eastAsia="en-GB"/>
              </w:rPr>
              <w:t xml:space="preserve">s </w:t>
            </w:r>
            <w:r>
              <w:rPr>
                <w:rFonts w:eastAsiaTheme="minorEastAsia"/>
                <w:sz w:val="17"/>
                <w:lang w:eastAsia="en-GB"/>
              </w:rPr>
              <w:t>incorporated in Hong Kong.</w:t>
            </w:r>
          </w:p>
        </w:tc>
      </w:tr>
      <w:tr w:rsidR="0000244C" w:rsidRPr="0023654F" w14:paraId="4BD87936" w14:textId="77777777" w:rsidTr="006C63B0">
        <w:tc>
          <w:tcPr>
            <w:tcW w:w="2008" w:type="dxa"/>
          </w:tcPr>
          <w:p w14:paraId="482E4454" w14:textId="77777777" w:rsidR="0000244C" w:rsidRPr="0023654F" w:rsidRDefault="0000244C" w:rsidP="006C63B0">
            <w:pPr>
              <w:spacing w:before="40" w:after="40"/>
              <w:rPr>
                <w:b/>
                <w:sz w:val="17"/>
                <w:lang w:eastAsia="en-GB"/>
              </w:rPr>
            </w:pPr>
            <w:r w:rsidRPr="0023654F">
              <w:rPr>
                <w:b/>
                <w:sz w:val="17"/>
                <w:lang w:eastAsia="en-GB"/>
              </w:rPr>
              <w:t xml:space="preserve">Content: </w:t>
            </w:r>
          </w:p>
        </w:tc>
        <w:tc>
          <w:tcPr>
            <w:tcW w:w="7234" w:type="dxa"/>
          </w:tcPr>
          <w:p w14:paraId="32002D59" w14:textId="77777777" w:rsidR="0000244C" w:rsidRPr="00BA0648" w:rsidRDefault="0000244C" w:rsidP="006C63B0">
            <w:pPr>
              <w:jc w:val="both"/>
              <w:rPr>
                <w:sz w:val="17"/>
                <w:lang w:eastAsia="en-GB"/>
              </w:rPr>
            </w:pPr>
            <w:r w:rsidRPr="00070A41">
              <w:rPr>
                <w:rFonts w:eastAsiaTheme="minorEastAsia"/>
                <w:sz w:val="17"/>
                <w:lang w:eastAsia="en-GB"/>
              </w:rPr>
              <w:t>Quantitative</w:t>
            </w:r>
            <w:r>
              <w:rPr>
                <w:sz w:val="17"/>
                <w:lang w:eastAsia="en-GB"/>
              </w:rPr>
              <w:t xml:space="preserve"> information.</w:t>
            </w:r>
          </w:p>
        </w:tc>
      </w:tr>
      <w:tr w:rsidR="0000244C" w:rsidRPr="0023654F" w14:paraId="5D578E45" w14:textId="77777777" w:rsidTr="006C63B0">
        <w:tc>
          <w:tcPr>
            <w:tcW w:w="2008" w:type="dxa"/>
          </w:tcPr>
          <w:p w14:paraId="4AAEEA34" w14:textId="77777777" w:rsidR="0000244C" w:rsidRPr="0023654F" w:rsidRDefault="0000244C" w:rsidP="006C63B0">
            <w:pPr>
              <w:spacing w:before="40" w:after="40"/>
              <w:rPr>
                <w:sz w:val="17"/>
                <w:lang w:eastAsia="en-GB"/>
              </w:rPr>
            </w:pPr>
            <w:r w:rsidRPr="0023654F">
              <w:rPr>
                <w:b/>
                <w:sz w:val="17"/>
                <w:lang w:eastAsia="en-GB"/>
              </w:rPr>
              <w:t>Frequency:</w:t>
            </w:r>
            <w:r w:rsidRPr="0023654F">
              <w:rPr>
                <w:sz w:val="17"/>
                <w:lang w:eastAsia="en-GB"/>
              </w:rPr>
              <w:t xml:space="preserve"> </w:t>
            </w:r>
          </w:p>
        </w:tc>
        <w:tc>
          <w:tcPr>
            <w:tcW w:w="7234" w:type="dxa"/>
          </w:tcPr>
          <w:p w14:paraId="335BA1B6" w14:textId="77777777" w:rsidR="0000244C" w:rsidRPr="00070A41" w:rsidRDefault="0000244C" w:rsidP="006C63B0">
            <w:pPr>
              <w:pStyle w:val="TableText"/>
              <w:jc w:val="both"/>
              <w:rPr>
                <w:rFonts w:eastAsiaTheme="minorEastAsia"/>
                <w:lang w:eastAsia="en-GB"/>
              </w:rPr>
            </w:pPr>
            <w:r w:rsidRPr="0023654F">
              <w:rPr>
                <w:lang w:eastAsia="en-GB"/>
              </w:rPr>
              <w:t>Annual.</w:t>
            </w:r>
          </w:p>
        </w:tc>
      </w:tr>
      <w:tr w:rsidR="0000244C" w:rsidRPr="0023654F" w14:paraId="6F044CA5" w14:textId="77777777" w:rsidTr="006C63B0">
        <w:tc>
          <w:tcPr>
            <w:tcW w:w="2008" w:type="dxa"/>
          </w:tcPr>
          <w:p w14:paraId="02F9CE07" w14:textId="77777777" w:rsidR="0000244C" w:rsidRPr="0023654F" w:rsidRDefault="0000244C" w:rsidP="006C63B0">
            <w:pPr>
              <w:spacing w:before="40" w:after="40"/>
              <w:rPr>
                <w:sz w:val="17"/>
                <w:lang w:eastAsia="en-GB"/>
              </w:rPr>
            </w:pPr>
            <w:r w:rsidRPr="0023654F">
              <w:rPr>
                <w:b/>
                <w:sz w:val="17"/>
                <w:lang w:eastAsia="en-GB"/>
              </w:rPr>
              <w:t>Format:</w:t>
            </w:r>
            <w:r w:rsidRPr="0023654F">
              <w:rPr>
                <w:sz w:val="17"/>
                <w:lang w:eastAsia="en-GB"/>
              </w:rPr>
              <w:t xml:space="preserve"> </w:t>
            </w:r>
          </w:p>
        </w:tc>
        <w:tc>
          <w:tcPr>
            <w:tcW w:w="7234" w:type="dxa"/>
          </w:tcPr>
          <w:p w14:paraId="446197AB" w14:textId="77777777" w:rsidR="0000244C" w:rsidRPr="0023654F" w:rsidRDefault="0000244C" w:rsidP="006C63B0">
            <w:pPr>
              <w:pStyle w:val="TableText"/>
              <w:jc w:val="both"/>
              <w:rPr>
                <w:lang w:eastAsia="en-GB"/>
              </w:rPr>
            </w:pPr>
            <w:r>
              <w:rPr>
                <w:lang w:eastAsia="en-GB"/>
              </w:rPr>
              <w:t>Flexible.</w:t>
            </w:r>
          </w:p>
        </w:tc>
      </w:tr>
      <w:tr w:rsidR="0000244C" w:rsidRPr="0023654F" w14:paraId="42C50A13" w14:textId="77777777" w:rsidTr="006C63B0">
        <w:tc>
          <w:tcPr>
            <w:tcW w:w="2008" w:type="dxa"/>
          </w:tcPr>
          <w:p w14:paraId="12FD3866" w14:textId="77777777" w:rsidR="0000244C" w:rsidRPr="0023654F" w:rsidRDefault="0000244C" w:rsidP="006C63B0">
            <w:pPr>
              <w:spacing w:before="40" w:after="40"/>
              <w:rPr>
                <w:b/>
                <w:sz w:val="17"/>
                <w:lang w:eastAsia="en-GB"/>
              </w:rPr>
            </w:pPr>
            <w:r w:rsidRPr="0023654F">
              <w:rPr>
                <w:rFonts w:eastAsiaTheme="minorEastAsia"/>
                <w:b/>
                <w:sz w:val="17"/>
                <w:szCs w:val="17"/>
                <w:lang w:eastAsia="en-GB"/>
              </w:rPr>
              <w:t>Accompanying narrative</w:t>
            </w:r>
            <w:r w:rsidRPr="0023654F">
              <w:rPr>
                <w:rFonts w:eastAsiaTheme="minorEastAsia"/>
                <w:sz w:val="17"/>
                <w:szCs w:val="17"/>
                <w:lang w:eastAsia="en-GB"/>
              </w:rPr>
              <w:t>:</w:t>
            </w:r>
          </w:p>
        </w:tc>
        <w:tc>
          <w:tcPr>
            <w:tcW w:w="7234" w:type="dxa"/>
          </w:tcPr>
          <w:p w14:paraId="17696E9C" w14:textId="77777777" w:rsidR="0000244C" w:rsidRPr="00070A41" w:rsidRDefault="0000244C" w:rsidP="006C63B0">
            <w:pPr>
              <w:spacing w:before="40" w:after="40"/>
              <w:jc w:val="both"/>
              <w:rPr>
                <w:noProof/>
                <w:sz w:val="17"/>
                <w:szCs w:val="17"/>
                <w:lang w:val="en-US" w:eastAsia="en-GB"/>
              </w:rPr>
            </w:pPr>
            <w:r w:rsidRPr="00070A41">
              <w:rPr>
                <w:sz w:val="17"/>
                <w:szCs w:val="17"/>
                <w:lang w:eastAsia="en-GB"/>
              </w:rPr>
              <w:t xml:space="preserve">An </w:t>
            </w:r>
            <w:r w:rsidRPr="00070A41">
              <w:rPr>
                <w:rFonts w:eastAsiaTheme="minorEastAsia"/>
                <w:sz w:val="17"/>
                <w:szCs w:val="17"/>
                <w:lang w:eastAsia="en-GB"/>
              </w:rPr>
              <w:t>AI</w:t>
            </w:r>
            <w:r w:rsidRPr="00070A41">
              <w:rPr>
                <w:sz w:val="17"/>
                <w:szCs w:val="17"/>
                <w:lang w:eastAsia="en-GB"/>
              </w:rPr>
              <w:t xml:space="preserve"> </w:t>
            </w:r>
            <w:r>
              <w:rPr>
                <w:sz w:val="17"/>
                <w:szCs w:val="17"/>
              </w:rPr>
              <w:t>should</w:t>
            </w:r>
            <w:r w:rsidRPr="00070A41">
              <w:rPr>
                <w:sz w:val="17"/>
                <w:szCs w:val="17"/>
              </w:rPr>
              <w:t xml:space="preserve"> supplement the template with a narrative commentary to explain any significant movements over the reporting period and the key drivers of such movements.</w:t>
            </w:r>
            <w:r>
              <w:rPr>
                <w:sz w:val="17"/>
                <w:szCs w:val="17"/>
              </w:rPr>
              <w:t xml:space="preserve">  Where relevant, the accompanying narrative should include descriptions of the </w:t>
            </w:r>
            <w:r w:rsidRPr="00095971">
              <w:rPr>
                <w:sz w:val="17"/>
                <w:szCs w:val="17"/>
              </w:rPr>
              <w:t>other forms of fixed and variable remuneration.</w:t>
            </w:r>
          </w:p>
        </w:tc>
      </w:tr>
      <w:tr w:rsidR="0000244C" w:rsidRPr="0023654F" w14:paraId="35F9CE24" w14:textId="77777777" w:rsidTr="006C63B0">
        <w:tc>
          <w:tcPr>
            <w:tcW w:w="2008" w:type="dxa"/>
          </w:tcPr>
          <w:p w14:paraId="1C20459C" w14:textId="77777777" w:rsidR="0000244C" w:rsidRPr="0023654F" w:rsidRDefault="0000244C" w:rsidP="006C63B0">
            <w:pPr>
              <w:spacing w:before="40" w:after="40"/>
              <w:rPr>
                <w:rFonts w:eastAsiaTheme="minorEastAsia"/>
                <w:b/>
                <w:sz w:val="17"/>
                <w:szCs w:val="17"/>
                <w:lang w:eastAsia="en-GB"/>
              </w:rPr>
            </w:pPr>
            <w:r>
              <w:rPr>
                <w:rFonts w:eastAsiaTheme="minorEastAsia"/>
                <w:b/>
                <w:sz w:val="17"/>
                <w:szCs w:val="17"/>
                <w:lang w:eastAsia="en-GB"/>
              </w:rPr>
              <w:t>Corresponding BDR section:</w:t>
            </w:r>
          </w:p>
        </w:tc>
        <w:tc>
          <w:tcPr>
            <w:tcW w:w="7234" w:type="dxa"/>
          </w:tcPr>
          <w:p w14:paraId="1D1B28D2" w14:textId="77777777" w:rsidR="0000244C" w:rsidRDefault="0000244C" w:rsidP="006C63B0">
            <w:pPr>
              <w:pStyle w:val="TableText"/>
              <w:jc w:val="both"/>
              <w:rPr>
                <w:szCs w:val="17"/>
                <w:lang w:eastAsia="en-GB"/>
              </w:rPr>
            </w:pPr>
            <w:r w:rsidRPr="001B530B">
              <w:rPr>
                <w:szCs w:val="17"/>
                <w:lang w:eastAsia="en-GB"/>
              </w:rPr>
              <w:t>16ZT</w:t>
            </w:r>
          </w:p>
        </w:tc>
      </w:tr>
    </w:tbl>
    <w:p w14:paraId="1910F6F1" w14:textId="77777777" w:rsidR="0000244C" w:rsidRDefault="0000244C" w:rsidP="008974E3">
      <w:pPr>
        <w:spacing w:before="120" w:after="120"/>
        <w:rPr>
          <w:sz w:val="22"/>
        </w:rPr>
      </w:pPr>
    </w:p>
    <w:tbl>
      <w:tblPr>
        <w:tblW w:w="9248" w:type="dxa"/>
        <w:tblInd w:w="-459"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ayout w:type="fixed"/>
        <w:tblLook w:val="00A0" w:firstRow="1" w:lastRow="0" w:firstColumn="1" w:lastColumn="0" w:noHBand="0" w:noVBand="0"/>
      </w:tblPr>
      <w:tblGrid>
        <w:gridCol w:w="567"/>
        <w:gridCol w:w="142"/>
        <w:gridCol w:w="1276"/>
        <w:gridCol w:w="4394"/>
        <w:gridCol w:w="1434"/>
        <w:gridCol w:w="1435"/>
      </w:tblGrid>
      <w:tr w:rsidR="008974E3" w:rsidRPr="0023654F" w14:paraId="20C3D812" w14:textId="77777777" w:rsidTr="00F06059">
        <w:trPr>
          <w:cantSplit/>
          <w:trHeight w:val="249"/>
          <w:tblHeader/>
        </w:trPr>
        <w:tc>
          <w:tcPr>
            <w:tcW w:w="567" w:type="dxa"/>
            <w:tcBorders>
              <w:top w:val="nil"/>
              <w:left w:val="nil"/>
              <w:bottom w:val="single" w:sz="4" w:space="0" w:color="auto"/>
              <w:right w:val="nil"/>
            </w:tcBorders>
          </w:tcPr>
          <w:p w14:paraId="08FE6EF5" w14:textId="77777777" w:rsidR="008974E3" w:rsidRPr="0023654F" w:rsidRDefault="008974E3" w:rsidP="00647044">
            <w:pPr>
              <w:pStyle w:val="TableText"/>
              <w:snapToGrid w:val="0"/>
              <w:rPr>
                <w:lang w:eastAsia="en-GB"/>
              </w:rPr>
            </w:pPr>
          </w:p>
        </w:tc>
        <w:tc>
          <w:tcPr>
            <w:tcW w:w="5812" w:type="dxa"/>
            <w:gridSpan w:val="3"/>
            <w:tcBorders>
              <w:top w:val="nil"/>
              <w:left w:val="nil"/>
              <w:bottom w:val="single" w:sz="4" w:space="0" w:color="auto"/>
              <w:right w:val="single" w:sz="4" w:space="0" w:color="auto"/>
            </w:tcBorders>
            <w:vAlign w:val="center"/>
          </w:tcPr>
          <w:p w14:paraId="23F36D12" w14:textId="77777777" w:rsidR="008974E3" w:rsidRPr="0023654F" w:rsidRDefault="008974E3" w:rsidP="00647044">
            <w:pPr>
              <w:pStyle w:val="TableText"/>
              <w:snapToGrid w:val="0"/>
              <w:rPr>
                <w:lang w:eastAsia="en-GB"/>
              </w:rPr>
            </w:pPr>
          </w:p>
        </w:tc>
        <w:tc>
          <w:tcPr>
            <w:tcW w:w="1434" w:type="dxa"/>
            <w:tcBorders>
              <w:top w:val="single" w:sz="4" w:space="0" w:color="auto"/>
              <w:left w:val="nil"/>
              <w:bottom w:val="single" w:sz="4" w:space="0" w:color="auto"/>
              <w:right w:val="single" w:sz="4" w:space="0" w:color="auto"/>
            </w:tcBorders>
            <w:vAlign w:val="center"/>
          </w:tcPr>
          <w:p w14:paraId="4CAC0AA1" w14:textId="77777777" w:rsidR="008974E3" w:rsidRPr="0023654F" w:rsidRDefault="008974E3" w:rsidP="00647044">
            <w:pPr>
              <w:pStyle w:val="TableText"/>
              <w:snapToGrid w:val="0"/>
              <w:jc w:val="center"/>
              <w:rPr>
                <w:bCs/>
                <w:szCs w:val="17"/>
                <w:lang w:eastAsia="it-IT"/>
              </w:rPr>
            </w:pPr>
            <w:r>
              <w:rPr>
                <w:bCs/>
                <w:szCs w:val="17"/>
                <w:lang w:eastAsia="it-IT"/>
              </w:rPr>
              <w:t>(</w:t>
            </w:r>
            <w:r w:rsidRPr="0023654F">
              <w:rPr>
                <w:bCs/>
                <w:szCs w:val="17"/>
                <w:lang w:eastAsia="it-IT"/>
              </w:rPr>
              <w:t>a</w:t>
            </w:r>
            <w:r>
              <w:rPr>
                <w:bCs/>
                <w:szCs w:val="17"/>
                <w:lang w:eastAsia="it-IT"/>
              </w:rPr>
              <w:t>)</w:t>
            </w:r>
          </w:p>
        </w:tc>
        <w:tc>
          <w:tcPr>
            <w:tcW w:w="1435" w:type="dxa"/>
            <w:tcBorders>
              <w:top w:val="single" w:sz="4" w:space="0" w:color="auto"/>
              <w:left w:val="single" w:sz="4" w:space="0" w:color="auto"/>
              <w:bottom w:val="single" w:sz="4" w:space="0" w:color="auto"/>
              <w:right w:val="single" w:sz="4" w:space="0" w:color="auto"/>
            </w:tcBorders>
            <w:vAlign w:val="center"/>
          </w:tcPr>
          <w:p w14:paraId="7F209A13" w14:textId="77777777" w:rsidR="008974E3" w:rsidRPr="0023654F" w:rsidRDefault="008974E3" w:rsidP="00647044">
            <w:pPr>
              <w:pStyle w:val="TableText"/>
              <w:snapToGrid w:val="0"/>
              <w:jc w:val="center"/>
              <w:rPr>
                <w:bCs/>
                <w:szCs w:val="17"/>
                <w:lang w:eastAsia="it-IT"/>
              </w:rPr>
            </w:pPr>
            <w:r>
              <w:rPr>
                <w:bCs/>
                <w:szCs w:val="17"/>
                <w:lang w:eastAsia="it-IT"/>
              </w:rPr>
              <w:t>(b)</w:t>
            </w:r>
          </w:p>
        </w:tc>
      </w:tr>
      <w:tr w:rsidR="008974E3" w:rsidRPr="0023654F" w14:paraId="1A768794" w14:textId="77777777" w:rsidTr="00F06059">
        <w:trPr>
          <w:cantSplit/>
          <w:tblHeader/>
        </w:trPr>
        <w:tc>
          <w:tcPr>
            <w:tcW w:w="6379" w:type="dxa"/>
            <w:gridSpan w:val="4"/>
            <w:tcBorders>
              <w:top w:val="single" w:sz="4" w:space="0" w:color="auto"/>
              <w:left w:val="nil"/>
              <w:bottom w:val="single" w:sz="4" w:space="0" w:color="auto"/>
              <w:right w:val="single" w:sz="4" w:space="0" w:color="auto"/>
            </w:tcBorders>
            <w:vAlign w:val="center"/>
          </w:tcPr>
          <w:p w14:paraId="1444E61C" w14:textId="77777777" w:rsidR="008974E3" w:rsidRPr="0023654F" w:rsidRDefault="008974E3" w:rsidP="00647044">
            <w:pPr>
              <w:pStyle w:val="TableText"/>
              <w:snapToGrid w:val="0"/>
              <w:rPr>
                <w:lang w:eastAsia="en-GB"/>
              </w:rPr>
            </w:pPr>
            <w:r>
              <w:rPr>
                <w:lang w:eastAsia="en-GB"/>
              </w:rPr>
              <w:t>Remuneration amount and quantitative information</w:t>
            </w:r>
          </w:p>
        </w:tc>
        <w:tc>
          <w:tcPr>
            <w:tcW w:w="1434" w:type="dxa"/>
            <w:tcBorders>
              <w:top w:val="single" w:sz="4" w:space="0" w:color="auto"/>
              <w:left w:val="nil"/>
              <w:bottom w:val="single" w:sz="4" w:space="0" w:color="auto"/>
              <w:right w:val="single" w:sz="4" w:space="0" w:color="auto"/>
            </w:tcBorders>
            <w:vAlign w:val="center"/>
          </w:tcPr>
          <w:p w14:paraId="323C8329" w14:textId="77777777" w:rsidR="008974E3" w:rsidRPr="0023654F" w:rsidRDefault="008974E3" w:rsidP="00647044">
            <w:pPr>
              <w:pStyle w:val="TableText"/>
              <w:snapToGrid w:val="0"/>
              <w:jc w:val="center"/>
              <w:rPr>
                <w:lang w:eastAsia="en-GB"/>
              </w:rPr>
            </w:pPr>
            <w:r>
              <w:rPr>
                <w:lang w:eastAsia="en-GB"/>
              </w:rPr>
              <w:t>Senior management</w:t>
            </w:r>
          </w:p>
        </w:tc>
        <w:tc>
          <w:tcPr>
            <w:tcW w:w="1435" w:type="dxa"/>
            <w:tcBorders>
              <w:top w:val="single" w:sz="4" w:space="0" w:color="auto"/>
              <w:left w:val="single" w:sz="4" w:space="0" w:color="auto"/>
              <w:bottom w:val="single" w:sz="4" w:space="0" w:color="auto"/>
              <w:right w:val="single" w:sz="4" w:space="0" w:color="auto"/>
            </w:tcBorders>
            <w:vAlign w:val="center"/>
          </w:tcPr>
          <w:p w14:paraId="56807E34" w14:textId="77777777" w:rsidR="008974E3" w:rsidRPr="00911851" w:rsidRDefault="008974E3" w:rsidP="00647044">
            <w:pPr>
              <w:pStyle w:val="TableText"/>
              <w:snapToGrid w:val="0"/>
              <w:jc w:val="center"/>
              <w:rPr>
                <w:lang w:eastAsia="en-GB"/>
              </w:rPr>
            </w:pPr>
            <w:r>
              <w:rPr>
                <w:lang w:eastAsia="en-GB"/>
              </w:rPr>
              <w:t>Key personnel</w:t>
            </w:r>
          </w:p>
        </w:tc>
      </w:tr>
      <w:tr w:rsidR="008974E3" w:rsidRPr="0023654F" w14:paraId="09775FFA" w14:textId="77777777" w:rsidTr="00F06059">
        <w:trPr>
          <w:cantSplit/>
          <w:tblHeader/>
        </w:trPr>
        <w:tc>
          <w:tcPr>
            <w:tcW w:w="709" w:type="dxa"/>
            <w:gridSpan w:val="2"/>
            <w:tcBorders>
              <w:top w:val="single" w:sz="4" w:space="0" w:color="auto"/>
              <w:left w:val="nil"/>
              <w:right w:val="single" w:sz="4" w:space="0" w:color="auto"/>
            </w:tcBorders>
          </w:tcPr>
          <w:p w14:paraId="503C07D0" w14:textId="77777777" w:rsidR="008974E3" w:rsidRPr="00911851" w:rsidRDefault="008974E3" w:rsidP="00647044">
            <w:pPr>
              <w:pStyle w:val="TableText"/>
              <w:snapToGrid w:val="0"/>
              <w:rPr>
                <w:lang w:eastAsia="en-GB"/>
              </w:rPr>
            </w:pPr>
            <w:r>
              <w:rPr>
                <w:lang w:eastAsia="en-GB"/>
              </w:rPr>
              <w:t>1</w:t>
            </w:r>
          </w:p>
        </w:tc>
        <w:tc>
          <w:tcPr>
            <w:tcW w:w="1276" w:type="dxa"/>
            <w:vMerge w:val="restart"/>
            <w:tcBorders>
              <w:top w:val="single" w:sz="4" w:space="0" w:color="auto"/>
              <w:left w:val="single" w:sz="4" w:space="0" w:color="auto"/>
              <w:right w:val="single" w:sz="4" w:space="0" w:color="auto"/>
            </w:tcBorders>
            <w:vAlign w:val="center"/>
          </w:tcPr>
          <w:p w14:paraId="2A04A89B" w14:textId="77777777" w:rsidR="008974E3" w:rsidRPr="00911851" w:rsidRDefault="008974E3" w:rsidP="00647044">
            <w:pPr>
              <w:pStyle w:val="TableText"/>
              <w:snapToGrid w:val="0"/>
              <w:rPr>
                <w:noProof/>
                <w:lang w:eastAsia="en-GB"/>
              </w:rPr>
            </w:pPr>
            <w:r>
              <w:rPr>
                <w:lang w:eastAsia="en-GB"/>
              </w:rPr>
              <w:t>Fixed remuneration</w:t>
            </w:r>
          </w:p>
        </w:tc>
        <w:tc>
          <w:tcPr>
            <w:tcW w:w="4394" w:type="dxa"/>
            <w:tcBorders>
              <w:top w:val="single" w:sz="4" w:space="0" w:color="auto"/>
              <w:left w:val="single" w:sz="4" w:space="0" w:color="auto"/>
              <w:right w:val="single" w:sz="4" w:space="0" w:color="auto"/>
            </w:tcBorders>
          </w:tcPr>
          <w:p w14:paraId="0FC50752" w14:textId="77777777" w:rsidR="008974E3" w:rsidRPr="00911851" w:rsidRDefault="008974E3" w:rsidP="00647044">
            <w:pPr>
              <w:pStyle w:val="TableText"/>
              <w:snapToGrid w:val="0"/>
              <w:rPr>
                <w:lang w:eastAsia="en-GB"/>
              </w:rPr>
            </w:pPr>
            <w:r>
              <w:rPr>
                <w:lang w:eastAsia="en-GB"/>
              </w:rPr>
              <w:t>Number of employees</w:t>
            </w:r>
          </w:p>
        </w:tc>
        <w:tc>
          <w:tcPr>
            <w:tcW w:w="1434" w:type="dxa"/>
            <w:tcBorders>
              <w:top w:val="single" w:sz="4" w:space="0" w:color="auto"/>
              <w:left w:val="single" w:sz="4" w:space="0" w:color="auto"/>
              <w:right w:val="single" w:sz="4" w:space="0" w:color="auto"/>
            </w:tcBorders>
          </w:tcPr>
          <w:p w14:paraId="14B6936F" w14:textId="77777777" w:rsidR="008974E3" w:rsidRPr="0023654F" w:rsidRDefault="008974E3" w:rsidP="00647044">
            <w:pPr>
              <w:pStyle w:val="TableText"/>
              <w:snapToGrid w:val="0"/>
              <w:rPr>
                <w:b/>
                <w:noProof/>
                <w:lang w:eastAsia="en-GB"/>
              </w:rPr>
            </w:pPr>
          </w:p>
        </w:tc>
        <w:tc>
          <w:tcPr>
            <w:tcW w:w="1435" w:type="dxa"/>
            <w:tcBorders>
              <w:top w:val="single" w:sz="4" w:space="0" w:color="auto"/>
              <w:left w:val="single" w:sz="4" w:space="0" w:color="auto"/>
              <w:right w:val="single" w:sz="4" w:space="0" w:color="auto"/>
            </w:tcBorders>
            <w:vAlign w:val="center"/>
          </w:tcPr>
          <w:p w14:paraId="3B42B71B" w14:textId="77777777" w:rsidR="008974E3" w:rsidRPr="0023654F" w:rsidRDefault="008974E3" w:rsidP="00647044">
            <w:pPr>
              <w:pStyle w:val="TableText"/>
              <w:snapToGrid w:val="0"/>
              <w:rPr>
                <w:rFonts w:ascii="Arial" w:hAnsi="Arial"/>
                <w:bCs/>
                <w:lang w:eastAsia="en-GB"/>
              </w:rPr>
            </w:pPr>
          </w:p>
        </w:tc>
      </w:tr>
      <w:tr w:rsidR="008974E3" w:rsidRPr="0023654F" w14:paraId="41859711" w14:textId="77777777" w:rsidTr="00F06059">
        <w:trPr>
          <w:cantSplit/>
        </w:trPr>
        <w:tc>
          <w:tcPr>
            <w:tcW w:w="709" w:type="dxa"/>
            <w:gridSpan w:val="2"/>
            <w:tcBorders>
              <w:left w:val="nil"/>
              <w:right w:val="single" w:sz="4" w:space="0" w:color="auto"/>
            </w:tcBorders>
          </w:tcPr>
          <w:p w14:paraId="43A9B324" w14:textId="77777777" w:rsidR="008974E3" w:rsidRPr="0023654F" w:rsidRDefault="008974E3" w:rsidP="00647044">
            <w:pPr>
              <w:pStyle w:val="TableText"/>
              <w:snapToGrid w:val="0"/>
              <w:rPr>
                <w:lang w:eastAsia="en-GB"/>
              </w:rPr>
            </w:pPr>
            <w:r w:rsidRPr="0023654F">
              <w:rPr>
                <w:lang w:eastAsia="en-GB"/>
              </w:rPr>
              <w:t>2</w:t>
            </w:r>
          </w:p>
        </w:tc>
        <w:tc>
          <w:tcPr>
            <w:tcW w:w="1276" w:type="dxa"/>
            <w:vMerge/>
            <w:tcBorders>
              <w:left w:val="single" w:sz="4" w:space="0" w:color="auto"/>
              <w:right w:val="single" w:sz="4" w:space="0" w:color="auto"/>
            </w:tcBorders>
          </w:tcPr>
          <w:p w14:paraId="604A4431" w14:textId="77777777" w:rsidR="008974E3" w:rsidRPr="0023654F" w:rsidRDefault="008974E3" w:rsidP="00647044">
            <w:pPr>
              <w:pStyle w:val="TableText"/>
              <w:snapToGrid w:val="0"/>
              <w:rPr>
                <w:lang w:eastAsia="en-GB"/>
              </w:rPr>
            </w:pPr>
          </w:p>
        </w:tc>
        <w:tc>
          <w:tcPr>
            <w:tcW w:w="4394" w:type="dxa"/>
            <w:tcBorders>
              <w:left w:val="single" w:sz="4" w:space="0" w:color="auto"/>
              <w:right w:val="single" w:sz="4" w:space="0" w:color="auto"/>
            </w:tcBorders>
          </w:tcPr>
          <w:p w14:paraId="1C26FD05" w14:textId="77777777" w:rsidR="008974E3" w:rsidRPr="0023654F" w:rsidRDefault="008974E3" w:rsidP="00647044">
            <w:pPr>
              <w:pStyle w:val="TableText"/>
              <w:snapToGrid w:val="0"/>
              <w:rPr>
                <w:lang w:eastAsia="en-GB"/>
              </w:rPr>
            </w:pPr>
            <w:r w:rsidRPr="00DC0262">
              <w:rPr>
                <w:lang w:eastAsia="en-GB"/>
              </w:rPr>
              <w:t>Total</w:t>
            </w:r>
            <w:r>
              <w:rPr>
                <w:lang w:eastAsia="en-GB"/>
              </w:rPr>
              <w:t xml:space="preserve"> fixed remuneration</w:t>
            </w:r>
          </w:p>
        </w:tc>
        <w:tc>
          <w:tcPr>
            <w:tcW w:w="1434" w:type="dxa"/>
            <w:tcBorders>
              <w:left w:val="single" w:sz="4" w:space="0" w:color="auto"/>
              <w:right w:val="single" w:sz="4" w:space="0" w:color="auto"/>
            </w:tcBorders>
          </w:tcPr>
          <w:p w14:paraId="1EC56DE7" w14:textId="77777777" w:rsidR="008974E3" w:rsidRPr="0023654F" w:rsidRDefault="008974E3" w:rsidP="00647044">
            <w:pPr>
              <w:pStyle w:val="TableText"/>
              <w:snapToGrid w:val="0"/>
              <w:rPr>
                <w:lang w:eastAsia="en-GB"/>
              </w:rPr>
            </w:pPr>
          </w:p>
        </w:tc>
        <w:tc>
          <w:tcPr>
            <w:tcW w:w="1435" w:type="dxa"/>
            <w:tcBorders>
              <w:left w:val="single" w:sz="4" w:space="0" w:color="auto"/>
              <w:right w:val="single" w:sz="4" w:space="0" w:color="auto"/>
            </w:tcBorders>
          </w:tcPr>
          <w:p w14:paraId="1715FC87" w14:textId="77777777" w:rsidR="008974E3" w:rsidRPr="0023654F" w:rsidRDefault="008974E3" w:rsidP="00647044">
            <w:pPr>
              <w:pStyle w:val="TableText"/>
              <w:snapToGrid w:val="0"/>
              <w:rPr>
                <w:lang w:eastAsia="en-GB"/>
              </w:rPr>
            </w:pPr>
          </w:p>
        </w:tc>
      </w:tr>
      <w:tr w:rsidR="008974E3" w:rsidRPr="0023654F" w14:paraId="44A973F9" w14:textId="77777777" w:rsidTr="00F06059">
        <w:trPr>
          <w:cantSplit/>
        </w:trPr>
        <w:tc>
          <w:tcPr>
            <w:tcW w:w="709" w:type="dxa"/>
            <w:gridSpan w:val="2"/>
            <w:tcBorders>
              <w:left w:val="nil"/>
              <w:right w:val="single" w:sz="4" w:space="0" w:color="auto"/>
            </w:tcBorders>
          </w:tcPr>
          <w:p w14:paraId="3D0140B7" w14:textId="77777777" w:rsidR="008974E3" w:rsidRPr="0023654F" w:rsidRDefault="008974E3" w:rsidP="00647044">
            <w:pPr>
              <w:pStyle w:val="TableText"/>
              <w:snapToGrid w:val="0"/>
              <w:rPr>
                <w:lang w:eastAsia="en-GB"/>
              </w:rPr>
            </w:pPr>
            <w:r w:rsidRPr="0023654F">
              <w:rPr>
                <w:lang w:eastAsia="en-GB"/>
              </w:rPr>
              <w:t>3</w:t>
            </w:r>
          </w:p>
        </w:tc>
        <w:tc>
          <w:tcPr>
            <w:tcW w:w="1276" w:type="dxa"/>
            <w:vMerge/>
            <w:tcBorders>
              <w:left w:val="single" w:sz="4" w:space="0" w:color="auto"/>
              <w:right w:val="single" w:sz="4" w:space="0" w:color="auto"/>
            </w:tcBorders>
          </w:tcPr>
          <w:p w14:paraId="741C88A4" w14:textId="77777777" w:rsidR="008974E3" w:rsidRPr="0023654F" w:rsidRDefault="008974E3" w:rsidP="00647044">
            <w:pPr>
              <w:pStyle w:val="TableText"/>
              <w:snapToGrid w:val="0"/>
              <w:rPr>
                <w:lang w:eastAsia="en-GB"/>
              </w:rPr>
            </w:pPr>
          </w:p>
        </w:tc>
        <w:tc>
          <w:tcPr>
            <w:tcW w:w="4394" w:type="dxa"/>
            <w:tcBorders>
              <w:left w:val="single" w:sz="4" w:space="0" w:color="auto"/>
              <w:right w:val="single" w:sz="4" w:space="0" w:color="auto"/>
            </w:tcBorders>
          </w:tcPr>
          <w:p w14:paraId="05B2E575" w14:textId="77777777" w:rsidR="008974E3" w:rsidRPr="0023654F" w:rsidRDefault="008974E3" w:rsidP="00647044">
            <w:pPr>
              <w:pStyle w:val="TableText"/>
              <w:tabs>
                <w:tab w:val="left" w:pos="317"/>
              </w:tabs>
              <w:snapToGrid w:val="0"/>
              <w:ind w:left="316" w:hangingChars="186" w:hanging="316"/>
              <w:rPr>
                <w:lang w:eastAsia="en-GB"/>
              </w:rPr>
            </w:pPr>
            <w:r>
              <w:rPr>
                <w:lang w:eastAsia="en-GB"/>
              </w:rPr>
              <w:tab/>
              <w:t>Of which: cash-based</w:t>
            </w:r>
          </w:p>
        </w:tc>
        <w:tc>
          <w:tcPr>
            <w:tcW w:w="1434" w:type="dxa"/>
            <w:tcBorders>
              <w:left w:val="single" w:sz="4" w:space="0" w:color="auto"/>
              <w:right w:val="single" w:sz="4" w:space="0" w:color="auto"/>
            </w:tcBorders>
          </w:tcPr>
          <w:p w14:paraId="3B195FF1" w14:textId="77777777" w:rsidR="008974E3" w:rsidRPr="0023654F" w:rsidRDefault="008974E3" w:rsidP="00647044">
            <w:pPr>
              <w:pStyle w:val="TableText"/>
              <w:snapToGrid w:val="0"/>
              <w:rPr>
                <w:lang w:eastAsia="en-GB"/>
              </w:rPr>
            </w:pPr>
          </w:p>
        </w:tc>
        <w:tc>
          <w:tcPr>
            <w:tcW w:w="1435" w:type="dxa"/>
            <w:tcBorders>
              <w:left w:val="single" w:sz="4" w:space="0" w:color="auto"/>
              <w:right w:val="single" w:sz="4" w:space="0" w:color="auto"/>
            </w:tcBorders>
          </w:tcPr>
          <w:p w14:paraId="5782815B" w14:textId="77777777" w:rsidR="008974E3" w:rsidRPr="0023654F" w:rsidRDefault="008974E3" w:rsidP="00647044">
            <w:pPr>
              <w:pStyle w:val="TableText"/>
              <w:snapToGrid w:val="0"/>
              <w:rPr>
                <w:lang w:eastAsia="en-GB"/>
              </w:rPr>
            </w:pPr>
          </w:p>
        </w:tc>
      </w:tr>
      <w:tr w:rsidR="008974E3" w:rsidRPr="0023654F" w14:paraId="461AE575" w14:textId="77777777" w:rsidTr="00F06059">
        <w:trPr>
          <w:cantSplit/>
        </w:trPr>
        <w:tc>
          <w:tcPr>
            <w:tcW w:w="709" w:type="dxa"/>
            <w:gridSpan w:val="2"/>
            <w:tcBorders>
              <w:left w:val="nil"/>
              <w:right w:val="single" w:sz="4" w:space="0" w:color="auto"/>
            </w:tcBorders>
          </w:tcPr>
          <w:p w14:paraId="33D2F139" w14:textId="77777777" w:rsidR="008974E3" w:rsidRPr="0023654F" w:rsidRDefault="008974E3" w:rsidP="00647044">
            <w:pPr>
              <w:pStyle w:val="TableText"/>
              <w:snapToGrid w:val="0"/>
              <w:rPr>
                <w:lang w:eastAsia="en-GB"/>
              </w:rPr>
            </w:pPr>
            <w:r w:rsidRPr="0023654F">
              <w:rPr>
                <w:lang w:eastAsia="en-GB"/>
              </w:rPr>
              <w:t>4</w:t>
            </w:r>
          </w:p>
        </w:tc>
        <w:tc>
          <w:tcPr>
            <w:tcW w:w="1276" w:type="dxa"/>
            <w:vMerge/>
            <w:tcBorders>
              <w:left w:val="single" w:sz="4" w:space="0" w:color="auto"/>
              <w:right w:val="single" w:sz="4" w:space="0" w:color="auto"/>
            </w:tcBorders>
          </w:tcPr>
          <w:p w14:paraId="3E7CE269" w14:textId="77777777" w:rsidR="008974E3" w:rsidRPr="0023654F" w:rsidRDefault="008974E3" w:rsidP="00647044">
            <w:pPr>
              <w:pStyle w:val="TableText"/>
              <w:snapToGrid w:val="0"/>
              <w:rPr>
                <w:lang w:eastAsia="en-GB"/>
              </w:rPr>
            </w:pPr>
          </w:p>
        </w:tc>
        <w:tc>
          <w:tcPr>
            <w:tcW w:w="4394" w:type="dxa"/>
            <w:tcBorders>
              <w:left w:val="single" w:sz="4" w:space="0" w:color="auto"/>
              <w:right w:val="single" w:sz="4" w:space="0" w:color="auto"/>
            </w:tcBorders>
          </w:tcPr>
          <w:p w14:paraId="5806B3A7" w14:textId="77777777" w:rsidR="008974E3" w:rsidRPr="0023654F" w:rsidRDefault="008974E3" w:rsidP="00647044">
            <w:pPr>
              <w:pStyle w:val="TableText"/>
              <w:tabs>
                <w:tab w:val="left" w:pos="601"/>
              </w:tabs>
              <w:snapToGrid w:val="0"/>
              <w:ind w:leftChars="158" w:left="600" w:hangingChars="167" w:hanging="284"/>
              <w:rPr>
                <w:lang w:eastAsia="en-GB"/>
              </w:rPr>
            </w:pPr>
            <w:r>
              <w:rPr>
                <w:lang w:eastAsia="en-GB"/>
              </w:rPr>
              <w:tab/>
              <w:t>Of which: deferred</w:t>
            </w:r>
          </w:p>
        </w:tc>
        <w:tc>
          <w:tcPr>
            <w:tcW w:w="1434" w:type="dxa"/>
            <w:tcBorders>
              <w:left w:val="single" w:sz="4" w:space="0" w:color="auto"/>
              <w:right w:val="single" w:sz="4" w:space="0" w:color="auto"/>
            </w:tcBorders>
          </w:tcPr>
          <w:p w14:paraId="142701E2" w14:textId="77777777" w:rsidR="008974E3" w:rsidRPr="0023654F" w:rsidRDefault="008974E3" w:rsidP="00647044">
            <w:pPr>
              <w:pStyle w:val="TableText"/>
              <w:snapToGrid w:val="0"/>
              <w:rPr>
                <w:lang w:eastAsia="en-GB"/>
              </w:rPr>
            </w:pPr>
          </w:p>
        </w:tc>
        <w:tc>
          <w:tcPr>
            <w:tcW w:w="1435" w:type="dxa"/>
            <w:tcBorders>
              <w:left w:val="single" w:sz="4" w:space="0" w:color="auto"/>
              <w:right w:val="single" w:sz="4" w:space="0" w:color="auto"/>
            </w:tcBorders>
          </w:tcPr>
          <w:p w14:paraId="37800A60" w14:textId="77777777" w:rsidR="008974E3" w:rsidRPr="0023654F" w:rsidRDefault="008974E3" w:rsidP="00647044">
            <w:pPr>
              <w:pStyle w:val="TableText"/>
              <w:snapToGrid w:val="0"/>
              <w:rPr>
                <w:lang w:eastAsia="en-GB"/>
              </w:rPr>
            </w:pPr>
          </w:p>
        </w:tc>
      </w:tr>
      <w:tr w:rsidR="008974E3" w:rsidRPr="0023654F" w14:paraId="27C61468" w14:textId="77777777" w:rsidTr="00F06059">
        <w:trPr>
          <w:cantSplit/>
        </w:trPr>
        <w:tc>
          <w:tcPr>
            <w:tcW w:w="709" w:type="dxa"/>
            <w:gridSpan w:val="2"/>
            <w:tcBorders>
              <w:left w:val="nil"/>
              <w:right w:val="single" w:sz="4" w:space="0" w:color="auto"/>
            </w:tcBorders>
          </w:tcPr>
          <w:p w14:paraId="10E19884" w14:textId="77777777" w:rsidR="008974E3" w:rsidRPr="0023654F" w:rsidRDefault="008974E3" w:rsidP="00647044">
            <w:pPr>
              <w:pStyle w:val="TableText"/>
              <w:snapToGrid w:val="0"/>
              <w:rPr>
                <w:lang w:eastAsia="en-GB"/>
              </w:rPr>
            </w:pPr>
            <w:r w:rsidRPr="0023654F">
              <w:rPr>
                <w:lang w:eastAsia="en-GB"/>
              </w:rPr>
              <w:t>5</w:t>
            </w:r>
          </w:p>
        </w:tc>
        <w:tc>
          <w:tcPr>
            <w:tcW w:w="1276" w:type="dxa"/>
            <w:vMerge/>
            <w:tcBorders>
              <w:left w:val="single" w:sz="4" w:space="0" w:color="auto"/>
              <w:right w:val="single" w:sz="4" w:space="0" w:color="auto"/>
            </w:tcBorders>
          </w:tcPr>
          <w:p w14:paraId="39A4BFB8" w14:textId="77777777" w:rsidR="008974E3" w:rsidRPr="0023654F" w:rsidRDefault="008974E3" w:rsidP="00647044">
            <w:pPr>
              <w:pStyle w:val="TableText"/>
              <w:snapToGrid w:val="0"/>
              <w:rPr>
                <w:lang w:eastAsia="en-GB"/>
              </w:rPr>
            </w:pPr>
          </w:p>
        </w:tc>
        <w:tc>
          <w:tcPr>
            <w:tcW w:w="4394" w:type="dxa"/>
            <w:tcBorders>
              <w:left w:val="single" w:sz="4" w:space="0" w:color="auto"/>
              <w:right w:val="single" w:sz="4" w:space="0" w:color="auto"/>
            </w:tcBorders>
          </w:tcPr>
          <w:p w14:paraId="005BBF6D" w14:textId="77777777" w:rsidR="008974E3" w:rsidRPr="00DC0262" w:rsidRDefault="008974E3" w:rsidP="00647044">
            <w:pPr>
              <w:pStyle w:val="TableText"/>
              <w:tabs>
                <w:tab w:val="left" w:pos="317"/>
              </w:tabs>
              <w:snapToGrid w:val="0"/>
              <w:ind w:left="316" w:hangingChars="186" w:hanging="316"/>
              <w:rPr>
                <w:lang w:eastAsia="en-GB"/>
              </w:rPr>
            </w:pPr>
            <w:r>
              <w:rPr>
                <w:lang w:eastAsia="en-GB"/>
              </w:rPr>
              <w:tab/>
            </w:r>
            <w:r w:rsidRPr="00DC0262">
              <w:rPr>
                <w:lang w:eastAsia="en-GB"/>
              </w:rPr>
              <w:t>Of which: shares or</w:t>
            </w:r>
            <w:r>
              <w:rPr>
                <w:lang w:eastAsia="en-GB"/>
              </w:rPr>
              <w:t xml:space="preserve"> other share-linked instruments</w:t>
            </w:r>
          </w:p>
        </w:tc>
        <w:tc>
          <w:tcPr>
            <w:tcW w:w="1434" w:type="dxa"/>
            <w:tcBorders>
              <w:left w:val="single" w:sz="4" w:space="0" w:color="auto"/>
              <w:right w:val="single" w:sz="4" w:space="0" w:color="auto"/>
            </w:tcBorders>
          </w:tcPr>
          <w:p w14:paraId="5ACB7A4F" w14:textId="77777777" w:rsidR="008974E3" w:rsidRPr="0023654F" w:rsidRDefault="008974E3" w:rsidP="00647044">
            <w:pPr>
              <w:pStyle w:val="TableText"/>
              <w:snapToGrid w:val="0"/>
              <w:rPr>
                <w:lang w:eastAsia="en-GB"/>
              </w:rPr>
            </w:pPr>
          </w:p>
        </w:tc>
        <w:tc>
          <w:tcPr>
            <w:tcW w:w="1435" w:type="dxa"/>
            <w:tcBorders>
              <w:left w:val="single" w:sz="4" w:space="0" w:color="auto"/>
              <w:right w:val="single" w:sz="4" w:space="0" w:color="auto"/>
            </w:tcBorders>
          </w:tcPr>
          <w:p w14:paraId="4B200E01" w14:textId="77777777" w:rsidR="008974E3" w:rsidRPr="0023654F" w:rsidRDefault="008974E3" w:rsidP="00647044">
            <w:pPr>
              <w:pStyle w:val="TableText"/>
              <w:snapToGrid w:val="0"/>
              <w:rPr>
                <w:lang w:eastAsia="en-GB"/>
              </w:rPr>
            </w:pPr>
          </w:p>
        </w:tc>
      </w:tr>
      <w:tr w:rsidR="008974E3" w:rsidRPr="0023654F" w14:paraId="7293BFE4" w14:textId="77777777" w:rsidTr="00F06059">
        <w:trPr>
          <w:cantSplit/>
        </w:trPr>
        <w:tc>
          <w:tcPr>
            <w:tcW w:w="709" w:type="dxa"/>
            <w:gridSpan w:val="2"/>
            <w:tcBorders>
              <w:left w:val="nil"/>
              <w:right w:val="single" w:sz="4" w:space="0" w:color="auto"/>
            </w:tcBorders>
          </w:tcPr>
          <w:p w14:paraId="75099DAA" w14:textId="77777777" w:rsidR="008974E3" w:rsidRPr="0023654F" w:rsidRDefault="008974E3" w:rsidP="00647044">
            <w:pPr>
              <w:pStyle w:val="TableText"/>
              <w:snapToGrid w:val="0"/>
              <w:rPr>
                <w:lang w:eastAsia="en-GB"/>
              </w:rPr>
            </w:pPr>
            <w:r w:rsidRPr="0023654F">
              <w:rPr>
                <w:lang w:eastAsia="en-GB"/>
              </w:rPr>
              <w:t>6</w:t>
            </w:r>
          </w:p>
        </w:tc>
        <w:tc>
          <w:tcPr>
            <w:tcW w:w="1276" w:type="dxa"/>
            <w:vMerge/>
            <w:tcBorders>
              <w:left w:val="single" w:sz="4" w:space="0" w:color="auto"/>
              <w:right w:val="single" w:sz="4" w:space="0" w:color="auto"/>
            </w:tcBorders>
          </w:tcPr>
          <w:p w14:paraId="0CF27254" w14:textId="77777777" w:rsidR="008974E3" w:rsidRPr="0023654F" w:rsidRDefault="008974E3" w:rsidP="00647044">
            <w:pPr>
              <w:pStyle w:val="TableText"/>
              <w:snapToGrid w:val="0"/>
              <w:rPr>
                <w:lang w:eastAsia="en-GB"/>
              </w:rPr>
            </w:pPr>
          </w:p>
        </w:tc>
        <w:tc>
          <w:tcPr>
            <w:tcW w:w="4394" w:type="dxa"/>
            <w:tcBorders>
              <w:left w:val="single" w:sz="4" w:space="0" w:color="auto"/>
              <w:right w:val="single" w:sz="4" w:space="0" w:color="auto"/>
            </w:tcBorders>
          </w:tcPr>
          <w:p w14:paraId="4C18C5D3" w14:textId="77777777" w:rsidR="008974E3" w:rsidRPr="0023654F" w:rsidRDefault="008974E3" w:rsidP="00647044">
            <w:pPr>
              <w:pStyle w:val="TableText"/>
              <w:tabs>
                <w:tab w:val="left" w:pos="601"/>
              </w:tabs>
              <w:snapToGrid w:val="0"/>
              <w:ind w:leftChars="158" w:left="600" w:hangingChars="167" w:hanging="284"/>
              <w:rPr>
                <w:lang w:eastAsia="en-GB"/>
              </w:rPr>
            </w:pPr>
            <w:r>
              <w:rPr>
                <w:lang w:eastAsia="en-GB"/>
              </w:rPr>
              <w:tab/>
              <w:t>Of which: deferred</w:t>
            </w:r>
          </w:p>
        </w:tc>
        <w:tc>
          <w:tcPr>
            <w:tcW w:w="1434" w:type="dxa"/>
            <w:tcBorders>
              <w:left w:val="single" w:sz="4" w:space="0" w:color="auto"/>
              <w:right w:val="single" w:sz="4" w:space="0" w:color="auto"/>
            </w:tcBorders>
          </w:tcPr>
          <w:p w14:paraId="6D6A0A2A" w14:textId="77777777" w:rsidR="008974E3" w:rsidRPr="0023654F" w:rsidRDefault="008974E3" w:rsidP="00647044">
            <w:pPr>
              <w:pStyle w:val="TableText"/>
              <w:snapToGrid w:val="0"/>
              <w:rPr>
                <w:lang w:eastAsia="en-GB"/>
              </w:rPr>
            </w:pPr>
          </w:p>
        </w:tc>
        <w:tc>
          <w:tcPr>
            <w:tcW w:w="1435" w:type="dxa"/>
            <w:tcBorders>
              <w:left w:val="single" w:sz="4" w:space="0" w:color="auto"/>
              <w:right w:val="single" w:sz="4" w:space="0" w:color="auto"/>
            </w:tcBorders>
          </w:tcPr>
          <w:p w14:paraId="1814D749" w14:textId="77777777" w:rsidR="008974E3" w:rsidRPr="0023654F" w:rsidRDefault="008974E3" w:rsidP="00647044">
            <w:pPr>
              <w:pStyle w:val="TableText"/>
              <w:snapToGrid w:val="0"/>
              <w:rPr>
                <w:lang w:eastAsia="en-GB"/>
              </w:rPr>
            </w:pPr>
          </w:p>
        </w:tc>
      </w:tr>
      <w:tr w:rsidR="008974E3" w:rsidRPr="0023654F" w14:paraId="28258FBE" w14:textId="77777777" w:rsidTr="00F06059">
        <w:trPr>
          <w:cantSplit/>
        </w:trPr>
        <w:tc>
          <w:tcPr>
            <w:tcW w:w="709" w:type="dxa"/>
            <w:gridSpan w:val="2"/>
            <w:tcBorders>
              <w:left w:val="nil"/>
              <w:right w:val="single" w:sz="4" w:space="0" w:color="auto"/>
            </w:tcBorders>
          </w:tcPr>
          <w:p w14:paraId="29358CC2" w14:textId="77777777" w:rsidR="008974E3" w:rsidRPr="0023654F" w:rsidRDefault="008974E3" w:rsidP="00647044">
            <w:pPr>
              <w:pStyle w:val="TableText"/>
              <w:snapToGrid w:val="0"/>
              <w:rPr>
                <w:lang w:eastAsia="en-GB"/>
              </w:rPr>
            </w:pPr>
            <w:r w:rsidRPr="0023654F">
              <w:rPr>
                <w:lang w:eastAsia="en-GB"/>
              </w:rPr>
              <w:t>7</w:t>
            </w:r>
          </w:p>
        </w:tc>
        <w:tc>
          <w:tcPr>
            <w:tcW w:w="1276" w:type="dxa"/>
            <w:vMerge/>
            <w:tcBorders>
              <w:left w:val="single" w:sz="4" w:space="0" w:color="auto"/>
              <w:right w:val="single" w:sz="4" w:space="0" w:color="auto"/>
            </w:tcBorders>
          </w:tcPr>
          <w:p w14:paraId="0665BCEE" w14:textId="77777777" w:rsidR="008974E3" w:rsidRPr="0023654F" w:rsidRDefault="008974E3" w:rsidP="00647044">
            <w:pPr>
              <w:pStyle w:val="TableText"/>
              <w:snapToGrid w:val="0"/>
              <w:rPr>
                <w:lang w:eastAsia="en-GB"/>
              </w:rPr>
            </w:pPr>
          </w:p>
        </w:tc>
        <w:tc>
          <w:tcPr>
            <w:tcW w:w="4394" w:type="dxa"/>
            <w:tcBorders>
              <w:left w:val="single" w:sz="4" w:space="0" w:color="auto"/>
              <w:right w:val="single" w:sz="4" w:space="0" w:color="auto"/>
            </w:tcBorders>
          </w:tcPr>
          <w:p w14:paraId="080DB0C2" w14:textId="77777777" w:rsidR="008974E3" w:rsidRPr="0023654F" w:rsidRDefault="008974E3" w:rsidP="00647044">
            <w:pPr>
              <w:pStyle w:val="TableText"/>
              <w:tabs>
                <w:tab w:val="left" w:pos="317"/>
              </w:tabs>
              <w:snapToGrid w:val="0"/>
              <w:ind w:left="316" w:hangingChars="186" w:hanging="316"/>
              <w:rPr>
                <w:lang w:eastAsia="en-GB"/>
              </w:rPr>
            </w:pPr>
            <w:r>
              <w:rPr>
                <w:lang w:eastAsia="en-GB"/>
              </w:rPr>
              <w:tab/>
              <w:t>Of which: other forms</w:t>
            </w:r>
          </w:p>
        </w:tc>
        <w:tc>
          <w:tcPr>
            <w:tcW w:w="1434" w:type="dxa"/>
            <w:tcBorders>
              <w:left w:val="single" w:sz="4" w:space="0" w:color="auto"/>
              <w:right w:val="single" w:sz="4" w:space="0" w:color="auto"/>
            </w:tcBorders>
          </w:tcPr>
          <w:p w14:paraId="1042C218" w14:textId="77777777" w:rsidR="008974E3" w:rsidRPr="0023654F" w:rsidRDefault="008974E3" w:rsidP="00647044">
            <w:pPr>
              <w:pStyle w:val="TableText"/>
              <w:snapToGrid w:val="0"/>
              <w:rPr>
                <w:lang w:eastAsia="en-GB"/>
              </w:rPr>
            </w:pPr>
          </w:p>
        </w:tc>
        <w:tc>
          <w:tcPr>
            <w:tcW w:w="1435" w:type="dxa"/>
            <w:tcBorders>
              <w:left w:val="single" w:sz="4" w:space="0" w:color="auto"/>
              <w:right w:val="single" w:sz="4" w:space="0" w:color="auto"/>
            </w:tcBorders>
          </w:tcPr>
          <w:p w14:paraId="6C1CCE5C" w14:textId="77777777" w:rsidR="008974E3" w:rsidRPr="0023654F" w:rsidRDefault="008974E3" w:rsidP="00647044">
            <w:pPr>
              <w:pStyle w:val="TableText"/>
              <w:snapToGrid w:val="0"/>
              <w:rPr>
                <w:lang w:eastAsia="en-GB"/>
              </w:rPr>
            </w:pPr>
          </w:p>
        </w:tc>
      </w:tr>
      <w:tr w:rsidR="008974E3" w:rsidRPr="0023654F" w14:paraId="7288C108" w14:textId="77777777" w:rsidTr="00F06059">
        <w:trPr>
          <w:cantSplit/>
        </w:trPr>
        <w:tc>
          <w:tcPr>
            <w:tcW w:w="709" w:type="dxa"/>
            <w:gridSpan w:val="2"/>
            <w:tcBorders>
              <w:left w:val="nil"/>
              <w:right w:val="single" w:sz="4" w:space="0" w:color="auto"/>
            </w:tcBorders>
          </w:tcPr>
          <w:p w14:paraId="44082A4A" w14:textId="77777777" w:rsidR="008974E3" w:rsidRPr="0023654F" w:rsidRDefault="008974E3" w:rsidP="00647044">
            <w:pPr>
              <w:pStyle w:val="TableText"/>
              <w:snapToGrid w:val="0"/>
              <w:rPr>
                <w:lang w:eastAsia="en-GB"/>
              </w:rPr>
            </w:pPr>
            <w:r w:rsidRPr="0023654F">
              <w:rPr>
                <w:lang w:eastAsia="en-GB"/>
              </w:rPr>
              <w:t>8</w:t>
            </w:r>
          </w:p>
        </w:tc>
        <w:tc>
          <w:tcPr>
            <w:tcW w:w="1276" w:type="dxa"/>
            <w:vMerge/>
            <w:tcBorders>
              <w:left w:val="single" w:sz="4" w:space="0" w:color="auto"/>
              <w:right w:val="single" w:sz="4" w:space="0" w:color="auto"/>
            </w:tcBorders>
          </w:tcPr>
          <w:p w14:paraId="084B308D" w14:textId="77777777" w:rsidR="008974E3" w:rsidRPr="0023654F" w:rsidRDefault="008974E3" w:rsidP="00647044">
            <w:pPr>
              <w:pStyle w:val="TableText"/>
              <w:snapToGrid w:val="0"/>
              <w:rPr>
                <w:lang w:eastAsia="en-GB"/>
              </w:rPr>
            </w:pPr>
          </w:p>
        </w:tc>
        <w:tc>
          <w:tcPr>
            <w:tcW w:w="4394" w:type="dxa"/>
            <w:tcBorders>
              <w:left w:val="single" w:sz="4" w:space="0" w:color="auto"/>
              <w:right w:val="single" w:sz="4" w:space="0" w:color="auto"/>
            </w:tcBorders>
          </w:tcPr>
          <w:p w14:paraId="479258A1" w14:textId="77777777" w:rsidR="008974E3" w:rsidRPr="0023654F" w:rsidRDefault="008974E3" w:rsidP="00647044">
            <w:pPr>
              <w:pStyle w:val="TableText"/>
              <w:tabs>
                <w:tab w:val="left" w:pos="601"/>
              </w:tabs>
              <w:snapToGrid w:val="0"/>
              <w:ind w:leftChars="158" w:left="600" w:hangingChars="167" w:hanging="284"/>
              <w:rPr>
                <w:lang w:eastAsia="en-GB"/>
              </w:rPr>
            </w:pPr>
            <w:r>
              <w:rPr>
                <w:lang w:eastAsia="en-GB"/>
              </w:rPr>
              <w:tab/>
              <w:t>Of which: deferred</w:t>
            </w:r>
          </w:p>
        </w:tc>
        <w:tc>
          <w:tcPr>
            <w:tcW w:w="1434" w:type="dxa"/>
            <w:tcBorders>
              <w:left w:val="single" w:sz="4" w:space="0" w:color="auto"/>
              <w:right w:val="single" w:sz="4" w:space="0" w:color="auto"/>
            </w:tcBorders>
          </w:tcPr>
          <w:p w14:paraId="545EF64C" w14:textId="77777777" w:rsidR="008974E3" w:rsidRPr="0023654F" w:rsidRDefault="008974E3" w:rsidP="00647044">
            <w:pPr>
              <w:pStyle w:val="TableText"/>
              <w:snapToGrid w:val="0"/>
              <w:rPr>
                <w:lang w:eastAsia="en-GB"/>
              </w:rPr>
            </w:pPr>
          </w:p>
        </w:tc>
        <w:tc>
          <w:tcPr>
            <w:tcW w:w="1435" w:type="dxa"/>
            <w:tcBorders>
              <w:left w:val="single" w:sz="4" w:space="0" w:color="auto"/>
              <w:right w:val="single" w:sz="4" w:space="0" w:color="auto"/>
            </w:tcBorders>
          </w:tcPr>
          <w:p w14:paraId="5A1BAB55" w14:textId="77777777" w:rsidR="008974E3" w:rsidRPr="0023654F" w:rsidRDefault="008974E3" w:rsidP="00647044">
            <w:pPr>
              <w:pStyle w:val="TableText"/>
              <w:snapToGrid w:val="0"/>
              <w:rPr>
                <w:lang w:eastAsia="en-GB"/>
              </w:rPr>
            </w:pPr>
          </w:p>
        </w:tc>
      </w:tr>
      <w:tr w:rsidR="008974E3" w:rsidRPr="0023654F" w14:paraId="174875E9" w14:textId="77777777" w:rsidTr="00F06059">
        <w:trPr>
          <w:cantSplit/>
        </w:trPr>
        <w:tc>
          <w:tcPr>
            <w:tcW w:w="709" w:type="dxa"/>
            <w:gridSpan w:val="2"/>
            <w:tcBorders>
              <w:top w:val="single" w:sz="4" w:space="0" w:color="auto"/>
              <w:left w:val="nil"/>
              <w:right w:val="single" w:sz="4" w:space="0" w:color="auto"/>
            </w:tcBorders>
          </w:tcPr>
          <w:p w14:paraId="036231FE" w14:textId="77777777" w:rsidR="008974E3" w:rsidRPr="0023654F" w:rsidRDefault="008974E3" w:rsidP="00647044">
            <w:pPr>
              <w:pStyle w:val="TableText"/>
              <w:snapToGrid w:val="0"/>
              <w:rPr>
                <w:lang w:eastAsia="en-GB"/>
              </w:rPr>
            </w:pPr>
            <w:r>
              <w:rPr>
                <w:lang w:eastAsia="en-GB"/>
              </w:rPr>
              <w:t>9</w:t>
            </w:r>
          </w:p>
        </w:tc>
        <w:tc>
          <w:tcPr>
            <w:tcW w:w="1276" w:type="dxa"/>
            <w:vMerge w:val="restart"/>
            <w:tcBorders>
              <w:top w:val="single" w:sz="4" w:space="0" w:color="auto"/>
              <w:left w:val="single" w:sz="4" w:space="0" w:color="auto"/>
              <w:right w:val="single" w:sz="4" w:space="0" w:color="auto"/>
            </w:tcBorders>
            <w:vAlign w:val="center"/>
          </w:tcPr>
          <w:p w14:paraId="692487E8" w14:textId="77777777" w:rsidR="008974E3" w:rsidRPr="0023654F" w:rsidRDefault="008974E3" w:rsidP="00647044">
            <w:pPr>
              <w:pStyle w:val="TableText"/>
              <w:snapToGrid w:val="0"/>
              <w:rPr>
                <w:lang w:eastAsia="en-GB"/>
              </w:rPr>
            </w:pPr>
            <w:r>
              <w:rPr>
                <w:lang w:eastAsia="en-GB"/>
              </w:rPr>
              <w:t>Variable remuneration</w:t>
            </w:r>
          </w:p>
        </w:tc>
        <w:tc>
          <w:tcPr>
            <w:tcW w:w="4394" w:type="dxa"/>
            <w:tcBorders>
              <w:top w:val="single" w:sz="4" w:space="0" w:color="auto"/>
              <w:left w:val="single" w:sz="4" w:space="0" w:color="auto"/>
              <w:right w:val="single" w:sz="4" w:space="0" w:color="auto"/>
            </w:tcBorders>
          </w:tcPr>
          <w:p w14:paraId="397EB6AF" w14:textId="77777777" w:rsidR="008974E3" w:rsidRPr="00911851" w:rsidRDefault="008974E3" w:rsidP="00647044">
            <w:pPr>
              <w:pStyle w:val="TableText"/>
              <w:snapToGrid w:val="0"/>
              <w:rPr>
                <w:lang w:eastAsia="en-GB"/>
              </w:rPr>
            </w:pPr>
            <w:r>
              <w:rPr>
                <w:lang w:eastAsia="en-GB"/>
              </w:rPr>
              <w:t>Number of employees</w:t>
            </w:r>
          </w:p>
        </w:tc>
        <w:tc>
          <w:tcPr>
            <w:tcW w:w="1434" w:type="dxa"/>
            <w:tcBorders>
              <w:top w:val="single" w:sz="4" w:space="0" w:color="auto"/>
              <w:left w:val="single" w:sz="4" w:space="0" w:color="auto"/>
              <w:right w:val="single" w:sz="4" w:space="0" w:color="auto"/>
            </w:tcBorders>
          </w:tcPr>
          <w:p w14:paraId="4D332486" w14:textId="77777777" w:rsidR="008974E3" w:rsidRPr="0023654F" w:rsidRDefault="008974E3" w:rsidP="00647044">
            <w:pPr>
              <w:pStyle w:val="TableText"/>
              <w:snapToGrid w:val="0"/>
              <w:rPr>
                <w:lang w:eastAsia="en-GB"/>
              </w:rPr>
            </w:pPr>
          </w:p>
        </w:tc>
        <w:tc>
          <w:tcPr>
            <w:tcW w:w="1435" w:type="dxa"/>
            <w:tcBorders>
              <w:top w:val="single" w:sz="4" w:space="0" w:color="auto"/>
              <w:left w:val="single" w:sz="4" w:space="0" w:color="auto"/>
              <w:right w:val="single" w:sz="4" w:space="0" w:color="auto"/>
            </w:tcBorders>
          </w:tcPr>
          <w:p w14:paraId="3E0D176D" w14:textId="77777777" w:rsidR="008974E3" w:rsidRPr="0023654F" w:rsidRDefault="008974E3" w:rsidP="00647044">
            <w:pPr>
              <w:pStyle w:val="TableText"/>
              <w:snapToGrid w:val="0"/>
              <w:rPr>
                <w:lang w:eastAsia="en-GB"/>
              </w:rPr>
            </w:pPr>
          </w:p>
        </w:tc>
      </w:tr>
      <w:tr w:rsidR="008974E3" w:rsidRPr="0023654F" w14:paraId="525DE2DC" w14:textId="77777777" w:rsidTr="00F06059">
        <w:trPr>
          <w:cantSplit/>
        </w:trPr>
        <w:tc>
          <w:tcPr>
            <w:tcW w:w="709" w:type="dxa"/>
            <w:gridSpan w:val="2"/>
            <w:tcBorders>
              <w:left w:val="nil"/>
              <w:right w:val="single" w:sz="4" w:space="0" w:color="auto"/>
            </w:tcBorders>
          </w:tcPr>
          <w:p w14:paraId="51E01FCB" w14:textId="77777777" w:rsidR="008974E3" w:rsidRPr="0023654F" w:rsidRDefault="008974E3" w:rsidP="00647044">
            <w:pPr>
              <w:pStyle w:val="TableText"/>
              <w:snapToGrid w:val="0"/>
              <w:rPr>
                <w:lang w:eastAsia="en-GB"/>
              </w:rPr>
            </w:pPr>
            <w:r>
              <w:rPr>
                <w:lang w:eastAsia="en-GB"/>
              </w:rPr>
              <w:t>10</w:t>
            </w:r>
          </w:p>
        </w:tc>
        <w:tc>
          <w:tcPr>
            <w:tcW w:w="1276" w:type="dxa"/>
            <w:vMerge/>
            <w:tcBorders>
              <w:left w:val="single" w:sz="4" w:space="0" w:color="auto"/>
              <w:right w:val="single" w:sz="4" w:space="0" w:color="auto"/>
            </w:tcBorders>
          </w:tcPr>
          <w:p w14:paraId="1E3098C6" w14:textId="77777777" w:rsidR="008974E3" w:rsidRPr="0023654F" w:rsidRDefault="008974E3" w:rsidP="00647044">
            <w:pPr>
              <w:pStyle w:val="TableText"/>
              <w:snapToGrid w:val="0"/>
              <w:rPr>
                <w:lang w:eastAsia="en-GB"/>
              </w:rPr>
            </w:pPr>
          </w:p>
        </w:tc>
        <w:tc>
          <w:tcPr>
            <w:tcW w:w="4394" w:type="dxa"/>
            <w:tcBorders>
              <w:left w:val="single" w:sz="4" w:space="0" w:color="auto"/>
              <w:right w:val="single" w:sz="4" w:space="0" w:color="auto"/>
            </w:tcBorders>
          </w:tcPr>
          <w:p w14:paraId="4961983B" w14:textId="77777777" w:rsidR="008974E3" w:rsidRPr="0023654F" w:rsidRDefault="008974E3" w:rsidP="00647044">
            <w:pPr>
              <w:pStyle w:val="TableText"/>
              <w:snapToGrid w:val="0"/>
              <w:rPr>
                <w:lang w:eastAsia="en-GB"/>
              </w:rPr>
            </w:pPr>
            <w:r w:rsidRPr="00DC0262">
              <w:rPr>
                <w:lang w:eastAsia="en-GB"/>
              </w:rPr>
              <w:t>Total</w:t>
            </w:r>
            <w:r>
              <w:rPr>
                <w:lang w:eastAsia="en-GB"/>
              </w:rPr>
              <w:t xml:space="preserve"> variable remuneration</w:t>
            </w:r>
          </w:p>
        </w:tc>
        <w:tc>
          <w:tcPr>
            <w:tcW w:w="1434" w:type="dxa"/>
            <w:tcBorders>
              <w:left w:val="single" w:sz="4" w:space="0" w:color="auto"/>
              <w:right w:val="single" w:sz="4" w:space="0" w:color="auto"/>
            </w:tcBorders>
          </w:tcPr>
          <w:p w14:paraId="4019E108" w14:textId="77777777" w:rsidR="008974E3" w:rsidRPr="0023654F" w:rsidRDefault="008974E3" w:rsidP="00647044">
            <w:pPr>
              <w:pStyle w:val="TableText"/>
              <w:snapToGrid w:val="0"/>
              <w:rPr>
                <w:lang w:eastAsia="en-GB"/>
              </w:rPr>
            </w:pPr>
          </w:p>
        </w:tc>
        <w:tc>
          <w:tcPr>
            <w:tcW w:w="1435" w:type="dxa"/>
            <w:tcBorders>
              <w:left w:val="single" w:sz="4" w:space="0" w:color="auto"/>
              <w:right w:val="single" w:sz="4" w:space="0" w:color="auto"/>
            </w:tcBorders>
          </w:tcPr>
          <w:p w14:paraId="3BDAC254" w14:textId="77777777" w:rsidR="008974E3" w:rsidRPr="0023654F" w:rsidRDefault="008974E3" w:rsidP="00647044">
            <w:pPr>
              <w:pStyle w:val="TableText"/>
              <w:snapToGrid w:val="0"/>
              <w:rPr>
                <w:lang w:eastAsia="en-GB"/>
              </w:rPr>
            </w:pPr>
          </w:p>
        </w:tc>
      </w:tr>
      <w:tr w:rsidR="008974E3" w:rsidRPr="0023654F" w14:paraId="39E11BE4" w14:textId="77777777" w:rsidTr="00F06059">
        <w:trPr>
          <w:cantSplit/>
        </w:trPr>
        <w:tc>
          <w:tcPr>
            <w:tcW w:w="709" w:type="dxa"/>
            <w:gridSpan w:val="2"/>
            <w:tcBorders>
              <w:left w:val="nil"/>
              <w:right w:val="single" w:sz="4" w:space="0" w:color="auto"/>
            </w:tcBorders>
          </w:tcPr>
          <w:p w14:paraId="76D503A9" w14:textId="77777777" w:rsidR="008974E3" w:rsidRPr="0023654F" w:rsidRDefault="008974E3" w:rsidP="00647044">
            <w:pPr>
              <w:pStyle w:val="TableText"/>
              <w:snapToGrid w:val="0"/>
              <w:rPr>
                <w:lang w:eastAsia="en-GB"/>
              </w:rPr>
            </w:pPr>
            <w:r>
              <w:rPr>
                <w:lang w:eastAsia="en-GB"/>
              </w:rPr>
              <w:t>11</w:t>
            </w:r>
          </w:p>
        </w:tc>
        <w:tc>
          <w:tcPr>
            <w:tcW w:w="1276" w:type="dxa"/>
            <w:vMerge/>
            <w:tcBorders>
              <w:left w:val="single" w:sz="4" w:space="0" w:color="auto"/>
              <w:right w:val="single" w:sz="4" w:space="0" w:color="auto"/>
            </w:tcBorders>
          </w:tcPr>
          <w:p w14:paraId="64FA6041" w14:textId="77777777" w:rsidR="008974E3" w:rsidRPr="0023654F" w:rsidRDefault="008974E3" w:rsidP="00647044">
            <w:pPr>
              <w:pStyle w:val="TableText"/>
              <w:snapToGrid w:val="0"/>
              <w:rPr>
                <w:lang w:eastAsia="en-GB"/>
              </w:rPr>
            </w:pPr>
          </w:p>
        </w:tc>
        <w:tc>
          <w:tcPr>
            <w:tcW w:w="4394" w:type="dxa"/>
            <w:tcBorders>
              <w:left w:val="single" w:sz="4" w:space="0" w:color="auto"/>
              <w:right w:val="single" w:sz="4" w:space="0" w:color="auto"/>
            </w:tcBorders>
          </w:tcPr>
          <w:p w14:paraId="744B932C" w14:textId="77777777" w:rsidR="008974E3" w:rsidRPr="0023654F" w:rsidRDefault="008974E3" w:rsidP="00647044">
            <w:pPr>
              <w:pStyle w:val="TableText"/>
              <w:tabs>
                <w:tab w:val="left" w:pos="317"/>
              </w:tabs>
              <w:snapToGrid w:val="0"/>
              <w:ind w:left="316" w:hangingChars="186" w:hanging="316"/>
              <w:rPr>
                <w:lang w:eastAsia="en-GB"/>
              </w:rPr>
            </w:pPr>
            <w:r>
              <w:rPr>
                <w:lang w:eastAsia="en-GB"/>
              </w:rPr>
              <w:tab/>
              <w:t>Of which: cash-based</w:t>
            </w:r>
          </w:p>
        </w:tc>
        <w:tc>
          <w:tcPr>
            <w:tcW w:w="1434" w:type="dxa"/>
            <w:tcBorders>
              <w:left w:val="single" w:sz="4" w:space="0" w:color="auto"/>
              <w:right w:val="single" w:sz="4" w:space="0" w:color="auto"/>
            </w:tcBorders>
          </w:tcPr>
          <w:p w14:paraId="1259FEF7" w14:textId="77777777" w:rsidR="008974E3" w:rsidRPr="0023654F" w:rsidRDefault="008974E3" w:rsidP="00647044">
            <w:pPr>
              <w:pStyle w:val="TableText"/>
              <w:snapToGrid w:val="0"/>
              <w:rPr>
                <w:lang w:eastAsia="en-GB"/>
              </w:rPr>
            </w:pPr>
          </w:p>
        </w:tc>
        <w:tc>
          <w:tcPr>
            <w:tcW w:w="1435" w:type="dxa"/>
            <w:tcBorders>
              <w:left w:val="single" w:sz="4" w:space="0" w:color="auto"/>
              <w:right w:val="single" w:sz="4" w:space="0" w:color="auto"/>
            </w:tcBorders>
          </w:tcPr>
          <w:p w14:paraId="21970680" w14:textId="77777777" w:rsidR="008974E3" w:rsidRPr="0023654F" w:rsidRDefault="008974E3" w:rsidP="00647044">
            <w:pPr>
              <w:pStyle w:val="TableText"/>
              <w:snapToGrid w:val="0"/>
              <w:rPr>
                <w:lang w:eastAsia="en-GB"/>
              </w:rPr>
            </w:pPr>
          </w:p>
        </w:tc>
      </w:tr>
      <w:tr w:rsidR="008974E3" w:rsidRPr="0023654F" w14:paraId="268E104C" w14:textId="77777777" w:rsidTr="00F06059">
        <w:trPr>
          <w:cantSplit/>
        </w:trPr>
        <w:tc>
          <w:tcPr>
            <w:tcW w:w="709" w:type="dxa"/>
            <w:gridSpan w:val="2"/>
            <w:tcBorders>
              <w:left w:val="nil"/>
              <w:right w:val="single" w:sz="4" w:space="0" w:color="auto"/>
            </w:tcBorders>
          </w:tcPr>
          <w:p w14:paraId="0BF7C6EF" w14:textId="77777777" w:rsidR="008974E3" w:rsidRPr="0023654F" w:rsidRDefault="008974E3" w:rsidP="00647044">
            <w:pPr>
              <w:pStyle w:val="TableText"/>
              <w:snapToGrid w:val="0"/>
              <w:rPr>
                <w:lang w:eastAsia="en-GB"/>
              </w:rPr>
            </w:pPr>
            <w:r>
              <w:rPr>
                <w:lang w:eastAsia="en-GB"/>
              </w:rPr>
              <w:t>12</w:t>
            </w:r>
          </w:p>
        </w:tc>
        <w:tc>
          <w:tcPr>
            <w:tcW w:w="1276" w:type="dxa"/>
            <w:vMerge/>
            <w:tcBorders>
              <w:left w:val="single" w:sz="4" w:space="0" w:color="auto"/>
              <w:right w:val="single" w:sz="4" w:space="0" w:color="auto"/>
            </w:tcBorders>
          </w:tcPr>
          <w:p w14:paraId="3B976EC7" w14:textId="77777777" w:rsidR="008974E3" w:rsidRPr="0023654F" w:rsidRDefault="008974E3" w:rsidP="00647044">
            <w:pPr>
              <w:pStyle w:val="TableText"/>
              <w:snapToGrid w:val="0"/>
              <w:rPr>
                <w:lang w:eastAsia="en-GB"/>
              </w:rPr>
            </w:pPr>
          </w:p>
        </w:tc>
        <w:tc>
          <w:tcPr>
            <w:tcW w:w="4394" w:type="dxa"/>
            <w:tcBorders>
              <w:left w:val="single" w:sz="4" w:space="0" w:color="auto"/>
              <w:right w:val="single" w:sz="4" w:space="0" w:color="auto"/>
            </w:tcBorders>
          </w:tcPr>
          <w:p w14:paraId="3B81ABB9" w14:textId="77777777" w:rsidR="008974E3" w:rsidRPr="0023654F" w:rsidRDefault="008974E3" w:rsidP="00647044">
            <w:pPr>
              <w:pStyle w:val="TableText"/>
              <w:tabs>
                <w:tab w:val="left" w:pos="601"/>
              </w:tabs>
              <w:snapToGrid w:val="0"/>
              <w:ind w:leftChars="158" w:left="600" w:hangingChars="167" w:hanging="284"/>
              <w:rPr>
                <w:lang w:eastAsia="en-GB"/>
              </w:rPr>
            </w:pPr>
            <w:r>
              <w:rPr>
                <w:lang w:eastAsia="en-GB"/>
              </w:rPr>
              <w:tab/>
              <w:t>Of which: deferred</w:t>
            </w:r>
          </w:p>
        </w:tc>
        <w:tc>
          <w:tcPr>
            <w:tcW w:w="1434" w:type="dxa"/>
            <w:tcBorders>
              <w:left w:val="single" w:sz="4" w:space="0" w:color="auto"/>
              <w:right w:val="single" w:sz="4" w:space="0" w:color="auto"/>
            </w:tcBorders>
          </w:tcPr>
          <w:p w14:paraId="78A5B377" w14:textId="77777777" w:rsidR="008974E3" w:rsidRPr="0023654F" w:rsidRDefault="008974E3" w:rsidP="00647044">
            <w:pPr>
              <w:pStyle w:val="TableText"/>
              <w:snapToGrid w:val="0"/>
              <w:rPr>
                <w:lang w:eastAsia="en-GB"/>
              </w:rPr>
            </w:pPr>
          </w:p>
        </w:tc>
        <w:tc>
          <w:tcPr>
            <w:tcW w:w="1435" w:type="dxa"/>
            <w:tcBorders>
              <w:left w:val="single" w:sz="4" w:space="0" w:color="auto"/>
              <w:right w:val="single" w:sz="4" w:space="0" w:color="auto"/>
            </w:tcBorders>
          </w:tcPr>
          <w:p w14:paraId="07E2E594" w14:textId="77777777" w:rsidR="008974E3" w:rsidRPr="0023654F" w:rsidRDefault="008974E3" w:rsidP="00647044">
            <w:pPr>
              <w:pStyle w:val="TableText"/>
              <w:snapToGrid w:val="0"/>
              <w:rPr>
                <w:lang w:eastAsia="en-GB"/>
              </w:rPr>
            </w:pPr>
          </w:p>
        </w:tc>
      </w:tr>
      <w:tr w:rsidR="008974E3" w:rsidRPr="0023654F" w14:paraId="409FAC49" w14:textId="77777777" w:rsidTr="00F06059">
        <w:trPr>
          <w:cantSplit/>
        </w:trPr>
        <w:tc>
          <w:tcPr>
            <w:tcW w:w="709" w:type="dxa"/>
            <w:gridSpan w:val="2"/>
            <w:tcBorders>
              <w:left w:val="nil"/>
              <w:right w:val="single" w:sz="4" w:space="0" w:color="auto"/>
            </w:tcBorders>
          </w:tcPr>
          <w:p w14:paraId="3313E98F" w14:textId="77777777" w:rsidR="008974E3" w:rsidRPr="0023654F" w:rsidRDefault="008974E3" w:rsidP="00647044">
            <w:pPr>
              <w:pStyle w:val="TableText"/>
              <w:snapToGrid w:val="0"/>
              <w:rPr>
                <w:lang w:eastAsia="en-GB"/>
              </w:rPr>
            </w:pPr>
            <w:r>
              <w:rPr>
                <w:lang w:eastAsia="en-GB"/>
              </w:rPr>
              <w:t>13</w:t>
            </w:r>
          </w:p>
        </w:tc>
        <w:tc>
          <w:tcPr>
            <w:tcW w:w="1276" w:type="dxa"/>
            <w:vMerge/>
            <w:tcBorders>
              <w:left w:val="single" w:sz="4" w:space="0" w:color="auto"/>
              <w:right w:val="single" w:sz="4" w:space="0" w:color="auto"/>
            </w:tcBorders>
          </w:tcPr>
          <w:p w14:paraId="1DF3E466" w14:textId="77777777" w:rsidR="008974E3" w:rsidRPr="0023654F" w:rsidRDefault="008974E3" w:rsidP="00647044">
            <w:pPr>
              <w:pStyle w:val="TableText"/>
              <w:snapToGrid w:val="0"/>
              <w:rPr>
                <w:lang w:eastAsia="en-GB"/>
              </w:rPr>
            </w:pPr>
          </w:p>
        </w:tc>
        <w:tc>
          <w:tcPr>
            <w:tcW w:w="4394" w:type="dxa"/>
            <w:tcBorders>
              <w:left w:val="single" w:sz="4" w:space="0" w:color="auto"/>
              <w:right w:val="single" w:sz="4" w:space="0" w:color="auto"/>
            </w:tcBorders>
          </w:tcPr>
          <w:p w14:paraId="308DE18A" w14:textId="77777777" w:rsidR="008974E3" w:rsidRPr="00DC0262" w:rsidRDefault="008974E3" w:rsidP="00647044">
            <w:pPr>
              <w:pStyle w:val="TableText"/>
              <w:tabs>
                <w:tab w:val="left" w:pos="317"/>
              </w:tabs>
              <w:snapToGrid w:val="0"/>
              <w:ind w:left="316" w:hangingChars="186" w:hanging="316"/>
              <w:rPr>
                <w:lang w:eastAsia="en-GB"/>
              </w:rPr>
            </w:pPr>
            <w:r>
              <w:rPr>
                <w:lang w:eastAsia="en-GB"/>
              </w:rPr>
              <w:tab/>
            </w:r>
            <w:r w:rsidRPr="00DC0262">
              <w:rPr>
                <w:lang w:eastAsia="en-GB"/>
              </w:rPr>
              <w:t>Of which: shares or</w:t>
            </w:r>
            <w:r>
              <w:rPr>
                <w:lang w:eastAsia="en-GB"/>
              </w:rPr>
              <w:t xml:space="preserve"> other share-linked instruments</w:t>
            </w:r>
          </w:p>
        </w:tc>
        <w:tc>
          <w:tcPr>
            <w:tcW w:w="1434" w:type="dxa"/>
            <w:tcBorders>
              <w:left w:val="single" w:sz="4" w:space="0" w:color="auto"/>
              <w:right w:val="single" w:sz="4" w:space="0" w:color="auto"/>
            </w:tcBorders>
          </w:tcPr>
          <w:p w14:paraId="4E1245B8" w14:textId="77777777" w:rsidR="008974E3" w:rsidRPr="0023654F" w:rsidRDefault="008974E3" w:rsidP="00647044">
            <w:pPr>
              <w:pStyle w:val="TableText"/>
              <w:snapToGrid w:val="0"/>
              <w:rPr>
                <w:lang w:eastAsia="en-GB"/>
              </w:rPr>
            </w:pPr>
          </w:p>
        </w:tc>
        <w:tc>
          <w:tcPr>
            <w:tcW w:w="1435" w:type="dxa"/>
            <w:tcBorders>
              <w:left w:val="single" w:sz="4" w:space="0" w:color="auto"/>
              <w:right w:val="single" w:sz="4" w:space="0" w:color="auto"/>
            </w:tcBorders>
          </w:tcPr>
          <w:p w14:paraId="2E0994D6" w14:textId="77777777" w:rsidR="008974E3" w:rsidRPr="0023654F" w:rsidRDefault="008974E3" w:rsidP="00647044">
            <w:pPr>
              <w:pStyle w:val="TableText"/>
              <w:snapToGrid w:val="0"/>
              <w:rPr>
                <w:lang w:eastAsia="en-GB"/>
              </w:rPr>
            </w:pPr>
          </w:p>
        </w:tc>
      </w:tr>
      <w:tr w:rsidR="008974E3" w:rsidRPr="0023654F" w14:paraId="06EF16E0" w14:textId="77777777" w:rsidTr="00F06059">
        <w:trPr>
          <w:cantSplit/>
        </w:trPr>
        <w:tc>
          <w:tcPr>
            <w:tcW w:w="709" w:type="dxa"/>
            <w:gridSpan w:val="2"/>
            <w:tcBorders>
              <w:left w:val="nil"/>
              <w:right w:val="single" w:sz="4" w:space="0" w:color="auto"/>
            </w:tcBorders>
          </w:tcPr>
          <w:p w14:paraId="48A13E7E" w14:textId="77777777" w:rsidR="008974E3" w:rsidRPr="0023654F" w:rsidRDefault="008974E3" w:rsidP="00647044">
            <w:pPr>
              <w:pStyle w:val="TableText"/>
              <w:snapToGrid w:val="0"/>
              <w:rPr>
                <w:lang w:eastAsia="en-GB"/>
              </w:rPr>
            </w:pPr>
            <w:r>
              <w:rPr>
                <w:lang w:eastAsia="en-GB"/>
              </w:rPr>
              <w:t>14</w:t>
            </w:r>
          </w:p>
        </w:tc>
        <w:tc>
          <w:tcPr>
            <w:tcW w:w="1276" w:type="dxa"/>
            <w:vMerge/>
            <w:tcBorders>
              <w:left w:val="single" w:sz="4" w:space="0" w:color="auto"/>
              <w:right w:val="single" w:sz="4" w:space="0" w:color="auto"/>
            </w:tcBorders>
          </w:tcPr>
          <w:p w14:paraId="6CE736AC" w14:textId="77777777" w:rsidR="008974E3" w:rsidRPr="0023654F" w:rsidRDefault="008974E3" w:rsidP="00647044">
            <w:pPr>
              <w:pStyle w:val="TableText"/>
              <w:snapToGrid w:val="0"/>
              <w:rPr>
                <w:lang w:eastAsia="en-GB"/>
              </w:rPr>
            </w:pPr>
          </w:p>
        </w:tc>
        <w:tc>
          <w:tcPr>
            <w:tcW w:w="4394" w:type="dxa"/>
            <w:tcBorders>
              <w:left w:val="single" w:sz="4" w:space="0" w:color="auto"/>
              <w:right w:val="single" w:sz="4" w:space="0" w:color="auto"/>
            </w:tcBorders>
          </w:tcPr>
          <w:p w14:paraId="7D294896" w14:textId="77777777" w:rsidR="008974E3" w:rsidRPr="0023654F" w:rsidRDefault="008974E3" w:rsidP="00647044">
            <w:pPr>
              <w:pStyle w:val="TableText"/>
              <w:tabs>
                <w:tab w:val="left" w:pos="601"/>
              </w:tabs>
              <w:snapToGrid w:val="0"/>
              <w:ind w:leftChars="158" w:left="600" w:hangingChars="167" w:hanging="284"/>
              <w:rPr>
                <w:lang w:eastAsia="en-GB"/>
              </w:rPr>
            </w:pPr>
            <w:r>
              <w:rPr>
                <w:lang w:eastAsia="en-GB"/>
              </w:rPr>
              <w:tab/>
              <w:t>Of which: deferred</w:t>
            </w:r>
          </w:p>
        </w:tc>
        <w:tc>
          <w:tcPr>
            <w:tcW w:w="1434" w:type="dxa"/>
            <w:tcBorders>
              <w:left w:val="single" w:sz="4" w:space="0" w:color="auto"/>
              <w:right w:val="single" w:sz="4" w:space="0" w:color="auto"/>
            </w:tcBorders>
          </w:tcPr>
          <w:p w14:paraId="33D2961C" w14:textId="77777777" w:rsidR="008974E3" w:rsidRPr="0023654F" w:rsidRDefault="008974E3" w:rsidP="00647044">
            <w:pPr>
              <w:pStyle w:val="TableText"/>
              <w:snapToGrid w:val="0"/>
              <w:rPr>
                <w:lang w:eastAsia="en-GB"/>
              </w:rPr>
            </w:pPr>
          </w:p>
        </w:tc>
        <w:tc>
          <w:tcPr>
            <w:tcW w:w="1435" w:type="dxa"/>
            <w:tcBorders>
              <w:left w:val="single" w:sz="4" w:space="0" w:color="auto"/>
              <w:right w:val="single" w:sz="4" w:space="0" w:color="auto"/>
            </w:tcBorders>
          </w:tcPr>
          <w:p w14:paraId="30D56E24" w14:textId="77777777" w:rsidR="008974E3" w:rsidRPr="0023654F" w:rsidRDefault="008974E3" w:rsidP="00647044">
            <w:pPr>
              <w:pStyle w:val="TableText"/>
              <w:snapToGrid w:val="0"/>
              <w:rPr>
                <w:lang w:eastAsia="en-GB"/>
              </w:rPr>
            </w:pPr>
          </w:p>
        </w:tc>
      </w:tr>
      <w:tr w:rsidR="008974E3" w:rsidRPr="0023654F" w14:paraId="2AC42542" w14:textId="77777777" w:rsidTr="00F06059">
        <w:trPr>
          <w:cantSplit/>
        </w:trPr>
        <w:tc>
          <w:tcPr>
            <w:tcW w:w="709" w:type="dxa"/>
            <w:gridSpan w:val="2"/>
            <w:tcBorders>
              <w:left w:val="nil"/>
              <w:right w:val="single" w:sz="4" w:space="0" w:color="auto"/>
            </w:tcBorders>
          </w:tcPr>
          <w:p w14:paraId="1D4D40E8" w14:textId="77777777" w:rsidR="008974E3" w:rsidRPr="0023654F" w:rsidRDefault="008974E3" w:rsidP="00647044">
            <w:pPr>
              <w:pStyle w:val="TableText"/>
              <w:snapToGrid w:val="0"/>
              <w:rPr>
                <w:lang w:eastAsia="en-GB"/>
              </w:rPr>
            </w:pPr>
            <w:r>
              <w:rPr>
                <w:lang w:eastAsia="en-GB"/>
              </w:rPr>
              <w:t>15</w:t>
            </w:r>
          </w:p>
        </w:tc>
        <w:tc>
          <w:tcPr>
            <w:tcW w:w="1276" w:type="dxa"/>
            <w:vMerge/>
            <w:tcBorders>
              <w:left w:val="single" w:sz="4" w:space="0" w:color="auto"/>
              <w:right w:val="single" w:sz="4" w:space="0" w:color="auto"/>
            </w:tcBorders>
          </w:tcPr>
          <w:p w14:paraId="37BFBA3B" w14:textId="77777777" w:rsidR="008974E3" w:rsidRPr="0023654F" w:rsidRDefault="008974E3" w:rsidP="00647044">
            <w:pPr>
              <w:pStyle w:val="TableText"/>
              <w:snapToGrid w:val="0"/>
              <w:rPr>
                <w:lang w:eastAsia="en-GB"/>
              </w:rPr>
            </w:pPr>
          </w:p>
        </w:tc>
        <w:tc>
          <w:tcPr>
            <w:tcW w:w="4394" w:type="dxa"/>
            <w:tcBorders>
              <w:left w:val="single" w:sz="4" w:space="0" w:color="auto"/>
              <w:right w:val="single" w:sz="4" w:space="0" w:color="auto"/>
            </w:tcBorders>
          </w:tcPr>
          <w:p w14:paraId="51583AE1" w14:textId="77777777" w:rsidR="008974E3" w:rsidRPr="0023654F" w:rsidRDefault="008974E3" w:rsidP="00647044">
            <w:pPr>
              <w:pStyle w:val="TableText"/>
              <w:tabs>
                <w:tab w:val="left" w:pos="317"/>
              </w:tabs>
              <w:snapToGrid w:val="0"/>
              <w:ind w:left="316" w:hangingChars="186" w:hanging="316"/>
              <w:rPr>
                <w:lang w:eastAsia="en-GB"/>
              </w:rPr>
            </w:pPr>
            <w:r>
              <w:rPr>
                <w:lang w:eastAsia="en-GB"/>
              </w:rPr>
              <w:tab/>
              <w:t>Of which: other forms</w:t>
            </w:r>
          </w:p>
        </w:tc>
        <w:tc>
          <w:tcPr>
            <w:tcW w:w="1434" w:type="dxa"/>
            <w:tcBorders>
              <w:left w:val="single" w:sz="4" w:space="0" w:color="auto"/>
              <w:right w:val="single" w:sz="4" w:space="0" w:color="auto"/>
            </w:tcBorders>
          </w:tcPr>
          <w:p w14:paraId="40D7B496" w14:textId="77777777" w:rsidR="008974E3" w:rsidRPr="0023654F" w:rsidRDefault="008974E3" w:rsidP="00647044">
            <w:pPr>
              <w:pStyle w:val="TableText"/>
              <w:snapToGrid w:val="0"/>
              <w:rPr>
                <w:lang w:eastAsia="en-GB"/>
              </w:rPr>
            </w:pPr>
          </w:p>
        </w:tc>
        <w:tc>
          <w:tcPr>
            <w:tcW w:w="1435" w:type="dxa"/>
            <w:tcBorders>
              <w:left w:val="single" w:sz="4" w:space="0" w:color="auto"/>
              <w:right w:val="single" w:sz="4" w:space="0" w:color="auto"/>
            </w:tcBorders>
          </w:tcPr>
          <w:p w14:paraId="2E37B915" w14:textId="77777777" w:rsidR="008974E3" w:rsidRPr="0023654F" w:rsidRDefault="008974E3" w:rsidP="00647044">
            <w:pPr>
              <w:pStyle w:val="TableText"/>
              <w:snapToGrid w:val="0"/>
              <w:rPr>
                <w:lang w:eastAsia="en-GB"/>
              </w:rPr>
            </w:pPr>
          </w:p>
        </w:tc>
      </w:tr>
      <w:tr w:rsidR="008974E3" w:rsidRPr="0023654F" w14:paraId="0C81489D" w14:textId="77777777" w:rsidTr="00F06059">
        <w:trPr>
          <w:cantSplit/>
        </w:trPr>
        <w:tc>
          <w:tcPr>
            <w:tcW w:w="709" w:type="dxa"/>
            <w:gridSpan w:val="2"/>
            <w:tcBorders>
              <w:left w:val="nil"/>
              <w:bottom w:val="single" w:sz="4" w:space="0" w:color="auto"/>
              <w:right w:val="single" w:sz="4" w:space="0" w:color="auto"/>
            </w:tcBorders>
          </w:tcPr>
          <w:p w14:paraId="41D62B85" w14:textId="77777777" w:rsidR="008974E3" w:rsidRPr="0023654F" w:rsidRDefault="008974E3" w:rsidP="00647044">
            <w:pPr>
              <w:pStyle w:val="TableText"/>
              <w:snapToGrid w:val="0"/>
              <w:rPr>
                <w:lang w:eastAsia="en-GB"/>
              </w:rPr>
            </w:pPr>
            <w:r>
              <w:rPr>
                <w:lang w:eastAsia="en-GB"/>
              </w:rPr>
              <w:t>16</w:t>
            </w:r>
          </w:p>
        </w:tc>
        <w:tc>
          <w:tcPr>
            <w:tcW w:w="1276" w:type="dxa"/>
            <w:vMerge/>
            <w:tcBorders>
              <w:left w:val="single" w:sz="4" w:space="0" w:color="auto"/>
              <w:bottom w:val="single" w:sz="4" w:space="0" w:color="auto"/>
              <w:right w:val="single" w:sz="4" w:space="0" w:color="auto"/>
            </w:tcBorders>
          </w:tcPr>
          <w:p w14:paraId="50505F4A" w14:textId="77777777" w:rsidR="008974E3" w:rsidRPr="0023654F" w:rsidRDefault="008974E3" w:rsidP="00647044">
            <w:pPr>
              <w:pStyle w:val="TableText"/>
              <w:snapToGrid w:val="0"/>
              <w:rPr>
                <w:lang w:eastAsia="en-GB"/>
              </w:rPr>
            </w:pPr>
          </w:p>
        </w:tc>
        <w:tc>
          <w:tcPr>
            <w:tcW w:w="4394" w:type="dxa"/>
            <w:tcBorders>
              <w:left w:val="single" w:sz="4" w:space="0" w:color="auto"/>
              <w:bottom w:val="single" w:sz="4" w:space="0" w:color="auto"/>
              <w:right w:val="single" w:sz="4" w:space="0" w:color="auto"/>
            </w:tcBorders>
          </w:tcPr>
          <w:p w14:paraId="366468C9" w14:textId="77777777" w:rsidR="008974E3" w:rsidRPr="0023654F" w:rsidRDefault="008974E3" w:rsidP="00647044">
            <w:pPr>
              <w:pStyle w:val="TableText"/>
              <w:tabs>
                <w:tab w:val="left" w:pos="601"/>
              </w:tabs>
              <w:snapToGrid w:val="0"/>
              <w:ind w:leftChars="158" w:left="600" w:hangingChars="167" w:hanging="284"/>
              <w:rPr>
                <w:lang w:eastAsia="en-GB"/>
              </w:rPr>
            </w:pPr>
            <w:r>
              <w:rPr>
                <w:lang w:eastAsia="en-GB"/>
              </w:rPr>
              <w:tab/>
              <w:t>Of which: deferred</w:t>
            </w:r>
          </w:p>
        </w:tc>
        <w:tc>
          <w:tcPr>
            <w:tcW w:w="1434" w:type="dxa"/>
            <w:tcBorders>
              <w:left w:val="single" w:sz="4" w:space="0" w:color="auto"/>
              <w:bottom w:val="single" w:sz="4" w:space="0" w:color="auto"/>
              <w:right w:val="single" w:sz="4" w:space="0" w:color="auto"/>
            </w:tcBorders>
          </w:tcPr>
          <w:p w14:paraId="4514A4C3" w14:textId="77777777" w:rsidR="008974E3" w:rsidRPr="0023654F" w:rsidRDefault="008974E3" w:rsidP="00647044">
            <w:pPr>
              <w:pStyle w:val="TableText"/>
              <w:snapToGrid w:val="0"/>
              <w:rPr>
                <w:lang w:eastAsia="en-GB"/>
              </w:rPr>
            </w:pPr>
          </w:p>
        </w:tc>
        <w:tc>
          <w:tcPr>
            <w:tcW w:w="1435" w:type="dxa"/>
            <w:tcBorders>
              <w:left w:val="single" w:sz="4" w:space="0" w:color="auto"/>
              <w:bottom w:val="single" w:sz="4" w:space="0" w:color="auto"/>
              <w:right w:val="single" w:sz="4" w:space="0" w:color="auto"/>
            </w:tcBorders>
          </w:tcPr>
          <w:p w14:paraId="44019A17" w14:textId="77777777" w:rsidR="008974E3" w:rsidRPr="0023654F" w:rsidRDefault="008974E3" w:rsidP="00647044">
            <w:pPr>
              <w:pStyle w:val="TableText"/>
              <w:snapToGrid w:val="0"/>
              <w:rPr>
                <w:lang w:eastAsia="en-GB"/>
              </w:rPr>
            </w:pPr>
          </w:p>
        </w:tc>
      </w:tr>
      <w:tr w:rsidR="008974E3" w:rsidRPr="0023654F" w14:paraId="22319571" w14:textId="77777777" w:rsidTr="00F06059">
        <w:trPr>
          <w:cantSplit/>
        </w:trPr>
        <w:tc>
          <w:tcPr>
            <w:tcW w:w="709" w:type="dxa"/>
            <w:gridSpan w:val="2"/>
            <w:tcBorders>
              <w:top w:val="single" w:sz="4" w:space="0" w:color="auto"/>
              <w:left w:val="nil"/>
              <w:bottom w:val="single" w:sz="4" w:space="0" w:color="auto"/>
              <w:right w:val="single" w:sz="4" w:space="0" w:color="auto"/>
            </w:tcBorders>
          </w:tcPr>
          <w:p w14:paraId="56CB63DC" w14:textId="77777777" w:rsidR="008974E3" w:rsidRPr="0023654F" w:rsidRDefault="008974E3" w:rsidP="00647044">
            <w:pPr>
              <w:pStyle w:val="TableText"/>
              <w:snapToGrid w:val="0"/>
              <w:rPr>
                <w:b/>
                <w:lang w:eastAsia="en-GB"/>
              </w:rPr>
            </w:pPr>
            <w:r>
              <w:rPr>
                <w:b/>
                <w:lang w:eastAsia="en-GB"/>
              </w:rPr>
              <w:t>17</w:t>
            </w:r>
          </w:p>
        </w:tc>
        <w:tc>
          <w:tcPr>
            <w:tcW w:w="5670" w:type="dxa"/>
            <w:gridSpan w:val="2"/>
            <w:tcBorders>
              <w:top w:val="single" w:sz="4" w:space="0" w:color="auto"/>
              <w:left w:val="single" w:sz="4" w:space="0" w:color="auto"/>
              <w:bottom w:val="single" w:sz="4" w:space="0" w:color="auto"/>
              <w:right w:val="single" w:sz="4" w:space="0" w:color="auto"/>
            </w:tcBorders>
          </w:tcPr>
          <w:p w14:paraId="53C2CAEF" w14:textId="77777777" w:rsidR="008974E3" w:rsidRPr="0023654F" w:rsidRDefault="008974E3" w:rsidP="00647044">
            <w:pPr>
              <w:pStyle w:val="TableText"/>
              <w:snapToGrid w:val="0"/>
              <w:rPr>
                <w:b/>
                <w:noProof/>
                <w:lang w:eastAsia="en-GB"/>
              </w:rPr>
            </w:pPr>
            <w:r>
              <w:rPr>
                <w:b/>
                <w:lang w:eastAsia="en-GB"/>
              </w:rPr>
              <w:t>Total remuneration</w:t>
            </w:r>
          </w:p>
        </w:tc>
        <w:tc>
          <w:tcPr>
            <w:tcW w:w="1434" w:type="dxa"/>
            <w:tcBorders>
              <w:top w:val="single" w:sz="4" w:space="0" w:color="auto"/>
              <w:left w:val="single" w:sz="4" w:space="0" w:color="auto"/>
              <w:bottom w:val="single" w:sz="4" w:space="0" w:color="auto"/>
              <w:right w:val="single" w:sz="4" w:space="0" w:color="auto"/>
            </w:tcBorders>
          </w:tcPr>
          <w:p w14:paraId="72F00EC2" w14:textId="77777777" w:rsidR="008974E3" w:rsidRPr="0023654F" w:rsidRDefault="008974E3" w:rsidP="00647044">
            <w:pPr>
              <w:pStyle w:val="TableText"/>
              <w:snapToGrid w:val="0"/>
              <w:rPr>
                <w:b/>
                <w:noProof/>
                <w:lang w:eastAsia="en-GB"/>
              </w:rPr>
            </w:pPr>
          </w:p>
        </w:tc>
        <w:tc>
          <w:tcPr>
            <w:tcW w:w="1435" w:type="dxa"/>
            <w:tcBorders>
              <w:top w:val="single" w:sz="4" w:space="0" w:color="auto"/>
              <w:left w:val="single" w:sz="4" w:space="0" w:color="auto"/>
              <w:bottom w:val="single" w:sz="4" w:space="0" w:color="auto"/>
              <w:right w:val="single" w:sz="4" w:space="0" w:color="auto"/>
            </w:tcBorders>
          </w:tcPr>
          <w:p w14:paraId="7E7323CE" w14:textId="77777777" w:rsidR="008974E3" w:rsidRPr="0023654F" w:rsidRDefault="008974E3" w:rsidP="00647044">
            <w:pPr>
              <w:pStyle w:val="TableText"/>
              <w:snapToGrid w:val="0"/>
              <w:rPr>
                <w:lang w:eastAsia="en-GB"/>
              </w:rPr>
            </w:pPr>
          </w:p>
        </w:tc>
      </w:tr>
    </w:tbl>
    <w:p w14:paraId="7A795CC4" w14:textId="0FEE4FDF" w:rsidR="00420454" w:rsidRDefault="00420454" w:rsidP="008974E3"/>
    <w:p w14:paraId="447AC87F" w14:textId="24EE54F5" w:rsidR="003714DC" w:rsidRDefault="003714DC" w:rsidP="008974E3"/>
    <w:p w14:paraId="663DFB11" w14:textId="43D0630C" w:rsidR="003714DC" w:rsidRDefault="003714DC" w:rsidP="008974E3"/>
    <w:p w14:paraId="2C74AC7C" w14:textId="77777777" w:rsidR="003714DC" w:rsidRDefault="003714DC" w:rsidP="008974E3"/>
    <w:tbl>
      <w:tblPr>
        <w:tblStyle w:val="TableGrid6"/>
        <w:tblW w:w="9214" w:type="dxa"/>
        <w:tblInd w:w="-459" w:type="dxa"/>
        <w:tblLook w:val="04A0" w:firstRow="1" w:lastRow="0" w:firstColumn="1" w:lastColumn="0" w:noHBand="0" w:noVBand="1"/>
      </w:tblPr>
      <w:tblGrid>
        <w:gridCol w:w="709"/>
        <w:gridCol w:w="8505"/>
      </w:tblGrid>
      <w:tr w:rsidR="00420454" w:rsidRPr="00420454" w14:paraId="5087D0E8" w14:textId="77777777" w:rsidTr="00420454">
        <w:trPr>
          <w:tblHeader/>
        </w:trPr>
        <w:tc>
          <w:tcPr>
            <w:tcW w:w="9214" w:type="dxa"/>
            <w:gridSpan w:val="2"/>
            <w:shd w:val="clear" w:color="auto" w:fill="BFBFBF"/>
          </w:tcPr>
          <w:p w14:paraId="233F5AB7" w14:textId="77777777" w:rsidR="00420454" w:rsidRPr="00420454" w:rsidRDefault="00420454" w:rsidP="00420454">
            <w:pPr>
              <w:spacing w:before="40" w:after="40"/>
              <w:jc w:val="both"/>
              <w:rPr>
                <w:rFonts w:eastAsia="新細明體"/>
                <w:b/>
                <w:sz w:val="17"/>
                <w:szCs w:val="17"/>
                <w:lang w:eastAsia="en-GB"/>
              </w:rPr>
            </w:pPr>
            <w:r w:rsidRPr="00420454">
              <w:rPr>
                <w:rFonts w:eastAsia="新細明體"/>
                <w:b/>
                <w:sz w:val="17"/>
                <w:szCs w:val="17"/>
                <w:lang w:eastAsia="en-GB"/>
              </w:rPr>
              <w:lastRenderedPageBreak/>
              <w:t>Explanatory Note</w:t>
            </w:r>
          </w:p>
        </w:tc>
      </w:tr>
      <w:tr w:rsidR="00420454" w:rsidRPr="00420454" w14:paraId="3D6B7CC5" w14:textId="77777777" w:rsidTr="00420454">
        <w:trPr>
          <w:trHeight w:val="153"/>
        </w:trPr>
        <w:tc>
          <w:tcPr>
            <w:tcW w:w="9214" w:type="dxa"/>
            <w:gridSpan w:val="2"/>
            <w:shd w:val="clear" w:color="auto" w:fill="F2F2F2"/>
          </w:tcPr>
          <w:p w14:paraId="0566377D" w14:textId="77777777" w:rsidR="00420454" w:rsidRPr="00420454" w:rsidRDefault="00420454" w:rsidP="00420454">
            <w:pPr>
              <w:spacing w:before="40" w:after="40"/>
              <w:jc w:val="both"/>
              <w:rPr>
                <w:rFonts w:eastAsia="新細明體"/>
                <w:b/>
                <w:sz w:val="17"/>
                <w:szCs w:val="17"/>
                <w:lang w:eastAsia="en-GB"/>
              </w:rPr>
            </w:pPr>
            <w:r w:rsidRPr="00420454">
              <w:rPr>
                <w:rFonts w:eastAsia="新細明體"/>
                <w:b/>
                <w:sz w:val="17"/>
                <w:szCs w:val="17"/>
                <w:lang w:eastAsia="en-GB"/>
              </w:rPr>
              <w:t>Columns</w:t>
            </w:r>
          </w:p>
        </w:tc>
      </w:tr>
      <w:tr w:rsidR="00420454" w:rsidRPr="00420454" w14:paraId="1D379822" w14:textId="77777777" w:rsidTr="00126350">
        <w:tc>
          <w:tcPr>
            <w:tcW w:w="709" w:type="dxa"/>
          </w:tcPr>
          <w:p w14:paraId="5F9E5A8C" w14:textId="77777777" w:rsidR="00420454" w:rsidRPr="00420454" w:rsidRDefault="00420454" w:rsidP="00420454">
            <w:pPr>
              <w:keepLines/>
              <w:widowControl w:val="0"/>
              <w:tabs>
                <w:tab w:val="left" w:pos="794"/>
                <w:tab w:val="left" w:pos="1191"/>
              </w:tabs>
              <w:spacing w:before="40" w:after="40"/>
              <w:ind w:rightChars="-54" w:right="-108"/>
              <w:rPr>
                <w:rFonts w:cs="Segoe UI"/>
                <w:sz w:val="17"/>
                <w:szCs w:val="17"/>
                <w:lang w:eastAsia="en-GB"/>
              </w:rPr>
            </w:pPr>
            <w:r w:rsidRPr="00420454">
              <w:rPr>
                <w:rFonts w:cs="Segoe UI"/>
                <w:sz w:val="17"/>
                <w:szCs w:val="17"/>
                <w:lang w:eastAsia="en-GB"/>
              </w:rPr>
              <w:t>(a) and (b)</w:t>
            </w:r>
          </w:p>
        </w:tc>
        <w:tc>
          <w:tcPr>
            <w:tcW w:w="8505" w:type="dxa"/>
          </w:tcPr>
          <w:p w14:paraId="5904838D" w14:textId="77777777" w:rsidR="00420454" w:rsidRPr="00420454" w:rsidRDefault="00420454" w:rsidP="00420454">
            <w:pPr>
              <w:keepNext/>
              <w:spacing w:before="40" w:after="40"/>
              <w:jc w:val="both"/>
              <w:rPr>
                <w:sz w:val="17"/>
                <w:szCs w:val="17"/>
              </w:rPr>
            </w:pPr>
            <w:r w:rsidRPr="00420454">
              <w:rPr>
                <w:sz w:val="17"/>
                <w:szCs w:val="17"/>
              </w:rPr>
              <w:t>Senior management and key personnel categories in columns (a) and (b) should correspond to the type of employees described in Table REMA.  (Note: If an AI has such a small number of executives that individuals’ remuneration could be easily deduced from disclosure of a breakdown of the figures, it is acceptable for the AI, in so far as the sensitivity of the information will be disadvantageous to the AI, to disclose aggregate figures for senior management and key personnel.  This is, however, provided that this fact and the reason for doing so (i.e. disclosing aggregate figures instead of disclosing separate figures) are adequately disclosed in the accompanying narrative.)</w:t>
            </w:r>
          </w:p>
        </w:tc>
      </w:tr>
      <w:tr w:rsidR="00420454" w:rsidRPr="00420454" w14:paraId="7B838C94" w14:textId="77777777" w:rsidTr="00420454">
        <w:tc>
          <w:tcPr>
            <w:tcW w:w="9214" w:type="dxa"/>
            <w:gridSpan w:val="2"/>
            <w:shd w:val="clear" w:color="auto" w:fill="F2F2F2"/>
          </w:tcPr>
          <w:p w14:paraId="78D41701" w14:textId="77777777" w:rsidR="00420454" w:rsidRPr="00420454" w:rsidRDefault="00420454" w:rsidP="00420454">
            <w:pPr>
              <w:spacing w:before="40" w:after="40"/>
              <w:jc w:val="both"/>
              <w:rPr>
                <w:rFonts w:eastAsia="新細明體"/>
                <w:b/>
                <w:sz w:val="17"/>
                <w:szCs w:val="17"/>
                <w:lang w:eastAsia="en-GB"/>
              </w:rPr>
            </w:pPr>
            <w:r w:rsidRPr="00420454">
              <w:rPr>
                <w:rFonts w:eastAsia="新細明體"/>
                <w:b/>
                <w:sz w:val="17"/>
                <w:szCs w:val="17"/>
                <w:lang w:eastAsia="en-GB"/>
              </w:rPr>
              <w:t>Rows</w:t>
            </w:r>
          </w:p>
        </w:tc>
      </w:tr>
      <w:tr w:rsidR="00420454" w:rsidRPr="00420454" w14:paraId="54DCCCE4" w14:textId="77777777" w:rsidTr="00126350">
        <w:trPr>
          <w:trHeight w:val="309"/>
        </w:trPr>
        <w:tc>
          <w:tcPr>
            <w:tcW w:w="709" w:type="dxa"/>
          </w:tcPr>
          <w:p w14:paraId="00B4F67E" w14:textId="77777777" w:rsidR="00420454" w:rsidRPr="00420454" w:rsidRDefault="00420454" w:rsidP="00420454">
            <w:pPr>
              <w:keepLines/>
              <w:widowControl w:val="0"/>
              <w:tabs>
                <w:tab w:val="left" w:pos="150"/>
                <w:tab w:val="left" w:pos="397"/>
                <w:tab w:val="left" w:pos="794"/>
                <w:tab w:val="left" w:pos="1191"/>
              </w:tabs>
              <w:spacing w:before="40" w:after="40"/>
              <w:rPr>
                <w:rFonts w:cs="Segoe UI"/>
                <w:sz w:val="17"/>
                <w:szCs w:val="17"/>
                <w:lang w:eastAsia="en-GB"/>
              </w:rPr>
            </w:pPr>
            <w:r w:rsidRPr="00420454">
              <w:rPr>
                <w:rFonts w:cs="Segoe UI"/>
                <w:sz w:val="17"/>
                <w:szCs w:val="17"/>
                <w:lang w:eastAsia="en-GB"/>
              </w:rPr>
              <w:t>2</w:t>
            </w:r>
          </w:p>
        </w:tc>
        <w:tc>
          <w:tcPr>
            <w:tcW w:w="8505" w:type="dxa"/>
          </w:tcPr>
          <w:p w14:paraId="3960E277" w14:textId="77777777" w:rsidR="00420454" w:rsidRPr="00420454" w:rsidRDefault="00420454" w:rsidP="00420454">
            <w:pPr>
              <w:keepNext/>
              <w:spacing w:before="40" w:after="40"/>
              <w:jc w:val="both"/>
              <w:rPr>
                <w:sz w:val="17"/>
                <w:szCs w:val="17"/>
              </w:rPr>
            </w:pPr>
            <w:r w:rsidRPr="00420454">
              <w:rPr>
                <w:i/>
                <w:sz w:val="17"/>
                <w:lang w:eastAsia="en-GB"/>
              </w:rPr>
              <w:t>Total fixed remuneration</w:t>
            </w:r>
            <w:r w:rsidRPr="00420454">
              <w:rPr>
                <w:sz w:val="17"/>
                <w:lang w:eastAsia="en-GB"/>
              </w:rPr>
              <w:t xml:space="preserve">: </w:t>
            </w:r>
            <w:r w:rsidRPr="00420454">
              <w:rPr>
                <w:sz w:val="17"/>
                <w:szCs w:val="17"/>
              </w:rPr>
              <w:t>the sum of values in rows 3, 5 and 7.</w:t>
            </w:r>
          </w:p>
        </w:tc>
      </w:tr>
      <w:tr w:rsidR="00420454" w:rsidRPr="00420454" w14:paraId="1DB27C91" w14:textId="77777777" w:rsidTr="00126350">
        <w:trPr>
          <w:trHeight w:val="309"/>
        </w:trPr>
        <w:tc>
          <w:tcPr>
            <w:tcW w:w="709" w:type="dxa"/>
          </w:tcPr>
          <w:p w14:paraId="35AD2E15" w14:textId="77777777" w:rsidR="00420454" w:rsidRPr="00420454" w:rsidRDefault="00420454" w:rsidP="00420454">
            <w:pPr>
              <w:keepLines/>
              <w:widowControl w:val="0"/>
              <w:tabs>
                <w:tab w:val="left" w:pos="150"/>
                <w:tab w:val="left" w:pos="397"/>
                <w:tab w:val="left" w:pos="794"/>
                <w:tab w:val="left" w:pos="1191"/>
              </w:tabs>
              <w:spacing w:before="40" w:after="40"/>
              <w:rPr>
                <w:rFonts w:cs="Segoe UI"/>
                <w:sz w:val="17"/>
                <w:szCs w:val="17"/>
                <w:lang w:eastAsia="en-GB"/>
              </w:rPr>
            </w:pPr>
            <w:r w:rsidRPr="00420454">
              <w:rPr>
                <w:rFonts w:cs="Segoe UI"/>
                <w:sz w:val="17"/>
                <w:szCs w:val="17"/>
                <w:lang w:eastAsia="en-GB"/>
              </w:rPr>
              <w:t>7</w:t>
            </w:r>
          </w:p>
        </w:tc>
        <w:tc>
          <w:tcPr>
            <w:tcW w:w="8505" w:type="dxa"/>
          </w:tcPr>
          <w:p w14:paraId="4FCD9AA5" w14:textId="77777777" w:rsidR="00420454" w:rsidRPr="00420454" w:rsidRDefault="00420454" w:rsidP="00420454">
            <w:pPr>
              <w:keepNext/>
              <w:spacing w:before="40" w:after="40"/>
              <w:jc w:val="both"/>
              <w:rPr>
                <w:i/>
                <w:sz w:val="17"/>
                <w:lang w:eastAsia="en-GB"/>
              </w:rPr>
            </w:pPr>
            <w:r w:rsidRPr="00420454">
              <w:rPr>
                <w:i/>
                <w:sz w:val="17"/>
                <w:lang w:eastAsia="en-GB"/>
              </w:rPr>
              <w:t>Fixed remuneration – Of which: other forms</w:t>
            </w:r>
            <w:r w:rsidRPr="00420454">
              <w:rPr>
                <w:sz w:val="17"/>
                <w:lang w:eastAsia="en-GB"/>
              </w:rPr>
              <w:t xml:space="preserve">: </w:t>
            </w:r>
            <w:r w:rsidRPr="00420454">
              <w:rPr>
                <w:sz w:val="17"/>
                <w:szCs w:val="17"/>
              </w:rPr>
              <w:t>these other forms of fixed remuneration must be described in Table REMA and, where relevant, in the accompanying narrative of this template.</w:t>
            </w:r>
          </w:p>
        </w:tc>
      </w:tr>
      <w:tr w:rsidR="00420454" w:rsidRPr="00420454" w14:paraId="715B8F90" w14:textId="77777777" w:rsidTr="00126350">
        <w:trPr>
          <w:trHeight w:val="373"/>
        </w:trPr>
        <w:tc>
          <w:tcPr>
            <w:tcW w:w="709" w:type="dxa"/>
          </w:tcPr>
          <w:p w14:paraId="63618B3C" w14:textId="77777777" w:rsidR="00420454" w:rsidRPr="00420454" w:rsidRDefault="00420454" w:rsidP="00420454">
            <w:pPr>
              <w:keepLines/>
              <w:widowControl w:val="0"/>
              <w:tabs>
                <w:tab w:val="left" w:pos="150"/>
                <w:tab w:val="left" w:pos="397"/>
                <w:tab w:val="left" w:pos="794"/>
                <w:tab w:val="left" w:pos="1191"/>
              </w:tabs>
              <w:spacing w:before="40" w:after="40"/>
              <w:rPr>
                <w:rFonts w:cs="Segoe UI"/>
                <w:sz w:val="17"/>
                <w:szCs w:val="17"/>
                <w:lang w:eastAsia="en-GB"/>
              </w:rPr>
            </w:pPr>
            <w:r w:rsidRPr="00420454">
              <w:rPr>
                <w:rFonts w:cs="Segoe UI"/>
                <w:sz w:val="17"/>
                <w:szCs w:val="17"/>
                <w:lang w:eastAsia="en-GB"/>
              </w:rPr>
              <w:t>10</w:t>
            </w:r>
          </w:p>
        </w:tc>
        <w:tc>
          <w:tcPr>
            <w:tcW w:w="8505" w:type="dxa"/>
          </w:tcPr>
          <w:p w14:paraId="30275E5B" w14:textId="77777777" w:rsidR="00420454" w:rsidRPr="00420454" w:rsidRDefault="00420454" w:rsidP="00420454">
            <w:pPr>
              <w:keepNext/>
              <w:spacing w:before="40" w:after="40"/>
              <w:jc w:val="both"/>
              <w:rPr>
                <w:sz w:val="17"/>
                <w:szCs w:val="17"/>
              </w:rPr>
            </w:pPr>
            <w:r w:rsidRPr="00420454">
              <w:rPr>
                <w:i/>
                <w:sz w:val="17"/>
                <w:lang w:eastAsia="en-GB"/>
              </w:rPr>
              <w:t>Total variable remuneration</w:t>
            </w:r>
            <w:r w:rsidRPr="00420454">
              <w:rPr>
                <w:sz w:val="17"/>
                <w:lang w:eastAsia="en-GB"/>
              </w:rPr>
              <w:t xml:space="preserve">: </w:t>
            </w:r>
            <w:r w:rsidRPr="00420454">
              <w:rPr>
                <w:sz w:val="17"/>
                <w:szCs w:val="17"/>
              </w:rPr>
              <w:t>the sum of values in rows 11, 13 and 15.</w:t>
            </w:r>
          </w:p>
        </w:tc>
      </w:tr>
      <w:tr w:rsidR="00420454" w:rsidRPr="00420454" w14:paraId="5CE445C7" w14:textId="77777777" w:rsidTr="00126350">
        <w:trPr>
          <w:trHeight w:val="373"/>
        </w:trPr>
        <w:tc>
          <w:tcPr>
            <w:tcW w:w="709" w:type="dxa"/>
          </w:tcPr>
          <w:p w14:paraId="609F8497" w14:textId="77777777" w:rsidR="00420454" w:rsidRPr="00420454" w:rsidRDefault="00420454" w:rsidP="00420454">
            <w:pPr>
              <w:keepLines/>
              <w:widowControl w:val="0"/>
              <w:tabs>
                <w:tab w:val="left" w:pos="150"/>
                <w:tab w:val="left" w:pos="397"/>
                <w:tab w:val="left" w:pos="794"/>
                <w:tab w:val="left" w:pos="1191"/>
              </w:tabs>
              <w:spacing w:before="40" w:after="40"/>
              <w:rPr>
                <w:rFonts w:cs="Segoe UI"/>
                <w:sz w:val="17"/>
                <w:szCs w:val="17"/>
                <w:lang w:eastAsia="en-GB"/>
              </w:rPr>
            </w:pPr>
            <w:r w:rsidRPr="00420454">
              <w:rPr>
                <w:rFonts w:cs="Segoe UI"/>
                <w:sz w:val="17"/>
                <w:szCs w:val="17"/>
                <w:lang w:eastAsia="en-GB"/>
              </w:rPr>
              <w:t>15</w:t>
            </w:r>
          </w:p>
        </w:tc>
        <w:tc>
          <w:tcPr>
            <w:tcW w:w="8505" w:type="dxa"/>
          </w:tcPr>
          <w:p w14:paraId="62AE89AB" w14:textId="77777777" w:rsidR="00420454" w:rsidRPr="00420454" w:rsidRDefault="00420454" w:rsidP="00420454">
            <w:pPr>
              <w:keepNext/>
              <w:spacing w:before="40" w:after="40"/>
              <w:jc w:val="both"/>
              <w:rPr>
                <w:i/>
                <w:sz w:val="17"/>
                <w:lang w:eastAsia="en-GB"/>
              </w:rPr>
            </w:pPr>
            <w:r w:rsidRPr="00420454">
              <w:rPr>
                <w:i/>
                <w:sz w:val="17"/>
                <w:lang w:eastAsia="en-GB"/>
              </w:rPr>
              <w:t>Variable remuneration – Of which: other forms</w:t>
            </w:r>
            <w:r w:rsidRPr="00420454">
              <w:rPr>
                <w:sz w:val="17"/>
                <w:lang w:eastAsia="en-GB"/>
              </w:rPr>
              <w:t xml:space="preserve">: </w:t>
            </w:r>
            <w:r w:rsidRPr="00420454">
              <w:rPr>
                <w:sz w:val="17"/>
                <w:szCs w:val="17"/>
              </w:rPr>
              <w:t>these other forms of variable remuneration must be described in Table REMA and, where relevant, in the accompanying narrative of this template.</w:t>
            </w:r>
          </w:p>
        </w:tc>
      </w:tr>
      <w:tr w:rsidR="00420454" w:rsidRPr="00420454" w14:paraId="10B528DC" w14:textId="77777777" w:rsidTr="00126350">
        <w:trPr>
          <w:trHeight w:val="373"/>
        </w:trPr>
        <w:tc>
          <w:tcPr>
            <w:tcW w:w="709" w:type="dxa"/>
          </w:tcPr>
          <w:p w14:paraId="3C55C945" w14:textId="77777777" w:rsidR="00420454" w:rsidRPr="00420454" w:rsidRDefault="00420454" w:rsidP="00420454">
            <w:pPr>
              <w:keepLines/>
              <w:widowControl w:val="0"/>
              <w:tabs>
                <w:tab w:val="left" w:pos="150"/>
                <w:tab w:val="left" w:pos="397"/>
                <w:tab w:val="left" w:pos="794"/>
                <w:tab w:val="left" w:pos="1191"/>
              </w:tabs>
              <w:spacing w:before="40" w:after="40"/>
              <w:rPr>
                <w:rFonts w:cs="Segoe UI"/>
                <w:sz w:val="17"/>
                <w:szCs w:val="17"/>
                <w:lang w:eastAsia="en-GB"/>
              </w:rPr>
            </w:pPr>
            <w:r w:rsidRPr="00420454">
              <w:rPr>
                <w:rFonts w:cs="Segoe UI"/>
                <w:sz w:val="17"/>
                <w:szCs w:val="17"/>
                <w:lang w:eastAsia="en-GB"/>
              </w:rPr>
              <w:t>17</w:t>
            </w:r>
          </w:p>
        </w:tc>
        <w:tc>
          <w:tcPr>
            <w:tcW w:w="8505" w:type="dxa"/>
          </w:tcPr>
          <w:p w14:paraId="42173E13" w14:textId="77777777" w:rsidR="00420454" w:rsidRPr="00420454" w:rsidRDefault="00420454" w:rsidP="00420454">
            <w:pPr>
              <w:keepNext/>
              <w:spacing w:before="40" w:after="40"/>
              <w:jc w:val="both"/>
              <w:rPr>
                <w:sz w:val="17"/>
                <w:szCs w:val="17"/>
              </w:rPr>
            </w:pPr>
            <w:r w:rsidRPr="00420454">
              <w:rPr>
                <w:i/>
                <w:sz w:val="17"/>
                <w:lang w:eastAsia="en-GB"/>
              </w:rPr>
              <w:t>Total remuneration</w:t>
            </w:r>
            <w:r w:rsidRPr="00420454">
              <w:rPr>
                <w:sz w:val="17"/>
                <w:lang w:eastAsia="en-GB"/>
              </w:rPr>
              <w:t xml:space="preserve">: </w:t>
            </w:r>
            <w:r w:rsidRPr="00420454">
              <w:rPr>
                <w:sz w:val="17"/>
                <w:szCs w:val="17"/>
              </w:rPr>
              <w:t>the sum of values in rows 2 and 10.</w:t>
            </w:r>
          </w:p>
        </w:tc>
      </w:tr>
    </w:tbl>
    <w:p w14:paraId="30C7144D" w14:textId="77777777" w:rsidR="00420454" w:rsidRDefault="00420454" w:rsidP="008974E3">
      <w:pPr>
        <w:sectPr w:rsidR="00420454">
          <w:headerReference w:type="even" r:id="rId100"/>
          <w:headerReference w:type="default" r:id="rId101"/>
          <w:footerReference w:type="even" r:id="rId102"/>
          <w:footerReference w:type="default" r:id="rId103"/>
          <w:headerReference w:type="first" r:id="rId104"/>
          <w:footerReference w:type="first" r:id="rId105"/>
          <w:pgSz w:w="11906" w:h="16838"/>
          <w:pgMar w:top="1440" w:right="1800" w:bottom="1440" w:left="1800" w:header="851" w:footer="992" w:gutter="0"/>
          <w:cols w:space="425"/>
          <w:docGrid w:type="lines" w:linePitch="360"/>
        </w:sectPr>
      </w:pPr>
    </w:p>
    <w:p w14:paraId="4C109DD5" w14:textId="4BDFE49E" w:rsidR="008974E3" w:rsidRDefault="007C2415" w:rsidP="00056E14">
      <w:pPr>
        <w:pStyle w:val="Heading2"/>
        <w:ind w:left="-397"/>
      </w:pPr>
      <w:r w:rsidRPr="0023654F">
        <w:lastRenderedPageBreak/>
        <w:t xml:space="preserve">Template </w:t>
      </w:r>
      <w:r>
        <w:t>REM2</w:t>
      </w:r>
      <w:r w:rsidRPr="0023654F">
        <w:t xml:space="preserve">: </w:t>
      </w:r>
      <w:r>
        <w:t>Special payments</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903478" w:rsidRPr="005B71C7" w14:paraId="4F3D8D8F" w14:textId="77777777" w:rsidTr="006C63B0">
        <w:tc>
          <w:tcPr>
            <w:tcW w:w="2008" w:type="dxa"/>
          </w:tcPr>
          <w:p w14:paraId="01B303D4" w14:textId="77777777" w:rsidR="00903478" w:rsidRPr="0023654F" w:rsidRDefault="00903478" w:rsidP="006C63B0">
            <w:pPr>
              <w:spacing w:before="40" w:after="40"/>
              <w:rPr>
                <w:noProof/>
                <w:sz w:val="17"/>
                <w:lang w:eastAsia="en-GB"/>
              </w:rPr>
            </w:pPr>
            <w:r w:rsidRPr="0023654F">
              <w:rPr>
                <w:b/>
                <w:sz w:val="17"/>
                <w:lang w:eastAsia="en-GB"/>
              </w:rPr>
              <w:t>Purpose:</w:t>
            </w:r>
            <w:r w:rsidRPr="0023654F">
              <w:rPr>
                <w:sz w:val="17"/>
                <w:lang w:eastAsia="en-GB"/>
              </w:rPr>
              <w:t xml:space="preserve"> </w:t>
            </w:r>
          </w:p>
        </w:tc>
        <w:tc>
          <w:tcPr>
            <w:tcW w:w="7234" w:type="dxa"/>
          </w:tcPr>
          <w:p w14:paraId="4BA68B5F" w14:textId="77777777" w:rsidR="00903478" w:rsidRPr="00025AEC" w:rsidRDefault="00903478" w:rsidP="006C63B0">
            <w:pPr>
              <w:spacing w:before="40" w:after="40"/>
              <w:jc w:val="both"/>
              <w:rPr>
                <w:rFonts w:eastAsiaTheme="minorEastAsia"/>
                <w:sz w:val="17"/>
                <w:lang w:eastAsia="en-GB"/>
              </w:rPr>
            </w:pPr>
            <w:r w:rsidRPr="00025AEC">
              <w:rPr>
                <w:rFonts w:eastAsiaTheme="minorEastAsia"/>
                <w:sz w:val="17"/>
                <w:lang w:eastAsia="en-GB"/>
              </w:rPr>
              <w:t xml:space="preserve">To </w:t>
            </w:r>
            <w:r>
              <w:rPr>
                <w:rFonts w:eastAsiaTheme="minorEastAsia"/>
                <w:sz w:val="17"/>
                <w:lang w:eastAsia="en-GB"/>
              </w:rPr>
              <w:t>p</w:t>
            </w:r>
            <w:r>
              <w:rPr>
                <w:sz w:val="17"/>
                <w:szCs w:val="17"/>
              </w:rPr>
              <w:t>rovide quantitative information on special payment for the financial year.</w:t>
            </w:r>
          </w:p>
        </w:tc>
      </w:tr>
      <w:tr w:rsidR="00903478" w:rsidRPr="005B71C7" w14:paraId="37ADDDB4" w14:textId="77777777" w:rsidTr="006C63B0">
        <w:tc>
          <w:tcPr>
            <w:tcW w:w="2008" w:type="dxa"/>
          </w:tcPr>
          <w:p w14:paraId="076C93D3" w14:textId="77777777" w:rsidR="00903478" w:rsidRPr="0023654F" w:rsidRDefault="00903478" w:rsidP="006C63B0">
            <w:pPr>
              <w:spacing w:before="40" w:after="40"/>
              <w:rPr>
                <w:b/>
                <w:sz w:val="17"/>
                <w:lang w:eastAsia="en-GB"/>
              </w:rPr>
            </w:pPr>
            <w:r>
              <w:rPr>
                <w:b/>
                <w:sz w:val="17"/>
                <w:lang w:eastAsia="en-GB"/>
              </w:rPr>
              <w:t>Scope of application:</w:t>
            </w:r>
          </w:p>
        </w:tc>
        <w:tc>
          <w:tcPr>
            <w:tcW w:w="7234" w:type="dxa"/>
          </w:tcPr>
          <w:p w14:paraId="6B6FB634" w14:textId="77777777" w:rsidR="00903478" w:rsidRPr="00025AEC" w:rsidRDefault="00903478" w:rsidP="006C63B0">
            <w:pPr>
              <w:spacing w:before="40" w:after="40"/>
              <w:jc w:val="both"/>
              <w:rPr>
                <w:rFonts w:eastAsiaTheme="minorEastAsia"/>
                <w:sz w:val="17"/>
                <w:lang w:eastAsia="en-GB"/>
              </w:rPr>
            </w:pPr>
            <w:r w:rsidRPr="0023654F">
              <w:rPr>
                <w:rFonts w:eastAsiaTheme="minorEastAsia"/>
                <w:sz w:val="17"/>
                <w:lang w:eastAsia="en-GB"/>
              </w:rPr>
              <w:t xml:space="preserve">The template is mandatory for </w:t>
            </w:r>
            <w:r>
              <w:rPr>
                <w:rFonts w:eastAsiaTheme="minorEastAsia"/>
                <w:sz w:val="17"/>
                <w:lang w:eastAsia="en-GB"/>
              </w:rPr>
              <w:t>all AI</w:t>
            </w:r>
            <w:r w:rsidRPr="0023654F">
              <w:rPr>
                <w:rFonts w:eastAsiaTheme="minorEastAsia"/>
                <w:sz w:val="17"/>
                <w:lang w:eastAsia="en-GB"/>
              </w:rPr>
              <w:t xml:space="preserve">s </w:t>
            </w:r>
            <w:r>
              <w:rPr>
                <w:rFonts w:eastAsiaTheme="minorEastAsia"/>
                <w:sz w:val="17"/>
                <w:lang w:eastAsia="en-GB"/>
              </w:rPr>
              <w:t>incorporated in Hong Kong.</w:t>
            </w:r>
          </w:p>
        </w:tc>
      </w:tr>
      <w:tr w:rsidR="00903478" w:rsidRPr="0023654F" w14:paraId="026C5425" w14:textId="77777777" w:rsidTr="006C63B0">
        <w:tc>
          <w:tcPr>
            <w:tcW w:w="2008" w:type="dxa"/>
          </w:tcPr>
          <w:p w14:paraId="241F2320" w14:textId="77777777" w:rsidR="00903478" w:rsidRPr="0023654F" w:rsidRDefault="00903478" w:rsidP="006C63B0">
            <w:pPr>
              <w:spacing w:before="40" w:after="40"/>
              <w:rPr>
                <w:b/>
                <w:sz w:val="17"/>
                <w:lang w:eastAsia="en-GB"/>
              </w:rPr>
            </w:pPr>
            <w:r>
              <w:rPr>
                <w:b/>
                <w:sz w:val="17"/>
                <w:lang w:eastAsia="en-GB"/>
              </w:rPr>
              <w:t>Content:</w:t>
            </w:r>
          </w:p>
        </w:tc>
        <w:tc>
          <w:tcPr>
            <w:tcW w:w="7234" w:type="dxa"/>
          </w:tcPr>
          <w:p w14:paraId="59934935" w14:textId="77777777" w:rsidR="00903478" w:rsidRPr="00070A41" w:rsidRDefault="00903478" w:rsidP="006C63B0">
            <w:pPr>
              <w:spacing w:before="40" w:after="40"/>
              <w:jc w:val="both"/>
              <w:rPr>
                <w:rFonts w:eastAsiaTheme="minorEastAsia"/>
                <w:sz w:val="17"/>
                <w:lang w:eastAsia="en-GB"/>
              </w:rPr>
            </w:pPr>
            <w:r w:rsidRPr="00070A41">
              <w:rPr>
                <w:rFonts w:eastAsiaTheme="minorEastAsia"/>
                <w:sz w:val="17"/>
                <w:lang w:eastAsia="en-GB"/>
              </w:rPr>
              <w:t>Quantitative</w:t>
            </w:r>
            <w:r>
              <w:rPr>
                <w:sz w:val="17"/>
                <w:lang w:eastAsia="en-GB"/>
              </w:rPr>
              <w:t xml:space="preserve"> information.</w:t>
            </w:r>
          </w:p>
        </w:tc>
      </w:tr>
      <w:tr w:rsidR="00903478" w:rsidRPr="0023654F" w14:paraId="56BE8E05" w14:textId="77777777" w:rsidTr="006C63B0">
        <w:tc>
          <w:tcPr>
            <w:tcW w:w="2008" w:type="dxa"/>
          </w:tcPr>
          <w:p w14:paraId="10E4B369" w14:textId="77777777" w:rsidR="00903478" w:rsidRPr="0023654F" w:rsidRDefault="00903478" w:rsidP="006C63B0">
            <w:pPr>
              <w:spacing w:before="40" w:after="40"/>
              <w:rPr>
                <w:sz w:val="17"/>
                <w:lang w:eastAsia="en-GB"/>
              </w:rPr>
            </w:pPr>
            <w:r w:rsidRPr="0023654F">
              <w:rPr>
                <w:b/>
                <w:sz w:val="17"/>
                <w:lang w:eastAsia="en-GB"/>
              </w:rPr>
              <w:t>Frequency:</w:t>
            </w:r>
          </w:p>
        </w:tc>
        <w:tc>
          <w:tcPr>
            <w:tcW w:w="7234" w:type="dxa"/>
          </w:tcPr>
          <w:p w14:paraId="30C37DD1" w14:textId="77777777" w:rsidR="00903478" w:rsidRPr="00070A41" w:rsidRDefault="00903478" w:rsidP="006C63B0">
            <w:pPr>
              <w:pStyle w:val="TableText"/>
              <w:jc w:val="both"/>
              <w:rPr>
                <w:rFonts w:eastAsiaTheme="minorEastAsia"/>
                <w:lang w:eastAsia="en-GB"/>
              </w:rPr>
            </w:pPr>
            <w:r w:rsidRPr="0023654F">
              <w:rPr>
                <w:lang w:eastAsia="en-GB"/>
              </w:rPr>
              <w:t>Annual.</w:t>
            </w:r>
            <w:r w:rsidRPr="00070A41">
              <w:rPr>
                <w:rFonts w:eastAsiaTheme="minorEastAsia"/>
                <w:lang w:eastAsia="en-GB"/>
              </w:rPr>
              <w:t xml:space="preserve"> </w:t>
            </w:r>
          </w:p>
        </w:tc>
      </w:tr>
      <w:tr w:rsidR="00903478" w:rsidRPr="0023654F" w14:paraId="10D7112F" w14:textId="77777777" w:rsidTr="006C63B0">
        <w:tc>
          <w:tcPr>
            <w:tcW w:w="2008" w:type="dxa"/>
          </w:tcPr>
          <w:p w14:paraId="675B4083" w14:textId="77777777" w:rsidR="00903478" w:rsidRPr="0023654F" w:rsidRDefault="00903478" w:rsidP="006C63B0">
            <w:pPr>
              <w:spacing w:before="40" w:after="40"/>
              <w:rPr>
                <w:sz w:val="17"/>
                <w:lang w:eastAsia="en-GB"/>
              </w:rPr>
            </w:pPr>
            <w:r w:rsidRPr="0023654F">
              <w:rPr>
                <w:b/>
                <w:sz w:val="17"/>
                <w:lang w:eastAsia="en-GB"/>
              </w:rPr>
              <w:t>Format:</w:t>
            </w:r>
          </w:p>
        </w:tc>
        <w:tc>
          <w:tcPr>
            <w:tcW w:w="7234" w:type="dxa"/>
          </w:tcPr>
          <w:p w14:paraId="32C6D49B" w14:textId="77777777" w:rsidR="00903478" w:rsidRPr="0023654F" w:rsidRDefault="00903478" w:rsidP="006C63B0">
            <w:pPr>
              <w:pStyle w:val="TableText"/>
              <w:jc w:val="both"/>
              <w:rPr>
                <w:lang w:eastAsia="en-GB"/>
              </w:rPr>
            </w:pPr>
            <w:r>
              <w:rPr>
                <w:lang w:eastAsia="en-GB"/>
              </w:rPr>
              <w:t>Flexible.</w:t>
            </w:r>
          </w:p>
        </w:tc>
      </w:tr>
      <w:tr w:rsidR="00903478" w:rsidRPr="0023654F" w14:paraId="31D7417C" w14:textId="77777777" w:rsidTr="006C63B0">
        <w:tc>
          <w:tcPr>
            <w:tcW w:w="2008" w:type="dxa"/>
          </w:tcPr>
          <w:p w14:paraId="25BAE781" w14:textId="77777777" w:rsidR="00903478" w:rsidRPr="0023654F" w:rsidRDefault="00903478" w:rsidP="006C63B0">
            <w:pPr>
              <w:spacing w:before="40" w:after="40"/>
              <w:rPr>
                <w:b/>
                <w:sz w:val="17"/>
                <w:lang w:eastAsia="en-GB"/>
              </w:rPr>
            </w:pPr>
            <w:r w:rsidRPr="0023654F">
              <w:rPr>
                <w:rFonts w:eastAsiaTheme="minorEastAsia"/>
                <w:b/>
                <w:sz w:val="17"/>
                <w:szCs w:val="17"/>
                <w:lang w:eastAsia="en-GB"/>
              </w:rPr>
              <w:t>Accompanying narrative</w:t>
            </w:r>
            <w:r w:rsidRPr="0023654F">
              <w:rPr>
                <w:rFonts w:eastAsiaTheme="minorEastAsia"/>
                <w:sz w:val="17"/>
                <w:szCs w:val="17"/>
                <w:lang w:eastAsia="en-GB"/>
              </w:rPr>
              <w:t>:</w:t>
            </w:r>
          </w:p>
        </w:tc>
        <w:tc>
          <w:tcPr>
            <w:tcW w:w="7234" w:type="dxa"/>
          </w:tcPr>
          <w:p w14:paraId="0E5018E2" w14:textId="77777777" w:rsidR="00903478" w:rsidRPr="00070A41" w:rsidRDefault="00903478" w:rsidP="006C63B0">
            <w:pPr>
              <w:spacing w:before="40" w:after="40"/>
              <w:jc w:val="both"/>
              <w:rPr>
                <w:noProof/>
                <w:sz w:val="17"/>
                <w:szCs w:val="17"/>
                <w:lang w:val="en-US" w:eastAsia="en-GB"/>
              </w:rPr>
            </w:pPr>
            <w:r w:rsidRPr="00070A41">
              <w:rPr>
                <w:sz w:val="17"/>
                <w:szCs w:val="17"/>
                <w:lang w:eastAsia="en-GB"/>
              </w:rPr>
              <w:t xml:space="preserve">An </w:t>
            </w:r>
            <w:r w:rsidRPr="00070A41">
              <w:rPr>
                <w:rFonts w:eastAsiaTheme="minorEastAsia"/>
                <w:sz w:val="17"/>
                <w:szCs w:val="17"/>
                <w:lang w:eastAsia="en-GB"/>
              </w:rPr>
              <w:t>AI</w:t>
            </w:r>
            <w:r w:rsidRPr="00070A41">
              <w:rPr>
                <w:sz w:val="17"/>
                <w:szCs w:val="17"/>
                <w:lang w:eastAsia="en-GB"/>
              </w:rPr>
              <w:t xml:space="preserve"> </w:t>
            </w:r>
            <w:r>
              <w:rPr>
                <w:sz w:val="17"/>
                <w:szCs w:val="17"/>
              </w:rPr>
              <w:t>should</w:t>
            </w:r>
            <w:r w:rsidRPr="00070A41">
              <w:rPr>
                <w:sz w:val="17"/>
                <w:szCs w:val="17"/>
              </w:rPr>
              <w:t xml:space="preserve"> supplement the template with a narrative commentary to explain any significant movements over the reporting period and the key drivers of such movements.</w:t>
            </w:r>
          </w:p>
        </w:tc>
      </w:tr>
      <w:tr w:rsidR="00903478" w:rsidRPr="0023654F" w14:paraId="31A77598" w14:textId="77777777" w:rsidTr="006C63B0">
        <w:tc>
          <w:tcPr>
            <w:tcW w:w="2008" w:type="dxa"/>
          </w:tcPr>
          <w:p w14:paraId="29F81268" w14:textId="77777777" w:rsidR="00903478" w:rsidRPr="0023654F" w:rsidRDefault="00903478" w:rsidP="006C63B0">
            <w:pPr>
              <w:spacing w:before="40" w:after="40"/>
              <w:rPr>
                <w:rFonts w:eastAsiaTheme="minorEastAsia"/>
                <w:b/>
                <w:sz w:val="17"/>
                <w:szCs w:val="17"/>
                <w:lang w:eastAsia="en-GB"/>
              </w:rPr>
            </w:pPr>
            <w:r>
              <w:rPr>
                <w:rFonts w:eastAsiaTheme="minorEastAsia"/>
                <w:b/>
                <w:sz w:val="17"/>
                <w:szCs w:val="17"/>
                <w:lang w:eastAsia="en-GB"/>
              </w:rPr>
              <w:t>Corresponding BDR section:</w:t>
            </w:r>
          </w:p>
        </w:tc>
        <w:tc>
          <w:tcPr>
            <w:tcW w:w="7234" w:type="dxa"/>
          </w:tcPr>
          <w:p w14:paraId="2CE6E9E3" w14:textId="77777777" w:rsidR="00903478" w:rsidRDefault="00903478" w:rsidP="006C63B0">
            <w:pPr>
              <w:pStyle w:val="TableText"/>
              <w:jc w:val="both"/>
              <w:rPr>
                <w:szCs w:val="17"/>
                <w:lang w:eastAsia="en-GB"/>
              </w:rPr>
            </w:pPr>
            <w:r w:rsidRPr="001B530B">
              <w:rPr>
                <w:szCs w:val="17"/>
                <w:lang w:eastAsia="en-GB"/>
              </w:rPr>
              <w:t>16ZU</w:t>
            </w:r>
          </w:p>
        </w:tc>
      </w:tr>
    </w:tbl>
    <w:p w14:paraId="2F4A6604" w14:textId="77777777" w:rsidR="00903478" w:rsidRDefault="00903478" w:rsidP="008974E3">
      <w:pPr>
        <w:spacing w:before="120" w:after="120"/>
        <w:rPr>
          <w:sz w:val="22"/>
        </w:rPr>
      </w:pPr>
    </w:p>
    <w:tbl>
      <w:tblPr>
        <w:tblW w:w="9248" w:type="dxa"/>
        <w:tblInd w:w="-459"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ayout w:type="fixed"/>
        <w:tblLook w:val="00A0" w:firstRow="1" w:lastRow="0" w:firstColumn="1" w:lastColumn="0" w:noHBand="0" w:noVBand="0"/>
      </w:tblPr>
      <w:tblGrid>
        <w:gridCol w:w="566"/>
        <w:gridCol w:w="143"/>
        <w:gridCol w:w="1276"/>
        <w:gridCol w:w="1210"/>
        <w:gridCol w:w="1211"/>
        <w:gridCol w:w="1210"/>
        <w:gridCol w:w="1211"/>
        <w:gridCol w:w="1210"/>
        <w:gridCol w:w="1211"/>
      </w:tblGrid>
      <w:tr w:rsidR="008974E3" w:rsidRPr="0023654F" w14:paraId="4CAD55E6" w14:textId="77777777" w:rsidTr="0004394B">
        <w:trPr>
          <w:cantSplit/>
          <w:trHeight w:val="249"/>
          <w:tblHeader/>
        </w:trPr>
        <w:tc>
          <w:tcPr>
            <w:tcW w:w="566" w:type="dxa"/>
            <w:tcBorders>
              <w:top w:val="nil"/>
              <w:left w:val="nil"/>
              <w:bottom w:val="single" w:sz="4" w:space="0" w:color="auto"/>
              <w:right w:val="nil"/>
            </w:tcBorders>
          </w:tcPr>
          <w:p w14:paraId="3483C348" w14:textId="77777777" w:rsidR="008974E3" w:rsidRPr="0023654F" w:rsidRDefault="008974E3" w:rsidP="00647044">
            <w:pPr>
              <w:pStyle w:val="TableText"/>
              <w:snapToGrid w:val="0"/>
              <w:rPr>
                <w:lang w:eastAsia="en-GB"/>
              </w:rPr>
            </w:pPr>
          </w:p>
        </w:tc>
        <w:tc>
          <w:tcPr>
            <w:tcW w:w="1419" w:type="dxa"/>
            <w:gridSpan w:val="2"/>
            <w:tcBorders>
              <w:top w:val="nil"/>
              <w:left w:val="nil"/>
              <w:bottom w:val="single" w:sz="4" w:space="0" w:color="auto"/>
              <w:right w:val="single" w:sz="4" w:space="0" w:color="auto"/>
            </w:tcBorders>
            <w:vAlign w:val="center"/>
          </w:tcPr>
          <w:p w14:paraId="3DE75EE6" w14:textId="77777777" w:rsidR="008974E3" w:rsidRPr="0023654F" w:rsidRDefault="008974E3" w:rsidP="00647044">
            <w:pPr>
              <w:pStyle w:val="TableText"/>
              <w:snapToGrid w:val="0"/>
              <w:rPr>
                <w:lang w:eastAsia="en-GB"/>
              </w:rPr>
            </w:pPr>
          </w:p>
        </w:tc>
        <w:tc>
          <w:tcPr>
            <w:tcW w:w="1210" w:type="dxa"/>
            <w:tcBorders>
              <w:top w:val="single" w:sz="4" w:space="0" w:color="auto"/>
              <w:left w:val="nil"/>
              <w:bottom w:val="single" w:sz="4" w:space="0" w:color="auto"/>
              <w:right w:val="single" w:sz="4" w:space="0" w:color="auto"/>
            </w:tcBorders>
            <w:vAlign w:val="center"/>
          </w:tcPr>
          <w:p w14:paraId="70306ACE" w14:textId="77777777" w:rsidR="008974E3" w:rsidRPr="0023654F" w:rsidRDefault="008974E3" w:rsidP="00647044">
            <w:pPr>
              <w:pStyle w:val="TableText"/>
              <w:snapToGrid w:val="0"/>
              <w:jc w:val="center"/>
              <w:rPr>
                <w:bCs/>
                <w:szCs w:val="17"/>
                <w:lang w:eastAsia="it-IT"/>
              </w:rPr>
            </w:pPr>
            <w:r>
              <w:rPr>
                <w:bCs/>
                <w:szCs w:val="17"/>
                <w:lang w:eastAsia="it-IT"/>
              </w:rPr>
              <w:t>(</w:t>
            </w:r>
            <w:r w:rsidRPr="0023654F">
              <w:rPr>
                <w:bCs/>
                <w:szCs w:val="17"/>
                <w:lang w:eastAsia="it-IT"/>
              </w:rPr>
              <w:t>a</w:t>
            </w:r>
            <w:r>
              <w:rPr>
                <w:bCs/>
                <w:szCs w:val="17"/>
                <w:lang w:eastAsia="it-IT"/>
              </w:rPr>
              <w:t>)</w:t>
            </w:r>
          </w:p>
        </w:tc>
        <w:tc>
          <w:tcPr>
            <w:tcW w:w="1211" w:type="dxa"/>
            <w:tcBorders>
              <w:top w:val="single" w:sz="4" w:space="0" w:color="auto"/>
              <w:left w:val="nil"/>
              <w:bottom w:val="single" w:sz="4" w:space="0" w:color="auto"/>
              <w:right w:val="single" w:sz="4" w:space="0" w:color="auto"/>
            </w:tcBorders>
            <w:vAlign w:val="center"/>
          </w:tcPr>
          <w:p w14:paraId="0C7E4518" w14:textId="77777777" w:rsidR="008974E3" w:rsidRPr="0023654F" w:rsidRDefault="008974E3" w:rsidP="00647044">
            <w:pPr>
              <w:pStyle w:val="TableText"/>
              <w:snapToGrid w:val="0"/>
              <w:jc w:val="center"/>
              <w:rPr>
                <w:bCs/>
                <w:szCs w:val="17"/>
                <w:lang w:eastAsia="it-IT"/>
              </w:rPr>
            </w:pPr>
            <w:r>
              <w:rPr>
                <w:bCs/>
                <w:szCs w:val="17"/>
                <w:lang w:eastAsia="it-IT"/>
              </w:rPr>
              <w:t>(b)</w:t>
            </w:r>
          </w:p>
        </w:tc>
        <w:tc>
          <w:tcPr>
            <w:tcW w:w="1210" w:type="dxa"/>
            <w:tcBorders>
              <w:top w:val="single" w:sz="4" w:space="0" w:color="auto"/>
              <w:left w:val="nil"/>
              <w:bottom w:val="single" w:sz="4" w:space="0" w:color="auto"/>
              <w:right w:val="single" w:sz="4" w:space="0" w:color="auto"/>
            </w:tcBorders>
            <w:vAlign w:val="center"/>
          </w:tcPr>
          <w:p w14:paraId="632D5EB1" w14:textId="77777777" w:rsidR="008974E3" w:rsidRPr="0023654F" w:rsidRDefault="008974E3" w:rsidP="00647044">
            <w:pPr>
              <w:pStyle w:val="TableText"/>
              <w:snapToGrid w:val="0"/>
              <w:jc w:val="center"/>
              <w:rPr>
                <w:lang w:eastAsia="en-GB"/>
              </w:rPr>
            </w:pPr>
            <w:r>
              <w:rPr>
                <w:lang w:eastAsia="en-GB"/>
              </w:rPr>
              <w:t>(c)</w:t>
            </w:r>
          </w:p>
        </w:tc>
        <w:tc>
          <w:tcPr>
            <w:tcW w:w="1211" w:type="dxa"/>
            <w:tcBorders>
              <w:top w:val="single" w:sz="4" w:space="0" w:color="auto"/>
              <w:left w:val="nil"/>
              <w:bottom w:val="single" w:sz="4" w:space="0" w:color="auto"/>
              <w:right w:val="single" w:sz="4" w:space="0" w:color="auto"/>
            </w:tcBorders>
            <w:vAlign w:val="center"/>
          </w:tcPr>
          <w:p w14:paraId="5E96963F" w14:textId="77777777" w:rsidR="008974E3" w:rsidRPr="0023654F" w:rsidRDefault="008974E3" w:rsidP="00647044">
            <w:pPr>
              <w:pStyle w:val="TableText"/>
              <w:snapToGrid w:val="0"/>
              <w:jc w:val="center"/>
              <w:rPr>
                <w:lang w:eastAsia="en-GB"/>
              </w:rPr>
            </w:pPr>
            <w:r>
              <w:rPr>
                <w:lang w:eastAsia="en-GB"/>
              </w:rPr>
              <w:t>(d)</w:t>
            </w:r>
          </w:p>
        </w:tc>
        <w:tc>
          <w:tcPr>
            <w:tcW w:w="1210" w:type="dxa"/>
            <w:tcBorders>
              <w:top w:val="single" w:sz="4" w:space="0" w:color="auto"/>
              <w:left w:val="nil"/>
              <w:bottom w:val="single" w:sz="4" w:space="0" w:color="auto"/>
              <w:right w:val="single" w:sz="4" w:space="0" w:color="auto"/>
            </w:tcBorders>
            <w:vAlign w:val="center"/>
          </w:tcPr>
          <w:p w14:paraId="520EE8F2" w14:textId="77777777" w:rsidR="008974E3" w:rsidRPr="0023654F" w:rsidRDefault="008974E3" w:rsidP="00647044">
            <w:pPr>
              <w:pStyle w:val="TableText"/>
              <w:snapToGrid w:val="0"/>
              <w:jc w:val="center"/>
              <w:rPr>
                <w:bCs/>
                <w:szCs w:val="17"/>
                <w:lang w:eastAsia="it-IT"/>
              </w:rPr>
            </w:pPr>
            <w:r>
              <w:rPr>
                <w:bCs/>
                <w:szCs w:val="17"/>
                <w:lang w:eastAsia="it-IT"/>
              </w:rPr>
              <w:t>(e)</w:t>
            </w:r>
          </w:p>
        </w:tc>
        <w:tc>
          <w:tcPr>
            <w:tcW w:w="1211" w:type="dxa"/>
            <w:tcBorders>
              <w:top w:val="single" w:sz="4" w:space="0" w:color="auto"/>
              <w:left w:val="single" w:sz="4" w:space="0" w:color="auto"/>
              <w:bottom w:val="single" w:sz="4" w:space="0" w:color="auto"/>
              <w:right w:val="single" w:sz="4" w:space="0" w:color="auto"/>
            </w:tcBorders>
            <w:vAlign w:val="center"/>
          </w:tcPr>
          <w:p w14:paraId="210B61A2" w14:textId="77777777" w:rsidR="008974E3" w:rsidRPr="0023654F" w:rsidRDefault="008974E3" w:rsidP="00647044">
            <w:pPr>
              <w:pStyle w:val="TableText"/>
              <w:snapToGrid w:val="0"/>
              <w:jc w:val="center"/>
              <w:rPr>
                <w:bCs/>
                <w:szCs w:val="17"/>
                <w:lang w:eastAsia="it-IT"/>
              </w:rPr>
            </w:pPr>
            <w:r>
              <w:rPr>
                <w:bCs/>
                <w:szCs w:val="17"/>
                <w:lang w:eastAsia="it-IT"/>
              </w:rPr>
              <w:t>(f)</w:t>
            </w:r>
          </w:p>
        </w:tc>
      </w:tr>
      <w:tr w:rsidR="008974E3" w:rsidRPr="0023654F" w14:paraId="3D6ACE6A" w14:textId="77777777" w:rsidTr="0004394B">
        <w:trPr>
          <w:cantSplit/>
          <w:tblHeader/>
        </w:trPr>
        <w:tc>
          <w:tcPr>
            <w:tcW w:w="1985" w:type="dxa"/>
            <w:gridSpan w:val="3"/>
            <w:vMerge w:val="restart"/>
            <w:tcBorders>
              <w:top w:val="single" w:sz="4" w:space="0" w:color="auto"/>
              <w:left w:val="nil"/>
              <w:right w:val="single" w:sz="4" w:space="0" w:color="auto"/>
            </w:tcBorders>
          </w:tcPr>
          <w:p w14:paraId="30C52E6C" w14:textId="77777777" w:rsidR="008974E3" w:rsidRDefault="008974E3" w:rsidP="00647044">
            <w:pPr>
              <w:pStyle w:val="TableText"/>
              <w:snapToGrid w:val="0"/>
              <w:spacing w:before="0" w:after="0"/>
              <w:rPr>
                <w:lang w:eastAsia="en-GB"/>
              </w:rPr>
            </w:pPr>
          </w:p>
          <w:p w14:paraId="1792C538" w14:textId="77777777" w:rsidR="008974E3" w:rsidRPr="0023654F" w:rsidRDefault="008974E3" w:rsidP="00647044">
            <w:pPr>
              <w:pStyle w:val="TableText"/>
              <w:snapToGrid w:val="0"/>
              <w:spacing w:before="0" w:after="0"/>
              <w:rPr>
                <w:lang w:eastAsia="en-GB"/>
              </w:rPr>
            </w:pPr>
            <w:r>
              <w:rPr>
                <w:lang w:eastAsia="en-GB"/>
              </w:rPr>
              <w:t>Special payments</w:t>
            </w:r>
          </w:p>
        </w:tc>
        <w:tc>
          <w:tcPr>
            <w:tcW w:w="2421" w:type="dxa"/>
            <w:gridSpan w:val="2"/>
            <w:tcBorders>
              <w:top w:val="single" w:sz="4" w:space="0" w:color="auto"/>
              <w:left w:val="nil"/>
              <w:bottom w:val="single" w:sz="4" w:space="0" w:color="auto"/>
              <w:right w:val="single" w:sz="4" w:space="0" w:color="auto"/>
            </w:tcBorders>
            <w:vAlign w:val="center"/>
          </w:tcPr>
          <w:p w14:paraId="74A4C2F7" w14:textId="77777777" w:rsidR="008974E3" w:rsidRPr="0023654F" w:rsidRDefault="008974E3" w:rsidP="00647044">
            <w:pPr>
              <w:pStyle w:val="TableText"/>
              <w:snapToGrid w:val="0"/>
              <w:spacing w:before="0" w:after="0"/>
              <w:jc w:val="center"/>
              <w:rPr>
                <w:lang w:eastAsia="en-GB"/>
              </w:rPr>
            </w:pPr>
            <w:r>
              <w:rPr>
                <w:lang w:eastAsia="en-GB"/>
              </w:rPr>
              <w:t>Guaranteed bonuses</w:t>
            </w:r>
          </w:p>
        </w:tc>
        <w:tc>
          <w:tcPr>
            <w:tcW w:w="2421" w:type="dxa"/>
            <w:gridSpan w:val="2"/>
            <w:tcBorders>
              <w:top w:val="single" w:sz="4" w:space="0" w:color="auto"/>
              <w:left w:val="nil"/>
              <w:bottom w:val="single" w:sz="4" w:space="0" w:color="auto"/>
              <w:right w:val="single" w:sz="4" w:space="0" w:color="auto"/>
            </w:tcBorders>
            <w:vAlign w:val="center"/>
          </w:tcPr>
          <w:p w14:paraId="6FD884D3" w14:textId="77777777" w:rsidR="008974E3" w:rsidRPr="0023654F" w:rsidRDefault="008974E3" w:rsidP="00647044">
            <w:pPr>
              <w:pStyle w:val="TableText"/>
              <w:snapToGrid w:val="0"/>
              <w:spacing w:before="0" w:after="0"/>
              <w:jc w:val="center"/>
              <w:rPr>
                <w:lang w:eastAsia="en-GB"/>
              </w:rPr>
            </w:pPr>
            <w:r>
              <w:rPr>
                <w:lang w:eastAsia="en-GB"/>
              </w:rPr>
              <w:t>Sign-on awards</w:t>
            </w:r>
          </w:p>
        </w:tc>
        <w:tc>
          <w:tcPr>
            <w:tcW w:w="2421" w:type="dxa"/>
            <w:gridSpan w:val="2"/>
            <w:tcBorders>
              <w:top w:val="single" w:sz="4" w:space="0" w:color="auto"/>
              <w:left w:val="nil"/>
              <w:bottom w:val="single" w:sz="4" w:space="0" w:color="auto"/>
              <w:right w:val="single" w:sz="4" w:space="0" w:color="auto"/>
            </w:tcBorders>
            <w:vAlign w:val="center"/>
          </w:tcPr>
          <w:p w14:paraId="606C7FAC" w14:textId="77777777" w:rsidR="008974E3" w:rsidRPr="00911851" w:rsidRDefault="008974E3" w:rsidP="00647044">
            <w:pPr>
              <w:pStyle w:val="TableText"/>
              <w:snapToGrid w:val="0"/>
              <w:spacing w:before="0" w:after="0"/>
              <w:jc w:val="center"/>
              <w:rPr>
                <w:lang w:eastAsia="en-GB"/>
              </w:rPr>
            </w:pPr>
            <w:r>
              <w:rPr>
                <w:lang w:eastAsia="en-GB"/>
              </w:rPr>
              <w:t>Severance payments</w:t>
            </w:r>
          </w:p>
        </w:tc>
      </w:tr>
      <w:tr w:rsidR="008974E3" w:rsidRPr="0023654F" w14:paraId="2D8D7DB4" w14:textId="77777777" w:rsidTr="0004394B">
        <w:trPr>
          <w:cantSplit/>
          <w:tblHeader/>
        </w:trPr>
        <w:tc>
          <w:tcPr>
            <w:tcW w:w="1985" w:type="dxa"/>
            <w:gridSpan w:val="3"/>
            <w:vMerge/>
            <w:tcBorders>
              <w:left w:val="nil"/>
              <w:bottom w:val="single" w:sz="4" w:space="0" w:color="auto"/>
              <w:right w:val="single" w:sz="4" w:space="0" w:color="auto"/>
            </w:tcBorders>
            <w:vAlign w:val="center"/>
          </w:tcPr>
          <w:p w14:paraId="457D85AF" w14:textId="77777777" w:rsidR="008974E3" w:rsidRPr="0023654F" w:rsidRDefault="008974E3" w:rsidP="00647044">
            <w:pPr>
              <w:pStyle w:val="TableText"/>
              <w:snapToGrid w:val="0"/>
              <w:spacing w:before="0" w:after="0"/>
              <w:rPr>
                <w:lang w:eastAsia="en-GB"/>
              </w:rPr>
            </w:pPr>
          </w:p>
        </w:tc>
        <w:tc>
          <w:tcPr>
            <w:tcW w:w="1210" w:type="dxa"/>
            <w:tcBorders>
              <w:top w:val="single" w:sz="4" w:space="0" w:color="auto"/>
              <w:left w:val="nil"/>
              <w:bottom w:val="single" w:sz="4" w:space="0" w:color="auto"/>
              <w:right w:val="single" w:sz="4" w:space="0" w:color="auto"/>
            </w:tcBorders>
            <w:vAlign w:val="center"/>
          </w:tcPr>
          <w:p w14:paraId="7B7E67DB" w14:textId="77777777" w:rsidR="008974E3" w:rsidRPr="0023654F" w:rsidRDefault="008974E3" w:rsidP="00647044">
            <w:pPr>
              <w:pStyle w:val="TableText"/>
              <w:snapToGrid w:val="0"/>
              <w:spacing w:before="0" w:after="0"/>
              <w:jc w:val="center"/>
              <w:rPr>
                <w:lang w:eastAsia="en-GB"/>
              </w:rPr>
            </w:pPr>
            <w:r>
              <w:rPr>
                <w:lang w:eastAsia="en-GB"/>
              </w:rPr>
              <w:t>Number of employees</w:t>
            </w:r>
          </w:p>
        </w:tc>
        <w:tc>
          <w:tcPr>
            <w:tcW w:w="1211" w:type="dxa"/>
            <w:tcBorders>
              <w:top w:val="single" w:sz="4" w:space="0" w:color="auto"/>
              <w:left w:val="nil"/>
              <w:bottom w:val="single" w:sz="4" w:space="0" w:color="auto"/>
              <w:right w:val="single" w:sz="4" w:space="0" w:color="auto"/>
            </w:tcBorders>
            <w:vAlign w:val="center"/>
          </w:tcPr>
          <w:p w14:paraId="3B63423B" w14:textId="77777777" w:rsidR="008974E3" w:rsidRPr="0023654F" w:rsidRDefault="008974E3" w:rsidP="00647044">
            <w:pPr>
              <w:pStyle w:val="TableText"/>
              <w:snapToGrid w:val="0"/>
              <w:spacing w:before="0" w:after="0"/>
              <w:jc w:val="center"/>
              <w:rPr>
                <w:lang w:eastAsia="en-GB"/>
              </w:rPr>
            </w:pPr>
            <w:r>
              <w:rPr>
                <w:lang w:eastAsia="en-GB"/>
              </w:rPr>
              <w:t>Total amount</w:t>
            </w:r>
          </w:p>
        </w:tc>
        <w:tc>
          <w:tcPr>
            <w:tcW w:w="1210" w:type="dxa"/>
            <w:tcBorders>
              <w:top w:val="single" w:sz="4" w:space="0" w:color="auto"/>
              <w:left w:val="nil"/>
              <w:bottom w:val="single" w:sz="4" w:space="0" w:color="auto"/>
              <w:right w:val="single" w:sz="4" w:space="0" w:color="auto"/>
            </w:tcBorders>
            <w:vAlign w:val="center"/>
          </w:tcPr>
          <w:p w14:paraId="69F0AD12" w14:textId="77777777" w:rsidR="008974E3" w:rsidRPr="0023654F" w:rsidRDefault="008974E3" w:rsidP="00647044">
            <w:pPr>
              <w:pStyle w:val="TableText"/>
              <w:snapToGrid w:val="0"/>
              <w:spacing w:before="0" w:after="0"/>
              <w:jc w:val="center"/>
              <w:rPr>
                <w:lang w:eastAsia="en-GB"/>
              </w:rPr>
            </w:pPr>
            <w:r>
              <w:rPr>
                <w:lang w:eastAsia="en-GB"/>
              </w:rPr>
              <w:t>Number of employees</w:t>
            </w:r>
          </w:p>
        </w:tc>
        <w:tc>
          <w:tcPr>
            <w:tcW w:w="1211" w:type="dxa"/>
            <w:tcBorders>
              <w:top w:val="single" w:sz="4" w:space="0" w:color="auto"/>
              <w:left w:val="nil"/>
              <w:bottom w:val="single" w:sz="4" w:space="0" w:color="auto"/>
              <w:right w:val="single" w:sz="4" w:space="0" w:color="auto"/>
            </w:tcBorders>
            <w:vAlign w:val="center"/>
          </w:tcPr>
          <w:p w14:paraId="512C6AFF" w14:textId="77777777" w:rsidR="008974E3" w:rsidRPr="0023654F" w:rsidRDefault="008974E3" w:rsidP="00647044">
            <w:pPr>
              <w:pStyle w:val="TableText"/>
              <w:snapToGrid w:val="0"/>
              <w:spacing w:before="0" w:after="0"/>
              <w:jc w:val="center"/>
              <w:rPr>
                <w:lang w:eastAsia="en-GB"/>
              </w:rPr>
            </w:pPr>
            <w:r>
              <w:rPr>
                <w:lang w:eastAsia="en-GB"/>
              </w:rPr>
              <w:t>Total amount</w:t>
            </w:r>
          </w:p>
        </w:tc>
        <w:tc>
          <w:tcPr>
            <w:tcW w:w="1210" w:type="dxa"/>
            <w:tcBorders>
              <w:top w:val="single" w:sz="4" w:space="0" w:color="auto"/>
              <w:left w:val="nil"/>
              <w:bottom w:val="single" w:sz="4" w:space="0" w:color="auto"/>
              <w:right w:val="single" w:sz="4" w:space="0" w:color="auto"/>
            </w:tcBorders>
            <w:vAlign w:val="center"/>
          </w:tcPr>
          <w:p w14:paraId="3011A236" w14:textId="77777777" w:rsidR="008974E3" w:rsidRPr="0023654F" w:rsidRDefault="008974E3" w:rsidP="00647044">
            <w:pPr>
              <w:pStyle w:val="TableText"/>
              <w:snapToGrid w:val="0"/>
              <w:spacing w:before="0" w:after="0"/>
              <w:jc w:val="center"/>
              <w:rPr>
                <w:lang w:eastAsia="en-GB"/>
              </w:rPr>
            </w:pPr>
            <w:r>
              <w:rPr>
                <w:lang w:eastAsia="en-GB"/>
              </w:rPr>
              <w:t>Number of employees</w:t>
            </w:r>
          </w:p>
        </w:tc>
        <w:tc>
          <w:tcPr>
            <w:tcW w:w="1211" w:type="dxa"/>
            <w:tcBorders>
              <w:top w:val="single" w:sz="4" w:space="0" w:color="auto"/>
              <w:left w:val="single" w:sz="4" w:space="0" w:color="auto"/>
              <w:bottom w:val="single" w:sz="4" w:space="0" w:color="auto"/>
              <w:right w:val="single" w:sz="4" w:space="0" w:color="auto"/>
            </w:tcBorders>
            <w:vAlign w:val="center"/>
          </w:tcPr>
          <w:p w14:paraId="2F88C8D6" w14:textId="77777777" w:rsidR="008974E3" w:rsidRPr="0023654F" w:rsidRDefault="008974E3" w:rsidP="00647044">
            <w:pPr>
              <w:pStyle w:val="TableText"/>
              <w:snapToGrid w:val="0"/>
              <w:spacing w:before="0" w:after="0"/>
              <w:jc w:val="center"/>
              <w:rPr>
                <w:lang w:eastAsia="en-GB"/>
              </w:rPr>
            </w:pPr>
            <w:r>
              <w:rPr>
                <w:lang w:eastAsia="en-GB"/>
              </w:rPr>
              <w:t>Total amount</w:t>
            </w:r>
          </w:p>
        </w:tc>
      </w:tr>
      <w:tr w:rsidR="008974E3" w:rsidRPr="0023654F" w14:paraId="4FEA4204" w14:textId="77777777" w:rsidTr="0004394B">
        <w:trPr>
          <w:cantSplit/>
          <w:tblHeader/>
        </w:trPr>
        <w:tc>
          <w:tcPr>
            <w:tcW w:w="709" w:type="dxa"/>
            <w:gridSpan w:val="2"/>
            <w:tcBorders>
              <w:top w:val="single" w:sz="4" w:space="0" w:color="auto"/>
              <w:left w:val="nil"/>
              <w:bottom w:val="single" w:sz="4" w:space="0" w:color="auto"/>
              <w:right w:val="single" w:sz="4" w:space="0" w:color="auto"/>
            </w:tcBorders>
          </w:tcPr>
          <w:p w14:paraId="281C3291" w14:textId="77777777" w:rsidR="008974E3" w:rsidRPr="00911851" w:rsidRDefault="008974E3" w:rsidP="00647044">
            <w:pPr>
              <w:pStyle w:val="TableText"/>
              <w:snapToGrid w:val="0"/>
              <w:spacing w:before="0" w:after="0"/>
              <w:rPr>
                <w:lang w:eastAsia="en-GB"/>
              </w:rPr>
            </w:pPr>
            <w:r>
              <w:rPr>
                <w:lang w:eastAsia="en-GB"/>
              </w:rPr>
              <w:t>1</w:t>
            </w:r>
          </w:p>
        </w:tc>
        <w:tc>
          <w:tcPr>
            <w:tcW w:w="1276" w:type="dxa"/>
            <w:tcBorders>
              <w:top w:val="single" w:sz="4" w:space="0" w:color="auto"/>
              <w:left w:val="single" w:sz="4" w:space="0" w:color="auto"/>
              <w:bottom w:val="single" w:sz="4" w:space="0" w:color="auto"/>
              <w:right w:val="single" w:sz="4" w:space="0" w:color="auto"/>
            </w:tcBorders>
            <w:vAlign w:val="center"/>
          </w:tcPr>
          <w:p w14:paraId="5CCCA5C9" w14:textId="77777777" w:rsidR="008974E3" w:rsidRPr="00911851" w:rsidRDefault="008974E3" w:rsidP="00647044">
            <w:pPr>
              <w:pStyle w:val="TableText"/>
              <w:snapToGrid w:val="0"/>
              <w:spacing w:before="0" w:after="0"/>
              <w:ind w:rightChars="-54" w:right="-108"/>
              <w:rPr>
                <w:lang w:eastAsia="en-GB"/>
              </w:rPr>
            </w:pPr>
            <w:r>
              <w:rPr>
                <w:lang w:eastAsia="en-GB"/>
              </w:rPr>
              <w:t>Senior management</w:t>
            </w:r>
          </w:p>
        </w:tc>
        <w:tc>
          <w:tcPr>
            <w:tcW w:w="1210" w:type="dxa"/>
            <w:tcBorders>
              <w:top w:val="single" w:sz="4" w:space="0" w:color="auto"/>
              <w:left w:val="single" w:sz="4" w:space="0" w:color="auto"/>
              <w:bottom w:val="single" w:sz="4" w:space="0" w:color="auto"/>
              <w:right w:val="single" w:sz="4" w:space="0" w:color="auto"/>
            </w:tcBorders>
          </w:tcPr>
          <w:p w14:paraId="32010A4E" w14:textId="77777777" w:rsidR="008974E3" w:rsidRPr="00911851" w:rsidRDefault="008974E3" w:rsidP="00647044">
            <w:pPr>
              <w:pStyle w:val="TableText"/>
              <w:snapToGrid w:val="0"/>
              <w:spacing w:before="0" w:after="0"/>
              <w:rPr>
                <w:lang w:eastAsia="en-GB"/>
              </w:rPr>
            </w:pPr>
          </w:p>
        </w:tc>
        <w:tc>
          <w:tcPr>
            <w:tcW w:w="1211" w:type="dxa"/>
            <w:tcBorders>
              <w:top w:val="single" w:sz="4" w:space="0" w:color="auto"/>
              <w:left w:val="single" w:sz="4" w:space="0" w:color="auto"/>
              <w:bottom w:val="single" w:sz="4" w:space="0" w:color="auto"/>
              <w:right w:val="single" w:sz="4" w:space="0" w:color="auto"/>
            </w:tcBorders>
          </w:tcPr>
          <w:p w14:paraId="6CF51698" w14:textId="77777777" w:rsidR="008974E3" w:rsidRPr="00911851" w:rsidRDefault="008974E3" w:rsidP="00647044">
            <w:pPr>
              <w:pStyle w:val="TableText"/>
              <w:snapToGrid w:val="0"/>
              <w:spacing w:before="0" w:after="0"/>
              <w:rPr>
                <w:lang w:eastAsia="en-GB"/>
              </w:rPr>
            </w:pPr>
          </w:p>
        </w:tc>
        <w:tc>
          <w:tcPr>
            <w:tcW w:w="1210" w:type="dxa"/>
            <w:tcBorders>
              <w:top w:val="single" w:sz="4" w:space="0" w:color="auto"/>
              <w:left w:val="single" w:sz="4" w:space="0" w:color="auto"/>
              <w:bottom w:val="single" w:sz="4" w:space="0" w:color="auto"/>
              <w:right w:val="single" w:sz="4" w:space="0" w:color="auto"/>
            </w:tcBorders>
          </w:tcPr>
          <w:p w14:paraId="1170B145" w14:textId="77777777" w:rsidR="008974E3" w:rsidRPr="00911851" w:rsidRDefault="008974E3" w:rsidP="00647044">
            <w:pPr>
              <w:pStyle w:val="TableText"/>
              <w:snapToGrid w:val="0"/>
              <w:spacing w:before="0" w:after="0"/>
              <w:rPr>
                <w:lang w:eastAsia="en-GB"/>
              </w:rPr>
            </w:pPr>
          </w:p>
        </w:tc>
        <w:tc>
          <w:tcPr>
            <w:tcW w:w="1211" w:type="dxa"/>
            <w:tcBorders>
              <w:top w:val="single" w:sz="4" w:space="0" w:color="auto"/>
              <w:left w:val="single" w:sz="4" w:space="0" w:color="auto"/>
              <w:bottom w:val="single" w:sz="4" w:space="0" w:color="auto"/>
              <w:right w:val="single" w:sz="4" w:space="0" w:color="auto"/>
            </w:tcBorders>
          </w:tcPr>
          <w:p w14:paraId="2B4D54D9" w14:textId="77777777" w:rsidR="008974E3" w:rsidRPr="00911851" w:rsidRDefault="008974E3" w:rsidP="00647044">
            <w:pPr>
              <w:pStyle w:val="TableText"/>
              <w:snapToGrid w:val="0"/>
              <w:spacing w:before="0" w:after="0"/>
              <w:rPr>
                <w:lang w:eastAsia="en-GB"/>
              </w:rPr>
            </w:pPr>
          </w:p>
        </w:tc>
        <w:tc>
          <w:tcPr>
            <w:tcW w:w="1210" w:type="dxa"/>
            <w:tcBorders>
              <w:top w:val="single" w:sz="4" w:space="0" w:color="auto"/>
              <w:left w:val="single" w:sz="4" w:space="0" w:color="auto"/>
              <w:bottom w:val="single" w:sz="4" w:space="0" w:color="auto"/>
              <w:right w:val="single" w:sz="4" w:space="0" w:color="auto"/>
            </w:tcBorders>
          </w:tcPr>
          <w:p w14:paraId="50BCC5D3" w14:textId="77777777" w:rsidR="008974E3" w:rsidRPr="0023654F" w:rsidRDefault="008974E3" w:rsidP="00647044">
            <w:pPr>
              <w:pStyle w:val="TableText"/>
              <w:snapToGrid w:val="0"/>
              <w:spacing w:before="0" w:after="0"/>
              <w:rPr>
                <w:b/>
                <w:noProof/>
                <w:lang w:eastAsia="en-GB"/>
              </w:rPr>
            </w:pPr>
          </w:p>
        </w:tc>
        <w:tc>
          <w:tcPr>
            <w:tcW w:w="1211" w:type="dxa"/>
            <w:tcBorders>
              <w:top w:val="single" w:sz="4" w:space="0" w:color="auto"/>
              <w:left w:val="single" w:sz="4" w:space="0" w:color="auto"/>
              <w:bottom w:val="single" w:sz="4" w:space="0" w:color="auto"/>
              <w:right w:val="single" w:sz="4" w:space="0" w:color="auto"/>
            </w:tcBorders>
            <w:vAlign w:val="center"/>
          </w:tcPr>
          <w:p w14:paraId="74FE03F2" w14:textId="77777777" w:rsidR="008974E3" w:rsidRPr="00D24D7E" w:rsidRDefault="008974E3" w:rsidP="00647044">
            <w:pPr>
              <w:pStyle w:val="TableText"/>
              <w:snapToGrid w:val="0"/>
              <w:spacing w:before="0" w:after="0"/>
              <w:rPr>
                <w:lang w:eastAsia="en-GB"/>
              </w:rPr>
            </w:pPr>
          </w:p>
        </w:tc>
      </w:tr>
      <w:tr w:rsidR="008974E3" w:rsidRPr="0023654F" w14:paraId="5BD00F0F" w14:textId="77777777" w:rsidTr="0004394B">
        <w:trPr>
          <w:cantSplit/>
        </w:trPr>
        <w:tc>
          <w:tcPr>
            <w:tcW w:w="709" w:type="dxa"/>
            <w:gridSpan w:val="2"/>
            <w:tcBorders>
              <w:top w:val="single" w:sz="4" w:space="0" w:color="auto"/>
              <w:left w:val="nil"/>
              <w:bottom w:val="single" w:sz="4" w:space="0" w:color="auto"/>
              <w:right w:val="single" w:sz="4" w:space="0" w:color="auto"/>
            </w:tcBorders>
          </w:tcPr>
          <w:p w14:paraId="68F36AE4" w14:textId="77777777" w:rsidR="008974E3" w:rsidRPr="0023654F" w:rsidRDefault="008974E3" w:rsidP="00647044">
            <w:pPr>
              <w:pStyle w:val="TableText"/>
              <w:snapToGrid w:val="0"/>
              <w:spacing w:before="0" w:after="0"/>
              <w:rPr>
                <w:lang w:eastAsia="en-GB"/>
              </w:rPr>
            </w:pPr>
            <w:r w:rsidRPr="0023654F">
              <w:rPr>
                <w:lang w:eastAsia="en-GB"/>
              </w:rPr>
              <w:t>2</w:t>
            </w:r>
          </w:p>
        </w:tc>
        <w:tc>
          <w:tcPr>
            <w:tcW w:w="1276" w:type="dxa"/>
            <w:tcBorders>
              <w:top w:val="single" w:sz="4" w:space="0" w:color="auto"/>
              <w:left w:val="single" w:sz="4" w:space="0" w:color="auto"/>
              <w:bottom w:val="single" w:sz="4" w:space="0" w:color="auto"/>
              <w:right w:val="single" w:sz="4" w:space="0" w:color="auto"/>
            </w:tcBorders>
          </w:tcPr>
          <w:p w14:paraId="5D58AC0E" w14:textId="77777777" w:rsidR="008974E3" w:rsidRPr="0023654F" w:rsidRDefault="008974E3" w:rsidP="00647044">
            <w:pPr>
              <w:pStyle w:val="TableText"/>
              <w:snapToGrid w:val="0"/>
              <w:spacing w:before="0" w:after="0"/>
              <w:ind w:rightChars="-54" w:right="-108"/>
              <w:rPr>
                <w:lang w:eastAsia="en-GB"/>
              </w:rPr>
            </w:pPr>
            <w:r>
              <w:rPr>
                <w:lang w:eastAsia="en-GB"/>
              </w:rPr>
              <w:t>Key personnel</w:t>
            </w:r>
          </w:p>
        </w:tc>
        <w:tc>
          <w:tcPr>
            <w:tcW w:w="1210" w:type="dxa"/>
            <w:tcBorders>
              <w:top w:val="single" w:sz="4" w:space="0" w:color="auto"/>
              <w:left w:val="single" w:sz="4" w:space="0" w:color="auto"/>
              <w:bottom w:val="single" w:sz="4" w:space="0" w:color="auto"/>
              <w:right w:val="single" w:sz="4" w:space="0" w:color="auto"/>
            </w:tcBorders>
          </w:tcPr>
          <w:p w14:paraId="2DCD7F43" w14:textId="77777777" w:rsidR="008974E3" w:rsidRPr="0023654F" w:rsidRDefault="008974E3" w:rsidP="00647044">
            <w:pPr>
              <w:pStyle w:val="TableText"/>
              <w:snapToGrid w:val="0"/>
              <w:spacing w:before="0" w:after="0"/>
              <w:rPr>
                <w:lang w:eastAsia="en-GB"/>
              </w:rPr>
            </w:pPr>
          </w:p>
        </w:tc>
        <w:tc>
          <w:tcPr>
            <w:tcW w:w="1211" w:type="dxa"/>
            <w:tcBorders>
              <w:top w:val="single" w:sz="4" w:space="0" w:color="auto"/>
              <w:left w:val="single" w:sz="4" w:space="0" w:color="auto"/>
              <w:bottom w:val="single" w:sz="4" w:space="0" w:color="auto"/>
              <w:right w:val="single" w:sz="4" w:space="0" w:color="auto"/>
            </w:tcBorders>
          </w:tcPr>
          <w:p w14:paraId="3F97EF94" w14:textId="77777777" w:rsidR="008974E3" w:rsidRPr="0023654F" w:rsidRDefault="008974E3" w:rsidP="00647044">
            <w:pPr>
              <w:pStyle w:val="TableText"/>
              <w:snapToGrid w:val="0"/>
              <w:spacing w:before="0" w:after="0"/>
              <w:rPr>
                <w:lang w:eastAsia="en-GB"/>
              </w:rPr>
            </w:pPr>
          </w:p>
        </w:tc>
        <w:tc>
          <w:tcPr>
            <w:tcW w:w="1210" w:type="dxa"/>
            <w:tcBorders>
              <w:top w:val="single" w:sz="4" w:space="0" w:color="auto"/>
              <w:left w:val="single" w:sz="4" w:space="0" w:color="auto"/>
              <w:bottom w:val="single" w:sz="4" w:space="0" w:color="auto"/>
              <w:right w:val="single" w:sz="4" w:space="0" w:color="auto"/>
            </w:tcBorders>
          </w:tcPr>
          <w:p w14:paraId="42CECA1F" w14:textId="77777777" w:rsidR="008974E3" w:rsidRPr="0023654F" w:rsidRDefault="008974E3" w:rsidP="00647044">
            <w:pPr>
              <w:pStyle w:val="TableText"/>
              <w:snapToGrid w:val="0"/>
              <w:spacing w:before="0" w:after="0"/>
              <w:rPr>
                <w:lang w:eastAsia="en-GB"/>
              </w:rPr>
            </w:pPr>
          </w:p>
        </w:tc>
        <w:tc>
          <w:tcPr>
            <w:tcW w:w="1211" w:type="dxa"/>
            <w:tcBorders>
              <w:top w:val="single" w:sz="4" w:space="0" w:color="auto"/>
              <w:left w:val="single" w:sz="4" w:space="0" w:color="auto"/>
              <w:bottom w:val="single" w:sz="4" w:space="0" w:color="auto"/>
              <w:right w:val="single" w:sz="4" w:space="0" w:color="auto"/>
            </w:tcBorders>
          </w:tcPr>
          <w:p w14:paraId="122CDA6F" w14:textId="77777777" w:rsidR="008974E3" w:rsidRPr="0023654F" w:rsidRDefault="008974E3" w:rsidP="00647044">
            <w:pPr>
              <w:pStyle w:val="TableText"/>
              <w:snapToGrid w:val="0"/>
              <w:spacing w:before="0" w:after="0"/>
              <w:rPr>
                <w:lang w:eastAsia="en-GB"/>
              </w:rPr>
            </w:pPr>
          </w:p>
        </w:tc>
        <w:tc>
          <w:tcPr>
            <w:tcW w:w="1210" w:type="dxa"/>
            <w:tcBorders>
              <w:top w:val="single" w:sz="4" w:space="0" w:color="auto"/>
              <w:left w:val="single" w:sz="4" w:space="0" w:color="auto"/>
              <w:bottom w:val="single" w:sz="4" w:space="0" w:color="auto"/>
              <w:right w:val="single" w:sz="4" w:space="0" w:color="auto"/>
            </w:tcBorders>
          </w:tcPr>
          <w:p w14:paraId="5DC49FA0" w14:textId="77777777" w:rsidR="008974E3" w:rsidRPr="0023654F" w:rsidRDefault="008974E3" w:rsidP="00647044">
            <w:pPr>
              <w:pStyle w:val="TableText"/>
              <w:snapToGrid w:val="0"/>
              <w:spacing w:before="0" w:after="0"/>
              <w:rPr>
                <w:lang w:eastAsia="en-GB"/>
              </w:rPr>
            </w:pPr>
          </w:p>
        </w:tc>
        <w:tc>
          <w:tcPr>
            <w:tcW w:w="1211" w:type="dxa"/>
            <w:tcBorders>
              <w:top w:val="single" w:sz="4" w:space="0" w:color="auto"/>
              <w:left w:val="single" w:sz="4" w:space="0" w:color="auto"/>
              <w:bottom w:val="single" w:sz="4" w:space="0" w:color="auto"/>
              <w:right w:val="single" w:sz="4" w:space="0" w:color="auto"/>
            </w:tcBorders>
          </w:tcPr>
          <w:p w14:paraId="5B2CAC04" w14:textId="77777777" w:rsidR="008974E3" w:rsidRPr="0023654F" w:rsidRDefault="008974E3" w:rsidP="00647044">
            <w:pPr>
              <w:pStyle w:val="TableText"/>
              <w:snapToGrid w:val="0"/>
              <w:spacing w:before="0" w:after="0"/>
              <w:rPr>
                <w:lang w:eastAsia="en-GB"/>
              </w:rPr>
            </w:pPr>
          </w:p>
        </w:tc>
      </w:tr>
    </w:tbl>
    <w:p w14:paraId="57DEAB15" w14:textId="64E51A25" w:rsidR="008974E3" w:rsidRDefault="008974E3" w:rsidP="008974E3">
      <w:pPr>
        <w:spacing w:before="120" w:after="120"/>
        <w:ind w:leftChars="-283" w:left="-566"/>
        <w:rPr>
          <w:sz w:val="22"/>
        </w:rPr>
      </w:pPr>
    </w:p>
    <w:tbl>
      <w:tblPr>
        <w:tblStyle w:val="TableGrid7"/>
        <w:tblW w:w="9214" w:type="dxa"/>
        <w:tblInd w:w="-459" w:type="dxa"/>
        <w:tblLook w:val="04A0" w:firstRow="1" w:lastRow="0" w:firstColumn="1" w:lastColumn="0" w:noHBand="0" w:noVBand="1"/>
      </w:tblPr>
      <w:tblGrid>
        <w:gridCol w:w="709"/>
        <w:gridCol w:w="8505"/>
      </w:tblGrid>
      <w:tr w:rsidR="00420454" w:rsidRPr="00420454" w14:paraId="30ABCE83" w14:textId="77777777" w:rsidTr="00420454">
        <w:trPr>
          <w:tblHeader/>
        </w:trPr>
        <w:tc>
          <w:tcPr>
            <w:tcW w:w="9214" w:type="dxa"/>
            <w:gridSpan w:val="2"/>
            <w:shd w:val="clear" w:color="auto" w:fill="BFBFBF"/>
          </w:tcPr>
          <w:p w14:paraId="3841000D" w14:textId="77777777" w:rsidR="00420454" w:rsidRPr="00420454" w:rsidRDefault="00420454" w:rsidP="00420454">
            <w:pPr>
              <w:spacing w:before="40" w:after="40"/>
              <w:jc w:val="both"/>
              <w:rPr>
                <w:rFonts w:eastAsia="新細明體"/>
                <w:b/>
                <w:sz w:val="17"/>
                <w:szCs w:val="17"/>
                <w:lang w:eastAsia="en-GB"/>
              </w:rPr>
            </w:pPr>
            <w:r w:rsidRPr="00420454">
              <w:rPr>
                <w:rFonts w:eastAsia="新細明體"/>
                <w:b/>
                <w:sz w:val="17"/>
                <w:szCs w:val="17"/>
                <w:lang w:eastAsia="en-GB"/>
              </w:rPr>
              <w:t>Explanatory Note</w:t>
            </w:r>
          </w:p>
        </w:tc>
      </w:tr>
      <w:tr w:rsidR="00420454" w:rsidRPr="00420454" w14:paraId="05553B19" w14:textId="77777777" w:rsidTr="00420454">
        <w:trPr>
          <w:trHeight w:val="153"/>
        </w:trPr>
        <w:tc>
          <w:tcPr>
            <w:tcW w:w="9214" w:type="dxa"/>
            <w:gridSpan w:val="2"/>
            <w:shd w:val="clear" w:color="auto" w:fill="F2F2F2"/>
          </w:tcPr>
          <w:p w14:paraId="4A1E3E9F" w14:textId="77777777" w:rsidR="00420454" w:rsidRPr="00420454" w:rsidRDefault="00420454" w:rsidP="00420454">
            <w:pPr>
              <w:spacing w:before="40" w:after="40"/>
              <w:jc w:val="both"/>
              <w:rPr>
                <w:rFonts w:eastAsia="新細明體"/>
                <w:b/>
                <w:sz w:val="17"/>
                <w:szCs w:val="17"/>
                <w:lang w:eastAsia="en-GB"/>
              </w:rPr>
            </w:pPr>
            <w:r w:rsidRPr="00420454">
              <w:rPr>
                <w:rFonts w:eastAsia="新細明體"/>
                <w:b/>
                <w:sz w:val="17"/>
                <w:szCs w:val="17"/>
                <w:lang w:eastAsia="en-GB"/>
              </w:rPr>
              <w:t>Columns</w:t>
            </w:r>
          </w:p>
        </w:tc>
      </w:tr>
      <w:tr w:rsidR="00420454" w:rsidRPr="00420454" w14:paraId="0AE4E1E3" w14:textId="77777777" w:rsidTr="00126350">
        <w:tc>
          <w:tcPr>
            <w:tcW w:w="709" w:type="dxa"/>
          </w:tcPr>
          <w:p w14:paraId="31C8DFB0" w14:textId="77777777" w:rsidR="00420454" w:rsidRPr="00420454" w:rsidRDefault="00420454" w:rsidP="00420454">
            <w:pPr>
              <w:keepLines/>
              <w:widowControl w:val="0"/>
              <w:tabs>
                <w:tab w:val="left" w:pos="794"/>
                <w:tab w:val="left" w:pos="1191"/>
              </w:tabs>
              <w:spacing w:before="40" w:after="40"/>
              <w:ind w:rightChars="-54" w:right="-108"/>
              <w:rPr>
                <w:rFonts w:cs="Segoe UI"/>
                <w:sz w:val="17"/>
                <w:szCs w:val="17"/>
                <w:lang w:eastAsia="en-GB"/>
              </w:rPr>
            </w:pPr>
            <w:r w:rsidRPr="00420454">
              <w:rPr>
                <w:rFonts w:cs="Segoe UI"/>
                <w:sz w:val="17"/>
                <w:szCs w:val="17"/>
                <w:lang w:eastAsia="en-GB"/>
              </w:rPr>
              <w:t>(a) and (b)</w:t>
            </w:r>
          </w:p>
        </w:tc>
        <w:tc>
          <w:tcPr>
            <w:tcW w:w="8505" w:type="dxa"/>
          </w:tcPr>
          <w:p w14:paraId="023A1FDC" w14:textId="77777777" w:rsidR="00420454" w:rsidRPr="00420454" w:rsidRDefault="00420454" w:rsidP="00420454">
            <w:pPr>
              <w:keepNext/>
              <w:spacing w:before="40" w:after="40"/>
              <w:jc w:val="both"/>
              <w:rPr>
                <w:sz w:val="17"/>
                <w:szCs w:val="17"/>
              </w:rPr>
            </w:pPr>
            <w:r w:rsidRPr="00420454">
              <w:rPr>
                <w:i/>
                <w:sz w:val="17"/>
                <w:szCs w:val="17"/>
              </w:rPr>
              <w:t>Guaranteed bonuses</w:t>
            </w:r>
            <w:r w:rsidRPr="00420454">
              <w:rPr>
                <w:sz w:val="17"/>
                <w:szCs w:val="17"/>
              </w:rPr>
              <w:t>: the number of employees granted and the payments of guaranteed bonuses during the financial year.</w:t>
            </w:r>
          </w:p>
        </w:tc>
      </w:tr>
      <w:tr w:rsidR="00420454" w:rsidRPr="00420454" w14:paraId="09A15E0C" w14:textId="77777777" w:rsidTr="00126350">
        <w:tc>
          <w:tcPr>
            <w:tcW w:w="709" w:type="dxa"/>
          </w:tcPr>
          <w:p w14:paraId="09BA8654" w14:textId="77777777" w:rsidR="00420454" w:rsidRPr="00420454" w:rsidRDefault="00420454" w:rsidP="00420454">
            <w:pPr>
              <w:keepLines/>
              <w:widowControl w:val="0"/>
              <w:tabs>
                <w:tab w:val="left" w:pos="794"/>
                <w:tab w:val="left" w:pos="1191"/>
              </w:tabs>
              <w:spacing w:before="40" w:after="40"/>
              <w:ind w:rightChars="-54" w:right="-108"/>
              <w:rPr>
                <w:rFonts w:cs="Segoe UI"/>
                <w:sz w:val="17"/>
                <w:szCs w:val="17"/>
                <w:lang w:eastAsia="en-GB"/>
              </w:rPr>
            </w:pPr>
            <w:r w:rsidRPr="00420454">
              <w:rPr>
                <w:rFonts w:cs="Segoe UI"/>
                <w:sz w:val="17"/>
                <w:szCs w:val="17"/>
                <w:lang w:eastAsia="en-GB"/>
              </w:rPr>
              <w:t>(c) and (d)</w:t>
            </w:r>
          </w:p>
        </w:tc>
        <w:tc>
          <w:tcPr>
            <w:tcW w:w="8505" w:type="dxa"/>
          </w:tcPr>
          <w:p w14:paraId="53C00C36" w14:textId="77777777" w:rsidR="00420454" w:rsidRPr="00420454" w:rsidRDefault="00420454" w:rsidP="00420454">
            <w:pPr>
              <w:keepNext/>
              <w:spacing w:before="40" w:after="40"/>
              <w:jc w:val="both"/>
              <w:rPr>
                <w:sz w:val="17"/>
                <w:szCs w:val="17"/>
              </w:rPr>
            </w:pPr>
            <w:r w:rsidRPr="00420454">
              <w:rPr>
                <w:i/>
                <w:sz w:val="17"/>
                <w:szCs w:val="17"/>
              </w:rPr>
              <w:t>Sign-on awards</w:t>
            </w:r>
            <w:r w:rsidRPr="00420454">
              <w:rPr>
                <w:sz w:val="17"/>
                <w:szCs w:val="17"/>
              </w:rPr>
              <w:t>: the number of employees granted and the payments allocated to employees upon recruitment during the financial year.</w:t>
            </w:r>
          </w:p>
        </w:tc>
      </w:tr>
      <w:tr w:rsidR="00420454" w:rsidRPr="00420454" w14:paraId="362CCF03" w14:textId="77777777" w:rsidTr="00126350">
        <w:tc>
          <w:tcPr>
            <w:tcW w:w="709" w:type="dxa"/>
          </w:tcPr>
          <w:p w14:paraId="0EA1AA8F" w14:textId="77777777" w:rsidR="00420454" w:rsidRPr="00420454" w:rsidRDefault="00420454" w:rsidP="00420454">
            <w:pPr>
              <w:keepLines/>
              <w:widowControl w:val="0"/>
              <w:tabs>
                <w:tab w:val="left" w:pos="794"/>
                <w:tab w:val="left" w:pos="1191"/>
              </w:tabs>
              <w:spacing w:before="40" w:after="40"/>
              <w:ind w:rightChars="-54" w:right="-108"/>
              <w:rPr>
                <w:rFonts w:cs="Segoe UI"/>
                <w:sz w:val="17"/>
                <w:szCs w:val="17"/>
                <w:lang w:eastAsia="en-GB"/>
              </w:rPr>
            </w:pPr>
            <w:r w:rsidRPr="00420454">
              <w:rPr>
                <w:rFonts w:cs="Segoe UI"/>
                <w:sz w:val="17"/>
                <w:szCs w:val="17"/>
                <w:lang w:eastAsia="en-GB"/>
              </w:rPr>
              <w:t>(e) and (f)</w:t>
            </w:r>
          </w:p>
        </w:tc>
        <w:tc>
          <w:tcPr>
            <w:tcW w:w="8505" w:type="dxa"/>
          </w:tcPr>
          <w:p w14:paraId="6B18EC44" w14:textId="77777777" w:rsidR="00420454" w:rsidRPr="00420454" w:rsidRDefault="00420454" w:rsidP="00420454">
            <w:pPr>
              <w:keepNext/>
              <w:spacing w:before="40" w:after="40"/>
              <w:jc w:val="both"/>
              <w:rPr>
                <w:sz w:val="17"/>
                <w:szCs w:val="17"/>
              </w:rPr>
            </w:pPr>
            <w:r w:rsidRPr="00420454">
              <w:rPr>
                <w:i/>
                <w:sz w:val="17"/>
                <w:szCs w:val="17"/>
              </w:rPr>
              <w:t>Severance payments</w:t>
            </w:r>
            <w:r w:rsidRPr="00420454">
              <w:rPr>
                <w:sz w:val="17"/>
                <w:szCs w:val="17"/>
              </w:rPr>
              <w:t>: the number of dismissed employees compensated with severance payments and the payments allocated to employees dismissed during the financial year.</w:t>
            </w:r>
          </w:p>
        </w:tc>
      </w:tr>
      <w:tr w:rsidR="00420454" w:rsidRPr="00420454" w14:paraId="735ACCA7" w14:textId="77777777" w:rsidTr="00420454">
        <w:tc>
          <w:tcPr>
            <w:tcW w:w="9214" w:type="dxa"/>
            <w:gridSpan w:val="2"/>
            <w:shd w:val="clear" w:color="auto" w:fill="F2F2F2"/>
          </w:tcPr>
          <w:p w14:paraId="700E658D" w14:textId="77777777" w:rsidR="00420454" w:rsidRPr="00420454" w:rsidRDefault="00420454" w:rsidP="00420454">
            <w:pPr>
              <w:spacing w:before="40" w:after="40"/>
              <w:jc w:val="both"/>
              <w:rPr>
                <w:rFonts w:eastAsia="新細明體"/>
                <w:b/>
                <w:sz w:val="17"/>
                <w:szCs w:val="17"/>
                <w:lang w:eastAsia="en-GB"/>
              </w:rPr>
            </w:pPr>
            <w:r w:rsidRPr="00420454">
              <w:rPr>
                <w:rFonts w:eastAsia="新細明體"/>
                <w:b/>
                <w:sz w:val="17"/>
                <w:szCs w:val="17"/>
                <w:lang w:eastAsia="en-GB"/>
              </w:rPr>
              <w:t>Rows</w:t>
            </w:r>
          </w:p>
        </w:tc>
      </w:tr>
      <w:tr w:rsidR="00420454" w:rsidRPr="00420454" w14:paraId="75CB13D7" w14:textId="77777777" w:rsidTr="00126350">
        <w:trPr>
          <w:trHeight w:val="309"/>
        </w:trPr>
        <w:tc>
          <w:tcPr>
            <w:tcW w:w="709" w:type="dxa"/>
          </w:tcPr>
          <w:p w14:paraId="7D6A1B60" w14:textId="77777777" w:rsidR="00420454" w:rsidRPr="00420454" w:rsidRDefault="00420454" w:rsidP="00420454">
            <w:pPr>
              <w:keepLines/>
              <w:widowControl w:val="0"/>
              <w:tabs>
                <w:tab w:val="left" w:pos="150"/>
                <w:tab w:val="left" w:pos="397"/>
                <w:tab w:val="left" w:pos="794"/>
                <w:tab w:val="left" w:pos="1191"/>
              </w:tabs>
              <w:spacing w:before="40" w:after="40"/>
              <w:rPr>
                <w:rFonts w:cs="Segoe UI"/>
                <w:sz w:val="17"/>
                <w:szCs w:val="17"/>
                <w:lang w:eastAsia="en-GB"/>
              </w:rPr>
            </w:pPr>
            <w:r w:rsidRPr="00420454">
              <w:rPr>
                <w:rFonts w:cs="Segoe UI"/>
                <w:sz w:val="17"/>
                <w:szCs w:val="17"/>
                <w:lang w:eastAsia="en-GB"/>
              </w:rPr>
              <w:t>1 and 2</w:t>
            </w:r>
          </w:p>
        </w:tc>
        <w:tc>
          <w:tcPr>
            <w:tcW w:w="8505" w:type="dxa"/>
          </w:tcPr>
          <w:p w14:paraId="6AA923B0" w14:textId="77777777" w:rsidR="00420454" w:rsidRPr="00420454" w:rsidRDefault="00420454" w:rsidP="00420454">
            <w:pPr>
              <w:keepNext/>
              <w:spacing w:before="40" w:after="40"/>
              <w:jc w:val="both"/>
              <w:rPr>
                <w:sz w:val="17"/>
                <w:szCs w:val="17"/>
              </w:rPr>
            </w:pPr>
            <w:r w:rsidRPr="00420454">
              <w:rPr>
                <w:i/>
                <w:sz w:val="17"/>
                <w:szCs w:val="17"/>
              </w:rPr>
              <w:t>Senior management / Key personnel</w:t>
            </w:r>
            <w:r w:rsidRPr="00420454">
              <w:rPr>
                <w:sz w:val="17"/>
                <w:szCs w:val="17"/>
              </w:rPr>
              <w:t>: the categories in rows 1 and 2 must correspond to the type of employees described in Table REMA. (Note: If an AI has such a small number of executives that individuals’ remuneration could be easily deduced from disclosure of a breakdown of the figures, it is acceptable for the AI, in so far as the sensitivity of the information will be disadvantageous to the AI, to disclose aggregate figures for senior management and key personnel.  This is, however, provided that this fact and the reason for doing so (i.e. disclosing aggregate figures instead of disclosing separate figures) are adequately disclosed in the accompanying narrative.)</w:t>
            </w:r>
          </w:p>
        </w:tc>
      </w:tr>
    </w:tbl>
    <w:p w14:paraId="51554286" w14:textId="48913D0B" w:rsidR="00420454" w:rsidRDefault="00420454" w:rsidP="008974E3">
      <w:pPr>
        <w:sectPr w:rsidR="00420454">
          <w:headerReference w:type="even" r:id="rId106"/>
          <w:headerReference w:type="default" r:id="rId107"/>
          <w:footerReference w:type="even" r:id="rId108"/>
          <w:footerReference w:type="default" r:id="rId109"/>
          <w:headerReference w:type="first" r:id="rId110"/>
          <w:footerReference w:type="first" r:id="rId111"/>
          <w:pgSz w:w="11906" w:h="16838"/>
          <w:pgMar w:top="1440" w:right="1800" w:bottom="1440" w:left="1800" w:header="851" w:footer="992" w:gutter="0"/>
          <w:cols w:space="425"/>
          <w:docGrid w:type="lines" w:linePitch="360"/>
        </w:sectPr>
      </w:pPr>
    </w:p>
    <w:p w14:paraId="5FB70C80" w14:textId="6E9273A0" w:rsidR="008974E3" w:rsidRDefault="0074091C" w:rsidP="0074091C">
      <w:pPr>
        <w:pStyle w:val="Heading2"/>
      </w:pPr>
      <w:r w:rsidRPr="0023654F">
        <w:lastRenderedPageBreak/>
        <w:t xml:space="preserve">Template </w:t>
      </w:r>
      <w:r>
        <w:t>REM3</w:t>
      </w:r>
      <w:r w:rsidRPr="0023654F">
        <w:t xml:space="preserve">: </w:t>
      </w:r>
      <w:r>
        <w:t>Deferred remuneration</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74091C" w:rsidRPr="005B71C7" w14:paraId="4E3E5B69" w14:textId="77777777" w:rsidTr="006C63B0">
        <w:tc>
          <w:tcPr>
            <w:tcW w:w="2008" w:type="dxa"/>
          </w:tcPr>
          <w:p w14:paraId="446EB236" w14:textId="77777777" w:rsidR="0074091C" w:rsidRPr="0023654F" w:rsidRDefault="0074091C" w:rsidP="006C63B0">
            <w:pPr>
              <w:spacing w:before="40" w:after="40"/>
              <w:rPr>
                <w:noProof/>
                <w:sz w:val="17"/>
                <w:lang w:eastAsia="en-GB"/>
              </w:rPr>
            </w:pPr>
            <w:r w:rsidRPr="0023654F">
              <w:rPr>
                <w:b/>
                <w:sz w:val="17"/>
                <w:lang w:eastAsia="en-GB"/>
              </w:rPr>
              <w:t>Purpose:</w:t>
            </w:r>
            <w:r w:rsidRPr="0023654F">
              <w:rPr>
                <w:sz w:val="17"/>
                <w:lang w:eastAsia="en-GB"/>
              </w:rPr>
              <w:t xml:space="preserve"> </w:t>
            </w:r>
          </w:p>
        </w:tc>
        <w:tc>
          <w:tcPr>
            <w:tcW w:w="7234" w:type="dxa"/>
          </w:tcPr>
          <w:p w14:paraId="65B790E4" w14:textId="77777777" w:rsidR="0074091C" w:rsidRPr="00E4585F" w:rsidRDefault="0074091C" w:rsidP="006C63B0">
            <w:pPr>
              <w:spacing w:before="40" w:after="40"/>
              <w:jc w:val="both"/>
              <w:rPr>
                <w:sz w:val="17"/>
                <w:szCs w:val="17"/>
              </w:rPr>
            </w:pPr>
            <w:r w:rsidRPr="00025AEC">
              <w:rPr>
                <w:rFonts w:eastAsiaTheme="minorEastAsia"/>
                <w:sz w:val="17"/>
                <w:lang w:eastAsia="en-GB"/>
              </w:rPr>
              <w:t xml:space="preserve">To </w:t>
            </w:r>
            <w:r>
              <w:rPr>
                <w:rFonts w:eastAsiaTheme="minorEastAsia"/>
                <w:sz w:val="17"/>
                <w:lang w:eastAsia="en-GB"/>
              </w:rPr>
              <w:t>p</w:t>
            </w:r>
            <w:r>
              <w:rPr>
                <w:sz w:val="17"/>
                <w:szCs w:val="17"/>
              </w:rPr>
              <w:t>rovide quantitative information on deferred and retained remuneration.</w:t>
            </w:r>
          </w:p>
        </w:tc>
      </w:tr>
      <w:tr w:rsidR="0074091C" w:rsidRPr="005B71C7" w14:paraId="054FAD31" w14:textId="77777777" w:rsidTr="006C63B0">
        <w:tc>
          <w:tcPr>
            <w:tcW w:w="2008" w:type="dxa"/>
          </w:tcPr>
          <w:p w14:paraId="4945AA27" w14:textId="77777777" w:rsidR="0074091C" w:rsidRPr="0023654F" w:rsidRDefault="0074091C" w:rsidP="006C63B0">
            <w:pPr>
              <w:spacing w:before="40" w:after="40"/>
              <w:rPr>
                <w:b/>
                <w:sz w:val="17"/>
                <w:lang w:eastAsia="en-GB"/>
              </w:rPr>
            </w:pPr>
            <w:r>
              <w:rPr>
                <w:b/>
                <w:sz w:val="17"/>
                <w:lang w:eastAsia="en-GB"/>
              </w:rPr>
              <w:t>Scope of application:</w:t>
            </w:r>
          </w:p>
        </w:tc>
        <w:tc>
          <w:tcPr>
            <w:tcW w:w="7234" w:type="dxa"/>
          </w:tcPr>
          <w:p w14:paraId="109D804C" w14:textId="77777777" w:rsidR="0074091C" w:rsidRPr="00025AEC" w:rsidRDefault="0074091C" w:rsidP="006C63B0">
            <w:pPr>
              <w:spacing w:before="40" w:after="40"/>
              <w:jc w:val="both"/>
              <w:rPr>
                <w:rFonts w:eastAsiaTheme="minorEastAsia"/>
                <w:sz w:val="17"/>
                <w:lang w:eastAsia="en-GB"/>
              </w:rPr>
            </w:pPr>
            <w:r w:rsidRPr="0023654F">
              <w:rPr>
                <w:rFonts w:eastAsiaTheme="minorEastAsia"/>
                <w:sz w:val="17"/>
                <w:lang w:eastAsia="en-GB"/>
              </w:rPr>
              <w:t xml:space="preserve">The template is mandatory for </w:t>
            </w:r>
            <w:r>
              <w:rPr>
                <w:rFonts w:eastAsiaTheme="minorEastAsia"/>
                <w:sz w:val="17"/>
                <w:lang w:eastAsia="en-GB"/>
              </w:rPr>
              <w:t>all AI</w:t>
            </w:r>
            <w:r w:rsidRPr="0023654F">
              <w:rPr>
                <w:rFonts w:eastAsiaTheme="minorEastAsia"/>
                <w:sz w:val="17"/>
                <w:lang w:eastAsia="en-GB"/>
              </w:rPr>
              <w:t xml:space="preserve">s </w:t>
            </w:r>
            <w:r>
              <w:rPr>
                <w:rFonts w:eastAsiaTheme="minorEastAsia"/>
                <w:sz w:val="17"/>
                <w:lang w:eastAsia="en-GB"/>
              </w:rPr>
              <w:t>incorporated in Hong Kong.</w:t>
            </w:r>
          </w:p>
        </w:tc>
      </w:tr>
      <w:tr w:rsidR="0074091C" w:rsidRPr="0023654F" w14:paraId="7AD6CAD8" w14:textId="77777777" w:rsidTr="006C63B0">
        <w:tc>
          <w:tcPr>
            <w:tcW w:w="2008" w:type="dxa"/>
          </w:tcPr>
          <w:p w14:paraId="5CB3F283" w14:textId="77777777" w:rsidR="0074091C" w:rsidRPr="0023654F" w:rsidRDefault="0074091C" w:rsidP="006C63B0">
            <w:pPr>
              <w:spacing w:before="40" w:after="40"/>
              <w:rPr>
                <w:b/>
                <w:sz w:val="17"/>
                <w:lang w:eastAsia="en-GB"/>
              </w:rPr>
            </w:pPr>
            <w:r>
              <w:rPr>
                <w:b/>
                <w:sz w:val="17"/>
                <w:lang w:eastAsia="en-GB"/>
              </w:rPr>
              <w:t>Content:</w:t>
            </w:r>
          </w:p>
        </w:tc>
        <w:tc>
          <w:tcPr>
            <w:tcW w:w="7234" w:type="dxa"/>
          </w:tcPr>
          <w:p w14:paraId="7E6B70E4" w14:textId="77777777" w:rsidR="0074091C" w:rsidRPr="00070A41" w:rsidRDefault="0074091C" w:rsidP="006C63B0">
            <w:pPr>
              <w:spacing w:before="40" w:after="40"/>
              <w:jc w:val="both"/>
              <w:rPr>
                <w:rFonts w:eastAsiaTheme="minorEastAsia"/>
                <w:sz w:val="17"/>
                <w:lang w:eastAsia="en-GB"/>
              </w:rPr>
            </w:pPr>
            <w:r w:rsidRPr="00070A41">
              <w:rPr>
                <w:rFonts w:eastAsiaTheme="minorEastAsia"/>
                <w:sz w:val="17"/>
                <w:lang w:eastAsia="en-GB"/>
              </w:rPr>
              <w:t>Quantitative</w:t>
            </w:r>
            <w:r>
              <w:rPr>
                <w:sz w:val="17"/>
                <w:lang w:eastAsia="en-GB"/>
              </w:rPr>
              <w:t xml:space="preserve"> information (amounts).</w:t>
            </w:r>
          </w:p>
        </w:tc>
      </w:tr>
      <w:tr w:rsidR="0074091C" w:rsidRPr="0023654F" w14:paraId="24FB60B9" w14:textId="77777777" w:rsidTr="006C63B0">
        <w:tc>
          <w:tcPr>
            <w:tcW w:w="2008" w:type="dxa"/>
          </w:tcPr>
          <w:p w14:paraId="1D30AF97" w14:textId="77777777" w:rsidR="0074091C" w:rsidRPr="0023654F" w:rsidRDefault="0074091C" w:rsidP="006C63B0">
            <w:pPr>
              <w:spacing w:before="40" w:after="40"/>
              <w:rPr>
                <w:sz w:val="17"/>
                <w:lang w:eastAsia="en-GB"/>
              </w:rPr>
            </w:pPr>
            <w:r w:rsidRPr="0023654F">
              <w:rPr>
                <w:b/>
                <w:sz w:val="17"/>
                <w:lang w:eastAsia="en-GB"/>
              </w:rPr>
              <w:t>Frequency:</w:t>
            </w:r>
          </w:p>
        </w:tc>
        <w:tc>
          <w:tcPr>
            <w:tcW w:w="7234" w:type="dxa"/>
          </w:tcPr>
          <w:p w14:paraId="6FCCF5B7" w14:textId="77777777" w:rsidR="0074091C" w:rsidRPr="00070A41" w:rsidRDefault="0074091C" w:rsidP="006C63B0">
            <w:pPr>
              <w:pStyle w:val="TableText"/>
              <w:jc w:val="both"/>
              <w:rPr>
                <w:rFonts w:eastAsiaTheme="minorEastAsia"/>
                <w:lang w:eastAsia="en-GB"/>
              </w:rPr>
            </w:pPr>
            <w:r w:rsidRPr="0023654F">
              <w:rPr>
                <w:lang w:eastAsia="en-GB"/>
              </w:rPr>
              <w:t>Annual.</w:t>
            </w:r>
          </w:p>
        </w:tc>
      </w:tr>
      <w:tr w:rsidR="0074091C" w:rsidRPr="0023654F" w14:paraId="39FEB8B9" w14:textId="77777777" w:rsidTr="006C63B0">
        <w:tc>
          <w:tcPr>
            <w:tcW w:w="2008" w:type="dxa"/>
          </w:tcPr>
          <w:p w14:paraId="5ABA5AC5" w14:textId="77777777" w:rsidR="0074091C" w:rsidRPr="0023654F" w:rsidRDefault="0074091C" w:rsidP="006C63B0">
            <w:pPr>
              <w:spacing w:before="40" w:after="40"/>
              <w:rPr>
                <w:sz w:val="17"/>
                <w:lang w:eastAsia="en-GB"/>
              </w:rPr>
            </w:pPr>
            <w:r w:rsidRPr="0023654F">
              <w:rPr>
                <w:b/>
                <w:sz w:val="17"/>
                <w:lang w:eastAsia="en-GB"/>
              </w:rPr>
              <w:t>Format:</w:t>
            </w:r>
          </w:p>
        </w:tc>
        <w:tc>
          <w:tcPr>
            <w:tcW w:w="7234" w:type="dxa"/>
          </w:tcPr>
          <w:p w14:paraId="3A390EEF" w14:textId="77777777" w:rsidR="0074091C" w:rsidRPr="0023654F" w:rsidRDefault="0074091C" w:rsidP="006C63B0">
            <w:pPr>
              <w:pStyle w:val="TableText"/>
              <w:jc w:val="both"/>
              <w:rPr>
                <w:lang w:eastAsia="en-GB"/>
              </w:rPr>
            </w:pPr>
            <w:r>
              <w:rPr>
                <w:lang w:eastAsia="en-GB"/>
              </w:rPr>
              <w:t>Flexible.</w:t>
            </w:r>
          </w:p>
        </w:tc>
      </w:tr>
      <w:tr w:rsidR="0074091C" w:rsidRPr="0023654F" w14:paraId="65309980" w14:textId="77777777" w:rsidTr="006C63B0">
        <w:tc>
          <w:tcPr>
            <w:tcW w:w="2008" w:type="dxa"/>
          </w:tcPr>
          <w:p w14:paraId="7C015923" w14:textId="77777777" w:rsidR="0074091C" w:rsidRPr="0023654F" w:rsidRDefault="0074091C" w:rsidP="006C63B0">
            <w:pPr>
              <w:spacing w:before="40" w:after="40"/>
              <w:rPr>
                <w:b/>
                <w:sz w:val="17"/>
                <w:lang w:eastAsia="en-GB"/>
              </w:rPr>
            </w:pPr>
            <w:r w:rsidRPr="0023654F">
              <w:rPr>
                <w:rFonts w:eastAsiaTheme="minorEastAsia"/>
                <w:b/>
                <w:sz w:val="17"/>
                <w:szCs w:val="17"/>
                <w:lang w:eastAsia="en-GB"/>
              </w:rPr>
              <w:t>Accompanying narrative</w:t>
            </w:r>
            <w:r w:rsidRPr="0023654F">
              <w:rPr>
                <w:rFonts w:eastAsiaTheme="minorEastAsia"/>
                <w:sz w:val="17"/>
                <w:szCs w:val="17"/>
                <w:lang w:eastAsia="en-GB"/>
              </w:rPr>
              <w:t>:</w:t>
            </w:r>
          </w:p>
        </w:tc>
        <w:tc>
          <w:tcPr>
            <w:tcW w:w="7234" w:type="dxa"/>
          </w:tcPr>
          <w:p w14:paraId="5AC57BF0" w14:textId="77777777" w:rsidR="0074091C" w:rsidRPr="00070A41" w:rsidRDefault="0074091C" w:rsidP="006C63B0">
            <w:pPr>
              <w:spacing w:before="40" w:after="40"/>
              <w:jc w:val="both"/>
              <w:rPr>
                <w:noProof/>
                <w:sz w:val="17"/>
                <w:szCs w:val="17"/>
                <w:lang w:val="en-US" w:eastAsia="en-GB"/>
              </w:rPr>
            </w:pPr>
            <w:r w:rsidRPr="00070A41">
              <w:rPr>
                <w:sz w:val="17"/>
                <w:szCs w:val="17"/>
                <w:lang w:eastAsia="en-GB"/>
              </w:rPr>
              <w:t xml:space="preserve">An </w:t>
            </w:r>
            <w:r w:rsidRPr="00070A41">
              <w:rPr>
                <w:rFonts w:eastAsiaTheme="minorEastAsia"/>
                <w:sz w:val="17"/>
                <w:szCs w:val="17"/>
                <w:lang w:eastAsia="en-GB"/>
              </w:rPr>
              <w:t>AI</w:t>
            </w:r>
            <w:r w:rsidRPr="00070A41">
              <w:rPr>
                <w:sz w:val="17"/>
                <w:szCs w:val="17"/>
                <w:lang w:eastAsia="en-GB"/>
              </w:rPr>
              <w:t xml:space="preserve"> </w:t>
            </w:r>
            <w:r>
              <w:rPr>
                <w:sz w:val="17"/>
                <w:szCs w:val="17"/>
              </w:rPr>
              <w:t>should</w:t>
            </w:r>
            <w:r w:rsidRPr="00070A41">
              <w:rPr>
                <w:sz w:val="17"/>
                <w:szCs w:val="17"/>
              </w:rPr>
              <w:t xml:space="preserve"> </w:t>
            </w:r>
            <w:r>
              <w:rPr>
                <w:sz w:val="17"/>
                <w:szCs w:val="17"/>
              </w:rPr>
              <w:t>supplement the template with a narrative commentary to explain any significant movements over the reporting period and the key drivers of such movements</w:t>
            </w:r>
            <w:r w:rsidRPr="00070A41">
              <w:rPr>
                <w:sz w:val="17"/>
                <w:szCs w:val="17"/>
              </w:rPr>
              <w:t>.</w:t>
            </w:r>
          </w:p>
        </w:tc>
      </w:tr>
      <w:tr w:rsidR="0074091C" w:rsidRPr="0023654F" w14:paraId="6F44B8AD" w14:textId="77777777" w:rsidTr="006C63B0">
        <w:tc>
          <w:tcPr>
            <w:tcW w:w="2008" w:type="dxa"/>
          </w:tcPr>
          <w:p w14:paraId="147DB23F" w14:textId="77777777" w:rsidR="0074091C" w:rsidRPr="0023654F" w:rsidRDefault="0074091C" w:rsidP="006C63B0">
            <w:pPr>
              <w:spacing w:before="40" w:after="40"/>
              <w:rPr>
                <w:rFonts w:eastAsiaTheme="minorEastAsia"/>
                <w:b/>
                <w:sz w:val="17"/>
                <w:szCs w:val="17"/>
                <w:lang w:eastAsia="en-GB"/>
              </w:rPr>
            </w:pPr>
            <w:r>
              <w:rPr>
                <w:rFonts w:eastAsiaTheme="minorEastAsia"/>
                <w:b/>
                <w:sz w:val="17"/>
                <w:szCs w:val="17"/>
                <w:lang w:eastAsia="en-GB"/>
              </w:rPr>
              <w:t>Corresponding BDR section:</w:t>
            </w:r>
          </w:p>
        </w:tc>
        <w:tc>
          <w:tcPr>
            <w:tcW w:w="7234" w:type="dxa"/>
          </w:tcPr>
          <w:p w14:paraId="352BE032" w14:textId="77777777" w:rsidR="0074091C" w:rsidRDefault="0074091C" w:rsidP="006C63B0">
            <w:pPr>
              <w:pStyle w:val="TableText"/>
              <w:jc w:val="both"/>
              <w:rPr>
                <w:szCs w:val="17"/>
                <w:lang w:eastAsia="en-GB"/>
              </w:rPr>
            </w:pPr>
            <w:r w:rsidRPr="001B530B">
              <w:rPr>
                <w:szCs w:val="17"/>
                <w:lang w:eastAsia="en-GB"/>
              </w:rPr>
              <w:t>16ZV</w:t>
            </w:r>
          </w:p>
        </w:tc>
      </w:tr>
    </w:tbl>
    <w:p w14:paraId="74B345AC" w14:textId="77777777" w:rsidR="0074091C" w:rsidRDefault="0074091C" w:rsidP="008974E3">
      <w:pPr>
        <w:spacing w:before="120" w:after="120"/>
        <w:rPr>
          <w:sz w:val="22"/>
        </w:rPr>
      </w:pPr>
    </w:p>
    <w:tbl>
      <w:tblPr>
        <w:tblW w:w="9248" w:type="dxa"/>
        <w:tblInd w:w="-459"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ayout w:type="fixed"/>
        <w:tblLook w:val="00A0" w:firstRow="1" w:lastRow="0" w:firstColumn="1" w:lastColumn="0" w:noHBand="0" w:noVBand="0"/>
      </w:tblPr>
      <w:tblGrid>
        <w:gridCol w:w="566"/>
        <w:gridCol w:w="1419"/>
        <w:gridCol w:w="1452"/>
        <w:gridCol w:w="1453"/>
        <w:gridCol w:w="1452"/>
        <w:gridCol w:w="1453"/>
        <w:gridCol w:w="1453"/>
      </w:tblGrid>
      <w:tr w:rsidR="008974E3" w:rsidRPr="0023654F" w14:paraId="7BD79E8D" w14:textId="77777777" w:rsidTr="00A16B86">
        <w:trPr>
          <w:cantSplit/>
          <w:trHeight w:val="249"/>
          <w:tblHeader/>
        </w:trPr>
        <w:tc>
          <w:tcPr>
            <w:tcW w:w="566" w:type="dxa"/>
            <w:tcBorders>
              <w:top w:val="nil"/>
              <w:left w:val="nil"/>
              <w:bottom w:val="single" w:sz="4" w:space="0" w:color="auto"/>
              <w:right w:val="nil"/>
            </w:tcBorders>
          </w:tcPr>
          <w:p w14:paraId="0C676611" w14:textId="77777777" w:rsidR="008974E3" w:rsidRPr="0023654F" w:rsidRDefault="008974E3" w:rsidP="00647044">
            <w:pPr>
              <w:pStyle w:val="TableText"/>
              <w:snapToGrid w:val="0"/>
              <w:rPr>
                <w:lang w:eastAsia="en-GB"/>
              </w:rPr>
            </w:pPr>
          </w:p>
        </w:tc>
        <w:tc>
          <w:tcPr>
            <w:tcW w:w="1419" w:type="dxa"/>
            <w:tcBorders>
              <w:top w:val="nil"/>
              <w:left w:val="nil"/>
              <w:bottom w:val="single" w:sz="4" w:space="0" w:color="auto"/>
              <w:right w:val="single" w:sz="4" w:space="0" w:color="auto"/>
            </w:tcBorders>
            <w:vAlign w:val="center"/>
          </w:tcPr>
          <w:p w14:paraId="75C34C4D" w14:textId="77777777" w:rsidR="008974E3" w:rsidRPr="0023654F" w:rsidRDefault="008974E3" w:rsidP="00647044">
            <w:pPr>
              <w:pStyle w:val="TableText"/>
              <w:snapToGrid w:val="0"/>
              <w:rPr>
                <w:lang w:eastAsia="en-GB"/>
              </w:rPr>
            </w:pPr>
          </w:p>
        </w:tc>
        <w:tc>
          <w:tcPr>
            <w:tcW w:w="1452" w:type="dxa"/>
            <w:tcBorders>
              <w:top w:val="single" w:sz="4" w:space="0" w:color="auto"/>
              <w:left w:val="nil"/>
              <w:bottom w:val="single" w:sz="4" w:space="0" w:color="auto"/>
              <w:right w:val="single" w:sz="4" w:space="0" w:color="auto"/>
            </w:tcBorders>
            <w:vAlign w:val="center"/>
          </w:tcPr>
          <w:p w14:paraId="605313AB" w14:textId="77777777" w:rsidR="008974E3" w:rsidRPr="00701CEA" w:rsidRDefault="008974E3" w:rsidP="00647044">
            <w:pPr>
              <w:pStyle w:val="TableText"/>
              <w:snapToGrid w:val="0"/>
              <w:jc w:val="center"/>
              <w:rPr>
                <w:bCs/>
                <w:szCs w:val="17"/>
                <w:lang w:eastAsia="it-IT"/>
              </w:rPr>
            </w:pPr>
            <w:r w:rsidRPr="00701CEA">
              <w:rPr>
                <w:bCs/>
                <w:szCs w:val="17"/>
                <w:lang w:eastAsia="it-IT"/>
              </w:rPr>
              <w:t>(a)</w:t>
            </w:r>
          </w:p>
        </w:tc>
        <w:tc>
          <w:tcPr>
            <w:tcW w:w="1453" w:type="dxa"/>
            <w:tcBorders>
              <w:top w:val="single" w:sz="4" w:space="0" w:color="auto"/>
              <w:left w:val="nil"/>
              <w:bottom w:val="single" w:sz="4" w:space="0" w:color="auto"/>
              <w:right w:val="single" w:sz="4" w:space="0" w:color="auto"/>
            </w:tcBorders>
            <w:vAlign w:val="center"/>
          </w:tcPr>
          <w:p w14:paraId="6E265DF6" w14:textId="77777777" w:rsidR="008974E3" w:rsidRPr="00701CEA" w:rsidRDefault="008974E3" w:rsidP="00647044">
            <w:pPr>
              <w:pStyle w:val="TableText"/>
              <w:snapToGrid w:val="0"/>
              <w:jc w:val="center"/>
              <w:rPr>
                <w:bCs/>
                <w:szCs w:val="17"/>
                <w:lang w:eastAsia="it-IT"/>
              </w:rPr>
            </w:pPr>
            <w:r w:rsidRPr="00701CEA">
              <w:rPr>
                <w:bCs/>
                <w:szCs w:val="17"/>
                <w:lang w:eastAsia="it-IT"/>
              </w:rPr>
              <w:t>(b)</w:t>
            </w:r>
          </w:p>
        </w:tc>
        <w:tc>
          <w:tcPr>
            <w:tcW w:w="1452" w:type="dxa"/>
            <w:tcBorders>
              <w:top w:val="single" w:sz="4" w:space="0" w:color="auto"/>
              <w:left w:val="nil"/>
              <w:bottom w:val="single" w:sz="4" w:space="0" w:color="auto"/>
              <w:right w:val="single" w:sz="4" w:space="0" w:color="auto"/>
            </w:tcBorders>
            <w:vAlign w:val="center"/>
          </w:tcPr>
          <w:p w14:paraId="50EF9436" w14:textId="77777777" w:rsidR="008974E3" w:rsidRPr="00701CEA" w:rsidRDefault="008974E3" w:rsidP="00647044">
            <w:pPr>
              <w:pStyle w:val="TableText"/>
              <w:snapToGrid w:val="0"/>
              <w:jc w:val="center"/>
              <w:rPr>
                <w:szCs w:val="17"/>
                <w:lang w:eastAsia="en-GB"/>
              </w:rPr>
            </w:pPr>
            <w:r w:rsidRPr="00701CEA">
              <w:rPr>
                <w:szCs w:val="17"/>
                <w:lang w:eastAsia="en-GB"/>
              </w:rPr>
              <w:t>(c)</w:t>
            </w:r>
          </w:p>
        </w:tc>
        <w:tc>
          <w:tcPr>
            <w:tcW w:w="1453" w:type="dxa"/>
            <w:tcBorders>
              <w:top w:val="single" w:sz="4" w:space="0" w:color="auto"/>
              <w:left w:val="nil"/>
              <w:bottom w:val="single" w:sz="4" w:space="0" w:color="auto"/>
              <w:right w:val="single" w:sz="4" w:space="0" w:color="auto"/>
            </w:tcBorders>
            <w:vAlign w:val="center"/>
          </w:tcPr>
          <w:p w14:paraId="1215C08C" w14:textId="77777777" w:rsidR="008974E3" w:rsidRPr="00701CEA" w:rsidRDefault="008974E3" w:rsidP="00647044">
            <w:pPr>
              <w:pStyle w:val="TableText"/>
              <w:snapToGrid w:val="0"/>
              <w:jc w:val="center"/>
              <w:rPr>
                <w:szCs w:val="17"/>
                <w:lang w:eastAsia="en-GB"/>
              </w:rPr>
            </w:pPr>
            <w:r w:rsidRPr="00701CEA">
              <w:rPr>
                <w:szCs w:val="17"/>
                <w:lang w:eastAsia="en-GB"/>
              </w:rPr>
              <w:t>(d)</w:t>
            </w:r>
          </w:p>
        </w:tc>
        <w:tc>
          <w:tcPr>
            <w:tcW w:w="1453" w:type="dxa"/>
            <w:tcBorders>
              <w:top w:val="single" w:sz="4" w:space="0" w:color="auto"/>
              <w:left w:val="single" w:sz="4" w:space="0" w:color="auto"/>
              <w:bottom w:val="single" w:sz="4" w:space="0" w:color="auto"/>
              <w:right w:val="single" w:sz="4" w:space="0" w:color="auto"/>
            </w:tcBorders>
            <w:vAlign w:val="center"/>
          </w:tcPr>
          <w:p w14:paraId="67888809" w14:textId="77777777" w:rsidR="008974E3" w:rsidRPr="00701CEA" w:rsidRDefault="008974E3" w:rsidP="00647044">
            <w:pPr>
              <w:pStyle w:val="TableText"/>
              <w:snapToGrid w:val="0"/>
              <w:jc w:val="center"/>
              <w:rPr>
                <w:bCs/>
                <w:szCs w:val="17"/>
                <w:lang w:eastAsia="it-IT"/>
              </w:rPr>
            </w:pPr>
            <w:r w:rsidRPr="00701CEA">
              <w:rPr>
                <w:bCs/>
                <w:szCs w:val="17"/>
                <w:lang w:eastAsia="it-IT"/>
              </w:rPr>
              <w:t>(e)</w:t>
            </w:r>
          </w:p>
        </w:tc>
      </w:tr>
      <w:tr w:rsidR="008974E3" w:rsidRPr="0023654F" w14:paraId="0095070F" w14:textId="77777777" w:rsidTr="00A16B86">
        <w:trPr>
          <w:cantSplit/>
          <w:tblHeader/>
        </w:trPr>
        <w:tc>
          <w:tcPr>
            <w:tcW w:w="1985" w:type="dxa"/>
            <w:gridSpan w:val="2"/>
            <w:tcBorders>
              <w:top w:val="nil"/>
              <w:left w:val="nil"/>
              <w:bottom w:val="single" w:sz="4" w:space="0" w:color="auto"/>
              <w:right w:val="single" w:sz="4" w:space="0" w:color="auto"/>
            </w:tcBorders>
          </w:tcPr>
          <w:p w14:paraId="19EA8CE6" w14:textId="77777777" w:rsidR="008974E3" w:rsidRPr="0023654F" w:rsidRDefault="008974E3" w:rsidP="00647044">
            <w:pPr>
              <w:pStyle w:val="TableText"/>
              <w:snapToGrid w:val="0"/>
              <w:rPr>
                <w:lang w:eastAsia="en-GB"/>
              </w:rPr>
            </w:pPr>
            <w:r>
              <w:rPr>
                <w:lang w:eastAsia="en-GB"/>
              </w:rPr>
              <w:t>Deferred and retained remuneration</w:t>
            </w:r>
          </w:p>
        </w:tc>
        <w:tc>
          <w:tcPr>
            <w:tcW w:w="1452" w:type="dxa"/>
            <w:tcBorders>
              <w:top w:val="single" w:sz="4" w:space="0" w:color="auto"/>
              <w:left w:val="nil"/>
              <w:bottom w:val="single" w:sz="4" w:space="0" w:color="auto"/>
              <w:right w:val="single" w:sz="4" w:space="0" w:color="auto"/>
            </w:tcBorders>
          </w:tcPr>
          <w:p w14:paraId="562C08D4" w14:textId="77777777" w:rsidR="008974E3" w:rsidRPr="00701CEA" w:rsidRDefault="008974E3" w:rsidP="00647044">
            <w:pPr>
              <w:pStyle w:val="TableText"/>
              <w:snapToGrid w:val="0"/>
              <w:rPr>
                <w:szCs w:val="17"/>
                <w:lang w:val="en-US" w:eastAsia="en-GB"/>
              </w:rPr>
            </w:pPr>
            <w:r w:rsidRPr="00701CEA">
              <w:rPr>
                <w:szCs w:val="17"/>
              </w:rPr>
              <w:t>Total amount of outstanding deferred remuneration</w:t>
            </w:r>
          </w:p>
        </w:tc>
        <w:tc>
          <w:tcPr>
            <w:tcW w:w="1453" w:type="dxa"/>
            <w:tcBorders>
              <w:top w:val="single" w:sz="4" w:space="0" w:color="auto"/>
              <w:left w:val="nil"/>
              <w:bottom w:val="single" w:sz="4" w:space="0" w:color="auto"/>
              <w:right w:val="single" w:sz="4" w:space="0" w:color="auto"/>
            </w:tcBorders>
          </w:tcPr>
          <w:p w14:paraId="725B8C79" w14:textId="77777777" w:rsidR="008974E3" w:rsidRPr="00701CEA" w:rsidRDefault="008974E3" w:rsidP="00647044">
            <w:pPr>
              <w:pStyle w:val="TableText"/>
              <w:snapToGrid w:val="0"/>
              <w:rPr>
                <w:szCs w:val="17"/>
              </w:rPr>
            </w:pPr>
            <w:r w:rsidRPr="00701CEA">
              <w:rPr>
                <w:szCs w:val="17"/>
              </w:rPr>
              <w:t>Of which: Total amount of outstanding deferred and retained remuneration exposed to ex post explicit and/or implicit adjustment</w:t>
            </w:r>
          </w:p>
        </w:tc>
        <w:tc>
          <w:tcPr>
            <w:tcW w:w="1452" w:type="dxa"/>
            <w:tcBorders>
              <w:top w:val="single" w:sz="4" w:space="0" w:color="auto"/>
              <w:left w:val="nil"/>
              <w:bottom w:val="single" w:sz="4" w:space="0" w:color="auto"/>
              <w:right w:val="single" w:sz="4" w:space="0" w:color="auto"/>
            </w:tcBorders>
          </w:tcPr>
          <w:p w14:paraId="3D28E788" w14:textId="77777777" w:rsidR="008974E3" w:rsidRPr="00701CEA" w:rsidRDefault="008974E3" w:rsidP="00647044">
            <w:pPr>
              <w:pStyle w:val="TableText"/>
              <w:snapToGrid w:val="0"/>
              <w:rPr>
                <w:szCs w:val="17"/>
              </w:rPr>
            </w:pPr>
            <w:r w:rsidRPr="00701CEA">
              <w:rPr>
                <w:szCs w:val="17"/>
              </w:rPr>
              <w:t>Total amount of amendment during the year due to ex post explicit adjustments</w:t>
            </w:r>
          </w:p>
        </w:tc>
        <w:tc>
          <w:tcPr>
            <w:tcW w:w="1453" w:type="dxa"/>
            <w:tcBorders>
              <w:top w:val="single" w:sz="4" w:space="0" w:color="auto"/>
              <w:left w:val="nil"/>
              <w:bottom w:val="single" w:sz="4" w:space="0" w:color="auto"/>
              <w:right w:val="single" w:sz="4" w:space="0" w:color="auto"/>
            </w:tcBorders>
          </w:tcPr>
          <w:p w14:paraId="654723B2" w14:textId="77777777" w:rsidR="008974E3" w:rsidRPr="00701CEA" w:rsidRDefault="008974E3" w:rsidP="00647044">
            <w:pPr>
              <w:pStyle w:val="TableText"/>
              <w:snapToGrid w:val="0"/>
              <w:rPr>
                <w:szCs w:val="17"/>
              </w:rPr>
            </w:pPr>
            <w:r w:rsidRPr="00701CEA">
              <w:rPr>
                <w:szCs w:val="17"/>
              </w:rPr>
              <w:t>Total amount of amendment during the year due to ex post implicit adjustments</w:t>
            </w:r>
          </w:p>
        </w:tc>
        <w:tc>
          <w:tcPr>
            <w:tcW w:w="1453" w:type="dxa"/>
            <w:tcBorders>
              <w:top w:val="single" w:sz="4" w:space="0" w:color="auto"/>
              <w:left w:val="single" w:sz="4" w:space="0" w:color="auto"/>
              <w:bottom w:val="single" w:sz="4" w:space="0" w:color="auto"/>
              <w:right w:val="single" w:sz="4" w:space="0" w:color="auto"/>
            </w:tcBorders>
          </w:tcPr>
          <w:p w14:paraId="753154F4" w14:textId="77777777" w:rsidR="008974E3" w:rsidRPr="00701CEA" w:rsidRDefault="008974E3" w:rsidP="00647044">
            <w:pPr>
              <w:pStyle w:val="TableText"/>
              <w:snapToGrid w:val="0"/>
              <w:rPr>
                <w:szCs w:val="17"/>
              </w:rPr>
            </w:pPr>
            <w:r w:rsidRPr="00701CEA">
              <w:rPr>
                <w:szCs w:val="17"/>
              </w:rPr>
              <w:t>Total amount of deferred remuneration paid out in the financial year</w:t>
            </w:r>
          </w:p>
        </w:tc>
      </w:tr>
      <w:tr w:rsidR="008974E3" w:rsidRPr="0023654F" w14:paraId="5249E1FB" w14:textId="77777777" w:rsidTr="00A16B86">
        <w:trPr>
          <w:cantSplit/>
          <w:tblHeader/>
        </w:trPr>
        <w:tc>
          <w:tcPr>
            <w:tcW w:w="566" w:type="dxa"/>
            <w:tcBorders>
              <w:top w:val="single" w:sz="4" w:space="0" w:color="auto"/>
              <w:left w:val="nil"/>
              <w:bottom w:val="single" w:sz="4" w:space="0" w:color="auto"/>
              <w:right w:val="single" w:sz="4" w:space="0" w:color="auto"/>
            </w:tcBorders>
            <w:shd w:val="clear" w:color="auto" w:fill="F2F2F2" w:themeFill="background1" w:themeFillShade="F2"/>
          </w:tcPr>
          <w:p w14:paraId="703C8C02" w14:textId="77777777" w:rsidR="008974E3" w:rsidRPr="00911851" w:rsidRDefault="008974E3" w:rsidP="00647044">
            <w:pPr>
              <w:pStyle w:val="TableText"/>
              <w:snapToGrid w:val="0"/>
              <w:spacing w:before="15" w:after="15"/>
              <w:rPr>
                <w:lang w:eastAsia="en-GB"/>
              </w:rPr>
            </w:pPr>
            <w:r>
              <w:rPr>
                <w:lang w:eastAsia="en-GB"/>
              </w:rPr>
              <w:t>1</w:t>
            </w:r>
          </w:p>
        </w:tc>
        <w:tc>
          <w:tcPr>
            <w:tcW w:w="14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42675" w14:textId="77777777" w:rsidR="008974E3" w:rsidRPr="00701CEA" w:rsidRDefault="008974E3" w:rsidP="00647044">
            <w:pPr>
              <w:pStyle w:val="TableText"/>
              <w:snapToGrid w:val="0"/>
              <w:spacing w:before="15" w:after="15"/>
              <w:rPr>
                <w:szCs w:val="17"/>
                <w:lang w:eastAsia="en-GB"/>
              </w:rPr>
            </w:pPr>
            <w:r w:rsidRPr="00701CEA">
              <w:rPr>
                <w:szCs w:val="17"/>
              </w:rPr>
              <w:t>Senior management</w:t>
            </w:r>
          </w:p>
        </w:tc>
        <w:tc>
          <w:tcPr>
            <w:tcW w:w="14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D433F1"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D96B6F" w14:textId="77777777" w:rsidR="008974E3" w:rsidRPr="00701CEA" w:rsidRDefault="008974E3" w:rsidP="00647044">
            <w:pPr>
              <w:pStyle w:val="TableText"/>
              <w:snapToGrid w:val="0"/>
              <w:spacing w:before="15" w:after="15"/>
              <w:rPr>
                <w:szCs w:val="17"/>
                <w:lang w:eastAsia="en-GB"/>
              </w:rPr>
            </w:pPr>
          </w:p>
        </w:tc>
        <w:tc>
          <w:tcPr>
            <w:tcW w:w="14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FB54B8"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EDF70E"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2B9040" w14:textId="77777777" w:rsidR="008974E3" w:rsidRPr="00701CEA" w:rsidRDefault="008974E3" w:rsidP="00647044">
            <w:pPr>
              <w:pStyle w:val="TableText"/>
              <w:snapToGrid w:val="0"/>
              <w:spacing w:before="15" w:after="15"/>
              <w:rPr>
                <w:szCs w:val="17"/>
                <w:lang w:eastAsia="en-GB"/>
              </w:rPr>
            </w:pPr>
          </w:p>
        </w:tc>
      </w:tr>
      <w:tr w:rsidR="008974E3" w:rsidRPr="0023654F" w14:paraId="3615BB32" w14:textId="77777777" w:rsidTr="00A16B86">
        <w:trPr>
          <w:cantSplit/>
        </w:trPr>
        <w:tc>
          <w:tcPr>
            <w:tcW w:w="566" w:type="dxa"/>
            <w:tcBorders>
              <w:top w:val="single" w:sz="4" w:space="0" w:color="auto"/>
              <w:left w:val="nil"/>
              <w:bottom w:val="single" w:sz="4" w:space="0" w:color="D9D9D9" w:themeColor="background1" w:themeShade="D9"/>
              <w:right w:val="single" w:sz="4" w:space="0" w:color="auto"/>
            </w:tcBorders>
          </w:tcPr>
          <w:p w14:paraId="776F4866" w14:textId="77777777" w:rsidR="008974E3" w:rsidRPr="0023654F" w:rsidRDefault="008974E3" w:rsidP="00647044">
            <w:pPr>
              <w:pStyle w:val="TableText"/>
              <w:snapToGrid w:val="0"/>
              <w:spacing w:before="15" w:after="15"/>
              <w:rPr>
                <w:lang w:eastAsia="en-GB"/>
              </w:rPr>
            </w:pPr>
            <w:r w:rsidRPr="0023654F">
              <w:rPr>
                <w:lang w:eastAsia="en-GB"/>
              </w:rPr>
              <w:t>2</w:t>
            </w:r>
          </w:p>
        </w:tc>
        <w:tc>
          <w:tcPr>
            <w:tcW w:w="1419" w:type="dxa"/>
            <w:tcBorders>
              <w:top w:val="single" w:sz="4" w:space="0" w:color="auto"/>
              <w:left w:val="single" w:sz="4" w:space="0" w:color="auto"/>
              <w:bottom w:val="single" w:sz="4" w:space="0" w:color="D9D9D9" w:themeColor="background1" w:themeShade="D9"/>
              <w:right w:val="single" w:sz="4" w:space="0" w:color="auto"/>
            </w:tcBorders>
          </w:tcPr>
          <w:p w14:paraId="033978AE" w14:textId="77777777" w:rsidR="008974E3" w:rsidRPr="00701CEA" w:rsidRDefault="008974E3" w:rsidP="00647044">
            <w:pPr>
              <w:pStyle w:val="TableText"/>
              <w:snapToGrid w:val="0"/>
              <w:spacing w:before="15" w:after="15"/>
              <w:ind w:left="177" w:hangingChars="104" w:hanging="177"/>
              <w:rPr>
                <w:szCs w:val="17"/>
              </w:rPr>
            </w:pPr>
            <w:r>
              <w:rPr>
                <w:szCs w:val="17"/>
              </w:rPr>
              <w:tab/>
              <w:t>Cash</w:t>
            </w:r>
          </w:p>
        </w:tc>
        <w:tc>
          <w:tcPr>
            <w:tcW w:w="1452" w:type="dxa"/>
            <w:tcBorders>
              <w:top w:val="single" w:sz="4" w:space="0" w:color="auto"/>
              <w:left w:val="single" w:sz="4" w:space="0" w:color="auto"/>
              <w:bottom w:val="single" w:sz="4" w:space="0" w:color="D9D9D9" w:themeColor="background1" w:themeShade="D9"/>
              <w:right w:val="single" w:sz="4" w:space="0" w:color="auto"/>
            </w:tcBorders>
          </w:tcPr>
          <w:p w14:paraId="4ED755FF"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auto"/>
              <w:left w:val="single" w:sz="4" w:space="0" w:color="auto"/>
              <w:bottom w:val="single" w:sz="4" w:space="0" w:color="D9D9D9" w:themeColor="background1" w:themeShade="D9"/>
              <w:right w:val="single" w:sz="4" w:space="0" w:color="auto"/>
            </w:tcBorders>
          </w:tcPr>
          <w:p w14:paraId="360AE69D" w14:textId="77777777" w:rsidR="008974E3" w:rsidRPr="00701CEA" w:rsidRDefault="008974E3" w:rsidP="00647044">
            <w:pPr>
              <w:pStyle w:val="TableText"/>
              <w:snapToGrid w:val="0"/>
              <w:spacing w:before="15" w:after="15"/>
              <w:rPr>
                <w:szCs w:val="17"/>
                <w:lang w:eastAsia="en-GB"/>
              </w:rPr>
            </w:pPr>
          </w:p>
        </w:tc>
        <w:tc>
          <w:tcPr>
            <w:tcW w:w="1452" w:type="dxa"/>
            <w:tcBorders>
              <w:top w:val="single" w:sz="4" w:space="0" w:color="auto"/>
              <w:left w:val="single" w:sz="4" w:space="0" w:color="auto"/>
              <w:bottom w:val="single" w:sz="4" w:space="0" w:color="D9D9D9" w:themeColor="background1" w:themeShade="D9"/>
              <w:right w:val="single" w:sz="4" w:space="0" w:color="auto"/>
            </w:tcBorders>
          </w:tcPr>
          <w:p w14:paraId="5B3DF0BF"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auto"/>
              <w:left w:val="single" w:sz="4" w:space="0" w:color="auto"/>
              <w:bottom w:val="single" w:sz="4" w:space="0" w:color="D9D9D9" w:themeColor="background1" w:themeShade="D9"/>
              <w:right w:val="single" w:sz="4" w:space="0" w:color="auto"/>
            </w:tcBorders>
          </w:tcPr>
          <w:p w14:paraId="7249B5D0"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auto"/>
              <w:left w:val="single" w:sz="4" w:space="0" w:color="auto"/>
              <w:bottom w:val="single" w:sz="4" w:space="0" w:color="D9D9D9" w:themeColor="background1" w:themeShade="D9"/>
              <w:right w:val="single" w:sz="4" w:space="0" w:color="auto"/>
            </w:tcBorders>
          </w:tcPr>
          <w:p w14:paraId="10D0D205" w14:textId="77777777" w:rsidR="008974E3" w:rsidRPr="00701CEA" w:rsidRDefault="008974E3" w:rsidP="00647044">
            <w:pPr>
              <w:pStyle w:val="TableText"/>
              <w:snapToGrid w:val="0"/>
              <w:spacing w:before="15" w:after="15"/>
              <w:rPr>
                <w:szCs w:val="17"/>
                <w:lang w:eastAsia="en-GB"/>
              </w:rPr>
            </w:pPr>
          </w:p>
        </w:tc>
      </w:tr>
      <w:tr w:rsidR="008974E3" w:rsidRPr="0023654F" w14:paraId="525F1087" w14:textId="77777777" w:rsidTr="00A16B86">
        <w:trPr>
          <w:cantSplit/>
        </w:trPr>
        <w:tc>
          <w:tcPr>
            <w:tcW w:w="566" w:type="dxa"/>
            <w:tcBorders>
              <w:top w:val="single" w:sz="4" w:space="0" w:color="D9D9D9" w:themeColor="background1" w:themeShade="D9"/>
              <w:left w:val="nil"/>
              <w:bottom w:val="single" w:sz="4" w:space="0" w:color="D9D9D9" w:themeColor="background1" w:themeShade="D9"/>
              <w:right w:val="single" w:sz="4" w:space="0" w:color="auto"/>
            </w:tcBorders>
          </w:tcPr>
          <w:p w14:paraId="7ABB3B89" w14:textId="77777777" w:rsidR="008974E3" w:rsidRPr="0023654F" w:rsidRDefault="008974E3" w:rsidP="00647044">
            <w:pPr>
              <w:pStyle w:val="TableText"/>
              <w:snapToGrid w:val="0"/>
              <w:spacing w:before="15" w:after="15"/>
              <w:rPr>
                <w:lang w:eastAsia="en-GB"/>
              </w:rPr>
            </w:pPr>
            <w:r>
              <w:rPr>
                <w:lang w:eastAsia="en-GB"/>
              </w:rPr>
              <w:t>3</w:t>
            </w:r>
          </w:p>
        </w:tc>
        <w:tc>
          <w:tcPr>
            <w:tcW w:w="1419"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7BE7F6D2" w14:textId="77777777" w:rsidR="008974E3" w:rsidRPr="00701CEA" w:rsidRDefault="008974E3" w:rsidP="00647044">
            <w:pPr>
              <w:pStyle w:val="TableText"/>
              <w:snapToGrid w:val="0"/>
              <w:spacing w:before="15" w:after="15"/>
              <w:ind w:left="177" w:hangingChars="104" w:hanging="177"/>
              <w:rPr>
                <w:szCs w:val="17"/>
              </w:rPr>
            </w:pPr>
            <w:r>
              <w:rPr>
                <w:szCs w:val="17"/>
              </w:rPr>
              <w:tab/>
              <w:t>Shares</w:t>
            </w:r>
          </w:p>
        </w:tc>
        <w:tc>
          <w:tcPr>
            <w:tcW w:w="1452"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0CF4C077"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2488578B" w14:textId="77777777" w:rsidR="008974E3" w:rsidRPr="00701CEA" w:rsidRDefault="008974E3" w:rsidP="00647044">
            <w:pPr>
              <w:pStyle w:val="TableText"/>
              <w:snapToGrid w:val="0"/>
              <w:spacing w:before="15" w:after="15"/>
              <w:rPr>
                <w:szCs w:val="17"/>
                <w:lang w:eastAsia="en-GB"/>
              </w:rPr>
            </w:pPr>
          </w:p>
        </w:tc>
        <w:tc>
          <w:tcPr>
            <w:tcW w:w="1452"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1D933FD2"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35042A57"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7BD91748" w14:textId="77777777" w:rsidR="008974E3" w:rsidRPr="00701CEA" w:rsidRDefault="008974E3" w:rsidP="00647044">
            <w:pPr>
              <w:pStyle w:val="TableText"/>
              <w:snapToGrid w:val="0"/>
              <w:spacing w:before="15" w:after="15"/>
              <w:rPr>
                <w:szCs w:val="17"/>
                <w:lang w:eastAsia="en-GB"/>
              </w:rPr>
            </w:pPr>
          </w:p>
        </w:tc>
      </w:tr>
      <w:tr w:rsidR="008974E3" w:rsidRPr="0023654F" w14:paraId="68D76E4D" w14:textId="77777777" w:rsidTr="00A16B86">
        <w:trPr>
          <w:cantSplit/>
        </w:trPr>
        <w:tc>
          <w:tcPr>
            <w:tcW w:w="566" w:type="dxa"/>
            <w:tcBorders>
              <w:top w:val="single" w:sz="4" w:space="0" w:color="D9D9D9" w:themeColor="background1" w:themeShade="D9"/>
              <w:left w:val="nil"/>
              <w:bottom w:val="single" w:sz="4" w:space="0" w:color="D9D9D9" w:themeColor="background1" w:themeShade="D9"/>
              <w:right w:val="single" w:sz="4" w:space="0" w:color="auto"/>
            </w:tcBorders>
          </w:tcPr>
          <w:p w14:paraId="2409F020" w14:textId="77777777" w:rsidR="008974E3" w:rsidRPr="0023654F" w:rsidRDefault="008974E3" w:rsidP="00647044">
            <w:pPr>
              <w:pStyle w:val="TableText"/>
              <w:snapToGrid w:val="0"/>
              <w:spacing w:before="15" w:after="15"/>
              <w:rPr>
                <w:lang w:eastAsia="en-GB"/>
              </w:rPr>
            </w:pPr>
            <w:r>
              <w:rPr>
                <w:lang w:eastAsia="en-GB"/>
              </w:rPr>
              <w:t>4</w:t>
            </w:r>
          </w:p>
        </w:tc>
        <w:tc>
          <w:tcPr>
            <w:tcW w:w="1419"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2C4DB060" w14:textId="77777777" w:rsidR="008974E3" w:rsidRPr="00701CEA" w:rsidRDefault="008974E3" w:rsidP="00647044">
            <w:pPr>
              <w:pStyle w:val="TableText"/>
              <w:snapToGrid w:val="0"/>
              <w:spacing w:before="15" w:after="15"/>
              <w:ind w:left="177" w:hangingChars="104" w:hanging="177"/>
              <w:rPr>
                <w:szCs w:val="17"/>
              </w:rPr>
            </w:pPr>
            <w:r>
              <w:rPr>
                <w:szCs w:val="17"/>
              </w:rPr>
              <w:tab/>
              <w:t>Cash-linked instruments</w:t>
            </w:r>
          </w:p>
        </w:tc>
        <w:tc>
          <w:tcPr>
            <w:tcW w:w="1452"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3B7427EB"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722C426D" w14:textId="77777777" w:rsidR="008974E3" w:rsidRPr="00701CEA" w:rsidRDefault="008974E3" w:rsidP="00647044">
            <w:pPr>
              <w:pStyle w:val="TableText"/>
              <w:snapToGrid w:val="0"/>
              <w:spacing w:before="15" w:after="15"/>
              <w:rPr>
                <w:szCs w:val="17"/>
                <w:lang w:eastAsia="en-GB"/>
              </w:rPr>
            </w:pPr>
          </w:p>
        </w:tc>
        <w:tc>
          <w:tcPr>
            <w:tcW w:w="1452"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26FD4A8F"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5E220645"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5A57795B" w14:textId="77777777" w:rsidR="008974E3" w:rsidRPr="00701CEA" w:rsidRDefault="008974E3" w:rsidP="00647044">
            <w:pPr>
              <w:pStyle w:val="TableText"/>
              <w:snapToGrid w:val="0"/>
              <w:spacing w:before="15" w:after="15"/>
              <w:rPr>
                <w:szCs w:val="17"/>
                <w:lang w:eastAsia="en-GB"/>
              </w:rPr>
            </w:pPr>
          </w:p>
        </w:tc>
      </w:tr>
      <w:tr w:rsidR="008974E3" w:rsidRPr="0023654F" w14:paraId="7FCA4ECC" w14:textId="77777777" w:rsidTr="00A16B86">
        <w:trPr>
          <w:cantSplit/>
        </w:trPr>
        <w:tc>
          <w:tcPr>
            <w:tcW w:w="566" w:type="dxa"/>
            <w:tcBorders>
              <w:top w:val="single" w:sz="4" w:space="0" w:color="D9D9D9" w:themeColor="background1" w:themeShade="D9"/>
              <w:left w:val="nil"/>
              <w:bottom w:val="single" w:sz="4" w:space="0" w:color="auto"/>
              <w:right w:val="single" w:sz="4" w:space="0" w:color="auto"/>
            </w:tcBorders>
          </w:tcPr>
          <w:p w14:paraId="2BAF5C70" w14:textId="77777777" w:rsidR="008974E3" w:rsidRPr="0023654F" w:rsidRDefault="008974E3" w:rsidP="00647044">
            <w:pPr>
              <w:pStyle w:val="TableText"/>
              <w:snapToGrid w:val="0"/>
              <w:spacing w:before="15" w:after="15"/>
              <w:rPr>
                <w:lang w:eastAsia="en-GB"/>
              </w:rPr>
            </w:pPr>
            <w:r>
              <w:rPr>
                <w:lang w:eastAsia="en-GB"/>
              </w:rPr>
              <w:t>5</w:t>
            </w:r>
          </w:p>
        </w:tc>
        <w:tc>
          <w:tcPr>
            <w:tcW w:w="1419" w:type="dxa"/>
            <w:tcBorders>
              <w:top w:val="single" w:sz="4" w:space="0" w:color="D9D9D9" w:themeColor="background1" w:themeShade="D9"/>
              <w:left w:val="single" w:sz="4" w:space="0" w:color="auto"/>
              <w:bottom w:val="single" w:sz="4" w:space="0" w:color="auto"/>
              <w:right w:val="single" w:sz="4" w:space="0" w:color="auto"/>
            </w:tcBorders>
          </w:tcPr>
          <w:p w14:paraId="0179EDB6" w14:textId="77777777" w:rsidR="008974E3" w:rsidRPr="00701CEA" w:rsidRDefault="008974E3" w:rsidP="00647044">
            <w:pPr>
              <w:pStyle w:val="TableText"/>
              <w:snapToGrid w:val="0"/>
              <w:spacing w:before="15" w:after="15"/>
              <w:ind w:left="177" w:hangingChars="104" w:hanging="177"/>
              <w:rPr>
                <w:szCs w:val="17"/>
              </w:rPr>
            </w:pPr>
            <w:r>
              <w:rPr>
                <w:szCs w:val="17"/>
              </w:rPr>
              <w:tab/>
            </w:r>
            <w:r w:rsidRPr="00701CEA">
              <w:rPr>
                <w:szCs w:val="17"/>
              </w:rPr>
              <w:t>Other</w:t>
            </w:r>
          </w:p>
        </w:tc>
        <w:tc>
          <w:tcPr>
            <w:tcW w:w="1452" w:type="dxa"/>
            <w:tcBorders>
              <w:top w:val="single" w:sz="4" w:space="0" w:color="D9D9D9" w:themeColor="background1" w:themeShade="D9"/>
              <w:left w:val="single" w:sz="4" w:space="0" w:color="auto"/>
              <w:bottom w:val="single" w:sz="4" w:space="0" w:color="auto"/>
              <w:right w:val="single" w:sz="4" w:space="0" w:color="auto"/>
            </w:tcBorders>
          </w:tcPr>
          <w:p w14:paraId="3DA11B5C"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D9D9D9" w:themeColor="background1" w:themeShade="D9"/>
              <w:left w:val="single" w:sz="4" w:space="0" w:color="auto"/>
              <w:bottom w:val="single" w:sz="4" w:space="0" w:color="auto"/>
              <w:right w:val="single" w:sz="4" w:space="0" w:color="auto"/>
            </w:tcBorders>
          </w:tcPr>
          <w:p w14:paraId="68A373C2" w14:textId="77777777" w:rsidR="008974E3" w:rsidRPr="00701CEA" w:rsidRDefault="008974E3" w:rsidP="00647044">
            <w:pPr>
              <w:pStyle w:val="TableText"/>
              <w:snapToGrid w:val="0"/>
              <w:spacing w:before="15" w:after="15"/>
              <w:rPr>
                <w:szCs w:val="17"/>
                <w:lang w:eastAsia="en-GB"/>
              </w:rPr>
            </w:pPr>
          </w:p>
        </w:tc>
        <w:tc>
          <w:tcPr>
            <w:tcW w:w="1452" w:type="dxa"/>
            <w:tcBorders>
              <w:top w:val="single" w:sz="4" w:space="0" w:color="D9D9D9" w:themeColor="background1" w:themeShade="D9"/>
              <w:left w:val="single" w:sz="4" w:space="0" w:color="auto"/>
              <w:bottom w:val="single" w:sz="4" w:space="0" w:color="auto"/>
              <w:right w:val="single" w:sz="4" w:space="0" w:color="auto"/>
            </w:tcBorders>
          </w:tcPr>
          <w:p w14:paraId="619CCEE3"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D9D9D9" w:themeColor="background1" w:themeShade="D9"/>
              <w:left w:val="single" w:sz="4" w:space="0" w:color="auto"/>
              <w:bottom w:val="single" w:sz="4" w:space="0" w:color="auto"/>
              <w:right w:val="single" w:sz="4" w:space="0" w:color="auto"/>
            </w:tcBorders>
          </w:tcPr>
          <w:p w14:paraId="57B9CC81"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D9D9D9" w:themeColor="background1" w:themeShade="D9"/>
              <w:left w:val="single" w:sz="4" w:space="0" w:color="auto"/>
              <w:bottom w:val="single" w:sz="4" w:space="0" w:color="auto"/>
              <w:right w:val="single" w:sz="4" w:space="0" w:color="auto"/>
            </w:tcBorders>
          </w:tcPr>
          <w:p w14:paraId="0DE75C3D" w14:textId="77777777" w:rsidR="008974E3" w:rsidRPr="00701CEA" w:rsidRDefault="008974E3" w:rsidP="00647044">
            <w:pPr>
              <w:pStyle w:val="TableText"/>
              <w:snapToGrid w:val="0"/>
              <w:spacing w:before="15" w:after="15"/>
              <w:rPr>
                <w:szCs w:val="17"/>
                <w:lang w:eastAsia="en-GB"/>
              </w:rPr>
            </w:pPr>
          </w:p>
        </w:tc>
      </w:tr>
      <w:tr w:rsidR="008974E3" w:rsidRPr="0023654F" w14:paraId="5F2255F7" w14:textId="77777777" w:rsidTr="00A16B86">
        <w:trPr>
          <w:cantSplit/>
        </w:trPr>
        <w:tc>
          <w:tcPr>
            <w:tcW w:w="566" w:type="dxa"/>
            <w:tcBorders>
              <w:top w:val="single" w:sz="4" w:space="0" w:color="auto"/>
              <w:left w:val="nil"/>
              <w:bottom w:val="single" w:sz="4" w:space="0" w:color="auto"/>
              <w:right w:val="single" w:sz="4" w:space="0" w:color="auto"/>
            </w:tcBorders>
            <w:shd w:val="clear" w:color="auto" w:fill="F2F2F2" w:themeFill="background1" w:themeFillShade="F2"/>
          </w:tcPr>
          <w:p w14:paraId="0F3DE29F" w14:textId="77777777" w:rsidR="008974E3" w:rsidRPr="0023654F" w:rsidRDefault="008974E3" w:rsidP="00647044">
            <w:pPr>
              <w:pStyle w:val="TableText"/>
              <w:snapToGrid w:val="0"/>
              <w:spacing w:before="15" w:after="15"/>
              <w:rPr>
                <w:lang w:eastAsia="en-GB"/>
              </w:rPr>
            </w:pPr>
            <w:r>
              <w:rPr>
                <w:lang w:eastAsia="en-GB"/>
              </w:rPr>
              <w:t>6</w:t>
            </w:r>
          </w:p>
        </w:tc>
        <w:tc>
          <w:tcPr>
            <w:tcW w:w="14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42BA0A3" w14:textId="77777777" w:rsidR="008974E3" w:rsidRPr="00701CEA" w:rsidRDefault="008974E3" w:rsidP="00647044">
            <w:pPr>
              <w:pStyle w:val="TableText"/>
              <w:snapToGrid w:val="0"/>
              <w:spacing w:before="15" w:after="15"/>
              <w:rPr>
                <w:szCs w:val="17"/>
                <w:lang w:eastAsia="en-GB"/>
              </w:rPr>
            </w:pPr>
            <w:r>
              <w:rPr>
                <w:szCs w:val="17"/>
              </w:rPr>
              <w:t>Key personnel</w:t>
            </w:r>
          </w:p>
        </w:tc>
        <w:tc>
          <w:tcPr>
            <w:tcW w:w="14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BE73DE"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6FDFA5" w14:textId="77777777" w:rsidR="008974E3" w:rsidRPr="00701CEA" w:rsidRDefault="008974E3" w:rsidP="00647044">
            <w:pPr>
              <w:pStyle w:val="TableText"/>
              <w:snapToGrid w:val="0"/>
              <w:spacing w:before="15" w:after="15"/>
              <w:rPr>
                <w:szCs w:val="17"/>
                <w:lang w:eastAsia="en-GB"/>
              </w:rPr>
            </w:pPr>
          </w:p>
        </w:tc>
        <w:tc>
          <w:tcPr>
            <w:tcW w:w="14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E3882C"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EBC18C"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6CEF3A" w14:textId="77777777" w:rsidR="008974E3" w:rsidRPr="00701CEA" w:rsidRDefault="008974E3" w:rsidP="00647044">
            <w:pPr>
              <w:pStyle w:val="TableText"/>
              <w:snapToGrid w:val="0"/>
              <w:spacing w:before="15" w:after="15"/>
              <w:rPr>
                <w:szCs w:val="17"/>
                <w:lang w:eastAsia="en-GB"/>
              </w:rPr>
            </w:pPr>
          </w:p>
        </w:tc>
      </w:tr>
      <w:tr w:rsidR="008974E3" w:rsidRPr="0023654F" w14:paraId="70838EA9" w14:textId="77777777" w:rsidTr="00A16B86">
        <w:trPr>
          <w:cantSplit/>
        </w:trPr>
        <w:tc>
          <w:tcPr>
            <w:tcW w:w="566" w:type="dxa"/>
            <w:tcBorders>
              <w:top w:val="single" w:sz="4" w:space="0" w:color="auto"/>
              <w:left w:val="nil"/>
              <w:bottom w:val="single" w:sz="4" w:space="0" w:color="D9D9D9" w:themeColor="background1" w:themeShade="D9"/>
              <w:right w:val="single" w:sz="4" w:space="0" w:color="auto"/>
            </w:tcBorders>
          </w:tcPr>
          <w:p w14:paraId="4348D306" w14:textId="77777777" w:rsidR="008974E3" w:rsidRPr="0023654F" w:rsidRDefault="008974E3" w:rsidP="00647044">
            <w:pPr>
              <w:pStyle w:val="TableText"/>
              <w:snapToGrid w:val="0"/>
              <w:spacing w:before="15" w:after="15"/>
              <w:rPr>
                <w:lang w:eastAsia="en-GB"/>
              </w:rPr>
            </w:pPr>
            <w:r>
              <w:rPr>
                <w:lang w:eastAsia="en-GB"/>
              </w:rPr>
              <w:t>7</w:t>
            </w:r>
          </w:p>
        </w:tc>
        <w:tc>
          <w:tcPr>
            <w:tcW w:w="1419" w:type="dxa"/>
            <w:tcBorders>
              <w:top w:val="single" w:sz="4" w:space="0" w:color="auto"/>
              <w:left w:val="single" w:sz="4" w:space="0" w:color="auto"/>
              <w:bottom w:val="single" w:sz="4" w:space="0" w:color="D9D9D9" w:themeColor="background1" w:themeShade="D9"/>
              <w:right w:val="single" w:sz="4" w:space="0" w:color="auto"/>
            </w:tcBorders>
          </w:tcPr>
          <w:p w14:paraId="5BD47567" w14:textId="77777777" w:rsidR="008974E3" w:rsidRPr="00701CEA" w:rsidRDefault="008974E3" w:rsidP="00647044">
            <w:pPr>
              <w:pStyle w:val="TableText"/>
              <w:snapToGrid w:val="0"/>
              <w:spacing w:before="15" w:after="15"/>
              <w:ind w:left="177" w:hangingChars="104" w:hanging="177"/>
              <w:rPr>
                <w:szCs w:val="17"/>
              </w:rPr>
            </w:pPr>
            <w:r>
              <w:rPr>
                <w:szCs w:val="17"/>
              </w:rPr>
              <w:tab/>
              <w:t>Cash</w:t>
            </w:r>
          </w:p>
        </w:tc>
        <w:tc>
          <w:tcPr>
            <w:tcW w:w="1452" w:type="dxa"/>
            <w:tcBorders>
              <w:top w:val="single" w:sz="4" w:space="0" w:color="auto"/>
              <w:left w:val="single" w:sz="4" w:space="0" w:color="auto"/>
              <w:bottom w:val="single" w:sz="4" w:space="0" w:color="D9D9D9" w:themeColor="background1" w:themeShade="D9"/>
              <w:right w:val="single" w:sz="4" w:space="0" w:color="auto"/>
            </w:tcBorders>
          </w:tcPr>
          <w:p w14:paraId="00A8E3A9"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auto"/>
              <w:left w:val="single" w:sz="4" w:space="0" w:color="auto"/>
              <w:bottom w:val="single" w:sz="4" w:space="0" w:color="D9D9D9" w:themeColor="background1" w:themeShade="D9"/>
              <w:right w:val="single" w:sz="4" w:space="0" w:color="auto"/>
            </w:tcBorders>
          </w:tcPr>
          <w:p w14:paraId="6A328BCE" w14:textId="77777777" w:rsidR="008974E3" w:rsidRPr="00701CEA" w:rsidRDefault="008974E3" w:rsidP="00647044">
            <w:pPr>
              <w:pStyle w:val="TableText"/>
              <w:snapToGrid w:val="0"/>
              <w:spacing w:before="15" w:after="15"/>
              <w:rPr>
                <w:szCs w:val="17"/>
                <w:lang w:eastAsia="en-GB"/>
              </w:rPr>
            </w:pPr>
          </w:p>
        </w:tc>
        <w:tc>
          <w:tcPr>
            <w:tcW w:w="1452" w:type="dxa"/>
            <w:tcBorders>
              <w:top w:val="single" w:sz="4" w:space="0" w:color="auto"/>
              <w:left w:val="single" w:sz="4" w:space="0" w:color="auto"/>
              <w:bottom w:val="single" w:sz="4" w:space="0" w:color="D9D9D9" w:themeColor="background1" w:themeShade="D9"/>
              <w:right w:val="single" w:sz="4" w:space="0" w:color="auto"/>
            </w:tcBorders>
          </w:tcPr>
          <w:p w14:paraId="302A4DA2"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auto"/>
              <w:left w:val="single" w:sz="4" w:space="0" w:color="auto"/>
              <w:bottom w:val="single" w:sz="4" w:space="0" w:color="D9D9D9" w:themeColor="background1" w:themeShade="D9"/>
              <w:right w:val="single" w:sz="4" w:space="0" w:color="auto"/>
            </w:tcBorders>
          </w:tcPr>
          <w:p w14:paraId="61F0FF17"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auto"/>
              <w:left w:val="single" w:sz="4" w:space="0" w:color="auto"/>
              <w:bottom w:val="single" w:sz="4" w:space="0" w:color="D9D9D9" w:themeColor="background1" w:themeShade="D9"/>
              <w:right w:val="single" w:sz="4" w:space="0" w:color="auto"/>
            </w:tcBorders>
          </w:tcPr>
          <w:p w14:paraId="7576FAE1" w14:textId="77777777" w:rsidR="008974E3" w:rsidRPr="00701CEA" w:rsidRDefault="008974E3" w:rsidP="00647044">
            <w:pPr>
              <w:pStyle w:val="TableText"/>
              <w:snapToGrid w:val="0"/>
              <w:spacing w:before="15" w:after="15"/>
              <w:rPr>
                <w:szCs w:val="17"/>
                <w:lang w:eastAsia="en-GB"/>
              </w:rPr>
            </w:pPr>
          </w:p>
        </w:tc>
      </w:tr>
      <w:tr w:rsidR="008974E3" w:rsidRPr="0023654F" w14:paraId="086BB1F3" w14:textId="77777777" w:rsidTr="00A16B86">
        <w:trPr>
          <w:cantSplit/>
        </w:trPr>
        <w:tc>
          <w:tcPr>
            <w:tcW w:w="566" w:type="dxa"/>
            <w:tcBorders>
              <w:top w:val="single" w:sz="4" w:space="0" w:color="D9D9D9" w:themeColor="background1" w:themeShade="D9"/>
              <w:left w:val="nil"/>
              <w:bottom w:val="single" w:sz="4" w:space="0" w:color="D9D9D9" w:themeColor="background1" w:themeShade="D9"/>
              <w:right w:val="single" w:sz="4" w:space="0" w:color="auto"/>
            </w:tcBorders>
          </w:tcPr>
          <w:p w14:paraId="0204CC3B" w14:textId="77777777" w:rsidR="008974E3" w:rsidRPr="0023654F" w:rsidRDefault="008974E3" w:rsidP="00647044">
            <w:pPr>
              <w:pStyle w:val="TableText"/>
              <w:snapToGrid w:val="0"/>
              <w:spacing w:before="15" w:after="15"/>
              <w:rPr>
                <w:lang w:eastAsia="en-GB"/>
              </w:rPr>
            </w:pPr>
            <w:r>
              <w:rPr>
                <w:lang w:eastAsia="en-GB"/>
              </w:rPr>
              <w:t>8</w:t>
            </w:r>
          </w:p>
        </w:tc>
        <w:tc>
          <w:tcPr>
            <w:tcW w:w="1419"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0D1B9707" w14:textId="77777777" w:rsidR="008974E3" w:rsidRPr="00701CEA" w:rsidRDefault="008974E3" w:rsidP="00647044">
            <w:pPr>
              <w:pStyle w:val="TableText"/>
              <w:snapToGrid w:val="0"/>
              <w:spacing w:before="15" w:after="15"/>
              <w:ind w:left="177" w:hangingChars="104" w:hanging="177"/>
              <w:rPr>
                <w:szCs w:val="17"/>
              </w:rPr>
            </w:pPr>
            <w:r>
              <w:rPr>
                <w:szCs w:val="17"/>
              </w:rPr>
              <w:tab/>
              <w:t>Shares</w:t>
            </w:r>
          </w:p>
        </w:tc>
        <w:tc>
          <w:tcPr>
            <w:tcW w:w="1452"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767DA5BC"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4D4C04FD" w14:textId="77777777" w:rsidR="008974E3" w:rsidRPr="00701CEA" w:rsidRDefault="008974E3" w:rsidP="00647044">
            <w:pPr>
              <w:pStyle w:val="TableText"/>
              <w:snapToGrid w:val="0"/>
              <w:spacing w:before="15" w:after="15"/>
              <w:rPr>
                <w:szCs w:val="17"/>
                <w:lang w:eastAsia="en-GB"/>
              </w:rPr>
            </w:pPr>
          </w:p>
        </w:tc>
        <w:tc>
          <w:tcPr>
            <w:tcW w:w="1452"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78683799"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5129D2AE"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4C843ED8" w14:textId="77777777" w:rsidR="008974E3" w:rsidRPr="00701CEA" w:rsidRDefault="008974E3" w:rsidP="00647044">
            <w:pPr>
              <w:pStyle w:val="TableText"/>
              <w:snapToGrid w:val="0"/>
              <w:spacing w:before="15" w:after="15"/>
              <w:rPr>
                <w:szCs w:val="17"/>
                <w:lang w:eastAsia="en-GB"/>
              </w:rPr>
            </w:pPr>
          </w:p>
        </w:tc>
      </w:tr>
      <w:tr w:rsidR="008974E3" w:rsidRPr="0023654F" w14:paraId="0C24AAC5" w14:textId="77777777" w:rsidTr="00A16B86">
        <w:trPr>
          <w:cantSplit/>
        </w:trPr>
        <w:tc>
          <w:tcPr>
            <w:tcW w:w="566" w:type="dxa"/>
            <w:tcBorders>
              <w:top w:val="single" w:sz="4" w:space="0" w:color="D9D9D9" w:themeColor="background1" w:themeShade="D9"/>
              <w:left w:val="nil"/>
              <w:bottom w:val="single" w:sz="4" w:space="0" w:color="D9D9D9" w:themeColor="background1" w:themeShade="D9"/>
              <w:right w:val="single" w:sz="4" w:space="0" w:color="auto"/>
            </w:tcBorders>
          </w:tcPr>
          <w:p w14:paraId="269663B6" w14:textId="77777777" w:rsidR="008974E3" w:rsidRPr="0023654F" w:rsidRDefault="008974E3" w:rsidP="00647044">
            <w:pPr>
              <w:pStyle w:val="TableText"/>
              <w:snapToGrid w:val="0"/>
              <w:spacing w:before="15" w:after="15"/>
              <w:rPr>
                <w:lang w:eastAsia="en-GB"/>
              </w:rPr>
            </w:pPr>
            <w:r>
              <w:rPr>
                <w:lang w:eastAsia="en-GB"/>
              </w:rPr>
              <w:t>9</w:t>
            </w:r>
          </w:p>
        </w:tc>
        <w:tc>
          <w:tcPr>
            <w:tcW w:w="1419"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727C0BF0" w14:textId="77777777" w:rsidR="008974E3" w:rsidRPr="00701CEA" w:rsidRDefault="008974E3" w:rsidP="00647044">
            <w:pPr>
              <w:pStyle w:val="TableText"/>
              <w:snapToGrid w:val="0"/>
              <w:spacing w:before="15" w:after="15"/>
              <w:ind w:left="177" w:hangingChars="104" w:hanging="177"/>
              <w:rPr>
                <w:szCs w:val="17"/>
              </w:rPr>
            </w:pPr>
            <w:r>
              <w:rPr>
                <w:szCs w:val="17"/>
              </w:rPr>
              <w:tab/>
              <w:t>Cash-linked instruments</w:t>
            </w:r>
          </w:p>
        </w:tc>
        <w:tc>
          <w:tcPr>
            <w:tcW w:w="1452"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1BE2F9B0"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6D91A662" w14:textId="77777777" w:rsidR="008974E3" w:rsidRPr="00701CEA" w:rsidRDefault="008974E3" w:rsidP="00647044">
            <w:pPr>
              <w:pStyle w:val="TableText"/>
              <w:snapToGrid w:val="0"/>
              <w:spacing w:before="15" w:after="15"/>
              <w:rPr>
                <w:szCs w:val="17"/>
                <w:lang w:eastAsia="en-GB"/>
              </w:rPr>
            </w:pPr>
          </w:p>
        </w:tc>
        <w:tc>
          <w:tcPr>
            <w:tcW w:w="1452"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07A8E874"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75EA5E83"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D9D9D9" w:themeColor="background1" w:themeShade="D9"/>
              <w:left w:val="single" w:sz="4" w:space="0" w:color="auto"/>
              <w:bottom w:val="single" w:sz="4" w:space="0" w:color="D9D9D9" w:themeColor="background1" w:themeShade="D9"/>
              <w:right w:val="single" w:sz="4" w:space="0" w:color="auto"/>
            </w:tcBorders>
          </w:tcPr>
          <w:p w14:paraId="3B38C685" w14:textId="77777777" w:rsidR="008974E3" w:rsidRPr="00701CEA" w:rsidRDefault="008974E3" w:rsidP="00647044">
            <w:pPr>
              <w:pStyle w:val="TableText"/>
              <w:snapToGrid w:val="0"/>
              <w:spacing w:before="15" w:after="15"/>
              <w:rPr>
                <w:szCs w:val="17"/>
                <w:lang w:eastAsia="en-GB"/>
              </w:rPr>
            </w:pPr>
          </w:p>
        </w:tc>
      </w:tr>
      <w:tr w:rsidR="008974E3" w:rsidRPr="0023654F" w14:paraId="76422EFA" w14:textId="77777777" w:rsidTr="00A16B86">
        <w:trPr>
          <w:cantSplit/>
        </w:trPr>
        <w:tc>
          <w:tcPr>
            <w:tcW w:w="566" w:type="dxa"/>
            <w:tcBorders>
              <w:top w:val="single" w:sz="4" w:space="0" w:color="D9D9D9" w:themeColor="background1" w:themeShade="D9"/>
              <w:left w:val="nil"/>
              <w:bottom w:val="single" w:sz="4" w:space="0" w:color="auto"/>
              <w:right w:val="single" w:sz="4" w:space="0" w:color="auto"/>
            </w:tcBorders>
          </w:tcPr>
          <w:p w14:paraId="75B801DC" w14:textId="77777777" w:rsidR="008974E3" w:rsidRDefault="008974E3" w:rsidP="00647044">
            <w:pPr>
              <w:pStyle w:val="TableText"/>
              <w:snapToGrid w:val="0"/>
              <w:spacing w:before="15" w:after="15"/>
              <w:rPr>
                <w:lang w:eastAsia="en-GB"/>
              </w:rPr>
            </w:pPr>
            <w:r>
              <w:rPr>
                <w:lang w:eastAsia="en-GB"/>
              </w:rPr>
              <w:t>10</w:t>
            </w:r>
          </w:p>
        </w:tc>
        <w:tc>
          <w:tcPr>
            <w:tcW w:w="1419" w:type="dxa"/>
            <w:tcBorders>
              <w:top w:val="single" w:sz="4" w:space="0" w:color="D9D9D9" w:themeColor="background1" w:themeShade="D9"/>
              <w:left w:val="single" w:sz="4" w:space="0" w:color="auto"/>
              <w:bottom w:val="single" w:sz="4" w:space="0" w:color="auto"/>
              <w:right w:val="single" w:sz="4" w:space="0" w:color="auto"/>
            </w:tcBorders>
          </w:tcPr>
          <w:p w14:paraId="2F2C3AE7" w14:textId="77777777" w:rsidR="008974E3" w:rsidRPr="00701CEA" w:rsidRDefault="008974E3" w:rsidP="00647044">
            <w:pPr>
              <w:pStyle w:val="TableText"/>
              <w:snapToGrid w:val="0"/>
              <w:spacing w:before="15" w:after="15"/>
              <w:ind w:left="177" w:hangingChars="104" w:hanging="177"/>
              <w:rPr>
                <w:szCs w:val="17"/>
              </w:rPr>
            </w:pPr>
            <w:r>
              <w:rPr>
                <w:szCs w:val="17"/>
              </w:rPr>
              <w:tab/>
            </w:r>
            <w:r w:rsidRPr="00701CEA">
              <w:rPr>
                <w:szCs w:val="17"/>
              </w:rPr>
              <w:t>Other</w:t>
            </w:r>
          </w:p>
        </w:tc>
        <w:tc>
          <w:tcPr>
            <w:tcW w:w="1452" w:type="dxa"/>
            <w:tcBorders>
              <w:top w:val="single" w:sz="4" w:space="0" w:color="D9D9D9" w:themeColor="background1" w:themeShade="D9"/>
              <w:left w:val="single" w:sz="4" w:space="0" w:color="auto"/>
              <w:bottom w:val="single" w:sz="4" w:space="0" w:color="auto"/>
              <w:right w:val="single" w:sz="4" w:space="0" w:color="auto"/>
            </w:tcBorders>
          </w:tcPr>
          <w:p w14:paraId="4EDC6BA3"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D9D9D9" w:themeColor="background1" w:themeShade="D9"/>
              <w:left w:val="single" w:sz="4" w:space="0" w:color="auto"/>
              <w:bottom w:val="single" w:sz="4" w:space="0" w:color="auto"/>
              <w:right w:val="single" w:sz="4" w:space="0" w:color="auto"/>
            </w:tcBorders>
          </w:tcPr>
          <w:p w14:paraId="791A1D22" w14:textId="77777777" w:rsidR="008974E3" w:rsidRPr="00701CEA" w:rsidRDefault="008974E3" w:rsidP="00647044">
            <w:pPr>
              <w:pStyle w:val="TableText"/>
              <w:snapToGrid w:val="0"/>
              <w:spacing w:before="15" w:after="15"/>
              <w:rPr>
                <w:szCs w:val="17"/>
                <w:lang w:eastAsia="en-GB"/>
              </w:rPr>
            </w:pPr>
          </w:p>
        </w:tc>
        <w:tc>
          <w:tcPr>
            <w:tcW w:w="1452" w:type="dxa"/>
            <w:tcBorders>
              <w:top w:val="single" w:sz="4" w:space="0" w:color="D9D9D9" w:themeColor="background1" w:themeShade="D9"/>
              <w:left w:val="single" w:sz="4" w:space="0" w:color="auto"/>
              <w:bottom w:val="single" w:sz="4" w:space="0" w:color="auto"/>
              <w:right w:val="single" w:sz="4" w:space="0" w:color="auto"/>
            </w:tcBorders>
          </w:tcPr>
          <w:p w14:paraId="79DCA825"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D9D9D9" w:themeColor="background1" w:themeShade="D9"/>
              <w:left w:val="single" w:sz="4" w:space="0" w:color="auto"/>
              <w:bottom w:val="single" w:sz="4" w:space="0" w:color="auto"/>
              <w:right w:val="single" w:sz="4" w:space="0" w:color="auto"/>
            </w:tcBorders>
          </w:tcPr>
          <w:p w14:paraId="212B8AF4" w14:textId="77777777" w:rsidR="008974E3" w:rsidRPr="00701CEA" w:rsidRDefault="008974E3" w:rsidP="00647044">
            <w:pPr>
              <w:pStyle w:val="TableText"/>
              <w:snapToGrid w:val="0"/>
              <w:spacing w:before="15" w:after="15"/>
              <w:rPr>
                <w:szCs w:val="17"/>
                <w:lang w:eastAsia="en-GB"/>
              </w:rPr>
            </w:pPr>
          </w:p>
        </w:tc>
        <w:tc>
          <w:tcPr>
            <w:tcW w:w="1453" w:type="dxa"/>
            <w:tcBorders>
              <w:top w:val="single" w:sz="4" w:space="0" w:color="D9D9D9" w:themeColor="background1" w:themeShade="D9"/>
              <w:left w:val="single" w:sz="4" w:space="0" w:color="auto"/>
              <w:bottom w:val="single" w:sz="4" w:space="0" w:color="auto"/>
              <w:right w:val="single" w:sz="4" w:space="0" w:color="auto"/>
            </w:tcBorders>
          </w:tcPr>
          <w:p w14:paraId="1E7E81B1" w14:textId="77777777" w:rsidR="008974E3" w:rsidRPr="00701CEA" w:rsidRDefault="008974E3" w:rsidP="00647044">
            <w:pPr>
              <w:pStyle w:val="TableText"/>
              <w:snapToGrid w:val="0"/>
              <w:spacing w:before="15" w:after="15"/>
              <w:rPr>
                <w:szCs w:val="17"/>
                <w:lang w:eastAsia="en-GB"/>
              </w:rPr>
            </w:pPr>
          </w:p>
        </w:tc>
      </w:tr>
      <w:tr w:rsidR="008974E3" w:rsidRPr="0023654F" w14:paraId="29D98436" w14:textId="77777777" w:rsidTr="00A16B86">
        <w:trPr>
          <w:cantSplit/>
        </w:trPr>
        <w:tc>
          <w:tcPr>
            <w:tcW w:w="566" w:type="dxa"/>
            <w:tcBorders>
              <w:top w:val="single" w:sz="4" w:space="0" w:color="auto"/>
              <w:left w:val="nil"/>
              <w:bottom w:val="single" w:sz="4" w:space="0" w:color="auto"/>
              <w:right w:val="single" w:sz="4" w:space="0" w:color="auto"/>
            </w:tcBorders>
            <w:shd w:val="clear" w:color="auto" w:fill="D9D9D9" w:themeFill="background1" w:themeFillShade="D9"/>
          </w:tcPr>
          <w:p w14:paraId="64111831" w14:textId="77777777" w:rsidR="008974E3" w:rsidRPr="00701CEA" w:rsidRDefault="008974E3" w:rsidP="00647044">
            <w:pPr>
              <w:pStyle w:val="TableText"/>
              <w:snapToGrid w:val="0"/>
              <w:spacing w:before="15" w:after="15"/>
              <w:rPr>
                <w:b/>
                <w:lang w:eastAsia="en-GB"/>
              </w:rPr>
            </w:pPr>
            <w:r w:rsidRPr="00701CEA">
              <w:rPr>
                <w:b/>
                <w:lang w:eastAsia="en-GB"/>
              </w:rPr>
              <w:t>11</w:t>
            </w:r>
          </w:p>
        </w:tc>
        <w:tc>
          <w:tcPr>
            <w:tcW w:w="14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D9F4E0" w14:textId="77777777" w:rsidR="008974E3" w:rsidRPr="00701CEA" w:rsidRDefault="008974E3" w:rsidP="00647044">
            <w:pPr>
              <w:pStyle w:val="TableText"/>
              <w:snapToGrid w:val="0"/>
              <w:spacing w:before="15" w:after="15"/>
              <w:ind w:rightChars="-54" w:right="-108"/>
              <w:rPr>
                <w:b/>
                <w:lang w:eastAsia="en-GB"/>
              </w:rPr>
            </w:pPr>
            <w:r>
              <w:rPr>
                <w:b/>
                <w:lang w:eastAsia="en-GB"/>
              </w:rPr>
              <w:t>Total</w:t>
            </w:r>
          </w:p>
        </w:tc>
        <w:tc>
          <w:tcPr>
            <w:tcW w:w="14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9436DB" w14:textId="77777777" w:rsidR="008974E3" w:rsidRPr="00701CEA" w:rsidRDefault="008974E3" w:rsidP="00647044">
            <w:pPr>
              <w:pStyle w:val="TableText"/>
              <w:snapToGrid w:val="0"/>
              <w:spacing w:before="15" w:after="15"/>
              <w:rPr>
                <w:b/>
                <w:szCs w:val="17"/>
                <w:lang w:eastAsia="en-GB"/>
              </w:rPr>
            </w:pPr>
          </w:p>
        </w:tc>
        <w:tc>
          <w:tcPr>
            <w:tcW w:w="14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091E3C" w14:textId="77777777" w:rsidR="008974E3" w:rsidRPr="00701CEA" w:rsidRDefault="008974E3" w:rsidP="00647044">
            <w:pPr>
              <w:pStyle w:val="TableText"/>
              <w:snapToGrid w:val="0"/>
              <w:spacing w:before="15" w:after="15"/>
              <w:rPr>
                <w:b/>
                <w:szCs w:val="17"/>
                <w:lang w:eastAsia="en-GB"/>
              </w:rPr>
            </w:pPr>
          </w:p>
        </w:tc>
        <w:tc>
          <w:tcPr>
            <w:tcW w:w="14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D9EA38" w14:textId="77777777" w:rsidR="008974E3" w:rsidRPr="00701CEA" w:rsidRDefault="008974E3" w:rsidP="00647044">
            <w:pPr>
              <w:pStyle w:val="TableText"/>
              <w:snapToGrid w:val="0"/>
              <w:spacing w:before="15" w:after="15"/>
              <w:rPr>
                <w:b/>
                <w:szCs w:val="17"/>
                <w:lang w:eastAsia="en-GB"/>
              </w:rPr>
            </w:pPr>
          </w:p>
        </w:tc>
        <w:tc>
          <w:tcPr>
            <w:tcW w:w="14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FB3B17" w14:textId="77777777" w:rsidR="008974E3" w:rsidRPr="00701CEA" w:rsidRDefault="008974E3" w:rsidP="00647044">
            <w:pPr>
              <w:pStyle w:val="TableText"/>
              <w:snapToGrid w:val="0"/>
              <w:spacing w:before="15" w:after="15"/>
              <w:rPr>
                <w:b/>
                <w:szCs w:val="17"/>
                <w:lang w:eastAsia="en-GB"/>
              </w:rPr>
            </w:pPr>
          </w:p>
        </w:tc>
        <w:tc>
          <w:tcPr>
            <w:tcW w:w="14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16A58B" w14:textId="77777777" w:rsidR="008974E3" w:rsidRPr="00701CEA" w:rsidRDefault="008974E3" w:rsidP="00647044">
            <w:pPr>
              <w:pStyle w:val="TableText"/>
              <w:snapToGrid w:val="0"/>
              <w:spacing w:before="15" w:after="15"/>
              <w:rPr>
                <w:b/>
                <w:szCs w:val="17"/>
                <w:lang w:eastAsia="en-GB"/>
              </w:rPr>
            </w:pPr>
          </w:p>
        </w:tc>
      </w:tr>
    </w:tbl>
    <w:p w14:paraId="18B1E6BC" w14:textId="77777777" w:rsidR="008974E3" w:rsidRDefault="008974E3" w:rsidP="008974E3">
      <w:pPr>
        <w:spacing w:before="120" w:after="120"/>
        <w:ind w:leftChars="-283" w:left="-566"/>
        <w:rPr>
          <w:sz w:val="22"/>
        </w:rPr>
      </w:pPr>
    </w:p>
    <w:tbl>
      <w:tblPr>
        <w:tblStyle w:val="TableGrid8"/>
        <w:tblW w:w="9214" w:type="dxa"/>
        <w:tblInd w:w="-459" w:type="dxa"/>
        <w:tblLook w:val="04A0" w:firstRow="1" w:lastRow="0" w:firstColumn="1" w:lastColumn="0" w:noHBand="0" w:noVBand="1"/>
      </w:tblPr>
      <w:tblGrid>
        <w:gridCol w:w="567"/>
        <w:gridCol w:w="8647"/>
      </w:tblGrid>
      <w:tr w:rsidR="00420454" w:rsidRPr="00420454" w14:paraId="5755202A" w14:textId="77777777" w:rsidTr="00420454">
        <w:trPr>
          <w:tblHeader/>
        </w:trPr>
        <w:tc>
          <w:tcPr>
            <w:tcW w:w="9214" w:type="dxa"/>
            <w:gridSpan w:val="2"/>
            <w:shd w:val="clear" w:color="auto" w:fill="BFBFBF"/>
          </w:tcPr>
          <w:p w14:paraId="4C6199C6" w14:textId="77777777" w:rsidR="00420454" w:rsidRPr="00420454" w:rsidRDefault="00420454" w:rsidP="00420454">
            <w:pPr>
              <w:spacing w:before="40" w:after="40"/>
              <w:jc w:val="both"/>
              <w:rPr>
                <w:rFonts w:eastAsia="新細明體"/>
                <w:b/>
                <w:sz w:val="17"/>
                <w:szCs w:val="17"/>
                <w:lang w:eastAsia="en-GB"/>
              </w:rPr>
            </w:pPr>
            <w:r w:rsidRPr="00420454">
              <w:rPr>
                <w:rFonts w:eastAsia="新細明體"/>
                <w:b/>
                <w:sz w:val="17"/>
                <w:szCs w:val="17"/>
                <w:lang w:eastAsia="en-GB"/>
              </w:rPr>
              <w:t>Explanatory Note</w:t>
            </w:r>
          </w:p>
        </w:tc>
      </w:tr>
      <w:tr w:rsidR="00420454" w:rsidRPr="00420454" w14:paraId="1232CAAE" w14:textId="77777777" w:rsidTr="00420454">
        <w:trPr>
          <w:trHeight w:val="153"/>
        </w:trPr>
        <w:tc>
          <w:tcPr>
            <w:tcW w:w="9214" w:type="dxa"/>
            <w:gridSpan w:val="2"/>
            <w:shd w:val="clear" w:color="auto" w:fill="F2F2F2"/>
          </w:tcPr>
          <w:p w14:paraId="77BFBFEC" w14:textId="77777777" w:rsidR="00420454" w:rsidRPr="00420454" w:rsidRDefault="00420454" w:rsidP="00420454">
            <w:pPr>
              <w:spacing w:before="40" w:after="40"/>
              <w:jc w:val="both"/>
              <w:rPr>
                <w:rFonts w:eastAsia="新細明體"/>
                <w:b/>
                <w:sz w:val="17"/>
                <w:szCs w:val="17"/>
                <w:lang w:eastAsia="en-GB"/>
              </w:rPr>
            </w:pPr>
            <w:r w:rsidRPr="00420454">
              <w:rPr>
                <w:rFonts w:eastAsia="新細明體"/>
                <w:b/>
                <w:sz w:val="17"/>
                <w:szCs w:val="17"/>
                <w:lang w:eastAsia="en-GB"/>
              </w:rPr>
              <w:t>Columns</w:t>
            </w:r>
          </w:p>
        </w:tc>
      </w:tr>
      <w:tr w:rsidR="00420454" w:rsidRPr="00420454" w14:paraId="38BDA48A" w14:textId="77777777" w:rsidTr="00126350">
        <w:tc>
          <w:tcPr>
            <w:tcW w:w="567" w:type="dxa"/>
          </w:tcPr>
          <w:p w14:paraId="4196381F" w14:textId="77777777" w:rsidR="00420454" w:rsidRPr="00420454" w:rsidRDefault="00420454" w:rsidP="00420454">
            <w:pPr>
              <w:keepLines/>
              <w:widowControl w:val="0"/>
              <w:tabs>
                <w:tab w:val="left" w:pos="794"/>
                <w:tab w:val="left" w:pos="1191"/>
              </w:tabs>
              <w:spacing w:before="40" w:after="40"/>
              <w:ind w:rightChars="-54" w:right="-108"/>
              <w:rPr>
                <w:rFonts w:cs="Segoe UI"/>
                <w:sz w:val="17"/>
                <w:szCs w:val="17"/>
                <w:lang w:eastAsia="en-GB"/>
              </w:rPr>
            </w:pPr>
            <w:r w:rsidRPr="00420454">
              <w:rPr>
                <w:rFonts w:cs="Segoe UI"/>
                <w:sz w:val="17"/>
                <w:szCs w:val="17"/>
                <w:lang w:eastAsia="en-GB"/>
              </w:rPr>
              <w:t>(a)</w:t>
            </w:r>
          </w:p>
        </w:tc>
        <w:tc>
          <w:tcPr>
            <w:tcW w:w="8647" w:type="dxa"/>
          </w:tcPr>
          <w:p w14:paraId="3AF3DEF8" w14:textId="77777777" w:rsidR="00420454" w:rsidRPr="00420454" w:rsidRDefault="00420454" w:rsidP="00420454">
            <w:pPr>
              <w:keepNext/>
              <w:spacing w:before="40" w:after="40"/>
              <w:jc w:val="both"/>
              <w:rPr>
                <w:sz w:val="17"/>
                <w:szCs w:val="17"/>
              </w:rPr>
            </w:pPr>
            <w:r w:rsidRPr="00420454">
              <w:rPr>
                <w:rFonts w:eastAsia="新細明體" w:cs="Segoe UI"/>
                <w:color w:val="000000"/>
                <w:sz w:val="17"/>
                <w:szCs w:val="17"/>
                <w:lang w:eastAsia="zh-TW"/>
              </w:rPr>
              <w:t>This column should report the amounts of deferred remuneration accrued (cumulated) over the previous years as of the reporting date.</w:t>
            </w:r>
          </w:p>
        </w:tc>
      </w:tr>
      <w:tr w:rsidR="00420454" w:rsidRPr="00420454" w14:paraId="006CFA15" w14:textId="77777777" w:rsidTr="00126350">
        <w:tc>
          <w:tcPr>
            <w:tcW w:w="567" w:type="dxa"/>
          </w:tcPr>
          <w:p w14:paraId="5E5E10CE" w14:textId="77777777" w:rsidR="00420454" w:rsidRPr="00420454" w:rsidRDefault="00420454" w:rsidP="00420454">
            <w:pPr>
              <w:keepLines/>
              <w:widowControl w:val="0"/>
              <w:tabs>
                <w:tab w:val="left" w:pos="794"/>
                <w:tab w:val="left" w:pos="1191"/>
              </w:tabs>
              <w:spacing w:before="40" w:after="40"/>
              <w:ind w:rightChars="-54" w:right="-108"/>
              <w:rPr>
                <w:rFonts w:cs="Segoe UI"/>
                <w:sz w:val="17"/>
                <w:szCs w:val="17"/>
                <w:lang w:eastAsia="en-GB"/>
              </w:rPr>
            </w:pPr>
            <w:r w:rsidRPr="00420454">
              <w:rPr>
                <w:rFonts w:cs="Segoe UI"/>
                <w:sz w:val="17"/>
                <w:szCs w:val="17"/>
                <w:lang w:eastAsia="en-GB"/>
              </w:rPr>
              <w:lastRenderedPageBreak/>
              <w:t>(b)</w:t>
            </w:r>
          </w:p>
        </w:tc>
        <w:tc>
          <w:tcPr>
            <w:tcW w:w="8647" w:type="dxa"/>
          </w:tcPr>
          <w:p w14:paraId="59B7A466" w14:textId="77777777" w:rsidR="00420454" w:rsidRPr="00420454" w:rsidRDefault="00420454" w:rsidP="00420454">
            <w:pPr>
              <w:keepNext/>
              <w:spacing w:before="40" w:after="40"/>
              <w:jc w:val="both"/>
              <w:rPr>
                <w:rFonts w:eastAsia="新細明體" w:cs="Segoe UI"/>
                <w:color w:val="000000"/>
                <w:sz w:val="17"/>
                <w:szCs w:val="17"/>
                <w:lang w:eastAsia="zh-TW"/>
              </w:rPr>
            </w:pPr>
            <w:r w:rsidRPr="00420454">
              <w:rPr>
                <w:rFonts w:eastAsia="新細明體" w:cs="Segoe UI"/>
                <w:color w:val="000000"/>
                <w:sz w:val="17"/>
                <w:szCs w:val="17"/>
                <w:lang w:eastAsia="zh-TW"/>
              </w:rPr>
              <w:t>The amount reported in this column is a subset of that reported in column (a) which is subject to the following:</w:t>
            </w:r>
          </w:p>
          <w:p w14:paraId="752AB6AA" w14:textId="77777777" w:rsidR="00420454" w:rsidRPr="00420454" w:rsidRDefault="00420454" w:rsidP="008D652E">
            <w:pPr>
              <w:widowControl w:val="0"/>
              <w:numPr>
                <w:ilvl w:val="0"/>
                <w:numId w:val="64"/>
              </w:numPr>
              <w:tabs>
                <w:tab w:val="left" w:pos="459"/>
              </w:tabs>
              <w:autoSpaceDE w:val="0"/>
              <w:autoSpaceDN w:val="0"/>
              <w:adjustRightInd w:val="0"/>
              <w:ind w:left="459" w:hanging="459"/>
              <w:jc w:val="both"/>
              <w:rPr>
                <w:rFonts w:eastAsia="新細明體" w:cs="Segoe UI"/>
                <w:color w:val="000000"/>
                <w:sz w:val="17"/>
                <w:szCs w:val="17"/>
                <w:lang w:eastAsia="zh-TW"/>
              </w:rPr>
            </w:pPr>
            <w:r w:rsidRPr="00420454">
              <w:rPr>
                <w:rFonts w:eastAsia="新細明體" w:cs="Segoe UI"/>
                <w:i/>
                <w:iCs/>
                <w:color w:val="000000"/>
                <w:sz w:val="17"/>
                <w:szCs w:val="17"/>
                <w:lang w:eastAsia="zh-TW"/>
              </w:rPr>
              <w:t>Outstanding exposed to ex post explicit adjustment</w:t>
            </w:r>
            <w:r w:rsidRPr="00420454">
              <w:rPr>
                <w:rFonts w:eastAsia="新細明體" w:cs="Segoe UI"/>
                <w:iCs/>
                <w:color w:val="000000"/>
                <w:sz w:val="17"/>
                <w:szCs w:val="17"/>
                <w:lang w:eastAsia="zh-TW"/>
              </w:rPr>
              <w:t>:</w:t>
            </w:r>
            <w:r w:rsidRPr="00420454">
              <w:rPr>
                <w:rFonts w:eastAsia="新細明體" w:cs="Segoe UI"/>
                <w:i/>
                <w:iCs/>
                <w:color w:val="000000"/>
                <w:sz w:val="17"/>
                <w:szCs w:val="17"/>
                <w:lang w:eastAsia="zh-TW"/>
              </w:rPr>
              <w:t xml:space="preserve"> </w:t>
            </w:r>
            <w:r w:rsidRPr="00420454">
              <w:rPr>
                <w:rFonts w:eastAsia="新細明體" w:cs="Segoe UI"/>
                <w:color w:val="000000"/>
                <w:sz w:val="17"/>
                <w:szCs w:val="17"/>
                <w:lang w:eastAsia="zh-TW"/>
              </w:rPr>
              <w:t xml:space="preserve">part of the deferred and retained remuneration that is subject to direct adjustment clauses (for instance, subject to malus, clawbacks or similar reversal or downward revaluations of awards). </w:t>
            </w:r>
          </w:p>
          <w:p w14:paraId="02AEA141" w14:textId="77777777" w:rsidR="00420454" w:rsidRPr="00420454" w:rsidRDefault="00420454" w:rsidP="008D652E">
            <w:pPr>
              <w:widowControl w:val="0"/>
              <w:numPr>
                <w:ilvl w:val="0"/>
                <w:numId w:val="64"/>
              </w:numPr>
              <w:tabs>
                <w:tab w:val="left" w:pos="459"/>
              </w:tabs>
              <w:autoSpaceDE w:val="0"/>
              <w:autoSpaceDN w:val="0"/>
              <w:adjustRightInd w:val="0"/>
              <w:ind w:left="459" w:hanging="459"/>
              <w:jc w:val="both"/>
              <w:rPr>
                <w:rFonts w:eastAsia="新細明體" w:cs="Segoe UI"/>
                <w:color w:val="000000"/>
                <w:sz w:val="17"/>
                <w:szCs w:val="17"/>
                <w:lang w:eastAsia="zh-TW"/>
              </w:rPr>
            </w:pPr>
            <w:r w:rsidRPr="00420454">
              <w:rPr>
                <w:rFonts w:eastAsia="新細明體" w:cs="Segoe UI"/>
                <w:i/>
                <w:color w:val="000000"/>
                <w:sz w:val="17"/>
                <w:szCs w:val="17"/>
                <w:lang w:eastAsia="zh-TW"/>
              </w:rPr>
              <w:t>Outstanding</w:t>
            </w:r>
            <w:r w:rsidRPr="00420454">
              <w:rPr>
                <w:rFonts w:eastAsia="新細明體" w:cs="Segoe UI"/>
                <w:i/>
                <w:iCs/>
                <w:color w:val="000000"/>
                <w:sz w:val="17"/>
                <w:szCs w:val="17"/>
                <w:lang w:eastAsia="zh-TW"/>
              </w:rPr>
              <w:t xml:space="preserve"> exposed to ex post implicit adjustment</w:t>
            </w:r>
            <w:r w:rsidRPr="00420454">
              <w:rPr>
                <w:rFonts w:eastAsia="新細明體" w:cs="Segoe UI"/>
                <w:iCs/>
                <w:color w:val="000000"/>
                <w:sz w:val="17"/>
                <w:szCs w:val="17"/>
                <w:lang w:eastAsia="zh-TW"/>
              </w:rPr>
              <w:t>:</w:t>
            </w:r>
            <w:r w:rsidRPr="00420454">
              <w:rPr>
                <w:rFonts w:eastAsia="新細明體" w:cs="Segoe UI"/>
                <w:i/>
                <w:iCs/>
                <w:color w:val="000000"/>
                <w:sz w:val="17"/>
                <w:szCs w:val="17"/>
                <w:lang w:eastAsia="zh-TW"/>
              </w:rPr>
              <w:t xml:space="preserve"> </w:t>
            </w:r>
            <w:r w:rsidRPr="00420454">
              <w:rPr>
                <w:rFonts w:eastAsia="新細明體" w:cs="Segoe UI"/>
                <w:color w:val="000000"/>
                <w:sz w:val="17"/>
                <w:szCs w:val="17"/>
                <w:lang w:eastAsia="zh-TW"/>
              </w:rPr>
              <w:t>part of the deferred and retained remuneration that is subject to adjustment clauses that could change the remuneration, due to the fact that they are linked to the performance of other indicators (for instance, fluctuation in the value of shares performance or performance units).</w:t>
            </w:r>
          </w:p>
        </w:tc>
      </w:tr>
      <w:tr w:rsidR="00420454" w:rsidRPr="00420454" w14:paraId="56693965" w14:textId="77777777" w:rsidTr="00126350">
        <w:tc>
          <w:tcPr>
            <w:tcW w:w="567" w:type="dxa"/>
          </w:tcPr>
          <w:p w14:paraId="6FC2A556" w14:textId="77777777" w:rsidR="00420454" w:rsidRPr="00420454" w:rsidRDefault="00420454" w:rsidP="00420454">
            <w:pPr>
              <w:keepLines/>
              <w:widowControl w:val="0"/>
              <w:tabs>
                <w:tab w:val="left" w:pos="794"/>
                <w:tab w:val="left" w:pos="1191"/>
              </w:tabs>
              <w:spacing w:before="40" w:after="40"/>
              <w:ind w:rightChars="-54" w:right="-108"/>
              <w:rPr>
                <w:rFonts w:cs="Segoe UI"/>
                <w:sz w:val="17"/>
                <w:szCs w:val="17"/>
                <w:lang w:eastAsia="en-GB"/>
              </w:rPr>
            </w:pPr>
            <w:r w:rsidRPr="00420454">
              <w:rPr>
                <w:rFonts w:cs="Segoe UI"/>
                <w:sz w:val="17"/>
                <w:szCs w:val="17"/>
                <w:lang w:eastAsia="en-GB"/>
              </w:rPr>
              <w:t>(c)</w:t>
            </w:r>
          </w:p>
        </w:tc>
        <w:tc>
          <w:tcPr>
            <w:tcW w:w="8647" w:type="dxa"/>
          </w:tcPr>
          <w:p w14:paraId="194DBD70" w14:textId="77777777" w:rsidR="00420454" w:rsidRPr="00420454" w:rsidRDefault="00420454" w:rsidP="00420454">
            <w:pPr>
              <w:keepNext/>
              <w:spacing w:before="40" w:after="40"/>
              <w:jc w:val="both"/>
              <w:rPr>
                <w:rFonts w:cs="Segoe UI"/>
                <w:sz w:val="17"/>
                <w:szCs w:val="17"/>
              </w:rPr>
            </w:pPr>
            <w:r w:rsidRPr="00420454">
              <w:rPr>
                <w:rFonts w:cs="Segoe UI"/>
                <w:sz w:val="17"/>
                <w:szCs w:val="17"/>
              </w:rPr>
              <w:t xml:space="preserve">The definition in explanatory note (b)(i) above applies.  It shows the </w:t>
            </w:r>
            <w:r w:rsidRPr="00420454">
              <w:rPr>
                <w:rFonts w:eastAsia="新細明體" w:cs="Segoe UI"/>
                <w:color w:val="000000"/>
                <w:sz w:val="17"/>
                <w:szCs w:val="17"/>
                <w:lang w:eastAsia="zh-TW"/>
              </w:rPr>
              <w:t>movements specifically related to column (b) during the financial year.</w:t>
            </w:r>
          </w:p>
        </w:tc>
      </w:tr>
      <w:tr w:rsidR="00420454" w:rsidRPr="00420454" w14:paraId="3F5E5C2B" w14:textId="77777777" w:rsidTr="00126350">
        <w:tc>
          <w:tcPr>
            <w:tcW w:w="567" w:type="dxa"/>
          </w:tcPr>
          <w:p w14:paraId="1DCBAB04" w14:textId="77777777" w:rsidR="00420454" w:rsidRPr="00420454" w:rsidRDefault="00420454" w:rsidP="00420454">
            <w:pPr>
              <w:keepLines/>
              <w:widowControl w:val="0"/>
              <w:tabs>
                <w:tab w:val="left" w:pos="794"/>
                <w:tab w:val="left" w:pos="1191"/>
              </w:tabs>
              <w:spacing w:before="40" w:after="40"/>
              <w:ind w:rightChars="-54" w:right="-108"/>
              <w:rPr>
                <w:rFonts w:cs="Segoe UI"/>
                <w:sz w:val="17"/>
                <w:szCs w:val="17"/>
                <w:lang w:eastAsia="en-GB"/>
              </w:rPr>
            </w:pPr>
            <w:r w:rsidRPr="00420454">
              <w:rPr>
                <w:rFonts w:cs="Segoe UI"/>
                <w:sz w:val="17"/>
                <w:szCs w:val="17"/>
                <w:lang w:eastAsia="en-GB"/>
              </w:rPr>
              <w:t>(d)</w:t>
            </w:r>
          </w:p>
        </w:tc>
        <w:tc>
          <w:tcPr>
            <w:tcW w:w="8647" w:type="dxa"/>
          </w:tcPr>
          <w:p w14:paraId="296C6B55" w14:textId="77777777" w:rsidR="00420454" w:rsidRPr="00420454" w:rsidRDefault="00420454" w:rsidP="00420454">
            <w:pPr>
              <w:keepNext/>
              <w:spacing w:before="40" w:after="40"/>
              <w:jc w:val="both"/>
              <w:rPr>
                <w:sz w:val="17"/>
                <w:szCs w:val="17"/>
              </w:rPr>
            </w:pPr>
            <w:r w:rsidRPr="00420454">
              <w:rPr>
                <w:sz w:val="17"/>
                <w:szCs w:val="17"/>
              </w:rPr>
              <w:t>The definition in explanatory note (b)(ii) above applies.  It shows the movements specifically related to column (b) during the financial year.</w:t>
            </w:r>
          </w:p>
        </w:tc>
      </w:tr>
      <w:tr w:rsidR="00420454" w:rsidRPr="00420454" w14:paraId="20FE730E" w14:textId="77777777" w:rsidTr="00126350">
        <w:tc>
          <w:tcPr>
            <w:tcW w:w="567" w:type="dxa"/>
          </w:tcPr>
          <w:p w14:paraId="2202B19E" w14:textId="77777777" w:rsidR="00420454" w:rsidRPr="00420454" w:rsidRDefault="00420454" w:rsidP="00420454">
            <w:pPr>
              <w:keepLines/>
              <w:widowControl w:val="0"/>
              <w:tabs>
                <w:tab w:val="left" w:pos="794"/>
                <w:tab w:val="left" w:pos="1191"/>
              </w:tabs>
              <w:spacing w:before="40" w:after="40"/>
              <w:ind w:rightChars="-54" w:right="-108"/>
              <w:rPr>
                <w:rFonts w:cs="Segoe UI"/>
                <w:sz w:val="17"/>
                <w:szCs w:val="17"/>
                <w:lang w:eastAsia="en-GB"/>
              </w:rPr>
            </w:pPr>
            <w:r w:rsidRPr="00420454">
              <w:rPr>
                <w:rFonts w:cs="Segoe UI"/>
                <w:sz w:val="17"/>
                <w:szCs w:val="17"/>
                <w:lang w:eastAsia="en-GB"/>
              </w:rPr>
              <w:t>(e)</w:t>
            </w:r>
          </w:p>
        </w:tc>
        <w:tc>
          <w:tcPr>
            <w:tcW w:w="8647" w:type="dxa"/>
          </w:tcPr>
          <w:p w14:paraId="5C64C5A0" w14:textId="77777777" w:rsidR="00420454" w:rsidRPr="00420454" w:rsidRDefault="00420454" w:rsidP="00420454">
            <w:pPr>
              <w:keepNext/>
              <w:spacing w:before="40" w:after="40"/>
              <w:jc w:val="both"/>
              <w:rPr>
                <w:sz w:val="17"/>
                <w:szCs w:val="17"/>
              </w:rPr>
            </w:pPr>
            <w:r w:rsidRPr="00420454">
              <w:rPr>
                <w:sz w:val="17"/>
                <w:szCs w:val="17"/>
              </w:rPr>
              <w:t>This column, which shows the movements during the financial year, represents the payments that have affected the value disclosed in column (a).</w:t>
            </w:r>
          </w:p>
        </w:tc>
      </w:tr>
      <w:tr w:rsidR="00420454" w:rsidRPr="00420454" w14:paraId="311AF141" w14:textId="77777777" w:rsidTr="00420454">
        <w:tc>
          <w:tcPr>
            <w:tcW w:w="9214" w:type="dxa"/>
            <w:gridSpan w:val="2"/>
            <w:shd w:val="clear" w:color="auto" w:fill="F2F2F2"/>
          </w:tcPr>
          <w:p w14:paraId="5C909116" w14:textId="77777777" w:rsidR="00420454" w:rsidRPr="00420454" w:rsidRDefault="00420454" w:rsidP="00420454">
            <w:pPr>
              <w:spacing w:before="40" w:after="40"/>
              <w:jc w:val="both"/>
              <w:rPr>
                <w:szCs w:val="17"/>
              </w:rPr>
            </w:pPr>
            <w:r w:rsidRPr="00420454">
              <w:rPr>
                <w:rFonts w:eastAsia="新細明體"/>
                <w:b/>
                <w:sz w:val="17"/>
                <w:szCs w:val="17"/>
                <w:lang w:eastAsia="en-GB"/>
              </w:rPr>
              <w:t>Rows</w:t>
            </w:r>
          </w:p>
        </w:tc>
      </w:tr>
      <w:tr w:rsidR="00420454" w:rsidRPr="00420454" w14:paraId="3CFFF429" w14:textId="77777777" w:rsidTr="00126350">
        <w:tc>
          <w:tcPr>
            <w:tcW w:w="567" w:type="dxa"/>
          </w:tcPr>
          <w:p w14:paraId="71A6128B" w14:textId="77777777" w:rsidR="00420454" w:rsidRPr="00420454" w:rsidRDefault="00420454" w:rsidP="00420454">
            <w:pPr>
              <w:keepLines/>
              <w:widowControl w:val="0"/>
              <w:tabs>
                <w:tab w:val="left" w:pos="794"/>
                <w:tab w:val="left" w:pos="1191"/>
              </w:tabs>
              <w:spacing w:before="40" w:after="40"/>
              <w:ind w:rightChars="-54" w:right="-108"/>
              <w:rPr>
                <w:rFonts w:cs="Segoe UI"/>
                <w:sz w:val="17"/>
                <w:szCs w:val="17"/>
                <w:lang w:eastAsia="en-GB"/>
              </w:rPr>
            </w:pPr>
            <w:r w:rsidRPr="00420454">
              <w:rPr>
                <w:rFonts w:cs="Segoe UI"/>
                <w:sz w:val="17"/>
                <w:szCs w:val="17"/>
                <w:lang w:eastAsia="en-GB"/>
              </w:rPr>
              <w:t>1</w:t>
            </w:r>
          </w:p>
        </w:tc>
        <w:tc>
          <w:tcPr>
            <w:tcW w:w="8647" w:type="dxa"/>
          </w:tcPr>
          <w:p w14:paraId="0B2246BA" w14:textId="5DC9AF88" w:rsidR="00420454" w:rsidRPr="00420454" w:rsidRDefault="00420454" w:rsidP="00420454">
            <w:pPr>
              <w:keepNext/>
              <w:spacing w:before="40" w:after="40"/>
              <w:jc w:val="both"/>
              <w:rPr>
                <w:sz w:val="17"/>
                <w:szCs w:val="17"/>
              </w:rPr>
            </w:pPr>
            <w:r w:rsidRPr="00420454">
              <w:rPr>
                <w:i/>
                <w:sz w:val="17"/>
                <w:szCs w:val="17"/>
              </w:rPr>
              <w:t>Senior management</w:t>
            </w:r>
            <w:r w:rsidRPr="00420454">
              <w:rPr>
                <w:sz w:val="17"/>
                <w:szCs w:val="17"/>
              </w:rPr>
              <w:t xml:space="preserve">: it should correspond to the </w:t>
            </w:r>
            <w:r w:rsidR="00520AAB">
              <w:rPr>
                <w:sz w:val="17"/>
                <w:szCs w:val="17"/>
              </w:rPr>
              <w:t>type of employees described in T</w:t>
            </w:r>
            <w:r w:rsidRPr="00420454">
              <w:rPr>
                <w:sz w:val="17"/>
                <w:szCs w:val="17"/>
              </w:rPr>
              <w:t>able REMA, and its value is equal to the sum of values in rows 2 to 5.</w:t>
            </w:r>
          </w:p>
        </w:tc>
      </w:tr>
      <w:tr w:rsidR="00420454" w:rsidRPr="00420454" w14:paraId="3D9CBDF6" w14:textId="77777777" w:rsidTr="00126350">
        <w:tc>
          <w:tcPr>
            <w:tcW w:w="567" w:type="dxa"/>
          </w:tcPr>
          <w:p w14:paraId="42469147" w14:textId="77777777" w:rsidR="00420454" w:rsidRPr="00420454" w:rsidRDefault="00420454" w:rsidP="00420454">
            <w:pPr>
              <w:keepLines/>
              <w:widowControl w:val="0"/>
              <w:tabs>
                <w:tab w:val="left" w:pos="794"/>
                <w:tab w:val="left" w:pos="1191"/>
              </w:tabs>
              <w:spacing w:before="40" w:after="40"/>
              <w:ind w:rightChars="-54" w:right="-108"/>
              <w:rPr>
                <w:rFonts w:cs="Segoe UI"/>
                <w:sz w:val="17"/>
                <w:szCs w:val="17"/>
                <w:lang w:eastAsia="en-GB"/>
              </w:rPr>
            </w:pPr>
            <w:r w:rsidRPr="00420454">
              <w:rPr>
                <w:rFonts w:cs="Segoe UI"/>
                <w:sz w:val="17"/>
                <w:szCs w:val="17"/>
                <w:lang w:eastAsia="en-GB"/>
              </w:rPr>
              <w:t>6</w:t>
            </w:r>
          </w:p>
        </w:tc>
        <w:tc>
          <w:tcPr>
            <w:tcW w:w="8647" w:type="dxa"/>
          </w:tcPr>
          <w:p w14:paraId="2840161A" w14:textId="4975B334" w:rsidR="00420454" w:rsidRPr="00420454" w:rsidRDefault="00420454" w:rsidP="00420454">
            <w:pPr>
              <w:keepNext/>
              <w:spacing w:before="40" w:after="40"/>
              <w:jc w:val="both"/>
              <w:rPr>
                <w:sz w:val="17"/>
                <w:szCs w:val="17"/>
              </w:rPr>
            </w:pPr>
            <w:r w:rsidRPr="00420454">
              <w:rPr>
                <w:i/>
                <w:sz w:val="17"/>
                <w:szCs w:val="17"/>
              </w:rPr>
              <w:t>Key personnel</w:t>
            </w:r>
            <w:r w:rsidRPr="00420454">
              <w:rPr>
                <w:sz w:val="17"/>
                <w:szCs w:val="17"/>
              </w:rPr>
              <w:t xml:space="preserve">: it should correspond to the </w:t>
            </w:r>
            <w:r w:rsidR="00520AAB">
              <w:rPr>
                <w:sz w:val="17"/>
                <w:szCs w:val="17"/>
              </w:rPr>
              <w:t>type of employees described in T</w:t>
            </w:r>
            <w:r w:rsidRPr="00420454">
              <w:rPr>
                <w:sz w:val="17"/>
                <w:szCs w:val="17"/>
              </w:rPr>
              <w:t>able REMA, and its value is equal to the sum of values in rows 7 to 10.</w:t>
            </w:r>
          </w:p>
        </w:tc>
      </w:tr>
      <w:tr w:rsidR="00420454" w:rsidRPr="00420454" w14:paraId="0AF7C7DB" w14:textId="77777777" w:rsidTr="00126350">
        <w:tc>
          <w:tcPr>
            <w:tcW w:w="567" w:type="dxa"/>
          </w:tcPr>
          <w:p w14:paraId="41304A07" w14:textId="77777777" w:rsidR="00420454" w:rsidRPr="00420454" w:rsidRDefault="00420454" w:rsidP="00420454">
            <w:pPr>
              <w:keepLines/>
              <w:widowControl w:val="0"/>
              <w:tabs>
                <w:tab w:val="left" w:pos="794"/>
                <w:tab w:val="left" w:pos="1191"/>
              </w:tabs>
              <w:spacing w:before="40" w:after="40"/>
              <w:ind w:rightChars="-54" w:right="-108"/>
              <w:rPr>
                <w:rFonts w:cs="Segoe UI"/>
                <w:sz w:val="17"/>
                <w:szCs w:val="17"/>
                <w:lang w:eastAsia="en-GB"/>
              </w:rPr>
            </w:pPr>
            <w:r w:rsidRPr="00420454">
              <w:rPr>
                <w:rFonts w:cs="Segoe UI"/>
                <w:sz w:val="17"/>
                <w:szCs w:val="17"/>
                <w:lang w:eastAsia="en-GB"/>
              </w:rPr>
              <w:t>1 &amp; 6</w:t>
            </w:r>
          </w:p>
        </w:tc>
        <w:tc>
          <w:tcPr>
            <w:tcW w:w="8647" w:type="dxa"/>
          </w:tcPr>
          <w:p w14:paraId="7494C934" w14:textId="77777777" w:rsidR="00420454" w:rsidRPr="00420454" w:rsidRDefault="00420454" w:rsidP="00420454">
            <w:pPr>
              <w:keepNext/>
              <w:spacing w:before="40" w:after="40"/>
              <w:jc w:val="both"/>
              <w:rPr>
                <w:i/>
                <w:sz w:val="17"/>
                <w:szCs w:val="17"/>
              </w:rPr>
            </w:pPr>
            <w:r w:rsidRPr="00420454">
              <w:rPr>
                <w:sz w:val="17"/>
                <w:szCs w:val="17"/>
              </w:rPr>
              <w:t>If an AI has such a small number of executives that individuals’ remuneration could be easily deduced from disclosure of a breakdown of the figures, it is acceptable for the AI, in so far as the sensitivity of the information will be disadvantageous to the AI, to disclose aggregate figures for senior management and key personnel.  This is, however, provided that this fact and the reason for doing so (i.e. disclosing aggregate figures instead of disclosing separate figures) are adequately disclosed in the accompanying narrative.</w:t>
            </w:r>
          </w:p>
        </w:tc>
      </w:tr>
      <w:tr w:rsidR="00420454" w:rsidRPr="00420454" w14:paraId="4EDAFFA8" w14:textId="77777777" w:rsidTr="00126350">
        <w:tc>
          <w:tcPr>
            <w:tcW w:w="567" w:type="dxa"/>
          </w:tcPr>
          <w:p w14:paraId="5EBAC8B1" w14:textId="77777777" w:rsidR="00420454" w:rsidRPr="00420454" w:rsidRDefault="00420454" w:rsidP="00420454">
            <w:pPr>
              <w:keepLines/>
              <w:widowControl w:val="0"/>
              <w:tabs>
                <w:tab w:val="left" w:pos="794"/>
                <w:tab w:val="left" w:pos="1191"/>
              </w:tabs>
              <w:spacing w:before="40" w:after="40"/>
              <w:ind w:rightChars="-54" w:right="-108"/>
              <w:rPr>
                <w:rFonts w:cs="Segoe UI"/>
                <w:sz w:val="17"/>
                <w:szCs w:val="17"/>
                <w:lang w:eastAsia="en-GB"/>
              </w:rPr>
            </w:pPr>
            <w:r w:rsidRPr="00420454">
              <w:rPr>
                <w:rFonts w:cs="Segoe UI"/>
                <w:sz w:val="17"/>
                <w:szCs w:val="17"/>
                <w:lang w:eastAsia="en-GB"/>
              </w:rPr>
              <w:t>11</w:t>
            </w:r>
          </w:p>
        </w:tc>
        <w:tc>
          <w:tcPr>
            <w:tcW w:w="8647" w:type="dxa"/>
          </w:tcPr>
          <w:p w14:paraId="3EB2079E" w14:textId="77777777" w:rsidR="00420454" w:rsidRPr="00420454" w:rsidRDefault="00420454" w:rsidP="00420454">
            <w:pPr>
              <w:keepNext/>
              <w:spacing w:before="40" w:after="40"/>
              <w:jc w:val="both"/>
              <w:rPr>
                <w:sz w:val="17"/>
                <w:szCs w:val="17"/>
              </w:rPr>
            </w:pPr>
            <w:r w:rsidRPr="00420454">
              <w:rPr>
                <w:i/>
                <w:sz w:val="17"/>
                <w:szCs w:val="17"/>
              </w:rPr>
              <w:t>Total</w:t>
            </w:r>
            <w:r w:rsidRPr="00420454">
              <w:rPr>
                <w:sz w:val="17"/>
                <w:szCs w:val="17"/>
              </w:rPr>
              <w:t>: the sum of values in rows 1 and 6.</w:t>
            </w:r>
          </w:p>
        </w:tc>
      </w:tr>
    </w:tbl>
    <w:p w14:paraId="7C8BE12F" w14:textId="77777777" w:rsidR="00C17AE9" w:rsidRDefault="00C17AE9" w:rsidP="007C29DB">
      <w:pPr>
        <w:rPr>
          <w:sz w:val="22"/>
        </w:rPr>
        <w:sectPr w:rsidR="00C17AE9">
          <w:footerReference w:type="default" r:id="rId112"/>
          <w:pgSz w:w="11906" w:h="16838" w:code="9"/>
          <w:pgMar w:top="1440" w:right="1797" w:bottom="1440" w:left="1797" w:header="851" w:footer="737" w:gutter="0"/>
          <w:cols w:space="425"/>
          <w:docGrid w:type="lines" w:linePitch="360"/>
        </w:sectPr>
      </w:pPr>
    </w:p>
    <w:p w14:paraId="67FE35DB" w14:textId="51B4DD15" w:rsidR="00A132E4" w:rsidRDefault="00C17AE9" w:rsidP="00260576">
      <w:pPr>
        <w:pStyle w:val="Heading1"/>
        <w:ind w:hanging="426"/>
        <w:rPr>
          <w:lang w:eastAsia="en-GB"/>
        </w:rPr>
      </w:pPr>
      <w:r w:rsidRPr="00BD33F1">
        <w:rPr>
          <w:lang w:eastAsia="en-GB"/>
        </w:rPr>
        <w:lastRenderedPageBreak/>
        <w:t>Part IX: Operational</w:t>
      </w:r>
      <w:r w:rsidRPr="00212DE1">
        <w:rPr>
          <w:lang w:eastAsia="en-GB"/>
        </w:rPr>
        <w:t xml:space="preserve"> risk</w:t>
      </w:r>
    </w:p>
    <w:p w14:paraId="780DA6E1" w14:textId="2313A52E" w:rsidR="007B6EC3" w:rsidRDefault="00642C2C" w:rsidP="00C00363">
      <w:pPr>
        <w:ind w:left="-426"/>
        <w:jc w:val="both"/>
        <w:rPr>
          <w:lang w:eastAsia="en-GB"/>
        </w:rPr>
      </w:pPr>
      <w:r>
        <w:rPr>
          <w:lang w:eastAsia="en-GB"/>
        </w:rPr>
        <w:t>An AI should ensure that disclosure</w:t>
      </w:r>
      <w:r w:rsidR="00D31B35">
        <w:rPr>
          <w:lang w:eastAsia="en-GB"/>
        </w:rPr>
        <w:t>s</w:t>
      </w:r>
      <w:r>
        <w:rPr>
          <w:lang w:eastAsia="en-GB"/>
        </w:rPr>
        <w:t xml:space="preserve"> made under this Part </w:t>
      </w:r>
      <w:r w:rsidR="00D31B35">
        <w:rPr>
          <w:lang w:eastAsia="en-GB"/>
        </w:rPr>
        <w:t>are</w:t>
      </w:r>
      <w:r>
        <w:rPr>
          <w:lang w:eastAsia="en-GB"/>
        </w:rPr>
        <w:t xml:space="preserve"> consistent with the BCR, completion instructions </w:t>
      </w:r>
      <w:r w:rsidR="00C00363">
        <w:rPr>
          <w:lang w:eastAsia="en-GB"/>
        </w:rPr>
        <w:t xml:space="preserve">to banking return </w:t>
      </w:r>
      <w:r>
        <w:rPr>
          <w:lang w:eastAsia="en-GB"/>
        </w:rPr>
        <w:t xml:space="preserve">and </w:t>
      </w:r>
      <w:r w:rsidR="00A6047B">
        <w:rPr>
          <w:lang w:eastAsia="en-GB"/>
        </w:rPr>
        <w:t xml:space="preserve">other </w:t>
      </w:r>
      <w:r>
        <w:rPr>
          <w:lang w:eastAsia="en-GB"/>
        </w:rPr>
        <w:t xml:space="preserve">supervisory </w:t>
      </w:r>
      <w:r w:rsidR="000D283A">
        <w:rPr>
          <w:lang w:eastAsia="en-GB"/>
        </w:rPr>
        <w:t xml:space="preserve">guidance </w:t>
      </w:r>
      <w:r w:rsidR="00A6047B">
        <w:rPr>
          <w:lang w:eastAsia="en-GB"/>
        </w:rPr>
        <w:t xml:space="preserve">(including code of practices) </w:t>
      </w:r>
      <w:r>
        <w:rPr>
          <w:lang w:eastAsia="en-GB"/>
        </w:rPr>
        <w:t xml:space="preserve">for implementing the Basel III revised operational risk capital framework.  </w:t>
      </w:r>
    </w:p>
    <w:p w14:paraId="1DE594ED" w14:textId="77777777" w:rsidR="00642C2C" w:rsidRPr="007B6EC3" w:rsidRDefault="00642C2C" w:rsidP="007B6EC3">
      <w:pPr>
        <w:rPr>
          <w:lang w:eastAsia="en-GB"/>
        </w:rPr>
      </w:pPr>
    </w:p>
    <w:p w14:paraId="2AE9CA91" w14:textId="7220D9C3" w:rsidR="007B6EC3" w:rsidRPr="007B6EC3" w:rsidRDefault="007B6EC3" w:rsidP="007B6EC3">
      <w:pPr>
        <w:pStyle w:val="Heading2"/>
        <w:rPr>
          <w:rFonts w:eastAsia="新細明體"/>
          <w:szCs w:val="24"/>
        </w:rPr>
      </w:pPr>
      <w:r w:rsidRPr="007B6EC3">
        <w:rPr>
          <w:rFonts w:eastAsia="新細明體"/>
          <w:szCs w:val="24"/>
        </w:rPr>
        <w:t>Table ORA: General information on operational risk framework</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7B6EC3" w:rsidRPr="007B6EC3" w14:paraId="3240F876" w14:textId="77777777" w:rsidTr="00EE6B38">
        <w:tc>
          <w:tcPr>
            <w:tcW w:w="2008" w:type="dxa"/>
          </w:tcPr>
          <w:p w14:paraId="660CE61A" w14:textId="77777777" w:rsidR="007B6EC3" w:rsidRPr="007B6EC3" w:rsidRDefault="007B6EC3" w:rsidP="007B6EC3">
            <w:pPr>
              <w:spacing w:before="40" w:after="40"/>
              <w:rPr>
                <w:noProof/>
                <w:sz w:val="17"/>
                <w:lang w:eastAsia="en-GB"/>
              </w:rPr>
            </w:pPr>
            <w:r w:rsidRPr="007B6EC3">
              <w:rPr>
                <w:b/>
                <w:sz w:val="17"/>
                <w:lang w:eastAsia="en-GB"/>
              </w:rPr>
              <w:t>Purpose:</w:t>
            </w:r>
          </w:p>
        </w:tc>
        <w:tc>
          <w:tcPr>
            <w:tcW w:w="7234" w:type="dxa"/>
          </w:tcPr>
          <w:p w14:paraId="17E473F3" w14:textId="77777777" w:rsidR="007B6EC3" w:rsidRPr="007B6EC3" w:rsidRDefault="007B6EC3" w:rsidP="007B6EC3">
            <w:pPr>
              <w:spacing w:before="40" w:after="40"/>
              <w:jc w:val="both"/>
              <w:rPr>
                <w:sz w:val="17"/>
                <w:lang w:val="en-US" w:eastAsia="en-GB"/>
              </w:rPr>
            </w:pPr>
            <w:r w:rsidRPr="007B6EC3">
              <w:rPr>
                <w:rFonts w:cs="Segoe UI"/>
                <w:bCs/>
                <w:sz w:val="17"/>
                <w:szCs w:val="17"/>
              </w:rPr>
              <w:t>To describe the main characteristics and elements of an AI’s operational risk management framework.</w:t>
            </w:r>
          </w:p>
        </w:tc>
      </w:tr>
      <w:tr w:rsidR="007B6EC3" w:rsidRPr="007B6EC3" w14:paraId="7EA1E0B2" w14:textId="77777777" w:rsidTr="00EE6B38">
        <w:tc>
          <w:tcPr>
            <w:tcW w:w="2008" w:type="dxa"/>
          </w:tcPr>
          <w:p w14:paraId="01888FC7" w14:textId="77777777" w:rsidR="007B6EC3" w:rsidRPr="007B6EC3" w:rsidRDefault="007B6EC3" w:rsidP="007B6EC3">
            <w:pPr>
              <w:spacing w:before="40" w:after="40"/>
              <w:rPr>
                <w:b/>
                <w:sz w:val="17"/>
                <w:lang w:eastAsia="en-GB"/>
              </w:rPr>
            </w:pPr>
            <w:r w:rsidRPr="007B6EC3">
              <w:rPr>
                <w:b/>
                <w:sz w:val="17"/>
                <w:lang w:eastAsia="en-GB"/>
              </w:rPr>
              <w:t>Scope of application:</w:t>
            </w:r>
          </w:p>
        </w:tc>
        <w:tc>
          <w:tcPr>
            <w:tcW w:w="7234" w:type="dxa"/>
          </w:tcPr>
          <w:p w14:paraId="6F006EA7" w14:textId="77777777" w:rsidR="007B6EC3" w:rsidRPr="007B6EC3" w:rsidRDefault="007B6EC3" w:rsidP="007B6EC3">
            <w:pPr>
              <w:spacing w:before="40" w:after="40"/>
              <w:jc w:val="both"/>
              <w:rPr>
                <w:b/>
                <w:sz w:val="17"/>
                <w:lang w:eastAsia="en-GB"/>
              </w:rPr>
            </w:pPr>
            <w:r w:rsidRPr="007B6EC3">
              <w:rPr>
                <w:sz w:val="17"/>
                <w:lang w:eastAsia="en-GB"/>
              </w:rPr>
              <w:t>The table is mandatory for all AIs incorporated in Hong Kong.</w:t>
            </w:r>
          </w:p>
        </w:tc>
      </w:tr>
      <w:tr w:rsidR="007B6EC3" w:rsidRPr="007B6EC3" w14:paraId="294194A4" w14:textId="77777777" w:rsidTr="00EE6B38">
        <w:tc>
          <w:tcPr>
            <w:tcW w:w="2008" w:type="dxa"/>
          </w:tcPr>
          <w:p w14:paraId="233604ED" w14:textId="77777777" w:rsidR="007B6EC3" w:rsidRPr="007B6EC3" w:rsidRDefault="007B6EC3" w:rsidP="007B6EC3">
            <w:pPr>
              <w:spacing w:before="40" w:after="40"/>
              <w:rPr>
                <w:b/>
                <w:sz w:val="17"/>
                <w:lang w:eastAsia="en-GB"/>
              </w:rPr>
            </w:pPr>
            <w:r w:rsidRPr="007B6EC3">
              <w:rPr>
                <w:b/>
                <w:sz w:val="17"/>
                <w:lang w:eastAsia="en-GB"/>
              </w:rPr>
              <w:t>Content:</w:t>
            </w:r>
          </w:p>
        </w:tc>
        <w:tc>
          <w:tcPr>
            <w:tcW w:w="7234" w:type="dxa"/>
          </w:tcPr>
          <w:p w14:paraId="6A67C01A" w14:textId="77777777" w:rsidR="007B6EC3" w:rsidRPr="007B6EC3" w:rsidRDefault="007B6EC3" w:rsidP="007B6EC3">
            <w:pPr>
              <w:spacing w:before="40" w:after="40"/>
              <w:jc w:val="both"/>
              <w:rPr>
                <w:b/>
                <w:sz w:val="17"/>
                <w:lang w:eastAsia="en-GB"/>
              </w:rPr>
            </w:pPr>
            <w:r w:rsidRPr="007B6EC3">
              <w:rPr>
                <w:sz w:val="17"/>
                <w:lang w:eastAsia="en-GB"/>
              </w:rPr>
              <w:t>Qualitative information.</w:t>
            </w:r>
          </w:p>
        </w:tc>
      </w:tr>
      <w:tr w:rsidR="007B6EC3" w:rsidRPr="007B6EC3" w14:paraId="510609D0" w14:textId="77777777" w:rsidTr="00EE6B38">
        <w:tc>
          <w:tcPr>
            <w:tcW w:w="2008" w:type="dxa"/>
          </w:tcPr>
          <w:p w14:paraId="53F02055" w14:textId="77777777" w:rsidR="007B6EC3" w:rsidRPr="007B6EC3" w:rsidRDefault="007B6EC3" w:rsidP="007B6EC3">
            <w:pPr>
              <w:spacing w:before="40" w:after="40"/>
              <w:rPr>
                <w:sz w:val="17"/>
                <w:lang w:eastAsia="en-GB"/>
              </w:rPr>
            </w:pPr>
            <w:r w:rsidRPr="007B6EC3">
              <w:rPr>
                <w:b/>
                <w:sz w:val="17"/>
                <w:lang w:eastAsia="en-GB"/>
              </w:rPr>
              <w:t>Frequency:</w:t>
            </w:r>
          </w:p>
        </w:tc>
        <w:tc>
          <w:tcPr>
            <w:tcW w:w="7234" w:type="dxa"/>
          </w:tcPr>
          <w:p w14:paraId="3E154508" w14:textId="77777777" w:rsidR="007B6EC3" w:rsidRPr="007B6EC3" w:rsidRDefault="007B6EC3" w:rsidP="007B6EC3">
            <w:pPr>
              <w:spacing w:before="40" w:after="40"/>
              <w:jc w:val="both"/>
              <w:rPr>
                <w:sz w:val="17"/>
                <w:lang w:val="en-US" w:eastAsia="en-GB"/>
              </w:rPr>
            </w:pPr>
            <w:r w:rsidRPr="007B6EC3">
              <w:rPr>
                <w:sz w:val="17"/>
                <w:lang w:eastAsia="en-GB"/>
              </w:rPr>
              <w:t>Annual.</w:t>
            </w:r>
          </w:p>
        </w:tc>
      </w:tr>
      <w:tr w:rsidR="007B6EC3" w:rsidRPr="007B6EC3" w14:paraId="3DAAB278" w14:textId="77777777" w:rsidTr="00EE6B38">
        <w:tc>
          <w:tcPr>
            <w:tcW w:w="2008" w:type="dxa"/>
          </w:tcPr>
          <w:p w14:paraId="6FB35C75" w14:textId="77777777" w:rsidR="007B6EC3" w:rsidRPr="007B6EC3" w:rsidRDefault="007B6EC3" w:rsidP="007B6EC3">
            <w:pPr>
              <w:spacing w:before="40" w:after="40"/>
              <w:rPr>
                <w:sz w:val="17"/>
                <w:lang w:eastAsia="en-GB"/>
              </w:rPr>
            </w:pPr>
            <w:r w:rsidRPr="007B6EC3">
              <w:rPr>
                <w:b/>
                <w:sz w:val="17"/>
                <w:lang w:eastAsia="en-GB"/>
              </w:rPr>
              <w:t>Format:</w:t>
            </w:r>
          </w:p>
        </w:tc>
        <w:tc>
          <w:tcPr>
            <w:tcW w:w="7234" w:type="dxa"/>
          </w:tcPr>
          <w:p w14:paraId="4EEEE3EC" w14:textId="77777777" w:rsidR="007B6EC3" w:rsidRPr="007B6EC3" w:rsidRDefault="007B6EC3" w:rsidP="007B6EC3">
            <w:pPr>
              <w:spacing w:before="40" w:after="40"/>
              <w:jc w:val="both"/>
              <w:rPr>
                <w:sz w:val="17"/>
                <w:lang w:eastAsia="en-GB"/>
              </w:rPr>
            </w:pPr>
            <w:r w:rsidRPr="007B6EC3">
              <w:rPr>
                <w:sz w:val="17"/>
                <w:lang w:eastAsia="en-GB"/>
              </w:rPr>
              <w:t>Flexible.</w:t>
            </w:r>
          </w:p>
        </w:tc>
      </w:tr>
      <w:tr w:rsidR="007B6EC3" w:rsidRPr="007B6EC3" w14:paraId="558EC704" w14:textId="77777777" w:rsidTr="00EE6B38">
        <w:tc>
          <w:tcPr>
            <w:tcW w:w="2008" w:type="dxa"/>
          </w:tcPr>
          <w:p w14:paraId="588D8859" w14:textId="77777777" w:rsidR="007B6EC3" w:rsidRPr="007B6EC3" w:rsidRDefault="007B6EC3" w:rsidP="007B6EC3">
            <w:pPr>
              <w:spacing w:before="40" w:after="40"/>
              <w:rPr>
                <w:b/>
                <w:sz w:val="17"/>
                <w:lang w:eastAsia="en-GB"/>
              </w:rPr>
            </w:pPr>
            <w:r w:rsidRPr="007B6EC3">
              <w:rPr>
                <w:b/>
                <w:sz w:val="17"/>
                <w:lang w:eastAsia="en-GB"/>
              </w:rPr>
              <w:t>Corresponding BDR section:</w:t>
            </w:r>
          </w:p>
        </w:tc>
        <w:tc>
          <w:tcPr>
            <w:tcW w:w="7234" w:type="dxa"/>
          </w:tcPr>
          <w:p w14:paraId="48B4A79B" w14:textId="1DE9E527" w:rsidR="007B6EC3" w:rsidRPr="00BD33F1" w:rsidRDefault="00002C3C" w:rsidP="007B6EC3">
            <w:pPr>
              <w:spacing w:before="40" w:after="40"/>
              <w:jc w:val="both"/>
              <w:rPr>
                <w:sz w:val="17"/>
                <w:lang w:eastAsia="en-GB"/>
              </w:rPr>
            </w:pPr>
            <w:r w:rsidRPr="00BD33F1">
              <w:rPr>
                <w:sz w:val="17"/>
                <w:lang w:eastAsia="en-GB"/>
              </w:rPr>
              <w:t>1</w:t>
            </w:r>
            <w:r w:rsidR="007B6EC3" w:rsidRPr="00BD33F1">
              <w:rPr>
                <w:sz w:val="17"/>
                <w:lang w:eastAsia="en-GB"/>
              </w:rPr>
              <w:t>6ZQA</w:t>
            </w:r>
          </w:p>
        </w:tc>
      </w:tr>
    </w:tbl>
    <w:p w14:paraId="6175B8E5" w14:textId="77777777" w:rsidR="007B6EC3" w:rsidRPr="007B6EC3" w:rsidRDefault="007B6EC3" w:rsidP="007B6EC3">
      <w:pPr>
        <w:spacing w:after="120"/>
        <w:jc w:val="both"/>
        <w:rPr>
          <w:rFonts w:cs="Segoe UI"/>
          <w:sz w:val="17"/>
          <w:szCs w:val="17"/>
        </w:rPr>
      </w:pPr>
    </w:p>
    <w:tbl>
      <w:tblPr>
        <w:tblW w:w="9215" w:type="dxa"/>
        <w:tblInd w:w="-426" w:type="dxa"/>
        <w:tblLayout w:type="fixed"/>
        <w:tblLook w:val="04A0" w:firstRow="1" w:lastRow="0" w:firstColumn="1" w:lastColumn="0" w:noHBand="0" w:noVBand="1"/>
      </w:tblPr>
      <w:tblGrid>
        <w:gridCol w:w="9215"/>
      </w:tblGrid>
      <w:tr w:rsidR="007B6EC3" w:rsidRPr="007B6EC3" w14:paraId="35EB8CA2" w14:textId="77777777" w:rsidTr="00EE6B38">
        <w:trPr>
          <w:trHeight w:val="603"/>
        </w:trPr>
        <w:tc>
          <w:tcPr>
            <w:tcW w:w="9215" w:type="dxa"/>
            <w:tcBorders>
              <w:top w:val="single" w:sz="4" w:space="0" w:color="auto"/>
              <w:left w:val="nil"/>
              <w:bottom w:val="single" w:sz="4" w:space="0" w:color="auto"/>
              <w:right w:val="nil"/>
            </w:tcBorders>
            <w:vAlign w:val="center"/>
            <w:hideMark/>
          </w:tcPr>
          <w:p w14:paraId="7C431E3A" w14:textId="77777777" w:rsidR="007B6EC3" w:rsidRPr="007B6EC3" w:rsidRDefault="007B6EC3" w:rsidP="007B6EC3">
            <w:pPr>
              <w:jc w:val="both"/>
              <w:rPr>
                <w:rFonts w:cs="Segoe UI"/>
                <w:bCs/>
                <w:sz w:val="17"/>
                <w:szCs w:val="17"/>
              </w:rPr>
            </w:pPr>
            <w:r w:rsidRPr="007B6EC3">
              <w:rPr>
                <w:rFonts w:cs="Segoe UI"/>
                <w:bCs/>
                <w:sz w:val="17"/>
                <w:szCs w:val="17"/>
              </w:rPr>
              <w:t>An AI should describe:</w:t>
            </w:r>
          </w:p>
        </w:tc>
      </w:tr>
      <w:tr w:rsidR="007B6EC3" w:rsidRPr="007B6EC3" w14:paraId="2AAB243C" w14:textId="77777777" w:rsidTr="00EE6B38">
        <w:trPr>
          <w:trHeight w:val="401"/>
        </w:trPr>
        <w:tc>
          <w:tcPr>
            <w:tcW w:w="9215" w:type="dxa"/>
            <w:tcBorders>
              <w:top w:val="single" w:sz="4" w:space="0" w:color="auto"/>
              <w:left w:val="nil"/>
              <w:bottom w:val="single" w:sz="4" w:space="0" w:color="auto"/>
              <w:right w:val="nil"/>
            </w:tcBorders>
            <w:hideMark/>
          </w:tcPr>
          <w:p w14:paraId="287EFC8B" w14:textId="77777777" w:rsidR="007B6EC3" w:rsidRPr="007B6EC3" w:rsidRDefault="007B6EC3" w:rsidP="008D652E">
            <w:pPr>
              <w:numPr>
                <w:ilvl w:val="0"/>
                <w:numId w:val="53"/>
              </w:numPr>
              <w:jc w:val="both"/>
              <w:rPr>
                <w:rFonts w:cs="Segoe UI"/>
                <w:sz w:val="17"/>
                <w:szCs w:val="17"/>
              </w:rPr>
            </w:pPr>
            <w:r w:rsidRPr="007B6EC3">
              <w:rPr>
                <w:rFonts w:cs="Segoe UI"/>
                <w:sz w:val="17"/>
                <w:szCs w:val="17"/>
              </w:rPr>
              <w:t>Its policies, frameworks and guidelines for the management of operational risk.</w:t>
            </w:r>
          </w:p>
        </w:tc>
      </w:tr>
      <w:tr w:rsidR="007B6EC3" w:rsidRPr="007B6EC3" w14:paraId="615CD2A6" w14:textId="77777777" w:rsidTr="00EE6B38">
        <w:trPr>
          <w:trHeight w:val="401"/>
        </w:trPr>
        <w:tc>
          <w:tcPr>
            <w:tcW w:w="9215" w:type="dxa"/>
            <w:tcBorders>
              <w:top w:val="single" w:sz="4" w:space="0" w:color="auto"/>
              <w:left w:val="nil"/>
              <w:bottom w:val="single" w:sz="4" w:space="0" w:color="auto"/>
              <w:right w:val="nil"/>
            </w:tcBorders>
            <w:hideMark/>
          </w:tcPr>
          <w:p w14:paraId="0299CD12" w14:textId="5EE271AC" w:rsidR="007B6EC3" w:rsidRPr="007B6EC3" w:rsidRDefault="007B6EC3" w:rsidP="008D652E">
            <w:pPr>
              <w:numPr>
                <w:ilvl w:val="0"/>
                <w:numId w:val="53"/>
              </w:numPr>
              <w:jc w:val="both"/>
              <w:rPr>
                <w:rFonts w:cs="Segoe UI"/>
                <w:sz w:val="17"/>
                <w:szCs w:val="17"/>
              </w:rPr>
            </w:pPr>
            <w:r w:rsidRPr="007B6EC3">
              <w:rPr>
                <w:rFonts w:cs="Segoe UI"/>
                <w:sz w:val="17"/>
                <w:szCs w:val="17"/>
              </w:rPr>
              <w:t>The organisation</w:t>
            </w:r>
            <w:r w:rsidR="006D01B9" w:rsidRPr="00BD33F1">
              <w:rPr>
                <w:rFonts w:cs="Segoe UI"/>
                <w:sz w:val="17"/>
                <w:szCs w:val="17"/>
              </w:rPr>
              <w:t>al</w:t>
            </w:r>
            <w:r w:rsidRPr="007B6EC3">
              <w:rPr>
                <w:rFonts w:cs="Segoe UI"/>
                <w:sz w:val="17"/>
                <w:szCs w:val="17"/>
              </w:rPr>
              <w:t xml:space="preserve"> structure of its operational risk management and control function.</w:t>
            </w:r>
          </w:p>
        </w:tc>
      </w:tr>
      <w:tr w:rsidR="007B6EC3" w:rsidRPr="007B6EC3" w14:paraId="3CFF720F" w14:textId="77777777" w:rsidTr="00EE6B38">
        <w:trPr>
          <w:trHeight w:val="401"/>
        </w:trPr>
        <w:tc>
          <w:tcPr>
            <w:tcW w:w="9215" w:type="dxa"/>
            <w:tcBorders>
              <w:top w:val="single" w:sz="4" w:space="0" w:color="auto"/>
              <w:left w:val="nil"/>
              <w:bottom w:val="single" w:sz="4" w:space="0" w:color="auto"/>
              <w:right w:val="nil"/>
            </w:tcBorders>
            <w:hideMark/>
          </w:tcPr>
          <w:p w14:paraId="410A2377" w14:textId="77777777" w:rsidR="007B6EC3" w:rsidRPr="007B6EC3" w:rsidRDefault="007B6EC3" w:rsidP="008D652E">
            <w:pPr>
              <w:numPr>
                <w:ilvl w:val="0"/>
                <w:numId w:val="53"/>
              </w:numPr>
              <w:jc w:val="both"/>
              <w:rPr>
                <w:rFonts w:cs="Segoe UI"/>
                <w:sz w:val="17"/>
                <w:szCs w:val="17"/>
              </w:rPr>
            </w:pPr>
            <w:r w:rsidRPr="007B6EC3">
              <w:rPr>
                <w:rFonts w:cs="Segoe UI"/>
                <w:sz w:val="17"/>
                <w:szCs w:val="17"/>
              </w:rPr>
              <w:t>Its operational risk measurement system (i.e. the systems and data used to measure operational risk in order to estimate the operational risk capital charge).</w:t>
            </w:r>
          </w:p>
        </w:tc>
      </w:tr>
      <w:tr w:rsidR="007B6EC3" w:rsidRPr="007B6EC3" w14:paraId="36272983" w14:textId="77777777" w:rsidTr="00EE6B38">
        <w:trPr>
          <w:trHeight w:val="401"/>
        </w:trPr>
        <w:tc>
          <w:tcPr>
            <w:tcW w:w="9215" w:type="dxa"/>
            <w:tcBorders>
              <w:top w:val="single" w:sz="4" w:space="0" w:color="auto"/>
              <w:left w:val="nil"/>
              <w:bottom w:val="single" w:sz="4" w:space="0" w:color="auto"/>
              <w:right w:val="nil"/>
            </w:tcBorders>
            <w:hideMark/>
          </w:tcPr>
          <w:p w14:paraId="2EC77D85" w14:textId="77777777" w:rsidR="007B6EC3" w:rsidRPr="007B6EC3" w:rsidRDefault="007B6EC3" w:rsidP="008D652E">
            <w:pPr>
              <w:numPr>
                <w:ilvl w:val="0"/>
                <w:numId w:val="53"/>
              </w:numPr>
              <w:jc w:val="both"/>
              <w:rPr>
                <w:rFonts w:cs="Segoe UI"/>
                <w:sz w:val="17"/>
                <w:szCs w:val="17"/>
              </w:rPr>
            </w:pPr>
            <w:r w:rsidRPr="007B6EC3">
              <w:rPr>
                <w:rFonts w:cs="Segoe UI"/>
                <w:sz w:val="17"/>
                <w:szCs w:val="17"/>
              </w:rPr>
              <w:t>The scope and main context of its reporting framework on operational risk to senior management and to the board of directors.</w:t>
            </w:r>
          </w:p>
        </w:tc>
      </w:tr>
      <w:tr w:rsidR="007B6EC3" w:rsidRPr="007B6EC3" w14:paraId="4EAE7C6F" w14:textId="77777777" w:rsidTr="00EE6B38">
        <w:trPr>
          <w:trHeight w:val="401"/>
        </w:trPr>
        <w:tc>
          <w:tcPr>
            <w:tcW w:w="9215" w:type="dxa"/>
            <w:tcBorders>
              <w:top w:val="single" w:sz="4" w:space="0" w:color="auto"/>
              <w:left w:val="nil"/>
              <w:bottom w:val="single" w:sz="4" w:space="0" w:color="auto"/>
              <w:right w:val="nil"/>
            </w:tcBorders>
            <w:hideMark/>
          </w:tcPr>
          <w:p w14:paraId="17706A66" w14:textId="77777777" w:rsidR="007B6EC3" w:rsidRPr="007B6EC3" w:rsidRDefault="007B6EC3" w:rsidP="008D652E">
            <w:pPr>
              <w:numPr>
                <w:ilvl w:val="0"/>
                <w:numId w:val="53"/>
              </w:numPr>
              <w:jc w:val="both"/>
              <w:rPr>
                <w:rFonts w:cs="Segoe UI"/>
                <w:sz w:val="17"/>
                <w:szCs w:val="17"/>
              </w:rPr>
            </w:pPr>
            <w:r w:rsidRPr="007B6EC3">
              <w:rPr>
                <w:rFonts w:cs="Segoe UI"/>
                <w:sz w:val="17"/>
                <w:szCs w:val="17"/>
              </w:rPr>
              <w:t>The risk mitigation and risk transfer used in the management of operational risk.  This includes mitigation by policy (such as the policies on risk culture, risk appetite, and outsourcing), by divesting from high-risk businesses, and by the establishment of appropriate internal controls.  The remaining exposure can then be absorbed by the AI or transferred, e.g. through insurance.</w:t>
            </w:r>
          </w:p>
        </w:tc>
      </w:tr>
    </w:tbl>
    <w:p w14:paraId="16E87CB4" w14:textId="77777777" w:rsidR="007B6EC3" w:rsidRPr="007B6EC3" w:rsidRDefault="007B6EC3" w:rsidP="007B6EC3"/>
    <w:p w14:paraId="7004B8B7" w14:textId="77777777" w:rsidR="007B6EC3" w:rsidRPr="007B6EC3" w:rsidRDefault="007B6EC3" w:rsidP="007B6EC3">
      <w:pPr>
        <w:spacing w:before="60" w:after="120"/>
        <w:jc w:val="both"/>
        <w:rPr>
          <w:sz w:val="22"/>
        </w:rPr>
      </w:pPr>
    </w:p>
    <w:p w14:paraId="002F2E95" w14:textId="77777777" w:rsidR="007B6EC3" w:rsidRPr="007B6EC3" w:rsidRDefault="007B6EC3" w:rsidP="007B6EC3">
      <w:pPr>
        <w:spacing w:before="40" w:after="40"/>
        <w:rPr>
          <w:sz w:val="22"/>
        </w:rPr>
        <w:sectPr w:rsidR="007B6EC3" w:rsidRPr="007B6EC3">
          <w:footerReference w:type="default" r:id="rId113"/>
          <w:pgSz w:w="11906" w:h="16838" w:code="9"/>
          <w:pgMar w:top="1440" w:right="1416" w:bottom="1440" w:left="1797" w:header="851" w:footer="737" w:gutter="0"/>
          <w:cols w:space="425"/>
          <w:docGrid w:type="linesAndChars" w:linePitch="360"/>
        </w:sectPr>
      </w:pPr>
    </w:p>
    <w:p w14:paraId="6EED79AB" w14:textId="441F0637" w:rsidR="007B6EC3" w:rsidRDefault="007B6EC3" w:rsidP="007B6EC3">
      <w:pPr>
        <w:pStyle w:val="Heading2"/>
        <w:rPr>
          <w:rFonts w:eastAsia="新細明體"/>
          <w:szCs w:val="24"/>
        </w:rPr>
      </w:pPr>
      <w:r w:rsidRPr="007B6EC3">
        <w:rPr>
          <w:rFonts w:eastAsia="新細明體"/>
          <w:szCs w:val="24"/>
        </w:rPr>
        <w:lastRenderedPageBreak/>
        <w:t>Template OR1: Historical losses</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08"/>
        <w:gridCol w:w="7234"/>
      </w:tblGrid>
      <w:tr w:rsidR="00AC19CC" w:rsidRPr="00AC19CC" w14:paraId="0417A849" w14:textId="77777777" w:rsidTr="00DB2ABD">
        <w:tc>
          <w:tcPr>
            <w:tcW w:w="2008" w:type="dxa"/>
          </w:tcPr>
          <w:p w14:paraId="55FD6790" w14:textId="77777777" w:rsidR="00AC19CC" w:rsidRPr="00AC19CC" w:rsidRDefault="00AC19CC" w:rsidP="00AC19CC">
            <w:pPr>
              <w:spacing w:before="40" w:after="40"/>
              <w:rPr>
                <w:noProof/>
                <w:sz w:val="17"/>
                <w:lang w:eastAsia="en-GB"/>
              </w:rPr>
            </w:pPr>
            <w:r w:rsidRPr="00AC19CC">
              <w:rPr>
                <w:b/>
                <w:sz w:val="17"/>
                <w:lang w:eastAsia="en-GB"/>
              </w:rPr>
              <w:t>Purpose:</w:t>
            </w:r>
            <w:r w:rsidRPr="00AC19CC">
              <w:rPr>
                <w:sz w:val="17"/>
                <w:lang w:eastAsia="en-GB"/>
              </w:rPr>
              <w:t xml:space="preserve"> </w:t>
            </w:r>
          </w:p>
        </w:tc>
        <w:tc>
          <w:tcPr>
            <w:tcW w:w="7234" w:type="dxa"/>
          </w:tcPr>
          <w:p w14:paraId="757AD3AE" w14:textId="45E4D07B" w:rsidR="00AC19CC" w:rsidRPr="00AC19CC" w:rsidRDefault="00782548" w:rsidP="00AC19CC">
            <w:pPr>
              <w:spacing w:before="40" w:after="40"/>
              <w:jc w:val="both"/>
              <w:rPr>
                <w:rFonts w:eastAsia="新細明體"/>
                <w:sz w:val="17"/>
                <w:lang w:eastAsia="zh-TW"/>
              </w:rPr>
            </w:pPr>
            <w:r>
              <w:rPr>
                <w:sz w:val="17"/>
                <w:lang w:eastAsia="en-GB"/>
              </w:rPr>
              <w:t>T</w:t>
            </w:r>
            <w:r w:rsidR="00AC19CC" w:rsidRPr="00AC19CC">
              <w:rPr>
                <w:sz w:val="17"/>
                <w:lang w:eastAsia="en-GB"/>
              </w:rPr>
              <w:t>o disclose aggregate operational risk losses incurred over the l</w:t>
            </w:r>
            <w:r w:rsidR="00A10051">
              <w:rPr>
                <w:sz w:val="17"/>
                <w:lang w:eastAsia="en-GB"/>
              </w:rPr>
              <w:t>ast</w:t>
            </w:r>
            <w:r w:rsidR="00AC19CC" w:rsidRPr="00AC19CC">
              <w:rPr>
                <w:sz w:val="17"/>
                <w:lang w:eastAsia="en-GB"/>
              </w:rPr>
              <w:t xml:space="preserve"> 10 annual reporting periods, based on the accounting date of the incurred losses.  This entire period is referred to as the disclosure period.  However, an AI that uses a fewer number of years (which must be no less than 5 years) of operational loss data to calculate its loss component for operational risk capital charge on a transitional basis should use such period as its disclosure period instead.  This disclosure informs the operational risk capital charge calculation.  The general principle on retrospective disclosure set out in Supervisory Policy Manual module CA-D-1 “Guideline on the Application of the Banking (Disclosure) Rules” does not apply to this template.  From the implementation date of this template onwards, disclosure of all preceding annual reporting periods in the disclosure period applicable to the AI is required.</w:t>
            </w:r>
          </w:p>
        </w:tc>
      </w:tr>
      <w:tr w:rsidR="00AC19CC" w:rsidRPr="00AC19CC" w14:paraId="61C7487D" w14:textId="77777777" w:rsidTr="00DB2ABD">
        <w:tc>
          <w:tcPr>
            <w:tcW w:w="2008" w:type="dxa"/>
          </w:tcPr>
          <w:p w14:paraId="1A9FA58E" w14:textId="77777777" w:rsidR="00AC19CC" w:rsidRPr="00AC19CC" w:rsidRDefault="00AC19CC" w:rsidP="00AC19CC">
            <w:pPr>
              <w:spacing w:before="40" w:after="40"/>
              <w:rPr>
                <w:b/>
                <w:sz w:val="17"/>
                <w:lang w:eastAsia="en-GB"/>
              </w:rPr>
            </w:pPr>
            <w:r w:rsidRPr="00AC19CC">
              <w:rPr>
                <w:b/>
                <w:sz w:val="17"/>
                <w:lang w:eastAsia="en-GB"/>
              </w:rPr>
              <w:t xml:space="preserve">Scope of application: </w:t>
            </w:r>
          </w:p>
        </w:tc>
        <w:tc>
          <w:tcPr>
            <w:tcW w:w="7234" w:type="dxa"/>
          </w:tcPr>
          <w:p w14:paraId="799EF26D" w14:textId="761EEABA" w:rsidR="00AC19CC" w:rsidRPr="00AC19CC" w:rsidRDefault="00AC19CC" w:rsidP="00B8028B">
            <w:pPr>
              <w:spacing w:before="40" w:after="40"/>
              <w:jc w:val="both"/>
              <w:rPr>
                <w:rFonts w:eastAsia="新細明體"/>
                <w:sz w:val="17"/>
                <w:lang w:eastAsia="en-GB"/>
              </w:rPr>
            </w:pPr>
            <w:r w:rsidRPr="00AC19CC">
              <w:rPr>
                <w:rFonts w:eastAsia="新細明體"/>
                <w:sz w:val="17"/>
                <w:lang w:eastAsia="en-GB"/>
              </w:rPr>
              <w:t xml:space="preserve">The template is mandatory for all AIs </w:t>
            </w:r>
            <w:r w:rsidRPr="00AC19CC">
              <w:rPr>
                <w:sz w:val="17"/>
                <w:lang w:eastAsia="en-GB"/>
              </w:rPr>
              <w:t>incorporated in Hong Kong</w:t>
            </w:r>
            <w:r w:rsidRPr="00AC19CC">
              <w:rPr>
                <w:rFonts w:eastAsia="新細明體"/>
                <w:sz w:val="17"/>
                <w:lang w:eastAsia="en-GB"/>
              </w:rPr>
              <w:t xml:space="preserve"> that are classified as (i) bucket 2 AIs or </w:t>
            </w:r>
            <w:r w:rsidRPr="00AC19CC">
              <w:rPr>
                <w:rFonts w:eastAsia="新細明體" w:hint="eastAsia"/>
                <w:sz w:val="17"/>
                <w:lang w:eastAsia="zh-HK"/>
              </w:rPr>
              <w:t>b</w:t>
            </w:r>
            <w:r w:rsidRPr="00AC19CC">
              <w:rPr>
                <w:rFonts w:eastAsia="新細明體"/>
                <w:sz w:val="17"/>
                <w:lang w:eastAsia="en-GB"/>
              </w:rPr>
              <w:t xml:space="preserve">ucket 3 AIs or (ii) bucket 1 AIs which have obtained the prior consent of the MA under </w:t>
            </w:r>
            <w:r w:rsidR="00B17D8A">
              <w:rPr>
                <w:rFonts w:eastAsia="新細明體"/>
                <w:sz w:val="17"/>
                <w:lang w:eastAsia="en-GB"/>
              </w:rPr>
              <w:t xml:space="preserve">BCR </w:t>
            </w:r>
            <w:r w:rsidR="00B17D8A" w:rsidRPr="00B17D8A">
              <w:rPr>
                <w:rFonts w:eastAsia="新細明體" w:hint="eastAsia"/>
                <w:sz w:val="17"/>
                <w:lang w:eastAsia="en-GB"/>
              </w:rPr>
              <w:t>§</w:t>
            </w:r>
            <w:r w:rsidRPr="00AC19CC">
              <w:rPr>
                <w:rFonts w:eastAsia="新細明體"/>
                <w:sz w:val="17"/>
                <w:lang w:eastAsia="en-GB"/>
              </w:rPr>
              <w:t xml:space="preserve">332(2)(b) or met the specified conditions under </w:t>
            </w:r>
            <w:r w:rsidR="00B8028B">
              <w:rPr>
                <w:rFonts w:eastAsia="新細明體"/>
                <w:sz w:val="17"/>
                <w:lang w:eastAsia="en-GB"/>
              </w:rPr>
              <w:t xml:space="preserve">BCR </w:t>
            </w:r>
            <w:r w:rsidR="00B8028B" w:rsidRPr="00B8028B">
              <w:rPr>
                <w:rFonts w:eastAsia="新細明體" w:hint="eastAsia"/>
                <w:sz w:val="17"/>
                <w:lang w:eastAsia="en-GB"/>
              </w:rPr>
              <w:t>§</w:t>
            </w:r>
            <w:r w:rsidRPr="00AC19CC">
              <w:rPr>
                <w:rFonts w:eastAsia="新細明體"/>
                <w:sz w:val="17"/>
                <w:lang w:eastAsia="en-GB"/>
              </w:rPr>
              <w:t>332(2)(a) to include operational loss data to calculate their capital charge for operational risk.</w:t>
            </w:r>
          </w:p>
        </w:tc>
      </w:tr>
      <w:tr w:rsidR="00AC19CC" w:rsidRPr="00AC19CC" w14:paraId="07BB6405" w14:textId="77777777" w:rsidTr="00DB2ABD">
        <w:tc>
          <w:tcPr>
            <w:tcW w:w="2008" w:type="dxa"/>
          </w:tcPr>
          <w:p w14:paraId="3534DE38" w14:textId="77777777" w:rsidR="00AC19CC" w:rsidRPr="00AC19CC" w:rsidRDefault="00AC19CC" w:rsidP="00AC19CC">
            <w:pPr>
              <w:spacing w:before="40" w:after="40"/>
              <w:rPr>
                <w:b/>
                <w:sz w:val="17"/>
                <w:lang w:eastAsia="en-GB"/>
              </w:rPr>
            </w:pPr>
            <w:r w:rsidRPr="00AC19CC">
              <w:rPr>
                <w:b/>
                <w:sz w:val="17"/>
                <w:lang w:eastAsia="en-GB"/>
              </w:rPr>
              <w:t xml:space="preserve">Content: </w:t>
            </w:r>
          </w:p>
        </w:tc>
        <w:tc>
          <w:tcPr>
            <w:tcW w:w="7234" w:type="dxa"/>
          </w:tcPr>
          <w:p w14:paraId="483DD905" w14:textId="77777777" w:rsidR="00AC19CC" w:rsidRPr="00AC19CC" w:rsidRDefault="00AC19CC" w:rsidP="00AC19CC">
            <w:pPr>
              <w:spacing w:before="40" w:after="40"/>
              <w:jc w:val="both"/>
              <w:rPr>
                <w:rFonts w:eastAsia="新細明體"/>
                <w:sz w:val="17"/>
                <w:lang w:eastAsia="en-GB"/>
              </w:rPr>
            </w:pPr>
            <w:r w:rsidRPr="00AC19CC">
              <w:rPr>
                <w:rFonts w:eastAsia="新細明體"/>
                <w:sz w:val="17"/>
                <w:lang w:eastAsia="en-GB"/>
              </w:rPr>
              <w:t>Quantitative information.</w:t>
            </w:r>
          </w:p>
        </w:tc>
      </w:tr>
      <w:tr w:rsidR="00AC19CC" w:rsidRPr="00AC19CC" w14:paraId="2B6D2817" w14:textId="77777777" w:rsidTr="00DB2ABD">
        <w:tc>
          <w:tcPr>
            <w:tcW w:w="2008" w:type="dxa"/>
          </w:tcPr>
          <w:p w14:paraId="3AF8C711" w14:textId="77777777" w:rsidR="00AC19CC" w:rsidRPr="00AC19CC" w:rsidRDefault="00AC19CC" w:rsidP="00AC19CC">
            <w:pPr>
              <w:spacing w:before="40" w:after="40"/>
              <w:rPr>
                <w:sz w:val="17"/>
                <w:lang w:eastAsia="en-GB"/>
              </w:rPr>
            </w:pPr>
            <w:r w:rsidRPr="00AC19CC">
              <w:rPr>
                <w:b/>
                <w:sz w:val="17"/>
                <w:lang w:eastAsia="en-GB"/>
              </w:rPr>
              <w:t>Frequency:</w:t>
            </w:r>
            <w:r w:rsidRPr="00AC19CC">
              <w:rPr>
                <w:sz w:val="17"/>
                <w:lang w:eastAsia="en-GB"/>
              </w:rPr>
              <w:t xml:space="preserve"> </w:t>
            </w:r>
          </w:p>
        </w:tc>
        <w:tc>
          <w:tcPr>
            <w:tcW w:w="7234" w:type="dxa"/>
          </w:tcPr>
          <w:p w14:paraId="74F9BA4E" w14:textId="77777777" w:rsidR="00AC19CC" w:rsidRPr="00AC19CC" w:rsidRDefault="00AC19CC" w:rsidP="00AC19CC">
            <w:pPr>
              <w:spacing w:before="40" w:after="40"/>
              <w:jc w:val="both"/>
              <w:rPr>
                <w:sz w:val="17"/>
                <w:lang w:eastAsia="en-GB"/>
              </w:rPr>
            </w:pPr>
            <w:r w:rsidRPr="00AC19CC">
              <w:rPr>
                <w:sz w:val="17"/>
                <w:lang w:eastAsia="en-GB"/>
              </w:rPr>
              <w:t>Annual.</w:t>
            </w:r>
          </w:p>
        </w:tc>
      </w:tr>
      <w:tr w:rsidR="00AC19CC" w:rsidRPr="00AC19CC" w14:paraId="2B5B9480" w14:textId="77777777" w:rsidTr="00DB2ABD">
        <w:tc>
          <w:tcPr>
            <w:tcW w:w="2008" w:type="dxa"/>
          </w:tcPr>
          <w:p w14:paraId="15A7C79C" w14:textId="77777777" w:rsidR="00AC19CC" w:rsidRPr="00AC19CC" w:rsidRDefault="00AC19CC" w:rsidP="00AC19CC">
            <w:pPr>
              <w:spacing w:before="40" w:after="40"/>
              <w:rPr>
                <w:sz w:val="17"/>
                <w:lang w:eastAsia="en-GB"/>
              </w:rPr>
            </w:pPr>
            <w:r w:rsidRPr="00AC19CC">
              <w:rPr>
                <w:b/>
                <w:sz w:val="17"/>
                <w:lang w:eastAsia="en-GB"/>
              </w:rPr>
              <w:t>Format:</w:t>
            </w:r>
            <w:r w:rsidRPr="00AC19CC">
              <w:rPr>
                <w:sz w:val="17"/>
                <w:lang w:eastAsia="en-GB"/>
              </w:rPr>
              <w:t xml:space="preserve"> </w:t>
            </w:r>
          </w:p>
        </w:tc>
        <w:tc>
          <w:tcPr>
            <w:tcW w:w="7234" w:type="dxa"/>
          </w:tcPr>
          <w:p w14:paraId="60A16990" w14:textId="77777777" w:rsidR="00AC19CC" w:rsidRPr="00AC19CC" w:rsidRDefault="00AC19CC" w:rsidP="00AC19CC">
            <w:pPr>
              <w:spacing w:before="40" w:after="40"/>
              <w:jc w:val="both"/>
              <w:rPr>
                <w:sz w:val="17"/>
                <w:lang w:eastAsia="en-GB"/>
              </w:rPr>
            </w:pPr>
            <w:r w:rsidRPr="00AC19CC">
              <w:rPr>
                <w:sz w:val="17"/>
                <w:lang w:eastAsia="en-GB"/>
              </w:rPr>
              <w:t>Fixed.</w:t>
            </w:r>
          </w:p>
        </w:tc>
      </w:tr>
      <w:tr w:rsidR="00AC19CC" w:rsidRPr="00AC19CC" w14:paraId="12703717" w14:textId="77777777" w:rsidTr="00DB2ABD">
        <w:tc>
          <w:tcPr>
            <w:tcW w:w="2008" w:type="dxa"/>
          </w:tcPr>
          <w:p w14:paraId="735CCE82" w14:textId="77777777" w:rsidR="00AC19CC" w:rsidRPr="00AC19CC" w:rsidRDefault="00AC19CC" w:rsidP="00AC19CC">
            <w:pPr>
              <w:spacing w:before="40" w:after="40"/>
              <w:rPr>
                <w:b/>
                <w:sz w:val="17"/>
                <w:lang w:eastAsia="en-GB"/>
              </w:rPr>
            </w:pPr>
            <w:r w:rsidRPr="00AC19CC">
              <w:rPr>
                <w:rFonts w:eastAsia="新細明體"/>
                <w:b/>
                <w:sz w:val="17"/>
                <w:szCs w:val="17"/>
                <w:lang w:eastAsia="en-GB"/>
              </w:rPr>
              <w:t>Accompanying narrative</w:t>
            </w:r>
            <w:r w:rsidRPr="00AC19CC">
              <w:rPr>
                <w:rFonts w:eastAsia="新細明體"/>
                <w:sz w:val="17"/>
                <w:szCs w:val="17"/>
                <w:lang w:eastAsia="en-GB"/>
              </w:rPr>
              <w:t>:</w:t>
            </w:r>
          </w:p>
        </w:tc>
        <w:tc>
          <w:tcPr>
            <w:tcW w:w="7234" w:type="dxa"/>
          </w:tcPr>
          <w:p w14:paraId="4A6B5387" w14:textId="4C5EA387" w:rsidR="00AC19CC" w:rsidRPr="00AC19CC" w:rsidRDefault="004529D2" w:rsidP="004529D2">
            <w:pPr>
              <w:spacing w:before="40" w:after="40"/>
              <w:jc w:val="both"/>
              <w:rPr>
                <w:noProof/>
                <w:sz w:val="17"/>
                <w:lang w:eastAsia="en-GB"/>
              </w:rPr>
            </w:pPr>
            <w:r>
              <w:rPr>
                <w:sz w:val="17"/>
              </w:rPr>
              <w:t xml:space="preserve">An </w:t>
            </w:r>
            <w:r w:rsidR="00AC19CC" w:rsidRPr="00AC19CC">
              <w:rPr>
                <w:sz w:val="17"/>
              </w:rPr>
              <w:t xml:space="preserve">AI </w:t>
            </w:r>
            <w:r>
              <w:rPr>
                <w:sz w:val="17"/>
              </w:rPr>
              <w:t>should</w:t>
            </w:r>
            <w:r w:rsidR="00AC19CC" w:rsidRPr="00AC19CC">
              <w:rPr>
                <w:sz w:val="17"/>
              </w:rPr>
              <w:t xml:space="preserve"> supplement the template with narrative commentary explaining the rationale in aggregate, for new exclusions of operational risk losses since disclosure in the last reporting period.  </w:t>
            </w:r>
            <w:r>
              <w:rPr>
                <w:sz w:val="17"/>
              </w:rPr>
              <w:t xml:space="preserve">An </w:t>
            </w:r>
            <w:r w:rsidR="00AC19CC" w:rsidRPr="00AC19CC">
              <w:rPr>
                <w:sz w:val="17"/>
              </w:rPr>
              <w:t>AI should disclose any other material information, in aggregate, that would help inform users as to their historical operational risk losses or their recoveries, with the exception of confidential and proprietary information, including information about legal reserves.</w:t>
            </w:r>
          </w:p>
        </w:tc>
      </w:tr>
      <w:tr w:rsidR="00AC19CC" w:rsidRPr="00AC19CC" w14:paraId="0158EA1E" w14:textId="77777777" w:rsidTr="00DB2ABD">
        <w:tc>
          <w:tcPr>
            <w:tcW w:w="2008" w:type="dxa"/>
          </w:tcPr>
          <w:p w14:paraId="75FE270C" w14:textId="77777777" w:rsidR="00AC19CC" w:rsidRPr="00AC19CC" w:rsidRDefault="00AC19CC" w:rsidP="00AC19CC">
            <w:pPr>
              <w:spacing w:before="40" w:after="40"/>
              <w:rPr>
                <w:rFonts w:eastAsia="新細明體"/>
                <w:b/>
                <w:sz w:val="17"/>
                <w:szCs w:val="17"/>
                <w:lang w:eastAsia="en-GB"/>
              </w:rPr>
            </w:pPr>
            <w:r w:rsidRPr="00AC19CC">
              <w:rPr>
                <w:rFonts w:eastAsia="新細明體"/>
                <w:b/>
                <w:sz w:val="17"/>
                <w:szCs w:val="17"/>
                <w:lang w:eastAsia="en-GB"/>
              </w:rPr>
              <w:t>Corresponding BDR section:</w:t>
            </w:r>
          </w:p>
        </w:tc>
        <w:tc>
          <w:tcPr>
            <w:tcW w:w="7234" w:type="dxa"/>
          </w:tcPr>
          <w:p w14:paraId="322CF251" w14:textId="65B44A3B" w:rsidR="00AC19CC" w:rsidRPr="00AC19CC" w:rsidRDefault="00FF3BF2" w:rsidP="00AC19CC">
            <w:pPr>
              <w:spacing w:before="40" w:after="40"/>
              <w:jc w:val="both"/>
              <w:rPr>
                <w:sz w:val="17"/>
                <w:szCs w:val="17"/>
                <w:lang w:eastAsia="en-GB"/>
              </w:rPr>
            </w:pPr>
            <w:r w:rsidRPr="00BD33F1">
              <w:rPr>
                <w:sz w:val="17"/>
                <w:lang w:eastAsia="en-GB"/>
              </w:rPr>
              <w:t>1</w:t>
            </w:r>
            <w:r w:rsidR="00AC19CC" w:rsidRPr="00BD33F1">
              <w:rPr>
                <w:sz w:val="17"/>
                <w:lang w:eastAsia="en-GB"/>
              </w:rPr>
              <w:t>6ZQB</w:t>
            </w:r>
          </w:p>
        </w:tc>
      </w:tr>
    </w:tbl>
    <w:p w14:paraId="7D534BE5" w14:textId="5E444040" w:rsidR="00A55117" w:rsidRDefault="00A55117" w:rsidP="00C17AE9"/>
    <w:p w14:paraId="4EF9DEF2" w14:textId="77777777" w:rsidR="00AC19CC" w:rsidRPr="00AC19CC" w:rsidRDefault="00AC19CC" w:rsidP="00AC19CC">
      <w:pPr>
        <w:spacing w:before="120" w:after="120"/>
        <w:ind w:leftChars="-283" w:left="-566"/>
        <w:rPr>
          <w:sz w:val="22"/>
        </w:rPr>
      </w:pPr>
    </w:p>
    <w:tbl>
      <w:tblPr>
        <w:tblW w:w="5393" w:type="pct"/>
        <w:tblInd w:w="-459" w:type="dxa"/>
        <w:tblBorders>
          <w:top w:val="single" w:sz="4" w:space="0" w:color="BCBCBD"/>
          <w:insideV w:val="single" w:sz="4" w:space="0" w:color="BCBCBD"/>
        </w:tblBorders>
        <w:tblLook w:val="04A0" w:firstRow="1" w:lastRow="0" w:firstColumn="1" w:lastColumn="0" w:noHBand="0" w:noVBand="1"/>
      </w:tblPr>
      <w:tblGrid>
        <w:gridCol w:w="581"/>
        <w:gridCol w:w="1818"/>
        <w:gridCol w:w="466"/>
        <w:gridCol w:w="525"/>
        <w:gridCol w:w="585"/>
        <w:gridCol w:w="552"/>
        <w:gridCol w:w="565"/>
        <w:gridCol w:w="550"/>
        <w:gridCol w:w="552"/>
        <w:gridCol w:w="558"/>
        <w:gridCol w:w="556"/>
        <w:gridCol w:w="554"/>
        <w:gridCol w:w="1103"/>
      </w:tblGrid>
      <w:tr w:rsidR="00AC19CC" w:rsidRPr="00AC19CC" w14:paraId="6D82D96D" w14:textId="77777777" w:rsidTr="006C1BA5">
        <w:trPr>
          <w:trHeight w:val="230"/>
        </w:trPr>
        <w:tc>
          <w:tcPr>
            <w:tcW w:w="324" w:type="pct"/>
            <w:tcBorders>
              <w:top w:val="nil"/>
              <w:left w:val="nil"/>
              <w:bottom w:val="nil"/>
              <w:right w:val="nil"/>
            </w:tcBorders>
            <w:noWrap/>
            <w:vAlign w:val="center"/>
          </w:tcPr>
          <w:p w14:paraId="62EAD8CE" w14:textId="77777777" w:rsidR="00AC19CC" w:rsidRPr="00AC19CC" w:rsidRDefault="00AC19CC" w:rsidP="00AC19CC">
            <w:pPr>
              <w:tabs>
                <w:tab w:val="decimal" w:pos="474"/>
                <w:tab w:val="left" w:pos="794"/>
              </w:tabs>
              <w:adjustRightInd w:val="0"/>
              <w:snapToGrid w:val="0"/>
              <w:spacing w:before="40" w:after="40"/>
              <w:ind w:left="170"/>
              <w:rPr>
                <w:rFonts w:eastAsia="SimSun" w:cs="Segoe UI"/>
                <w:kern w:val="2"/>
                <w:sz w:val="18"/>
                <w:szCs w:val="18"/>
                <w:lang w:eastAsia="ja-JP"/>
              </w:rPr>
            </w:pPr>
          </w:p>
        </w:tc>
        <w:tc>
          <w:tcPr>
            <w:tcW w:w="1014" w:type="pct"/>
            <w:tcBorders>
              <w:top w:val="nil"/>
              <w:left w:val="nil"/>
              <w:bottom w:val="nil"/>
              <w:right w:val="nil"/>
            </w:tcBorders>
            <w:vAlign w:val="center"/>
          </w:tcPr>
          <w:p w14:paraId="668C5071" w14:textId="77777777" w:rsidR="00AC19CC" w:rsidRPr="00AC19CC" w:rsidRDefault="00AC19CC" w:rsidP="00AC19CC">
            <w:pPr>
              <w:keepNext/>
              <w:tabs>
                <w:tab w:val="decimal" w:pos="474"/>
                <w:tab w:val="left" w:pos="794"/>
              </w:tabs>
              <w:adjustRightInd w:val="0"/>
              <w:snapToGrid w:val="0"/>
              <w:spacing w:before="40" w:after="40"/>
              <w:jc w:val="both"/>
              <w:rPr>
                <w:rFonts w:eastAsia="SimSun" w:cs="Segoe UI"/>
                <w:color w:val="000000"/>
                <w:kern w:val="2"/>
                <w:sz w:val="18"/>
                <w:szCs w:val="18"/>
              </w:rPr>
            </w:pPr>
          </w:p>
        </w:tc>
        <w:tc>
          <w:tcPr>
            <w:tcW w:w="260" w:type="pct"/>
            <w:tcBorders>
              <w:top w:val="single" w:sz="8" w:space="0" w:color="auto"/>
              <w:left w:val="nil"/>
              <w:bottom w:val="single" w:sz="8" w:space="0" w:color="auto"/>
              <w:right w:val="single" w:sz="4" w:space="0" w:color="D9D9D9" w:themeColor="background1" w:themeShade="D9"/>
            </w:tcBorders>
            <w:hideMark/>
          </w:tcPr>
          <w:p w14:paraId="2FF6F7B0" w14:textId="138768BA" w:rsidR="00AC19CC" w:rsidRPr="00AC19CC" w:rsidRDefault="004C2E3C" w:rsidP="00AC19CC">
            <w:pPr>
              <w:keepNext/>
              <w:tabs>
                <w:tab w:val="decimal" w:pos="474"/>
                <w:tab w:val="left" w:pos="794"/>
              </w:tabs>
              <w:adjustRightInd w:val="0"/>
              <w:snapToGrid w:val="0"/>
              <w:spacing w:before="40" w:after="40"/>
              <w:ind w:left="-107" w:firstLine="107"/>
              <w:jc w:val="center"/>
              <w:rPr>
                <w:rFonts w:eastAsia="SimSun" w:cs="Segoe UI"/>
                <w:kern w:val="2"/>
                <w:sz w:val="18"/>
                <w:szCs w:val="18"/>
                <w:lang w:eastAsia="ja-JP"/>
              </w:rPr>
            </w:pPr>
            <w:r>
              <w:rPr>
                <w:rFonts w:eastAsia="SimSun" w:cs="Segoe UI"/>
                <w:kern w:val="2"/>
                <w:sz w:val="18"/>
                <w:szCs w:val="18"/>
                <w:lang w:eastAsia="ja-JP"/>
              </w:rPr>
              <w:t>(</w:t>
            </w:r>
            <w:r w:rsidR="00AC19CC" w:rsidRPr="00AC19CC">
              <w:rPr>
                <w:rFonts w:eastAsia="SimSun" w:cs="Segoe UI"/>
                <w:kern w:val="2"/>
                <w:sz w:val="18"/>
                <w:szCs w:val="18"/>
                <w:lang w:eastAsia="ja-JP"/>
              </w:rPr>
              <w:t>a</w:t>
            </w:r>
            <w:r>
              <w:rPr>
                <w:rFonts w:eastAsia="SimSun" w:cs="Segoe UI"/>
                <w:kern w:val="2"/>
                <w:sz w:val="18"/>
                <w:szCs w:val="18"/>
                <w:lang w:eastAsia="ja-JP"/>
              </w:rPr>
              <w:t>)</w:t>
            </w:r>
          </w:p>
        </w:tc>
        <w:tc>
          <w:tcPr>
            <w:tcW w:w="293" w:type="pct"/>
            <w:tcBorders>
              <w:top w:val="single" w:sz="8" w:space="0" w:color="auto"/>
              <w:left w:val="single" w:sz="4" w:space="0" w:color="D9D9D9" w:themeColor="background1" w:themeShade="D9"/>
              <w:bottom w:val="single" w:sz="8" w:space="0" w:color="BCBCBD"/>
              <w:right w:val="single" w:sz="4" w:space="0" w:color="BCBCBD"/>
            </w:tcBorders>
            <w:hideMark/>
          </w:tcPr>
          <w:p w14:paraId="3088DF59" w14:textId="19224EC6" w:rsidR="00AC19CC" w:rsidRPr="00AC19CC" w:rsidRDefault="004C2E3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Pr>
                <w:rFonts w:eastAsia="SimSun" w:cs="Segoe UI"/>
                <w:kern w:val="2"/>
                <w:sz w:val="18"/>
                <w:szCs w:val="18"/>
                <w:lang w:eastAsia="ja-JP"/>
              </w:rPr>
              <w:t>(</w:t>
            </w:r>
            <w:r w:rsidR="00AC19CC" w:rsidRPr="00AC19CC">
              <w:rPr>
                <w:rFonts w:eastAsia="SimSun" w:cs="Segoe UI"/>
                <w:kern w:val="2"/>
                <w:sz w:val="18"/>
                <w:szCs w:val="18"/>
                <w:lang w:eastAsia="ja-JP"/>
              </w:rPr>
              <w:t>b</w:t>
            </w:r>
            <w:r>
              <w:rPr>
                <w:rFonts w:eastAsia="SimSun" w:cs="Segoe UI"/>
                <w:kern w:val="2"/>
                <w:sz w:val="18"/>
                <w:szCs w:val="18"/>
                <w:lang w:eastAsia="ja-JP"/>
              </w:rPr>
              <w:t>)</w:t>
            </w:r>
          </w:p>
        </w:tc>
        <w:tc>
          <w:tcPr>
            <w:tcW w:w="326" w:type="pct"/>
            <w:tcBorders>
              <w:top w:val="single" w:sz="8" w:space="0" w:color="auto"/>
              <w:left w:val="single" w:sz="4" w:space="0" w:color="BCBCBD"/>
              <w:bottom w:val="single" w:sz="8" w:space="0" w:color="BCBCBD"/>
              <w:right w:val="single" w:sz="4" w:space="0" w:color="BCBCBD"/>
            </w:tcBorders>
            <w:hideMark/>
          </w:tcPr>
          <w:p w14:paraId="0DED2CF5" w14:textId="40736793" w:rsidR="00AC19CC" w:rsidRPr="00AC19CC" w:rsidRDefault="004C2E3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Pr>
                <w:rFonts w:eastAsia="SimSun" w:cs="Segoe UI"/>
                <w:kern w:val="2"/>
                <w:sz w:val="18"/>
                <w:szCs w:val="18"/>
                <w:lang w:eastAsia="ja-JP"/>
              </w:rPr>
              <w:t>(</w:t>
            </w:r>
            <w:r w:rsidR="00AC19CC" w:rsidRPr="00AC19CC">
              <w:rPr>
                <w:rFonts w:eastAsia="SimSun" w:cs="Segoe UI"/>
                <w:kern w:val="2"/>
                <w:sz w:val="18"/>
                <w:szCs w:val="18"/>
                <w:lang w:eastAsia="ja-JP"/>
              </w:rPr>
              <w:t>c</w:t>
            </w:r>
            <w:r>
              <w:rPr>
                <w:rFonts w:eastAsia="SimSun" w:cs="Segoe UI"/>
                <w:kern w:val="2"/>
                <w:sz w:val="18"/>
                <w:szCs w:val="18"/>
                <w:lang w:eastAsia="ja-JP"/>
              </w:rPr>
              <w:t>)</w:t>
            </w:r>
          </w:p>
        </w:tc>
        <w:tc>
          <w:tcPr>
            <w:tcW w:w="308" w:type="pct"/>
            <w:tcBorders>
              <w:top w:val="single" w:sz="8" w:space="0" w:color="auto"/>
              <w:left w:val="single" w:sz="4" w:space="0" w:color="BCBCBD"/>
              <w:bottom w:val="single" w:sz="8" w:space="0" w:color="BCBCBD"/>
              <w:right w:val="single" w:sz="4" w:space="0" w:color="BCBCBD"/>
            </w:tcBorders>
            <w:hideMark/>
          </w:tcPr>
          <w:p w14:paraId="5EE25B64" w14:textId="22733453" w:rsidR="00AC19CC" w:rsidRPr="00AC19CC" w:rsidRDefault="004C2E3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Pr>
                <w:rFonts w:eastAsia="SimSun" w:cs="Segoe UI"/>
                <w:kern w:val="2"/>
                <w:sz w:val="18"/>
                <w:szCs w:val="18"/>
                <w:lang w:eastAsia="ja-JP"/>
              </w:rPr>
              <w:t>(</w:t>
            </w:r>
            <w:r w:rsidR="00AC19CC" w:rsidRPr="00AC19CC">
              <w:rPr>
                <w:rFonts w:eastAsia="SimSun" w:cs="Segoe UI"/>
                <w:kern w:val="2"/>
                <w:sz w:val="18"/>
                <w:szCs w:val="18"/>
                <w:lang w:eastAsia="ja-JP"/>
              </w:rPr>
              <w:t>d</w:t>
            </w:r>
            <w:r>
              <w:rPr>
                <w:rFonts w:eastAsia="SimSun" w:cs="Segoe UI"/>
                <w:kern w:val="2"/>
                <w:sz w:val="18"/>
                <w:szCs w:val="18"/>
                <w:lang w:eastAsia="ja-JP"/>
              </w:rPr>
              <w:t>)</w:t>
            </w:r>
          </w:p>
        </w:tc>
        <w:tc>
          <w:tcPr>
            <w:tcW w:w="315" w:type="pct"/>
            <w:tcBorders>
              <w:top w:val="single" w:sz="8" w:space="0" w:color="auto"/>
              <w:left w:val="single" w:sz="4" w:space="0" w:color="BCBCBD"/>
              <w:bottom w:val="single" w:sz="8" w:space="0" w:color="BCBCBD"/>
              <w:right w:val="single" w:sz="4" w:space="0" w:color="BCBCBD"/>
            </w:tcBorders>
            <w:hideMark/>
          </w:tcPr>
          <w:p w14:paraId="2CD8E17F" w14:textId="704579A6" w:rsidR="00AC19CC" w:rsidRPr="00AC19CC" w:rsidRDefault="004C2E3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Pr>
                <w:rFonts w:eastAsia="SimSun" w:cs="Segoe UI"/>
                <w:kern w:val="2"/>
                <w:sz w:val="18"/>
                <w:szCs w:val="18"/>
                <w:lang w:eastAsia="ja-JP"/>
              </w:rPr>
              <w:t>(</w:t>
            </w:r>
            <w:r w:rsidR="00AC19CC" w:rsidRPr="00AC19CC">
              <w:rPr>
                <w:rFonts w:eastAsia="SimSun" w:cs="Segoe UI"/>
                <w:kern w:val="2"/>
                <w:sz w:val="18"/>
                <w:szCs w:val="18"/>
                <w:lang w:eastAsia="ja-JP"/>
              </w:rPr>
              <w:t>e</w:t>
            </w:r>
            <w:r>
              <w:rPr>
                <w:rFonts w:eastAsia="SimSun" w:cs="Segoe UI"/>
                <w:kern w:val="2"/>
                <w:sz w:val="18"/>
                <w:szCs w:val="18"/>
                <w:lang w:eastAsia="ja-JP"/>
              </w:rPr>
              <w:t>)</w:t>
            </w:r>
          </w:p>
        </w:tc>
        <w:tc>
          <w:tcPr>
            <w:tcW w:w="307" w:type="pct"/>
            <w:tcBorders>
              <w:top w:val="single" w:sz="8" w:space="0" w:color="auto"/>
              <w:left w:val="single" w:sz="4" w:space="0" w:color="BCBCBD"/>
              <w:bottom w:val="single" w:sz="8" w:space="0" w:color="BCBCBD"/>
              <w:right w:val="single" w:sz="4" w:space="0" w:color="BCBCBD"/>
            </w:tcBorders>
            <w:hideMark/>
          </w:tcPr>
          <w:p w14:paraId="174F9AA2" w14:textId="515E72D5" w:rsidR="00AC19CC" w:rsidRPr="00AC19CC" w:rsidRDefault="004C2E3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Pr>
                <w:rFonts w:eastAsia="SimSun" w:cs="Segoe UI"/>
                <w:kern w:val="2"/>
                <w:sz w:val="18"/>
                <w:szCs w:val="18"/>
                <w:lang w:eastAsia="ja-JP"/>
              </w:rPr>
              <w:t>(</w:t>
            </w:r>
            <w:r w:rsidR="00AC19CC" w:rsidRPr="00AC19CC">
              <w:rPr>
                <w:rFonts w:eastAsia="SimSun" w:cs="Segoe UI"/>
                <w:kern w:val="2"/>
                <w:sz w:val="18"/>
                <w:szCs w:val="18"/>
                <w:lang w:eastAsia="ja-JP"/>
              </w:rPr>
              <w:t>f</w:t>
            </w:r>
            <w:r>
              <w:rPr>
                <w:rFonts w:eastAsia="SimSun" w:cs="Segoe UI"/>
                <w:kern w:val="2"/>
                <w:sz w:val="18"/>
                <w:szCs w:val="18"/>
                <w:lang w:eastAsia="ja-JP"/>
              </w:rPr>
              <w:t>)</w:t>
            </w:r>
          </w:p>
        </w:tc>
        <w:tc>
          <w:tcPr>
            <w:tcW w:w="308" w:type="pct"/>
            <w:tcBorders>
              <w:top w:val="single" w:sz="8" w:space="0" w:color="auto"/>
              <w:left w:val="single" w:sz="4" w:space="0" w:color="BCBCBD"/>
              <w:bottom w:val="single" w:sz="8" w:space="0" w:color="BCBCBD"/>
              <w:right w:val="single" w:sz="4" w:space="0" w:color="BCBCBD"/>
            </w:tcBorders>
            <w:hideMark/>
          </w:tcPr>
          <w:p w14:paraId="63EBF5FE" w14:textId="411B2530" w:rsidR="00AC19CC" w:rsidRPr="00AC19CC" w:rsidRDefault="004C2E3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Pr>
                <w:rFonts w:eastAsia="SimSun" w:cs="Segoe UI"/>
                <w:kern w:val="2"/>
                <w:sz w:val="18"/>
                <w:szCs w:val="18"/>
                <w:lang w:eastAsia="ja-JP"/>
              </w:rPr>
              <w:t>(</w:t>
            </w:r>
            <w:r w:rsidR="00AC19CC" w:rsidRPr="00AC19CC">
              <w:rPr>
                <w:rFonts w:eastAsia="SimSun" w:cs="Segoe UI"/>
                <w:kern w:val="2"/>
                <w:sz w:val="18"/>
                <w:szCs w:val="18"/>
                <w:lang w:eastAsia="ja-JP"/>
              </w:rPr>
              <w:t>g</w:t>
            </w:r>
            <w:r>
              <w:rPr>
                <w:rFonts w:eastAsia="SimSun" w:cs="Segoe UI"/>
                <w:kern w:val="2"/>
                <w:sz w:val="18"/>
                <w:szCs w:val="18"/>
                <w:lang w:eastAsia="ja-JP"/>
              </w:rPr>
              <w:t>)</w:t>
            </w:r>
          </w:p>
        </w:tc>
        <w:tc>
          <w:tcPr>
            <w:tcW w:w="311" w:type="pct"/>
            <w:tcBorders>
              <w:top w:val="single" w:sz="8" w:space="0" w:color="auto"/>
              <w:left w:val="single" w:sz="4" w:space="0" w:color="BCBCBD"/>
              <w:bottom w:val="single" w:sz="8" w:space="0" w:color="BCBCBD"/>
              <w:right w:val="single" w:sz="4" w:space="0" w:color="BCBCBD"/>
            </w:tcBorders>
            <w:hideMark/>
          </w:tcPr>
          <w:p w14:paraId="6E48F380" w14:textId="2785B894" w:rsidR="00AC19CC" w:rsidRPr="00AC19CC" w:rsidRDefault="004C2E3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Pr>
                <w:rFonts w:eastAsia="SimSun" w:cs="Segoe UI"/>
                <w:kern w:val="2"/>
                <w:sz w:val="18"/>
                <w:szCs w:val="18"/>
                <w:lang w:eastAsia="ja-JP"/>
              </w:rPr>
              <w:t>(</w:t>
            </w:r>
            <w:r w:rsidR="00AC19CC" w:rsidRPr="00AC19CC">
              <w:rPr>
                <w:rFonts w:eastAsia="SimSun" w:cs="Segoe UI"/>
                <w:kern w:val="2"/>
                <w:sz w:val="18"/>
                <w:szCs w:val="18"/>
                <w:lang w:eastAsia="ja-JP"/>
              </w:rPr>
              <w:t>h</w:t>
            </w:r>
            <w:r>
              <w:rPr>
                <w:rFonts w:eastAsia="SimSun" w:cs="Segoe UI"/>
                <w:kern w:val="2"/>
                <w:sz w:val="18"/>
                <w:szCs w:val="18"/>
                <w:lang w:eastAsia="ja-JP"/>
              </w:rPr>
              <w:t>)</w:t>
            </w:r>
          </w:p>
        </w:tc>
        <w:tc>
          <w:tcPr>
            <w:tcW w:w="310" w:type="pct"/>
            <w:tcBorders>
              <w:top w:val="single" w:sz="8" w:space="0" w:color="auto"/>
              <w:left w:val="single" w:sz="4" w:space="0" w:color="BCBCBD"/>
              <w:bottom w:val="single" w:sz="8" w:space="0" w:color="BCBCBD"/>
              <w:right w:val="single" w:sz="4" w:space="0" w:color="BCBCBD"/>
            </w:tcBorders>
            <w:hideMark/>
          </w:tcPr>
          <w:p w14:paraId="7FB27AB8" w14:textId="740F6C9D" w:rsidR="00AC19CC" w:rsidRPr="00AC19CC" w:rsidRDefault="004C2E3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Pr>
                <w:rFonts w:eastAsia="SimSun" w:cs="Segoe UI"/>
                <w:kern w:val="2"/>
                <w:sz w:val="18"/>
                <w:szCs w:val="18"/>
                <w:lang w:eastAsia="ja-JP"/>
              </w:rPr>
              <w:t>(</w:t>
            </w:r>
            <w:r w:rsidR="00AC19CC" w:rsidRPr="00AC19CC">
              <w:rPr>
                <w:rFonts w:eastAsia="SimSun" w:cs="Segoe UI"/>
                <w:kern w:val="2"/>
                <w:sz w:val="18"/>
                <w:szCs w:val="18"/>
                <w:lang w:eastAsia="ja-JP"/>
              </w:rPr>
              <w:t>i</w:t>
            </w:r>
            <w:r>
              <w:rPr>
                <w:rFonts w:eastAsia="SimSun" w:cs="Segoe UI"/>
                <w:kern w:val="2"/>
                <w:sz w:val="18"/>
                <w:szCs w:val="18"/>
                <w:lang w:eastAsia="ja-JP"/>
              </w:rPr>
              <w:t>)</w:t>
            </w:r>
          </w:p>
        </w:tc>
        <w:tc>
          <w:tcPr>
            <w:tcW w:w="309" w:type="pct"/>
            <w:tcBorders>
              <w:top w:val="single" w:sz="8" w:space="0" w:color="auto"/>
              <w:left w:val="single" w:sz="4" w:space="0" w:color="BCBCBD"/>
              <w:bottom w:val="single" w:sz="8" w:space="0" w:color="BCBCBD"/>
              <w:right w:val="nil"/>
            </w:tcBorders>
            <w:hideMark/>
          </w:tcPr>
          <w:p w14:paraId="7D1AE38B" w14:textId="3777590F" w:rsidR="00AC19CC" w:rsidRPr="00AC19CC" w:rsidRDefault="004C2E3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Pr>
                <w:rFonts w:eastAsia="SimSun" w:cs="Segoe UI"/>
                <w:kern w:val="2"/>
                <w:sz w:val="18"/>
                <w:szCs w:val="18"/>
                <w:lang w:eastAsia="ja-JP"/>
              </w:rPr>
              <w:t>(</w:t>
            </w:r>
            <w:r w:rsidR="00AC19CC" w:rsidRPr="00AC19CC">
              <w:rPr>
                <w:rFonts w:eastAsia="SimSun" w:cs="Segoe UI"/>
                <w:kern w:val="2"/>
                <w:sz w:val="18"/>
                <w:szCs w:val="18"/>
                <w:lang w:eastAsia="ja-JP"/>
              </w:rPr>
              <w:t>j</w:t>
            </w:r>
            <w:r>
              <w:rPr>
                <w:rFonts w:eastAsia="SimSun" w:cs="Segoe UI"/>
                <w:kern w:val="2"/>
                <w:sz w:val="18"/>
                <w:szCs w:val="18"/>
                <w:lang w:eastAsia="ja-JP"/>
              </w:rPr>
              <w:t>)</w:t>
            </w:r>
          </w:p>
        </w:tc>
        <w:tc>
          <w:tcPr>
            <w:tcW w:w="615" w:type="pct"/>
            <w:tcBorders>
              <w:top w:val="single" w:sz="8" w:space="0" w:color="auto"/>
              <w:left w:val="single" w:sz="4" w:space="0" w:color="BCBCBD"/>
              <w:bottom w:val="single" w:sz="8" w:space="0" w:color="BCBCBD"/>
              <w:right w:val="nil"/>
            </w:tcBorders>
            <w:hideMark/>
          </w:tcPr>
          <w:p w14:paraId="0B9851B2" w14:textId="452D66F6" w:rsidR="00AC19CC" w:rsidRPr="00AC19CC" w:rsidRDefault="004C2E3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Pr>
                <w:rFonts w:eastAsia="SimSun" w:cs="Segoe UI"/>
                <w:kern w:val="2"/>
                <w:sz w:val="18"/>
                <w:szCs w:val="18"/>
                <w:lang w:eastAsia="ja-JP"/>
              </w:rPr>
              <w:t>(</w:t>
            </w:r>
            <w:r w:rsidR="00AC19CC" w:rsidRPr="00AC19CC">
              <w:rPr>
                <w:rFonts w:eastAsia="SimSun" w:cs="Segoe UI"/>
                <w:kern w:val="2"/>
                <w:sz w:val="18"/>
                <w:szCs w:val="18"/>
                <w:lang w:eastAsia="ja-JP"/>
              </w:rPr>
              <w:t>k</w:t>
            </w:r>
            <w:r>
              <w:rPr>
                <w:rFonts w:eastAsia="SimSun" w:cs="Segoe UI"/>
                <w:kern w:val="2"/>
                <w:sz w:val="18"/>
                <w:szCs w:val="18"/>
                <w:lang w:eastAsia="ja-JP"/>
              </w:rPr>
              <w:t>)</w:t>
            </w:r>
          </w:p>
        </w:tc>
      </w:tr>
      <w:tr w:rsidR="00AC19CC" w:rsidRPr="00AC19CC" w14:paraId="2E6F8926" w14:textId="77777777" w:rsidTr="006C1BA5">
        <w:trPr>
          <w:trHeight w:val="230"/>
        </w:trPr>
        <w:tc>
          <w:tcPr>
            <w:tcW w:w="324" w:type="pct"/>
            <w:tcBorders>
              <w:top w:val="nil"/>
              <w:left w:val="nil"/>
              <w:bottom w:val="single" w:sz="8" w:space="0" w:color="auto"/>
              <w:right w:val="nil"/>
            </w:tcBorders>
            <w:noWrap/>
            <w:vAlign w:val="center"/>
          </w:tcPr>
          <w:p w14:paraId="4FDC1A8A" w14:textId="77777777" w:rsidR="00AC19CC" w:rsidRPr="00AC19CC" w:rsidRDefault="00AC19CC" w:rsidP="00AC19CC">
            <w:pPr>
              <w:tabs>
                <w:tab w:val="decimal" w:pos="474"/>
                <w:tab w:val="left" w:pos="794"/>
              </w:tabs>
              <w:adjustRightInd w:val="0"/>
              <w:snapToGrid w:val="0"/>
              <w:spacing w:before="40" w:after="40"/>
              <w:ind w:left="170"/>
              <w:rPr>
                <w:rFonts w:eastAsia="SimSun" w:cs="Segoe UI"/>
                <w:kern w:val="2"/>
                <w:sz w:val="18"/>
                <w:szCs w:val="18"/>
                <w:lang w:eastAsia="ja-JP"/>
              </w:rPr>
            </w:pPr>
          </w:p>
        </w:tc>
        <w:tc>
          <w:tcPr>
            <w:tcW w:w="1014" w:type="pct"/>
            <w:tcBorders>
              <w:top w:val="nil"/>
              <w:left w:val="nil"/>
              <w:bottom w:val="single" w:sz="8" w:space="0" w:color="auto"/>
              <w:right w:val="nil"/>
            </w:tcBorders>
            <w:vAlign w:val="center"/>
          </w:tcPr>
          <w:p w14:paraId="49F3085C" w14:textId="77777777" w:rsidR="00AC19CC" w:rsidRPr="00AC19CC" w:rsidRDefault="00AC19CC" w:rsidP="00AC19CC">
            <w:pPr>
              <w:keepNext/>
              <w:tabs>
                <w:tab w:val="decimal" w:pos="474"/>
                <w:tab w:val="left" w:pos="794"/>
              </w:tabs>
              <w:adjustRightInd w:val="0"/>
              <w:snapToGrid w:val="0"/>
              <w:spacing w:before="40" w:after="40"/>
              <w:jc w:val="both"/>
              <w:rPr>
                <w:rFonts w:eastAsia="SimSun" w:cs="Segoe UI"/>
                <w:b/>
                <w:color w:val="000000"/>
                <w:kern w:val="2"/>
                <w:sz w:val="18"/>
                <w:szCs w:val="18"/>
              </w:rPr>
            </w:pPr>
          </w:p>
        </w:tc>
        <w:tc>
          <w:tcPr>
            <w:tcW w:w="260" w:type="pct"/>
            <w:tcBorders>
              <w:top w:val="single" w:sz="8" w:space="0" w:color="auto"/>
              <w:left w:val="nil"/>
              <w:bottom w:val="nil"/>
              <w:right w:val="single" w:sz="4" w:space="0" w:color="D9D9D9" w:themeColor="background1" w:themeShade="D9"/>
            </w:tcBorders>
            <w:vAlign w:val="center"/>
            <w:hideMark/>
          </w:tcPr>
          <w:p w14:paraId="0B947E4D" w14:textId="77777777" w:rsidR="00AC19CC" w:rsidRPr="00AC19CC" w:rsidRDefault="00AC19C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sidRPr="00AC19CC">
              <w:rPr>
                <w:rFonts w:eastAsia="SimSun" w:cs="Segoe UI"/>
                <w:kern w:val="2"/>
                <w:sz w:val="18"/>
                <w:szCs w:val="18"/>
                <w:lang w:eastAsia="ja-JP"/>
              </w:rPr>
              <w:t>T</w:t>
            </w:r>
          </w:p>
        </w:tc>
        <w:tc>
          <w:tcPr>
            <w:tcW w:w="293" w:type="pct"/>
            <w:tcBorders>
              <w:top w:val="single" w:sz="8" w:space="0" w:color="auto"/>
              <w:left w:val="single" w:sz="4" w:space="0" w:color="D9D9D9" w:themeColor="background1" w:themeShade="D9"/>
              <w:bottom w:val="single" w:sz="8" w:space="0" w:color="auto"/>
              <w:right w:val="single" w:sz="4" w:space="0" w:color="BCBCBD"/>
            </w:tcBorders>
            <w:vAlign w:val="center"/>
            <w:hideMark/>
          </w:tcPr>
          <w:p w14:paraId="5ABE1162" w14:textId="77777777" w:rsidR="00AC19CC" w:rsidRPr="00AC19CC" w:rsidRDefault="00AC19C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sidRPr="00AC19CC">
              <w:rPr>
                <w:rFonts w:eastAsia="SimSun" w:cs="Segoe UI"/>
                <w:kern w:val="2"/>
                <w:sz w:val="18"/>
                <w:szCs w:val="18"/>
                <w:lang w:eastAsia="ja-JP"/>
              </w:rPr>
              <w:t>T–1</w:t>
            </w:r>
          </w:p>
        </w:tc>
        <w:tc>
          <w:tcPr>
            <w:tcW w:w="326" w:type="pct"/>
            <w:tcBorders>
              <w:top w:val="single" w:sz="8" w:space="0" w:color="auto"/>
              <w:left w:val="single" w:sz="4" w:space="0" w:color="BCBCBD"/>
              <w:bottom w:val="single" w:sz="8" w:space="0" w:color="auto"/>
              <w:right w:val="single" w:sz="4" w:space="0" w:color="BCBCBD"/>
            </w:tcBorders>
            <w:vAlign w:val="center"/>
            <w:hideMark/>
          </w:tcPr>
          <w:p w14:paraId="48ADCC65" w14:textId="77777777" w:rsidR="00AC19CC" w:rsidRPr="00AC19CC" w:rsidRDefault="00AC19C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sidRPr="00AC19CC">
              <w:rPr>
                <w:rFonts w:eastAsia="SimSun" w:cs="Segoe UI"/>
                <w:kern w:val="2"/>
                <w:sz w:val="18"/>
                <w:szCs w:val="18"/>
                <w:lang w:eastAsia="ja-JP"/>
              </w:rPr>
              <w:t>T–2</w:t>
            </w:r>
          </w:p>
        </w:tc>
        <w:tc>
          <w:tcPr>
            <w:tcW w:w="308" w:type="pct"/>
            <w:tcBorders>
              <w:top w:val="single" w:sz="8" w:space="0" w:color="auto"/>
              <w:left w:val="single" w:sz="4" w:space="0" w:color="BCBCBD"/>
              <w:bottom w:val="single" w:sz="8" w:space="0" w:color="auto"/>
              <w:right w:val="single" w:sz="4" w:space="0" w:color="BCBCBD"/>
            </w:tcBorders>
            <w:vAlign w:val="center"/>
            <w:hideMark/>
          </w:tcPr>
          <w:p w14:paraId="4E8718D4" w14:textId="77777777" w:rsidR="00AC19CC" w:rsidRPr="00AC19CC" w:rsidRDefault="00AC19C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sidRPr="00AC19CC">
              <w:rPr>
                <w:rFonts w:eastAsia="SimSun" w:cs="Segoe UI"/>
                <w:kern w:val="2"/>
                <w:sz w:val="18"/>
                <w:szCs w:val="18"/>
                <w:lang w:eastAsia="ja-JP"/>
              </w:rPr>
              <w:t>T–3</w:t>
            </w:r>
          </w:p>
        </w:tc>
        <w:tc>
          <w:tcPr>
            <w:tcW w:w="315" w:type="pct"/>
            <w:tcBorders>
              <w:top w:val="single" w:sz="8" w:space="0" w:color="auto"/>
              <w:left w:val="single" w:sz="4" w:space="0" w:color="BCBCBD"/>
              <w:bottom w:val="single" w:sz="8" w:space="0" w:color="auto"/>
              <w:right w:val="single" w:sz="4" w:space="0" w:color="BCBCBD"/>
            </w:tcBorders>
            <w:vAlign w:val="center"/>
            <w:hideMark/>
          </w:tcPr>
          <w:p w14:paraId="2FD06A90" w14:textId="77777777" w:rsidR="00AC19CC" w:rsidRPr="00AC19CC" w:rsidRDefault="00AC19C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sidRPr="00AC19CC">
              <w:rPr>
                <w:rFonts w:eastAsia="SimSun" w:cs="Segoe UI"/>
                <w:kern w:val="2"/>
                <w:sz w:val="18"/>
                <w:szCs w:val="18"/>
                <w:lang w:eastAsia="ja-JP"/>
              </w:rPr>
              <w:t>T–4</w:t>
            </w:r>
          </w:p>
        </w:tc>
        <w:tc>
          <w:tcPr>
            <w:tcW w:w="307" w:type="pct"/>
            <w:tcBorders>
              <w:top w:val="single" w:sz="8" w:space="0" w:color="auto"/>
              <w:left w:val="single" w:sz="4" w:space="0" w:color="BCBCBD"/>
              <w:bottom w:val="single" w:sz="8" w:space="0" w:color="auto"/>
              <w:right w:val="single" w:sz="4" w:space="0" w:color="BCBCBD"/>
            </w:tcBorders>
            <w:vAlign w:val="center"/>
            <w:hideMark/>
          </w:tcPr>
          <w:p w14:paraId="6994DF37" w14:textId="77777777" w:rsidR="00AC19CC" w:rsidRPr="00AC19CC" w:rsidRDefault="00AC19C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sidRPr="00AC19CC">
              <w:rPr>
                <w:rFonts w:eastAsia="SimSun" w:cs="Segoe UI"/>
                <w:kern w:val="2"/>
                <w:sz w:val="18"/>
                <w:szCs w:val="18"/>
                <w:lang w:eastAsia="ja-JP"/>
              </w:rPr>
              <w:t>T–5</w:t>
            </w:r>
          </w:p>
        </w:tc>
        <w:tc>
          <w:tcPr>
            <w:tcW w:w="308" w:type="pct"/>
            <w:tcBorders>
              <w:top w:val="single" w:sz="8" w:space="0" w:color="auto"/>
              <w:left w:val="single" w:sz="4" w:space="0" w:color="BCBCBD"/>
              <w:bottom w:val="single" w:sz="8" w:space="0" w:color="auto"/>
              <w:right w:val="single" w:sz="4" w:space="0" w:color="BCBCBD"/>
            </w:tcBorders>
            <w:vAlign w:val="center"/>
            <w:hideMark/>
          </w:tcPr>
          <w:p w14:paraId="0F443712" w14:textId="77777777" w:rsidR="00AC19CC" w:rsidRPr="00AC19CC" w:rsidRDefault="00AC19C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sidRPr="00AC19CC">
              <w:rPr>
                <w:rFonts w:eastAsia="SimSun" w:cs="Segoe UI"/>
                <w:kern w:val="2"/>
                <w:sz w:val="18"/>
                <w:szCs w:val="18"/>
                <w:lang w:eastAsia="ja-JP"/>
              </w:rPr>
              <w:t>T–6</w:t>
            </w:r>
          </w:p>
        </w:tc>
        <w:tc>
          <w:tcPr>
            <w:tcW w:w="311" w:type="pct"/>
            <w:tcBorders>
              <w:top w:val="single" w:sz="8" w:space="0" w:color="auto"/>
              <w:left w:val="single" w:sz="4" w:space="0" w:color="BCBCBD"/>
              <w:bottom w:val="single" w:sz="8" w:space="0" w:color="auto"/>
              <w:right w:val="single" w:sz="4" w:space="0" w:color="BCBCBD"/>
            </w:tcBorders>
            <w:vAlign w:val="center"/>
            <w:hideMark/>
          </w:tcPr>
          <w:p w14:paraId="47016B34" w14:textId="77777777" w:rsidR="00AC19CC" w:rsidRPr="00AC19CC" w:rsidRDefault="00AC19C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sidRPr="00AC19CC">
              <w:rPr>
                <w:rFonts w:eastAsia="SimSun" w:cs="Segoe UI"/>
                <w:kern w:val="2"/>
                <w:sz w:val="18"/>
                <w:szCs w:val="18"/>
                <w:lang w:eastAsia="ja-JP"/>
              </w:rPr>
              <w:t>T–7</w:t>
            </w:r>
          </w:p>
        </w:tc>
        <w:tc>
          <w:tcPr>
            <w:tcW w:w="310" w:type="pct"/>
            <w:tcBorders>
              <w:top w:val="single" w:sz="8" w:space="0" w:color="auto"/>
              <w:left w:val="single" w:sz="4" w:space="0" w:color="BCBCBD"/>
              <w:bottom w:val="single" w:sz="8" w:space="0" w:color="auto"/>
              <w:right w:val="single" w:sz="4" w:space="0" w:color="BCBCBD"/>
            </w:tcBorders>
            <w:vAlign w:val="center"/>
            <w:hideMark/>
          </w:tcPr>
          <w:p w14:paraId="1C7A968A" w14:textId="77777777" w:rsidR="00AC19CC" w:rsidRPr="00AC19CC" w:rsidRDefault="00AC19C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sidRPr="00AC19CC">
              <w:rPr>
                <w:rFonts w:eastAsia="SimSun" w:cs="Segoe UI"/>
                <w:kern w:val="2"/>
                <w:sz w:val="18"/>
                <w:szCs w:val="18"/>
                <w:lang w:eastAsia="ja-JP"/>
              </w:rPr>
              <w:t>T–8</w:t>
            </w:r>
          </w:p>
        </w:tc>
        <w:tc>
          <w:tcPr>
            <w:tcW w:w="309" w:type="pct"/>
            <w:tcBorders>
              <w:top w:val="single" w:sz="8" w:space="0" w:color="auto"/>
              <w:left w:val="single" w:sz="4" w:space="0" w:color="BCBCBD"/>
              <w:bottom w:val="single" w:sz="8" w:space="0" w:color="auto"/>
              <w:right w:val="nil"/>
            </w:tcBorders>
            <w:vAlign w:val="center"/>
            <w:hideMark/>
          </w:tcPr>
          <w:p w14:paraId="25EDEE26" w14:textId="77777777" w:rsidR="00AC19CC" w:rsidRPr="00AC19CC" w:rsidRDefault="00AC19C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sidRPr="00AC19CC">
              <w:rPr>
                <w:rFonts w:eastAsia="SimSun" w:cs="Segoe UI"/>
                <w:kern w:val="2"/>
                <w:sz w:val="18"/>
                <w:szCs w:val="18"/>
                <w:lang w:eastAsia="ja-JP"/>
              </w:rPr>
              <w:t>T–9</w:t>
            </w:r>
          </w:p>
        </w:tc>
        <w:tc>
          <w:tcPr>
            <w:tcW w:w="615" w:type="pct"/>
            <w:tcBorders>
              <w:top w:val="single" w:sz="8" w:space="0" w:color="auto"/>
              <w:left w:val="single" w:sz="4" w:space="0" w:color="BCBCBD"/>
              <w:bottom w:val="single" w:sz="8" w:space="0" w:color="auto"/>
              <w:right w:val="nil"/>
            </w:tcBorders>
            <w:hideMark/>
          </w:tcPr>
          <w:p w14:paraId="33D5DC41" w14:textId="77777777" w:rsidR="00AC19CC" w:rsidRPr="00AC19CC" w:rsidRDefault="00AC19CC" w:rsidP="00AC19CC">
            <w:pPr>
              <w:keepNext/>
              <w:tabs>
                <w:tab w:val="decimal" w:pos="474"/>
                <w:tab w:val="left" w:pos="794"/>
              </w:tabs>
              <w:adjustRightInd w:val="0"/>
              <w:snapToGrid w:val="0"/>
              <w:spacing w:before="40" w:after="40"/>
              <w:jc w:val="center"/>
              <w:rPr>
                <w:rFonts w:eastAsia="SimSun" w:cs="Segoe UI"/>
                <w:kern w:val="2"/>
                <w:sz w:val="18"/>
                <w:szCs w:val="18"/>
                <w:lang w:eastAsia="ja-JP"/>
              </w:rPr>
            </w:pPr>
            <w:r w:rsidRPr="00AC19CC">
              <w:rPr>
                <w:rFonts w:eastAsia="SimSun" w:cs="Segoe UI"/>
                <w:kern w:val="2"/>
                <w:sz w:val="18"/>
                <w:szCs w:val="18"/>
                <w:lang w:eastAsia="ja-JP"/>
              </w:rPr>
              <w:t>Average</w:t>
            </w:r>
          </w:p>
        </w:tc>
      </w:tr>
      <w:tr w:rsidR="00AC19CC" w:rsidRPr="00AC19CC" w14:paraId="33E2D6A5" w14:textId="77777777" w:rsidTr="00A560A1">
        <w:trPr>
          <w:trHeight w:val="230"/>
        </w:trPr>
        <w:tc>
          <w:tcPr>
            <w:tcW w:w="5000" w:type="pct"/>
            <w:gridSpan w:val="13"/>
            <w:tcBorders>
              <w:top w:val="single" w:sz="8" w:space="0" w:color="auto"/>
              <w:left w:val="nil"/>
              <w:bottom w:val="single" w:sz="8" w:space="0" w:color="auto"/>
              <w:right w:val="single" w:sz="4" w:space="0" w:color="BCBCBD"/>
            </w:tcBorders>
            <w:shd w:val="clear" w:color="auto" w:fill="BFBFBF"/>
            <w:noWrap/>
            <w:vAlign w:val="center"/>
            <w:hideMark/>
          </w:tcPr>
          <w:p w14:paraId="07ED40FD" w14:textId="77777777" w:rsidR="00AC19CC" w:rsidRPr="00AC19CC" w:rsidRDefault="00AC19CC" w:rsidP="00AC19CC">
            <w:pPr>
              <w:keepNext/>
              <w:tabs>
                <w:tab w:val="decimal" w:pos="474"/>
                <w:tab w:val="left" w:pos="794"/>
              </w:tabs>
              <w:adjustRightInd w:val="0"/>
              <w:snapToGrid w:val="0"/>
              <w:spacing w:before="40" w:after="40"/>
              <w:jc w:val="both"/>
              <w:rPr>
                <w:rFonts w:eastAsia="SimSun" w:cs="Segoe UI"/>
                <w:b/>
                <w:kern w:val="2"/>
                <w:sz w:val="18"/>
                <w:szCs w:val="18"/>
                <w:lang w:eastAsia="ja-JP"/>
              </w:rPr>
            </w:pPr>
            <w:r w:rsidRPr="00AC19CC">
              <w:rPr>
                <w:rFonts w:eastAsia="SimSun" w:cs="Segoe UI"/>
                <w:b/>
                <w:kern w:val="2"/>
                <w:sz w:val="18"/>
                <w:szCs w:val="18"/>
                <w:lang w:eastAsia="ja-JP"/>
              </w:rPr>
              <w:t>Using HKD200,000 threshold</w:t>
            </w:r>
          </w:p>
        </w:tc>
      </w:tr>
      <w:tr w:rsidR="00AC19CC" w:rsidRPr="00AC19CC" w14:paraId="3851B005" w14:textId="77777777" w:rsidTr="00A560A1">
        <w:trPr>
          <w:trHeight w:val="230"/>
        </w:trPr>
        <w:tc>
          <w:tcPr>
            <w:tcW w:w="324" w:type="pct"/>
            <w:tcBorders>
              <w:top w:val="single" w:sz="8" w:space="0" w:color="auto"/>
              <w:left w:val="nil"/>
              <w:bottom w:val="single" w:sz="8" w:space="0" w:color="auto"/>
              <w:right w:val="single" w:sz="4" w:space="0" w:color="BCBCBD"/>
            </w:tcBorders>
            <w:noWrap/>
            <w:vAlign w:val="center"/>
            <w:hideMark/>
          </w:tcPr>
          <w:p w14:paraId="20513C47" w14:textId="77777777" w:rsidR="00AC19CC" w:rsidRPr="00AC19CC" w:rsidRDefault="00AC19CC" w:rsidP="0099583E">
            <w:pPr>
              <w:tabs>
                <w:tab w:val="decimal" w:pos="474"/>
                <w:tab w:val="left" w:pos="794"/>
              </w:tabs>
              <w:adjustRightInd w:val="0"/>
              <w:snapToGrid w:val="0"/>
              <w:spacing w:after="40"/>
              <w:ind w:left="57"/>
              <w:rPr>
                <w:rFonts w:eastAsia="SimSun" w:cs="Segoe UI"/>
                <w:kern w:val="2"/>
                <w:sz w:val="18"/>
                <w:szCs w:val="18"/>
                <w:lang w:eastAsia="ja-JP"/>
              </w:rPr>
            </w:pPr>
            <w:r w:rsidRPr="00AC19CC">
              <w:rPr>
                <w:rFonts w:eastAsia="SimSun" w:cs="Segoe UI"/>
                <w:kern w:val="2"/>
                <w:sz w:val="18"/>
                <w:szCs w:val="18"/>
                <w:lang w:eastAsia="ja-JP"/>
              </w:rPr>
              <w:t>1</w:t>
            </w:r>
          </w:p>
        </w:tc>
        <w:tc>
          <w:tcPr>
            <w:tcW w:w="1014" w:type="pct"/>
            <w:tcBorders>
              <w:top w:val="single" w:sz="8" w:space="0" w:color="auto"/>
              <w:left w:val="single" w:sz="4" w:space="0" w:color="BCBCBD"/>
              <w:bottom w:val="single" w:sz="8" w:space="0" w:color="auto"/>
              <w:right w:val="single" w:sz="4" w:space="0" w:color="BCBCBD"/>
            </w:tcBorders>
            <w:vAlign w:val="center"/>
            <w:hideMark/>
          </w:tcPr>
          <w:p w14:paraId="67823C71" w14:textId="77777777" w:rsidR="00AC19CC" w:rsidRPr="00AC19CC" w:rsidRDefault="00AC19CC" w:rsidP="00AC19CC">
            <w:pPr>
              <w:keepNext/>
              <w:tabs>
                <w:tab w:val="decimal" w:pos="474"/>
                <w:tab w:val="left" w:pos="794"/>
              </w:tabs>
              <w:adjustRightInd w:val="0"/>
              <w:snapToGrid w:val="0"/>
              <w:contextualSpacing/>
              <w:jc w:val="both"/>
              <w:rPr>
                <w:rFonts w:eastAsia="SimSun" w:cs="Segoe UI"/>
                <w:color w:val="000000"/>
                <w:kern w:val="2"/>
                <w:sz w:val="18"/>
                <w:szCs w:val="18"/>
              </w:rPr>
            </w:pPr>
            <w:r w:rsidRPr="00AC19CC">
              <w:rPr>
                <w:rFonts w:eastAsia="SimSun" w:cs="Segoe UI"/>
                <w:color w:val="000000"/>
                <w:kern w:val="2"/>
                <w:sz w:val="18"/>
                <w:szCs w:val="18"/>
              </w:rPr>
              <w:t>Total amount of operational losses net of recoveries (no exclusions)</w:t>
            </w:r>
          </w:p>
        </w:tc>
        <w:tc>
          <w:tcPr>
            <w:tcW w:w="260" w:type="pct"/>
            <w:tcBorders>
              <w:top w:val="single" w:sz="8" w:space="0" w:color="auto"/>
              <w:left w:val="single" w:sz="4" w:space="0" w:color="BCBCBD"/>
              <w:bottom w:val="single" w:sz="8" w:space="0" w:color="auto"/>
              <w:right w:val="single" w:sz="4" w:space="0" w:color="BCBCBD"/>
            </w:tcBorders>
          </w:tcPr>
          <w:p w14:paraId="0A55B44A" w14:textId="77777777" w:rsidR="00AC19CC" w:rsidRPr="00AC19CC" w:rsidRDefault="00AC19CC" w:rsidP="00AC19CC">
            <w:pPr>
              <w:keepNext/>
              <w:tabs>
                <w:tab w:val="decimal" w:pos="474"/>
                <w:tab w:val="left" w:pos="794"/>
              </w:tabs>
              <w:adjustRightInd w:val="0"/>
              <w:snapToGrid w:val="0"/>
              <w:spacing w:after="40"/>
              <w:jc w:val="both"/>
              <w:rPr>
                <w:rFonts w:eastAsia="SimSun" w:cs="Segoe UI"/>
                <w:kern w:val="2"/>
                <w:sz w:val="18"/>
                <w:szCs w:val="18"/>
                <w:lang w:eastAsia="ja-JP"/>
              </w:rPr>
            </w:pPr>
          </w:p>
        </w:tc>
        <w:tc>
          <w:tcPr>
            <w:tcW w:w="293" w:type="pct"/>
            <w:tcBorders>
              <w:top w:val="single" w:sz="8" w:space="0" w:color="auto"/>
              <w:left w:val="single" w:sz="4" w:space="0" w:color="BCBCBD"/>
              <w:bottom w:val="single" w:sz="8" w:space="0" w:color="auto"/>
              <w:right w:val="single" w:sz="4" w:space="0" w:color="BCBCBD"/>
            </w:tcBorders>
          </w:tcPr>
          <w:p w14:paraId="14F22A51" w14:textId="77777777" w:rsidR="00AC19CC" w:rsidRPr="00AC19CC" w:rsidRDefault="00AC19CC" w:rsidP="00AC19CC">
            <w:pPr>
              <w:keepNext/>
              <w:tabs>
                <w:tab w:val="decimal" w:pos="474"/>
                <w:tab w:val="left" w:pos="794"/>
              </w:tabs>
              <w:adjustRightInd w:val="0"/>
              <w:snapToGrid w:val="0"/>
              <w:spacing w:after="40"/>
              <w:jc w:val="both"/>
              <w:rPr>
                <w:rFonts w:eastAsia="SimSun" w:cs="Segoe UI"/>
                <w:kern w:val="2"/>
                <w:sz w:val="18"/>
                <w:szCs w:val="18"/>
                <w:lang w:eastAsia="ja-JP"/>
              </w:rPr>
            </w:pPr>
          </w:p>
        </w:tc>
        <w:tc>
          <w:tcPr>
            <w:tcW w:w="326" w:type="pct"/>
            <w:tcBorders>
              <w:top w:val="single" w:sz="8" w:space="0" w:color="auto"/>
              <w:left w:val="single" w:sz="4" w:space="0" w:color="BCBCBD"/>
              <w:bottom w:val="single" w:sz="8" w:space="0" w:color="auto"/>
              <w:right w:val="single" w:sz="4" w:space="0" w:color="BCBCBD"/>
            </w:tcBorders>
          </w:tcPr>
          <w:p w14:paraId="294E1814" w14:textId="77777777" w:rsidR="00AC19CC" w:rsidRPr="00AC19CC" w:rsidRDefault="00AC19CC" w:rsidP="00AC19CC">
            <w:pPr>
              <w:keepNext/>
              <w:tabs>
                <w:tab w:val="decimal" w:pos="474"/>
                <w:tab w:val="left" w:pos="794"/>
              </w:tabs>
              <w:adjustRightInd w:val="0"/>
              <w:snapToGrid w:val="0"/>
              <w:spacing w:after="40"/>
              <w:jc w:val="both"/>
              <w:rPr>
                <w:rFonts w:eastAsia="SimSun" w:cs="Segoe UI"/>
                <w:kern w:val="2"/>
                <w:sz w:val="18"/>
                <w:szCs w:val="18"/>
                <w:lang w:eastAsia="ja-JP"/>
              </w:rPr>
            </w:pPr>
          </w:p>
        </w:tc>
        <w:tc>
          <w:tcPr>
            <w:tcW w:w="308" w:type="pct"/>
            <w:tcBorders>
              <w:top w:val="single" w:sz="8" w:space="0" w:color="auto"/>
              <w:left w:val="single" w:sz="4" w:space="0" w:color="BCBCBD"/>
              <w:bottom w:val="single" w:sz="8" w:space="0" w:color="auto"/>
              <w:right w:val="single" w:sz="4" w:space="0" w:color="BCBCBD"/>
            </w:tcBorders>
          </w:tcPr>
          <w:p w14:paraId="33FE8903" w14:textId="77777777" w:rsidR="00AC19CC" w:rsidRPr="00AC19CC" w:rsidRDefault="00AC19CC" w:rsidP="00AC19CC">
            <w:pPr>
              <w:keepNext/>
              <w:tabs>
                <w:tab w:val="decimal" w:pos="474"/>
                <w:tab w:val="left" w:pos="794"/>
              </w:tabs>
              <w:adjustRightInd w:val="0"/>
              <w:snapToGrid w:val="0"/>
              <w:spacing w:after="40"/>
              <w:jc w:val="both"/>
              <w:rPr>
                <w:rFonts w:eastAsia="SimSun" w:cs="Segoe UI"/>
                <w:kern w:val="2"/>
                <w:sz w:val="18"/>
                <w:szCs w:val="18"/>
                <w:lang w:eastAsia="ja-JP"/>
              </w:rPr>
            </w:pPr>
          </w:p>
        </w:tc>
        <w:tc>
          <w:tcPr>
            <w:tcW w:w="315" w:type="pct"/>
            <w:tcBorders>
              <w:top w:val="single" w:sz="8" w:space="0" w:color="auto"/>
              <w:left w:val="single" w:sz="4" w:space="0" w:color="BCBCBD"/>
              <w:bottom w:val="single" w:sz="8" w:space="0" w:color="auto"/>
              <w:right w:val="single" w:sz="4" w:space="0" w:color="BCBCBD"/>
            </w:tcBorders>
          </w:tcPr>
          <w:p w14:paraId="46DB1873" w14:textId="77777777" w:rsidR="00AC19CC" w:rsidRPr="00AC19CC" w:rsidRDefault="00AC19CC" w:rsidP="00AC19CC">
            <w:pPr>
              <w:keepNext/>
              <w:tabs>
                <w:tab w:val="decimal" w:pos="474"/>
                <w:tab w:val="left" w:pos="794"/>
              </w:tabs>
              <w:adjustRightInd w:val="0"/>
              <w:snapToGrid w:val="0"/>
              <w:spacing w:after="40"/>
              <w:jc w:val="both"/>
              <w:rPr>
                <w:rFonts w:eastAsia="SimSun" w:cs="Segoe UI"/>
                <w:kern w:val="2"/>
                <w:sz w:val="18"/>
                <w:szCs w:val="18"/>
                <w:lang w:eastAsia="ja-JP"/>
              </w:rPr>
            </w:pPr>
          </w:p>
        </w:tc>
        <w:tc>
          <w:tcPr>
            <w:tcW w:w="307" w:type="pct"/>
            <w:tcBorders>
              <w:top w:val="single" w:sz="8" w:space="0" w:color="auto"/>
              <w:left w:val="single" w:sz="4" w:space="0" w:color="BCBCBD"/>
              <w:bottom w:val="single" w:sz="8" w:space="0" w:color="auto"/>
              <w:right w:val="single" w:sz="4" w:space="0" w:color="BCBCBD"/>
            </w:tcBorders>
          </w:tcPr>
          <w:p w14:paraId="5E45BDE1" w14:textId="77777777" w:rsidR="00AC19CC" w:rsidRPr="00AC19CC" w:rsidRDefault="00AC19CC" w:rsidP="00AC19CC">
            <w:pPr>
              <w:keepNext/>
              <w:tabs>
                <w:tab w:val="decimal" w:pos="474"/>
                <w:tab w:val="left" w:pos="794"/>
              </w:tabs>
              <w:adjustRightInd w:val="0"/>
              <w:snapToGrid w:val="0"/>
              <w:spacing w:after="40"/>
              <w:jc w:val="both"/>
              <w:rPr>
                <w:rFonts w:eastAsia="SimSun" w:cs="Segoe UI"/>
                <w:kern w:val="2"/>
                <w:sz w:val="18"/>
                <w:szCs w:val="18"/>
                <w:lang w:eastAsia="ja-JP"/>
              </w:rPr>
            </w:pPr>
          </w:p>
        </w:tc>
        <w:tc>
          <w:tcPr>
            <w:tcW w:w="308" w:type="pct"/>
            <w:tcBorders>
              <w:top w:val="single" w:sz="8" w:space="0" w:color="auto"/>
              <w:left w:val="single" w:sz="4" w:space="0" w:color="BCBCBD"/>
              <w:bottom w:val="single" w:sz="8" w:space="0" w:color="auto"/>
              <w:right w:val="single" w:sz="4" w:space="0" w:color="BCBCBD"/>
            </w:tcBorders>
          </w:tcPr>
          <w:p w14:paraId="3492533B" w14:textId="77777777" w:rsidR="00AC19CC" w:rsidRPr="00AC19CC" w:rsidRDefault="00AC19CC" w:rsidP="00AC19CC">
            <w:pPr>
              <w:keepNext/>
              <w:tabs>
                <w:tab w:val="decimal" w:pos="474"/>
                <w:tab w:val="left" w:pos="794"/>
              </w:tabs>
              <w:adjustRightInd w:val="0"/>
              <w:snapToGrid w:val="0"/>
              <w:spacing w:after="40"/>
              <w:jc w:val="both"/>
              <w:rPr>
                <w:rFonts w:eastAsia="SimSun" w:cs="Segoe UI"/>
                <w:kern w:val="2"/>
                <w:sz w:val="18"/>
                <w:szCs w:val="18"/>
                <w:lang w:eastAsia="ja-JP"/>
              </w:rPr>
            </w:pPr>
          </w:p>
        </w:tc>
        <w:tc>
          <w:tcPr>
            <w:tcW w:w="311" w:type="pct"/>
            <w:tcBorders>
              <w:top w:val="single" w:sz="8" w:space="0" w:color="auto"/>
              <w:left w:val="single" w:sz="4" w:space="0" w:color="BCBCBD"/>
              <w:bottom w:val="single" w:sz="8" w:space="0" w:color="auto"/>
              <w:right w:val="single" w:sz="4" w:space="0" w:color="BCBCBD"/>
            </w:tcBorders>
          </w:tcPr>
          <w:p w14:paraId="6C8FC6E3" w14:textId="77777777" w:rsidR="00AC19CC" w:rsidRPr="00AC19CC" w:rsidRDefault="00AC19CC" w:rsidP="00AC19CC">
            <w:pPr>
              <w:keepNext/>
              <w:tabs>
                <w:tab w:val="decimal" w:pos="474"/>
                <w:tab w:val="left" w:pos="794"/>
              </w:tabs>
              <w:adjustRightInd w:val="0"/>
              <w:snapToGrid w:val="0"/>
              <w:spacing w:after="40"/>
              <w:jc w:val="both"/>
              <w:rPr>
                <w:rFonts w:eastAsia="SimSun" w:cs="Segoe UI"/>
                <w:kern w:val="2"/>
                <w:sz w:val="18"/>
                <w:szCs w:val="18"/>
                <w:lang w:eastAsia="ja-JP"/>
              </w:rPr>
            </w:pPr>
          </w:p>
        </w:tc>
        <w:tc>
          <w:tcPr>
            <w:tcW w:w="310" w:type="pct"/>
            <w:tcBorders>
              <w:top w:val="single" w:sz="8" w:space="0" w:color="auto"/>
              <w:left w:val="single" w:sz="4" w:space="0" w:color="BCBCBD"/>
              <w:bottom w:val="single" w:sz="8" w:space="0" w:color="auto"/>
              <w:right w:val="single" w:sz="4" w:space="0" w:color="BCBCBD"/>
            </w:tcBorders>
          </w:tcPr>
          <w:p w14:paraId="62CDE51A" w14:textId="77777777" w:rsidR="00AC19CC" w:rsidRPr="00AC19CC" w:rsidRDefault="00AC19CC" w:rsidP="00AC19CC">
            <w:pPr>
              <w:keepNext/>
              <w:tabs>
                <w:tab w:val="decimal" w:pos="474"/>
                <w:tab w:val="left" w:pos="794"/>
              </w:tabs>
              <w:adjustRightInd w:val="0"/>
              <w:snapToGrid w:val="0"/>
              <w:spacing w:after="40"/>
              <w:jc w:val="both"/>
              <w:rPr>
                <w:rFonts w:eastAsia="SimSun" w:cs="Segoe UI"/>
                <w:kern w:val="2"/>
                <w:sz w:val="18"/>
                <w:szCs w:val="18"/>
                <w:lang w:eastAsia="ja-JP"/>
              </w:rPr>
            </w:pPr>
          </w:p>
        </w:tc>
        <w:tc>
          <w:tcPr>
            <w:tcW w:w="309" w:type="pct"/>
            <w:tcBorders>
              <w:top w:val="single" w:sz="8" w:space="0" w:color="auto"/>
              <w:left w:val="single" w:sz="4" w:space="0" w:color="BCBCBD"/>
              <w:bottom w:val="single" w:sz="8" w:space="0" w:color="auto"/>
              <w:right w:val="nil"/>
            </w:tcBorders>
          </w:tcPr>
          <w:p w14:paraId="0FDB135B" w14:textId="77777777" w:rsidR="00AC19CC" w:rsidRPr="00AC19CC" w:rsidRDefault="00AC19CC" w:rsidP="00AC19CC">
            <w:pPr>
              <w:keepNext/>
              <w:tabs>
                <w:tab w:val="decimal" w:pos="474"/>
                <w:tab w:val="left" w:pos="794"/>
              </w:tabs>
              <w:adjustRightInd w:val="0"/>
              <w:snapToGrid w:val="0"/>
              <w:spacing w:after="40"/>
              <w:jc w:val="both"/>
              <w:rPr>
                <w:rFonts w:eastAsia="SimSun" w:cs="Segoe UI"/>
                <w:kern w:val="2"/>
                <w:sz w:val="18"/>
                <w:szCs w:val="18"/>
                <w:lang w:eastAsia="ja-JP"/>
              </w:rPr>
            </w:pPr>
          </w:p>
        </w:tc>
        <w:tc>
          <w:tcPr>
            <w:tcW w:w="615" w:type="pct"/>
            <w:tcBorders>
              <w:top w:val="single" w:sz="8" w:space="0" w:color="auto"/>
              <w:left w:val="single" w:sz="4" w:space="0" w:color="BCBCBD"/>
              <w:bottom w:val="single" w:sz="8" w:space="0" w:color="auto"/>
              <w:right w:val="nil"/>
            </w:tcBorders>
          </w:tcPr>
          <w:p w14:paraId="628235AA" w14:textId="77777777" w:rsidR="00AC19CC" w:rsidRPr="00AC19CC" w:rsidRDefault="00AC19CC" w:rsidP="00AC19CC">
            <w:pPr>
              <w:keepNext/>
              <w:tabs>
                <w:tab w:val="decimal" w:pos="474"/>
                <w:tab w:val="left" w:pos="794"/>
              </w:tabs>
              <w:adjustRightInd w:val="0"/>
              <w:snapToGrid w:val="0"/>
              <w:spacing w:after="40"/>
              <w:jc w:val="both"/>
              <w:rPr>
                <w:rFonts w:eastAsia="SimSun" w:cs="Segoe UI"/>
                <w:kern w:val="2"/>
                <w:sz w:val="18"/>
                <w:szCs w:val="18"/>
                <w:lang w:eastAsia="ja-JP"/>
              </w:rPr>
            </w:pPr>
          </w:p>
        </w:tc>
      </w:tr>
      <w:tr w:rsidR="00AC19CC" w:rsidRPr="00AC19CC" w14:paraId="1D22A3C3" w14:textId="77777777" w:rsidTr="000E09C1">
        <w:trPr>
          <w:trHeight w:val="230"/>
        </w:trPr>
        <w:tc>
          <w:tcPr>
            <w:tcW w:w="324" w:type="pct"/>
            <w:tcBorders>
              <w:top w:val="single" w:sz="8" w:space="0" w:color="auto"/>
              <w:left w:val="nil"/>
              <w:bottom w:val="single" w:sz="8" w:space="0" w:color="auto"/>
              <w:right w:val="single" w:sz="4" w:space="0" w:color="BCBCBD"/>
            </w:tcBorders>
            <w:noWrap/>
            <w:vAlign w:val="center"/>
          </w:tcPr>
          <w:p w14:paraId="30DA93EC" w14:textId="77777777" w:rsidR="00AC19CC" w:rsidRPr="00AC19CC" w:rsidRDefault="00AC19CC" w:rsidP="0099583E">
            <w:pPr>
              <w:tabs>
                <w:tab w:val="decimal" w:pos="474"/>
                <w:tab w:val="left" w:pos="794"/>
              </w:tabs>
              <w:adjustRightInd w:val="0"/>
              <w:snapToGrid w:val="0"/>
              <w:spacing w:before="40" w:after="40"/>
              <w:ind w:left="57"/>
              <w:rPr>
                <w:rFonts w:eastAsia="SimSun" w:cs="Segoe UI"/>
                <w:kern w:val="2"/>
                <w:sz w:val="18"/>
                <w:szCs w:val="18"/>
                <w:lang w:eastAsia="ja-JP"/>
              </w:rPr>
            </w:pPr>
            <w:r w:rsidRPr="00AC19CC">
              <w:rPr>
                <w:rFonts w:eastAsia="SimSun" w:cs="Segoe UI"/>
                <w:kern w:val="2"/>
                <w:sz w:val="18"/>
                <w:szCs w:val="18"/>
                <w:lang w:eastAsia="ja-JP"/>
              </w:rPr>
              <w:t>2</w:t>
            </w:r>
          </w:p>
        </w:tc>
        <w:tc>
          <w:tcPr>
            <w:tcW w:w="1014" w:type="pct"/>
            <w:tcBorders>
              <w:top w:val="single" w:sz="8" w:space="0" w:color="auto"/>
              <w:left w:val="single" w:sz="4" w:space="0" w:color="BCBCBD"/>
              <w:bottom w:val="single" w:sz="8" w:space="0" w:color="auto"/>
              <w:right w:val="single" w:sz="4" w:space="0" w:color="BCBCBD"/>
            </w:tcBorders>
            <w:vAlign w:val="center"/>
          </w:tcPr>
          <w:p w14:paraId="4C6991FC" w14:textId="77777777" w:rsidR="00AC19CC" w:rsidRPr="00AC19CC" w:rsidRDefault="00AC19CC" w:rsidP="00AC19CC">
            <w:pPr>
              <w:keepNext/>
              <w:tabs>
                <w:tab w:val="decimal" w:pos="474"/>
                <w:tab w:val="left" w:pos="794"/>
              </w:tabs>
              <w:adjustRightInd w:val="0"/>
              <w:snapToGrid w:val="0"/>
              <w:spacing w:before="40" w:after="40"/>
              <w:jc w:val="both"/>
              <w:rPr>
                <w:rFonts w:eastAsia="SimSun" w:cs="Segoe UI"/>
                <w:color w:val="000000"/>
                <w:kern w:val="2"/>
                <w:sz w:val="18"/>
                <w:szCs w:val="18"/>
              </w:rPr>
            </w:pPr>
            <w:r w:rsidRPr="00AC19CC">
              <w:rPr>
                <w:rFonts w:eastAsia="SimSun" w:cs="Segoe UI"/>
                <w:color w:val="000000"/>
                <w:kern w:val="2"/>
                <w:sz w:val="18"/>
                <w:szCs w:val="18"/>
              </w:rPr>
              <w:t>Total number of operational risk losses</w:t>
            </w:r>
          </w:p>
        </w:tc>
        <w:tc>
          <w:tcPr>
            <w:tcW w:w="260" w:type="pct"/>
            <w:tcBorders>
              <w:top w:val="single" w:sz="8" w:space="0" w:color="auto"/>
              <w:left w:val="single" w:sz="4" w:space="0" w:color="BCBCBD"/>
              <w:bottom w:val="single" w:sz="8" w:space="0" w:color="auto"/>
              <w:right w:val="single" w:sz="4" w:space="0" w:color="BCBCBD"/>
            </w:tcBorders>
          </w:tcPr>
          <w:p w14:paraId="091254CE" w14:textId="77777777" w:rsidR="00AC19CC" w:rsidRPr="00AC19CC" w:rsidRDefault="00AC19CC" w:rsidP="00AC19CC">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293" w:type="pct"/>
            <w:tcBorders>
              <w:top w:val="single" w:sz="8" w:space="0" w:color="auto"/>
              <w:left w:val="single" w:sz="4" w:space="0" w:color="BCBCBD"/>
              <w:bottom w:val="single" w:sz="8" w:space="0" w:color="auto"/>
              <w:right w:val="single" w:sz="4" w:space="0" w:color="BCBCBD"/>
            </w:tcBorders>
          </w:tcPr>
          <w:p w14:paraId="1F4C17AA" w14:textId="77777777" w:rsidR="00AC19CC" w:rsidRPr="00AC19CC" w:rsidRDefault="00AC19CC" w:rsidP="00AC19CC">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26" w:type="pct"/>
            <w:tcBorders>
              <w:top w:val="single" w:sz="8" w:space="0" w:color="auto"/>
              <w:left w:val="single" w:sz="4" w:space="0" w:color="BCBCBD"/>
              <w:bottom w:val="single" w:sz="8" w:space="0" w:color="auto"/>
              <w:right w:val="single" w:sz="4" w:space="0" w:color="BCBCBD"/>
            </w:tcBorders>
          </w:tcPr>
          <w:p w14:paraId="45348A68" w14:textId="77777777" w:rsidR="00AC19CC" w:rsidRPr="00AC19CC" w:rsidRDefault="00AC19CC" w:rsidP="00AC19CC">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08" w:type="pct"/>
            <w:tcBorders>
              <w:top w:val="single" w:sz="8" w:space="0" w:color="auto"/>
              <w:left w:val="single" w:sz="4" w:space="0" w:color="BCBCBD"/>
              <w:bottom w:val="single" w:sz="8" w:space="0" w:color="auto"/>
              <w:right w:val="single" w:sz="4" w:space="0" w:color="BCBCBD"/>
            </w:tcBorders>
          </w:tcPr>
          <w:p w14:paraId="0BAE93B9" w14:textId="77777777" w:rsidR="00AC19CC" w:rsidRPr="00AC19CC" w:rsidRDefault="00AC19CC" w:rsidP="00AC19CC">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15" w:type="pct"/>
            <w:tcBorders>
              <w:top w:val="single" w:sz="8" w:space="0" w:color="auto"/>
              <w:left w:val="single" w:sz="4" w:space="0" w:color="BCBCBD"/>
              <w:bottom w:val="single" w:sz="8" w:space="0" w:color="auto"/>
              <w:right w:val="single" w:sz="4" w:space="0" w:color="BCBCBD"/>
            </w:tcBorders>
          </w:tcPr>
          <w:p w14:paraId="4365CED0" w14:textId="77777777" w:rsidR="00AC19CC" w:rsidRPr="00AC19CC" w:rsidRDefault="00AC19CC" w:rsidP="00AC19CC">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07" w:type="pct"/>
            <w:tcBorders>
              <w:top w:val="single" w:sz="8" w:space="0" w:color="auto"/>
              <w:left w:val="single" w:sz="4" w:space="0" w:color="BCBCBD"/>
              <w:bottom w:val="single" w:sz="8" w:space="0" w:color="auto"/>
              <w:right w:val="single" w:sz="4" w:space="0" w:color="BCBCBD"/>
            </w:tcBorders>
          </w:tcPr>
          <w:p w14:paraId="33BBDAA7" w14:textId="77777777" w:rsidR="00AC19CC" w:rsidRPr="00AC19CC" w:rsidRDefault="00AC19CC" w:rsidP="00AC19CC">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08" w:type="pct"/>
            <w:tcBorders>
              <w:top w:val="single" w:sz="8" w:space="0" w:color="auto"/>
              <w:left w:val="single" w:sz="4" w:space="0" w:color="BCBCBD"/>
              <w:bottom w:val="single" w:sz="8" w:space="0" w:color="auto"/>
              <w:right w:val="single" w:sz="4" w:space="0" w:color="BCBCBD"/>
            </w:tcBorders>
          </w:tcPr>
          <w:p w14:paraId="48C01162" w14:textId="77777777" w:rsidR="00AC19CC" w:rsidRPr="00AC19CC" w:rsidRDefault="00AC19CC" w:rsidP="00AC19CC">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11" w:type="pct"/>
            <w:tcBorders>
              <w:top w:val="single" w:sz="8" w:space="0" w:color="auto"/>
              <w:left w:val="single" w:sz="4" w:space="0" w:color="BCBCBD"/>
              <w:bottom w:val="single" w:sz="8" w:space="0" w:color="auto"/>
              <w:right w:val="single" w:sz="4" w:space="0" w:color="BCBCBD"/>
            </w:tcBorders>
          </w:tcPr>
          <w:p w14:paraId="0B67B8D8" w14:textId="77777777" w:rsidR="00AC19CC" w:rsidRPr="00AC19CC" w:rsidRDefault="00AC19CC" w:rsidP="00AC19CC">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10" w:type="pct"/>
            <w:tcBorders>
              <w:top w:val="single" w:sz="8" w:space="0" w:color="auto"/>
              <w:left w:val="single" w:sz="4" w:space="0" w:color="BCBCBD"/>
              <w:bottom w:val="single" w:sz="8" w:space="0" w:color="auto"/>
              <w:right w:val="single" w:sz="4" w:space="0" w:color="BCBCBD"/>
            </w:tcBorders>
          </w:tcPr>
          <w:p w14:paraId="252ADA96" w14:textId="77777777" w:rsidR="00AC19CC" w:rsidRPr="00AC19CC" w:rsidRDefault="00AC19CC" w:rsidP="00AC19CC">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09" w:type="pct"/>
            <w:tcBorders>
              <w:top w:val="single" w:sz="8" w:space="0" w:color="auto"/>
              <w:left w:val="single" w:sz="4" w:space="0" w:color="BCBCBD"/>
              <w:bottom w:val="single" w:sz="8" w:space="0" w:color="auto"/>
              <w:right w:val="nil"/>
            </w:tcBorders>
          </w:tcPr>
          <w:p w14:paraId="78107518" w14:textId="77777777" w:rsidR="00AC19CC" w:rsidRPr="00AC19CC" w:rsidRDefault="00AC19CC" w:rsidP="00AC19CC">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615" w:type="pct"/>
            <w:tcBorders>
              <w:top w:val="single" w:sz="8" w:space="0" w:color="auto"/>
              <w:left w:val="single" w:sz="4" w:space="0" w:color="BCBCBD"/>
              <w:bottom w:val="single" w:sz="8" w:space="0" w:color="auto"/>
              <w:right w:val="nil"/>
            </w:tcBorders>
          </w:tcPr>
          <w:p w14:paraId="2A691A4C" w14:textId="77777777" w:rsidR="00AC19CC" w:rsidRPr="00AC19CC" w:rsidRDefault="00AC19CC" w:rsidP="00AC19CC">
            <w:pPr>
              <w:keepNext/>
              <w:tabs>
                <w:tab w:val="decimal" w:pos="474"/>
                <w:tab w:val="left" w:pos="794"/>
              </w:tabs>
              <w:adjustRightInd w:val="0"/>
              <w:snapToGrid w:val="0"/>
              <w:spacing w:before="40" w:after="40"/>
              <w:jc w:val="both"/>
              <w:rPr>
                <w:rFonts w:eastAsia="SimSun" w:cs="Segoe UI"/>
                <w:kern w:val="2"/>
                <w:sz w:val="18"/>
                <w:szCs w:val="18"/>
                <w:lang w:eastAsia="ja-JP"/>
              </w:rPr>
            </w:pPr>
          </w:p>
        </w:tc>
      </w:tr>
      <w:tr w:rsidR="006410A9" w:rsidRPr="00AC19CC" w14:paraId="5CC1B33B" w14:textId="77777777" w:rsidTr="00A560A1">
        <w:trPr>
          <w:trHeight w:val="230"/>
        </w:trPr>
        <w:tc>
          <w:tcPr>
            <w:tcW w:w="324" w:type="pct"/>
            <w:tcBorders>
              <w:top w:val="single" w:sz="8" w:space="0" w:color="auto"/>
              <w:left w:val="nil"/>
              <w:bottom w:val="single" w:sz="8" w:space="0" w:color="auto"/>
              <w:right w:val="single" w:sz="4" w:space="0" w:color="BCBCBD"/>
            </w:tcBorders>
            <w:noWrap/>
            <w:vAlign w:val="center"/>
            <w:hideMark/>
          </w:tcPr>
          <w:p w14:paraId="54F134A0" w14:textId="77777777" w:rsidR="006410A9" w:rsidRPr="00AC19CC" w:rsidRDefault="006410A9" w:rsidP="0099583E">
            <w:pPr>
              <w:tabs>
                <w:tab w:val="decimal" w:pos="474"/>
                <w:tab w:val="left" w:pos="794"/>
              </w:tabs>
              <w:adjustRightInd w:val="0"/>
              <w:snapToGrid w:val="0"/>
              <w:spacing w:before="40" w:after="40"/>
              <w:ind w:left="57"/>
              <w:rPr>
                <w:rFonts w:eastAsia="SimSun" w:cs="Segoe UI"/>
                <w:kern w:val="2"/>
                <w:sz w:val="18"/>
                <w:szCs w:val="18"/>
                <w:lang w:eastAsia="ja-JP"/>
              </w:rPr>
            </w:pPr>
            <w:r w:rsidRPr="00AC19CC">
              <w:rPr>
                <w:rFonts w:eastAsia="SimSun" w:cs="Segoe UI"/>
                <w:kern w:val="2"/>
                <w:sz w:val="18"/>
                <w:szCs w:val="18"/>
                <w:lang w:eastAsia="ja-JP"/>
              </w:rPr>
              <w:lastRenderedPageBreak/>
              <w:t>3</w:t>
            </w:r>
          </w:p>
        </w:tc>
        <w:tc>
          <w:tcPr>
            <w:tcW w:w="1014" w:type="pct"/>
            <w:tcBorders>
              <w:top w:val="single" w:sz="8" w:space="0" w:color="auto"/>
              <w:left w:val="single" w:sz="4" w:space="0" w:color="BCBCBD"/>
              <w:bottom w:val="single" w:sz="8" w:space="0" w:color="auto"/>
              <w:right w:val="single" w:sz="4" w:space="0" w:color="BCBCBD"/>
            </w:tcBorders>
            <w:vAlign w:val="center"/>
            <w:hideMark/>
          </w:tcPr>
          <w:p w14:paraId="447CAE39"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sz w:val="18"/>
                <w:szCs w:val="18"/>
              </w:rPr>
            </w:pPr>
            <w:r w:rsidRPr="00AC19CC">
              <w:rPr>
                <w:rFonts w:eastAsia="SimSun" w:cs="Segoe UI"/>
                <w:color w:val="000000"/>
                <w:kern w:val="2"/>
                <w:sz w:val="18"/>
                <w:szCs w:val="18"/>
              </w:rPr>
              <w:t xml:space="preserve">Total amount of excluded operational risk losses </w:t>
            </w:r>
          </w:p>
        </w:tc>
        <w:tc>
          <w:tcPr>
            <w:tcW w:w="260" w:type="pct"/>
            <w:tcBorders>
              <w:top w:val="single" w:sz="8" w:space="0" w:color="auto"/>
              <w:left w:val="single" w:sz="4" w:space="0" w:color="BCBCBD"/>
              <w:bottom w:val="single" w:sz="8" w:space="0" w:color="auto"/>
              <w:right w:val="single" w:sz="4" w:space="0" w:color="BCBCBD"/>
            </w:tcBorders>
          </w:tcPr>
          <w:p w14:paraId="7E34A136"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293" w:type="pct"/>
            <w:tcBorders>
              <w:top w:val="single" w:sz="8" w:space="0" w:color="auto"/>
              <w:left w:val="single" w:sz="4" w:space="0" w:color="BCBCBD"/>
              <w:bottom w:val="single" w:sz="8" w:space="0" w:color="auto"/>
              <w:right w:val="single" w:sz="4" w:space="0" w:color="BCBCBD"/>
            </w:tcBorders>
          </w:tcPr>
          <w:p w14:paraId="44199305"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26" w:type="pct"/>
            <w:tcBorders>
              <w:top w:val="single" w:sz="8" w:space="0" w:color="auto"/>
              <w:left w:val="single" w:sz="4" w:space="0" w:color="BCBCBD"/>
              <w:bottom w:val="single" w:sz="8" w:space="0" w:color="auto"/>
              <w:right w:val="single" w:sz="4" w:space="0" w:color="BCBCBD"/>
            </w:tcBorders>
          </w:tcPr>
          <w:p w14:paraId="242A1124"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08" w:type="pct"/>
            <w:tcBorders>
              <w:top w:val="single" w:sz="8" w:space="0" w:color="auto"/>
              <w:left w:val="single" w:sz="4" w:space="0" w:color="BCBCBD"/>
              <w:bottom w:val="single" w:sz="8" w:space="0" w:color="auto"/>
              <w:right w:val="single" w:sz="4" w:space="0" w:color="BCBCBD"/>
            </w:tcBorders>
          </w:tcPr>
          <w:p w14:paraId="7CE0623F"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15" w:type="pct"/>
            <w:tcBorders>
              <w:top w:val="single" w:sz="8" w:space="0" w:color="auto"/>
              <w:left w:val="single" w:sz="4" w:space="0" w:color="BCBCBD"/>
              <w:bottom w:val="single" w:sz="8" w:space="0" w:color="auto"/>
              <w:right w:val="single" w:sz="4" w:space="0" w:color="BCBCBD"/>
            </w:tcBorders>
          </w:tcPr>
          <w:p w14:paraId="472618BA"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07" w:type="pct"/>
            <w:tcBorders>
              <w:top w:val="single" w:sz="8" w:space="0" w:color="auto"/>
              <w:left w:val="single" w:sz="4" w:space="0" w:color="BCBCBD"/>
              <w:bottom w:val="single" w:sz="8" w:space="0" w:color="auto"/>
              <w:right w:val="single" w:sz="4" w:space="0" w:color="BCBCBD"/>
            </w:tcBorders>
          </w:tcPr>
          <w:p w14:paraId="1B8F6B91"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08" w:type="pct"/>
            <w:tcBorders>
              <w:top w:val="single" w:sz="8" w:space="0" w:color="auto"/>
              <w:left w:val="single" w:sz="4" w:space="0" w:color="BCBCBD"/>
              <w:bottom w:val="single" w:sz="8" w:space="0" w:color="auto"/>
              <w:right w:val="single" w:sz="4" w:space="0" w:color="BCBCBD"/>
            </w:tcBorders>
          </w:tcPr>
          <w:p w14:paraId="681E64E7"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11" w:type="pct"/>
            <w:tcBorders>
              <w:top w:val="single" w:sz="8" w:space="0" w:color="auto"/>
              <w:left w:val="single" w:sz="4" w:space="0" w:color="BCBCBD"/>
              <w:bottom w:val="single" w:sz="8" w:space="0" w:color="auto"/>
              <w:right w:val="single" w:sz="4" w:space="0" w:color="BCBCBD"/>
            </w:tcBorders>
          </w:tcPr>
          <w:p w14:paraId="7111D9D7"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10" w:type="pct"/>
            <w:tcBorders>
              <w:top w:val="single" w:sz="8" w:space="0" w:color="auto"/>
              <w:left w:val="single" w:sz="4" w:space="0" w:color="BCBCBD"/>
              <w:bottom w:val="single" w:sz="8" w:space="0" w:color="auto"/>
              <w:right w:val="single" w:sz="4" w:space="0" w:color="BCBCBD"/>
            </w:tcBorders>
          </w:tcPr>
          <w:p w14:paraId="54DF0AD6"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09" w:type="pct"/>
            <w:tcBorders>
              <w:top w:val="single" w:sz="8" w:space="0" w:color="auto"/>
              <w:left w:val="single" w:sz="4" w:space="0" w:color="BCBCBD"/>
              <w:bottom w:val="single" w:sz="8" w:space="0" w:color="auto"/>
              <w:right w:val="nil"/>
            </w:tcBorders>
          </w:tcPr>
          <w:p w14:paraId="0BAF85CB"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615" w:type="pct"/>
            <w:tcBorders>
              <w:top w:val="single" w:sz="8" w:space="0" w:color="auto"/>
              <w:left w:val="single" w:sz="4" w:space="0" w:color="BCBCBD"/>
              <w:bottom w:val="single" w:sz="8" w:space="0" w:color="auto"/>
              <w:right w:val="nil"/>
            </w:tcBorders>
          </w:tcPr>
          <w:p w14:paraId="67AC6C40"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r>
      <w:tr w:rsidR="006410A9" w:rsidRPr="00AC19CC" w14:paraId="6206B2A1" w14:textId="77777777" w:rsidTr="00A560A1">
        <w:trPr>
          <w:trHeight w:val="230"/>
        </w:trPr>
        <w:tc>
          <w:tcPr>
            <w:tcW w:w="324" w:type="pct"/>
            <w:tcBorders>
              <w:top w:val="single" w:sz="8" w:space="0" w:color="auto"/>
              <w:left w:val="nil"/>
              <w:bottom w:val="nil"/>
              <w:right w:val="single" w:sz="4" w:space="0" w:color="BCBCBD"/>
            </w:tcBorders>
            <w:noWrap/>
            <w:vAlign w:val="center"/>
          </w:tcPr>
          <w:p w14:paraId="0E05D26D" w14:textId="77777777" w:rsidR="006410A9" w:rsidRPr="00AC19CC" w:rsidRDefault="006410A9" w:rsidP="0099583E">
            <w:pPr>
              <w:tabs>
                <w:tab w:val="decimal" w:pos="474"/>
                <w:tab w:val="left" w:pos="794"/>
              </w:tabs>
              <w:adjustRightInd w:val="0"/>
              <w:snapToGrid w:val="0"/>
              <w:spacing w:before="40" w:after="40"/>
              <w:ind w:left="57"/>
              <w:rPr>
                <w:rFonts w:eastAsia="SimSun" w:cs="Segoe UI"/>
                <w:kern w:val="2"/>
                <w:sz w:val="18"/>
                <w:szCs w:val="18"/>
                <w:lang w:eastAsia="ja-JP"/>
              </w:rPr>
            </w:pPr>
            <w:r w:rsidRPr="00AC19CC">
              <w:rPr>
                <w:rFonts w:eastAsia="SimSun" w:cs="Segoe UI"/>
                <w:kern w:val="2"/>
                <w:sz w:val="18"/>
                <w:szCs w:val="18"/>
                <w:lang w:eastAsia="ja-JP"/>
              </w:rPr>
              <w:t>4</w:t>
            </w:r>
          </w:p>
        </w:tc>
        <w:tc>
          <w:tcPr>
            <w:tcW w:w="1014" w:type="pct"/>
            <w:tcBorders>
              <w:top w:val="single" w:sz="8" w:space="0" w:color="auto"/>
              <w:left w:val="single" w:sz="4" w:space="0" w:color="BCBCBD"/>
              <w:bottom w:val="nil"/>
              <w:right w:val="single" w:sz="4" w:space="0" w:color="BCBCBD"/>
            </w:tcBorders>
            <w:vAlign w:val="center"/>
          </w:tcPr>
          <w:p w14:paraId="106659F8"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color w:val="000000"/>
                <w:kern w:val="2"/>
                <w:sz w:val="18"/>
                <w:szCs w:val="18"/>
              </w:rPr>
            </w:pPr>
            <w:r w:rsidRPr="00AC19CC">
              <w:rPr>
                <w:rFonts w:eastAsia="SimSun" w:cs="Segoe UI"/>
                <w:color w:val="000000"/>
                <w:kern w:val="2"/>
                <w:sz w:val="18"/>
                <w:szCs w:val="18"/>
              </w:rPr>
              <w:t>Total number of exclusions</w:t>
            </w:r>
          </w:p>
        </w:tc>
        <w:tc>
          <w:tcPr>
            <w:tcW w:w="260" w:type="pct"/>
            <w:tcBorders>
              <w:top w:val="single" w:sz="8" w:space="0" w:color="auto"/>
              <w:left w:val="single" w:sz="4" w:space="0" w:color="BCBCBD"/>
              <w:bottom w:val="nil"/>
              <w:right w:val="single" w:sz="4" w:space="0" w:color="BCBCBD"/>
            </w:tcBorders>
          </w:tcPr>
          <w:p w14:paraId="419645AD"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293" w:type="pct"/>
            <w:tcBorders>
              <w:top w:val="single" w:sz="8" w:space="0" w:color="auto"/>
              <w:left w:val="single" w:sz="4" w:space="0" w:color="BCBCBD"/>
              <w:bottom w:val="nil"/>
              <w:right w:val="single" w:sz="4" w:space="0" w:color="BCBCBD"/>
            </w:tcBorders>
          </w:tcPr>
          <w:p w14:paraId="3CFBDBBC"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26" w:type="pct"/>
            <w:tcBorders>
              <w:top w:val="single" w:sz="8" w:space="0" w:color="auto"/>
              <w:left w:val="single" w:sz="4" w:space="0" w:color="BCBCBD"/>
              <w:bottom w:val="nil"/>
              <w:right w:val="single" w:sz="4" w:space="0" w:color="BCBCBD"/>
            </w:tcBorders>
          </w:tcPr>
          <w:p w14:paraId="252985A1"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08" w:type="pct"/>
            <w:tcBorders>
              <w:top w:val="single" w:sz="8" w:space="0" w:color="auto"/>
              <w:left w:val="single" w:sz="4" w:space="0" w:color="BCBCBD"/>
              <w:bottom w:val="nil"/>
              <w:right w:val="single" w:sz="4" w:space="0" w:color="BCBCBD"/>
            </w:tcBorders>
          </w:tcPr>
          <w:p w14:paraId="44F82C28"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15" w:type="pct"/>
            <w:tcBorders>
              <w:top w:val="single" w:sz="8" w:space="0" w:color="auto"/>
              <w:left w:val="single" w:sz="4" w:space="0" w:color="BCBCBD"/>
              <w:bottom w:val="nil"/>
              <w:right w:val="single" w:sz="4" w:space="0" w:color="BCBCBD"/>
            </w:tcBorders>
          </w:tcPr>
          <w:p w14:paraId="7FC2DCFC"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07" w:type="pct"/>
            <w:tcBorders>
              <w:top w:val="single" w:sz="8" w:space="0" w:color="auto"/>
              <w:left w:val="single" w:sz="4" w:space="0" w:color="BCBCBD"/>
              <w:bottom w:val="nil"/>
              <w:right w:val="single" w:sz="4" w:space="0" w:color="BCBCBD"/>
            </w:tcBorders>
          </w:tcPr>
          <w:p w14:paraId="71A4A34F"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08" w:type="pct"/>
            <w:tcBorders>
              <w:top w:val="single" w:sz="8" w:space="0" w:color="auto"/>
              <w:left w:val="single" w:sz="4" w:space="0" w:color="BCBCBD"/>
              <w:bottom w:val="nil"/>
              <w:right w:val="single" w:sz="4" w:space="0" w:color="BCBCBD"/>
            </w:tcBorders>
          </w:tcPr>
          <w:p w14:paraId="5419FFF7"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11" w:type="pct"/>
            <w:tcBorders>
              <w:top w:val="single" w:sz="8" w:space="0" w:color="auto"/>
              <w:left w:val="single" w:sz="4" w:space="0" w:color="BCBCBD"/>
              <w:bottom w:val="nil"/>
              <w:right w:val="single" w:sz="4" w:space="0" w:color="BCBCBD"/>
            </w:tcBorders>
          </w:tcPr>
          <w:p w14:paraId="047D80B9"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10" w:type="pct"/>
            <w:tcBorders>
              <w:top w:val="single" w:sz="8" w:space="0" w:color="auto"/>
              <w:left w:val="single" w:sz="4" w:space="0" w:color="BCBCBD"/>
              <w:bottom w:val="nil"/>
              <w:right w:val="single" w:sz="4" w:space="0" w:color="BCBCBD"/>
            </w:tcBorders>
          </w:tcPr>
          <w:p w14:paraId="5DBFF273"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09" w:type="pct"/>
            <w:tcBorders>
              <w:top w:val="single" w:sz="8" w:space="0" w:color="auto"/>
              <w:left w:val="single" w:sz="4" w:space="0" w:color="BCBCBD"/>
              <w:bottom w:val="nil"/>
              <w:right w:val="nil"/>
            </w:tcBorders>
          </w:tcPr>
          <w:p w14:paraId="27C51D4A"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615" w:type="pct"/>
            <w:tcBorders>
              <w:top w:val="single" w:sz="8" w:space="0" w:color="auto"/>
              <w:left w:val="single" w:sz="4" w:space="0" w:color="BCBCBD"/>
              <w:bottom w:val="nil"/>
              <w:right w:val="nil"/>
            </w:tcBorders>
          </w:tcPr>
          <w:p w14:paraId="50016EDB"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r>
      <w:tr w:rsidR="006410A9" w:rsidRPr="00AC19CC" w14:paraId="12EC316C" w14:textId="77777777" w:rsidTr="00A560A1">
        <w:trPr>
          <w:trHeight w:val="230"/>
        </w:trPr>
        <w:tc>
          <w:tcPr>
            <w:tcW w:w="324" w:type="pct"/>
            <w:tcBorders>
              <w:top w:val="single" w:sz="8" w:space="0" w:color="auto"/>
              <w:left w:val="nil"/>
              <w:bottom w:val="nil"/>
              <w:right w:val="single" w:sz="4" w:space="0" w:color="BCBCBD"/>
            </w:tcBorders>
            <w:noWrap/>
            <w:vAlign w:val="center"/>
            <w:hideMark/>
          </w:tcPr>
          <w:p w14:paraId="35FFB9FC" w14:textId="77777777" w:rsidR="006410A9" w:rsidRPr="00AC19CC" w:rsidRDefault="006410A9" w:rsidP="0099583E">
            <w:pPr>
              <w:tabs>
                <w:tab w:val="decimal" w:pos="474"/>
                <w:tab w:val="left" w:pos="794"/>
              </w:tabs>
              <w:adjustRightInd w:val="0"/>
              <w:snapToGrid w:val="0"/>
              <w:spacing w:before="40" w:after="40"/>
              <w:ind w:left="57"/>
              <w:rPr>
                <w:rFonts w:eastAsia="SimSun" w:cs="Segoe UI"/>
                <w:kern w:val="2"/>
                <w:sz w:val="18"/>
                <w:szCs w:val="18"/>
                <w:lang w:eastAsia="ja-JP"/>
              </w:rPr>
            </w:pPr>
            <w:r w:rsidRPr="00AC19CC">
              <w:rPr>
                <w:rFonts w:eastAsia="SimSun" w:cs="Segoe UI"/>
                <w:kern w:val="2"/>
                <w:sz w:val="18"/>
                <w:szCs w:val="18"/>
                <w:lang w:eastAsia="ja-JP"/>
              </w:rPr>
              <w:t>5</w:t>
            </w:r>
          </w:p>
        </w:tc>
        <w:tc>
          <w:tcPr>
            <w:tcW w:w="1014" w:type="pct"/>
            <w:tcBorders>
              <w:top w:val="single" w:sz="8" w:space="0" w:color="auto"/>
              <w:left w:val="single" w:sz="4" w:space="0" w:color="BCBCBD"/>
              <w:bottom w:val="nil"/>
              <w:right w:val="single" w:sz="4" w:space="0" w:color="BCBCBD"/>
            </w:tcBorders>
            <w:vAlign w:val="center"/>
            <w:hideMark/>
          </w:tcPr>
          <w:p w14:paraId="2E8EB6D0"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color w:val="000000"/>
                <w:kern w:val="2"/>
                <w:sz w:val="18"/>
                <w:szCs w:val="18"/>
              </w:rPr>
            </w:pPr>
            <w:r w:rsidRPr="00AC19CC">
              <w:rPr>
                <w:rFonts w:eastAsia="SimSun" w:cs="Segoe UI"/>
                <w:color w:val="000000"/>
                <w:kern w:val="2"/>
                <w:sz w:val="18"/>
                <w:szCs w:val="18"/>
              </w:rPr>
              <w:t>Total amount of operational losses net of recoveries and net of excluded losses</w:t>
            </w:r>
          </w:p>
        </w:tc>
        <w:tc>
          <w:tcPr>
            <w:tcW w:w="260" w:type="pct"/>
            <w:tcBorders>
              <w:top w:val="single" w:sz="8" w:space="0" w:color="auto"/>
              <w:left w:val="single" w:sz="4" w:space="0" w:color="BCBCBD"/>
              <w:bottom w:val="nil"/>
              <w:right w:val="single" w:sz="4" w:space="0" w:color="BCBCBD"/>
            </w:tcBorders>
          </w:tcPr>
          <w:p w14:paraId="3408213B"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293" w:type="pct"/>
            <w:tcBorders>
              <w:top w:val="single" w:sz="8" w:space="0" w:color="auto"/>
              <w:left w:val="single" w:sz="4" w:space="0" w:color="BCBCBD"/>
              <w:bottom w:val="nil"/>
              <w:right w:val="single" w:sz="4" w:space="0" w:color="BCBCBD"/>
            </w:tcBorders>
          </w:tcPr>
          <w:p w14:paraId="36EF9BD7"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26" w:type="pct"/>
            <w:tcBorders>
              <w:top w:val="single" w:sz="8" w:space="0" w:color="auto"/>
              <w:left w:val="single" w:sz="4" w:space="0" w:color="BCBCBD"/>
              <w:bottom w:val="nil"/>
              <w:right w:val="single" w:sz="4" w:space="0" w:color="BCBCBD"/>
            </w:tcBorders>
          </w:tcPr>
          <w:p w14:paraId="213A64EB"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08" w:type="pct"/>
            <w:tcBorders>
              <w:top w:val="single" w:sz="8" w:space="0" w:color="auto"/>
              <w:left w:val="single" w:sz="4" w:space="0" w:color="BCBCBD"/>
              <w:bottom w:val="nil"/>
              <w:right w:val="single" w:sz="4" w:space="0" w:color="BCBCBD"/>
            </w:tcBorders>
          </w:tcPr>
          <w:p w14:paraId="583E4EBB"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15" w:type="pct"/>
            <w:tcBorders>
              <w:top w:val="single" w:sz="8" w:space="0" w:color="auto"/>
              <w:left w:val="single" w:sz="4" w:space="0" w:color="BCBCBD"/>
              <w:bottom w:val="nil"/>
              <w:right w:val="single" w:sz="4" w:space="0" w:color="BCBCBD"/>
            </w:tcBorders>
          </w:tcPr>
          <w:p w14:paraId="695F4116"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07" w:type="pct"/>
            <w:tcBorders>
              <w:top w:val="single" w:sz="8" w:space="0" w:color="auto"/>
              <w:left w:val="single" w:sz="4" w:space="0" w:color="BCBCBD"/>
              <w:bottom w:val="nil"/>
              <w:right w:val="single" w:sz="4" w:space="0" w:color="BCBCBD"/>
            </w:tcBorders>
          </w:tcPr>
          <w:p w14:paraId="0650CB14"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08" w:type="pct"/>
            <w:tcBorders>
              <w:top w:val="single" w:sz="8" w:space="0" w:color="auto"/>
              <w:left w:val="single" w:sz="4" w:space="0" w:color="BCBCBD"/>
              <w:bottom w:val="nil"/>
              <w:right w:val="single" w:sz="4" w:space="0" w:color="BCBCBD"/>
            </w:tcBorders>
          </w:tcPr>
          <w:p w14:paraId="648B68D3"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11" w:type="pct"/>
            <w:tcBorders>
              <w:top w:val="single" w:sz="8" w:space="0" w:color="auto"/>
              <w:left w:val="single" w:sz="4" w:space="0" w:color="BCBCBD"/>
              <w:bottom w:val="nil"/>
              <w:right w:val="single" w:sz="4" w:space="0" w:color="BCBCBD"/>
            </w:tcBorders>
          </w:tcPr>
          <w:p w14:paraId="53414716"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10" w:type="pct"/>
            <w:tcBorders>
              <w:top w:val="single" w:sz="8" w:space="0" w:color="auto"/>
              <w:left w:val="single" w:sz="4" w:space="0" w:color="BCBCBD"/>
              <w:bottom w:val="nil"/>
              <w:right w:val="single" w:sz="4" w:space="0" w:color="BCBCBD"/>
            </w:tcBorders>
          </w:tcPr>
          <w:p w14:paraId="0A50E811"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309" w:type="pct"/>
            <w:tcBorders>
              <w:top w:val="single" w:sz="8" w:space="0" w:color="auto"/>
              <w:left w:val="single" w:sz="4" w:space="0" w:color="BCBCBD"/>
              <w:bottom w:val="nil"/>
              <w:right w:val="nil"/>
            </w:tcBorders>
          </w:tcPr>
          <w:p w14:paraId="22EB7FE8"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615" w:type="pct"/>
            <w:tcBorders>
              <w:top w:val="single" w:sz="8" w:space="0" w:color="auto"/>
              <w:left w:val="single" w:sz="4" w:space="0" w:color="BCBCBD"/>
              <w:bottom w:val="nil"/>
              <w:right w:val="nil"/>
            </w:tcBorders>
          </w:tcPr>
          <w:p w14:paraId="3F96B009"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r>
      <w:tr w:rsidR="006410A9" w:rsidRPr="00AC19CC" w14:paraId="0B94CAFA" w14:textId="77777777" w:rsidTr="00A560A1">
        <w:trPr>
          <w:trHeight w:val="230"/>
        </w:trPr>
        <w:tc>
          <w:tcPr>
            <w:tcW w:w="5000" w:type="pct"/>
            <w:gridSpan w:val="13"/>
            <w:tcBorders>
              <w:top w:val="single" w:sz="8" w:space="0" w:color="auto"/>
              <w:left w:val="nil"/>
              <w:bottom w:val="nil"/>
              <w:right w:val="single" w:sz="4" w:space="0" w:color="BCBCBD"/>
            </w:tcBorders>
            <w:shd w:val="clear" w:color="auto" w:fill="BFBFBF"/>
            <w:noWrap/>
            <w:vAlign w:val="center"/>
            <w:hideMark/>
          </w:tcPr>
          <w:p w14:paraId="0A30C225" w14:textId="77777777" w:rsidR="006410A9" w:rsidRPr="00AC19CC" w:rsidRDefault="006410A9" w:rsidP="0099583E">
            <w:pPr>
              <w:adjustRightInd w:val="0"/>
              <w:snapToGrid w:val="0"/>
              <w:spacing w:before="40" w:after="40"/>
              <w:rPr>
                <w:sz w:val="18"/>
                <w:szCs w:val="18"/>
              </w:rPr>
            </w:pPr>
            <w:r w:rsidRPr="00AC19CC">
              <w:rPr>
                <w:rFonts w:eastAsia="SimSun" w:cs="Segoe UI"/>
                <w:b/>
                <w:kern w:val="2"/>
                <w:sz w:val="18"/>
                <w:szCs w:val="18"/>
                <w:lang w:eastAsia="ja-JP"/>
              </w:rPr>
              <w:t xml:space="preserve">Using </w:t>
            </w:r>
            <w:r w:rsidRPr="00AC19CC">
              <w:rPr>
                <w:rFonts w:eastAsia="SimSun" w:cs="Segoe UI"/>
                <w:b/>
                <w:color w:val="000000"/>
                <w:kern w:val="2"/>
                <w:sz w:val="18"/>
                <w:szCs w:val="18"/>
              </w:rPr>
              <w:t xml:space="preserve">HKD1 million </w:t>
            </w:r>
            <w:r w:rsidRPr="00AC19CC">
              <w:rPr>
                <w:rFonts w:eastAsia="SimSun" w:cs="Segoe UI"/>
                <w:b/>
                <w:kern w:val="2"/>
                <w:sz w:val="18"/>
                <w:szCs w:val="18"/>
                <w:lang w:eastAsia="ja-JP"/>
              </w:rPr>
              <w:t>threshold</w:t>
            </w:r>
          </w:p>
        </w:tc>
      </w:tr>
      <w:tr w:rsidR="006410A9" w:rsidRPr="00AC19CC" w14:paraId="148DE28A" w14:textId="77777777" w:rsidTr="00A560A1">
        <w:trPr>
          <w:trHeight w:val="230"/>
        </w:trPr>
        <w:tc>
          <w:tcPr>
            <w:tcW w:w="324" w:type="pct"/>
            <w:tcBorders>
              <w:top w:val="single" w:sz="8" w:space="0" w:color="auto"/>
              <w:left w:val="nil"/>
              <w:bottom w:val="nil"/>
              <w:right w:val="single" w:sz="4" w:space="0" w:color="BCBCBD"/>
            </w:tcBorders>
            <w:noWrap/>
            <w:vAlign w:val="center"/>
            <w:hideMark/>
          </w:tcPr>
          <w:p w14:paraId="663BA1E0" w14:textId="77777777" w:rsidR="006410A9" w:rsidRPr="00AC19CC" w:rsidRDefault="006410A9" w:rsidP="0099583E">
            <w:pPr>
              <w:tabs>
                <w:tab w:val="decimal" w:pos="474"/>
                <w:tab w:val="left" w:pos="794"/>
              </w:tabs>
              <w:adjustRightInd w:val="0"/>
              <w:snapToGrid w:val="0"/>
              <w:spacing w:before="40" w:after="40"/>
              <w:ind w:left="57"/>
              <w:rPr>
                <w:rFonts w:eastAsia="SimSun" w:cs="Segoe UI"/>
                <w:kern w:val="2"/>
                <w:sz w:val="18"/>
                <w:szCs w:val="18"/>
                <w:lang w:eastAsia="ja-JP"/>
              </w:rPr>
            </w:pPr>
            <w:r w:rsidRPr="00AC19CC">
              <w:rPr>
                <w:rFonts w:eastAsia="SimSun" w:cs="Segoe UI"/>
                <w:kern w:val="2"/>
                <w:sz w:val="18"/>
                <w:szCs w:val="18"/>
                <w:lang w:eastAsia="ja-JP"/>
              </w:rPr>
              <w:t>6</w:t>
            </w:r>
          </w:p>
        </w:tc>
        <w:tc>
          <w:tcPr>
            <w:tcW w:w="1014" w:type="pct"/>
            <w:tcBorders>
              <w:top w:val="single" w:sz="8" w:space="0" w:color="auto"/>
              <w:left w:val="single" w:sz="4" w:space="0" w:color="BCBCBD"/>
              <w:bottom w:val="nil"/>
              <w:right w:val="single" w:sz="4" w:space="0" w:color="BCBCBD"/>
            </w:tcBorders>
            <w:vAlign w:val="center"/>
            <w:hideMark/>
          </w:tcPr>
          <w:p w14:paraId="18BDEC0A"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color w:val="000000"/>
                <w:kern w:val="2"/>
                <w:sz w:val="18"/>
                <w:szCs w:val="18"/>
              </w:rPr>
            </w:pPr>
            <w:r w:rsidRPr="00AC19CC">
              <w:rPr>
                <w:rFonts w:eastAsia="SimSun" w:cs="Segoe UI"/>
                <w:color w:val="000000"/>
                <w:kern w:val="2"/>
                <w:sz w:val="18"/>
                <w:szCs w:val="18"/>
              </w:rPr>
              <w:t>Total amount of operational losses net of recoveries (no exclusions)</w:t>
            </w:r>
          </w:p>
        </w:tc>
        <w:tc>
          <w:tcPr>
            <w:tcW w:w="260" w:type="pct"/>
            <w:tcBorders>
              <w:top w:val="single" w:sz="8" w:space="0" w:color="auto"/>
              <w:left w:val="single" w:sz="4" w:space="0" w:color="BCBCBD"/>
              <w:bottom w:val="nil"/>
              <w:right w:val="single" w:sz="4" w:space="0" w:color="BCBCBD"/>
            </w:tcBorders>
          </w:tcPr>
          <w:p w14:paraId="4914F10E"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293" w:type="pct"/>
            <w:tcBorders>
              <w:top w:val="single" w:sz="8" w:space="0" w:color="auto"/>
              <w:left w:val="single" w:sz="4" w:space="0" w:color="BCBCBD"/>
              <w:bottom w:val="nil"/>
              <w:right w:val="single" w:sz="4" w:space="0" w:color="BCBCBD"/>
            </w:tcBorders>
            <w:shd w:val="clear" w:color="auto" w:fill="FFFFFF"/>
          </w:tcPr>
          <w:p w14:paraId="4370937B" w14:textId="77777777" w:rsidR="006410A9" w:rsidRPr="00AC19CC" w:rsidRDefault="006410A9" w:rsidP="006410A9">
            <w:pPr>
              <w:adjustRightInd w:val="0"/>
              <w:snapToGrid w:val="0"/>
              <w:spacing w:before="120" w:after="120"/>
              <w:rPr>
                <w:sz w:val="18"/>
                <w:szCs w:val="18"/>
              </w:rPr>
            </w:pPr>
          </w:p>
        </w:tc>
        <w:tc>
          <w:tcPr>
            <w:tcW w:w="326" w:type="pct"/>
            <w:tcBorders>
              <w:top w:val="single" w:sz="8" w:space="0" w:color="auto"/>
              <w:left w:val="single" w:sz="4" w:space="0" w:color="BCBCBD"/>
              <w:bottom w:val="nil"/>
              <w:right w:val="single" w:sz="4" w:space="0" w:color="BCBCBD"/>
            </w:tcBorders>
            <w:shd w:val="clear" w:color="auto" w:fill="FFFFFF"/>
          </w:tcPr>
          <w:p w14:paraId="50D6B704" w14:textId="77777777" w:rsidR="006410A9" w:rsidRPr="00AC19CC" w:rsidRDefault="006410A9" w:rsidP="006410A9">
            <w:pPr>
              <w:adjustRightInd w:val="0"/>
              <w:snapToGrid w:val="0"/>
              <w:spacing w:before="120" w:after="120"/>
              <w:rPr>
                <w:sz w:val="18"/>
                <w:szCs w:val="18"/>
              </w:rPr>
            </w:pPr>
          </w:p>
        </w:tc>
        <w:tc>
          <w:tcPr>
            <w:tcW w:w="308" w:type="pct"/>
            <w:tcBorders>
              <w:top w:val="single" w:sz="8" w:space="0" w:color="auto"/>
              <w:left w:val="single" w:sz="4" w:space="0" w:color="BCBCBD"/>
              <w:bottom w:val="nil"/>
              <w:right w:val="single" w:sz="4" w:space="0" w:color="BCBCBD"/>
            </w:tcBorders>
            <w:shd w:val="clear" w:color="auto" w:fill="FFFFFF"/>
          </w:tcPr>
          <w:p w14:paraId="5837EC6B" w14:textId="77777777" w:rsidR="006410A9" w:rsidRPr="00AC19CC" w:rsidRDefault="006410A9" w:rsidP="006410A9">
            <w:pPr>
              <w:adjustRightInd w:val="0"/>
              <w:snapToGrid w:val="0"/>
              <w:spacing w:before="120" w:after="120"/>
              <w:rPr>
                <w:sz w:val="18"/>
                <w:szCs w:val="18"/>
              </w:rPr>
            </w:pPr>
          </w:p>
        </w:tc>
        <w:tc>
          <w:tcPr>
            <w:tcW w:w="315" w:type="pct"/>
            <w:tcBorders>
              <w:top w:val="single" w:sz="8" w:space="0" w:color="auto"/>
              <w:left w:val="single" w:sz="4" w:space="0" w:color="BCBCBD"/>
              <w:bottom w:val="nil"/>
              <w:right w:val="single" w:sz="4" w:space="0" w:color="BCBCBD"/>
            </w:tcBorders>
            <w:shd w:val="clear" w:color="auto" w:fill="FFFFFF"/>
          </w:tcPr>
          <w:p w14:paraId="7475A826" w14:textId="77777777" w:rsidR="006410A9" w:rsidRPr="00AC19CC" w:rsidRDefault="006410A9" w:rsidP="006410A9">
            <w:pPr>
              <w:adjustRightInd w:val="0"/>
              <w:snapToGrid w:val="0"/>
              <w:spacing w:before="120" w:after="120"/>
              <w:rPr>
                <w:sz w:val="18"/>
                <w:szCs w:val="18"/>
              </w:rPr>
            </w:pPr>
          </w:p>
        </w:tc>
        <w:tc>
          <w:tcPr>
            <w:tcW w:w="307" w:type="pct"/>
            <w:tcBorders>
              <w:top w:val="single" w:sz="8" w:space="0" w:color="auto"/>
              <w:left w:val="single" w:sz="4" w:space="0" w:color="BCBCBD"/>
              <w:bottom w:val="nil"/>
              <w:right w:val="single" w:sz="4" w:space="0" w:color="BCBCBD"/>
            </w:tcBorders>
            <w:shd w:val="clear" w:color="auto" w:fill="FFFFFF"/>
          </w:tcPr>
          <w:p w14:paraId="60C0AD7E" w14:textId="77777777" w:rsidR="006410A9" w:rsidRPr="00AC19CC" w:rsidRDefault="006410A9" w:rsidP="006410A9">
            <w:pPr>
              <w:adjustRightInd w:val="0"/>
              <w:snapToGrid w:val="0"/>
              <w:spacing w:before="120" w:after="120"/>
              <w:rPr>
                <w:sz w:val="18"/>
                <w:szCs w:val="18"/>
              </w:rPr>
            </w:pPr>
          </w:p>
        </w:tc>
        <w:tc>
          <w:tcPr>
            <w:tcW w:w="308" w:type="pct"/>
            <w:tcBorders>
              <w:top w:val="single" w:sz="8" w:space="0" w:color="auto"/>
              <w:left w:val="single" w:sz="4" w:space="0" w:color="BCBCBD"/>
              <w:bottom w:val="nil"/>
              <w:right w:val="single" w:sz="4" w:space="0" w:color="BCBCBD"/>
            </w:tcBorders>
            <w:shd w:val="clear" w:color="auto" w:fill="FFFFFF"/>
          </w:tcPr>
          <w:p w14:paraId="5ACCA5FF" w14:textId="77777777" w:rsidR="006410A9" w:rsidRPr="00AC19CC" w:rsidRDefault="006410A9" w:rsidP="006410A9">
            <w:pPr>
              <w:adjustRightInd w:val="0"/>
              <w:snapToGrid w:val="0"/>
              <w:spacing w:before="120" w:after="120"/>
              <w:rPr>
                <w:sz w:val="18"/>
                <w:szCs w:val="18"/>
              </w:rPr>
            </w:pPr>
          </w:p>
        </w:tc>
        <w:tc>
          <w:tcPr>
            <w:tcW w:w="311" w:type="pct"/>
            <w:tcBorders>
              <w:top w:val="single" w:sz="8" w:space="0" w:color="auto"/>
              <w:left w:val="single" w:sz="4" w:space="0" w:color="BCBCBD"/>
              <w:bottom w:val="nil"/>
              <w:right w:val="single" w:sz="4" w:space="0" w:color="BCBCBD"/>
            </w:tcBorders>
            <w:shd w:val="clear" w:color="auto" w:fill="FFFFFF"/>
          </w:tcPr>
          <w:p w14:paraId="7808FEB3" w14:textId="77777777" w:rsidR="006410A9" w:rsidRPr="00AC19CC" w:rsidRDefault="006410A9" w:rsidP="006410A9">
            <w:pPr>
              <w:adjustRightInd w:val="0"/>
              <w:snapToGrid w:val="0"/>
              <w:spacing w:before="120" w:after="120"/>
              <w:rPr>
                <w:sz w:val="18"/>
                <w:szCs w:val="18"/>
              </w:rPr>
            </w:pPr>
          </w:p>
        </w:tc>
        <w:tc>
          <w:tcPr>
            <w:tcW w:w="310" w:type="pct"/>
            <w:tcBorders>
              <w:top w:val="single" w:sz="8" w:space="0" w:color="auto"/>
              <w:left w:val="single" w:sz="4" w:space="0" w:color="BCBCBD"/>
              <w:bottom w:val="nil"/>
              <w:right w:val="single" w:sz="4" w:space="0" w:color="BCBCBD"/>
            </w:tcBorders>
            <w:shd w:val="clear" w:color="auto" w:fill="FFFFFF"/>
          </w:tcPr>
          <w:p w14:paraId="0C201BC8" w14:textId="77777777" w:rsidR="006410A9" w:rsidRPr="00AC19CC" w:rsidRDefault="006410A9" w:rsidP="006410A9">
            <w:pPr>
              <w:adjustRightInd w:val="0"/>
              <w:snapToGrid w:val="0"/>
              <w:spacing w:before="120" w:after="120"/>
              <w:rPr>
                <w:sz w:val="18"/>
                <w:szCs w:val="18"/>
              </w:rPr>
            </w:pPr>
          </w:p>
        </w:tc>
        <w:tc>
          <w:tcPr>
            <w:tcW w:w="309" w:type="pct"/>
            <w:tcBorders>
              <w:top w:val="single" w:sz="8" w:space="0" w:color="auto"/>
              <w:left w:val="single" w:sz="4" w:space="0" w:color="BCBCBD"/>
              <w:bottom w:val="nil"/>
              <w:right w:val="nil"/>
            </w:tcBorders>
            <w:shd w:val="clear" w:color="auto" w:fill="FFFFFF"/>
          </w:tcPr>
          <w:p w14:paraId="46D679C8" w14:textId="77777777" w:rsidR="006410A9" w:rsidRPr="00AC19CC" w:rsidRDefault="006410A9" w:rsidP="006410A9">
            <w:pPr>
              <w:adjustRightInd w:val="0"/>
              <w:snapToGrid w:val="0"/>
              <w:spacing w:before="120" w:after="120"/>
              <w:rPr>
                <w:sz w:val="18"/>
                <w:szCs w:val="18"/>
              </w:rPr>
            </w:pPr>
          </w:p>
        </w:tc>
        <w:tc>
          <w:tcPr>
            <w:tcW w:w="615" w:type="pct"/>
            <w:tcBorders>
              <w:top w:val="single" w:sz="8" w:space="0" w:color="auto"/>
              <w:left w:val="single" w:sz="4" w:space="0" w:color="BCBCBD"/>
              <w:bottom w:val="nil"/>
              <w:right w:val="nil"/>
            </w:tcBorders>
            <w:shd w:val="clear" w:color="auto" w:fill="FFFFFF"/>
          </w:tcPr>
          <w:p w14:paraId="2D0ADB5A" w14:textId="77777777" w:rsidR="006410A9" w:rsidRPr="00AC19CC" w:rsidRDefault="006410A9" w:rsidP="006410A9">
            <w:pPr>
              <w:adjustRightInd w:val="0"/>
              <w:snapToGrid w:val="0"/>
              <w:spacing w:before="120" w:after="120"/>
              <w:rPr>
                <w:sz w:val="18"/>
                <w:szCs w:val="18"/>
              </w:rPr>
            </w:pPr>
          </w:p>
        </w:tc>
      </w:tr>
      <w:tr w:rsidR="006410A9" w:rsidRPr="00AC19CC" w14:paraId="71576D0C" w14:textId="77777777" w:rsidTr="00A560A1">
        <w:trPr>
          <w:trHeight w:val="230"/>
        </w:trPr>
        <w:tc>
          <w:tcPr>
            <w:tcW w:w="324" w:type="pct"/>
            <w:tcBorders>
              <w:top w:val="single" w:sz="8" w:space="0" w:color="auto"/>
              <w:left w:val="nil"/>
              <w:bottom w:val="nil"/>
              <w:right w:val="single" w:sz="4" w:space="0" w:color="BCBCBD"/>
            </w:tcBorders>
            <w:noWrap/>
            <w:vAlign w:val="center"/>
          </w:tcPr>
          <w:p w14:paraId="22388F9E" w14:textId="77777777" w:rsidR="006410A9" w:rsidRPr="00AC19CC" w:rsidRDefault="006410A9" w:rsidP="0099583E">
            <w:pPr>
              <w:tabs>
                <w:tab w:val="decimal" w:pos="474"/>
                <w:tab w:val="left" w:pos="794"/>
              </w:tabs>
              <w:adjustRightInd w:val="0"/>
              <w:snapToGrid w:val="0"/>
              <w:spacing w:before="40" w:after="40"/>
              <w:ind w:left="57"/>
              <w:rPr>
                <w:rFonts w:eastAsia="SimSun" w:cs="Segoe UI"/>
                <w:kern w:val="2"/>
                <w:sz w:val="18"/>
                <w:szCs w:val="18"/>
                <w:lang w:eastAsia="ja-JP"/>
              </w:rPr>
            </w:pPr>
            <w:r w:rsidRPr="00AC19CC">
              <w:rPr>
                <w:rFonts w:eastAsia="SimSun" w:cs="Segoe UI"/>
                <w:kern w:val="2"/>
                <w:sz w:val="18"/>
                <w:szCs w:val="18"/>
                <w:lang w:eastAsia="ja-JP"/>
              </w:rPr>
              <w:t>7</w:t>
            </w:r>
          </w:p>
        </w:tc>
        <w:tc>
          <w:tcPr>
            <w:tcW w:w="1014" w:type="pct"/>
            <w:tcBorders>
              <w:top w:val="single" w:sz="8" w:space="0" w:color="auto"/>
              <w:left w:val="single" w:sz="4" w:space="0" w:color="BCBCBD"/>
              <w:bottom w:val="nil"/>
              <w:right w:val="single" w:sz="4" w:space="0" w:color="BCBCBD"/>
            </w:tcBorders>
            <w:vAlign w:val="center"/>
          </w:tcPr>
          <w:p w14:paraId="6EEA5ED0"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color w:val="000000"/>
                <w:kern w:val="2"/>
                <w:sz w:val="18"/>
                <w:szCs w:val="18"/>
              </w:rPr>
            </w:pPr>
            <w:r w:rsidRPr="00AC19CC">
              <w:rPr>
                <w:rFonts w:eastAsia="SimSun" w:cs="Segoe UI"/>
                <w:color w:val="000000"/>
                <w:kern w:val="2"/>
                <w:sz w:val="18"/>
                <w:szCs w:val="18"/>
              </w:rPr>
              <w:t>Total number of operational risk losses</w:t>
            </w:r>
          </w:p>
        </w:tc>
        <w:tc>
          <w:tcPr>
            <w:tcW w:w="260" w:type="pct"/>
            <w:tcBorders>
              <w:top w:val="single" w:sz="8" w:space="0" w:color="auto"/>
              <w:left w:val="single" w:sz="4" w:space="0" w:color="BCBCBD"/>
              <w:bottom w:val="nil"/>
              <w:right w:val="single" w:sz="4" w:space="0" w:color="BCBCBD"/>
            </w:tcBorders>
          </w:tcPr>
          <w:p w14:paraId="3044372B"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293" w:type="pct"/>
            <w:tcBorders>
              <w:top w:val="single" w:sz="8" w:space="0" w:color="auto"/>
              <w:left w:val="single" w:sz="4" w:space="0" w:color="BCBCBD"/>
              <w:bottom w:val="nil"/>
              <w:right w:val="single" w:sz="4" w:space="0" w:color="BCBCBD"/>
            </w:tcBorders>
            <w:shd w:val="clear" w:color="auto" w:fill="FFFFFF"/>
          </w:tcPr>
          <w:p w14:paraId="44052BC9" w14:textId="77777777" w:rsidR="006410A9" w:rsidRPr="00AC19CC" w:rsidRDefault="006410A9" w:rsidP="006410A9">
            <w:pPr>
              <w:adjustRightInd w:val="0"/>
              <w:snapToGrid w:val="0"/>
              <w:spacing w:before="120" w:after="120"/>
              <w:rPr>
                <w:sz w:val="18"/>
                <w:szCs w:val="18"/>
              </w:rPr>
            </w:pPr>
          </w:p>
        </w:tc>
        <w:tc>
          <w:tcPr>
            <w:tcW w:w="326" w:type="pct"/>
            <w:tcBorders>
              <w:top w:val="single" w:sz="8" w:space="0" w:color="auto"/>
              <w:left w:val="single" w:sz="4" w:space="0" w:color="BCBCBD"/>
              <w:bottom w:val="nil"/>
              <w:right w:val="single" w:sz="4" w:space="0" w:color="BCBCBD"/>
            </w:tcBorders>
            <w:shd w:val="clear" w:color="auto" w:fill="FFFFFF"/>
          </w:tcPr>
          <w:p w14:paraId="156D9C95" w14:textId="77777777" w:rsidR="006410A9" w:rsidRPr="00AC19CC" w:rsidRDefault="006410A9" w:rsidP="006410A9">
            <w:pPr>
              <w:adjustRightInd w:val="0"/>
              <w:snapToGrid w:val="0"/>
              <w:spacing w:before="120" w:after="120"/>
              <w:rPr>
                <w:sz w:val="18"/>
                <w:szCs w:val="18"/>
              </w:rPr>
            </w:pPr>
          </w:p>
        </w:tc>
        <w:tc>
          <w:tcPr>
            <w:tcW w:w="308" w:type="pct"/>
            <w:tcBorders>
              <w:top w:val="single" w:sz="8" w:space="0" w:color="auto"/>
              <w:left w:val="single" w:sz="4" w:space="0" w:color="BCBCBD"/>
              <w:bottom w:val="nil"/>
              <w:right w:val="single" w:sz="4" w:space="0" w:color="BCBCBD"/>
            </w:tcBorders>
            <w:shd w:val="clear" w:color="auto" w:fill="FFFFFF"/>
          </w:tcPr>
          <w:p w14:paraId="291CBC73" w14:textId="77777777" w:rsidR="006410A9" w:rsidRPr="00AC19CC" w:rsidRDefault="006410A9" w:rsidP="006410A9">
            <w:pPr>
              <w:adjustRightInd w:val="0"/>
              <w:snapToGrid w:val="0"/>
              <w:spacing w:before="120" w:after="120"/>
              <w:rPr>
                <w:sz w:val="18"/>
                <w:szCs w:val="18"/>
              </w:rPr>
            </w:pPr>
          </w:p>
        </w:tc>
        <w:tc>
          <w:tcPr>
            <w:tcW w:w="315" w:type="pct"/>
            <w:tcBorders>
              <w:top w:val="single" w:sz="8" w:space="0" w:color="auto"/>
              <w:left w:val="single" w:sz="4" w:space="0" w:color="BCBCBD"/>
              <w:bottom w:val="nil"/>
              <w:right w:val="single" w:sz="4" w:space="0" w:color="BCBCBD"/>
            </w:tcBorders>
            <w:shd w:val="clear" w:color="auto" w:fill="FFFFFF"/>
          </w:tcPr>
          <w:p w14:paraId="4E7643B8" w14:textId="77777777" w:rsidR="006410A9" w:rsidRPr="00AC19CC" w:rsidRDefault="006410A9" w:rsidP="006410A9">
            <w:pPr>
              <w:adjustRightInd w:val="0"/>
              <w:snapToGrid w:val="0"/>
              <w:spacing w:before="120" w:after="120"/>
              <w:rPr>
                <w:sz w:val="18"/>
                <w:szCs w:val="18"/>
              </w:rPr>
            </w:pPr>
          </w:p>
        </w:tc>
        <w:tc>
          <w:tcPr>
            <w:tcW w:w="307" w:type="pct"/>
            <w:tcBorders>
              <w:top w:val="single" w:sz="8" w:space="0" w:color="auto"/>
              <w:left w:val="single" w:sz="4" w:space="0" w:color="BCBCBD"/>
              <w:bottom w:val="nil"/>
              <w:right w:val="single" w:sz="4" w:space="0" w:color="BCBCBD"/>
            </w:tcBorders>
            <w:shd w:val="clear" w:color="auto" w:fill="FFFFFF"/>
          </w:tcPr>
          <w:p w14:paraId="2A10CFAC" w14:textId="77777777" w:rsidR="006410A9" w:rsidRPr="00AC19CC" w:rsidRDefault="006410A9" w:rsidP="006410A9">
            <w:pPr>
              <w:adjustRightInd w:val="0"/>
              <w:snapToGrid w:val="0"/>
              <w:spacing w:before="120" w:after="120"/>
              <w:rPr>
                <w:sz w:val="18"/>
                <w:szCs w:val="18"/>
              </w:rPr>
            </w:pPr>
          </w:p>
        </w:tc>
        <w:tc>
          <w:tcPr>
            <w:tcW w:w="308" w:type="pct"/>
            <w:tcBorders>
              <w:top w:val="single" w:sz="8" w:space="0" w:color="auto"/>
              <w:left w:val="single" w:sz="4" w:space="0" w:color="BCBCBD"/>
              <w:bottom w:val="nil"/>
              <w:right w:val="single" w:sz="4" w:space="0" w:color="BCBCBD"/>
            </w:tcBorders>
            <w:shd w:val="clear" w:color="auto" w:fill="FFFFFF"/>
          </w:tcPr>
          <w:p w14:paraId="61FBCD8D" w14:textId="77777777" w:rsidR="006410A9" w:rsidRPr="00AC19CC" w:rsidRDefault="006410A9" w:rsidP="006410A9">
            <w:pPr>
              <w:adjustRightInd w:val="0"/>
              <w:snapToGrid w:val="0"/>
              <w:spacing w:before="120" w:after="120"/>
              <w:rPr>
                <w:sz w:val="18"/>
                <w:szCs w:val="18"/>
              </w:rPr>
            </w:pPr>
          </w:p>
        </w:tc>
        <w:tc>
          <w:tcPr>
            <w:tcW w:w="311" w:type="pct"/>
            <w:tcBorders>
              <w:top w:val="single" w:sz="8" w:space="0" w:color="auto"/>
              <w:left w:val="single" w:sz="4" w:space="0" w:color="BCBCBD"/>
              <w:bottom w:val="nil"/>
              <w:right w:val="single" w:sz="4" w:space="0" w:color="BCBCBD"/>
            </w:tcBorders>
            <w:shd w:val="clear" w:color="auto" w:fill="FFFFFF"/>
          </w:tcPr>
          <w:p w14:paraId="140992C9" w14:textId="77777777" w:rsidR="006410A9" w:rsidRPr="00AC19CC" w:rsidRDefault="006410A9" w:rsidP="006410A9">
            <w:pPr>
              <w:adjustRightInd w:val="0"/>
              <w:snapToGrid w:val="0"/>
              <w:spacing w:before="120" w:after="120"/>
              <w:rPr>
                <w:sz w:val="18"/>
                <w:szCs w:val="18"/>
              </w:rPr>
            </w:pPr>
          </w:p>
        </w:tc>
        <w:tc>
          <w:tcPr>
            <w:tcW w:w="310" w:type="pct"/>
            <w:tcBorders>
              <w:top w:val="single" w:sz="8" w:space="0" w:color="auto"/>
              <w:left w:val="single" w:sz="4" w:space="0" w:color="BCBCBD"/>
              <w:bottom w:val="nil"/>
              <w:right w:val="single" w:sz="4" w:space="0" w:color="BCBCBD"/>
            </w:tcBorders>
            <w:shd w:val="clear" w:color="auto" w:fill="FFFFFF"/>
          </w:tcPr>
          <w:p w14:paraId="4E50E676" w14:textId="77777777" w:rsidR="006410A9" w:rsidRPr="00AC19CC" w:rsidRDefault="006410A9" w:rsidP="006410A9">
            <w:pPr>
              <w:adjustRightInd w:val="0"/>
              <w:snapToGrid w:val="0"/>
              <w:spacing w:before="120" w:after="120"/>
              <w:rPr>
                <w:sz w:val="18"/>
                <w:szCs w:val="18"/>
              </w:rPr>
            </w:pPr>
          </w:p>
        </w:tc>
        <w:tc>
          <w:tcPr>
            <w:tcW w:w="309" w:type="pct"/>
            <w:tcBorders>
              <w:top w:val="single" w:sz="8" w:space="0" w:color="auto"/>
              <w:left w:val="single" w:sz="4" w:space="0" w:color="BCBCBD"/>
              <w:bottom w:val="nil"/>
              <w:right w:val="nil"/>
            </w:tcBorders>
            <w:shd w:val="clear" w:color="auto" w:fill="FFFFFF"/>
          </w:tcPr>
          <w:p w14:paraId="10A6149D" w14:textId="77777777" w:rsidR="006410A9" w:rsidRPr="00AC19CC" w:rsidRDefault="006410A9" w:rsidP="006410A9">
            <w:pPr>
              <w:adjustRightInd w:val="0"/>
              <w:snapToGrid w:val="0"/>
              <w:spacing w:before="120" w:after="120"/>
              <w:rPr>
                <w:sz w:val="18"/>
                <w:szCs w:val="18"/>
              </w:rPr>
            </w:pPr>
          </w:p>
        </w:tc>
        <w:tc>
          <w:tcPr>
            <w:tcW w:w="615" w:type="pct"/>
            <w:tcBorders>
              <w:top w:val="single" w:sz="8" w:space="0" w:color="auto"/>
              <w:left w:val="single" w:sz="4" w:space="0" w:color="BCBCBD"/>
              <w:bottom w:val="nil"/>
              <w:right w:val="nil"/>
            </w:tcBorders>
            <w:shd w:val="clear" w:color="auto" w:fill="FFFFFF"/>
          </w:tcPr>
          <w:p w14:paraId="4E71730C" w14:textId="77777777" w:rsidR="006410A9" w:rsidRPr="00AC19CC" w:rsidRDefault="006410A9" w:rsidP="006410A9">
            <w:pPr>
              <w:adjustRightInd w:val="0"/>
              <w:snapToGrid w:val="0"/>
              <w:spacing w:before="120" w:after="120"/>
              <w:rPr>
                <w:sz w:val="18"/>
                <w:szCs w:val="18"/>
              </w:rPr>
            </w:pPr>
          </w:p>
        </w:tc>
      </w:tr>
      <w:tr w:rsidR="006410A9" w:rsidRPr="00AC19CC" w14:paraId="0076A548" w14:textId="77777777" w:rsidTr="00A560A1">
        <w:trPr>
          <w:trHeight w:val="230"/>
        </w:trPr>
        <w:tc>
          <w:tcPr>
            <w:tcW w:w="324" w:type="pct"/>
            <w:tcBorders>
              <w:top w:val="single" w:sz="8" w:space="0" w:color="auto"/>
              <w:left w:val="nil"/>
              <w:bottom w:val="nil"/>
              <w:right w:val="single" w:sz="4" w:space="0" w:color="BCBCBD"/>
            </w:tcBorders>
            <w:noWrap/>
            <w:vAlign w:val="center"/>
            <w:hideMark/>
          </w:tcPr>
          <w:p w14:paraId="41FF4F75" w14:textId="77777777" w:rsidR="006410A9" w:rsidRPr="00AC19CC" w:rsidRDefault="006410A9" w:rsidP="0099583E">
            <w:pPr>
              <w:tabs>
                <w:tab w:val="decimal" w:pos="474"/>
                <w:tab w:val="left" w:pos="794"/>
              </w:tabs>
              <w:adjustRightInd w:val="0"/>
              <w:snapToGrid w:val="0"/>
              <w:spacing w:before="40" w:after="40"/>
              <w:ind w:left="57"/>
              <w:rPr>
                <w:rFonts w:eastAsia="SimSun" w:cs="Segoe UI"/>
                <w:kern w:val="2"/>
                <w:sz w:val="18"/>
                <w:szCs w:val="18"/>
                <w:lang w:eastAsia="ja-JP"/>
              </w:rPr>
            </w:pPr>
            <w:r w:rsidRPr="00AC19CC">
              <w:rPr>
                <w:rFonts w:eastAsia="SimSun" w:cs="Segoe UI"/>
                <w:kern w:val="2"/>
                <w:sz w:val="18"/>
                <w:szCs w:val="18"/>
                <w:lang w:eastAsia="ja-JP"/>
              </w:rPr>
              <w:t>8</w:t>
            </w:r>
          </w:p>
        </w:tc>
        <w:tc>
          <w:tcPr>
            <w:tcW w:w="1014" w:type="pct"/>
            <w:tcBorders>
              <w:top w:val="single" w:sz="8" w:space="0" w:color="auto"/>
              <w:left w:val="single" w:sz="4" w:space="0" w:color="BCBCBD"/>
              <w:bottom w:val="nil"/>
              <w:right w:val="single" w:sz="4" w:space="0" w:color="BCBCBD"/>
            </w:tcBorders>
            <w:vAlign w:val="center"/>
            <w:hideMark/>
          </w:tcPr>
          <w:p w14:paraId="7A981D22"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color w:val="000000"/>
                <w:kern w:val="2"/>
                <w:sz w:val="18"/>
                <w:szCs w:val="18"/>
              </w:rPr>
            </w:pPr>
            <w:r w:rsidRPr="00AC19CC">
              <w:rPr>
                <w:rFonts w:eastAsia="SimSun" w:cs="Segoe UI"/>
                <w:color w:val="000000"/>
                <w:kern w:val="2"/>
                <w:sz w:val="18"/>
                <w:szCs w:val="18"/>
              </w:rPr>
              <w:t xml:space="preserve">Total amount of excluded operational risk losses </w:t>
            </w:r>
          </w:p>
        </w:tc>
        <w:tc>
          <w:tcPr>
            <w:tcW w:w="260" w:type="pct"/>
            <w:tcBorders>
              <w:top w:val="single" w:sz="8" w:space="0" w:color="auto"/>
              <w:left w:val="single" w:sz="4" w:space="0" w:color="BCBCBD"/>
              <w:bottom w:val="nil"/>
              <w:right w:val="single" w:sz="4" w:space="0" w:color="BCBCBD"/>
            </w:tcBorders>
          </w:tcPr>
          <w:p w14:paraId="38A29531"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293" w:type="pct"/>
            <w:tcBorders>
              <w:top w:val="single" w:sz="8" w:space="0" w:color="auto"/>
              <w:left w:val="single" w:sz="4" w:space="0" w:color="BCBCBD"/>
              <w:bottom w:val="nil"/>
              <w:right w:val="single" w:sz="4" w:space="0" w:color="BCBCBD"/>
            </w:tcBorders>
            <w:shd w:val="clear" w:color="auto" w:fill="FFFFFF"/>
          </w:tcPr>
          <w:p w14:paraId="50424BBF" w14:textId="77777777" w:rsidR="006410A9" w:rsidRPr="00AC19CC" w:rsidRDefault="006410A9" w:rsidP="006410A9">
            <w:pPr>
              <w:adjustRightInd w:val="0"/>
              <w:snapToGrid w:val="0"/>
              <w:spacing w:before="120" w:after="120"/>
              <w:rPr>
                <w:sz w:val="18"/>
                <w:szCs w:val="18"/>
              </w:rPr>
            </w:pPr>
          </w:p>
        </w:tc>
        <w:tc>
          <w:tcPr>
            <w:tcW w:w="326" w:type="pct"/>
            <w:tcBorders>
              <w:top w:val="single" w:sz="8" w:space="0" w:color="auto"/>
              <w:left w:val="single" w:sz="4" w:space="0" w:color="BCBCBD"/>
              <w:bottom w:val="nil"/>
              <w:right w:val="single" w:sz="4" w:space="0" w:color="BCBCBD"/>
            </w:tcBorders>
            <w:shd w:val="clear" w:color="auto" w:fill="FFFFFF"/>
          </w:tcPr>
          <w:p w14:paraId="1A60BB27" w14:textId="77777777" w:rsidR="006410A9" w:rsidRPr="00AC19CC" w:rsidRDefault="006410A9" w:rsidP="006410A9">
            <w:pPr>
              <w:adjustRightInd w:val="0"/>
              <w:snapToGrid w:val="0"/>
              <w:spacing w:before="120" w:after="120"/>
              <w:rPr>
                <w:sz w:val="18"/>
                <w:szCs w:val="18"/>
              </w:rPr>
            </w:pPr>
          </w:p>
        </w:tc>
        <w:tc>
          <w:tcPr>
            <w:tcW w:w="308" w:type="pct"/>
            <w:tcBorders>
              <w:top w:val="single" w:sz="8" w:space="0" w:color="auto"/>
              <w:left w:val="single" w:sz="4" w:space="0" w:color="BCBCBD"/>
              <w:bottom w:val="nil"/>
              <w:right w:val="single" w:sz="4" w:space="0" w:color="BCBCBD"/>
            </w:tcBorders>
            <w:shd w:val="clear" w:color="auto" w:fill="FFFFFF"/>
          </w:tcPr>
          <w:p w14:paraId="0BF875B4" w14:textId="77777777" w:rsidR="006410A9" w:rsidRPr="00AC19CC" w:rsidRDefault="006410A9" w:rsidP="006410A9">
            <w:pPr>
              <w:adjustRightInd w:val="0"/>
              <w:snapToGrid w:val="0"/>
              <w:spacing w:before="120" w:after="120"/>
              <w:rPr>
                <w:sz w:val="18"/>
                <w:szCs w:val="18"/>
              </w:rPr>
            </w:pPr>
          </w:p>
        </w:tc>
        <w:tc>
          <w:tcPr>
            <w:tcW w:w="315" w:type="pct"/>
            <w:tcBorders>
              <w:top w:val="single" w:sz="8" w:space="0" w:color="auto"/>
              <w:left w:val="single" w:sz="4" w:space="0" w:color="BCBCBD"/>
              <w:bottom w:val="nil"/>
              <w:right w:val="single" w:sz="4" w:space="0" w:color="BCBCBD"/>
            </w:tcBorders>
            <w:shd w:val="clear" w:color="auto" w:fill="FFFFFF"/>
          </w:tcPr>
          <w:p w14:paraId="55C82626" w14:textId="77777777" w:rsidR="006410A9" w:rsidRPr="00AC19CC" w:rsidRDefault="006410A9" w:rsidP="006410A9">
            <w:pPr>
              <w:adjustRightInd w:val="0"/>
              <w:snapToGrid w:val="0"/>
              <w:spacing w:before="120" w:after="120"/>
              <w:rPr>
                <w:sz w:val="18"/>
                <w:szCs w:val="18"/>
              </w:rPr>
            </w:pPr>
          </w:p>
        </w:tc>
        <w:tc>
          <w:tcPr>
            <w:tcW w:w="307" w:type="pct"/>
            <w:tcBorders>
              <w:top w:val="single" w:sz="8" w:space="0" w:color="auto"/>
              <w:left w:val="single" w:sz="4" w:space="0" w:color="BCBCBD"/>
              <w:bottom w:val="nil"/>
              <w:right w:val="single" w:sz="4" w:space="0" w:color="BCBCBD"/>
            </w:tcBorders>
            <w:shd w:val="clear" w:color="auto" w:fill="FFFFFF"/>
          </w:tcPr>
          <w:p w14:paraId="7A6C5CA3" w14:textId="77777777" w:rsidR="006410A9" w:rsidRPr="00AC19CC" w:rsidRDefault="006410A9" w:rsidP="006410A9">
            <w:pPr>
              <w:adjustRightInd w:val="0"/>
              <w:snapToGrid w:val="0"/>
              <w:spacing w:before="120" w:after="120"/>
              <w:rPr>
                <w:sz w:val="18"/>
                <w:szCs w:val="18"/>
              </w:rPr>
            </w:pPr>
          </w:p>
        </w:tc>
        <w:tc>
          <w:tcPr>
            <w:tcW w:w="308" w:type="pct"/>
            <w:tcBorders>
              <w:top w:val="single" w:sz="8" w:space="0" w:color="auto"/>
              <w:left w:val="single" w:sz="4" w:space="0" w:color="BCBCBD"/>
              <w:bottom w:val="nil"/>
              <w:right w:val="single" w:sz="4" w:space="0" w:color="BCBCBD"/>
            </w:tcBorders>
            <w:shd w:val="clear" w:color="auto" w:fill="FFFFFF"/>
          </w:tcPr>
          <w:p w14:paraId="2A2ADB71" w14:textId="77777777" w:rsidR="006410A9" w:rsidRPr="00AC19CC" w:rsidRDefault="006410A9" w:rsidP="006410A9">
            <w:pPr>
              <w:adjustRightInd w:val="0"/>
              <w:snapToGrid w:val="0"/>
              <w:spacing w:before="120" w:after="120"/>
              <w:rPr>
                <w:sz w:val="18"/>
                <w:szCs w:val="18"/>
              </w:rPr>
            </w:pPr>
          </w:p>
        </w:tc>
        <w:tc>
          <w:tcPr>
            <w:tcW w:w="311" w:type="pct"/>
            <w:tcBorders>
              <w:top w:val="single" w:sz="8" w:space="0" w:color="auto"/>
              <w:left w:val="single" w:sz="4" w:space="0" w:color="BCBCBD"/>
              <w:bottom w:val="nil"/>
              <w:right w:val="single" w:sz="4" w:space="0" w:color="BCBCBD"/>
            </w:tcBorders>
            <w:shd w:val="clear" w:color="auto" w:fill="FFFFFF"/>
          </w:tcPr>
          <w:p w14:paraId="49314C33" w14:textId="77777777" w:rsidR="006410A9" w:rsidRPr="00AC19CC" w:rsidRDefault="006410A9" w:rsidP="006410A9">
            <w:pPr>
              <w:adjustRightInd w:val="0"/>
              <w:snapToGrid w:val="0"/>
              <w:spacing w:before="120" w:after="120"/>
              <w:rPr>
                <w:sz w:val="18"/>
                <w:szCs w:val="18"/>
              </w:rPr>
            </w:pPr>
          </w:p>
        </w:tc>
        <w:tc>
          <w:tcPr>
            <w:tcW w:w="310" w:type="pct"/>
            <w:tcBorders>
              <w:top w:val="single" w:sz="8" w:space="0" w:color="auto"/>
              <w:left w:val="single" w:sz="4" w:space="0" w:color="BCBCBD"/>
              <w:bottom w:val="nil"/>
              <w:right w:val="single" w:sz="4" w:space="0" w:color="BCBCBD"/>
            </w:tcBorders>
            <w:shd w:val="clear" w:color="auto" w:fill="FFFFFF"/>
          </w:tcPr>
          <w:p w14:paraId="03452BAE" w14:textId="77777777" w:rsidR="006410A9" w:rsidRPr="00AC19CC" w:rsidRDefault="006410A9" w:rsidP="006410A9">
            <w:pPr>
              <w:adjustRightInd w:val="0"/>
              <w:snapToGrid w:val="0"/>
              <w:spacing w:before="120" w:after="120"/>
              <w:rPr>
                <w:sz w:val="18"/>
                <w:szCs w:val="18"/>
              </w:rPr>
            </w:pPr>
          </w:p>
        </w:tc>
        <w:tc>
          <w:tcPr>
            <w:tcW w:w="309" w:type="pct"/>
            <w:tcBorders>
              <w:top w:val="single" w:sz="8" w:space="0" w:color="auto"/>
              <w:left w:val="single" w:sz="4" w:space="0" w:color="BCBCBD"/>
              <w:bottom w:val="nil"/>
              <w:right w:val="nil"/>
            </w:tcBorders>
            <w:shd w:val="clear" w:color="auto" w:fill="FFFFFF"/>
          </w:tcPr>
          <w:p w14:paraId="0FA95BF3" w14:textId="77777777" w:rsidR="006410A9" w:rsidRPr="00AC19CC" w:rsidRDefault="006410A9" w:rsidP="006410A9">
            <w:pPr>
              <w:adjustRightInd w:val="0"/>
              <w:snapToGrid w:val="0"/>
              <w:spacing w:before="120" w:after="120"/>
              <w:rPr>
                <w:sz w:val="18"/>
                <w:szCs w:val="18"/>
              </w:rPr>
            </w:pPr>
          </w:p>
        </w:tc>
        <w:tc>
          <w:tcPr>
            <w:tcW w:w="615" w:type="pct"/>
            <w:tcBorders>
              <w:top w:val="single" w:sz="8" w:space="0" w:color="auto"/>
              <w:left w:val="single" w:sz="4" w:space="0" w:color="BCBCBD"/>
              <w:bottom w:val="nil"/>
              <w:right w:val="nil"/>
            </w:tcBorders>
            <w:shd w:val="clear" w:color="auto" w:fill="FFFFFF"/>
          </w:tcPr>
          <w:p w14:paraId="6F39336C" w14:textId="77777777" w:rsidR="006410A9" w:rsidRPr="00AC19CC" w:rsidRDefault="006410A9" w:rsidP="006410A9">
            <w:pPr>
              <w:adjustRightInd w:val="0"/>
              <w:snapToGrid w:val="0"/>
              <w:spacing w:before="120" w:after="120"/>
              <w:rPr>
                <w:sz w:val="18"/>
                <w:szCs w:val="18"/>
              </w:rPr>
            </w:pPr>
          </w:p>
        </w:tc>
      </w:tr>
      <w:tr w:rsidR="006410A9" w:rsidRPr="00AC19CC" w14:paraId="272D24A8" w14:textId="77777777" w:rsidTr="00A560A1">
        <w:trPr>
          <w:trHeight w:val="230"/>
        </w:trPr>
        <w:tc>
          <w:tcPr>
            <w:tcW w:w="324" w:type="pct"/>
            <w:tcBorders>
              <w:top w:val="single" w:sz="8" w:space="0" w:color="auto"/>
              <w:left w:val="nil"/>
              <w:bottom w:val="nil"/>
              <w:right w:val="single" w:sz="4" w:space="0" w:color="BCBCBD"/>
            </w:tcBorders>
            <w:noWrap/>
            <w:vAlign w:val="center"/>
          </w:tcPr>
          <w:p w14:paraId="62AF761F" w14:textId="77777777" w:rsidR="006410A9" w:rsidRPr="00AC19CC" w:rsidRDefault="006410A9" w:rsidP="0099583E">
            <w:pPr>
              <w:tabs>
                <w:tab w:val="decimal" w:pos="474"/>
                <w:tab w:val="left" w:pos="794"/>
              </w:tabs>
              <w:adjustRightInd w:val="0"/>
              <w:snapToGrid w:val="0"/>
              <w:spacing w:before="40" w:after="40"/>
              <w:ind w:left="57"/>
              <w:rPr>
                <w:rFonts w:eastAsia="SimSun" w:cs="Segoe UI"/>
                <w:kern w:val="2"/>
                <w:sz w:val="18"/>
                <w:szCs w:val="18"/>
                <w:lang w:eastAsia="ja-JP"/>
              </w:rPr>
            </w:pPr>
            <w:r w:rsidRPr="00AC19CC">
              <w:rPr>
                <w:rFonts w:eastAsia="SimSun" w:cs="Segoe UI"/>
                <w:kern w:val="2"/>
                <w:sz w:val="18"/>
                <w:szCs w:val="18"/>
                <w:lang w:eastAsia="ja-JP"/>
              </w:rPr>
              <w:t>9</w:t>
            </w:r>
          </w:p>
        </w:tc>
        <w:tc>
          <w:tcPr>
            <w:tcW w:w="1014" w:type="pct"/>
            <w:tcBorders>
              <w:top w:val="single" w:sz="8" w:space="0" w:color="auto"/>
              <w:left w:val="single" w:sz="4" w:space="0" w:color="BCBCBD"/>
              <w:bottom w:val="nil"/>
              <w:right w:val="single" w:sz="4" w:space="0" w:color="BCBCBD"/>
            </w:tcBorders>
            <w:vAlign w:val="center"/>
          </w:tcPr>
          <w:p w14:paraId="00538199"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color w:val="000000"/>
                <w:kern w:val="2"/>
                <w:sz w:val="18"/>
                <w:szCs w:val="18"/>
              </w:rPr>
            </w:pPr>
            <w:r w:rsidRPr="00AC19CC">
              <w:rPr>
                <w:rFonts w:eastAsia="SimSun" w:cs="Segoe UI"/>
                <w:color w:val="000000"/>
                <w:kern w:val="2"/>
                <w:sz w:val="18"/>
                <w:szCs w:val="18"/>
              </w:rPr>
              <w:t>Total number of exclusions</w:t>
            </w:r>
          </w:p>
        </w:tc>
        <w:tc>
          <w:tcPr>
            <w:tcW w:w="260" w:type="pct"/>
            <w:tcBorders>
              <w:top w:val="single" w:sz="8" w:space="0" w:color="auto"/>
              <w:left w:val="single" w:sz="4" w:space="0" w:color="BCBCBD"/>
              <w:bottom w:val="nil"/>
              <w:right w:val="single" w:sz="4" w:space="0" w:color="BCBCBD"/>
            </w:tcBorders>
          </w:tcPr>
          <w:p w14:paraId="1E9F6C9A"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293" w:type="pct"/>
            <w:tcBorders>
              <w:top w:val="single" w:sz="8" w:space="0" w:color="auto"/>
              <w:left w:val="single" w:sz="4" w:space="0" w:color="BCBCBD"/>
              <w:bottom w:val="nil"/>
              <w:right w:val="single" w:sz="4" w:space="0" w:color="BCBCBD"/>
            </w:tcBorders>
            <w:shd w:val="clear" w:color="auto" w:fill="FFFFFF"/>
          </w:tcPr>
          <w:p w14:paraId="65161541" w14:textId="77777777" w:rsidR="006410A9" w:rsidRPr="00AC19CC" w:rsidRDefault="006410A9" w:rsidP="006410A9">
            <w:pPr>
              <w:adjustRightInd w:val="0"/>
              <w:snapToGrid w:val="0"/>
              <w:spacing w:before="120" w:after="120"/>
              <w:rPr>
                <w:sz w:val="18"/>
                <w:szCs w:val="18"/>
              </w:rPr>
            </w:pPr>
          </w:p>
        </w:tc>
        <w:tc>
          <w:tcPr>
            <w:tcW w:w="326" w:type="pct"/>
            <w:tcBorders>
              <w:top w:val="single" w:sz="8" w:space="0" w:color="auto"/>
              <w:left w:val="single" w:sz="4" w:space="0" w:color="BCBCBD"/>
              <w:bottom w:val="nil"/>
              <w:right w:val="single" w:sz="4" w:space="0" w:color="BCBCBD"/>
            </w:tcBorders>
            <w:shd w:val="clear" w:color="auto" w:fill="FFFFFF"/>
          </w:tcPr>
          <w:p w14:paraId="1B3A4784" w14:textId="77777777" w:rsidR="006410A9" w:rsidRPr="00AC19CC" w:rsidRDefault="006410A9" w:rsidP="006410A9">
            <w:pPr>
              <w:adjustRightInd w:val="0"/>
              <w:snapToGrid w:val="0"/>
              <w:spacing w:before="120" w:after="120"/>
              <w:rPr>
                <w:sz w:val="18"/>
                <w:szCs w:val="18"/>
              </w:rPr>
            </w:pPr>
          </w:p>
        </w:tc>
        <w:tc>
          <w:tcPr>
            <w:tcW w:w="308" w:type="pct"/>
            <w:tcBorders>
              <w:top w:val="single" w:sz="8" w:space="0" w:color="auto"/>
              <w:left w:val="single" w:sz="4" w:space="0" w:color="BCBCBD"/>
              <w:bottom w:val="nil"/>
              <w:right w:val="single" w:sz="4" w:space="0" w:color="BCBCBD"/>
            </w:tcBorders>
            <w:shd w:val="clear" w:color="auto" w:fill="FFFFFF"/>
          </w:tcPr>
          <w:p w14:paraId="25D651D2" w14:textId="77777777" w:rsidR="006410A9" w:rsidRPr="00AC19CC" w:rsidRDefault="006410A9" w:rsidP="006410A9">
            <w:pPr>
              <w:adjustRightInd w:val="0"/>
              <w:snapToGrid w:val="0"/>
              <w:spacing w:before="120" w:after="120"/>
              <w:rPr>
                <w:sz w:val="18"/>
                <w:szCs w:val="18"/>
              </w:rPr>
            </w:pPr>
          </w:p>
        </w:tc>
        <w:tc>
          <w:tcPr>
            <w:tcW w:w="315" w:type="pct"/>
            <w:tcBorders>
              <w:top w:val="single" w:sz="8" w:space="0" w:color="auto"/>
              <w:left w:val="single" w:sz="4" w:space="0" w:color="BCBCBD"/>
              <w:bottom w:val="nil"/>
              <w:right w:val="single" w:sz="4" w:space="0" w:color="BCBCBD"/>
            </w:tcBorders>
            <w:shd w:val="clear" w:color="auto" w:fill="FFFFFF"/>
          </w:tcPr>
          <w:p w14:paraId="2A0DA7FA" w14:textId="77777777" w:rsidR="006410A9" w:rsidRPr="00AC19CC" w:rsidRDefault="006410A9" w:rsidP="006410A9">
            <w:pPr>
              <w:adjustRightInd w:val="0"/>
              <w:snapToGrid w:val="0"/>
              <w:spacing w:before="120" w:after="120"/>
              <w:rPr>
                <w:sz w:val="18"/>
                <w:szCs w:val="18"/>
              </w:rPr>
            </w:pPr>
          </w:p>
        </w:tc>
        <w:tc>
          <w:tcPr>
            <w:tcW w:w="307" w:type="pct"/>
            <w:tcBorders>
              <w:top w:val="single" w:sz="8" w:space="0" w:color="auto"/>
              <w:left w:val="single" w:sz="4" w:space="0" w:color="BCBCBD"/>
              <w:bottom w:val="nil"/>
              <w:right w:val="single" w:sz="4" w:space="0" w:color="BCBCBD"/>
            </w:tcBorders>
            <w:shd w:val="clear" w:color="auto" w:fill="FFFFFF"/>
          </w:tcPr>
          <w:p w14:paraId="68F1EE9F" w14:textId="77777777" w:rsidR="006410A9" w:rsidRPr="00AC19CC" w:rsidRDefault="006410A9" w:rsidP="006410A9">
            <w:pPr>
              <w:adjustRightInd w:val="0"/>
              <w:snapToGrid w:val="0"/>
              <w:spacing w:before="120" w:after="120"/>
              <w:rPr>
                <w:sz w:val="18"/>
                <w:szCs w:val="18"/>
              </w:rPr>
            </w:pPr>
          </w:p>
        </w:tc>
        <w:tc>
          <w:tcPr>
            <w:tcW w:w="308" w:type="pct"/>
            <w:tcBorders>
              <w:top w:val="single" w:sz="8" w:space="0" w:color="auto"/>
              <w:left w:val="single" w:sz="4" w:space="0" w:color="BCBCBD"/>
              <w:bottom w:val="nil"/>
              <w:right w:val="single" w:sz="4" w:space="0" w:color="BCBCBD"/>
            </w:tcBorders>
            <w:shd w:val="clear" w:color="auto" w:fill="FFFFFF"/>
          </w:tcPr>
          <w:p w14:paraId="245C2A92" w14:textId="77777777" w:rsidR="006410A9" w:rsidRPr="00AC19CC" w:rsidRDefault="006410A9" w:rsidP="006410A9">
            <w:pPr>
              <w:adjustRightInd w:val="0"/>
              <w:snapToGrid w:val="0"/>
              <w:spacing w:before="120" w:after="120"/>
              <w:rPr>
                <w:sz w:val="18"/>
                <w:szCs w:val="18"/>
              </w:rPr>
            </w:pPr>
          </w:p>
        </w:tc>
        <w:tc>
          <w:tcPr>
            <w:tcW w:w="311" w:type="pct"/>
            <w:tcBorders>
              <w:top w:val="single" w:sz="8" w:space="0" w:color="auto"/>
              <w:left w:val="single" w:sz="4" w:space="0" w:color="BCBCBD"/>
              <w:bottom w:val="nil"/>
              <w:right w:val="single" w:sz="4" w:space="0" w:color="BCBCBD"/>
            </w:tcBorders>
            <w:shd w:val="clear" w:color="auto" w:fill="FFFFFF"/>
          </w:tcPr>
          <w:p w14:paraId="7ED9F096" w14:textId="77777777" w:rsidR="006410A9" w:rsidRPr="00AC19CC" w:rsidRDefault="006410A9" w:rsidP="006410A9">
            <w:pPr>
              <w:adjustRightInd w:val="0"/>
              <w:snapToGrid w:val="0"/>
              <w:spacing w:before="120" w:after="120"/>
              <w:rPr>
                <w:sz w:val="18"/>
                <w:szCs w:val="18"/>
              </w:rPr>
            </w:pPr>
          </w:p>
        </w:tc>
        <w:tc>
          <w:tcPr>
            <w:tcW w:w="310" w:type="pct"/>
            <w:tcBorders>
              <w:top w:val="single" w:sz="8" w:space="0" w:color="auto"/>
              <w:left w:val="single" w:sz="4" w:space="0" w:color="BCBCBD"/>
              <w:bottom w:val="nil"/>
              <w:right w:val="single" w:sz="4" w:space="0" w:color="BCBCBD"/>
            </w:tcBorders>
            <w:shd w:val="clear" w:color="auto" w:fill="FFFFFF"/>
          </w:tcPr>
          <w:p w14:paraId="09EFAAA0" w14:textId="77777777" w:rsidR="006410A9" w:rsidRPr="00AC19CC" w:rsidRDefault="006410A9" w:rsidP="006410A9">
            <w:pPr>
              <w:adjustRightInd w:val="0"/>
              <w:snapToGrid w:val="0"/>
              <w:spacing w:before="120" w:after="120"/>
              <w:rPr>
                <w:rFonts w:eastAsia="新細明體"/>
                <w:sz w:val="18"/>
                <w:szCs w:val="18"/>
                <w:lang w:eastAsia="zh-TW"/>
              </w:rPr>
            </w:pPr>
          </w:p>
        </w:tc>
        <w:tc>
          <w:tcPr>
            <w:tcW w:w="309" w:type="pct"/>
            <w:tcBorders>
              <w:top w:val="single" w:sz="8" w:space="0" w:color="auto"/>
              <w:left w:val="single" w:sz="4" w:space="0" w:color="BCBCBD"/>
              <w:bottom w:val="nil"/>
              <w:right w:val="nil"/>
            </w:tcBorders>
            <w:shd w:val="clear" w:color="auto" w:fill="FFFFFF"/>
          </w:tcPr>
          <w:p w14:paraId="4A71609D" w14:textId="77777777" w:rsidR="006410A9" w:rsidRPr="00AC19CC" w:rsidRDefault="006410A9" w:rsidP="006410A9">
            <w:pPr>
              <w:adjustRightInd w:val="0"/>
              <w:snapToGrid w:val="0"/>
              <w:spacing w:before="120" w:after="120"/>
              <w:rPr>
                <w:sz w:val="18"/>
                <w:szCs w:val="18"/>
              </w:rPr>
            </w:pPr>
          </w:p>
        </w:tc>
        <w:tc>
          <w:tcPr>
            <w:tcW w:w="615" w:type="pct"/>
            <w:tcBorders>
              <w:top w:val="single" w:sz="8" w:space="0" w:color="auto"/>
              <w:left w:val="single" w:sz="4" w:space="0" w:color="BCBCBD"/>
              <w:bottom w:val="nil"/>
              <w:right w:val="nil"/>
            </w:tcBorders>
            <w:shd w:val="clear" w:color="auto" w:fill="FFFFFF"/>
          </w:tcPr>
          <w:p w14:paraId="7A94527B" w14:textId="77777777" w:rsidR="006410A9" w:rsidRPr="00AC19CC" w:rsidRDefault="006410A9" w:rsidP="006410A9">
            <w:pPr>
              <w:adjustRightInd w:val="0"/>
              <w:snapToGrid w:val="0"/>
              <w:spacing w:before="120" w:after="120"/>
              <w:rPr>
                <w:sz w:val="18"/>
                <w:szCs w:val="18"/>
              </w:rPr>
            </w:pPr>
          </w:p>
        </w:tc>
      </w:tr>
      <w:tr w:rsidR="006410A9" w:rsidRPr="00AC19CC" w14:paraId="427A59F2" w14:textId="77777777" w:rsidTr="00A560A1">
        <w:trPr>
          <w:trHeight w:val="230"/>
        </w:trPr>
        <w:tc>
          <w:tcPr>
            <w:tcW w:w="324" w:type="pct"/>
            <w:tcBorders>
              <w:top w:val="single" w:sz="8" w:space="0" w:color="auto"/>
              <w:left w:val="nil"/>
              <w:bottom w:val="nil"/>
              <w:right w:val="single" w:sz="4" w:space="0" w:color="BCBCBD"/>
            </w:tcBorders>
            <w:noWrap/>
            <w:vAlign w:val="center"/>
            <w:hideMark/>
          </w:tcPr>
          <w:p w14:paraId="09E41122" w14:textId="77777777" w:rsidR="006410A9" w:rsidRPr="00AC19CC" w:rsidRDefault="006410A9" w:rsidP="0099583E">
            <w:pPr>
              <w:tabs>
                <w:tab w:val="decimal" w:pos="474"/>
                <w:tab w:val="left" w:pos="794"/>
              </w:tabs>
              <w:adjustRightInd w:val="0"/>
              <w:snapToGrid w:val="0"/>
              <w:spacing w:before="40" w:after="40"/>
              <w:ind w:left="57"/>
              <w:rPr>
                <w:rFonts w:eastAsia="SimSun" w:cs="Segoe UI"/>
                <w:kern w:val="2"/>
                <w:sz w:val="18"/>
                <w:szCs w:val="18"/>
                <w:lang w:eastAsia="ja-JP"/>
              </w:rPr>
            </w:pPr>
            <w:r w:rsidRPr="00AC19CC">
              <w:rPr>
                <w:rFonts w:eastAsia="SimSun" w:cs="Segoe UI"/>
                <w:kern w:val="2"/>
                <w:sz w:val="18"/>
                <w:szCs w:val="18"/>
                <w:lang w:eastAsia="ja-JP"/>
              </w:rPr>
              <w:t>10</w:t>
            </w:r>
          </w:p>
        </w:tc>
        <w:tc>
          <w:tcPr>
            <w:tcW w:w="1014" w:type="pct"/>
            <w:tcBorders>
              <w:top w:val="single" w:sz="8" w:space="0" w:color="auto"/>
              <w:left w:val="single" w:sz="4" w:space="0" w:color="BCBCBD"/>
              <w:bottom w:val="nil"/>
              <w:right w:val="single" w:sz="4" w:space="0" w:color="BCBCBD"/>
            </w:tcBorders>
            <w:vAlign w:val="center"/>
            <w:hideMark/>
          </w:tcPr>
          <w:p w14:paraId="0D71FF80"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color w:val="000000"/>
                <w:kern w:val="2"/>
                <w:sz w:val="18"/>
                <w:szCs w:val="18"/>
              </w:rPr>
            </w:pPr>
            <w:r w:rsidRPr="00AC19CC">
              <w:rPr>
                <w:rFonts w:eastAsia="SimSun" w:cs="Segoe UI"/>
                <w:color w:val="000000"/>
                <w:kern w:val="2"/>
                <w:sz w:val="18"/>
                <w:szCs w:val="18"/>
              </w:rPr>
              <w:t>Total amount of operational losses net of recoveries and net of excluded losses</w:t>
            </w:r>
          </w:p>
        </w:tc>
        <w:tc>
          <w:tcPr>
            <w:tcW w:w="260" w:type="pct"/>
            <w:tcBorders>
              <w:top w:val="single" w:sz="8" w:space="0" w:color="auto"/>
              <w:left w:val="single" w:sz="4" w:space="0" w:color="BCBCBD"/>
              <w:bottom w:val="nil"/>
              <w:right w:val="single" w:sz="4" w:space="0" w:color="BCBCBD"/>
            </w:tcBorders>
          </w:tcPr>
          <w:p w14:paraId="6963832D"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293" w:type="pct"/>
            <w:tcBorders>
              <w:top w:val="single" w:sz="8" w:space="0" w:color="auto"/>
              <w:left w:val="single" w:sz="4" w:space="0" w:color="BCBCBD"/>
              <w:bottom w:val="nil"/>
              <w:right w:val="single" w:sz="4" w:space="0" w:color="BCBCBD"/>
            </w:tcBorders>
            <w:shd w:val="clear" w:color="auto" w:fill="FFFFFF"/>
          </w:tcPr>
          <w:p w14:paraId="29AC3F99" w14:textId="77777777" w:rsidR="006410A9" w:rsidRPr="00AC19CC" w:rsidRDefault="006410A9" w:rsidP="006410A9">
            <w:pPr>
              <w:adjustRightInd w:val="0"/>
              <w:snapToGrid w:val="0"/>
              <w:spacing w:before="120" w:after="120"/>
              <w:rPr>
                <w:sz w:val="18"/>
                <w:szCs w:val="18"/>
              </w:rPr>
            </w:pPr>
          </w:p>
        </w:tc>
        <w:tc>
          <w:tcPr>
            <w:tcW w:w="326" w:type="pct"/>
            <w:tcBorders>
              <w:top w:val="single" w:sz="8" w:space="0" w:color="auto"/>
              <w:left w:val="single" w:sz="4" w:space="0" w:color="BCBCBD"/>
              <w:bottom w:val="nil"/>
              <w:right w:val="single" w:sz="4" w:space="0" w:color="BCBCBD"/>
            </w:tcBorders>
            <w:shd w:val="clear" w:color="auto" w:fill="FFFFFF"/>
          </w:tcPr>
          <w:p w14:paraId="501099C9" w14:textId="77777777" w:rsidR="006410A9" w:rsidRPr="00AC19CC" w:rsidRDefault="006410A9" w:rsidP="006410A9">
            <w:pPr>
              <w:adjustRightInd w:val="0"/>
              <w:snapToGrid w:val="0"/>
              <w:spacing w:before="120" w:after="120"/>
              <w:rPr>
                <w:sz w:val="18"/>
                <w:szCs w:val="18"/>
              </w:rPr>
            </w:pPr>
          </w:p>
        </w:tc>
        <w:tc>
          <w:tcPr>
            <w:tcW w:w="308" w:type="pct"/>
            <w:tcBorders>
              <w:top w:val="single" w:sz="8" w:space="0" w:color="auto"/>
              <w:left w:val="single" w:sz="4" w:space="0" w:color="BCBCBD"/>
              <w:bottom w:val="nil"/>
              <w:right w:val="single" w:sz="4" w:space="0" w:color="BCBCBD"/>
            </w:tcBorders>
            <w:shd w:val="clear" w:color="auto" w:fill="FFFFFF"/>
          </w:tcPr>
          <w:p w14:paraId="27E89F9E" w14:textId="77777777" w:rsidR="006410A9" w:rsidRPr="00AC19CC" w:rsidRDefault="006410A9" w:rsidP="006410A9">
            <w:pPr>
              <w:adjustRightInd w:val="0"/>
              <w:snapToGrid w:val="0"/>
              <w:spacing w:before="120" w:after="120"/>
              <w:rPr>
                <w:sz w:val="18"/>
                <w:szCs w:val="18"/>
              </w:rPr>
            </w:pPr>
          </w:p>
        </w:tc>
        <w:tc>
          <w:tcPr>
            <w:tcW w:w="315" w:type="pct"/>
            <w:tcBorders>
              <w:top w:val="single" w:sz="8" w:space="0" w:color="auto"/>
              <w:left w:val="single" w:sz="4" w:space="0" w:color="BCBCBD"/>
              <w:bottom w:val="nil"/>
              <w:right w:val="single" w:sz="4" w:space="0" w:color="BCBCBD"/>
            </w:tcBorders>
            <w:shd w:val="clear" w:color="auto" w:fill="FFFFFF"/>
          </w:tcPr>
          <w:p w14:paraId="224043F2" w14:textId="77777777" w:rsidR="006410A9" w:rsidRPr="00AC19CC" w:rsidRDefault="006410A9" w:rsidP="006410A9">
            <w:pPr>
              <w:adjustRightInd w:val="0"/>
              <w:snapToGrid w:val="0"/>
              <w:spacing w:before="120" w:after="120"/>
              <w:rPr>
                <w:sz w:val="18"/>
                <w:szCs w:val="18"/>
              </w:rPr>
            </w:pPr>
          </w:p>
        </w:tc>
        <w:tc>
          <w:tcPr>
            <w:tcW w:w="307" w:type="pct"/>
            <w:tcBorders>
              <w:top w:val="single" w:sz="8" w:space="0" w:color="auto"/>
              <w:left w:val="single" w:sz="4" w:space="0" w:color="BCBCBD"/>
              <w:bottom w:val="nil"/>
              <w:right w:val="single" w:sz="4" w:space="0" w:color="BCBCBD"/>
            </w:tcBorders>
            <w:shd w:val="clear" w:color="auto" w:fill="FFFFFF"/>
          </w:tcPr>
          <w:p w14:paraId="167B62B3" w14:textId="77777777" w:rsidR="006410A9" w:rsidRPr="00AC19CC" w:rsidRDefault="006410A9" w:rsidP="006410A9">
            <w:pPr>
              <w:adjustRightInd w:val="0"/>
              <w:snapToGrid w:val="0"/>
              <w:spacing w:before="120" w:after="120"/>
              <w:rPr>
                <w:sz w:val="18"/>
                <w:szCs w:val="18"/>
              </w:rPr>
            </w:pPr>
          </w:p>
        </w:tc>
        <w:tc>
          <w:tcPr>
            <w:tcW w:w="308" w:type="pct"/>
            <w:tcBorders>
              <w:top w:val="single" w:sz="8" w:space="0" w:color="auto"/>
              <w:left w:val="single" w:sz="4" w:space="0" w:color="BCBCBD"/>
              <w:bottom w:val="nil"/>
              <w:right w:val="single" w:sz="4" w:space="0" w:color="BCBCBD"/>
            </w:tcBorders>
            <w:shd w:val="clear" w:color="auto" w:fill="FFFFFF"/>
          </w:tcPr>
          <w:p w14:paraId="168620F5" w14:textId="77777777" w:rsidR="006410A9" w:rsidRPr="00AC19CC" w:rsidRDefault="006410A9" w:rsidP="006410A9">
            <w:pPr>
              <w:adjustRightInd w:val="0"/>
              <w:snapToGrid w:val="0"/>
              <w:spacing w:before="120" w:after="120"/>
              <w:rPr>
                <w:sz w:val="18"/>
                <w:szCs w:val="18"/>
              </w:rPr>
            </w:pPr>
          </w:p>
        </w:tc>
        <w:tc>
          <w:tcPr>
            <w:tcW w:w="311" w:type="pct"/>
            <w:tcBorders>
              <w:top w:val="single" w:sz="8" w:space="0" w:color="auto"/>
              <w:left w:val="single" w:sz="4" w:space="0" w:color="BCBCBD"/>
              <w:bottom w:val="nil"/>
              <w:right w:val="single" w:sz="4" w:space="0" w:color="BCBCBD"/>
            </w:tcBorders>
            <w:shd w:val="clear" w:color="auto" w:fill="FFFFFF"/>
          </w:tcPr>
          <w:p w14:paraId="32AB05C3" w14:textId="77777777" w:rsidR="006410A9" w:rsidRPr="00AC19CC" w:rsidRDefault="006410A9" w:rsidP="006410A9">
            <w:pPr>
              <w:adjustRightInd w:val="0"/>
              <w:snapToGrid w:val="0"/>
              <w:spacing w:before="120" w:after="120"/>
              <w:rPr>
                <w:sz w:val="18"/>
                <w:szCs w:val="18"/>
              </w:rPr>
            </w:pPr>
          </w:p>
        </w:tc>
        <w:tc>
          <w:tcPr>
            <w:tcW w:w="310" w:type="pct"/>
            <w:tcBorders>
              <w:top w:val="single" w:sz="8" w:space="0" w:color="auto"/>
              <w:left w:val="single" w:sz="4" w:space="0" w:color="BCBCBD"/>
              <w:bottom w:val="nil"/>
              <w:right w:val="single" w:sz="4" w:space="0" w:color="BCBCBD"/>
            </w:tcBorders>
            <w:shd w:val="clear" w:color="auto" w:fill="FFFFFF"/>
          </w:tcPr>
          <w:p w14:paraId="6608CA80" w14:textId="77777777" w:rsidR="006410A9" w:rsidRPr="00AC19CC" w:rsidRDefault="006410A9" w:rsidP="006410A9">
            <w:pPr>
              <w:adjustRightInd w:val="0"/>
              <w:snapToGrid w:val="0"/>
              <w:spacing w:before="120" w:after="120"/>
              <w:rPr>
                <w:sz w:val="18"/>
                <w:szCs w:val="18"/>
              </w:rPr>
            </w:pPr>
          </w:p>
        </w:tc>
        <w:tc>
          <w:tcPr>
            <w:tcW w:w="309" w:type="pct"/>
            <w:tcBorders>
              <w:top w:val="single" w:sz="8" w:space="0" w:color="auto"/>
              <w:left w:val="single" w:sz="4" w:space="0" w:color="BCBCBD"/>
              <w:bottom w:val="nil"/>
              <w:right w:val="nil"/>
            </w:tcBorders>
            <w:shd w:val="clear" w:color="auto" w:fill="FFFFFF"/>
          </w:tcPr>
          <w:p w14:paraId="7A4D8755" w14:textId="77777777" w:rsidR="006410A9" w:rsidRPr="00AC19CC" w:rsidRDefault="006410A9" w:rsidP="006410A9">
            <w:pPr>
              <w:adjustRightInd w:val="0"/>
              <w:snapToGrid w:val="0"/>
              <w:spacing w:before="120" w:after="120"/>
              <w:rPr>
                <w:sz w:val="18"/>
                <w:szCs w:val="18"/>
              </w:rPr>
            </w:pPr>
          </w:p>
        </w:tc>
        <w:tc>
          <w:tcPr>
            <w:tcW w:w="615" w:type="pct"/>
            <w:tcBorders>
              <w:top w:val="single" w:sz="8" w:space="0" w:color="auto"/>
              <w:left w:val="single" w:sz="4" w:space="0" w:color="BCBCBD"/>
              <w:bottom w:val="nil"/>
              <w:right w:val="nil"/>
            </w:tcBorders>
            <w:shd w:val="clear" w:color="auto" w:fill="FFFFFF"/>
          </w:tcPr>
          <w:p w14:paraId="0B4DCB3B" w14:textId="77777777" w:rsidR="006410A9" w:rsidRPr="00AC19CC" w:rsidRDefault="006410A9" w:rsidP="006410A9">
            <w:pPr>
              <w:adjustRightInd w:val="0"/>
              <w:snapToGrid w:val="0"/>
              <w:spacing w:before="120" w:after="120"/>
              <w:rPr>
                <w:sz w:val="18"/>
                <w:szCs w:val="18"/>
              </w:rPr>
            </w:pPr>
          </w:p>
        </w:tc>
      </w:tr>
      <w:tr w:rsidR="006410A9" w:rsidRPr="00AC19CC" w14:paraId="311D1E6B" w14:textId="77777777" w:rsidTr="00A560A1">
        <w:trPr>
          <w:trHeight w:val="230"/>
        </w:trPr>
        <w:tc>
          <w:tcPr>
            <w:tcW w:w="5000" w:type="pct"/>
            <w:gridSpan w:val="13"/>
            <w:tcBorders>
              <w:top w:val="single" w:sz="8" w:space="0" w:color="auto"/>
              <w:left w:val="nil"/>
              <w:bottom w:val="nil"/>
              <w:right w:val="single" w:sz="4" w:space="0" w:color="BCBCBD"/>
            </w:tcBorders>
            <w:shd w:val="clear" w:color="auto" w:fill="BFBFBF"/>
            <w:noWrap/>
            <w:vAlign w:val="center"/>
            <w:hideMark/>
          </w:tcPr>
          <w:p w14:paraId="6AD965A3" w14:textId="77777777" w:rsidR="006410A9" w:rsidRPr="00AC19CC" w:rsidRDefault="006410A9" w:rsidP="006410A9">
            <w:pPr>
              <w:tabs>
                <w:tab w:val="decimal" w:pos="474"/>
                <w:tab w:val="left" w:pos="794"/>
              </w:tabs>
              <w:adjustRightInd w:val="0"/>
              <w:snapToGrid w:val="0"/>
              <w:spacing w:before="40" w:after="40"/>
              <w:jc w:val="both"/>
              <w:rPr>
                <w:rFonts w:eastAsia="SimSun" w:cs="Segoe UI"/>
                <w:b/>
                <w:kern w:val="2"/>
                <w:sz w:val="18"/>
                <w:szCs w:val="18"/>
                <w:lang w:eastAsia="ja-JP"/>
              </w:rPr>
            </w:pPr>
            <w:r w:rsidRPr="00AC19CC">
              <w:rPr>
                <w:rFonts w:eastAsia="SimSun" w:cs="Segoe UI"/>
                <w:b/>
                <w:kern w:val="2"/>
                <w:sz w:val="18"/>
                <w:szCs w:val="18"/>
                <w:lang w:eastAsia="ja-JP"/>
              </w:rPr>
              <w:t>Details of operational risk capital charge calculation</w:t>
            </w:r>
          </w:p>
        </w:tc>
      </w:tr>
      <w:tr w:rsidR="006410A9" w:rsidRPr="00AC19CC" w14:paraId="7E838141" w14:textId="77777777" w:rsidTr="006C1BA5">
        <w:trPr>
          <w:trHeight w:val="230"/>
        </w:trPr>
        <w:tc>
          <w:tcPr>
            <w:tcW w:w="324" w:type="pct"/>
            <w:tcBorders>
              <w:top w:val="single" w:sz="8" w:space="0" w:color="auto"/>
              <w:left w:val="nil"/>
              <w:bottom w:val="nil"/>
              <w:right w:val="single" w:sz="4" w:space="0" w:color="BCBCBD"/>
            </w:tcBorders>
            <w:noWrap/>
            <w:vAlign w:val="center"/>
            <w:hideMark/>
          </w:tcPr>
          <w:p w14:paraId="4524C09E" w14:textId="77777777" w:rsidR="006410A9" w:rsidRPr="00AC19CC" w:rsidRDefault="006410A9" w:rsidP="0099583E">
            <w:pPr>
              <w:tabs>
                <w:tab w:val="decimal" w:pos="474"/>
                <w:tab w:val="left" w:pos="794"/>
              </w:tabs>
              <w:adjustRightInd w:val="0"/>
              <w:snapToGrid w:val="0"/>
              <w:spacing w:before="40" w:after="40"/>
              <w:ind w:left="57"/>
              <w:rPr>
                <w:rFonts w:eastAsia="SimSun" w:cs="Segoe UI"/>
                <w:kern w:val="2"/>
                <w:sz w:val="18"/>
                <w:szCs w:val="18"/>
                <w:lang w:eastAsia="ja-JP"/>
              </w:rPr>
            </w:pPr>
            <w:r w:rsidRPr="00AC19CC">
              <w:rPr>
                <w:rFonts w:eastAsia="SimSun" w:cs="Segoe UI"/>
                <w:kern w:val="2"/>
                <w:sz w:val="18"/>
                <w:szCs w:val="18"/>
                <w:lang w:eastAsia="ja-JP"/>
              </w:rPr>
              <w:t>11</w:t>
            </w:r>
          </w:p>
        </w:tc>
        <w:tc>
          <w:tcPr>
            <w:tcW w:w="1014" w:type="pct"/>
            <w:tcBorders>
              <w:top w:val="single" w:sz="8" w:space="0" w:color="auto"/>
              <w:left w:val="single" w:sz="4" w:space="0" w:color="BCBCBD"/>
              <w:bottom w:val="nil"/>
              <w:right w:val="single" w:sz="4" w:space="0" w:color="BCBCBD"/>
            </w:tcBorders>
            <w:vAlign w:val="center"/>
            <w:hideMark/>
          </w:tcPr>
          <w:p w14:paraId="2DFE4DC2" w14:textId="21882832" w:rsidR="006410A9" w:rsidRPr="00AC19CC" w:rsidRDefault="006410A9" w:rsidP="006410A9">
            <w:pPr>
              <w:keepNext/>
              <w:tabs>
                <w:tab w:val="decimal" w:pos="474"/>
                <w:tab w:val="left" w:pos="794"/>
              </w:tabs>
              <w:adjustRightInd w:val="0"/>
              <w:snapToGrid w:val="0"/>
              <w:spacing w:before="40" w:after="40"/>
              <w:jc w:val="both"/>
              <w:rPr>
                <w:rFonts w:eastAsia="SimSun" w:cs="Segoe UI"/>
                <w:color w:val="000000"/>
                <w:kern w:val="2"/>
                <w:sz w:val="18"/>
                <w:szCs w:val="18"/>
              </w:rPr>
            </w:pPr>
            <w:r w:rsidRPr="00AC19CC">
              <w:rPr>
                <w:rFonts w:eastAsia="SimSun" w:cs="Segoe UI"/>
                <w:color w:val="000000"/>
                <w:kern w:val="2"/>
                <w:sz w:val="18"/>
                <w:szCs w:val="18"/>
              </w:rPr>
              <w:t>Are losses used to calculate the ILM (yes/no)?</w:t>
            </w:r>
          </w:p>
        </w:tc>
        <w:tc>
          <w:tcPr>
            <w:tcW w:w="3662" w:type="pct"/>
            <w:gridSpan w:val="11"/>
            <w:tcBorders>
              <w:top w:val="single" w:sz="8" w:space="0" w:color="auto"/>
              <w:left w:val="single" w:sz="4" w:space="0" w:color="BCBCBD"/>
              <w:bottom w:val="nil"/>
              <w:right w:val="nil"/>
            </w:tcBorders>
          </w:tcPr>
          <w:p w14:paraId="0FF9D595" w14:textId="77777777" w:rsidR="006410A9" w:rsidRPr="00AC19CC" w:rsidRDefault="006410A9" w:rsidP="006410A9">
            <w:pPr>
              <w:tabs>
                <w:tab w:val="decimal" w:pos="474"/>
                <w:tab w:val="left" w:pos="794"/>
              </w:tabs>
              <w:adjustRightInd w:val="0"/>
              <w:snapToGrid w:val="0"/>
              <w:spacing w:before="40" w:after="40"/>
              <w:jc w:val="both"/>
              <w:rPr>
                <w:rFonts w:eastAsia="SimSun" w:cs="Segoe UI"/>
                <w:kern w:val="2"/>
                <w:sz w:val="18"/>
                <w:szCs w:val="18"/>
                <w:lang w:eastAsia="ja-JP"/>
              </w:rPr>
            </w:pPr>
          </w:p>
        </w:tc>
      </w:tr>
      <w:tr w:rsidR="006410A9" w:rsidRPr="00AC19CC" w14:paraId="248E44AF" w14:textId="77777777" w:rsidTr="006C1BA5">
        <w:trPr>
          <w:trHeight w:val="230"/>
        </w:trPr>
        <w:tc>
          <w:tcPr>
            <w:tcW w:w="324" w:type="pct"/>
            <w:tcBorders>
              <w:top w:val="single" w:sz="8" w:space="0" w:color="auto"/>
              <w:left w:val="nil"/>
              <w:bottom w:val="nil"/>
              <w:right w:val="single" w:sz="4" w:space="0" w:color="BCBCBD"/>
            </w:tcBorders>
            <w:noWrap/>
            <w:vAlign w:val="center"/>
          </w:tcPr>
          <w:p w14:paraId="1602896F" w14:textId="77777777" w:rsidR="006410A9" w:rsidRPr="00AC19CC" w:rsidRDefault="006410A9" w:rsidP="0099583E">
            <w:pPr>
              <w:tabs>
                <w:tab w:val="decimal" w:pos="474"/>
                <w:tab w:val="left" w:pos="794"/>
              </w:tabs>
              <w:adjustRightInd w:val="0"/>
              <w:snapToGrid w:val="0"/>
              <w:spacing w:before="40" w:after="40"/>
              <w:ind w:left="57"/>
              <w:rPr>
                <w:rFonts w:eastAsia="SimSun" w:cs="Segoe UI"/>
                <w:kern w:val="2"/>
                <w:sz w:val="18"/>
                <w:szCs w:val="18"/>
                <w:lang w:eastAsia="ja-JP"/>
              </w:rPr>
            </w:pPr>
            <w:r w:rsidRPr="00AC19CC">
              <w:rPr>
                <w:rFonts w:eastAsia="SimSun" w:cs="Segoe UI"/>
                <w:kern w:val="2"/>
                <w:sz w:val="18"/>
                <w:szCs w:val="18"/>
                <w:lang w:eastAsia="ja-JP"/>
              </w:rPr>
              <w:t>12</w:t>
            </w:r>
          </w:p>
        </w:tc>
        <w:tc>
          <w:tcPr>
            <w:tcW w:w="1014" w:type="pct"/>
            <w:tcBorders>
              <w:top w:val="single" w:sz="8" w:space="0" w:color="auto"/>
              <w:left w:val="single" w:sz="4" w:space="0" w:color="BCBCBD"/>
              <w:bottom w:val="nil"/>
              <w:right w:val="single" w:sz="4" w:space="0" w:color="BCBCBD"/>
            </w:tcBorders>
            <w:vAlign w:val="center"/>
          </w:tcPr>
          <w:p w14:paraId="7A5F33AC"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color w:val="000000"/>
                <w:kern w:val="2"/>
                <w:sz w:val="18"/>
                <w:szCs w:val="18"/>
              </w:rPr>
            </w:pPr>
            <w:r w:rsidRPr="00AC19CC">
              <w:rPr>
                <w:color w:val="000000"/>
                <w:sz w:val="18"/>
                <w:szCs w:val="18"/>
              </w:rPr>
              <w:t>If “no” in row 11, is the exclusion of internal loss data due to non-compliance with the minimum loss data standards (yes/no)?</w:t>
            </w:r>
          </w:p>
        </w:tc>
        <w:tc>
          <w:tcPr>
            <w:tcW w:w="3662" w:type="pct"/>
            <w:gridSpan w:val="11"/>
            <w:tcBorders>
              <w:top w:val="single" w:sz="8" w:space="0" w:color="auto"/>
              <w:left w:val="single" w:sz="4" w:space="0" w:color="BCBCBD"/>
              <w:bottom w:val="nil"/>
              <w:right w:val="nil"/>
            </w:tcBorders>
          </w:tcPr>
          <w:p w14:paraId="314E5136" w14:textId="77777777" w:rsidR="006410A9" w:rsidRPr="00AC19CC" w:rsidRDefault="006410A9" w:rsidP="006410A9">
            <w:pPr>
              <w:tabs>
                <w:tab w:val="decimal" w:pos="474"/>
                <w:tab w:val="left" w:pos="794"/>
              </w:tabs>
              <w:adjustRightInd w:val="0"/>
              <w:snapToGrid w:val="0"/>
              <w:spacing w:before="40" w:after="40"/>
              <w:jc w:val="both"/>
              <w:rPr>
                <w:rFonts w:eastAsia="SimSun" w:cs="Segoe UI"/>
                <w:kern w:val="2"/>
                <w:sz w:val="18"/>
                <w:szCs w:val="18"/>
                <w:lang w:eastAsia="ja-JP"/>
              </w:rPr>
            </w:pPr>
          </w:p>
        </w:tc>
      </w:tr>
      <w:tr w:rsidR="006410A9" w:rsidRPr="00AC19CC" w14:paraId="598F23BF" w14:textId="77777777" w:rsidTr="00FE22DB">
        <w:trPr>
          <w:trHeight w:val="230"/>
        </w:trPr>
        <w:tc>
          <w:tcPr>
            <w:tcW w:w="324" w:type="pct"/>
            <w:tcBorders>
              <w:top w:val="single" w:sz="8" w:space="0" w:color="auto"/>
              <w:left w:val="nil"/>
              <w:bottom w:val="single" w:sz="8" w:space="0" w:color="auto"/>
              <w:right w:val="single" w:sz="4" w:space="0" w:color="BCBCBD"/>
            </w:tcBorders>
            <w:noWrap/>
            <w:vAlign w:val="center"/>
            <w:hideMark/>
          </w:tcPr>
          <w:p w14:paraId="00EDACAB" w14:textId="77777777" w:rsidR="006410A9" w:rsidRPr="00AC19CC" w:rsidRDefault="006410A9" w:rsidP="0099583E">
            <w:pPr>
              <w:tabs>
                <w:tab w:val="decimal" w:pos="474"/>
                <w:tab w:val="left" w:pos="794"/>
              </w:tabs>
              <w:adjustRightInd w:val="0"/>
              <w:snapToGrid w:val="0"/>
              <w:spacing w:before="40" w:after="40"/>
              <w:ind w:left="57"/>
              <w:rPr>
                <w:rFonts w:eastAsia="SimSun" w:cs="Segoe UI"/>
                <w:kern w:val="2"/>
                <w:sz w:val="18"/>
                <w:szCs w:val="18"/>
                <w:lang w:eastAsia="ja-JP"/>
              </w:rPr>
            </w:pPr>
            <w:r w:rsidRPr="00AC19CC">
              <w:rPr>
                <w:rFonts w:eastAsia="SimSun" w:cs="Segoe UI"/>
                <w:kern w:val="2"/>
                <w:sz w:val="18"/>
                <w:szCs w:val="18"/>
                <w:lang w:eastAsia="ja-JP"/>
              </w:rPr>
              <w:t>13</w:t>
            </w:r>
          </w:p>
        </w:tc>
        <w:tc>
          <w:tcPr>
            <w:tcW w:w="1014" w:type="pct"/>
            <w:tcBorders>
              <w:top w:val="single" w:sz="8" w:space="0" w:color="auto"/>
              <w:left w:val="single" w:sz="4" w:space="0" w:color="BCBCBD"/>
              <w:bottom w:val="single" w:sz="8" w:space="0" w:color="auto"/>
              <w:right w:val="single" w:sz="4" w:space="0" w:color="BCBCBD"/>
            </w:tcBorders>
            <w:vAlign w:val="center"/>
            <w:hideMark/>
          </w:tcPr>
          <w:p w14:paraId="3905CD5A" w14:textId="77777777" w:rsidR="006410A9" w:rsidRPr="00AC19CC" w:rsidRDefault="006410A9" w:rsidP="006410A9">
            <w:pPr>
              <w:keepNext/>
              <w:tabs>
                <w:tab w:val="decimal" w:pos="474"/>
                <w:tab w:val="left" w:pos="794"/>
              </w:tabs>
              <w:adjustRightInd w:val="0"/>
              <w:snapToGrid w:val="0"/>
              <w:spacing w:before="40" w:after="40"/>
              <w:jc w:val="both"/>
              <w:rPr>
                <w:rFonts w:eastAsia="SimSun" w:cs="Segoe UI"/>
                <w:color w:val="000000"/>
                <w:kern w:val="2"/>
                <w:sz w:val="18"/>
                <w:szCs w:val="18"/>
              </w:rPr>
            </w:pPr>
            <w:r w:rsidRPr="00AC19CC">
              <w:rPr>
                <w:rFonts w:eastAsia="SimSun" w:cs="Segoe UI"/>
                <w:color w:val="000000"/>
                <w:kern w:val="2"/>
                <w:sz w:val="18"/>
                <w:szCs w:val="18"/>
              </w:rPr>
              <w:t>Loss event threshold: HKD200,000 or HKD 1 million for the operational risk capital charge calculation if applicable</w:t>
            </w:r>
          </w:p>
        </w:tc>
        <w:tc>
          <w:tcPr>
            <w:tcW w:w="3662" w:type="pct"/>
            <w:gridSpan w:val="11"/>
            <w:tcBorders>
              <w:top w:val="single" w:sz="8" w:space="0" w:color="auto"/>
              <w:left w:val="single" w:sz="4" w:space="0" w:color="BCBCBD"/>
              <w:bottom w:val="single" w:sz="8" w:space="0" w:color="auto"/>
              <w:right w:val="nil"/>
            </w:tcBorders>
          </w:tcPr>
          <w:p w14:paraId="2EA3B623" w14:textId="77777777" w:rsidR="006410A9" w:rsidRPr="00AC19CC" w:rsidRDefault="006410A9" w:rsidP="006410A9">
            <w:pPr>
              <w:tabs>
                <w:tab w:val="decimal" w:pos="474"/>
                <w:tab w:val="left" w:pos="794"/>
              </w:tabs>
              <w:adjustRightInd w:val="0"/>
              <w:snapToGrid w:val="0"/>
              <w:spacing w:before="40" w:after="40"/>
              <w:jc w:val="both"/>
              <w:rPr>
                <w:rFonts w:eastAsia="SimSun" w:cs="Segoe UI"/>
                <w:kern w:val="2"/>
                <w:sz w:val="18"/>
                <w:szCs w:val="18"/>
                <w:lang w:eastAsia="ja-JP"/>
              </w:rPr>
            </w:pPr>
          </w:p>
        </w:tc>
      </w:tr>
      <w:tr w:rsidR="006410A9" w:rsidRPr="00AC19CC" w14:paraId="5D6C9479" w14:textId="77777777" w:rsidTr="007762B9">
        <w:trPr>
          <w:trHeight w:val="283"/>
        </w:trPr>
        <w:tc>
          <w:tcPr>
            <w:tcW w:w="5000" w:type="pct"/>
            <w:gridSpan w:val="13"/>
            <w:tcBorders>
              <w:top w:val="single" w:sz="8" w:space="0" w:color="auto"/>
              <w:left w:val="nil"/>
              <w:bottom w:val="single" w:sz="8" w:space="0" w:color="auto"/>
              <w:right w:val="nil"/>
            </w:tcBorders>
          </w:tcPr>
          <w:p w14:paraId="635B37B7" w14:textId="77777777" w:rsidR="006410A9" w:rsidRPr="00AC19CC" w:rsidRDefault="006410A9" w:rsidP="006410A9">
            <w:pPr>
              <w:keepLines/>
              <w:tabs>
                <w:tab w:val="left" w:pos="397"/>
                <w:tab w:val="left" w:pos="794"/>
                <w:tab w:val="left" w:pos="1191"/>
              </w:tabs>
              <w:snapToGrid w:val="0"/>
              <w:spacing w:before="20" w:after="20"/>
              <w:rPr>
                <w:rFonts w:cs="Segoe UI"/>
                <w:i/>
                <w:sz w:val="17"/>
                <w:szCs w:val="17"/>
                <w:lang w:eastAsia="en-GB"/>
              </w:rPr>
            </w:pPr>
            <w:r w:rsidRPr="00AC19CC">
              <w:rPr>
                <w:rFonts w:cs="Segoe UI"/>
                <w:i/>
                <w:sz w:val="17"/>
                <w:szCs w:val="17"/>
                <w:lang w:eastAsia="en-GB"/>
              </w:rPr>
              <w:t xml:space="preserve">Points to </w:t>
            </w:r>
            <w:r w:rsidRPr="00AC19CC">
              <w:rPr>
                <w:rFonts w:cs="Segoe UI" w:hint="eastAsia"/>
                <w:i/>
                <w:sz w:val="17"/>
                <w:szCs w:val="17"/>
                <w:lang w:eastAsia="en-GB"/>
              </w:rPr>
              <w:t>not</w:t>
            </w:r>
            <w:r w:rsidRPr="00AC19CC">
              <w:rPr>
                <w:rFonts w:cs="Segoe UI"/>
                <w:i/>
                <w:sz w:val="17"/>
                <w:szCs w:val="17"/>
                <w:lang w:eastAsia="en-GB"/>
              </w:rPr>
              <w:t>e:</w:t>
            </w:r>
          </w:p>
          <w:p w14:paraId="3D7565CF" w14:textId="77777777" w:rsidR="006410A9" w:rsidRPr="00AC19CC" w:rsidRDefault="006410A9" w:rsidP="006410A9">
            <w:pPr>
              <w:keepLines/>
              <w:widowControl w:val="0"/>
              <w:numPr>
                <w:ilvl w:val="0"/>
                <w:numId w:val="54"/>
              </w:numPr>
              <w:snapToGrid w:val="0"/>
              <w:spacing w:before="20" w:after="20"/>
              <w:ind w:left="308" w:hanging="308"/>
              <w:jc w:val="both"/>
              <w:rPr>
                <w:sz w:val="17"/>
                <w:szCs w:val="17"/>
                <w:lang w:eastAsia="en-GB"/>
              </w:rPr>
            </w:pPr>
            <w:r w:rsidRPr="00AC19CC">
              <w:rPr>
                <w:sz w:val="17"/>
                <w:szCs w:val="17"/>
                <w:lang w:eastAsia="en-GB"/>
              </w:rPr>
              <w:t xml:space="preserve">Loss amounts and the associated recoveries (i.e. receipt of payments) should be reported in the annual reporting period in which they were recorded in financial statements.  </w:t>
            </w:r>
          </w:p>
          <w:p w14:paraId="5BCF997A" w14:textId="77777777" w:rsidR="006410A9" w:rsidRPr="00AC19CC" w:rsidRDefault="006410A9" w:rsidP="006410A9">
            <w:pPr>
              <w:keepLines/>
              <w:widowControl w:val="0"/>
              <w:numPr>
                <w:ilvl w:val="0"/>
                <w:numId w:val="54"/>
              </w:numPr>
              <w:snapToGrid w:val="0"/>
              <w:spacing w:before="20" w:after="20"/>
              <w:ind w:left="308" w:hanging="308"/>
              <w:jc w:val="both"/>
              <w:rPr>
                <w:sz w:val="17"/>
                <w:szCs w:val="17"/>
                <w:lang w:eastAsia="en-GB"/>
              </w:rPr>
            </w:pPr>
            <w:r w:rsidRPr="00AC19CC">
              <w:rPr>
                <w:sz w:val="17"/>
                <w:szCs w:val="17"/>
                <w:lang w:eastAsia="en-GB"/>
              </w:rPr>
              <w:lastRenderedPageBreak/>
              <w:t>AIs must use the date of accounting for building the loss data set.  That is (i) the date (or dates) when a loss event results in a loss, reserve or provision against a loss being recognised in the AI’s profit and loss (P&amp;L) accounts or (ii) for losses related to legal events, the date when a legal reserve is established for the probable estimated loss in the P&amp;L accounts.</w:t>
            </w:r>
          </w:p>
          <w:p w14:paraId="463FD102" w14:textId="41364FAF" w:rsidR="006410A9" w:rsidRPr="00AC19CC" w:rsidRDefault="006410A9" w:rsidP="006410A9">
            <w:pPr>
              <w:keepLines/>
              <w:widowControl w:val="0"/>
              <w:numPr>
                <w:ilvl w:val="0"/>
                <w:numId w:val="54"/>
              </w:numPr>
              <w:snapToGrid w:val="0"/>
              <w:spacing w:before="20" w:after="20"/>
              <w:ind w:left="308" w:hanging="308"/>
              <w:jc w:val="both"/>
              <w:rPr>
                <w:sz w:val="17"/>
                <w:szCs w:val="17"/>
                <w:lang w:eastAsia="en-GB"/>
              </w:rPr>
            </w:pPr>
            <w:r w:rsidRPr="00AC19CC">
              <w:rPr>
                <w:sz w:val="17"/>
                <w:szCs w:val="17"/>
                <w:lang w:eastAsia="en-GB"/>
              </w:rPr>
              <w:t>Losses caused by a common operational risk event or by related operational risk events over time, but posted to the accounts over several years, should be allocated to the corresponding annual reporting periods in line with their accounting treatment.</w:t>
            </w:r>
          </w:p>
          <w:p w14:paraId="194224F4" w14:textId="77777777" w:rsidR="006410A9" w:rsidRPr="00AC19CC" w:rsidRDefault="006410A9" w:rsidP="006410A9">
            <w:pPr>
              <w:keepLines/>
              <w:widowControl w:val="0"/>
              <w:numPr>
                <w:ilvl w:val="0"/>
                <w:numId w:val="54"/>
              </w:numPr>
              <w:snapToGrid w:val="0"/>
              <w:spacing w:before="20" w:after="20"/>
              <w:ind w:left="308" w:hanging="308"/>
              <w:jc w:val="both"/>
              <w:rPr>
                <w:sz w:val="17"/>
                <w:szCs w:val="17"/>
                <w:lang w:eastAsia="en-GB"/>
              </w:rPr>
            </w:pPr>
            <w:r w:rsidRPr="00AC19CC">
              <w:rPr>
                <w:sz w:val="17"/>
                <w:szCs w:val="17"/>
                <w:lang w:eastAsia="en-GB"/>
              </w:rPr>
              <w:t>An operational event having an overall positive financial impact over the disclosure period should not be included in this template.</w:t>
            </w:r>
          </w:p>
          <w:p w14:paraId="5126ED5B" w14:textId="1AD8B5E3" w:rsidR="006410A9" w:rsidRPr="00AC19CC" w:rsidRDefault="006410A9" w:rsidP="00FE22DB">
            <w:pPr>
              <w:keepLines/>
              <w:widowControl w:val="0"/>
              <w:numPr>
                <w:ilvl w:val="0"/>
                <w:numId w:val="54"/>
              </w:numPr>
              <w:snapToGrid w:val="0"/>
              <w:spacing w:before="20" w:after="20"/>
              <w:ind w:left="308" w:hanging="308"/>
              <w:jc w:val="both"/>
              <w:rPr>
                <w:sz w:val="17"/>
                <w:szCs w:val="17"/>
                <w:lang w:eastAsia="en-GB"/>
              </w:rPr>
            </w:pPr>
            <w:r w:rsidRPr="00AC19CC">
              <w:rPr>
                <w:sz w:val="17"/>
                <w:szCs w:val="17"/>
                <w:lang w:eastAsia="en-GB"/>
              </w:rPr>
              <w:t>The HKD200,000 threshold also includes losses listed in the HKD1 million threshold.</w:t>
            </w:r>
          </w:p>
        </w:tc>
      </w:tr>
    </w:tbl>
    <w:p w14:paraId="78718E2E" w14:textId="77777777" w:rsidR="00FE22DB" w:rsidRDefault="00FE22DB"/>
    <w:tbl>
      <w:tblPr>
        <w:tblW w:w="5399" w:type="pct"/>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8094"/>
      </w:tblGrid>
      <w:tr w:rsidR="006410A9" w:rsidRPr="00AC19CC" w14:paraId="0021308B" w14:textId="77777777" w:rsidTr="00FE22DB">
        <w:trPr>
          <w:trHeight w:val="491"/>
          <w:tblHeader/>
        </w:trPr>
        <w:tc>
          <w:tcPr>
            <w:tcW w:w="5000" w:type="pct"/>
            <w:gridSpan w:val="2"/>
            <w:tcBorders>
              <w:top w:val="single" w:sz="4" w:space="0" w:color="auto"/>
            </w:tcBorders>
            <w:shd w:val="clear" w:color="auto" w:fill="BFBFBF"/>
          </w:tcPr>
          <w:p w14:paraId="2988CCAF" w14:textId="77777777" w:rsidR="006410A9" w:rsidRPr="00AC19CC" w:rsidRDefault="006410A9" w:rsidP="006410A9">
            <w:pPr>
              <w:spacing w:before="40" w:after="40"/>
              <w:jc w:val="both"/>
              <w:rPr>
                <w:rFonts w:eastAsia="新細明體"/>
                <w:b/>
                <w:sz w:val="17"/>
                <w:szCs w:val="17"/>
                <w:lang w:eastAsia="en-GB"/>
              </w:rPr>
            </w:pPr>
            <w:r w:rsidRPr="00AC19CC">
              <w:rPr>
                <w:rFonts w:eastAsia="新細明體"/>
                <w:b/>
                <w:sz w:val="17"/>
                <w:szCs w:val="17"/>
                <w:lang w:eastAsia="en-GB"/>
              </w:rPr>
              <w:t>Explanatory Note</w:t>
            </w:r>
          </w:p>
        </w:tc>
      </w:tr>
      <w:tr w:rsidR="006410A9" w:rsidRPr="00AC19CC" w14:paraId="581A3D76" w14:textId="77777777" w:rsidTr="00FE22DB">
        <w:trPr>
          <w:trHeight w:val="153"/>
        </w:trPr>
        <w:tc>
          <w:tcPr>
            <w:tcW w:w="5000" w:type="pct"/>
            <w:gridSpan w:val="2"/>
            <w:shd w:val="clear" w:color="auto" w:fill="F2F2F2"/>
          </w:tcPr>
          <w:p w14:paraId="144FE53E" w14:textId="77777777" w:rsidR="006410A9" w:rsidRPr="00AC19CC" w:rsidRDefault="006410A9" w:rsidP="006410A9">
            <w:pPr>
              <w:spacing w:before="40" w:after="40"/>
              <w:jc w:val="both"/>
              <w:rPr>
                <w:rFonts w:eastAsia="新細明體"/>
                <w:b/>
                <w:sz w:val="17"/>
                <w:szCs w:val="17"/>
                <w:lang w:eastAsia="en-GB"/>
              </w:rPr>
            </w:pPr>
            <w:r w:rsidRPr="00AC19CC">
              <w:rPr>
                <w:rFonts w:eastAsia="新細明體"/>
                <w:b/>
                <w:sz w:val="17"/>
                <w:szCs w:val="17"/>
                <w:lang w:eastAsia="en-GB"/>
              </w:rPr>
              <w:t>Columns</w:t>
            </w:r>
          </w:p>
        </w:tc>
      </w:tr>
      <w:tr w:rsidR="006410A9" w:rsidRPr="00AC19CC" w14:paraId="562F263D" w14:textId="77777777" w:rsidTr="00FE22DB">
        <w:trPr>
          <w:trHeight w:val="1242"/>
        </w:trPr>
        <w:tc>
          <w:tcPr>
            <w:tcW w:w="485" w:type="pct"/>
          </w:tcPr>
          <w:p w14:paraId="01B4BA15" w14:textId="77777777" w:rsidR="006410A9" w:rsidRPr="00AC19CC" w:rsidRDefault="006410A9" w:rsidP="006410A9">
            <w:pPr>
              <w:keepLines/>
              <w:widowControl w:val="0"/>
              <w:spacing w:before="20" w:after="20"/>
              <w:rPr>
                <w:rFonts w:cs="Segoe UI"/>
                <w:sz w:val="17"/>
                <w:szCs w:val="17"/>
                <w:lang w:eastAsia="en-GB"/>
              </w:rPr>
            </w:pPr>
            <w:r w:rsidRPr="00AC19CC">
              <w:rPr>
                <w:rFonts w:cs="Segoe UI"/>
                <w:sz w:val="17"/>
                <w:szCs w:val="17"/>
                <w:lang w:eastAsia="en-GB"/>
              </w:rPr>
              <w:t>(a) to (k)</w:t>
            </w:r>
          </w:p>
        </w:tc>
        <w:tc>
          <w:tcPr>
            <w:tcW w:w="4515" w:type="pct"/>
          </w:tcPr>
          <w:p w14:paraId="0D5377FF" w14:textId="5090B19E" w:rsidR="006410A9" w:rsidRPr="00AC19CC" w:rsidRDefault="006410A9" w:rsidP="006410A9">
            <w:pPr>
              <w:keepNext/>
              <w:spacing w:before="40" w:after="40"/>
              <w:ind w:right="47"/>
              <w:jc w:val="both"/>
              <w:rPr>
                <w:rFonts w:cs="Segoe UI"/>
                <w:sz w:val="17"/>
                <w:szCs w:val="17"/>
                <w:lang w:eastAsia="en-GB"/>
              </w:rPr>
            </w:pPr>
            <w:r w:rsidRPr="00AC19CC">
              <w:rPr>
                <w:rFonts w:cs="Segoe UI"/>
                <w:color w:val="000000"/>
                <w:sz w:val="17"/>
                <w:szCs w:val="17"/>
              </w:rPr>
              <w:t xml:space="preserve">For rows 1 to 10, T denotes the end of current annual reporting period, T–1 denotes the annual reporting period immediately preceding T, etc.  Column (k) refers to the average of an item </w:t>
            </w:r>
            <w:r>
              <w:rPr>
                <w:rFonts w:cs="Segoe UI"/>
                <w:color w:val="000000"/>
                <w:sz w:val="17"/>
                <w:szCs w:val="17"/>
              </w:rPr>
              <w:t xml:space="preserve">(based on the amount reported in individual years) </w:t>
            </w:r>
            <w:r w:rsidRPr="00AC19CC">
              <w:rPr>
                <w:rFonts w:cs="Segoe UI"/>
                <w:color w:val="000000"/>
                <w:sz w:val="17"/>
                <w:szCs w:val="17"/>
              </w:rPr>
              <w:t>over the disclosure period applicable to the AI.</w:t>
            </w:r>
          </w:p>
        </w:tc>
      </w:tr>
      <w:tr w:rsidR="006410A9" w:rsidRPr="00AC19CC" w14:paraId="0A746A4B" w14:textId="77777777" w:rsidTr="00FE22DB">
        <w:tc>
          <w:tcPr>
            <w:tcW w:w="5000" w:type="pct"/>
            <w:gridSpan w:val="2"/>
            <w:shd w:val="clear" w:color="auto" w:fill="F2F2F2"/>
          </w:tcPr>
          <w:p w14:paraId="69DAD042" w14:textId="77777777" w:rsidR="006410A9" w:rsidRPr="00AC19CC" w:rsidRDefault="006410A9" w:rsidP="006410A9">
            <w:pPr>
              <w:spacing w:before="40" w:after="40"/>
              <w:jc w:val="both"/>
              <w:rPr>
                <w:rFonts w:eastAsia="新細明體"/>
                <w:b/>
                <w:sz w:val="17"/>
                <w:szCs w:val="17"/>
                <w:lang w:eastAsia="en-GB"/>
              </w:rPr>
            </w:pPr>
            <w:r w:rsidRPr="00AC19CC">
              <w:rPr>
                <w:rFonts w:eastAsia="新細明體"/>
                <w:b/>
                <w:sz w:val="17"/>
                <w:szCs w:val="17"/>
                <w:lang w:eastAsia="en-GB"/>
              </w:rPr>
              <w:t>Rows</w:t>
            </w:r>
          </w:p>
        </w:tc>
      </w:tr>
      <w:tr w:rsidR="006410A9" w:rsidRPr="00AC19CC" w14:paraId="31C6C4A8" w14:textId="77777777" w:rsidTr="00FE22DB">
        <w:trPr>
          <w:trHeight w:val="1238"/>
        </w:trPr>
        <w:tc>
          <w:tcPr>
            <w:tcW w:w="485" w:type="pct"/>
          </w:tcPr>
          <w:p w14:paraId="2F1E6B75" w14:textId="77777777" w:rsidR="006410A9" w:rsidRPr="00AC19CC" w:rsidRDefault="006410A9" w:rsidP="006410A9">
            <w:pPr>
              <w:keepLines/>
              <w:widowControl w:val="0"/>
              <w:tabs>
                <w:tab w:val="left" w:pos="150"/>
                <w:tab w:val="left" w:pos="397"/>
                <w:tab w:val="left" w:pos="794"/>
                <w:tab w:val="left" w:pos="1191"/>
              </w:tabs>
              <w:spacing w:before="20" w:after="20"/>
              <w:rPr>
                <w:rFonts w:cs="Segoe UI"/>
                <w:sz w:val="17"/>
                <w:szCs w:val="17"/>
              </w:rPr>
            </w:pPr>
            <w:r w:rsidRPr="00AC19CC">
              <w:rPr>
                <w:rFonts w:cs="Segoe UI"/>
                <w:sz w:val="17"/>
                <w:szCs w:val="17"/>
              </w:rPr>
              <w:t>1</w:t>
            </w:r>
          </w:p>
        </w:tc>
        <w:tc>
          <w:tcPr>
            <w:tcW w:w="4515" w:type="pct"/>
          </w:tcPr>
          <w:p w14:paraId="6F8A9017" w14:textId="6A6F3A35" w:rsidR="006410A9" w:rsidRPr="0009450F" w:rsidRDefault="006410A9" w:rsidP="006410A9">
            <w:pPr>
              <w:keepLines/>
              <w:widowControl w:val="0"/>
              <w:tabs>
                <w:tab w:val="left" w:pos="150"/>
                <w:tab w:val="left" w:pos="397"/>
                <w:tab w:val="left" w:pos="794"/>
                <w:tab w:val="left" w:pos="1191"/>
              </w:tabs>
              <w:spacing w:before="20" w:after="20"/>
              <w:jc w:val="both"/>
              <w:rPr>
                <w:sz w:val="17"/>
                <w:szCs w:val="17"/>
                <w:lang w:eastAsia="en-GB"/>
              </w:rPr>
            </w:pPr>
            <w:r w:rsidRPr="00AC19CC">
              <w:rPr>
                <w:sz w:val="17"/>
                <w:szCs w:val="17"/>
                <w:lang w:eastAsia="en-GB"/>
              </w:rPr>
              <w:t>Based on a loss event threshold of HKD200,000, the total loss amount net of recoveries resulting from loss events above the loss event threshold for each annual reporting period in the disclosure period.  Losses excluded from the operational risk capital charge calculation must still be included in this row.</w:t>
            </w:r>
          </w:p>
        </w:tc>
      </w:tr>
      <w:tr w:rsidR="006410A9" w:rsidRPr="00AC19CC" w14:paraId="718AEFF5" w14:textId="77777777" w:rsidTr="00FE22DB">
        <w:trPr>
          <w:trHeight w:val="450"/>
        </w:trPr>
        <w:tc>
          <w:tcPr>
            <w:tcW w:w="485" w:type="pct"/>
          </w:tcPr>
          <w:p w14:paraId="31733613" w14:textId="77777777" w:rsidR="006410A9" w:rsidRPr="00AC19CC" w:rsidRDefault="006410A9" w:rsidP="006410A9">
            <w:pPr>
              <w:keepLines/>
              <w:widowControl w:val="0"/>
              <w:tabs>
                <w:tab w:val="left" w:pos="150"/>
                <w:tab w:val="left" w:pos="397"/>
                <w:tab w:val="left" w:pos="794"/>
                <w:tab w:val="left" w:pos="1191"/>
              </w:tabs>
              <w:spacing w:before="20" w:after="20"/>
              <w:rPr>
                <w:rFonts w:cs="Segoe UI"/>
                <w:sz w:val="17"/>
                <w:szCs w:val="17"/>
              </w:rPr>
            </w:pPr>
            <w:r w:rsidRPr="00AC19CC">
              <w:rPr>
                <w:rFonts w:cs="Segoe UI"/>
                <w:sz w:val="17"/>
                <w:szCs w:val="17"/>
              </w:rPr>
              <w:t>2</w:t>
            </w:r>
          </w:p>
        </w:tc>
        <w:tc>
          <w:tcPr>
            <w:tcW w:w="4515" w:type="pct"/>
          </w:tcPr>
          <w:p w14:paraId="2BEE56F6" w14:textId="77777777" w:rsidR="006410A9" w:rsidRPr="00AC19CC" w:rsidRDefault="006410A9" w:rsidP="006410A9">
            <w:pPr>
              <w:keepLines/>
              <w:widowControl w:val="0"/>
              <w:tabs>
                <w:tab w:val="left" w:pos="150"/>
                <w:tab w:val="left" w:pos="397"/>
                <w:tab w:val="left" w:pos="794"/>
                <w:tab w:val="left" w:pos="1191"/>
              </w:tabs>
              <w:spacing w:before="20" w:after="20"/>
              <w:jc w:val="both"/>
              <w:rPr>
                <w:sz w:val="17"/>
                <w:szCs w:val="17"/>
                <w:lang w:eastAsia="en-GB"/>
              </w:rPr>
            </w:pPr>
            <w:r w:rsidRPr="00AC19CC">
              <w:rPr>
                <w:sz w:val="17"/>
                <w:szCs w:val="17"/>
                <w:lang w:eastAsia="en-GB"/>
              </w:rPr>
              <w:t>Based on a loss event threshold of HKD200,000, the total number of operational risk losses.</w:t>
            </w:r>
          </w:p>
        </w:tc>
      </w:tr>
      <w:tr w:rsidR="006410A9" w:rsidRPr="00AC19CC" w14:paraId="4D467F84" w14:textId="77777777" w:rsidTr="00FE22DB">
        <w:trPr>
          <w:trHeight w:val="826"/>
        </w:trPr>
        <w:tc>
          <w:tcPr>
            <w:tcW w:w="485" w:type="pct"/>
          </w:tcPr>
          <w:p w14:paraId="7A248CFA" w14:textId="77777777" w:rsidR="006410A9" w:rsidRPr="00AC19CC" w:rsidRDefault="006410A9" w:rsidP="006410A9">
            <w:pPr>
              <w:keepLines/>
              <w:widowControl w:val="0"/>
              <w:tabs>
                <w:tab w:val="left" w:pos="150"/>
                <w:tab w:val="left" w:pos="397"/>
                <w:tab w:val="left" w:pos="794"/>
                <w:tab w:val="left" w:pos="1191"/>
              </w:tabs>
              <w:spacing w:before="20" w:after="20"/>
              <w:rPr>
                <w:rFonts w:cs="Segoe UI"/>
                <w:sz w:val="17"/>
                <w:szCs w:val="17"/>
              </w:rPr>
            </w:pPr>
            <w:r w:rsidRPr="00AC19CC">
              <w:rPr>
                <w:rFonts w:cs="Segoe UI"/>
                <w:sz w:val="17"/>
                <w:szCs w:val="17"/>
              </w:rPr>
              <w:t>3</w:t>
            </w:r>
          </w:p>
        </w:tc>
        <w:tc>
          <w:tcPr>
            <w:tcW w:w="4515" w:type="pct"/>
          </w:tcPr>
          <w:p w14:paraId="67414023" w14:textId="77777777" w:rsidR="006410A9" w:rsidRPr="00AC19CC" w:rsidRDefault="006410A9" w:rsidP="006410A9">
            <w:pPr>
              <w:rPr>
                <w:lang w:eastAsia="en-GB"/>
              </w:rPr>
            </w:pPr>
            <w:r w:rsidRPr="00AC19CC">
              <w:rPr>
                <w:sz w:val="17"/>
                <w:szCs w:val="17"/>
                <w:lang w:eastAsia="en-GB"/>
              </w:rPr>
              <w:t>Based on a loss event threshold of HKD200,000, the total net loss amounts above the loss threshold excluded for each annual reporting period in the disclosure period.</w:t>
            </w:r>
          </w:p>
        </w:tc>
      </w:tr>
      <w:tr w:rsidR="006410A9" w:rsidRPr="00AC19CC" w14:paraId="25C8CFD0" w14:textId="77777777" w:rsidTr="00FE22DB">
        <w:trPr>
          <w:trHeight w:val="555"/>
        </w:trPr>
        <w:tc>
          <w:tcPr>
            <w:tcW w:w="485" w:type="pct"/>
          </w:tcPr>
          <w:p w14:paraId="2496CE03" w14:textId="77777777" w:rsidR="006410A9" w:rsidRPr="00AC19CC" w:rsidRDefault="006410A9" w:rsidP="006410A9">
            <w:pPr>
              <w:keepLines/>
              <w:widowControl w:val="0"/>
              <w:tabs>
                <w:tab w:val="left" w:pos="150"/>
                <w:tab w:val="left" w:pos="397"/>
                <w:tab w:val="left" w:pos="794"/>
                <w:tab w:val="left" w:pos="1191"/>
              </w:tabs>
              <w:spacing w:before="20" w:after="20"/>
              <w:rPr>
                <w:rFonts w:cs="Segoe UI"/>
                <w:sz w:val="17"/>
                <w:szCs w:val="17"/>
              </w:rPr>
            </w:pPr>
            <w:r w:rsidRPr="00AC19CC">
              <w:rPr>
                <w:rFonts w:cs="Segoe UI"/>
                <w:sz w:val="17"/>
                <w:szCs w:val="17"/>
              </w:rPr>
              <w:t>4</w:t>
            </w:r>
          </w:p>
        </w:tc>
        <w:tc>
          <w:tcPr>
            <w:tcW w:w="4515" w:type="pct"/>
          </w:tcPr>
          <w:p w14:paraId="486A0183" w14:textId="77777777" w:rsidR="006410A9" w:rsidRPr="00AC19CC" w:rsidRDefault="006410A9" w:rsidP="006410A9">
            <w:r w:rsidRPr="00AC19CC">
              <w:rPr>
                <w:sz w:val="17"/>
                <w:szCs w:val="17"/>
                <w:lang w:eastAsia="en-GB"/>
              </w:rPr>
              <w:t>Based on a loss event threshold of HKD200,000, the total number of exclusions.</w:t>
            </w:r>
          </w:p>
        </w:tc>
      </w:tr>
      <w:tr w:rsidR="006410A9" w:rsidRPr="00AC19CC" w14:paraId="0B915E6F" w14:textId="77777777" w:rsidTr="00FE22DB">
        <w:tc>
          <w:tcPr>
            <w:tcW w:w="485" w:type="pct"/>
          </w:tcPr>
          <w:p w14:paraId="23D93482" w14:textId="77777777" w:rsidR="006410A9" w:rsidRPr="00AC19CC" w:rsidRDefault="006410A9" w:rsidP="006410A9">
            <w:pPr>
              <w:keepLines/>
              <w:widowControl w:val="0"/>
              <w:tabs>
                <w:tab w:val="left" w:pos="150"/>
                <w:tab w:val="left" w:pos="397"/>
                <w:tab w:val="left" w:pos="794"/>
                <w:tab w:val="left" w:pos="1191"/>
              </w:tabs>
              <w:spacing w:before="20" w:after="20"/>
              <w:rPr>
                <w:rFonts w:cs="Segoe UI"/>
                <w:sz w:val="17"/>
                <w:szCs w:val="17"/>
              </w:rPr>
            </w:pPr>
            <w:r w:rsidRPr="00AC19CC">
              <w:rPr>
                <w:rFonts w:cs="Segoe UI"/>
                <w:sz w:val="17"/>
                <w:szCs w:val="17"/>
              </w:rPr>
              <w:t>5</w:t>
            </w:r>
          </w:p>
        </w:tc>
        <w:tc>
          <w:tcPr>
            <w:tcW w:w="4515" w:type="pct"/>
          </w:tcPr>
          <w:p w14:paraId="5EC01FD0" w14:textId="77777777" w:rsidR="006410A9" w:rsidRPr="00AC19CC" w:rsidRDefault="006410A9" w:rsidP="006410A9">
            <w:pPr>
              <w:keepLines/>
              <w:widowControl w:val="0"/>
              <w:tabs>
                <w:tab w:val="left" w:pos="150"/>
                <w:tab w:val="left" w:pos="397"/>
                <w:tab w:val="left" w:pos="794"/>
                <w:tab w:val="left" w:pos="1191"/>
              </w:tabs>
              <w:spacing w:before="20" w:after="20"/>
              <w:jc w:val="both"/>
              <w:rPr>
                <w:sz w:val="17"/>
                <w:szCs w:val="17"/>
              </w:rPr>
            </w:pPr>
            <w:r w:rsidRPr="00AC19CC">
              <w:rPr>
                <w:sz w:val="17"/>
                <w:szCs w:val="17"/>
              </w:rPr>
              <w:t xml:space="preserve">Based on a loss event threshold of </w:t>
            </w:r>
            <w:r w:rsidRPr="00AC19CC">
              <w:rPr>
                <w:sz w:val="17"/>
                <w:szCs w:val="17"/>
                <w:lang w:eastAsia="en-GB"/>
              </w:rPr>
              <w:t>HKD200,000</w:t>
            </w:r>
            <w:r w:rsidRPr="00AC19CC">
              <w:rPr>
                <w:sz w:val="17"/>
                <w:szCs w:val="17"/>
              </w:rPr>
              <w:t xml:space="preserve">, the total amount of operational risk losses net of recoveries and excluded losses. </w:t>
            </w:r>
          </w:p>
        </w:tc>
      </w:tr>
      <w:tr w:rsidR="006410A9" w:rsidRPr="00AC19CC" w14:paraId="5B1D3939" w14:textId="77777777" w:rsidTr="00FE22DB">
        <w:trPr>
          <w:trHeight w:val="1203"/>
        </w:trPr>
        <w:tc>
          <w:tcPr>
            <w:tcW w:w="485" w:type="pct"/>
          </w:tcPr>
          <w:p w14:paraId="62E08311" w14:textId="77777777" w:rsidR="006410A9" w:rsidRPr="00AC19CC" w:rsidRDefault="006410A9" w:rsidP="006410A9">
            <w:pPr>
              <w:keepLines/>
              <w:widowControl w:val="0"/>
              <w:tabs>
                <w:tab w:val="left" w:pos="150"/>
                <w:tab w:val="left" w:pos="397"/>
                <w:tab w:val="left" w:pos="794"/>
                <w:tab w:val="left" w:pos="1191"/>
              </w:tabs>
              <w:spacing w:before="20" w:after="20"/>
              <w:rPr>
                <w:rFonts w:cs="Segoe UI"/>
                <w:sz w:val="17"/>
                <w:szCs w:val="17"/>
              </w:rPr>
            </w:pPr>
            <w:r w:rsidRPr="00AC19CC">
              <w:rPr>
                <w:rFonts w:cs="Segoe UI"/>
                <w:sz w:val="17"/>
                <w:szCs w:val="17"/>
              </w:rPr>
              <w:t>6</w:t>
            </w:r>
          </w:p>
        </w:tc>
        <w:tc>
          <w:tcPr>
            <w:tcW w:w="4515" w:type="pct"/>
          </w:tcPr>
          <w:p w14:paraId="5A110C99" w14:textId="77777777" w:rsidR="006410A9" w:rsidRPr="00AC19CC" w:rsidRDefault="006410A9" w:rsidP="006410A9">
            <w:pPr>
              <w:keepLines/>
              <w:widowControl w:val="0"/>
              <w:tabs>
                <w:tab w:val="left" w:pos="150"/>
                <w:tab w:val="left" w:pos="397"/>
                <w:tab w:val="left" w:pos="794"/>
                <w:tab w:val="left" w:pos="1191"/>
              </w:tabs>
              <w:spacing w:before="20" w:after="20"/>
              <w:jc w:val="both"/>
              <w:rPr>
                <w:sz w:val="17"/>
                <w:szCs w:val="17"/>
              </w:rPr>
            </w:pPr>
            <w:r w:rsidRPr="00AC19CC">
              <w:rPr>
                <w:sz w:val="17"/>
                <w:szCs w:val="17"/>
              </w:rPr>
              <w:t>Based on a loss event threshold of</w:t>
            </w:r>
            <w:r w:rsidRPr="00AC19CC">
              <w:rPr>
                <w:rFonts w:eastAsia="SimSun" w:cs="Segoe UI"/>
                <w:color w:val="000000"/>
                <w:kern w:val="2"/>
                <w:sz w:val="17"/>
                <w:szCs w:val="17"/>
              </w:rPr>
              <w:t xml:space="preserve"> HKD1 million</w:t>
            </w:r>
            <w:r w:rsidRPr="00AC19CC">
              <w:rPr>
                <w:sz w:val="17"/>
                <w:szCs w:val="17"/>
              </w:rPr>
              <w:t xml:space="preserve">, the total loss amount net of recoveries resulting from loss events above the loss event threshold for each annual reporting period in the disclosure period.  Losses excluded from the operational risk capital charge calculation must still be included in this row. </w:t>
            </w:r>
          </w:p>
        </w:tc>
      </w:tr>
      <w:tr w:rsidR="006410A9" w:rsidRPr="00AC19CC" w14:paraId="632E77B6" w14:textId="77777777" w:rsidTr="00FE22DB">
        <w:trPr>
          <w:trHeight w:val="433"/>
        </w:trPr>
        <w:tc>
          <w:tcPr>
            <w:tcW w:w="485" w:type="pct"/>
          </w:tcPr>
          <w:p w14:paraId="0B293247" w14:textId="77777777" w:rsidR="006410A9" w:rsidRPr="00AC19CC" w:rsidRDefault="006410A9" w:rsidP="006410A9">
            <w:pPr>
              <w:keepLines/>
              <w:widowControl w:val="0"/>
              <w:tabs>
                <w:tab w:val="left" w:pos="150"/>
                <w:tab w:val="left" w:pos="397"/>
                <w:tab w:val="left" w:pos="794"/>
                <w:tab w:val="left" w:pos="1191"/>
              </w:tabs>
              <w:spacing w:before="20" w:after="20"/>
              <w:rPr>
                <w:rFonts w:cs="Segoe UI"/>
                <w:sz w:val="17"/>
                <w:szCs w:val="17"/>
              </w:rPr>
            </w:pPr>
            <w:r w:rsidRPr="00AC19CC">
              <w:rPr>
                <w:rFonts w:cs="Segoe UI"/>
                <w:sz w:val="17"/>
                <w:szCs w:val="17"/>
              </w:rPr>
              <w:t>7</w:t>
            </w:r>
          </w:p>
        </w:tc>
        <w:tc>
          <w:tcPr>
            <w:tcW w:w="4515" w:type="pct"/>
          </w:tcPr>
          <w:p w14:paraId="467A76DB" w14:textId="77777777" w:rsidR="006410A9" w:rsidRPr="00AC19CC" w:rsidDel="00F169DA" w:rsidRDefault="006410A9" w:rsidP="006410A9">
            <w:pPr>
              <w:keepLines/>
              <w:widowControl w:val="0"/>
              <w:tabs>
                <w:tab w:val="left" w:pos="150"/>
                <w:tab w:val="left" w:pos="397"/>
                <w:tab w:val="left" w:pos="794"/>
                <w:tab w:val="left" w:pos="1191"/>
              </w:tabs>
              <w:spacing w:before="20" w:after="20"/>
              <w:jc w:val="both"/>
              <w:rPr>
                <w:sz w:val="17"/>
                <w:szCs w:val="17"/>
              </w:rPr>
            </w:pPr>
            <w:r w:rsidRPr="00AC19CC">
              <w:rPr>
                <w:sz w:val="17"/>
                <w:szCs w:val="17"/>
              </w:rPr>
              <w:t xml:space="preserve">Based on a loss event threshold of </w:t>
            </w:r>
            <w:r w:rsidRPr="00AC19CC">
              <w:rPr>
                <w:rFonts w:eastAsia="SimSun" w:cs="Segoe UI"/>
                <w:color w:val="000000"/>
                <w:kern w:val="2"/>
                <w:sz w:val="17"/>
                <w:szCs w:val="17"/>
              </w:rPr>
              <w:t>HKD1 million</w:t>
            </w:r>
            <w:r w:rsidRPr="00AC19CC">
              <w:rPr>
                <w:sz w:val="17"/>
                <w:szCs w:val="17"/>
              </w:rPr>
              <w:t>, the total number of operational risk losses.</w:t>
            </w:r>
          </w:p>
        </w:tc>
      </w:tr>
      <w:tr w:rsidR="006410A9" w:rsidRPr="00AC19CC" w14:paraId="1E25AABE" w14:textId="77777777" w:rsidTr="00FE22DB">
        <w:trPr>
          <w:trHeight w:val="836"/>
        </w:trPr>
        <w:tc>
          <w:tcPr>
            <w:tcW w:w="485" w:type="pct"/>
          </w:tcPr>
          <w:p w14:paraId="08B37E40" w14:textId="77777777" w:rsidR="006410A9" w:rsidRPr="00AC19CC" w:rsidRDefault="006410A9" w:rsidP="006410A9">
            <w:pPr>
              <w:keepLines/>
              <w:widowControl w:val="0"/>
              <w:tabs>
                <w:tab w:val="left" w:pos="150"/>
                <w:tab w:val="left" w:pos="397"/>
                <w:tab w:val="left" w:pos="794"/>
                <w:tab w:val="left" w:pos="1191"/>
              </w:tabs>
              <w:spacing w:before="20" w:after="20"/>
              <w:rPr>
                <w:rFonts w:cs="Segoe UI"/>
                <w:sz w:val="17"/>
                <w:szCs w:val="17"/>
              </w:rPr>
            </w:pPr>
            <w:r w:rsidRPr="00AC19CC">
              <w:rPr>
                <w:rFonts w:cs="Segoe UI"/>
                <w:sz w:val="17"/>
                <w:szCs w:val="17"/>
              </w:rPr>
              <w:t>8</w:t>
            </w:r>
          </w:p>
        </w:tc>
        <w:tc>
          <w:tcPr>
            <w:tcW w:w="4515" w:type="pct"/>
          </w:tcPr>
          <w:p w14:paraId="68FF1DC3" w14:textId="77777777" w:rsidR="006410A9" w:rsidRPr="00AC19CC" w:rsidDel="00F169DA" w:rsidRDefault="006410A9" w:rsidP="006410A9">
            <w:pPr>
              <w:keepLines/>
              <w:widowControl w:val="0"/>
              <w:tabs>
                <w:tab w:val="left" w:pos="150"/>
                <w:tab w:val="left" w:pos="397"/>
                <w:tab w:val="left" w:pos="794"/>
                <w:tab w:val="left" w:pos="1191"/>
              </w:tabs>
              <w:spacing w:before="20" w:after="20"/>
              <w:jc w:val="both"/>
              <w:rPr>
                <w:sz w:val="17"/>
                <w:szCs w:val="17"/>
              </w:rPr>
            </w:pPr>
            <w:r w:rsidRPr="00AC19CC">
              <w:rPr>
                <w:sz w:val="17"/>
                <w:szCs w:val="17"/>
              </w:rPr>
              <w:t xml:space="preserve">Based on a loss event threshold of </w:t>
            </w:r>
            <w:r w:rsidRPr="00AC19CC">
              <w:rPr>
                <w:rFonts w:eastAsia="SimSun" w:cs="Segoe UI"/>
                <w:color w:val="000000"/>
                <w:kern w:val="2"/>
                <w:sz w:val="17"/>
                <w:szCs w:val="17"/>
              </w:rPr>
              <w:t>HKD1 million</w:t>
            </w:r>
            <w:r w:rsidRPr="00AC19CC">
              <w:rPr>
                <w:sz w:val="17"/>
                <w:szCs w:val="17"/>
              </w:rPr>
              <w:t>, the total net loss amounts above the loss threshold excluded for each annual reporting period in the disclosure period.</w:t>
            </w:r>
          </w:p>
        </w:tc>
      </w:tr>
      <w:tr w:rsidR="006410A9" w:rsidRPr="00AC19CC" w14:paraId="5DDE2EC1" w14:textId="77777777" w:rsidTr="00FE22DB">
        <w:trPr>
          <w:trHeight w:val="506"/>
        </w:trPr>
        <w:tc>
          <w:tcPr>
            <w:tcW w:w="485" w:type="pct"/>
          </w:tcPr>
          <w:p w14:paraId="2613F9E4" w14:textId="77777777" w:rsidR="006410A9" w:rsidRPr="00AC19CC" w:rsidRDefault="006410A9" w:rsidP="006410A9">
            <w:pPr>
              <w:keepLines/>
              <w:widowControl w:val="0"/>
              <w:tabs>
                <w:tab w:val="left" w:pos="150"/>
                <w:tab w:val="left" w:pos="397"/>
                <w:tab w:val="left" w:pos="794"/>
                <w:tab w:val="left" w:pos="1191"/>
              </w:tabs>
              <w:spacing w:before="20" w:after="20"/>
              <w:rPr>
                <w:rFonts w:cs="Segoe UI"/>
                <w:sz w:val="17"/>
                <w:szCs w:val="17"/>
              </w:rPr>
            </w:pPr>
            <w:r w:rsidRPr="00AC19CC">
              <w:rPr>
                <w:rFonts w:cs="Segoe UI"/>
                <w:sz w:val="17"/>
                <w:szCs w:val="17"/>
              </w:rPr>
              <w:t>9</w:t>
            </w:r>
          </w:p>
        </w:tc>
        <w:tc>
          <w:tcPr>
            <w:tcW w:w="4515" w:type="pct"/>
          </w:tcPr>
          <w:p w14:paraId="67666283" w14:textId="77777777" w:rsidR="006410A9" w:rsidRPr="00AC19CC" w:rsidDel="00F169DA" w:rsidRDefault="006410A9" w:rsidP="006410A9">
            <w:pPr>
              <w:keepLines/>
              <w:widowControl w:val="0"/>
              <w:tabs>
                <w:tab w:val="left" w:pos="150"/>
                <w:tab w:val="left" w:pos="397"/>
                <w:tab w:val="left" w:pos="794"/>
                <w:tab w:val="left" w:pos="1191"/>
              </w:tabs>
              <w:spacing w:before="20" w:after="20"/>
              <w:jc w:val="both"/>
              <w:rPr>
                <w:sz w:val="17"/>
                <w:szCs w:val="17"/>
              </w:rPr>
            </w:pPr>
            <w:r w:rsidRPr="00AC19CC">
              <w:rPr>
                <w:sz w:val="17"/>
                <w:szCs w:val="17"/>
              </w:rPr>
              <w:t xml:space="preserve">Based on a loss event threshold of </w:t>
            </w:r>
            <w:r w:rsidRPr="00AC19CC">
              <w:rPr>
                <w:rFonts w:eastAsia="SimSun" w:cs="Segoe UI"/>
                <w:color w:val="000000"/>
                <w:kern w:val="2"/>
                <w:sz w:val="17"/>
                <w:szCs w:val="17"/>
              </w:rPr>
              <w:t>HKD1 million</w:t>
            </w:r>
            <w:r w:rsidRPr="00AC19CC">
              <w:rPr>
                <w:sz w:val="17"/>
                <w:szCs w:val="17"/>
              </w:rPr>
              <w:t>, the total number of exclusions.</w:t>
            </w:r>
          </w:p>
        </w:tc>
      </w:tr>
      <w:tr w:rsidR="006410A9" w:rsidRPr="00AC19CC" w14:paraId="58AD7B48" w14:textId="77777777" w:rsidTr="00FE22DB">
        <w:trPr>
          <w:trHeight w:val="840"/>
        </w:trPr>
        <w:tc>
          <w:tcPr>
            <w:tcW w:w="485" w:type="pct"/>
            <w:tcBorders>
              <w:bottom w:val="single" w:sz="4" w:space="0" w:color="auto"/>
            </w:tcBorders>
          </w:tcPr>
          <w:p w14:paraId="2FB482EC" w14:textId="77777777" w:rsidR="006410A9" w:rsidRPr="00AC19CC" w:rsidRDefault="006410A9" w:rsidP="006410A9">
            <w:pPr>
              <w:keepLines/>
              <w:widowControl w:val="0"/>
              <w:tabs>
                <w:tab w:val="left" w:pos="150"/>
                <w:tab w:val="left" w:pos="397"/>
                <w:tab w:val="left" w:pos="794"/>
                <w:tab w:val="left" w:pos="1191"/>
              </w:tabs>
              <w:spacing w:before="20" w:after="20"/>
              <w:rPr>
                <w:rFonts w:cs="Segoe UI"/>
                <w:sz w:val="17"/>
                <w:szCs w:val="17"/>
              </w:rPr>
            </w:pPr>
            <w:r w:rsidRPr="00AC19CC">
              <w:rPr>
                <w:rFonts w:cs="Segoe UI"/>
                <w:sz w:val="17"/>
                <w:szCs w:val="17"/>
              </w:rPr>
              <w:t>10</w:t>
            </w:r>
          </w:p>
        </w:tc>
        <w:tc>
          <w:tcPr>
            <w:tcW w:w="4515" w:type="pct"/>
            <w:tcBorders>
              <w:bottom w:val="single" w:sz="4" w:space="0" w:color="auto"/>
            </w:tcBorders>
          </w:tcPr>
          <w:p w14:paraId="3B0F6549" w14:textId="77777777" w:rsidR="006410A9" w:rsidRPr="00AC19CC" w:rsidDel="00F169DA" w:rsidRDefault="006410A9" w:rsidP="006410A9">
            <w:pPr>
              <w:keepLines/>
              <w:widowControl w:val="0"/>
              <w:tabs>
                <w:tab w:val="left" w:pos="150"/>
                <w:tab w:val="left" w:pos="397"/>
                <w:tab w:val="left" w:pos="794"/>
                <w:tab w:val="left" w:pos="1191"/>
              </w:tabs>
              <w:spacing w:before="20" w:after="20"/>
              <w:jc w:val="both"/>
              <w:rPr>
                <w:sz w:val="17"/>
                <w:szCs w:val="17"/>
              </w:rPr>
            </w:pPr>
            <w:r w:rsidRPr="00AC19CC">
              <w:rPr>
                <w:sz w:val="17"/>
                <w:szCs w:val="17"/>
              </w:rPr>
              <w:t xml:space="preserve">Based on a loss event threshold of </w:t>
            </w:r>
            <w:r w:rsidRPr="00AC19CC">
              <w:rPr>
                <w:rFonts w:eastAsia="SimSun" w:cs="Segoe UI"/>
                <w:color w:val="000000"/>
                <w:kern w:val="2"/>
                <w:sz w:val="17"/>
                <w:szCs w:val="17"/>
              </w:rPr>
              <w:t>HKD1 million</w:t>
            </w:r>
            <w:r w:rsidRPr="00AC19CC">
              <w:rPr>
                <w:sz w:val="17"/>
                <w:szCs w:val="17"/>
              </w:rPr>
              <w:t>, the total amount of operational risk losses net of recoveries and excluded losses.</w:t>
            </w:r>
          </w:p>
        </w:tc>
      </w:tr>
      <w:tr w:rsidR="006410A9" w:rsidRPr="00AC19CC" w14:paraId="48B35624" w14:textId="77777777" w:rsidTr="00FE22DB">
        <w:trPr>
          <w:trHeight w:val="634"/>
        </w:trPr>
        <w:tc>
          <w:tcPr>
            <w:tcW w:w="485" w:type="pct"/>
            <w:tcBorders>
              <w:bottom w:val="single" w:sz="4" w:space="0" w:color="auto"/>
            </w:tcBorders>
          </w:tcPr>
          <w:p w14:paraId="13783433" w14:textId="77777777" w:rsidR="006410A9" w:rsidRPr="00AC19CC" w:rsidRDefault="006410A9" w:rsidP="006410A9">
            <w:pPr>
              <w:keepLines/>
              <w:widowControl w:val="0"/>
              <w:tabs>
                <w:tab w:val="left" w:pos="150"/>
                <w:tab w:val="left" w:pos="397"/>
                <w:tab w:val="left" w:pos="794"/>
                <w:tab w:val="left" w:pos="1191"/>
              </w:tabs>
              <w:spacing w:before="20" w:after="20"/>
              <w:rPr>
                <w:rFonts w:cs="Segoe UI"/>
                <w:sz w:val="17"/>
                <w:szCs w:val="17"/>
              </w:rPr>
            </w:pPr>
            <w:r w:rsidRPr="00AC19CC">
              <w:rPr>
                <w:rFonts w:cs="Segoe UI"/>
                <w:sz w:val="17"/>
                <w:szCs w:val="17"/>
              </w:rPr>
              <w:t>11</w:t>
            </w:r>
          </w:p>
        </w:tc>
        <w:tc>
          <w:tcPr>
            <w:tcW w:w="4515" w:type="pct"/>
            <w:tcBorders>
              <w:bottom w:val="single" w:sz="4" w:space="0" w:color="auto"/>
            </w:tcBorders>
          </w:tcPr>
          <w:p w14:paraId="05773184" w14:textId="720684DD" w:rsidR="006410A9" w:rsidRPr="00AC19CC" w:rsidDel="00F169DA" w:rsidRDefault="006410A9" w:rsidP="006410A9">
            <w:pPr>
              <w:keepLines/>
              <w:widowControl w:val="0"/>
              <w:tabs>
                <w:tab w:val="left" w:pos="150"/>
                <w:tab w:val="left" w:pos="397"/>
                <w:tab w:val="left" w:pos="794"/>
                <w:tab w:val="left" w:pos="1191"/>
              </w:tabs>
              <w:spacing w:before="20" w:after="20"/>
              <w:jc w:val="both"/>
              <w:rPr>
                <w:sz w:val="17"/>
                <w:szCs w:val="17"/>
              </w:rPr>
            </w:pPr>
            <w:r w:rsidRPr="00AC19CC">
              <w:rPr>
                <w:sz w:val="17"/>
                <w:szCs w:val="17"/>
              </w:rPr>
              <w:t>Indicate whether the AI uses operational risk losses to calculate the internal loss multiplier.</w:t>
            </w:r>
          </w:p>
        </w:tc>
      </w:tr>
      <w:tr w:rsidR="006410A9" w:rsidRPr="00AC19CC" w14:paraId="087AEADC" w14:textId="77777777" w:rsidTr="00FE22DB">
        <w:tc>
          <w:tcPr>
            <w:tcW w:w="485" w:type="pct"/>
          </w:tcPr>
          <w:p w14:paraId="22FC7DF8" w14:textId="77777777" w:rsidR="006410A9" w:rsidRPr="00AC19CC" w:rsidRDefault="006410A9" w:rsidP="006410A9">
            <w:pPr>
              <w:keepLines/>
              <w:widowControl w:val="0"/>
              <w:tabs>
                <w:tab w:val="left" w:pos="150"/>
                <w:tab w:val="left" w:pos="397"/>
                <w:tab w:val="left" w:pos="794"/>
                <w:tab w:val="left" w:pos="1191"/>
              </w:tabs>
              <w:spacing w:before="20" w:after="20"/>
              <w:rPr>
                <w:rFonts w:cs="Segoe UI"/>
                <w:sz w:val="17"/>
                <w:szCs w:val="17"/>
              </w:rPr>
            </w:pPr>
            <w:r w:rsidRPr="00AC19CC">
              <w:rPr>
                <w:rFonts w:cs="Segoe UI"/>
                <w:sz w:val="17"/>
                <w:szCs w:val="17"/>
              </w:rPr>
              <w:lastRenderedPageBreak/>
              <w:t>12</w:t>
            </w:r>
          </w:p>
        </w:tc>
        <w:tc>
          <w:tcPr>
            <w:tcW w:w="4515" w:type="pct"/>
          </w:tcPr>
          <w:p w14:paraId="4B79533B" w14:textId="5AD76111" w:rsidR="006410A9" w:rsidRPr="00AC19CC" w:rsidDel="00F169DA" w:rsidRDefault="006410A9" w:rsidP="006410A9">
            <w:pPr>
              <w:keepLines/>
              <w:widowControl w:val="0"/>
              <w:tabs>
                <w:tab w:val="left" w:pos="150"/>
                <w:tab w:val="left" w:pos="397"/>
                <w:tab w:val="left" w:pos="794"/>
                <w:tab w:val="left" w:pos="1191"/>
              </w:tabs>
              <w:spacing w:before="20" w:after="20"/>
              <w:jc w:val="both"/>
              <w:rPr>
                <w:sz w:val="17"/>
                <w:szCs w:val="17"/>
              </w:rPr>
            </w:pPr>
            <w:r w:rsidRPr="00AC19CC">
              <w:rPr>
                <w:sz w:val="17"/>
                <w:szCs w:val="17"/>
              </w:rPr>
              <w:t xml:space="preserve">Indicate whether internal loss data are not used in the ILM calculation due to non-compliance with the standards for high quality operational loss data as set out in </w:t>
            </w:r>
            <w:r>
              <w:rPr>
                <w:sz w:val="17"/>
                <w:szCs w:val="17"/>
              </w:rPr>
              <w:t>the relevant supervisory guidance</w:t>
            </w:r>
            <w:r w:rsidRPr="00AC19CC">
              <w:rPr>
                <w:sz w:val="17"/>
                <w:szCs w:val="17"/>
              </w:rPr>
              <w:t>.  The application of any resulting multipliers must be disclosed in row 2 of Template OR3 and accompanied by a narrative.</w:t>
            </w:r>
          </w:p>
        </w:tc>
      </w:tr>
      <w:tr w:rsidR="006410A9" w:rsidRPr="00AC19CC" w14:paraId="3529D754" w14:textId="77777777" w:rsidTr="00FE22DB">
        <w:tc>
          <w:tcPr>
            <w:tcW w:w="485" w:type="pct"/>
          </w:tcPr>
          <w:p w14:paraId="6E90A707" w14:textId="77777777" w:rsidR="006410A9" w:rsidRPr="00AC19CC" w:rsidRDefault="006410A9" w:rsidP="006410A9">
            <w:pPr>
              <w:keepLines/>
              <w:widowControl w:val="0"/>
              <w:tabs>
                <w:tab w:val="left" w:pos="150"/>
                <w:tab w:val="left" w:pos="397"/>
                <w:tab w:val="left" w:pos="794"/>
                <w:tab w:val="left" w:pos="1191"/>
              </w:tabs>
              <w:spacing w:before="20" w:after="20"/>
              <w:rPr>
                <w:rFonts w:cs="Segoe UI"/>
                <w:sz w:val="17"/>
                <w:szCs w:val="17"/>
              </w:rPr>
            </w:pPr>
            <w:r w:rsidRPr="00AC19CC">
              <w:rPr>
                <w:rFonts w:cs="Segoe UI"/>
                <w:sz w:val="17"/>
                <w:szCs w:val="17"/>
              </w:rPr>
              <w:t>13</w:t>
            </w:r>
          </w:p>
        </w:tc>
        <w:tc>
          <w:tcPr>
            <w:tcW w:w="4515" w:type="pct"/>
          </w:tcPr>
          <w:p w14:paraId="3E649EB8" w14:textId="77777777" w:rsidR="006410A9" w:rsidRPr="00AC19CC" w:rsidRDefault="006410A9" w:rsidP="006410A9">
            <w:pPr>
              <w:keepLines/>
              <w:widowControl w:val="0"/>
              <w:tabs>
                <w:tab w:val="left" w:pos="150"/>
                <w:tab w:val="left" w:pos="397"/>
                <w:tab w:val="left" w:pos="794"/>
                <w:tab w:val="left" w:pos="1191"/>
              </w:tabs>
              <w:spacing w:before="20" w:after="20"/>
              <w:jc w:val="both"/>
              <w:rPr>
                <w:sz w:val="17"/>
                <w:szCs w:val="17"/>
              </w:rPr>
            </w:pPr>
            <w:r w:rsidRPr="00AC19CC">
              <w:rPr>
                <w:sz w:val="17"/>
                <w:szCs w:val="17"/>
              </w:rPr>
              <w:t>The loss event threshold used in the actual operational risk capital charge calculation (i.e. HKD200,000 or</w:t>
            </w:r>
            <w:r w:rsidRPr="00AC19CC">
              <w:rPr>
                <w:rFonts w:eastAsia="SimSun" w:cs="Segoe UI"/>
                <w:color w:val="000000"/>
                <w:kern w:val="2"/>
                <w:sz w:val="17"/>
                <w:szCs w:val="17"/>
              </w:rPr>
              <w:t xml:space="preserve"> HKD1 million</w:t>
            </w:r>
            <w:r w:rsidRPr="00AC19CC">
              <w:rPr>
                <w:sz w:val="17"/>
                <w:szCs w:val="17"/>
              </w:rPr>
              <w:t>) if applicable.</w:t>
            </w:r>
          </w:p>
        </w:tc>
      </w:tr>
    </w:tbl>
    <w:p w14:paraId="21368D3B" w14:textId="77777777" w:rsidR="00AC19CC" w:rsidRPr="00AC19CC" w:rsidRDefault="00AC19CC" w:rsidP="00AC19CC"/>
    <w:p w14:paraId="7B61BBCD" w14:textId="085916FA" w:rsidR="00AC19CC" w:rsidRDefault="00AC19CC" w:rsidP="00C17AE9"/>
    <w:p w14:paraId="5CD31D95" w14:textId="77777777" w:rsidR="00AC19CC" w:rsidRDefault="00AC19CC" w:rsidP="00C17AE9">
      <w:pPr>
        <w:sectPr w:rsidR="00AC19CC" w:rsidSect="00925FDD">
          <w:footerReference w:type="default" r:id="rId114"/>
          <w:pgSz w:w="11906" w:h="16838" w:code="9"/>
          <w:pgMar w:top="1440" w:right="1797" w:bottom="1440" w:left="1797" w:header="851" w:footer="737" w:gutter="0"/>
          <w:paperSrc w:first="2" w:other="2"/>
          <w:cols w:space="425"/>
          <w:docGrid w:type="lines" w:linePitch="360"/>
        </w:sectPr>
      </w:pPr>
    </w:p>
    <w:p w14:paraId="09618AD7" w14:textId="59FAE1B9" w:rsidR="007B6EC3" w:rsidRDefault="007B6EC3" w:rsidP="007B6EC3">
      <w:pPr>
        <w:pStyle w:val="Heading2"/>
      </w:pPr>
      <w:r w:rsidRPr="00887A58">
        <w:lastRenderedPageBreak/>
        <w:t xml:space="preserve">Template OR2: Business </w:t>
      </w:r>
      <w:r w:rsidR="005449CD">
        <w:t>i</w:t>
      </w:r>
      <w:r w:rsidRPr="00887A58">
        <w:t xml:space="preserve">ndicator and </w:t>
      </w:r>
      <w:r>
        <w:t xml:space="preserve">business indicator </w:t>
      </w:r>
      <w:r w:rsidRPr="00887A58">
        <w:t>components</w:t>
      </w:r>
      <w:r>
        <w:t xml:space="preserve"> breakdown</w:t>
      </w:r>
    </w:p>
    <w:tbl>
      <w:tblPr>
        <w:tblW w:w="5403" w:type="pct"/>
        <w:tblInd w:w="-460"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010"/>
        <w:gridCol w:w="6972"/>
      </w:tblGrid>
      <w:tr w:rsidR="007B6EC3" w14:paraId="5ABEA41D" w14:textId="77777777" w:rsidTr="00EE6B38">
        <w:tc>
          <w:tcPr>
            <w:tcW w:w="1119" w:type="pct"/>
          </w:tcPr>
          <w:p w14:paraId="7E1819CB" w14:textId="77777777" w:rsidR="007B6EC3" w:rsidRDefault="007B6EC3" w:rsidP="00EE6B38">
            <w:pPr>
              <w:spacing w:before="40" w:after="40"/>
              <w:rPr>
                <w:noProof/>
                <w:sz w:val="17"/>
                <w:lang w:eastAsia="en-GB"/>
              </w:rPr>
            </w:pPr>
            <w:r>
              <w:rPr>
                <w:b/>
                <w:sz w:val="17"/>
                <w:lang w:eastAsia="en-GB"/>
              </w:rPr>
              <w:t>Purpose:</w:t>
            </w:r>
            <w:r>
              <w:rPr>
                <w:sz w:val="17"/>
                <w:lang w:eastAsia="en-GB"/>
              </w:rPr>
              <w:t xml:space="preserve"> </w:t>
            </w:r>
          </w:p>
        </w:tc>
        <w:tc>
          <w:tcPr>
            <w:tcW w:w="3881" w:type="pct"/>
          </w:tcPr>
          <w:p w14:paraId="7DA269B8" w14:textId="77777777" w:rsidR="007B6EC3" w:rsidRPr="005C7584" w:rsidRDefault="007B6EC3" w:rsidP="00EE6B38">
            <w:pPr>
              <w:pStyle w:val="TableText"/>
              <w:jc w:val="both"/>
              <w:rPr>
                <w:noProof/>
                <w:lang w:eastAsia="en-GB"/>
              </w:rPr>
            </w:pPr>
            <w:r w:rsidRPr="005C7584">
              <w:rPr>
                <w:noProof/>
                <w:lang w:eastAsia="en-GB"/>
              </w:rPr>
              <w:t xml:space="preserve">To disclose the business indicator (BI) and a breakdown of </w:t>
            </w:r>
            <w:r>
              <w:rPr>
                <w:noProof/>
                <w:lang w:eastAsia="en-GB"/>
              </w:rPr>
              <w:t xml:space="preserve">its </w:t>
            </w:r>
            <w:r w:rsidRPr="005C7584">
              <w:rPr>
                <w:noProof/>
                <w:lang w:eastAsia="en-GB"/>
              </w:rPr>
              <w:t xml:space="preserve">components, which inform the operational risk capital charge calculation.  The general principle on retrospective disclosure set out in </w:t>
            </w:r>
            <w:r w:rsidRPr="00450F61">
              <w:rPr>
                <w:lang w:eastAsia="en-GB"/>
              </w:rPr>
              <w:t>Supervisor</w:t>
            </w:r>
            <w:r>
              <w:rPr>
                <w:lang w:eastAsia="en-GB"/>
              </w:rPr>
              <w:t>y Policy Manual module CA-D-1 “Guideline on the Application of the Banking (Disclosure) Rules”</w:t>
            </w:r>
            <w:r w:rsidRPr="005C7584">
              <w:rPr>
                <w:noProof/>
                <w:lang w:eastAsia="en-GB"/>
              </w:rPr>
              <w:t xml:space="preserve"> does not apply to this template.  From the implementation date of this template onwards, disclosure should be made to all prior periods as required.</w:t>
            </w:r>
          </w:p>
        </w:tc>
      </w:tr>
      <w:tr w:rsidR="007B6EC3" w14:paraId="5E8F47CA" w14:textId="77777777" w:rsidTr="00EE6B38">
        <w:tc>
          <w:tcPr>
            <w:tcW w:w="1119" w:type="pct"/>
          </w:tcPr>
          <w:p w14:paraId="5EAAD881" w14:textId="77777777" w:rsidR="007B6EC3" w:rsidRDefault="007B6EC3" w:rsidP="00EE6B38">
            <w:pPr>
              <w:spacing w:before="40" w:after="40"/>
              <w:rPr>
                <w:b/>
                <w:sz w:val="17"/>
                <w:lang w:eastAsia="en-GB"/>
              </w:rPr>
            </w:pPr>
            <w:r>
              <w:rPr>
                <w:b/>
                <w:sz w:val="17"/>
                <w:lang w:eastAsia="en-GB"/>
              </w:rPr>
              <w:t xml:space="preserve">Scope of application: </w:t>
            </w:r>
          </w:p>
        </w:tc>
        <w:tc>
          <w:tcPr>
            <w:tcW w:w="3881" w:type="pct"/>
          </w:tcPr>
          <w:p w14:paraId="5B40C340" w14:textId="08B2628F" w:rsidR="007B6EC3" w:rsidRPr="005C7584" w:rsidRDefault="007B6EC3" w:rsidP="00EE6B38">
            <w:pPr>
              <w:spacing w:before="40" w:after="40"/>
              <w:jc w:val="both"/>
              <w:rPr>
                <w:rFonts w:eastAsia="新細明體"/>
                <w:b/>
                <w:sz w:val="17"/>
                <w:lang w:eastAsia="en-GB"/>
              </w:rPr>
            </w:pPr>
            <w:r w:rsidRPr="005C7584">
              <w:rPr>
                <w:rFonts w:eastAsia="新細明體"/>
                <w:sz w:val="17"/>
                <w:lang w:eastAsia="en-GB"/>
              </w:rPr>
              <w:t xml:space="preserve">The </w:t>
            </w:r>
            <w:r>
              <w:rPr>
                <w:rFonts w:eastAsia="新細明體"/>
                <w:sz w:val="17"/>
                <w:lang w:eastAsia="en-GB"/>
              </w:rPr>
              <w:t>template</w:t>
            </w:r>
            <w:r w:rsidRPr="005C7584">
              <w:rPr>
                <w:rFonts w:eastAsia="新細明體"/>
                <w:sz w:val="17"/>
                <w:lang w:eastAsia="en-GB"/>
              </w:rPr>
              <w:t xml:space="preserve"> is mandatory for all AIs </w:t>
            </w:r>
            <w:r w:rsidRPr="005C7584">
              <w:rPr>
                <w:sz w:val="17"/>
                <w:lang w:eastAsia="en-GB"/>
              </w:rPr>
              <w:t>incorporated in Hong Kong</w:t>
            </w:r>
            <w:r w:rsidRPr="005C7584">
              <w:rPr>
                <w:rFonts w:eastAsia="新細明體"/>
                <w:sz w:val="17"/>
                <w:lang w:eastAsia="en-GB"/>
              </w:rPr>
              <w:t>.</w:t>
            </w:r>
          </w:p>
        </w:tc>
      </w:tr>
      <w:tr w:rsidR="007B6EC3" w14:paraId="110F5B3E" w14:textId="77777777" w:rsidTr="00EE6B38">
        <w:tc>
          <w:tcPr>
            <w:tcW w:w="1119" w:type="pct"/>
          </w:tcPr>
          <w:p w14:paraId="39C1EC8C" w14:textId="77777777" w:rsidR="007B6EC3" w:rsidRDefault="007B6EC3" w:rsidP="00EE6B38">
            <w:pPr>
              <w:spacing w:before="40" w:after="40"/>
              <w:rPr>
                <w:b/>
                <w:sz w:val="17"/>
                <w:lang w:eastAsia="en-GB"/>
              </w:rPr>
            </w:pPr>
            <w:r>
              <w:rPr>
                <w:b/>
                <w:sz w:val="17"/>
                <w:lang w:eastAsia="en-GB"/>
              </w:rPr>
              <w:t xml:space="preserve">Content: </w:t>
            </w:r>
          </w:p>
        </w:tc>
        <w:tc>
          <w:tcPr>
            <w:tcW w:w="3881" w:type="pct"/>
          </w:tcPr>
          <w:p w14:paraId="5F9C7A5E" w14:textId="77777777" w:rsidR="007B6EC3" w:rsidRPr="005C7584" w:rsidRDefault="007B6EC3" w:rsidP="00EE6B38">
            <w:pPr>
              <w:spacing w:before="40" w:after="40"/>
              <w:jc w:val="both"/>
              <w:rPr>
                <w:rFonts w:eastAsia="新細明體"/>
                <w:sz w:val="17"/>
                <w:lang w:eastAsia="en-GB"/>
              </w:rPr>
            </w:pPr>
            <w:r w:rsidRPr="005C7584">
              <w:rPr>
                <w:rFonts w:eastAsia="新細明體"/>
                <w:sz w:val="17"/>
                <w:lang w:eastAsia="en-GB"/>
              </w:rPr>
              <w:t>Quantitative information.</w:t>
            </w:r>
          </w:p>
        </w:tc>
      </w:tr>
      <w:tr w:rsidR="007B6EC3" w14:paraId="2E03C1E0" w14:textId="77777777" w:rsidTr="00EE6B38">
        <w:tc>
          <w:tcPr>
            <w:tcW w:w="1119" w:type="pct"/>
          </w:tcPr>
          <w:p w14:paraId="152C0D01" w14:textId="77777777" w:rsidR="007B6EC3" w:rsidRDefault="007B6EC3" w:rsidP="00EE6B38">
            <w:pPr>
              <w:spacing w:before="40" w:after="40"/>
              <w:rPr>
                <w:sz w:val="17"/>
                <w:lang w:eastAsia="en-GB"/>
              </w:rPr>
            </w:pPr>
            <w:r>
              <w:rPr>
                <w:b/>
                <w:sz w:val="17"/>
                <w:lang w:eastAsia="en-GB"/>
              </w:rPr>
              <w:t>Frequency:</w:t>
            </w:r>
            <w:r>
              <w:rPr>
                <w:sz w:val="17"/>
                <w:lang w:eastAsia="en-GB"/>
              </w:rPr>
              <w:t xml:space="preserve"> </w:t>
            </w:r>
          </w:p>
        </w:tc>
        <w:tc>
          <w:tcPr>
            <w:tcW w:w="3881" w:type="pct"/>
          </w:tcPr>
          <w:p w14:paraId="55FB8AAC" w14:textId="77777777" w:rsidR="007B6EC3" w:rsidRPr="005C7584" w:rsidRDefault="007B6EC3" w:rsidP="00EE6B38">
            <w:pPr>
              <w:pStyle w:val="TableText"/>
              <w:jc w:val="both"/>
              <w:rPr>
                <w:lang w:eastAsia="en-GB"/>
              </w:rPr>
            </w:pPr>
            <w:r w:rsidRPr="005C7584">
              <w:rPr>
                <w:lang w:eastAsia="en-GB"/>
              </w:rPr>
              <w:t>Annual.</w:t>
            </w:r>
          </w:p>
        </w:tc>
      </w:tr>
      <w:tr w:rsidR="007B6EC3" w14:paraId="26AFFE02" w14:textId="77777777" w:rsidTr="00EE6B38">
        <w:tc>
          <w:tcPr>
            <w:tcW w:w="1119" w:type="pct"/>
          </w:tcPr>
          <w:p w14:paraId="61317C99" w14:textId="77777777" w:rsidR="007B6EC3" w:rsidRDefault="007B6EC3" w:rsidP="00EE6B38">
            <w:pPr>
              <w:spacing w:before="40" w:after="40"/>
              <w:rPr>
                <w:sz w:val="17"/>
                <w:lang w:eastAsia="en-GB"/>
              </w:rPr>
            </w:pPr>
            <w:r>
              <w:rPr>
                <w:b/>
                <w:sz w:val="17"/>
                <w:lang w:eastAsia="en-GB"/>
              </w:rPr>
              <w:t>Format:</w:t>
            </w:r>
            <w:r>
              <w:rPr>
                <w:sz w:val="17"/>
                <w:lang w:eastAsia="en-GB"/>
              </w:rPr>
              <w:t xml:space="preserve"> </w:t>
            </w:r>
          </w:p>
        </w:tc>
        <w:tc>
          <w:tcPr>
            <w:tcW w:w="3881" w:type="pct"/>
          </w:tcPr>
          <w:p w14:paraId="4285EBB3" w14:textId="77777777" w:rsidR="007B6EC3" w:rsidRPr="005C7584" w:rsidRDefault="007B6EC3" w:rsidP="00EE6B38">
            <w:pPr>
              <w:pStyle w:val="TableText"/>
              <w:jc w:val="both"/>
              <w:rPr>
                <w:lang w:eastAsia="en-GB"/>
              </w:rPr>
            </w:pPr>
            <w:r w:rsidRPr="005C7584">
              <w:rPr>
                <w:lang w:eastAsia="en-GB"/>
              </w:rPr>
              <w:t>Fixed.</w:t>
            </w:r>
          </w:p>
        </w:tc>
      </w:tr>
      <w:tr w:rsidR="007B6EC3" w14:paraId="6EB6F16C" w14:textId="77777777" w:rsidTr="00EE6B38">
        <w:tc>
          <w:tcPr>
            <w:tcW w:w="1119" w:type="pct"/>
          </w:tcPr>
          <w:p w14:paraId="48B04D3F" w14:textId="77777777" w:rsidR="007B6EC3" w:rsidRDefault="007B6EC3" w:rsidP="00EE6B38">
            <w:pPr>
              <w:spacing w:before="40" w:after="40"/>
              <w:rPr>
                <w:b/>
                <w:sz w:val="17"/>
                <w:lang w:eastAsia="en-GB"/>
              </w:rPr>
            </w:pPr>
            <w:r>
              <w:rPr>
                <w:rFonts w:eastAsia="新細明體"/>
                <w:b/>
                <w:sz w:val="17"/>
                <w:szCs w:val="17"/>
                <w:lang w:eastAsia="en-GB"/>
              </w:rPr>
              <w:t>Accompanying narrative</w:t>
            </w:r>
            <w:r>
              <w:rPr>
                <w:rFonts w:eastAsia="新細明體"/>
                <w:sz w:val="17"/>
                <w:szCs w:val="17"/>
                <w:lang w:eastAsia="en-GB"/>
              </w:rPr>
              <w:t>:</w:t>
            </w:r>
          </w:p>
        </w:tc>
        <w:tc>
          <w:tcPr>
            <w:tcW w:w="3881" w:type="pct"/>
          </w:tcPr>
          <w:p w14:paraId="2E903E68" w14:textId="04CC48A4" w:rsidR="007B6EC3" w:rsidRPr="005C7584" w:rsidRDefault="004529D2" w:rsidP="004529D2">
            <w:pPr>
              <w:pStyle w:val="TableText"/>
              <w:jc w:val="both"/>
              <w:rPr>
                <w:lang w:eastAsia="en-GB"/>
              </w:rPr>
            </w:pPr>
            <w:r>
              <w:rPr>
                <w:lang w:eastAsia="en-GB"/>
              </w:rPr>
              <w:t xml:space="preserve">An </w:t>
            </w:r>
            <w:r w:rsidR="007B6EC3" w:rsidRPr="005C7584">
              <w:rPr>
                <w:lang w:eastAsia="en-GB"/>
              </w:rPr>
              <w:t xml:space="preserve">AI </w:t>
            </w:r>
            <w:r>
              <w:rPr>
                <w:lang w:eastAsia="en-GB"/>
              </w:rPr>
              <w:t>should</w:t>
            </w:r>
            <w:r w:rsidR="007B6EC3" w:rsidRPr="005C7584">
              <w:rPr>
                <w:lang w:eastAsia="en-GB"/>
              </w:rPr>
              <w:t xml:space="preserve"> supplement the template with narrative commentary to explain any material </w:t>
            </w:r>
            <w:r w:rsidR="006D01B9" w:rsidRPr="00BD33F1">
              <w:rPr>
                <w:lang w:eastAsia="en-GB"/>
              </w:rPr>
              <w:t>changes</w:t>
            </w:r>
            <w:r w:rsidR="007B6EC3" w:rsidRPr="005C7584">
              <w:rPr>
                <w:lang w:eastAsia="en-GB"/>
              </w:rPr>
              <w:t xml:space="preserve"> in the current reporting period and the key drivers of such </w:t>
            </w:r>
            <w:r w:rsidR="006D01B9" w:rsidRPr="00BD33F1">
              <w:rPr>
                <w:lang w:eastAsia="en-GB"/>
              </w:rPr>
              <w:t>changes</w:t>
            </w:r>
            <w:r w:rsidR="007B6EC3" w:rsidRPr="005C7584">
              <w:rPr>
                <w:lang w:eastAsia="en-GB"/>
              </w:rPr>
              <w:t xml:space="preserve">.  Additional narrative </w:t>
            </w:r>
            <w:r w:rsidR="007B6EC3">
              <w:rPr>
                <w:lang w:eastAsia="en-GB"/>
              </w:rPr>
              <w:t xml:space="preserve">on divested business and activities </w:t>
            </w:r>
            <w:r w:rsidR="007B6EC3" w:rsidRPr="005C7584">
              <w:rPr>
                <w:lang w:eastAsia="en-GB"/>
              </w:rPr>
              <w:t xml:space="preserve">is required for those AIs that have received MA’s approval to exclude divested </w:t>
            </w:r>
            <w:r w:rsidR="007B6EC3">
              <w:rPr>
                <w:rFonts w:cs="Segoe UI"/>
                <w:szCs w:val="17"/>
              </w:rPr>
              <w:t xml:space="preserve">businesses and </w:t>
            </w:r>
            <w:r w:rsidR="007B6EC3" w:rsidRPr="005C7584">
              <w:rPr>
                <w:lang w:eastAsia="en-GB"/>
              </w:rPr>
              <w:t>activities from the calculation of the BI.</w:t>
            </w:r>
          </w:p>
        </w:tc>
      </w:tr>
      <w:tr w:rsidR="007B6EC3" w14:paraId="1D05742B" w14:textId="77777777" w:rsidTr="00EE6B38">
        <w:tc>
          <w:tcPr>
            <w:tcW w:w="1119" w:type="pct"/>
          </w:tcPr>
          <w:p w14:paraId="7B58ADAC" w14:textId="77777777" w:rsidR="007B6EC3" w:rsidRDefault="007B6EC3" w:rsidP="00EE6B38">
            <w:pPr>
              <w:spacing w:before="40" w:after="40"/>
              <w:rPr>
                <w:rFonts w:eastAsia="新細明體"/>
                <w:b/>
                <w:sz w:val="17"/>
                <w:szCs w:val="17"/>
                <w:lang w:eastAsia="en-GB"/>
              </w:rPr>
            </w:pPr>
            <w:r>
              <w:rPr>
                <w:rFonts w:eastAsia="新細明體"/>
                <w:b/>
                <w:sz w:val="17"/>
                <w:szCs w:val="17"/>
                <w:lang w:eastAsia="en-GB"/>
              </w:rPr>
              <w:t>Corresponding BDR section:</w:t>
            </w:r>
          </w:p>
        </w:tc>
        <w:tc>
          <w:tcPr>
            <w:tcW w:w="3881" w:type="pct"/>
          </w:tcPr>
          <w:p w14:paraId="140B9FFD" w14:textId="2C0B6E02" w:rsidR="007B6EC3" w:rsidRDefault="007B6EC3" w:rsidP="00EE6B38">
            <w:pPr>
              <w:pStyle w:val="TableText"/>
              <w:jc w:val="both"/>
              <w:rPr>
                <w:szCs w:val="17"/>
                <w:lang w:eastAsia="en-GB"/>
              </w:rPr>
            </w:pPr>
            <w:r w:rsidRPr="00BD33F1">
              <w:rPr>
                <w:szCs w:val="17"/>
                <w:lang w:eastAsia="en-GB"/>
              </w:rPr>
              <w:t>16ZQC</w:t>
            </w:r>
          </w:p>
        </w:tc>
      </w:tr>
    </w:tbl>
    <w:p w14:paraId="7546657E" w14:textId="77777777" w:rsidR="007B6EC3" w:rsidRDefault="007B6EC3" w:rsidP="007B6EC3"/>
    <w:tbl>
      <w:tblPr>
        <w:tblW w:w="5404" w:type="pct"/>
        <w:tblInd w:w="-460" w:type="dxa"/>
        <w:tblBorders>
          <w:top w:val="single" w:sz="4" w:space="0" w:color="BCBCBD"/>
          <w:insideV w:val="single" w:sz="4" w:space="0" w:color="BCBCBD"/>
        </w:tblBorders>
        <w:tblLook w:val="04A0" w:firstRow="1" w:lastRow="0" w:firstColumn="1" w:lastColumn="0" w:noHBand="0" w:noVBand="1"/>
      </w:tblPr>
      <w:tblGrid>
        <w:gridCol w:w="709"/>
        <w:gridCol w:w="5101"/>
        <w:gridCol w:w="1056"/>
        <w:gridCol w:w="1056"/>
        <w:gridCol w:w="1056"/>
      </w:tblGrid>
      <w:tr w:rsidR="007B6EC3" w:rsidRPr="00887A58" w14:paraId="5F6ACDBE" w14:textId="77777777" w:rsidTr="008957F3">
        <w:trPr>
          <w:trHeight w:val="230"/>
        </w:trPr>
        <w:tc>
          <w:tcPr>
            <w:tcW w:w="395" w:type="pct"/>
            <w:tcBorders>
              <w:top w:val="nil"/>
              <w:left w:val="nil"/>
              <w:bottom w:val="single" w:sz="4" w:space="0" w:color="auto"/>
              <w:right w:val="nil"/>
            </w:tcBorders>
            <w:noWrap/>
            <w:vAlign w:val="center"/>
          </w:tcPr>
          <w:p w14:paraId="28B084BE" w14:textId="77777777" w:rsidR="007B6EC3" w:rsidRPr="00887A58" w:rsidRDefault="007B6EC3" w:rsidP="00EE6B38">
            <w:pPr>
              <w:tabs>
                <w:tab w:val="decimal" w:pos="474"/>
                <w:tab w:val="left" w:pos="794"/>
              </w:tabs>
              <w:adjustRightInd w:val="0"/>
              <w:snapToGrid w:val="0"/>
              <w:spacing w:before="40" w:after="40"/>
              <w:ind w:left="170"/>
              <w:rPr>
                <w:rFonts w:eastAsia="SimSun" w:cs="Segoe UI"/>
                <w:kern w:val="2"/>
                <w:sz w:val="18"/>
                <w:szCs w:val="18"/>
                <w:lang w:eastAsia="ja-JP"/>
              </w:rPr>
            </w:pPr>
          </w:p>
        </w:tc>
        <w:tc>
          <w:tcPr>
            <w:tcW w:w="2841" w:type="pct"/>
            <w:tcBorders>
              <w:top w:val="nil"/>
              <w:left w:val="nil"/>
              <w:bottom w:val="single" w:sz="4" w:space="0" w:color="auto"/>
              <w:right w:val="single" w:sz="4" w:space="0" w:color="auto"/>
            </w:tcBorders>
            <w:vAlign w:val="center"/>
          </w:tcPr>
          <w:p w14:paraId="16E12B24" w14:textId="77777777" w:rsidR="007B6EC3" w:rsidRPr="00887A58" w:rsidRDefault="007B6EC3" w:rsidP="00EE6B38">
            <w:pPr>
              <w:keepNext/>
              <w:tabs>
                <w:tab w:val="decimal" w:pos="474"/>
                <w:tab w:val="left" w:pos="794"/>
              </w:tabs>
              <w:adjustRightInd w:val="0"/>
              <w:snapToGrid w:val="0"/>
              <w:spacing w:before="40" w:after="40"/>
              <w:jc w:val="both"/>
              <w:rPr>
                <w:rFonts w:eastAsia="SimSun" w:cs="Segoe UI"/>
                <w:color w:val="000000"/>
                <w:kern w:val="2"/>
                <w:sz w:val="18"/>
                <w:szCs w:val="18"/>
              </w:rPr>
            </w:pPr>
          </w:p>
        </w:tc>
        <w:tc>
          <w:tcPr>
            <w:tcW w:w="588" w:type="pct"/>
            <w:tcBorders>
              <w:top w:val="single" w:sz="4" w:space="0" w:color="auto"/>
              <w:left w:val="single" w:sz="4" w:space="0" w:color="auto"/>
              <w:bottom w:val="single" w:sz="4" w:space="0" w:color="auto"/>
              <w:right w:val="single" w:sz="4" w:space="0" w:color="auto"/>
            </w:tcBorders>
            <w:hideMark/>
          </w:tcPr>
          <w:p w14:paraId="5740CDCE" w14:textId="77777777" w:rsidR="007B6EC3" w:rsidRPr="00887A58" w:rsidRDefault="007B6EC3" w:rsidP="00EE6B38">
            <w:pPr>
              <w:keepNext/>
              <w:tabs>
                <w:tab w:val="decimal" w:pos="474"/>
                <w:tab w:val="left" w:pos="794"/>
              </w:tabs>
              <w:adjustRightInd w:val="0"/>
              <w:snapToGrid w:val="0"/>
              <w:spacing w:before="40" w:after="40"/>
              <w:jc w:val="center"/>
              <w:rPr>
                <w:rFonts w:eastAsia="SimSun" w:cs="Segoe UI"/>
                <w:kern w:val="2"/>
                <w:sz w:val="18"/>
                <w:szCs w:val="18"/>
                <w:lang w:eastAsia="ja-JP"/>
              </w:rPr>
            </w:pPr>
            <w:r>
              <w:rPr>
                <w:rFonts w:eastAsia="SimSun" w:cs="Segoe UI"/>
                <w:kern w:val="2"/>
                <w:sz w:val="18"/>
                <w:szCs w:val="18"/>
                <w:lang w:eastAsia="ja-JP"/>
              </w:rPr>
              <w:t>(</w:t>
            </w:r>
            <w:r w:rsidRPr="00887A58">
              <w:rPr>
                <w:rFonts w:eastAsia="SimSun" w:cs="Segoe UI"/>
                <w:kern w:val="2"/>
                <w:sz w:val="18"/>
                <w:szCs w:val="18"/>
                <w:lang w:eastAsia="ja-JP"/>
              </w:rPr>
              <w:t>a</w:t>
            </w:r>
            <w:r>
              <w:rPr>
                <w:rFonts w:eastAsia="SimSun" w:cs="Segoe UI"/>
                <w:kern w:val="2"/>
                <w:sz w:val="18"/>
                <w:szCs w:val="18"/>
                <w:lang w:eastAsia="ja-JP"/>
              </w:rPr>
              <w:t>)</w:t>
            </w:r>
          </w:p>
        </w:tc>
        <w:tc>
          <w:tcPr>
            <w:tcW w:w="588" w:type="pct"/>
            <w:tcBorders>
              <w:top w:val="single" w:sz="4" w:space="0" w:color="auto"/>
              <w:left w:val="single" w:sz="4" w:space="0" w:color="auto"/>
              <w:bottom w:val="single" w:sz="4" w:space="0" w:color="auto"/>
              <w:right w:val="single" w:sz="4" w:space="0" w:color="auto"/>
            </w:tcBorders>
            <w:hideMark/>
          </w:tcPr>
          <w:p w14:paraId="6C244DD8" w14:textId="77777777" w:rsidR="007B6EC3" w:rsidRPr="00887A58" w:rsidRDefault="007B6EC3" w:rsidP="00EE6B38">
            <w:pPr>
              <w:keepNext/>
              <w:tabs>
                <w:tab w:val="decimal" w:pos="474"/>
                <w:tab w:val="left" w:pos="794"/>
              </w:tabs>
              <w:adjustRightInd w:val="0"/>
              <w:snapToGrid w:val="0"/>
              <w:spacing w:before="40" w:after="40"/>
              <w:jc w:val="center"/>
              <w:rPr>
                <w:rFonts w:eastAsia="SimSun" w:cs="Segoe UI"/>
                <w:kern w:val="2"/>
                <w:sz w:val="18"/>
                <w:szCs w:val="18"/>
                <w:lang w:eastAsia="ja-JP"/>
              </w:rPr>
            </w:pPr>
            <w:r>
              <w:rPr>
                <w:rFonts w:eastAsia="SimSun" w:cs="Segoe UI"/>
                <w:kern w:val="2"/>
                <w:sz w:val="18"/>
                <w:szCs w:val="18"/>
                <w:lang w:eastAsia="ja-JP"/>
              </w:rPr>
              <w:t>(</w:t>
            </w:r>
            <w:r w:rsidRPr="00887A58">
              <w:rPr>
                <w:rFonts w:eastAsia="SimSun" w:cs="Segoe UI"/>
                <w:kern w:val="2"/>
                <w:sz w:val="18"/>
                <w:szCs w:val="18"/>
                <w:lang w:eastAsia="ja-JP"/>
              </w:rPr>
              <w:t>b</w:t>
            </w:r>
            <w:r>
              <w:rPr>
                <w:rFonts w:eastAsia="SimSun" w:cs="Segoe UI"/>
                <w:kern w:val="2"/>
                <w:sz w:val="18"/>
                <w:szCs w:val="18"/>
                <w:lang w:eastAsia="ja-JP"/>
              </w:rPr>
              <w:t>)</w:t>
            </w:r>
          </w:p>
        </w:tc>
        <w:tc>
          <w:tcPr>
            <w:tcW w:w="588" w:type="pct"/>
            <w:tcBorders>
              <w:top w:val="single" w:sz="4" w:space="0" w:color="auto"/>
              <w:left w:val="single" w:sz="4" w:space="0" w:color="auto"/>
              <w:bottom w:val="single" w:sz="4" w:space="0" w:color="auto"/>
              <w:right w:val="single" w:sz="4" w:space="0" w:color="auto"/>
            </w:tcBorders>
            <w:hideMark/>
          </w:tcPr>
          <w:p w14:paraId="47CB5AE5" w14:textId="77777777" w:rsidR="007B6EC3" w:rsidRPr="00887A58" w:rsidRDefault="007B6EC3" w:rsidP="00EE6B38">
            <w:pPr>
              <w:keepNext/>
              <w:tabs>
                <w:tab w:val="decimal" w:pos="474"/>
                <w:tab w:val="left" w:pos="794"/>
              </w:tabs>
              <w:adjustRightInd w:val="0"/>
              <w:snapToGrid w:val="0"/>
              <w:spacing w:before="40" w:after="40"/>
              <w:jc w:val="center"/>
              <w:rPr>
                <w:rFonts w:eastAsia="SimSun" w:cs="Segoe UI"/>
                <w:kern w:val="2"/>
                <w:sz w:val="18"/>
                <w:szCs w:val="18"/>
                <w:lang w:eastAsia="ja-JP"/>
              </w:rPr>
            </w:pPr>
            <w:r>
              <w:rPr>
                <w:rFonts w:eastAsia="SimSun" w:cs="Segoe UI"/>
                <w:kern w:val="2"/>
                <w:sz w:val="18"/>
                <w:szCs w:val="18"/>
                <w:lang w:eastAsia="ja-JP"/>
              </w:rPr>
              <w:t>(</w:t>
            </w:r>
            <w:r w:rsidRPr="00887A58">
              <w:rPr>
                <w:rFonts w:eastAsia="SimSun" w:cs="Segoe UI"/>
                <w:kern w:val="2"/>
                <w:sz w:val="18"/>
                <w:szCs w:val="18"/>
                <w:lang w:eastAsia="ja-JP"/>
              </w:rPr>
              <w:t>c</w:t>
            </w:r>
            <w:r>
              <w:rPr>
                <w:rFonts w:eastAsia="SimSun" w:cs="Segoe UI"/>
                <w:kern w:val="2"/>
                <w:sz w:val="18"/>
                <w:szCs w:val="18"/>
                <w:lang w:eastAsia="ja-JP"/>
              </w:rPr>
              <w:t>)</w:t>
            </w:r>
          </w:p>
        </w:tc>
      </w:tr>
      <w:tr w:rsidR="007B6EC3" w:rsidRPr="00887A58" w14:paraId="7177FE84" w14:textId="77777777" w:rsidTr="008957F3">
        <w:trPr>
          <w:trHeight w:val="230"/>
        </w:trPr>
        <w:tc>
          <w:tcPr>
            <w:tcW w:w="395" w:type="pct"/>
            <w:tcBorders>
              <w:top w:val="single" w:sz="4" w:space="0" w:color="auto"/>
              <w:left w:val="nil"/>
              <w:bottom w:val="single" w:sz="4" w:space="0" w:color="auto"/>
              <w:right w:val="single" w:sz="4" w:space="0" w:color="auto"/>
            </w:tcBorders>
            <w:noWrap/>
            <w:vAlign w:val="center"/>
          </w:tcPr>
          <w:p w14:paraId="1F63E7F6" w14:textId="77777777" w:rsidR="007B6EC3" w:rsidRPr="00887A58" w:rsidRDefault="007B6EC3" w:rsidP="00EE6B38">
            <w:pPr>
              <w:tabs>
                <w:tab w:val="decimal" w:pos="474"/>
                <w:tab w:val="left" w:pos="794"/>
              </w:tabs>
              <w:adjustRightInd w:val="0"/>
              <w:snapToGrid w:val="0"/>
              <w:spacing w:before="40" w:after="40"/>
              <w:ind w:left="170"/>
              <w:rPr>
                <w:rFonts w:eastAsia="SimSun" w:cs="Segoe UI"/>
                <w:kern w:val="2"/>
                <w:sz w:val="18"/>
                <w:szCs w:val="18"/>
                <w:lang w:eastAsia="ja-JP"/>
              </w:rPr>
            </w:pPr>
          </w:p>
        </w:tc>
        <w:tc>
          <w:tcPr>
            <w:tcW w:w="2841" w:type="pct"/>
            <w:tcBorders>
              <w:top w:val="single" w:sz="4" w:space="0" w:color="auto"/>
              <w:left w:val="single" w:sz="4" w:space="0" w:color="auto"/>
              <w:bottom w:val="single" w:sz="4" w:space="0" w:color="auto"/>
              <w:right w:val="single" w:sz="4" w:space="0" w:color="auto"/>
            </w:tcBorders>
            <w:vAlign w:val="center"/>
            <w:hideMark/>
          </w:tcPr>
          <w:p w14:paraId="56C69E75" w14:textId="77777777" w:rsidR="007B6EC3" w:rsidRPr="00887A58" w:rsidRDefault="007B6EC3" w:rsidP="00EE6B38">
            <w:pPr>
              <w:keepNext/>
              <w:tabs>
                <w:tab w:val="decimal" w:pos="474"/>
                <w:tab w:val="left" w:pos="794"/>
              </w:tabs>
              <w:adjustRightInd w:val="0"/>
              <w:snapToGrid w:val="0"/>
              <w:spacing w:before="40" w:after="40"/>
              <w:jc w:val="both"/>
              <w:rPr>
                <w:rFonts w:eastAsia="SimSun" w:cs="Segoe UI"/>
                <w:color w:val="000000"/>
                <w:kern w:val="2"/>
                <w:sz w:val="18"/>
                <w:szCs w:val="18"/>
              </w:rPr>
            </w:pPr>
            <w:r w:rsidRPr="00887A58">
              <w:rPr>
                <w:rFonts w:eastAsia="SimSun" w:cs="Segoe UI"/>
                <w:color w:val="000000"/>
                <w:kern w:val="2"/>
                <w:sz w:val="18"/>
                <w:szCs w:val="18"/>
              </w:rPr>
              <w:t xml:space="preserve">BI and its </w:t>
            </w:r>
            <w:r w:rsidRPr="00BD33F1">
              <w:rPr>
                <w:rFonts w:eastAsia="SimSun" w:cs="Segoe UI"/>
                <w:color w:val="000000"/>
                <w:kern w:val="2"/>
                <w:sz w:val="18"/>
                <w:szCs w:val="18"/>
              </w:rPr>
              <w:t>subcomponents</w:t>
            </w:r>
          </w:p>
        </w:tc>
        <w:tc>
          <w:tcPr>
            <w:tcW w:w="588" w:type="pct"/>
            <w:tcBorders>
              <w:top w:val="single" w:sz="4" w:space="0" w:color="auto"/>
              <w:left w:val="single" w:sz="4" w:space="0" w:color="auto"/>
              <w:bottom w:val="single" w:sz="4" w:space="0" w:color="auto"/>
              <w:right w:val="single" w:sz="4" w:space="0" w:color="auto"/>
            </w:tcBorders>
            <w:hideMark/>
          </w:tcPr>
          <w:p w14:paraId="1CB9E365" w14:textId="77777777" w:rsidR="007B6EC3" w:rsidRPr="00887A58" w:rsidRDefault="007B6EC3" w:rsidP="00EE6B38">
            <w:pPr>
              <w:keepNext/>
              <w:tabs>
                <w:tab w:val="decimal" w:pos="474"/>
                <w:tab w:val="left" w:pos="794"/>
              </w:tabs>
              <w:adjustRightInd w:val="0"/>
              <w:snapToGrid w:val="0"/>
              <w:spacing w:before="40" w:after="40"/>
              <w:jc w:val="center"/>
              <w:rPr>
                <w:rFonts w:eastAsia="SimSun" w:cs="Segoe UI"/>
                <w:kern w:val="2"/>
                <w:sz w:val="18"/>
                <w:szCs w:val="18"/>
                <w:lang w:eastAsia="ja-JP"/>
              </w:rPr>
            </w:pPr>
            <w:r w:rsidRPr="00887A58">
              <w:rPr>
                <w:rFonts w:eastAsia="SimSun" w:cs="Segoe UI"/>
                <w:kern w:val="2"/>
                <w:sz w:val="18"/>
                <w:szCs w:val="18"/>
                <w:lang w:eastAsia="ja-JP"/>
              </w:rPr>
              <w:t>T</w:t>
            </w:r>
          </w:p>
        </w:tc>
        <w:tc>
          <w:tcPr>
            <w:tcW w:w="588" w:type="pct"/>
            <w:tcBorders>
              <w:top w:val="single" w:sz="4" w:space="0" w:color="auto"/>
              <w:left w:val="single" w:sz="4" w:space="0" w:color="auto"/>
              <w:bottom w:val="single" w:sz="4" w:space="0" w:color="auto"/>
              <w:right w:val="single" w:sz="4" w:space="0" w:color="auto"/>
            </w:tcBorders>
            <w:hideMark/>
          </w:tcPr>
          <w:p w14:paraId="22555AF5" w14:textId="77777777" w:rsidR="007B6EC3" w:rsidRPr="00887A58" w:rsidRDefault="007B6EC3" w:rsidP="00EE6B38">
            <w:pPr>
              <w:keepNext/>
              <w:tabs>
                <w:tab w:val="decimal" w:pos="474"/>
                <w:tab w:val="left" w:pos="794"/>
              </w:tabs>
              <w:adjustRightInd w:val="0"/>
              <w:snapToGrid w:val="0"/>
              <w:spacing w:before="40" w:after="40"/>
              <w:jc w:val="center"/>
              <w:rPr>
                <w:rFonts w:eastAsia="SimSun" w:cs="Segoe UI"/>
                <w:kern w:val="2"/>
                <w:sz w:val="18"/>
                <w:szCs w:val="18"/>
                <w:lang w:eastAsia="ja-JP"/>
              </w:rPr>
            </w:pPr>
            <w:r w:rsidRPr="00887A58">
              <w:rPr>
                <w:rFonts w:eastAsia="SimSun" w:cs="Segoe UI"/>
                <w:kern w:val="2"/>
                <w:sz w:val="18"/>
                <w:szCs w:val="18"/>
                <w:lang w:eastAsia="ja-JP"/>
              </w:rPr>
              <w:t>T–1</w:t>
            </w:r>
          </w:p>
        </w:tc>
        <w:tc>
          <w:tcPr>
            <w:tcW w:w="588" w:type="pct"/>
            <w:tcBorders>
              <w:top w:val="single" w:sz="4" w:space="0" w:color="auto"/>
              <w:left w:val="single" w:sz="4" w:space="0" w:color="auto"/>
              <w:bottom w:val="single" w:sz="4" w:space="0" w:color="auto"/>
              <w:right w:val="single" w:sz="4" w:space="0" w:color="auto"/>
            </w:tcBorders>
            <w:hideMark/>
          </w:tcPr>
          <w:p w14:paraId="3F8F247F" w14:textId="77777777" w:rsidR="007B6EC3" w:rsidRPr="00887A58" w:rsidRDefault="007B6EC3" w:rsidP="00EE6B38">
            <w:pPr>
              <w:keepNext/>
              <w:tabs>
                <w:tab w:val="decimal" w:pos="474"/>
                <w:tab w:val="left" w:pos="794"/>
              </w:tabs>
              <w:adjustRightInd w:val="0"/>
              <w:snapToGrid w:val="0"/>
              <w:spacing w:before="40" w:after="40"/>
              <w:jc w:val="center"/>
              <w:rPr>
                <w:rFonts w:eastAsia="SimSun" w:cs="Segoe UI"/>
                <w:kern w:val="2"/>
                <w:sz w:val="18"/>
                <w:szCs w:val="18"/>
                <w:lang w:eastAsia="ja-JP"/>
              </w:rPr>
            </w:pPr>
            <w:r w:rsidRPr="00887A58">
              <w:rPr>
                <w:rFonts w:eastAsia="SimSun" w:cs="Segoe UI"/>
                <w:kern w:val="2"/>
                <w:sz w:val="18"/>
                <w:szCs w:val="18"/>
                <w:lang w:eastAsia="ja-JP"/>
              </w:rPr>
              <w:t>T–2</w:t>
            </w:r>
          </w:p>
        </w:tc>
      </w:tr>
      <w:tr w:rsidR="007B6EC3" w:rsidRPr="00887A58" w14:paraId="0C3DFB6B" w14:textId="77777777" w:rsidTr="00EE6B38">
        <w:trPr>
          <w:trHeight w:val="230"/>
        </w:trPr>
        <w:tc>
          <w:tcPr>
            <w:tcW w:w="395" w:type="pct"/>
            <w:tcBorders>
              <w:top w:val="single" w:sz="4" w:space="0" w:color="auto"/>
              <w:left w:val="nil"/>
              <w:bottom w:val="single" w:sz="8" w:space="0" w:color="BCBCBD"/>
              <w:right w:val="single" w:sz="4" w:space="0" w:color="auto"/>
            </w:tcBorders>
            <w:noWrap/>
            <w:vAlign w:val="center"/>
            <w:hideMark/>
          </w:tcPr>
          <w:p w14:paraId="236BFAC0" w14:textId="77777777" w:rsidR="007B6EC3" w:rsidRPr="00887A58" w:rsidRDefault="007B6EC3" w:rsidP="00EE6B38">
            <w:pPr>
              <w:tabs>
                <w:tab w:val="decimal" w:pos="474"/>
                <w:tab w:val="left" w:pos="794"/>
              </w:tabs>
              <w:adjustRightInd w:val="0"/>
              <w:snapToGrid w:val="0"/>
              <w:spacing w:before="40" w:after="40"/>
              <w:ind w:left="170"/>
              <w:rPr>
                <w:rFonts w:eastAsia="SimSun" w:cs="Segoe UI"/>
                <w:kern w:val="2"/>
                <w:sz w:val="18"/>
                <w:szCs w:val="18"/>
                <w:lang w:eastAsia="ja-JP"/>
              </w:rPr>
            </w:pPr>
            <w:r w:rsidRPr="00887A58">
              <w:rPr>
                <w:rFonts w:eastAsia="SimSun" w:cs="Segoe UI"/>
                <w:kern w:val="2"/>
                <w:sz w:val="18"/>
                <w:szCs w:val="18"/>
                <w:lang w:eastAsia="ja-JP"/>
              </w:rPr>
              <w:t>1</w:t>
            </w:r>
          </w:p>
        </w:tc>
        <w:tc>
          <w:tcPr>
            <w:tcW w:w="2841" w:type="pct"/>
            <w:tcBorders>
              <w:top w:val="single" w:sz="4" w:space="0" w:color="auto"/>
              <w:left w:val="single" w:sz="4" w:space="0" w:color="auto"/>
              <w:bottom w:val="single" w:sz="8" w:space="0" w:color="BCBCBD"/>
              <w:right w:val="single" w:sz="4" w:space="0" w:color="auto"/>
            </w:tcBorders>
            <w:vAlign w:val="center"/>
            <w:hideMark/>
          </w:tcPr>
          <w:p w14:paraId="007F67B4" w14:textId="77777777" w:rsidR="007B6EC3" w:rsidRPr="00887A58" w:rsidRDefault="007B6EC3" w:rsidP="00EE6B38">
            <w:pPr>
              <w:keepNext/>
              <w:tabs>
                <w:tab w:val="decimal" w:pos="474"/>
                <w:tab w:val="left" w:pos="794"/>
              </w:tabs>
              <w:adjustRightInd w:val="0"/>
              <w:snapToGrid w:val="0"/>
              <w:spacing w:before="40" w:after="40"/>
              <w:jc w:val="both"/>
              <w:rPr>
                <w:rFonts w:eastAsia="SimSun" w:cs="Segoe UI"/>
                <w:color w:val="000000"/>
                <w:kern w:val="2"/>
                <w:sz w:val="18"/>
                <w:szCs w:val="18"/>
              </w:rPr>
            </w:pPr>
            <w:r w:rsidRPr="00887A58">
              <w:rPr>
                <w:rFonts w:eastAsia="SimSun" w:cs="Segoe UI"/>
                <w:color w:val="000000"/>
                <w:kern w:val="2"/>
                <w:sz w:val="18"/>
                <w:szCs w:val="18"/>
              </w:rPr>
              <w:t>Interest, lease</w:t>
            </w:r>
            <w:r>
              <w:rPr>
                <w:rFonts w:eastAsia="SimSun" w:cs="Segoe UI"/>
                <w:color w:val="000000"/>
                <w:kern w:val="2"/>
                <w:sz w:val="18"/>
                <w:szCs w:val="18"/>
              </w:rPr>
              <w:t>s</w:t>
            </w:r>
            <w:r w:rsidRPr="00887A58">
              <w:rPr>
                <w:rFonts w:eastAsia="SimSun" w:cs="Segoe UI"/>
                <w:color w:val="000000"/>
                <w:kern w:val="2"/>
                <w:sz w:val="18"/>
                <w:szCs w:val="18"/>
              </w:rPr>
              <w:t xml:space="preserve"> and dividend component</w:t>
            </w:r>
          </w:p>
        </w:tc>
        <w:tc>
          <w:tcPr>
            <w:tcW w:w="588" w:type="pct"/>
            <w:tcBorders>
              <w:top w:val="single" w:sz="4" w:space="0" w:color="auto"/>
              <w:left w:val="single" w:sz="4" w:space="0" w:color="auto"/>
              <w:bottom w:val="single" w:sz="8" w:space="0" w:color="BCBCBD"/>
              <w:right w:val="single" w:sz="4" w:space="0" w:color="auto"/>
            </w:tcBorders>
          </w:tcPr>
          <w:p w14:paraId="32BA1099" w14:textId="77777777" w:rsidR="007B6EC3" w:rsidRPr="00887A58" w:rsidRDefault="007B6EC3" w:rsidP="00EE6B38">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4" w:space="0" w:color="auto"/>
              <w:left w:val="single" w:sz="4" w:space="0" w:color="auto"/>
              <w:bottom w:val="single" w:sz="8" w:space="0" w:color="BCBCBD"/>
              <w:right w:val="single" w:sz="4" w:space="0" w:color="auto"/>
            </w:tcBorders>
            <w:shd w:val="clear" w:color="auto" w:fill="A6A6A6"/>
          </w:tcPr>
          <w:p w14:paraId="271B9DDE" w14:textId="77777777" w:rsidR="007B6EC3" w:rsidRPr="009E3476" w:rsidRDefault="007B6EC3" w:rsidP="00EE6B38">
            <w:pPr>
              <w:keepNext/>
              <w:tabs>
                <w:tab w:val="decimal" w:pos="474"/>
                <w:tab w:val="left" w:pos="794"/>
              </w:tabs>
              <w:adjustRightInd w:val="0"/>
              <w:snapToGrid w:val="0"/>
              <w:spacing w:before="40" w:after="40"/>
              <w:jc w:val="both"/>
              <w:rPr>
                <w:rFonts w:eastAsia="SimSun" w:cs="Segoe UI"/>
                <w:kern w:val="2"/>
                <w:sz w:val="18"/>
                <w:szCs w:val="18"/>
                <w:highlight w:val="darkGray"/>
                <w:lang w:eastAsia="ja-JP"/>
              </w:rPr>
            </w:pPr>
          </w:p>
        </w:tc>
        <w:tc>
          <w:tcPr>
            <w:tcW w:w="588" w:type="pct"/>
            <w:tcBorders>
              <w:top w:val="single" w:sz="4" w:space="0" w:color="auto"/>
              <w:left w:val="single" w:sz="4" w:space="0" w:color="auto"/>
              <w:bottom w:val="single" w:sz="8" w:space="0" w:color="BCBCBD"/>
              <w:right w:val="single" w:sz="4" w:space="0" w:color="auto"/>
            </w:tcBorders>
            <w:shd w:val="clear" w:color="auto" w:fill="A6A6A6"/>
          </w:tcPr>
          <w:p w14:paraId="69841C49" w14:textId="77777777" w:rsidR="007B6EC3" w:rsidRPr="009E3476" w:rsidRDefault="007B6EC3" w:rsidP="00EE6B38">
            <w:pPr>
              <w:keepNext/>
              <w:tabs>
                <w:tab w:val="decimal" w:pos="474"/>
                <w:tab w:val="left" w:pos="794"/>
              </w:tabs>
              <w:adjustRightInd w:val="0"/>
              <w:snapToGrid w:val="0"/>
              <w:spacing w:before="40" w:after="40"/>
              <w:jc w:val="both"/>
              <w:rPr>
                <w:rFonts w:eastAsia="SimSun" w:cs="Segoe UI"/>
                <w:kern w:val="2"/>
                <w:sz w:val="18"/>
                <w:szCs w:val="18"/>
                <w:highlight w:val="darkGray"/>
                <w:lang w:eastAsia="ja-JP"/>
              </w:rPr>
            </w:pPr>
          </w:p>
        </w:tc>
      </w:tr>
      <w:tr w:rsidR="007B6EC3" w:rsidRPr="00887A58" w14:paraId="1C02A31D" w14:textId="77777777" w:rsidTr="00EE6B38">
        <w:trPr>
          <w:trHeight w:val="230"/>
        </w:trPr>
        <w:tc>
          <w:tcPr>
            <w:tcW w:w="395" w:type="pct"/>
            <w:tcBorders>
              <w:top w:val="single" w:sz="8" w:space="0" w:color="BCBCBD"/>
              <w:left w:val="nil"/>
              <w:bottom w:val="single" w:sz="8" w:space="0" w:color="BCBCBD"/>
              <w:right w:val="single" w:sz="4" w:space="0" w:color="auto"/>
            </w:tcBorders>
            <w:noWrap/>
            <w:vAlign w:val="center"/>
            <w:hideMark/>
          </w:tcPr>
          <w:p w14:paraId="40E30067" w14:textId="77777777" w:rsidR="007B6EC3" w:rsidRPr="00887A58" w:rsidRDefault="007B6EC3" w:rsidP="00EE6B38">
            <w:pPr>
              <w:tabs>
                <w:tab w:val="decimal" w:pos="474"/>
                <w:tab w:val="left" w:pos="794"/>
              </w:tabs>
              <w:adjustRightInd w:val="0"/>
              <w:snapToGrid w:val="0"/>
              <w:spacing w:before="40" w:after="40"/>
              <w:ind w:left="170"/>
              <w:rPr>
                <w:rFonts w:eastAsia="SimSun" w:cs="Segoe UI"/>
                <w:kern w:val="2"/>
                <w:sz w:val="18"/>
                <w:szCs w:val="18"/>
                <w:lang w:eastAsia="ja-JP"/>
              </w:rPr>
            </w:pPr>
            <w:r w:rsidRPr="00887A58">
              <w:rPr>
                <w:rFonts w:eastAsia="SimSun" w:cs="Segoe UI"/>
                <w:kern w:val="2"/>
                <w:sz w:val="18"/>
                <w:szCs w:val="18"/>
                <w:lang w:eastAsia="ja-JP"/>
              </w:rPr>
              <w:t>1a</w:t>
            </w:r>
          </w:p>
        </w:tc>
        <w:tc>
          <w:tcPr>
            <w:tcW w:w="2841" w:type="pct"/>
            <w:tcBorders>
              <w:top w:val="single" w:sz="8" w:space="0" w:color="BCBCBD"/>
              <w:left w:val="single" w:sz="4" w:space="0" w:color="auto"/>
              <w:bottom w:val="single" w:sz="8" w:space="0" w:color="BCBCBD"/>
              <w:right w:val="single" w:sz="4" w:space="0" w:color="auto"/>
            </w:tcBorders>
            <w:vAlign w:val="center"/>
            <w:hideMark/>
          </w:tcPr>
          <w:p w14:paraId="5F9342A9" w14:textId="77777777" w:rsidR="007B6EC3" w:rsidRPr="00887A58" w:rsidRDefault="007B6EC3" w:rsidP="00EE6B38">
            <w:pPr>
              <w:keepNext/>
              <w:tabs>
                <w:tab w:val="decimal" w:pos="474"/>
                <w:tab w:val="left" w:pos="794"/>
              </w:tabs>
              <w:adjustRightInd w:val="0"/>
              <w:snapToGrid w:val="0"/>
              <w:spacing w:before="40" w:after="40"/>
              <w:ind w:left="474"/>
              <w:jc w:val="both"/>
              <w:rPr>
                <w:rFonts w:eastAsia="SimSun" w:cs="Segoe UI"/>
                <w:color w:val="000000"/>
                <w:kern w:val="2"/>
                <w:sz w:val="18"/>
                <w:szCs w:val="18"/>
              </w:rPr>
            </w:pPr>
            <w:r w:rsidRPr="00887A58">
              <w:rPr>
                <w:rFonts w:eastAsia="SimSun" w:cs="Segoe UI"/>
                <w:color w:val="000000"/>
                <w:kern w:val="2"/>
                <w:sz w:val="18"/>
                <w:szCs w:val="18"/>
              </w:rPr>
              <w:t>Interest and lease</w:t>
            </w:r>
            <w:r>
              <w:rPr>
                <w:rFonts w:eastAsia="SimSun" w:cs="Segoe UI"/>
                <w:color w:val="000000"/>
                <w:kern w:val="2"/>
                <w:sz w:val="18"/>
                <w:szCs w:val="18"/>
              </w:rPr>
              <w:t>s</w:t>
            </w:r>
            <w:r w:rsidRPr="00887A58">
              <w:rPr>
                <w:rFonts w:eastAsia="SimSun" w:cs="Segoe UI"/>
                <w:color w:val="000000"/>
                <w:kern w:val="2"/>
                <w:sz w:val="18"/>
                <w:szCs w:val="18"/>
              </w:rPr>
              <w:t xml:space="preserve"> income</w:t>
            </w:r>
          </w:p>
        </w:tc>
        <w:tc>
          <w:tcPr>
            <w:tcW w:w="588" w:type="pct"/>
            <w:tcBorders>
              <w:top w:val="single" w:sz="8" w:space="0" w:color="BCBCBD"/>
              <w:left w:val="single" w:sz="4" w:space="0" w:color="auto"/>
              <w:bottom w:val="single" w:sz="8" w:space="0" w:color="BCBCBD"/>
              <w:right w:val="single" w:sz="4" w:space="0" w:color="auto"/>
            </w:tcBorders>
          </w:tcPr>
          <w:p w14:paraId="2F714608" w14:textId="77777777" w:rsidR="007B6EC3" w:rsidRPr="00887A58" w:rsidRDefault="007B6EC3" w:rsidP="00EE6B38">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tcPr>
          <w:p w14:paraId="27986551" w14:textId="77777777" w:rsidR="007B6EC3" w:rsidRPr="00887A58" w:rsidRDefault="007B6EC3" w:rsidP="00EE6B38">
            <w:pPr>
              <w:keepNext/>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tcPr>
          <w:p w14:paraId="1C73A80C" w14:textId="77777777" w:rsidR="007B6EC3" w:rsidRPr="00887A58" w:rsidRDefault="007B6EC3" w:rsidP="00EE6B38">
            <w:pPr>
              <w:keepNext/>
              <w:tabs>
                <w:tab w:val="decimal" w:pos="474"/>
                <w:tab w:val="left" w:pos="794"/>
              </w:tabs>
              <w:adjustRightInd w:val="0"/>
              <w:snapToGrid w:val="0"/>
              <w:spacing w:before="40" w:after="40"/>
              <w:jc w:val="both"/>
              <w:rPr>
                <w:rFonts w:eastAsia="SimSun" w:cs="Segoe UI"/>
                <w:kern w:val="2"/>
                <w:sz w:val="18"/>
                <w:szCs w:val="18"/>
                <w:lang w:eastAsia="ja-JP"/>
              </w:rPr>
            </w:pPr>
          </w:p>
        </w:tc>
      </w:tr>
      <w:tr w:rsidR="007B6EC3" w:rsidRPr="00887A58" w14:paraId="121F645F" w14:textId="77777777" w:rsidTr="00EE6B38">
        <w:trPr>
          <w:trHeight w:val="230"/>
        </w:trPr>
        <w:tc>
          <w:tcPr>
            <w:tcW w:w="395" w:type="pct"/>
            <w:tcBorders>
              <w:top w:val="single" w:sz="8" w:space="0" w:color="BCBCBD"/>
              <w:left w:val="nil"/>
              <w:bottom w:val="single" w:sz="8" w:space="0" w:color="BCBCBD"/>
              <w:right w:val="single" w:sz="4" w:space="0" w:color="auto"/>
            </w:tcBorders>
            <w:noWrap/>
            <w:vAlign w:val="center"/>
            <w:hideMark/>
          </w:tcPr>
          <w:p w14:paraId="2C383F57" w14:textId="77777777" w:rsidR="007B6EC3" w:rsidRPr="00887A58" w:rsidRDefault="007B6EC3" w:rsidP="00EE6B38">
            <w:pPr>
              <w:tabs>
                <w:tab w:val="decimal" w:pos="474"/>
                <w:tab w:val="left" w:pos="794"/>
              </w:tabs>
              <w:adjustRightInd w:val="0"/>
              <w:snapToGrid w:val="0"/>
              <w:spacing w:before="40" w:after="40"/>
              <w:ind w:left="170"/>
              <w:rPr>
                <w:rFonts w:eastAsia="SimSun" w:cs="Segoe UI"/>
                <w:kern w:val="2"/>
                <w:sz w:val="18"/>
                <w:szCs w:val="18"/>
                <w:lang w:eastAsia="ja-JP"/>
              </w:rPr>
            </w:pPr>
            <w:r w:rsidRPr="00887A58">
              <w:rPr>
                <w:rFonts w:eastAsia="SimSun" w:cs="Segoe UI"/>
                <w:kern w:val="2"/>
                <w:sz w:val="18"/>
                <w:szCs w:val="18"/>
                <w:lang w:eastAsia="ja-JP"/>
              </w:rPr>
              <w:t>1b</w:t>
            </w:r>
          </w:p>
        </w:tc>
        <w:tc>
          <w:tcPr>
            <w:tcW w:w="2841" w:type="pct"/>
            <w:tcBorders>
              <w:top w:val="single" w:sz="8" w:space="0" w:color="BCBCBD"/>
              <w:left w:val="single" w:sz="4" w:space="0" w:color="auto"/>
              <w:bottom w:val="single" w:sz="8" w:space="0" w:color="BCBCBD"/>
              <w:right w:val="single" w:sz="4" w:space="0" w:color="auto"/>
            </w:tcBorders>
            <w:vAlign w:val="center"/>
            <w:hideMark/>
          </w:tcPr>
          <w:p w14:paraId="04E2C21A" w14:textId="77777777" w:rsidR="007B6EC3" w:rsidRPr="00887A58" w:rsidRDefault="007B6EC3" w:rsidP="00EE6B38">
            <w:pPr>
              <w:keepNext/>
              <w:tabs>
                <w:tab w:val="decimal" w:pos="474"/>
                <w:tab w:val="left" w:pos="794"/>
              </w:tabs>
              <w:adjustRightInd w:val="0"/>
              <w:snapToGrid w:val="0"/>
              <w:spacing w:before="40" w:after="40"/>
              <w:ind w:left="474"/>
              <w:jc w:val="both"/>
              <w:rPr>
                <w:rFonts w:eastAsia="SimSun" w:cs="Segoe UI"/>
                <w:color w:val="000000"/>
                <w:kern w:val="2"/>
                <w:sz w:val="18"/>
                <w:szCs w:val="18"/>
              </w:rPr>
            </w:pPr>
            <w:r w:rsidRPr="00887A58">
              <w:rPr>
                <w:rFonts w:eastAsia="SimSun" w:cs="Segoe UI"/>
                <w:color w:val="000000"/>
                <w:kern w:val="2"/>
                <w:sz w:val="18"/>
                <w:szCs w:val="18"/>
              </w:rPr>
              <w:t>Interest and lease</w:t>
            </w:r>
            <w:r>
              <w:rPr>
                <w:rFonts w:eastAsia="SimSun" w:cs="Segoe UI"/>
                <w:color w:val="000000"/>
                <w:kern w:val="2"/>
                <w:sz w:val="18"/>
                <w:szCs w:val="18"/>
              </w:rPr>
              <w:t>s</w:t>
            </w:r>
            <w:r w:rsidRPr="00887A58">
              <w:rPr>
                <w:rFonts w:eastAsia="SimSun" w:cs="Segoe UI"/>
                <w:color w:val="000000"/>
                <w:kern w:val="2"/>
                <w:sz w:val="18"/>
                <w:szCs w:val="18"/>
              </w:rPr>
              <w:t xml:space="preserve"> expense</w:t>
            </w:r>
            <w:r>
              <w:rPr>
                <w:rFonts w:eastAsia="SimSun" w:cs="Segoe UI"/>
                <w:color w:val="000000"/>
                <w:kern w:val="2"/>
                <w:sz w:val="18"/>
                <w:szCs w:val="18"/>
              </w:rPr>
              <w:t>s</w:t>
            </w:r>
          </w:p>
        </w:tc>
        <w:tc>
          <w:tcPr>
            <w:tcW w:w="588" w:type="pct"/>
            <w:tcBorders>
              <w:top w:val="single" w:sz="8" w:space="0" w:color="BCBCBD"/>
              <w:left w:val="single" w:sz="4" w:space="0" w:color="auto"/>
              <w:bottom w:val="single" w:sz="8" w:space="0" w:color="BCBCBD"/>
              <w:right w:val="single" w:sz="4" w:space="0" w:color="auto"/>
            </w:tcBorders>
          </w:tcPr>
          <w:p w14:paraId="0A3D1C97"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tcPr>
          <w:p w14:paraId="657E88B9"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tcPr>
          <w:p w14:paraId="42500011"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r>
      <w:tr w:rsidR="007B6EC3" w:rsidRPr="00887A58" w14:paraId="6C9F8F04" w14:textId="77777777" w:rsidTr="00EE6B38">
        <w:trPr>
          <w:trHeight w:val="230"/>
        </w:trPr>
        <w:tc>
          <w:tcPr>
            <w:tcW w:w="395" w:type="pct"/>
            <w:tcBorders>
              <w:top w:val="single" w:sz="8" w:space="0" w:color="BCBCBD"/>
              <w:left w:val="nil"/>
              <w:bottom w:val="single" w:sz="8" w:space="0" w:color="BCBCBD"/>
              <w:right w:val="single" w:sz="4" w:space="0" w:color="auto"/>
            </w:tcBorders>
            <w:noWrap/>
            <w:vAlign w:val="center"/>
            <w:hideMark/>
          </w:tcPr>
          <w:p w14:paraId="595A3BF8" w14:textId="77777777" w:rsidR="007B6EC3" w:rsidRPr="00887A58" w:rsidRDefault="007B6EC3" w:rsidP="00EE6B38">
            <w:pPr>
              <w:tabs>
                <w:tab w:val="decimal" w:pos="474"/>
                <w:tab w:val="left" w:pos="794"/>
              </w:tabs>
              <w:adjustRightInd w:val="0"/>
              <w:snapToGrid w:val="0"/>
              <w:spacing w:before="40" w:after="40"/>
              <w:ind w:left="170"/>
              <w:rPr>
                <w:rFonts w:eastAsia="SimSun" w:cs="Segoe UI"/>
                <w:kern w:val="2"/>
                <w:sz w:val="18"/>
                <w:szCs w:val="18"/>
                <w:lang w:eastAsia="ja-JP"/>
              </w:rPr>
            </w:pPr>
            <w:r w:rsidRPr="00887A58">
              <w:rPr>
                <w:rFonts w:eastAsia="SimSun" w:cs="Segoe UI"/>
                <w:kern w:val="2"/>
                <w:sz w:val="18"/>
                <w:szCs w:val="18"/>
                <w:lang w:eastAsia="ja-JP"/>
              </w:rPr>
              <w:t>1c</w:t>
            </w:r>
          </w:p>
        </w:tc>
        <w:tc>
          <w:tcPr>
            <w:tcW w:w="2841" w:type="pct"/>
            <w:tcBorders>
              <w:top w:val="single" w:sz="8" w:space="0" w:color="BCBCBD"/>
              <w:left w:val="single" w:sz="4" w:space="0" w:color="auto"/>
              <w:bottom w:val="single" w:sz="8" w:space="0" w:color="BCBCBD"/>
              <w:right w:val="single" w:sz="4" w:space="0" w:color="auto"/>
            </w:tcBorders>
            <w:vAlign w:val="center"/>
            <w:hideMark/>
          </w:tcPr>
          <w:p w14:paraId="75BB806B" w14:textId="77777777" w:rsidR="007B6EC3" w:rsidRPr="00887A58" w:rsidRDefault="007B6EC3" w:rsidP="00EE6B38">
            <w:pPr>
              <w:tabs>
                <w:tab w:val="decimal" w:pos="474"/>
                <w:tab w:val="left" w:pos="794"/>
              </w:tabs>
              <w:adjustRightInd w:val="0"/>
              <w:snapToGrid w:val="0"/>
              <w:spacing w:before="40" w:after="40"/>
              <w:ind w:left="474"/>
              <w:jc w:val="both"/>
              <w:rPr>
                <w:rFonts w:eastAsia="SimSun" w:cs="Segoe UI"/>
                <w:color w:val="000000"/>
                <w:kern w:val="2"/>
                <w:sz w:val="18"/>
                <w:szCs w:val="18"/>
              </w:rPr>
            </w:pPr>
            <w:r w:rsidRPr="00887A58">
              <w:rPr>
                <w:rFonts w:eastAsia="SimSun" w:cs="Segoe UI"/>
                <w:color w:val="000000"/>
                <w:kern w:val="2"/>
                <w:sz w:val="18"/>
                <w:szCs w:val="18"/>
              </w:rPr>
              <w:t>Interest earning assets</w:t>
            </w:r>
          </w:p>
        </w:tc>
        <w:tc>
          <w:tcPr>
            <w:tcW w:w="588" w:type="pct"/>
            <w:tcBorders>
              <w:top w:val="single" w:sz="8" w:space="0" w:color="BCBCBD"/>
              <w:left w:val="single" w:sz="4" w:space="0" w:color="auto"/>
              <w:bottom w:val="single" w:sz="8" w:space="0" w:color="BCBCBD"/>
              <w:right w:val="single" w:sz="4" w:space="0" w:color="auto"/>
            </w:tcBorders>
          </w:tcPr>
          <w:p w14:paraId="353A7538"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tcPr>
          <w:p w14:paraId="1EAFB1FF"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tcPr>
          <w:p w14:paraId="554C5682"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r>
      <w:tr w:rsidR="007B6EC3" w:rsidRPr="00887A58" w14:paraId="6C5D8C6F" w14:textId="77777777" w:rsidTr="00EE6B38">
        <w:trPr>
          <w:trHeight w:val="230"/>
        </w:trPr>
        <w:tc>
          <w:tcPr>
            <w:tcW w:w="395" w:type="pct"/>
            <w:tcBorders>
              <w:top w:val="single" w:sz="8" w:space="0" w:color="BCBCBD"/>
              <w:left w:val="nil"/>
              <w:bottom w:val="single" w:sz="8" w:space="0" w:color="BCBCBD"/>
              <w:right w:val="single" w:sz="4" w:space="0" w:color="auto"/>
            </w:tcBorders>
            <w:noWrap/>
            <w:vAlign w:val="center"/>
          </w:tcPr>
          <w:p w14:paraId="403E8BD5" w14:textId="77777777" w:rsidR="007B6EC3" w:rsidRPr="00887A58" w:rsidRDefault="007B6EC3" w:rsidP="00EE6B38">
            <w:pPr>
              <w:tabs>
                <w:tab w:val="decimal" w:pos="474"/>
                <w:tab w:val="left" w:pos="794"/>
              </w:tabs>
              <w:adjustRightInd w:val="0"/>
              <w:snapToGrid w:val="0"/>
              <w:spacing w:before="40" w:after="40"/>
              <w:ind w:left="170"/>
              <w:rPr>
                <w:rFonts w:eastAsia="SimSun" w:cs="Segoe UI"/>
                <w:kern w:val="2"/>
                <w:sz w:val="18"/>
                <w:szCs w:val="18"/>
                <w:lang w:eastAsia="ja-JP"/>
              </w:rPr>
            </w:pPr>
            <w:r w:rsidRPr="00887A58">
              <w:rPr>
                <w:rFonts w:eastAsia="SimSun" w:cs="Segoe UI"/>
                <w:kern w:val="2"/>
                <w:sz w:val="18"/>
                <w:szCs w:val="18"/>
                <w:lang w:eastAsia="ja-JP"/>
              </w:rPr>
              <w:t>1d</w:t>
            </w:r>
          </w:p>
        </w:tc>
        <w:tc>
          <w:tcPr>
            <w:tcW w:w="2841" w:type="pct"/>
            <w:tcBorders>
              <w:top w:val="single" w:sz="8" w:space="0" w:color="BCBCBD"/>
              <w:left w:val="single" w:sz="4" w:space="0" w:color="auto"/>
              <w:bottom w:val="single" w:sz="8" w:space="0" w:color="BCBCBD"/>
              <w:right w:val="single" w:sz="4" w:space="0" w:color="auto"/>
            </w:tcBorders>
            <w:vAlign w:val="center"/>
          </w:tcPr>
          <w:p w14:paraId="3A873C20" w14:textId="77777777" w:rsidR="007B6EC3" w:rsidRPr="00887A58" w:rsidRDefault="007B6EC3" w:rsidP="00EE6B38">
            <w:pPr>
              <w:tabs>
                <w:tab w:val="decimal" w:pos="474"/>
                <w:tab w:val="left" w:pos="794"/>
              </w:tabs>
              <w:adjustRightInd w:val="0"/>
              <w:snapToGrid w:val="0"/>
              <w:spacing w:before="40" w:after="40"/>
              <w:ind w:left="474"/>
              <w:jc w:val="both"/>
              <w:rPr>
                <w:rFonts w:eastAsia="SimSun" w:cs="Segoe UI"/>
                <w:color w:val="000000"/>
                <w:kern w:val="2"/>
                <w:sz w:val="18"/>
                <w:szCs w:val="18"/>
              </w:rPr>
            </w:pPr>
            <w:r w:rsidRPr="00887A58">
              <w:rPr>
                <w:rFonts w:eastAsia="SimSun" w:cs="Segoe UI"/>
                <w:color w:val="000000"/>
                <w:kern w:val="2"/>
                <w:sz w:val="18"/>
                <w:szCs w:val="18"/>
              </w:rPr>
              <w:t>Dividend income</w:t>
            </w:r>
          </w:p>
        </w:tc>
        <w:tc>
          <w:tcPr>
            <w:tcW w:w="588" w:type="pct"/>
            <w:tcBorders>
              <w:top w:val="single" w:sz="8" w:space="0" w:color="BCBCBD"/>
              <w:left w:val="single" w:sz="4" w:space="0" w:color="auto"/>
              <w:bottom w:val="single" w:sz="8" w:space="0" w:color="BCBCBD"/>
              <w:right w:val="single" w:sz="4" w:space="0" w:color="auto"/>
            </w:tcBorders>
          </w:tcPr>
          <w:p w14:paraId="711A77FB"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tcPr>
          <w:p w14:paraId="1F79C8A7"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tcPr>
          <w:p w14:paraId="1E137ADF"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r>
      <w:tr w:rsidR="007B6EC3" w:rsidRPr="00887A58" w14:paraId="71B33936" w14:textId="77777777" w:rsidTr="00EE6B38">
        <w:trPr>
          <w:trHeight w:val="230"/>
        </w:trPr>
        <w:tc>
          <w:tcPr>
            <w:tcW w:w="395" w:type="pct"/>
            <w:tcBorders>
              <w:top w:val="single" w:sz="8" w:space="0" w:color="BCBCBD"/>
              <w:left w:val="nil"/>
              <w:bottom w:val="single" w:sz="8" w:space="0" w:color="BCBCBD"/>
              <w:right w:val="single" w:sz="4" w:space="0" w:color="auto"/>
            </w:tcBorders>
            <w:noWrap/>
            <w:vAlign w:val="center"/>
            <w:hideMark/>
          </w:tcPr>
          <w:p w14:paraId="5BE16CD8" w14:textId="77777777" w:rsidR="007B6EC3" w:rsidRPr="00887A58" w:rsidRDefault="007B6EC3" w:rsidP="00EE6B38">
            <w:pPr>
              <w:tabs>
                <w:tab w:val="decimal" w:pos="474"/>
                <w:tab w:val="left" w:pos="794"/>
              </w:tabs>
              <w:adjustRightInd w:val="0"/>
              <w:snapToGrid w:val="0"/>
              <w:spacing w:before="40" w:after="40"/>
              <w:ind w:left="170"/>
              <w:rPr>
                <w:rFonts w:eastAsia="SimSun" w:cs="Segoe UI"/>
                <w:kern w:val="2"/>
                <w:sz w:val="18"/>
                <w:szCs w:val="18"/>
                <w:lang w:eastAsia="ja-JP"/>
              </w:rPr>
            </w:pPr>
            <w:r w:rsidRPr="00887A58">
              <w:rPr>
                <w:rFonts w:eastAsia="SimSun" w:cs="Segoe UI"/>
                <w:kern w:val="2"/>
                <w:sz w:val="18"/>
                <w:szCs w:val="18"/>
                <w:lang w:eastAsia="ja-JP"/>
              </w:rPr>
              <w:t>2</w:t>
            </w:r>
          </w:p>
        </w:tc>
        <w:tc>
          <w:tcPr>
            <w:tcW w:w="2841" w:type="pct"/>
            <w:tcBorders>
              <w:top w:val="single" w:sz="8" w:space="0" w:color="BCBCBD"/>
              <w:left w:val="single" w:sz="4" w:space="0" w:color="auto"/>
              <w:bottom w:val="single" w:sz="8" w:space="0" w:color="BCBCBD"/>
              <w:right w:val="single" w:sz="4" w:space="0" w:color="auto"/>
            </w:tcBorders>
            <w:vAlign w:val="center"/>
            <w:hideMark/>
          </w:tcPr>
          <w:p w14:paraId="7219714F" w14:textId="77777777" w:rsidR="007B6EC3" w:rsidRPr="00887A58" w:rsidRDefault="007B6EC3" w:rsidP="00EE6B38">
            <w:pPr>
              <w:tabs>
                <w:tab w:val="decimal" w:pos="474"/>
                <w:tab w:val="left" w:pos="794"/>
              </w:tabs>
              <w:adjustRightInd w:val="0"/>
              <w:snapToGrid w:val="0"/>
              <w:spacing w:before="40" w:after="40"/>
              <w:jc w:val="both"/>
              <w:rPr>
                <w:rFonts w:eastAsia="SimSun" w:cs="Segoe UI"/>
                <w:color w:val="000000"/>
                <w:kern w:val="2"/>
                <w:sz w:val="18"/>
                <w:szCs w:val="18"/>
              </w:rPr>
            </w:pPr>
            <w:r w:rsidRPr="00887A58">
              <w:rPr>
                <w:rFonts w:eastAsia="SimSun" w:cs="Segoe UI"/>
                <w:color w:val="000000"/>
                <w:kern w:val="2"/>
                <w:sz w:val="18"/>
                <w:szCs w:val="18"/>
              </w:rPr>
              <w:t>Services component</w:t>
            </w:r>
          </w:p>
        </w:tc>
        <w:tc>
          <w:tcPr>
            <w:tcW w:w="588" w:type="pct"/>
            <w:tcBorders>
              <w:top w:val="single" w:sz="8" w:space="0" w:color="BCBCBD"/>
              <w:left w:val="single" w:sz="4" w:space="0" w:color="auto"/>
              <w:bottom w:val="single" w:sz="8" w:space="0" w:color="BCBCBD"/>
              <w:right w:val="single" w:sz="4" w:space="0" w:color="auto"/>
            </w:tcBorders>
          </w:tcPr>
          <w:p w14:paraId="551CD18B"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shd w:val="clear" w:color="auto" w:fill="A6A6A6"/>
          </w:tcPr>
          <w:p w14:paraId="4D9FA66D"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shd w:val="clear" w:color="auto" w:fill="A6A6A6"/>
          </w:tcPr>
          <w:p w14:paraId="00C070C7"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r>
      <w:tr w:rsidR="007B6EC3" w:rsidRPr="00887A58" w14:paraId="67D86E69" w14:textId="77777777" w:rsidTr="00EE6B38">
        <w:trPr>
          <w:trHeight w:val="230"/>
        </w:trPr>
        <w:tc>
          <w:tcPr>
            <w:tcW w:w="395" w:type="pct"/>
            <w:tcBorders>
              <w:top w:val="single" w:sz="8" w:space="0" w:color="BCBCBD"/>
              <w:left w:val="nil"/>
              <w:bottom w:val="single" w:sz="8" w:space="0" w:color="BCBCBD"/>
              <w:right w:val="single" w:sz="4" w:space="0" w:color="auto"/>
            </w:tcBorders>
            <w:noWrap/>
            <w:vAlign w:val="center"/>
            <w:hideMark/>
          </w:tcPr>
          <w:p w14:paraId="03A6D24B" w14:textId="77777777" w:rsidR="007B6EC3" w:rsidRPr="00887A58" w:rsidRDefault="007B6EC3" w:rsidP="00EE6B38">
            <w:pPr>
              <w:tabs>
                <w:tab w:val="decimal" w:pos="474"/>
                <w:tab w:val="left" w:pos="794"/>
              </w:tabs>
              <w:adjustRightInd w:val="0"/>
              <w:snapToGrid w:val="0"/>
              <w:spacing w:before="40" w:after="40"/>
              <w:ind w:left="170"/>
              <w:rPr>
                <w:rFonts w:eastAsia="SimSun" w:cs="Segoe UI"/>
                <w:kern w:val="2"/>
                <w:sz w:val="18"/>
                <w:szCs w:val="18"/>
                <w:lang w:eastAsia="ja-JP"/>
              </w:rPr>
            </w:pPr>
            <w:r w:rsidRPr="00887A58">
              <w:rPr>
                <w:rFonts w:eastAsia="SimSun" w:cs="Segoe UI"/>
                <w:kern w:val="2"/>
                <w:sz w:val="18"/>
                <w:szCs w:val="18"/>
                <w:lang w:eastAsia="ja-JP"/>
              </w:rPr>
              <w:t>2a</w:t>
            </w:r>
          </w:p>
        </w:tc>
        <w:tc>
          <w:tcPr>
            <w:tcW w:w="2841" w:type="pct"/>
            <w:tcBorders>
              <w:top w:val="single" w:sz="8" w:space="0" w:color="BCBCBD"/>
              <w:left w:val="single" w:sz="4" w:space="0" w:color="auto"/>
              <w:bottom w:val="single" w:sz="8" w:space="0" w:color="BCBCBD"/>
              <w:right w:val="single" w:sz="4" w:space="0" w:color="auto"/>
            </w:tcBorders>
            <w:vAlign w:val="center"/>
            <w:hideMark/>
          </w:tcPr>
          <w:p w14:paraId="31DE480F" w14:textId="77777777" w:rsidR="007B6EC3" w:rsidRPr="00887A58" w:rsidRDefault="007B6EC3" w:rsidP="00EE6B38">
            <w:pPr>
              <w:tabs>
                <w:tab w:val="decimal" w:pos="474"/>
                <w:tab w:val="left" w:pos="794"/>
              </w:tabs>
              <w:adjustRightInd w:val="0"/>
              <w:snapToGrid w:val="0"/>
              <w:spacing w:before="40" w:after="40"/>
              <w:ind w:left="474"/>
              <w:jc w:val="both"/>
              <w:rPr>
                <w:rFonts w:eastAsia="SimSun" w:cs="Segoe UI"/>
                <w:color w:val="000000"/>
                <w:kern w:val="2"/>
                <w:sz w:val="18"/>
                <w:szCs w:val="18"/>
              </w:rPr>
            </w:pPr>
            <w:r w:rsidRPr="00887A58">
              <w:rPr>
                <w:rFonts w:eastAsia="SimSun" w:cs="Segoe UI"/>
                <w:color w:val="000000"/>
                <w:kern w:val="2"/>
                <w:sz w:val="18"/>
                <w:szCs w:val="18"/>
              </w:rPr>
              <w:t>Fee and commission income</w:t>
            </w:r>
          </w:p>
        </w:tc>
        <w:tc>
          <w:tcPr>
            <w:tcW w:w="588" w:type="pct"/>
            <w:tcBorders>
              <w:top w:val="single" w:sz="8" w:space="0" w:color="BCBCBD"/>
              <w:left w:val="single" w:sz="4" w:space="0" w:color="auto"/>
              <w:bottom w:val="single" w:sz="8" w:space="0" w:color="BCBCBD"/>
              <w:right w:val="single" w:sz="4" w:space="0" w:color="auto"/>
            </w:tcBorders>
          </w:tcPr>
          <w:p w14:paraId="377F45DC"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tcPr>
          <w:p w14:paraId="28A7DDAB"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tcPr>
          <w:p w14:paraId="4AEFAD4E"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r>
      <w:tr w:rsidR="007B6EC3" w:rsidRPr="00887A58" w14:paraId="245F2F03" w14:textId="77777777" w:rsidTr="00EE6B38">
        <w:trPr>
          <w:trHeight w:val="230"/>
        </w:trPr>
        <w:tc>
          <w:tcPr>
            <w:tcW w:w="395" w:type="pct"/>
            <w:tcBorders>
              <w:top w:val="single" w:sz="8" w:space="0" w:color="BCBCBD"/>
              <w:left w:val="nil"/>
              <w:bottom w:val="single" w:sz="8" w:space="0" w:color="BCBCBD"/>
              <w:right w:val="single" w:sz="4" w:space="0" w:color="auto"/>
            </w:tcBorders>
            <w:noWrap/>
            <w:vAlign w:val="center"/>
            <w:hideMark/>
          </w:tcPr>
          <w:p w14:paraId="7510B39E" w14:textId="77777777" w:rsidR="007B6EC3" w:rsidRPr="00887A58" w:rsidRDefault="007B6EC3" w:rsidP="00EE6B38">
            <w:pPr>
              <w:tabs>
                <w:tab w:val="decimal" w:pos="474"/>
                <w:tab w:val="left" w:pos="794"/>
              </w:tabs>
              <w:adjustRightInd w:val="0"/>
              <w:snapToGrid w:val="0"/>
              <w:spacing w:before="40" w:after="40"/>
              <w:ind w:left="170"/>
              <w:rPr>
                <w:rFonts w:eastAsia="SimSun" w:cs="Segoe UI"/>
                <w:kern w:val="2"/>
                <w:sz w:val="18"/>
                <w:szCs w:val="18"/>
                <w:lang w:eastAsia="ja-JP"/>
              </w:rPr>
            </w:pPr>
            <w:r w:rsidRPr="00887A58">
              <w:rPr>
                <w:rFonts w:eastAsia="SimSun" w:cs="Segoe UI"/>
                <w:kern w:val="2"/>
                <w:sz w:val="18"/>
                <w:szCs w:val="18"/>
                <w:lang w:eastAsia="ja-JP"/>
              </w:rPr>
              <w:t>2b</w:t>
            </w:r>
          </w:p>
        </w:tc>
        <w:tc>
          <w:tcPr>
            <w:tcW w:w="2841" w:type="pct"/>
            <w:tcBorders>
              <w:top w:val="single" w:sz="8" w:space="0" w:color="BCBCBD"/>
              <w:left w:val="single" w:sz="4" w:space="0" w:color="auto"/>
              <w:bottom w:val="single" w:sz="8" w:space="0" w:color="BCBCBD"/>
              <w:right w:val="single" w:sz="4" w:space="0" w:color="auto"/>
            </w:tcBorders>
            <w:vAlign w:val="center"/>
            <w:hideMark/>
          </w:tcPr>
          <w:p w14:paraId="1CC7AFCF" w14:textId="77777777" w:rsidR="007B6EC3" w:rsidRPr="00887A58" w:rsidRDefault="007B6EC3" w:rsidP="00EE6B38">
            <w:pPr>
              <w:tabs>
                <w:tab w:val="decimal" w:pos="474"/>
                <w:tab w:val="left" w:pos="794"/>
              </w:tabs>
              <w:adjustRightInd w:val="0"/>
              <w:snapToGrid w:val="0"/>
              <w:spacing w:before="40" w:after="40"/>
              <w:ind w:left="474"/>
              <w:jc w:val="both"/>
              <w:rPr>
                <w:rFonts w:eastAsia="SimSun" w:cs="Segoe UI"/>
                <w:color w:val="000000"/>
                <w:kern w:val="2"/>
                <w:sz w:val="18"/>
                <w:szCs w:val="18"/>
              </w:rPr>
            </w:pPr>
            <w:r w:rsidRPr="00887A58">
              <w:rPr>
                <w:rFonts w:eastAsia="SimSun" w:cs="Segoe UI"/>
                <w:color w:val="000000"/>
                <w:kern w:val="2"/>
                <w:sz w:val="18"/>
                <w:szCs w:val="18"/>
              </w:rPr>
              <w:t>Fee and commission expense</w:t>
            </w:r>
            <w:r>
              <w:rPr>
                <w:rFonts w:eastAsia="SimSun" w:cs="Segoe UI"/>
                <w:color w:val="000000"/>
                <w:kern w:val="2"/>
                <w:sz w:val="18"/>
                <w:szCs w:val="18"/>
              </w:rPr>
              <w:t>s</w:t>
            </w:r>
          </w:p>
        </w:tc>
        <w:tc>
          <w:tcPr>
            <w:tcW w:w="588" w:type="pct"/>
            <w:tcBorders>
              <w:top w:val="single" w:sz="8" w:space="0" w:color="BCBCBD"/>
              <w:left w:val="single" w:sz="4" w:space="0" w:color="auto"/>
              <w:bottom w:val="single" w:sz="8" w:space="0" w:color="BCBCBD"/>
              <w:right w:val="single" w:sz="4" w:space="0" w:color="auto"/>
            </w:tcBorders>
          </w:tcPr>
          <w:p w14:paraId="33B051F8"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tcPr>
          <w:p w14:paraId="0E4572A9"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tcPr>
          <w:p w14:paraId="194C6F86"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r>
      <w:tr w:rsidR="007B6EC3" w:rsidRPr="00887A58" w14:paraId="6A08B87C" w14:textId="77777777" w:rsidTr="00EE6B38">
        <w:trPr>
          <w:trHeight w:val="230"/>
        </w:trPr>
        <w:tc>
          <w:tcPr>
            <w:tcW w:w="395" w:type="pct"/>
            <w:tcBorders>
              <w:top w:val="single" w:sz="8" w:space="0" w:color="BCBCBD"/>
              <w:left w:val="nil"/>
              <w:bottom w:val="single" w:sz="8" w:space="0" w:color="BCBCBD"/>
              <w:right w:val="single" w:sz="4" w:space="0" w:color="auto"/>
            </w:tcBorders>
            <w:noWrap/>
            <w:vAlign w:val="center"/>
            <w:hideMark/>
          </w:tcPr>
          <w:p w14:paraId="729B5CEE" w14:textId="77777777" w:rsidR="007B6EC3" w:rsidRPr="00887A58" w:rsidRDefault="007B6EC3" w:rsidP="00EE6B38">
            <w:pPr>
              <w:tabs>
                <w:tab w:val="decimal" w:pos="474"/>
                <w:tab w:val="left" w:pos="794"/>
              </w:tabs>
              <w:adjustRightInd w:val="0"/>
              <w:snapToGrid w:val="0"/>
              <w:spacing w:before="40" w:after="40"/>
              <w:ind w:left="170"/>
              <w:rPr>
                <w:rFonts w:eastAsia="SimSun" w:cs="Segoe UI"/>
                <w:kern w:val="2"/>
                <w:sz w:val="18"/>
                <w:szCs w:val="18"/>
                <w:lang w:eastAsia="ja-JP"/>
              </w:rPr>
            </w:pPr>
            <w:r w:rsidRPr="00887A58">
              <w:rPr>
                <w:rFonts w:eastAsia="SimSun" w:cs="Segoe UI"/>
                <w:kern w:val="2"/>
                <w:sz w:val="18"/>
                <w:szCs w:val="18"/>
                <w:lang w:eastAsia="ja-JP"/>
              </w:rPr>
              <w:t>2c</w:t>
            </w:r>
          </w:p>
        </w:tc>
        <w:tc>
          <w:tcPr>
            <w:tcW w:w="2841" w:type="pct"/>
            <w:tcBorders>
              <w:top w:val="single" w:sz="8" w:space="0" w:color="BCBCBD"/>
              <w:left w:val="single" w:sz="4" w:space="0" w:color="auto"/>
              <w:bottom w:val="single" w:sz="8" w:space="0" w:color="BCBCBD"/>
              <w:right w:val="single" w:sz="4" w:space="0" w:color="auto"/>
            </w:tcBorders>
            <w:vAlign w:val="center"/>
            <w:hideMark/>
          </w:tcPr>
          <w:p w14:paraId="4D49044E" w14:textId="77777777" w:rsidR="007B6EC3" w:rsidRPr="00887A58" w:rsidRDefault="007B6EC3" w:rsidP="00EE6B38">
            <w:pPr>
              <w:tabs>
                <w:tab w:val="decimal" w:pos="474"/>
                <w:tab w:val="left" w:pos="794"/>
              </w:tabs>
              <w:adjustRightInd w:val="0"/>
              <w:snapToGrid w:val="0"/>
              <w:spacing w:before="40" w:after="40"/>
              <w:ind w:left="474"/>
              <w:jc w:val="both"/>
              <w:rPr>
                <w:rFonts w:eastAsia="SimSun" w:cs="Segoe UI"/>
                <w:color w:val="000000"/>
                <w:kern w:val="2"/>
                <w:sz w:val="18"/>
                <w:szCs w:val="18"/>
              </w:rPr>
            </w:pPr>
            <w:r w:rsidRPr="00887A58">
              <w:rPr>
                <w:rFonts w:eastAsia="SimSun" w:cs="Segoe UI"/>
                <w:color w:val="000000"/>
                <w:kern w:val="2"/>
                <w:sz w:val="18"/>
                <w:szCs w:val="18"/>
              </w:rPr>
              <w:t>Other operating income</w:t>
            </w:r>
          </w:p>
        </w:tc>
        <w:tc>
          <w:tcPr>
            <w:tcW w:w="588" w:type="pct"/>
            <w:tcBorders>
              <w:top w:val="single" w:sz="8" w:space="0" w:color="BCBCBD"/>
              <w:left w:val="single" w:sz="4" w:space="0" w:color="auto"/>
              <w:bottom w:val="single" w:sz="8" w:space="0" w:color="BCBCBD"/>
              <w:right w:val="single" w:sz="4" w:space="0" w:color="auto"/>
            </w:tcBorders>
          </w:tcPr>
          <w:p w14:paraId="05370945"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tcPr>
          <w:p w14:paraId="2B6B42E1"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tcPr>
          <w:p w14:paraId="4CF18F06"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r>
      <w:tr w:rsidR="007B6EC3" w:rsidRPr="00887A58" w14:paraId="3542BF3B" w14:textId="77777777" w:rsidTr="00EE6B38">
        <w:trPr>
          <w:trHeight w:val="230"/>
        </w:trPr>
        <w:tc>
          <w:tcPr>
            <w:tcW w:w="395" w:type="pct"/>
            <w:tcBorders>
              <w:top w:val="single" w:sz="8" w:space="0" w:color="BCBCBD"/>
              <w:left w:val="nil"/>
              <w:bottom w:val="single" w:sz="8" w:space="0" w:color="BCBCBD"/>
              <w:right w:val="single" w:sz="4" w:space="0" w:color="auto"/>
            </w:tcBorders>
            <w:noWrap/>
            <w:vAlign w:val="center"/>
            <w:hideMark/>
          </w:tcPr>
          <w:p w14:paraId="6B9A6F0C" w14:textId="77777777" w:rsidR="007B6EC3" w:rsidRPr="00887A58" w:rsidRDefault="007B6EC3" w:rsidP="00EE6B38">
            <w:pPr>
              <w:tabs>
                <w:tab w:val="decimal" w:pos="474"/>
                <w:tab w:val="left" w:pos="794"/>
              </w:tabs>
              <w:adjustRightInd w:val="0"/>
              <w:snapToGrid w:val="0"/>
              <w:spacing w:before="40" w:after="40"/>
              <w:ind w:left="170"/>
              <w:rPr>
                <w:rFonts w:eastAsia="SimSun" w:cs="Segoe UI"/>
                <w:kern w:val="2"/>
                <w:sz w:val="18"/>
                <w:szCs w:val="18"/>
                <w:lang w:eastAsia="ja-JP"/>
              </w:rPr>
            </w:pPr>
            <w:r w:rsidRPr="00887A58">
              <w:rPr>
                <w:rFonts w:eastAsia="SimSun" w:cs="Segoe UI"/>
                <w:kern w:val="2"/>
                <w:sz w:val="18"/>
                <w:szCs w:val="18"/>
                <w:lang w:eastAsia="ja-JP"/>
              </w:rPr>
              <w:t>2d</w:t>
            </w:r>
          </w:p>
        </w:tc>
        <w:tc>
          <w:tcPr>
            <w:tcW w:w="2841" w:type="pct"/>
            <w:tcBorders>
              <w:top w:val="single" w:sz="8" w:space="0" w:color="BCBCBD"/>
              <w:left w:val="single" w:sz="4" w:space="0" w:color="auto"/>
              <w:bottom w:val="single" w:sz="8" w:space="0" w:color="BCBCBD"/>
              <w:right w:val="single" w:sz="4" w:space="0" w:color="auto"/>
            </w:tcBorders>
            <w:vAlign w:val="center"/>
            <w:hideMark/>
          </w:tcPr>
          <w:p w14:paraId="1EA2FED2" w14:textId="77777777" w:rsidR="007B6EC3" w:rsidRPr="00887A58" w:rsidRDefault="007B6EC3" w:rsidP="00EE6B38">
            <w:pPr>
              <w:tabs>
                <w:tab w:val="decimal" w:pos="474"/>
                <w:tab w:val="left" w:pos="794"/>
              </w:tabs>
              <w:adjustRightInd w:val="0"/>
              <w:snapToGrid w:val="0"/>
              <w:spacing w:before="40" w:after="40"/>
              <w:ind w:left="474"/>
              <w:jc w:val="both"/>
              <w:rPr>
                <w:rFonts w:eastAsia="SimSun" w:cs="Segoe UI"/>
                <w:color w:val="000000"/>
                <w:kern w:val="2"/>
                <w:sz w:val="18"/>
                <w:szCs w:val="18"/>
              </w:rPr>
            </w:pPr>
            <w:r w:rsidRPr="00887A58">
              <w:rPr>
                <w:rFonts w:eastAsia="SimSun" w:cs="Segoe UI"/>
                <w:color w:val="000000"/>
                <w:kern w:val="2"/>
                <w:sz w:val="18"/>
                <w:szCs w:val="18"/>
              </w:rPr>
              <w:t>Other operating expense</w:t>
            </w:r>
            <w:r>
              <w:rPr>
                <w:rFonts w:eastAsia="SimSun" w:cs="Segoe UI"/>
                <w:color w:val="000000"/>
                <w:kern w:val="2"/>
                <w:sz w:val="18"/>
                <w:szCs w:val="18"/>
              </w:rPr>
              <w:t>s</w:t>
            </w:r>
          </w:p>
        </w:tc>
        <w:tc>
          <w:tcPr>
            <w:tcW w:w="588" w:type="pct"/>
            <w:tcBorders>
              <w:top w:val="single" w:sz="8" w:space="0" w:color="BCBCBD"/>
              <w:left w:val="single" w:sz="4" w:space="0" w:color="auto"/>
              <w:bottom w:val="single" w:sz="8" w:space="0" w:color="BCBCBD"/>
              <w:right w:val="single" w:sz="4" w:space="0" w:color="auto"/>
            </w:tcBorders>
          </w:tcPr>
          <w:p w14:paraId="6E1681A6"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tcPr>
          <w:p w14:paraId="7078A275"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tcPr>
          <w:p w14:paraId="5EFD44BC"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r>
      <w:tr w:rsidR="007B6EC3" w:rsidRPr="00887A58" w14:paraId="60489009" w14:textId="77777777" w:rsidTr="00EE6B38">
        <w:trPr>
          <w:trHeight w:val="230"/>
        </w:trPr>
        <w:tc>
          <w:tcPr>
            <w:tcW w:w="395" w:type="pct"/>
            <w:tcBorders>
              <w:top w:val="single" w:sz="8" w:space="0" w:color="BCBCBD"/>
              <w:left w:val="nil"/>
              <w:bottom w:val="single" w:sz="8" w:space="0" w:color="BCBCBD"/>
              <w:right w:val="single" w:sz="4" w:space="0" w:color="auto"/>
            </w:tcBorders>
            <w:noWrap/>
            <w:vAlign w:val="center"/>
            <w:hideMark/>
          </w:tcPr>
          <w:p w14:paraId="5CAF1997" w14:textId="77777777" w:rsidR="007B6EC3" w:rsidRPr="00887A58" w:rsidRDefault="007B6EC3" w:rsidP="00EE6B38">
            <w:pPr>
              <w:tabs>
                <w:tab w:val="decimal" w:pos="474"/>
                <w:tab w:val="left" w:pos="794"/>
              </w:tabs>
              <w:adjustRightInd w:val="0"/>
              <w:snapToGrid w:val="0"/>
              <w:spacing w:before="40" w:after="40"/>
              <w:ind w:left="170"/>
              <w:rPr>
                <w:rFonts w:eastAsia="SimSun" w:cs="Segoe UI"/>
                <w:kern w:val="2"/>
                <w:sz w:val="18"/>
                <w:szCs w:val="18"/>
                <w:lang w:eastAsia="ja-JP"/>
              </w:rPr>
            </w:pPr>
            <w:r w:rsidRPr="00887A58">
              <w:rPr>
                <w:rFonts w:eastAsia="SimSun" w:cs="Segoe UI"/>
                <w:kern w:val="2"/>
                <w:sz w:val="18"/>
                <w:szCs w:val="18"/>
                <w:lang w:eastAsia="ja-JP"/>
              </w:rPr>
              <w:t>3</w:t>
            </w:r>
          </w:p>
        </w:tc>
        <w:tc>
          <w:tcPr>
            <w:tcW w:w="2841" w:type="pct"/>
            <w:tcBorders>
              <w:top w:val="single" w:sz="8" w:space="0" w:color="BCBCBD"/>
              <w:left w:val="single" w:sz="4" w:space="0" w:color="auto"/>
              <w:bottom w:val="single" w:sz="8" w:space="0" w:color="BCBCBD"/>
              <w:right w:val="single" w:sz="4" w:space="0" w:color="auto"/>
            </w:tcBorders>
            <w:vAlign w:val="center"/>
            <w:hideMark/>
          </w:tcPr>
          <w:p w14:paraId="4475A9EB" w14:textId="77777777" w:rsidR="007B6EC3" w:rsidRPr="00887A58" w:rsidRDefault="007B6EC3" w:rsidP="00EE6B38">
            <w:pPr>
              <w:tabs>
                <w:tab w:val="decimal" w:pos="474"/>
                <w:tab w:val="left" w:pos="794"/>
              </w:tabs>
              <w:adjustRightInd w:val="0"/>
              <w:snapToGrid w:val="0"/>
              <w:spacing w:before="40" w:after="40"/>
              <w:jc w:val="both"/>
              <w:rPr>
                <w:rFonts w:eastAsia="SimSun" w:cs="Segoe UI"/>
                <w:color w:val="000000"/>
                <w:kern w:val="2"/>
                <w:sz w:val="18"/>
                <w:szCs w:val="18"/>
              </w:rPr>
            </w:pPr>
            <w:r w:rsidRPr="00887A58">
              <w:rPr>
                <w:rFonts w:eastAsia="SimSun" w:cs="Segoe UI"/>
                <w:color w:val="000000"/>
                <w:kern w:val="2"/>
                <w:sz w:val="18"/>
                <w:szCs w:val="18"/>
              </w:rPr>
              <w:t>Financial component</w:t>
            </w:r>
          </w:p>
        </w:tc>
        <w:tc>
          <w:tcPr>
            <w:tcW w:w="588" w:type="pct"/>
            <w:tcBorders>
              <w:top w:val="single" w:sz="8" w:space="0" w:color="BCBCBD"/>
              <w:left w:val="single" w:sz="4" w:space="0" w:color="auto"/>
              <w:bottom w:val="single" w:sz="8" w:space="0" w:color="BCBCBD"/>
              <w:right w:val="single" w:sz="4" w:space="0" w:color="auto"/>
            </w:tcBorders>
          </w:tcPr>
          <w:p w14:paraId="71048412"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shd w:val="clear" w:color="auto" w:fill="A6A6A6"/>
          </w:tcPr>
          <w:p w14:paraId="554B8F5D"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shd w:val="clear" w:color="auto" w:fill="A6A6A6"/>
          </w:tcPr>
          <w:p w14:paraId="4EC7C11F"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r>
      <w:tr w:rsidR="007B6EC3" w:rsidRPr="00887A58" w14:paraId="7B348DEA" w14:textId="77777777" w:rsidTr="00EE6B38">
        <w:trPr>
          <w:trHeight w:val="230"/>
        </w:trPr>
        <w:tc>
          <w:tcPr>
            <w:tcW w:w="395" w:type="pct"/>
            <w:tcBorders>
              <w:top w:val="single" w:sz="8" w:space="0" w:color="BCBCBD"/>
              <w:left w:val="nil"/>
              <w:bottom w:val="single" w:sz="8" w:space="0" w:color="BCBCBD"/>
              <w:right w:val="single" w:sz="4" w:space="0" w:color="auto"/>
            </w:tcBorders>
            <w:noWrap/>
            <w:vAlign w:val="center"/>
            <w:hideMark/>
          </w:tcPr>
          <w:p w14:paraId="5ACA97F0" w14:textId="77777777" w:rsidR="007B6EC3" w:rsidRPr="00887A58" w:rsidRDefault="007B6EC3" w:rsidP="00EE6B38">
            <w:pPr>
              <w:tabs>
                <w:tab w:val="decimal" w:pos="474"/>
                <w:tab w:val="left" w:pos="794"/>
              </w:tabs>
              <w:adjustRightInd w:val="0"/>
              <w:snapToGrid w:val="0"/>
              <w:spacing w:before="40" w:after="40"/>
              <w:ind w:left="170"/>
              <w:rPr>
                <w:rFonts w:eastAsia="SimSun" w:cs="Segoe UI"/>
                <w:kern w:val="2"/>
                <w:sz w:val="18"/>
                <w:szCs w:val="18"/>
                <w:lang w:eastAsia="ja-JP"/>
              </w:rPr>
            </w:pPr>
            <w:r w:rsidRPr="00887A58">
              <w:rPr>
                <w:rFonts w:eastAsia="SimSun" w:cs="Segoe UI"/>
                <w:kern w:val="2"/>
                <w:sz w:val="18"/>
                <w:szCs w:val="18"/>
                <w:lang w:eastAsia="ja-JP"/>
              </w:rPr>
              <w:t>3a</w:t>
            </w:r>
          </w:p>
        </w:tc>
        <w:tc>
          <w:tcPr>
            <w:tcW w:w="2841" w:type="pct"/>
            <w:tcBorders>
              <w:top w:val="single" w:sz="8" w:space="0" w:color="BCBCBD"/>
              <w:left w:val="single" w:sz="4" w:space="0" w:color="auto"/>
              <w:bottom w:val="single" w:sz="8" w:space="0" w:color="BCBCBD"/>
              <w:right w:val="single" w:sz="4" w:space="0" w:color="auto"/>
            </w:tcBorders>
            <w:vAlign w:val="center"/>
            <w:hideMark/>
          </w:tcPr>
          <w:p w14:paraId="2933B6E5" w14:textId="4D87FF91" w:rsidR="007B6EC3" w:rsidRPr="00887A58" w:rsidRDefault="007B6EC3" w:rsidP="00EE6B38">
            <w:pPr>
              <w:tabs>
                <w:tab w:val="decimal" w:pos="474"/>
                <w:tab w:val="left" w:pos="794"/>
              </w:tabs>
              <w:adjustRightInd w:val="0"/>
              <w:snapToGrid w:val="0"/>
              <w:spacing w:before="40" w:after="40"/>
              <w:ind w:left="474"/>
              <w:jc w:val="both"/>
              <w:rPr>
                <w:rFonts w:eastAsia="SimSun" w:cs="Segoe UI"/>
                <w:color w:val="000000"/>
                <w:kern w:val="2"/>
                <w:sz w:val="18"/>
                <w:szCs w:val="18"/>
              </w:rPr>
            </w:pPr>
            <w:r w:rsidRPr="00887A58">
              <w:rPr>
                <w:rFonts w:eastAsia="SimSun" w:cs="Segoe UI"/>
                <w:color w:val="000000"/>
                <w:kern w:val="2"/>
                <w:sz w:val="18"/>
                <w:szCs w:val="18"/>
              </w:rPr>
              <w:t>Net P&amp;L on trading book</w:t>
            </w:r>
          </w:p>
        </w:tc>
        <w:tc>
          <w:tcPr>
            <w:tcW w:w="588" w:type="pct"/>
            <w:tcBorders>
              <w:top w:val="single" w:sz="8" w:space="0" w:color="BCBCBD"/>
              <w:left w:val="single" w:sz="4" w:space="0" w:color="auto"/>
              <w:bottom w:val="single" w:sz="8" w:space="0" w:color="BCBCBD"/>
              <w:right w:val="single" w:sz="4" w:space="0" w:color="auto"/>
            </w:tcBorders>
          </w:tcPr>
          <w:p w14:paraId="3FFC2776"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tcPr>
          <w:p w14:paraId="4782C384"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8" w:space="0" w:color="BCBCBD"/>
              <w:right w:val="single" w:sz="4" w:space="0" w:color="auto"/>
            </w:tcBorders>
          </w:tcPr>
          <w:p w14:paraId="7E937D22"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r>
      <w:tr w:rsidR="007B6EC3" w:rsidRPr="00887A58" w14:paraId="2EFDBFF8" w14:textId="77777777" w:rsidTr="00EE6B38">
        <w:trPr>
          <w:trHeight w:val="230"/>
        </w:trPr>
        <w:tc>
          <w:tcPr>
            <w:tcW w:w="395" w:type="pct"/>
            <w:tcBorders>
              <w:top w:val="single" w:sz="8" w:space="0" w:color="BCBCBD"/>
              <w:left w:val="nil"/>
              <w:bottom w:val="single" w:sz="4" w:space="0" w:color="auto"/>
              <w:right w:val="single" w:sz="4" w:space="0" w:color="auto"/>
            </w:tcBorders>
            <w:noWrap/>
            <w:vAlign w:val="center"/>
            <w:hideMark/>
          </w:tcPr>
          <w:p w14:paraId="2A3540EC" w14:textId="77777777" w:rsidR="007B6EC3" w:rsidRPr="00887A58" w:rsidRDefault="007B6EC3" w:rsidP="00EE6B38">
            <w:pPr>
              <w:tabs>
                <w:tab w:val="decimal" w:pos="474"/>
                <w:tab w:val="left" w:pos="794"/>
              </w:tabs>
              <w:adjustRightInd w:val="0"/>
              <w:snapToGrid w:val="0"/>
              <w:spacing w:before="40" w:after="40"/>
              <w:ind w:left="170"/>
              <w:rPr>
                <w:rFonts w:eastAsia="SimSun" w:cs="Segoe UI"/>
                <w:kern w:val="2"/>
                <w:sz w:val="18"/>
                <w:szCs w:val="18"/>
                <w:lang w:eastAsia="ja-JP"/>
              </w:rPr>
            </w:pPr>
            <w:r w:rsidRPr="00887A58">
              <w:rPr>
                <w:rFonts w:eastAsia="SimSun" w:cs="Segoe UI"/>
                <w:kern w:val="2"/>
                <w:sz w:val="18"/>
                <w:szCs w:val="18"/>
                <w:lang w:eastAsia="ja-JP"/>
              </w:rPr>
              <w:t>3b</w:t>
            </w:r>
          </w:p>
        </w:tc>
        <w:tc>
          <w:tcPr>
            <w:tcW w:w="2841" w:type="pct"/>
            <w:tcBorders>
              <w:top w:val="single" w:sz="8" w:space="0" w:color="BCBCBD"/>
              <w:left w:val="single" w:sz="4" w:space="0" w:color="auto"/>
              <w:bottom w:val="single" w:sz="4" w:space="0" w:color="auto"/>
              <w:right w:val="single" w:sz="4" w:space="0" w:color="auto"/>
            </w:tcBorders>
            <w:vAlign w:val="center"/>
            <w:hideMark/>
          </w:tcPr>
          <w:p w14:paraId="58085B66" w14:textId="75644A65" w:rsidR="007B6EC3" w:rsidRPr="00887A58" w:rsidRDefault="007B6EC3" w:rsidP="00EE6B38">
            <w:pPr>
              <w:tabs>
                <w:tab w:val="decimal" w:pos="474"/>
                <w:tab w:val="left" w:pos="794"/>
              </w:tabs>
              <w:adjustRightInd w:val="0"/>
              <w:snapToGrid w:val="0"/>
              <w:spacing w:before="40" w:after="40"/>
              <w:ind w:left="474"/>
              <w:jc w:val="both"/>
              <w:rPr>
                <w:rFonts w:eastAsia="SimSun" w:cs="Segoe UI"/>
                <w:color w:val="000000"/>
                <w:kern w:val="2"/>
                <w:sz w:val="18"/>
                <w:szCs w:val="18"/>
              </w:rPr>
            </w:pPr>
            <w:r w:rsidRPr="00887A58">
              <w:rPr>
                <w:rFonts w:eastAsia="SimSun" w:cs="Segoe UI"/>
                <w:color w:val="000000"/>
                <w:kern w:val="2"/>
                <w:sz w:val="18"/>
                <w:szCs w:val="18"/>
              </w:rPr>
              <w:t>Net P&amp;L on banking book</w:t>
            </w:r>
          </w:p>
        </w:tc>
        <w:tc>
          <w:tcPr>
            <w:tcW w:w="588" w:type="pct"/>
            <w:tcBorders>
              <w:top w:val="single" w:sz="8" w:space="0" w:color="BCBCBD"/>
              <w:left w:val="single" w:sz="4" w:space="0" w:color="auto"/>
              <w:bottom w:val="single" w:sz="4" w:space="0" w:color="auto"/>
              <w:right w:val="single" w:sz="4" w:space="0" w:color="auto"/>
            </w:tcBorders>
          </w:tcPr>
          <w:p w14:paraId="53A744B3"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4" w:space="0" w:color="auto"/>
              <w:right w:val="single" w:sz="4" w:space="0" w:color="auto"/>
            </w:tcBorders>
          </w:tcPr>
          <w:p w14:paraId="53036F67"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8" w:space="0" w:color="BCBCBD"/>
              <w:left w:val="single" w:sz="4" w:space="0" w:color="auto"/>
              <w:bottom w:val="single" w:sz="4" w:space="0" w:color="auto"/>
              <w:right w:val="single" w:sz="4" w:space="0" w:color="auto"/>
            </w:tcBorders>
          </w:tcPr>
          <w:p w14:paraId="45D59D3B"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r>
      <w:tr w:rsidR="007B6EC3" w:rsidRPr="00887A58" w14:paraId="027A24D3" w14:textId="77777777" w:rsidTr="00EE6B38">
        <w:trPr>
          <w:trHeight w:val="230"/>
        </w:trPr>
        <w:tc>
          <w:tcPr>
            <w:tcW w:w="395" w:type="pct"/>
            <w:tcBorders>
              <w:top w:val="single" w:sz="4" w:space="0" w:color="auto"/>
              <w:left w:val="nil"/>
              <w:bottom w:val="single" w:sz="4" w:space="0" w:color="auto"/>
              <w:right w:val="single" w:sz="4" w:space="0" w:color="auto"/>
            </w:tcBorders>
            <w:noWrap/>
            <w:vAlign w:val="center"/>
            <w:hideMark/>
          </w:tcPr>
          <w:p w14:paraId="57BA5746" w14:textId="77777777" w:rsidR="007B6EC3" w:rsidRPr="00887A58" w:rsidRDefault="007B6EC3" w:rsidP="00EE6B38">
            <w:pPr>
              <w:tabs>
                <w:tab w:val="decimal" w:pos="474"/>
                <w:tab w:val="left" w:pos="794"/>
              </w:tabs>
              <w:adjustRightInd w:val="0"/>
              <w:snapToGrid w:val="0"/>
              <w:spacing w:before="40" w:after="40"/>
              <w:ind w:left="170"/>
              <w:rPr>
                <w:rFonts w:eastAsia="SimSun" w:cs="Segoe UI"/>
                <w:kern w:val="2"/>
                <w:sz w:val="18"/>
                <w:szCs w:val="18"/>
                <w:lang w:eastAsia="ja-JP"/>
              </w:rPr>
            </w:pPr>
            <w:r w:rsidRPr="00887A58">
              <w:rPr>
                <w:rFonts w:eastAsia="SimSun" w:cs="Segoe UI"/>
                <w:kern w:val="2"/>
                <w:sz w:val="18"/>
                <w:szCs w:val="18"/>
                <w:lang w:eastAsia="ja-JP"/>
              </w:rPr>
              <w:t>4</w:t>
            </w:r>
          </w:p>
        </w:tc>
        <w:tc>
          <w:tcPr>
            <w:tcW w:w="2841" w:type="pct"/>
            <w:tcBorders>
              <w:top w:val="single" w:sz="4" w:space="0" w:color="auto"/>
              <w:left w:val="single" w:sz="4" w:space="0" w:color="auto"/>
              <w:bottom w:val="single" w:sz="4" w:space="0" w:color="auto"/>
              <w:right w:val="single" w:sz="4" w:space="0" w:color="auto"/>
            </w:tcBorders>
            <w:vAlign w:val="center"/>
            <w:hideMark/>
          </w:tcPr>
          <w:p w14:paraId="22B2EB87" w14:textId="77777777" w:rsidR="007B6EC3" w:rsidRPr="00887A58" w:rsidRDefault="007B6EC3" w:rsidP="00EE6B38">
            <w:pPr>
              <w:tabs>
                <w:tab w:val="decimal" w:pos="474"/>
                <w:tab w:val="left" w:pos="794"/>
              </w:tabs>
              <w:adjustRightInd w:val="0"/>
              <w:snapToGrid w:val="0"/>
              <w:spacing w:before="40" w:after="40"/>
              <w:jc w:val="both"/>
              <w:rPr>
                <w:rFonts w:eastAsia="SimSun" w:cs="Segoe UI"/>
                <w:color w:val="000000"/>
                <w:kern w:val="2"/>
                <w:sz w:val="18"/>
                <w:szCs w:val="18"/>
              </w:rPr>
            </w:pPr>
            <w:r w:rsidRPr="00887A58">
              <w:rPr>
                <w:rFonts w:eastAsia="SimSun" w:cs="Segoe UI"/>
                <w:color w:val="000000"/>
                <w:kern w:val="2"/>
                <w:sz w:val="18"/>
                <w:szCs w:val="18"/>
              </w:rPr>
              <w:t>BI</w:t>
            </w:r>
          </w:p>
        </w:tc>
        <w:tc>
          <w:tcPr>
            <w:tcW w:w="588" w:type="pct"/>
            <w:tcBorders>
              <w:top w:val="single" w:sz="4" w:space="0" w:color="auto"/>
              <w:left w:val="single" w:sz="4" w:space="0" w:color="auto"/>
              <w:bottom w:val="single" w:sz="4" w:space="0" w:color="auto"/>
              <w:right w:val="single" w:sz="4" w:space="0" w:color="auto"/>
            </w:tcBorders>
          </w:tcPr>
          <w:p w14:paraId="45025E61"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4" w:space="0" w:color="auto"/>
              <w:left w:val="single" w:sz="4" w:space="0" w:color="auto"/>
              <w:bottom w:val="single" w:sz="4" w:space="0" w:color="auto"/>
              <w:right w:val="single" w:sz="4" w:space="0" w:color="auto"/>
            </w:tcBorders>
            <w:shd w:val="clear" w:color="auto" w:fill="A6A6A6"/>
          </w:tcPr>
          <w:p w14:paraId="06EB7BE5"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4" w:space="0" w:color="auto"/>
              <w:left w:val="single" w:sz="4" w:space="0" w:color="auto"/>
              <w:bottom w:val="single" w:sz="4" w:space="0" w:color="auto"/>
              <w:right w:val="single" w:sz="4" w:space="0" w:color="auto"/>
            </w:tcBorders>
            <w:shd w:val="clear" w:color="auto" w:fill="A6A6A6"/>
          </w:tcPr>
          <w:p w14:paraId="12FCACB4"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r>
      <w:tr w:rsidR="007B6EC3" w:rsidRPr="00887A58" w14:paraId="4C6F0BD5" w14:textId="77777777" w:rsidTr="00EE6B38">
        <w:trPr>
          <w:trHeight w:val="230"/>
        </w:trPr>
        <w:tc>
          <w:tcPr>
            <w:tcW w:w="395" w:type="pct"/>
            <w:tcBorders>
              <w:top w:val="single" w:sz="4" w:space="0" w:color="auto"/>
              <w:left w:val="nil"/>
              <w:bottom w:val="single" w:sz="4" w:space="0" w:color="auto"/>
              <w:right w:val="single" w:sz="4" w:space="0" w:color="auto"/>
            </w:tcBorders>
            <w:noWrap/>
            <w:vAlign w:val="center"/>
            <w:hideMark/>
          </w:tcPr>
          <w:p w14:paraId="22E3654E" w14:textId="77777777" w:rsidR="007B6EC3" w:rsidRPr="00887A58" w:rsidRDefault="007B6EC3" w:rsidP="00EE6B38">
            <w:pPr>
              <w:tabs>
                <w:tab w:val="decimal" w:pos="474"/>
                <w:tab w:val="left" w:pos="794"/>
              </w:tabs>
              <w:adjustRightInd w:val="0"/>
              <w:snapToGrid w:val="0"/>
              <w:spacing w:before="40" w:after="40"/>
              <w:ind w:left="170"/>
              <w:rPr>
                <w:rFonts w:eastAsia="SimSun" w:cs="Segoe UI"/>
                <w:kern w:val="2"/>
                <w:sz w:val="18"/>
                <w:szCs w:val="18"/>
                <w:lang w:eastAsia="ja-JP"/>
              </w:rPr>
            </w:pPr>
            <w:r w:rsidRPr="00887A58">
              <w:rPr>
                <w:rFonts w:eastAsia="SimSun" w:cs="Segoe UI"/>
                <w:kern w:val="2"/>
                <w:sz w:val="18"/>
                <w:szCs w:val="18"/>
                <w:lang w:eastAsia="ja-JP"/>
              </w:rPr>
              <w:t>5</w:t>
            </w:r>
          </w:p>
        </w:tc>
        <w:tc>
          <w:tcPr>
            <w:tcW w:w="2841" w:type="pct"/>
            <w:tcBorders>
              <w:top w:val="single" w:sz="4" w:space="0" w:color="auto"/>
              <w:left w:val="single" w:sz="4" w:space="0" w:color="auto"/>
              <w:bottom w:val="single" w:sz="4" w:space="0" w:color="auto"/>
              <w:right w:val="single" w:sz="4" w:space="0" w:color="auto"/>
            </w:tcBorders>
            <w:vAlign w:val="center"/>
            <w:hideMark/>
          </w:tcPr>
          <w:p w14:paraId="08B23317" w14:textId="77777777" w:rsidR="007B6EC3" w:rsidRPr="00887A58" w:rsidRDefault="007B6EC3" w:rsidP="00EE6B38">
            <w:pPr>
              <w:tabs>
                <w:tab w:val="decimal" w:pos="474"/>
                <w:tab w:val="left" w:pos="794"/>
              </w:tabs>
              <w:adjustRightInd w:val="0"/>
              <w:snapToGrid w:val="0"/>
              <w:spacing w:before="40" w:after="40"/>
              <w:jc w:val="both"/>
              <w:rPr>
                <w:rFonts w:eastAsia="SimSun" w:cs="Segoe UI"/>
                <w:color w:val="000000"/>
                <w:kern w:val="2"/>
                <w:sz w:val="18"/>
                <w:szCs w:val="18"/>
              </w:rPr>
            </w:pPr>
            <w:r w:rsidRPr="00192BA7">
              <w:rPr>
                <w:rFonts w:eastAsia="SimSun" w:cs="Segoe UI"/>
                <w:color w:val="000000"/>
                <w:kern w:val="2"/>
                <w:sz w:val="18"/>
                <w:szCs w:val="18"/>
              </w:rPr>
              <w:t xml:space="preserve">Business indicator component </w:t>
            </w:r>
            <w:r>
              <w:rPr>
                <w:rFonts w:eastAsia="SimSun" w:cs="Segoe UI"/>
                <w:color w:val="000000"/>
                <w:kern w:val="2"/>
                <w:sz w:val="18"/>
                <w:szCs w:val="18"/>
              </w:rPr>
              <w:t>(</w:t>
            </w:r>
            <w:r w:rsidRPr="00887A58">
              <w:rPr>
                <w:rFonts w:eastAsia="SimSun" w:cs="Segoe UI"/>
                <w:color w:val="000000"/>
                <w:kern w:val="2"/>
                <w:sz w:val="18"/>
                <w:szCs w:val="18"/>
              </w:rPr>
              <w:t>BIC</w:t>
            </w:r>
            <w:r>
              <w:rPr>
                <w:rFonts w:eastAsia="SimSun" w:cs="Segoe UI"/>
                <w:color w:val="000000"/>
                <w:kern w:val="2"/>
                <w:sz w:val="18"/>
                <w:szCs w:val="18"/>
              </w:rPr>
              <w:t>)</w:t>
            </w:r>
          </w:p>
        </w:tc>
        <w:tc>
          <w:tcPr>
            <w:tcW w:w="588" w:type="pct"/>
            <w:tcBorders>
              <w:top w:val="single" w:sz="4" w:space="0" w:color="auto"/>
              <w:left w:val="single" w:sz="4" w:space="0" w:color="auto"/>
              <w:bottom w:val="single" w:sz="4" w:space="0" w:color="auto"/>
              <w:right w:val="single" w:sz="4" w:space="0" w:color="auto"/>
            </w:tcBorders>
          </w:tcPr>
          <w:p w14:paraId="375EA3FE"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4" w:space="0" w:color="auto"/>
              <w:left w:val="single" w:sz="4" w:space="0" w:color="auto"/>
              <w:bottom w:val="single" w:sz="4" w:space="0" w:color="auto"/>
              <w:right w:val="single" w:sz="4" w:space="0" w:color="auto"/>
            </w:tcBorders>
            <w:shd w:val="clear" w:color="auto" w:fill="A6A6A6"/>
          </w:tcPr>
          <w:p w14:paraId="44C60850"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c>
          <w:tcPr>
            <w:tcW w:w="588" w:type="pct"/>
            <w:tcBorders>
              <w:top w:val="single" w:sz="4" w:space="0" w:color="auto"/>
              <w:left w:val="single" w:sz="4" w:space="0" w:color="auto"/>
              <w:bottom w:val="single" w:sz="4" w:space="0" w:color="auto"/>
              <w:right w:val="single" w:sz="4" w:space="0" w:color="auto"/>
            </w:tcBorders>
            <w:shd w:val="clear" w:color="auto" w:fill="A6A6A6"/>
          </w:tcPr>
          <w:p w14:paraId="7C39B203" w14:textId="77777777" w:rsidR="007B6EC3" w:rsidRPr="00887A58" w:rsidRDefault="007B6EC3" w:rsidP="00EE6B38">
            <w:pPr>
              <w:tabs>
                <w:tab w:val="decimal" w:pos="474"/>
                <w:tab w:val="left" w:pos="794"/>
              </w:tabs>
              <w:adjustRightInd w:val="0"/>
              <w:snapToGrid w:val="0"/>
              <w:spacing w:before="40" w:after="40"/>
              <w:jc w:val="both"/>
              <w:rPr>
                <w:rFonts w:eastAsia="SimSun" w:cs="Segoe UI"/>
                <w:kern w:val="2"/>
                <w:sz w:val="18"/>
                <w:szCs w:val="18"/>
                <w:lang w:eastAsia="ja-JP"/>
              </w:rPr>
            </w:pPr>
          </w:p>
        </w:tc>
      </w:tr>
    </w:tbl>
    <w:p w14:paraId="5B25D633" w14:textId="77777777" w:rsidR="007B6EC3" w:rsidRDefault="007B6EC3" w:rsidP="007B6EC3">
      <w:pPr>
        <w:adjustRightInd w:val="0"/>
        <w:snapToGrid w:val="0"/>
      </w:pPr>
      <w:r>
        <w:br w:type="page"/>
      </w:r>
    </w:p>
    <w:tbl>
      <w:tblPr>
        <w:tblW w:w="5697" w:type="pct"/>
        <w:tblInd w:w="-460"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ook w:val="0600" w:firstRow="0" w:lastRow="0" w:firstColumn="0" w:lastColumn="0" w:noHBand="1" w:noVBand="1"/>
      </w:tblPr>
      <w:tblGrid>
        <w:gridCol w:w="706"/>
        <w:gridCol w:w="5105"/>
        <w:gridCol w:w="1135"/>
        <w:gridCol w:w="2525"/>
      </w:tblGrid>
      <w:tr w:rsidR="007B6EC3" w:rsidRPr="003A42CE" w14:paraId="10E9015C" w14:textId="77777777" w:rsidTr="00EE6B38">
        <w:tc>
          <w:tcPr>
            <w:tcW w:w="5000" w:type="pct"/>
            <w:gridSpan w:val="4"/>
            <w:tcBorders>
              <w:top w:val="nil"/>
              <w:left w:val="nil"/>
              <w:bottom w:val="nil"/>
              <w:right w:val="nil"/>
            </w:tcBorders>
            <w:tcMar>
              <w:top w:w="0" w:type="dxa"/>
              <w:left w:w="0" w:type="dxa"/>
              <w:bottom w:w="0" w:type="dxa"/>
              <w:right w:w="0" w:type="dxa"/>
            </w:tcMar>
            <w:vAlign w:val="center"/>
          </w:tcPr>
          <w:p w14:paraId="55974AFA" w14:textId="77777777" w:rsidR="007B6EC3" w:rsidRDefault="007B6EC3" w:rsidP="00EE6B38">
            <w:pPr>
              <w:adjustRightInd w:val="0"/>
              <w:snapToGrid w:val="0"/>
              <w:rPr>
                <w:rFonts w:cs="Segoe UI"/>
                <w:b/>
                <w:sz w:val="17"/>
                <w:szCs w:val="17"/>
              </w:rPr>
            </w:pPr>
          </w:p>
          <w:p w14:paraId="28243A9A" w14:textId="77777777" w:rsidR="007B6EC3" w:rsidRPr="003A42CE" w:rsidRDefault="007B6EC3" w:rsidP="00EE6B38">
            <w:pPr>
              <w:adjustRightInd w:val="0"/>
              <w:snapToGrid w:val="0"/>
              <w:rPr>
                <w:rFonts w:cs="Segoe UI"/>
                <w:b/>
                <w:sz w:val="17"/>
                <w:szCs w:val="17"/>
              </w:rPr>
            </w:pPr>
            <w:r w:rsidRPr="003A42CE">
              <w:rPr>
                <w:rFonts w:cs="Segoe UI"/>
                <w:b/>
                <w:sz w:val="17"/>
                <w:szCs w:val="17"/>
              </w:rPr>
              <w:t>Disclosure on the BI:</w:t>
            </w:r>
          </w:p>
        </w:tc>
      </w:tr>
      <w:tr w:rsidR="007B6EC3" w:rsidRPr="003A42CE" w14:paraId="74ECBAFD" w14:textId="77777777" w:rsidTr="00EE6B38">
        <w:tc>
          <w:tcPr>
            <w:tcW w:w="373" w:type="pct"/>
            <w:tcBorders>
              <w:top w:val="nil"/>
              <w:left w:val="nil"/>
              <w:bottom w:val="single" w:sz="4" w:space="0" w:color="auto"/>
              <w:right w:val="nil"/>
            </w:tcBorders>
            <w:tcMar>
              <w:top w:w="0" w:type="dxa"/>
              <w:left w:w="0" w:type="dxa"/>
              <w:bottom w:w="0" w:type="dxa"/>
              <w:right w:w="0" w:type="dxa"/>
            </w:tcMar>
            <w:vAlign w:val="center"/>
          </w:tcPr>
          <w:p w14:paraId="55E5F0F9" w14:textId="77777777" w:rsidR="007B6EC3" w:rsidRPr="003A42CE" w:rsidRDefault="007B6EC3" w:rsidP="00EE6B38">
            <w:pPr>
              <w:adjustRightInd w:val="0"/>
              <w:snapToGrid w:val="0"/>
              <w:spacing w:before="40" w:after="40"/>
              <w:jc w:val="both"/>
              <w:rPr>
                <w:rFonts w:cs="Segoe UI"/>
                <w:b/>
                <w:sz w:val="17"/>
                <w:szCs w:val="17"/>
              </w:rPr>
            </w:pPr>
          </w:p>
        </w:tc>
        <w:tc>
          <w:tcPr>
            <w:tcW w:w="2695" w:type="pct"/>
            <w:tcBorders>
              <w:top w:val="nil"/>
              <w:left w:val="nil"/>
              <w:bottom w:val="single" w:sz="4" w:space="0" w:color="auto"/>
              <w:right w:val="nil"/>
            </w:tcBorders>
            <w:tcMar>
              <w:top w:w="0" w:type="dxa"/>
              <w:left w:w="0" w:type="dxa"/>
              <w:bottom w:w="0" w:type="dxa"/>
              <w:right w:w="0" w:type="dxa"/>
            </w:tcMar>
          </w:tcPr>
          <w:p w14:paraId="715A7664" w14:textId="77777777" w:rsidR="007B6EC3" w:rsidRPr="003A42CE" w:rsidRDefault="007B6EC3" w:rsidP="00EE6B38">
            <w:pPr>
              <w:adjustRightInd w:val="0"/>
              <w:snapToGrid w:val="0"/>
              <w:spacing w:before="40" w:after="40"/>
              <w:jc w:val="both"/>
              <w:rPr>
                <w:rFonts w:cs="Segoe UI"/>
                <w:b/>
                <w:sz w:val="17"/>
                <w:szCs w:val="17"/>
              </w:rPr>
            </w:pPr>
          </w:p>
        </w:tc>
        <w:tc>
          <w:tcPr>
            <w:tcW w:w="599"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67CD6C9" w14:textId="77777777" w:rsidR="007B6EC3" w:rsidRPr="003A42CE" w:rsidRDefault="007B6EC3" w:rsidP="00EE6B38">
            <w:pPr>
              <w:keepLines/>
              <w:widowControl w:val="0"/>
              <w:adjustRightInd w:val="0"/>
              <w:snapToGrid w:val="0"/>
              <w:spacing w:before="40" w:after="40"/>
              <w:jc w:val="center"/>
              <w:rPr>
                <w:rFonts w:cs="Segoe UI"/>
                <w:sz w:val="17"/>
                <w:szCs w:val="17"/>
                <w:lang w:eastAsia="en-GB"/>
              </w:rPr>
            </w:pPr>
            <w:r>
              <w:rPr>
                <w:rFonts w:cs="Segoe UI"/>
                <w:sz w:val="17"/>
                <w:szCs w:val="17"/>
                <w:lang w:eastAsia="en-GB"/>
              </w:rPr>
              <w:t>(</w:t>
            </w:r>
            <w:r w:rsidRPr="003A42CE">
              <w:rPr>
                <w:rFonts w:cs="Segoe UI"/>
                <w:sz w:val="17"/>
                <w:szCs w:val="17"/>
                <w:lang w:eastAsia="en-GB"/>
              </w:rPr>
              <w:t>a</w:t>
            </w:r>
            <w:r>
              <w:rPr>
                <w:rFonts w:cs="Segoe UI"/>
                <w:sz w:val="17"/>
                <w:szCs w:val="17"/>
                <w:lang w:eastAsia="en-GB"/>
              </w:rPr>
              <w:t>)</w:t>
            </w:r>
          </w:p>
        </w:tc>
        <w:tc>
          <w:tcPr>
            <w:tcW w:w="1334" w:type="pct"/>
            <w:tcBorders>
              <w:top w:val="nil"/>
              <w:left w:val="single" w:sz="4" w:space="0" w:color="auto"/>
              <w:bottom w:val="nil"/>
              <w:right w:val="nil"/>
            </w:tcBorders>
            <w:tcMar>
              <w:top w:w="0" w:type="dxa"/>
              <w:left w:w="0" w:type="dxa"/>
              <w:bottom w:w="0" w:type="dxa"/>
              <w:right w:w="0" w:type="dxa"/>
            </w:tcMar>
          </w:tcPr>
          <w:p w14:paraId="6E48AB9E" w14:textId="77777777" w:rsidR="007B6EC3" w:rsidRPr="003A42CE" w:rsidRDefault="007B6EC3" w:rsidP="00EE6B38">
            <w:pPr>
              <w:rPr>
                <w:rFonts w:cs="Segoe UI"/>
                <w:sz w:val="17"/>
                <w:szCs w:val="17"/>
                <w:lang w:eastAsia="en-GB"/>
              </w:rPr>
            </w:pPr>
          </w:p>
        </w:tc>
      </w:tr>
      <w:tr w:rsidR="007B6EC3" w:rsidRPr="003A42CE" w14:paraId="3AEF5CD7" w14:textId="77777777" w:rsidTr="00EE6B38">
        <w:tc>
          <w:tcPr>
            <w:tcW w:w="373"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8CE8002" w14:textId="77777777" w:rsidR="007B6EC3" w:rsidRPr="003A42CE" w:rsidRDefault="007B6EC3" w:rsidP="00EE6B38">
            <w:pPr>
              <w:adjustRightInd w:val="0"/>
              <w:snapToGrid w:val="0"/>
              <w:spacing w:before="40" w:after="40"/>
              <w:jc w:val="center"/>
              <w:rPr>
                <w:rFonts w:eastAsia="MS Mincho" w:cs="Segoe UI"/>
                <w:sz w:val="17"/>
                <w:szCs w:val="17"/>
                <w:lang w:eastAsia="ja-JP"/>
              </w:rPr>
            </w:pPr>
            <w:r w:rsidRPr="003A42CE">
              <w:rPr>
                <w:rFonts w:cs="Segoe UI"/>
                <w:sz w:val="17"/>
                <w:szCs w:val="17"/>
                <w:lang w:eastAsia="en-GB"/>
              </w:rPr>
              <w:t>6a</w:t>
            </w:r>
          </w:p>
        </w:tc>
        <w:tc>
          <w:tcPr>
            <w:tcW w:w="2695" w:type="pct"/>
            <w:tcBorders>
              <w:top w:val="single" w:sz="4" w:space="0" w:color="auto"/>
              <w:left w:val="single" w:sz="4" w:space="0" w:color="auto"/>
              <w:bottom w:val="single" w:sz="4" w:space="0" w:color="auto"/>
              <w:right w:val="nil"/>
            </w:tcBorders>
            <w:tcMar>
              <w:top w:w="0" w:type="dxa"/>
              <w:left w:w="0" w:type="dxa"/>
              <w:bottom w:w="0" w:type="dxa"/>
              <w:right w:w="0" w:type="dxa"/>
            </w:tcMar>
            <w:vAlign w:val="center"/>
            <w:hideMark/>
          </w:tcPr>
          <w:p w14:paraId="6511AF8E" w14:textId="77777777" w:rsidR="007B6EC3" w:rsidRPr="003A42CE" w:rsidRDefault="007B6EC3" w:rsidP="00EE6B38">
            <w:pPr>
              <w:tabs>
                <w:tab w:val="decimal" w:pos="474"/>
                <w:tab w:val="left" w:pos="794"/>
              </w:tabs>
              <w:adjustRightInd w:val="0"/>
              <w:snapToGrid w:val="0"/>
              <w:spacing w:before="40" w:after="40"/>
              <w:ind w:left="142"/>
              <w:jc w:val="both"/>
              <w:rPr>
                <w:rFonts w:eastAsia="SimSun" w:cs="Segoe UI"/>
                <w:color w:val="000000"/>
                <w:kern w:val="2"/>
                <w:sz w:val="18"/>
                <w:szCs w:val="18"/>
              </w:rPr>
            </w:pPr>
            <w:r w:rsidRPr="003A42CE">
              <w:rPr>
                <w:rFonts w:eastAsia="SimSun" w:cs="Segoe UI"/>
                <w:color w:val="000000"/>
                <w:kern w:val="2"/>
                <w:sz w:val="18"/>
                <w:szCs w:val="18"/>
              </w:rPr>
              <w:t xml:space="preserve">BI gross of excluded divested </w:t>
            </w:r>
            <w:r>
              <w:rPr>
                <w:rFonts w:cs="Segoe UI"/>
                <w:sz w:val="17"/>
                <w:szCs w:val="17"/>
              </w:rPr>
              <w:t xml:space="preserve">businesses and </w:t>
            </w:r>
            <w:r w:rsidRPr="003A42CE">
              <w:rPr>
                <w:rFonts w:eastAsia="SimSun" w:cs="Segoe UI"/>
                <w:color w:val="000000"/>
                <w:kern w:val="2"/>
                <w:sz w:val="18"/>
                <w:szCs w:val="18"/>
              </w:rPr>
              <w:t>activities</w:t>
            </w:r>
          </w:p>
        </w:tc>
        <w:tc>
          <w:tcPr>
            <w:tcW w:w="599"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288CAD3" w14:textId="77777777" w:rsidR="007B6EC3" w:rsidRPr="003A42CE" w:rsidRDefault="007B6EC3" w:rsidP="00EE6B38">
            <w:pPr>
              <w:keepLines/>
              <w:widowControl w:val="0"/>
              <w:adjustRightInd w:val="0"/>
              <w:snapToGrid w:val="0"/>
              <w:spacing w:before="40" w:after="40"/>
              <w:jc w:val="center"/>
              <w:rPr>
                <w:rFonts w:cs="Segoe UI"/>
                <w:sz w:val="17"/>
                <w:szCs w:val="17"/>
                <w:lang w:eastAsia="en-GB"/>
              </w:rPr>
            </w:pPr>
          </w:p>
        </w:tc>
        <w:tc>
          <w:tcPr>
            <w:tcW w:w="1334" w:type="pct"/>
            <w:tcBorders>
              <w:top w:val="nil"/>
              <w:left w:val="single" w:sz="4" w:space="0" w:color="auto"/>
              <w:bottom w:val="nil"/>
              <w:right w:val="nil"/>
            </w:tcBorders>
            <w:tcMar>
              <w:top w:w="0" w:type="dxa"/>
              <w:left w:w="0" w:type="dxa"/>
              <w:bottom w:w="0" w:type="dxa"/>
              <w:right w:w="0" w:type="dxa"/>
            </w:tcMar>
          </w:tcPr>
          <w:p w14:paraId="04DA049B" w14:textId="77777777" w:rsidR="007B6EC3" w:rsidRPr="003A42CE" w:rsidRDefault="007B6EC3" w:rsidP="00EE6B38">
            <w:pPr>
              <w:rPr>
                <w:rFonts w:cs="Segoe UI"/>
                <w:sz w:val="17"/>
                <w:szCs w:val="17"/>
                <w:lang w:eastAsia="en-GB"/>
              </w:rPr>
            </w:pPr>
          </w:p>
        </w:tc>
      </w:tr>
      <w:tr w:rsidR="007B6EC3" w:rsidRPr="003A42CE" w14:paraId="0E09D844" w14:textId="77777777" w:rsidTr="00EE6B38">
        <w:tc>
          <w:tcPr>
            <w:tcW w:w="373"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BC9763B" w14:textId="77777777" w:rsidR="007B6EC3" w:rsidRPr="003A42CE" w:rsidRDefault="007B6EC3" w:rsidP="00EE6B38">
            <w:pPr>
              <w:adjustRightInd w:val="0"/>
              <w:snapToGrid w:val="0"/>
              <w:spacing w:before="40" w:after="40"/>
              <w:jc w:val="center"/>
              <w:rPr>
                <w:rFonts w:cs="Segoe UI"/>
                <w:sz w:val="17"/>
                <w:szCs w:val="17"/>
                <w:lang w:eastAsia="en-GB"/>
              </w:rPr>
            </w:pPr>
            <w:r w:rsidRPr="003A42CE">
              <w:rPr>
                <w:rFonts w:cs="Segoe UI"/>
                <w:sz w:val="17"/>
                <w:szCs w:val="17"/>
                <w:lang w:eastAsia="en-GB"/>
              </w:rPr>
              <w:t>6b</w:t>
            </w:r>
          </w:p>
        </w:tc>
        <w:tc>
          <w:tcPr>
            <w:tcW w:w="2695" w:type="pct"/>
            <w:tcBorders>
              <w:top w:val="single" w:sz="4" w:space="0" w:color="auto"/>
              <w:left w:val="single" w:sz="4" w:space="0" w:color="auto"/>
              <w:bottom w:val="single" w:sz="4" w:space="0" w:color="auto"/>
              <w:right w:val="nil"/>
            </w:tcBorders>
            <w:tcMar>
              <w:top w:w="0" w:type="dxa"/>
              <w:left w:w="0" w:type="dxa"/>
              <w:bottom w:w="0" w:type="dxa"/>
              <w:right w:w="0" w:type="dxa"/>
            </w:tcMar>
            <w:vAlign w:val="center"/>
            <w:hideMark/>
          </w:tcPr>
          <w:p w14:paraId="4AC96BE8" w14:textId="77777777" w:rsidR="007B6EC3" w:rsidRPr="003A42CE" w:rsidRDefault="007B6EC3" w:rsidP="00E404D5">
            <w:pPr>
              <w:tabs>
                <w:tab w:val="decimal" w:pos="474"/>
                <w:tab w:val="left" w:pos="794"/>
              </w:tabs>
              <w:adjustRightInd w:val="0"/>
              <w:snapToGrid w:val="0"/>
              <w:spacing w:before="40" w:after="40"/>
              <w:ind w:left="142" w:right="100"/>
              <w:jc w:val="both"/>
              <w:rPr>
                <w:rFonts w:eastAsia="SimSun" w:cs="Segoe UI"/>
                <w:color w:val="000000"/>
                <w:kern w:val="2"/>
                <w:sz w:val="18"/>
                <w:szCs w:val="18"/>
              </w:rPr>
            </w:pPr>
            <w:r w:rsidRPr="003A42CE">
              <w:rPr>
                <w:rFonts w:eastAsia="SimSun" w:cs="Segoe UI"/>
                <w:color w:val="000000"/>
                <w:kern w:val="2"/>
                <w:sz w:val="18"/>
                <w:szCs w:val="18"/>
              </w:rPr>
              <w:t xml:space="preserve">Reduction in BI due to excluded divested </w:t>
            </w:r>
            <w:r>
              <w:rPr>
                <w:rFonts w:cs="Segoe UI"/>
                <w:sz w:val="17"/>
                <w:szCs w:val="17"/>
              </w:rPr>
              <w:t xml:space="preserve">businesses and </w:t>
            </w:r>
            <w:r w:rsidRPr="003A42CE">
              <w:rPr>
                <w:rFonts w:eastAsia="SimSun" w:cs="Segoe UI"/>
                <w:color w:val="000000"/>
                <w:kern w:val="2"/>
                <w:sz w:val="18"/>
                <w:szCs w:val="18"/>
              </w:rPr>
              <w:t>activities</w:t>
            </w:r>
          </w:p>
        </w:tc>
        <w:tc>
          <w:tcPr>
            <w:tcW w:w="599"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C3D7F25" w14:textId="77777777" w:rsidR="007B6EC3" w:rsidRPr="003A42CE" w:rsidRDefault="007B6EC3" w:rsidP="00EE6B38">
            <w:pPr>
              <w:keepLines/>
              <w:widowControl w:val="0"/>
              <w:adjustRightInd w:val="0"/>
              <w:snapToGrid w:val="0"/>
              <w:spacing w:before="40" w:after="40"/>
              <w:jc w:val="center"/>
              <w:rPr>
                <w:rFonts w:cs="Segoe UI"/>
                <w:sz w:val="17"/>
                <w:szCs w:val="17"/>
                <w:lang w:eastAsia="en-GB"/>
              </w:rPr>
            </w:pPr>
          </w:p>
        </w:tc>
        <w:tc>
          <w:tcPr>
            <w:tcW w:w="1334" w:type="pct"/>
            <w:tcBorders>
              <w:top w:val="nil"/>
              <w:left w:val="single" w:sz="4" w:space="0" w:color="auto"/>
              <w:bottom w:val="nil"/>
              <w:right w:val="nil"/>
            </w:tcBorders>
            <w:tcMar>
              <w:top w:w="0" w:type="dxa"/>
              <w:left w:w="0" w:type="dxa"/>
              <w:bottom w:w="0" w:type="dxa"/>
              <w:right w:w="0" w:type="dxa"/>
            </w:tcMar>
          </w:tcPr>
          <w:p w14:paraId="4E437C71" w14:textId="77777777" w:rsidR="007B6EC3" w:rsidRPr="003A42CE" w:rsidRDefault="007B6EC3" w:rsidP="00EE6B38">
            <w:pPr>
              <w:rPr>
                <w:rFonts w:cs="Segoe UI"/>
                <w:sz w:val="17"/>
                <w:szCs w:val="17"/>
                <w:lang w:eastAsia="en-GB"/>
              </w:rPr>
            </w:pPr>
          </w:p>
        </w:tc>
      </w:tr>
    </w:tbl>
    <w:p w14:paraId="2ABA5AAF" w14:textId="77777777" w:rsidR="007B6EC3" w:rsidRDefault="007B6EC3" w:rsidP="007B6EC3">
      <w:pPr>
        <w:spacing w:before="120" w:after="120"/>
        <w:rPr>
          <w:sz w:val="22"/>
        </w:rPr>
      </w:pPr>
    </w:p>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8618"/>
      </w:tblGrid>
      <w:tr w:rsidR="007B6EC3" w14:paraId="07069D2E" w14:textId="77777777" w:rsidTr="00EE6B38">
        <w:trPr>
          <w:tblHeader/>
        </w:trPr>
        <w:tc>
          <w:tcPr>
            <w:tcW w:w="9214" w:type="dxa"/>
            <w:gridSpan w:val="2"/>
            <w:shd w:val="clear" w:color="auto" w:fill="BFBFBF"/>
          </w:tcPr>
          <w:p w14:paraId="4A35A4F8" w14:textId="77777777" w:rsidR="007B6EC3" w:rsidRDefault="007B6EC3" w:rsidP="00EE6B38">
            <w:pPr>
              <w:spacing w:before="40" w:after="40"/>
              <w:jc w:val="both"/>
              <w:rPr>
                <w:rFonts w:eastAsia="新細明體"/>
                <w:b/>
                <w:sz w:val="17"/>
                <w:szCs w:val="17"/>
                <w:lang w:eastAsia="en-GB"/>
              </w:rPr>
            </w:pPr>
            <w:r>
              <w:rPr>
                <w:rFonts w:eastAsia="新細明體"/>
                <w:b/>
                <w:sz w:val="17"/>
                <w:szCs w:val="17"/>
                <w:lang w:eastAsia="en-GB"/>
              </w:rPr>
              <w:t>Explanatory Note</w:t>
            </w:r>
          </w:p>
        </w:tc>
      </w:tr>
      <w:tr w:rsidR="007B6EC3" w14:paraId="65BF3EDF" w14:textId="77777777" w:rsidTr="00EE6B38">
        <w:trPr>
          <w:trHeight w:val="153"/>
        </w:trPr>
        <w:tc>
          <w:tcPr>
            <w:tcW w:w="9214" w:type="dxa"/>
            <w:gridSpan w:val="2"/>
            <w:shd w:val="clear" w:color="auto" w:fill="F2F2F2"/>
          </w:tcPr>
          <w:p w14:paraId="23C8B472" w14:textId="77777777" w:rsidR="007B6EC3" w:rsidRDefault="007B6EC3" w:rsidP="00EE6B38">
            <w:pPr>
              <w:spacing w:before="40" w:after="40"/>
              <w:jc w:val="both"/>
              <w:rPr>
                <w:rFonts w:eastAsia="新細明體"/>
                <w:b/>
                <w:sz w:val="17"/>
                <w:szCs w:val="17"/>
                <w:lang w:eastAsia="en-GB"/>
              </w:rPr>
            </w:pPr>
            <w:r>
              <w:rPr>
                <w:rFonts w:eastAsia="新細明體"/>
                <w:b/>
                <w:sz w:val="17"/>
                <w:szCs w:val="17"/>
                <w:lang w:eastAsia="en-GB"/>
              </w:rPr>
              <w:t>Columns</w:t>
            </w:r>
          </w:p>
        </w:tc>
      </w:tr>
      <w:tr w:rsidR="007B6EC3" w14:paraId="75726CCA" w14:textId="77777777" w:rsidTr="00EE6B38">
        <w:tc>
          <w:tcPr>
            <w:tcW w:w="596" w:type="dxa"/>
          </w:tcPr>
          <w:p w14:paraId="74DBD975" w14:textId="77777777" w:rsidR="007B6EC3" w:rsidRDefault="007B6EC3" w:rsidP="00EE6B38">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(a) to (c)</w:t>
            </w:r>
          </w:p>
        </w:tc>
        <w:tc>
          <w:tcPr>
            <w:tcW w:w="8618" w:type="dxa"/>
          </w:tcPr>
          <w:p w14:paraId="313265A6" w14:textId="77777777" w:rsidR="007B6EC3" w:rsidRDefault="007B6EC3" w:rsidP="00EE6B38">
            <w:pPr>
              <w:keepLines/>
              <w:widowControl w:val="0"/>
              <w:tabs>
                <w:tab w:val="left" w:pos="150"/>
                <w:tab w:val="left" w:pos="397"/>
                <w:tab w:val="left" w:pos="794"/>
                <w:tab w:val="left" w:pos="1191"/>
              </w:tabs>
              <w:spacing w:before="20" w:after="20"/>
              <w:jc w:val="both"/>
              <w:rPr>
                <w:sz w:val="17"/>
                <w:szCs w:val="17"/>
              </w:rPr>
            </w:pPr>
            <w:r w:rsidRPr="00374D2D">
              <w:rPr>
                <w:sz w:val="17"/>
                <w:szCs w:val="17"/>
              </w:rPr>
              <w:t xml:space="preserve">T </w:t>
            </w:r>
            <w:r w:rsidRPr="00646C85">
              <w:rPr>
                <w:sz w:val="17"/>
                <w:szCs w:val="17"/>
              </w:rPr>
              <w:t xml:space="preserve">denotes the </w:t>
            </w:r>
            <w:r>
              <w:rPr>
                <w:sz w:val="17"/>
                <w:szCs w:val="17"/>
              </w:rPr>
              <w:t xml:space="preserve">end of </w:t>
            </w:r>
            <w:r w:rsidRPr="00646C85">
              <w:rPr>
                <w:sz w:val="17"/>
                <w:szCs w:val="17"/>
              </w:rPr>
              <w:t xml:space="preserve">current </w:t>
            </w:r>
            <w:r>
              <w:rPr>
                <w:sz w:val="17"/>
                <w:szCs w:val="17"/>
              </w:rPr>
              <w:t xml:space="preserve">annual </w:t>
            </w:r>
            <w:r w:rsidRPr="00646C85">
              <w:rPr>
                <w:sz w:val="17"/>
                <w:szCs w:val="17"/>
              </w:rPr>
              <w:t xml:space="preserve">reporting period, T–1 </w:t>
            </w:r>
            <w:r>
              <w:rPr>
                <w:sz w:val="17"/>
                <w:szCs w:val="17"/>
              </w:rPr>
              <w:t>denotes</w:t>
            </w:r>
            <w:r w:rsidRPr="00646C85">
              <w:rPr>
                <w:sz w:val="17"/>
                <w:szCs w:val="17"/>
              </w:rPr>
              <w:t xml:space="preserve"> </w:t>
            </w:r>
            <w:r>
              <w:rPr>
                <w:sz w:val="17"/>
                <w:szCs w:val="17"/>
              </w:rPr>
              <w:t xml:space="preserve">the annual reporting period immediately preceding T, </w:t>
            </w:r>
            <w:r w:rsidRPr="00646C85">
              <w:rPr>
                <w:sz w:val="17"/>
                <w:szCs w:val="17"/>
              </w:rPr>
              <w:t>etc.</w:t>
            </w:r>
          </w:p>
        </w:tc>
      </w:tr>
      <w:tr w:rsidR="007B6EC3" w14:paraId="296D1785" w14:textId="77777777" w:rsidTr="00EE6B38">
        <w:trPr>
          <w:trHeight w:val="153"/>
        </w:trPr>
        <w:tc>
          <w:tcPr>
            <w:tcW w:w="9214" w:type="dxa"/>
            <w:gridSpan w:val="2"/>
            <w:shd w:val="clear" w:color="auto" w:fill="F2F2F2"/>
          </w:tcPr>
          <w:p w14:paraId="41C47945" w14:textId="77777777" w:rsidR="007B6EC3" w:rsidRDefault="007B6EC3" w:rsidP="00EE6B38">
            <w:pPr>
              <w:spacing w:before="40" w:after="40"/>
              <w:jc w:val="both"/>
              <w:rPr>
                <w:rFonts w:eastAsia="新細明體"/>
                <w:b/>
                <w:sz w:val="17"/>
                <w:szCs w:val="17"/>
                <w:lang w:eastAsia="en-GB"/>
              </w:rPr>
            </w:pPr>
            <w:r>
              <w:rPr>
                <w:rFonts w:eastAsia="新細明體"/>
                <w:b/>
                <w:sz w:val="17"/>
                <w:szCs w:val="17"/>
                <w:lang w:eastAsia="en-GB"/>
              </w:rPr>
              <w:t>Rows</w:t>
            </w:r>
          </w:p>
        </w:tc>
      </w:tr>
      <w:tr w:rsidR="007B6EC3" w14:paraId="550F1242" w14:textId="77777777" w:rsidTr="00506803">
        <w:trPr>
          <w:trHeight w:val="2024"/>
        </w:trPr>
        <w:tc>
          <w:tcPr>
            <w:tcW w:w="596" w:type="dxa"/>
          </w:tcPr>
          <w:p w14:paraId="592C1FC8" w14:textId="77777777" w:rsidR="007B6EC3" w:rsidRDefault="007B6EC3" w:rsidP="00EE6B38">
            <w:pPr>
              <w:pStyle w:val="ListParagraph"/>
              <w:keepLines/>
              <w:widowControl w:val="0"/>
              <w:spacing w:before="20" w:after="20"/>
              <w:ind w:leftChars="0" w:left="0" w:rightChars="-54" w:right="-108"/>
              <w:rPr>
                <w:rFonts w:cs="Segoe UI"/>
                <w:sz w:val="17"/>
                <w:szCs w:val="17"/>
                <w:lang w:eastAsia="en-GB"/>
              </w:rPr>
            </w:pPr>
            <w:r>
              <w:rPr>
                <w:rFonts w:cs="Segoe UI"/>
                <w:sz w:val="17"/>
                <w:szCs w:val="17"/>
                <w:lang w:eastAsia="en-GB"/>
              </w:rPr>
              <w:t>1</w:t>
            </w:r>
          </w:p>
        </w:tc>
        <w:tc>
          <w:tcPr>
            <w:tcW w:w="8618" w:type="dxa"/>
          </w:tcPr>
          <w:p w14:paraId="0FE81234" w14:textId="6485EECD" w:rsidR="007B6EC3" w:rsidRDefault="007B6EC3" w:rsidP="00EE6B38">
            <w:pPr>
              <w:keepLines/>
              <w:widowControl w:val="0"/>
              <w:tabs>
                <w:tab w:val="left" w:pos="150"/>
                <w:tab w:val="left" w:pos="397"/>
                <w:tab w:val="left" w:pos="794"/>
                <w:tab w:val="left" w:pos="1191"/>
              </w:tabs>
              <w:spacing w:before="20" w:after="20"/>
              <w:jc w:val="both"/>
              <w:rPr>
                <w:sz w:val="17"/>
                <w:szCs w:val="17"/>
              </w:rPr>
            </w:pPr>
            <w:r>
              <w:rPr>
                <w:noProof/>
                <w:lang w:eastAsia="zh-TW"/>
              </w:rPr>
              <mc:AlternateContent>
                <mc:Choice Requires="wps">
                  <w:drawing>
                    <wp:anchor distT="0" distB="0" distL="114300" distR="114300" simplePos="0" relativeHeight="251661312" behindDoc="0" locked="0" layoutInCell="1" allowOverlap="1" wp14:anchorId="127A39AF" wp14:editId="7327F16B">
                      <wp:simplePos x="0" y="0"/>
                      <wp:positionH relativeFrom="column">
                        <wp:posOffset>1205494</wp:posOffset>
                      </wp:positionH>
                      <wp:positionV relativeFrom="paragraph">
                        <wp:posOffset>291465</wp:posOffset>
                      </wp:positionV>
                      <wp:extent cx="828040" cy="0"/>
                      <wp:effectExtent l="0" t="0" r="2921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8040" cy="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line w14:anchorId="4EA16909" id="Straight Connector 1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94.9pt,22.95pt" to="160.1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" strokeweight=".5pt">
                      <v:stroke joinstyle="miter"/>
                    </v:line>
                  </w:pict>
                </mc:Fallback>
              </mc:AlternateContent>
            </w:r>
            <w:r>
              <w:rPr>
                <w:noProof/>
                <w:lang w:eastAsia="zh-TW"/>
              </w:rPr>
              <mc:AlternateContent>
                <mc:Choice Requires="wps">
                  <w:drawing>
                    <wp:anchor distT="0" distB="0" distL="114300" distR="114300" simplePos="0" relativeHeight="251660288" behindDoc="0" locked="0" layoutInCell="1" allowOverlap="1" wp14:anchorId="76039D7A" wp14:editId="31DFEC83">
                      <wp:simplePos x="0" y="0"/>
                      <wp:positionH relativeFrom="column">
                        <wp:posOffset>-3810</wp:posOffset>
                      </wp:positionH>
                      <wp:positionV relativeFrom="paragraph">
                        <wp:posOffset>291465</wp:posOffset>
                      </wp:positionV>
                      <wp:extent cx="1080135" cy="0"/>
                      <wp:effectExtent l="5080" t="13335" r="10160" b="571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135" cy="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line w14:anchorId="4D500B0E" id="Straight Connector 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3pt,22.95pt" to="84.75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" strokeweight=".5pt">
                      <v:stroke joinstyle="miter"/>
                    </v:line>
                  </w:pict>
                </mc:Fallback>
              </mc:AlternateContent>
            </w:r>
            <w:r>
              <w:rPr>
                <w:noProof/>
                <w:lang w:eastAsia="zh-TW"/>
              </w:rPr>
              <mc:AlternateContent>
                <mc:Choice Requires="wps">
                  <w:drawing>
                    <wp:anchor distT="0" distB="0" distL="114300" distR="114300" simplePos="0" relativeHeight="251659264" behindDoc="0" locked="0" layoutInCell="1" allowOverlap="1" wp14:anchorId="03BD464A" wp14:editId="23426B40">
                      <wp:simplePos x="0" y="0"/>
                      <wp:positionH relativeFrom="column">
                        <wp:posOffset>2953385</wp:posOffset>
                      </wp:positionH>
                      <wp:positionV relativeFrom="paragraph">
                        <wp:posOffset>55880</wp:posOffset>
                      </wp:positionV>
                      <wp:extent cx="1943735" cy="0"/>
                      <wp:effectExtent l="9525" t="6350" r="8890" b="1270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43735" cy="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A7A6611" id="Straight Connector 8"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2.55pt,4.4pt" to="385.6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" strokeweight=".5pt">
                      <v:stroke joinstyle="miter"/>
                    </v:line>
                  </w:pict>
                </mc:Fallback>
              </mc:AlternateContent>
            </w:r>
            <w:r w:rsidRPr="00FA28FD">
              <w:rPr>
                <w:sz w:val="17"/>
                <w:szCs w:val="17"/>
              </w:rPr>
              <w:t>The interest, leases and dividend component (ILDC) = Min [Abs (Interest income - Interest expense</w:t>
            </w:r>
            <w:r>
              <w:rPr>
                <w:sz w:val="17"/>
                <w:szCs w:val="17"/>
              </w:rPr>
              <w:t>s</w:t>
            </w:r>
            <w:r w:rsidRPr="00FA28FD">
              <w:rPr>
                <w:sz w:val="17"/>
                <w:szCs w:val="17"/>
              </w:rPr>
              <w:t xml:space="preserve">); 2.25%* </w:t>
            </w:r>
            <w:r>
              <w:rPr>
                <w:sz w:val="17"/>
                <w:szCs w:val="17"/>
              </w:rPr>
              <w:t xml:space="preserve"> </w:t>
            </w:r>
            <w:r w:rsidRPr="00FA28FD">
              <w:rPr>
                <w:sz w:val="17"/>
                <w:szCs w:val="17"/>
              </w:rPr>
              <w:t xml:space="preserve">Interest-earning assets] + Dividend income. </w:t>
            </w:r>
            <w:r>
              <w:rPr>
                <w:sz w:val="17"/>
                <w:szCs w:val="17"/>
              </w:rPr>
              <w:t xml:space="preserve"> </w:t>
            </w:r>
            <w:r w:rsidRPr="00FA28FD">
              <w:rPr>
                <w:sz w:val="17"/>
                <w:szCs w:val="17"/>
              </w:rPr>
              <w:t xml:space="preserve">In the formula, all the terms are calculated as the average over three </w:t>
            </w:r>
            <w:r>
              <w:rPr>
                <w:sz w:val="17"/>
                <w:szCs w:val="17"/>
              </w:rPr>
              <w:t>annual reporting periods</w:t>
            </w:r>
            <w:r w:rsidRPr="00FA28FD">
              <w:rPr>
                <w:sz w:val="17"/>
                <w:szCs w:val="17"/>
              </w:rPr>
              <w:t>: T, T-1 and T-2.</w:t>
            </w:r>
            <w:r>
              <w:rPr>
                <w:sz w:val="17"/>
                <w:szCs w:val="17"/>
              </w:rPr>
              <w:t xml:space="preserve">  </w:t>
            </w:r>
            <w:r w:rsidRPr="007832B7">
              <w:rPr>
                <w:sz w:val="17"/>
                <w:szCs w:val="17"/>
              </w:rPr>
              <w:t xml:space="preserve">The absolute value of </w:t>
            </w:r>
            <w:r>
              <w:rPr>
                <w:sz w:val="17"/>
                <w:szCs w:val="17"/>
              </w:rPr>
              <w:t xml:space="preserve">the </w:t>
            </w:r>
            <w:r w:rsidRPr="007832B7">
              <w:rPr>
                <w:sz w:val="17"/>
                <w:szCs w:val="17"/>
              </w:rPr>
              <w:t xml:space="preserve">net </w:t>
            </w:r>
            <w:r>
              <w:rPr>
                <w:sz w:val="17"/>
                <w:szCs w:val="17"/>
              </w:rPr>
              <w:t>item (i.e.</w:t>
            </w:r>
            <w:r w:rsidRPr="007832B7">
              <w:rPr>
                <w:sz w:val="17"/>
                <w:szCs w:val="17"/>
              </w:rPr>
              <w:t xml:space="preserve"> interest income – interest expense</w:t>
            </w:r>
            <w:r>
              <w:rPr>
                <w:sz w:val="17"/>
                <w:szCs w:val="17"/>
              </w:rPr>
              <w:t>s</w:t>
            </w:r>
            <w:r w:rsidRPr="007832B7">
              <w:rPr>
                <w:sz w:val="17"/>
                <w:szCs w:val="17"/>
              </w:rPr>
              <w:t xml:space="preserve">) should be calculated </w:t>
            </w:r>
            <w:r>
              <w:rPr>
                <w:sz w:val="17"/>
                <w:szCs w:val="17"/>
              </w:rPr>
              <w:t>by individual annual reporting periods first before calculating the average of the three annual reporting period</w:t>
            </w:r>
            <w:r w:rsidRPr="007832B7">
              <w:rPr>
                <w:sz w:val="17"/>
                <w:szCs w:val="17"/>
              </w:rPr>
              <w:t>s.</w:t>
            </w:r>
          </w:p>
        </w:tc>
      </w:tr>
      <w:tr w:rsidR="007B6EC3" w14:paraId="3ED53034" w14:textId="77777777" w:rsidTr="00EE6B38">
        <w:trPr>
          <w:trHeight w:val="373"/>
        </w:trPr>
        <w:tc>
          <w:tcPr>
            <w:tcW w:w="596" w:type="dxa"/>
          </w:tcPr>
          <w:p w14:paraId="3E3C3EC0" w14:textId="77777777" w:rsidR="007B6EC3" w:rsidRDefault="007B6EC3" w:rsidP="00EE6B38">
            <w:pPr>
              <w:keepLines/>
              <w:widowControl w:val="0"/>
              <w:tabs>
                <w:tab w:val="left" w:pos="150"/>
                <w:tab w:val="left" w:pos="397"/>
                <w:tab w:val="left" w:pos="794"/>
                <w:tab w:val="left" w:pos="1191"/>
              </w:tabs>
              <w:spacing w:before="20" w:after="20"/>
              <w:rPr>
                <w:rFonts w:cs="Segoe UI"/>
                <w:sz w:val="17"/>
                <w:szCs w:val="17"/>
                <w:lang w:eastAsia="en-GB"/>
              </w:rPr>
            </w:pPr>
            <w:r>
              <w:rPr>
                <w:rFonts w:cs="Segoe UI"/>
                <w:sz w:val="17"/>
                <w:szCs w:val="17"/>
                <w:lang w:eastAsia="en-GB"/>
              </w:rPr>
              <w:t>1a</w:t>
            </w:r>
          </w:p>
        </w:tc>
        <w:tc>
          <w:tcPr>
            <w:tcW w:w="8618" w:type="dxa"/>
          </w:tcPr>
          <w:p w14:paraId="28401E3F" w14:textId="4D2C71C7" w:rsidR="007B6EC3" w:rsidRDefault="007B6EC3" w:rsidP="00EE6B38">
            <w:pPr>
              <w:pStyle w:val="TableNote"/>
              <w:keepNext/>
              <w:spacing w:before="40" w:after="40"/>
              <w:rPr>
                <w:sz w:val="17"/>
                <w:szCs w:val="17"/>
              </w:rPr>
            </w:pPr>
            <w:r w:rsidRPr="00FA28FD">
              <w:rPr>
                <w:sz w:val="17"/>
                <w:szCs w:val="17"/>
              </w:rPr>
              <w:t>Interest income from all financial assets and other interest income (includes interest income from financ</w:t>
            </w:r>
            <w:r>
              <w:rPr>
                <w:sz w:val="17"/>
                <w:szCs w:val="17"/>
              </w:rPr>
              <w:t>e</w:t>
            </w:r>
            <w:r w:rsidRPr="00FA28FD">
              <w:rPr>
                <w:sz w:val="17"/>
                <w:szCs w:val="17"/>
              </w:rPr>
              <w:t xml:space="preserve"> and operating leases and profits from leased assets).</w:t>
            </w:r>
          </w:p>
        </w:tc>
      </w:tr>
      <w:tr w:rsidR="007B6EC3" w14:paraId="68A04DD0" w14:textId="77777777" w:rsidTr="00EE6B38">
        <w:trPr>
          <w:trHeight w:val="373"/>
        </w:trPr>
        <w:tc>
          <w:tcPr>
            <w:tcW w:w="596" w:type="dxa"/>
          </w:tcPr>
          <w:p w14:paraId="13A70227" w14:textId="77777777" w:rsidR="007B6EC3" w:rsidRDefault="007B6EC3" w:rsidP="00EE6B38">
            <w:pPr>
              <w:keepLines/>
              <w:widowControl w:val="0"/>
              <w:tabs>
                <w:tab w:val="left" w:pos="150"/>
                <w:tab w:val="left" w:pos="397"/>
                <w:tab w:val="left" w:pos="794"/>
                <w:tab w:val="left" w:pos="1191"/>
              </w:tabs>
              <w:spacing w:before="20" w:after="20"/>
              <w:rPr>
                <w:rFonts w:cs="Segoe UI"/>
                <w:sz w:val="17"/>
                <w:szCs w:val="17"/>
                <w:lang w:eastAsia="en-GB"/>
              </w:rPr>
            </w:pPr>
            <w:r>
              <w:rPr>
                <w:rFonts w:cs="Segoe UI"/>
                <w:sz w:val="17"/>
                <w:szCs w:val="17"/>
                <w:lang w:eastAsia="en-GB"/>
              </w:rPr>
              <w:t>1b</w:t>
            </w:r>
          </w:p>
        </w:tc>
        <w:tc>
          <w:tcPr>
            <w:tcW w:w="8618" w:type="dxa"/>
          </w:tcPr>
          <w:p w14:paraId="090A3BAF" w14:textId="0BF13114" w:rsidR="007B6EC3" w:rsidRPr="00FA28FD" w:rsidRDefault="007B6EC3" w:rsidP="00EE6B38">
            <w:pPr>
              <w:pStyle w:val="TableNote"/>
              <w:keepNext/>
              <w:spacing w:before="40" w:after="40"/>
              <w:rPr>
                <w:sz w:val="17"/>
                <w:szCs w:val="17"/>
              </w:rPr>
            </w:pPr>
            <w:r w:rsidRPr="00FA28FD">
              <w:rPr>
                <w:sz w:val="17"/>
                <w:szCs w:val="17"/>
              </w:rPr>
              <w:t>Interest expenses from all financial liabilities and other interest expenses (includes interest expense</w:t>
            </w:r>
            <w:r>
              <w:rPr>
                <w:sz w:val="17"/>
                <w:szCs w:val="17"/>
              </w:rPr>
              <w:t>s</w:t>
            </w:r>
            <w:r w:rsidRPr="00FA28FD">
              <w:rPr>
                <w:sz w:val="17"/>
                <w:szCs w:val="17"/>
              </w:rPr>
              <w:t xml:space="preserve"> from financ</w:t>
            </w:r>
            <w:r>
              <w:rPr>
                <w:sz w:val="17"/>
                <w:szCs w:val="17"/>
              </w:rPr>
              <w:t>e</w:t>
            </w:r>
            <w:r w:rsidRPr="00FA28FD">
              <w:rPr>
                <w:sz w:val="17"/>
                <w:szCs w:val="17"/>
              </w:rPr>
              <w:t xml:space="preserve"> and operating leases, depreciation and impairment of</w:t>
            </w:r>
            <w:r>
              <w:rPr>
                <w:sz w:val="17"/>
                <w:szCs w:val="17"/>
              </w:rPr>
              <w:t>, and losses from,</w:t>
            </w:r>
            <w:r w:rsidRPr="00FA28FD">
              <w:rPr>
                <w:sz w:val="17"/>
                <w:szCs w:val="17"/>
              </w:rPr>
              <w:t xml:space="preserve"> operating lease assets).</w:t>
            </w:r>
          </w:p>
        </w:tc>
      </w:tr>
      <w:tr w:rsidR="007B6EC3" w14:paraId="314CA954" w14:textId="77777777" w:rsidTr="00EE6B38">
        <w:trPr>
          <w:trHeight w:val="373"/>
        </w:trPr>
        <w:tc>
          <w:tcPr>
            <w:tcW w:w="596" w:type="dxa"/>
          </w:tcPr>
          <w:p w14:paraId="68D608F7" w14:textId="77777777" w:rsidR="007B6EC3" w:rsidRDefault="007B6EC3" w:rsidP="00EE6B38">
            <w:pPr>
              <w:keepLines/>
              <w:widowControl w:val="0"/>
              <w:tabs>
                <w:tab w:val="left" w:pos="150"/>
                <w:tab w:val="left" w:pos="397"/>
                <w:tab w:val="left" w:pos="794"/>
                <w:tab w:val="left" w:pos="1191"/>
              </w:tabs>
              <w:spacing w:before="20" w:after="20"/>
              <w:rPr>
                <w:rFonts w:cs="Segoe UI"/>
                <w:sz w:val="17"/>
                <w:szCs w:val="17"/>
                <w:lang w:eastAsia="en-GB"/>
              </w:rPr>
            </w:pPr>
            <w:r>
              <w:rPr>
                <w:rFonts w:cs="Segoe UI"/>
                <w:sz w:val="17"/>
                <w:szCs w:val="17"/>
                <w:lang w:eastAsia="en-GB"/>
              </w:rPr>
              <w:t>1c</w:t>
            </w:r>
          </w:p>
        </w:tc>
        <w:tc>
          <w:tcPr>
            <w:tcW w:w="8618" w:type="dxa"/>
          </w:tcPr>
          <w:p w14:paraId="7622D4DA" w14:textId="3EF489B5" w:rsidR="007B6EC3" w:rsidRPr="00FA28FD" w:rsidRDefault="007B6EC3" w:rsidP="00EE6B38">
            <w:pPr>
              <w:pStyle w:val="TableNote"/>
              <w:keepNext/>
              <w:spacing w:before="40" w:after="40"/>
              <w:rPr>
                <w:sz w:val="17"/>
                <w:szCs w:val="17"/>
              </w:rPr>
            </w:pPr>
            <w:r>
              <w:rPr>
                <w:sz w:val="17"/>
                <w:szCs w:val="17"/>
              </w:rPr>
              <w:t>Average of t</w:t>
            </w:r>
            <w:r w:rsidRPr="00FA28FD">
              <w:rPr>
                <w:sz w:val="17"/>
                <w:szCs w:val="17"/>
              </w:rPr>
              <w:t>otal gross outstanding loans, advances, interest</w:t>
            </w:r>
            <w:r>
              <w:rPr>
                <w:sz w:val="17"/>
                <w:szCs w:val="17"/>
              </w:rPr>
              <w:t xml:space="preserve"> </w:t>
            </w:r>
            <w:r w:rsidRPr="00FA28FD">
              <w:rPr>
                <w:sz w:val="17"/>
                <w:szCs w:val="17"/>
              </w:rPr>
              <w:t>bearing securities (including government bonds</w:t>
            </w:r>
            <w:r>
              <w:rPr>
                <w:sz w:val="17"/>
                <w:szCs w:val="17"/>
              </w:rPr>
              <w:t xml:space="preserve"> and zero coupon bonds (which provide for imputed interest)</w:t>
            </w:r>
            <w:r w:rsidRPr="00FA28FD">
              <w:rPr>
                <w:sz w:val="17"/>
                <w:szCs w:val="17"/>
              </w:rPr>
              <w:t>) and lease</w:t>
            </w:r>
            <w:r>
              <w:rPr>
                <w:sz w:val="17"/>
                <w:szCs w:val="17"/>
              </w:rPr>
              <w:t>d</w:t>
            </w:r>
            <w:r w:rsidRPr="00FA28FD">
              <w:rPr>
                <w:sz w:val="17"/>
                <w:szCs w:val="17"/>
              </w:rPr>
              <w:t xml:space="preserve"> assets measured at the end of </w:t>
            </w:r>
            <w:r>
              <w:rPr>
                <w:sz w:val="17"/>
                <w:szCs w:val="17"/>
              </w:rPr>
              <w:t xml:space="preserve">the 4 calendar quarters for </w:t>
            </w:r>
            <w:r w:rsidRPr="00FA28FD">
              <w:rPr>
                <w:sz w:val="17"/>
                <w:szCs w:val="17"/>
              </w:rPr>
              <w:t xml:space="preserve">each </w:t>
            </w:r>
            <w:r>
              <w:rPr>
                <w:sz w:val="17"/>
                <w:szCs w:val="17"/>
              </w:rPr>
              <w:t>annual reporting period</w:t>
            </w:r>
            <w:r w:rsidRPr="00FA28FD">
              <w:rPr>
                <w:sz w:val="17"/>
                <w:szCs w:val="17"/>
              </w:rPr>
              <w:t>.</w:t>
            </w:r>
          </w:p>
        </w:tc>
      </w:tr>
      <w:tr w:rsidR="007B6EC3" w14:paraId="602DCBF3" w14:textId="77777777" w:rsidTr="00EE6B38">
        <w:trPr>
          <w:trHeight w:val="373"/>
        </w:trPr>
        <w:tc>
          <w:tcPr>
            <w:tcW w:w="596" w:type="dxa"/>
          </w:tcPr>
          <w:p w14:paraId="6508D85A" w14:textId="77777777" w:rsidR="007B6EC3" w:rsidRDefault="007B6EC3" w:rsidP="00EE6B38">
            <w:pPr>
              <w:keepLines/>
              <w:widowControl w:val="0"/>
              <w:tabs>
                <w:tab w:val="left" w:pos="150"/>
                <w:tab w:val="left" w:pos="397"/>
                <w:tab w:val="left" w:pos="794"/>
                <w:tab w:val="left" w:pos="1191"/>
              </w:tabs>
              <w:spacing w:before="20" w:after="20"/>
              <w:rPr>
                <w:rFonts w:cs="Segoe UI"/>
                <w:sz w:val="17"/>
                <w:szCs w:val="17"/>
                <w:lang w:eastAsia="en-GB"/>
              </w:rPr>
            </w:pPr>
            <w:r>
              <w:rPr>
                <w:rFonts w:cs="Segoe UI"/>
                <w:sz w:val="17"/>
                <w:szCs w:val="17"/>
                <w:lang w:eastAsia="en-GB"/>
              </w:rPr>
              <w:t>1d</w:t>
            </w:r>
          </w:p>
        </w:tc>
        <w:tc>
          <w:tcPr>
            <w:tcW w:w="8618" w:type="dxa"/>
          </w:tcPr>
          <w:p w14:paraId="1F60D08F" w14:textId="4653BC7F" w:rsidR="007B6EC3" w:rsidRPr="00FA28FD" w:rsidRDefault="007B6EC3" w:rsidP="00EE6B38">
            <w:pPr>
              <w:pStyle w:val="TableNote"/>
              <w:keepNext/>
              <w:spacing w:before="40" w:after="40"/>
              <w:rPr>
                <w:sz w:val="17"/>
                <w:szCs w:val="17"/>
              </w:rPr>
            </w:pPr>
            <w:r w:rsidRPr="00FA28FD">
              <w:rPr>
                <w:sz w:val="17"/>
                <w:szCs w:val="17"/>
              </w:rPr>
              <w:t xml:space="preserve">Dividend income from investments in stocks and </w:t>
            </w:r>
            <w:r>
              <w:rPr>
                <w:sz w:val="17"/>
                <w:szCs w:val="17"/>
              </w:rPr>
              <w:t xml:space="preserve">collective investment schemes </w:t>
            </w:r>
            <w:r w:rsidRPr="00FA28FD">
              <w:rPr>
                <w:sz w:val="17"/>
                <w:szCs w:val="17"/>
              </w:rPr>
              <w:t xml:space="preserve">not consolidated in the </w:t>
            </w:r>
            <w:r>
              <w:rPr>
                <w:sz w:val="17"/>
                <w:szCs w:val="17"/>
              </w:rPr>
              <w:t>AI’s</w:t>
            </w:r>
            <w:r w:rsidRPr="00FA28FD">
              <w:rPr>
                <w:sz w:val="17"/>
                <w:szCs w:val="17"/>
              </w:rPr>
              <w:t xml:space="preserve"> financial statements, including dividend income from non-consolidated subsidiaries, associates and joint ventures.</w:t>
            </w:r>
          </w:p>
        </w:tc>
      </w:tr>
      <w:tr w:rsidR="007B6EC3" w14:paraId="520CC282" w14:textId="77777777" w:rsidTr="00EE6B38">
        <w:trPr>
          <w:trHeight w:val="373"/>
        </w:trPr>
        <w:tc>
          <w:tcPr>
            <w:tcW w:w="596" w:type="dxa"/>
          </w:tcPr>
          <w:p w14:paraId="57F6067D" w14:textId="77777777" w:rsidR="007B6EC3" w:rsidRDefault="007B6EC3" w:rsidP="00EE6B38">
            <w:pPr>
              <w:keepLines/>
              <w:widowControl w:val="0"/>
              <w:tabs>
                <w:tab w:val="left" w:pos="150"/>
                <w:tab w:val="left" w:pos="397"/>
                <w:tab w:val="left" w:pos="794"/>
                <w:tab w:val="left" w:pos="1191"/>
              </w:tabs>
              <w:spacing w:before="20" w:after="20"/>
              <w:rPr>
                <w:rFonts w:cs="Segoe UI"/>
                <w:sz w:val="17"/>
                <w:szCs w:val="17"/>
                <w:lang w:eastAsia="en-GB"/>
              </w:rPr>
            </w:pPr>
            <w:r>
              <w:rPr>
                <w:rFonts w:cs="Segoe UI"/>
                <w:sz w:val="17"/>
                <w:szCs w:val="17"/>
                <w:lang w:eastAsia="en-GB"/>
              </w:rPr>
              <w:t>2</w:t>
            </w:r>
          </w:p>
        </w:tc>
        <w:tc>
          <w:tcPr>
            <w:tcW w:w="8618" w:type="dxa"/>
          </w:tcPr>
          <w:p w14:paraId="1463C1C1" w14:textId="5A569B9F" w:rsidR="007B6EC3" w:rsidRPr="00484771" w:rsidRDefault="00B750F4" w:rsidP="00EE6B38">
            <w:pPr>
              <w:pStyle w:val="TableNote"/>
              <w:keepNext/>
              <w:spacing w:before="40" w:after="40"/>
              <w:rPr>
                <w:rFonts w:eastAsia="新細明體"/>
                <w:sz w:val="17"/>
                <w:szCs w:val="17"/>
                <w:lang w:eastAsia="zh-TW"/>
              </w:rPr>
            </w:pPr>
            <w:r>
              <w:rPr>
                <w:noProof/>
                <w:lang w:eastAsia="zh-TW"/>
              </w:rPr>
              <mc:AlternateContent>
                <mc:Choice Requires="wps">
                  <w:drawing>
                    <wp:anchor distT="0" distB="0" distL="114300" distR="114300" simplePos="0" relativeHeight="251666432" behindDoc="0" locked="0" layoutInCell="1" allowOverlap="1" wp14:anchorId="0F3E26D4" wp14:editId="3A9B411E">
                      <wp:simplePos x="0" y="0"/>
                      <wp:positionH relativeFrom="column">
                        <wp:posOffset>903605</wp:posOffset>
                      </wp:positionH>
                      <wp:positionV relativeFrom="paragraph">
                        <wp:posOffset>308610</wp:posOffset>
                      </wp:positionV>
                      <wp:extent cx="1229360" cy="0"/>
                      <wp:effectExtent l="0" t="0" r="2794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9360" cy="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A184B4D" id="Straight Connector 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15pt,24.3pt" to="167.9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" strokeweight=".5pt">
                      <v:stroke joinstyle="miter"/>
                    </v:line>
                  </w:pict>
                </mc:Fallback>
              </mc:AlternateContent>
            </w:r>
            <w:r>
              <w:rPr>
                <w:noProof/>
                <w:lang w:eastAsia="zh-TW"/>
              </w:rPr>
              <mc:AlternateContent>
                <mc:Choice Requires="wps">
                  <w:drawing>
                    <wp:anchor distT="0" distB="0" distL="114300" distR="114300" simplePos="0" relativeHeight="251663360" behindDoc="0" locked="0" layoutInCell="1" allowOverlap="1" wp14:anchorId="5E64515B" wp14:editId="479D04EB">
                      <wp:simplePos x="0" y="0"/>
                      <wp:positionH relativeFrom="column">
                        <wp:posOffset>3095889</wp:posOffset>
                      </wp:positionH>
                      <wp:positionV relativeFrom="paragraph">
                        <wp:posOffset>81280</wp:posOffset>
                      </wp:positionV>
                      <wp:extent cx="1496060" cy="0"/>
                      <wp:effectExtent l="0" t="0" r="2794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96060" cy="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082EEAA" id="Straight Connector 6"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3.75pt,6.4pt" to="361.5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" strokeweight=".5pt">
                      <v:stroke joinstyle="miter"/>
                    </v:line>
                  </w:pict>
                </mc:Fallback>
              </mc:AlternateContent>
            </w:r>
            <w:r w:rsidR="007B6EC3">
              <w:rPr>
                <w:noProof/>
                <w:lang w:eastAsia="zh-TW"/>
              </w:rPr>
              <mc:AlternateContent>
                <mc:Choice Requires="wps">
                  <w:drawing>
                    <wp:anchor distT="0" distB="0" distL="114300" distR="114300" simplePos="0" relativeHeight="251665408" behindDoc="0" locked="0" layoutInCell="1" allowOverlap="1" wp14:anchorId="4991EEB1" wp14:editId="0DBAE905">
                      <wp:simplePos x="0" y="0"/>
                      <wp:positionH relativeFrom="column">
                        <wp:posOffset>-8255</wp:posOffset>
                      </wp:positionH>
                      <wp:positionV relativeFrom="paragraph">
                        <wp:posOffset>308610</wp:posOffset>
                      </wp:positionV>
                      <wp:extent cx="849630" cy="0"/>
                      <wp:effectExtent l="10160" t="8255" r="6985" b="1079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3C433B8" id="Straight Connector 5"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pt,24.3pt" to="66.2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" strokeweight=".5pt">
                      <v:stroke joinstyle="miter"/>
                    </v:line>
                  </w:pict>
                </mc:Fallback>
              </mc:AlternateContent>
            </w:r>
            <w:r w:rsidR="007B6EC3">
              <w:rPr>
                <w:noProof/>
                <w:lang w:eastAsia="zh-TW"/>
              </w:rPr>
              <mc:AlternateContent>
                <mc:Choice Requires="wps">
                  <w:drawing>
                    <wp:anchor distT="0" distB="0" distL="114300" distR="114300" simplePos="0" relativeHeight="251664384" behindDoc="0" locked="0" layoutInCell="1" allowOverlap="1" wp14:anchorId="7E7EE5F2" wp14:editId="4B1CFB66">
                      <wp:simplePos x="0" y="0"/>
                      <wp:positionH relativeFrom="column">
                        <wp:posOffset>5062855</wp:posOffset>
                      </wp:positionH>
                      <wp:positionV relativeFrom="paragraph">
                        <wp:posOffset>81280</wp:posOffset>
                      </wp:positionV>
                      <wp:extent cx="252095" cy="0"/>
                      <wp:effectExtent l="13970" t="9525" r="10160" b="952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8FE71F3"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8.65pt,6.4pt" to="418.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" strokeweight=".5pt">
                      <v:stroke joinstyle="miter"/>
                    </v:line>
                  </w:pict>
                </mc:Fallback>
              </mc:AlternateContent>
            </w:r>
            <w:r w:rsidR="007B6EC3">
              <w:rPr>
                <w:noProof/>
                <w:lang w:eastAsia="zh-TW"/>
              </w:rPr>
              <mc:AlternateContent>
                <mc:Choice Requires="wps">
                  <w:drawing>
                    <wp:anchor distT="0" distB="0" distL="114300" distR="114300" simplePos="0" relativeHeight="251662336" behindDoc="0" locked="0" layoutInCell="1" allowOverlap="1" wp14:anchorId="65487976" wp14:editId="2252A16A">
                      <wp:simplePos x="0" y="0"/>
                      <wp:positionH relativeFrom="column">
                        <wp:posOffset>1639570</wp:posOffset>
                      </wp:positionH>
                      <wp:positionV relativeFrom="paragraph">
                        <wp:posOffset>81280</wp:posOffset>
                      </wp:positionV>
                      <wp:extent cx="1393190" cy="0"/>
                      <wp:effectExtent l="10160" t="9525" r="6350"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3190" cy="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EAAD66A"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1pt,6.4pt" to="238.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" strokeweight=".5pt">
                      <v:stroke joinstyle="miter"/>
                    </v:line>
                  </w:pict>
                </mc:Fallback>
              </mc:AlternateContent>
            </w:r>
            <w:r w:rsidR="007B6EC3" w:rsidRPr="00FA28FD">
              <w:rPr>
                <w:sz w:val="17"/>
                <w:szCs w:val="17"/>
              </w:rPr>
              <w:t>Service</w:t>
            </w:r>
            <w:r w:rsidR="007B6EC3">
              <w:rPr>
                <w:sz w:val="17"/>
                <w:szCs w:val="17"/>
              </w:rPr>
              <w:t>s</w:t>
            </w:r>
            <w:r w:rsidR="007B6EC3" w:rsidRPr="00FA28FD">
              <w:rPr>
                <w:sz w:val="17"/>
                <w:szCs w:val="17"/>
              </w:rPr>
              <w:t xml:space="preserve"> component (SC) = Max (Fee and commission income; Fee and commission expense</w:t>
            </w:r>
            <w:r w:rsidR="007B6EC3">
              <w:rPr>
                <w:sz w:val="17"/>
                <w:szCs w:val="17"/>
              </w:rPr>
              <w:t>s</w:t>
            </w:r>
            <w:r w:rsidR="007B6EC3" w:rsidRPr="00FA28FD">
              <w:rPr>
                <w:sz w:val="17"/>
                <w:szCs w:val="17"/>
              </w:rPr>
              <w:t>) + Max (</w:t>
            </w:r>
            <w:r w:rsidR="007B6EC3" w:rsidRPr="00677112">
              <w:rPr>
                <w:sz w:val="17"/>
                <w:szCs w:val="17"/>
              </w:rPr>
              <w:t>Other o</w:t>
            </w:r>
            <w:r w:rsidR="007B6EC3" w:rsidRPr="00FA28FD">
              <w:rPr>
                <w:sz w:val="17"/>
                <w:szCs w:val="17"/>
              </w:rPr>
              <w:t>perating income; Other operating expense</w:t>
            </w:r>
            <w:r w:rsidR="007B6EC3">
              <w:rPr>
                <w:sz w:val="17"/>
                <w:szCs w:val="17"/>
              </w:rPr>
              <w:t>s</w:t>
            </w:r>
            <w:r w:rsidR="007B6EC3" w:rsidRPr="00FA28FD">
              <w:rPr>
                <w:sz w:val="17"/>
                <w:szCs w:val="17"/>
              </w:rPr>
              <w:t>).</w:t>
            </w:r>
            <w:r w:rsidR="007B6EC3">
              <w:rPr>
                <w:sz w:val="17"/>
                <w:szCs w:val="17"/>
              </w:rPr>
              <w:t xml:space="preserve"> </w:t>
            </w:r>
            <w:r w:rsidR="007B6EC3" w:rsidRPr="00FA28FD">
              <w:rPr>
                <w:sz w:val="17"/>
                <w:szCs w:val="17"/>
              </w:rPr>
              <w:t xml:space="preserve"> In the formula, all the terms are calculated as the average over three </w:t>
            </w:r>
            <w:r w:rsidR="007B6EC3">
              <w:rPr>
                <w:sz w:val="17"/>
                <w:szCs w:val="17"/>
              </w:rPr>
              <w:t>annual reporting periods</w:t>
            </w:r>
            <w:r w:rsidR="007B6EC3" w:rsidRPr="00FA28FD">
              <w:rPr>
                <w:sz w:val="17"/>
                <w:szCs w:val="17"/>
              </w:rPr>
              <w:t>: T, T-1 and T-2.</w:t>
            </w:r>
          </w:p>
        </w:tc>
      </w:tr>
      <w:tr w:rsidR="007B6EC3" w14:paraId="6CC4A291" w14:textId="77777777" w:rsidTr="00EE6B38">
        <w:trPr>
          <w:trHeight w:val="373"/>
        </w:trPr>
        <w:tc>
          <w:tcPr>
            <w:tcW w:w="596" w:type="dxa"/>
          </w:tcPr>
          <w:p w14:paraId="4E8ED44F" w14:textId="77777777" w:rsidR="007B6EC3" w:rsidRDefault="007B6EC3" w:rsidP="00EE6B38">
            <w:pPr>
              <w:keepLines/>
              <w:widowControl w:val="0"/>
              <w:tabs>
                <w:tab w:val="left" w:pos="150"/>
                <w:tab w:val="left" w:pos="397"/>
                <w:tab w:val="left" w:pos="794"/>
                <w:tab w:val="left" w:pos="1191"/>
              </w:tabs>
              <w:spacing w:before="20" w:after="20"/>
              <w:rPr>
                <w:rFonts w:cs="Segoe UI"/>
                <w:sz w:val="17"/>
                <w:szCs w:val="17"/>
                <w:lang w:eastAsia="en-GB"/>
              </w:rPr>
            </w:pPr>
            <w:r>
              <w:rPr>
                <w:rFonts w:cs="Segoe UI"/>
                <w:sz w:val="17"/>
                <w:szCs w:val="17"/>
                <w:lang w:eastAsia="en-GB"/>
              </w:rPr>
              <w:t>2a</w:t>
            </w:r>
          </w:p>
        </w:tc>
        <w:tc>
          <w:tcPr>
            <w:tcW w:w="8618" w:type="dxa"/>
          </w:tcPr>
          <w:p w14:paraId="5873C7CB" w14:textId="7CFFD547" w:rsidR="007B6EC3" w:rsidRPr="00FA28FD" w:rsidRDefault="007B6EC3" w:rsidP="00EE6B38">
            <w:pPr>
              <w:pStyle w:val="TableNote"/>
              <w:keepNext/>
              <w:spacing w:before="40" w:after="40"/>
              <w:rPr>
                <w:sz w:val="17"/>
                <w:szCs w:val="17"/>
              </w:rPr>
            </w:pPr>
            <w:r w:rsidRPr="00FA28FD">
              <w:rPr>
                <w:sz w:val="17"/>
                <w:szCs w:val="17"/>
              </w:rPr>
              <w:t>Income received from providing advice and services</w:t>
            </w:r>
            <w:r>
              <w:rPr>
                <w:sz w:val="17"/>
                <w:szCs w:val="17"/>
              </w:rPr>
              <w:t xml:space="preserve"> (i</w:t>
            </w:r>
            <w:r w:rsidRPr="00FA28FD">
              <w:rPr>
                <w:sz w:val="17"/>
                <w:szCs w:val="17"/>
              </w:rPr>
              <w:t xml:space="preserve">ncludes income received by the </w:t>
            </w:r>
            <w:r>
              <w:rPr>
                <w:sz w:val="17"/>
                <w:szCs w:val="17"/>
              </w:rPr>
              <w:t>AI</w:t>
            </w:r>
            <w:r w:rsidRPr="00FA28FD">
              <w:rPr>
                <w:sz w:val="17"/>
                <w:szCs w:val="17"/>
              </w:rPr>
              <w:t xml:space="preserve"> </w:t>
            </w:r>
            <w:r>
              <w:rPr>
                <w:sz w:val="17"/>
                <w:szCs w:val="17"/>
              </w:rPr>
              <w:t xml:space="preserve">for providing </w:t>
            </w:r>
            <w:r w:rsidRPr="00FA28FD">
              <w:rPr>
                <w:sz w:val="17"/>
                <w:szCs w:val="17"/>
              </w:rPr>
              <w:t>outsourc</w:t>
            </w:r>
            <w:r>
              <w:rPr>
                <w:sz w:val="17"/>
                <w:szCs w:val="17"/>
              </w:rPr>
              <w:t>ing</w:t>
            </w:r>
            <w:r w:rsidRPr="00FA28FD">
              <w:rPr>
                <w:sz w:val="17"/>
                <w:szCs w:val="17"/>
              </w:rPr>
              <w:t xml:space="preserve"> of financial services</w:t>
            </w:r>
            <w:r>
              <w:rPr>
                <w:sz w:val="17"/>
                <w:szCs w:val="17"/>
              </w:rPr>
              <w:t>)</w:t>
            </w:r>
            <w:r w:rsidRPr="00FA28FD">
              <w:rPr>
                <w:sz w:val="17"/>
                <w:szCs w:val="17"/>
              </w:rPr>
              <w:t>.</w:t>
            </w:r>
          </w:p>
        </w:tc>
      </w:tr>
      <w:tr w:rsidR="007B6EC3" w14:paraId="522C2EEF" w14:textId="77777777" w:rsidTr="00EE6B38">
        <w:trPr>
          <w:trHeight w:val="373"/>
        </w:trPr>
        <w:tc>
          <w:tcPr>
            <w:tcW w:w="596" w:type="dxa"/>
          </w:tcPr>
          <w:p w14:paraId="4E9D7D20" w14:textId="77777777" w:rsidR="007B6EC3" w:rsidRDefault="007B6EC3" w:rsidP="00EE6B38">
            <w:pPr>
              <w:keepLines/>
              <w:widowControl w:val="0"/>
              <w:tabs>
                <w:tab w:val="left" w:pos="150"/>
                <w:tab w:val="left" w:pos="397"/>
                <w:tab w:val="left" w:pos="794"/>
                <w:tab w:val="left" w:pos="1191"/>
              </w:tabs>
              <w:spacing w:before="20" w:after="20"/>
              <w:rPr>
                <w:rFonts w:cs="Segoe UI"/>
                <w:sz w:val="17"/>
                <w:szCs w:val="17"/>
                <w:lang w:eastAsia="en-GB"/>
              </w:rPr>
            </w:pPr>
            <w:r>
              <w:rPr>
                <w:rFonts w:cs="Segoe UI"/>
                <w:sz w:val="17"/>
                <w:szCs w:val="17"/>
                <w:lang w:eastAsia="en-GB"/>
              </w:rPr>
              <w:t>2b</w:t>
            </w:r>
          </w:p>
        </w:tc>
        <w:tc>
          <w:tcPr>
            <w:tcW w:w="8618" w:type="dxa"/>
          </w:tcPr>
          <w:p w14:paraId="0AD6168F" w14:textId="7DA5EEE3" w:rsidR="007B6EC3" w:rsidRPr="00FA28FD" w:rsidRDefault="007B6EC3" w:rsidP="00EE6B38">
            <w:pPr>
              <w:pStyle w:val="TableNote"/>
              <w:keepNext/>
              <w:spacing w:before="40" w:after="40"/>
              <w:rPr>
                <w:sz w:val="17"/>
                <w:szCs w:val="17"/>
              </w:rPr>
            </w:pPr>
            <w:r w:rsidRPr="00FA28FD">
              <w:rPr>
                <w:sz w:val="17"/>
                <w:szCs w:val="17"/>
              </w:rPr>
              <w:t>Expenses paid for receiving advice and services</w:t>
            </w:r>
            <w:r>
              <w:rPr>
                <w:sz w:val="17"/>
                <w:szCs w:val="17"/>
              </w:rPr>
              <w:t xml:space="preserve"> (i</w:t>
            </w:r>
            <w:r w:rsidRPr="00FA28FD">
              <w:rPr>
                <w:sz w:val="17"/>
                <w:szCs w:val="17"/>
              </w:rPr>
              <w:t xml:space="preserve">ncludes outsourcing fees paid by the </w:t>
            </w:r>
            <w:r>
              <w:rPr>
                <w:sz w:val="17"/>
                <w:szCs w:val="17"/>
              </w:rPr>
              <w:t>AI</w:t>
            </w:r>
            <w:r w:rsidRPr="00FA28FD">
              <w:rPr>
                <w:sz w:val="17"/>
                <w:szCs w:val="17"/>
              </w:rPr>
              <w:t xml:space="preserve"> for the supply of financial services, but not outsourcing fees paid for the supply of non-financial services (e</w:t>
            </w:r>
            <w:r>
              <w:rPr>
                <w:sz w:val="17"/>
                <w:szCs w:val="17"/>
              </w:rPr>
              <w:t>.</w:t>
            </w:r>
            <w:r w:rsidRPr="00FA28FD">
              <w:rPr>
                <w:sz w:val="17"/>
                <w:szCs w:val="17"/>
              </w:rPr>
              <w:t>g</w:t>
            </w:r>
            <w:r>
              <w:rPr>
                <w:sz w:val="17"/>
                <w:szCs w:val="17"/>
              </w:rPr>
              <w:t>.</w:t>
            </w:r>
            <w:r w:rsidRPr="00FA28FD">
              <w:rPr>
                <w:sz w:val="17"/>
                <w:szCs w:val="17"/>
              </w:rPr>
              <w:t xml:space="preserve"> logistic</w:t>
            </w:r>
            <w:r>
              <w:rPr>
                <w:sz w:val="17"/>
                <w:szCs w:val="17"/>
              </w:rPr>
              <w:t>s</w:t>
            </w:r>
            <w:r w:rsidRPr="00FA28FD">
              <w:rPr>
                <w:sz w:val="17"/>
                <w:szCs w:val="17"/>
              </w:rPr>
              <w:t>, IT, human resources)</w:t>
            </w:r>
            <w:r>
              <w:rPr>
                <w:sz w:val="17"/>
                <w:szCs w:val="17"/>
              </w:rPr>
              <w:t>)</w:t>
            </w:r>
            <w:r w:rsidRPr="00FA28FD">
              <w:rPr>
                <w:sz w:val="17"/>
                <w:szCs w:val="17"/>
              </w:rPr>
              <w:t>.</w:t>
            </w:r>
          </w:p>
        </w:tc>
      </w:tr>
      <w:tr w:rsidR="007B6EC3" w14:paraId="1722DAB4" w14:textId="77777777" w:rsidTr="00EE6B38">
        <w:trPr>
          <w:trHeight w:val="373"/>
        </w:trPr>
        <w:tc>
          <w:tcPr>
            <w:tcW w:w="596" w:type="dxa"/>
          </w:tcPr>
          <w:p w14:paraId="04116F81" w14:textId="77777777" w:rsidR="007B6EC3" w:rsidRDefault="007B6EC3" w:rsidP="00EE6B38">
            <w:pPr>
              <w:keepLines/>
              <w:widowControl w:val="0"/>
              <w:tabs>
                <w:tab w:val="left" w:pos="150"/>
                <w:tab w:val="left" w:pos="397"/>
                <w:tab w:val="left" w:pos="794"/>
                <w:tab w:val="left" w:pos="1191"/>
              </w:tabs>
              <w:spacing w:before="20" w:after="20"/>
              <w:rPr>
                <w:rFonts w:cs="Segoe UI"/>
                <w:sz w:val="17"/>
                <w:szCs w:val="17"/>
                <w:lang w:eastAsia="en-GB"/>
              </w:rPr>
            </w:pPr>
            <w:r>
              <w:rPr>
                <w:rFonts w:cs="Segoe UI"/>
                <w:sz w:val="17"/>
                <w:szCs w:val="17"/>
                <w:lang w:eastAsia="en-GB"/>
              </w:rPr>
              <w:t>2c</w:t>
            </w:r>
          </w:p>
        </w:tc>
        <w:tc>
          <w:tcPr>
            <w:tcW w:w="8618" w:type="dxa"/>
          </w:tcPr>
          <w:p w14:paraId="2BEF51D3" w14:textId="77777777" w:rsidR="007B6EC3" w:rsidRPr="00FA28FD" w:rsidRDefault="007B6EC3" w:rsidP="00EE6B38">
            <w:pPr>
              <w:pStyle w:val="TableNote"/>
              <w:keepNext/>
              <w:spacing w:before="40" w:after="40"/>
              <w:rPr>
                <w:sz w:val="17"/>
                <w:szCs w:val="17"/>
              </w:rPr>
            </w:pPr>
            <w:r w:rsidRPr="00FA28FD">
              <w:rPr>
                <w:sz w:val="17"/>
                <w:szCs w:val="17"/>
              </w:rPr>
              <w:t>Income from ordinary banking operations not included in other BI items but of a similar nature (income from operating leases should be excluded).</w:t>
            </w:r>
          </w:p>
        </w:tc>
      </w:tr>
      <w:tr w:rsidR="007B6EC3" w14:paraId="411309DD" w14:textId="77777777" w:rsidTr="00EE6B38">
        <w:trPr>
          <w:trHeight w:val="373"/>
        </w:trPr>
        <w:tc>
          <w:tcPr>
            <w:tcW w:w="596" w:type="dxa"/>
          </w:tcPr>
          <w:p w14:paraId="2F2CF712" w14:textId="77777777" w:rsidR="007B6EC3" w:rsidRDefault="007B6EC3" w:rsidP="00EE6B38">
            <w:pPr>
              <w:keepLines/>
              <w:widowControl w:val="0"/>
              <w:tabs>
                <w:tab w:val="left" w:pos="150"/>
                <w:tab w:val="left" w:pos="397"/>
                <w:tab w:val="left" w:pos="794"/>
                <w:tab w:val="left" w:pos="1191"/>
              </w:tabs>
              <w:spacing w:before="20" w:after="20"/>
              <w:rPr>
                <w:rFonts w:cs="Segoe UI"/>
                <w:sz w:val="17"/>
                <w:szCs w:val="17"/>
                <w:lang w:eastAsia="en-GB"/>
              </w:rPr>
            </w:pPr>
            <w:r>
              <w:rPr>
                <w:rFonts w:cs="Segoe UI"/>
                <w:sz w:val="17"/>
                <w:szCs w:val="17"/>
                <w:lang w:eastAsia="en-GB"/>
              </w:rPr>
              <w:lastRenderedPageBreak/>
              <w:t>2d</w:t>
            </w:r>
          </w:p>
        </w:tc>
        <w:tc>
          <w:tcPr>
            <w:tcW w:w="8618" w:type="dxa"/>
          </w:tcPr>
          <w:p w14:paraId="6B0F328C" w14:textId="77777777" w:rsidR="007B6EC3" w:rsidRPr="00FA28FD" w:rsidRDefault="007B6EC3" w:rsidP="00EE6B38">
            <w:pPr>
              <w:pStyle w:val="TableNote"/>
              <w:keepNext/>
              <w:spacing w:before="40" w:after="40"/>
              <w:rPr>
                <w:sz w:val="17"/>
                <w:szCs w:val="17"/>
              </w:rPr>
            </w:pPr>
            <w:r w:rsidRPr="00FA28FD">
              <w:rPr>
                <w:sz w:val="17"/>
                <w:szCs w:val="17"/>
              </w:rPr>
              <w:t>Expenses and losses from ordinary banking operations not included in other BI items but of a similar nature and from operational loss events (expenses from operating leases should be excluded).</w:t>
            </w:r>
          </w:p>
        </w:tc>
      </w:tr>
      <w:tr w:rsidR="007B6EC3" w14:paraId="2F7BBB4F" w14:textId="77777777" w:rsidTr="00EE6B38">
        <w:trPr>
          <w:trHeight w:val="373"/>
        </w:trPr>
        <w:tc>
          <w:tcPr>
            <w:tcW w:w="596" w:type="dxa"/>
          </w:tcPr>
          <w:p w14:paraId="126E376F" w14:textId="77777777" w:rsidR="007B6EC3" w:rsidRDefault="007B6EC3" w:rsidP="00EE6B38">
            <w:pPr>
              <w:keepLines/>
              <w:widowControl w:val="0"/>
              <w:tabs>
                <w:tab w:val="left" w:pos="150"/>
                <w:tab w:val="left" w:pos="397"/>
                <w:tab w:val="left" w:pos="794"/>
                <w:tab w:val="left" w:pos="1191"/>
              </w:tabs>
              <w:spacing w:before="20" w:after="20"/>
              <w:rPr>
                <w:rFonts w:cs="Segoe UI"/>
                <w:sz w:val="17"/>
                <w:szCs w:val="17"/>
                <w:lang w:eastAsia="en-GB"/>
              </w:rPr>
            </w:pPr>
            <w:r>
              <w:rPr>
                <w:rFonts w:cs="Segoe UI"/>
                <w:sz w:val="17"/>
                <w:szCs w:val="17"/>
                <w:lang w:eastAsia="en-GB"/>
              </w:rPr>
              <w:t>3</w:t>
            </w:r>
          </w:p>
        </w:tc>
        <w:tc>
          <w:tcPr>
            <w:tcW w:w="8618" w:type="dxa"/>
          </w:tcPr>
          <w:p w14:paraId="29515021" w14:textId="72C992E4" w:rsidR="007B6EC3" w:rsidRPr="00FA28FD" w:rsidRDefault="007B6EC3" w:rsidP="00EE6B38">
            <w:pPr>
              <w:keepLines/>
              <w:widowControl w:val="0"/>
              <w:tabs>
                <w:tab w:val="left" w:pos="150"/>
                <w:tab w:val="left" w:pos="397"/>
                <w:tab w:val="left" w:pos="794"/>
                <w:tab w:val="left" w:pos="1191"/>
              </w:tabs>
              <w:spacing w:before="20" w:after="20"/>
              <w:jc w:val="both"/>
              <w:rPr>
                <w:sz w:val="17"/>
                <w:szCs w:val="17"/>
              </w:rPr>
            </w:pPr>
            <w:r>
              <w:rPr>
                <w:noProof/>
                <w:lang w:eastAsia="zh-TW"/>
              </w:rPr>
              <mc:AlternateContent>
                <mc:Choice Requires="wps">
                  <w:drawing>
                    <wp:anchor distT="0" distB="0" distL="114300" distR="114300" simplePos="0" relativeHeight="251667456" behindDoc="0" locked="0" layoutInCell="1" allowOverlap="1" wp14:anchorId="28688A25" wp14:editId="0ED06AB3">
                      <wp:simplePos x="0" y="0"/>
                      <wp:positionH relativeFrom="column">
                        <wp:posOffset>1348105</wp:posOffset>
                      </wp:positionH>
                      <wp:positionV relativeFrom="paragraph">
                        <wp:posOffset>53340</wp:posOffset>
                      </wp:positionV>
                      <wp:extent cx="1475740" cy="0"/>
                      <wp:effectExtent l="13970" t="5715" r="5715"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FB7A364" id="Straight Connector 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6.15pt,4.2pt" to="222.3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" strokeweight=".5pt">
                      <v:stroke joinstyle="miter"/>
                    </v:line>
                  </w:pict>
                </mc:Fallback>
              </mc:AlternateContent>
            </w:r>
            <w:r>
              <w:rPr>
                <w:noProof/>
                <w:lang w:eastAsia="zh-TW"/>
              </w:rPr>
              <mc:AlternateContent>
                <mc:Choice Requires="wps">
                  <w:drawing>
                    <wp:anchor distT="0" distB="0" distL="114300" distR="114300" simplePos="0" relativeHeight="251668480" behindDoc="0" locked="0" layoutInCell="1" allowOverlap="1" wp14:anchorId="4D8884F5" wp14:editId="47A896CA">
                      <wp:simplePos x="0" y="0"/>
                      <wp:positionH relativeFrom="column">
                        <wp:posOffset>2970530</wp:posOffset>
                      </wp:positionH>
                      <wp:positionV relativeFrom="paragraph">
                        <wp:posOffset>53340</wp:posOffset>
                      </wp:positionV>
                      <wp:extent cx="1511935" cy="0"/>
                      <wp:effectExtent l="7620" t="5715" r="13970"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1935" cy="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0E43CAE" id="Straight Connector 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3.9pt,4.2pt" to="352.9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" strokeweight=".5pt">
                      <v:stroke joinstyle="miter"/>
                    </v:line>
                  </w:pict>
                </mc:Fallback>
              </mc:AlternateContent>
            </w:r>
            <w:r w:rsidRPr="00FA28FD">
              <w:rPr>
                <w:sz w:val="17"/>
                <w:szCs w:val="17"/>
              </w:rPr>
              <w:t xml:space="preserve">Financial component (FC) = Abs (Net P&amp;L </w:t>
            </w:r>
            <w:r>
              <w:rPr>
                <w:sz w:val="17"/>
                <w:szCs w:val="17"/>
              </w:rPr>
              <w:t xml:space="preserve">on </w:t>
            </w:r>
            <w:r w:rsidRPr="00FA28FD">
              <w:rPr>
                <w:sz w:val="17"/>
                <w:szCs w:val="17"/>
              </w:rPr>
              <w:t xml:space="preserve">Trading Book) + Abs (Net P&amp;L </w:t>
            </w:r>
            <w:r>
              <w:rPr>
                <w:sz w:val="17"/>
                <w:szCs w:val="17"/>
              </w:rPr>
              <w:t xml:space="preserve">on </w:t>
            </w:r>
            <w:r w:rsidRPr="00FA28FD">
              <w:rPr>
                <w:sz w:val="17"/>
                <w:szCs w:val="17"/>
              </w:rPr>
              <w:t xml:space="preserve">Banking Book). </w:t>
            </w:r>
            <w:r>
              <w:rPr>
                <w:sz w:val="17"/>
                <w:szCs w:val="17"/>
              </w:rPr>
              <w:t xml:space="preserve"> </w:t>
            </w:r>
            <w:r w:rsidRPr="00FA28FD">
              <w:rPr>
                <w:sz w:val="17"/>
                <w:szCs w:val="17"/>
              </w:rPr>
              <w:t xml:space="preserve">In the formula, all the terms are calculated as the average over </w:t>
            </w:r>
            <w:r w:rsidR="006C46D6">
              <w:rPr>
                <w:sz w:val="17"/>
                <w:szCs w:val="17"/>
              </w:rPr>
              <w:t xml:space="preserve">three </w:t>
            </w:r>
            <w:r>
              <w:rPr>
                <w:sz w:val="17"/>
                <w:szCs w:val="17"/>
              </w:rPr>
              <w:t>annual reporting periods</w:t>
            </w:r>
            <w:r w:rsidRPr="00FA28FD">
              <w:rPr>
                <w:sz w:val="17"/>
                <w:szCs w:val="17"/>
              </w:rPr>
              <w:t>: T, T-1 and T-2.</w:t>
            </w:r>
            <w:r>
              <w:rPr>
                <w:sz w:val="17"/>
                <w:szCs w:val="17"/>
              </w:rPr>
              <w:t xml:space="preserve">  </w:t>
            </w:r>
            <w:r w:rsidRPr="00DC6055">
              <w:rPr>
                <w:sz w:val="17"/>
                <w:szCs w:val="17"/>
              </w:rPr>
              <w:t>The absolute value of</w:t>
            </w:r>
            <w:r>
              <w:rPr>
                <w:sz w:val="17"/>
                <w:szCs w:val="17"/>
              </w:rPr>
              <w:t xml:space="preserve"> a </w:t>
            </w:r>
            <w:r w:rsidRPr="00DC6055">
              <w:rPr>
                <w:sz w:val="17"/>
                <w:szCs w:val="17"/>
              </w:rPr>
              <w:t xml:space="preserve">net </w:t>
            </w:r>
            <w:r>
              <w:rPr>
                <w:sz w:val="17"/>
                <w:szCs w:val="17"/>
              </w:rPr>
              <w:t xml:space="preserve">P&amp;L </w:t>
            </w:r>
            <w:r w:rsidRPr="00DC6055">
              <w:rPr>
                <w:sz w:val="17"/>
                <w:szCs w:val="17"/>
              </w:rPr>
              <w:t xml:space="preserve">item </w:t>
            </w:r>
            <w:r w:rsidRPr="007832B7">
              <w:rPr>
                <w:sz w:val="17"/>
                <w:szCs w:val="17"/>
              </w:rPr>
              <w:t xml:space="preserve">should be calculated </w:t>
            </w:r>
            <w:r>
              <w:rPr>
                <w:sz w:val="17"/>
                <w:szCs w:val="17"/>
              </w:rPr>
              <w:t>by individual annual reporting periods first before calculating the average of the three annual reporting periods</w:t>
            </w:r>
            <w:r w:rsidRPr="007832B7">
              <w:rPr>
                <w:sz w:val="17"/>
                <w:szCs w:val="17"/>
              </w:rPr>
              <w:t>.</w:t>
            </w:r>
          </w:p>
        </w:tc>
      </w:tr>
      <w:tr w:rsidR="007B6EC3" w14:paraId="0FB22EBE" w14:textId="77777777" w:rsidTr="00EE6B38">
        <w:trPr>
          <w:trHeight w:val="373"/>
        </w:trPr>
        <w:tc>
          <w:tcPr>
            <w:tcW w:w="596" w:type="dxa"/>
          </w:tcPr>
          <w:p w14:paraId="38CD9DD1" w14:textId="77777777" w:rsidR="007B6EC3" w:rsidRDefault="007B6EC3" w:rsidP="00EE6B38">
            <w:pPr>
              <w:keepLines/>
              <w:widowControl w:val="0"/>
              <w:tabs>
                <w:tab w:val="left" w:pos="150"/>
                <w:tab w:val="left" w:pos="397"/>
                <w:tab w:val="left" w:pos="794"/>
                <w:tab w:val="left" w:pos="1191"/>
              </w:tabs>
              <w:spacing w:before="20" w:after="20"/>
              <w:rPr>
                <w:rFonts w:cs="Segoe UI"/>
                <w:sz w:val="17"/>
                <w:szCs w:val="17"/>
                <w:lang w:eastAsia="en-GB"/>
              </w:rPr>
            </w:pPr>
            <w:r>
              <w:rPr>
                <w:rFonts w:cs="Segoe UI"/>
                <w:sz w:val="17"/>
                <w:szCs w:val="17"/>
                <w:lang w:eastAsia="en-GB"/>
              </w:rPr>
              <w:t>3a</w:t>
            </w:r>
          </w:p>
        </w:tc>
        <w:tc>
          <w:tcPr>
            <w:tcW w:w="8618" w:type="dxa"/>
          </w:tcPr>
          <w:p w14:paraId="432C25C7" w14:textId="532F37EB" w:rsidR="007B6EC3" w:rsidRPr="00646C85" w:rsidRDefault="007B6EC3" w:rsidP="00EE6B38">
            <w:pPr>
              <w:pStyle w:val="TableNote"/>
              <w:keepNext/>
              <w:spacing w:before="40" w:after="40"/>
              <w:rPr>
                <w:sz w:val="17"/>
                <w:szCs w:val="17"/>
              </w:rPr>
            </w:pPr>
            <w:r w:rsidRPr="00646C85">
              <w:rPr>
                <w:sz w:val="17"/>
                <w:szCs w:val="17"/>
              </w:rPr>
              <w:t>Net</w:t>
            </w:r>
            <w:r>
              <w:rPr>
                <w:sz w:val="17"/>
                <w:szCs w:val="17"/>
              </w:rPr>
              <w:t xml:space="preserve"> P&amp;L</w:t>
            </w:r>
            <w:r w:rsidRPr="00646C85">
              <w:rPr>
                <w:sz w:val="17"/>
                <w:szCs w:val="17"/>
              </w:rPr>
              <w:t xml:space="preserve"> on trading book: This comprises (i) </w:t>
            </w:r>
            <w:r>
              <w:rPr>
                <w:sz w:val="17"/>
                <w:szCs w:val="17"/>
              </w:rPr>
              <w:t>gains minus losses</w:t>
            </w:r>
            <w:r w:rsidRPr="00646C85">
              <w:rPr>
                <w:sz w:val="17"/>
                <w:szCs w:val="17"/>
              </w:rPr>
              <w:t xml:space="preserve"> on trading assets and trading liabilities (derivatives, debt securities, equity securities, loans and advances, short positions, other assets and liabilities); (ii) </w:t>
            </w:r>
            <w:r>
              <w:rPr>
                <w:sz w:val="17"/>
                <w:szCs w:val="17"/>
              </w:rPr>
              <w:t>gains minus losses</w:t>
            </w:r>
            <w:r w:rsidRPr="00646C85">
              <w:rPr>
                <w:sz w:val="17"/>
                <w:szCs w:val="17"/>
              </w:rPr>
              <w:t xml:space="preserve"> from hedge accounting; and (iii) </w:t>
            </w:r>
            <w:r>
              <w:rPr>
                <w:sz w:val="17"/>
                <w:szCs w:val="17"/>
              </w:rPr>
              <w:t>gains minus losses</w:t>
            </w:r>
            <w:r w:rsidRPr="00646C85">
              <w:rPr>
                <w:sz w:val="17"/>
                <w:szCs w:val="17"/>
              </w:rPr>
              <w:t xml:space="preserve"> from exchange differences.</w:t>
            </w:r>
          </w:p>
        </w:tc>
      </w:tr>
      <w:tr w:rsidR="007B6EC3" w14:paraId="6D7DFCE9" w14:textId="77777777" w:rsidTr="00EE6B38">
        <w:trPr>
          <w:trHeight w:val="373"/>
        </w:trPr>
        <w:tc>
          <w:tcPr>
            <w:tcW w:w="596" w:type="dxa"/>
          </w:tcPr>
          <w:p w14:paraId="41B7F4A2" w14:textId="77777777" w:rsidR="007B6EC3" w:rsidRDefault="007B6EC3" w:rsidP="00EE6B38">
            <w:pPr>
              <w:keepLines/>
              <w:widowControl w:val="0"/>
              <w:tabs>
                <w:tab w:val="left" w:pos="150"/>
                <w:tab w:val="left" w:pos="397"/>
                <w:tab w:val="left" w:pos="794"/>
                <w:tab w:val="left" w:pos="1191"/>
              </w:tabs>
              <w:spacing w:before="20" w:after="20"/>
              <w:rPr>
                <w:rFonts w:cs="Segoe UI"/>
                <w:sz w:val="17"/>
                <w:szCs w:val="17"/>
                <w:lang w:eastAsia="en-GB"/>
              </w:rPr>
            </w:pPr>
            <w:r>
              <w:rPr>
                <w:rFonts w:cs="Segoe UI"/>
                <w:sz w:val="17"/>
                <w:szCs w:val="17"/>
                <w:lang w:eastAsia="en-GB"/>
              </w:rPr>
              <w:t>3b</w:t>
            </w:r>
          </w:p>
        </w:tc>
        <w:tc>
          <w:tcPr>
            <w:tcW w:w="8618" w:type="dxa"/>
          </w:tcPr>
          <w:p w14:paraId="4930BAE0" w14:textId="2912B96A" w:rsidR="007B6EC3" w:rsidRPr="00646C85" w:rsidRDefault="007B6EC3" w:rsidP="00EE6B38">
            <w:pPr>
              <w:pStyle w:val="TableNote"/>
              <w:keepNext/>
              <w:spacing w:before="40" w:after="40"/>
              <w:rPr>
                <w:sz w:val="17"/>
                <w:szCs w:val="17"/>
              </w:rPr>
            </w:pPr>
            <w:r w:rsidRPr="00646C85">
              <w:rPr>
                <w:sz w:val="17"/>
                <w:szCs w:val="17"/>
              </w:rPr>
              <w:t xml:space="preserve">Net </w:t>
            </w:r>
            <w:r>
              <w:rPr>
                <w:sz w:val="17"/>
                <w:szCs w:val="17"/>
              </w:rPr>
              <w:t>P&amp;L</w:t>
            </w:r>
            <w:r w:rsidRPr="00646C85">
              <w:rPr>
                <w:sz w:val="17"/>
                <w:szCs w:val="17"/>
              </w:rPr>
              <w:t xml:space="preserve"> on banking book: This comprises (i) </w:t>
            </w:r>
            <w:r>
              <w:rPr>
                <w:sz w:val="17"/>
                <w:szCs w:val="17"/>
              </w:rPr>
              <w:t>gains minus losses</w:t>
            </w:r>
            <w:r w:rsidRPr="00646C85">
              <w:rPr>
                <w:sz w:val="17"/>
                <w:szCs w:val="17"/>
              </w:rPr>
              <w:t xml:space="preserve"> on financial assets and liabilities measured at fair value through</w:t>
            </w:r>
            <w:r>
              <w:rPr>
                <w:sz w:val="17"/>
                <w:szCs w:val="17"/>
              </w:rPr>
              <w:t xml:space="preserve"> the</w:t>
            </w:r>
            <w:r w:rsidRPr="00646C85">
              <w:rPr>
                <w:sz w:val="17"/>
                <w:szCs w:val="17"/>
              </w:rPr>
              <w:t xml:space="preserve"> profit and loss</w:t>
            </w:r>
            <w:r>
              <w:rPr>
                <w:sz w:val="17"/>
                <w:szCs w:val="17"/>
              </w:rPr>
              <w:t xml:space="preserve"> account</w:t>
            </w:r>
            <w:r w:rsidRPr="00646C85">
              <w:rPr>
                <w:sz w:val="17"/>
                <w:szCs w:val="17"/>
              </w:rPr>
              <w:t xml:space="preserve">; (ii) realised </w:t>
            </w:r>
            <w:r>
              <w:rPr>
                <w:sz w:val="17"/>
                <w:szCs w:val="17"/>
              </w:rPr>
              <w:t>gains minus losses</w:t>
            </w:r>
            <w:r w:rsidRPr="00646C85">
              <w:rPr>
                <w:sz w:val="17"/>
                <w:szCs w:val="17"/>
              </w:rPr>
              <w:t xml:space="preserve"> on financial assets and liabilities not measured at fair value through</w:t>
            </w:r>
            <w:r>
              <w:rPr>
                <w:sz w:val="17"/>
                <w:szCs w:val="17"/>
              </w:rPr>
              <w:t xml:space="preserve"> the</w:t>
            </w:r>
            <w:r w:rsidRPr="00646C85">
              <w:rPr>
                <w:sz w:val="17"/>
                <w:szCs w:val="17"/>
              </w:rPr>
              <w:t xml:space="preserve"> profit and loss</w:t>
            </w:r>
            <w:r>
              <w:rPr>
                <w:sz w:val="17"/>
                <w:szCs w:val="17"/>
              </w:rPr>
              <w:t xml:space="preserve"> accounts</w:t>
            </w:r>
            <w:r w:rsidRPr="00646C85">
              <w:rPr>
                <w:sz w:val="17"/>
                <w:szCs w:val="17"/>
              </w:rPr>
              <w:t xml:space="preserve"> (loans and advances, assets available for sale, assets held to maturity, financial liabilities measured at amortised cost); (iii) </w:t>
            </w:r>
            <w:r>
              <w:rPr>
                <w:sz w:val="17"/>
                <w:szCs w:val="17"/>
              </w:rPr>
              <w:t>gains minus losses</w:t>
            </w:r>
            <w:r w:rsidRPr="00646C85">
              <w:rPr>
                <w:sz w:val="17"/>
                <w:szCs w:val="17"/>
              </w:rPr>
              <w:t xml:space="preserve"> from hedge accounting; and (iv) </w:t>
            </w:r>
            <w:r>
              <w:rPr>
                <w:sz w:val="17"/>
                <w:szCs w:val="17"/>
              </w:rPr>
              <w:t>gains minus losses</w:t>
            </w:r>
            <w:r w:rsidRPr="00646C85">
              <w:rPr>
                <w:sz w:val="17"/>
                <w:szCs w:val="17"/>
              </w:rPr>
              <w:t xml:space="preserve"> from exchange differences.</w:t>
            </w:r>
          </w:p>
        </w:tc>
      </w:tr>
      <w:tr w:rsidR="007B6EC3" w14:paraId="229FA49B" w14:textId="77777777" w:rsidTr="00EE6B38">
        <w:trPr>
          <w:trHeight w:val="373"/>
        </w:trPr>
        <w:tc>
          <w:tcPr>
            <w:tcW w:w="596" w:type="dxa"/>
          </w:tcPr>
          <w:p w14:paraId="155C792C" w14:textId="77777777" w:rsidR="007B6EC3" w:rsidRDefault="007B6EC3" w:rsidP="00EE6B38">
            <w:pPr>
              <w:keepLines/>
              <w:widowControl w:val="0"/>
              <w:tabs>
                <w:tab w:val="left" w:pos="150"/>
                <w:tab w:val="left" w:pos="397"/>
                <w:tab w:val="left" w:pos="794"/>
                <w:tab w:val="left" w:pos="1191"/>
              </w:tabs>
              <w:spacing w:before="20" w:after="20"/>
              <w:rPr>
                <w:rFonts w:cs="Segoe UI"/>
                <w:sz w:val="17"/>
                <w:szCs w:val="17"/>
                <w:lang w:eastAsia="en-GB"/>
              </w:rPr>
            </w:pPr>
            <w:r>
              <w:rPr>
                <w:rFonts w:cs="Segoe UI"/>
                <w:sz w:val="17"/>
                <w:szCs w:val="17"/>
                <w:lang w:eastAsia="en-GB"/>
              </w:rPr>
              <w:t>4</w:t>
            </w:r>
          </w:p>
        </w:tc>
        <w:tc>
          <w:tcPr>
            <w:tcW w:w="8618" w:type="dxa"/>
          </w:tcPr>
          <w:p w14:paraId="17A150A6" w14:textId="77777777" w:rsidR="007B6EC3" w:rsidRPr="00FA28FD" w:rsidRDefault="007B6EC3" w:rsidP="00EE6B38">
            <w:pPr>
              <w:pStyle w:val="TableNote"/>
              <w:keepNext/>
              <w:spacing w:before="40" w:after="40"/>
              <w:rPr>
                <w:sz w:val="17"/>
                <w:szCs w:val="17"/>
              </w:rPr>
            </w:pPr>
            <w:r w:rsidRPr="00324CB2">
              <w:rPr>
                <w:sz w:val="17"/>
                <w:szCs w:val="17"/>
              </w:rPr>
              <w:t>The BI is the sum of the three components: ILDC, SC and FC</w:t>
            </w:r>
            <w:r>
              <w:rPr>
                <w:sz w:val="17"/>
                <w:szCs w:val="17"/>
              </w:rPr>
              <w:t xml:space="preserve"> (i.e. sum of values in rows 1, 2 and 3)</w:t>
            </w:r>
            <w:r w:rsidRPr="00324CB2">
              <w:rPr>
                <w:sz w:val="17"/>
                <w:szCs w:val="17"/>
              </w:rPr>
              <w:t>.</w:t>
            </w:r>
          </w:p>
        </w:tc>
      </w:tr>
      <w:tr w:rsidR="007B6EC3" w14:paraId="3D5F20BD" w14:textId="77777777" w:rsidTr="00EE6B38">
        <w:trPr>
          <w:trHeight w:val="373"/>
        </w:trPr>
        <w:tc>
          <w:tcPr>
            <w:tcW w:w="596" w:type="dxa"/>
          </w:tcPr>
          <w:p w14:paraId="617A9FE7" w14:textId="77777777" w:rsidR="007B6EC3" w:rsidRDefault="007B6EC3" w:rsidP="00EE6B38">
            <w:pPr>
              <w:keepLines/>
              <w:widowControl w:val="0"/>
              <w:tabs>
                <w:tab w:val="left" w:pos="150"/>
                <w:tab w:val="left" w:pos="397"/>
                <w:tab w:val="left" w:pos="794"/>
                <w:tab w:val="left" w:pos="1191"/>
              </w:tabs>
              <w:spacing w:before="20" w:after="20"/>
              <w:rPr>
                <w:rFonts w:cs="Segoe UI"/>
                <w:sz w:val="17"/>
                <w:szCs w:val="17"/>
                <w:lang w:eastAsia="en-GB"/>
              </w:rPr>
            </w:pPr>
            <w:r>
              <w:rPr>
                <w:rFonts w:cs="Segoe UI"/>
                <w:sz w:val="17"/>
                <w:szCs w:val="17"/>
                <w:lang w:eastAsia="en-GB"/>
              </w:rPr>
              <w:t>5</w:t>
            </w:r>
          </w:p>
        </w:tc>
        <w:tc>
          <w:tcPr>
            <w:tcW w:w="8618" w:type="dxa"/>
          </w:tcPr>
          <w:p w14:paraId="385559B4" w14:textId="090EFE7C" w:rsidR="007B6EC3" w:rsidRPr="00324CB2" w:rsidRDefault="007B6EC3" w:rsidP="00EE6B38">
            <w:pPr>
              <w:pStyle w:val="TableNote"/>
              <w:keepNext/>
              <w:spacing w:before="40" w:after="40"/>
              <w:rPr>
                <w:sz w:val="17"/>
                <w:szCs w:val="17"/>
              </w:rPr>
            </w:pPr>
            <w:r w:rsidRPr="00324CB2">
              <w:rPr>
                <w:sz w:val="17"/>
                <w:szCs w:val="17"/>
              </w:rPr>
              <w:t>The BIC is calculated by multiplying the BI by a set of regulatory determined marginal coefficients</w:t>
            </w:r>
            <w:r>
              <w:rPr>
                <w:sz w:val="17"/>
                <w:szCs w:val="17"/>
              </w:rPr>
              <w:t xml:space="preserve"> as set out in Part 9 of the BCR</w:t>
            </w:r>
            <w:r w:rsidRPr="00324CB2">
              <w:rPr>
                <w:sz w:val="17"/>
                <w:szCs w:val="17"/>
              </w:rPr>
              <w:t>. The marginal coefficients increase with the size of the BI: 12% for BI ≤</w:t>
            </w:r>
            <w:r>
              <w:rPr>
                <w:sz w:val="17"/>
                <w:szCs w:val="17"/>
              </w:rPr>
              <w:t xml:space="preserve"> HKD10 billion</w:t>
            </w:r>
            <w:r w:rsidRPr="00324CB2">
              <w:rPr>
                <w:sz w:val="17"/>
                <w:szCs w:val="17"/>
              </w:rPr>
              <w:t xml:space="preserve">; 15% for </w:t>
            </w:r>
            <w:r>
              <w:rPr>
                <w:sz w:val="17"/>
                <w:szCs w:val="17"/>
              </w:rPr>
              <w:t>HKD10 billion</w:t>
            </w:r>
            <w:r w:rsidRPr="00324CB2">
              <w:rPr>
                <w:sz w:val="17"/>
                <w:szCs w:val="17"/>
              </w:rPr>
              <w:t>&lt; BI ≤</w:t>
            </w:r>
            <w:r>
              <w:rPr>
                <w:sz w:val="17"/>
                <w:szCs w:val="17"/>
              </w:rPr>
              <w:t>HKD300 billion</w:t>
            </w:r>
            <w:r w:rsidRPr="00324CB2">
              <w:rPr>
                <w:sz w:val="17"/>
                <w:szCs w:val="17"/>
              </w:rPr>
              <w:t>; and 18% for BI &gt;</w:t>
            </w:r>
            <w:r>
              <w:rPr>
                <w:sz w:val="17"/>
                <w:szCs w:val="17"/>
              </w:rPr>
              <w:t xml:space="preserve"> HKD300 billion</w:t>
            </w:r>
            <w:r w:rsidRPr="00324CB2">
              <w:rPr>
                <w:sz w:val="17"/>
                <w:szCs w:val="17"/>
              </w:rPr>
              <w:t>.</w:t>
            </w:r>
            <w:r>
              <w:rPr>
                <w:sz w:val="17"/>
                <w:szCs w:val="17"/>
              </w:rPr>
              <w:t xml:space="preserve">  The value in </w:t>
            </w:r>
            <w:r w:rsidRPr="00B21749">
              <w:rPr>
                <w:sz w:val="17"/>
                <w:szCs w:val="17"/>
              </w:rPr>
              <w:t xml:space="preserve">[OR2:5/a] </w:t>
            </w:r>
            <w:r>
              <w:rPr>
                <w:sz w:val="17"/>
                <w:szCs w:val="17"/>
              </w:rPr>
              <w:t>should be</w:t>
            </w:r>
            <w:r w:rsidRPr="00B21749">
              <w:rPr>
                <w:sz w:val="17"/>
                <w:szCs w:val="17"/>
              </w:rPr>
              <w:t xml:space="preserve"> equal to [OR3:1/a]</w:t>
            </w:r>
            <w:r>
              <w:rPr>
                <w:sz w:val="17"/>
                <w:szCs w:val="17"/>
              </w:rPr>
              <w:t>.</w:t>
            </w:r>
          </w:p>
        </w:tc>
      </w:tr>
      <w:tr w:rsidR="007B6EC3" w14:paraId="5DC25521" w14:textId="77777777" w:rsidTr="00EE6B38">
        <w:tc>
          <w:tcPr>
            <w:tcW w:w="9214" w:type="dxa"/>
            <w:gridSpan w:val="2"/>
            <w:shd w:val="clear" w:color="auto" w:fill="F2F2F2"/>
          </w:tcPr>
          <w:p w14:paraId="0577BE0B" w14:textId="1F457E57" w:rsidR="007B6EC3" w:rsidRPr="00B21749" w:rsidRDefault="007B6EC3" w:rsidP="00EE6B38">
            <w:pPr>
              <w:spacing w:before="40" w:after="40"/>
              <w:jc w:val="both"/>
              <w:rPr>
                <w:rFonts w:eastAsia="新細明體"/>
                <w:b/>
                <w:sz w:val="17"/>
                <w:szCs w:val="17"/>
                <w:lang w:eastAsia="en-GB"/>
              </w:rPr>
            </w:pPr>
            <w:r w:rsidRPr="00B21749">
              <w:rPr>
                <w:rFonts w:eastAsia="新細明體"/>
                <w:b/>
                <w:sz w:val="17"/>
                <w:szCs w:val="17"/>
                <w:lang w:eastAsia="en-GB"/>
              </w:rPr>
              <w:t xml:space="preserve">Disclosure on BI </w:t>
            </w:r>
            <w:r>
              <w:rPr>
                <w:rFonts w:eastAsia="新細明體"/>
                <w:b/>
                <w:sz w:val="17"/>
                <w:szCs w:val="17"/>
                <w:lang w:eastAsia="en-GB"/>
              </w:rPr>
              <w:t xml:space="preserve">under rows 6a and 6b </w:t>
            </w:r>
            <w:r w:rsidRPr="00B21749">
              <w:rPr>
                <w:rFonts w:eastAsia="新細明體"/>
                <w:sz w:val="17"/>
                <w:szCs w:val="17"/>
                <w:lang w:eastAsia="en-GB"/>
              </w:rPr>
              <w:t xml:space="preserve">should be reported by </w:t>
            </w:r>
            <w:r>
              <w:rPr>
                <w:rFonts w:eastAsia="新細明體"/>
                <w:sz w:val="17"/>
                <w:szCs w:val="17"/>
                <w:lang w:eastAsia="en-GB"/>
              </w:rPr>
              <w:t>AIs</w:t>
            </w:r>
            <w:r w:rsidRPr="00B21749">
              <w:rPr>
                <w:rFonts w:eastAsia="新細明體"/>
                <w:sz w:val="17"/>
                <w:szCs w:val="17"/>
                <w:lang w:eastAsia="en-GB"/>
              </w:rPr>
              <w:t xml:space="preserve"> that have received </w:t>
            </w:r>
            <w:r>
              <w:rPr>
                <w:rFonts w:eastAsia="新細明體"/>
                <w:sz w:val="17"/>
                <w:szCs w:val="17"/>
                <w:lang w:eastAsia="en-GB"/>
              </w:rPr>
              <w:t xml:space="preserve">MA’s </w:t>
            </w:r>
            <w:r w:rsidRPr="00B21749">
              <w:rPr>
                <w:rFonts w:eastAsia="新細明體"/>
                <w:sz w:val="17"/>
                <w:szCs w:val="17"/>
                <w:lang w:eastAsia="en-GB"/>
              </w:rPr>
              <w:t xml:space="preserve">approval to exclude divested </w:t>
            </w:r>
            <w:r>
              <w:rPr>
                <w:rFonts w:eastAsia="新細明體"/>
                <w:sz w:val="17"/>
                <w:szCs w:val="17"/>
                <w:lang w:eastAsia="en-GB"/>
              </w:rPr>
              <w:t xml:space="preserve">businesses and </w:t>
            </w:r>
            <w:r w:rsidRPr="00B21749">
              <w:rPr>
                <w:rFonts w:eastAsia="新細明體"/>
                <w:sz w:val="17"/>
                <w:szCs w:val="17"/>
                <w:lang w:eastAsia="en-GB"/>
              </w:rPr>
              <w:t>activities from the calculation of the BI.</w:t>
            </w:r>
          </w:p>
        </w:tc>
      </w:tr>
      <w:tr w:rsidR="007B6EC3" w14:paraId="1B2764FD" w14:textId="77777777" w:rsidTr="00EE6B38">
        <w:tc>
          <w:tcPr>
            <w:tcW w:w="596" w:type="dxa"/>
          </w:tcPr>
          <w:p w14:paraId="0348C87B" w14:textId="77777777" w:rsidR="007B6EC3" w:rsidRPr="00B21749" w:rsidRDefault="007B6EC3" w:rsidP="00EE6B38">
            <w:pPr>
              <w:keepLines/>
              <w:widowControl w:val="0"/>
              <w:tabs>
                <w:tab w:val="left" w:pos="150"/>
                <w:tab w:val="left" w:pos="397"/>
                <w:tab w:val="left" w:pos="794"/>
                <w:tab w:val="left" w:pos="1191"/>
              </w:tabs>
              <w:spacing w:before="20" w:after="20"/>
              <w:rPr>
                <w:rFonts w:cs="Segoe UI"/>
                <w:sz w:val="17"/>
                <w:szCs w:val="17"/>
              </w:rPr>
            </w:pPr>
            <w:r w:rsidRPr="00B21749">
              <w:rPr>
                <w:rFonts w:cs="Segoe UI"/>
                <w:sz w:val="17"/>
                <w:szCs w:val="17"/>
              </w:rPr>
              <w:t>6a</w:t>
            </w:r>
          </w:p>
        </w:tc>
        <w:tc>
          <w:tcPr>
            <w:tcW w:w="8618" w:type="dxa"/>
          </w:tcPr>
          <w:p w14:paraId="1A3FC2F8" w14:textId="77777777" w:rsidR="007B6EC3" w:rsidRPr="00B21749" w:rsidRDefault="007B6EC3" w:rsidP="00EE6B38">
            <w:pPr>
              <w:keepLines/>
              <w:widowControl w:val="0"/>
              <w:tabs>
                <w:tab w:val="left" w:pos="150"/>
                <w:tab w:val="left" w:pos="397"/>
                <w:tab w:val="left" w:pos="794"/>
                <w:tab w:val="left" w:pos="1191"/>
              </w:tabs>
              <w:spacing w:before="20" w:after="20"/>
              <w:jc w:val="both"/>
              <w:rPr>
                <w:rFonts w:cs="Segoe UI"/>
                <w:sz w:val="17"/>
                <w:szCs w:val="17"/>
              </w:rPr>
            </w:pPr>
            <w:r w:rsidRPr="00B21749">
              <w:rPr>
                <w:rFonts w:cs="Segoe UI"/>
                <w:sz w:val="17"/>
                <w:szCs w:val="17"/>
              </w:rPr>
              <w:t xml:space="preserve">The BI reported in this row includes divested </w:t>
            </w:r>
            <w:r>
              <w:rPr>
                <w:rFonts w:cs="Segoe UI"/>
                <w:sz w:val="17"/>
                <w:szCs w:val="17"/>
              </w:rPr>
              <w:t xml:space="preserve">businesses and </w:t>
            </w:r>
            <w:r w:rsidRPr="00B21749">
              <w:rPr>
                <w:rFonts w:cs="Segoe UI"/>
                <w:sz w:val="17"/>
                <w:szCs w:val="17"/>
              </w:rPr>
              <w:t>activities.</w:t>
            </w:r>
          </w:p>
        </w:tc>
      </w:tr>
      <w:tr w:rsidR="007B6EC3" w14:paraId="2C7F122F" w14:textId="77777777" w:rsidTr="00EE6B38">
        <w:tc>
          <w:tcPr>
            <w:tcW w:w="596" w:type="dxa"/>
          </w:tcPr>
          <w:p w14:paraId="5159ED90" w14:textId="77777777" w:rsidR="007B6EC3" w:rsidRPr="00B21749" w:rsidRDefault="007B6EC3" w:rsidP="00EE6B38">
            <w:pPr>
              <w:keepLines/>
              <w:widowControl w:val="0"/>
              <w:tabs>
                <w:tab w:val="left" w:pos="150"/>
                <w:tab w:val="left" w:pos="397"/>
                <w:tab w:val="left" w:pos="794"/>
                <w:tab w:val="left" w:pos="1191"/>
              </w:tabs>
              <w:spacing w:before="20" w:after="20"/>
              <w:rPr>
                <w:rFonts w:cs="Segoe UI"/>
                <w:sz w:val="17"/>
                <w:szCs w:val="17"/>
              </w:rPr>
            </w:pPr>
            <w:r w:rsidRPr="00B21749">
              <w:rPr>
                <w:rFonts w:cs="Segoe UI"/>
                <w:sz w:val="17"/>
                <w:szCs w:val="17"/>
              </w:rPr>
              <w:t>6b</w:t>
            </w:r>
          </w:p>
        </w:tc>
        <w:tc>
          <w:tcPr>
            <w:tcW w:w="8618" w:type="dxa"/>
          </w:tcPr>
          <w:p w14:paraId="01FB9B3D" w14:textId="77777777" w:rsidR="007B6EC3" w:rsidRPr="00B21749" w:rsidRDefault="007B6EC3" w:rsidP="00EE6B38">
            <w:pPr>
              <w:keepLines/>
              <w:widowControl w:val="0"/>
              <w:tabs>
                <w:tab w:val="left" w:pos="150"/>
                <w:tab w:val="left" w:pos="397"/>
                <w:tab w:val="left" w:pos="794"/>
                <w:tab w:val="left" w:pos="1191"/>
              </w:tabs>
              <w:spacing w:before="20" w:after="20"/>
              <w:jc w:val="both"/>
              <w:rPr>
                <w:rFonts w:cs="Segoe UI"/>
                <w:sz w:val="17"/>
                <w:szCs w:val="17"/>
              </w:rPr>
            </w:pPr>
            <w:r w:rsidRPr="00B21749">
              <w:rPr>
                <w:rFonts w:cs="Segoe UI"/>
                <w:sz w:val="17"/>
                <w:szCs w:val="17"/>
              </w:rPr>
              <w:t xml:space="preserve">Difference between BI gross of divested </w:t>
            </w:r>
            <w:r>
              <w:rPr>
                <w:rFonts w:cs="Segoe UI"/>
                <w:sz w:val="17"/>
                <w:szCs w:val="17"/>
              </w:rPr>
              <w:t xml:space="preserve">businesses and </w:t>
            </w:r>
            <w:r w:rsidRPr="00B21749">
              <w:rPr>
                <w:rFonts w:cs="Segoe UI"/>
                <w:sz w:val="17"/>
                <w:szCs w:val="17"/>
              </w:rPr>
              <w:t xml:space="preserve">activities (row 6a) and BI net of divested </w:t>
            </w:r>
            <w:r>
              <w:rPr>
                <w:rFonts w:cs="Segoe UI"/>
                <w:sz w:val="17"/>
                <w:szCs w:val="17"/>
              </w:rPr>
              <w:t xml:space="preserve">businesses and </w:t>
            </w:r>
            <w:r w:rsidRPr="00B21749">
              <w:rPr>
                <w:rFonts w:cs="Segoe UI"/>
                <w:sz w:val="17"/>
                <w:szCs w:val="17"/>
              </w:rPr>
              <w:t>activities (row 4).</w:t>
            </w:r>
          </w:p>
        </w:tc>
      </w:tr>
    </w:tbl>
    <w:p w14:paraId="21E95032" w14:textId="77777777" w:rsidR="007B6EC3" w:rsidRDefault="007B6EC3" w:rsidP="007B6EC3">
      <w:pPr>
        <w:spacing w:before="40" w:after="40"/>
        <w:jc w:val="both"/>
        <w:rPr>
          <w:sz w:val="22"/>
        </w:rPr>
      </w:pPr>
    </w:p>
    <w:p w14:paraId="0EB664B6" w14:textId="77777777" w:rsidR="007B6EC3" w:rsidRDefault="007B6EC3" w:rsidP="007B6EC3">
      <w:pPr>
        <w:spacing w:before="40" w:after="40"/>
        <w:jc w:val="both"/>
        <w:rPr>
          <w:sz w:val="22"/>
        </w:rPr>
      </w:pPr>
    </w:p>
    <w:p w14:paraId="61792585" w14:textId="77777777" w:rsidR="007B6EC3" w:rsidRPr="007B6EC3" w:rsidRDefault="007B6EC3" w:rsidP="007B6EC3"/>
    <w:p w14:paraId="6E9AA4FA" w14:textId="297A5E90" w:rsidR="00A55117" w:rsidRDefault="00A55117" w:rsidP="00A55117"/>
    <w:p w14:paraId="04805468" w14:textId="77777777" w:rsidR="00D7029F" w:rsidRDefault="00D7029F" w:rsidP="00A55117">
      <w:pPr>
        <w:sectPr w:rsidR="00D7029F">
          <w:footerReference w:type="default" r:id="rId115"/>
          <w:pgSz w:w="11906" w:h="16838" w:code="9"/>
          <w:pgMar w:top="1440" w:right="1797" w:bottom="1440" w:left="1797" w:header="851" w:footer="737" w:gutter="0"/>
          <w:cols w:space="425"/>
          <w:docGrid w:type="lines" w:linePitch="360"/>
        </w:sectPr>
      </w:pPr>
    </w:p>
    <w:p w14:paraId="6D802B87" w14:textId="1E74007F" w:rsidR="007B6EC3" w:rsidRPr="007B6EC3" w:rsidRDefault="007B6EC3" w:rsidP="007B6EC3">
      <w:pPr>
        <w:pStyle w:val="Heading2"/>
        <w:rPr>
          <w:rFonts w:eastAsia="新細明體"/>
          <w:szCs w:val="24"/>
        </w:rPr>
      </w:pPr>
      <w:r w:rsidRPr="007B6EC3">
        <w:rPr>
          <w:rFonts w:eastAsia="新細明體"/>
          <w:szCs w:val="24"/>
        </w:rPr>
        <w:lastRenderedPageBreak/>
        <w:t>Template OR3: Minimum operational risk capital requirement</w:t>
      </w:r>
    </w:p>
    <w:tbl>
      <w:tblPr>
        <w:tblW w:w="5407" w:type="pct"/>
        <w:tblInd w:w="-460"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1920"/>
        <w:gridCol w:w="7069"/>
      </w:tblGrid>
      <w:tr w:rsidR="007B6EC3" w:rsidRPr="007B6EC3" w14:paraId="379041F4" w14:textId="77777777" w:rsidTr="00EE6B38">
        <w:tc>
          <w:tcPr>
            <w:tcW w:w="1068" w:type="pct"/>
          </w:tcPr>
          <w:p w14:paraId="6912CAA8" w14:textId="77777777" w:rsidR="007B6EC3" w:rsidRPr="007B6EC3" w:rsidRDefault="007B6EC3" w:rsidP="007B6EC3">
            <w:pPr>
              <w:spacing w:before="40" w:after="40"/>
              <w:rPr>
                <w:noProof/>
                <w:sz w:val="17"/>
                <w:lang w:eastAsia="en-GB"/>
              </w:rPr>
            </w:pPr>
            <w:r w:rsidRPr="007B6EC3">
              <w:rPr>
                <w:b/>
                <w:sz w:val="17"/>
                <w:lang w:eastAsia="en-GB"/>
              </w:rPr>
              <w:t>Purpose:</w:t>
            </w:r>
            <w:r w:rsidRPr="007B6EC3">
              <w:rPr>
                <w:sz w:val="17"/>
                <w:lang w:eastAsia="en-GB"/>
              </w:rPr>
              <w:t xml:space="preserve"> </w:t>
            </w:r>
          </w:p>
        </w:tc>
        <w:tc>
          <w:tcPr>
            <w:tcW w:w="3932" w:type="pct"/>
          </w:tcPr>
          <w:p w14:paraId="10F58F89" w14:textId="480C9849" w:rsidR="007B6EC3" w:rsidRPr="007B6EC3" w:rsidRDefault="007B6EC3" w:rsidP="007B6EC3">
            <w:pPr>
              <w:spacing w:before="40" w:after="40"/>
              <w:jc w:val="both"/>
              <w:rPr>
                <w:noProof/>
                <w:sz w:val="17"/>
                <w:lang w:eastAsia="en-GB"/>
              </w:rPr>
            </w:pPr>
            <w:r w:rsidRPr="007B6EC3">
              <w:rPr>
                <w:sz w:val="17"/>
              </w:rPr>
              <w:t>To disclose operational risk capital requirement.</w:t>
            </w:r>
          </w:p>
        </w:tc>
      </w:tr>
      <w:tr w:rsidR="007B6EC3" w:rsidRPr="007B6EC3" w14:paraId="0572C029" w14:textId="77777777" w:rsidTr="00EE6B38">
        <w:tc>
          <w:tcPr>
            <w:tcW w:w="1068" w:type="pct"/>
          </w:tcPr>
          <w:p w14:paraId="343EF68C" w14:textId="77777777" w:rsidR="007B6EC3" w:rsidRPr="007B6EC3" w:rsidRDefault="007B6EC3" w:rsidP="007B6EC3">
            <w:pPr>
              <w:spacing w:before="40" w:after="40"/>
              <w:rPr>
                <w:b/>
                <w:sz w:val="17"/>
                <w:lang w:eastAsia="en-GB"/>
              </w:rPr>
            </w:pPr>
            <w:r w:rsidRPr="007B6EC3">
              <w:rPr>
                <w:b/>
                <w:sz w:val="17"/>
                <w:lang w:eastAsia="en-GB"/>
              </w:rPr>
              <w:t xml:space="preserve">Scope of application: </w:t>
            </w:r>
          </w:p>
        </w:tc>
        <w:tc>
          <w:tcPr>
            <w:tcW w:w="3932" w:type="pct"/>
          </w:tcPr>
          <w:p w14:paraId="6E852895" w14:textId="263B09B4" w:rsidR="007B6EC3" w:rsidRPr="007B6EC3" w:rsidRDefault="007B6EC3" w:rsidP="007B6EC3">
            <w:pPr>
              <w:spacing w:before="40" w:after="40"/>
              <w:jc w:val="both"/>
              <w:rPr>
                <w:rFonts w:eastAsia="新細明體"/>
                <w:b/>
                <w:sz w:val="17"/>
                <w:lang w:eastAsia="en-GB"/>
              </w:rPr>
            </w:pPr>
            <w:r w:rsidRPr="007B6EC3">
              <w:rPr>
                <w:rFonts w:eastAsia="新細明體"/>
                <w:sz w:val="17"/>
                <w:lang w:eastAsia="en-GB"/>
              </w:rPr>
              <w:t xml:space="preserve">The template is mandatory for all AIs </w:t>
            </w:r>
            <w:r w:rsidRPr="007B6EC3">
              <w:rPr>
                <w:sz w:val="17"/>
                <w:lang w:eastAsia="en-GB"/>
              </w:rPr>
              <w:t>incorporated in Hong Kong</w:t>
            </w:r>
            <w:r w:rsidRPr="007B6EC3">
              <w:rPr>
                <w:rFonts w:eastAsia="新細明體"/>
                <w:sz w:val="17"/>
                <w:lang w:eastAsia="en-GB"/>
              </w:rPr>
              <w:t>.</w:t>
            </w:r>
          </w:p>
        </w:tc>
      </w:tr>
      <w:tr w:rsidR="007B6EC3" w:rsidRPr="007B6EC3" w14:paraId="59CD8EE9" w14:textId="77777777" w:rsidTr="00EE6B38">
        <w:tc>
          <w:tcPr>
            <w:tcW w:w="1068" w:type="pct"/>
          </w:tcPr>
          <w:p w14:paraId="1E42AB41" w14:textId="77777777" w:rsidR="007B6EC3" w:rsidRPr="007B6EC3" w:rsidRDefault="007B6EC3" w:rsidP="007B6EC3">
            <w:pPr>
              <w:spacing w:before="40" w:after="40"/>
              <w:rPr>
                <w:b/>
                <w:sz w:val="17"/>
                <w:lang w:eastAsia="en-GB"/>
              </w:rPr>
            </w:pPr>
            <w:r w:rsidRPr="007B6EC3">
              <w:rPr>
                <w:b/>
                <w:sz w:val="17"/>
                <w:lang w:eastAsia="en-GB"/>
              </w:rPr>
              <w:t xml:space="preserve">Content: </w:t>
            </w:r>
          </w:p>
        </w:tc>
        <w:tc>
          <w:tcPr>
            <w:tcW w:w="3932" w:type="pct"/>
          </w:tcPr>
          <w:p w14:paraId="7EB0A597" w14:textId="77777777" w:rsidR="007B6EC3" w:rsidRPr="007B6EC3" w:rsidRDefault="007B6EC3" w:rsidP="007B6EC3">
            <w:pPr>
              <w:spacing w:before="40" w:after="40"/>
              <w:jc w:val="both"/>
              <w:rPr>
                <w:rFonts w:eastAsia="新細明體"/>
                <w:sz w:val="17"/>
                <w:lang w:eastAsia="en-GB"/>
              </w:rPr>
            </w:pPr>
            <w:r w:rsidRPr="007B6EC3">
              <w:rPr>
                <w:rFonts w:eastAsia="新細明體"/>
                <w:sz w:val="17"/>
                <w:lang w:eastAsia="en-GB"/>
              </w:rPr>
              <w:t>Quantitative information.</w:t>
            </w:r>
          </w:p>
        </w:tc>
      </w:tr>
      <w:tr w:rsidR="007B6EC3" w:rsidRPr="007B6EC3" w14:paraId="2B6B0F45" w14:textId="77777777" w:rsidTr="00EE6B38">
        <w:tc>
          <w:tcPr>
            <w:tcW w:w="1068" w:type="pct"/>
          </w:tcPr>
          <w:p w14:paraId="3DF060A1" w14:textId="77777777" w:rsidR="007B6EC3" w:rsidRPr="007B6EC3" w:rsidRDefault="007B6EC3" w:rsidP="007B6EC3">
            <w:pPr>
              <w:spacing w:before="40" w:after="40"/>
              <w:rPr>
                <w:sz w:val="17"/>
                <w:lang w:eastAsia="en-GB"/>
              </w:rPr>
            </w:pPr>
            <w:r w:rsidRPr="007B6EC3">
              <w:rPr>
                <w:b/>
                <w:sz w:val="17"/>
                <w:lang w:eastAsia="en-GB"/>
              </w:rPr>
              <w:t>Frequency:</w:t>
            </w:r>
            <w:r w:rsidRPr="007B6EC3">
              <w:rPr>
                <w:sz w:val="17"/>
                <w:lang w:eastAsia="en-GB"/>
              </w:rPr>
              <w:t xml:space="preserve"> </w:t>
            </w:r>
          </w:p>
        </w:tc>
        <w:tc>
          <w:tcPr>
            <w:tcW w:w="3932" w:type="pct"/>
          </w:tcPr>
          <w:p w14:paraId="49B7CE1D" w14:textId="77777777" w:rsidR="007B6EC3" w:rsidRPr="007B6EC3" w:rsidRDefault="007B6EC3" w:rsidP="007B6EC3">
            <w:pPr>
              <w:spacing w:before="40" w:after="40"/>
              <w:jc w:val="both"/>
              <w:rPr>
                <w:rFonts w:eastAsia="新細明體"/>
                <w:sz w:val="17"/>
                <w:lang w:eastAsia="zh-TW"/>
              </w:rPr>
            </w:pPr>
            <w:r w:rsidRPr="007B6EC3">
              <w:rPr>
                <w:sz w:val="17"/>
                <w:lang w:eastAsia="en-GB"/>
              </w:rPr>
              <w:t>Annual.</w:t>
            </w:r>
          </w:p>
        </w:tc>
      </w:tr>
      <w:tr w:rsidR="007B6EC3" w:rsidRPr="007B6EC3" w14:paraId="645C3821" w14:textId="77777777" w:rsidTr="00EE6B38">
        <w:tc>
          <w:tcPr>
            <w:tcW w:w="1068" w:type="pct"/>
          </w:tcPr>
          <w:p w14:paraId="453590A6" w14:textId="77777777" w:rsidR="007B6EC3" w:rsidRPr="007B6EC3" w:rsidRDefault="007B6EC3" w:rsidP="007B6EC3">
            <w:pPr>
              <w:spacing w:before="40" w:after="40"/>
              <w:rPr>
                <w:sz w:val="17"/>
                <w:lang w:eastAsia="en-GB"/>
              </w:rPr>
            </w:pPr>
            <w:r w:rsidRPr="007B6EC3">
              <w:rPr>
                <w:b/>
                <w:sz w:val="17"/>
                <w:lang w:eastAsia="en-GB"/>
              </w:rPr>
              <w:t>Format:</w:t>
            </w:r>
            <w:r w:rsidRPr="007B6EC3">
              <w:rPr>
                <w:sz w:val="17"/>
                <w:lang w:eastAsia="en-GB"/>
              </w:rPr>
              <w:t xml:space="preserve"> </w:t>
            </w:r>
          </w:p>
        </w:tc>
        <w:tc>
          <w:tcPr>
            <w:tcW w:w="3932" w:type="pct"/>
          </w:tcPr>
          <w:p w14:paraId="32FB0E31" w14:textId="77777777" w:rsidR="007B6EC3" w:rsidRPr="007B6EC3" w:rsidRDefault="007B6EC3" w:rsidP="007B6EC3">
            <w:pPr>
              <w:spacing w:before="40" w:after="40"/>
              <w:jc w:val="both"/>
              <w:rPr>
                <w:sz w:val="17"/>
                <w:lang w:eastAsia="en-GB"/>
              </w:rPr>
            </w:pPr>
            <w:r w:rsidRPr="007B6EC3">
              <w:rPr>
                <w:sz w:val="17"/>
                <w:lang w:eastAsia="en-GB"/>
              </w:rPr>
              <w:t>Fixed.</w:t>
            </w:r>
          </w:p>
        </w:tc>
      </w:tr>
      <w:tr w:rsidR="007B6EC3" w:rsidRPr="007B6EC3" w14:paraId="7569E7D4" w14:textId="77777777" w:rsidTr="00EE6B38">
        <w:tc>
          <w:tcPr>
            <w:tcW w:w="1068" w:type="pct"/>
          </w:tcPr>
          <w:p w14:paraId="40E22B05" w14:textId="77777777" w:rsidR="007B6EC3" w:rsidRPr="007B6EC3" w:rsidRDefault="007B6EC3" w:rsidP="007B6EC3">
            <w:pPr>
              <w:spacing w:before="40" w:after="40"/>
              <w:rPr>
                <w:rFonts w:eastAsia="新細明體"/>
                <w:b/>
                <w:sz w:val="17"/>
                <w:szCs w:val="17"/>
                <w:lang w:eastAsia="en-GB"/>
              </w:rPr>
            </w:pPr>
            <w:r w:rsidRPr="007B6EC3">
              <w:rPr>
                <w:rFonts w:eastAsia="新細明體"/>
                <w:b/>
                <w:sz w:val="17"/>
                <w:szCs w:val="17"/>
                <w:lang w:eastAsia="en-GB"/>
              </w:rPr>
              <w:t>Corresponding BDR section:</w:t>
            </w:r>
          </w:p>
        </w:tc>
        <w:tc>
          <w:tcPr>
            <w:tcW w:w="3932" w:type="pct"/>
          </w:tcPr>
          <w:p w14:paraId="3F994146" w14:textId="41F0086C" w:rsidR="007B6EC3" w:rsidRPr="007B6EC3" w:rsidRDefault="00FA32DE" w:rsidP="007B6EC3">
            <w:pPr>
              <w:spacing w:before="40" w:after="40"/>
              <w:jc w:val="both"/>
              <w:rPr>
                <w:sz w:val="17"/>
                <w:szCs w:val="17"/>
                <w:lang w:eastAsia="en-GB"/>
              </w:rPr>
            </w:pPr>
            <w:r w:rsidRPr="00BD33F1">
              <w:rPr>
                <w:sz w:val="17"/>
                <w:lang w:eastAsia="en-GB"/>
              </w:rPr>
              <w:t>1</w:t>
            </w:r>
            <w:r w:rsidR="007B6EC3" w:rsidRPr="00BD33F1">
              <w:rPr>
                <w:sz w:val="17"/>
                <w:lang w:eastAsia="en-GB"/>
              </w:rPr>
              <w:t>6ZQD</w:t>
            </w:r>
          </w:p>
        </w:tc>
      </w:tr>
    </w:tbl>
    <w:p w14:paraId="7AEFA234" w14:textId="77777777" w:rsidR="007B6EC3" w:rsidRPr="007B6EC3" w:rsidRDefault="007B6EC3" w:rsidP="007B6EC3">
      <w:pPr>
        <w:tabs>
          <w:tab w:val="left" w:pos="794"/>
          <w:tab w:val="left" w:pos="1191"/>
        </w:tabs>
        <w:spacing w:after="120"/>
        <w:ind w:left="794"/>
        <w:jc w:val="both"/>
        <w:rPr>
          <w:noProof/>
          <w:lang w:eastAsia="en-GB"/>
        </w:rPr>
      </w:pPr>
    </w:p>
    <w:tbl>
      <w:tblPr>
        <w:tblW w:w="9242" w:type="dxa"/>
        <w:tblInd w:w="-426" w:type="dxa"/>
        <w:tblBorders>
          <w:top w:val="single" w:sz="4" w:space="0" w:color="BCBCBD"/>
          <w:insideV w:val="single" w:sz="4" w:space="0" w:color="BCBCBD"/>
        </w:tblBorders>
        <w:tblLayout w:type="fixed"/>
        <w:tblLook w:val="04A0" w:firstRow="1" w:lastRow="0" w:firstColumn="1" w:lastColumn="0" w:noHBand="0" w:noVBand="1"/>
      </w:tblPr>
      <w:tblGrid>
        <w:gridCol w:w="676"/>
        <w:gridCol w:w="4428"/>
        <w:gridCol w:w="4111"/>
        <w:gridCol w:w="27"/>
      </w:tblGrid>
      <w:tr w:rsidR="007B6EC3" w:rsidRPr="007B6EC3" w14:paraId="67B2CC4E" w14:textId="77777777" w:rsidTr="000243FA">
        <w:trPr>
          <w:gridAfter w:val="1"/>
          <w:wAfter w:w="27" w:type="dxa"/>
          <w:trHeight w:val="230"/>
        </w:trPr>
        <w:tc>
          <w:tcPr>
            <w:tcW w:w="676" w:type="dxa"/>
            <w:tcBorders>
              <w:top w:val="nil"/>
              <w:left w:val="nil"/>
              <w:bottom w:val="single" w:sz="4" w:space="0" w:color="auto"/>
              <w:right w:val="nil"/>
            </w:tcBorders>
            <w:noWrap/>
            <w:vAlign w:val="center"/>
          </w:tcPr>
          <w:p w14:paraId="562E9E33" w14:textId="77777777" w:rsidR="007B6EC3" w:rsidRPr="007B6EC3" w:rsidRDefault="007B6EC3" w:rsidP="007B6EC3">
            <w:pPr>
              <w:tabs>
                <w:tab w:val="decimal" w:pos="474"/>
                <w:tab w:val="left" w:pos="794"/>
              </w:tabs>
              <w:adjustRightInd w:val="0"/>
              <w:snapToGrid w:val="0"/>
              <w:spacing w:before="40" w:after="40"/>
              <w:ind w:left="170"/>
              <w:rPr>
                <w:rFonts w:eastAsia="SimSun" w:cs="Segoe UI"/>
                <w:kern w:val="2"/>
                <w:sz w:val="18"/>
                <w:szCs w:val="18"/>
                <w:lang w:eastAsia="ja-JP"/>
              </w:rPr>
            </w:pPr>
          </w:p>
        </w:tc>
        <w:tc>
          <w:tcPr>
            <w:tcW w:w="4428" w:type="dxa"/>
            <w:tcBorders>
              <w:top w:val="nil"/>
              <w:left w:val="nil"/>
              <w:bottom w:val="single" w:sz="4" w:space="0" w:color="auto"/>
              <w:right w:val="single" w:sz="4" w:space="0" w:color="auto"/>
            </w:tcBorders>
            <w:vAlign w:val="center"/>
          </w:tcPr>
          <w:p w14:paraId="5577E75D" w14:textId="77777777" w:rsidR="007B6EC3" w:rsidRPr="007B6EC3" w:rsidRDefault="007B6EC3" w:rsidP="007B6EC3">
            <w:pPr>
              <w:keepNext/>
              <w:tabs>
                <w:tab w:val="decimal" w:pos="474"/>
                <w:tab w:val="left" w:pos="794"/>
              </w:tabs>
              <w:adjustRightInd w:val="0"/>
              <w:snapToGrid w:val="0"/>
              <w:spacing w:before="40" w:after="40"/>
              <w:jc w:val="both"/>
              <w:rPr>
                <w:rFonts w:eastAsia="SimSun" w:cs="Segoe UI"/>
                <w:color w:val="000000"/>
                <w:kern w:val="2"/>
                <w:sz w:val="18"/>
                <w:szCs w:val="18"/>
              </w:rPr>
            </w:pPr>
          </w:p>
        </w:tc>
        <w:tc>
          <w:tcPr>
            <w:tcW w:w="4111" w:type="dxa"/>
            <w:tcBorders>
              <w:top w:val="single" w:sz="4" w:space="0" w:color="auto"/>
              <w:left w:val="single" w:sz="4" w:space="0" w:color="auto"/>
              <w:bottom w:val="single" w:sz="4" w:space="0" w:color="auto"/>
              <w:right w:val="single" w:sz="4" w:space="0" w:color="auto"/>
            </w:tcBorders>
          </w:tcPr>
          <w:p w14:paraId="73F3B6A5" w14:textId="77777777" w:rsidR="007B6EC3" w:rsidRPr="007B6EC3" w:rsidRDefault="007B6EC3" w:rsidP="007B6EC3">
            <w:pPr>
              <w:keepNext/>
              <w:tabs>
                <w:tab w:val="decimal" w:pos="474"/>
                <w:tab w:val="left" w:pos="794"/>
              </w:tabs>
              <w:adjustRightInd w:val="0"/>
              <w:snapToGrid w:val="0"/>
              <w:spacing w:before="40" w:after="40"/>
              <w:jc w:val="center"/>
              <w:rPr>
                <w:rFonts w:eastAsia="SimSun" w:cs="Segoe UI"/>
                <w:kern w:val="2"/>
                <w:sz w:val="18"/>
                <w:szCs w:val="18"/>
                <w:lang w:eastAsia="ja-JP"/>
              </w:rPr>
            </w:pPr>
            <w:r w:rsidRPr="007B6EC3">
              <w:rPr>
                <w:rFonts w:eastAsia="SimSun" w:cs="Segoe UI"/>
                <w:kern w:val="2"/>
                <w:sz w:val="18"/>
                <w:szCs w:val="18"/>
                <w:lang w:eastAsia="ja-JP"/>
              </w:rPr>
              <w:t>(a)</w:t>
            </w:r>
          </w:p>
        </w:tc>
      </w:tr>
      <w:tr w:rsidR="007B6EC3" w:rsidRPr="007B6EC3" w14:paraId="39750BCF" w14:textId="77777777" w:rsidTr="00EE6B38">
        <w:trPr>
          <w:gridAfter w:val="1"/>
          <w:wAfter w:w="27" w:type="dxa"/>
          <w:trHeight w:val="230"/>
        </w:trPr>
        <w:tc>
          <w:tcPr>
            <w:tcW w:w="676" w:type="dxa"/>
            <w:tcBorders>
              <w:top w:val="single" w:sz="4" w:space="0" w:color="auto"/>
              <w:left w:val="nil"/>
              <w:bottom w:val="single" w:sz="4" w:space="0" w:color="BFBFBF"/>
              <w:right w:val="single" w:sz="4" w:space="0" w:color="auto"/>
            </w:tcBorders>
            <w:noWrap/>
            <w:vAlign w:val="center"/>
            <w:hideMark/>
          </w:tcPr>
          <w:p w14:paraId="5154A99F" w14:textId="77777777" w:rsidR="007B6EC3" w:rsidRPr="007B6EC3" w:rsidRDefault="007B6EC3" w:rsidP="007B6EC3">
            <w:pPr>
              <w:tabs>
                <w:tab w:val="decimal" w:pos="474"/>
                <w:tab w:val="left" w:pos="794"/>
              </w:tabs>
              <w:adjustRightInd w:val="0"/>
              <w:snapToGrid w:val="0"/>
              <w:spacing w:before="40" w:after="40"/>
              <w:ind w:left="170"/>
              <w:rPr>
                <w:rFonts w:eastAsia="SimSun" w:cs="Segoe UI"/>
                <w:kern w:val="2"/>
                <w:sz w:val="18"/>
                <w:szCs w:val="18"/>
                <w:lang w:eastAsia="ja-JP"/>
              </w:rPr>
            </w:pPr>
            <w:r w:rsidRPr="007B6EC3">
              <w:rPr>
                <w:rFonts w:eastAsia="SimSun" w:cs="Segoe UI"/>
                <w:kern w:val="2"/>
                <w:sz w:val="18"/>
                <w:szCs w:val="18"/>
                <w:lang w:eastAsia="ja-JP"/>
              </w:rPr>
              <w:t>1</w:t>
            </w:r>
          </w:p>
        </w:tc>
        <w:tc>
          <w:tcPr>
            <w:tcW w:w="4428" w:type="dxa"/>
            <w:tcBorders>
              <w:top w:val="single" w:sz="4" w:space="0" w:color="auto"/>
              <w:left w:val="single" w:sz="4" w:space="0" w:color="auto"/>
              <w:bottom w:val="single" w:sz="4" w:space="0" w:color="BFBFBF"/>
              <w:right w:val="single" w:sz="4" w:space="0" w:color="auto"/>
            </w:tcBorders>
            <w:vAlign w:val="center"/>
            <w:hideMark/>
          </w:tcPr>
          <w:p w14:paraId="37FC1812" w14:textId="77777777" w:rsidR="007B6EC3" w:rsidRPr="007B6EC3" w:rsidRDefault="007B6EC3" w:rsidP="007B6EC3">
            <w:pPr>
              <w:keepNext/>
              <w:tabs>
                <w:tab w:val="decimal" w:pos="474"/>
                <w:tab w:val="left" w:pos="794"/>
              </w:tabs>
              <w:adjustRightInd w:val="0"/>
              <w:snapToGrid w:val="0"/>
              <w:spacing w:before="40" w:after="40"/>
              <w:jc w:val="both"/>
              <w:rPr>
                <w:rFonts w:eastAsia="SimSun" w:cs="Segoe UI"/>
                <w:color w:val="000000"/>
                <w:kern w:val="2"/>
                <w:sz w:val="18"/>
                <w:szCs w:val="18"/>
              </w:rPr>
            </w:pPr>
            <w:r w:rsidRPr="007B6EC3">
              <w:rPr>
                <w:rFonts w:eastAsia="SimSun" w:cs="Segoe UI"/>
                <w:color w:val="000000"/>
                <w:kern w:val="2"/>
                <w:sz w:val="18"/>
                <w:szCs w:val="18"/>
              </w:rPr>
              <w:t xml:space="preserve">Business indicator component (BIC) </w:t>
            </w:r>
          </w:p>
        </w:tc>
        <w:tc>
          <w:tcPr>
            <w:tcW w:w="4111" w:type="dxa"/>
            <w:tcBorders>
              <w:top w:val="single" w:sz="4" w:space="0" w:color="auto"/>
              <w:left w:val="single" w:sz="4" w:space="0" w:color="auto"/>
              <w:bottom w:val="single" w:sz="4" w:space="0" w:color="BFBFBF"/>
              <w:right w:val="single" w:sz="4" w:space="0" w:color="auto"/>
            </w:tcBorders>
          </w:tcPr>
          <w:p w14:paraId="5D34462D" w14:textId="77777777" w:rsidR="007B6EC3" w:rsidRPr="007B6EC3" w:rsidRDefault="007B6EC3" w:rsidP="007B6EC3">
            <w:pPr>
              <w:keepNext/>
              <w:tabs>
                <w:tab w:val="decimal" w:pos="474"/>
                <w:tab w:val="left" w:pos="794"/>
              </w:tabs>
              <w:adjustRightInd w:val="0"/>
              <w:snapToGrid w:val="0"/>
              <w:spacing w:before="40" w:after="40"/>
              <w:jc w:val="center"/>
              <w:rPr>
                <w:rFonts w:eastAsia="SimSun" w:cs="Segoe UI"/>
                <w:kern w:val="2"/>
                <w:sz w:val="18"/>
                <w:szCs w:val="18"/>
                <w:lang w:eastAsia="ja-JP"/>
              </w:rPr>
            </w:pPr>
          </w:p>
        </w:tc>
      </w:tr>
      <w:tr w:rsidR="007B6EC3" w:rsidRPr="007B6EC3" w14:paraId="6D7AC48F" w14:textId="77777777" w:rsidTr="00EE6B38">
        <w:trPr>
          <w:gridAfter w:val="1"/>
          <w:wAfter w:w="27" w:type="dxa"/>
          <w:trHeight w:val="230"/>
        </w:trPr>
        <w:tc>
          <w:tcPr>
            <w:tcW w:w="676" w:type="dxa"/>
            <w:tcBorders>
              <w:top w:val="single" w:sz="4" w:space="0" w:color="BFBFBF"/>
              <w:left w:val="nil"/>
              <w:bottom w:val="single" w:sz="4" w:space="0" w:color="BFBFBF"/>
              <w:right w:val="single" w:sz="4" w:space="0" w:color="auto"/>
            </w:tcBorders>
            <w:noWrap/>
            <w:vAlign w:val="center"/>
            <w:hideMark/>
          </w:tcPr>
          <w:p w14:paraId="5A52C769" w14:textId="77777777" w:rsidR="007B6EC3" w:rsidRPr="007B6EC3" w:rsidRDefault="007B6EC3" w:rsidP="007B6EC3">
            <w:pPr>
              <w:tabs>
                <w:tab w:val="decimal" w:pos="474"/>
                <w:tab w:val="left" w:pos="794"/>
              </w:tabs>
              <w:adjustRightInd w:val="0"/>
              <w:snapToGrid w:val="0"/>
              <w:spacing w:before="40" w:after="40"/>
              <w:ind w:left="170"/>
              <w:rPr>
                <w:rFonts w:eastAsia="SimSun" w:cs="Segoe UI"/>
                <w:kern w:val="2"/>
                <w:sz w:val="18"/>
                <w:szCs w:val="18"/>
                <w:lang w:eastAsia="ja-JP"/>
              </w:rPr>
            </w:pPr>
            <w:r w:rsidRPr="007B6EC3">
              <w:rPr>
                <w:rFonts w:eastAsia="SimSun" w:cs="Segoe UI"/>
                <w:kern w:val="2"/>
                <w:sz w:val="18"/>
                <w:szCs w:val="18"/>
                <w:lang w:eastAsia="ja-JP"/>
              </w:rPr>
              <w:t>2</w:t>
            </w:r>
          </w:p>
        </w:tc>
        <w:tc>
          <w:tcPr>
            <w:tcW w:w="4428" w:type="dxa"/>
            <w:tcBorders>
              <w:top w:val="single" w:sz="4" w:space="0" w:color="BFBFBF"/>
              <w:left w:val="single" w:sz="4" w:space="0" w:color="auto"/>
              <w:bottom w:val="single" w:sz="4" w:space="0" w:color="BFBFBF"/>
              <w:right w:val="single" w:sz="4" w:space="0" w:color="auto"/>
            </w:tcBorders>
            <w:vAlign w:val="center"/>
            <w:hideMark/>
          </w:tcPr>
          <w:p w14:paraId="34B8DE5D" w14:textId="77777777" w:rsidR="007B6EC3" w:rsidRPr="007B6EC3" w:rsidRDefault="007B6EC3" w:rsidP="007B6EC3">
            <w:pPr>
              <w:keepNext/>
              <w:tabs>
                <w:tab w:val="decimal" w:pos="474"/>
                <w:tab w:val="left" w:pos="794"/>
              </w:tabs>
              <w:adjustRightInd w:val="0"/>
              <w:snapToGrid w:val="0"/>
              <w:spacing w:before="40" w:after="40"/>
              <w:jc w:val="both"/>
              <w:rPr>
                <w:rFonts w:eastAsia="SimSun" w:cs="Segoe UI"/>
                <w:color w:val="000000"/>
                <w:kern w:val="2"/>
                <w:sz w:val="18"/>
                <w:szCs w:val="18"/>
              </w:rPr>
            </w:pPr>
            <w:r w:rsidRPr="007B6EC3">
              <w:rPr>
                <w:rFonts w:eastAsia="SimSun" w:cs="Segoe UI"/>
                <w:color w:val="000000"/>
                <w:kern w:val="2"/>
                <w:sz w:val="18"/>
                <w:szCs w:val="18"/>
              </w:rPr>
              <w:t>Internal loss multiplier (ILM)</w:t>
            </w:r>
          </w:p>
        </w:tc>
        <w:tc>
          <w:tcPr>
            <w:tcW w:w="4111" w:type="dxa"/>
            <w:tcBorders>
              <w:top w:val="single" w:sz="4" w:space="0" w:color="BFBFBF"/>
              <w:left w:val="single" w:sz="4" w:space="0" w:color="auto"/>
              <w:bottom w:val="single" w:sz="4" w:space="0" w:color="BFBFBF"/>
              <w:right w:val="single" w:sz="4" w:space="0" w:color="auto"/>
            </w:tcBorders>
          </w:tcPr>
          <w:p w14:paraId="333759BF" w14:textId="77777777" w:rsidR="007B6EC3" w:rsidRPr="007B6EC3" w:rsidRDefault="007B6EC3" w:rsidP="007B6EC3">
            <w:pPr>
              <w:keepNext/>
              <w:tabs>
                <w:tab w:val="decimal" w:pos="474"/>
                <w:tab w:val="left" w:pos="794"/>
              </w:tabs>
              <w:adjustRightInd w:val="0"/>
              <w:snapToGrid w:val="0"/>
              <w:spacing w:before="40" w:after="40"/>
              <w:jc w:val="both"/>
              <w:rPr>
                <w:rFonts w:eastAsia="SimSun" w:cs="Segoe UI"/>
                <w:kern w:val="2"/>
                <w:sz w:val="18"/>
                <w:szCs w:val="18"/>
                <w:highlight w:val="darkGray"/>
                <w:lang w:eastAsia="ja-JP"/>
              </w:rPr>
            </w:pPr>
          </w:p>
        </w:tc>
      </w:tr>
      <w:tr w:rsidR="007B6EC3" w:rsidRPr="007B6EC3" w14:paraId="5609E557" w14:textId="77777777" w:rsidTr="00EE6B38">
        <w:trPr>
          <w:gridAfter w:val="1"/>
          <w:wAfter w:w="27" w:type="dxa"/>
          <w:trHeight w:val="230"/>
        </w:trPr>
        <w:tc>
          <w:tcPr>
            <w:tcW w:w="676" w:type="dxa"/>
            <w:tcBorders>
              <w:top w:val="single" w:sz="4" w:space="0" w:color="BFBFBF"/>
              <w:left w:val="nil"/>
              <w:bottom w:val="single" w:sz="4" w:space="0" w:color="BFBFBF"/>
              <w:right w:val="single" w:sz="4" w:space="0" w:color="auto"/>
            </w:tcBorders>
            <w:noWrap/>
            <w:vAlign w:val="center"/>
            <w:hideMark/>
          </w:tcPr>
          <w:p w14:paraId="19D3896E" w14:textId="77777777" w:rsidR="007B6EC3" w:rsidRPr="007B6EC3" w:rsidRDefault="007B6EC3" w:rsidP="007B6EC3">
            <w:pPr>
              <w:tabs>
                <w:tab w:val="decimal" w:pos="474"/>
                <w:tab w:val="left" w:pos="794"/>
              </w:tabs>
              <w:adjustRightInd w:val="0"/>
              <w:snapToGrid w:val="0"/>
              <w:spacing w:before="40" w:after="40"/>
              <w:ind w:left="170"/>
              <w:rPr>
                <w:rFonts w:eastAsia="SimSun" w:cs="Segoe UI"/>
                <w:kern w:val="2"/>
                <w:sz w:val="18"/>
                <w:szCs w:val="18"/>
                <w:lang w:eastAsia="ja-JP"/>
              </w:rPr>
            </w:pPr>
            <w:r w:rsidRPr="007B6EC3">
              <w:rPr>
                <w:rFonts w:eastAsia="SimSun" w:cs="Segoe UI"/>
                <w:kern w:val="2"/>
                <w:sz w:val="18"/>
                <w:szCs w:val="18"/>
                <w:lang w:eastAsia="ja-JP"/>
              </w:rPr>
              <w:t>3</w:t>
            </w:r>
          </w:p>
        </w:tc>
        <w:tc>
          <w:tcPr>
            <w:tcW w:w="4428" w:type="dxa"/>
            <w:tcBorders>
              <w:top w:val="single" w:sz="4" w:space="0" w:color="BFBFBF"/>
              <w:left w:val="single" w:sz="4" w:space="0" w:color="auto"/>
              <w:bottom w:val="single" w:sz="4" w:space="0" w:color="BFBFBF"/>
              <w:right w:val="single" w:sz="4" w:space="0" w:color="auto"/>
            </w:tcBorders>
            <w:vAlign w:val="center"/>
            <w:hideMark/>
          </w:tcPr>
          <w:p w14:paraId="634BEE97" w14:textId="77777777" w:rsidR="007B6EC3" w:rsidRPr="007B6EC3" w:rsidRDefault="007B6EC3" w:rsidP="007B6EC3">
            <w:pPr>
              <w:keepNext/>
              <w:tabs>
                <w:tab w:val="decimal" w:pos="474"/>
                <w:tab w:val="left" w:pos="794"/>
              </w:tabs>
              <w:adjustRightInd w:val="0"/>
              <w:snapToGrid w:val="0"/>
              <w:spacing w:before="40" w:after="40"/>
              <w:jc w:val="both"/>
              <w:rPr>
                <w:rFonts w:eastAsia="SimSun" w:cs="Segoe UI"/>
                <w:color w:val="000000"/>
                <w:kern w:val="2"/>
                <w:sz w:val="18"/>
                <w:szCs w:val="18"/>
              </w:rPr>
            </w:pPr>
            <w:r w:rsidRPr="007B6EC3">
              <w:rPr>
                <w:rFonts w:eastAsia="SimSun" w:cs="Segoe UI"/>
                <w:color w:val="000000"/>
                <w:kern w:val="2"/>
                <w:sz w:val="18"/>
                <w:szCs w:val="18"/>
              </w:rPr>
              <w:t>Minimum operational risk capital requirement</w:t>
            </w:r>
          </w:p>
        </w:tc>
        <w:tc>
          <w:tcPr>
            <w:tcW w:w="4111" w:type="dxa"/>
            <w:tcBorders>
              <w:top w:val="single" w:sz="4" w:space="0" w:color="BFBFBF"/>
              <w:left w:val="single" w:sz="4" w:space="0" w:color="auto"/>
              <w:bottom w:val="single" w:sz="4" w:space="0" w:color="BFBFBF"/>
              <w:right w:val="single" w:sz="4" w:space="0" w:color="auto"/>
            </w:tcBorders>
          </w:tcPr>
          <w:p w14:paraId="730D0872" w14:textId="77777777" w:rsidR="007B6EC3" w:rsidRPr="007B6EC3" w:rsidRDefault="007B6EC3" w:rsidP="007B6EC3">
            <w:pPr>
              <w:keepNext/>
              <w:tabs>
                <w:tab w:val="decimal" w:pos="474"/>
                <w:tab w:val="left" w:pos="794"/>
              </w:tabs>
              <w:adjustRightInd w:val="0"/>
              <w:snapToGrid w:val="0"/>
              <w:spacing w:before="40" w:after="40"/>
              <w:jc w:val="both"/>
              <w:rPr>
                <w:rFonts w:eastAsia="SimSun" w:cs="Segoe UI"/>
                <w:kern w:val="2"/>
                <w:sz w:val="18"/>
                <w:szCs w:val="18"/>
                <w:highlight w:val="darkGray"/>
                <w:lang w:eastAsia="ja-JP"/>
              </w:rPr>
            </w:pPr>
          </w:p>
        </w:tc>
      </w:tr>
      <w:tr w:rsidR="007B6EC3" w:rsidRPr="007B6EC3" w14:paraId="5602AB57" w14:textId="77777777" w:rsidTr="00EE6B38">
        <w:trPr>
          <w:gridAfter w:val="1"/>
          <w:wAfter w:w="27" w:type="dxa"/>
          <w:trHeight w:val="230"/>
        </w:trPr>
        <w:tc>
          <w:tcPr>
            <w:tcW w:w="676" w:type="dxa"/>
            <w:tcBorders>
              <w:top w:val="single" w:sz="4" w:space="0" w:color="BFBFBF"/>
              <w:left w:val="nil"/>
              <w:bottom w:val="single" w:sz="4" w:space="0" w:color="auto"/>
              <w:right w:val="single" w:sz="4" w:space="0" w:color="auto"/>
            </w:tcBorders>
            <w:noWrap/>
            <w:vAlign w:val="center"/>
            <w:hideMark/>
          </w:tcPr>
          <w:p w14:paraId="54B0120C" w14:textId="77777777" w:rsidR="007B6EC3" w:rsidRPr="007B6EC3" w:rsidRDefault="007B6EC3" w:rsidP="007B6EC3">
            <w:pPr>
              <w:tabs>
                <w:tab w:val="decimal" w:pos="474"/>
                <w:tab w:val="left" w:pos="794"/>
              </w:tabs>
              <w:adjustRightInd w:val="0"/>
              <w:snapToGrid w:val="0"/>
              <w:spacing w:before="40" w:after="40"/>
              <w:ind w:left="170"/>
              <w:rPr>
                <w:rFonts w:eastAsia="SimSun" w:cs="Segoe UI"/>
                <w:kern w:val="2"/>
                <w:sz w:val="18"/>
                <w:szCs w:val="18"/>
                <w:lang w:eastAsia="ja-JP"/>
              </w:rPr>
            </w:pPr>
            <w:r w:rsidRPr="007B6EC3">
              <w:rPr>
                <w:rFonts w:eastAsia="SimSun" w:cs="Segoe UI"/>
                <w:kern w:val="2"/>
                <w:sz w:val="18"/>
                <w:szCs w:val="18"/>
                <w:lang w:eastAsia="ja-JP"/>
              </w:rPr>
              <w:t>4</w:t>
            </w:r>
          </w:p>
        </w:tc>
        <w:tc>
          <w:tcPr>
            <w:tcW w:w="4428" w:type="dxa"/>
            <w:tcBorders>
              <w:top w:val="single" w:sz="4" w:space="0" w:color="BFBFBF"/>
              <w:left w:val="single" w:sz="4" w:space="0" w:color="auto"/>
              <w:bottom w:val="single" w:sz="4" w:space="0" w:color="auto"/>
              <w:right w:val="single" w:sz="4" w:space="0" w:color="auto"/>
            </w:tcBorders>
            <w:vAlign w:val="center"/>
            <w:hideMark/>
          </w:tcPr>
          <w:p w14:paraId="01B12F3A" w14:textId="77777777" w:rsidR="007B6EC3" w:rsidRPr="007B6EC3" w:rsidRDefault="007B6EC3" w:rsidP="007B6EC3">
            <w:pPr>
              <w:keepNext/>
              <w:tabs>
                <w:tab w:val="decimal" w:pos="474"/>
                <w:tab w:val="left" w:pos="794"/>
              </w:tabs>
              <w:adjustRightInd w:val="0"/>
              <w:snapToGrid w:val="0"/>
              <w:spacing w:before="40" w:after="40"/>
              <w:jc w:val="both"/>
              <w:rPr>
                <w:rFonts w:eastAsia="SimSun" w:cs="Segoe UI"/>
                <w:color w:val="000000"/>
                <w:kern w:val="2"/>
                <w:sz w:val="18"/>
                <w:szCs w:val="18"/>
              </w:rPr>
            </w:pPr>
            <w:r w:rsidRPr="007B6EC3">
              <w:rPr>
                <w:rFonts w:eastAsia="SimSun" w:cs="Segoe UI"/>
                <w:color w:val="000000"/>
                <w:kern w:val="2"/>
                <w:sz w:val="18"/>
                <w:szCs w:val="18"/>
              </w:rPr>
              <w:t>Total RWA for operational risk</w:t>
            </w:r>
          </w:p>
        </w:tc>
        <w:tc>
          <w:tcPr>
            <w:tcW w:w="4111" w:type="dxa"/>
            <w:tcBorders>
              <w:top w:val="single" w:sz="4" w:space="0" w:color="BFBFBF"/>
              <w:left w:val="single" w:sz="4" w:space="0" w:color="auto"/>
              <w:bottom w:val="single" w:sz="4" w:space="0" w:color="auto"/>
              <w:right w:val="single" w:sz="4" w:space="0" w:color="auto"/>
            </w:tcBorders>
          </w:tcPr>
          <w:p w14:paraId="056D87E2" w14:textId="77777777" w:rsidR="007B6EC3" w:rsidRPr="007B6EC3" w:rsidRDefault="007B6EC3" w:rsidP="007B6EC3">
            <w:pPr>
              <w:keepNext/>
              <w:tabs>
                <w:tab w:val="decimal" w:pos="474"/>
                <w:tab w:val="left" w:pos="794"/>
              </w:tabs>
              <w:adjustRightInd w:val="0"/>
              <w:snapToGrid w:val="0"/>
              <w:spacing w:before="40" w:after="40"/>
              <w:jc w:val="both"/>
              <w:rPr>
                <w:rFonts w:eastAsia="SimSun" w:cs="Segoe UI"/>
                <w:kern w:val="2"/>
                <w:sz w:val="18"/>
                <w:szCs w:val="18"/>
                <w:highlight w:val="darkGray"/>
                <w:lang w:eastAsia="ja-JP"/>
              </w:rPr>
            </w:pPr>
          </w:p>
        </w:tc>
      </w:tr>
      <w:tr w:rsidR="007B6EC3" w:rsidRPr="007B6EC3" w14:paraId="16305B7E" w14:textId="77777777" w:rsidTr="00EE6B38">
        <w:tc>
          <w:tcPr>
            <w:tcW w:w="9242" w:type="dxa"/>
            <w:gridSpan w:val="4"/>
            <w:tcBorders>
              <w:top w:val="single" w:sz="4" w:space="0" w:color="auto"/>
              <w:left w:val="nil"/>
              <w:bottom w:val="single" w:sz="4" w:space="0" w:color="auto"/>
              <w:right w:val="nil"/>
            </w:tcBorders>
            <w:tcMar>
              <w:top w:w="0" w:type="dxa"/>
              <w:left w:w="0" w:type="dxa"/>
              <w:bottom w:w="0" w:type="dxa"/>
              <w:right w:w="0" w:type="dxa"/>
            </w:tcMar>
            <w:hideMark/>
          </w:tcPr>
          <w:p w14:paraId="3F7408F4" w14:textId="3DEA0898" w:rsidR="007B6EC3" w:rsidRDefault="007B6EC3" w:rsidP="007B6EC3">
            <w:pPr>
              <w:keepNext/>
              <w:tabs>
                <w:tab w:val="left" w:pos="794"/>
              </w:tabs>
              <w:spacing w:before="40" w:after="40"/>
              <w:rPr>
                <w:rFonts w:eastAsia="SimSun" w:cs="Segoe UI"/>
                <w:b/>
                <w:kern w:val="2"/>
                <w:sz w:val="15"/>
                <w:szCs w:val="15"/>
                <w:lang w:eastAsia="ja-JP"/>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8689"/>
            </w:tblGrid>
            <w:tr w:rsidR="003714DC" w:rsidRPr="00564486" w14:paraId="124902EE" w14:textId="77777777" w:rsidTr="001B4C16">
              <w:trPr>
                <w:trHeight w:val="373"/>
              </w:trPr>
              <w:tc>
                <w:tcPr>
                  <w:tcW w:w="9214" w:type="dxa"/>
                  <w:gridSpan w:val="2"/>
                  <w:shd w:val="clear" w:color="auto" w:fill="BFBFBF" w:themeFill="background1" w:themeFillShade="BF"/>
                </w:tcPr>
                <w:p w14:paraId="5F59C78B" w14:textId="77777777" w:rsidR="003714DC" w:rsidRPr="008224B2" w:rsidRDefault="003714DC" w:rsidP="003714DC">
                  <w:pPr>
                    <w:pStyle w:val="Default"/>
                    <w:snapToGrid w:val="0"/>
                    <w:spacing w:after="120" w:line="360" w:lineRule="auto"/>
                    <w:ind w:left="400" w:right="254" w:hanging="400"/>
                    <w:jc w:val="both"/>
                    <w:rPr>
                      <w:i/>
                      <w:kern w:val="2"/>
                      <w:sz w:val="17"/>
                      <w:szCs w:val="17"/>
                      <w:lang w:eastAsia="en-GB"/>
                    </w:rPr>
                  </w:pPr>
                  <w:r w:rsidRPr="008224B2">
                    <w:rPr>
                      <w:rFonts w:eastAsia="Times New Roman"/>
                      <w:b/>
                      <w:kern w:val="2"/>
                      <w:sz w:val="17"/>
                      <w:szCs w:val="17"/>
                    </w:rPr>
                    <w:t>Explanatory Note</w:t>
                  </w:r>
                </w:p>
              </w:tc>
            </w:tr>
            <w:tr w:rsidR="003714DC" w:rsidRPr="00564486" w14:paraId="6993C166" w14:textId="77777777" w:rsidTr="00472458">
              <w:trPr>
                <w:trHeight w:val="373"/>
              </w:trPr>
              <w:tc>
                <w:tcPr>
                  <w:tcW w:w="9214" w:type="dxa"/>
                  <w:gridSpan w:val="2"/>
                  <w:shd w:val="clear" w:color="auto" w:fill="F2F2F2" w:themeFill="background1" w:themeFillShade="F2"/>
                </w:tcPr>
                <w:p w14:paraId="1602195D" w14:textId="77777777" w:rsidR="003714DC" w:rsidRPr="008224B2" w:rsidRDefault="003714DC" w:rsidP="003714DC">
                  <w:pPr>
                    <w:pStyle w:val="Default"/>
                    <w:snapToGrid w:val="0"/>
                    <w:spacing w:after="120" w:line="360" w:lineRule="auto"/>
                    <w:ind w:left="400" w:right="254" w:hanging="372"/>
                    <w:jc w:val="both"/>
                    <w:rPr>
                      <w:i/>
                      <w:kern w:val="2"/>
                      <w:sz w:val="17"/>
                      <w:szCs w:val="17"/>
                      <w:lang w:eastAsia="en-GB"/>
                    </w:rPr>
                  </w:pPr>
                  <w:r w:rsidRPr="008224B2">
                    <w:rPr>
                      <w:rFonts w:eastAsia="Times New Roman"/>
                      <w:b/>
                      <w:kern w:val="2"/>
                      <w:sz w:val="17"/>
                      <w:szCs w:val="17"/>
                    </w:rPr>
                    <w:t>Rows</w:t>
                  </w:r>
                </w:p>
              </w:tc>
            </w:tr>
            <w:tr w:rsidR="003714DC" w:rsidRPr="00564486" w14:paraId="639B65A5" w14:textId="77777777" w:rsidTr="00AC6CAB">
              <w:trPr>
                <w:trHeight w:val="373"/>
              </w:trPr>
              <w:tc>
                <w:tcPr>
                  <w:tcW w:w="525" w:type="dxa"/>
                  <w:shd w:val="clear" w:color="auto" w:fill="auto"/>
                </w:tcPr>
                <w:p w14:paraId="646F643B" w14:textId="77777777" w:rsidR="003714DC" w:rsidRPr="008224B2" w:rsidRDefault="003714DC" w:rsidP="003714DC">
                  <w:pPr>
                    <w:keepLines/>
                    <w:widowControl w:val="0"/>
                    <w:tabs>
                      <w:tab w:val="left" w:pos="150"/>
                      <w:tab w:val="left" w:pos="397"/>
                      <w:tab w:val="left" w:pos="794"/>
                      <w:tab w:val="left" w:pos="1191"/>
                    </w:tabs>
                    <w:adjustRightInd w:val="0"/>
                    <w:snapToGrid w:val="0"/>
                    <w:spacing w:before="40" w:after="40" w:line="360" w:lineRule="auto"/>
                    <w:rPr>
                      <w:rFonts w:cs="Segoe UI"/>
                      <w:kern w:val="2"/>
                      <w:sz w:val="17"/>
                      <w:szCs w:val="17"/>
                      <w:lang w:val="en-US" w:eastAsia="en-GB"/>
                    </w:rPr>
                  </w:pPr>
                  <w:r w:rsidRPr="008224B2">
                    <w:rPr>
                      <w:rFonts w:cs="Segoe UI"/>
                      <w:kern w:val="2"/>
                      <w:sz w:val="17"/>
                      <w:szCs w:val="17"/>
                      <w:lang w:val="en-US" w:eastAsia="en-GB"/>
                    </w:rPr>
                    <w:t>1</w:t>
                  </w:r>
                </w:p>
              </w:tc>
              <w:tc>
                <w:tcPr>
                  <w:tcW w:w="8689" w:type="dxa"/>
                  <w:shd w:val="clear" w:color="auto" w:fill="auto"/>
                </w:tcPr>
                <w:p w14:paraId="20652724" w14:textId="77777777" w:rsidR="003714DC" w:rsidRPr="008224B2" w:rsidRDefault="003714DC" w:rsidP="003714DC">
                  <w:pPr>
                    <w:adjustRightInd w:val="0"/>
                    <w:snapToGrid w:val="0"/>
                    <w:spacing w:before="60" w:after="120"/>
                    <w:jc w:val="both"/>
                    <w:rPr>
                      <w:kern w:val="2"/>
                      <w:sz w:val="17"/>
                      <w:szCs w:val="17"/>
                      <w:lang w:val="en-US"/>
                    </w:rPr>
                  </w:pPr>
                  <w:r w:rsidRPr="00520635">
                    <w:rPr>
                      <w:rFonts w:eastAsia="SimSun" w:cs="Segoe UI"/>
                      <w:i/>
                      <w:color w:val="000000"/>
                      <w:kern w:val="2"/>
                      <w:sz w:val="18"/>
                      <w:szCs w:val="18"/>
                    </w:rPr>
                    <w:t>Business indicator component</w:t>
                  </w:r>
                  <w:r w:rsidRPr="0009138D">
                    <w:rPr>
                      <w:rFonts w:eastAsia="SimSun" w:cs="Segoe UI"/>
                      <w:i/>
                      <w:color w:val="000000"/>
                      <w:kern w:val="2"/>
                      <w:sz w:val="17"/>
                      <w:szCs w:val="17"/>
                      <w:lang w:val="en-US"/>
                    </w:rPr>
                    <w:t xml:space="preserve"> </w:t>
                  </w:r>
                  <w:r>
                    <w:rPr>
                      <w:rFonts w:eastAsia="SimSun" w:cs="Segoe UI"/>
                      <w:i/>
                      <w:color w:val="000000"/>
                      <w:kern w:val="2"/>
                      <w:sz w:val="17"/>
                      <w:szCs w:val="17"/>
                      <w:lang w:val="en-US"/>
                    </w:rPr>
                    <w:t>(</w:t>
                  </w:r>
                  <w:r w:rsidRPr="008224B2">
                    <w:rPr>
                      <w:rFonts w:eastAsia="SimSun" w:cs="Segoe UI"/>
                      <w:i/>
                      <w:color w:val="000000"/>
                      <w:kern w:val="2"/>
                      <w:sz w:val="17"/>
                      <w:szCs w:val="17"/>
                      <w:lang w:val="en-US"/>
                    </w:rPr>
                    <w:t>BIC</w:t>
                  </w:r>
                  <w:r>
                    <w:rPr>
                      <w:rFonts w:eastAsia="SimSun" w:cs="Segoe UI"/>
                      <w:i/>
                      <w:color w:val="000000"/>
                      <w:kern w:val="2"/>
                      <w:sz w:val="17"/>
                      <w:szCs w:val="17"/>
                      <w:lang w:val="en-US"/>
                    </w:rPr>
                    <w:t>)</w:t>
                  </w:r>
                  <w:r w:rsidRPr="008224B2">
                    <w:rPr>
                      <w:rFonts w:eastAsia="SimSun" w:cs="Segoe UI"/>
                      <w:color w:val="000000"/>
                      <w:kern w:val="2"/>
                      <w:sz w:val="17"/>
                      <w:szCs w:val="17"/>
                      <w:lang w:val="en-US"/>
                    </w:rPr>
                    <w:t xml:space="preserve">: </w:t>
                  </w:r>
                  <w:r w:rsidRPr="008224B2">
                    <w:rPr>
                      <w:kern w:val="2"/>
                      <w:sz w:val="17"/>
                      <w:szCs w:val="17"/>
                      <w:lang w:val="en-US"/>
                    </w:rPr>
                    <w:t xml:space="preserve">The BIC used for calculating capital charge for operational risk. </w:t>
                  </w:r>
                </w:p>
              </w:tc>
            </w:tr>
            <w:tr w:rsidR="003714DC" w:rsidRPr="00564486" w14:paraId="47A909A2" w14:textId="77777777" w:rsidTr="00AC6CAB">
              <w:trPr>
                <w:trHeight w:val="373"/>
              </w:trPr>
              <w:tc>
                <w:tcPr>
                  <w:tcW w:w="525" w:type="dxa"/>
                  <w:shd w:val="clear" w:color="auto" w:fill="auto"/>
                </w:tcPr>
                <w:p w14:paraId="5B97556A" w14:textId="77777777" w:rsidR="003714DC" w:rsidRPr="008224B2" w:rsidRDefault="003714DC" w:rsidP="003714DC">
                  <w:pPr>
                    <w:keepLines/>
                    <w:widowControl w:val="0"/>
                    <w:tabs>
                      <w:tab w:val="left" w:pos="150"/>
                      <w:tab w:val="left" w:pos="397"/>
                      <w:tab w:val="left" w:pos="794"/>
                      <w:tab w:val="left" w:pos="1191"/>
                    </w:tabs>
                    <w:adjustRightInd w:val="0"/>
                    <w:snapToGrid w:val="0"/>
                    <w:spacing w:before="40" w:after="40" w:line="360" w:lineRule="auto"/>
                    <w:rPr>
                      <w:rFonts w:cs="Segoe UI"/>
                      <w:kern w:val="2"/>
                      <w:sz w:val="17"/>
                      <w:szCs w:val="17"/>
                      <w:lang w:val="en-US" w:eastAsia="en-GB"/>
                    </w:rPr>
                  </w:pPr>
                  <w:r w:rsidRPr="008224B2">
                    <w:rPr>
                      <w:rFonts w:cs="Segoe UI"/>
                      <w:kern w:val="2"/>
                      <w:sz w:val="17"/>
                      <w:szCs w:val="17"/>
                      <w:lang w:val="en-US" w:eastAsia="en-GB"/>
                    </w:rPr>
                    <w:t>2</w:t>
                  </w:r>
                </w:p>
              </w:tc>
              <w:tc>
                <w:tcPr>
                  <w:tcW w:w="8689" w:type="dxa"/>
                  <w:shd w:val="clear" w:color="auto" w:fill="auto"/>
                </w:tcPr>
                <w:p w14:paraId="57B4A19E" w14:textId="77777777" w:rsidR="003714DC" w:rsidRPr="008224B2" w:rsidRDefault="003714DC" w:rsidP="003714DC">
                  <w:pPr>
                    <w:adjustRightInd w:val="0"/>
                    <w:snapToGrid w:val="0"/>
                    <w:spacing w:before="60" w:after="120"/>
                    <w:jc w:val="both"/>
                    <w:rPr>
                      <w:kern w:val="2"/>
                      <w:sz w:val="17"/>
                      <w:szCs w:val="17"/>
                      <w:lang w:val="en-US"/>
                    </w:rPr>
                  </w:pPr>
                  <w:r w:rsidRPr="00520635">
                    <w:rPr>
                      <w:rFonts w:eastAsia="SimSun" w:cs="Segoe UI"/>
                      <w:i/>
                      <w:color w:val="000000"/>
                      <w:kern w:val="2"/>
                      <w:sz w:val="18"/>
                      <w:szCs w:val="18"/>
                    </w:rPr>
                    <w:t>Internal loss multiplier</w:t>
                  </w:r>
                  <w:r w:rsidRPr="008224B2">
                    <w:rPr>
                      <w:i/>
                      <w:kern w:val="2"/>
                      <w:sz w:val="17"/>
                      <w:szCs w:val="17"/>
                      <w:lang w:val="en-US"/>
                    </w:rPr>
                    <w:t xml:space="preserve"> </w:t>
                  </w:r>
                  <w:r>
                    <w:rPr>
                      <w:i/>
                      <w:kern w:val="2"/>
                      <w:sz w:val="17"/>
                      <w:szCs w:val="17"/>
                      <w:lang w:val="en-US"/>
                    </w:rPr>
                    <w:t>(</w:t>
                  </w:r>
                  <w:r w:rsidRPr="008224B2">
                    <w:rPr>
                      <w:i/>
                      <w:kern w:val="2"/>
                      <w:sz w:val="17"/>
                      <w:szCs w:val="17"/>
                      <w:lang w:val="en-US"/>
                    </w:rPr>
                    <w:t>ILM</w:t>
                  </w:r>
                  <w:r>
                    <w:rPr>
                      <w:i/>
                      <w:kern w:val="2"/>
                      <w:sz w:val="17"/>
                      <w:szCs w:val="17"/>
                      <w:lang w:val="en-US"/>
                    </w:rPr>
                    <w:t>)</w:t>
                  </w:r>
                  <w:r w:rsidRPr="008224B2">
                    <w:rPr>
                      <w:kern w:val="2"/>
                      <w:sz w:val="17"/>
                      <w:szCs w:val="17"/>
                      <w:lang w:val="en-US"/>
                    </w:rPr>
                    <w:t xml:space="preserve">: The ILM used for calculating capital charge for operational risk.  For AIs </w:t>
                  </w:r>
                  <w:r>
                    <w:rPr>
                      <w:kern w:val="2"/>
                      <w:sz w:val="17"/>
                      <w:szCs w:val="17"/>
                      <w:lang w:val="en-US"/>
                    </w:rPr>
                    <w:t xml:space="preserve">whose ILMs are not determined based on internal loss data, the ILMs </w:t>
                  </w:r>
                  <w:r w:rsidRPr="008224B2">
                    <w:rPr>
                      <w:kern w:val="2"/>
                      <w:sz w:val="17"/>
                      <w:szCs w:val="17"/>
                      <w:lang w:val="en-US"/>
                    </w:rPr>
                    <w:t>must be disclosed and accompanied by a narrative.</w:t>
                  </w:r>
                </w:p>
              </w:tc>
            </w:tr>
            <w:tr w:rsidR="003714DC" w:rsidRPr="00564486" w14:paraId="0F878765" w14:textId="77777777" w:rsidTr="00AC6CAB">
              <w:trPr>
                <w:trHeight w:val="373"/>
              </w:trPr>
              <w:tc>
                <w:tcPr>
                  <w:tcW w:w="525" w:type="dxa"/>
                  <w:shd w:val="clear" w:color="auto" w:fill="auto"/>
                </w:tcPr>
                <w:p w14:paraId="3AE36085" w14:textId="77777777" w:rsidR="003714DC" w:rsidRPr="008224B2" w:rsidRDefault="003714DC" w:rsidP="003714DC">
                  <w:pPr>
                    <w:keepLines/>
                    <w:widowControl w:val="0"/>
                    <w:tabs>
                      <w:tab w:val="left" w:pos="150"/>
                      <w:tab w:val="left" w:pos="397"/>
                      <w:tab w:val="left" w:pos="794"/>
                      <w:tab w:val="left" w:pos="1191"/>
                    </w:tabs>
                    <w:adjustRightInd w:val="0"/>
                    <w:snapToGrid w:val="0"/>
                    <w:spacing w:before="40" w:after="40" w:line="360" w:lineRule="auto"/>
                    <w:rPr>
                      <w:rFonts w:cs="Segoe UI"/>
                      <w:kern w:val="2"/>
                      <w:sz w:val="17"/>
                      <w:szCs w:val="17"/>
                      <w:lang w:val="en-US" w:eastAsia="en-GB"/>
                    </w:rPr>
                  </w:pPr>
                  <w:r w:rsidRPr="008224B2">
                    <w:rPr>
                      <w:rFonts w:cs="Segoe UI"/>
                      <w:kern w:val="2"/>
                      <w:sz w:val="17"/>
                      <w:szCs w:val="17"/>
                      <w:lang w:val="en-US" w:eastAsia="en-GB"/>
                    </w:rPr>
                    <w:t>3</w:t>
                  </w:r>
                </w:p>
              </w:tc>
              <w:tc>
                <w:tcPr>
                  <w:tcW w:w="8689" w:type="dxa"/>
                  <w:shd w:val="clear" w:color="auto" w:fill="auto"/>
                </w:tcPr>
                <w:p w14:paraId="3FFAB1E5" w14:textId="77777777" w:rsidR="003714DC" w:rsidRPr="008224B2" w:rsidRDefault="003714DC" w:rsidP="003714DC">
                  <w:pPr>
                    <w:adjustRightInd w:val="0"/>
                    <w:snapToGrid w:val="0"/>
                    <w:spacing w:before="60" w:after="120"/>
                    <w:jc w:val="both"/>
                    <w:rPr>
                      <w:kern w:val="2"/>
                      <w:sz w:val="17"/>
                      <w:szCs w:val="17"/>
                      <w:lang w:val="en-US"/>
                    </w:rPr>
                  </w:pPr>
                  <w:r w:rsidRPr="008224B2">
                    <w:rPr>
                      <w:rFonts w:eastAsia="SimSun" w:cs="Segoe UI"/>
                      <w:i/>
                      <w:color w:val="000000"/>
                      <w:kern w:val="2"/>
                      <w:sz w:val="17"/>
                      <w:szCs w:val="17"/>
                      <w:lang w:val="en-US"/>
                    </w:rPr>
                    <w:t>Minimum operational risk capital requirement:</w:t>
                  </w:r>
                  <w:r w:rsidRPr="008224B2">
                    <w:rPr>
                      <w:kern w:val="2"/>
                      <w:sz w:val="17"/>
                      <w:szCs w:val="17"/>
                      <w:lang w:val="en-US"/>
                    </w:rPr>
                    <w:t xml:space="preserve"> It equals </w:t>
                  </w:r>
                  <w:r>
                    <w:rPr>
                      <w:kern w:val="2"/>
                      <w:sz w:val="17"/>
                      <w:szCs w:val="17"/>
                      <w:lang w:val="en-US"/>
                    </w:rPr>
                    <w:t xml:space="preserve">to </w:t>
                  </w:r>
                  <w:r w:rsidRPr="008224B2">
                    <w:rPr>
                      <w:kern w:val="2"/>
                      <w:sz w:val="17"/>
                      <w:szCs w:val="17"/>
                      <w:lang w:val="en-US"/>
                    </w:rPr>
                    <w:t>the BIC times the ILM.  For AIs having ILM equals to 1, this corresponds to the BIC.</w:t>
                  </w:r>
                </w:p>
              </w:tc>
            </w:tr>
            <w:tr w:rsidR="003714DC" w:rsidRPr="00564486" w14:paraId="6C4D0D52" w14:textId="77777777" w:rsidTr="00AC6CAB">
              <w:trPr>
                <w:trHeight w:val="373"/>
              </w:trPr>
              <w:tc>
                <w:tcPr>
                  <w:tcW w:w="525" w:type="dxa"/>
                  <w:shd w:val="clear" w:color="auto" w:fill="auto"/>
                </w:tcPr>
                <w:p w14:paraId="5D61E211" w14:textId="77777777" w:rsidR="003714DC" w:rsidRPr="008224B2" w:rsidRDefault="003714DC" w:rsidP="003714DC">
                  <w:pPr>
                    <w:keepLines/>
                    <w:widowControl w:val="0"/>
                    <w:tabs>
                      <w:tab w:val="left" w:pos="150"/>
                      <w:tab w:val="left" w:pos="397"/>
                      <w:tab w:val="left" w:pos="794"/>
                      <w:tab w:val="left" w:pos="1191"/>
                    </w:tabs>
                    <w:adjustRightInd w:val="0"/>
                    <w:snapToGrid w:val="0"/>
                    <w:spacing w:before="40" w:after="40" w:line="360" w:lineRule="auto"/>
                    <w:rPr>
                      <w:rFonts w:cs="Segoe UI"/>
                      <w:kern w:val="2"/>
                      <w:sz w:val="17"/>
                      <w:szCs w:val="17"/>
                      <w:lang w:val="en-US" w:eastAsia="en-GB"/>
                    </w:rPr>
                  </w:pPr>
                  <w:r w:rsidRPr="008224B2">
                    <w:rPr>
                      <w:rFonts w:cs="Segoe UI"/>
                      <w:kern w:val="2"/>
                      <w:sz w:val="17"/>
                      <w:szCs w:val="17"/>
                      <w:lang w:val="en-US" w:eastAsia="en-GB"/>
                    </w:rPr>
                    <w:t>4</w:t>
                  </w:r>
                </w:p>
              </w:tc>
              <w:tc>
                <w:tcPr>
                  <w:tcW w:w="8689" w:type="dxa"/>
                  <w:shd w:val="clear" w:color="auto" w:fill="auto"/>
                </w:tcPr>
                <w:p w14:paraId="0F2A7EBF" w14:textId="77777777" w:rsidR="003714DC" w:rsidRPr="008224B2" w:rsidRDefault="003714DC" w:rsidP="003714DC">
                  <w:pPr>
                    <w:adjustRightInd w:val="0"/>
                    <w:snapToGrid w:val="0"/>
                    <w:spacing w:before="60" w:after="120" w:line="360" w:lineRule="auto"/>
                    <w:jc w:val="both"/>
                    <w:rPr>
                      <w:kern w:val="2"/>
                      <w:sz w:val="17"/>
                      <w:szCs w:val="17"/>
                      <w:lang w:val="en-US"/>
                    </w:rPr>
                  </w:pPr>
                  <w:r w:rsidRPr="008224B2">
                    <w:rPr>
                      <w:i/>
                      <w:kern w:val="2"/>
                      <w:sz w:val="17"/>
                      <w:szCs w:val="17"/>
                      <w:lang w:val="en-US"/>
                    </w:rPr>
                    <w:t>Total RWA for operational risk</w:t>
                  </w:r>
                  <w:r w:rsidRPr="008224B2">
                    <w:rPr>
                      <w:kern w:val="2"/>
                      <w:sz w:val="17"/>
                      <w:szCs w:val="17"/>
                      <w:lang w:val="en-US"/>
                    </w:rPr>
                    <w:t xml:space="preserve">: </w:t>
                  </w:r>
                  <w:r>
                    <w:rPr>
                      <w:kern w:val="2"/>
                      <w:sz w:val="17"/>
                      <w:szCs w:val="17"/>
                      <w:lang w:val="en-US"/>
                    </w:rPr>
                    <w:t>T</w:t>
                  </w:r>
                  <w:r w:rsidRPr="008224B2">
                    <w:rPr>
                      <w:kern w:val="2"/>
                      <w:sz w:val="17"/>
                      <w:szCs w:val="17"/>
                      <w:lang w:val="en-US"/>
                    </w:rPr>
                    <w:t xml:space="preserve">he minimum operational risk capital requirement </w:t>
                  </w:r>
                  <w:r>
                    <w:rPr>
                      <w:kern w:val="2"/>
                      <w:sz w:val="17"/>
                      <w:szCs w:val="17"/>
                      <w:lang w:val="en-US"/>
                    </w:rPr>
                    <w:t xml:space="preserve">is converted </w:t>
                  </w:r>
                  <w:r w:rsidRPr="008224B2">
                    <w:rPr>
                      <w:kern w:val="2"/>
                      <w:sz w:val="17"/>
                      <w:szCs w:val="17"/>
                      <w:lang w:val="en-US"/>
                    </w:rPr>
                    <w:t>into RWA.</w:t>
                  </w:r>
                </w:p>
              </w:tc>
            </w:tr>
          </w:tbl>
          <w:p w14:paraId="212EA9AF" w14:textId="77777777" w:rsidR="007B6EC3" w:rsidRPr="007B6EC3" w:rsidRDefault="007B6EC3" w:rsidP="007B6EC3">
            <w:pPr>
              <w:keepNext/>
              <w:tabs>
                <w:tab w:val="left" w:pos="794"/>
              </w:tabs>
              <w:spacing w:before="40" w:after="40"/>
              <w:rPr>
                <w:rFonts w:cs="Segoe UI"/>
                <w:sz w:val="15"/>
              </w:rPr>
            </w:pPr>
          </w:p>
        </w:tc>
      </w:tr>
    </w:tbl>
    <w:p w14:paraId="5832BE19" w14:textId="77777777" w:rsidR="007B6EC3" w:rsidRPr="007B6EC3" w:rsidRDefault="007B6EC3" w:rsidP="007B6EC3">
      <w:pPr>
        <w:tabs>
          <w:tab w:val="left" w:pos="794"/>
          <w:tab w:val="left" w:pos="1191"/>
        </w:tabs>
        <w:spacing w:after="120"/>
        <w:ind w:left="794" w:hanging="794"/>
        <w:jc w:val="both"/>
        <w:rPr>
          <w:noProof/>
          <w:lang w:eastAsia="en-GB"/>
        </w:rPr>
      </w:pPr>
    </w:p>
    <w:p w14:paraId="53BD468D" w14:textId="77777777" w:rsidR="007B6EC3" w:rsidRPr="007B6EC3" w:rsidRDefault="007B6EC3" w:rsidP="007B6EC3"/>
    <w:p w14:paraId="28A1B523" w14:textId="6D9432E2" w:rsidR="00D7029F" w:rsidRDefault="00D7029F" w:rsidP="00A55117">
      <w:pPr>
        <w:rPr>
          <w:rFonts w:cs="Segoe UI"/>
          <w:color w:val="000000"/>
        </w:rPr>
      </w:pPr>
    </w:p>
    <w:p w14:paraId="6970E9E1" w14:textId="77777777" w:rsidR="00D7029F" w:rsidRDefault="00D7029F" w:rsidP="00A55117">
      <w:pPr>
        <w:sectPr w:rsidR="00D7029F">
          <w:footerReference w:type="default" r:id="rId116"/>
          <w:pgSz w:w="11906" w:h="16838" w:code="9"/>
          <w:pgMar w:top="1440" w:right="1797" w:bottom="1440" w:left="1797" w:header="851" w:footer="737" w:gutter="0"/>
          <w:cols w:space="425"/>
          <w:docGrid w:type="lines" w:linePitch="360"/>
        </w:sectPr>
      </w:pPr>
    </w:p>
    <w:p w14:paraId="70B60751" w14:textId="3436DB45" w:rsidR="00A55117" w:rsidRDefault="00823F5D" w:rsidP="00260576">
      <w:pPr>
        <w:pStyle w:val="Heading1"/>
        <w:ind w:hanging="426"/>
        <w:rPr>
          <w:lang w:eastAsia="en-GB"/>
        </w:rPr>
      </w:pPr>
      <w:r w:rsidRPr="00B71D8C">
        <w:rPr>
          <w:lang w:eastAsia="en-GB"/>
        </w:rPr>
        <w:lastRenderedPageBreak/>
        <w:t>Part X:</w:t>
      </w:r>
      <w:r w:rsidRPr="00212DE1">
        <w:rPr>
          <w:lang w:eastAsia="en-GB"/>
        </w:rPr>
        <w:t xml:space="preserve"> Comparison of modelled and standardized RWA</w:t>
      </w:r>
      <w:r w:rsidR="00D43296">
        <w:rPr>
          <w:lang w:eastAsia="en-GB"/>
        </w:rPr>
        <w:t>s</w:t>
      </w:r>
    </w:p>
    <w:p w14:paraId="6E0320C4" w14:textId="55F67D0E" w:rsidR="007B6EC3" w:rsidRPr="007B6EC3" w:rsidRDefault="007B6EC3" w:rsidP="007B6EC3">
      <w:pPr>
        <w:pStyle w:val="Heading2"/>
        <w:rPr>
          <w:rFonts w:eastAsia="新細明體"/>
        </w:rPr>
      </w:pPr>
      <w:r w:rsidRPr="007B6EC3">
        <w:rPr>
          <w:rFonts w:eastAsia="新細明體"/>
        </w:rPr>
        <w:t>Template CMS1: Comparison of modelled and standardized RWAs at risk level</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1985"/>
        <w:gridCol w:w="7257"/>
      </w:tblGrid>
      <w:tr w:rsidR="007B6EC3" w:rsidRPr="007B6EC3" w14:paraId="2258DBAE" w14:textId="77777777" w:rsidTr="00EE6B38">
        <w:tc>
          <w:tcPr>
            <w:tcW w:w="1985" w:type="dxa"/>
          </w:tcPr>
          <w:p w14:paraId="090CF85E" w14:textId="77777777" w:rsidR="007B6EC3" w:rsidRPr="007B6EC3" w:rsidRDefault="007B6EC3" w:rsidP="007B6EC3">
            <w:pPr>
              <w:spacing w:before="40" w:after="40"/>
              <w:rPr>
                <w:noProof/>
                <w:sz w:val="17"/>
                <w:lang w:eastAsia="en-GB"/>
              </w:rPr>
            </w:pPr>
            <w:r w:rsidRPr="007B6EC3">
              <w:rPr>
                <w:b/>
                <w:sz w:val="17"/>
                <w:lang w:eastAsia="en-GB"/>
              </w:rPr>
              <w:t>Purpose:</w:t>
            </w:r>
            <w:r w:rsidRPr="007B6EC3">
              <w:rPr>
                <w:sz w:val="17"/>
                <w:lang w:eastAsia="en-GB"/>
              </w:rPr>
              <w:t xml:space="preserve"> </w:t>
            </w:r>
          </w:p>
        </w:tc>
        <w:tc>
          <w:tcPr>
            <w:tcW w:w="7257" w:type="dxa"/>
          </w:tcPr>
          <w:p w14:paraId="51A0D6AF" w14:textId="1694332C" w:rsidR="007B6EC3" w:rsidRPr="007B6EC3" w:rsidRDefault="007B6EC3" w:rsidP="007B6EC3">
            <w:pPr>
              <w:spacing w:before="40" w:after="40"/>
              <w:jc w:val="both"/>
              <w:rPr>
                <w:rFonts w:eastAsia="新細明體"/>
                <w:noProof/>
                <w:sz w:val="17"/>
                <w:lang w:eastAsia="en-GB"/>
              </w:rPr>
            </w:pPr>
            <w:r w:rsidRPr="007B6EC3">
              <w:rPr>
                <w:rFonts w:eastAsia="新細明體"/>
                <w:sz w:val="17"/>
                <w:lang w:eastAsia="en-GB"/>
              </w:rPr>
              <w:t xml:space="preserve">To compare the RWA calculated under “full standardized” approaches against the actual RWA, part of which is calculated under any of the model-based approaches that AIs have </w:t>
            </w:r>
            <w:r w:rsidR="00A25377">
              <w:rPr>
                <w:rFonts w:eastAsia="新細明體"/>
                <w:sz w:val="17"/>
                <w:lang w:eastAsia="en-GB"/>
              </w:rPr>
              <w:t xml:space="preserve">the </w:t>
            </w:r>
            <w:r w:rsidRPr="007B6EC3">
              <w:rPr>
                <w:rFonts w:eastAsia="新細明體"/>
                <w:sz w:val="17"/>
                <w:lang w:eastAsia="en-GB"/>
              </w:rPr>
              <w:t xml:space="preserve">MA’s approval to use.  The disclosure also provides the full standardized RWA amount used in the computation of the output floor as specified in </w:t>
            </w:r>
            <w:r w:rsidRPr="00BD33F1">
              <w:rPr>
                <w:rFonts w:eastAsia="新細明體"/>
                <w:sz w:val="17"/>
                <w:lang w:eastAsia="en-GB"/>
              </w:rPr>
              <w:t>Part 11 of the</w:t>
            </w:r>
            <w:r w:rsidRPr="007B6EC3">
              <w:rPr>
                <w:rFonts w:eastAsia="新細明體"/>
                <w:sz w:val="17"/>
                <w:lang w:eastAsia="en-GB"/>
              </w:rPr>
              <w:t xml:space="preserve"> BCR.</w:t>
            </w:r>
          </w:p>
        </w:tc>
      </w:tr>
      <w:tr w:rsidR="007B6EC3" w:rsidRPr="007B6EC3" w14:paraId="3BB90E73" w14:textId="77777777" w:rsidTr="00EE6B38">
        <w:tc>
          <w:tcPr>
            <w:tcW w:w="1985" w:type="dxa"/>
          </w:tcPr>
          <w:p w14:paraId="45F06F76" w14:textId="77777777" w:rsidR="007B6EC3" w:rsidRPr="007B6EC3" w:rsidRDefault="007B6EC3" w:rsidP="007B6EC3">
            <w:pPr>
              <w:spacing w:before="40" w:after="40"/>
              <w:rPr>
                <w:b/>
                <w:sz w:val="17"/>
                <w:lang w:eastAsia="en-GB"/>
              </w:rPr>
            </w:pPr>
            <w:r w:rsidRPr="007B6EC3">
              <w:rPr>
                <w:b/>
                <w:sz w:val="17"/>
                <w:lang w:eastAsia="en-GB"/>
              </w:rPr>
              <w:t xml:space="preserve">Scope of application: </w:t>
            </w:r>
          </w:p>
        </w:tc>
        <w:tc>
          <w:tcPr>
            <w:tcW w:w="7257" w:type="dxa"/>
          </w:tcPr>
          <w:p w14:paraId="33F0E61F" w14:textId="77777777" w:rsidR="007B6EC3" w:rsidRPr="007B6EC3" w:rsidRDefault="007B6EC3" w:rsidP="007B6EC3">
            <w:pPr>
              <w:spacing w:before="40" w:after="40"/>
              <w:jc w:val="both"/>
              <w:rPr>
                <w:rFonts w:eastAsia="新細明體"/>
                <w:b/>
                <w:sz w:val="17"/>
                <w:lang w:eastAsia="en-GB"/>
              </w:rPr>
            </w:pPr>
            <w:r w:rsidRPr="007B6EC3">
              <w:rPr>
                <w:rFonts w:eastAsia="新細明體"/>
                <w:sz w:val="17"/>
                <w:lang w:eastAsia="en-GB"/>
              </w:rPr>
              <w:t>The template is mandatory for all AIs incorporated in Hong Kong using model-based approaches to calculate their credit risk or market risk or both.</w:t>
            </w:r>
          </w:p>
        </w:tc>
      </w:tr>
      <w:tr w:rsidR="007B6EC3" w:rsidRPr="007B6EC3" w14:paraId="52D270C2" w14:textId="77777777" w:rsidTr="00EE6B38">
        <w:tc>
          <w:tcPr>
            <w:tcW w:w="1985" w:type="dxa"/>
          </w:tcPr>
          <w:p w14:paraId="456C2DCA" w14:textId="77777777" w:rsidR="007B6EC3" w:rsidRPr="007B6EC3" w:rsidRDefault="007B6EC3" w:rsidP="007B6EC3">
            <w:pPr>
              <w:spacing w:before="40" w:after="40"/>
              <w:rPr>
                <w:b/>
                <w:sz w:val="17"/>
                <w:lang w:eastAsia="en-GB"/>
              </w:rPr>
            </w:pPr>
            <w:r w:rsidRPr="007B6EC3">
              <w:rPr>
                <w:b/>
                <w:sz w:val="17"/>
                <w:lang w:eastAsia="en-GB"/>
              </w:rPr>
              <w:t xml:space="preserve">Content: </w:t>
            </w:r>
          </w:p>
        </w:tc>
        <w:tc>
          <w:tcPr>
            <w:tcW w:w="7257" w:type="dxa"/>
          </w:tcPr>
          <w:p w14:paraId="62257A51" w14:textId="77777777" w:rsidR="007B6EC3" w:rsidRPr="007B6EC3" w:rsidRDefault="007B6EC3" w:rsidP="007B6EC3">
            <w:pPr>
              <w:spacing w:before="40" w:after="40"/>
              <w:jc w:val="both"/>
              <w:rPr>
                <w:rFonts w:eastAsia="新細明體"/>
                <w:b/>
                <w:sz w:val="17"/>
                <w:lang w:eastAsia="en-GB"/>
              </w:rPr>
            </w:pPr>
            <w:r w:rsidRPr="007B6EC3">
              <w:rPr>
                <w:rFonts w:eastAsia="新細明體"/>
                <w:sz w:val="17"/>
                <w:lang w:eastAsia="en-GB"/>
              </w:rPr>
              <w:t>RWA.</w:t>
            </w:r>
          </w:p>
        </w:tc>
      </w:tr>
      <w:tr w:rsidR="007B6EC3" w:rsidRPr="007B6EC3" w14:paraId="0981F292" w14:textId="77777777" w:rsidTr="00EE6B38">
        <w:tc>
          <w:tcPr>
            <w:tcW w:w="1985" w:type="dxa"/>
          </w:tcPr>
          <w:p w14:paraId="6E3C9B90" w14:textId="77777777" w:rsidR="007B6EC3" w:rsidRPr="007B6EC3" w:rsidRDefault="007B6EC3" w:rsidP="007B6EC3">
            <w:pPr>
              <w:spacing w:before="40" w:after="40"/>
              <w:rPr>
                <w:sz w:val="17"/>
                <w:lang w:eastAsia="en-GB"/>
              </w:rPr>
            </w:pPr>
            <w:r w:rsidRPr="007B6EC3">
              <w:rPr>
                <w:b/>
                <w:sz w:val="17"/>
                <w:lang w:eastAsia="en-GB"/>
              </w:rPr>
              <w:t>Frequency:</w:t>
            </w:r>
            <w:r w:rsidRPr="007B6EC3">
              <w:rPr>
                <w:sz w:val="17"/>
                <w:lang w:eastAsia="en-GB"/>
              </w:rPr>
              <w:t xml:space="preserve"> </w:t>
            </w:r>
          </w:p>
        </w:tc>
        <w:tc>
          <w:tcPr>
            <w:tcW w:w="7257" w:type="dxa"/>
          </w:tcPr>
          <w:p w14:paraId="2628E265" w14:textId="77777777" w:rsidR="007B6EC3" w:rsidRPr="007B6EC3" w:rsidRDefault="007B6EC3" w:rsidP="007B6EC3">
            <w:pPr>
              <w:spacing w:before="40" w:after="40"/>
              <w:jc w:val="both"/>
              <w:rPr>
                <w:rFonts w:eastAsia="新細明體"/>
                <w:sz w:val="17"/>
                <w:lang w:eastAsia="en-GB"/>
              </w:rPr>
            </w:pPr>
            <w:r w:rsidRPr="007B6EC3">
              <w:rPr>
                <w:rFonts w:eastAsia="新細明體"/>
                <w:sz w:val="17"/>
                <w:lang w:eastAsia="en-GB"/>
              </w:rPr>
              <w:t>Quarterly.</w:t>
            </w:r>
          </w:p>
        </w:tc>
      </w:tr>
      <w:tr w:rsidR="007B6EC3" w:rsidRPr="007B6EC3" w14:paraId="6A538AED" w14:textId="77777777" w:rsidTr="00EE6B38">
        <w:tc>
          <w:tcPr>
            <w:tcW w:w="1985" w:type="dxa"/>
          </w:tcPr>
          <w:p w14:paraId="59436F27" w14:textId="77777777" w:rsidR="007B6EC3" w:rsidRPr="007B6EC3" w:rsidRDefault="007B6EC3" w:rsidP="007B6EC3">
            <w:pPr>
              <w:spacing w:before="40" w:after="40"/>
              <w:rPr>
                <w:sz w:val="17"/>
                <w:lang w:eastAsia="en-GB"/>
              </w:rPr>
            </w:pPr>
            <w:r w:rsidRPr="007B6EC3">
              <w:rPr>
                <w:b/>
                <w:sz w:val="17"/>
                <w:lang w:eastAsia="en-GB"/>
              </w:rPr>
              <w:t>Format:</w:t>
            </w:r>
            <w:r w:rsidRPr="007B6EC3">
              <w:rPr>
                <w:sz w:val="17"/>
                <w:lang w:eastAsia="en-GB"/>
              </w:rPr>
              <w:t xml:space="preserve"> </w:t>
            </w:r>
          </w:p>
        </w:tc>
        <w:tc>
          <w:tcPr>
            <w:tcW w:w="7257" w:type="dxa"/>
          </w:tcPr>
          <w:p w14:paraId="0B0C1A24" w14:textId="77777777" w:rsidR="007B6EC3" w:rsidRPr="007B6EC3" w:rsidRDefault="007B6EC3" w:rsidP="007B6EC3">
            <w:pPr>
              <w:spacing w:before="40" w:after="40"/>
              <w:jc w:val="both"/>
              <w:rPr>
                <w:rFonts w:eastAsia="新細明體"/>
                <w:noProof/>
                <w:sz w:val="17"/>
                <w:lang w:eastAsia="en-GB"/>
              </w:rPr>
            </w:pPr>
            <w:r w:rsidRPr="007B6EC3">
              <w:rPr>
                <w:rFonts w:eastAsia="新細明體"/>
                <w:sz w:val="17"/>
                <w:lang w:eastAsia="en-GB"/>
              </w:rPr>
              <w:t>Fixed.</w:t>
            </w:r>
          </w:p>
        </w:tc>
      </w:tr>
      <w:tr w:rsidR="007B6EC3" w:rsidRPr="007B6EC3" w14:paraId="19957164" w14:textId="77777777" w:rsidTr="00EE6B38">
        <w:tc>
          <w:tcPr>
            <w:tcW w:w="1985" w:type="dxa"/>
          </w:tcPr>
          <w:p w14:paraId="22059A9D" w14:textId="77777777" w:rsidR="007B6EC3" w:rsidRPr="007B6EC3" w:rsidRDefault="007B6EC3" w:rsidP="007B6EC3">
            <w:pPr>
              <w:spacing w:before="40" w:after="40"/>
              <w:rPr>
                <w:b/>
                <w:sz w:val="17"/>
                <w:lang w:eastAsia="en-GB"/>
              </w:rPr>
            </w:pPr>
            <w:r w:rsidRPr="007B6EC3">
              <w:rPr>
                <w:rFonts w:eastAsia="新細明體"/>
                <w:b/>
                <w:sz w:val="17"/>
                <w:szCs w:val="17"/>
                <w:lang w:eastAsia="en-GB"/>
              </w:rPr>
              <w:t>Accompanying narrative</w:t>
            </w:r>
            <w:r w:rsidRPr="007B6EC3">
              <w:rPr>
                <w:rFonts w:eastAsia="新細明體"/>
                <w:sz w:val="17"/>
                <w:szCs w:val="17"/>
                <w:lang w:eastAsia="en-GB"/>
              </w:rPr>
              <w:t>:</w:t>
            </w:r>
          </w:p>
        </w:tc>
        <w:tc>
          <w:tcPr>
            <w:tcW w:w="7257" w:type="dxa"/>
          </w:tcPr>
          <w:p w14:paraId="4C093DD2" w14:textId="77777777" w:rsidR="007B6EC3" w:rsidRPr="007B6EC3" w:rsidRDefault="007B6EC3" w:rsidP="007B6EC3">
            <w:pPr>
              <w:spacing w:before="40" w:after="40"/>
              <w:ind w:left="1"/>
              <w:jc w:val="both"/>
              <w:rPr>
                <w:rFonts w:eastAsia="新細明體"/>
                <w:sz w:val="17"/>
                <w:lang w:eastAsia="en-GB"/>
              </w:rPr>
            </w:pPr>
            <w:r w:rsidRPr="007B6EC3">
              <w:rPr>
                <w:rFonts w:eastAsia="新細明體"/>
                <w:sz w:val="17"/>
                <w:lang w:eastAsia="en-GB"/>
              </w:rPr>
              <w:t xml:space="preserve">An AI should explain the main drivers of difference (e.g. asset class or sub-asset class of a particular risk category, key assumptions underlying parameter estimations, national implementation differences) between the RWA calculated under the model-based approaches that are used to calculate its capital ratios and the RWA disclosed under the full standardized approach should the AI not be allowed to use any models in calculating its capital ratios.  Explanation should be specific and, where appropriate, might be supplemented with quantitative information.  In particular, if the RWA for securitization exposures in the banking book are a main driver of the difference, the AI should explain the extent to which it is using each of the three potential approaches (SEC-ERBA (except IAA), SEC-SA and SEC-FBA) for calculating the RWA for securitization exposures. </w:t>
            </w:r>
          </w:p>
        </w:tc>
      </w:tr>
      <w:tr w:rsidR="007B6EC3" w:rsidRPr="007B6EC3" w14:paraId="79BCB0E2" w14:textId="77777777" w:rsidTr="00EE6B38">
        <w:tc>
          <w:tcPr>
            <w:tcW w:w="1985" w:type="dxa"/>
          </w:tcPr>
          <w:p w14:paraId="152BC37A" w14:textId="77777777" w:rsidR="007B6EC3" w:rsidRPr="007B6EC3" w:rsidRDefault="007B6EC3" w:rsidP="007B6EC3">
            <w:pPr>
              <w:spacing w:before="40" w:after="40"/>
              <w:rPr>
                <w:rFonts w:eastAsia="新細明體"/>
                <w:b/>
                <w:sz w:val="17"/>
                <w:szCs w:val="17"/>
                <w:lang w:eastAsia="en-GB"/>
              </w:rPr>
            </w:pPr>
            <w:r w:rsidRPr="007B6EC3">
              <w:rPr>
                <w:rFonts w:eastAsia="新細明體"/>
                <w:b/>
                <w:sz w:val="17"/>
                <w:szCs w:val="17"/>
                <w:lang w:eastAsia="en-GB"/>
              </w:rPr>
              <w:t>Corresponding BDR section:</w:t>
            </w:r>
          </w:p>
        </w:tc>
        <w:tc>
          <w:tcPr>
            <w:tcW w:w="7257" w:type="dxa"/>
          </w:tcPr>
          <w:p w14:paraId="4AF6D0FF" w14:textId="5881F56A" w:rsidR="007B6EC3" w:rsidRPr="00BD33F1" w:rsidRDefault="007B6EC3" w:rsidP="007B6EC3">
            <w:pPr>
              <w:spacing w:before="40" w:after="40"/>
              <w:jc w:val="both"/>
              <w:rPr>
                <w:rFonts w:eastAsia="新細明體"/>
                <w:sz w:val="17"/>
                <w:szCs w:val="17"/>
                <w:lang w:eastAsia="en-GB"/>
              </w:rPr>
            </w:pPr>
            <w:r w:rsidRPr="00BD33F1">
              <w:rPr>
                <w:rFonts w:eastAsia="新細明體"/>
                <w:sz w:val="17"/>
                <w:szCs w:val="17"/>
                <w:lang w:eastAsia="en-GB"/>
              </w:rPr>
              <w:t>16ZQE</w:t>
            </w:r>
          </w:p>
        </w:tc>
      </w:tr>
    </w:tbl>
    <w:p w14:paraId="56DABDAB" w14:textId="77777777" w:rsidR="007B6EC3" w:rsidRPr="007B6EC3" w:rsidRDefault="007B6EC3" w:rsidP="007B6EC3">
      <w:pPr>
        <w:spacing w:before="120" w:after="120"/>
        <w:rPr>
          <w:sz w:val="22"/>
        </w:rPr>
      </w:pPr>
    </w:p>
    <w:p w14:paraId="20AB34CC" w14:textId="77777777" w:rsidR="007B6EC3" w:rsidRPr="007B6EC3" w:rsidRDefault="007B6EC3" w:rsidP="007B6EC3">
      <w:pPr>
        <w:spacing w:before="120" w:after="120"/>
        <w:rPr>
          <w:sz w:val="22"/>
        </w:rPr>
      </w:pPr>
    </w:p>
    <w:p w14:paraId="63152A42" w14:textId="77777777" w:rsidR="007B6EC3" w:rsidRPr="007B6EC3" w:rsidRDefault="007B6EC3" w:rsidP="007B6EC3">
      <w:pPr>
        <w:spacing w:before="120" w:after="120"/>
        <w:rPr>
          <w:sz w:val="22"/>
        </w:rPr>
      </w:pPr>
    </w:p>
    <w:p w14:paraId="3E031000" w14:textId="77777777" w:rsidR="007B6EC3" w:rsidRPr="007B6EC3" w:rsidRDefault="007B6EC3" w:rsidP="007B6EC3">
      <w:pPr>
        <w:spacing w:before="120" w:after="120"/>
        <w:rPr>
          <w:sz w:val="22"/>
        </w:rPr>
      </w:pPr>
    </w:p>
    <w:p w14:paraId="1689AAAB" w14:textId="77777777" w:rsidR="007B6EC3" w:rsidRPr="007B6EC3" w:rsidRDefault="007B6EC3" w:rsidP="007B6EC3">
      <w:pPr>
        <w:spacing w:before="120" w:after="120"/>
        <w:rPr>
          <w:sz w:val="22"/>
        </w:rPr>
      </w:pPr>
    </w:p>
    <w:p w14:paraId="3A650D5B" w14:textId="77777777" w:rsidR="007B6EC3" w:rsidRPr="007B6EC3" w:rsidRDefault="007B6EC3" w:rsidP="007B6EC3">
      <w:pPr>
        <w:spacing w:before="120" w:after="120"/>
        <w:rPr>
          <w:sz w:val="22"/>
        </w:rPr>
      </w:pPr>
    </w:p>
    <w:p w14:paraId="51BE2E7B" w14:textId="77777777" w:rsidR="007B6EC3" w:rsidRPr="007B6EC3" w:rsidRDefault="007B6EC3" w:rsidP="007B6EC3">
      <w:pPr>
        <w:spacing w:before="120" w:after="120"/>
        <w:rPr>
          <w:sz w:val="22"/>
        </w:rPr>
      </w:pPr>
    </w:p>
    <w:p w14:paraId="0809F709" w14:textId="77777777" w:rsidR="007B6EC3" w:rsidRPr="007B6EC3" w:rsidRDefault="007B6EC3" w:rsidP="007B6EC3">
      <w:pPr>
        <w:spacing w:before="120" w:after="120"/>
        <w:rPr>
          <w:sz w:val="22"/>
        </w:rPr>
      </w:pPr>
    </w:p>
    <w:p w14:paraId="0156B94A" w14:textId="77777777" w:rsidR="007B6EC3" w:rsidRPr="007B6EC3" w:rsidRDefault="007B6EC3" w:rsidP="007B6EC3">
      <w:pPr>
        <w:spacing w:before="120" w:after="120"/>
        <w:rPr>
          <w:sz w:val="22"/>
        </w:rPr>
      </w:pPr>
    </w:p>
    <w:tbl>
      <w:tblPr>
        <w:tblW w:w="9248" w:type="dxa"/>
        <w:tblInd w:w="-459"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ayout w:type="fixed"/>
        <w:tblLook w:val="0600" w:firstRow="0" w:lastRow="0" w:firstColumn="0" w:lastColumn="0" w:noHBand="1" w:noVBand="1"/>
      </w:tblPr>
      <w:tblGrid>
        <w:gridCol w:w="567"/>
        <w:gridCol w:w="2869"/>
        <w:gridCol w:w="1418"/>
        <w:gridCol w:w="1559"/>
        <w:gridCol w:w="1276"/>
        <w:gridCol w:w="1559"/>
      </w:tblGrid>
      <w:tr w:rsidR="007B6EC3" w:rsidRPr="007B6EC3" w14:paraId="1A22B1BE" w14:textId="77777777" w:rsidTr="00EE6B38">
        <w:trPr>
          <w:trHeight w:val="299"/>
          <w:tblHeader/>
        </w:trPr>
        <w:tc>
          <w:tcPr>
            <w:tcW w:w="567" w:type="dxa"/>
            <w:tcBorders>
              <w:top w:val="nil"/>
              <w:left w:val="nil"/>
              <w:bottom w:val="nil"/>
              <w:right w:val="nil"/>
            </w:tcBorders>
          </w:tcPr>
          <w:p w14:paraId="770EF504" w14:textId="77777777" w:rsidR="007B6EC3" w:rsidRPr="007B6EC3" w:rsidRDefault="007B6EC3" w:rsidP="007B6EC3">
            <w:pPr>
              <w:keepLines/>
              <w:snapToGrid w:val="0"/>
              <w:rPr>
                <w:rFonts w:cs="Segoe UI"/>
                <w:i/>
                <w:sz w:val="17"/>
                <w:szCs w:val="17"/>
                <w:lang w:eastAsia="en-GB"/>
              </w:rPr>
            </w:pPr>
          </w:p>
        </w:tc>
        <w:tc>
          <w:tcPr>
            <w:tcW w:w="2869" w:type="dxa"/>
            <w:tcBorders>
              <w:top w:val="nil"/>
              <w:left w:val="nil"/>
              <w:bottom w:val="nil"/>
              <w:right w:val="single" w:sz="4" w:space="0" w:color="auto"/>
            </w:tcBorders>
          </w:tcPr>
          <w:p w14:paraId="13DA8FF2" w14:textId="77777777" w:rsidR="007B6EC3" w:rsidRPr="007B6EC3" w:rsidRDefault="007B6EC3" w:rsidP="007B6EC3">
            <w:pPr>
              <w:keepLines/>
              <w:snapToGrid w:val="0"/>
              <w:rPr>
                <w:rFonts w:cs="Segoe UI"/>
                <w:i/>
                <w:sz w:val="17"/>
                <w:szCs w:val="17"/>
                <w:lang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42D0EEBC" w14:textId="77777777" w:rsidR="007B6EC3" w:rsidRPr="007B6EC3" w:rsidRDefault="007B6EC3" w:rsidP="007B6EC3">
            <w:pPr>
              <w:keepLines/>
              <w:snapToGrid w:val="0"/>
              <w:spacing w:before="40" w:after="40"/>
              <w:jc w:val="center"/>
              <w:rPr>
                <w:rFonts w:cs="Segoe UI"/>
                <w:sz w:val="17"/>
                <w:szCs w:val="17"/>
                <w:lang w:eastAsia="en-GB"/>
              </w:rPr>
            </w:pPr>
            <w:r w:rsidRPr="007B6EC3">
              <w:rPr>
                <w:rFonts w:cs="Segoe UI"/>
                <w:sz w:val="17"/>
                <w:szCs w:val="17"/>
                <w:lang w:eastAsia="en-GB"/>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6463887F" w14:textId="77777777" w:rsidR="007B6EC3" w:rsidRPr="007B6EC3" w:rsidRDefault="007B6EC3" w:rsidP="007B6EC3">
            <w:pPr>
              <w:keepLines/>
              <w:snapToGrid w:val="0"/>
              <w:spacing w:before="40" w:after="40"/>
              <w:jc w:val="center"/>
              <w:rPr>
                <w:rFonts w:cs="Segoe UI"/>
                <w:sz w:val="17"/>
                <w:szCs w:val="17"/>
                <w:lang w:eastAsia="en-GB"/>
              </w:rPr>
            </w:pPr>
            <w:r w:rsidRPr="007B6EC3">
              <w:rPr>
                <w:rFonts w:cs="Segoe UI"/>
                <w:sz w:val="17"/>
                <w:szCs w:val="17"/>
                <w:lang w:eastAsia="en-GB"/>
              </w:rPr>
              <w:t>(b)</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978670C" w14:textId="77777777" w:rsidR="007B6EC3" w:rsidRPr="007B6EC3" w:rsidRDefault="007B6EC3" w:rsidP="007B6EC3">
            <w:pPr>
              <w:keepLines/>
              <w:snapToGrid w:val="0"/>
              <w:spacing w:before="40" w:after="40"/>
              <w:jc w:val="center"/>
              <w:rPr>
                <w:rFonts w:cs="Segoe UI"/>
                <w:sz w:val="17"/>
                <w:szCs w:val="17"/>
                <w:lang w:eastAsia="en-GB"/>
              </w:rPr>
            </w:pPr>
            <w:r w:rsidRPr="007B6EC3">
              <w:rPr>
                <w:rFonts w:cs="Segoe UI"/>
                <w:sz w:val="17"/>
                <w:szCs w:val="17"/>
                <w:lang w:eastAsia="en-GB"/>
              </w:rPr>
              <w:t>(c)</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7B161B4F" w14:textId="77777777" w:rsidR="007B6EC3" w:rsidRPr="007B6EC3" w:rsidRDefault="007B6EC3" w:rsidP="007B6EC3">
            <w:pPr>
              <w:keepLines/>
              <w:snapToGrid w:val="0"/>
              <w:spacing w:before="40" w:after="40"/>
              <w:jc w:val="center"/>
              <w:rPr>
                <w:rFonts w:cs="Segoe UI"/>
                <w:sz w:val="17"/>
                <w:szCs w:val="17"/>
                <w:lang w:eastAsia="en-GB"/>
              </w:rPr>
            </w:pPr>
            <w:r w:rsidRPr="007B6EC3">
              <w:rPr>
                <w:rFonts w:cs="Segoe UI"/>
                <w:sz w:val="17"/>
                <w:szCs w:val="17"/>
                <w:lang w:eastAsia="en-GB"/>
              </w:rPr>
              <w:t>(d)</w:t>
            </w:r>
          </w:p>
        </w:tc>
      </w:tr>
      <w:tr w:rsidR="007B6EC3" w:rsidRPr="007B6EC3" w14:paraId="5A4EEDCA" w14:textId="77777777" w:rsidTr="00EE6B38">
        <w:trPr>
          <w:trHeight w:val="275"/>
          <w:tblHeader/>
        </w:trPr>
        <w:tc>
          <w:tcPr>
            <w:tcW w:w="567" w:type="dxa"/>
            <w:tcBorders>
              <w:top w:val="nil"/>
              <w:left w:val="nil"/>
              <w:bottom w:val="nil"/>
              <w:right w:val="nil"/>
            </w:tcBorders>
          </w:tcPr>
          <w:p w14:paraId="40098C3B" w14:textId="77777777" w:rsidR="007B6EC3" w:rsidRPr="007B6EC3" w:rsidRDefault="007B6EC3" w:rsidP="007B6EC3">
            <w:pPr>
              <w:keepLines/>
              <w:snapToGrid w:val="0"/>
              <w:rPr>
                <w:rFonts w:cs="Segoe UI"/>
                <w:i/>
                <w:sz w:val="17"/>
                <w:szCs w:val="17"/>
                <w:lang w:eastAsia="en-GB"/>
              </w:rPr>
            </w:pPr>
          </w:p>
        </w:tc>
        <w:tc>
          <w:tcPr>
            <w:tcW w:w="2869" w:type="dxa"/>
            <w:vMerge w:val="restart"/>
            <w:tcBorders>
              <w:top w:val="nil"/>
              <w:left w:val="nil"/>
              <w:bottom w:val="single" w:sz="4" w:space="0" w:color="auto"/>
              <w:right w:val="single" w:sz="4" w:space="0" w:color="auto"/>
            </w:tcBorders>
          </w:tcPr>
          <w:p w14:paraId="495594D7" w14:textId="77777777" w:rsidR="007B6EC3" w:rsidRPr="007B6EC3" w:rsidRDefault="007B6EC3" w:rsidP="007B6EC3">
            <w:pPr>
              <w:keepLines/>
              <w:snapToGrid w:val="0"/>
              <w:rPr>
                <w:rFonts w:cs="Segoe UI"/>
                <w:i/>
                <w:noProof/>
                <w:sz w:val="17"/>
                <w:szCs w:val="17"/>
                <w:lang w:eastAsia="en-GB"/>
              </w:rPr>
            </w:pPr>
          </w:p>
        </w:tc>
        <w:tc>
          <w:tcPr>
            <w:tcW w:w="581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33BDB09" w14:textId="77777777" w:rsidR="007B6EC3" w:rsidRPr="007B6EC3" w:rsidRDefault="007B6EC3" w:rsidP="007B6EC3">
            <w:pPr>
              <w:keepLines/>
              <w:snapToGrid w:val="0"/>
              <w:spacing w:before="40" w:after="40"/>
              <w:jc w:val="center"/>
              <w:rPr>
                <w:rFonts w:cs="Segoe UI"/>
                <w:sz w:val="17"/>
                <w:szCs w:val="17"/>
                <w:lang w:eastAsia="en-GB"/>
              </w:rPr>
            </w:pPr>
            <w:r w:rsidRPr="007B6EC3">
              <w:rPr>
                <w:rFonts w:cs="Segoe UI"/>
                <w:sz w:val="17"/>
                <w:szCs w:val="17"/>
                <w:lang w:eastAsia="en-GB"/>
              </w:rPr>
              <w:t>RWA</w:t>
            </w:r>
          </w:p>
        </w:tc>
      </w:tr>
      <w:tr w:rsidR="007B6EC3" w:rsidRPr="007B6EC3" w14:paraId="4EFF88FF" w14:textId="77777777" w:rsidTr="00EE6B38">
        <w:trPr>
          <w:trHeight w:val="245"/>
          <w:tblHeader/>
        </w:trPr>
        <w:tc>
          <w:tcPr>
            <w:tcW w:w="567" w:type="dxa"/>
            <w:tcBorders>
              <w:top w:val="nil"/>
              <w:left w:val="nil"/>
              <w:bottom w:val="single" w:sz="4" w:space="0" w:color="auto"/>
              <w:right w:val="nil"/>
            </w:tcBorders>
          </w:tcPr>
          <w:p w14:paraId="21055299" w14:textId="77777777" w:rsidR="007B6EC3" w:rsidRPr="007B6EC3" w:rsidRDefault="007B6EC3" w:rsidP="007B6EC3">
            <w:pPr>
              <w:keepLines/>
              <w:snapToGrid w:val="0"/>
              <w:rPr>
                <w:rFonts w:cs="Segoe UI"/>
                <w:i/>
                <w:sz w:val="17"/>
                <w:szCs w:val="17"/>
                <w:lang w:eastAsia="en-GB"/>
              </w:rPr>
            </w:pPr>
          </w:p>
        </w:tc>
        <w:tc>
          <w:tcPr>
            <w:tcW w:w="2869" w:type="dxa"/>
            <w:vMerge/>
            <w:tcBorders>
              <w:top w:val="single" w:sz="4" w:space="0" w:color="auto"/>
              <w:left w:val="nil"/>
              <w:bottom w:val="single" w:sz="4" w:space="0" w:color="auto"/>
              <w:right w:val="single" w:sz="4" w:space="0" w:color="auto"/>
            </w:tcBorders>
          </w:tcPr>
          <w:p w14:paraId="643E86DB" w14:textId="77777777" w:rsidR="007B6EC3" w:rsidRPr="007B6EC3" w:rsidRDefault="007B6EC3" w:rsidP="007B6EC3">
            <w:pPr>
              <w:keepLines/>
              <w:snapToGrid w:val="0"/>
              <w:rPr>
                <w:rFonts w:cs="Segoe UI"/>
                <w:i/>
                <w:sz w:val="17"/>
                <w:szCs w:val="17"/>
                <w:lang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4DC86024" w14:textId="77777777" w:rsidR="007B6EC3" w:rsidRPr="007B6EC3" w:rsidRDefault="007B6EC3" w:rsidP="007B6EC3">
            <w:pPr>
              <w:keepLines/>
              <w:snapToGrid w:val="0"/>
              <w:spacing w:before="40" w:after="40"/>
              <w:jc w:val="center"/>
              <w:rPr>
                <w:rFonts w:cs="Segoe UI"/>
                <w:sz w:val="17"/>
                <w:szCs w:val="17"/>
                <w:lang w:eastAsia="en-GB"/>
              </w:rPr>
            </w:pPr>
            <w:r w:rsidRPr="007B6EC3">
              <w:rPr>
                <w:rFonts w:cs="Segoe UI"/>
                <w:sz w:val="17"/>
                <w:szCs w:val="17"/>
                <w:lang w:eastAsia="en-GB"/>
              </w:rPr>
              <w:t>RWA calculated under model-based approaches that the AI has the MA’s approval to use</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1B1D2417" w14:textId="77777777" w:rsidR="007B6EC3" w:rsidRPr="007B6EC3" w:rsidRDefault="007B6EC3" w:rsidP="007B6EC3">
            <w:pPr>
              <w:keepLines/>
              <w:snapToGrid w:val="0"/>
              <w:spacing w:before="40" w:after="40"/>
              <w:jc w:val="center"/>
              <w:rPr>
                <w:rFonts w:cs="Segoe UI"/>
                <w:sz w:val="17"/>
                <w:szCs w:val="17"/>
                <w:lang w:eastAsia="en-GB"/>
              </w:rPr>
            </w:pPr>
            <w:r w:rsidRPr="007B6EC3">
              <w:rPr>
                <w:rFonts w:cs="Segoe UI"/>
                <w:sz w:val="17"/>
                <w:szCs w:val="17"/>
                <w:lang w:eastAsia="en-GB"/>
              </w:rPr>
              <w:t>RWA for portfolios where standardized approaches are used</w:t>
            </w:r>
          </w:p>
          <w:p w14:paraId="47FE461F" w14:textId="77777777" w:rsidR="007B6EC3" w:rsidRPr="007B6EC3" w:rsidRDefault="007B6EC3" w:rsidP="007B6EC3">
            <w:pPr>
              <w:keepLines/>
              <w:snapToGrid w:val="0"/>
              <w:spacing w:before="40" w:after="40"/>
              <w:jc w:val="center"/>
              <w:rPr>
                <w:rFonts w:cs="Segoe UI"/>
                <w:sz w:val="17"/>
                <w:szCs w:val="17"/>
                <w:lang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0D4DCD8" w14:textId="77777777" w:rsidR="007B6EC3" w:rsidRPr="007B6EC3" w:rsidRDefault="007B6EC3" w:rsidP="007B6EC3">
            <w:pPr>
              <w:keepLines/>
              <w:snapToGrid w:val="0"/>
              <w:spacing w:before="40" w:after="40"/>
              <w:jc w:val="center"/>
              <w:rPr>
                <w:rFonts w:cs="Segoe UI"/>
                <w:noProof/>
                <w:sz w:val="17"/>
                <w:szCs w:val="17"/>
                <w:lang w:eastAsia="en-GB"/>
              </w:rPr>
            </w:pPr>
            <w:r w:rsidRPr="007B6EC3">
              <w:rPr>
                <w:rFonts w:cs="Segoe UI"/>
                <w:noProof/>
                <w:sz w:val="17"/>
                <w:szCs w:val="17"/>
                <w:lang w:eastAsia="en-GB"/>
              </w:rPr>
              <w:t>Total actual RWA</w:t>
            </w:r>
          </w:p>
          <w:p w14:paraId="01290C2F" w14:textId="77777777" w:rsidR="007B6EC3" w:rsidRPr="007B6EC3" w:rsidRDefault="007B6EC3" w:rsidP="007B6EC3">
            <w:pPr>
              <w:keepLines/>
              <w:snapToGrid w:val="0"/>
              <w:spacing w:before="40" w:after="40"/>
              <w:jc w:val="center"/>
              <w:rPr>
                <w:rFonts w:cs="Segoe UI"/>
                <w:noProof/>
                <w:sz w:val="17"/>
                <w:szCs w:val="17"/>
                <w:lang w:eastAsia="en-GB"/>
              </w:rPr>
            </w:pPr>
            <w:r w:rsidRPr="007B6EC3">
              <w:rPr>
                <w:rFonts w:cs="Segoe UI"/>
                <w:noProof/>
                <w:sz w:val="17"/>
                <w:szCs w:val="17"/>
                <w:lang w:eastAsia="en-GB"/>
              </w:rPr>
              <w:t>(a + b)</w:t>
            </w:r>
          </w:p>
          <w:p w14:paraId="1EC52604" w14:textId="77777777" w:rsidR="007B6EC3" w:rsidRPr="007B6EC3" w:rsidRDefault="007B6EC3" w:rsidP="007B6EC3">
            <w:pPr>
              <w:keepLines/>
              <w:snapToGrid w:val="0"/>
              <w:spacing w:before="40" w:after="40"/>
              <w:jc w:val="center"/>
              <w:rPr>
                <w:rFonts w:cs="Segoe UI"/>
                <w:noProof/>
                <w:sz w:val="17"/>
                <w:szCs w:val="17"/>
                <w:lang w:eastAsia="en-GB"/>
              </w:rPr>
            </w:pPr>
            <w:r w:rsidRPr="007B6EC3">
              <w:rPr>
                <w:rFonts w:cs="Segoe UI"/>
                <w:noProof/>
                <w:sz w:val="17"/>
                <w:szCs w:val="17"/>
                <w:lang w:eastAsia="en-GB"/>
              </w:rPr>
              <w:t>(i.e. RWA which the AI reports as current requirements)</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0C503C9C" w14:textId="77777777" w:rsidR="007B6EC3" w:rsidRPr="007B6EC3" w:rsidRDefault="007B6EC3" w:rsidP="007B6EC3">
            <w:pPr>
              <w:keepLines/>
              <w:snapToGrid w:val="0"/>
              <w:spacing w:before="40" w:after="40"/>
              <w:jc w:val="center"/>
              <w:rPr>
                <w:rFonts w:cs="Segoe UI"/>
                <w:noProof/>
                <w:sz w:val="17"/>
                <w:szCs w:val="17"/>
                <w:lang w:eastAsia="en-GB"/>
              </w:rPr>
            </w:pPr>
            <w:r w:rsidRPr="007B6EC3">
              <w:rPr>
                <w:rFonts w:cs="Segoe UI"/>
                <w:noProof/>
                <w:sz w:val="17"/>
                <w:szCs w:val="17"/>
                <w:lang w:eastAsia="en-GB"/>
              </w:rPr>
              <w:t>RWA calculated using full standardized approach</w:t>
            </w:r>
          </w:p>
          <w:p w14:paraId="7D31ECFF" w14:textId="77777777" w:rsidR="007B6EC3" w:rsidRPr="007B6EC3" w:rsidRDefault="007B6EC3" w:rsidP="007B6EC3">
            <w:pPr>
              <w:keepLines/>
              <w:snapToGrid w:val="0"/>
              <w:spacing w:before="40" w:after="40"/>
              <w:jc w:val="center"/>
              <w:rPr>
                <w:rFonts w:cs="Segoe UI"/>
                <w:noProof/>
                <w:sz w:val="17"/>
                <w:szCs w:val="17"/>
                <w:lang w:eastAsia="en-GB"/>
              </w:rPr>
            </w:pPr>
            <w:r w:rsidRPr="007B6EC3">
              <w:rPr>
                <w:rFonts w:cs="Segoe UI"/>
                <w:noProof/>
                <w:sz w:val="17"/>
                <w:szCs w:val="17"/>
                <w:lang w:eastAsia="en-GB"/>
              </w:rPr>
              <w:t>(i.e. used in the computation of the output floor)</w:t>
            </w:r>
          </w:p>
          <w:p w14:paraId="7F5DDD4B" w14:textId="77777777" w:rsidR="007B6EC3" w:rsidRPr="007B6EC3" w:rsidRDefault="007B6EC3" w:rsidP="007B6EC3">
            <w:pPr>
              <w:jc w:val="center"/>
              <w:textAlignment w:val="baseline"/>
              <w:rPr>
                <w:rFonts w:cs="Segoe UI"/>
                <w:noProof/>
                <w:sz w:val="17"/>
                <w:szCs w:val="17"/>
                <w:lang w:eastAsia="en-GB"/>
              </w:rPr>
            </w:pPr>
          </w:p>
        </w:tc>
      </w:tr>
      <w:tr w:rsidR="007B6EC3" w:rsidRPr="007B6EC3" w14:paraId="470D6961" w14:textId="77777777" w:rsidTr="00EE6B38">
        <w:tc>
          <w:tcPr>
            <w:tcW w:w="567" w:type="dxa"/>
            <w:tcBorders>
              <w:top w:val="single" w:sz="4" w:space="0" w:color="auto"/>
              <w:left w:val="nil"/>
              <w:right w:val="single" w:sz="4" w:space="0" w:color="auto"/>
            </w:tcBorders>
          </w:tcPr>
          <w:p w14:paraId="3C377721" w14:textId="77777777" w:rsidR="007B6EC3" w:rsidRPr="007B6EC3" w:rsidRDefault="007B6EC3" w:rsidP="007B6EC3">
            <w:pPr>
              <w:keepLines/>
              <w:tabs>
                <w:tab w:val="left" w:pos="150"/>
                <w:tab w:val="left" w:pos="397"/>
                <w:tab w:val="left" w:pos="794"/>
                <w:tab w:val="left" w:pos="1191"/>
              </w:tabs>
              <w:snapToGrid w:val="0"/>
              <w:spacing w:before="20" w:after="20"/>
              <w:rPr>
                <w:rFonts w:cs="Segoe UI"/>
                <w:sz w:val="17"/>
                <w:szCs w:val="17"/>
                <w:lang w:eastAsia="en-GB"/>
              </w:rPr>
            </w:pPr>
            <w:r w:rsidRPr="007B6EC3">
              <w:rPr>
                <w:rFonts w:cs="Segoe UI"/>
                <w:sz w:val="17"/>
                <w:szCs w:val="17"/>
                <w:lang w:eastAsia="en-GB"/>
              </w:rPr>
              <w:t>1</w:t>
            </w:r>
          </w:p>
        </w:tc>
        <w:tc>
          <w:tcPr>
            <w:tcW w:w="2869" w:type="dxa"/>
            <w:tcBorders>
              <w:top w:val="single" w:sz="4" w:space="0" w:color="auto"/>
              <w:left w:val="single" w:sz="4" w:space="0" w:color="auto"/>
              <w:right w:val="single" w:sz="4" w:space="0" w:color="auto"/>
            </w:tcBorders>
          </w:tcPr>
          <w:p w14:paraId="36E1F452" w14:textId="77777777" w:rsidR="007B6EC3" w:rsidRPr="007B6EC3" w:rsidRDefault="007B6EC3" w:rsidP="007B6EC3">
            <w:pPr>
              <w:keepLines/>
              <w:tabs>
                <w:tab w:val="left" w:pos="397"/>
                <w:tab w:val="left" w:pos="794"/>
                <w:tab w:val="left" w:pos="1191"/>
              </w:tabs>
              <w:snapToGrid w:val="0"/>
              <w:spacing w:before="20" w:after="20"/>
              <w:rPr>
                <w:rFonts w:cs="Segoe UI"/>
                <w:noProof/>
                <w:sz w:val="17"/>
                <w:szCs w:val="17"/>
                <w:lang w:eastAsia="en-GB"/>
              </w:rPr>
            </w:pPr>
            <w:r w:rsidRPr="007B6EC3">
              <w:rPr>
                <w:rFonts w:cs="Segoe UI"/>
                <w:sz w:val="17"/>
                <w:szCs w:val="17"/>
                <w:lang w:eastAsia="en-GB"/>
              </w:rPr>
              <w:t>Credit risk for non-securitization exposures</w:t>
            </w:r>
          </w:p>
        </w:tc>
        <w:tc>
          <w:tcPr>
            <w:tcW w:w="1418" w:type="dxa"/>
            <w:tcBorders>
              <w:top w:val="single" w:sz="4" w:space="0" w:color="auto"/>
              <w:left w:val="single" w:sz="4" w:space="0" w:color="auto"/>
              <w:bottom w:val="single" w:sz="4" w:space="0" w:color="BFBFBF"/>
              <w:right w:val="single" w:sz="4" w:space="0" w:color="auto"/>
            </w:tcBorders>
            <w:shd w:val="clear" w:color="auto" w:fill="FFFFFF"/>
          </w:tcPr>
          <w:p w14:paraId="1566C4A2"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auto"/>
              <w:left w:val="single" w:sz="4" w:space="0" w:color="auto"/>
              <w:bottom w:val="single" w:sz="4" w:space="0" w:color="BFBFBF"/>
              <w:right w:val="single" w:sz="4" w:space="0" w:color="auto"/>
            </w:tcBorders>
            <w:shd w:val="clear" w:color="auto" w:fill="FFFFFF"/>
          </w:tcPr>
          <w:p w14:paraId="22924256"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auto"/>
              <w:left w:val="single" w:sz="4" w:space="0" w:color="auto"/>
              <w:bottom w:val="single" w:sz="4" w:space="0" w:color="BFBFBF"/>
              <w:right w:val="single" w:sz="4" w:space="0" w:color="auto"/>
            </w:tcBorders>
            <w:shd w:val="clear" w:color="auto" w:fill="FFFFFF"/>
          </w:tcPr>
          <w:p w14:paraId="60079BA8"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auto"/>
              <w:left w:val="single" w:sz="4" w:space="0" w:color="auto"/>
              <w:bottom w:val="single" w:sz="4" w:space="0" w:color="BFBFBF"/>
              <w:right w:val="single" w:sz="4" w:space="0" w:color="auto"/>
            </w:tcBorders>
            <w:shd w:val="clear" w:color="auto" w:fill="FFFFFF"/>
          </w:tcPr>
          <w:p w14:paraId="1EEB61A3"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r>
      <w:tr w:rsidR="007B6EC3" w:rsidRPr="007B6EC3" w14:paraId="3CFFDBEE" w14:textId="77777777" w:rsidTr="00EE6B38">
        <w:tc>
          <w:tcPr>
            <w:tcW w:w="567" w:type="dxa"/>
            <w:tcBorders>
              <w:left w:val="nil"/>
              <w:right w:val="single" w:sz="4" w:space="0" w:color="auto"/>
            </w:tcBorders>
          </w:tcPr>
          <w:p w14:paraId="68908CCC"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r w:rsidRPr="007B6EC3">
              <w:rPr>
                <w:rFonts w:cs="Segoe UI"/>
                <w:sz w:val="17"/>
                <w:szCs w:val="17"/>
                <w:lang w:eastAsia="en-GB"/>
              </w:rPr>
              <w:t>2</w:t>
            </w:r>
          </w:p>
        </w:tc>
        <w:tc>
          <w:tcPr>
            <w:tcW w:w="2869" w:type="dxa"/>
            <w:tcBorders>
              <w:left w:val="single" w:sz="4" w:space="0" w:color="auto"/>
              <w:right w:val="single" w:sz="4" w:space="0" w:color="auto"/>
            </w:tcBorders>
          </w:tcPr>
          <w:p w14:paraId="0C7650CB" w14:textId="776D6DA6"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r w:rsidRPr="007B6EC3">
              <w:rPr>
                <w:rFonts w:cs="Segoe UI"/>
                <w:sz w:val="17"/>
                <w:szCs w:val="17"/>
                <w:lang w:eastAsia="en-GB"/>
              </w:rPr>
              <w:t>Counterparty credit risk and default fund contributions</w:t>
            </w:r>
          </w:p>
        </w:tc>
        <w:tc>
          <w:tcPr>
            <w:tcW w:w="1418" w:type="dxa"/>
            <w:tcBorders>
              <w:top w:val="single" w:sz="4" w:space="0" w:color="BFBFBF"/>
              <w:left w:val="single" w:sz="4" w:space="0" w:color="auto"/>
              <w:bottom w:val="single" w:sz="4" w:space="0" w:color="BFBFBF"/>
              <w:right w:val="single" w:sz="4" w:space="0" w:color="auto"/>
            </w:tcBorders>
            <w:shd w:val="clear" w:color="auto" w:fill="FFFFFF"/>
          </w:tcPr>
          <w:p w14:paraId="320637B1"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339340C4"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bottom w:val="single" w:sz="4" w:space="0" w:color="BFBFBF"/>
              <w:right w:val="single" w:sz="4" w:space="0" w:color="auto"/>
            </w:tcBorders>
            <w:shd w:val="clear" w:color="auto" w:fill="FFFFFF"/>
          </w:tcPr>
          <w:p w14:paraId="33287346"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31DB16A1"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r>
      <w:tr w:rsidR="007B6EC3" w:rsidRPr="007B6EC3" w14:paraId="565C7670" w14:textId="77777777" w:rsidTr="00EE6B38">
        <w:tc>
          <w:tcPr>
            <w:tcW w:w="567" w:type="dxa"/>
            <w:tcBorders>
              <w:left w:val="nil"/>
              <w:right w:val="single" w:sz="4" w:space="0" w:color="auto"/>
            </w:tcBorders>
          </w:tcPr>
          <w:p w14:paraId="3EA51134"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r w:rsidRPr="007B6EC3">
              <w:rPr>
                <w:rFonts w:cs="Segoe UI"/>
                <w:sz w:val="17"/>
                <w:szCs w:val="17"/>
                <w:lang w:eastAsia="en-GB"/>
              </w:rPr>
              <w:t>3</w:t>
            </w:r>
          </w:p>
        </w:tc>
        <w:tc>
          <w:tcPr>
            <w:tcW w:w="2869" w:type="dxa"/>
            <w:tcBorders>
              <w:left w:val="single" w:sz="4" w:space="0" w:color="auto"/>
              <w:right w:val="single" w:sz="4" w:space="0" w:color="auto"/>
            </w:tcBorders>
          </w:tcPr>
          <w:p w14:paraId="5D91C644" w14:textId="3C147563"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r w:rsidRPr="007B6EC3">
              <w:rPr>
                <w:rFonts w:cs="Segoe UI"/>
                <w:sz w:val="17"/>
                <w:szCs w:val="17"/>
                <w:lang w:eastAsia="en-GB"/>
              </w:rPr>
              <w:t>CVA risk</w:t>
            </w:r>
          </w:p>
        </w:tc>
        <w:tc>
          <w:tcPr>
            <w:tcW w:w="1418" w:type="dxa"/>
            <w:tcBorders>
              <w:top w:val="single" w:sz="4" w:space="0" w:color="BFBFBF"/>
              <w:left w:val="single" w:sz="4" w:space="0" w:color="auto"/>
              <w:bottom w:val="single" w:sz="4" w:space="0" w:color="BFBFBF"/>
              <w:right w:val="single" w:sz="4" w:space="0" w:color="auto"/>
            </w:tcBorders>
            <w:shd w:val="clear" w:color="auto" w:fill="D0CECE"/>
          </w:tcPr>
          <w:p w14:paraId="3C6FF865"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2E98FE6E"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bottom w:val="single" w:sz="4" w:space="0" w:color="BFBFBF"/>
              <w:right w:val="single" w:sz="4" w:space="0" w:color="auto"/>
            </w:tcBorders>
            <w:shd w:val="clear" w:color="auto" w:fill="FFFFFF"/>
          </w:tcPr>
          <w:p w14:paraId="3E657D3B"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56820DE9"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r>
      <w:tr w:rsidR="007B6EC3" w:rsidRPr="007B6EC3" w14:paraId="0B1C9E08" w14:textId="77777777" w:rsidTr="00EE6B38">
        <w:tc>
          <w:tcPr>
            <w:tcW w:w="567" w:type="dxa"/>
            <w:tcBorders>
              <w:left w:val="nil"/>
              <w:right w:val="single" w:sz="4" w:space="0" w:color="auto"/>
            </w:tcBorders>
          </w:tcPr>
          <w:p w14:paraId="34389BE0" w14:textId="77777777" w:rsidR="007B6EC3" w:rsidRPr="007B6EC3" w:rsidRDefault="007B6EC3" w:rsidP="007B6EC3">
            <w:pPr>
              <w:keepLines/>
              <w:tabs>
                <w:tab w:val="left" w:pos="397"/>
                <w:tab w:val="left" w:pos="794"/>
                <w:tab w:val="left" w:pos="1191"/>
              </w:tabs>
              <w:snapToGrid w:val="0"/>
              <w:spacing w:before="20" w:after="20"/>
              <w:rPr>
                <w:rFonts w:cs="Segoe UI"/>
                <w:sz w:val="17"/>
                <w:szCs w:val="17"/>
              </w:rPr>
            </w:pPr>
            <w:r w:rsidRPr="007B6EC3">
              <w:rPr>
                <w:rFonts w:cs="Segoe UI" w:hint="eastAsia"/>
                <w:sz w:val="17"/>
                <w:szCs w:val="17"/>
              </w:rPr>
              <w:t>4</w:t>
            </w:r>
          </w:p>
        </w:tc>
        <w:tc>
          <w:tcPr>
            <w:tcW w:w="2869" w:type="dxa"/>
            <w:tcBorders>
              <w:left w:val="single" w:sz="4" w:space="0" w:color="auto"/>
              <w:right w:val="single" w:sz="4" w:space="0" w:color="auto"/>
            </w:tcBorders>
          </w:tcPr>
          <w:p w14:paraId="7AC0BD82"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r w:rsidRPr="007B6EC3">
              <w:rPr>
                <w:rFonts w:cs="Segoe UI"/>
                <w:sz w:val="17"/>
                <w:szCs w:val="17"/>
                <w:lang w:eastAsia="en-GB"/>
              </w:rPr>
              <w:t>Securitization exposures in banking book</w:t>
            </w:r>
          </w:p>
        </w:tc>
        <w:tc>
          <w:tcPr>
            <w:tcW w:w="1418" w:type="dxa"/>
            <w:tcBorders>
              <w:top w:val="single" w:sz="4" w:space="0" w:color="BFBFBF"/>
              <w:left w:val="single" w:sz="4" w:space="0" w:color="auto"/>
              <w:bottom w:val="single" w:sz="4" w:space="0" w:color="BFBFBF"/>
              <w:right w:val="single" w:sz="4" w:space="0" w:color="auto"/>
            </w:tcBorders>
            <w:shd w:val="clear" w:color="auto" w:fill="FFFFFF"/>
          </w:tcPr>
          <w:p w14:paraId="4F331BF6"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76C49065"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bottom w:val="single" w:sz="4" w:space="0" w:color="BFBFBF"/>
              <w:right w:val="single" w:sz="4" w:space="0" w:color="auto"/>
            </w:tcBorders>
            <w:shd w:val="clear" w:color="auto" w:fill="FFFFFF"/>
          </w:tcPr>
          <w:p w14:paraId="6DE45F56"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6D2A4EC4"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r>
      <w:tr w:rsidR="007B6EC3" w:rsidRPr="007B6EC3" w14:paraId="7B402714" w14:textId="77777777" w:rsidTr="00EE6B38">
        <w:tc>
          <w:tcPr>
            <w:tcW w:w="567" w:type="dxa"/>
            <w:tcBorders>
              <w:left w:val="nil"/>
              <w:right w:val="single" w:sz="4" w:space="0" w:color="auto"/>
            </w:tcBorders>
          </w:tcPr>
          <w:p w14:paraId="63E750E0" w14:textId="77777777" w:rsidR="007B6EC3" w:rsidRPr="007B6EC3" w:rsidRDefault="007B6EC3" w:rsidP="007B6EC3">
            <w:pPr>
              <w:keepLines/>
              <w:tabs>
                <w:tab w:val="left" w:pos="397"/>
                <w:tab w:val="left" w:pos="794"/>
                <w:tab w:val="left" w:pos="1191"/>
              </w:tabs>
              <w:snapToGrid w:val="0"/>
              <w:spacing w:before="20" w:after="20"/>
              <w:rPr>
                <w:rFonts w:cs="Segoe UI"/>
                <w:sz w:val="17"/>
                <w:szCs w:val="17"/>
              </w:rPr>
            </w:pPr>
            <w:r w:rsidRPr="007B6EC3">
              <w:rPr>
                <w:rFonts w:cs="Segoe UI" w:hint="eastAsia"/>
                <w:sz w:val="17"/>
                <w:szCs w:val="17"/>
              </w:rPr>
              <w:t>5</w:t>
            </w:r>
          </w:p>
        </w:tc>
        <w:tc>
          <w:tcPr>
            <w:tcW w:w="2869" w:type="dxa"/>
            <w:tcBorders>
              <w:left w:val="single" w:sz="4" w:space="0" w:color="auto"/>
              <w:right w:val="single" w:sz="4" w:space="0" w:color="auto"/>
            </w:tcBorders>
          </w:tcPr>
          <w:p w14:paraId="3C169584" w14:textId="77E82902"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r w:rsidRPr="007B6EC3">
              <w:rPr>
                <w:rFonts w:cs="Segoe UI"/>
                <w:sz w:val="17"/>
                <w:szCs w:val="17"/>
                <w:lang w:eastAsia="en-GB"/>
              </w:rPr>
              <w:t>Market risk</w:t>
            </w:r>
          </w:p>
        </w:tc>
        <w:tc>
          <w:tcPr>
            <w:tcW w:w="1418" w:type="dxa"/>
            <w:tcBorders>
              <w:top w:val="single" w:sz="4" w:space="0" w:color="BFBFBF"/>
              <w:left w:val="single" w:sz="4" w:space="0" w:color="auto"/>
              <w:bottom w:val="single" w:sz="4" w:space="0" w:color="BFBFBF"/>
              <w:right w:val="single" w:sz="4" w:space="0" w:color="auto"/>
            </w:tcBorders>
            <w:shd w:val="clear" w:color="auto" w:fill="FFFFFF"/>
          </w:tcPr>
          <w:p w14:paraId="4972B142"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500715AE"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bottom w:val="single" w:sz="4" w:space="0" w:color="BFBFBF"/>
              <w:right w:val="single" w:sz="4" w:space="0" w:color="auto"/>
            </w:tcBorders>
            <w:shd w:val="clear" w:color="auto" w:fill="FFFFFF"/>
          </w:tcPr>
          <w:p w14:paraId="3AD792D9"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7B29521D"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r>
      <w:tr w:rsidR="007B6EC3" w:rsidRPr="007B6EC3" w14:paraId="29794A41" w14:textId="77777777" w:rsidTr="00EE6B38">
        <w:tc>
          <w:tcPr>
            <w:tcW w:w="567" w:type="dxa"/>
            <w:tcBorders>
              <w:left w:val="nil"/>
              <w:right w:val="single" w:sz="4" w:space="0" w:color="auto"/>
            </w:tcBorders>
          </w:tcPr>
          <w:p w14:paraId="672836E7" w14:textId="77777777" w:rsidR="007B6EC3" w:rsidRPr="007B6EC3" w:rsidRDefault="007B6EC3" w:rsidP="007B6EC3">
            <w:pPr>
              <w:keepLines/>
              <w:tabs>
                <w:tab w:val="left" w:pos="397"/>
                <w:tab w:val="left" w:pos="794"/>
                <w:tab w:val="left" w:pos="1191"/>
              </w:tabs>
              <w:snapToGrid w:val="0"/>
              <w:spacing w:before="20" w:after="20"/>
              <w:rPr>
                <w:rFonts w:cs="Segoe UI"/>
                <w:sz w:val="17"/>
                <w:szCs w:val="17"/>
              </w:rPr>
            </w:pPr>
            <w:r w:rsidRPr="007B6EC3">
              <w:rPr>
                <w:rFonts w:cs="Segoe UI" w:hint="eastAsia"/>
                <w:sz w:val="17"/>
                <w:szCs w:val="17"/>
              </w:rPr>
              <w:t>6</w:t>
            </w:r>
          </w:p>
        </w:tc>
        <w:tc>
          <w:tcPr>
            <w:tcW w:w="2869" w:type="dxa"/>
            <w:tcBorders>
              <w:left w:val="single" w:sz="4" w:space="0" w:color="auto"/>
              <w:right w:val="single" w:sz="4" w:space="0" w:color="auto"/>
            </w:tcBorders>
          </w:tcPr>
          <w:p w14:paraId="0CCF39E0" w14:textId="77777777" w:rsidR="007B6EC3" w:rsidRPr="007B6EC3" w:rsidRDefault="007B6EC3" w:rsidP="007B6EC3">
            <w:pPr>
              <w:keepLines/>
              <w:tabs>
                <w:tab w:val="left" w:pos="397"/>
                <w:tab w:val="left" w:pos="794"/>
                <w:tab w:val="left" w:pos="1191"/>
              </w:tabs>
              <w:snapToGrid w:val="0"/>
              <w:spacing w:before="20" w:after="20"/>
              <w:rPr>
                <w:rFonts w:cs="Segoe UI"/>
                <w:noProof/>
                <w:sz w:val="17"/>
                <w:szCs w:val="17"/>
                <w:lang w:eastAsia="en-GB"/>
              </w:rPr>
            </w:pPr>
            <w:r w:rsidRPr="007B6EC3">
              <w:rPr>
                <w:rFonts w:cs="Segoe UI"/>
                <w:sz w:val="17"/>
                <w:szCs w:val="17"/>
                <w:lang w:eastAsia="en-GB"/>
              </w:rPr>
              <w:t>Operational risk</w:t>
            </w:r>
          </w:p>
        </w:tc>
        <w:tc>
          <w:tcPr>
            <w:tcW w:w="1418" w:type="dxa"/>
            <w:tcBorders>
              <w:top w:val="single" w:sz="4" w:space="0" w:color="BFBFBF"/>
              <w:left w:val="single" w:sz="4" w:space="0" w:color="auto"/>
              <w:bottom w:val="single" w:sz="4" w:space="0" w:color="BFBFBF"/>
              <w:right w:val="single" w:sz="4" w:space="0" w:color="auto"/>
            </w:tcBorders>
            <w:shd w:val="clear" w:color="auto" w:fill="D0CECE"/>
          </w:tcPr>
          <w:p w14:paraId="04EC06D1"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6DCE3B7E"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bottom w:val="single" w:sz="4" w:space="0" w:color="BFBFBF"/>
              <w:right w:val="single" w:sz="4" w:space="0" w:color="auto"/>
            </w:tcBorders>
            <w:shd w:val="clear" w:color="auto" w:fill="FFFFFF"/>
          </w:tcPr>
          <w:p w14:paraId="1BCD3A20"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2B3BA017"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r>
      <w:tr w:rsidR="007B6EC3" w:rsidRPr="007B6EC3" w14:paraId="018F5D37" w14:textId="77777777" w:rsidTr="00EE6B38">
        <w:tc>
          <w:tcPr>
            <w:tcW w:w="567" w:type="dxa"/>
            <w:tcBorders>
              <w:left w:val="nil"/>
              <w:right w:val="single" w:sz="4" w:space="0" w:color="auto"/>
            </w:tcBorders>
          </w:tcPr>
          <w:p w14:paraId="2D22666C" w14:textId="77777777" w:rsidR="007B6EC3" w:rsidRPr="007B6EC3" w:rsidRDefault="007B6EC3" w:rsidP="007B6EC3">
            <w:pPr>
              <w:keepLines/>
              <w:tabs>
                <w:tab w:val="left" w:pos="397"/>
                <w:tab w:val="left" w:pos="794"/>
                <w:tab w:val="left" w:pos="1191"/>
              </w:tabs>
              <w:snapToGrid w:val="0"/>
              <w:spacing w:before="20" w:after="20"/>
              <w:rPr>
                <w:rFonts w:cs="Segoe UI"/>
                <w:sz w:val="17"/>
                <w:szCs w:val="17"/>
              </w:rPr>
            </w:pPr>
            <w:r w:rsidRPr="007B6EC3">
              <w:rPr>
                <w:rFonts w:cs="Segoe UI" w:hint="eastAsia"/>
                <w:sz w:val="17"/>
                <w:szCs w:val="17"/>
              </w:rPr>
              <w:t>7</w:t>
            </w:r>
          </w:p>
        </w:tc>
        <w:tc>
          <w:tcPr>
            <w:tcW w:w="2869" w:type="dxa"/>
            <w:tcBorders>
              <w:left w:val="single" w:sz="4" w:space="0" w:color="auto"/>
              <w:right w:val="single" w:sz="4" w:space="0" w:color="auto"/>
            </w:tcBorders>
          </w:tcPr>
          <w:p w14:paraId="1BC009AA"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r w:rsidRPr="007B6EC3">
              <w:rPr>
                <w:rFonts w:cs="Segoe UI"/>
                <w:sz w:val="17"/>
                <w:szCs w:val="17"/>
                <w:lang w:eastAsia="en-GB"/>
              </w:rPr>
              <w:t>Residual RWA</w:t>
            </w:r>
          </w:p>
        </w:tc>
        <w:tc>
          <w:tcPr>
            <w:tcW w:w="1418" w:type="dxa"/>
            <w:tcBorders>
              <w:top w:val="single" w:sz="4" w:space="0" w:color="BFBFBF"/>
              <w:left w:val="single" w:sz="4" w:space="0" w:color="auto"/>
              <w:bottom w:val="single" w:sz="4" w:space="0" w:color="BFBFBF"/>
              <w:right w:val="single" w:sz="4" w:space="0" w:color="auto"/>
            </w:tcBorders>
            <w:shd w:val="clear" w:color="auto" w:fill="auto"/>
          </w:tcPr>
          <w:p w14:paraId="313F7CBA"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6BA0A75C"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bottom w:val="single" w:sz="4" w:space="0" w:color="BFBFBF"/>
              <w:right w:val="single" w:sz="4" w:space="0" w:color="auto"/>
            </w:tcBorders>
            <w:shd w:val="clear" w:color="auto" w:fill="FFFFFF"/>
          </w:tcPr>
          <w:p w14:paraId="0D4172AE"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22D9333D"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r>
      <w:tr w:rsidR="007B6EC3" w:rsidRPr="007B6EC3" w14:paraId="0FFEF711" w14:textId="77777777" w:rsidTr="00EE6B38">
        <w:trPr>
          <w:trHeight w:val="281"/>
        </w:trPr>
        <w:tc>
          <w:tcPr>
            <w:tcW w:w="567" w:type="dxa"/>
            <w:tcBorders>
              <w:left w:val="nil"/>
              <w:bottom w:val="single" w:sz="4" w:space="0" w:color="auto"/>
              <w:right w:val="single" w:sz="4" w:space="0" w:color="auto"/>
            </w:tcBorders>
          </w:tcPr>
          <w:p w14:paraId="73F7C757" w14:textId="77777777" w:rsidR="007B6EC3" w:rsidRPr="007B6EC3" w:rsidRDefault="007B6EC3" w:rsidP="007B6EC3">
            <w:pPr>
              <w:keepLines/>
              <w:tabs>
                <w:tab w:val="left" w:pos="397"/>
                <w:tab w:val="left" w:pos="794"/>
                <w:tab w:val="left" w:pos="1191"/>
              </w:tabs>
              <w:snapToGrid w:val="0"/>
              <w:spacing w:before="20" w:after="20"/>
              <w:rPr>
                <w:rFonts w:cs="Segoe UI"/>
                <w:sz w:val="17"/>
                <w:szCs w:val="17"/>
                <w:highlight w:val="yellow"/>
              </w:rPr>
            </w:pPr>
            <w:r w:rsidRPr="007B6EC3">
              <w:rPr>
                <w:rFonts w:cs="Segoe UI"/>
                <w:sz w:val="17"/>
                <w:szCs w:val="17"/>
              </w:rPr>
              <w:t>8</w:t>
            </w:r>
          </w:p>
        </w:tc>
        <w:tc>
          <w:tcPr>
            <w:tcW w:w="2869" w:type="dxa"/>
            <w:tcBorders>
              <w:left w:val="single" w:sz="4" w:space="0" w:color="auto"/>
              <w:bottom w:val="single" w:sz="4" w:space="0" w:color="auto"/>
              <w:right w:val="single" w:sz="4" w:space="0" w:color="auto"/>
            </w:tcBorders>
            <w:vAlign w:val="center"/>
          </w:tcPr>
          <w:p w14:paraId="03A755F0" w14:textId="77777777" w:rsidR="007B6EC3" w:rsidRPr="007B6EC3" w:rsidRDefault="007B6EC3" w:rsidP="007B6EC3">
            <w:pPr>
              <w:keepLines/>
              <w:tabs>
                <w:tab w:val="left" w:pos="397"/>
                <w:tab w:val="left" w:pos="794"/>
                <w:tab w:val="left" w:pos="1191"/>
              </w:tabs>
              <w:snapToGrid w:val="0"/>
              <w:spacing w:before="20" w:after="20"/>
              <w:rPr>
                <w:rFonts w:cs="Segoe UI"/>
                <w:noProof/>
                <w:sz w:val="17"/>
                <w:szCs w:val="17"/>
                <w:lang w:eastAsia="en-GB"/>
              </w:rPr>
            </w:pPr>
            <w:r w:rsidRPr="007B6EC3">
              <w:rPr>
                <w:rFonts w:cs="Segoe UI"/>
                <w:sz w:val="17"/>
                <w:szCs w:val="17"/>
                <w:lang w:eastAsia="en-GB"/>
              </w:rPr>
              <w:t>Total</w:t>
            </w:r>
          </w:p>
        </w:tc>
        <w:tc>
          <w:tcPr>
            <w:tcW w:w="1418" w:type="dxa"/>
            <w:tcBorders>
              <w:top w:val="single" w:sz="4" w:space="0" w:color="BFBFBF"/>
              <w:left w:val="single" w:sz="4" w:space="0" w:color="auto"/>
              <w:bottom w:val="single" w:sz="4" w:space="0" w:color="auto"/>
              <w:right w:val="single" w:sz="4" w:space="0" w:color="auto"/>
            </w:tcBorders>
            <w:shd w:val="clear" w:color="auto" w:fill="auto"/>
          </w:tcPr>
          <w:p w14:paraId="45988478"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auto"/>
              <w:right w:val="single" w:sz="4" w:space="0" w:color="auto"/>
            </w:tcBorders>
            <w:shd w:val="clear" w:color="auto" w:fill="FFFFFF"/>
          </w:tcPr>
          <w:p w14:paraId="071ED6D9"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bottom w:val="single" w:sz="4" w:space="0" w:color="auto"/>
              <w:right w:val="single" w:sz="4" w:space="0" w:color="auto"/>
            </w:tcBorders>
            <w:shd w:val="clear" w:color="auto" w:fill="FFFFFF"/>
          </w:tcPr>
          <w:p w14:paraId="452501D9"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auto"/>
              <w:right w:val="single" w:sz="4" w:space="0" w:color="auto"/>
            </w:tcBorders>
            <w:shd w:val="clear" w:color="auto" w:fill="FFFFFF"/>
          </w:tcPr>
          <w:p w14:paraId="37C4B275" w14:textId="77777777" w:rsidR="007B6EC3" w:rsidRPr="007B6EC3" w:rsidRDefault="007B6EC3" w:rsidP="007B6EC3">
            <w:pPr>
              <w:keepLines/>
              <w:tabs>
                <w:tab w:val="left" w:pos="397"/>
                <w:tab w:val="left" w:pos="794"/>
                <w:tab w:val="left" w:pos="1191"/>
              </w:tabs>
              <w:snapToGrid w:val="0"/>
              <w:spacing w:before="20" w:after="20"/>
              <w:rPr>
                <w:rFonts w:cs="Segoe UI"/>
                <w:sz w:val="17"/>
                <w:szCs w:val="17"/>
                <w:lang w:eastAsia="en-GB"/>
              </w:rPr>
            </w:pPr>
          </w:p>
        </w:tc>
      </w:tr>
    </w:tbl>
    <w:p w14:paraId="6A15DDBF" w14:textId="77777777" w:rsidR="007B6EC3" w:rsidRPr="007B6EC3" w:rsidRDefault="007B6EC3" w:rsidP="007B6EC3">
      <w:pPr>
        <w:spacing w:before="120" w:after="120"/>
        <w:ind w:leftChars="-283" w:left="-566"/>
        <w:rPr>
          <w:sz w:val="22"/>
        </w:rPr>
      </w:pPr>
    </w:p>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47"/>
      </w:tblGrid>
      <w:tr w:rsidR="007B6EC3" w:rsidRPr="007B6EC3" w14:paraId="747590F8" w14:textId="77777777" w:rsidTr="00EE6B38">
        <w:trPr>
          <w:tblHeader/>
        </w:trPr>
        <w:tc>
          <w:tcPr>
            <w:tcW w:w="9214" w:type="dxa"/>
            <w:gridSpan w:val="2"/>
            <w:shd w:val="clear" w:color="auto" w:fill="BFBFBF"/>
          </w:tcPr>
          <w:p w14:paraId="63E8C90B" w14:textId="77777777" w:rsidR="007B6EC3" w:rsidRPr="007B6EC3" w:rsidRDefault="007B6EC3" w:rsidP="007B6EC3">
            <w:pPr>
              <w:keepLines/>
              <w:tabs>
                <w:tab w:val="left" w:pos="150"/>
                <w:tab w:val="left" w:pos="397"/>
                <w:tab w:val="left" w:pos="794"/>
                <w:tab w:val="left" w:pos="1191"/>
              </w:tabs>
              <w:spacing w:before="40" w:after="40"/>
              <w:rPr>
                <w:rFonts w:eastAsia="新細明體"/>
                <w:b/>
                <w:sz w:val="17"/>
                <w:lang w:eastAsia="en-GB"/>
              </w:rPr>
            </w:pPr>
            <w:r w:rsidRPr="007B6EC3">
              <w:rPr>
                <w:rFonts w:eastAsia="新細明體"/>
                <w:b/>
                <w:sz w:val="17"/>
                <w:lang w:eastAsia="en-GB"/>
              </w:rPr>
              <w:t>Explanatory Note</w:t>
            </w:r>
          </w:p>
        </w:tc>
      </w:tr>
      <w:tr w:rsidR="007B6EC3" w:rsidRPr="007B6EC3" w14:paraId="1B64D930" w14:textId="77777777" w:rsidTr="00D75BCB">
        <w:tc>
          <w:tcPr>
            <w:tcW w:w="9214" w:type="dxa"/>
            <w:gridSpan w:val="2"/>
            <w:shd w:val="clear" w:color="auto" w:fill="F2F2F2" w:themeFill="background1" w:themeFillShade="F2"/>
          </w:tcPr>
          <w:p w14:paraId="5D478276" w14:textId="77777777" w:rsidR="007B6EC3" w:rsidRPr="007B6EC3" w:rsidRDefault="007B6EC3" w:rsidP="007B6EC3">
            <w:pPr>
              <w:keepNext/>
              <w:keepLines/>
              <w:tabs>
                <w:tab w:val="left" w:pos="150"/>
                <w:tab w:val="left" w:pos="397"/>
                <w:tab w:val="left" w:pos="794"/>
                <w:tab w:val="left" w:pos="1191"/>
              </w:tabs>
              <w:spacing w:before="40" w:after="40"/>
              <w:rPr>
                <w:rFonts w:cs="Segoe UI"/>
                <w:sz w:val="17"/>
                <w:szCs w:val="17"/>
                <w:lang w:eastAsia="en-GB"/>
              </w:rPr>
            </w:pPr>
            <w:r w:rsidRPr="007B6EC3">
              <w:rPr>
                <w:rFonts w:eastAsia="新細明體"/>
                <w:b/>
                <w:sz w:val="17"/>
                <w:lang w:eastAsia="en-GB"/>
              </w:rPr>
              <w:t>Columns</w:t>
            </w:r>
          </w:p>
        </w:tc>
      </w:tr>
      <w:tr w:rsidR="007B6EC3" w:rsidRPr="007B6EC3" w14:paraId="6BDF6DF6" w14:textId="77777777" w:rsidTr="00EE6B38">
        <w:tc>
          <w:tcPr>
            <w:tcW w:w="567" w:type="dxa"/>
            <w:shd w:val="clear" w:color="auto" w:fill="auto"/>
          </w:tcPr>
          <w:p w14:paraId="06ECC4A2" w14:textId="77777777" w:rsidR="007B6EC3" w:rsidRPr="007B6EC3" w:rsidRDefault="007B6EC3" w:rsidP="007B6EC3">
            <w:pPr>
              <w:keepNext/>
              <w:keepLines/>
              <w:tabs>
                <w:tab w:val="left" w:pos="150"/>
                <w:tab w:val="left" w:pos="397"/>
                <w:tab w:val="left" w:pos="794"/>
                <w:tab w:val="left" w:pos="1191"/>
              </w:tabs>
              <w:spacing w:before="40" w:after="40"/>
              <w:rPr>
                <w:rFonts w:eastAsia="新細明體"/>
                <w:sz w:val="17"/>
                <w:lang w:eastAsia="en-GB"/>
              </w:rPr>
            </w:pPr>
            <w:r w:rsidRPr="007B6EC3">
              <w:rPr>
                <w:rFonts w:eastAsia="新細明體"/>
                <w:sz w:val="17"/>
                <w:lang w:eastAsia="en-GB"/>
              </w:rPr>
              <w:t>(a)</w:t>
            </w:r>
          </w:p>
        </w:tc>
        <w:tc>
          <w:tcPr>
            <w:tcW w:w="8647" w:type="dxa"/>
            <w:shd w:val="clear" w:color="auto" w:fill="auto"/>
          </w:tcPr>
          <w:p w14:paraId="44402530" w14:textId="6C7C5E48" w:rsidR="007B6EC3" w:rsidRPr="007B6EC3" w:rsidRDefault="007B6EC3" w:rsidP="007B6EC3">
            <w:pPr>
              <w:keepNext/>
              <w:keepLines/>
              <w:tabs>
                <w:tab w:val="left" w:pos="150"/>
                <w:tab w:val="left" w:pos="397"/>
                <w:tab w:val="left" w:pos="794"/>
                <w:tab w:val="left" w:pos="1191"/>
              </w:tabs>
              <w:spacing w:before="40" w:after="40"/>
              <w:jc w:val="both"/>
              <w:rPr>
                <w:rFonts w:cs="Segoe UI"/>
                <w:sz w:val="17"/>
                <w:szCs w:val="17"/>
                <w:highlight w:val="lightGray"/>
                <w:lang w:eastAsia="en-GB"/>
              </w:rPr>
            </w:pPr>
            <w:r w:rsidRPr="007B6EC3">
              <w:rPr>
                <w:rFonts w:cs="Segoe UI"/>
                <w:i/>
                <w:sz w:val="17"/>
                <w:szCs w:val="17"/>
                <w:lang w:eastAsia="en-GB"/>
              </w:rPr>
              <w:t>RWA calculated under model-based approaches that the AI has the MA’s approval to use</w:t>
            </w:r>
            <w:r w:rsidRPr="007B6EC3">
              <w:rPr>
                <w:rFonts w:cs="Segoe UI"/>
                <w:sz w:val="17"/>
                <w:szCs w:val="17"/>
                <w:lang w:eastAsia="en-GB"/>
              </w:rPr>
              <w:t xml:space="preserve">: model-based approaches refer to those approaches specified in </w:t>
            </w:r>
            <w:r w:rsidRPr="00BD33F1">
              <w:rPr>
                <w:rFonts w:cs="Segoe UI"/>
                <w:sz w:val="17"/>
                <w:szCs w:val="17"/>
                <w:lang w:eastAsia="en-GB"/>
              </w:rPr>
              <w:t>section 355 of Part 11 of</w:t>
            </w:r>
            <w:r w:rsidRPr="007B6EC3">
              <w:rPr>
                <w:rFonts w:cs="Segoe UI"/>
                <w:sz w:val="17"/>
                <w:szCs w:val="17"/>
                <w:lang w:eastAsia="en-GB"/>
              </w:rPr>
              <w:t xml:space="preserve"> the BCR (i.e. IRB approach, SEC-IRBA, IAA, IMM(CCR) approach, VaR model and IMA). </w:t>
            </w:r>
          </w:p>
        </w:tc>
      </w:tr>
      <w:tr w:rsidR="007B6EC3" w:rsidRPr="007B6EC3" w14:paraId="573A2A34" w14:textId="77777777" w:rsidTr="00EE6B38">
        <w:tc>
          <w:tcPr>
            <w:tcW w:w="567" w:type="dxa"/>
            <w:shd w:val="clear" w:color="auto" w:fill="auto"/>
          </w:tcPr>
          <w:p w14:paraId="758A7A2A" w14:textId="77777777" w:rsidR="007B6EC3" w:rsidRPr="007B6EC3" w:rsidRDefault="007B6EC3" w:rsidP="007B6EC3">
            <w:pPr>
              <w:keepNext/>
              <w:keepLines/>
              <w:tabs>
                <w:tab w:val="left" w:pos="150"/>
                <w:tab w:val="left" w:pos="397"/>
                <w:tab w:val="left" w:pos="794"/>
                <w:tab w:val="left" w:pos="1191"/>
              </w:tabs>
              <w:spacing w:before="40" w:after="40"/>
              <w:rPr>
                <w:rFonts w:eastAsia="新細明體"/>
                <w:sz w:val="17"/>
                <w:lang w:eastAsia="en-GB"/>
              </w:rPr>
            </w:pPr>
            <w:r w:rsidRPr="007B6EC3">
              <w:rPr>
                <w:rFonts w:eastAsia="新細明體"/>
                <w:sz w:val="17"/>
                <w:lang w:eastAsia="en-GB"/>
              </w:rPr>
              <w:t>(d)</w:t>
            </w:r>
          </w:p>
        </w:tc>
        <w:tc>
          <w:tcPr>
            <w:tcW w:w="8647" w:type="dxa"/>
            <w:shd w:val="clear" w:color="auto" w:fill="auto"/>
          </w:tcPr>
          <w:p w14:paraId="5C7D8A94" w14:textId="6AAAE160" w:rsidR="007B6EC3" w:rsidRPr="007B6EC3" w:rsidRDefault="007B6EC3" w:rsidP="007B6EC3">
            <w:pPr>
              <w:keepLines/>
              <w:tabs>
                <w:tab w:val="left" w:pos="150"/>
                <w:tab w:val="left" w:pos="397"/>
                <w:tab w:val="left" w:pos="794"/>
                <w:tab w:val="left" w:pos="1191"/>
              </w:tabs>
              <w:spacing w:before="40" w:after="40"/>
              <w:jc w:val="both"/>
              <w:rPr>
                <w:rFonts w:cs="Segoe UI"/>
                <w:noProof/>
                <w:sz w:val="17"/>
                <w:szCs w:val="17"/>
                <w:lang w:eastAsia="en-GB"/>
              </w:rPr>
            </w:pPr>
            <w:r w:rsidRPr="007B6EC3">
              <w:rPr>
                <w:rFonts w:cs="Segoe UI"/>
                <w:i/>
                <w:sz w:val="17"/>
                <w:szCs w:val="17"/>
              </w:rPr>
              <w:t>RWA calculated using full standardized approach (i.e. used in the computation of the output floor)</w:t>
            </w:r>
            <w:r w:rsidRPr="007B6EC3">
              <w:rPr>
                <w:rFonts w:cs="Segoe UI"/>
                <w:sz w:val="17"/>
                <w:szCs w:val="17"/>
              </w:rPr>
              <w:t>: RWA disclosed in rows 1 to 8 are RWAs before applying the output floor level</w:t>
            </w:r>
            <w:r w:rsidR="00043C2A">
              <w:rPr>
                <w:rFonts w:cs="Segoe UI"/>
                <w:sz w:val="17"/>
                <w:szCs w:val="17"/>
              </w:rPr>
              <w:t xml:space="preserve"> in accordance with Part 11 of the BCR</w:t>
            </w:r>
            <w:r w:rsidRPr="007B6EC3">
              <w:rPr>
                <w:rFonts w:cs="Segoe UI"/>
                <w:sz w:val="17"/>
                <w:szCs w:val="17"/>
              </w:rPr>
              <w:t>.</w:t>
            </w:r>
            <w:r w:rsidRPr="007B6EC3">
              <w:rPr>
                <w:rFonts w:cs="Segoe UI"/>
                <w:sz w:val="17"/>
                <w:szCs w:val="17"/>
                <w:lang w:eastAsia="en-GB"/>
              </w:rPr>
              <w:t xml:space="preserve">  </w:t>
            </w:r>
          </w:p>
        </w:tc>
      </w:tr>
      <w:tr w:rsidR="007B6EC3" w:rsidRPr="007B6EC3" w14:paraId="470EF5B3" w14:textId="77777777" w:rsidTr="00EE6B38">
        <w:tc>
          <w:tcPr>
            <w:tcW w:w="9214" w:type="dxa"/>
            <w:gridSpan w:val="2"/>
            <w:shd w:val="clear" w:color="auto" w:fill="F2F2F2"/>
          </w:tcPr>
          <w:p w14:paraId="6D71EFF2" w14:textId="77777777" w:rsidR="007B6EC3" w:rsidRPr="007B6EC3" w:rsidRDefault="007B6EC3" w:rsidP="007B6EC3">
            <w:pPr>
              <w:keepNext/>
              <w:keepLines/>
              <w:tabs>
                <w:tab w:val="left" w:pos="150"/>
                <w:tab w:val="left" w:pos="397"/>
                <w:tab w:val="left" w:pos="794"/>
                <w:tab w:val="left" w:pos="1191"/>
              </w:tabs>
              <w:spacing w:before="40" w:after="40"/>
              <w:rPr>
                <w:rFonts w:eastAsia="新細明體"/>
                <w:b/>
                <w:sz w:val="17"/>
                <w:lang w:eastAsia="en-GB"/>
              </w:rPr>
            </w:pPr>
            <w:r w:rsidRPr="007B6EC3">
              <w:rPr>
                <w:rFonts w:eastAsia="新細明體"/>
                <w:b/>
                <w:sz w:val="17"/>
                <w:lang w:eastAsia="en-GB"/>
              </w:rPr>
              <w:t>Rows</w:t>
            </w:r>
          </w:p>
        </w:tc>
      </w:tr>
      <w:tr w:rsidR="007B6EC3" w:rsidRPr="007B6EC3" w14:paraId="64A47AB6" w14:textId="77777777" w:rsidTr="00EE6B38">
        <w:tc>
          <w:tcPr>
            <w:tcW w:w="567" w:type="dxa"/>
            <w:shd w:val="clear" w:color="auto" w:fill="auto"/>
          </w:tcPr>
          <w:p w14:paraId="23F4A554" w14:textId="77777777" w:rsidR="007B6EC3" w:rsidRPr="007B6EC3" w:rsidRDefault="007B6EC3" w:rsidP="007B6EC3">
            <w:pPr>
              <w:keepLines/>
              <w:tabs>
                <w:tab w:val="left" w:pos="150"/>
                <w:tab w:val="left" w:pos="397"/>
                <w:tab w:val="left" w:pos="794"/>
                <w:tab w:val="left" w:pos="1191"/>
              </w:tabs>
              <w:spacing w:before="40" w:after="40" w:line="20" w:lineRule="atLeast"/>
              <w:rPr>
                <w:rFonts w:cs="Segoe UI"/>
                <w:sz w:val="17"/>
                <w:szCs w:val="17"/>
                <w:highlight w:val="yellow"/>
              </w:rPr>
            </w:pPr>
            <w:r w:rsidRPr="007B6EC3">
              <w:rPr>
                <w:rFonts w:cs="Segoe UI"/>
                <w:sz w:val="17"/>
                <w:szCs w:val="17"/>
              </w:rPr>
              <w:t>1</w:t>
            </w:r>
          </w:p>
        </w:tc>
        <w:tc>
          <w:tcPr>
            <w:tcW w:w="8647" w:type="dxa"/>
            <w:shd w:val="clear" w:color="auto" w:fill="auto"/>
          </w:tcPr>
          <w:p w14:paraId="7B773E0F" w14:textId="77777777" w:rsidR="007B6EC3" w:rsidRPr="007B6EC3" w:rsidRDefault="007B6EC3" w:rsidP="007B6EC3">
            <w:pPr>
              <w:keepLines/>
              <w:tabs>
                <w:tab w:val="left" w:pos="150"/>
                <w:tab w:val="left" w:pos="397"/>
                <w:tab w:val="left" w:pos="794"/>
                <w:tab w:val="left" w:pos="1191"/>
              </w:tabs>
              <w:spacing w:line="20" w:lineRule="atLeast"/>
              <w:contextualSpacing/>
              <w:jc w:val="both"/>
              <w:rPr>
                <w:rFonts w:cs="Segoe UI"/>
                <w:sz w:val="17"/>
                <w:szCs w:val="17"/>
                <w:highlight w:val="yellow"/>
              </w:rPr>
            </w:pPr>
            <w:r w:rsidRPr="007B6EC3">
              <w:rPr>
                <w:rFonts w:cs="Segoe UI"/>
                <w:i/>
                <w:sz w:val="17"/>
                <w:szCs w:val="17"/>
                <w:u w:val="single"/>
              </w:rPr>
              <w:t>Credit risk for non-securitization exposures</w:t>
            </w:r>
          </w:p>
          <w:p w14:paraId="2894CEA5" w14:textId="7A39DDD9" w:rsidR="007B6EC3" w:rsidRPr="007B6EC3" w:rsidRDefault="007B6EC3" w:rsidP="007B6EC3">
            <w:pPr>
              <w:keepLines/>
              <w:tabs>
                <w:tab w:val="left" w:pos="150"/>
                <w:tab w:val="left" w:pos="397"/>
                <w:tab w:val="left" w:pos="794"/>
                <w:tab w:val="left" w:pos="1191"/>
              </w:tabs>
              <w:spacing w:line="20" w:lineRule="atLeast"/>
              <w:contextualSpacing/>
              <w:jc w:val="both"/>
              <w:rPr>
                <w:rFonts w:cs="Segoe UI"/>
                <w:sz w:val="17"/>
                <w:szCs w:val="17"/>
              </w:rPr>
            </w:pPr>
            <w:r w:rsidRPr="007B6EC3">
              <w:rPr>
                <w:rFonts w:cs="Segoe UI"/>
                <w:sz w:val="17"/>
                <w:szCs w:val="17"/>
              </w:rPr>
              <w:t xml:space="preserve">This row excludes RWA arising from counterparty credit risk and default fund contributions (which are reported in row 2), CVA risk (which are reported in row 3), securitization framework (including securitization exposures in the banking book (which are reported in row 4)), CIS exposures, settlement risk and </w:t>
            </w:r>
            <w:r w:rsidRPr="007B6EC3">
              <w:rPr>
                <w:rFonts w:cs="Segoe UI"/>
                <w:sz w:val="17"/>
                <w:szCs w:val="17"/>
                <w:lang w:eastAsia="en-GB"/>
              </w:rPr>
              <w:t xml:space="preserve">amounts below the thresholds for deduction from CET1 capital and subject to a 250% risk-weight </w:t>
            </w:r>
            <w:r w:rsidRPr="007B6EC3">
              <w:rPr>
                <w:rFonts w:cs="Segoe UI"/>
                <w:sz w:val="17"/>
                <w:szCs w:val="17"/>
              </w:rPr>
              <w:t>(which are reported in row 7).</w:t>
            </w:r>
          </w:p>
          <w:p w14:paraId="6FC859E5" w14:textId="77777777" w:rsidR="007B6EC3" w:rsidRPr="007B6EC3" w:rsidRDefault="007B6EC3" w:rsidP="007B6EC3">
            <w:pPr>
              <w:keepLines/>
              <w:tabs>
                <w:tab w:val="left" w:pos="150"/>
                <w:tab w:val="left" w:pos="397"/>
                <w:tab w:val="left" w:pos="794"/>
                <w:tab w:val="left" w:pos="1191"/>
              </w:tabs>
              <w:snapToGrid w:val="0"/>
              <w:spacing w:line="20" w:lineRule="atLeast"/>
              <w:contextualSpacing/>
              <w:jc w:val="both"/>
              <w:rPr>
                <w:rFonts w:cs="Segoe UI"/>
                <w:sz w:val="17"/>
                <w:szCs w:val="17"/>
              </w:rPr>
            </w:pPr>
          </w:p>
          <w:p w14:paraId="742D8ABE" w14:textId="77777777" w:rsidR="007B6EC3" w:rsidRPr="007B6EC3" w:rsidRDefault="007B6EC3" w:rsidP="007B6EC3">
            <w:pPr>
              <w:keepLines/>
              <w:tabs>
                <w:tab w:val="left" w:pos="150"/>
                <w:tab w:val="left" w:pos="397"/>
                <w:tab w:val="left" w:pos="794"/>
                <w:tab w:val="left" w:pos="1191"/>
              </w:tabs>
              <w:spacing w:line="20" w:lineRule="atLeast"/>
              <w:contextualSpacing/>
              <w:jc w:val="both"/>
              <w:rPr>
                <w:rFonts w:cs="Segoe UI"/>
                <w:sz w:val="17"/>
                <w:szCs w:val="17"/>
              </w:rPr>
            </w:pPr>
            <w:r w:rsidRPr="007B6EC3">
              <w:rPr>
                <w:rFonts w:cs="Segoe UI"/>
                <w:i/>
                <w:sz w:val="17"/>
                <w:szCs w:val="17"/>
              </w:rPr>
              <w:t>[CMS1:1/b] i.e. RWA for portfolios where standardized approaches are used</w:t>
            </w:r>
            <w:r w:rsidRPr="007B6EC3">
              <w:rPr>
                <w:rFonts w:cs="Segoe UI"/>
                <w:sz w:val="17"/>
                <w:szCs w:val="17"/>
              </w:rPr>
              <w:t>: RWA for exposures calculated under the STC approach; or where applicable, the BSC approach.</w:t>
            </w:r>
          </w:p>
          <w:p w14:paraId="1230923D" w14:textId="77777777" w:rsidR="007B6EC3" w:rsidRPr="007B6EC3" w:rsidRDefault="007B6EC3" w:rsidP="007B6EC3">
            <w:pPr>
              <w:keepLines/>
              <w:tabs>
                <w:tab w:val="left" w:pos="150"/>
                <w:tab w:val="left" w:pos="397"/>
                <w:tab w:val="left" w:pos="794"/>
                <w:tab w:val="left" w:pos="1191"/>
              </w:tabs>
              <w:snapToGrid w:val="0"/>
              <w:spacing w:line="20" w:lineRule="atLeast"/>
              <w:contextualSpacing/>
              <w:jc w:val="both"/>
              <w:rPr>
                <w:rFonts w:cs="Segoe UI"/>
                <w:sz w:val="17"/>
                <w:szCs w:val="17"/>
              </w:rPr>
            </w:pPr>
          </w:p>
          <w:p w14:paraId="6C66E155" w14:textId="77777777" w:rsidR="007B6EC3" w:rsidRPr="007B6EC3" w:rsidRDefault="007B6EC3" w:rsidP="007B6EC3">
            <w:pPr>
              <w:keepLines/>
              <w:tabs>
                <w:tab w:val="left" w:pos="150"/>
                <w:tab w:val="left" w:pos="397"/>
                <w:tab w:val="left" w:pos="794"/>
                <w:tab w:val="left" w:pos="1191"/>
              </w:tabs>
              <w:spacing w:line="20" w:lineRule="atLeast"/>
              <w:contextualSpacing/>
              <w:jc w:val="both"/>
              <w:rPr>
                <w:rFonts w:cs="Segoe UI"/>
                <w:sz w:val="17"/>
                <w:szCs w:val="17"/>
              </w:rPr>
            </w:pPr>
            <w:r w:rsidRPr="007B6EC3">
              <w:rPr>
                <w:rFonts w:cs="Segoe UI"/>
                <w:i/>
                <w:sz w:val="17"/>
                <w:szCs w:val="17"/>
              </w:rPr>
              <w:t>[CMS1:1/c] i.e. Total actual RWA</w:t>
            </w:r>
            <w:r w:rsidRPr="007B6EC3">
              <w:rPr>
                <w:rFonts w:cs="Segoe UI"/>
                <w:sz w:val="17"/>
                <w:szCs w:val="17"/>
              </w:rPr>
              <w:t>: the RWA reported is the sum of values in [CMS1:1/a] and [CMS1:1/b].  The value in [CMS1:1/c] is equal to the value in [OV1:1/a].</w:t>
            </w:r>
          </w:p>
          <w:p w14:paraId="41DF7C67" w14:textId="77777777" w:rsidR="007B6EC3" w:rsidRPr="007B6EC3" w:rsidRDefault="007B6EC3" w:rsidP="007B6EC3">
            <w:pPr>
              <w:keepLines/>
              <w:tabs>
                <w:tab w:val="left" w:pos="150"/>
                <w:tab w:val="left" w:pos="397"/>
                <w:tab w:val="left" w:pos="794"/>
                <w:tab w:val="left" w:pos="1191"/>
              </w:tabs>
              <w:snapToGrid w:val="0"/>
              <w:spacing w:line="20" w:lineRule="atLeast"/>
              <w:contextualSpacing/>
              <w:jc w:val="both"/>
              <w:rPr>
                <w:rFonts w:cs="Segoe UI"/>
                <w:sz w:val="17"/>
                <w:szCs w:val="17"/>
              </w:rPr>
            </w:pPr>
          </w:p>
          <w:p w14:paraId="35B46571" w14:textId="6A961414" w:rsidR="007B6EC3" w:rsidRPr="007B6EC3" w:rsidRDefault="007B6EC3" w:rsidP="00DA3A69">
            <w:pPr>
              <w:keepLines/>
              <w:tabs>
                <w:tab w:val="left" w:pos="150"/>
                <w:tab w:val="left" w:pos="397"/>
                <w:tab w:val="left" w:pos="794"/>
                <w:tab w:val="left" w:pos="1191"/>
              </w:tabs>
              <w:spacing w:line="20" w:lineRule="atLeast"/>
              <w:contextualSpacing/>
              <w:jc w:val="both"/>
              <w:rPr>
                <w:rFonts w:cs="Segoe UI"/>
                <w:sz w:val="17"/>
                <w:szCs w:val="17"/>
              </w:rPr>
            </w:pPr>
            <w:r w:rsidRPr="007B6EC3">
              <w:rPr>
                <w:rFonts w:cs="Segoe UI"/>
                <w:i/>
                <w:sz w:val="17"/>
                <w:szCs w:val="17"/>
              </w:rPr>
              <w:lastRenderedPageBreak/>
              <w:t>[CMS1:1/d] i.e. RWA calculated using full standardized approach</w:t>
            </w:r>
            <w:r w:rsidRPr="007B6EC3">
              <w:rPr>
                <w:rFonts w:cs="Segoe UI"/>
                <w:sz w:val="17"/>
                <w:szCs w:val="17"/>
              </w:rPr>
              <w:t>: the RWA for credit risk serving as the basis for output floor calculation under the approach stated in [CMS1:1/b]</w:t>
            </w:r>
            <w:r w:rsidR="000055D9">
              <w:rPr>
                <w:rFonts w:cs="Segoe UI"/>
                <w:sz w:val="17"/>
                <w:szCs w:val="17"/>
              </w:rPr>
              <w:t xml:space="preserve"> in accordance with </w:t>
            </w:r>
            <w:r w:rsidR="00DA3A69">
              <w:rPr>
                <w:rFonts w:cs="Segoe UI"/>
                <w:sz w:val="17"/>
                <w:szCs w:val="17"/>
              </w:rPr>
              <w:t xml:space="preserve">Part 11 of the BCR </w:t>
            </w:r>
            <w:r w:rsidRPr="007B6EC3">
              <w:rPr>
                <w:rFonts w:cs="Segoe UI"/>
                <w:sz w:val="17"/>
                <w:szCs w:val="17"/>
              </w:rPr>
              <w:t>for all exposures giving rise to the RWA reported in [CMS1:1/c].</w:t>
            </w:r>
          </w:p>
        </w:tc>
      </w:tr>
      <w:tr w:rsidR="007B6EC3" w:rsidRPr="007B6EC3" w14:paraId="49764893" w14:textId="77777777" w:rsidTr="00EE6B38">
        <w:tc>
          <w:tcPr>
            <w:tcW w:w="567" w:type="dxa"/>
            <w:shd w:val="clear" w:color="auto" w:fill="auto"/>
          </w:tcPr>
          <w:p w14:paraId="15049015" w14:textId="77777777" w:rsidR="007B6EC3" w:rsidRPr="007B6EC3" w:rsidRDefault="007B6EC3" w:rsidP="007B6EC3">
            <w:pPr>
              <w:keepLines/>
              <w:tabs>
                <w:tab w:val="left" w:pos="150"/>
                <w:tab w:val="left" w:pos="397"/>
                <w:tab w:val="left" w:pos="794"/>
                <w:tab w:val="left" w:pos="1191"/>
              </w:tabs>
              <w:spacing w:before="40" w:after="40"/>
              <w:rPr>
                <w:rFonts w:cs="Segoe UI"/>
                <w:sz w:val="17"/>
                <w:szCs w:val="17"/>
              </w:rPr>
            </w:pPr>
            <w:r w:rsidRPr="007B6EC3">
              <w:rPr>
                <w:rFonts w:cs="Segoe UI"/>
                <w:sz w:val="17"/>
                <w:szCs w:val="17"/>
              </w:rPr>
              <w:lastRenderedPageBreak/>
              <w:t>2</w:t>
            </w:r>
          </w:p>
        </w:tc>
        <w:tc>
          <w:tcPr>
            <w:tcW w:w="8647" w:type="dxa"/>
            <w:shd w:val="clear" w:color="auto" w:fill="auto"/>
          </w:tcPr>
          <w:p w14:paraId="6B1821AF" w14:textId="1900CB0A" w:rsidR="007B6EC3" w:rsidRPr="007B6EC3" w:rsidRDefault="007B6EC3" w:rsidP="007B6EC3">
            <w:pPr>
              <w:keepLines/>
              <w:tabs>
                <w:tab w:val="left" w:pos="150"/>
                <w:tab w:val="left" w:pos="397"/>
                <w:tab w:val="left" w:pos="794"/>
                <w:tab w:val="left" w:pos="1191"/>
              </w:tabs>
              <w:spacing w:before="40" w:after="40"/>
              <w:jc w:val="both"/>
              <w:rPr>
                <w:rFonts w:cs="Segoe UI"/>
                <w:sz w:val="17"/>
                <w:szCs w:val="17"/>
              </w:rPr>
            </w:pPr>
            <w:r w:rsidRPr="007B6EC3">
              <w:rPr>
                <w:rFonts w:cs="Segoe UI"/>
                <w:i/>
                <w:sz w:val="17"/>
                <w:szCs w:val="17"/>
                <w:u w:val="single"/>
              </w:rPr>
              <w:t>Counterparty credit risk and default fund contributions</w:t>
            </w:r>
            <w:r w:rsidRPr="007B6EC3">
              <w:rPr>
                <w:rFonts w:cs="Segoe UI"/>
                <w:sz w:val="17"/>
                <w:szCs w:val="17"/>
              </w:rPr>
              <w:t xml:space="preserve"> </w:t>
            </w:r>
          </w:p>
          <w:p w14:paraId="17D12F49" w14:textId="77777777" w:rsidR="007B6EC3" w:rsidRPr="007B6EC3" w:rsidRDefault="007B6EC3" w:rsidP="007B6EC3">
            <w:pPr>
              <w:keepLines/>
              <w:tabs>
                <w:tab w:val="left" w:pos="150"/>
                <w:tab w:val="left" w:pos="397"/>
                <w:tab w:val="left" w:pos="794"/>
                <w:tab w:val="left" w:pos="1191"/>
              </w:tabs>
              <w:spacing w:before="40" w:after="40"/>
              <w:jc w:val="both"/>
              <w:rPr>
                <w:rFonts w:cs="Segoe UI"/>
                <w:sz w:val="17"/>
                <w:szCs w:val="17"/>
              </w:rPr>
            </w:pPr>
            <w:r w:rsidRPr="007B6EC3">
              <w:rPr>
                <w:rFonts w:cs="Segoe UI"/>
                <w:sz w:val="17"/>
                <w:szCs w:val="17"/>
              </w:rPr>
              <w:t>This row excludes all positions subject to capital requirements relating to CVA risk.</w:t>
            </w:r>
          </w:p>
          <w:p w14:paraId="4F0FCEF9" w14:textId="77777777" w:rsidR="007B6EC3" w:rsidRPr="007B6EC3" w:rsidRDefault="007B6EC3" w:rsidP="007B6EC3">
            <w:pPr>
              <w:keepLines/>
              <w:tabs>
                <w:tab w:val="left" w:pos="150"/>
                <w:tab w:val="left" w:pos="397"/>
                <w:tab w:val="left" w:pos="794"/>
                <w:tab w:val="left" w:pos="1191"/>
              </w:tabs>
              <w:snapToGrid w:val="0"/>
              <w:spacing w:line="20" w:lineRule="atLeast"/>
              <w:contextualSpacing/>
              <w:jc w:val="both"/>
              <w:rPr>
                <w:rFonts w:cs="Segoe UI"/>
                <w:i/>
                <w:sz w:val="17"/>
                <w:szCs w:val="17"/>
              </w:rPr>
            </w:pPr>
          </w:p>
          <w:p w14:paraId="2C83FCED" w14:textId="77777777" w:rsidR="007B6EC3" w:rsidRPr="007B6EC3" w:rsidRDefault="007B6EC3" w:rsidP="007B6EC3">
            <w:pPr>
              <w:keepLines/>
              <w:tabs>
                <w:tab w:val="left" w:pos="150"/>
                <w:tab w:val="left" w:pos="397"/>
                <w:tab w:val="left" w:pos="794"/>
                <w:tab w:val="left" w:pos="1191"/>
              </w:tabs>
              <w:spacing w:before="40" w:after="40"/>
              <w:jc w:val="both"/>
              <w:rPr>
                <w:rFonts w:cs="Segoe UI"/>
                <w:sz w:val="17"/>
                <w:szCs w:val="17"/>
              </w:rPr>
            </w:pPr>
            <w:r w:rsidRPr="007B6EC3">
              <w:rPr>
                <w:rFonts w:cs="Segoe UI"/>
                <w:i/>
                <w:sz w:val="17"/>
                <w:szCs w:val="17"/>
              </w:rPr>
              <w:t>[CMS1:2/b] i.e. RWA for portfolios where standardized approaches are used</w:t>
            </w:r>
            <w:r w:rsidRPr="007B6EC3">
              <w:rPr>
                <w:rFonts w:cs="Segoe UI"/>
                <w:sz w:val="17"/>
                <w:szCs w:val="17"/>
              </w:rPr>
              <w:t>: RWA for default risk exposures calculated under the SA-CCR approach or methods set out in Division 2B of Part 6A of the BCR (except the use of the VaR model), or where applicable, the current exposure method for an AI using the BSC approach to calculate its credit risk for all its non-securitization exposures.  The RWA reported should also cover the RWA of the default fund contributions.</w:t>
            </w:r>
          </w:p>
          <w:p w14:paraId="5E8ADB19" w14:textId="77777777" w:rsidR="007B6EC3" w:rsidRPr="007B6EC3" w:rsidRDefault="007B6EC3" w:rsidP="007B6EC3">
            <w:pPr>
              <w:keepLines/>
              <w:tabs>
                <w:tab w:val="left" w:pos="150"/>
                <w:tab w:val="left" w:pos="397"/>
                <w:tab w:val="left" w:pos="794"/>
                <w:tab w:val="left" w:pos="1191"/>
              </w:tabs>
              <w:snapToGrid w:val="0"/>
              <w:spacing w:line="20" w:lineRule="atLeast"/>
              <w:contextualSpacing/>
              <w:jc w:val="both"/>
              <w:rPr>
                <w:rFonts w:cs="Segoe UI"/>
                <w:sz w:val="17"/>
                <w:szCs w:val="17"/>
              </w:rPr>
            </w:pPr>
          </w:p>
          <w:p w14:paraId="10044778" w14:textId="77777777" w:rsidR="007B6EC3" w:rsidRPr="007B6EC3" w:rsidRDefault="007B6EC3" w:rsidP="007B6EC3">
            <w:pPr>
              <w:keepLines/>
              <w:tabs>
                <w:tab w:val="left" w:pos="150"/>
                <w:tab w:val="left" w:pos="397"/>
                <w:tab w:val="left" w:pos="794"/>
                <w:tab w:val="left" w:pos="1191"/>
              </w:tabs>
              <w:spacing w:before="40" w:after="40"/>
              <w:jc w:val="both"/>
              <w:rPr>
                <w:rFonts w:cs="Segoe UI"/>
                <w:sz w:val="17"/>
                <w:szCs w:val="17"/>
              </w:rPr>
            </w:pPr>
            <w:r w:rsidRPr="007B6EC3">
              <w:rPr>
                <w:rFonts w:cs="Segoe UI"/>
                <w:i/>
                <w:sz w:val="17"/>
                <w:szCs w:val="17"/>
              </w:rPr>
              <w:t>[CMS1:2/c] i.e. Total actual RWA</w:t>
            </w:r>
            <w:r w:rsidRPr="007B6EC3">
              <w:rPr>
                <w:rFonts w:cs="Segoe UI"/>
                <w:sz w:val="17"/>
                <w:szCs w:val="17"/>
              </w:rPr>
              <w:t>: the RWA reported is the sum of values in [CMS1:2/a] and [CMS1:2/b].  The value in [CMS1:2/c] is equal to the value in [OV1:6/a].</w:t>
            </w:r>
          </w:p>
          <w:p w14:paraId="0F3683F7" w14:textId="77777777" w:rsidR="007B6EC3" w:rsidRPr="007B6EC3" w:rsidRDefault="007B6EC3" w:rsidP="007B6EC3">
            <w:pPr>
              <w:keepLines/>
              <w:tabs>
                <w:tab w:val="left" w:pos="150"/>
                <w:tab w:val="left" w:pos="397"/>
                <w:tab w:val="left" w:pos="794"/>
                <w:tab w:val="left" w:pos="1191"/>
              </w:tabs>
              <w:snapToGrid w:val="0"/>
              <w:spacing w:line="20" w:lineRule="atLeast"/>
              <w:contextualSpacing/>
              <w:jc w:val="both"/>
              <w:rPr>
                <w:rFonts w:cs="Segoe UI"/>
                <w:sz w:val="17"/>
                <w:szCs w:val="17"/>
              </w:rPr>
            </w:pPr>
          </w:p>
          <w:p w14:paraId="39714524" w14:textId="6D76BD89" w:rsidR="007B6EC3" w:rsidRPr="007B6EC3" w:rsidRDefault="007B6EC3" w:rsidP="00F33DF8">
            <w:pPr>
              <w:keepLines/>
              <w:tabs>
                <w:tab w:val="left" w:pos="150"/>
                <w:tab w:val="left" w:pos="397"/>
                <w:tab w:val="left" w:pos="794"/>
                <w:tab w:val="left" w:pos="1191"/>
              </w:tabs>
              <w:spacing w:before="40" w:after="40"/>
              <w:jc w:val="both"/>
              <w:rPr>
                <w:rFonts w:cs="Segoe UI"/>
                <w:sz w:val="17"/>
                <w:szCs w:val="17"/>
              </w:rPr>
            </w:pPr>
            <w:r w:rsidRPr="007B6EC3">
              <w:rPr>
                <w:rFonts w:cs="Segoe UI"/>
                <w:i/>
                <w:sz w:val="17"/>
                <w:szCs w:val="17"/>
              </w:rPr>
              <w:t>[CMS1:2/d] i.e. RWA calculated using full standardized approach</w:t>
            </w:r>
            <w:r w:rsidRPr="007B6EC3">
              <w:rPr>
                <w:rFonts w:cs="Segoe UI"/>
                <w:sz w:val="17"/>
                <w:szCs w:val="17"/>
              </w:rPr>
              <w:t xml:space="preserve">: the RWA for credit risk </w:t>
            </w:r>
            <w:r w:rsidR="00C43EE2">
              <w:rPr>
                <w:rFonts w:cs="Segoe UI"/>
                <w:sz w:val="17"/>
                <w:szCs w:val="17"/>
              </w:rPr>
              <w:t xml:space="preserve">calculated in accordance with Part 11 of the BCR </w:t>
            </w:r>
            <w:r w:rsidRPr="007B6EC3">
              <w:rPr>
                <w:rFonts w:cs="Segoe UI"/>
                <w:sz w:val="17"/>
                <w:szCs w:val="17"/>
              </w:rPr>
              <w:t>serving as the basis for output floor calculation for all exposures giving rise to the RWA reported in [CMS1:2/c], where the default risk exposures should be calculated under the approach(es) stated in [CMS1:2/b].</w:t>
            </w:r>
          </w:p>
        </w:tc>
      </w:tr>
      <w:tr w:rsidR="007B6EC3" w:rsidRPr="007B6EC3" w14:paraId="5F045707" w14:textId="77777777" w:rsidTr="00EE6B38">
        <w:tc>
          <w:tcPr>
            <w:tcW w:w="567" w:type="dxa"/>
            <w:shd w:val="clear" w:color="auto" w:fill="auto"/>
          </w:tcPr>
          <w:p w14:paraId="59CB08B7" w14:textId="77777777" w:rsidR="007B6EC3" w:rsidRPr="007B6EC3" w:rsidRDefault="007B6EC3" w:rsidP="007B6EC3">
            <w:pPr>
              <w:keepLines/>
              <w:tabs>
                <w:tab w:val="left" w:pos="150"/>
                <w:tab w:val="left" w:pos="397"/>
                <w:tab w:val="left" w:pos="794"/>
                <w:tab w:val="left" w:pos="1191"/>
              </w:tabs>
              <w:adjustRightInd w:val="0"/>
              <w:spacing w:before="40" w:after="40"/>
              <w:rPr>
                <w:rFonts w:cs="Segoe UI"/>
                <w:sz w:val="17"/>
                <w:szCs w:val="17"/>
              </w:rPr>
            </w:pPr>
            <w:r w:rsidRPr="007B6EC3">
              <w:rPr>
                <w:rFonts w:cs="Segoe UI"/>
                <w:sz w:val="17"/>
                <w:szCs w:val="17"/>
              </w:rPr>
              <w:t>3</w:t>
            </w:r>
          </w:p>
        </w:tc>
        <w:tc>
          <w:tcPr>
            <w:tcW w:w="8647" w:type="dxa"/>
            <w:shd w:val="clear" w:color="auto" w:fill="auto"/>
          </w:tcPr>
          <w:p w14:paraId="5D1A4219" w14:textId="1BED2B8F" w:rsidR="007B6EC3" w:rsidRPr="007B6EC3" w:rsidRDefault="007B6EC3" w:rsidP="007B6EC3">
            <w:pPr>
              <w:keepLines/>
              <w:tabs>
                <w:tab w:val="left" w:pos="150"/>
                <w:tab w:val="left" w:pos="397"/>
                <w:tab w:val="left" w:pos="794"/>
                <w:tab w:val="left" w:pos="1191"/>
              </w:tabs>
              <w:adjustRightInd w:val="0"/>
              <w:spacing w:before="40" w:after="40"/>
              <w:jc w:val="both"/>
              <w:rPr>
                <w:rFonts w:cs="Segoe UI"/>
                <w:sz w:val="17"/>
                <w:szCs w:val="17"/>
              </w:rPr>
            </w:pPr>
            <w:r w:rsidRPr="007B6EC3">
              <w:rPr>
                <w:rFonts w:cs="Segoe UI"/>
                <w:i/>
                <w:sz w:val="17"/>
                <w:szCs w:val="17"/>
                <w:u w:val="single"/>
              </w:rPr>
              <w:t>CVA risk</w:t>
            </w:r>
            <w:r w:rsidRPr="007B6EC3">
              <w:rPr>
                <w:rFonts w:cs="Segoe UI"/>
                <w:sz w:val="17"/>
                <w:szCs w:val="17"/>
              </w:rPr>
              <w:t xml:space="preserve"> </w:t>
            </w:r>
          </w:p>
          <w:p w14:paraId="5366AF51" w14:textId="77777777" w:rsidR="007B6EC3" w:rsidRPr="007B6EC3" w:rsidRDefault="007B6EC3" w:rsidP="007B6EC3">
            <w:pPr>
              <w:keepLines/>
              <w:tabs>
                <w:tab w:val="left" w:pos="150"/>
                <w:tab w:val="left" w:pos="397"/>
                <w:tab w:val="left" w:pos="794"/>
                <w:tab w:val="left" w:pos="1191"/>
              </w:tabs>
              <w:adjustRightInd w:val="0"/>
              <w:spacing w:before="40" w:after="40"/>
              <w:jc w:val="both"/>
              <w:rPr>
                <w:rFonts w:cs="Segoe UI"/>
                <w:sz w:val="17"/>
                <w:szCs w:val="17"/>
              </w:rPr>
            </w:pPr>
            <w:r w:rsidRPr="007B6EC3">
              <w:rPr>
                <w:rFonts w:cs="Segoe UI"/>
                <w:i/>
                <w:sz w:val="17"/>
                <w:szCs w:val="17"/>
              </w:rPr>
              <w:t>[CMS1:3/b] i.e. RWA for portfolios where standardized approaches are used</w:t>
            </w:r>
            <w:r w:rsidRPr="007B6EC3">
              <w:rPr>
                <w:rFonts w:cs="Segoe UI"/>
                <w:sz w:val="17"/>
                <w:szCs w:val="17"/>
              </w:rPr>
              <w:t>: RWA calculated based on the approach(es) used by the AI for CVA risk.</w:t>
            </w:r>
          </w:p>
          <w:p w14:paraId="2560A865" w14:textId="77777777" w:rsidR="007B6EC3" w:rsidRPr="007B6EC3" w:rsidRDefault="007B6EC3" w:rsidP="007B6EC3">
            <w:pPr>
              <w:keepLines/>
              <w:tabs>
                <w:tab w:val="left" w:pos="150"/>
                <w:tab w:val="left" w:pos="397"/>
                <w:tab w:val="left" w:pos="794"/>
                <w:tab w:val="left" w:pos="1191"/>
              </w:tabs>
              <w:snapToGrid w:val="0"/>
              <w:spacing w:line="20" w:lineRule="atLeast"/>
              <w:contextualSpacing/>
              <w:jc w:val="both"/>
              <w:rPr>
                <w:rFonts w:cs="Segoe UI"/>
                <w:sz w:val="17"/>
                <w:szCs w:val="17"/>
              </w:rPr>
            </w:pPr>
          </w:p>
          <w:p w14:paraId="0828E8BC" w14:textId="77777777" w:rsidR="007B6EC3" w:rsidRPr="007B6EC3" w:rsidRDefault="007B6EC3" w:rsidP="007B6EC3">
            <w:pPr>
              <w:keepLines/>
              <w:tabs>
                <w:tab w:val="left" w:pos="150"/>
                <w:tab w:val="left" w:pos="397"/>
                <w:tab w:val="left" w:pos="794"/>
                <w:tab w:val="left" w:pos="1191"/>
              </w:tabs>
              <w:adjustRightInd w:val="0"/>
              <w:spacing w:before="40" w:after="40"/>
              <w:jc w:val="both"/>
              <w:rPr>
                <w:rFonts w:cs="Segoe UI"/>
                <w:sz w:val="17"/>
                <w:szCs w:val="17"/>
              </w:rPr>
            </w:pPr>
            <w:r w:rsidRPr="007B6EC3">
              <w:rPr>
                <w:rFonts w:cs="Segoe UI"/>
                <w:i/>
                <w:sz w:val="17"/>
                <w:szCs w:val="17"/>
              </w:rPr>
              <w:t>[CMS1:3/c] i.e. Total actual RWA</w:t>
            </w:r>
            <w:r w:rsidRPr="007B6EC3">
              <w:rPr>
                <w:rFonts w:cs="Segoe UI"/>
                <w:sz w:val="17"/>
                <w:szCs w:val="17"/>
              </w:rPr>
              <w:t>: the value in [CMS1:3/c] is equal to the values in [CMS:3/b] and [OV1:10/a].</w:t>
            </w:r>
          </w:p>
          <w:p w14:paraId="2475370F" w14:textId="77777777" w:rsidR="007B6EC3" w:rsidRPr="007B6EC3" w:rsidRDefault="007B6EC3" w:rsidP="007B6EC3">
            <w:pPr>
              <w:keepLines/>
              <w:tabs>
                <w:tab w:val="left" w:pos="150"/>
                <w:tab w:val="left" w:pos="397"/>
                <w:tab w:val="left" w:pos="794"/>
                <w:tab w:val="left" w:pos="1191"/>
              </w:tabs>
              <w:snapToGrid w:val="0"/>
              <w:spacing w:line="20" w:lineRule="atLeast"/>
              <w:contextualSpacing/>
              <w:jc w:val="both"/>
              <w:rPr>
                <w:rFonts w:cs="Segoe UI"/>
                <w:sz w:val="17"/>
                <w:szCs w:val="17"/>
              </w:rPr>
            </w:pPr>
          </w:p>
          <w:p w14:paraId="3FCE0E38" w14:textId="77777777" w:rsidR="007B6EC3" w:rsidRPr="007B6EC3" w:rsidRDefault="007B6EC3" w:rsidP="007B6EC3">
            <w:pPr>
              <w:keepLines/>
              <w:tabs>
                <w:tab w:val="left" w:pos="150"/>
                <w:tab w:val="left" w:pos="397"/>
                <w:tab w:val="left" w:pos="794"/>
                <w:tab w:val="left" w:pos="1191"/>
              </w:tabs>
              <w:adjustRightInd w:val="0"/>
              <w:spacing w:before="40" w:after="40"/>
              <w:jc w:val="both"/>
              <w:rPr>
                <w:rFonts w:cs="Segoe UI"/>
                <w:sz w:val="17"/>
                <w:szCs w:val="17"/>
              </w:rPr>
            </w:pPr>
            <w:r w:rsidRPr="007B6EC3">
              <w:rPr>
                <w:rFonts w:cs="Segoe UI"/>
                <w:i/>
                <w:sz w:val="17"/>
                <w:szCs w:val="17"/>
              </w:rPr>
              <w:t xml:space="preserve">[CMS1:3/d] i.e. </w:t>
            </w:r>
            <w:r w:rsidRPr="007B6EC3">
              <w:rPr>
                <w:rFonts w:cs="Segoe UI"/>
                <w:sz w:val="17"/>
                <w:szCs w:val="17"/>
              </w:rPr>
              <w:t>RWA calculated using full standardized approach: the RWA for CVA risk serving as the basis for output floor calculation under the approach(es) stated in [CMS1:3/b] for all exposures giving rise to the RWA reported in [CMS1:3/c].</w:t>
            </w:r>
          </w:p>
        </w:tc>
      </w:tr>
      <w:tr w:rsidR="007B6EC3" w:rsidRPr="007B6EC3" w14:paraId="69EC7A73" w14:textId="77777777" w:rsidTr="00EE6B38">
        <w:tc>
          <w:tcPr>
            <w:tcW w:w="567" w:type="dxa"/>
            <w:shd w:val="clear" w:color="auto" w:fill="auto"/>
          </w:tcPr>
          <w:p w14:paraId="448B9BD5" w14:textId="77777777" w:rsidR="007B6EC3" w:rsidRPr="007B6EC3" w:rsidRDefault="007B6EC3" w:rsidP="007B6EC3">
            <w:pPr>
              <w:keepLines/>
              <w:tabs>
                <w:tab w:val="left" w:pos="150"/>
                <w:tab w:val="left" w:pos="397"/>
                <w:tab w:val="left" w:pos="794"/>
                <w:tab w:val="left" w:pos="1191"/>
              </w:tabs>
              <w:spacing w:before="40" w:after="40"/>
              <w:rPr>
                <w:rFonts w:cs="Segoe UI"/>
                <w:sz w:val="17"/>
                <w:szCs w:val="17"/>
                <w:highlight w:val="yellow"/>
              </w:rPr>
            </w:pPr>
            <w:r w:rsidRPr="007B6EC3">
              <w:rPr>
                <w:rFonts w:cs="Segoe UI" w:hint="eastAsia"/>
                <w:sz w:val="17"/>
                <w:szCs w:val="17"/>
              </w:rPr>
              <w:t>4</w:t>
            </w:r>
          </w:p>
        </w:tc>
        <w:tc>
          <w:tcPr>
            <w:tcW w:w="8647" w:type="dxa"/>
            <w:shd w:val="clear" w:color="auto" w:fill="auto"/>
          </w:tcPr>
          <w:p w14:paraId="3AE6109F" w14:textId="77777777" w:rsidR="007B6EC3" w:rsidRPr="007B6EC3" w:rsidRDefault="007B6EC3" w:rsidP="007B6EC3">
            <w:pPr>
              <w:keepLines/>
              <w:tabs>
                <w:tab w:val="left" w:pos="150"/>
                <w:tab w:val="left" w:pos="397"/>
                <w:tab w:val="left" w:pos="794"/>
                <w:tab w:val="left" w:pos="1191"/>
              </w:tabs>
              <w:spacing w:before="40" w:after="40"/>
              <w:jc w:val="both"/>
              <w:rPr>
                <w:rFonts w:cs="Segoe UI"/>
                <w:sz w:val="17"/>
                <w:szCs w:val="17"/>
              </w:rPr>
            </w:pPr>
            <w:r w:rsidRPr="007B6EC3">
              <w:rPr>
                <w:rFonts w:cs="Segoe UI"/>
                <w:i/>
                <w:sz w:val="17"/>
                <w:szCs w:val="17"/>
                <w:u w:val="single"/>
              </w:rPr>
              <w:t>Securitization exposures in banking book</w:t>
            </w:r>
            <w:r w:rsidRPr="007B6EC3">
              <w:rPr>
                <w:rFonts w:cs="Segoe UI" w:hint="eastAsia"/>
                <w:sz w:val="17"/>
                <w:szCs w:val="17"/>
              </w:rPr>
              <w:t xml:space="preserve"> </w:t>
            </w:r>
          </w:p>
          <w:p w14:paraId="2718803A" w14:textId="77777777" w:rsidR="007B6EC3" w:rsidRPr="007B6EC3" w:rsidRDefault="007B6EC3" w:rsidP="007B6EC3">
            <w:pPr>
              <w:keepLines/>
              <w:tabs>
                <w:tab w:val="left" w:pos="150"/>
                <w:tab w:val="left" w:pos="397"/>
                <w:tab w:val="left" w:pos="794"/>
                <w:tab w:val="left" w:pos="1191"/>
              </w:tabs>
              <w:spacing w:before="40" w:after="40"/>
              <w:jc w:val="both"/>
              <w:rPr>
                <w:rFonts w:cs="Segoe UI"/>
                <w:sz w:val="17"/>
                <w:szCs w:val="17"/>
              </w:rPr>
            </w:pPr>
            <w:r w:rsidRPr="007B6EC3">
              <w:rPr>
                <w:rFonts w:cs="Segoe UI"/>
                <w:i/>
                <w:sz w:val="17"/>
                <w:szCs w:val="17"/>
              </w:rPr>
              <w:t>[CMS1:4/b] i.e. RWA for portfolios where standardized approaches are used</w:t>
            </w:r>
            <w:r w:rsidRPr="007B6EC3">
              <w:rPr>
                <w:rFonts w:cs="Segoe UI"/>
                <w:sz w:val="17"/>
                <w:szCs w:val="17"/>
              </w:rPr>
              <w:t>: the RWA calculated based on the SEC-ERBA (except the use of IAA), SEC-SA or SEC-FBA.</w:t>
            </w:r>
          </w:p>
          <w:p w14:paraId="71FBEA17" w14:textId="77777777" w:rsidR="007B6EC3" w:rsidRPr="007B6EC3" w:rsidRDefault="007B6EC3" w:rsidP="007B6EC3">
            <w:pPr>
              <w:keepLines/>
              <w:tabs>
                <w:tab w:val="left" w:pos="150"/>
                <w:tab w:val="left" w:pos="397"/>
                <w:tab w:val="left" w:pos="794"/>
                <w:tab w:val="left" w:pos="1191"/>
              </w:tabs>
              <w:snapToGrid w:val="0"/>
              <w:spacing w:line="20" w:lineRule="atLeast"/>
              <w:contextualSpacing/>
              <w:jc w:val="both"/>
              <w:rPr>
                <w:rFonts w:cs="Segoe UI"/>
                <w:sz w:val="17"/>
                <w:szCs w:val="17"/>
              </w:rPr>
            </w:pPr>
          </w:p>
          <w:p w14:paraId="685056F5" w14:textId="77777777" w:rsidR="007B6EC3" w:rsidRPr="007B6EC3" w:rsidRDefault="007B6EC3" w:rsidP="007B6EC3">
            <w:pPr>
              <w:keepLines/>
              <w:tabs>
                <w:tab w:val="left" w:pos="150"/>
                <w:tab w:val="left" w:pos="397"/>
                <w:tab w:val="left" w:pos="794"/>
                <w:tab w:val="left" w:pos="1191"/>
              </w:tabs>
              <w:spacing w:before="40" w:after="40"/>
              <w:jc w:val="both"/>
              <w:rPr>
                <w:rFonts w:cs="Segoe UI"/>
                <w:sz w:val="17"/>
                <w:szCs w:val="17"/>
              </w:rPr>
            </w:pPr>
            <w:r w:rsidRPr="007B6EC3">
              <w:rPr>
                <w:rFonts w:cs="Segoe UI"/>
                <w:i/>
                <w:sz w:val="17"/>
                <w:szCs w:val="17"/>
              </w:rPr>
              <w:t>[CMS1:4/c] i.e. Total actual RWA</w:t>
            </w:r>
            <w:r w:rsidRPr="007B6EC3">
              <w:rPr>
                <w:rFonts w:cs="Segoe UI"/>
                <w:sz w:val="17"/>
                <w:szCs w:val="17"/>
              </w:rPr>
              <w:t>: the RWA reported is the sum of the values in [CMS1:4/a] and [CMS1:4/b].  The value in [CMS1:4/c] is equal to the value in [OV1:16/a].</w:t>
            </w:r>
          </w:p>
          <w:p w14:paraId="6D24F6B4" w14:textId="77777777" w:rsidR="007B6EC3" w:rsidRPr="007B6EC3" w:rsidRDefault="007B6EC3" w:rsidP="007B6EC3">
            <w:pPr>
              <w:keepLines/>
              <w:tabs>
                <w:tab w:val="left" w:pos="150"/>
                <w:tab w:val="left" w:pos="397"/>
                <w:tab w:val="left" w:pos="794"/>
                <w:tab w:val="left" w:pos="1191"/>
              </w:tabs>
              <w:snapToGrid w:val="0"/>
              <w:spacing w:line="20" w:lineRule="atLeast"/>
              <w:contextualSpacing/>
              <w:jc w:val="both"/>
              <w:rPr>
                <w:rFonts w:cs="Segoe UI"/>
                <w:sz w:val="17"/>
                <w:szCs w:val="17"/>
              </w:rPr>
            </w:pPr>
          </w:p>
          <w:p w14:paraId="3E194157" w14:textId="77777777" w:rsidR="007B6EC3" w:rsidRPr="007B6EC3" w:rsidRDefault="007B6EC3" w:rsidP="007B6EC3">
            <w:pPr>
              <w:keepLines/>
              <w:tabs>
                <w:tab w:val="left" w:pos="150"/>
                <w:tab w:val="left" w:pos="397"/>
                <w:tab w:val="left" w:pos="794"/>
                <w:tab w:val="left" w:pos="1191"/>
              </w:tabs>
              <w:spacing w:before="40" w:after="40"/>
              <w:jc w:val="both"/>
              <w:rPr>
                <w:rFonts w:cs="Segoe UI"/>
                <w:sz w:val="17"/>
                <w:szCs w:val="17"/>
              </w:rPr>
            </w:pPr>
            <w:r w:rsidRPr="007B6EC3">
              <w:rPr>
                <w:rFonts w:cs="Segoe UI"/>
                <w:i/>
                <w:sz w:val="17"/>
                <w:szCs w:val="17"/>
              </w:rPr>
              <w:lastRenderedPageBreak/>
              <w:t>[CMS1:4/d] i.e. RWA calculated using full standardized approach</w:t>
            </w:r>
            <w:r w:rsidRPr="007B6EC3">
              <w:rPr>
                <w:rFonts w:cs="Segoe UI"/>
                <w:sz w:val="17"/>
                <w:szCs w:val="17"/>
              </w:rPr>
              <w:t>: the RWA for credit risk serving as the basis for output floor calculation under the approach(es) stated in [CMS1:4/b] for all exposures giving rise to the RWA reported in [CMS1:4/c].</w:t>
            </w:r>
          </w:p>
        </w:tc>
      </w:tr>
      <w:tr w:rsidR="007B6EC3" w:rsidRPr="007B6EC3" w14:paraId="70C1EC4A" w14:textId="77777777" w:rsidTr="00EE6B38">
        <w:tc>
          <w:tcPr>
            <w:tcW w:w="567" w:type="dxa"/>
            <w:shd w:val="clear" w:color="auto" w:fill="auto"/>
          </w:tcPr>
          <w:p w14:paraId="3022716F" w14:textId="77777777" w:rsidR="007B6EC3" w:rsidRPr="007B6EC3" w:rsidRDefault="007B6EC3" w:rsidP="007B6EC3">
            <w:pPr>
              <w:keepLines/>
              <w:tabs>
                <w:tab w:val="left" w:pos="150"/>
                <w:tab w:val="left" w:pos="397"/>
                <w:tab w:val="left" w:pos="794"/>
                <w:tab w:val="left" w:pos="1191"/>
              </w:tabs>
              <w:spacing w:before="40" w:after="40"/>
              <w:rPr>
                <w:rFonts w:cs="Segoe UI"/>
                <w:sz w:val="17"/>
                <w:szCs w:val="17"/>
              </w:rPr>
            </w:pPr>
            <w:r w:rsidRPr="007B6EC3">
              <w:rPr>
                <w:rFonts w:cs="Segoe UI" w:hint="eastAsia"/>
                <w:sz w:val="17"/>
                <w:szCs w:val="17"/>
              </w:rPr>
              <w:lastRenderedPageBreak/>
              <w:t>5</w:t>
            </w:r>
          </w:p>
        </w:tc>
        <w:tc>
          <w:tcPr>
            <w:tcW w:w="8647" w:type="dxa"/>
            <w:shd w:val="clear" w:color="auto" w:fill="auto"/>
          </w:tcPr>
          <w:p w14:paraId="044F70D1" w14:textId="0823B3EE" w:rsidR="00BD3998" w:rsidRDefault="00BD3998" w:rsidP="007B6EC3">
            <w:pPr>
              <w:keepLines/>
              <w:tabs>
                <w:tab w:val="left" w:pos="150"/>
                <w:tab w:val="left" w:pos="397"/>
                <w:tab w:val="left" w:pos="794"/>
                <w:tab w:val="left" w:pos="1191"/>
              </w:tabs>
              <w:spacing w:before="40" w:after="40"/>
              <w:jc w:val="both"/>
              <w:rPr>
                <w:rFonts w:cs="Segoe UI"/>
                <w:b/>
                <w:sz w:val="17"/>
                <w:szCs w:val="17"/>
              </w:rPr>
            </w:pPr>
            <w:r>
              <w:rPr>
                <w:rFonts w:cs="Segoe UI"/>
                <w:i/>
                <w:sz w:val="17"/>
                <w:szCs w:val="17"/>
                <w:u w:val="single"/>
                <w:lang w:eastAsia="en-GB"/>
              </w:rPr>
              <w:t>M</w:t>
            </w:r>
            <w:r w:rsidR="007B6EC3" w:rsidRPr="007B6EC3">
              <w:rPr>
                <w:rFonts w:cs="Segoe UI"/>
                <w:i/>
                <w:sz w:val="17"/>
                <w:szCs w:val="17"/>
                <w:u w:val="single"/>
                <w:lang w:eastAsia="en-GB"/>
              </w:rPr>
              <w:t>arket risk</w:t>
            </w:r>
            <w:r w:rsidR="007B6EC3" w:rsidRPr="007B6EC3" w:rsidDel="00AA7066">
              <w:rPr>
                <w:rFonts w:cs="Segoe UI"/>
                <w:i/>
                <w:sz w:val="17"/>
                <w:szCs w:val="17"/>
                <w:lang w:eastAsia="en-GB"/>
              </w:rPr>
              <w:t xml:space="preserve"> </w:t>
            </w:r>
          </w:p>
          <w:p w14:paraId="5A41BD9B" w14:textId="4AF7178E" w:rsidR="007B6EC3" w:rsidRPr="00BD3998" w:rsidRDefault="007B6EC3" w:rsidP="007B6EC3">
            <w:pPr>
              <w:keepLines/>
              <w:tabs>
                <w:tab w:val="left" w:pos="150"/>
                <w:tab w:val="left" w:pos="397"/>
                <w:tab w:val="left" w:pos="794"/>
                <w:tab w:val="left" w:pos="1191"/>
              </w:tabs>
              <w:spacing w:before="40" w:after="40"/>
              <w:jc w:val="both"/>
              <w:rPr>
                <w:rFonts w:cs="Segoe UI"/>
                <w:b/>
                <w:sz w:val="17"/>
                <w:szCs w:val="17"/>
              </w:rPr>
            </w:pPr>
            <w:r w:rsidRPr="007B6EC3">
              <w:rPr>
                <w:rFonts w:cs="Segoe UI"/>
                <w:i/>
                <w:sz w:val="17"/>
                <w:szCs w:val="17"/>
              </w:rPr>
              <w:t>[CMS1:5/b] i.e. RWA for portfolios where standardized approaches are used</w:t>
            </w:r>
            <w:r w:rsidRPr="007B6EC3">
              <w:rPr>
                <w:rFonts w:cs="Segoe UI"/>
                <w:sz w:val="17"/>
                <w:szCs w:val="17"/>
              </w:rPr>
              <w:t>: the RWA calculated under the STM approach or where applicable the SSTM approach.  For securitizations held in the trading book, the SEC-ERBA (except the use of IAA), SEC-SA or SEC-FBA should also be used when determining the default risk charge component under the STM approach and market risk capital charge factor for specific risk for interest rate exposures under the SSTM approach.</w:t>
            </w:r>
          </w:p>
          <w:p w14:paraId="2713BC40" w14:textId="77777777" w:rsidR="007B6EC3" w:rsidRPr="007B6EC3" w:rsidRDefault="007B6EC3" w:rsidP="007B6EC3">
            <w:pPr>
              <w:keepLines/>
              <w:tabs>
                <w:tab w:val="left" w:pos="150"/>
                <w:tab w:val="left" w:pos="397"/>
                <w:tab w:val="left" w:pos="794"/>
                <w:tab w:val="left" w:pos="1191"/>
              </w:tabs>
              <w:snapToGrid w:val="0"/>
              <w:spacing w:line="20" w:lineRule="atLeast"/>
              <w:contextualSpacing/>
              <w:jc w:val="both"/>
              <w:rPr>
                <w:rFonts w:cs="Segoe UI"/>
                <w:sz w:val="17"/>
                <w:szCs w:val="17"/>
              </w:rPr>
            </w:pPr>
          </w:p>
          <w:p w14:paraId="3B29AE07" w14:textId="77777777" w:rsidR="007B6EC3" w:rsidRPr="007B6EC3" w:rsidRDefault="007B6EC3" w:rsidP="007B6EC3">
            <w:pPr>
              <w:keepLines/>
              <w:tabs>
                <w:tab w:val="left" w:pos="150"/>
                <w:tab w:val="left" w:pos="397"/>
                <w:tab w:val="left" w:pos="794"/>
                <w:tab w:val="left" w:pos="1191"/>
              </w:tabs>
              <w:spacing w:before="40" w:after="40"/>
              <w:jc w:val="both"/>
              <w:rPr>
                <w:rFonts w:cs="Segoe UI"/>
                <w:sz w:val="17"/>
                <w:szCs w:val="17"/>
              </w:rPr>
            </w:pPr>
            <w:r w:rsidRPr="007B6EC3">
              <w:rPr>
                <w:rFonts w:cs="Segoe UI"/>
                <w:i/>
                <w:sz w:val="17"/>
                <w:szCs w:val="17"/>
              </w:rPr>
              <w:t>[CMS1:5/c] i.e. Total actual RWA</w:t>
            </w:r>
            <w:r w:rsidRPr="007B6EC3">
              <w:rPr>
                <w:rFonts w:cs="Segoe UI"/>
                <w:sz w:val="17"/>
                <w:szCs w:val="17"/>
              </w:rPr>
              <w:t>: the RWA reported is the sum of values in [CMS1:5/a] and [CMS1:5/b].  The values in [CMS1: 5/c] is equal to the values in [OV1:20/a].</w:t>
            </w:r>
          </w:p>
          <w:p w14:paraId="49062706" w14:textId="77777777" w:rsidR="007B6EC3" w:rsidRPr="007B6EC3" w:rsidRDefault="007B6EC3" w:rsidP="007B6EC3">
            <w:pPr>
              <w:keepLines/>
              <w:tabs>
                <w:tab w:val="left" w:pos="150"/>
                <w:tab w:val="left" w:pos="397"/>
                <w:tab w:val="left" w:pos="794"/>
                <w:tab w:val="left" w:pos="1191"/>
              </w:tabs>
              <w:snapToGrid w:val="0"/>
              <w:spacing w:line="20" w:lineRule="atLeast"/>
              <w:contextualSpacing/>
              <w:jc w:val="both"/>
              <w:rPr>
                <w:rFonts w:cs="Segoe UI"/>
                <w:sz w:val="17"/>
                <w:szCs w:val="17"/>
              </w:rPr>
            </w:pPr>
          </w:p>
          <w:p w14:paraId="0C13DAEA" w14:textId="77777777" w:rsidR="007B6EC3" w:rsidRPr="007B6EC3" w:rsidRDefault="007B6EC3" w:rsidP="007B6EC3">
            <w:pPr>
              <w:keepLines/>
              <w:tabs>
                <w:tab w:val="left" w:pos="150"/>
                <w:tab w:val="left" w:pos="397"/>
                <w:tab w:val="left" w:pos="794"/>
                <w:tab w:val="left" w:pos="1191"/>
              </w:tabs>
              <w:spacing w:before="40" w:after="40"/>
              <w:jc w:val="both"/>
              <w:rPr>
                <w:rFonts w:cs="Segoe UI"/>
                <w:sz w:val="17"/>
                <w:szCs w:val="17"/>
              </w:rPr>
            </w:pPr>
            <w:r w:rsidRPr="007B6EC3">
              <w:rPr>
                <w:rFonts w:cs="Segoe UI"/>
                <w:i/>
                <w:sz w:val="17"/>
                <w:szCs w:val="17"/>
              </w:rPr>
              <w:t>[CMS1:5/d] i.e. RWA calculated using full standardized approach</w:t>
            </w:r>
            <w:r w:rsidRPr="007B6EC3">
              <w:rPr>
                <w:rFonts w:cs="Segoe UI"/>
                <w:sz w:val="17"/>
                <w:szCs w:val="17"/>
              </w:rPr>
              <w:t>: the RWA for market risk serving as the basis for output floor calculation under the approach(es) stated in [CMS1:5/b] for all exposures giving rise to the RWA reported in [CMS1:5/c].</w:t>
            </w:r>
          </w:p>
        </w:tc>
      </w:tr>
      <w:tr w:rsidR="007B6EC3" w:rsidRPr="007B6EC3" w14:paraId="39EAD437" w14:textId="77777777" w:rsidTr="00EE6B38">
        <w:tc>
          <w:tcPr>
            <w:tcW w:w="567" w:type="dxa"/>
            <w:shd w:val="clear" w:color="auto" w:fill="auto"/>
          </w:tcPr>
          <w:p w14:paraId="5A92D64E" w14:textId="77777777" w:rsidR="007B6EC3" w:rsidRPr="007B6EC3" w:rsidRDefault="007B6EC3" w:rsidP="007B6EC3">
            <w:pPr>
              <w:keepLines/>
              <w:tabs>
                <w:tab w:val="left" w:pos="150"/>
                <w:tab w:val="left" w:pos="397"/>
                <w:tab w:val="left" w:pos="794"/>
                <w:tab w:val="left" w:pos="1191"/>
              </w:tabs>
              <w:spacing w:before="40" w:after="40"/>
              <w:rPr>
                <w:rFonts w:cs="Segoe UI"/>
                <w:sz w:val="17"/>
                <w:szCs w:val="17"/>
                <w:highlight w:val="yellow"/>
              </w:rPr>
            </w:pPr>
            <w:r w:rsidRPr="007B6EC3">
              <w:rPr>
                <w:rFonts w:cs="Segoe UI" w:hint="eastAsia"/>
                <w:sz w:val="17"/>
                <w:szCs w:val="17"/>
              </w:rPr>
              <w:t>6</w:t>
            </w:r>
          </w:p>
        </w:tc>
        <w:tc>
          <w:tcPr>
            <w:tcW w:w="8647" w:type="dxa"/>
            <w:shd w:val="clear" w:color="auto" w:fill="auto"/>
          </w:tcPr>
          <w:p w14:paraId="4E345F41" w14:textId="77777777" w:rsidR="007B6EC3" w:rsidRPr="007B6EC3" w:rsidRDefault="007B6EC3" w:rsidP="007B6EC3">
            <w:pPr>
              <w:keepLines/>
              <w:tabs>
                <w:tab w:val="left" w:pos="150"/>
                <w:tab w:val="left" w:pos="397"/>
                <w:tab w:val="left" w:pos="794"/>
                <w:tab w:val="left" w:pos="1191"/>
              </w:tabs>
              <w:spacing w:before="40" w:after="40"/>
              <w:jc w:val="both"/>
              <w:rPr>
                <w:rFonts w:cs="Segoe UI"/>
                <w:sz w:val="17"/>
                <w:szCs w:val="17"/>
              </w:rPr>
            </w:pPr>
            <w:r w:rsidRPr="007B6EC3">
              <w:rPr>
                <w:rFonts w:cs="Segoe UI"/>
                <w:i/>
                <w:sz w:val="17"/>
                <w:szCs w:val="17"/>
                <w:u w:val="single"/>
              </w:rPr>
              <w:t>Operational risk</w:t>
            </w:r>
            <w:r w:rsidRPr="007B6EC3">
              <w:rPr>
                <w:rFonts w:cs="Segoe UI"/>
                <w:sz w:val="17"/>
                <w:szCs w:val="17"/>
              </w:rPr>
              <w:t xml:space="preserve"> </w:t>
            </w:r>
          </w:p>
          <w:p w14:paraId="4A371030" w14:textId="77777777" w:rsidR="007B6EC3" w:rsidRPr="007B6EC3" w:rsidRDefault="007B6EC3" w:rsidP="007B6EC3">
            <w:pPr>
              <w:keepLines/>
              <w:tabs>
                <w:tab w:val="left" w:pos="150"/>
                <w:tab w:val="left" w:pos="397"/>
                <w:tab w:val="left" w:pos="794"/>
                <w:tab w:val="left" w:pos="1191"/>
              </w:tabs>
              <w:spacing w:before="40" w:after="40"/>
              <w:jc w:val="both"/>
              <w:rPr>
                <w:rFonts w:cs="Segoe UI"/>
                <w:sz w:val="17"/>
                <w:szCs w:val="17"/>
              </w:rPr>
            </w:pPr>
            <w:r w:rsidRPr="007B6EC3">
              <w:rPr>
                <w:rFonts w:cs="Segoe UI"/>
                <w:i/>
                <w:sz w:val="17"/>
                <w:szCs w:val="17"/>
              </w:rPr>
              <w:t>[CMS1:6/b] i.e. RWA for portfolios where standardized approaches are used</w:t>
            </w:r>
            <w:r w:rsidRPr="007B6EC3">
              <w:rPr>
                <w:rFonts w:cs="Segoe UI"/>
                <w:sz w:val="17"/>
                <w:szCs w:val="17"/>
              </w:rPr>
              <w:t>: RWA calculated based on the calculation approach used by the AI for operational risk.</w:t>
            </w:r>
          </w:p>
          <w:p w14:paraId="3D74D788" w14:textId="77777777" w:rsidR="007B6EC3" w:rsidRPr="007B6EC3" w:rsidRDefault="007B6EC3" w:rsidP="007B6EC3">
            <w:pPr>
              <w:keepLines/>
              <w:tabs>
                <w:tab w:val="left" w:pos="150"/>
                <w:tab w:val="left" w:pos="397"/>
                <w:tab w:val="left" w:pos="794"/>
                <w:tab w:val="left" w:pos="1191"/>
              </w:tabs>
              <w:snapToGrid w:val="0"/>
              <w:spacing w:line="20" w:lineRule="atLeast"/>
              <w:contextualSpacing/>
              <w:jc w:val="both"/>
              <w:rPr>
                <w:rFonts w:cs="Segoe UI"/>
                <w:sz w:val="17"/>
                <w:szCs w:val="17"/>
              </w:rPr>
            </w:pPr>
          </w:p>
          <w:p w14:paraId="467D4AEE" w14:textId="77777777" w:rsidR="007B6EC3" w:rsidRPr="007B6EC3" w:rsidRDefault="007B6EC3" w:rsidP="007B6EC3">
            <w:pPr>
              <w:keepLines/>
              <w:tabs>
                <w:tab w:val="left" w:pos="150"/>
                <w:tab w:val="left" w:pos="397"/>
                <w:tab w:val="left" w:pos="794"/>
                <w:tab w:val="left" w:pos="1191"/>
              </w:tabs>
              <w:spacing w:before="40" w:after="40"/>
              <w:jc w:val="both"/>
              <w:rPr>
                <w:rFonts w:cs="Segoe UI"/>
                <w:sz w:val="17"/>
                <w:szCs w:val="17"/>
              </w:rPr>
            </w:pPr>
            <w:r w:rsidRPr="007B6EC3">
              <w:rPr>
                <w:rFonts w:cs="Segoe UI"/>
                <w:i/>
                <w:sz w:val="17"/>
                <w:szCs w:val="17"/>
              </w:rPr>
              <w:t>[CMS1:6/c] i.e. Total actual RWA</w:t>
            </w:r>
            <w:r w:rsidRPr="007B6EC3">
              <w:rPr>
                <w:rFonts w:cs="Segoe UI"/>
                <w:sz w:val="17"/>
                <w:szCs w:val="17"/>
              </w:rPr>
              <w:t>: the RWA reported refers to the calculation approach used by the AI for operational risk.  The value in [CMS1:6/c] is equal to the value in [OV1:24/a].</w:t>
            </w:r>
          </w:p>
          <w:p w14:paraId="4FB07416" w14:textId="77777777" w:rsidR="007B6EC3" w:rsidRPr="007B6EC3" w:rsidRDefault="007B6EC3" w:rsidP="007B6EC3">
            <w:pPr>
              <w:keepLines/>
              <w:tabs>
                <w:tab w:val="left" w:pos="150"/>
                <w:tab w:val="left" w:pos="397"/>
                <w:tab w:val="left" w:pos="794"/>
                <w:tab w:val="left" w:pos="1191"/>
              </w:tabs>
              <w:snapToGrid w:val="0"/>
              <w:spacing w:line="20" w:lineRule="atLeast"/>
              <w:contextualSpacing/>
              <w:jc w:val="both"/>
              <w:rPr>
                <w:rFonts w:cs="Segoe UI"/>
                <w:sz w:val="17"/>
                <w:szCs w:val="17"/>
              </w:rPr>
            </w:pPr>
          </w:p>
          <w:p w14:paraId="3F6251D9" w14:textId="77777777" w:rsidR="007B6EC3" w:rsidRPr="007B6EC3" w:rsidRDefault="007B6EC3" w:rsidP="007B6EC3">
            <w:pPr>
              <w:keepLines/>
              <w:tabs>
                <w:tab w:val="left" w:pos="150"/>
                <w:tab w:val="left" w:pos="397"/>
                <w:tab w:val="left" w:pos="794"/>
                <w:tab w:val="left" w:pos="1191"/>
              </w:tabs>
              <w:spacing w:before="40" w:after="40"/>
              <w:jc w:val="both"/>
              <w:rPr>
                <w:rFonts w:cs="Segoe UI"/>
                <w:sz w:val="17"/>
                <w:szCs w:val="17"/>
              </w:rPr>
            </w:pPr>
            <w:r w:rsidRPr="007B6EC3">
              <w:rPr>
                <w:rFonts w:cs="Segoe UI"/>
                <w:i/>
                <w:sz w:val="17"/>
                <w:szCs w:val="17"/>
              </w:rPr>
              <w:t>[CMS1:6/d] i.e. RWA calculated using full standardized approach</w:t>
            </w:r>
            <w:r w:rsidRPr="007B6EC3">
              <w:rPr>
                <w:rFonts w:cs="Segoe UI"/>
                <w:sz w:val="17"/>
                <w:szCs w:val="17"/>
              </w:rPr>
              <w:t>: the RWA for operational risk serving as the basis for output floor calculation under the approach stated in [CMS1:6/b] for all exposures giving rise to the RWA reported in [CMS1:6/c].</w:t>
            </w:r>
          </w:p>
        </w:tc>
      </w:tr>
      <w:tr w:rsidR="007B6EC3" w:rsidRPr="007B6EC3" w14:paraId="44B3E9F5" w14:textId="77777777" w:rsidTr="00EE6B38">
        <w:tc>
          <w:tcPr>
            <w:tcW w:w="567" w:type="dxa"/>
            <w:shd w:val="clear" w:color="auto" w:fill="auto"/>
          </w:tcPr>
          <w:p w14:paraId="00DC086B" w14:textId="77777777" w:rsidR="007B6EC3" w:rsidRPr="007B6EC3" w:rsidRDefault="007B6EC3" w:rsidP="007B6EC3">
            <w:pPr>
              <w:keepLines/>
              <w:tabs>
                <w:tab w:val="left" w:pos="150"/>
                <w:tab w:val="left" w:pos="397"/>
                <w:tab w:val="left" w:pos="794"/>
                <w:tab w:val="left" w:pos="1191"/>
              </w:tabs>
              <w:spacing w:before="40" w:after="40"/>
              <w:rPr>
                <w:rFonts w:cs="Segoe UI"/>
                <w:sz w:val="17"/>
                <w:szCs w:val="17"/>
                <w:highlight w:val="yellow"/>
              </w:rPr>
            </w:pPr>
            <w:r w:rsidRPr="007B6EC3">
              <w:rPr>
                <w:rFonts w:cs="Segoe UI" w:hint="eastAsia"/>
                <w:sz w:val="17"/>
                <w:szCs w:val="17"/>
              </w:rPr>
              <w:t>7</w:t>
            </w:r>
          </w:p>
        </w:tc>
        <w:tc>
          <w:tcPr>
            <w:tcW w:w="8647" w:type="dxa"/>
            <w:shd w:val="clear" w:color="auto" w:fill="auto"/>
          </w:tcPr>
          <w:p w14:paraId="143B9A76" w14:textId="77777777" w:rsidR="007B6EC3" w:rsidRPr="007B6EC3" w:rsidRDefault="007B6EC3" w:rsidP="007B6EC3">
            <w:pPr>
              <w:keepLines/>
              <w:tabs>
                <w:tab w:val="left" w:pos="397"/>
                <w:tab w:val="left" w:pos="794"/>
                <w:tab w:val="left" w:pos="1191"/>
              </w:tabs>
              <w:spacing w:before="40" w:after="40"/>
              <w:jc w:val="both"/>
              <w:rPr>
                <w:rFonts w:cs="Segoe UI"/>
                <w:sz w:val="17"/>
                <w:szCs w:val="17"/>
                <w:lang w:eastAsia="en-GB"/>
              </w:rPr>
            </w:pPr>
            <w:r w:rsidRPr="007B6EC3">
              <w:rPr>
                <w:rFonts w:cs="Segoe UI"/>
                <w:i/>
                <w:sz w:val="17"/>
                <w:szCs w:val="17"/>
                <w:u w:val="single"/>
                <w:lang w:eastAsia="en-GB"/>
              </w:rPr>
              <w:t>Residual RWA</w:t>
            </w:r>
            <w:r w:rsidRPr="007B6EC3">
              <w:rPr>
                <w:rFonts w:cs="Segoe UI"/>
                <w:sz w:val="17"/>
                <w:szCs w:val="17"/>
                <w:lang w:eastAsia="en-GB"/>
              </w:rPr>
              <w:t xml:space="preserve"> </w:t>
            </w:r>
          </w:p>
          <w:p w14:paraId="4DA14D13" w14:textId="30591321" w:rsidR="007B6EC3" w:rsidRPr="007B6EC3" w:rsidRDefault="007B6EC3" w:rsidP="007B6EC3">
            <w:pPr>
              <w:keepLines/>
              <w:tabs>
                <w:tab w:val="left" w:pos="150"/>
                <w:tab w:val="left" w:pos="397"/>
                <w:tab w:val="left" w:pos="794"/>
                <w:tab w:val="left" w:pos="1191"/>
              </w:tabs>
              <w:spacing w:before="40" w:after="40"/>
              <w:jc w:val="both"/>
              <w:rPr>
                <w:rFonts w:cs="Segoe UI"/>
                <w:sz w:val="17"/>
                <w:szCs w:val="17"/>
                <w:lang w:eastAsia="en-GB"/>
              </w:rPr>
            </w:pPr>
            <w:r w:rsidRPr="007B6EC3">
              <w:rPr>
                <w:rFonts w:cs="Segoe UI"/>
                <w:sz w:val="17"/>
                <w:szCs w:val="17"/>
              </w:rPr>
              <w:t>This row refers to</w:t>
            </w:r>
            <w:r w:rsidRPr="007B6EC3">
              <w:rPr>
                <w:rFonts w:cs="Segoe UI"/>
                <w:i/>
                <w:sz w:val="17"/>
                <w:szCs w:val="17"/>
              </w:rPr>
              <w:t xml:space="preserve"> </w:t>
            </w:r>
            <w:r w:rsidRPr="007B6EC3">
              <w:rPr>
                <w:rFonts w:cs="Segoe UI"/>
                <w:sz w:val="17"/>
                <w:szCs w:val="17"/>
              </w:rPr>
              <w:t xml:space="preserve">the </w:t>
            </w:r>
            <w:r w:rsidRPr="007B6EC3">
              <w:rPr>
                <w:rFonts w:cs="Segoe UI"/>
                <w:sz w:val="17"/>
                <w:szCs w:val="17"/>
                <w:lang w:eastAsia="en-GB"/>
              </w:rPr>
              <w:t xml:space="preserve">RWA not captured within rows 1 to 6 (i.e. this is the sum of the RWA arising from CIS exposures ([OV1:12/a], [OV1:13/a], [OV1:14/a] and [OV1:14a/a]), settlement risk ([OV1:15/a]), capital charge for </w:t>
            </w:r>
            <w:r w:rsidR="008E5F2A">
              <w:rPr>
                <w:rFonts w:cs="Segoe UI"/>
                <w:sz w:val="17"/>
                <w:szCs w:val="17"/>
                <w:lang w:eastAsia="en-GB"/>
              </w:rPr>
              <w:t xml:space="preserve">moving </w:t>
            </w:r>
            <w:r w:rsidRPr="007B6EC3">
              <w:rPr>
                <w:rFonts w:cs="Segoe UI"/>
                <w:sz w:val="17"/>
                <w:szCs w:val="17"/>
                <w:lang w:eastAsia="en-GB"/>
              </w:rPr>
              <w:t xml:space="preserve">exposures </w:t>
            </w:r>
            <w:r w:rsidR="008E5F2A">
              <w:rPr>
                <w:rFonts w:cs="Segoe UI"/>
                <w:sz w:val="17"/>
                <w:szCs w:val="17"/>
                <w:lang w:eastAsia="en-GB"/>
              </w:rPr>
              <w:t>between</w:t>
            </w:r>
            <w:r w:rsidRPr="007B6EC3">
              <w:rPr>
                <w:rFonts w:cs="Segoe UI"/>
                <w:sz w:val="17"/>
                <w:szCs w:val="17"/>
                <w:lang w:eastAsia="en-GB"/>
              </w:rPr>
              <w:t xml:space="preserve"> trading book and banking book ([OV1:23/a]) and amounts below the thresholds for deduction from CET1 capital and subject to a 250% risk-weight ([OV1:25/a])).</w:t>
            </w:r>
          </w:p>
          <w:p w14:paraId="4016BDB0" w14:textId="77777777" w:rsidR="007B6EC3" w:rsidRPr="007B6EC3" w:rsidRDefault="007B6EC3" w:rsidP="007B6EC3">
            <w:pPr>
              <w:keepLines/>
              <w:tabs>
                <w:tab w:val="left" w:pos="150"/>
                <w:tab w:val="left" w:pos="397"/>
                <w:tab w:val="left" w:pos="794"/>
                <w:tab w:val="left" w:pos="1191"/>
              </w:tabs>
              <w:snapToGrid w:val="0"/>
              <w:spacing w:line="20" w:lineRule="atLeast"/>
              <w:contextualSpacing/>
              <w:jc w:val="both"/>
              <w:rPr>
                <w:rFonts w:cs="Segoe UI"/>
                <w:sz w:val="17"/>
                <w:szCs w:val="17"/>
                <w:lang w:eastAsia="en-GB"/>
              </w:rPr>
            </w:pPr>
          </w:p>
          <w:p w14:paraId="4377DAC2" w14:textId="643F9CDF" w:rsidR="007B6EC3" w:rsidRPr="007B6EC3" w:rsidRDefault="007B6EC3" w:rsidP="007B6EC3">
            <w:pPr>
              <w:keepLines/>
              <w:tabs>
                <w:tab w:val="left" w:pos="397"/>
                <w:tab w:val="left" w:pos="794"/>
                <w:tab w:val="left" w:pos="1191"/>
              </w:tabs>
              <w:spacing w:before="40" w:after="40"/>
              <w:jc w:val="both"/>
              <w:rPr>
                <w:rFonts w:cs="Segoe UI"/>
                <w:sz w:val="17"/>
                <w:szCs w:val="17"/>
              </w:rPr>
            </w:pPr>
            <w:r w:rsidRPr="007B6EC3">
              <w:rPr>
                <w:rFonts w:cs="Segoe UI"/>
                <w:i/>
                <w:sz w:val="17"/>
                <w:szCs w:val="17"/>
              </w:rPr>
              <w:t xml:space="preserve">[CMS1:7/a] i.e. </w:t>
            </w:r>
            <w:r w:rsidRPr="007B6EC3">
              <w:rPr>
                <w:rFonts w:cs="Segoe UI"/>
                <w:i/>
                <w:sz w:val="17"/>
                <w:szCs w:val="17"/>
                <w:lang w:eastAsia="en-GB"/>
              </w:rPr>
              <w:t xml:space="preserve">RWA </w:t>
            </w:r>
            <w:r w:rsidRPr="007B6EC3">
              <w:rPr>
                <w:rFonts w:cs="Segoe UI"/>
                <w:i/>
                <w:sz w:val="17"/>
                <w:szCs w:val="17"/>
              </w:rPr>
              <w:t>calculated under model-based</w:t>
            </w:r>
            <w:r w:rsidRPr="007B6EC3">
              <w:rPr>
                <w:rFonts w:cs="Segoe UI"/>
                <w:i/>
                <w:sz w:val="17"/>
                <w:szCs w:val="17"/>
                <w:lang w:eastAsia="en-GB"/>
              </w:rPr>
              <w:t xml:space="preserve"> approaches that the AI has the MA’s approval to use</w:t>
            </w:r>
            <w:r w:rsidRPr="007B6EC3">
              <w:rPr>
                <w:rFonts w:cs="Segoe UI"/>
                <w:sz w:val="17"/>
                <w:szCs w:val="17"/>
                <w:lang w:eastAsia="en-GB"/>
              </w:rPr>
              <w:t>: this cell is applicable where the RWA is calculated based on any of the model-based approaches stated in the explanatory notes for column (a) above for calculating AI’s</w:t>
            </w:r>
            <w:r w:rsidRPr="007B6EC3" w:rsidDel="007A1A33">
              <w:rPr>
                <w:rFonts w:cs="Segoe UI"/>
                <w:sz w:val="17"/>
                <w:szCs w:val="17"/>
                <w:lang w:eastAsia="en-GB"/>
              </w:rPr>
              <w:t xml:space="preserve"> </w:t>
            </w:r>
            <w:r w:rsidRPr="007B6EC3">
              <w:rPr>
                <w:rFonts w:cs="Segoe UI"/>
                <w:sz w:val="17"/>
                <w:szCs w:val="17"/>
                <w:lang w:eastAsia="en-GB"/>
              </w:rPr>
              <w:t>credit risk (e.g. for the underlying exposures of a CIS exposure)</w:t>
            </w:r>
            <w:r w:rsidRPr="007B6EC3">
              <w:rPr>
                <w:rFonts w:cs="Segoe UI"/>
                <w:sz w:val="17"/>
                <w:szCs w:val="17"/>
              </w:rPr>
              <w:t>.</w:t>
            </w:r>
          </w:p>
          <w:p w14:paraId="68102BCD" w14:textId="77777777" w:rsidR="007B6EC3" w:rsidRPr="007B6EC3" w:rsidRDefault="007B6EC3" w:rsidP="007B6EC3">
            <w:pPr>
              <w:keepLines/>
              <w:tabs>
                <w:tab w:val="left" w:pos="150"/>
                <w:tab w:val="left" w:pos="397"/>
                <w:tab w:val="left" w:pos="794"/>
                <w:tab w:val="left" w:pos="1191"/>
              </w:tabs>
              <w:snapToGrid w:val="0"/>
              <w:spacing w:line="20" w:lineRule="atLeast"/>
              <w:contextualSpacing/>
              <w:jc w:val="both"/>
              <w:rPr>
                <w:rFonts w:cs="Segoe UI"/>
                <w:i/>
                <w:sz w:val="17"/>
                <w:szCs w:val="17"/>
              </w:rPr>
            </w:pPr>
          </w:p>
          <w:p w14:paraId="4F6D43D1" w14:textId="1D858E55" w:rsidR="007B6EC3" w:rsidRPr="007B6EC3" w:rsidRDefault="007B6EC3" w:rsidP="007B6EC3">
            <w:pPr>
              <w:keepLines/>
              <w:tabs>
                <w:tab w:val="left" w:pos="397"/>
                <w:tab w:val="left" w:pos="794"/>
                <w:tab w:val="left" w:pos="1191"/>
              </w:tabs>
              <w:spacing w:before="40" w:after="40"/>
              <w:jc w:val="both"/>
              <w:rPr>
                <w:rFonts w:cs="Segoe UI"/>
                <w:sz w:val="17"/>
                <w:szCs w:val="17"/>
              </w:rPr>
            </w:pPr>
            <w:r w:rsidRPr="007B6EC3">
              <w:rPr>
                <w:rFonts w:cs="Segoe UI"/>
                <w:i/>
                <w:sz w:val="17"/>
                <w:szCs w:val="17"/>
              </w:rPr>
              <w:lastRenderedPageBreak/>
              <w:t>[CMS1:7/b] i.e. RWA for portfolios where standardized approaches are used</w:t>
            </w:r>
            <w:r w:rsidRPr="007B6EC3">
              <w:rPr>
                <w:rFonts w:cs="Segoe UI"/>
                <w:sz w:val="17"/>
                <w:szCs w:val="17"/>
              </w:rPr>
              <w:t>:</w:t>
            </w:r>
            <w:r w:rsidRPr="007B6EC3">
              <w:rPr>
                <w:rFonts w:cs="Segoe UI"/>
                <w:sz w:val="17"/>
                <w:szCs w:val="17"/>
                <w:lang w:eastAsia="en-GB"/>
              </w:rPr>
              <w:t xml:space="preserve"> this cell is applicable for the exposures where the RWA is calculated based on </w:t>
            </w:r>
            <w:r w:rsidRPr="007B6EC3">
              <w:rPr>
                <w:rFonts w:cs="Segoe UI"/>
                <w:sz w:val="17"/>
                <w:szCs w:val="17"/>
              </w:rPr>
              <w:t>the approaches used by the AI for calculating its credit risk other than the model-based approach stated in [CMS1:7/a].</w:t>
            </w:r>
          </w:p>
          <w:p w14:paraId="2DCF9BCB" w14:textId="77777777" w:rsidR="007B6EC3" w:rsidRPr="007B6EC3" w:rsidRDefault="007B6EC3" w:rsidP="007B6EC3">
            <w:pPr>
              <w:keepLines/>
              <w:tabs>
                <w:tab w:val="left" w:pos="150"/>
                <w:tab w:val="left" w:pos="397"/>
                <w:tab w:val="left" w:pos="794"/>
                <w:tab w:val="left" w:pos="1191"/>
              </w:tabs>
              <w:snapToGrid w:val="0"/>
              <w:spacing w:line="20" w:lineRule="atLeast"/>
              <w:contextualSpacing/>
              <w:jc w:val="both"/>
              <w:rPr>
                <w:rFonts w:cs="Segoe UI"/>
                <w:sz w:val="17"/>
                <w:szCs w:val="17"/>
              </w:rPr>
            </w:pPr>
          </w:p>
          <w:p w14:paraId="10987FAF" w14:textId="77777777" w:rsidR="007B6EC3" w:rsidRPr="007B6EC3" w:rsidRDefault="007B6EC3" w:rsidP="007B6EC3">
            <w:pPr>
              <w:keepLines/>
              <w:tabs>
                <w:tab w:val="left" w:pos="397"/>
                <w:tab w:val="left" w:pos="794"/>
                <w:tab w:val="left" w:pos="1191"/>
              </w:tabs>
              <w:spacing w:before="40" w:after="40"/>
              <w:jc w:val="both"/>
              <w:rPr>
                <w:rFonts w:cs="Segoe UI"/>
                <w:sz w:val="17"/>
                <w:szCs w:val="17"/>
                <w:lang w:eastAsia="en-GB"/>
              </w:rPr>
            </w:pPr>
            <w:r w:rsidRPr="007B6EC3">
              <w:rPr>
                <w:rFonts w:cs="Segoe UI"/>
                <w:i/>
                <w:sz w:val="17"/>
                <w:szCs w:val="17"/>
              </w:rPr>
              <w:t>[CMS1:7/c] i.e. Total actual RWA</w:t>
            </w:r>
            <w:r w:rsidRPr="007B6EC3">
              <w:rPr>
                <w:rFonts w:cs="Segoe UI"/>
                <w:sz w:val="17"/>
                <w:szCs w:val="17"/>
              </w:rPr>
              <w:t>: the RWA reported is the sum of values in [CMS1:7/a] and [CMS1:7/b].</w:t>
            </w:r>
          </w:p>
          <w:p w14:paraId="4567143F" w14:textId="77777777" w:rsidR="007B6EC3" w:rsidRPr="007B6EC3" w:rsidRDefault="007B6EC3" w:rsidP="007B6EC3">
            <w:pPr>
              <w:keepLines/>
              <w:tabs>
                <w:tab w:val="left" w:pos="150"/>
                <w:tab w:val="left" w:pos="397"/>
                <w:tab w:val="left" w:pos="794"/>
                <w:tab w:val="left" w:pos="1191"/>
              </w:tabs>
              <w:snapToGrid w:val="0"/>
              <w:spacing w:line="20" w:lineRule="atLeast"/>
              <w:contextualSpacing/>
              <w:jc w:val="both"/>
              <w:rPr>
                <w:rFonts w:cs="Segoe UI"/>
                <w:sz w:val="17"/>
                <w:szCs w:val="17"/>
                <w:lang w:eastAsia="en-GB"/>
              </w:rPr>
            </w:pPr>
          </w:p>
          <w:p w14:paraId="1E808D28" w14:textId="77777777" w:rsidR="007B6EC3" w:rsidRPr="007B6EC3" w:rsidRDefault="007B6EC3" w:rsidP="007B6EC3">
            <w:pPr>
              <w:keepLines/>
              <w:tabs>
                <w:tab w:val="left" w:pos="150"/>
                <w:tab w:val="left" w:pos="397"/>
                <w:tab w:val="left" w:pos="794"/>
                <w:tab w:val="left" w:pos="1191"/>
              </w:tabs>
              <w:spacing w:before="40" w:after="40"/>
              <w:jc w:val="both"/>
              <w:rPr>
                <w:rFonts w:cs="Segoe UI"/>
                <w:sz w:val="17"/>
                <w:szCs w:val="17"/>
                <w:lang w:eastAsia="en-GB"/>
              </w:rPr>
            </w:pPr>
            <w:r w:rsidRPr="007B6EC3">
              <w:rPr>
                <w:rFonts w:cs="Segoe UI"/>
                <w:i/>
                <w:sz w:val="17"/>
                <w:szCs w:val="17"/>
              </w:rPr>
              <w:t>[CMS1:7/d] i.e. RWA calculated using full standardized approach</w:t>
            </w:r>
            <w:r w:rsidRPr="007B6EC3">
              <w:rPr>
                <w:rFonts w:cs="Segoe UI"/>
                <w:sz w:val="17"/>
                <w:szCs w:val="17"/>
              </w:rPr>
              <w:t xml:space="preserve">: where applicable, an AI should calculate the RWA for credit risk serving as the basis for output floor calculation for exposures giving rise to the RWA reported in [CMS1:7/c] based on the approach(es) other than the model-based approaches </w:t>
            </w:r>
            <w:r w:rsidRPr="007B6EC3">
              <w:rPr>
                <w:rFonts w:cs="Segoe UI"/>
                <w:sz w:val="17"/>
                <w:szCs w:val="17"/>
                <w:lang w:eastAsia="en-GB"/>
              </w:rPr>
              <w:t>stated in the explanatory notes for column (a) above</w:t>
            </w:r>
            <w:r w:rsidRPr="007B6EC3">
              <w:rPr>
                <w:rFonts w:cs="Segoe UI"/>
                <w:sz w:val="17"/>
                <w:szCs w:val="17"/>
              </w:rPr>
              <w:t>.</w:t>
            </w:r>
          </w:p>
        </w:tc>
      </w:tr>
      <w:tr w:rsidR="007B6EC3" w:rsidRPr="007B6EC3" w14:paraId="1B0C36E2" w14:textId="77777777" w:rsidTr="00EE6B38">
        <w:tc>
          <w:tcPr>
            <w:tcW w:w="567" w:type="dxa"/>
            <w:shd w:val="clear" w:color="auto" w:fill="auto"/>
          </w:tcPr>
          <w:p w14:paraId="45233F35" w14:textId="77777777" w:rsidR="007B6EC3" w:rsidRPr="007B6EC3" w:rsidRDefault="007B6EC3" w:rsidP="007B6EC3">
            <w:pPr>
              <w:keepLines/>
              <w:tabs>
                <w:tab w:val="left" w:pos="150"/>
                <w:tab w:val="left" w:pos="397"/>
                <w:tab w:val="left" w:pos="794"/>
                <w:tab w:val="left" w:pos="1191"/>
              </w:tabs>
              <w:spacing w:before="40" w:after="40"/>
              <w:rPr>
                <w:rFonts w:cs="Segoe UI"/>
                <w:sz w:val="17"/>
                <w:szCs w:val="17"/>
              </w:rPr>
            </w:pPr>
            <w:r w:rsidRPr="007B6EC3">
              <w:rPr>
                <w:rFonts w:cs="Segoe UI"/>
                <w:sz w:val="17"/>
                <w:szCs w:val="17"/>
              </w:rPr>
              <w:lastRenderedPageBreak/>
              <w:t>8</w:t>
            </w:r>
          </w:p>
        </w:tc>
        <w:tc>
          <w:tcPr>
            <w:tcW w:w="8647" w:type="dxa"/>
            <w:shd w:val="clear" w:color="auto" w:fill="auto"/>
          </w:tcPr>
          <w:p w14:paraId="743CC0F9" w14:textId="77777777" w:rsidR="007B6EC3" w:rsidRPr="007B6EC3" w:rsidRDefault="007B6EC3" w:rsidP="007B6EC3">
            <w:pPr>
              <w:keepLines/>
              <w:tabs>
                <w:tab w:val="left" w:pos="150"/>
                <w:tab w:val="left" w:pos="397"/>
                <w:tab w:val="left" w:pos="794"/>
                <w:tab w:val="left" w:pos="1191"/>
              </w:tabs>
              <w:spacing w:before="40" w:after="40"/>
              <w:jc w:val="both"/>
              <w:rPr>
                <w:rFonts w:cs="Segoe UI"/>
                <w:sz w:val="17"/>
                <w:szCs w:val="17"/>
                <w:lang w:eastAsia="en-GB"/>
              </w:rPr>
            </w:pPr>
            <w:r w:rsidRPr="007B6EC3">
              <w:rPr>
                <w:rFonts w:cs="Segoe UI"/>
                <w:i/>
                <w:sz w:val="17"/>
                <w:szCs w:val="17"/>
                <w:u w:val="single"/>
              </w:rPr>
              <w:t>Total</w:t>
            </w:r>
            <w:r w:rsidRPr="007B6EC3">
              <w:rPr>
                <w:rFonts w:cs="Segoe UI"/>
                <w:sz w:val="17"/>
                <w:szCs w:val="17"/>
              </w:rPr>
              <w:t xml:space="preserve"> </w:t>
            </w:r>
          </w:p>
          <w:p w14:paraId="59C3FFCD" w14:textId="1F023B96" w:rsidR="007B6EC3" w:rsidRPr="007B6EC3" w:rsidRDefault="007B6EC3" w:rsidP="007B6EC3">
            <w:pPr>
              <w:keepLines/>
              <w:tabs>
                <w:tab w:val="left" w:pos="150"/>
                <w:tab w:val="left" w:pos="397"/>
                <w:tab w:val="left" w:pos="794"/>
                <w:tab w:val="left" w:pos="1191"/>
              </w:tabs>
              <w:spacing w:before="40" w:after="40"/>
              <w:jc w:val="both"/>
              <w:rPr>
                <w:rFonts w:cs="Segoe UI"/>
                <w:sz w:val="17"/>
                <w:szCs w:val="17"/>
                <w:lang w:eastAsia="en-GB"/>
              </w:rPr>
            </w:pPr>
            <w:r w:rsidRPr="007B6EC3">
              <w:rPr>
                <w:rFonts w:cs="Segoe UI"/>
                <w:i/>
                <w:sz w:val="17"/>
                <w:szCs w:val="17"/>
              </w:rPr>
              <w:t xml:space="preserve">[CMS1:8/a] i.e. </w:t>
            </w:r>
            <w:r w:rsidRPr="007B6EC3">
              <w:rPr>
                <w:rFonts w:cs="Segoe UI"/>
                <w:i/>
                <w:sz w:val="17"/>
                <w:szCs w:val="17"/>
                <w:lang w:eastAsia="en-GB"/>
              </w:rPr>
              <w:t xml:space="preserve">RWA </w:t>
            </w:r>
            <w:r w:rsidRPr="007B6EC3">
              <w:rPr>
                <w:rFonts w:cs="Segoe UI"/>
                <w:i/>
                <w:sz w:val="17"/>
                <w:szCs w:val="17"/>
              </w:rPr>
              <w:t>calculated under model-based</w:t>
            </w:r>
            <w:r w:rsidRPr="007B6EC3">
              <w:rPr>
                <w:rFonts w:cs="Segoe UI"/>
                <w:i/>
                <w:sz w:val="17"/>
                <w:szCs w:val="17"/>
                <w:lang w:eastAsia="en-GB"/>
              </w:rPr>
              <w:t xml:space="preserve"> approaches that the AI has the MA’s approval to use</w:t>
            </w:r>
            <w:r w:rsidRPr="007B6EC3">
              <w:rPr>
                <w:rFonts w:cs="Segoe UI"/>
                <w:sz w:val="17"/>
                <w:szCs w:val="17"/>
                <w:lang w:eastAsia="en-GB"/>
              </w:rPr>
              <w:t>: this is the total sum of values in [CMS1:1/a], [CMS1:2/a], [CMS1:4/a], [CMS1:5/a] and [CMS1:7/a].</w:t>
            </w:r>
          </w:p>
          <w:p w14:paraId="4F393250" w14:textId="77777777" w:rsidR="007B6EC3" w:rsidRPr="007B6EC3" w:rsidRDefault="007B6EC3" w:rsidP="007B6EC3">
            <w:pPr>
              <w:keepLines/>
              <w:tabs>
                <w:tab w:val="left" w:pos="150"/>
                <w:tab w:val="left" w:pos="397"/>
                <w:tab w:val="left" w:pos="794"/>
                <w:tab w:val="left" w:pos="1191"/>
              </w:tabs>
              <w:snapToGrid w:val="0"/>
              <w:spacing w:line="20" w:lineRule="atLeast"/>
              <w:contextualSpacing/>
              <w:jc w:val="both"/>
              <w:rPr>
                <w:rFonts w:cs="Segoe UI"/>
                <w:sz w:val="17"/>
                <w:szCs w:val="17"/>
                <w:lang w:eastAsia="en-GB"/>
              </w:rPr>
            </w:pPr>
          </w:p>
          <w:p w14:paraId="604C14E8" w14:textId="001AF793" w:rsidR="007B6EC3" w:rsidRPr="007B6EC3" w:rsidRDefault="007B6EC3" w:rsidP="007B6EC3">
            <w:pPr>
              <w:keepLines/>
              <w:tabs>
                <w:tab w:val="left" w:pos="150"/>
                <w:tab w:val="left" w:pos="397"/>
                <w:tab w:val="left" w:pos="794"/>
                <w:tab w:val="left" w:pos="1191"/>
              </w:tabs>
              <w:spacing w:before="40" w:after="40"/>
              <w:jc w:val="both"/>
              <w:rPr>
                <w:rFonts w:cs="Segoe UI"/>
                <w:sz w:val="17"/>
                <w:szCs w:val="17"/>
                <w:lang w:eastAsia="en-GB"/>
              </w:rPr>
            </w:pPr>
            <w:r w:rsidRPr="007B6EC3">
              <w:rPr>
                <w:rFonts w:cs="Segoe UI"/>
                <w:i/>
                <w:sz w:val="17"/>
                <w:szCs w:val="17"/>
              </w:rPr>
              <w:t xml:space="preserve">[CMS1:8/b] i.e. </w:t>
            </w:r>
            <w:r w:rsidRPr="007B6EC3">
              <w:rPr>
                <w:rFonts w:cs="Segoe UI"/>
                <w:i/>
                <w:sz w:val="17"/>
                <w:szCs w:val="17"/>
                <w:lang w:eastAsia="en-GB"/>
              </w:rPr>
              <w:t>RWA for portfolios where standardized approaches are used</w:t>
            </w:r>
            <w:r w:rsidRPr="007B6EC3">
              <w:rPr>
                <w:rFonts w:cs="Segoe UI"/>
                <w:sz w:val="17"/>
                <w:szCs w:val="17"/>
                <w:lang w:eastAsia="en-GB"/>
              </w:rPr>
              <w:t>: this is the total sum of values in [CMS1:1/b], [CMS1:2/b], [CMS1:3/b], [CMS1:4/b], [CMS1:5/b], [CMS1:6/b] and [CMS1:7/b].</w:t>
            </w:r>
          </w:p>
          <w:p w14:paraId="61CAED0F" w14:textId="77777777" w:rsidR="007B6EC3" w:rsidRPr="007B6EC3" w:rsidRDefault="007B6EC3" w:rsidP="007B6EC3">
            <w:pPr>
              <w:keepLines/>
              <w:tabs>
                <w:tab w:val="left" w:pos="150"/>
                <w:tab w:val="left" w:pos="397"/>
                <w:tab w:val="left" w:pos="794"/>
                <w:tab w:val="left" w:pos="1191"/>
              </w:tabs>
              <w:snapToGrid w:val="0"/>
              <w:spacing w:line="20" w:lineRule="atLeast"/>
              <w:contextualSpacing/>
              <w:jc w:val="both"/>
              <w:rPr>
                <w:rFonts w:cs="Segoe UI"/>
                <w:sz w:val="17"/>
                <w:szCs w:val="17"/>
                <w:lang w:eastAsia="en-GB"/>
              </w:rPr>
            </w:pPr>
          </w:p>
          <w:p w14:paraId="40F53E0D" w14:textId="5038C721" w:rsidR="007B6EC3" w:rsidRPr="00BD33F1" w:rsidRDefault="007B6EC3" w:rsidP="007B6EC3">
            <w:pPr>
              <w:keepLines/>
              <w:tabs>
                <w:tab w:val="left" w:pos="150"/>
                <w:tab w:val="left" w:pos="397"/>
                <w:tab w:val="left" w:pos="794"/>
                <w:tab w:val="left" w:pos="1191"/>
              </w:tabs>
              <w:spacing w:before="40" w:after="40"/>
              <w:jc w:val="both"/>
              <w:rPr>
                <w:rFonts w:cs="Segoe UI"/>
                <w:sz w:val="17"/>
                <w:szCs w:val="17"/>
                <w:lang w:eastAsia="en-GB"/>
              </w:rPr>
            </w:pPr>
            <w:r w:rsidRPr="007B6EC3">
              <w:rPr>
                <w:rFonts w:cs="Segoe UI"/>
                <w:i/>
                <w:sz w:val="17"/>
                <w:szCs w:val="17"/>
              </w:rPr>
              <w:t xml:space="preserve">[CMS1:8/c] i.e. </w:t>
            </w:r>
            <w:r w:rsidRPr="007B6EC3">
              <w:rPr>
                <w:rFonts w:cs="Segoe UI"/>
                <w:i/>
                <w:sz w:val="17"/>
                <w:szCs w:val="17"/>
                <w:lang w:eastAsia="en-GB"/>
              </w:rPr>
              <w:t>Total actual RWA</w:t>
            </w:r>
            <w:r w:rsidRPr="007B6EC3">
              <w:rPr>
                <w:rFonts w:cs="Segoe UI"/>
                <w:sz w:val="17"/>
                <w:szCs w:val="17"/>
                <w:lang w:eastAsia="en-GB"/>
              </w:rPr>
              <w:t xml:space="preserve">: this is the total actual RWA calculated in accordance with </w:t>
            </w:r>
            <w:r w:rsidRPr="00BD33F1">
              <w:rPr>
                <w:rFonts w:cs="Segoe UI"/>
                <w:sz w:val="17"/>
                <w:szCs w:val="17"/>
                <w:lang w:eastAsia="en-GB"/>
              </w:rPr>
              <w:t xml:space="preserve">Part 11 of the BCR.  The RWA reported is equal to the total sum of values in [CMS1:1/c], [CMS1:2/c], [CMS1:3/c], [CMS1:4/c], [CMS1:5/c], [CMS1:6/c] and [CMS1:7/c].  </w:t>
            </w:r>
          </w:p>
          <w:p w14:paraId="1B5A5E41" w14:textId="77777777" w:rsidR="007B6EC3" w:rsidRPr="00BD33F1" w:rsidRDefault="007B6EC3" w:rsidP="007B6EC3">
            <w:pPr>
              <w:keepLines/>
              <w:tabs>
                <w:tab w:val="left" w:pos="150"/>
                <w:tab w:val="left" w:pos="397"/>
                <w:tab w:val="left" w:pos="794"/>
                <w:tab w:val="left" w:pos="1191"/>
              </w:tabs>
              <w:snapToGrid w:val="0"/>
              <w:spacing w:line="20" w:lineRule="atLeast"/>
              <w:contextualSpacing/>
              <w:jc w:val="both"/>
              <w:rPr>
                <w:rFonts w:cs="Segoe UI"/>
                <w:sz w:val="17"/>
                <w:szCs w:val="17"/>
                <w:lang w:eastAsia="en-GB"/>
              </w:rPr>
            </w:pPr>
          </w:p>
          <w:p w14:paraId="74DE9BCE" w14:textId="1D576CB3" w:rsidR="007B6EC3" w:rsidRPr="007B6EC3" w:rsidRDefault="007B6EC3" w:rsidP="007B6EC3">
            <w:pPr>
              <w:keepLines/>
              <w:tabs>
                <w:tab w:val="left" w:pos="150"/>
                <w:tab w:val="left" w:pos="397"/>
                <w:tab w:val="left" w:pos="794"/>
                <w:tab w:val="left" w:pos="1191"/>
              </w:tabs>
              <w:spacing w:before="40" w:after="40"/>
              <w:jc w:val="both"/>
              <w:rPr>
                <w:rFonts w:cs="Segoe UI"/>
                <w:sz w:val="17"/>
                <w:szCs w:val="17"/>
                <w:lang w:eastAsia="en-GB"/>
              </w:rPr>
            </w:pPr>
            <w:r w:rsidRPr="00BD33F1">
              <w:rPr>
                <w:rFonts w:cs="Segoe UI"/>
                <w:i/>
                <w:sz w:val="17"/>
                <w:szCs w:val="17"/>
              </w:rPr>
              <w:t xml:space="preserve">[CMS1:8/d] i.e. </w:t>
            </w:r>
            <w:r w:rsidRPr="00BD33F1">
              <w:rPr>
                <w:rFonts w:cs="Segoe UI"/>
                <w:i/>
                <w:sz w:val="17"/>
                <w:szCs w:val="17"/>
                <w:lang w:eastAsia="en-GB"/>
              </w:rPr>
              <w:t>RWA calculated using full standardized approach</w:t>
            </w:r>
            <w:r w:rsidRPr="00BD33F1">
              <w:rPr>
                <w:rFonts w:cs="Segoe UI"/>
                <w:sz w:val="17"/>
                <w:szCs w:val="17"/>
                <w:lang w:eastAsia="en-GB"/>
              </w:rPr>
              <w:t xml:space="preserve">: it refers to the AI’s total RWA that are </w:t>
            </w:r>
            <w:r w:rsidRPr="00BD33F1">
              <w:rPr>
                <w:rFonts w:cs="Segoe UI"/>
                <w:sz w:val="17"/>
                <w:szCs w:val="17"/>
              </w:rPr>
              <w:t xml:space="preserve">the basis for output floor calculation </w:t>
            </w:r>
            <w:r w:rsidRPr="00BD33F1">
              <w:rPr>
                <w:rFonts w:cs="Segoe UI"/>
                <w:sz w:val="17"/>
                <w:szCs w:val="17"/>
                <w:lang w:eastAsia="en-GB"/>
              </w:rPr>
              <w:t>in accordance with Part 11 of the BCR (i.e. amount before applyi</w:t>
            </w:r>
            <w:r w:rsidRPr="007B6EC3">
              <w:rPr>
                <w:rFonts w:cs="Segoe UI"/>
                <w:sz w:val="17"/>
                <w:szCs w:val="17"/>
                <w:lang w:eastAsia="en-GB"/>
              </w:rPr>
              <w:t xml:space="preserve">ng the output floor level).  The amount reported is equal to the total sum of [CMS1:1/d], [CMS1:2/d], [CMS1:3/d], [CMS1:4/d], [CMS1:5/d], [CMS1:6/d] and [CMS1:7/d].  </w:t>
            </w:r>
          </w:p>
        </w:tc>
      </w:tr>
    </w:tbl>
    <w:p w14:paraId="2E985E90" w14:textId="21E41DE7" w:rsidR="007B6EC3" w:rsidRPr="007B6EC3" w:rsidRDefault="007B6EC3" w:rsidP="007B6EC3">
      <w:pPr>
        <w:sectPr w:rsidR="007B6EC3" w:rsidRPr="007B6EC3">
          <w:footerReference w:type="default" r:id="rId117"/>
          <w:pgSz w:w="11906" w:h="16838" w:code="9"/>
          <w:pgMar w:top="1440" w:right="1797" w:bottom="1440" w:left="1797" w:header="851" w:footer="737" w:gutter="0"/>
          <w:cols w:space="425"/>
          <w:docGrid w:type="lines" w:linePitch="360"/>
        </w:sectPr>
      </w:pPr>
    </w:p>
    <w:p w14:paraId="3172DFA8" w14:textId="3DF1C8B9" w:rsidR="00260576" w:rsidRDefault="006E0256" w:rsidP="00260576">
      <w:pPr>
        <w:pStyle w:val="Heading2"/>
      </w:pPr>
      <w:r>
        <w:rPr>
          <w:rFonts w:cs="Segoe UI"/>
          <w:color w:val="000000"/>
        </w:rPr>
        <w:lastRenderedPageBreak/>
        <w:t>Template CMS2</w:t>
      </w:r>
      <w:r w:rsidR="00E91FA7">
        <w:rPr>
          <w:rFonts w:cs="Segoe UI"/>
          <w:color w:val="000000"/>
        </w:rPr>
        <w:t xml:space="preserve">: </w:t>
      </w:r>
      <w:r w:rsidR="00260576" w:rsidRPr="00256B7A">
        <w:t>Comparison of modelled and standardi</w:t>
      </w:r>
      <w:r w:rsidR="00260576">
        <w:t>z</w:t>
      </w:r>
      <w:r w:rsidR="00260576" w:rsidRPr="00256B7A">
        <w:t>ed RWA</w:t>
      </w:r>
      <w:r w:rsidR="00A16D5C">
        <w:t>s</w:t>
      </w:r>
      <w:r w:rsidR="00260576" w:rsidRPr="00256B7A">
        <w:t xml:space="preserve"> for credit risk at </w:t>
      </w:r>
      <w:r w:rsidR="00820A79">
        <w:t>exposure</w:t>
      </w:r>
      <w:r w:rsidR="00260576" w:rsidRPr="00256B7A">
        <w:t xml:space="preserve"> class level</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1985"/>
        <w:gridCol w:w="7257"/>
      </w:tblGrid>
      <w:tr w:rsidR="00260576" w:rsidRPr="004E457E" w14:paraId="1279AE00" w14:textId="77777777" w:rsidTr="00AC6CAB">
        <w:tc>
          <w:tcPr>
            <w:tcW w:w="1985" w:type="dxa"/>
          </w:tcPr>
          <w:p w14:paraId="091D6545" w14:textId="77777777" w:rsidR="00260576" w:rsidRPr="004E457E" w:rsidRDefault="00260576" w:rsidP="00AC6CAB">
            <w:pPr>
              <w:spacing w:before="40" w:after="40"/>
              <w:rPr>
                <w:noProof/>
                <w:sz w:val="17"/>
                <w:lang w:eastAsia="en-GB"/>
              </w:rPr>
            </w:pPr>
            <w:r w:rsidRPr="004E457E">
              <w:rPr>
                <w:b/>
                <w:sz w:val="17"/>
                <w:lang w:eastAsia="en-GB"/>
              </w:rPr>
              <w:t>Purpose:</w:t>
            </w:r>
            <w:r w:rsidRPr="004E457E">
              <w:rPr>
                <w:sz w:val="17"/>
                <w:lang w:eastAsia="en-GB"/>
              </w:rPr>
              <w:t xml:space="preserve"> </w:t>
            </w:r>
          </w:p>
        </w:tc>
        <w:tc>
          <w:tcPr>
            <w:tcW w:w="7257" w:type="dxa"/>
          </w:tcPr>
          <w:p w14:paraId="47C2AD28" w14:textId="73BB795B" w:rsidR="00260576" w:rsidRPr="004E457E" w:rsidRDefault="00260576" w:rsidP="00CA56FA">
            <w:pPr>
              <w:spacing w:before="40" w:after="40"/>
              <w:jc w:val="both"/>
              <w:rPr>
                <w:rFonts w:eastAsia="新細明體"/>
                <w:noProof/>
                <w:sz w:val="17"/>
                <w:lang w:eastAsia="en-GB"/>
              </w:rPr>
            </w:pPr>
            <w:r w:rsidRPr="009A15B1">
              <w:rPr>
                <w:rFonts w:eastAsia="新細明體"/>
                <w:sz w:val="17"/>
                <w:lang w:eastAsia="en-GB"/>
              </w:rPr>
              <w:t>To compare RWA</w:t>
            </w:r>
            <w:r w:rsidR="008E568A">
              <w:rPr>
                <w:rFonts w:eastAsia="新細明體"/>
                <w:sz w:val="17"/>
                <w:lang w:eastAsia="en-GB"/>
              </w:rPr>
              <w:t>s</w:t>
            </w:r>
            <w:r w:rsidRPr="009A15B1">
              <w:rPr>
                <w:rFonts w:eastAsia="新細明體"/>
                <w:sz w:val="17"/>
                <w:lang w:eastAsia="en-GB"/>
              </w:rPr>
              <w:t xml:space="preserve"> calculated according to the </w:t>
            </w:r>
            <w:r>
              <w:rPr>
                <w:rFonts w:eastAsia="新細明體"/>
                <w:sz w:val="17"/>
                <w:lang w:eastAsia="en-GB"/>
              </w:rPr>
              <w:t xml:space="preserve">STC </w:t>
            </w:r>
            <w:r w:rsidRPr="009A15B1">
              <w:rPr>
                <w:rFonts w:eastAsia="新細明體"/>
                <w:sz w:val="17"/>
                <w:lang w:eastAsia="en-GB"/>
              </w:rPr>
              <w:t xml:space="preserve">approach </w:t>
            </w:r>
            <w:r w:rsidR="00907017">
              <w:rPr>
                <w:rFonts w:eastAsia="新細明體"/>
                <w:sz w:val="17"/>
                <w:lang w:eastAsia="en-GB"/>
              </w:rPr>
              <w:t xml:space="preserve">for output floor calculation </w:t>
            </w:r>
            <w:r w:rsidR="00FA2E89">
              <w:rPr>
                <w:rFonts w:eastAsia="新細明體"/>
                <w:sz w:val="17"/>
                <w:lang w:eastAsia="en-GB"/>
              </w:rPr>
              <w:t xml:space="preserve">(i.e. </w:t>
            </w:r>
            <w:r>
              <w:rPr>
                <w:rFonts w:eastAsia="新細明體"/>
                <w:sz w:val="17"/>
                <w:lang w:eastAsia="en-GB"/>
              </w:rPr>
              <w:t xml:space="preserve">in accordance with </w:t>
            </w:r>
            <w:r w:rsidR="00B3729C">
              <w:rPr>
                <w:rFonts w:eastAsia="新細明體"/>
                <w:sz w:val="17"/>
                <w:lang w:eastAsia="en-GB"/>
              </w:rPr>
              <w:t xml:space="preserve">BCR </w:t>
            </w:r>
            <w:r w:rsidR="00B3729C" w:rsidRPr="00B3729C">
              <w:rPr>
                <w:rFonts w:eastAsia="新細明體" w:hint="eastAsia"/>
                <w:sz w:val="17"/>
                <w:lang w:eastAsia="en-GB"/>
              </w:rPr>
              <w:t>§</w:t>
            </w:r>
            <w:r>
              <w:rPr>
                <w:rFonts w:eastAsia="新細明體"/>
                <w:sz w:val="17"/>
                <w:lang w:eastAsia="en-GB"/>
              </w:rPr>
              <w:t>356(2)(a)</w:t>
            </w:r>
            <w:r w:rsidR="00FA2E89">
              <w:rPr>
                <w:rFonts w:eastAsia="新細明體"/>
                <w:sz w:val="17"/>
                <w:lang w:eastAsia="en-GB"/>
              </w:rPr>
              <w:t>)</w:t>
            </w:r>
            <w:r w:rsidRPr="009A15B1">
              <w:rPr>
                <w:rFonts w:eastAsia="新細明體"/>
                <w:sz w:val="17"/>
                <w:lang w:eastAsia="en-GB"/>
              </w:rPr>
              <w:t xml:space="preserve"> for credit </w:t>
            </w:r>
            <w:r w:rsidRPr="0058268D">
              <w:rPr>
                <w:rFonts w:eastAsia="新細明體"/>
                <w:sz w:val="17"/>
                <w:lang w:eastAsia="en-GB"/>
              </w:rPr>
              <w:t xml:space="preserve">risk for non-securitization exposures at the </w:t>
            </w:r>
            <w:r>
              <w:rPr>
                <w:rFonts w:eastAsia="新細明體"/>
                <w:sz w:val="17"/>
                <w:lang w:eastAsia="en-GB"/>
              </w:rPr>
              <w:t xml:space="preserve">exposure </w:t>
            </w:r>
            <w:r w:rsidRPr="0058268D">
              <w:rPr>
                <w:rFonts w:eastAsia="新細明體"/>
                <w:sz w:val="17"/>
                <w:lang w:eastAsia="en-GB"/>
              </w:rPr>
              <w:t>class level against the corresponding RWA figure calculated under the approaches</w:t>
            </w:r>
            <w:r w:rsidR="00CA56FA">
              <w:rPr>
                <w:rFonts w:eastAsia="新細明體"/>
                <w:sz w:val="17"/>
                <w:lang w:eastAsia="en-GB"/>
              </w:rPr>
              <w:t>,</w:t>
            </w:r>
            <w:r w:rsidRPr="0058268D">
              <w:rPr>
                <w:rFonts w:eastAsia="新細明體"/>
                <w:sz w:val="17"/>
                <w:lang w:eastAsia="en-GB"/>
              </w:rPr>
              <w:t xml:space="preserve"> including both the STC approach and IRB approach </w:t>
            </w:r>
            <w:r w:rsidR="00CA56FA">
              <w:rPr>
                <w:rFonts w:eastAsia="新細明體"/>
                <w:sz w:val="17"/>
                <w:lang w:eastAsia="en-GB"/>
              </w:rPr>
              <w:t>(</w:t>
            </w:r>
            <w:r w:rsidRPr="0058268D">
              <w:rPr>
                <w:rFonts w:eastAsia="新細明體"/>
                <w:sz w:val="17"/>
                <w:lang w:eastAsia="en-GB"/>
              </w:rPr>
              <w:t>including the supervisory slotting criteria approach)</w:t>
            </w:r>
            <w:r w:rsidR="00CA56FA">
              <w:rPr>
                <w:rFonts w:eastAsia="新細明體"/>
                <w:sz w:val="17"/>
                <w:lang w:eastAsia="en-GB"/>
              </w:rPr>
              <w:t>,</w:t>
            </w:r>
            <w:r w:rsidRPr="0058268D">
              <w:rPr>
                <w:rFonts w:eastAsia="新細明體"/>
                <w:sz w:val="17"/>
                <w:lang w:eastAsia="en-GB"/>
              </w:rPr>
              <w:t xml:space="preserve"> used by the AI for calculating its credit risk.</w:t>
            </w:r>
          </w:p>
        </w:tc>
      </w:tr>
      <w:tr w:rsidR="00260576" w:rsidRPr="004E457E" w14:paraId="5602D155" w14:textId="77777777" w:rsidTr="00AC6CAB">
        <w:tc>
          <w:tcPr>
            <w:tcW w:w="1985" w:type="dxa"/>
          </w:tcPr>
          <w:p w14:paraId="61150100" w14:textId="77777777" w:rsidR="00260576" w:rsidRPr="004E457E" w:rsidRDefault="00260576" w:rsidP="00AC6CAB">
            <w:pPr>
              <w:spacing w:before="40" w:after="40"/>
              <w:rPr>
                <w:b/>
                <w:sz w:val="17"/>
                <w:lang w:eastAsia="en-GB"/>
              </w:rPr>
            </w:pPr>
            <w:r w:rsidRPr="004E457E">
              <w:rPr>
                <w:b/>
                <w:sz w:val="17"/>
                <w:lang w:eastAsia="en-GB"/>
              </w:rPr>
              <w:t xml:space="preserve">Scope of application: </w:t>
            </w:r>
          </w:p>
        </w:tc>
        <w:tc>
          <w:tcPr>
            <w:tcW w:w="7257" w:type="dxa"/>
          </w:tcPr>
          <w:p w14:paraId="7DD45661" w14:textId="59EBD0F3" w:rsidR="00260576" w:rsidRPr="004E457E" w:rsidRDefault="00260576" w:rsidP="00AC6CAB">
            <w:pPr>
              <w:spacing w:before="40" w:after="40"/>
              <w:jc w:val="both"/>
              <w:rPr>
                <w:rFonts w:eastAsia="新細明體"/>
                <w:b/>
                <w:sz w:val="17"/>
                <w:lang w:eastAsia="en-GB"/>
              </w:rPr>
            </w:pPr>
            <w:r w:rsidRPr="009A15B1">
              <w:rPr>
                <w:rFonts w:eastAsia="新細明體"/>
                <w:sz w:val="17"/>
                <w:lang w:eastAsia="en-GB"/>
              </w:rPr>
              <w:t xml:space="preserve">The template is mandatory for all </w:t>
            </w:r>
            <w:r>
              <w:rPr>
                <w:rFonts w:eastAsia="新細明體"/>
                <w:sz w:val="17"/>
                <w:lang w:eastAsia="en-GB"/>
              </w:rPr>
              <w:t xml:space="preserve">AIs </w:t>
            </w:r>
            <w:r w:rsidRPr="00DE69D5">
              <w:rPr>
                <w:rFonts w:eastAsia="新細明體"/>
                <w:sz w:val="17"/>
                <w:lang w:eastAsia="en-GB"/>
              </w:rPr>
              <w:t xml:space="preserve">incorporated in Hong Kong </w:t>
            </w:r>
            <w:r>
              <w:rPr>
                <w:rFonts w:eastAsia="新細明體"/>
                <w:sz w:val="17"/>
                <w:lang w:eastAsia="en-GB"/>
              </w:rPr>
              <w:t xml:space="preserve">that use IRB approach </w:t>
            </w:r>
            <w:r w:rsidRPr="009A15B1">
              <w:rPr>
                <w:rFonts w:eastAsia="新細明體"/>
                <w:sz w:val="17"/>
                <w:lang w:eastAsia="en-GB"/>
              </w:rPr>
              <w:t>for</w:t>
            </w:r>
            <w:r>
              <w:rPr>
                <w:rFonts w:eastAsia="新細明體"/>
                <w:sz w:val="17"/>
                <w:lang w:eastAsia="en-GB"/>
              </w:rPr>
              <w:t xml:space="preserve"> all or part of its </w:t>
            </w:r>
            <w:r w:rsidRPr="009A15B1">
              <w:rPr>
                <w:rFonts w:eastAsia="新細明體"/>
                <w:sz w:val="17"/>
                <w:lang w:eastAsia="en-GB"/>
              </w:rPr>
              <w:t>credit risk</w:t>
            </w:r>
            <w:r>
              <w:rPr>
                <w:rFonts w:eastAsia="新細明體"/>
                <w:sz w:val="17"/>
                <w:lang w:eastAsia="en-GB"/>
              </w:rPr>
              <w:t xml:space="preserve"> for non-securitization exposures</w:t>
            </w:r>
            <w:r w:rsidRPr="009A15B1">
              <w:rPr>
                <w:rFonts w:eastAsia="新細明體"/>
                <w:sz w:val="17"/>
                <w:lang w:eastAsia="en-GB"/>
              </w:rPr>
              <w:t>.</w:t>
            </w:r>
            <w:r>
              <w:rPr>
                <w:rFonts w:eastAsia="新細明體"/>
                <w:sz w:val="17"/>
                <w:lang w:eastAsia="en-GB"/>
              </w:rPr>
              <w:t xml:space="preserve"> </w:t>
            </w:r>
            <w:r w:rsidRPr="009A15B1">
              <w:rPr>
                <w:rFonts w:eastAsia="新細明體"/>
                <w:sz w:val="17"/>
                <w:lang w:eastAsia="en-GB"/>
              </w:rPr>
              <w:t xml:space="preserve"> </w:t>
            </w:r>
            <w:r>
              <w:rPr>
                <w:rFonts w:eastAsia="新細明體"/>
                <w:sz w:val="17"/>
                <w:lang w:eastAsia="en-GB"/>
              </w:rPr>
              <w:t>Same as</w:t>
            </w:r>
            <w:r w:rsidRPr="009A15B1">
              <w:rPr>
                <w:rFonts w:eastAsia="新細明體"/>
                <w:sz w:val="17"/>
                <w:lang w:eastAsia="en-GB"/>
              </w:rPr>
              <w:t xml:space="preserve"> row 1 of Template CMS1, it excludes </w:t>
            </w:r>
            <w:r>
              <w:rPr>
                <w:rFonts w:eastAsia="新細明體"/>
                <w:sz w:val="17"/>
                <w:lang w:eastAsia="en-GB"/>
              </w:rPr>
              <w:t xml:space="preserve">all positions subject to capital requirements relating to </w:t>
            </w:r>
            <w:r w:rsidRPr="0058268D">
              <w:rPr>
                <w:rFonts w:cs="Segoe UI"/>
                <w:sz w:val="17"/>
                <w:szCs w:val="17"/>
              </w:rPr>
              <w:t xml:space="preserve">counterparty </w:t>
            </w:r>
            <w:r>
              <w:rPr>
                <w:rFonts w:cs="Segoe UI"/>
                <w:sz w:val="17"/>
                <w:szCs w:val="17"/>
              </w:rPr>
              <w:t>credit</w:t>
            </w:r>
            <w:r w:rsidRPr="0058268D">
              <w:rPr>
                <w:rFonts w:cs="Segoe UI"/>
                <w:sz w:val="17"/>
                <w:szCs w:val="17"/>
              </w:rPr>
              <w:t xml:space="preserve"> risk and default fund contribution, CVA risk</w:t>
            </w:r>
            <w:r w:rsidRPr="0058268D">
              <w:rPr>
                <w:rFonts w:eastAsia="新細明體"/>
                <w:sz w:val="17"/>
                <w:lang w:eastAsia="en-GB"/>
              </w:rPr>
              <w:t xml:space="preserve">, CIS, settlement risk and securitization framework (including securitization exposures in the banking book) and </w:t>
            </w:r>
            <w:r w:rsidRPr="0058268D">
              <w:rPr>
                <w:rFonts w:cs="Segoe UI"/>
                <w:sz w:val="17"/>
                <w:szCs w:val="17"/>
                <w:lang w:eastAsia="en-GB"/>
              </w:rPr>
              <w:t>amounts below the thresholds for deduction from CET1 capital and subject to a 250% risk-weight</w:t>
            </w:r>
            <w:r w:rsidRPr="0058268D">
              <w:rPr>
                <w:rFonts w:eastAsia="新細明體"/>
                <w:sz w:val="17"/>
                <w:lang w:eastAsia="en-GB"/>
              </w:rPr>
              <w:t>.</w:t>
            </w:r>
            <w:r>
              <w:rPr>
                <w:rFonts w:eastAsia="新細明體"/>
                <w:sz w:val="17"/>
                <w:lang w:eastAsia="en-GB"/>
              </w:rPr>
              <w:t xml:space="preserve">  </w:t>
            </w:r>
          </w:p>
        </w:tc>
      </w:tr>
      <w:tr w:rsidR="00260576" w:rsidRPr="004E457E" w14:paraId="7FCE2D76" w14:textId="77777777" w:rsidTr="00AC6CAB">
        <w:tc>
          <w:tcPr>
            <w:tcW w:w="1985" w:type="dxa"/>
          </w:tcPr>
          <w:p w14:paraId="45257ABA" w14:textId="77777777" w:rsidR="00260576" w:rsidRPr="004E457E" w:rsidRDefault="00260576" w:rsidP="00AC6CAB">
            <w:pPr>
              <w:spacing w:before="40" w:after="40"/>
              <w:rPr>
                <w:b/>
                <w:sz w:val="17"/>
                <w:lang w:eastAsia="en-GB"/>
              </w:rPr>
            </w:pPr>
            <w:r w:rsidRPr="004E457E">
              <w:rPr>
                <w:b/>
                <w:sz w:val="17"/>
                <w:lang w:eastAsia="en-GB"/>
              </w:rPr>
              <w:t xml:space="preserve">Content: </w:t>
            </w:r>
          </w:p>
        </w:tc>
        <w:tc>
          <w:tcPr>
            <w:tcW w:w="7257" w:type="dxa"/>
          </w:tcPr>
          <w:p w14:paraId="49E20B09" w14:textId="77777777" w:rsidR="00260576" w:rsidRPr="004E457E" w:rsidRDefault="00260576" w:rsidP="00AC6CAB">
            <w:pPr>
              <w:spacing w:before="40" w:after="40"/>
              <w:jc w:val="both"/>
              <w:rPr>
                <w:rFonts w:eastAsia="新細明體"/>
                <w:b/>
                <w:sz w:val="17"/>
                <w:lang w:eastAsia="en-GB"/>
              </w:rPr>
            </w:pPr>
            <w:r w:rsidRPr="00606AE3">
              <w:rPr>
                <w:rFonts w:eastAsia="新細明體"/>
                <w:sz w:val="17"/>
                <w:lang w:eastAsia="en-GB"/>
              </w:rPr>
              <w:t>RWA</w:t>
            </w:r>
            <w:r w:rsidRPr="004E457E">
              <w:rPr>
                <w:rFonts w:eastAsia="新細明體"/>
                <w:sz w:val="17"/>
                <w:lang w:eastAsia="en-GB"/>
              </w:rPr>
              <w:t>.</w:t>
            </w:r>
          </w:p>
        </w:tc>
      </w:tr>
      <w:tr w:rsidR="00260576" w:rsidRPr="004E457E" w14:paraId="3CF2A993" w14:textId="77777777" w:rsidTr="00AC6CAB">
        <w:tc>
          <w:tcPr>
            <w:tcW w:w="1985" w:type="dxa"/>
          </w:tcPr>
          <w:p w14:paraId="23B2F5DD" w14:textId="77777777" w:rsidR="00260576" w:rsidRPr="004E457E" w:rsidRDefault="00260576" w:rsidP="00AC6CAB">
            <w:pPr>
              <w:spacing w:before="40" w:after="40"/>
              <w:rPr>
                <w:sz w:val="17"/>
                <w:lang w:eastAsia="en-GB"/>
              </w:rPr>
            </w:pPr>
            <w:r w:rsidRPr="004E457E">
              <w:rPr>
                <w:b/>
                <w:sz w:val="17"/>
                <w:lang w:eastAsia="en-GB"/>
              </w:rPr>
              <w:t>Frequency:</w:t>
            </w:r>
            <w:r w:rsidRPr="004E457E">
              <w:rPr>
                <w:sz w:val="17"/>
                <w:lang w:eastAsia="en-GB"/>
              </w:rPr>
              <w:t xml:space="preserve"> </w:t>
            </w:r>
          </w:p>
        </w:tc>
        <w:tc>
          <w:tcPr>
            <w:tcW w:w="7257" w:type="dxa"/>
          </w:tcPr>
          <w:p w14:paraId="238EEBA4" w14:textId="77777777" w:rsidR="00260576" w:rsidRPr="004E457E" w:rsidRDefault="00260576" w:rsidP="00AC6CAB">
            <w:pPr>
              <w:spacing w:before="40" w:after="40"/>
              <w:jc w:val="both"/>
              <w:rPr>
                <w:rFonts w:eastAsia="新細明體"/>
                <w:sz w:val="17"/>
                <w:lang w:eastAsia="en-GB"/>
              </w:rPr>
            </w:pPr>
            <w:r w:rsidRPr="00A64FFE">
              <w:rPr>
                <w:rFonts w:eastAsia="新細明體"/>
                <w:sz w:val="17"/>
                <w:lang w:eastAsia="en-GB"/>
              </w:rPr>
              <w:t>Semi</w:t>
            </w:r>
            <w:r>
              <w:rPr>
                <w:rFonts w:eastAsia="新細明體"/>
                <w:sz w:val="17"/>
                <w:lang w:eastAsia="en-GB"/>
              </w:rPr>
              <w:t>-</w:t>
            </w:r>
            <w:r w:rsidRPr="00A64FFE">
              <w:rPr>
                <w:rFonts w:eastAsia="新細明體"/>
                <w:sz w:val="17"/>
                <w:lang w:eastAsia="en-GB"/>
              </w:rPr>
              <w:t>annual</w:t>
            </w:r>
            <w:r w:rsidRPr="004E457E">
              <w:rPr>
                <w:rFonts w:eastAsia="新細明體"/>
                <w:sz w:val="17"/>
                <w:lang w:eastAsia="en-GB"/>
              </w:rPr>
              <w:t>.</w:t>
            </w:r>
          </w:p>
        </w:tc>
      </w:tr>
      <w:tr w:rsidR="00260576" w:rsidRPr="004E457E" w14:paraId="39322368" w14:textId="77777777" w:rsidTr="00AC6CAB">
        <w:tc>
          <w:tcPr>
            <w:tcW w:w="1985" w:type="dxa"/>
          </w:tcPr>
          <w:p w14:paraId="446052AE" w14:textId="77777777" w:rsidR="00260576" w:rsidRPr="004E457E" w:rsidRDefault="00260576" w:rsidP="00AC6CAB">
            <w:pPr>
              <w:spacing w:before="40" w:after="40"/>
              <w:rPr>
                <w:sz w:val="17"/>
                <w:lang w:eastAsia="en-GB"/>
              </w:rPr>
            </w:pPr>
            <w:r w:rsidRPr="004E457E">
              <w:rPr>
                <w:b/>
                <w:sz w:val="17"/>
                <w:lang w:eastAsia="en-GB"/>
              </w:rPr>
              <w:t>Format:</w:t>
            </w:r>
            <w:r w:rsidRPr="004E457E">
              <w:rPr>
                <w:sz w:val="17"/>
                <w:lang w:eastAsia="en-GB"/>
              </w:rPr>
              <w:t xml:space="preserve"> </w:t>
            </w:r>
          </w:p>
        </w:tc>
        <w:tc>
          <w:tcPr>
            <w:tcW w:w="7257" w:type="dxa"/>
          </w:tcPr>
          <w:p w14:paraId="3E50B4BA" w14:textId="752F3687" w:rsidR="00260576" w:rsidRPr="004E457E" w:rsidRDefault="00260576" w:rsidP="00616571">
            <w:pPr>
              <w:spacing w:before="40" w:after="40"/>
              <w:jc w:val="both"/>
              <w:rPr>
                <w:rFonts w:eastAsia="新細明體"/>
                <w:noProof/>
                <w:sz w:val="17"/>
                <w:lang w:eastAsia="en-GB"/>
              </w:rPr>
            </w:pPr>
            <w:r w:rsidRPr="008661F0">
              <w:rPr>
                <w:rFonts w:eastAsia="新細明體"/>
                <w:sz w:val="17"/>
                <w:lang w:eastAsia="en-GB"/>
              </w:rPr>
              <w:t xml:space="preserve">Fixed. </w:t>
            </w:r>
            <w:r>
              <w:rPr>
                <w:rFonts w:eastAsia="新細明體"/>
                <w:sz w:val="17"/>
                <w:lang w:eastAsia="en-GB"/>
              </w:rPr>
              <w:t xml:space="preserve"> </w:t>
            </w:r>
            <w:r w:rsidRPr="008661F0">
              <w:rPr>
                <w:rFonts w:eastAsia="新細明體"/>
                <w:sz w:val="17"/>
                <w:lang w:eastAsia="en-GB"/>
              </w:rPr>
              <w:t xml:space="preserve">The </w:t>
            </w:r>
            <w:r w:rsidRPr="0058268D">
              <w:rPr>
                <w:rFonts w:eastAsia="新細明體"/>
                <w:sz w:val="17"/>
                <w:lang w:eastAsia="en-GB"/>
              </w:rPr>
              <w:t>columns are fixed, but the portfolio breakdowns in the rows reflect the exposure classification under Part 6 and Part 4 of the BCR.  AIs are encouraged</w:t>
            </w:r>
            <w:r w:rsidRPr="008661F0">
              <w:rPr>
                <w:rFonts w:eastAsia="新細明體"/>
                <w:sz w:val="17"/>
                <w:lang w:eastAsia="en-GB"/>
              </w:rPr>
              <w:t xml:space="preserve"> to add rows to show where significant differences occur.</w:t>
            </w:r>
          </w:p>
        </w:tc>
      </w:tr>
      <w:tr w:rsidR="00260576" w:rsidRPr="004E457E" w14:paraId="47F6DDF1" w14:textId="77777777" w:rsidTr="00AC6CAB">
        <w:tc>
          <w:tcPr>
            <w:tcW w:w="1985" w:type="dxa"/>
          </w:tcPr>
          <w:p w14:paraId="53850C78" w14:textId="77777777" w:rsidR="00260576" w:rsidRPr="004E457E" w:rsidRDefault="00260576" w:rsidP="00AC6CAB">
            <w:pPr>
              <w:spacing w:before="40" w:after="40"/>
              <w:rPr>
                <w:b/>
                <w:sz w:val="17"/>
                <w:lang w:eastAsia="en-GB"/>
              </w:rPr>
            </w:pPr>
            <w:r w:rsidRPr="004E457E">
              <w:rPr>
                <w:rFonts w:eastAsia="新細明體"/>
                <w:b/>
                <w:sz w:val="17"/>
                <w:szCs w:val="17"/>
                <w:lang w:eastAsia="en-GB"/>
              </w:rPr>
              <w:t>Accompanying narrative</w:t>
            </w:r>
            <w:r w:rsidRPr="004E457E">
              <w:rPr>
                <w:rFonts w:eastAsia="新細明體"/>
                <w:sz w:val="17"/>
                <w:szCs w:val="17"/>
                <w:lang w:eastAsia="en-GB"/>
              </w:rPr>
              <w:t>:</w:t>
            </w:r>
          </w:p>
        </w:tc>
        <w:tc>
          <w:tcPr>
            <w:tcW w:w="7257" w:type="dxa"/>
          </w:tcPr>
          <w:p w14:paraId="4C85E6DF" w14:textId="54723109" w:rsidR="00260576" w:rsidRPr="006C5248" w:rsidRDefault="00260576" w:rsidP="00AC6CAB">
            <w:pPr>
              <w:spacing w:before="40" w:after="40"/>
              <w:jc w:val="both"/>
              <w:rPr>
                <w:rFonts w:eastAsia="新細明體"/>
                <w:sz w:val="17"/>
                <w:szCs w:val="17"/>
                <w:lang w:eastAsia="en-GB"/>
              </w:rPr>
            </w:pPr>
            <w:r w:rsidRPr="00BD33F1">
              <w:rPr>
                <w:rFonts w:eastAsia="新細明體"/>
                <w:sz w:val="17"/>
                <w:szCs w:val="17"/>
                <w:lang w:eastAsia="en-GB"/>
              </w:rPr>
              <w:t xml:space="preserve">An AI </w:t>
            </w:r>
            <w:r w:rsidR="004529D2" w:rsidRPr="00BD33F1">
              <w:rPr>
                <w:rFonts w:eastAsia="新細明體"/>
                <w:sz w:val="17"/>
                <w:szCs w:val="17"/>
                <w:lang w:eastAsia="en-GB"/>
              </w:rPr>
              <w:t>should</w:t>
            </w:r>
            <w:r w:rsidRPr="00BD33F1">
              <w:rPr>
                <w:rFonts w:eastAsia="新細明體"/>
                <w:sz w:val="17"/>
                <w:szCs w:val="17"/>
                <w:lang w:eastAsia="en-GB"/>
              </w:rPr>
              <w:t xml:space="preserve"> explain the main drivers of differences between the internally modelled amounts disclosed that are used to calculate their capital ratios and amounts disclosed should the AI apply the STC approach in accordance with Part 11 of the BCR.  Where differences are attributable to mapping between IRB approach and STC approach, the AI is encouraged to provide explanation and estimated materiality. </w:t>
            </w:r>
          </w:p>
        </w:tc>
      </w:tr>
      <w:tr w:rsidR="00260576" w:rsidRPr="004E457E" w14:paraId="3CE8AB49" w14:textId="77777777" w:rsidTr="00AC6CAB">
        <w:tc>
          <w:tcPr>
            <w:tcW w:w="1985" w:type="dxa"/>
          </w:tcPr>
          <w:p w14:paraId="64AD33BA" w14:textId="77777777" w:rsidR="00260576" w:rsidRPr="004E457E" w:rsidRDefault="00260576" w:rsidP="00AC6CAB">
            <w:pPr>
              <w:spacing w:before="40" w:after="40"/>
              <w:rPr>
                <w:rFonts w:eastAsia="新細明體"/>
                <w:b/>
                <w:sz w:val="17"/>
                <w:szCs w:val="17"/>
                <w:lang w:eastAsia="en-GB"/>
              </w:rPr>
            </w:pPr>
            <w:r w:rsidRPr="004E457E">
              <w:rPr>
                <w:rFonts w:eastAsia="新細明體"/>
                <w:b/>
                <w:sz w:val="17"/>
                <w:szCs w:val="17"/>
                <w:lang w:eastAsia="en-GB"/>
              </w:rPr>
              <w:t>Corresponding BDR section:</w:t>
            </w:r>
          </w:p>
        </w:tc>
        <w:tc>
          <w:tcPr>
            <w:tcW w:w="7257" w:type="dxa"/>
          </w:tcPr>
          <w:p w14:paraId="63A643DB" w14:textId="032A70C7" w:rsidR="00260576" w:rsidRPr="00BD33F1" w:rsidRDefault="00260576" w:rsidP="00AC6CAB">
            <w:pPr>
              <w:spacing w:before="40" w:after="40"/>
              <w:jc w:val="both"/>
              <w:rPr>
                <w:rFonts w:eastAsia="新細明體"/>
                <w:sz w:val="17"/>
                <w:szCs w:val="17"/>
                <w:lang w:eastAsia="en-GB"/>
              </w:rPr>
            </w:pPr>
            <w:r w:rsidRPr="00BD33F1">
              <w:rPr>
                <w:rFonts w:eastAsia="新細明體"/>
                <w:sz w:val="17"/>
                <w:szCs w:val="17"/>
                <w:lang w:eastAsia="en-GB"/>
              </w:rPr>
              <w:t>16ZQF</w:t>
            </w:r>
          </w:p>
          <w:p w14:paraId="7C8607DD" w14:textId="77777777" w:rsidR="00260576" w:rsidRPr="00BD33F1" w:rsidRDefault="00260576" w:rsidP="00AC6CAB">
            <w:pPr>
              <w:spacing w:before="40" w:after="40"/>
              <w:jc w:val="both"/>
              <w:rPr>
                <w:rFonts w:eastAsia="新細明體"/>
                <w:sz w:val="17"/>
                <w:szCs w:val="17"/>
                <w:lang w:eastAsia="en-GB"/>
              </w:rPr>
            </w:pPr>
          </w:p>
        </w:tc>
      </w:tr>
    </w:tbl>
    <w:p w14:paraId="3A764252" w14:textId="7DBEA970" w:rsidR="00260576" w:rsidRDefault="00260576" w:rsidP="00260576">
      <w:pPr>
        <w:spacing w:before="120" w:after="120"/>
        <w:rPr>
          <w:sz w:val="22"/>
        </w:rPr>
      </w:pPr>
    </w:p>
    <w:p w14:paraId="167720C8" w14:textId="4EA6495A" w:rsidR="002F7B03" w:rsidRDefault="002F7B03" w:rsidP="00260576">
      <w:pPr>
        <w:spacing w:before="120" w:after="120"/>
        <w:rPr>
          <w:sz w:val="22"/>
        </w:rPr>
      </w:pPr>
    </w:p>
    <w:p w14:paraId="5C58EBCB" w14:textId="77777777" w:rsidR="002F7B03" w:rsidRPr="004E457E" w:rsidRDefault="002F7B03" w:rsidP="00260576">
      <w:pPr>
        <w:spacing w:before="120" w:after="120"/>
        <w:rPr>
          <w:sz w:val="22"/>
        </w:rPr>
      </w:pPr>
    </w:p>
    <w:tbl>
      <w:tblPr>
        <w:tblW w:w="9957" w:type="dxa"/>
        <w:tblInd w:w="-459" w:type="dxa"/>
        <w:tblBorders>
          <w:top w:val="single" w:sz="4" w:space="0" w:color="BCBDBC"/>
          <w:left w:val="single" w:sz="4" w:space="0" w:color="BCBDBC"/>
          <w:bottom w:val="single" w:sz="4" w:space="0" w:color="BCBDBC"/>
          <w:right w:val="single" w:sz="4" w:space="0" w:color="BCBDBC"/>
          <w:insideH w:val="single" w:sz="4" w:space="0" w:color="BCBDBC"/>
          <w:insideV w:val="single" w:sz="4" w:space="0" w:color="BCBDBC"/>
        </w:tblBorders>
        <w:tblLayout w:type="fixed"/>
        <w:tblLook w:val="0600" w:firstRow="0" w:lastRow="0" w:firstColumn="0" w:lastColumn="0" w:noHBand="1" w:noVBand="1"/>
      </w:tblPr>
      <w:tblGrid>
        <w:gridCol w:w="567"/>
        <w:gridCol w:w="3578"/>
        <w:gridCol w:w="1418"/>
        <w:gridCol w:w="1559"/>
        <w:gridCol w:w="1276"/>
        <w:gridCol w:w="1559"/>
      </w:tblGrid>
      <w:tr w:rsidR="00260576" w:rsidRPr="004E457E" w14:paraId="4BEB911A" w14:textId="77777777" w:rsidTr="00AC6CAB">
        <w:trPr>
          <w:trHeight w:val="299"/>
          <w:tblHeader/>
        </w:trPr>
        <w:tc>
          <w:tcPr>
            <w:tcW w:w="567" w:type="dxa"/>
            <w:tcBorders>
              <w:top w:val="nil"/>
              <w:left w:val="nil"/>
              <w:bottom w:val="nil"/>
              <w:right w:val="nil"/>
            </w:tcBorders>
          </w:tcPr>
          <w:p w14:paraId="65DB0859" w14:textId="77777777" w:rsidR="00260576" w:rsidRPr="004E457E" w:rsidRDefault="00260576" w:rsidP="00AC6CAB">
            <w:pPr>
              <w:keepLines/>
              <w:snapToGrid w:val="0"/>
              <w:rPr>
                <w:rFonts w:cs="Segoe UI"/>
                <w:i/>
                <w:sz w:val="17"/>
                <w:szCs w:val="17"/>
                <w:lang w:eastAsia="en-GB"/>
              </w:rPr>
            </w:pPr>
          </w:p>
        </w:tc>
        <w:tc>
          <w:tcPr>
            <w:tcW w:w="3578" w:type="dxa"/>
            <w:tcBorders>
              <w:top w:val="nil"/>
              <w:left w:val="nil"/>
              <w:bottom w:val="nil"/>
              <w:right w:val="single" w:sz="4" w:space="0" w:color="auto"/>
            </w:tcBorders>
          </w:tcPr>
          <w:p w14:paraId="1EDC1FE4" w14:textId="77777777" w:rsidR="00260576" w:rsidRPr="004E457E" w:rsidRDefault="00260576" w:rsidP="00AC6CAB">
            <w:pPr>
              <w:keepLines/>
              <w:snapToGrid w:val="0"/>
              <w:rPr>
                <w:rFonts w:cs="Segoe UI"/>
                <w:i/>
                <w:sz w:val="17"/>
                <w:szCs w:val="17"/>
                <w:lang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7DC03455" w14:textId="77777777" w:rsidR="00260576" w:rsidRPr="004E457E" w:rsidRDefault="00260576" w:rsidP="00AC6CAB">
            <w:pPr>
              <w:keepLines/>
              <w:snapToGrid w:val="0"/>
              <w:spacing w:before="40" w:after="40"/>
              <w:jc w:val="center"/>
              <w:rPr>
                <w:rFonts w:cs="Segoe UI"/>
                <w:sz w:val="17"/>
                <w:szCs w:val="17"/>
                <w:lang w:eastAsia="en-GB"/>
              </w:rPr>
            </w:pPr>
            <w:r w:rsidRPr="004E457E">
              <w:rPr>
                <w:rFonts w:cs="Segoe UI"/>
                <w:sz w:val="17"/>
                <w:szCs w:val="17"/>
                <w:lang w:eastAsia="en-GB"/>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51A49E29" w14:textId="77777777" w:rsidR="00260576" w:rsidRPr="004E457E" w:rsidRDefault="00260576" w:rsidP="00AC6CAB">
            <w:pPr>
              <w:keepLines/>
              <w:snapToGrid w:val="0"/>
              <w:spacing w:before="40" w:after="40"/>
              <w:jc w:val="center"/>
              <w:rPr>
                <w:rFonts w:cs="Segoe UI"/>
                <w:sz w:val="17"/>
                <w:szCs w:val="17"/>
                <w:lang w:eastAsia="en-GB"/>
              </w:rPr>
            </w:pPr>
            <w:r w:rsidRPr="004E457E">
              <w:rPr>
                <w:rFonts w:cs="Segoe UI"/>
                <w:sz w:val="17"/>
                <w:szCs w:val="17"/>
                <w:lang w:eastAsia="en-GB"/>
              </w:rPr>
              <w:t>(b)</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3545958" w14:textId="77777777" w:rsidR="00260576" w:rsidRPr="004E457E" w:rsidRDefault="00260576" w:rsidP="00AC6CAB">
            <w:pPr>
              <w:keepLines/>
              <w:snapToGrid w:val="0"/>
              <w:spacing w:before="40" w:after="40"/>
              <w:jc w:val="center"/>
              <w:rPr>
                <w:rFonts w:cs="Segoe UI"/>
                <w:sz w:val="17"/>
                <w:szCs w:val="17"/>
                <w:lang w:eastAsia="en-GB"/>
              </w:rPr>
            </w:pPr>
            <w:r w:rsidRPr="004E457E">
              <w:rPr>
                <w:rFonts w:cs="Segoe UI"/>
                <w:sz w:val="17"/>
                <w:szCs w:val="17"/>
                <w:lang w:eastAsia="en-GB"/>
              </w:rPr>
              <w:t>(c)</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45F465A0" w14:textId="77777777" w:rsidR="00260576" w:rsidRPr="004E457E" w:rsidRDefault="00260576" w:rsidP="00AC6CAB">
            <w:pPr>
              <w:keepLines/>
              <w:snapToGrid w:val="0"/>
              <w:spacing w:before="40" w:after="40"/>
              <w:jc w:val="center"/>
              <w:rPr>
                <w:rFonts w:cs="Segoe UI"/>
                <w:sz w:val="17"/>
                <w:szCs w:val="17"/>
                <w:lang w:eastAsia="en-GB"/>
              </w:rPr>
            </w:pPr>
            <w:r>
              <w:rPr>
                <w:rFonts w:cs="Segoe UI"/>
                <w:sz w:val="17"/>
                <w:szCs w:val="17"/>
                <w:lang w:eastAsia="en-GB"/>
              </w:rPr>
              <w:t>(d)</w:t>
            </w:r>
          </w:p>
        </w:tc>
      </w:tr>
      <w:tr w:rsidR="00260576" w:rsidRPr="004E457E" w14:paraId="52438720" w14:textId="77777777" w:rsidTr="00AC6CAB">
        <w:trPr>
          <w:trHeight w:val="275"/>
          <w:tblHeader/>
        </w:trPr>
        <w:tc>
          <w:tcPr>
            <w:tcW w:w="567" w:type="dxa"/>
            <w:tcBorders>
              <w:top w:val="nil"/>
              <w:left w:val="nil"/>
              <w:bottom w:val="nil"/>
              <w:right w:val="nil"/>
            </w:tcBorders>
          </w:tcPr>
          <w:p w14:paraId="272A7474" w14:textId="77777777" w:rsidR="00260576" w:rsidRPr="004E457E" w:rsidRDefault="00260576" w:rsidP="00AC6CAB">
            <w:pPr>
              <w:keepLines/>
              <w:snapToGrid w:val="0"/>
              <w:rPr>
                <w:rFonts w:cs="Segoe UI"/>
                <w:i/>
                <w:sz w:val="17"/>
                <w:szCs w:val="17"/>
                <w:lang w:eastAsia="en-GB"/>
              </w:rPr>
            </w:pPr>
          </w:p>
        </w:tc>
        <w:tc>
          <w:tcPr>
            <w:tcW w:w="3578" w:type="dxa"/>
            <w:vMerge w:val="restart"/>
            <w:tcBorders>
              <w:top w:val="nil"/>
              <w:left w:val="nil"/>
              <w:bottom w:val="single" w:sz="4" w:space="0" w:color="auto"/>
              <w:right w:val="single" w:sz="4" w:space="0" w:color="auto"/>
            </w:tcBorders>
          </w:tcPr>
          <w:p w14:paraId="22C25019" w14:textId="77777777" w:rsidR="00260576" w:rsidRPr="004E457E" w:rsidRDefault="00260576" w:rsidP="00AC6CAB">
            <w:pPr>
              <w:keepLines/>
              <w:snapToGrid w:val="0"/>
              <w:rPr>
                <w:rFonts w:cs="Segoe UI"/>
                <w:i/>
                <w:noProof/>
                <w:sz w:val="17"/>
                <w:szCs w:val="17"/>
                <w:lang w:eastAsia="en-GB"/>
              </w:rPr>
            </w:pPr>
          </w:p>
        </w:tc>
        <w:tc>
          <w:tcPr>
            <w:tcW w:w="581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3878D47" w14:textId="77777777" w:rsidR="00260576" w:rsidRPr="004E457E" w:rsidRDefault="00260576" w:rsidP="00AC6CAB">
            <w:pPr>
              <w:keepLines/>
              <w:snapToGrid w:val="0"/>
              <w:spacing w:before="40" w:after="40"/>
              <w:jc w:val="center"/>
              <w:rPr>
                <w:rFonts w:cs="Segoe UI"/>
                <w:sz w:val="17"/>
                <w:szCs w:val="17"/>
                <w:lang w:eastAsia="en-GB"/>
              </w:rPr>
            </w:pPr>
            <w:r w:rsidRPr="004E457E">
              <w:rPr>
                <w:rFonts w:cs="Segoe UI"/>
                <w:sz w:val="17"/>
                <w:szCs w:val="17"/>
                <w:lang w:eastAsia="en-GB"/>
              </w:rPr>
              <w:t>RWA</w:t>
            </w:r>
          </w:p>
        </w:tc>
      </w:tr>
      <w:tr w:rsidR="00260576" w:rsidRPr="004E457E" w14:paraId="23BC4C5F" w14:textId="77777777" w:rsidTr="00AC6CAB">
        <w:trPr>
          <w:trHeight w:val="245"/>
          <w:tblHeader/>
        </w:trPr>
        <w:tc>
          <w:tcPr>
            <w:tcW w:w="567" w:type="dxa"/>
            <w:tcBorders>
              <w:top w:val="nil"/>
              <w:left w:val="nil"/>
              <w:bottom w:val="single" w:sz="4" w:space="0" w:color="auto"/>
              <w:right w:val="nil"/>
            </w:tcBorders>
          </w:tcPr>
          <w:p w14:paraId="03A3C885" w14:textId="77777777" w:rsidR="00260576" w:rsidRPr="004E457E" w:rsidRDefault="00260576" w:rsidP="00AC6CAB">
            <w:pPr>
              <w:keepLines/>
              <w:snapToGrid w:val="0"/>
              <w:rPr>
                <w:rFonts w:cs="Segoe UI"/>
                <w:i/>
                <w:sz w:val="17"/>
                <w:szCs w:val="17"/>
                <w:lang w:eastAsia="en-GB"/>
              </w:rPr>
            </w:pPr>
          </w:p>
        </w:tc>
        <w:tc>
          <w:tcPr>
            <w:tcW w:w="3578" w:type="dxa"/>
            <w:vMerge/>
            <w:tcBorders>
              <w:top w:val="single" w:sz="4" w:space="0" w:color="auto"/>
              <w:left w:val="nil"/>
              <w:bottom w:val="single" w:sz="4" w:space="0" w:color="auto"/>
              <w:right w:val="single" w:sz="4" w:space="0" w:color="auto"/>
            </w:tcBorders>
          </w:tcPr>
          <w:p w14:paraId="3D504D64" w14:textId="77777777" w:rsidR="00260576" w:rsidRPr="004E457E" w:rsidRDefault="00260576" w:rsidP="00AC6CAB">
            <w:pPr>
              <w:keepLines/>
              <w:snapToGrid w:val="0"/>
              <w:rPr>
                <w:rFonts w:cs="Segoe UI"/>
                <w:i/>
                <w:sz w:val="17"/>
                <w:szCs w:val="17"/>
                <w:lang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4CB5BC36" w14:textId="77777777" w:rsidR="00260576" w:rsidRPr="004E457E" w:rsidRDefault="00260576" w:rsidP="00AC6CAB">
            <w:pPr>
              <w:keepLines/>
              <w:snapToGrid w:val="0"/>
              <w:spacing w:before="40" w:after="40"/>
              <w:jc w:val="center"/>
              <w:rPr>
                <w:rFonts w:cs="Segoe UI"/>
                <w:sz w:val="17"/>
                <w:szCs w:val="17"/>
                <w:lang w:eastAsia="en-GB"/>
              </w:rPr>
            </w:pPr>
            <w:r w:rsidRPr="000868DB">
              <w:rPr>
                <w:rFonts w:cs="Segoe UI"/>
                <w:sz w:val="17"/>
                <w:szCs w:val="17"/>
                <w:lang w:eastAsia="en-GB"/>
              </w:rPr>
              <w:t xml:space="preserve">RWA </w:t>
            </w:r>
            <w:r>
              <w:rPr>
                <w:rFonts w:cs="Segoe UI"/>
                <w:sz w:val="17"/>
                <w:szCs w:val="17"/>
                <w:lang w:eastAsia="en-GB"/>
              </w:rPr>
              <w:t xml:space="preserve">calculated under </w:t>
            </w:r>
            <w:r w:rsidRPr="000868DB">
              <w:rPr>
                <w:rFonts w:cs="Segoe UI"/>
                <w:sz w:val="17"/>
                <w:szCs w:val="17"/>
                <w:lang w:eastAsia="en-GB"/>
              </w:rPr>
              <w:t>model</w:t>
            </w:r>
            <w:r>
              <w:rPr>
                <w:rFonts w:cs="Segoe UI"/>
                <w:sz w:val="17"/>
                <w:szCs w:val="17"/>
                <w:lang w:eastAsia="en-GB"/>
              </w:rPr>
              <w:t xml:space="preserve">-based </w:t>
            </w:r>
            <w:r w:rsidRPr="000868DB">
              <w:rPr>
                <w:rFonts w:cs="Segoe UI"/>
                <w:sz w:val="17"/>
                <w:szCs w:val="17"/>
                <w:lang w:eastAsia="en-GB"/>
              </w:rPr>
              <w:t xml:space="preserve">approaches that </w:t>
            </w:r>
            <w:r>
              <w:rPr>
                <w:rFonts w:cs="Segoe UI"/>
                <w:sz w:val="17"/>
                <w:szCs w:val="17"/>
                <w:lang w:eastAsia="en-GB"/>
              </w:rPr>
              <w:t>the AI</w:t>
            </w:r>
            <w:r w:rsidRPr="000868DB">
              <w:rPr>
                <w:rFonts w:cs="Segoe UI"/>
                <w:sz w:val="17"/>
                <w:szCs w:val="17"/>
                <w:lang w:eastAsia="en-GB"/>
              </w:rPr>
              <w:t xml:space="preserve"> </w:t>
            </w:r>
            <w:r>
              <w:rPr>
                <w:rFonts w:cs="Segoe UI"/>
                <w:sz w:val="17"/>
                <w:szCs w:val="17"/>
                <w:lang w:eastAsia="en-GB"/>
              </w:rPr>
              <w:t>has the MA’s approval to use</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73023702" w14:textId="77777777" w:rsidR="00260576" w:rsidRPr="004E457E" w:rsidRDefault="00260576" w:rsidP="00AC6CAB">
            <w:pPr>
              <w:keepLines/>
              <w:snapToGrid w:val="0"/>
              <w:spacing w:before="40" w:after="40"/>
              <w:jc w:val="center"/>
              <w:rPr>
                <w:rFonts w:cs="Segoe UI"/>
                <w:sz w:val="17"/>
                <w:szCs w:val="17"/>
                <w:lang w:eastAsia="en-GB"/>
              </w:rPr>
            </w:pPr>
            <w:r w:rsidRPr="00F84E3C">
              <w:rPr>
                <w:rFonts w:cs="Segoe UI"/>
                <w:sz w:val="17"/>
                <w:szCs w:val="17"/>
                <w:lang w:eastAsia="en-GB"/>
              </w:rPr>
              <w:t>RWA for column (a) if re-</w:t>
            </w:r>
            <w:r>
              <w:rPr>
                <w:rFonts w:cs="Segoe UI"/>
                <w:sz w:val="17"/>
                <w:szCs w:val="17"/>
                <w:lang w:eastAsia="en-GB"/>
              </w:rPr>
              <w:t>calculated</w:t>
            </w:r>
            <w:r w:rsidRPr="00F84E3C">
              <w:rPr>
                <w:rFonts w:cs="Segoe UI"/>
                <w:sz w:val="17"/>
                <w:szCs w:val="17"/>
                <w:lang w:eastAsia="en-GB"/>
              </w:rPr>
              <w:t xml:space="preserve"> using the standardi</w:t>
            </w:r>
            <w:r>
              <w:rPr>
                <w:rFonts w:cs="Segoe UI"/>
                <w:sz w:val="17"/>
                <w:szCs w:val="17"/>
                <w:lang w:eastAsia="en-GB"/>
              </w:rPr>
              <w:t>z</w:t>
            </w:r>
            <w:r w:rsidRPr="00F84E3C">
              <w:rPr>
                <w:rFonts w:cs="Segoe UI"/>
                <w:sz w:val="17"/>
                <w:szCs w:val="17"/>
                <w:lang w:eastAsia="en-GB"/>
              </w:rPr>
              <w:t>ed approach</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7054E4C" w14:textId="77777777" w:rsidR="00260576" w:rsidRPr="00F84E3C" w:rsidRDefault="00260576" w:rsidP="00AC6CAB">
            <w:pPr>
              <w:keepLines/>
              <w:snapToGrid w:val="0"/>
              <w:spacing w:before="40" w:after="40"/>
              <w:jc w:val="center"/>
              <w:rPr>
                <w:rFonts w:cs="Segoe UI"/>
                <w:noProof/>
                <w:sz w:val="17"/>
                <w:szCs w:val="17"/>
                <w:lang w:eastAsia="en-GB"/>
              </w:rPr>
            </w:pPr>
            <w:r w:rsidRPr="00F84E3C">
              <w:rPr>
                <w:rFonts w:cs="Segoe UI"/>
                <w:noProof/>
                <w:sz w:val="17"/>
                <w:szCs w:val="17"/>
                <w:lang w:eastAsia="en-GB"/>
              </w:rPr>
              <w:t xml:space="preserve">Total </w:t>
            </w:r>
            <w:r>
              <w:rPr>
                <w:rFonts w:cs="Segoe UI"/>
                <w:noProof/>
                <w:sz w:val="17"/>
                <w:szCs w:val="17"/>
                <w:lang w:eastAsia="en-GB"/>
              </w:rPr>
              <w:t>a</w:t>
            </w:r>
            <w:r w:rsidRPr="00F84E3C">
              <w:rPr>
                <w:rFonts w:cs="Segoe UI"/>
                <w:noProof/>
                <w:sz w:val="17"/>
                <w:szCs w:val="17"/>
                <w:lang w:eastAsia="en-GB"/>
              </w:rPr>
              <w:t>ctual RWA</w:t>
            </w:r>
          </w:p>
          <w:p w14:paraId="61999C23" w14:textId="77777777" w:rsidR="00260576" w:rsidRPr="004E457E" w:rsidRDefault="00260576" w:rsidP="00AC6CAB">
            <w:pPr>
              <w:keepLines/>
              <w:snapToGrid w:val="0"/>
              <w:spacing w:before="40" w:after="40"/>
              <w:jc w:val="center"/>
              <w:rPr>
                <w:rFonts w:cs="Segoe UI"/>
                <w:noProof/>
                <w:sz w:val="17"/>
                <w:szCs w:val="17"/>
                <w:lang w:eastAsia="en-GB"/>
              </w:rPr>
            </w:pPr>
            <w:r w:rsidRPr="00F84E3C">
              <w:rPr>
                <w:rFonts w:cs="Segoe UI"/>
                <w:noProof/>
                <w:sz w:val="17"/>
                <w:szCs w:val="17"/>
                <w:lang w:eastAsia="en-GB"/>
              </w:rPr>
              <w:t>(i</w:t>
            </w:r>
            <w:r>
              <w:rPr>
                <w:rFonts w:cs="Segoe UI"/>
                <w:noProof/>
                <w:sz w:val="17"/>
                <w:szCs w:val="17"/>
                <w:lang w:eastAsia="en-GB"/>
              </w:rPr>
              <w:t>.</w:t>
            </w:r>
            <w:r w:rsidRPr="00F84E3C">
              <w:rPr>
                <w:rFonts w:cs="Segoe UI"/>
                <w:noProof/>
                <w:sz w:val="17"/>
                <w:szCs w:val="17"/>
                <w:lang w:eastAsia="en-GB"/>
              </w:rPr>
              <w:t>e</w:t>
            </w:r>
            <w:r>
              <w:rPr>
                <w:rFonts w:cs="Segoe UI"/>
                <w:noProof/>
                <w:sz w:val="17"/>
                <w:szCs w:val="17"/>
                <w:lang w:eastAsia="en-GB"/>
              </w:rPr>
              <w:t>.</w:t>
            </w:r>
            <w:r w:rsidRPr="00F84E3C">
              <w:rPr>
                <w:rFonts w:cs="Segoe UI"/>
                <w:noProof/>
                <w:sz w:val="17"/>
                <w:szCs w:val="17"/>
                <w:lang w:eastAsia="en-GB"/>
              </w:rPr>
              <w:t xml:space="preserve"> RWA which </w:t>
            </w:r>
            <w:r>
              <w:rPr>
                <w:rFonts w:cs="Segoe UI"/>
                <w:noProof/>
                <w:sz w:val="17"/>
                <w:szCs w:val="17"/>
                <w:lang w:eastAsia="en-GB"/>
              </w:rPr>
              <w:t>the AI</w:t>
            </w:r>
            <w:r w:rsidRPr="00F84E3C">
              <w:rPr>
                <w:rFonts w:cs="Segoe UI"/>
                <w:noProof/>
                <w:sz w:val="17"/>
                <w:szCs w:val="17"/>
                <w:lang w:eastAsia="en-GB"/>
              </w:rPr>
              <w:t xml:space="preserve"> report</w:t>
            </w:r>
            <w:r>
              <w:rPr>
                <w:rFonts w:cs="Segoe UI"/>
                <w:noProof/>
                <w:sz w:val="17"/>
                <w:szCs w:val="17"/>
                <w:lang w:eastAsia="en-GB"/>
              </w:rPr>
              <w:t>s</w:t>
            </w:r>
            <w:r w:rsidRPr="00F84E3C">
              <w:rPr>
                <w:rFonts w:cs="Segoe UI"/>
                <w:noProof/>
                <w:sz w:val="17"/>
                <w:szCs w:val="17"/>
                <w:lang w:eastAsia="en-GB"/>
              </w:rPr>
              <w:t xml:space="preserve"> as current requirements)</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5D07E572" w14:textId="77777777" w:rsidR="00260576" w:rsidRDefault="00260576" w:rsidP="00AC6CAB">
            <w:pPr>
              <w:keepLines/>
              <w:snapToGrid w:val="0"/>
              <w:spacing w:before="40" w:after="40"/>
              <w:jc w:val="center"/>
              <w:rPr>
                <w:rFonts w:cs="Segoe UI"/>
                <w:noProof/>
                <w:sz w:val="17"/>
                <w:szCs w:val="17"/>
                <w:lang w:eastAsia="en-GB"/>
              </w:rPr>
            </w:pPr>
            <w:r w:rsidRPr="00A3692B">
              <w:rPr>
                <w:rFonts w:cs="Segoe UI"/>
                <w:noProof/>
                <w:sz w:val="17"/>
                <w:szCs w:val="17"/>
                <w:lang w:eastAsia="en-GB"/>
              </w:rPr>
              <w:t>RWA calculated using full standardi</w:t>
            </w:r>
            <w:r>
              <w:rPr>
                <w:rFonts w:cs="Segoe UI"/>
                <w:noProof/>
                <w:sz w:val="17"/>
                <w:szCs w:val="17"/>
                <w:lang w:eastAsia="en-GB"/>
              </w:rPr>
              <w:t>z</w:t>
            </w:r>
            <w:r w:rsidRPr="00A3692B">
              <w:rPr>
                <w:rFonts w:cs="Segoe UI"/>
                <w:noProof/>
                <w:sz w:val="17"/>
                <w:szCs w:val="17"/>
                <w:lang w:eastAsia="en-GB"/>
              </w:rPr>
              <w:t>ed approach</w:t>
            </w:r>
          </w:p>
          <w:p w14:paraId="12FA347D" w14:textId="77777777" w:rsidR="00260576" w:rsidRPr="004E457E" w:rsidRDefault="00260576" w:rsidP="00AC6CAB">
            <w:pPr>
              <w:keepLines/>
              <w:snapToGrid w:val="0"/>
              <w:spacing w:before="40" w:after="40"/>
              <w:jc w:val="center"/>
              <w:rPr>
                <w:rFonts w:cs="Segoe UI"/>
                <w:noProof/>
                <w:sz w:val="17"/>
                <w:szCs w:val="17"/>
                <w:lang w:eastAsia="en-GB"/>
              </w:rPr>
            </w:pPr>
            <w:r w:rsidRPr="00A3692B">
              <w:rPr>
                <w:rFonts w:cs="Segoe UI"/>
                <w:noProof/>
                <w:sz w:val="17"/>
                <w:szCs w:val="17"/>
                <w:lang w:eastAsia="en-GB"/>
              </w:rPr>
              <w:t>(i</w:t>
            </w:r>
            <w:r>
              <w:rPr>
                <w:rFonts w:cs="Segoe UI"/>
                <w:noProof/>
                <w:sz w:val="17"/>
                <w:szCs w:val="17"/>
                <w:lang w:eastAsia="en-GB"/>
              </w:rPr>
              <w:t>.</w:t>
            </w:r>
            <w:r w:rsidRPr="00A3692B">
              <w:rPr>
                <w:rFonts w:cs="Segoe UI"/>
                <w:noProof/>
                <w:sz w:val="17"/>
                <w:szCs w:val="17"/>
                <w:lang w:eastAsia="en-GB"/>
              </w:rPr>
              <w:t>e</w:t>
            </w:r>
            <w:r>
              <w:rPr>
                <w:rFonts w:cs="Segoe UI"/>
                <w:noProof/>
                <w:sz w:val="17"/>
                <w:szCs w:val="17"/>
                <w:lang w:eastAsia="en-GB"/>
              </w:rPr>
              <w:t>.</w:t>
            </w:r>
            <w:r w:rsidRPr="00A3692B">
              <w:rPr>
                <w:rFonts w:cs="Segoe UI"/>
                <w:noProof/>
                <w:sz w:val="17"/>
                <w:szCs w:val="17"/>
                <w:lang w:eastAsia="en-GB"/>
              </w:rPr>
              <w:t xml:space="preserve"> RWA used </w:t>
            </w:r>
            <w:r>
              <w:rPr>
                <w:rFonts w:cs="Segoe UI"/>
                <w:noProof/>
                <w:sz w:val="17"/>
                <w:szCs w:val="17"/>
                <w:lang w:eastAsia="en-GB"/>
              </w:rPr>
              <w:t>in</w:t>
            </w:r>
            <w:r w:rsidRPr="00A3692B">
              <w:rPr>
                <w:rFonts w:cs="Segoe UI"/>
                <w:noProof/>
                <w:sz w:val="17"/>
                <w:szCs w:val="17"/>
                <w:lang w:eastAsia="en-GB"/>
              </w:rPr>
              <w:t xml:space="preserve"> the </w:t>
            </w:r>
            <w:r>
              <w:rPr>
                <w:rFonts w:cs="Segoe UI"/>
                <w:noProof/>
                <w:sz w:val="17"/>
                <w:szCs w:val="17"/>
                <w:lang w:eastAsia="en-GB"/>
              </w:rPr>
              <w:t xml:space="preserve">computation of </w:t>
            </w:r>
            <w:r w:rsidRPr="00A3692B">
              <w:rPr>
                <w:rFonts w:cs="Segoe UI"/>
                <w:noProof/>
                <w:sz w:val="17"/>
                <w:szCs w:val="17"/>
                <w:lang w:eastAsia="en-GB"/>
              </w:rPr>
              <w:t>the</w:t>
            </w:r>
            <w:r>
              <w:rPr>
                <w:rFonts w:cs="Segoe UI"/>
                <w:noProof/>
                <w:sz w:val="17"/>
                <w:szCs w:val="17"/>
                <w:lang w:eastAsia="en-GB"/>
              </w:rPr>
              <w:t xml:space="preserve"> </w:t>
            </w:r>
            <w:r w:rsidRPr="00816041">
              <w:rPr>
                <w:rFonts w:cs="Segoe UI"/>
                <w:noProof/>
                <w:sz w:val="17"/>
                <w:szCs w:val="17"/>
                <w:lang w:eastAsia="en-GB"/>
              </w:rPr>
              <w:t>output floor)</w:t>
            </w:r>
          </w:p>
        </w:tc>
      </w:tr>
      <w:tr w:rsidR="00260576" w:rsidRPr="004E457E" w14:paraId="302342B8" w14:textId="77777777" w:rsidTr="00AC6CAB">
        <w:tc>
          <w:tcPr>
            <w:tcW w:w="567" w:type="dxa"/>
            <w:tcBorders>
              <w:top w:val="single" w:sz="4" w:space="0" w:color="auto"/>
              <w:left w:val="nil"/>
              <w:right w:val="single" w:sz="4" w:space="0" w:color="auto"/>
            </w:tcBorders>
          </w:tcPr>
          <w:p w14:paraId="09CA8B64" w14:textId="77777777" w:rsidR="00260576" w:rsidRPr="00CB685C" w:rsidRDefault="00260576" w:rsidP="00AC6CAB">
            <w:pPr>
              <w:keepLines/>
              <w:tabs>
                <w:tab w:val="left" w:pos="150"/>
                <w:tab w:val="left" w:pos="397"/>
                <w:tab w:val="left" w:pos="794"/>
                <w:tab w:val="left" w:pos="1191"/>
              </w:tabs>
              <w:snapToGrid w:val="0"/>
              <w:spacing w:before="20" w:after="20"/>
              <w:rPr>
                <w:rFonts w:cs="Segoe UI"/>
                <w:sz w:val="17"/>
                <w:szCs w:val="17"/>
                <w:lang w:eastAsia="en-GB"/>
              </w:rPr>
            </w:pPr>
            <w:r w:rsidRPr="00CB685C">
              <w:rPr>
                <w:rFonts w:cs="Segoe UI"/>
                <w:sz w:val="17"/>
                <w:szCs w:val="17"/>
                <w:lang w:eastAsia="en-GB"/>
              </w:rPr>
              <w:t>1</w:t>
            </w:r>
          </w:p>
        </w:tc>
        <w:tc>
          <w:tcPr>
            <w:tcW w:w="3578" w:type="dxa"/>
            <w:tcBorders>
              <w:top w:val="single" w:sz="4" w:space="0" w:color="auto"/>
              <w:left w:val="single" w:sz="4" w:space="0" w:color="auto"/>
              <w:right w:val="single" w:sz="4" w:space="0" w:color="auto"/>
            </w:tcBorders>
          </w:tcPr>
          <w:p w14:paraId="3A523B9E" w14:textId="77777777" w:rsidR="00260576" w:rsidRPr="004E457E" w:rsidRDefault="00260576" w:rsidP="00AC6CAB">
            <w:pPr>
              <w:keepLines/>
              <w:tabs>
                <w:tab w:val="left" w:pos="397"/>
                <w:tab w:val="left" w:pos="794"/>
                <w:tab w:val="left" w:pos="1191"/>
              </w:tabs>
              <w:snapToGrid w:val="0"/>
              <w:spacing w:before="20" w:after="20"/>
              <w:rPr>
                <w:rFonts w:cs="Segoe UI"/>
                <w:noProof/>
                <w:sz w:val="17"/>
                <w:szCs w:val="17"/>
                <w:lang w:eastAsia="en-GB"/>
              </w:rPr>
            </w:pPr>
            <w:r w:rsidRPr="00316FBF">
              <w:rPr>
                <w:rFonts w:cs="Segoe UI"/>
                <w:sz w:val="17"/>
                <w:szCs w:val="17"/>
                <w:lang w:eastAsia="en-GB"/>
              </w:rPr>
              <w:t>Sovereign</w:t>
            </w:r>
            <w:r>
              <w:rPr>
                <w:rFonts w:cs="Segoe UI"/>
                <w:sz w:val="17"/>
                <w:szCs w:val="17"/>
                <w:lang w:eastAsia="en-GB"/>
              </w:rPr>
              <w:t xml:space="preserve"> exposures</w:t>
            </w:r>
          </w:p>
        </w:tc>
        <w:tc>
          <w:tcPr>
            <w:tcW w:w="1418" w:type="dxa"/>
            <w:tcBorders>
              <w:top w:val="single" w:sz="4" w:space="0" w:color="auto"/>
              <w:left w:val="single" w:sz="4" w:space="0" w:color="auto"/>
              <w:bottom w:val="single" w:sz="4" w:space="0" w:color="BFBFBF"/>
              <w:right w:val="single" w:sz="4" w:space="0" w:color="auto"/>
            </w:tcBorders>
            <w:shd w:val="clear" w:color="auto" w:fill="FFFFFF"/>
          </w:tcPr>
          <w:p w14:paraId="7FC5F064"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auto"/>
              <w:left w:val="single" w:sz="4" w:space="0" w:color="auto"/>
              <w:bottom w:val="single" w:sz="4" w:space="0" w:color="BFBFBF"/>
              <w:right w:val="single" w:sz="4" w:space="0" w:color="auto"/>
            </w:tcBorders>
            <w:shd w:val="clear" w:color="auto" w:fill="FFFFFF"/>
          </w:tcPr>
          <w:p w14:paraId="67A41DEB"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auto"/>
              <w:left w:val="single" w:sz="4" w:space="0" w:color="auto"/>
              <w:bottom w:val="single" w:sz="4" w:space="0" w:color="BFBFBF"/>
              <w:right w:val="single" w:sz="4" w:space="0" w:color="auto"/>
            </w:tcBorders>
            <w:shd w:val="clear" w:color="auto" w:fill="FFFFFF"/>
          </w:tcPr>
          <w:p w14:paraId="1E1CA84D"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auto"/>
              <w:left w:val="single" w:sz="4" w:space="0" w:color="auto"/>
              <w:bottom w:val="single" w:sz="4" w:space="0" w:color="BFBFBF"/>
              <w:right w:val="single" w:sz="4" w:space="0" w:color="auto"/>
            </w:tcBorders>
            <w:shd w:val="clear" w:color="auto" w:fill="FFFFFF"/>
          </w:tcPr>
          <w:p w14:paraId="4C7142FA"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r>
      <w:tr w:rsidR="00260576" w:rsidRPr="004E457E" w14:paraId="7028444F" w14:textId="77777777" w:rsidTr="00AC6CAB">
        <w:tc>
          <w:tcPr>
            <w:tcW w:w="567" w:type="dxa"/>
            <w:tcBorders>
              <w:top w:val="single" w:sz="4" w:space="0" w:color="auto"/>
              <w:left w:val="nil"/>
              <w:right w:val="single" w:sz="4" w:space="0" w:color="auto"/>
            </w:tcBorders>
          </w:tcPr>
          <w:p w14:paraId="53C354C6" w14:textId="77777777" w:rsidR="00260576" w:rsidRPr="00CB685C" w:rsidRDefault="00260576" w:rsidP="00AC6CAB">
            <w:pPr>
              <w:keepLines/>
              <w:tabs>
                <w:tab w:val="left" w:pos="150"/>
                <w:tab w:val="left" w:pos="397"/>
                <w:tab w:val="left" w:pos="794"/>
                <w:tab w:val="left" w:pos="1191"/>
              </w:tabs>
              <w:snapToGrid w:val="0"/>
              <w:spacing w:before="20" w:after="20"/>
              <w:rPr>
                <w:rFonts w:cs="Segoe UI"/>
                <w:sz w:val="17"/>
                <w:szCs w:val="17"/>
                <w:lang w:eastAsia="en-GB"/>
              </w:rPr>
            </w:pPr>
            <w:r>
              <w:rPr>
                <w:rFonts w:cs="Segoe UI"/>
                <w:sz w:val="17"/>
                <w:szCs w:val="17"/>
                <w:lang w:eastAsia="en-GB"/>
              </w:rPr>
              <w:t>1a</w:t>
            </w:r>
          </w:p>
        </w:tc>
        <w:tc>
          <w:tcPr>
            <w:tcW w:w="3578" w:type="dxa"/>
            <w:tcBorders>
              <w:top w:val="single" w:sz="4" w:space="0" w:color="auto"/>
              <w:left w:val="single" w:sz="4" w:space="0" w:color="auto"/>
              <w:right w:val="single" w:sz="4" w:space="0" w:color="auto"/>
            </w:tcBorders>
          </w:tcPr>
          <w:p w14:paraId="07981829" w14:textId="77777777" w:rsidR="00260576" w:rsidRPr="0058268D" w:rsidRDefault="00260576" w:rsidP="00AC6CAB">
            <w:pPr>
              <w:keepLines/>
              <w:widowControl w:val="0"/>
              <w:tabs>
                <w:tab w:val="left" w:pos="397"/>
                <w:tab w:val="left" w:pos="794"/>
                <w:tab w:val="left" w:pos="1191"/>
              </w:tabs>
              <w:snapToGrid w:val="0"/>
              <w:spacing w:before="20" w:after="20"/>
              <w:ind w:left="353"/>
              <w:rPr>
                <w:rFonts w:cs="Segoe UI"/>
                <w:sz w:val="17"/>
                <w:szCs w:val="17"/>
                <w:lang w:eastAsia="en-GB"/>
              </w:rPr>
            </w:pPr>
            <w:r w:rsidRPr="0058268D">
              <w:rPr>
                <w:rFonts w:cs="Segoe UI"/>
                <w:sz w:val="17"/>
                <w:szCs w:val="17"/>
                <w:lang w:eastAsia="en-GB"/>
              </w:rPr>
              <w:t>Of which: categorised as public sector entity exposures and multilateral development bank exposures under the STC approach</w:t>
            </w:r>
          </w:p>
        </w:tc>
        <w:tc>
          <w:tcPr>
            <w:tcW w:w="1418" w:type="dxa"/>
            <w:tcBorders>
              <w:top w:val="single" w:sz="4" w:space="0" w:color="auto"/>
              <w:left w:val="single" w:sz="4" w:space="0" w:color="auto"/>
              <w:bottom w:val="single" w:sz="4" w:space="0" w:color="BFBFBF"/>
              <w:right w:val="single" w:sz="4" w:space="0" w:color="auto"/>
            </w:tcBorders>
            <w:shd w:val="clear" w:color="auto" w:fill="FFFFFF"/>
          </w:tcPr>
          <w:p w14:paraId="70E38368"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auto"/>
              <w:left w:val="single" w:sz="4" w:space="0" w:color="auto"/>
              <w:bottom w:val="single" w:sz="4" w:space="0" w:color="BFBFBF"/>
              <w:right w:val="single" w:sz="4" w:space="0" w:color="auto"/>
            </w:tcBorders>
            <w:shd w:val="clear" w:color="auto" w:fill="FFFFFF"/>
          </w:tcPr>
          <w:p w14:paraId="6335148E"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auto"/>
              <w:left w:val="single" w:sz="4" w:space="0" w:color="auto"/>
              <w:bottom w:val="single" w:sz="4" w:space="0" w:color="BFBFBF"/>
              <w:right w:val="single" w:sz="4" w:space="0" w:color="auto"/>
            </w:tcBorders>
            <w:shd w:val="clear" w:color="auto" w:fill="FFFFFF"/>
          </w:tcPr>
          <w:p w14:paraId="06627B75"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auto"/>
              <w:left w:val="single" w:sz="4" w:space="0" w:color="auto"/>
              <w:bottom w:val="single" w:sz="4" w:space="0" w:color="BFBFBF"/>
              <w:right w:val="single" w:sz="4" w:space="0" w:color="auto"/>
            </w:tcBorders>
            <w:shd w:val="clear" w:color="auto" w:fill="FFFFFF"/>
          </w:tcPr>
          <w:p w14:paraId="0B26F240"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r>
      <w:tr w:rsidR="00260576" w:rsidRPr="004E457E" w14:paraId="2A0B037D" w14:textId="77777777" w:rsidTr="00AC6CAB">
        <w:tc>
          <w:tcPr>
            <w:tcW w:w="567" w:type="dxa"/>
            <w:tcBorders>
              <w:left w:val="nil"/>
              <w:right w:val="single" w:sz="4" w:space="0" w:color="auto"/>
            </w:tcBorders>
          </w:tcPr>
          <w:p w14:paraId="53D17A57" w14:textId="77777777" w:rsidR="00260576" w:rsidRPr="00CB685C" w:rsidRDefault="00260576" w:rsidP="00AC6CAB">
            <w:pPr>
              <w:keepLines/>
              <w:tabs>
                <w:tab w:val="left" w:pos="397"/>
                <w:tab w:val="left" w:pos="794"/>
                <w:tab w:val="left" w:pos="1191"/>
              </w:tabs>
              <w:snapToGrid w:val="0"/>
              <w:spacing w:before="20" w:after="20"/>
              <w:rPr>
                <w:rFonts w:cs="Segoe UI"/>
                <w:sz w:val="17"/>
                <w:szCs w:val="17"/>
                <w:lang w:eastAsia="en-GB"/>
              </w:rPr>
            </w:pPr>
            <w:r w:rsidRPr="00CB685C">
              <w:rPr>
                <w:rFonts w:cs="Segoe UI"/>
                <w:sz w:val="17"/>
                <w:szCs w:val="17"/>
                <w:lang w:eastAsia="en-GB"/>
              </w:rPr>
              <w:t>2</w:t>
            </w:r>
          </w:p>
        </w:tc>
        <w:tc>
          <w:tcPr>
            <w:tcW w:w="3578" w:type="dxa"/>
            <w:tcBorders>
              <w:left w:val="single" w:sz="4" w:space="0" w:color="auto"/>
              <w:right w:val="single" w:sz="4" w:space="0" w:color="auto"/>
            </w:tcBorders>
          </w:tcPr>
          <w:p w14:paraId="264F4E53" w14:textId="77777777" w:rsidR="00260576" w:rsidRPr="0058268D" w:rsidRDefault="00260576" w:rsidP="00AC6CAB">
            <w:pPr>
              <w:keepLines/>
              <w:tabs>
                <w:tab w:val="left" w:pos="397"/>
                <w:tab w:val="left" w:pos="794"/>
                <w:tab w:val="left" w:pos="1191"/>
              </w:tabs>
              <w:snapToGrid w:val="0"/>
              <w:spacing w:before="20" w:after="20"/>
              <w:rPr>
                <w:rFonts w:cs="Segoe UI"/>
                <w:sz w:val="17"/>
                <w:szCs w:val="17"/>
                <w:lang w:eastAsia="en-GB"/>
              </w:rPr>
            </w:pPr>
            <w:r w:rsidRPr="0058268D">
              <w:rPr>
                <w:rFonts w:cs="Segoe UI"/>
                <w:sz w:val="17"/>
                <w:szCs w:val="17"/>
                <w:lang w:eastAsia="en-GB"/>
              </w:rPr>
              <w:t>Bank exposures</w:t>
            </w:r>
          </w:p>
        </w:tc>
        <w:tc>
          <w:tcPr>
            <w:tcW w:w="1418" w:type="dxa"/>
            <w:tcBorders>
              <w:top w:val="single" w:sz="4" w:space="0" w:color="BFBFBF"/>
              <w:left w:val="single" w:sz="4" w:space="0" w:color="auto"/>
              <w:bottom w:val="single" w:sz="4" w:space="0" w:color="BFBFBF"/>
              <w:right w:val="single" w:sz="4" w:space="0" w:color="auto"/>
            </w:tcBorders>
            <w:shd w:val="clear" w:color="auto" w:fill="auto"/>
          </w:tcPr>
          <w:p w14:paraId="4B7C7D26"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01DA0116"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bottom w:val="single" w:sz="4" w:space="0" w:color="BFBFBF"/>
              <w:right w:val="single" w:sz="4" w:space="0" w:color="auto"/>
            </w:tcBorders>
            <w:shd w:val="clear" w:color="auto" w:fill="FFFFFF"/>
          </w:tcPr>
          <w:p w14:paraId="23685A26"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75571D46"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r>
      <w:tr w:rsidR="00260576" w:rsidRPr="004E457E" w14:paraId="5FD71483" w14:textId="77777777" w:rsidTr="00AC6CAB">
        <w:tc>
          <w:tcPr>
            <w:tcW w:w="567" w:type="dxa"/>
            <w:tcBorders>
              <w:left w:val="nil"/>
              <w:right w:val="single" w:sz="4" w:space="0" w:color="auto"/>
            </w:tcBorders>
          </w:tcPr>
          <w:p w14:paraId="03918C09" w14:textId="77777777" w:rsidR="00260576" w:rsidRPr="00CB685C" w:rsidRDefault="00260576" w:rsidP="00AC6CAB">
            <w:pPr>
              <w:keepLines/>
              <w:tabs>
                <w:tab w:val="left" w:pos="397"/>
                <w:tab w:val="left" w:pos="794"/>
                <w:tab w:val="left" w:pos="1191"/>
              </w:tabs>
              <w:snapToGrid w:val="0"/>
              <w:spacing w:before="20" w:after="20"/>
              <w:rPr>
                <w:rFonts w:cs="Segoe UI"/>
                <w:sz w:val="17"/>
                <w:szCs w:val="17"/>
                <w:lang w:eastAsia="en-GB"/>
              </w:rPr>
            </w:pPr>
            <w:r w:rsidRPr="00CB685C">
              <w:rPr>
                <w:rFonts w:cs="Segoe UI"/>
                <w:sz w:val="17"/>
                <w:szCs w:val="17"/>
                <w:lang w:eastAsia="en-GB"/>
              </w:rPr>
              <w:t>3</w:t>
            </w:r>
          </w:p>
        </w:tc>
        <w:tc>
          <w:tcPr>
            <w:tcW w:w="3578" w:type="dxa"/>
            <w:tcBorders>
              <w:left w:val="single" w:sz="4" w:space="0" w:color="auto"/>
              <w:right w:val="single" w:sz="4" w:space="0" w:color="auto"/>
            </w:tcBorders>
          </w:tcPr>
          <w:p w14:paraId="01B5DC89" w14:textId="77777777" w:rsidR="00260576" w:rsidRPr="0058268D" w:rsidRDefault="00260576" w:rsidP="00AC6CAB">
            <w:pPr>
              <w:keepLines/>
              <w:tabs>
                <w:tab w:val="left" w:pos="397"/>
                <w:tab w:val="left" w:pos="794"/>
                <w:tab w:val="left" w:pos="1191"/>
              </w:tabs>
              <w:snapToGrid w:val="0"/>
              <w:spacing w:before="20" w:after="20"/>
              <w:rPr>
                <w:rFonts w:cs="Segoe UI"/>
                <w:sz w:val="17"/>
                <w:szCs w:val="17"/>
                <w:lang w:eastAsia="en-GB"/>
              </w:rPr>
            </w:pPr>
            <w:r w:rsidRPr="0058268D">
              <w:rPr>
                <w:rFonts w:cs="Segoe UI"/>
                <w:sz w:val="17"/>
                <w:szCs w:val="17"/>
                <w:lang w:eastAsia="en-GB"/>
              </w:rPr>
              <w:t>Equity</w:t>
            </w:r>
          </w:p>
        </w:tc>
        <w:tc>
          <w:tcPr>
            <w:tcW w:w="1418" w:type="dxa"/>
            <w:tcBorders>
              <w:top w:val="single" w:sz="4" w:space="0" w:color="BFBFBF"/>
              <w:left w:val="single" w:sz="4" w:space="0" w:color="auto"/>
              <w:bottom w:val="single" w:sz="4" w:space="0" w:color="BFBFBF"/>
              <w:right w:val="single" w:sz="4" w:space="0" w:color="auto"/>
            </w:tcBorders>
            <w:shd w:val="clear" w:color="auto" w:fill="D0CECE"/>
          </w:tcPr>
          <w:p w14:paraId="38DA2E24"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D0CECE"/>
          </w:tcPr>
          <w:p w14:paraId="2528E1AA"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bottom w:val="single" w:sz="4" w:space="0" w:color="BFBFBF"/>
              <w:right w:val="single" w:sz="4" w:space="0" w:color="auto"/>
            </w:tcBorders>
            <w:shd w:val="clear" w:color="auto" w:fill="FFFFFF"/>
          </w:tcPr>
          <w:p w14:paraId="2C660549"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60E582C8"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r>
      <w:tr w:rsidR="00260576" w:rsidRPr="004E457E" w14:paraId="097CAB99" w14:textId="77777777" w:rsidTr="00AC6CAB">
        <w:tc>
          <w:tcPr>
            <w:tcW w:w="567" w:type="dxa"/>
            <w:tcBorders>
              <w:left w:val="nil"/>
              <w:right w:val="single" w:sz="4" w:space="0" w:color="auto"/>
            </w:tcBorders>
          </w:tcPr>
          <w:p w14:paraId="593AC7F8" w14:textId="77777777" w:rsidR="00260576" w:rsidRPr="00CB685C" w:rsidRDefault="00260576" w:rsidP="00AC6CAB">
            <w:pPr>
              <w:keepLines/>
              <w:tabs>
                <w:tab w:val="left" w:pos="397"/>
                <w:tab w:val="left" w:pos="794"/>
                <w:tab w:val="left" w:pos="1191"/>
              </w:tabs>
              <w:snapToGrid w:val="0"/>
              <w:spacing w:before="20" w:after="20"/>
              <w:rPr>
                <w:rFonts w:cs="Segoe UI"/>
                <w:sz w:val="17"/>
                <w:szCs w:val="17"/>
              </w:rPr>
            </w:pPr>
            <w:r>
              <w:rPr>
                <w:rFonts w:cs="Segoe UI"/>
                <w:sz w:val="17"/>
                <w:szCs w:val="17"/>
              </w:rPr>
              <w:t>4</w:t>
            </w:r>
          </w:p>
        </w:tc>
        <w:tc>
          <w:tcPr>
            <w:tcW w:w="3578" w:type="dxa"/>
            <w:tcBorders>
              <w:left w:val="single" w:sz="4" w:space="0" w:color="auto"/>
              <w:right w:val="single" w:sz="4" w:space="0" w:color="auto"/>
            </w:tcBorders>
          </w:tcPr>
          <w:p w14:paraId="3F1661E4" w14:textId="77777777" w:rsidR="00260576" w:rsidRPr="0058268D" w:rsidRDefault="00260576" w:rsidP="00AC6CAB">
            <w:pPr>
              <w:keepLines/>
              <w:tabs>
                <w:tab w:val="left" w:pos="397"/>
                <w:tab w:val="left" w:pos="794"/>
                <w:tab w:val="left" w:pos="1191"/>
              </w:tabs>
              <w:snapToGrid w:val="0"/>
              <w:spacing w:before="20" w:after="20"/>
              <w:rPr>
                <w:rFonts w:cs="Segoe UI"/>
                <w:sz w:val="17"/>
                <w:szCs w:val="17"/>
                <w:lang w:eastAsia="en-GB"/>
              </w:rPr>
            </w:pPr>
            <w:r w:rsidRPr="0058268D">
              <w:rPr>
                <w:rFonts w:cs="Segoe UI"/>
                <w:sz w:val="17"/>
                <w:szCs w:val="17"/>
                <w:lang w:eastAsia="en-GB"/>
              </w:rPr>
              <w:t>Corporate exposures (excluding specialized lending)</w:t>
            </w:r>
          </w:p>
        </w:tc>
        <w:tc>
          <w:tcPr>
            <w:tcW w:w="1418" w:type="dxa"/>
            <w:tcBorders>
              <w:top w:val="single" w:sz="4" w:space="0" w:color="BFBFBF"/>
              <w:left w:val="single" w:sz="4" w:space="0" w:color="auto"/>
              <w:bottom w:val="single" w:sz="4" w:space="0" w:color="BFBFBF"/>
              <w:right w:val="single" w:sz="4" w:space="0" w:color="auto"/>
            </w:tcBorders>
            <w:shd w:val="clear" w:color="auto" w:fill="auto"/>
          </w:tcPr>
          <w:p w14:paraId="58B637C7"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61869FDD"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bottom w:val="single" w:sz="4" w:space="0" w:color="BFBFBF"/>
              <w:right w:val="single" w:sz="4" w:space="0" w:color="auto"/>
            </w:tcBorders>
            <w:shd w:val="clear" w:color="auto" w:fill="FFFFFF"/>
          </w:tcPr>
          <w:p w14:paraId="04AFC192"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65A1C12C"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r>
      <w:tr w:rsidR="00260576" w:rsidRPr="004E457E" w14:paraId="5D4423ED" w14:textId="77777777" w:rsidTr="00AC6CAB">
        <w:tc>
          <w:tcPr>
            <w:tcW w:w="567" w:type="dxa"/>
            <w:tcBorders>
              <w:left w:val="nil"/>
              <w:right w:val="single" w:sz="4" w:space="0" w:color="auto"/>
            </w:tcBorders>
          </w:tcPr>
          <w:p w14:paraId="0ECFD4AB" w14:textId="77777777" w:rsidR="00260576" w:rsidRPr="00CB685C" w:rsidRDefault="00260576" w:rsidP="00AC6CAB">
            <w:pPr>
              <w:keepLines/>
              <w:tabs>
                <w:tab w:val="left" w:pos="397"/>
                <w:tab w:val="left" w:pos="794"/>
                <w:tab w:val="left" w:pos="1191"/>
              </w:tabs>
              <w:snapToGrid w:val="0"/>
              <w:spacing w:before="20" w:after="20"/>
              <w:rPr>
                <w:rFonts w:cs="Segoe UI"/>
                <w:sz w:val="17"/>
                <w:szCs w:val="17"/>
              </w:rPr>
            </w:pPr>
            <w:r>
              <w:rPr>
                <w:rFonts w:cs="Segoe UI"/>
                <w:sz w:val="17"/>
                <w:szCs w:val="17"/>
              </w:rPr>
              <w:t>4a</w:t>
            </w:r>
          </w:p>
        </w:tc>
        <w:tc>
          <w:tcPr>
            <w:tcW w:w="3578" w:type="dxa"/>
            <w:tcBorders>
              <w:left w:val="single" w:sz="4" w:space="0" w:color="auto"/>
              <w:right w:val="single" w:sz="4" w:space="0" w:color="auto"/>
            </w:tcBorders>
          </w:tcPr>
          <w:p w14:paraId="561E4D8E" w14:textId="0E353120" w:rsidR="00260576" w:rsidRPr="0058268D" w:rsidRDefault="00260576" w:rsidP="00AC6CAB">
            <w:pPr>
              <w:keepLines/>
              <w:widowControl w:val="0"/>
              <w:tabs>
                <w:tab w:val="left" w:pos="397"/>
                <w:tab w:val="left" w:pos="794"/>
                <w:tab w:val="left" w:pos="1191"/>
              </w:tabs>
              <w:snapToGrid w:val="0"/>
              <w:spacing w:before="20" w:after="20"/>
              <w:ind w:firstLine="323"/>
              <w:rPr>
                <w:rFonts w:cs="Segoe UI"/>
                <w:sz w:val="17"/>
                <w:szCs w:val="17"/>
                <w:lang w:eastAsia="en-GB"/>
              </w:rPr>
            </w:pPr>
            <w:r w:rsidRPr="0058268D">
              <w:rPr>
                <w:rFonts w:cs="Segoe UI"/>
                <w:sz w:val="17"/>
                <w:szCs w:val="17"/>
                <w:lang w:eastAsia="en-GB"/>
              </w:rPr>
              <w:t>Of which: FIRB is applied</w:t>
            </w:r>
          </w:p>
        </w:tc>
        <w:tc>
          <w:tcPr>
            <w:tcW w:w="1418" w:type="dxa"/>
            <w:tcBorders>
              <w:top w:val="single" w:sz="4" w:space="0" w:color="BFBFBF"/>
              <w:left w:val="single" w:sz="4" w:space="0" w:color="auto"/>
              <w:bottom w:val="single" w:sz="4" w:space="0" w:color="BFBFBF"/>
              <w:right w:val="single" w:sz="4" w:space="0" w:color="auto"/>
            </w:tcBorders>
            <w:shd w:val="clear" w:color="auto" w:fill="auto"/>
          </w:tcPr>
          <w:p w14:paraId="63922B95"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799EDBA7"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bottom w:val="single" w:sz="4" w:space="0" w:color="BFBFBF"/>
              <w:right w:val="single" w:sz="4" w:space="0" w:color="auto"/>
            </w:tcBorders>
            <w:shd w:val="clear" w:color="auto" w:fill="FFFFFF"/>
          </w:tcPr>
          <w:p w14:paraId="5E5D7E6B"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43C7A650"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r>
      <w:tr w:rsidR="00260576" w:rsidRPr="004E457E" w14:paraId="072B8924" w14:textId="77777777" w:rsidTr="00AC6CAB">
        <w:tc>
          <w:tcPr>
            <w:tcW w:w="567" w:type="dxa"/>
            <w:tcBorders>
              <w:left w:val="nil"/>
              <w:right w:val="single" w:sz="4" w:space="0" w:color="auto"/>
            </w:tcBorders>
          </w:tcPr>
          <w:p w14:paraId="1A232546" w14:textId="77777777" w:rsidR="00260576" w:rsidRPr="00CB685C" w:rsidRDefault="00260576" w:rsidP="00AC6CAB">
            <w:pPr>
              <w:keepLines/>
              <w:tabs>
                <w:tab w:val="left" w:pos="397"/>
                <w:tab w:val="left" w:pos="794"/>
                <w:tab w:val="left" w:pos="1191"/>
              </w:tabs>
              <w:snapToGrid w:val="0"/>
              <w:spacing w:before="20" w:after="20"/>
              <w:rPr>
                <w:rFonts w:cs="Segoe UI"/>
                <w:sz w:val="17"/>
                <w:szCs w:val="17"/>
              </w:rPr>
            </w:pPr>
            <w:r>
              <w:rPr>
                <w:rFonts w:cs="Segoe UI"/>
                <w:sz w:val="17"/>
                <w:szCs w:val="17"/>
              </w:rPr>
              <w:t>4b</w:t>
            </w:r>
          </w:p>
        </w:tc>
        <w:tc>
          <w:tcPr>
            <w:tcW w:w="3578" w:type="dxa"/>
            <w:tcBorders>
              <w:left w:val="single" w:sz="4" w:space="0" w:color="auto"/>
              <w:right w:val="single" w:sz="4" w:space="0" w:color="auto"/>
            </w:tcBorders>
          </w:tcPr>
          <w:p w14:paraId="5159B0AA" w14:textId="29AA6043" w:rsidR="00260576" w:rsidRPr="0058268D" w:rsidRDefault="00260576" w:rsidP="00AC6CAB">
            <w:pPr>
              <w:keepLines/>
              <w:widowControl w:val="0"/>
              <w:tabs>
                <w:tab w:val="left" w:pos="397"/>
                <w:tab w:val="left" w:pos="794"/>
                <w:tab w:val="left" w:pos="1191"/>
              </w:tabs>
              <w:snapToGrid w:val="0"/>
              <w:spacing w:before="20" w:after="20"/>
              <w:ind w:firstLine="323"/>
              <w:rPr>
                <w:rFonts w:cs="Segoe UI"/>
                <w:sz w:val="17"/>
                <w:szCs w:val="17"/>
                <w:lang w:eastAsia="en-GB"/>
              </w:rPr>
            </w:pPr>
            <w:r w:rsidRPr="0058268D">
              <w:rPr>
                <w:rFonts w:cs="Segoe UI"/>
                <w:sz w:val="17"/>
                <w:szCs w:val="17"/>
                <w:lang w:eastAsia="en-GB"/>
              </w:rPr>
              <w:t>Of which: AIRB is applied</w:t>
            </w:r>
          </w:p>
        </w:tc>
        <w:tc>
          <w:tcPr>
            <w:tcW w:w="1418" w:type="dxa"/>
            <w:tcBorders>
              <w:top w:val="single" w:sz="4" w:space="0" w:color="BFBFBF"/>
              <w:left w:val="single" w:sz="4" w:space="0" w:color="auto"/>
              <w:bottom w:val="single" w:sz="4" w:space="0" w:color="BFBFBF"/>
              <w:right w:val="single" w:sz="4" w:space="0" w:color="auto"/>
            </w:tcBorders>
            <w:shd w:val="clear" w:color="auto" w:fill="auto"/>
          </w:tcPr>
          <w:p w14:paraId="78DB5979"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1204707E"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bottom w:val="single" w:sz="4" w:space="0" w:color="BFBFBF"/>
              <w:right w:val="single" w:sz="4" w:space="0" w:color="auto"/>
            </w:tcBorders>
            <w:shd w:val="clear" w:color="auto" w:fill="FFFFFF"/>
          </w:tcPr>
          <w:p w14:paraId="4F5C5D3A"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2571508A"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r>
      <w:tr w:rsidR="00260576" w:rsidRPr="004E457E" w14:paraId="33C9BD0F" w14:textId="77777777" w:rsidTr="00AC6CAB">
        <w:tc>
          <w:tcPr>
            <w:tcW w:w="567" w:type="dxa"/>
            <w:tcBorders>
              <w:left w:val="nil"/>
              <w:right w:val="single" w:sz="4" w:space="0" w:color="auto"/>
            </w:tcBorders>
          </w:tcPr>
          <w:p w14:paraId="2C38D6BD" w14:textId="77777777" w:rsidR="00260576" w:rsidRPr="00CB685C" w:rsidRDefault="00260576" w:rsidP="00AC6CAB">
            <w:pPr>
              <w:keepLines/>
              <w:tabs>
                <w:tab w:val="left" w:pos="397"/>
                <w:tab w:val="left" w:pos="794"/>
                <w:tab w:val="left" w:pos="1191"/>
              </w:tabs>
              <w:snapToGrid w:val="0"/>
              <w:spacing w:before="20" w:after="20"/>
              <w:rPr>
                <w:rFonts w:cs="Segoe UI"/>
                <w:sz w:val="17"/>
                <w:szCs w:val="17"/>
              </w:rPr>
            </w:pPr>
            <w:r>
              <w:rPr>
                <w:rFonts w:cs="Segoe UI"/>
                <w:sz w:val="17"/>
                <w:szCs w:val="17"/>
              </w:rPr>
              <w:t>5</w:t>
            </w:r>
          </w:p>
        </w:tc>
        <w:tc>
          <w:tcPr>
            <w:tcW w:w="3578" w:type="dxa"/>
            <w:tcBorders>
              <w:left w:val="single" w:sz="4" w:space="0" w:color="auto"/>
              <w:right w:val="single" w:sz="4" w:space="0" w:color="auto"/>
            </w:tcBorders>
          </w:tcPr>
          <w:p w14:paraId="1B92CE07" w14:textId="77777777" w:rsidR="00260576" w:rsidRPr="0058268D" w:rsidRDefault="00260576" w:rsidP="00AC6CAB">
            <w:pPr>
              <w:keepLines/>
              <w:tabs>
                <w:tab w:val="left" w:pos="397"/>
                <w:tab w:val="left" w:pos="794"/>
                <w:tab w:val="left" w:pos="1191"/>
              </w:tabs>
              <w:snapToGrid w:val="0"/>
              <w:spacing w:before="20" w:after="20"/>
              <w:rPr>
                <w:rFonts w:cs="Segoe UI"/>
                <w:noProof/>
                <w:sz w:val="17"/>
                <w:szCs w:val="17"/>
                <w:lang w:eastAsia="en-GB"/>
              </w:rPr>
            </w:pPr>
            <w:r w:rsidRPr="0058268D">
              <w:rPr>
                <w:rFonts w:cs="Segoe UI"/>
                <w:sz w:val="17"/>
                <w:szCs w:val="17"/>
                <w:lang w:eastAsia="en-GB"/>
              </w:rPr>
              <w:t>Retail exposures</w:t>
            </w:r>
          </w:p>
        </w:tc>
        <w:tc>
          <w:tcPr>
            <w:tcW w:w="1418" w:type="dxa"/>
            <w:tcBorders>
              <w:top w:val="single" w:sz="4" w:space="0" w:color="BFBFBF"/>
              <w:left w:val="single" w:sz="4" w:space="0" w:color="auto"/>
              <w:bottom w:val="single" w:sz="4" w:space="0" w:color="BFBFBF"/>
              <w:right w:val="single" w:sz="4" w:space="0" w:color="auto"/>
            </w:tcBorders>
            <w:shd w:val="clear" w:color="auto" w:fill="auto"/>
          </w:tcPr>
          <w:p w14:paraId="69F6B350"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3849FCEC"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bottom w:val="single" w:sz="4" w:space="0" w:color="BFBFBF"/>
              <w:right w:val="single" w:sz="4" w:space="0" w:color="auto"/>
            </w:tcBorders>
            <w:shd w:val="clear" w:color="auto" w:fill="FFFFFF"/>
          </w:tcPr>
          <w:p w14:paraId="0978C30D"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78DF90FA"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r>
      <w:tr w:rsidR="00260576" w:rsidRPr="004E457E" w14:paraId="4DED046F" w14:textId="77777777" w:rsidTr="00AC6CAB">
        <w:tc>
          <w:tcPr>
            <w:tcW w:w="567" w:type="dxa"/>
            <w:tcBorders>
              <w:left w:val="nil"/>
              <w:right w:val="single" w:sz="4" w:space="0" w:color="auto"/>
            </w:tcBorders>
          </w:tcPr>
          <w:p w14:paraId="5D66B433" w14:textId="77777777" w:rsidR="00260576" w:rsidRPr="00CB685C" w:rsidRDefault="00260576" w:rsidP="00AC6CAB">
            <w:pPr>
              <w:keepLines/>
              <w:tabs>
                <w:tab w:val="left" w:pos="397"/>
                <w:tab w:val="left" w:pos="794"/>
                <w:tab w:val="left" w:pos="1191"/>
              </w:tabs>
              <w:snapToGrid w:val="0"/>
              <w:spacing w:before="20" w:after="20"/>
              <w:rPr>
                <w:rFonts w:cs="Segoe UI"/>
                <w:sz w:val="17"/>
                <w:szCs w:val="17"/>
              </w:rPr>
            </w:pPr>
            <w:r>
              <w:rPr>
                <w:rFonts w:cs="Segoe UI"/>
                <w:sz w:val="17"/>
                <w:szCs w:val="17"/>
              </w:rPr>
              <w:t>5a</w:t>
            </w:r>
          </w:p>
        </w:tc>
        <w:tc>
          <w:tcPr>
            <w:tcW w:w="3578" w:type="dxa"/>
            <w:tcBorders>
              <w:left w:val="single" w:sz="4" w:space="0" w:color="auto"/>
              <w:right w:val="single" w:sz="4" w:space="0" w:color="auto"/>
            </w:tcBorders>
          </w:tcPr>
          <w:p w14:paraId="481BFADE" w14:textId="77777777" w:rsidR="00260576" w:rsidRPr="0058268D" w:rsidRDefault="00260576" w:rsidP="00AC6CAB">
            <w:pPr>
              <w:keepLines/>
              <w:widowControl w:val="0"/>
              <w:tabs>
                <w:tab w:val="left" w:pos="397"/>
                <w:tab w:val="left" w:pos="794"/>
                <w:tab w:val="left" w:pos="1191"/>
              </w:tabs>
              <w:snapToGrid w:val="0"/>
              <w:spacing w:before="20" w:after="20"/>
              <w:ind w:left="353"/>
              <w:rPr>
                <w:rFonts w:cs="Segoe UI"/>
                <w:sz w:val="17"/>
                <w:szCs w:val="17"/>
                <w:lang w:eastAsia="en-GB"/>
              </w:rPr>
            </w:pPr>
            <w:r w:rsidRPr="0058268D">
              <w:rPr>
                <w:rFonts w:cs="Segoe UI"/>
                <w:sz w:val="17"/>
                <w:szCs w:val="17"/>
                <w:lang w:eastAsia="en-GB"/>
              </w:rPr>
              <w:t>Of which: qualifying revolving retail</w:t>
            </w:r>
          </w:p>
        </w:tc>
        <w:tc>
          <w:tcPr>
            <w:tcW w:w="1418" w:type="dxa"/>
            <w:tcBorders>
              <w:top w:val="single" w:sz="4" w:space="0" w:color="BFBFBF"/>
              <w:left w:val="single" w:sz="4" w:space="0" w:color="auto"/>
              <w:bottom w:val="single" w:sz="4" w:space="0" w:color="BFBFBF"/>
              <w:right w:val="single" w:sz="4" w:space="0" w:color="auto"/>
            </w:tcBorders>
            <w:shd w:val="clear" w:color="auto" w:fill="auto"/>
          </w:tcPr>
          <w:p w14:paraId="7473F787"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1FEBF0ED"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bottom w:val="single" w:sz="4" w:space="0" w:color="BFBFBF"/>
              <w:right w:val="single" w:sz="4" w:space="0" w:color="auto"/>
            </w:tcBorders>
            <w:shd w:val="clear" w:color="auto" w:fill="FFFFFF"/>
          </w:tcPr>
          <w:p w14:paraId="398689BE"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795F0919"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r>
      <w:tr w:rsidR="00260576" w:rsidRPr="004E457E" w14:paraId="3AFAE27D" w14:textId="77777777" w:rsidTr="00AC6CAB">
        <w:tc>
          <w:tcPr>
            <w:tcW w:w="567" w:type="dxa"/>
            <w:tcBorders>
              <w:left w:val="nil"/>
              <w:right w:val="single" w:sz="4" w:space="0" w:color="auto"/>
            </w:tcBorders>
          </w:tcPr>
          <w:p w14:paraId="18CFF603" w14:textId="77777777" w:rsidR="00260576" w:rsidRPr="00CB685C" w:rsidRDefault="00260576" w:rsidP="00AC6CAB">
            <w:pPr>
              <w:keepLines/>
              <w:tabs>
                <w:tab w:val="left" w:pos="397"/>
                <w:tab w:val="left" w:pos="794"/>
                <w:tab w:val="left" w:pos="1191"/>
              </w:tabs>
              <w:snapToGrid w:val="0"/>
              <w:spacing w:before="20" w:after="20"/>
              <w:rPr>
                <w:rFonts w:cs="Segoe UI"/>
                <w:sz w:val="17"/>
                <w:szCs w:val="17"/>
              </w:rPr>
            </w:pPr>
            <w:r>
              <w:rPr>
                <w:rFonts w:cs="Segoe UI"/>
                <w:sz w:val="17"/>
                <w:szCs w:val="17"/>
              </w:rPr>
              <w:t>5b</w:t>
            </w:r>
          </w:p>
        </w:tc>
        <w:tc>
          <w:tcPr>
            <w:tcW w:w="3578" w:type="dxa"/>
            <w:tcBorders>
              <w:left w:val="single" w:sz="4" w:space="0" w:color="auto"/>
              <w:right w:val="single" w:sz="4" w:space="0" w:color="auto"/>
            </w:tcBorders>
          </w:tcPr>
          <w:p w14:paraId="7D1D82D7" w14:textId="77777777" w:rsidR="00260576" w:rsidRPr="0058268D" w:rsidRDefault="00260576" w:rsidP="00AC6CAB">
            <w:pPr>
              <w:keepLines/>
              <w:widowControl w:val="0"/>
              <w:tabs>
                <w:tab w:val="left" w:pos="397"/>
                <w:tab w:val="left" w:pos="794"/>
                <w:tab w:val="left" w:pos="1191"/>
              </w:tabs>
              <w:snapToGrid w:val="0"/>
              <w:spacing w:before="20" w:after="20"/>
              <w:ind w:left="353"/>
              <w:rPr>
                <w:rFonts w:cs="Segoe UI"/>
                <w:sz w:val="17"/>
                <w:szCs w:val="17"/>
                <w:lang w:eastAsia="en-GB"/>
              </w:rPr>
            </w:pPr>
            <w:r w:rsidRPr="0058268D">
              <w:rPr>
                <w:rFonts w:cs="Segoe UI"/>
                <w:sz w:val="17"/>
                <w:szCs w:val="17"/>
                <w:lang w:eastAsia="en-GB"/>
              </w:rPr>
              <w:t>Of which: other retail exposures to individuals and small business retail exposures</w:t>
            </w:r>
          </w:p>
        </w:tc>
        <w:tc>
          <w:tcPr>
            <w:tcW w:w="1418" w:type="dxa"/>
            <w:tcBorders>
              <w:top w:val="single" w:sz="4" w:space="0" w:color="BFBFBF"/>
              <w:left w:val="single" w:sz="4" w:space="0" w:color="auto"/>
              <w:bottom w:val="single" w:sz="4" w:space="0" w:color="BFBFBF"/>
              <w:right w:val="single" w:sz="4" w:space="0" w:color="auto"/>
            </w:tcBorders>
            <w:shd w:val="clear" w:color="auto" w:fill="auto"/>
          </w:tcPr>
          <w:p w14:paraId="70316352"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31BC2C50"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bottom w:val="single" w:sz="4" w:space="0" w:color="BFBFBF"/>
              <w:right w:val="single" w:sz="4" w:space="0" w:color="auto"/>
            </w:tcBorders>
            <w:shd w:val="clear" w:color="auto" w:fill="FFFFFF"/>
          </w:tcPr>
          <w:p w14:paraId="1AFCC5B7"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6E39D059"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r>
      <w:tr w:rsidR="00260576" w:rsidRPr="004E457E" w14:paraId="78EFA3F3" w14:textId="77777777" w:rsidTr="00AC6CAB">
        <w:tc>
          <w:tcPr>
            <w:tcW w:w="567" w:type="dxa"/>
            <w:tcBorders>
              <w:left w:val="nil"/>
              <w:right w:val="single" w:sz="4" w:space="0" w:color="auto"/>
            </w:tcBorders>
          </w:tcPr>
          <w:p w14:paraId="45CFAE80" w14:textId="77777777" w:rsidR="00260576" w:rsidRPr="00CB685C" w:rsidRDefault="00260576" w:rsidP="00AC6CAB">
            <w:pPr>
              <w:keepLines/>
              <w:tabs>
                <w:tab w:val="left" w:pos="397"/>
                <w:tab w:val="left" w:pos="794"/>
                <w:tab w:val="left" w:pos="1191"/>
              </w:tabs>
              <w:snapToGrid w:val="0"/>
              <w:spacing w:before="20" w:after="20"/>
              <w:rPr>
                <w:rFonts w:cs="Segoe UI"/>
                <w:sz w:val="17"/>
                <w:szCs w:val="17"/>
              </w:rPr>
            </w:pPr>
            <w:r>
              <w:rPr>
                <w:rFonts w:cs="Segoe UI"/>
                <w:sz w:val="17"/>
                <w:szCs w:val="17"/>
              </w:rPr>
              <w:t>5c</w:t>
            </w:r>
          </w:p>
        </w:tc>
        <w:tc>
          <w:tcPr>
            <w:tcW w:w="3578" w:type="dxa"/>
            <w:tcBorders>
              <w:left w:val="single" w:sz="4" w:space="0" w:color="auto"/>
              <w:right w:val="single" w:sz="4" w:space="0" w:color="auto"/>
            </w:tcBorders>
          </w:tcPr>
          <w:p w14:paraId="4B663D37" w14:textId="77777777" w:rsidR="00260576" w:rsidRPr="0058268D" w:rsidRDefault="00260576" w:rsidP="00AC6CAB">
            <w:pPr>
              <w:keepLines/>
              <w:widowControl w:val="0"/>
              <w:tabs>
                <w:tab w:val="left" w:pos="397"/>
                <w:tab w:val="left" w:pos="794"/>
                <w:tab w:val="left" w:pos="1191"/>
              </w:tabs>
              <w:snapToGrid w:val="0"/>
              <w:spacing w:before="20" w:after="20"/>
              <w:ind w:left="353"/>
              <w:rPr>
                <w:rFonts w:cs="Segoe UI"/>
                <w:sz w:val="17"/>
                <w:szCs w:val="17"/>
                <w:lang w:eastAsia="en-GB"/>
              </w:rPr>
            </w:pPr>
            <w:r w:rsidRPr="0058268D">
              <w:rPr>
                <w:rFonts w:cs="Segoe UI"/>
                <w:sz w:val="17"/>
                <w:szCs w:val="17"/>
                <w:lang w:eastAsia="en-GB"/>
              </w:rPr>
              <w:t>Of which: residential mortgages</w:t>
            </w:r>
          </w:p>
        </w:tc>
        <w:tc>
          <w:tcPr>
            <w:tcW w:w="1418" w:type="dxa"/>
            <w:tcBorders>
              <w:top w:val="single" w:sz="4" w:space="0" w:color="BFBFBF"/>
              <w:left w:val="single" w:sz="4" w:space="0" w:color="auto"/>
              <w:bottom w:val="single" w:sz="4" w:space="0" w:color="BFBFBF"/>
              <w:right w:val="single" w:sz="4" w:space="0" w:color="auto"/>
            </w:tcBorders>
            <w:shd w:val="clear" w:color="auto" w:fill="auto"/>
          </w:tcPr>
          <w:p w14:paraId="2C474338"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44EA85D3"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bottom w:val="single" w:sz="4" w:space="0" w:color="BFBFBF"/>
              <w:right w:val="single" w:sz="4" w:space="0" w:color="auto"/>
            </w:tcBorders>
            <w:shd w:val="clear" w:color="auto" w:fill="FFFFFF"/>
          </w:tcPr>
          <w:p w14:paraId="741CB841"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0CD59632"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r>
      <w:tr w:rsidR="00260576" w:rsidRPr="004E457E" w14:paraId="260C57AB" w14:textId="77777777" w:rsidTr="00AC6CAB">
        <w:tc>
          <w:tcPr>
            <w:tcW w:w="567" w:type="dxa"/>
            <w:tcBorders>
              <w:left w:val="nil"/>
              <w:right w:val="single" w:sz="4" w:space="0" w:color="auto"/>
            </w:tcBorders>
          </w:tcPr>
          <w:p w14:paraId="1C718C6D" w14:textId="77777777" w:rsidR="00260576" w:rsidRPr="00CB685C" w:rsidRDefault="00260576" w:rsidP="00AC6CAB">
            <w:pPr>
              <w:keepLines/>
              <w:tabs>
                <w:tab w:val="left" w:pos="397"/>
                <w:tab w:val="left" w:pos="794"/>
                <w:tab w:val="left" w:pos="1191"/>
              </w:tabs>
              <w:snapToGrid w:val="0"/>
              <w:spacing w:before="20" w:after="20"/>
              <w:rPr>
                <w:rFonts w:cs="Segoe UI"/>
                <w:sz w:val="17"/>
                <w:szCs w:val="17"/>
              </w:rPr>
            </w:pPr>
            <w:r>
              <w:rPr>
                <w:rFonts w:cs="Segoe UI"/>
                <w:sz w:val="17"/>
                <w:szCs w:val="17"/>
              </w:rPr>
              <w:t>6</w:t>
            </w:r>
          </w:p>
        </w:tc>
        <w:tc>
          <w:tcPr>
            <w:tcW w:w="3578" w:type="dxa"/>
            <w:tcBorders>
              <w:left w:val="single" w:sz="4" w:space="0" w:color="auto"/>
              <w:right w:val="single" w:sz="4" w:space="0" w:color="auto"/>
            </w:tcBorders>
          </w:tcPr>
          <w:p w14:paraId="4B2501D8" w14:textId="77777777" w:rsidR="00260576" w:rsidRPr="0058268D" w:rsidRDefault="00260576" w:rsidP="00AC6CAB">
            <w:pPr>
              <w:keepLines/>
              <w:tabs>
                <w:tab w:val="left" w:pos="397"/>
                <w:tab w:val="left" w:pos="794"/>
                <w:tab w:val="left" w:pos="1191"/>
              </w:tabs>
              <w:snapToGrid w:val="0"/>
              <w:spacing w:before="20" w:after="20"/>
              <w:rPr>
                <w:rFonts w:cs="Segoe UI"/>
                <w:sz w:val="17"/>
                <w:szCs w:val="17"/>
                <w:lang w:eastAsia="en-GB"/>
              </w:rPr>
            </w:pPr>
            <w:r w:rsidRPr="0058268D">
              <w:rPr>
                <w:rFonts w:cs="Segoe UI"/>
                <w:sz w:val="17"/>
                <w:szCs w:val="17"/>
                <w:lang w:eastAsia="en-GB"/>
              </w:rPr>
              <w:t>Corporate exposures - Specialized lending</w:t>
            </w:r>
          </w:p>
        </w:tc>
        <w:tc>
          <w:tcPr>
            <w:tcW w:w="1418" w:type="dxa"/>
            <w:tcBorders>
              <w:top w:val="single" w:sz="4" w:space="0" w:color="BFBFBF"/>
              <w:left w:val="single" w:sz="4" w:space="0" w:color="auto"/>
              <w:bottom w:val="single" w:sz="4" w:space="0" w:color="BFBFBF"/>
              <w:right w:val="single" w:sz="4" w:space="0" w:color="auto"/>
            </w:tcBorders>
            <w:shd w:val="clear" w:color="auto" w:fill="auto"/>
          </w:tcPr>
          <w:p w14:paraId="65C4A9E9"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44B745CE"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bottom w:val="single" w:sz="4" w:space="0" w:color="BFBFBF"/>
              <w:right w:val="single" w:sz="4" w:space="0" w:color="auto"/>
            </w:tcBorders>
            <w:shd w:val="clear" w:color="auto" w:fill="FFFFFF"/>
          </w:tcPr>
          <w:p w14:paraId="45FDDAD5"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36C105E8"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r>
      <w:tr w:rsidR="00260576" w:rsidRPr="004E457E" w14:paraId="0F984EE4" w14:textId="77777777" w:rsidTr="00AC6CAB">
        <w:tc>
          <w:tcPr>
            <w:tcW w:w="567" w:type="dxa"/>
            <w:tcBorders>
              <w:left w:val="nil"/>
              <w:right w:val="single" w:sz="4" w:space="0" w:color="auto"/>
            </w:tcBorders>
          </w:tcPr>
          <w:p w14:paraId="428C126A" w14:textId="77777777" w:rsidR="00260576" w:rsidRPr="00CB685C" w:rsidRDefault="00260576" w:rsidP="00AC6CAB">
            <w:pPr>
              <w:keepLines/>
              <w:tabs>
                <w:tab w:val="left" w:pos="397"/>
                <w:tab w:val="left" w:pos="794"/>
                <w:tab w:val="left" w:pos="1191"/>
              </w:tabs>
              <w:snapToGrid w:val="0"/>
              <w:spacing w:before="20" w:after="20"/>
              <w:rPr>
                <w:rFonts w:cs="Segoe UI"/>
                <w:sz w:val="17"/>
                <w:szCs w:val="17"/>
              </w:rPr>
            </w:pPr>
            <w:r>
              <w:rPr>
                <w:rFonts w:cs="Segoe UI"/>
                <w:sz w:val="17"/>
                <w:szCs w:val="17"/>
              </w:rPr>
              <w:t>6a</w:t>
            </w:r>
          </w:p>
        </w:tc>
        <w:tc>
          <w:tcPr>
            <w:tcW w:w="3578" w:type="dxa"/>
            <w:tcBorders>
              <w:left w:val="single" w:sz="4" w:space="0" w:color="auto"/>
              <w:right w:val="single" w:sz="4" w:space="0" w:color="auto"/>
            </w:tcBorders>
          </w:tcPr>
          <w:p w14:paraId="12AB3770" w14:textId="77777777" w:rsidR="00260576" w:rsidRPr="0058268D" w:rsidRDefault="00260576" w:rsidP="00AC6CAB">
            <w:pPr>
              <w:keepLines/>
              <w:widowControl w:val="0"/>
              <w:tabs>
                <w:tab w:val="left" w:pos="397"/>
                <w:tab w:val="left" w:pos="794"/>
                <w:tab w:val="left" w:pos="1191"/>
              </w:tabs>
              <w:snapToGrid w:val="0"/>
              <w:spacing w:before="20" w:after="20"/>
              <w:ind w:left="353"/>
              <w:rPr>
                <w:rFonts w:cs="Segoe UI"/>
                <w:sz w:val="17"/>
                <w:szCs w:val="17"/>
                <w:lang w:eastAsia="en-GB"/>
              </w:rPr>
            </w:pPr>
            <w:r w:rsidRPr="0058268D">
              <w:rPr>
                <w:rFonts w:cs="Segoe UI"/>
                <w:sz w:val="17"/>
                <w:szCs w:val="17"/>
                <w:lang w:eastAsia="en-GB"/>
              </w:rPr>
              <w:t>Of which: income-producing real estate and high</w:t>
            </w:r>
            <w:r>
              <w:rPr>
                <w:rFonts w:cs="Segoe UI"/>
                <w:sz w:val="17"/>
                <w:szCs w:val="17"/>
                <w:lang w:eastAsia="en-GB"/>
              </w:rPr>
              <w:t>-</w:t>
            </w:r>
            <w:r w:rsidRPr="0058268D">
              <w:rPr>
                <w:rFonts w:cs="Segoe UI"/>
                <w:sz w:val="17"/>
                <w:szCs w:val="17"/>
                <w:lang w:eastAsia="en-GB"/>
              </w:rPr>
              <w:t>volatility commercial real estate</w:t>
            </w:r>
          </w:p>
        </w:tc>
        <w:tc>
          <w:tcPr>
            <w:tcW w:w="1418" w:type="dxa"/>
            <w:tcBorders>
              <w:top w:val="single" w:sz="4" w:space="0" w:color="BFBFBF"/>
              <w:left w:val="single" w:sz="4" w:space="0" w:color="auto"/>
              <w:bottom w:val="single" w:sz="4" w:space="0" w:color="BFBFBF"/>
              <w:right w:val="single" w:sz="4" w:space="0" w:color="auto"/>
            </w:tcBorders>
            <w:shd w:val="clear" w:color="auto" w:fill="auto"/>
          </w:tcPr>
          <w:p w14:paraId="4D7A8FBD"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71E92D82"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bottom w:val="single" w:sz="4" w:space="0" w:color="BFBFBF"/>
              <w:right w:val="single" w:sz="4" w:space="0" w:color="auto"/>
            </w:tcBorders>
            <w:shd w:val="clear" w:color="auto" w:fill="FFFFFF"/>
          </w:tcPr>
          <w:p w14:paraId="1983CAFE"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700F2200"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r>
      <w:tr w:rsidR="00260576" w:rsidRPr="004E457E" w14:paraId="4EC42C50" w14:textId="77777777" w:rsidTr="00AC6CAB">
        <w:tc>
          <w:tcPr>
            <w:tcW w:w="567" w:type="dxa"/>
            <w:tcBorders>
              <w:left w:val="nil"/>
              <w:right w:val="single" w:sz="4" w:space="0" w:color="auto"/>
            </w:tcBorders>
          </w:tcPr>
          <w:p w14:paraId="61174217" w14:textId="77777777" w:rsidR="00260576" w:rsidRPr="00CB685C" w:rsidRDefault="00260576" w:rsidP="00AC6CAB">
            <w:pPr>
              <w:keepLines/>
              <w:tabs>
                <w:tab w:val="left" w:pos="397"/>
                <w:tab w:val="left" w:pos="794"/>
                <w:tab w:val="left" w:pos="1191"/>
              </w:tabs>
              <w:snapToGrid w:val="0"/>
              <w:spacing w:before="20" w:after="20"/>
              <w:rPr>
                <w:rFonts w:cs="Segoe UI"/>
                <w:sz w:val="17"/>
                <w:szCs w:val="17"/>
              </w:rPr>
            </w:pPr>
            <w:r>
              <w:rPr>
                <w:rFonts w:cs="Segoe UI"/>
                <w:sz w:val="17"/>
                <w:szCs w:val="17"/>
              </w:rPr>
              <w:t>7</w:t>
            </w:r>
          </w:p>
        </w:tc>
        <w:tc>
          <w:tcPr>
            <w:tcW w:w="3578" w:type="dxa"/>
            <w:tcBorders>
              <w:left w:val="single" w:sz="4" w:space="0" w:color="auto"/>
              <w:right w:val="single" w:sz="4" w:space="0" w:color="auto"/>
            </w:tcBorders>
          </w:tcPr>
          <w:p w14:paraId="544F4E36" w14:textId="77777777" w:rsidR="00260576" w:rsidRPr="0058268D" w:rsidRDefault="00260576" w:rsidP="00AC6CAB">
            <w:pPr>
              <w:keepLines/>
              <w:tabs>
                <w:tab w:val="left" w:pos="397"/>
                <w:tab w:val="left" w:pos="794"/>
                <w:tab w:val="left" w:pos="1191"/>
              </w:tabs>
              <w:snapToGrid w:val="0"/>
              <w:spacing w:before="20" w:after="20"/>
              <w:rPr>
                <w:rFonts w:cs="Segoe UI"/>
                <w:sz w:val="17"/>
                <w:szCs w:val="17"/>
                <w:lang w:eastAsia="en-GB"/>
              </w:rPr>
            </w:pPr>
            <w:r w:rsidRPr="0058268D">
              <w:rPr>
                <w:rFonts w:cs="Segoe UI"/>
                <w:sz w:val="17"/>
                <w:szCs w:val="17"/>
                <w:lang w:eastAsia="en-GB"/>
              </w:rPr>
              <w:t>Other exposures</w:t>
            </w:r>
          </w:p>
        </w:tc>
        <w:tc>
          <w:tcPr>
            <w:tcW w:w="1418" w:type="dxa"/>
            <w:tcBorders>
              <w:top w:val="single" w:sz="4" w:space="0" w:color="BFBFBF"/>
              <w:left w:val="single" w:sz="4" w:space="0" w:color="auto"/>
              <w:bottom w:val="single" w:sz="4" w:space="0" w:color="BFBFBF"/>
              <w:right w:val="single" w:sz="4" w:space="0" w:color="auto"/>
            </w:tcBorders>
            <w:shd w:val="clear" w:color="auto" w:fill="auto"/>
          </w:tcPr>
          <w:p w14:paraId="01785001"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7FA1D66E"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bottom w:val="single" w:sz="4" w:space="0" w:color="BFBFBF"/>
              <w:right w:val="single" w:sz="4" w:space="0" w:color="auto"/>
            </w:tcBorders>
            <w:shd w:val="clear" w:color="auto" w:fill="FFFFFF"/>
          </w:tcPr>
          <w:p w14:paraId="7EAC3045"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BFBFBF"/>
              <w:right w:val="single" w:sz="4" w:space="0" w:color="auto"/>
            </w:tcBorders>
            <w:shd w:val="clear" w:color="auto" w:fill="FFFFFF"/>
          </w:tcPr>
          <w:p w14:paraId="2EC4CB9E"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r>
      <w:tr w:rsidR="00260576" w:rsidRPr="004E457E" w14:paraId="55798450" w14:textId="77777777" w:rsidTr="00AC6CAB">
        <w:trPr>
          <w:trHeight w:val="281"/>
        </w:trPr>
        <w:tc>
          <w:tcPr>
            <w:tcW w:w="567" w:type="dxa"/>
            <w:tcBorders>
              <w:left w:val="nil"/>
              <w:bottom w:val="single" w:sz="4" w:space="0" w:color="auto"/>
              <w:right w:val="single" w:sz="4" w:space="0" w:color="auto"/>
            </w:tcBorders>
          </w:tcPr>
          <w:p w14:paraId="56E4D094" w14:textId="77777777" w:rsidR="00260576" w:rsidRPr="001463D4" w:rsidRDefault="00260576" w:rsidP="00AC6CAB">
            <w:pPr>
              <w:keepLines/>
              <w:tabs>
                <w:tab w:val="left" w:pos="397"/>
                <w:tab w:val="left" w:pos="794"/>
                <w:tab w:val="left" w:pos="1191"/>
              </w:tabs>
              <w:snapToGrid w:val="0"/>
              <w:spacing w:before="20" w:after="20"/>
              <w:rPr>
                <w:rFonts w:cs="Segoe UI"/>
                <w:sz w:val="17"/>
                <w:szCs w:val="17"/>
                <w:highlight w:val="yellow"/>
              </w:rPr>
            </w:pPr>
            <w:r>
              <w:rPr>
                <w:rFonts w:cs="Segoe UI"/>
                <w:sz w:val="17"/>
                <w:szCs w:val="17"/>
              </w:rPr>
              <w:t>8</w:t>
            </w:r>
          </w:p>
        </w:tc>
        <w:tc>
          <w:tcPr>
            <w:tcW w:w="3578" w:type="dxa"/>
            <w:tcBorders>
              <w:left w:val="single" w:sz="4" w:space="0" w:color="auto"/>
              <w:bottom w:val="single" w:sz="4" w:space="0" w:color="auto"/>
              <w:right w:val="single" w:sz="4" w:space="0" w:color="auto"/>
            </w:tcBorders>
            <w:vAlign w:val="center"/>
          </w:tcPr>
          <w:p w14:paraId="23229D9A" w14:textId="77777777" w:rsidR="00260576" w:rsidRPr="004E457E" w:rsidRDefault="00260576" w:rsidP="00AC6CAB">
            <w:pPr>
              <w:keepLines/>
              <w:tabs>
                <w:tab w:val="left" w:pos="397"/>
                <w:tab w:val="left" w:pos="794"/>
                <w:tab w:val="left" w:pos="1191"/>
              </w:tabs>
              <w:snapToGrid w:val="0"/>
              <w:spacing w:before="20" w:after="20"/>
              <w:rPr>
                <w:rFonts w:cs="Segoe UI"/>
                <w:noProof/>
                <w:sz w:val="17"/>
                <w:szCs w:val="17"/>
                <w:lang w:eastAsia="en-GB"/>
              </w:rPr>
            </w:pPr>
            <w:r w:rsidRPr="004E457E">
              <w:rPr>
                <w:rFonts w:cs="Segoe UI"/>
                <w:sz w:val="17"/>
                <w:szCs w:val="17"/>
                <w:lang w:eastAsia="en-GB"/>
              </w:rPr>
              <w:t>Total</w:t>
            </w:r>
          </w:p>
        </w:tc>
        <w:tc>
          <w:tcPr>
            <w:tcW w:w="1418" w:type="dxa"/>
            <w:tcBorders>
              <w:top w:val="single" w:sz="4" w:space="0" w:color="BFBFBF"/>
              <w:left w:val="single" w:sz="4" w:space="0" w:color="auto"/>
              <w:bottom w:val="single" w:sz="4" w:space="0" w:color="auto"/>
              <w:right w:val="single" w:sz="4" w:space="0" w:color="auto"/>
            </w:tcBorders>
            <w:shd w:val="clear" w:color="auto" w:fill="auto"/>
          </w:tcPr>
          <w:p w14:paraId="0204DCA3"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auto"/>
              <w:right w:val="single" w:sz="4" w:space="0" w:color="auto"/>
            </w:tcBorders>
            <w:shd w:val="clear" w:color="auto" w:fill="FFFFFF"/>
          </w:tcPr>
          <w:p w14:paraId="0F911BD4"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276" w:type="dxa"/>
            <w:tcBorders>
              <w:top w:val="single" w:sz="4" w:space="0" w:color="BFBFBF"/>
              <w:left w:val="single" w:sz="4" w:space="0" w:color="auto"/>
              <w:bottom w:val="single" w:sz="4" w:space="0" w:color="auto"/>
              <w:right w:val="single" w:sz="4" w:space="0" w:color="auto"/>
            </w:tcBorders>
            <w:shd w:val="clear" w:color="auto" w:fill="FFFFFF"/>
          </w:tcPr>
          <w:p w14:paraId="4CE559DA"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c>
          <w:tcPr>
            <w:tcW w:w="1559" w:type="dxa"/>
            <w:tcBorders>
              <w:top w:val="single" w:sz="4" w:space="0" w:color="BFBFBF"/>
              <w:left w:val="single" w:sz="4" w:space="0" w:color="auto"/>
              <w:bottom w:val="single" w:sz="4" w:space="0" w:color="auto"/>
              <w:right w:val="single" w:sz="4" w:space="0" w:color="auto"/>
            </w:tcBorders>
            <w:shd w:val="clear" w:color="auto" w:fill="FFFFFF"/>
          </w:tcPr>
          <w:p w14:paraId="15B4D5C4" w14:textId="77777777" w:rsidR="00260576" w:rsidRPr="004E457E" w:rsidRDefault="00260576" w:rsidP="00AC6CAB">
            <w:pPr>
              <w:keepLines/>
              <w:tabs>
                <w:tab w:val="left" w:pos="397"/>
                <w:tab w:val="left" w:pos="794"/>
                <w:tab w:val="left" w:pos="1191"/>
              </w:tabs>
              <w:snapToGrid w:val="0"/>
              <w:spacing w:before="20" w:after="20"/>
              <w:rPr>
                <w:rFonts w:cs="Segoe UI"/>
                <w:sz w:val="17"/>
                <w:szCs w:val="17"/>
                <w:lang w:eastAsia="en-GB"/>
              </w:rPr>
            </w:pPr>
          </w:p>
        </w:tc>
      </w:tr>
    </w:tbl>
    <w:p w14:paraId="31D5CF2C" w14:textId="0416FD4F" w:rsidR="00260576" w:rsidRDefault="00260576" w:rsidP="00260576">
      <w:pPr>
        <w:spacing w:before="120" w:after="120"/>
        <w:ind w:leftChars="-283" w:left="-566"/>
        <w:rPr>
          <w:sz w:val="22"/>
        </w:rPr>
      </w:pPr>
    </w:p>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47"/>
      </w:tblGrid>
      <w:tr w:rsidR="00260576" w:rsidRPr="004E457E" w14:paraId="7EDA96B3" w14:textId="77777777" w:rsidTr="00AC6CAB">
        <w:trPr>
          <w:tblHeader/>
        </w:trPr>
        <w:tc>
          <w:tcPr>
            <w:tcW w:w="9214" w:type="dxa"/>
            <w:gridSpan w:val="2"/>
            <w:shd w:val="clear" w:color="auto" w:fill="BFBFBF"/>
          </w:tcPr>
          <w:p w14:paraId="1104C3DC" w14:textId="77777777" w:rsidR="00260576" w:rsidRPr="004E457E" w:rsidRDefault="00260576" w:rsidP="00AC6CAB">
            <w:pPr>
              <w:keepLines/>
              <w:tabs>
                <w:tab w:val="left" w:pos="150"/>
                <w:tab w:val="left" w:pos="397"/>
                <w:tab w:val="left" w:pos="794"/>
                <w:tab w:val="left" w:pos="1191"/>
              </w:tabs>
              <w:spacing w:before="40" w:after="40"/>
              <w:rPr>
                <w:rFonts w:eastAsia="新細明體"/>
                <w:b/>
                <w:sz w:val="17"/>
                <w:lang w:eastAsia="en-GB"/>
              </w:rPr>
            </w:pPr>
            <w:r w:rsidRPr="004E457E">
              <w:rPr>
                <w:rFonts w:eastAsia="新細明體"/>
                <w:b/>
                <w:sz w:val="17"/>
                <w:lang w:eastAsia="en-GB"/>
              </w:rPr>
              <w:lastRenderedPageBreak/>
              <w:t>Explanatory Note</w:t>
            </w:r>
          </w:p>
        </w:tc>
      </w:tr>
      <w:tr w:rsidR="00260576" w:rsidRPr="004E457E" w14:paraId="464E5568" w14:textId="77777777" w:rsidTr="00AC6CAB">
        <w:tc>
          <w:tcPr>
            <w:tcW w:w="9214" w:type="dxa"/>
            <w:gridSpan w:val="2"/>
            <w:shd w:val="clear" w:color="auto" w:fill="F2F2F2"/>
          </w:tcPr>
          <w:p w14:paraId="22D451AE" w14:textId="77777777" w:rsidR="00260576" w:rsidRPr="004E457E" w:rsidRDefault="00260576" w:rsidP="00AC6CAB">
            <w:pPr>
              <w:keepNext/>
              <w:keepLines/>
              <w:tabs>
                <w:tab w:val="left" w:pos="150"/>
                <w:tab w:val="left" w:pos="397"/>
                <w:tab w:val="left" w:pos="794"/>
                <w:tab w:val="left" w:pos="1191"/>
              </w:tabs>
              <w:spacing w:before="40" w:after="40"/>
              <w:rPr>
                <w:rFonts w:eastAsia="新細明體"/>
                <w:b/>
                <w:sz w:val="17"/>
                <w:lang w:eastAsia="en-GB"/>
              </w:rPr>
            </w:pPr>
            <w:r>
              <w:rPr>
                <w:rFonts w:eastAsia="新細明體"/>
                <w:b/>
                <w:sz w:val="17"/>
                <w:lang w:eastAsia="en-GB"/>
              </w:rPr>
              <w:t>Columns</w:t>
            </w:r>
          </w:p>
        </w:tc>
      </w:tr>
      <w:tr w:rsidR="00260576" w:rsidRPr="004E457E" w14:paraId="744AB948" w14:textId="77777777" w:rsidTr="00AC6CAB">
        <w:tc>
          <w:tcPr>
            <w:tcW w:w="567" w:type="dxa"/>
            <w:shd w:val="clear" w:color="auto" w:fill="auto"/>
          </w:tcPr>
          <w:p w14:paraId="462F3E6A" w14:textId="77777777" w:rsidR="00260576" w:rsidRPr="004E457E" w:rsidRDefault="00260576" w:rsidP="00AC6CAB">
            <w:pPr>
              <w:keepNext/>
              <w:keepLines/>
              <w:tabs>
                <w:tab w:val="left" w:pos="150"/>
                <w:tab w:val="left" w:pos="397"/>
                <w:tab w:val="left" w:pos="794"/>
                <w:tab w:val="left" w:pos="1191"/>
              </w:tabs>
              <w:spacing w:before="40" w:after="40"/>
              <w:rPr>
                <w:rFonts w:eastAsia="新細明體"/>
                <w:b/>
                <w:sz w:val="17"/>
                <w:lang w:eastAsia="en-GB"/>
              </w:rPr>
            </w:pPr>
            <w:r>
              <w:rPr>
                <w:rFonts w:cs="Segoe UI"/>
                <w:sz w:val="17"/>
                <w:szCs w:val="17"/>
                <w:lang w:eastAsia="en-GB"/>
              </w:rPr>
              <w:t>(a)</w:t>
            </w:r>
          </w:p>
        </w:tc>
        <w:tc>
          <w:tcPr>
            <w:tcW w:w="8647" w:type="dxa"/>
            <w:shd w:val="clear" w:color="auto" w:fill="auto"/>
          </w:tcPr>
          <w:p w14:paraId="1D7A34DD" w14:textId="083BA756" w:rsidR="00260576" w:rsidRPr="004E457E" w:rsidRDefault="00260576" w:rsidP="00B2349B">
            <w:pPr>
              <w:keepNext/>
              <w:keepLines/>
              <w:tabs>
                <w:tab w:val="left" w:pos="150"/>
                <w:tab w:val="left" w:pos="397"/>
                <w:tab w:val="left" w:pos="794"/>
                <w:tab w:val="left" w:pos="1191"/>
              </w:tabs>
              <w:spacing w:before="40" w:after="40"/>
              <w:jc w:val="both"/>
              <w:rPr>
                <w:rFonts w:eastAsia="新細明體"/>
                <w:b/>
                <w:sz w:val="17"/>
                <w:lang w:eastAsia="en-GB"/>
              </w:rPr>
            </w:pPr>
            <w:r w:rsidRPr="0008794A">
              <w:rPr>
                <w:rFonts w:cs="Segoe UI"/>
                <w:i/>
                <w:sz w:val="17"/>
                <w:szCs w:val="17"/>
              </w:rPr>
              <w:t xml:space="preserve">RWA </w:t>
            </w:r>
            <w:r>
              <w:rPr>
                <w:rFonts w:cs="Segoe UI"/>
                <w:i/>
                <w:sz w:val="17"/>
                <w:szCs w:val="17"/>
              </w:rPr>
              <w:t xml:space="preserve">calculated under </w:t>
            </w:r>
            <w:r w:rsidRPr="0008794A">
              <w:rPr>
                <w:rFonts w:cs="Segoe UI"/>
                <w:i/>
                <w:sz w:val="17"/>
                <w:szCs w:val="17"/>
              </w:rPr>
              <w:t>model</w:t>
            </w:r>
            <w:r>
              <w:rPr>
                <w:rFonts w:cs="Segoe UI"/>
                <w:i/>
                <w:sz w:val="17"/>
                <w:szCs w:val="17"/>
              </w:rPr>
              <w:t xml:space="preserve">-based </w:t>
            </w:r>
            <w:r w:rsidRPr="0008794A">
              <w:rPr>
                <w:rFonts w:cs="Segoe UI"/>
                <w:i/>
                <w:sz w:val="17"/>
                <w:szCs w:val="17"/>
              </w:rPr>
              <w:t xml:space="preserve">approaches that </w:t>
            </w:r>
            <w:r>
              <w:rPr>
                <w:rFonts w:cs="Segoe UI"/>
                <w:i/>
                <w:sz w:val="17"/>
                <w:szCs w:val="17"/>
              </w:rPr>
              <w:t>the AI</w:t>
            </w:r>
            <w:r w:rsidRPr="0008794A">
              <w:rPr>
                <w:rFonts w:cs="Segoe UI"/>
                <w:i/>
                <w:sz w:val="17"/>
                <w:szCs w:val="17"/>
              </w:rPr>
              <w:t xml:space="preserve"> ha</w:t>
            </w:r>
            <w:r>
              <w:rPr>
                <w:rFonts w:cs="Segoe UI"/>
                <w:i/>
                <w:sz w:val="17"/>
                <w:szCs w:val="17"/>
              </w:rPr>
              <w:t>s</w:t>
            </w:r>
            <w:r w:rsidRPr="0008794A">
              <w:rPr>
                <w:rFonts w:cs="Segoe UI"/>
                <w:i/>
                <w:sz w:val="17"/>
                <w:szCs w:val="17"/>
              </w:rPr>
              <w:t xml:space="preserve"> </w:t>
            </w:r>
            <w:r>
              <w:rPr>
                <w:rFonts w:cs="Segoe UI"/>
                <w:i/>
                <w:sz w:val="17"/>
                <w:szCs w:val="17"/>
              </w:rPr>
              <w:t xml:space="preserve">the MA’s </w:t>
            </w:r>
            <w:r w:rsidRPr="0008794A">
              <w:rPr>
                <w:rFonts w:cs="Segoe UI"/>
                <w:i/>
                <w:sz w:val="17"/>
                <w:szCs w:val="17"/>
              </w:rPr>
              <w:t>approval to use</w:t>
            </w:r>
            <w:r w:rsidRPr="0008794A">
              <w:rPr>
                <w:rFonts w:cs="Segoe UI"/>
                <w:sz w:val="17"/>
                <w:szCs w:val="17"/>
              </w:rPr>
              <w:t xml:space="preserve">: </w:t>
            </w:r>
            <w:r>
              <w:rPr>
                <w:rFonts w:cs="Segoe UI"/>
                <w:sz w:val="17"/>
                <w:szCs w:val="17"/>
              </w:rPr>
              <w:t>this column r</w:t>
            </w:r>
            <w:r w:rsidRPr="0008794A">
              <w:rPr>
                <w:rFonts w:cs="Segoe UI"/>
                <w:sz w:val="17"/>
                <w:szCs w:val="17"/>
              </w:rPr>
              <w:t xml:space="preserve">epresents the portion of RWA </w:t>
            </w:r>
            <w:r>
              <w:rPr>
                <w:rFonts w:cs="Segoe UI"/>
                <w:sz w:val="17"/>
                <w:szCs w:val="17"/>
              </w:rPr>
              <w:t xml:space="preserve">calculated </w:t>
            </w:r>
            <w:r w:rsidRPr="0008794A">
              <w:rPr>
                <w:rFonts w:cs="Segoe UI"/>
                <w:sz w:val="17"/>
                <w:szCs w:val="17"/>
              </w:rPr>
              <w:t xml:space="preserve">according to the IRB approach </w:t>
            </w:r>
            <w:r>
              <w:rPr>
                <w:rFonts w:cs="Segoe UI"/>
                <w:sz w:val="17"/>
                <w:szCs w:val="17"/>
              </w:rPr>
              <w:t>set out in Part 6 of the BCR</w:t>
            </w:r>
            <w:r w:rsidRPr="0008794A">
              <w:rPr>
                <w:rFonts w:cs="Segoe UI"/>
                <w:sz w:val="17"/>
                <w:szCs w:val="17"/>
              </w:rPr>
              <w:t>.</w:t>
            </w:r>
          </w:p>
        </w:tc>
      </w:tr>
      <w:tr w:rsidR="00260576" w:rsidRPr="004E457E" w14:paraId="0861B9E3" w14:textId="77777777" w:rsidTr="00AC6CAB">
        <w:tc>
          <w:tcPr>
            <w:tcW w:w="567" w:type="dxa"/>
            <w:shd w:val="clear" w:color="auto" w:fill="auto"/>
          </w:tcPr>
          <w:p w14:paraId="71B2E56E" w14:textId="77777777" w:rsidR="00260576" w:rsidRPr="004E457E" w:rsidRDefault="00260576" w:rsidP="00AC6CAB">
            <w:pPr>
              <w:keepNext/>
              <w:keepLines/>
              <w:tabs>
                <w:tab w:val="left" w:pos="150"/>
                <w:tab w:val="left" w:pos="397"/>
                <w:tab w:val="left" w:pos="794"/>
                <w:tab w:val="left" w:pos="1191"/>
              </w:tabs>
              <w:spacing w:before="40" w:after="40"/>
              <w:rPr>
                <w:rFonts w:eastAsia="新細明體"/>
                <w:b/>
                <w:sz w:val="17"/>
                <w:lang w:eastAsia="en-GB"/>
              </w:rPr>
            </w:pPr>
            <w:r>
              <w:rPr>
                <w:rFonts w:cs="Segoe UI"/>
                <w:sz w:val="17"/>
                <w:szCs w:val="17"/>
                <w:lang w:eastAsia="en-GB"/>
              </w:rPr>
              <w:t>(b)</w:t>
            </w:r>
          </w:p>
        </w:tc>
        <w:tc>
          <w:tcPr>
            <w:tcW w:w="8647" w:type="dxa"/>
            <w:shd w:val="clear" w:color="auto" w:fill="auto"/>
          </w:tcPr>
          <w:p w14:paraId="7718AAEA" w14:textId="179A0C58" w:rsidR="00260576" w:rsidRPr="004E457E" w:rsidRDefault="00260576" w:rsidP="00DF11BD">
            <w:pPr>
              <w:keepNext/>
              <w:keepLines/>
              <w:tabs>
                <w:tab w:val="left" w:pos="150"/>
                <w:tab w:val="left" w:pos="397"/>
                <w:tab w:val="left" w:pos="794"/>
                <w:tab w:val="left" w:pos="1191"/>
              </w:tabs>
              <w:spacing w:before="40" w:after="40"/>
              <w:jc w:val="both"/>
              <w:rPr>
                <w:rFonts w:eastAsia="新細明體"/>
                <w:b/>
                <w:sz w:val="17"/>
                <w:lang w:eastAsia="en-GB"/>
              </w:rPr>
            </w:pPr>
            <w:r w:rsidRPr="002A227C">
              <w:rPr>
                <w:rFonts w:cs="Segoe UI"/>
                <w:i/>
                <w:sz w:val="17"/>
                <w:szCs w:val="17"/>
              </w:rPr>
              <w:t>RWA for column (a) if re-</w:t>
            </w:r>
            <w:r>
              <w:rPr>
                <w:rFonts w:cs="Segoe UI"/>
                <w:i/>
                <w:sz w:val="17"/>
                <w:szCs w:val="17"/>
              </w:rPr>
              <w:t>calculated</w:t>
            </w:r>
            <w:r w:rsidRPr="002A227C">
              <w:rPr>
                <w:rFonts w:cs="Segoe UI"/>
                <w:i/>
                <w:sz w:val="17"/>
                <w:szCs w:val="17"/>
              </w:rPr>
              <w:t xml:space="preserve"> using the standardi</w:t>
            </w:r>
            <w:r>
              <w:rPr>
                <w:rFonts w:cs="Segoe UI"/>
                <w:i/>
                <w:sz w:val="17"/>
                <w:szCs w:val="17"/>
              </w:rPr>
              <w:t>zed approach</w:t>
            </w:r>
            <w:r w:rsidRPr="0008794A">
              <w:rPr>
                <w:rFonts w:cs="Segoe UI"/>
                <w:sz w:val="17"/>
                <w:szCs w:val="17"/>
              </w:rPr>
              <w:t xml:space="preserve">: </w:t>
            </w:r>
            <w:r>
              <w:rPr>
                <w:rFonts w:cs="Segoe UI"/>
                <w:sz w:val="17"/>
                <w:szCs w:val="17"/>
              </w:rPr>
              <w:t xml:space="preserve">this is the </w:t>
            </w:r>
            <w:r w:rsidRPr="0008794A">
              <w:rPr>
                <w:rFonts w:cs="Segoe UI"/>
                <w:sz w:val="17"/>
                <w:szCs w:val="17"/>
              </w:rPr>
              <w:t xml:space="preserve">RWA as </w:t>
            </w:r>
            <w:r>
              <w:rPr>
                <w:rFonts w:cs="Segoe UI"/>
                <w:sz w:val="17"/>
                <w:szCs w:val="17"/>
              </w:rPr>
              <w:t xml:space="preserve">would result from applying </w:t>
            </w:r>
            <w:r w:rsidRPr="0008794A">
              <w:rPr>
                <w:rFonts w:cs="Segoe UI"/>
                <w:sz w:val="17"/>
                <w:szCs w:val="17"/>
              </w:rPr>
              <w:t xml:space="preserve">the </w:t>
            </w:r>
            <w:r>
              <w:rPr>
                <w:rFonts w:cs="Segoe UI"/>
                <w:sz w:val="17"/>
                <w:szCs w:val="17"/>
              </w:rPr>
              <w:t xml:space="preserve">STC </w:t>
            </w:r>
            <w:r w:rsidRPr="0008794A">
              <w:rPr>
                <w:rFonts w:cs="Segoe UI"/>
                <w:sz w:val="17"/>
                <w:szCs w:val="17"/>
              </w:rPr>
              <w:t>approach</w:t>
            </w:r>
            <w:r>
              <w:rPr>
                <w:rFonts w:eastAsia="新細明體"/>
                <w:sz w:val="17"/>
                <w:lang w:eastAsia="en-GB"/>
              </w:rPr>
              <w:t xml:space="preserve"> in accordance with </w:t>
            </w:r>
            <w:r w:rsidR="00DF11BD">
              <w:rPr>
                <w:rFonts w:eastAsia="新細明體"/>
                <w:sz w:val="17"/>
                <w:lang w:eastAsia="en-GB"/>
              </w:rPr>
              <w:t xml:space="preserve">BCR </w:t>
            </w:r>
            <w:r w:rsidR="00DF11BD" w:rsidRPr="00DF11BD">
              <w:rPr>
                <w:rFonts w:eastAsia="新細明體" w:hint="eastAsia"/>
                <w:sz w:val="17"/>
                <w:lang w:eastAsia="en-GB"/>
              </w:rPr>
              <w:t>§</w:t>
            </w:r>
            <w:r>
              <w:rPr>
                <w:rFonts w:eastAsia="新細明體"/>
                <w:sz w:val="17"/>
                <w:lang w:eastAsia="en-GB"/>
              </w:rPr>
              <w:t>356(2)(a)</w:t>
            </w:r>
            <w:r>
              <w:rPr>
                <w:rFonts w:cs="Segoe UI"/>
                <w:sz w:val="17"/>
                <w:szCs w:val="17"/>
              </w:rPr>
              <w:t xml:space="preserve"> to all exposures giving rise to the RWA reported in column (a), irrespective of the exposure classification under STC approach to which the exposures belong when re-calculated under the STC approach</w:t>
            </w:r>
            <w:r w:rsidRPr="0008794A">
              <w:rPr>
                <w:rFonts w:cs="Segoe UI"/>
                <w:sz w:val="17"/>
                <w:szCs w:val="17"/>
              </w:rPr>
              <w:t>.</w:t>
            </w:r>
          </w:p>
        </w:tc>
      </w:tr>
      <w:tr w:rsidR="00260576" w:rsidRPr="004E457E" w14:paraId="1E1F1103" w14:textId="77777777" w:rsidTr="00AC6CAB">
        <w:tc>
          <w:tcPr>
            <w:tcW w:w="567" w:type="dxa"/>
            <w:shd w:val="clear" w:color="auto" w:fill="auto"/>
          </w:tcPr>
          <w:p w14:paraId="2824FC14" w14:textId="77777777" w:rsidR="00260576" w:rsidRPr="004E457E" w:rsidRDefault="00260576" w:rsidP="00AC6CAB">
            <w:pPr>
              <w:keepNext/>
              <w:keepLines/>
              <w:tabs>
                <w:tab w:val="left" w:pos="150"/>
                <w:tab w:val="left" w:pos="397"/>
                <w:tab w:val="left" w:pos="794"/>
                <w:tab w:val="left" w:pos="1191"/>
              </w:tabs>
              <w:spacing w:before="40" w:after="40"/>
              <w:rPr>
                <w:rFonts w:eastAsia="新細明體"/>
                <w:b/>
                <w:sz w:val="17"/>
                <w:lang w:eastAsia="en-GB"/>
              </w:rPr>
            </w:pPr>
            <w:r>
              <w:rPr>
                <w:rFonts w:cs="Segoe UI"/>
                <w:sz w:val="17"/>
                <w:szCs w:val="17"/>
                <w:lang w:eastAsia="en-GB"/>
              </w:rPr>
              <w:t>(c)</w:t>
            </w:r>
          </w:p>
        </w:tc>
        <w:tc>
          <w:tcPr>
            <w:tcW w:w="8647" w:type="dxa"/>
            <w:shd w:val="clear" w:color="auto" w:fill="auto"/>
          </w:tcPr>
          <w:p w14:paraId="2DE7511A" w14:textId="77777777" w:rsidR="00260576" w:rsidRPr="004E457E" w:rsidRDefault="00260576" w:rsidP="00AC6CAB">
            <w:pPr>
              <w:keepNext/>
              <w:keepLines/>
              <w:tabs>
                <w:tab w:val="left" w:pos="150"/>
                <w:tab w:val="left" w:pos="397"/>
                <w:tab w:val="left" w:pos="794"/>
                <w:tab w:val="left" w:pos="1191"/>
              </w:tabs>
              <w:spacing w:before="40" w:after="40"/>
              <w:jc w:val="both"/>
              <w:rPr>
                <w:rFonts w:eastAsia="新細明體"/>
                <w:b/>
                <w:sz w:val="17"/>
                <w:lang w:eastAsia="en-GB"/>
              </w:rPr>
            </w:pPr>
            <w:r w:rsidRPr="003C1DB9">
              <w:rPr>
                <w:rFonts w:cs="Segoe UI"/>
                <w:i/>
                <w:sz w:val="17"/>
                <w:szCs w:val="17"/>
              </w:rPr>
              <w:t xml:space="preserve">Total actual RWA </w:t>
            </w:r>
            <w:r>
              <w:rPr>
                <w:rFonts w:cs="Segoe UI"/>
                <w:i/>
                <w:sz w:val="17"/>
                <w:szCs w:val="17"/>
              </w:rPr>
              <w:t xml:space="preserve">(i.e. RWA which the </w:t>
            </w:r>
            <w:r w:rsidRPr="00897CB4">
              <w:rPr>
                <w:rFonts w:cs="Segoe UI"/>
                <w:i/>
                <w:sz w:val="17"/>
                <w:szCs w:val="17"/>
              </w:rPr>
              <w:t>AI reports as current requirements)</w:t>
            </w:r>
            <w:r w:rsidRPr="003C1DB9">
              <w:rPr>
                <w:rFonts w:cs="Segoe UI"/>
                <w:sz w:val="17"/>
                <w:szCs w:val="17"/>
              </w:rPr>
              <w:t xml:space="preserve">: </w:t>
            </w:r>
            <w:r>
              <w:rPr>
                <w:rFonts w:cs="Segoe UI"/>
                <w:sz w:val="17"/>
                <w:szCs w:val="17"/>
              </w:rPr>
              <w:t xml:space="preserve">this is </w:t>
            </w:r>
            <w:r w:rsidRPr="003C1DB9">
              <w:rPr>
                <w:rFonts w:cs="Segoe UI"/>
                <w:sz w:val="17"/>
                <w:szCs w:val="17"/>
              </w:rPr>
              <w:t xml:space="preserve">the sum of the </w:t>
            </w:r>
            <w:r>
              <w:rPr>
                <w:rFonts w:cs="Segoe UI"/>
                <w:sz w:val="17"/>
                <w:szCs w:val="17"/>
              </w:rPr>
              <w:t xml:space="preserve">actual </w:t>
            </w:r>
            <w:r w:rsidRPr="003C1DB9">
              <w:rPr>
                <w:rFonts w:cs="Segoe UI"/>
                <w:sz w:val="17"/>
                <w:szCs w:val="17"/>
              </w:rPr>
              <w:t xml:space="preserve">RWA </w:t>
            </w:r>
            <w:r>
              <w:rPr>
                <w:rFonts w:cs="Segoe UI"/>
                <w:sz w:val="17"/>
                <w:szCs w:val="17"/>
              </w:rPr>
              <w:t xml:space="preserve">calculated under the IRB </w:t>
            </w:r>
            <w:r w:rsidRPr="003C1DB9">
              <w:rPr>
                <w:rFonts w:cs="Segoe UI"/>
                <w:sz w:val="17"/>
                <w:szCs w:val="17"/>
              </w:rPr>
              <w:t xml:space="preserve">approach that </w:t>
            </w:r>
            <w:r>
              <w:rPr>
                <w:rFonts w:cs="Segoe UI"/>
                <w:sz w:val="17"/>
                <w:szCs w:val="17"/>
              </w:rPr>
              <w:t>AI</w:t>
            </w:r>
            <w:r w:rsidRPr="003C1DB9">
              <w:rPr>
                <w:rFonts w:cs="Segoe UI"/>
                <w:sz w:val="17"/>
                <w:szCs w:val="17"/>
              </w:rPr>
              <w:t xml:space="preserve"> ha</w:t>
            </w:r>
            <w:r>
              <w:rPr>
                <w:rFonts w:cs="Segoe UI"/>
                <w:sz w:val="17"/>
                <w:szCs w:val="17"/>
              </w:rPr>
              <w:t>s</w:t>
            </w:r>
            <w:r w:rsidRPr="003C1DB9">
              <w:rPr>
                <w:rFonts w:cs="Segoe UI"/>
                <w:sz w:val="17"/>
                <w:szCs w:val="17"/>
              </w:rPr>
              <w:t xml:space="preserve"> </w:t>
            </w:r>
            <w:r>
              <w:rPr>
                <w:rFonts w:cs="Segoe UI"/>
                <w:sz w:val="17"/>
                <w:szCs w:val="17"/>
              </w:rPr>
              <w:t xml:space="preserve">the MA’s </w:t>
            </w:r>
            <w:r w:rsidRPr="003C1DB9">
              <w:rPr>
                <w:rFonts w:cs="Segoe UI"/>
                <w:sz w:val="17"/>
                <w:szCs w:val="17"/>
              </w:rPr>
              <w:t xml:space="preserve">approval to use and the RWA </w:t>
            </w:r>
            <w:r>
              <w:rPr>
                <w:rFonts w:cs="Segoe UI"/>
                <w:sz w:val="17"/>
                <w:szCs w:val="17"/>
              </w:rPr>
              <w:t xml:space="preserve">calculated </w:t>
            </w:r>
            <w:r w:rsidRPr="003C1DB9">
              <w:rPr>
                <w:rFonts w:cs="Segoe UI"/>
                <w:sz w:val="17"/>
                <w:szCs w:val="17"/>
              </w:rPr>
              <w:t xml:space="preserve">under </w:t>
            </w:r>
            <w:r>
              <w:rPr>
                <w:rFonts w:cs="Segoe UI"/>
                <w:sz w:val="17"/>
                <w:szCs w:val="17"/>
              </w:rPr>
              <w:t>STC</w:t>
            </w:r>
            <w:r w:rsidRPr="003C1DB9">
              <w:rPr>
                <w:rFonts w:cs="Segoe UI"/>
                <w:sz w:val="17"/>
                <w:szCs w:val="17"/>
              </w:rPr>
              <w:t xml:space="preserve"> approach.</w:t>
            </w:r>
            <w:r>
              <w:rPr>
                <w:rFonts w:cs="Segoe UI"/>
                <w:sz w:val="17"/>
                <w:szCs w:val="17"/>
              </w:rPr>
              <w:t xml:space="preserve">  For the exposures whose actual RWAs are calculated under the STC approach, they are disclosed in accordance with the IRB class and IRB sub-class to which </w:t>
            </w:r>
            <w:r w:rsidRPr="00BB4639">
              <w:rPr>
                <w:rFonts w:cs="Segoe UI"/>
                <w:sz w:val="17"/>
                <w:szCs w:val="17"/>
              </w:rPr>
              <w:t xml:space="preserve">the </w:t>
            </w:r>
            <w:r>
              <w:rPr>
                <w:rFonts w:cs="Segoe UI"/>
                <w:sz w:val="17"/>
                <w:szCs w:val="17"/>
              </w:rPr>
              <w:t xml:space="preserve">corresponding </w:t>
            </w:r>
            <w:r w:rsidRPr="00BB4639">
              <w:rPr>
                <w:rFonts w:cs="Segoe UI"/>
                <w:sz w:val="17"/>
                <w:szCs w:val="17"/>
              </w:rPr>
              <w:t xml:space="preserve">exposures belong as if the IRB approach </w:t>
            </w:r>
            <w:r>
              <w:rPr>
                <w:rFonts w:cs="Segoe UI"/>
                <w:sz w:val="17"/>
                <w:szCs w:val="17"/>
              </w:rPr>
              <w:t xml:space="preserve">was </w:t>
            </w:r>
            <w:r w:rsidRPr="00BB4639">
              <w:rPr>
                <w:rFonts w:cs="Segoe UI"/>
                <w:sz w:val="17"/>
                <w:szCs w:val="17"/>
              </w:rPr>
              <w:t>used</w:t>
            </w:r>
            <w:r>
              <w:rPr>
                <w:rFonts w:cs="Segoe UI"/>
                <w:sz w:val="17"/>
                <w:szCs w:val="17"/>
              </w:rPr>
              <w:t>.</w:t>
            </w:r>
          </w:p>
        </w:tc>
      </w:tr>
      <w:tr w:rsidR="00260576" w:rsidRPr="004E457E" w14:paraId="030B1739" w14:textId="77777777" w:rsidTr="00AC6CAB">
        <w:tc>
          <w:tcPr>
            <w:tcW w:w="567" w:type="dxa"/>
            <w:shd w:val="clear" w:color="auto" w:fill="auto"/>
          </w:tcPr>
          <w:p w14:paraId="28DC6D45" w14:textId="77777777" w:rsidR="00260576" w:rsidRPr="004E457E" w:rsidRDefault="00260576" w:rsidP="00AC6CAB">
            <w:pPr>
              <w:keepNext/>
              <w:keepLines/>
              <w:tabs>
                <w:tab w:val="left" w:pos="150"/>
                <w:tab w:val="left" w:pos="397"/>
                <w:tab w:val="left" w:pos="794"/>
                <w:tab w:val="left" w:pos="1191"/>
              </w:tabs>
              <w:spacing w:before="40" w:after="40"/>
              <w:rPr>
                <w:rFonts w:eastAsia="新細明體"/>
                <w:b/>
                <w:sz w:val="17"/>
                <w:lang w:eastAsia="en-GB"/>
              </w:rPr>
            </w:pPr>
            <w:r>
              <w:rPr>
                <w:rFonts w:cs="Segoe UI"/>
                <w:sz w:val="17"/>
                <w:szCs w:val="17"/>
                <w:lang w:eastAsia="en-GB"/>
              </w:rPr>
              <w:t>(d)</w:t>
            </w:r>
          </w:p>
        </w:tc>
        <w:tc>
          <w:tcPr>
            <w:tcW w:w="8647" w:type="dxa"/>
            <w:shd w:val="clear" w:color="auto" w:fill="auto"/>
          </w:tcPr>
          <w:p w14:paraId="2B58A6FE" w14:textId="0ACE67CA" w:rsidR="00260576" w:rsidRPr="004E457E" w:rsidRDefault="00260576" w:rsidP="00DF11BD">
            <w:pPr>
              <w:keepNext/>
              <w:keepLines/>
              <w:tabs>
                <w:tab w:val="left" w:pos="150"/>
                <w:tab w:val="left" w:pos="397"/>
                <w:tab w:val="left" w:pos="794"/>
                <w:tab w:val="left" w:pos="1191"/>
              </w:tabs>
              <w:spacing w:before="40" w:after="40"/>
              <w:jc w:val="both"/>
              <w:rPr>
                <w:rFonts w:eastAsia="新細明體"/>
                <w:b/>
                <w:sz w:val="17"/>
                <w:lang w:eastAsia="en-GB"/>
              </w:rPr>
            </w:pPr>
            <w:r w:rsidRPr="00AE454D">
              <w:rPr>
                <w:rFonts w:cs="Segoe UI"/>
                <w:i/>
                <w:sz w:val="17"/>
                <w:szCs w:val="17"/>
              </w:rPr>
              <w:t>RWA calculated using full standardi</w:t>
            </w:r>
            <w:r>
              <w:rPr>
                <w:rFonts w:cs="Segoe UI"/>
                <w:i/>
                <w:sz w:val="17"/>
                <w:szCs w:val="17"/>
              </w:rPr>
              <w:t>z</w:t>
            </w:r>
            <w:r w:rsidRPr="00AE454D">
              <w:rPr>
                <w:rFonts w:cs="Segoe UI"/>
                <w:i/>
                <w:sz w:val="17"/>
                <w:szCs w:val="17"/>
              </w:rPr>
              <w:t>ed approach</w:t>
            </w:r>
            <w:r w:rsidRPr="00AE454D">
              <w:rPr>
                <w:rFonts w:cs="Segoe UI"/>
                <w:sz w:val="17"/>
                <w:szCs w:val="17"/>
              </w:rPr>
              <w:t xml:space="preserve">: </w:t>
            </w:r>
            <w:r>
              <w:rPr>
                <w:rFonts w:cs="Segoe UI"/>
                <w:sz w:val="17"/>
                <w:szCs w:val="17"/>
              </w:rPr>
              <w:t>this is the t</w:t>
            </w:r>
            <w:r w:rsidRPr="00AE454D">
              <w:rPr>
                <w:rFonts w:cs="Segoe UI"/>
                <w:sz w:val="17"/>
                <w:szCs w:val="17"/>
              </w:rPr>
              <w:t>otal RWA assuming the full standardi</w:t>
            </w:r>
            <w:r>
              <w:rPr>
                <w:rFonts w:cs="Segoe UI"/>
                <w:sz w:val="17"/>
                <w:szCs w:val="17"/>
              </w:rPr>
              <w:t>z</w:t>
            </w:r>
            <w:r w:rsidRPr="00AE454D">
              <w:rPr>
                <w:rFonts w:cs="Segoe UI"/>
                <w:sz w:val="17"/>
                <w:szCs w:val="17"/>
              </w:rPr>
              <w:t xml:space="preserve">ed approach </w:t>
            </w:r>
            <w:r>
              <w:rPr>
                <w:rFonts w:cs="Segoe UI"/>
                <w:sz w:val="17"/>
                <w:szCs w:val="17"/>
              </w:rPr>
              <w:t xml:space="preserve">for credit risk for </w:t>
            </w:r>
            <w:r w:rsidRPr="00BD33F1">
              <w:rPr>
                <w:rFonts w:cs="Segoe UI"/>
                <w:sz w:val="17"/>
                <w:szCs w:val="17"/>
              </w:rPr>
              <w:t xml:space="preserve">non-securitization applied at exposure class level in accordance with </w:t>
            </w:r>
            <w:r w:rsidR="00DF11BD">
              <w:rPr>
                <w:rFonts w:cs="Segoe UI"/>
                <w:sz w:val="17"/>
                <w:szCs w:val="17"/>
              </w:rPr>
              <w:t xml:space="preserve">BCR </w:t>
            </w:r>
            <w:r w:rsidR="00DF11BD" w:rsidRPr="00DF11BD">
              <w:rPr>
                <w:rFonts w:cs="Segoe UI" w:hint="eastAsia"/>
                <w:sz w:val="17"/>
                <w:szCs w:val="17"/>
              </w:rPr>
              <w:t>§</w:t>
            </w:r>
            <w:r w:rsidR="00E70EF2" w:rsidRPr="00BD33F1">
              <w:rPr>
                <w:rFonts w:cs="Segoe UI"/>
                <w:sz w:val="17"/>
                <w:szCs w:val="17"/>
              </w:rPr>
              <w:t>356(2)(a)</w:t>
            </w:r>
            <w:r w:rsidRPr="00BD33F1">
              <w:rPr>
                <w:rFonts w:cs="Segoe UI"/>
                <w:sz w:val="17"/>
                <w:szCs w:val="17"/>
              </w:rPr>
              <w:t>.  For the exposures whose actual RWAs are calculated under the STC approach in column (c), they are disclosed in a</w:t>
            </w:r>
            <w:r>
              <w:rPr>
                <w:rFonts w:cs="Segoe UI"/>
                <w:sz w:val="17"/>
                <w:szCs w:val="17"/>
              </w:rPr>
              <w:t xml:space="preserve">ccordance with the IRB class and IRB sub-class to which </w:t>
            </w:r>
            <w:r w:rsidRPr="00BB4639">
              <w:rPr>
                <w:rFonts w:cs="Segoe UI"/>
                <w:sz w:val="17"/>
                <w:szCs w:val="17"/>
              </w:rPr>
              <w:t xml:space="preserve">the </w:t>
            </w:r>
            <w:r>
              <w:rPr>
                <w:rFonts w:cs="Segoe UI"/>
                <w:sz w:val="17"/>
                <w:szCs w:val="17"/>
              </w:rPr>
              <w:t xml:space="preserve">corresponding </w:t>
            </w:r>
            <w:r w:rsidRPr="00BB4639">
              <w:rPr>
                <w:rFonts w:cs="Segoe UI"/>
                <w:sz w:val="17"/>
                <w:szCs w:val="17"/>
              </w:rPr>
              <w:t xml:space="preserve">exposures belong as if the IRB approach </w:t>
            </w:r>
            <w:r>
              <w:rPr>
                <w:rFonts w:cs="Segoe UI"/>
                <w:sz w:val="17"/>
                <w:szCs w:val="17"/>
              </w:rPr>
              <w:t xml:space="preserve">was </w:t>
            </w:r>
            <w:r w:rsidRPr="00BB4639">
              <w:rPr>
                <w:rFonts w:cs="Segoe UI"/>
                <w:sz w:val="17"/>
                <w:szCs w:val="17"/>
              </w:rPr>
              <w:t>used</w:t>
            </w:r>
            <w:r>
              <w:rPr>
                <w:rFonts w:cs="Segoe UI"/>
                <w:sz w:val="17"/>
                <w:szCs w:val="17"/>
              </w:rPr>
              <w:t>.</w:t>
            </w:r>
            <w:r w:rsidRPr="00AE454D">
              <w:rPr>
                <w:rFonts w:cs="Segoe UI"/>
                <w:sz w:val="17"/>
                <w:szCs w:val="17"/>
              </w:rPr>
              <w:t xml:space="preserve"> </w:t>
            </w:r>
            <w:r>
              <w:rPr>
                <w:rFonts w:cs="Segoe UI"/>
                <w:sz w:val="17"/>
                <w:szCs w:val="17"/>
              </w:rPr>
              <w:t xml:space="preserve"> </w:t>
            </w:r>
            <w:r w:rsidRPr="00AE454D">
              <w:rPr>
                <w:rFonts w:cs="Segoe UI"/>
                <w:sz w:val="17"/>
                <w:szCs w:val="17"/>
              </w:rPr>
              <w:t xml:space="preserve">Disclosed numbers for each </w:t>
            </w:r>
            <w:r>
              <w:rPr>
                <w:rFonts w:cs="Segoe UI"/>
                <w:sz w:val="17"/>
                <w:szCs w:val="17"/>
              </w:rPr>
              <w:t>exposure</w:t>
            </w:r>
            <w:r w:rsidRPr="00AE454D">
              <w:rPr>
                <w:rFonts w:cs="Segoe UI"/>
                <w:sz w:val="17"/>
                <w:szCs w:val="17"/>
              </w:rPr>
              <w:t xml:space="preserve"> class are calculated purely for comparison purposes and do not represent </w:t>
            </w:r>
            <w:r>
              <w:rPr>
                <w:rFonts w:cs="Segoe UI"/>
                <w:sz w:val="17"/>
                <w:szCs w:val="17"/>
              </w:rPr>
              <w:t xml:space="preserve">the capital </w:t>
            </w:r>
            <w:r w:rsidRPr="00AE454D">
              <w:rPr>
                <w:rFonts w:cs="Segoe UI"/>
                <w:sz w:val="17"/>
                <w:szCs w:val="17"/>
              </w:rPr>
              <w:t xml:space="preserve">requirements under the </w:t>
            </w:r>
            <w:r>
              <w:rPr>
                <w:rFonts w:cs="Segoe UI"/>
                <w:sz w:val="17"/>
                <w:szCs w:val="17"/>
              </w:rPr>
              <w:t>BCR</w:t>
            </w:r>
            <w:r w:rsidRPr="00AE454D">
              <w:rPr>
                <w:rFonts w:cs="Segoe UI"/>
                <w:sz w:val="17"/>
                <w:szCs w:val="17"/>
              </w:rPr>
              <w:t>.</w:t>
            </w:r>
            <w:r>
              <w:rPr>
                <w:rFonts w:cs="Segoe UI"/>
                <w:sz w:val="17"/>
                <w:szCs w:val="17"/>
              </w:rPr>
              <w:t xml:space="preserve">  </w:t>
            </w:r>
          </w:p>
        </w:tc>
      </w:tr>
      <w:tr w:rsidR="00260576" w:rsidRPr="004E457E" w14:paraId="55F46EA5" w14:textId="77777777" w:rsidTr="00AC6CAB">
        <w:tc>
          <w:tcPr>
            <w:tcW w:w="9214" w:type="dxa"/>
            <w:gridSpan w:val="2"/>
            <w:shd w:val="clear" w:color="auto" w:fill="F2F2F2"/>
          </w:tcPr>
          <w:p w14:paraId="5B869AFB" w14:textId="77777777" w:rsidR="00260576" w:rsidRPr="004E457E" w:rsidRDefault="00260576" w:rsidP="00AC6CAB">
            <w:pPr>
              <w:keepNext/>
              <w:keepLines/>
              <w:tabs>
                <w:tab w:val="left" w:pos="150"/>
                <w:tab w:val="left" w:pos="397"/>
                <w:tab w:val="left" w:pos="794"/>
                <w:tab w:val="left" w:pos="1191"/>
              </w:tabs>
              <w:spacing w:before="40" w:after="40"/>
              <w:rPr>
                <w:rFonts w:eastAsia="新細明體"/>
                <w:b/>
                <w:sz w:val="17"/>
                <w:lang w:eastAsia="en-GB"/>
              </w:rPr>
            </w:pPr>
            <w:r w:rsidRPr="004E457E">
              <w:rPr>
                <w:rFonts w:eastAsia="新細明體"/>
                <w:b/>
                <w:sz w:val="17"/>
                <w:lang w:eastAsia="en-GB"/>
              </w:rPr>
              <w:t>Rows</w:t>
            </w:r>
          </w:p>
        </w:tc>
      </w:tr>
      <w:tr w:rsidR="00260576" w:rsidRPr="004E457E" w14:paraId="03BE745D" w14:textId="77777777" w:rsidTr="00AC6CAB">
        <w:tc>
          <w:tcPr>
            <w:tcW w:w="567" w:type="dxa"/>
            <w:shd w:val="clear" w:color="auto" w:fill="auto"/>
          </w:tcPr>
          <w:p w14:paraId="1D458A28" w14:textId="77777777" w:rsidR="00260576" w:rsidRPr="004B43DE" w:rsidRDefault="00260576" w:rsidP="00AC6CAB">
            <w:pPr>
              <w:keepLines/>
              <w:tabs>
                <w:tab w:val="left" w:pos="150"/>
                <w:tab w:val="left" w:pos="397"/>
                <w:tab w:val="left" w:pos="794"/>
                <w:tab w:val="left" w:pos="1191"/>
              </w:tabs>
              <w:spacing w:before="40" w:after="40"/>
              <w:rPr>
                <w:rFonts w:cs="Segoe UI"/>
                <w:sz w:val="17"/>
                <w:szCs w:val="17"/>
              </w:rPr>
            </w:pPr>
            <w:r>
              <w:rPr>
                <w:rFonts w:cs="Segoe UI"/>
                <w:sz w:val="17"/>
                <w:szCs w:val="17"/>
              </w:rPr>
              <w:t>8</w:t>
            </w:r>
          </w:p>
        </w:tc>
        <w:tc>
          <w:tcPr>
            <w:tcW w:w="8647" w:type="dxa"/>
            <w:shd w:val="clear" w:color="auto" w:fill="auto"/>
          </w:tcPr>
          <w:p w14:paraId="0FD1EEAF" w14:textId="77777777" w:rsidR="00260576" w:rsidRPr="004B43DE" w:rsidRDefault="00260576" w:rsidP="00AC6CAB">
            <w:pPr>
              <w:keepLines/>
              <w:tabs>
                <w:tab w:val="left" w:pos="150"/>
                <w:tab w:val="left" w:pos="397"/>
                <w:tab w:val="left" w:pos="794"/>
                <w:tab w:val="left" w:pos="1191"/>
              </w:tabs>
              <w:spacing w:before="40" w:after="40"/>
              <w:jc w:val="both"/>
              <w:rPr>
                <w:rFonts w:cs="Segoe UI"/>
                <w:sz w:val="17"/>
                <w:szCs w:val="17"/>
                <w:lang w:eastAsia="en-GB"/>
              </w:rPr>
            </w:pPr>
            <w:r w:rsidRPr="004B43DE">
              <w:rPr>
                <w:rFonts w:cs="Segoe UI"/>
                <w:i/>
                <w:sz w:val="17"/>
                <w:szCs w:val="17"/>
              </w:rPr>
              <w:t>Total</w:t>
            </w:r>
            <w:r w:rsidRPr="004B43DE">
              <w:rPr>
                <w:rFonts w:cs="Segoe UI"/>
                <w:sz w:val="17"/>
                <w:szCs w:val="17"/>
              </w:rPr>
              <w:t xml:space="preserve">: </w:t>
            </w:r>
            <w:r>
              <w:rPr>
                <w:rFonts w:cs="Segoe UI"/>
                <w:sz w:val="17"/>
                <w:szCs w:val="17"/>
              </w:rPr>
              <w:t>The values in [CMS2:8/a], [CMS2:8/c] and [CMS2:8/d] are equal to the values in [CMS1:1/a], [CMS1:1/c] and [CMS1:1/d] respectively.</w:t>
            </w:r>
          </w:p>
        </w:tc>
      </w:tr>
    </w:tbl>
    <w:p w14:paraId="010073C7" w14:textId="77777777" w:rsidR="00260576" w:rsidRDefault="00260576" w:rsidP="00260576">
      <w:pPr>
        <w:spacing w:before="120" w:after="120"/>
        <w:ind w:leftChars="-283" w:left="-566"/>
        <w:rPr>
          <w:sz w:val="22"/>
        </w:rPr>
      </w:pPr>
    </w:p>
    <w:p w14:paraId="1517BC61" w14:textId="1A58D9DD" w:rsidR="00260576" w:rsidRDefault="00260576" w:rsidP="00260576"/>
    <w:p w14:paraId="5DAABB37" w14:textId="77777777" w:rsidR="00260576" w:rsidRPr="00260576" w:rsidRDefault="00260576" w:rsidP="00260576">
      <w:pPr>
        <w:sectPr w:rsidR="00260576" w:rsidRPr="00260576">
          <w:footerReference w:type="default" r:id="rId118"/>
          <w:pgSz w:w="11906" w:h="16838" w:code="9"/>
          <w:pgMar w:top="1440" w:right="1797" w:bottom="1440" w:left="1797" w:header="851" w:footer="737" w:gutter="0"/>
          <w:cols w:space="425"/>
          <w:docGrid w:type="lines" w:linePitch="360"/>
        </w:sectPr>
      </w:pPr>
    </w:p>
    <w:p w14:paraId="3BD7B749" w14:textId="10B4031A" w:rsidR="00E91FA7" w:rsidRDefault="006024F0" w:rsidP="008C105B">
      <w:pPr>
        <w:pStyle w:val="Heading1"/>
        <w:ind w:hanging="426"/>
        <w:rPr>
          <w:lang w:eastAsia="en-GB"/>
        </w:rPr>
      </w:pPr>
      <w:r>
        <w:rPr>
          <w:lang w:eastAsia="en-GB"/>
        </w:rPr>
        <w:lastRenderedPageBreak/>
        <w:t xml:space="preserve">Part </w:t>
      </w:r>
      <w:r w:rsidRPr="00D63625">
        <w:rPr>
          <w:lang w:eastAsia="en-GB"/>
        </w:rPr>
        <w:t>XI</w:t>
      </w:r>
      <w:r>
        <w:rPr>
          <w:lang w:eastAsia="en-GB"/>
        </w:rPr>
        <w:t>: Asset en</w:t>
      </w:r>
      <w:r w:rsidRPr="00212DE1">
        <w:rPr>
          <w:lang w:eastAsia="en-GB"/>
        </w:rPr>
        <w:t>cumbrance</w:t>
      </w:r>
    </w:p>
    <w:p w14:paraId="3442E555" w14:textId="2864C280" w:rsidR="00961CCF" w:rsidRPr="00961CCF" w:rsidRDefault="00961CCF" w:rsidP="00961CCF">
      <w:pPr>
        <w:pStyle w:val="Heading2"/>
        <w:rPr>
          <w:rFonts w:eastAsia="新細明體"/>
          <w:szCs w:val="24"/>
        </w:rPr>
      </w:pPr>
      <w:r w:rsidRPr="00961CCF">
        <w:rPr>
          <w:rFonts w:eastAsia="新細明體"/>
          <w:szCs w:val="24"/>
        </w:rPr>
        <w:t>Template ENC: Asset encumbrance</w:t>
      </w:r>
    </w:p>
    <w:tbl>
      <w:tblPr>
        <w:tblW w:w="9242" w:type="dxa"/>
        <w:tblInd w:w="-459"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1985"/>
        <w:gridCol w:w="7257"/>
      </w:tblGrid>
      <w:tr w:rsidR="00961CCF" w:rsidRPr="00961CCF" w14:paraId="13B03458" w14:textId="77777777" w:rsidTr="00EE6B38">
        <w:tc>
          <w:tcPr>
            <w:tcW w:w="1985" w:type="dxa"/>
          </w:tcPr>
          <w:p w14:paraId="0564C7B9" w14:textId="77777777" w:rsidR="00961CCF" w:rsidRPr="00961CCF" w:rsidRDefault="00961CCF" w:rsidP="00961CCF">
            <w:pPr>
              <w:spacing w:before="40" w:after="40"/>
              <w:rPr>
                <w:noProof/>
                <w:sz w:val="17"/>
                <w:lang w:eastAsia="en-GB"/>
              </w:rPr>
            </w:pPr>
            <w:r w:rsidRPr="00961CCF">
              <w:rPr>
                <w:b/>
                <w:sz w:val="17"/>
                <w:lang w:eastAsia="en-GB"/>
              </w:rPr>
              <w:t>Purpose:</w:t>
            </w:r>
            <w:r w:rsidRPr="00961CCF">
              <w:rPr>
                <w:sz w:val="17"/>
                <w:lang w:eastAsia="en-GB"/>
              </w:rPr>
              <w:t xml:space="preserve"> </w:t>
            </w:r>
          </w:p>
        </w:tc>
        <w:tc>
          <w:tcPr>
            <w:tcW w:w="7257" w:type="dxa"/>
          </w:tcPr>
          <w:p w14:paraId="064EAF85" w14:textId="77777777" w:rsidR="00961CCF" w:rsidRPr="00961CCF" w:rsidRDefault="00961CCF" w:rsidP="00961CCF">
            <w:pPr>
              <w:spacing w:before="40" w:after="40"/>
              <w:jc w:val="both"/>
              <w:rPr>
                <w:rFonts w:eastAsia="新細明體"/>
                <w:noProof/>
                <w:sz w:val="17"/>
                <w:lang w:eastAsia="en-GB"/>
              </w:rPr>
            </w:pPr>
            <w:r w:rsidRPr="00961CCF">
              <w:rPr>
                <w:rFonts w:eastAsia="新細明體"/>
                <w:sz w:val="17"/>
                <w:lang w:eastAsia="en-GB"/>
              </w:rPr>
              <w:t>To provide the amount of encumbered and unencumbered assets.</w:t>
            </w:r>
          </w:p>
        </w:tc>
      </w:tr>
      <w:tr w:rsidR="00961CCF" w:rsidRPr="00961CCF" w14:paraId="5563FA59" w14:textId="77777777" w:rsidTr="00EE6B38">
        <w:tc>
          <w:tcPr>
            <w:tcW w:w="1985" w:type="dxa"/>
          </w:tcPr>
          <w:p w14:paraId="69D4E231" w14:textId="77777777" w:rsidR="00961CCF" w:rsidRPr="00961CCF" w:rsidRDefault="00961CCF" w:rsidP="00961CCF">
            <w:pPr>
              <w:spacing w:before="40" w:after="40"/>
              <w:rPr>
                <w:b/>
                <w:sz w:val="17"/>
                <w:lang w:eastAsia="en-GB"/>
              </w:rPr>
            </w:pPr>
            <w:r w:rsidRPr="00961CCF">
              <w:rPr>
                <w:b/>
                <w:sz w:val="17"/>
                <w:lang w:eastAsia="en-GB"/>
              </w:rPr>
              <w:t xml:space="preserve">Scope of application: </w:t>
            </w:r>
          </w:p>
        </w:tc>
        <w:tc>
          <w:tcPr>
            <w:tcW w:w="7257" w:type="dxa"/>
          </w:tcPr>
          <w:p w14:paraId="26F663EB" w14:textId="77777777" w:rsidR="00961CCF" w:rsidRPr="00961CCF" w:rsidRDefault="00961CCF" w:rsidP="00961CCF">
            <w:pPr>
              <w:spacing w:before="40" w:after="40"/>
              <w:jc w:val="both"/>
              <w:rPr>
                <w:rFonts w:eastAsia="新細明體"/>
                <w:sz w:val="17"/>
                <w:lang w:eastAsia="en-GB"/>
              </w:rPr>
            </w:pPr>
            <w:r w:rsidRPr="00961CCF">
              <w:rPr>
                <w:rFonts w:eastAsia="新細明體"/>
                <w:sz w:val="17"/>
                <w:lang w:eastAsia="en-GB"/>
              </w:rPr>
              <w:t>The template is mandatory for all AIs incorporated in Hong Kong.</w:t>
            </w:r>
          </w:p>
        </w:tc>
      </w:tr>
      <w:tr w:rsidR="00961CCF" w:rsidRPr="00961CCF" w14:paraId="11E79F25" w14:textId="77777777" w:rsidTr="00EE6B38">
        <w:tc>
          <w:tcPr>
            <w:tcW w:w="1985" w:type="dxa"/>
          </w:tcPr>
          <w:p w14:paraId="77880936" w14:textId="77777777" w:rsidR="00961CCF" w:rsidRPr="00961CCF" w:rsidRDefault="00961CCF" w:rsidP="00961CCF">
            <w:pPr>
              <w:spacing w:before="40" w:after="40"/>
              <w:rPr>
                <w:b/>
                <w:sz w:val="17"/>
                <w:lang w:eastAsia="en-GB"/>
              </w:rPr>
            </w:pPr>
            <w:r w:rsidRPr="00961CCF">
              <w:rPr>
                <w:b/>
                <w:sz w:val="17"/>
                <w:lang w:eastAsia="en-GB"/>
              </w:rPr>
              <w:t xml:space="preserve">Content: </w:t>
            </w:r>
          </w:p>
        </w:tc>
        <w:tc>
          <w:tcPr>
            <w:tcW w:w="7257" w:type="dxa"/>
          </w:tcPr>
          <w:p w14:paraId="38D65780" w14:textId="26D7B809" w:rsidR="00961CCF" w:rsidRPr="00961CCF" w:rsidRDefault="00961CCF" w:rsidP="00961CCF">
            <w:pPr>
              <w:spacing w:before="40" w:after="40"/>
              <w:jc w:val="both"/>
              <w:rPr>
                <w:rFonts w:eastAsia="新細明體"/>
                <w:sz w:val="17"/>
                <w:lang w:eastAsia="en-GB"/>
              </w:rPr>
            </w:pPr>
            <w:r w:rsidRPr="00961CCF">
              <w:rPr>
                <w:rFonts w:eastAsia="新細明體"/>
                <w:sz w:val="17"/>
                <w:lang w:eastAsia="en-GB"/>
              </w:rPr>
              <w:t xml:space="preserve">Carrying amount for encumbered and unencumbered assets on the balance sheet using period-end values.  An AI should use the specific definition of “encumbered assets” set out in BDR </w:t>
            </w:r>
            <w:r w:rsidRPr="00961CCF">
              <w:rPr>
                <w:rFonts w:cs="Segoe UI"/>
                <w:szCs w:val="17"/>
              </w:rPr>
              <w:t>§</w:t>
            </w:r>
            <w:r w:rsidRPr="00961CCF">
              <w:rPr>
                <w:rFonts w:eastAsia="新細明體"/>
                <w:sz w:val="17"/>
                <w:lang w:eastAsia="en-GB"/>
              </w:rPr>
              <w:t xml:space="preserve">16ZQG(2) and the explanatory notes below in making the disclosure.  The scope of consolidation for the purposes of this disclosure requirement should be the AI’s regulatory scope of consolidation, </w:t>
            </w:r>
            <w:r w:rsidR="00AC2E0A">
              <w:rPr>
                <w:rFonts w:eastAsia="新細明體"/>
                <w:sz w:val="17"/>
                <w:lang w:eastAsia="en-GB"/>
              </w:rPr>
              <w:t xml:space="preserve">and </w:t>
            </w:r>
            <w:r w:rsidRPr="00961CCF">
              <w:rPr>
                <w:rFonts w:eastAsia="新細明體"/>
                <w:sz w:val="17"/>
                <w:lang w:eastAsia="en-GB"/>
              </w:rPr>
              <w:t>any assets (including those relevant to securitization exposures) meeting the definition of “encumbered asset” should be included in the disclosure.</w:t>
            </w:r>
          </w:p>
        </w:tc>
      </w:tr>
      <w:tr w:rsidR="00961CCF" w:rsidRPr="00961CCF" w14:paraId="2352D905" w14:textId="77777777" w:rsidTr="00EE6B38">
        <w:tc>
          <w:tcPr>
            <w:tcW w:w="1985" w:type="dxa"/>
          </w:tcPr>
          <w:p w14:paraId="7DD11984" w14:textId="77777777" w:rsidR="00961CCF" w:rsidRPr="00961CCF" w:rsidRDefault="00961CCF" w:rsidP="00961CCF">
            <w:pPr>
              <w:spacing w:before="40" w:after="40"/>
              <w:rPr>
                <w:sz w:val="17"/>
                <w:lang w:eastAsia="en-GB"/>
              </w:rPr>
            </w:pPr>
            <w:r w:rsidRPr="00961CCF">
              <w:rPr>
                <w:b/>
                <w:sz w:val="17"/>
                <w:lang w:eastAsia="en-GB"/>
              </w:rPr>
              <w:t>Frequency:</w:t>
            </w:r>
            <w:r w:rsidRPr="00961CCF">
              <w:rPr>
                <w:sz w:val="17"/>
                <w:lang w:eastAsia="en-GB"/>
              </w:rPr>
              <w:t xml:space="preserve"> </w:t>
            </w:r>
          </w:p>
        </w:tc>
        <w:tc>
          <w:tcPr>
            <w:tcW w:w="7257" w:type="dxa"/>
          </w:tcPr>
          <w:p w14:paraId="59CCDD4E" w14:textId="5CA8011D" w:rsidR="00961CCF" w:rsidRPr="00961CCF" w:rsidRDefault="00961CCF" w:rsidP="00961CCF">
            <w:pPr>
              <w:spacing w:before="40" w:after="40"/>
              <w:jc w:val="both"/>
              <w:rPr>
                <w:rFonts w:eastAsia="新細明體"/>
                <w:sz w:val="17"/>
                <w:lang w:eastAsia="en-GB"/>
              </w:rPr>
            </w:pPr>
            <w:r w:rsidRPr="00961CCF">
              <w:rPr>
                <w:rFonts w:eastAsia="新細明體"/>
                <w:sz w:val="17"/>
                <w:lang w:eastAsia="en-GB"/>
              </w:rPr>
              <w:t>Semi-annual</w:t>
            </w:r>
            <w:r w:rsidR="004A1C33">
              <w:rPr>
                <w:rFonts w:eastAsia="新細明體"/>
                <w:sz w:val="17"/>
                <w:lang w:eastAsia="en-GB"/>
              </w:rPr>
              <w:t>.</w:t>
            </w:r>
          </w:p>
        </w:tc>
      </w:tr>
      <w:tr w:rsidR="00961CCF" w:rsidRPr="00961CCF" w14:paraId="671DF34B" w14:textId="77777777" w:rsidTr="00EE6B38">
        <w:tc>
          <w:tcPr>
            <w:tcW w:w="1985" w:type="dxa"/>
          </w:tcPr>
          <w:p w14:paraId="3C5C6CEF" w14:textId="77777777" w:rsidR="00961CCF" w:rsidRPr="00961CCF" w:rsidRDefault="00961CCF" w:rsidP="00961CCF">
            <w:pPr>
              <w:spacing w:before="40" w:after="40"/>
              <w:rPr>
                <w:sz w:val="17"/>
                <w:lang w:eastAsia="en-GB"/>
              </w:rPr>
            </w:pPr>
            <w:r w:rsidRPr="00961CCF">
              <w:rPr>
                <w:b/>
                <w:sz w:val="17"/>
                <w:lang w:eastAsia="en-GB"/>
              </w:rPr>
              <w:t>Format:</w:t>
            </w:r>
            <w:r w:rsidRPr="00961CCF">
              <w:rPr>
                <w:sz w:val="17"/>
                <w:lang w:eastAsia="en-GB"/>
              </w:rPr>
              <w:t xml:space="preserve"> </w:t>
            </w:r>
          </w:p>
        </w:tc>
        <w:tc>
          <w:tcPr>
            <w:tcW w:w="7257" w:type="dxa"/>
          </w:tcPr>
          <w:p w14:paraId="40CBD7AE" w14:textId="3CBBEAF7" w:rsidR="00961CCF" w:rsidRPr="00961CCF" w:rsidRDefault="00961CCF" w:rsidP="00961CCF">
            <w:pPr>
              <w:spacing w:before="40" w:after="40"/>
              <w:jc w:val="both"/>
              <w:rPr>
                <w:rFonts w:eastAsia="新細明體"/>
                <w:sz w:val="17"/>
                <w:lang w:eastAsia="en-GB"/>
              </w:rPr>
            </w:pPr>
            <w:r w:rsidRPr="00961CCF">
              <w:rPr>
                <w:rFonts w:eastAsia="新細明體"/>
                <w:sz w:val="17"/>
                <w:lang w:eastAsia="en-GB"/>
              </w:rPr>
              <w:t xml:space="preserve">Fixed.  </w:t>
            </w:r>
            <w:r w:rsidR="004529D2">
              <w:rPr>
                <w:rFonts w:eastAsia="新細明體"/>
                <w:sz w:val="17"/>
                <w:lang w:eastAsia="en-GB"/>
              </w:rPr>
              <w:t xml:space="preserve">An </w:t>
            </w:r>
            <w:r w:rsidRPr="00961CCF">
              <w:rPr>
                <w:rFonts w:eastAsia="新細明體"/>
                <w:sz w:val="17"/>
                <w:lang w:eastAsia="en-GB"/>
              </w:rPr>
              <w:t>AI should group any assets used in central bank facilities with other encumbered and unencumbered assets, as appropriate.</w:t>
            </w:r>
          </w:p>
        </w:tc>
      </w:tr>
      <w:tr w:rsidR="00961CCF" w:rsidRPr="00961CCF" w14:paraId="7D31C3B0" w14:textId="77777777" w:rsidTr="00EE6B38">
        <w:tc>
          <w:tcPr>
            <w:tcW w:w="1985" w:type="dxa"/>
          </w:tcPr>
          <w:p w14:paraId="030B7039" w14:textId="77777777" w:rsidR="00961CCF" w:rsidRPr="00961CCF" w:rsidRDefault="00961CCF" w:rsidP="00961CCF">
            <w:pPr>
              <w:spacing w:before="40" w:after="40"/>
              <w:rPr>
                <w:b/>
                <w:sz w:val="17"/>
                <w:lang w:eastAsia="en-GB"/>
              </w:rPr>
            </w:pPr>
            <w:r w:rsidRPr="00961CCF">
              <w:rPr>
                <w:rFonts w:eastAsia="新細明體"/>
                <w:b/>
                <w:sz w:val="17"/>
                <w:szCs w:val="17"/>
                <w:lang w:eastAsia="en-GB"/>
              </w:rPr>
              <w:t>Accompanying narrative</w:t>
            </w:r>
            <w:r w:rsidRPr="00961CCF">
              <w:rPr>
                <w:rFonts w:eastAsia="新細明體"/>
                <w:sz w:val="17"/>
                <w:szCs w:val="17"/>
                <w:lang w:eastAsia="en-GB"/>
              </w:rPr>
              <w:t>:</w:t>
            </w:r>
          </w:p>
        </w:tc>
        <w:tc>
          <w:tcPr>
            <w:tcW w:w="7257" w:type="dxa"/>
          </w:tcPr>
          <w:p w14:paraId="68DCE45D" w14:textId="63917EC3" w:rsidR="00961CCF" w:rsidRPr="00961CCF" w:rsidRDefault="004529D2" w:rsidP="004529D2">
            <w:pPr>
              <w:spacing w:before="40" w:after="40"/>
              <w:jc w:val="both"/>
              <w:rPr>
                <w:rFonts w:eastAsia="新細明體"/>
                <w:sz w:val="17"/>
                <w:lang w:eastAsia="en-GB"/>
              </w:rPr>
            </w:pPr>
            <w:r>
              <w:rPr>
                <w:rFonts w:eastAsia="新細明體"/>
                <w:sz w:val="17"/>
                <w:lang w:eastAsia="en-GB"/>
              </w:rPr>
              <w:t xml:space="preserve">An </w:t>
            </w:r>
            <w:r w:rsidR="00961CCF" w:rsidRPr="00961CCF">
              <w:rPr>
                <w:rFonts w:eastAsia="新細明體"/>
                <w:sz w:val="17"/>
                <w:lang w:eastAsia="en-GB"/>
              </w:rPr>
              <w:t xml:space="preserve">AI </w:t>
            </w:r>
            <w:r>
              <w:rPr>
                <w:rFonts w:eastAsia="新細明體"/>
                <w:sz w:val="17"/>
                <w:lang w:eastAsia="en-GB"/>
              </w:rPr>
              <w:t>should</w:t>
            </w:r>
            <w:r w:rsidR="00961CCF" w:rsidRPr="00961CCF">
              <w:rPr>
                <w:rFonts w:eastAsia="新細明體"/>
                <w:sz w:val="17"/>
                <w:lang w:eastAsia="en-GB"/>
              </w:rPr>
              <w:t xml:space="preserve"> supplement the template with a narrative commentary to explain (i) any significant change in the amount of encumbered and unencumbered assets from the previous disclosure; and (ii) any other relevant information necessary to understand the context of the disclosed figures.</w:t>
            </w:r>
          </w:p>
        </w:tc>
      </w:tr>
      <w:tr w:rsidR="00961CCF" w:rsidRPr="00961CCF" w14:paraId="400D531C" w14:textId="77777777" w:rsidTr="00EE6B38">
        <w:tc>
          <w:tcPr>
            <w:tcW w:w="1985" w:type="dxa"/>
          </w:tcPr>
          <w:p w14:paraId="792D2A19" w14:textId="77777777" w:rsidR="00961CCF" w:rsidRPr="00961CCF" w:rsidRDefault="00961CCF" w:rsidP="00961CCF">
            <w:pPr>
              <w:spacing w:before="40" w:after="40"/>
              <w:rPr>
                <w:rFonts w:eastAsia="新細明體"/>
                <w:b/>
                <w:sz w:val="17"/>
                <w:szCs w:val="17"/>
                <w:lang w:eastAsia="en-GB"/>
              </w:rPr>
            </w:pPr>
            <w:r w:rsidRPr="00961CCF">
              <w:rPr>
                <w:rFonts w:eastAsia="新細明體"/>
                <w:b/>
                <w:sz w:val="17"/>
                <w:szCs w:val="17"/>
                <w:lang w:eastAsia="en-GB"/>
              </w:rPr>
              <w:t>Corresponding BDR section:</w:t>
            </w:r>
          </w:p>
        </w:tc>
        <w:tc>
          <w:tcPr>
            <w:tcW w:w="7257" w:type="dxa"/>
          </w:tcPr>
          <w:p w14:paraId="54B50854" w14:textId="5448BB42" w:rsidR="00961CCF" w:rsidRPr="00961CCF" w:rsidRDefault="00961CCF" w:rsidP="00961CCF">
            <w:pPr>
              <w:spacing w:before="40" w:after="40"/>
              <w:jc w:val="both"/>
              <w:rPr>
                <w:rFonts w:eastAsia="新細明體"/>
                <w:sz w:val="17"/>
                <w:lang w:eastAsia="en-GB"/>
              </w:rPr>
            </w:pPr>
            <w:r w:rsidRPr="0015058C">
              <w:rPr>
                <w:rFonts w:eastAsia="新細明體"/>
                <w:sz w:val="17"/>
                <w:lang w:eastAsia="en-GB"/>
              </w:rPr>
              <w:t>16ZQG</w:t>
            </w:r>
          </w:p>
        </w:tc>
      </w:tr>
    </w:tbl>
    <w:p w14:paraId="5A3A35C8" w14:textId="77777777" w:rsidR="00961CCF" w:rsidRPr="00961CCF" w:rsidRDefault="00961CCF" w:rsidP="00961CCF">
      <w:pPr>
        <w:spacing w:before="120" w:after="120"/>
        <w:rPr>
          <w:sz w:val="22"/>
        </w:rPr>
      </w:pPr>
    </w:p>
    <w:p w14:paraId="062E26FB" w14:textId="77777777" w:rsidR="00961CCF" w:rsidRPr="00961CCF" w:rsidRDefault="00961CCF" w:rsidP="00961CCF">
      <w:pPr>
        <w:spacing w:before="120" w:after="120"/>
        <w:rPr>
          <w:sz w:val="22"/>
        </w:rPr>
      </w:pPr>
    </w:p>
    <w:tbl>
      <w:tblPr>
        <w:tblW w:w="9215" w:type="dxa"/>
        <w:tblInd w:w="-459" w:type="dxa"/>
        <w:tblBorders>
          <w:top w:val="single" w:sz="4" w:space="0" w:color="auto"/>
          <w:bottom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44"/>
        <w:gridCol w:w="2457"/>
        <w:gridCol w:w="2457"/>
        <w:gridCol w:w="2457"/>
      </w:tblGrid>
      <w:tr w:rsidR="00961CCF" w:rsidRPr="00961CCF" w14:paraId="73833940" w14:textId="77777777" w:rsidTr="00757B73">
        <w:trPr>
          <w:trHeight w:val="197"/>
        </w:trPr>
        <w:tc>
          <w:tcPr>
            <w:tcW w:w="1001" w:type="pct"/>
            <w:vMerge w:val="restart"/>
            <w:tcBorders>
              <w:top w:val="nil"/>
            </w:tcBorders>
            <w:tcMar>
              <w:top w:w="0" w:type="dxa"/>
              <w:left w:w="108" w:type="dxa"/>
              <w:bottom w:w="0" w:type="dxa"/>
              <w:right w:w="108" w:type="dxa"/>
            </w:tcMar>
          </w:tcPr>
          <w:p w14:paraId="339A1F2F" w14:textId="77777777" w:rsidR="00961CCF" w:rsidRPr="00961CCF" w:rsidRDefault="00961CCF" w:rsidP="00961CCF">
            <w:pPr>
              <w:spacing w:before="120" w:after="120"/>
              <w:rPr>
                <w:sz w:val="22"/>
              </w:rPr>
            </w:pPr>
          </w:p>
        </w:tc>
        <w:tc>
          <w:tcPr>
            <w:tcW w:w="1333" w:type="pct"/>
            <w:tcMar>
              <w:top w:w="0" w:type="dxa"/>
              <w:left w:w="108" w:type="dxa"/>
              <w:bottom w:w="0" w:type="dxa"/>
              <w:right w:w="108" w:type="dxa"/>
            </w:tcMar>
          </w:tcPr>
          <w:p w14:paraId="3AAB2A29" w14:textId="2101D641" w:rsidR="00961CCF" w:rsidRPr="00961CCF" w:rsidRDefault="004A1C33" w:rsidP="00961CCF">
            <w:pPr>
              <w:spacing w:before="120" w:after="120"/>
              <w:jc w:val="center"/>
              <w:rPr>
                <w:sz w:val="17"/>
                <w:szCs w:val="17"/>
              </w:rPr>
            </w:pPr>
            <w:r>
              <w:rPr>
                <w:sz w:val="17"/>
                <w:szCs w:val="17"/>
              </w:rPr>
              <w:t>(</w:t>
            </w:r>
            <w:r w:rsidR="00961CCF" w:rsidRPr="00961CCF">
              <w:rPr>
                <w:sz w:val="17"/>
                <w:szCs w:val="17"/>
              </w:rPr>
              <w:t>a</w:t>
            </w:r>
            <w:r>
              <w:rPr>
                <w:sz w:val="17"/>
                <w:szCs w:val="17"/>
              </w:rPr>
              <w:t>)</w:t>
            </w:r>
          </w:p>
        </w:tc>
        <w:tc>
          <w:tcPr>
            <w:tcW w:w="1333" w:type="pct"/>
          </w:tcPr>
          <w:p w14:paraId="537D49CD" w14:textId="5B256A9C" w:rsidR="00961CCF" w:rsidRPr="00961CCF" w:rsidRDefault="004A1C33" w:rsidP="00961CCF">
            <w:pPr>
              <w:spacing w:before="120" w:after="120"/>
              <w:jc w:val="center"/>
              <w:rPr>
                <w:sz w:val="17"/>
                <w:szCs w:val="17"/>
              </w:rPr>
            </w:pPr>
            <w:r>
              <w:rPr>
                <w:sz w:val="17"/>
                <w:szCs w:val="17"/>
              </w:rPr>
              <w:t>(</w:t>
            </w:r>
            <w:r w:rsidR="00961CCF" w:rsidRPr="00961CCF">
              <w:rPr>
                <w:sz w:val="17"/>
                <w:szCs w:val="17"/>
              </w:rPr>
              <w:t>c</w:t>
            </w:r>
            <w:r>
              <w:rPr>
                <w:sz w:val="17"/>
                <w:szCs w:val="17"/>
              </w:rPr>
              <w:t>)</w:t>
            </w:r>
          </w:p>
        </w:tc>
        <w:tc>
          <w:tcPr>
            <w:tcW w:w="1333" w:type="pct"/>
            <w:tcBorders>
              <w:right w:val="single" w:sz="4" w:space="0" w:color="auto"/>
            </w:tcBorders>
            <w:tcMar>
              <w:top w:w="0" w:type="dxa"/>
              <w:left w:w="108" w:type="dxa"/>
              <w:bottom w:w="0" w:type="dxa"/>
              <w:right w:w="108" w:type="dxa"/>
            </w:tcMar>
          </w:tcPr>
          <w:p w14:paraId="08850E53" w14:textId="0994B852" w:rsidR="00961CCF" w:rsidRPr="00961CCF" w:rsidRDefault="004A1C33" w:rsidP="00961CCF">
            <w:pPr>
              <w:spacing w:before="120" w:after="120"/>
              <w:jc w:val="center"/>
              <w:rPr>
                <w:iCs/>
                <w:sz w:val="17"/>
                <w:szCs w:val="17"/>
              </w:rPr>
            </w:pPr>
            <w:r>
              <w:rPr>
                <w:iCs/>
                <w:sz w:val="17"/>
                <w:szCs w:val="17"/>
              </w:rPr>
              <w:t>(</w:t>
            </w:r>
            <w:r w:rsidR="00961CCF" w:rsidRPr="00961CCF">
              <w:rPr>
                <w:iCs/>
                <w:sz w:val="17"/>
                <w:szCs w:val="17"/>
              </w:rPr>
              <w:t>d</w:t>
            </w:r>
            <w:r>
              <w:rPr>
                <w:iCs/>
                <w:sz w:val="17"/>
                <w:szCs w:val="17"/>
              </w:rPr>
              <w:t>)</w:t>
            </w:r>
          </w:p>
        </w:tc>
      </w:tr>
      <w:tr w:rsidR="00961CCF" w:rsidRPr="00961CCF" w14:paraId="51E58CBA" w14:textId="77777777" w:rsidTr="00757B73">
        <w:tc>
          <w:tcPr>
            <w:tcW w:w="1001" w:type="pct"/>
            <w:vMerge/>
            <w:tcMar>
              <w:top w:w="0" w:type="dxa"/>
              <w:left w:w="108" w:type="dxa"/>
              <w:bottom w:w="0" w:type="dxa"/>
              <w:right w:w="108" w:type="dxa"/>
            </w:tcMar>
          </w:tcPr>
          <w:p w14:paraId="0C3847CF" w14:textId="77777777" w:rsidR="00961CCF" w:rsidRPr="00961CCF" w:rsidRDefault="00961CCF" w:rsidP="00961CCF">
            <w:pPr>
              <w:spacing w:before="120" w:after="120"/>
              <w:rPr>
                <w:sz w:val="22"/>
              </w:rPr>
            </w:pPr>
          </w:p>
        </w:tc>
        <w:tc>
          <w:tcPr>
            <w:tcW w:w="1333" w:type="pct"/>
            <w:tcMar>
              <w:top w:w="0" w:type="dxa"/>
              <w:left w:w="108" w:type="dxa"/>
              <w:bottom w:w="0" w:type="dxa"/>
              <w:right w:w="108" w:type="dxa"/>
            </w:tcMar>
            <w:hideMark/>
          </w:tcPr>
          <w:p w14:paraId="662797E7" w14:textId="77777777" w:rsidR="00961CCF" w:rsidRPr="00961CCF" w:rsidRDefault="00961CCF" w:rsidP="00961CCF">
            <w:pPr>
              <w:spacing w:before="120" w:after="120"/>
              <w:jc w:val="center"/>
              <w:rPr>
                <w:b/>
                <w:sz w:val="17"/>
                <w:szCs w:val="17"/>
              </w:rPr>
            </w:pPr>
            <w:r w:rsidRPr="00961CCF">
              <w:rPr>
                <w:b/>
                <w:sz w:val="17"/>
                <w:szCs w:val="17"/>
              </w:rPr>
              <w:t>Encumbered assets</w:t>
            </w:r>
          </w:p>
        </w:tc>
        <w:tc>
          <w:tcPr>
            <w:tcW w:w="1333" w:type="pct"/>
          </w:tcPr>
          <w:p w14:paraId="17FB729B" w14:textId="77777777" w:rsidR="00961CCF" w:rsidRPr="00961CCF" w:rsidRDefault="00961CCF" w:rsidP="00961CCF">
            <w:pPr>
              <w:spacing w:before="120" w:after="120"/>
              <w:jc w:val="center"/>
              <w:rPr>
                <w:sz w:val="17"/>
                <w:szCs w:val="17"/>
              </w:rPr>
            </w:pPr>
            <w:r w:rsidRPr="00961CCF">
              <w:rPr>
                <w:b/>
                <w:sz w:val="17"/>
                <w:szCs w:val="17"/>
              </w:rPr>
              <w:t>Unencumbered assets</w:t>
            </w:r>
          </w:p>
        </w:tc>
        <w:tc>
          <w:tcPr>
            <w:tcW w:w="1333" w:type="pct"/>
            <w:tcBorders>
              <w:right w:val="single" w:sz="4" w:space="0" w:color="auto"/>
            </w:tcBorders>
            <w:tcMar>
              <w:top w:w="0" w:type="dxa"/>
              <w:left w:w="108" w:type="dxa"/>
              <w:bottom w:w="0" w:type="dxa"/>
              <w:right w:w="108" w:type="dxa"/>
            </w:tcMar>
            <w:hideMark/>
          </w:tcPr>
          <w:p w14:paraId="24685730" w14:textId="77777777" w:rsidR="00961CCF" w:rsidRPr="00961CCF" w:rsidRDefault="00961CCF" w:rsidP="00961CCF">
            <w:pPr>
              <w:spacing w:before="120" w:after="120"/>
              <w:jc w:val="center"/>
              <w:rPr>
                <w:b/>
                <w:iCs/>
                <w:sz w:val="17"/>
                <w:szCs w:val="17"/>
              </w:rPr>
            </w:pPr>
            <w:r w:rsidRPr="00961CCF">
              <w:rPr>
                <w:b/>
                <w:iCs/>
                <w:sz w:val="17"/>
                <w:szCs w:val="17"/>
              </w:rPr>
              <w:t>Total</w:t>
            </w:r>
          </w:p>
        </w:tc>
      </w:tr>
      <w:tr w:rsidR="00961CCF" w:rsidRPr="00961CCF" w14:paraId="701DE9A3" w14:textId="77777777" w:rsidTr="00757B73">
        <w:trPr>
          <w:trHeight w:val="793"/>
        </w:trPr>
        <w:tc>
          <w:tcPr>
            <w:tcW w:w="1001" w:type="pct"/>
            <w:vMerge w:val="restart"/>
            <w:tcMar>
              <w:top w:w="0" w:type="dxa"/>
              <w:left w:w="108" w:type="dxa"/>
              <w:bottom w:w="0" w:type="dxa"/>
              <w:right w:w="108" w:type="dxa"/>
            </w:tcMar>
            <w:hideMark/>
          </w:tcPr>
          <w:p w14:paraId="6E548F90" w14:textId="77777777" w:rsidR="00961CCF" w:rsidRPr="00961CCF" w:rsidRDefault="00961CCF" w:rsidP="00961CCF">
            <w:pPr>
              <w:spacing w:before="120" w:after="120"/>
              <w:rPr>
                <w:sz w:val="17"/>
                <w:szCs w:val="17"/>
              </w:rPr>
            </w:pPr>
            <w:r w:rsidRPr="00961CCF">
              <w:rPr>
                <w:sz w:val="17"/>
                <w:szCs w:val="17"/>
              </w:rPr>
              <w:t>The assets on the balance sheet would be disaggregated; there can be as much disaggregation as desired</w:t>
            </w:r>
          </w:p>
        </w:tc>
        <w:tc>
          <w:tcPr>
            <w:tcW w:w="1333" w:type="pct"/>
            <w:tcBorders>
              <w:bottom w:val="single" w:sz="4" w:space="0" w:color="BFBFBF"/>
            </w:tcBorders>
            <w:tcMar>
              <w:top w:w="0" w:type="dxa"/>
              <w:left w:w="108" w:type="dxa"/>
              <w:bottom w:w="0" w:type="dxa"/>
              <w:right w:w="108" w:type="dxa"/>
            </w:tcMar>
          </w:tcPr>
          <w:p w14:paraId="3D1478E7" w14:textId="77777777" w:rsidR="00961CCF" w:rsidRPr="00961CCF" w:rsidRDefault="00961CCF" w:rsidP="00961CCF">
            <w:pPr>
              <w:spacing w:before="120" w:after="120"/>
              <w:rPr>
                <w:sz w:val="22"/>
              </w:rPr>
            </w:pPr>
          </w:p>
        </w:tc>
        <w:tc>
          <w:tcPr>
            <w:tcW w:w="1333" w:type="pct"/>
            <w:tcBorders>
              <w:bottom w:val="single" w:sz="4" w:space="0" w:color="BFBFBF"/>
            </w:tcBorders>
          </w:tcPr>
          <w:p w14:paraId="556F1DD8" w14:textId="77777777" w:rsidR="00961CCF" w:rsidRPr="00961CCF" w:rsidRDefault="00961CCF" w:rsidP="00961CCF">
            <w:pPr>
              <w:spacing w:before="120" w:after="120"/>
              <w:rPr>
                <w:sz w:val="22"/>
              </w:rPr>
            </w:pPr>
          </w:p>
        </w:tc>
        <w:tc>
          <w:tcPr>
            <w:tcW w:w="1333" w:type="pct"/>
            <w:tcBorders>
              <w:bottom w:val="single" w:sz="4" w:space="0" w:color="BFBFBF"/>
              <w:right w:val="single" w:sz="4" w:space="0" w:color="auto"/>
            </w:tcBorders>
          </w:tcPr>
          <w:p w14:paraId="22D8BED6" w14:textId="77777777" w:rsidR="00961CCF" w:rsidRPr="00961CCF" w:rsidRDefault="00961CCF" w:rsidP="00961CCF">
            <w:pPr>
              <w:spacing w:before="120" w:after="120"/>
              <w:rPr>
                <w:sz w:val="22"/>
              </w:rPr>
            </w:pPr>
          </w:p>
        </w:tc>
      </w:tr>
      <w:tr w:rsidR="00961CCF" w:rsidRPr="00961CCF" w14:paraId="3472139B" w14:textId="77777777" w:rsidTr="00757B73">
        <w:trPr>
          <w:trHeight w:val="793"/>
        </w:trPr>
        <w:tc>
          <w:tcPr>
            <w:tcW w:w="1001" w:type="pct"/>
            <w:vMerge/>
            <w:tcMar>
              <w:top w:w="0" w:type="dxa"/>
              <w:left w:w="108" w:type="dxa"/>
              <w:bottom w:w="0" w:type="dxa"/>
              <w:right w:w="108" w:type="dxa"/>
            </w:tcMar>
          </w:tcPr>
          <w:p w14:paraId="46990082" w14:textId="77777777" w:rsidR="00961CCF" w:rsidRPr="00961CCF" w:rsidRDefault="00961CCF" w:rsidP="00961CCF">
            <w:pPr>
              <w:spacing w:before="120" w:after="120"/>
              <w:rPr>
                <w:sz w:val="17"/>
                <w:szCs w:val="17"/>
              </w:rPr>
            </w:pPr>
          </w:p>
        </w:tc>
        <w:tc>
          <w:tcPr>
            <w:tcW w:w="1333" w:type="pct"/>
            <w:tcBorders>
              <w:top w:val="single" w:sz="4" w:space="0" w:color="BFBFBF"/>
              <w:bottom w:val="single" w:sz="4" w:space="0" w:color="BFBFBF"/>
            </w:tcBorders>
            <w:tcMar>
              <w:top w:w="0" w:type="dxa"/>
              <w:left w:w="108" w:type="dxa"/>
              <w:bottom w:w="0" w:type="dxa"/>
              <w:right w:w="108" w:type="dxa"/>
            </w:tcMar>
          </w:tcPr>
          <w:p w14:paraId="76B56373" w14:textId="77777777" w:rsidR="00961CCF" w:rsidRPr="00961CCF" w:rsidRDefault="00961CCF" w:rsidP="00961CCF">
            <w:pPr>
              <w:spacing w:before="120" w:after="120"/>
              <w:rPr>
                <w:sz w:val="22"/>
              </w:rPr>
            </w:pPr>
          </w:p>
        </w:tc>
        <w:tc>
          <w:tcPr>
            <w:tcW w:w="1333" w:type="pct"/>
            <w:tcBorders>
              <w:top w:val="single" w:sz="4" w:space="0" w:color="BFBFBF"/>
              <w:bottom w:val="single" w:sz="4" w:space="0" w:color="BFBFBF"/>
            </w:tcBorders>
          </w:tcPr>
          <w:p w14:paraId="27B52605" w14:textId="77777777" w:rsidR="00961CCF" w:rsidRPr="00961CCF" w:rsidRDefault="00961CCF" w:rsidP="00961CCF">
            <w:pPr>
              <w:spacing w:before="120" w:after="120"/>
              <w:rPr>
                <w:sz w:val="22"/>
              </w:rPr>
            </w:pPr>
          </w:p>
        </w:tc>
        <w:tc>
          <w:tcPr>
            <w:tcW w:w="1333" w:type="pct"/>
            <w:tcBorders>
              <w:top w:val="single" w:sz="4" w:space="0" w:color="BFBFBF"/>
              <w:bottom w:val="single" w:sz="4" w:space="0" w:color="BFBFBF"/>
              <w:right w:val="single" w:sz="4" w:space="0" w:color="auto"/>
            </w:tcBorders>
          </w:tcPr>
          <w:p w14:paraId="6B804F60" w14:textId="77777777" w:rsidR="00961CCF" w:rsidRPr="00961CCF" w:rsidRDefault="00961CCF" w:rsidP="00961CCF">
            <w:pPr>
              <w:spacing w:before="120" w:after="120"/>
              <w:rPr>
                <w:sz w:val="22"/>
              </w:rPr>
            </w:pPr>
          </w:p>
        </w:tc>
      </w:tr>
      <w:tr w:rsidR="00961CCF" w:rsidRPr="00961CCF" w14:paraId="00DC245A" w14:textId="77777777" w:rsidTr="00757B73">
        <w:trPr>
          <w:trHeight w:val="794"/>
        </w:trPr>
        <w:tc>
          <w:tcPr>
            <w:tcW w:w="1001" w:type="pct"/>
            <w:vMerge/>
            <w:tcMar>
              <w:top w:w="0" w:type="dxa"/>
              <w:left w:w="108" w:type="dxa"/>
              <w:bottom w:w="0" w:type="dxa"/>
              <w:right w:w="108" w:type="dxa"/>
            </w:tcMar>
          </w:tcPr>
          <w:p w14:paraId="1766F35C" w14:textId="77777777" w:rsidR="00961CCF" w:rsidRPr="00961CCF" w:rsidRDefault="00961CCF" w:rsidP="00961CCF">
            <w:pPr>
              <w:spacing w:before="120" w:after="120"/>
              <w:rPr>
                <w:sz w:val="17"/>
                <w:szCs w:val="17"/>
              </w:rPr>
            </w:pPr>
          </w:p>
        </w:tc>
        <w:tc>
          <w:tcPr>
            <w:tcW w:w="1333" w:type="pct"/>
            <w:tcBorders>
              <w:top w:val="single" w:sz="4" w:space="0" w:color="BFBFBF"/>
            </w:tcBorders>
            <w:tcMar>
              <w:top w:w="0" w:type="dxa"/>
              <w:left w:w="108" w:type="dxa"/>
              <w:bottom w:w="0" w:type="dxa"/>
              <w:right w:w="108" w:type="dxa"/>
            </w:tcMar>
          </w:tcPr>
          <w:p w14:paraId="6392BFED" w14:textId="77777777" w:rsidR="00961CCF" w:rsidRPr="00961CCF" w:rsidRDefault="00961CCF" w:rsidP="00961CCF">
            <w:pPr>
              <w:spacing w:before="120" w:after="120"/>
              <w:rPr>
                <w:sz w:val="22"/>
              </w:rPr>
            </w:pPr>
          </w:p>
        </w:tc>
        <w:tc>
          <w:tcPr>
            <w:tcW w:w="1333" w:type="pct"/>
            <w:tcBorders>
              <w:top w:val="single" w:sz="4" w:space="0" w:color="BFBFBF"/>
            </w:tcBorders>
          </w:tcPr>
          <w:p w14:paraId="0FD9C716" w14:textId="77777777" w:rsidR="00961CCF" w:rsidRPr="00961CCF" w:rsidRDefault="00961CCF" w:rsidP="00961CCF">
            <w:pPr>
              <w:spacing w:before="120" w:after="120"/>
              <w:rPr>
                <w:sz w:val="22"/>
              </w:rPr>
            </w:pPr>
          </w:p>
        </w:tc>
        <w:tc>
          <w:tcPr>
            <w:tcW w:w="1333" w:type="pct"/>
            <w:tcBorders>
              <w:top w:val="single" w:sz="4" w:space="0" w:color="BFBFBF"/>
              <w:right w:val="single" w:sz="4" w:space="0" w:color="auto"/>
            </w:tcBorders>
          </w:tcPr>
          <w:p w14:paraId="30B73E42" w14:textId="77777777" w:rsidR="00961CCF" w:rsidRPr="00961CCF" w:rsidRDefault="00961CCF" w:rsidP="00961CCF">
            <w:pPr>
              <w:spacing w:before="120" w:after="120"/>
              <w:rPr>
                <w:sz w:val="22"/>
              </w:rPr>
            </w:pPr>
          </w:p>
        </w:tc>
      </w:tr>
    </w:tbl>
    <w:p w14:paraId="186B30EB" w14:textId="77777777" w:rsidR="00961CCF" w:rsidRPr="00961CCF" w:rsidRDefault="00961CCF" w:rsidP="00961CCF">
      <w:pPr>
        <w:spacing w:before="120" w:after="120"/>
        <w:rPr>
          <w:sz w:val="22"/>
        </w:rPr>
      </w:pPr>
    </w:p>
    <w:p w14:paraId="63405EE4" w14:textId="0BD29227" w:rsidR="00961CCF" w:rsidRPr="00961CCF" w:rsidRDefault="00961CCF" w:rsidP="00961CCF">
      <w:pPr>
        <w:spacing w:before="120" w:after="120"/>
        <w:ind w:leftChars="-283" w:left="-566"/>
        <w:rPr>
          <w:sz w:val="22"/>
        </w:rPr>
      </w:pPr>
    </w:p>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47"/>
      </w:tblGrid>
      <w:tr w:rsidR="00961CCF" w:rsidRPr="00961CCF" w14:paraId="0FE8A876" w14:textId="77777777" w:rsidTr="00EE6B38">
        <w:trPr>
          <w:tblHeader/>
        </w:trPr>
        <w:tc>
          <w:tcPr>
            <w:tcW w:w="9214" w:type="dxa"/>
            <w:gridSpan w:val="2"/>
            <w:shd w:val="clear" w:color="auto" w:fill="BFBFBF"/>
          </w:tcPr>
          <w:p w14:paraId="37854D06" w14:textId="77777777" w:rsidR="00961CCF" w:rsidRPr="00961CCF" w:rsidRDefault="00961CCF" w:rsidP="00961CCF">
            <w:pPr>
              <w:keepLines/>
              <w:tabs>
                <w:tab w:val="left" w:pos="150"/>
                <w:tab w:val="left" w:pos="397"/>
                <w:tab w:val="left" w:pos="794"/>
                <w:tab w:val="left" w:pos="1191"/>
              </w:tabs>
              <w:spacing w:before="40" w:after="40"/>
              <w:rPr>
                <w:rFonts w:eastAsia="新細明體"/>
                <w:b/>
                <w:sz w:val="17"/>
                <w:lang w:eastAsia="en-GB"/>
              </w:rPr>
            </w:pPr>
            <w:r w:rsidRPr="00961CCF">
              <w:rPr>
                <w:rFonts w:eastAsia="新細明體"/>
                <w:b/>
                <w:sz w:val="17"/>
                <w:lang w:eastAsia="en-GB"/>
              </w:rPr>
              <w:lastRenderedPageBreak/>
              <w:t>Explanatory Note</w:t>
            </w:r>
          </w:p>
        </w:tc>
      </w:tr>
      <w:tr w:rsidR="00961CCF" w:rsidRPr="00961CCF" w14:paraId="151818F7" w14:textId="77777777" w:rsidTr="00EE6B38">
        <w:trPr>
          <w:trHeight w:val="153"/>
        </w:trPr>
        <w:tc>
          <w:tcPr>
            <w:tcW w:w="9214" w:type="dxa"/>
            <w:gridSpan w:val="2"/>
            <w:shd w:val="clear" w:color="auto" w:fill="F2F2F2"/>
          </w:tcPr>
          <w:p w14:paraId="6B938311" w14:textId="77777777" w:rsidR="00961CCF" w:rsidRPr="00961CCF" w:rsidRDefault="00961CCF" w:rsidP="00961CCF">
            <w:pPr>
              <w:keepLines/>
              <w:tabs>
                <w:tab w:val="left" w:pos="150"/>
                <w:tab w:val="left" w:pos="397"/>
                <w:tab w:val="left" w:pos="794"/>
                <w:tab w:val="left" w:pos="1191"/>
              </w:tabs>
              <w:spacing w:before="40" w:after="40"/>
              <w:rPr>
                <w:rFonts w:eastAsia="新細明體"/>
                <w:b/>
                <w:sz w:val="17"/>
                <w:lang w:eastAsia="en-GB"/>
              </w:rPr>
            </w:pPr>
            <w:r w:rsidRPr="00961CCF">
              <w:rPr>
                <w:rFonts w:eastAsia="新細明體"/>
                <w:b/>
                <w:sz w:val="17"/>
                <w:lang w:eastAsia="en-GB"/>
              </w:rPr>
              <w:t>Columns</w:t>
            </w:r>
          </w:p>
        </w:tc>
      </w:tr>
      <w:tr w:rsidR="00961CCF" w:rsidRPr="00961CCF" w14:paraId="05CD2850" w14:textId="77777777" w:rsidTr="00EE6B38">
        <w:tc>
          <w:tcPr>
            <w:tcW w:w="567" w:type="dxa"/>
            <w:shd w:val="clear" w:color="auto" w:fill="auto"/>
          </w:tcPr>
          <w:p w14:paraId="588283E3" w14:textId="77777777" w:rsidR="00961CCF" w:rsidRPr="00961CCF" w:rsidRDefault="00961CCF" w:rsidP="00961CCF">
            <w:pPr>
              <w:keepLines/>
              <w:tabs>
                <w:tab w:val="left" w:pos="150"/>
                <w:tab w:val="left" w:pos="397"/>
                <w:tab w:val="left" w:pos="794"/>
                <w:tab w:val="left" w:pos="1191"/>
              </w:tabs>
              <w:spacing w:before="40" w:after="40"/>
              <w:rPr>
                <w:rFonts w:cs="Segoe UI"/>
                <w:sz w:val="17"/>
                <w:szCs w:val="17"/>
                <w:lang w:eastAsia="en-GB"/>
              </w:rPr>
            </w:pPr>
            <w:r w:rsidRPr="00961CCF">
              <w:rPr>
                <w:rFonts w:cs="Segoe UI"/>
                <w:sz w:val="17"/>
                <w:szCs w:val="17"/>
                <w:lang w:eastAsia="en-GB"/>
              </w:rPr>
              <w:t>(a)</w:t>
            </w:r>
          </w:p>
        </w:tc>
        <w:tc>
          <w:tcPr>
            <w:tcW w:w="8647" w:type="dxa"/>
            <w:shd w:val="clear" w:color="auto" w:fill="auto"/>
          </w:tcPr>
          <w:p w14:paraId="220A723C" w14:textId="77777777" w:rsidR="00961CCF" w:rsidRPr="00961CCF" w:rsidRDefault="00961CCF" w:rsidP="00961CCF">
            <w:pPr>
              <w:keepLines/>
              <w:tabs>
                <w:tab w:val="left" w:pos="150"/>
                <w:tab w:val="left" w:pos="397"/>
                <w:tab w:val="left" w:pos="794"/>
                <w:tab w:val="left" w:pos="1191"/>
              </w:tabs>
              <w:spacing w:before="40" w:after="40"/>
              <w:jc w:val="both"/>
              <w:rPr>
                <w:rFonts w:cs="Segoe UI"/>
                <w:sz w:val="17"/>
                <w:szCs w:val="17"/>
                <w:lang w:eastAsia="en-GB"/>
              </w:rPr>
            </w:pPr>
            <w:r w:rsidRPr="00961CCF">
              <w:rPr>
                <w:rFonts w:cs="Segoe UI"/>
                <w:i/>
                <w:sz w:val="17"/>
                <w:szCs w:val="17"/>
                <w:lang w:eastAsia="en-GB"/>
              </w:rPr>
              <w:t>Encumbered assets</w:t>
            </w:r>
            <w:r w:rsidRPr="00961CCF">
              <w:rPr>
                <w:rFonts w:cs="Segoe UI"/>
                <w:sz w:val="17"/>
                <w:szCs w:val="17"/>
                <w:lang w:eastAsia="en-GB"/>
              </w:rPr>
              <w:t>: Encumbered assets are assets that the AI is restricted or prevented from liquidating, selling, transferring or assigning due to legal, regulatory, contractual or other limitations.  The definition of “encumbered assets” in this template excludes the aspect of asset monetisation (which is required for an asset to be qualified as high-quality liquid assets in the BLR.  For an unencumbered asset to qualify as high-quality liquid assets, the BLR requires an AI to have the ability to monetise that asset during the stress period such that the AI can meet net cash outflows).</w:t>
            </w:r>
          </w:p>
        </w:tc>
      </w:tr>
      <w:tr w:rsidR="00961CCF" w:rsidRPr="00961CCF" w14:paraId="310DF740" w14:textId="77777777" w:rsidTr="00EE6B38">
        <w:trPr>
          <w:trHeight w:val="801"/>
        </w:trPr>
        <w:tc>
          <w:tcPr>
            <w:tcW w:w="567" w:type="dxa"/>
            <w:shd w:val="clear" w:color="auto" w:fill="auto"/>
          </w:tcPr>
          <w:p w14:paraId="2A90479A" w14:textId="77777777" w:rsidR="00961CCF" w:rsidRPr="00961CCF" w:rsidDel="00FE1883" w:rsidRDefault="00961CCF" w:rsidP="00961CCF">
            <w:pPr>
              <w:keepLines/>
              <w:tabs>
                <w:tab w:val="left" w:pos="150"/>
                <w:tab w:val="left" w:pos="397"/>
                <w:tab w:val="left" w:pos="794"/>
                <w:tab w:val="left" w:pos="1191"/>
              </w:tabs>
              <w:spacing w:before="40" w:after="40"/>
              <w:rPr>
                <w:rFonts w:cs="Segoe UI"/>
                <w:sz w:val="17"/>
                <w:szCs w:val="17"/>
                <w:lang w:eastAsia="en-GB"/>
              </w:rPr>
            </w:pPr>
            <w:r w:rsidRPr="00961CCF">
              <w:rPr>
                <w:rFonts w:cs="Segoe UI"/>
                <w:sz w:val="17"/>
                <w:szCs w:val="17"/>
                <w:lang w:eastAsia="en-GB"/>
              </w:rPr>
              <w:t>(c)</w:t>
            </w:r>
          </w:p>
        </w:tc>
        <w:tc>
          <w:tcPr>
            <w:tcW w:w="8647" w:type="dxa"/>
            <w:shd w:val="clear" w:color="auto" w:fill="auto"/>
          </w:tcPr>
          <w:p w14:paraId="7C179DCF" w14:textId="77777777" w:rsidR="00961CCF" w:rsidRPr="00961CCF" w:rsidDel="00FE1883" w:rsidRDefault="00961CCF" w:rsidP="00961CCF">
            <w:pPr>
              <w:keepLines/>
              <w:tabs>
                <w:tab w:val="left" w:pos="150"/>
                <w:tab w:val="left" w:pos="397"/>
                <w:tab w:val="left" w:pos="794"/>
                <w:tab w:val="left" w:pos="1191"/>
              </w:tabs>
              <w:spacing w:before="40" w:after="40"/>
              <w:jc w:val="both"/>
              <w:rPr>
                <w:rFonts w:cs="Segoe UI"/>
                <w:i/>
                <w:sz w:val="17"/>
                <w:szCs w:val="17"/>
                <w:lang w:eastAsia="en-GB"/>
              </w:rPr>
            </w:pPr>
            <w:r w:rsidRPr="00961CCF">
              <w:rPr>
                <w:rFonts w:cs="Segoe UI"/>
                <w:i/>
                <w:sz w:val="17"/>
                <w:szCs w:val="17"/>
                <w:lang w:eastAsia="en-GB"/>
              </w:rPr>
              <w:t>Unencumbered assets</w:t>
            </w:r>
            <w:r w:rsidRPr="00961CCF">
              <w:rPr>
                <w:rFonts w:cs="Segoe UI"/>
                <w:sz w:val="17"/>
                <w:szCs w:val="17"/>
                <w:lang w:eastAsia="en-GB"/>
              </w:rPr>
              <w:t xml:space="preserve">: Unencumbered assets are assets which do not meet the definition of encumbered assets in this template.  </w:t>
            </w:r>
          </w:p>
        </w:tc>
      </w:tr>
      <w:tr w:rsidR="00961CCF" w:rsidRPr="00961CCF" w14:paraId="5B0900E3" w14:textId="77777777" w:rsidTr="00EE6B38">
        <w:tc>
          <w:tcPr>
            <w:tcW w:w="567" w:type="dxa"/>
            <w:shd w:val="clear" w:color="auto" w:fill="auto"/>
          </w:tcPr>
          <w:p w14:paraId="7FD31F33" w14:textId="77777777" w:rsidR="00961CCF" w:rsidRPr="00961CCF" w:rsidRDefault="00961CCF" w:rsidP="00961CCF">
            <w:pPr>
              <w:keepLines/>
              <w:tabs>
                <w:tab w:val="left" w:pos="150"/>
                <w:tab w:val="left" w:pos="397"/>
                <w:tab w:val="left" w:pos="794"/>
                <w:tab w:val="left" w:pos="1191"/>
              </w:tabs>
              <w:spacing w:before="40" w:after="40"/>
              <w:rPr>
                <w:rFonts w:cs="Segoe UI"/>
                <w:sz w:val="17"/>
                <w:szCs w:val="17"/>
                <w:lang w:eastAsia="en-GB"/>
              </w:rPr>
            </w:pPr>
            <w:r w:rsidRPr="00961CCF">
              <w:rPr>
                <w:rFonts w:cs="Segoe UI"/>
                <w:sz w:val="17"/>
                <w:szCs w:val="17"/>
                <w:lang w:eastAsia="en-GB"/>
              </w:rPr>
              <w:t>(d)</w:t>
            </w:r>
          </w:p>
        </w:tc>
        <w:tc>
          <w:tcPr>
            <w:tcW w:w="8647" w:type="dxa"/>
            <w:shd w:val="clear" w:color="auto" w:fill="auto"/>
          </w:tcPr>
          <w:p w14:paraId="6160D645" w14:textId="0544AF11" w:rsidR="00961CCF" w:rsidRPr="00961CCF" w:rsidRDefault="00961CCF" w:rsidP="00961CCF">
            <w:pPr>
              <w:keepLines/>
              <w:tabs>
                <w:tab w:val="left" w:pos="150"/>
                <w:tab w:val="left" w:pos="397"/>
                <w:tab w:val="left" w:pos="794"/>
                <w:tab w:val="left" w:pos="1191"/>
              </w:tabs>
              <w:spacing w:before="40" w:after="40"/>
              <w:jc w:val="both"/>
              <w:rPr>
                <w:rFonts w:cs="Segoe UI"/>
                <w:sz w:val="17"/>
                <w:szCs w:val="17"/>
                <w:lang w:eastAsia="en-GB"/>
              </w:rPr>
            </w:pPr>
            <w:r w:rsidRPr="00961CCF">
              <w:rPr>
                <w:rFonts w:cs="Segoe UI"/>
                <w:i/>
                <w:sz w:val="17"/>
                <w:szCs w:val="17"/>
                <w:lang w:eastAsia="en-GB"/>
              </w:rPr>
              <w:t>Total</w:t>
            </w:r>
            <w:r w:rsidRPr="00961CCF">
              <w:rPr>
                <w:rFonts w:cs="Segoe UI"/>
                <w:sz w:val="17"/>
                <w:szCs w:val="17"/>
                <w:lang w:eastAsia="en-GB"/>
              </w:rPr>
              <w:t>: This refers to the sum of encumbered and unencumbered assets.  The scope of consolidation for the purposes of this disclosure requirement should be based on the AI’s regulatory scope of consolidation,</w:t>
            </w:r>
            <w:r w:rsidR="00F81300">
              <w:rPr>
                <w:rFonts w:cs="Segoe UI"/>
                <w:sz w:val="17"/>
                <w:szCs w:val="17"/>
                <w:lang w:eastAsia="en-GB"/>
              </w:rPr>
              <w:t xml:space="preserve"> </w:t>
            </w:r>
            <w:r w:rsidR="00AC2E0A">
              <w:rPr>
                <w:rFonts w:cs="Segoe UI"/>
                <w:sz w:val="17"/>
                <w:szCs w:val="17"/>
                <w:lang w:eastAsia="en-GB"/>
              </w:rPr>
              <w:t>and</w:t>
            </w:r>
            <w:r w:rsidRPr="00961CCF">
              <w:rPr>
                <w:rFonts w:cs="Segoe UI"/>
                <w:sz w:val="17"/>
                <w:szCs w:val="17"/>
                <w:lang w:eastAsia="en-GB"/>
              </w:rPr>
              <w:t xml:space="preserve"> </w:t>
            </w:r>
            <w:r w:rsidRPr="00961CCF">
              <w:rPr>
                <w:rFonts w:eastAsia="新細明體"/>
                <w:sz w:val="17"/>
                <w:lang w:eastAsia="en-GB"/>
              </w:rPr>
              <w:t>any assets (including those relevant to securitization exposures) should be included</w:t>
            </w:r>
            <w:r w:rsidRPr="00961CCF">
              <w:rPr>
                <w:rFonts w:cs="Segoe UI"/>
                <w:sz w:val="17"/>
                <w:szCs w:val="17"/>
                <w:lang w:eastAsia="en-GB"/>
              </w:rPr>
              <w:t>.</w:t>
            </w:r>
          </w:p>
        </w:tc>
      </w:tr>
      <w:tr w:rsidR="00961CCF" w:rsidRPr="00961CCF" w14:paraId="1154AECB" w14:textId="77777777" w:rsidTr="00EE6B38">
        <w:tc>
          <w:tcPr>
            <w:tcW w:w="9214" w:type="dxa"/>
            <w:gridSpan w:val="2"/>
            <w:shd w:val="clear" w:color="auto" w:fill="F2F2F2"/>
          </w:tcPr>
          <w:p w14:paraId="0373ECEB" w14:textId="77777777" w:rsidR="00961CCF" w:rsidRPr="00961CCF" w:rsidRDefault="00961CCF" w:rsidP="00961CCF">
            <w:pPr>
              <w:keepLines/>
              <w:tabs>
                <w:tab w:val="left" w:pos="150"/>
                <w:tab w:val="left" w:pos="397"/>
                <w:tab w:val="left" w:pos="794"/>
                <w:tab w:val="left" w:pos="1191"/>
              </w:tabs>
              <w:spacing w:before="40" w:after="40"/>
              <w:jc w:val="both"/>
              <w:rPr>
                <w:rFonts w:cs="Segoe UI"/>
                <w:i/>
                <w:sz w:val="17"/>
                <w:szCs w:val="17"/>
                <w:lang w:eastAsia="en-GB"/>
              </w:rPr>
            </w:pPr>
            <w:r w:rsidRPr="00961CCF">
              <w:rPr>
                <w:rFonts w:eastAsia="新細明體"/>
                <w:b/>
                <w:sz w:val="17"/>
                <w:lang w:eastAsia="en-GB"/>
              </w:rPr>
              <w:t>Rows</w:t>
            </w:r>
          </w:p>
        </w:tc>
      </w:tr>
      <w:tr w:rsidR="00961CCF" w:rsidRPr="00961CCF" w14:paraId="52889AAA" w14:textId="77777777" w:rsidTr="00EE6B38">
        <w:tc>
          <w:tcPr>
            <w:tcW w:w="9214" w:type="dxa"/>
            <w:gridSpan w:val="2"/>
            <w:shd w:val="clear" w:color="auto" w:fill="auto"/>
          </w:tcPr>
          <w:p w14:paraId="78C256CB" w14:textId="1444AD58" w:rsidR="00961CCF" w:rsidRPr="00961CCF" w:rsidRDefault="00961CCF" w:rsidP="00961CCF">
            <w:pPr>
              <w:keepLines/>
              <w:tabs>
                <w:tab w:val="left" w:pos="150"/>
                <w:tab w:val="left" w:pos="397"/>
                <w:tab w:val="left" w:pos="794"/>
                <w:tab w:val="left" w:pos="1191"/>
              </w:tabs>
              <w:spacing w:before="40" w:after="40"/>
              <w:jc w:val="both"/>
              <w:rPr>
                <w:rFonts w:cs="Segoe UI"/>
                <w:sz w:val="17"/>
                <w:szCs w:val="17"/>
                <w:lang w:eastAsia="en-GB"/>
              </w:rPr>
            </w:pPr>
            <w:r w:rsidRPr="00961CCF">
              <w:rPr>
                <w:rFonts w:cs="Segoe UI"/>
                <w:sz w:val="17"/>
                <w:szCs w:val="17"/>
                <w:lang w:eastAsia="en-GB"/>
              </w:rPr>
              <w:t xml:space="preserve">AIs are required to provide </w:t>
            </w:r>
            <w:r w:rsidR="00AC6CAB">
              <w:rPr>
                <w:rFonts w:cs="Segoe UI"/>
                <w:sz w:val="17"/>
                <w:szCs w:val="17"/>
                <w:lang w:eastAsia="en-GB"/>
              </w:rPr>
              <w:t xml:space="preserve">a </w:t>
            </w:r>
            <w:r w:rsidRPr="00961CCF">
              <w:rPr>
                <w:rFonts w:cs="Segoe UI"/>
                <w:sz w:val="17"/>
                <w:szCs w:val="17"/>
                <w:lang w:eastAsia="en-GB"/>
              </w:rPr>
              <w:t xml:space="preserve">breakdown </w:t>
            </w:r>
            <w:r w:rsidR="006B540B">
              <w:rPr>
                <w:rFonts w:cs="Segoe UI"/>
                <w:sz w:val="17"/>
                <w:szCs w:val="17"/>
                <w:lang w:eastAsia="en-GB"/>
              </w:rPr>
              <w:t xml:space="preserve">of </w:t>
            </w:r>
            <w:r w:rsidRPr="00961CCF">
              <w:rPr>
                <w:rFonts w:cs="Segoe UI"/>
                <w:sz w:val="17"/>
                <w:szCs w:val="17"/>
                <w:lang w:eastAsia="en-GB"/>
              </w:rPr>
              <w:t xml:space="preserve">balance sheet assets in separate rows.  The breakdown could </w:t>
            </w:r>
            <w:r w:rsidR="006B540B">
              <w:rPr>
                <w:rFonts w:cs="Segoe UI"/>
                <w:sz w:val="17"/>
                <w:szCs w:val="17"/>
                <w:lang w:eastAsia="en-GB"/>
              </w:rPr>
              <w:t xml:space="preserve">be </w:t>
            </w:r>
            <w:r w:rsidRPr="00961CCF">
              <w:rPr>
                <w:rFonts w:cs="Segoe UI"/>
                <w:sz w:val="17"/>
                <w:szCs w:val="17"/>
                <w:lang w:eastAsia="en-GB"/>
              </w:rPr>
              <w:t>base</w:t>
            </w:r>
            <w:r w:rsidR="006B540B">
              <w:rPr>
                <w:rFonts w:cs="Segoe UI"/>
                <w:sz w:val="17"/>
                <w:szCs w:val="17"/>
                <w:lang w:eastAsia="en-GB"/>
              </w:rPr>
              <w:t>d</w:t>
            </w:r>
            <w:r w:rsidRPr="00961CCF">
              <w:rPr>
                <w:rFonts w:cs="Segoe UI"/>
                <w:sz w:val="17"/>
                <w:szCs w:val="17"/>
                <w:lang w:eastAsia="en-GB"/>
              </w:rPr>
              <w:t xml:space="preserve"> on a broad and useful categorisation of balance sheet items (e.g. loans and advances, financial assets, non-financial assets, etc.) as appropriate.</w:t>
            </w:r>
          </w:p>
        </w:tc>
      </w:tr>
    </w:tbl>
    <w:p w14:paraId="38C3F9A8" w14:textId="77777777" w:rsidR="00756C5F" w:rsidRPr="00961CCF" w:rsidRDefault="00756C5F" w:rsidP="003B193E">
      <w:pPr>
        <w:pStyle w:val="Heading2"/>
        <w:ind w:left="0"/>
      </w:pPr>
    </w:p>
    <w:sectPr w:rsidR="00756C5F" w:rsidRPr="00961CCF">
      <w:footerReference w:type="default" r:id="rId119"/>
      <w:pgSz w:w="11906" w:h="16838" w:code="9"/>
      <w:pgMar w:top="1440" w:right="1797" w:bottom="1440" w:left="1797" w:header="851"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3084BC" w14:textId="77777777" w:rsidR="0069590C" w:rsidRDefault="0069590C">
      <w:r>
        <w:separator/>
      </w:r>
    </w:p>
  </w:endnote>
  <w:endnote w:type="continuationSeparator" w:id="0">
    <w:p w14:paraId="504BF852" w14:textId="77777777" w:rsidR="0069590C" w:rsidRDefault="00695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Bold">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Batang">
    <w:altName w:val="Arial Unicode MS"/>
    <w:panose1 w:val="02030600000101010101"/>
    <w:charset w:val="81"/>
    <w:family w:val="roman"/>
    <w:pitch w:val="variable"/>
    <w:sig w:usb0="00000000" w:usb1="69D77CFB" w:usb2="00000030" w:usb3="00000000" w:csb0="0008009F" w:csb1="00000000"/>
  </w:font>
  <w:font w:name="CIDFont+F1">
    <w:altName w:val="MS Gothic"/>
    <w:panose1 w:val="00000000000000000000"/>
    <w:charset w:val="80"/>
    <w:family w:val="auto"/>
    <w:notTrueType/>
    <w:pitch w:val="default"/>
    <w:sig w:usb0="00000001" w:usb1="08070000" w:usb2="00000010" w:usb3="00000000" w:csb0="00020000" w:csb1="00000000"/>
  </w:font>
  <w:font w:name="MS PGothic">
    <w:panose1 w:val="020B0600070205080204"/>
    <w:charset w:val="80"/>
    <w:family w:val="swiss"/>
    <w:pitch w:val="variable"/>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TTE0t00">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00A15" w14:textId="0AD061B6" w:rsidR="0069590C" w:rsidRDefault="0069590C">
    <w:pPr>
      <w:pStyle w:val="Footer"/>
      <w:tabs>
        <w:tab w:val="clear" w:pos="4153"/>
        <w:tab w:val="clear" w:pos="8306"/>
        <w:tab w:val="center" w:pos="4156"/>
        <w:tab w:val="center" w:pos="6979"/>
        <w:tab w:val="right" w:pos="8312"/>
      </w:tabs>
      <w:rPr>
        <w:rFonts w:ascii="Arial" w:hAnsi="Arial" w:cs="Arial"/>
      </w:rPr>
    </w:pPr>
    <w:r>
      <w:t>Summary of disclosure templates and tables</w:t>
    </w:r>
    <w:r>
      <w:tab/>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2</w:t>
    </w:r>
    <w:r>
      <w:rPr>
        <w:rFonts w:ascii="Arial" w:hAnsi="Arial" w:cs="Arial"/>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28C4B" w14:textId="6934B839" w:rsidR="0069590C" w:rsidRDefault="0069590C">
    <w:pPr>
      <w:pStyle w:val="Footer"/>
    </w:pPr>
    <w:r>
      <w:t>Part I – OVA</w:t>
    </w:r>
    <w:r>
      <w:ptab w:relativeTo="margin" w:alignment="center" w:leader="none"/>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9</w:t>
    </w:r>
    <w:r w:rsidRPr="009D2A25">
      <w:rPr>
        <w:rFonts w:ascii="Arial" w:hAnsi="Arial" w:cs="Arial"/>
        <w:noProof/>
      </w:rPr>
      <w:fldChar w:fldCharType="end"/>
    </w: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80A2C" w14:textId="49B233F6" w:rsidR="0069590C" w:rsidRDefault="0069590C">
    <w:pPr>
      <w:pStyle w:val="Footer"/>
      <w:tabs>
        <w:tab w:val="clear" w:pos="4153"/>
        <w:tab w:val="clear" w:pos="8306"/>
        <w:tab w:val="center" w:pos="4156"/>
        <w:tab w:val="center" w:pos="6979"/>
        <w:tab w:val="right" w:pos="8312"/>
      </w:tabs>
    </w:pPr>
    <w:r>
      <w:t>Part I – KM1</w:t>
    </w:r>
    <w:r>
      <w:tab/>
    </w:r>
    <w:r w:rsidRPr="006F14C7">
      <w:rPr>
        <w:rFonts w:cs="Segoe UI"/>
      </w:rPr>
      <w:fldChar w:fldCharType="begin"/>
    </w:r>
    <w:r w:rsidRPr="006F14C7">
      <w:rPr>
        <w:rFonts w:cs="Segoe UI"/>
      </w:rPr>
      <w:instrText xml:space="preserve"> PAGE   \* MERGEFORMAT </w:instrText>
    </w:r>
    <w:r w:rsidRPr="006F14C7">
      <w:rPr>
        <w:rFonts w:cs="Segoe UI"/>
      </w:rPr>
      <w:fldChar w:fldCharType="separate"/>
    </w:r>
    <w:r w:rsidR="00A45C90">
      <w:rPr>
        <w:rFonts w:cs="Segoe UI"/>
        <w:noProof/>
      </w:rPr>
      <w:t>13</w:t>
    </w:r>
    <w:r w:rsidRPr="006F14C7">
      <w:rPr>
        <w:rFonts w:cs="Segoe U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D0B50" w14:textId="150F7103" w:rsidR="0069590C" w:rsidRDefault="0069590C">
    <w:pPr>
      <w:pStyle w:val="Footer"/>
    </w:pPr>
    <w:r>
      <w:t>Part I – OV1</w:t>
    </w:r>
    <w:r>
      <w:ptab w:relativeTo="margin" w:alignment="center" w:leader="none"/>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19</w:t>
    </w:r>
    <w:r w:rsidRPr="009D2A25">
      <w:rPr>
        <w:rFonts w:ascii="Arial" w:hAnsi="Arial" w:cs="Arial"/>
        <w:noProof/>
      </w:rPr>
      <w:fldChar w:fldCharType="end"/>
    </w:r>
    <w:r>
      <w:ptab w:relativeTo="margin" w:alignment="right" w:leader="none"/>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1E3A92" w14:textId="7444E9AA" w:rsidR="0069590C" w:rsidRDefault="0069590C">
    <w:pPr>
      <w:pStyle w:val="Footer"/>
      <w:tabs>
        <w:tab w:val="clear" w:pos="4153"/>
        <w:tab w:val="clear" w:pos="8306"/>
        <w:tab w:val="center" w:pos="4156"/>
        <w:tab w:val="center" w:pos="6979"/>
        <w:tab w:val="right" w:pos="8312"/>
      </w:tabs>
    </w:pPr>
    <w:r>
      <w:t>Part II – LI1</w:t>
    </w:r>
    <w:r>
      <w:tab/>
    </w:r>
    <w:r>
      <w:tab/>
    </w:r>
    <w:r w:rsidRPr="006F14C7">
      <w:rPr>
        <w:rFonts w:cs="Segoe UI"/>
      </w:rPr>
      <w:fldChar w:fldCharType="begin"/>
    </w:r>
    <w:r w:rsidRPr="006F14C7">
      <w:rPr>
        <w:rFonts w:cs="Segoe UI"/>
      </w:rPr>
      <w:instrText xml:space="preserve"> PAGE   \* MERGEFORMAT </w:instrText>
    </w:r>
    <w:r w:rsidRPr="006F14C7">
      <w:rPr>
        <w:rFonts w:cs="Segoe UI"/>
      </w:rPr>
      <w:fldChar w:fldCharType="separate"/>
    </w:r>
    <w:r w:rsidR="00A45C90">
      <w:rPr>
        <w:rFonts w:cs="Segoe UI"/>
        <w:noProof/>
      </w:rPr>
      <w:t>23</w:t>
    </w:r>
    <w:r w:rsidRPr="006F14C7">
      <w:rPr>
        <w:rFonts w:cs="Segoe UI"/>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7171F" w14:textId="20382D8A" w:rsidR="0069590C" w:rsidRPr="006F14C7" w:rsidRDefault="0069590C">
    <w:pPr>
      <w:pStyle w:val="Footer"/>
      <w:tabs>
        <w:tab w:val="clear" w:pos="4153"/>
        <w:tab w:val="clear" w:pos="8306"/>
        <w:tab w:val="center" w:pos="4156"/>
        <w:tab w:val="center" w:pos="6979"/>
        <w:tab w:val="right" w:pos="8312"/>
      </w:tabs>
      <w:rPr>
        <w:rFonts w:cs="Segoe UI"/>
      </w:rPr>
    </w:pPr>
    <w:r>
      <w:t>Part II – LI2</w:t>
    </w:r>
    <w:r>
      <w:tab/>
    </w:r>
    <w:r>
      <w:tab/>
    </w:r>
    <w:r w:rsidRPr="006F14C7">
      <w:rPr>
        <w:rFonts w:cs="Segoe UI"/>
      </w:rPr>
      <w:fldChar w:fldCharType="begin"/>
    </w:r>
    <w:r w:rsidRPr="006F14C7">
      <w:rPr>
        <w:rFonts w:cs="Segoe UI"/>
      </w:rPr>
      <w:instrText xml:space="preserve"> PAGE   \* MERGEFORMAT </w:instrText>
    </w:r>
    <w:r w:rsidRPr="006F14C7">
      <w:rPr>
        <w:rFonts w:cs="Segoe UI"/>
      </w:rPr>
      <w:fldChar w:fldCharType="separate"/>
    </w:r>
    <w:r w:rsidR="00A45C90">
      <w:rPr>
        <w:rFonts w:cs="Segoe UI"/>
        <w:noProof/>
      </w:rPr>
      <w:t>26</w:t>
    </w:r>
    <w:r w:rsidRPr="006F14C7">
      <w:rPr>
        <w:rFonts w:cs="Segoe UI"/>
        <w:noProof/>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7C377" w14:textId="4631FF7C" w:rsidR="0069590C" w:rsidRPr="006F14C7" w:rsidRDefault="0069590C">
    <w:pPr>
      <w:pStyle w:val="Footer"/>
      <w:rPr>
        <w:rFonts w:cs="Segoe UI"/>
      </w:rPr>
    </w:pPr>
    <w:r>
      <w:t>Part II – LIA</w:t>
    </w:r>
    <w:r>
      <w:tab/>
    </w:r>
    <w:r w:rsidRPr="006F14C7">
      <w:rPr>
        <w:rFonts w:cs="Segoe UI"/>
      </w:rPr>
      <w:t xml:space="preserve"> </w:t>
    </w:r>
    <w:r w:rsidRPr="006F14C7">
      <w:rPr>
        <w:rFonts w:cs="Segoe UI"/>
      </w:rPr>
      <w:fldChar w:fldCharType="begin"/>
    </w:r>
    <w:r w:rsidRPr="006F14C7">
      <w:rPr>
        <w:rFonts w:cs="Segoe UI"/>
      </w:rPr>
      <w:instrText xml:space="preserve"> PAGE   \* MERGEFORMAT </w:instrText>
    </w:r>
    <w:r w:rsidRPr="006F14C7">
      <w:rPr>
        <w:rFonts w:cs="Segoe UI"/>
      </w:rPr>
      <w:fldChar w:fldCharType="separate"/>
    </w:r>
    <w:r w:rsidR="00A45C90">
      <w:rPr>
        <w:rFonts w:cs="Segoe UI"/>
        <w:noProof/>
      </w:rPr>
      <w:t>27</w:t>
    </w:r>
    <w:r w:rsidRPr="006F14C7">
      <w:rPr>
        <w:rFonts w:cs="Segoe UI"/>
        <w:noProof/>
      </w:rPr>
      <w:fldChar w:fldCharType="end"/>
    </w:r>
    <w:r w:rsidRPr="006F14C7">
      <w:rPr>
        <w:rFonts w:cs="Segoe UI"/>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69675" w14:textId="7B27B785" w:rsidR="0069590C" w:rsidRDefault="0069590C" w:rsidP="00EE08A4">
    <w:pPr>
      <w:pStyle w:val="Footer"/>
    </w:pPr>
    <w:r>
      <w:t>Part II – PV1</w:t>
    </w:r>
    <w:r>
      <w:tab/>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30</w:t>
    </w:r>
    <w:r w:rsidRPr="009D2A25">
      <w:rPr>
        <w:rFonts w:ascii="Arial" w:hAnsi="Arial" w:cs="Arial"/>
        <w:noProof/>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C4F99" w14:textId="77777777" w:rsidR="0069590C" w:rsidRDefault="0069590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EE2F2" w14:textId="29C872D1" w:rsidR="0069590C" w:rsidRDefault="0069590C">
    <w:pPr>
      <w:pStyle w:val="Footer"/>
    </w:pPr>
    <w:r>
      <w:t>Part IIA – CC1</w:t>
    </w:r>
    <w:r>
      <w:ptab w:relativeTo="margin" w:alignment="center" w:leader="none"/>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43</w:t>
    </w:r>
    <w:r w:rsidRPr="009D2A25">
      <w:rPr>
        <w:rFonts w:ascii="Arial" w:hAnsi="Arial" w:cs="Arial"/>
        <w:noProof/>
      </w:rPr>
      <w:fldChar w:fldCharType="end"/>
    </w:r>
    <w:r>
      <w:ptab w:relativeTo="margin" w:alignment="right" w:leader="none"/>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23297" w14:textId="77777777" w:rsidR="0069590C" w:rsidRDefault="0069590C">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5CF82" w14:textId="77777777" w:rsidR="0069590C" w:rsidRDefault="0069590C">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30A4D" w14:textId="01068874" w:rsidR="0069590C" w:rsidRDefault="0069590C">
    <w:pPr>
      <w:pStyle w:val="Footer"/>
    </w:pPr>
    <w:r>
      <w:t>Part IIA – CC2</w:t>
    </w:r>
    <w:r>
      <w:ptab w:relativeTo="margin" w:alignment="center" w:leader="none"/>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46</w:t>
    </w:r>
    <w:r w:rsidRPr="009D2A25">
      <w:rPr>
        <w:rFonts w:ascii="Arial" w:hAnsi="Arial" w:cs="Arial"/>
        <w:noProof/>
      </w:rPr>
      <w:fldChar w:fldCharType="end"/>
    </w:r>
    <w:r>
      <w:ptab w:relativeTo="margin" w:alignment="right" w:leader="none"/>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813D2" w14:textId="77777777" w:rsidR="0069590C" w:rsidRDefault="0069590C">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74889" w14:textId="7A12B435" w:rsidR="0069590C" w:rsidRDefault="0069590C" w:rsidP="0080192D">
    <w:pPr>
      <w:pStyle w:val="Footer"/>
    </w:pPr>
    <w:r>
      <w:t>Part IIA – CCA</w:t>
    </w:r>
    <w:r>
      <w:tab/>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51</w:t>
    </w:r>
    <w:r w:rsidRPr="009D2A25">
      <w:rPr>
        <w:rFonts w:ascii="Arial" w:hAnsi="Arial" w:cs="Arial"/>
        <w:noProof/>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0724C" w14:textId="4E3977B6" w:rsidR="0069590C" w:rsidRDefault="0069590C" w:rsidP="00287B85">
    <w:pPr>
      <w:pStyle w:val="Footer"/>
    </w:pPr>
    <w:r>
      <w:t>Part IIB – GSIB1</w:t>
    </w:r>
    <w:r>
      <w:ptab w:relativeTo="margin" w:alignment="center" w:leader="none"/>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53</w:t>
    </w:r>
    <w:r w:rsidRPr="009D2A25">
      <w:rPr>
        <w:rFonts w:ascii="Arial" w:hAnsi="Arial" w:cs="Arial"/>
        <w:noProof/>
      </w:rPr>
      <w:fldChar w:fldCharType="end"/>
    </w:r>
    <w:r>
      <w:ptab w:relativeTo="margin" w:alignment="right" w:leader="none"/>
    </w: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07B32" w14:textId="7F483ABB" w:rsidR="0069590C" w:rsidRDefault="0069590C" w:rsidP="00287B85">
    <w:pPr>
      <w:pStyle w:val="Footer"/>
    </w:pPr>
    <w:r>
      <w:t>Part IIB – CCyB1</w:t>
    </w:r>
    <w:r>
      <w:ptab w:relativeTo="margin" w:alignment="center" w:leader="none"/>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56</w:t>
    </w:r>
    <w:r w:rsidRPr="009D2A25">
      <w:rPr>
        <w:rFonts w:ascii="Arial" w:hAnsi="Arial" w:cs="Arial"/>
        <w:noProof/>
      </w:rPr>
      <w:fldChar w:fldCharType="end"/>
    </w:r>
    <w:r>
      <w:ptab w:relativeTo="margin" w:alignment="right" w:leader="none"/>
    </w: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20DC3" w14:textId="2661CF37" w:rsidR="0069590C" w:rsidRDefault="0069590C">
    <w:pPr>
      <w:pStyle w:val="Footer"/>
      <w:tabs>
        <w:tab w:val="clear" w:pos="4153"/>
        <w:tab w:val="clear" w:pos="8306"/>
        <w:tab w:val="center" w:pos="4156"/>
        <w:tab w:val="center" w:pos="6979"/>
        <w:tab w:val="right" w:pos="8312"/>
      </w:tabs>
    </w:pPr>
    <w:r>
      <w:t>Part IIC – LR1</w:t>
    </w:r>
    <w:r>
      <w:tab/>
    </w:r>
    <w:r>
      <w:fldChar w:fldCharType="begin"/>
    </w:r>
    <w:r>
      <w:instrText xml:space="preserve"> PAGE   \* MERGEFORMAT </w:instrText>
    </w:r>
    <w:r>
      <w:fldChar w:fldCharType="separate"/>
    </w:r>
    <w:r w:rsidR="00A45C90">
      <w:rPr>
        <w:noProof/>
      </w:rPr>
      <w:t>59</w:t>
    </w:r>
    <w:r>
      <w:rPr>
        <w:noProof/>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953B6" w14:textId="0BECB757" w:rsidR="0069590C" w:rsidRDefault="0069590C">
    <w:pPr>
      <w:pStyle w:val="Footer"/>
      <w:tabs>
        <w:tab w:val="clear" w:pos="4153"/>
        <w:tab w:val="clear" w:pos="8306"/>
        <w:tab w:val="center" w:pos="4156"/>
        <w:tab w:val="center" w:pos="6979"/>
        <w:tab w:val="right" w:pos="8312"/>
      </w:tabs>
    </w:pPr>
    <w:r>
      <w:t>Part IIC – LR2</w:t>
    </w:r>
    <w:r>
      <w:tab/>
    </w:r>
    <w:r>
      <w:fldChar w:fldCharType="begin"/>
    </w:r>
    <w:r>
      <w:instrText xml:space="preserve"> PAGE   \* MERGEFORMAT </w:instrText>
    </w:r>
    <w:r>
      <w:fldChar w:fldCharType="separate"/>
    </w:r>
    <w:r w:rsidR="00A45C90">
      <w:rPr>
        <w:noProof/>
      </w:rPr>
      <w:t>65</w:t>
    </w:r>
    <w:r>
      <w:rPr>
        <w:noProof/>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BA66A" w14:textId="77777777" w:rsidR="0069590C" w:rsidRDefault="0069590C">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5512" w14:textId="2D64EBFF" w:rsidR="0069590C" w:rsidRDefault="0069590C">
    <w:pPr>
      <w:pStyle w:val="Footer"/>
    </w:pPr>
    <w:r>
      <w:t xml:space="preserve">Part IID – LIQA </w:t>
    </w:r>
    <w:r>
      <w:ptab w:relativeTo="margin" w:alignment="center" w:leader="none"/>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67</w:t>
    </w:r>
    <w:r w:rsidRPr="009D2A25">
      <w:rPr>
        <w:rFonts w:ascii="Arial" w:hAnsi="Arial" w:cs="Arial"/>
        <w:noProof/>
      </w:rPr>
      <w:fldChar w:fldCharType="end"/>
    </w:r>
    <w:r>
      <w:ptab w:relativeTo="margin" w:alignment="right" w:leader="none"/>
    </w: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6E18B" w14:textId="77777777" w:rsidR="0069590C" w:rsidRDefault="0069590C">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1176C" w14:textId="2B3C0F9B" w:rsidR="0069590C" w:rsidRPr="007F79F8" w:rsidRDefault="0069590C">
    <w:pPr>
      <w:pStyle w:val="Footer"/>
      <w:rPr>
        <w:caps/>
        <w:noProof/>
      </w:rPr>
    </w:pPr>
    <w:r w:rsidRPr="000C01F2">
      <w:t>P</w:t>
    </w:r>
    <w:r>
      <w:t>art IID – LIQ1</w:t>
    </w:r>
    <w:r>
      <w:tab/>
    </w:r>
    <w:r w:rsidRPr="000C01F2">
      <w:rPr>
        <w:caps/>
      </w:rPr>
      <w:fldChar w:fldCharType="begin"/>
    </w:r>
    <w:r w:rsidRPr="000C01F2">
      <w:rPr>
        <w:caps/>
      </w:rPr>
      <w:instrText xml:space="preserve"> PAGE   \* MERGEFORMAT </w:instrText>
    </w:r>
    <w:r w:rsidRPr="000C01F2">
      <w:rPr>
        <w:caps/>
      </w:rPr>
      <w:fldChar w:fldCharType="separate"/>
    </w:r>
    <w:r w:rsidR="00A45C90">
      <w:rPr>
        <w:caps/>
        <w:noProof/>
      </w:rPr>
      <w:t>74</w:t>
    </w:r>
    <w:r w:rsidRPr="000C01F2">
      <w:rPr>
        <w:caps/>
        <w:noProof/>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E1C3F" w14:textId="6B4B09EC" w:rsidR="0069590C" w:rsidRDefault="0069590C">
    <w:pPr>
      <w:pStyle w:val="Footer"/>
      <w:tabs>
        <w:tab w:val="clear" w:pos="4153"/>
        <w:tab w:val="clear" w:pos="8306"/>
        <w:tab w:val="left" w:pos="1403"/>
        <w:tab w:val="center" w:pos="4156"/>
        <w:tab w:val="right" w:pos="8312"/>
      </w:tabs>
      <w:rPr>
        <w:rFonts w:ascii="Arial" w:hAnsi="Arial" w:cs="Arial"/>
      </w:rPr>
    </w:pPr>
    <w:r>
      <w:t>Part IID – LIQ2</w:t>
    </w:r>
    <w:r>
      <w:tab/>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81</w:t>
    </w:r>
    <w:r>
      <w:rPr>
        <w:rFonts w:ascii="Arial" w:hAnsi="Arial" w:cs="Arial"/>
        <w:noProof/>
      </w:rPr>
      <w:fldChar w:fldCharType="end"/>
    </w:r>
    <w:r>
      <w:rPr>
        <w:rFonts w:ascii="Arial" w:hAnsi="Arial" w:cs="Arial"/>
        <w:noProof/>
      </w:rPr>
      <w:tab/>
    </w:r>
    <w:r>
      <w:rPr>
        <w:rFonts w:ascii="Arial" w:hAnsi="Arial" w:cs="Arial"/>
        <w:noProof/>
      </w:rPr>
      <w:tab/>
    </w: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D0E76" w14:textId="0445012F" w:rsidR="0069590C" w:rsidRDefault="0069590C">
    <w:pPr>
      <w:pStyle w:val="Footer"/>
      <w:tabs>
        <w:tab w:val="clear" w:pos="4153"/>
        <w:tab w:val="clear" w:pos="8306"/>
        <w:tab w:val="left" w:pos="1403"/>
        <w:tab w:val="center" w:pos="4156"/>
        <w:tab w:val="right" w:pos="8312"/>
      </w:tabs>
      <w:rPr>
        <w:rFonts w:ascii="Arial" w:hAnsi="Arial" w:cs="Arial"/>
      </w:rPr>
    </w:pPr>
    <w:r>
      <w:t>Part III – CRA</w:t>
    </w:r>
    <w:r>
      <w:tab/>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82</w:t>
    </w:r>
    <w:r>
      <w:rPr>
        <w:rFonts w:ascii="Arial" w:hAnsi="Arial" w:cs="Arial"/>
        <w:noProof/>
      </w:rPr>
      <w:fldChar w:fldCharType="end"/>
    </w:r>
    <w:r>
      <w:rPr>
        <w:rFonts w:ascii="Arial" w:hAnsi="Arial" w:cs="Arial"/>
        <w:noProof/>
      </w:rPr>
      <w:tab/>
    </w:r>
    <w:r>
      <w:rPr>
        <w:rFonts w:ascii="Arial" w:hAnsi="Arial" w:cs="Arial"/>
        <w:noProof/>
      </w:rPr>
      <w:tab/>
    </w: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74EB99" w14:textId="7F4DC60A" w:rsidR="0069590C" w:rsidRDefault="0069590C">
    <w:pPr>
      <w:pStyle w:val="Footer"/>
      <w:tabs>
        <w:tab w:val="clear" w:pos="4153"/>
        <w:tab w:val="clear" w:pos="8306"/>
        <w:tab w:val="left" w:pos="1403"/>
        <w:tab w:val="center" w:pos="4156"/>
        <w:tab w:val="right" w:pos="8312"/>
      </w:tabs>
      <w:rPr>
        <w:rFonts w:ascii="Arial" w:hAnsi="Arial" w:cs="Arial"/>
      </w:rPr>
    </w:pPr>
    <w:r>
      <w:t>Part III – CR1</w:t>
    </w:r>
    <w:r>
      <w:tab/>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84</w:t>
    </w:r>
    <w:r>
      <w:rPr>
        <w:rFonts w:ascii="Arial" w:hAnsi="Arial" w:cs="Arial"/>
        <w:noProof/>
      </w:rPr>
      <w:fldChar w:fldCharType="end"/>
    </w:r>
    <w:r>
      <w:rPr>
        <w:rFonts w:ascii="Arial" w:hAnsi="Arial" w:cs="Arial"/>
        <w:noProof/>
      </w:rPr>
      <w:tab/>
    </w: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BDD81" w14:textId="3A0A7EBB" w:rsidR="0069590C" w:rsidRDefault="0069590C">
    <w:pPr>
      <w:pStyle w:val="Footer"/>
      <w:tabs>
        <w:tab w:val="clear" w:pos="4153"/>
        <w:tab w:val="clear" w:pos="8306"/>
        <w:tab w:val="left" w:pos="1403"/>
        <w:tab w:val="center" w:pos="4156"/>
        <w:tab w:val="right" w:pos="8312"/>
      </w:tabs>
      <w:rPr>
        <w:rFonts w:ascii="Arial" w:hAnsi="Arial" w:cs="Arial"/>
      </w:rPr>
    </w:pPr>
    <w:r>
      <w:t>Part III – CR2</w:t>
    </w:r>
    <w:r>
      <w:tab/>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86</w:t>
    </w:r>
    <w:r>
      <w:rPr>
        <w:rFonts w:ascii="Arial" w:hAnsi="Arial" w:cs="Arial"/>
        <w:noProof/>
      </w:rP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1092B" w14:textId="5B9D22E8" w:rsidR="0069590C" w:rsidRDefault="0069590C">
    <w:pPr>
      <w:pStyle w:val="Footer"/>
      <w:tabs>
        <w:tab w:val="clear" w:pos="4153"/>
        <w:tab w:val="clear" w:pos="8306"/>
        <w:tab w:val="left" w:pos="1403"/>
        <w:tab w:val="center" w:pos="4156"/>
        <w:tab w:val="right" w:pos="8312"/>
      </w:tabs>
      <w:rPr>
        <w:rFonts w:ascii="Arial" w:hAnsi="Arial" w:cs="Arial"/>
      </w:rPr>
    </w:pPr>
    <w:r>
      <w:t>Part III - CRB</w:t>
    </w:r>
    <w:r>
      <w:tab/>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87</w:t>
    </w:r>
    <w:r>
      <w:rPr>
        <w:rFonts w:ascii="Arial" w:hAnsi="Arial" w:cs="Arial"/>
        <w:noProof/>
      </w:rPr>
      <w:fldChar w:fldCharType="end"/>
    </w:r>
    <w:r>
      <w:rPr>
        <w:rFonts w:ascii="Arial" w:hAnsi="Arial" w:cs="Arial"/>
        <w:noProof/>
      </w:rPr>
      <w:tab/>
    </w: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9AD40" w14:textId="5A73F8A2" w:rsidR="0069590C" w:rsidRDefault="0069590C">
    <w:pPr>
      <w:pStyle w:val="Footer"/>
      <w:tabs>
        <w:tab w:val="clear" w:pos="4153"/>
        <w:tab w:val="clear" w:pos="8306"/>
        <w:tab w:val="left" w:pos="1403"/>
        <w:tab w:val="center" w:pos="4156"/>
        <w:tab w:val="right" w:pos="8312"/>
      </w:tabs>
      <w:rPr>
        <w:rFonts w:ascii="Arial" w:hAnsi="Arial" w:cs="Arial"/>
      </w:rPr>
    </w:pPr>
    <w:r>
      <w:t>Part III – CRC</w:t>
    </w:r>
    <w:r>
      <w:tab/>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88</w:t>
    </w:r>
    <w:r>
      <w:rPr>
        <w:rFonts w:ascii="Arial" w:hAnsi="Arial" w:cs="Arial"/>
        <w:noProof/>
      </w:rP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97B66" w14:textId="37D4E2F1" w:rsidR="0069590C" w:rsidRDefault="0069590C" w:rsidP="00A54BE4">
    <w:pPr>
      <w:pStyle w:val="Footer"/>
      <w:tabs>
        <w:tab w:val="clear" w:pos="4153"/>
        <w:tab w:val="clear" w:pos="8306"/>
        <w:tab w:val="left" w:pos="1403"/>
        <w:tab w:val="center" w:pos="4156"/>
        <w:tab w:val="right" w:pos="8312"/>
      </w:tabs>
      <w:rPr>
        <w:rFonts w:ascii="Arial" w:hAnsi="Arial" w:cs="Arial"/>
      </w:rPr>
    </w:pPr>
    <w:r>
      <w:t>Part III –CR3</w:t>
    </w:r>
    <w:r>
      <w:tab/>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92</w:t>
    </w:r>
    <w:r>
      <w:rPr>
        <w:rFonts w:ascii="Arial" w:hAnsi="Arial" w:cs="Arial"/>
        <w:noProof/>
      </w:rPr>
      <w:fldChar w:fldCharType="end"/>
    </w:r>
    <w:r>
      <w:rPr>
        <w:rFonts w:ascii="Arial" w:hAnsi="Arial" w:cs="Arial"/>
        <w:noProof/>
      </w:rPr>
      <w:tab/>
    </w: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FC8F6" w14:textId="5B8149AF" w:rsidR="0069590C" w:rsidRDefault="0069590C">
    <w:pPr>
      <w:pStyle w:val="Footer"/>
      <w:tabs>
        <w:tab w:val="clear" w:pos="4153"/>
        <w:tab w:val="clear" w:pos="8306"/>
        <w:tab w:val="left" w:pos="1403"/>
        <w:tab w:val="center" w:pos="4156"/>
        <w:tab w:val="right" w:pos="8312"/>
      </w:tabs>
      <w:rPr>
        <w:rFonts w:ascii="Arial" w:hAnsi="Arial" w:cs="Arial"/>
      </w:rPr>
    </w:pPr>
    <w:r>
      <w:t>Part III – CRD</w:t>
    </w:r>
    <w:r>
      <w:tab/>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93</w:t>
    </w:r>
    <w:r>
      <w:rPr>
        <w:rFonts w:ascii="Arial" w:hAnsi="Arial" w:cs="Arial"/>
        <w:noProof/>
      </w:rPr>
      <w:fldChar w:fldCharType="end"/>
    </w:r>
    <w:r>
      <w:rPr>
        <w:rFonts w:ascii="Arial" w:hAnsi="Arial" w:cs="Arial"/>
        <w:noProof/>
      </w:rPr>
      <w:tab/>
    </w: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17719" w14:textId="13885565" w:rsidR="0069590C" w:rsidRDefault="0069590C">
    <w:pPr>
      <w:pStyle w:val="Footer"/>
      <w:tabs>
        <w:tab w:val="clear" w:pos="4153"/>
        <w:tab w:val="clear" w:pos="8306"/>
        <w:tab w:val="center" w:pos="4156"/>
        <w:tab w:val="center" w:pos="6979"/>
        <w:tab w:val="right" w:pos="8312"/>
      </w:tabs>
    </w:pPr>
    <w:r>
      <w:t>Part III – CR4</w:t>
    </w:r>
    <w:r>
      <w:tab/>
    </w:r>
    <w:r>
      <w:tab/>
    </w:r>
    <w:r>
      <w:fldChar w:fldCharType="begin"/>
    </w:r>
    <w:r>
      <w:instrText xml:space="preserve"> PAGE   \* MERGEFORMAT </w:instrText>
    </w:r>
    <w:r>
      <w:fldChar w:fldCharType="separate"/>
    </w:r>
    <w:r w:rsidR="00A45C90">
      <w:rPr>
        <w:noProof/>
      </w:rPr>
      <w:t>99</w:t>
    </w:r>
    <w:r>
      <w:rPr>
        <w:noProof/>
      </w:rP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B7FD8" w14:textId="44C7F6F2" w:rsidR="0069590C" w:rsidRDefault="0069590C">
    <w:pPr>
      <w:pStyle w:val="Footer"/>
      <w:tabs>
        <w:tab w:val="clear" w:pos="4153"/>
        <w:tab w:val="clear" w:pos="8306"/>
        <w:tab w:val="center" w:pos="4156"/>
        <w:tab w:val="center" w:pos="6979"/>
        <w:tab w:val="right" w:pos="8312"/>
      </w:tabs>
    </w:pPr>
    <w:r>
      <w:t>Part III – CR5</w:t>
    </w:r>
    <w:r>
      <w:tab/>
    </w:r>
    <w:r>
      <w:tab/>
    </w:r>
    <w:r>
      <w:fldChar w:fldCharType="begin"/>
    </w:r>
    <w:r>
      <w:instrText xml:space="preserve"> PAGE   \* MERGEFORMAT </w:instrText>
    </w:r>
    <w:r>
      <w:fldChar w:fldCharType="separate"/>
    </w:r>
    <w:r w:rsidR="00A45C90">
      <w:rPr>
        <w:noProof/>
      </w:rPr>
      <w:t>113</w:t>
    </w:r>
    <w:r>
      <w:rPr>
        <w:noProof/>
      </w:rPr>
      <w:fldChar w:fldCharType="end"/>
    </w: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C0A4D" w14:textId="526D698A" w:rsidR="0069590C" w:rsidRDefault="0069590C">
    <w:pPr>
      <w:pStyle w:val="Footer"/>
      <w:tabs>
        <w:tab w:val="clear" w:pos="4153"/>
        <w:tab w:val="clear" w:pos="8306"/>
        <w:tab w:val="left" w:pos="1403"/>
        <w:tab w:val="center" w:pos="4156"/>
        <w:tab w:val="right" w:pos="8312"/>
      </w:tabs>
      <w:rPr>
        <w:rFonts w:ascii="Arial" w:hAnsi="Arial" w:cs="Arial"/>
      </w:rPr>
    </w:pPr>
    <w:r>
      <w:t>Part III – CRE</w:t>
    </w:r>
    <w:r>
      <w:tab/>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116</w:t>
    </w:r>
    <w:r>
      <w:rPr>
        <w:rFonts w:ascii="Arial" w:hAnsi="Arial" w:cs="Arial"/>
        <w:noProof/>
      </w:rPr>
      <w:fldChar w:fldCharType="end"/>
    </w:r>
    <w:r>
      <w:rPr>
        <w:rFonts w:ascii="Arial" w:hAnsi="Arial" w:cs="Arial"/>
        <w:noProof/>
      </w:rPr>
      <w:tab/>
    </w:r>
  </w:p>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7E85C" w14:textId="0175E532" w:rsidR="0069590C" w:rsidRDefault="0069590C">
    <w:pPr>
      <w:pStyle w:val="Footer"/>
      <w:tabs>
        <w:tab w:val="clear" w:pos="4153"/>
        <w:tab w:val="clear" w:pos="8306"/>
        <w:tab w:val="center" w:pos="4156"/>
        <w:tab w:val="center" w:pos="6979"/>
        <w:tab w:val="right" w:pos="8312"/>
      </w:tabs>
    </w:pPr>
    <w:r>
      <w:t>Part III – CR6</w:t>
    </w:r>
    <w:r>
      <w:tab/>
    </w:r>
    <w:r>
      <w:tab/>
    </w:r>
    <w:r>
      <w:fldChar w:fldCharType="begin"/>
    </w:r>
    <w:r>
      <w:instrText xml:space="preserve"> PAGE   \* MERGEFORMAT </w:instrText>
    </w:r>
    <w:r>
      <w:fldChar w:fldCharType="separate"/>
    </w:r>
    <w:r w:rsidR="00A45C90">
      <w:rPr>
        <w:noProof/>
      </w:rPr>
      <w:t>119</w:t>
    </w:r>
    <w:r>
      <w:rPr>
        <w:noProof/>
      </w:rPr>
      <w:fldChar w:fldCharType="end"/>
    </w:r>
  </w:p>
</w:ftr>
</file>

<file path=word/footer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D56E5" w14:textId="510D4174" w:rsidR="0069590C" w:rsidRDefault="0069590C">
    <w:pPr>
      <w:pStyle w:val="Footer"/>
      <w:tabs>
        <w:tab w:val="clear" w:pos="4153"/>
        <w:tab w:val="clear" w:pos="8306"/>
        <w:tab w:val="left" w:pos="1403"/>
        <w:tab w:val="center" w:pos="4156"/>
        <w:tab w:val="right" w:pos="8312"/>
      </w:tabs>
      <w:rPr>
        <w:rFonts w:ascii="Arial" w:hAnsi="Arial" w:cs="Arial"/>
      </w:rPr>
    </w:pPr>
    <w:r>
      <w:t>Part III – CR7</w:t>
    </w:r>
    <w:r>
      <w:tab/>
    </w:r>
    <w:r>
      <w:tab/>
    </w:r>
    <w:r w:rsidRPr="006F14C7">
      <w:rPr>
        <w:rFonts w:cs="Segoe UI"/>
      </w:rPr>
      <w:fldChar w:fldCharType="begin"/>
    </w:r>
    <w:r w:rsidRPr="006F14C7">
      <w:rPr>
        <w:rFonts w:cs="Segoe UI"/>
      </w:rPr>
      <w:instrText xml:space="preserve"> PAGE   \* MERGEFORMAT </w:instrText>
    </w:r>
    <w:r w:rsidRPr="006F14C7">
      <w:rPr>
        <w:rFonts w:cs="Segoe UI"/>
      </w:rPr>
      <w:fldChar w:fldCharType="separate"/>
    </w:r>
    <w:r w:rsidR="00A45C90">
      <w:rPr>
        <w:rFonts w:cs="Segoe UI"/>
        <w:noProof/>
      </w:rPr>
      <w:t>121</w:t>
    </w:r>
    <w:r w:rsidRPr="006F14C7">
      <w:rPr>
        <w:rFonts w:cs="Segoe UI"/>
        <w:noProof/>
      </w:rPr>
      <w:fldChar w:fldCharType="end"/>
    </w:r>
    <w:r>
      <w:rPr>
        <w:rFonts w:ascii="Arial" w:hAnsi="Arial" w:cs="Arial"/>
        <w:noProof/>
      </w:rPr>
      <w:tab/>
    </w:r>
    <w:r>
      <w:rPr>
        <w:rFonts w:ascii="Arial" w:hAnsi="Arial" w:cs="Arial"/>
        <w:noProof/>
      </w:rPr>
      <w:tab/>
    </w:r>
  </w:p>
</w:ftr>
</file>

<file path=word/footer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53972" w14:textId="52626AB1" w:rsidR="0069590C" w:rsidRDefault="0069590C">
    <w:pPr>
      <w:pStyle w:val="Footer"/>
      <w:tabs>
        <w:tab w:val="clear" w:pos="4153"/>
        <w:tab w:val="clear" w:pos="8306"/>
        <w:tab w:val="left" w:pos="1403"/>
        <w:tab w:val="center" w:pos="4156"/>
        <w:tab w:val="right" w:pos="8312"/>
      </w:tabs>
      <w:rPr>
        <w:rFonts w:ascii="Arial" w:hAnsi="Arial" w:cs="Arial"/>
      </w:rPr>
    </w:pPr>
    <w:r>
      <w:t>Part III – CR8</w:t>
    </w:r>
    <w:r>
      <w:tab/>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123</w:t>
    </w:r>
    <w:r>
      <w:rPr>
        <w:rFonts w:ascii="Arial" w:hAnsi="Arial" w:cs="Arial"/>
        <w:noProof/>
      </w:rPr>
      <w:fldChar w:fldCharType="end"/>
    </w:r>
    <w:r>
      <w:rPr>
        <w:rFonts w:ascii="Arial" w:hAnsi="Arial" w:cs="Arial"/>
        <w:noProof/>
      </w:rPr>
      <w:tab/>
    </w:r>
  </w:p>
</w:ftr>
</file>

<file path=word/footer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B25A6" w14:textId="704AB523" w:rsidR="0069590C" w:rsidRDefault="0069590C" w:rsidP="002851DB">
    <w:pPr>
      <w:pStyle w:val="Footer"/>
      <w:tabs>
        <w:tab w:val="clear" w:pos="4153"/>
        <w:tab w:val="clear" w:pos="8306"/>
        <w:tab w:val="left" w:pos="1403"/>
        <w:tab w:val="center" w:pos="4156"/>
        <w:tab w:val="right" w:pos="8312"/>
      </w:tabs>
      <w:rPr>
        <w:rFonts w:ascii="Arial" w:hAnsi="Arial" w:cs="Arial"/>
      </w:rPr>
    </w:pPr>
    <w:r>
      <w:t>Part III – CR9</w:t>
    </w:r>
    <w:r>
      <w:tab/>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126</w:t>
    </w:r>
    <w:r>
      <w:rPr>
        <w:rFonts w:ascii="Arial" w:hAnsi="Arial" w:cs="Arial"/>
        <w:noProof/>
      </w:rPr>
      <w:fldChar w:fldCharType="end"/>
    </w:r>
    <w:r>
      <w:rPr>
        <w:rFonts w:ascii="Arial" w:hAnsi="Arial" w:cs="Arial"/>
        <w:noProof/>
      </w:rPr>
      <w:tab/>
    </w:r>
  </w:p>
</w:ftr>
</file>

<file path=word/footer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00284B" w14:textId="78C3AD6A" w:rsidR="0069590C" w:rsidRDefault="0069590C">
    <w:pPr>
      <w:pStyle w:val="Footer"/>
      <w:tabs>
        <w:tab w:val="clear" w:pos="4153"/>
        <w:tab w:val="clear" w:pos="8306"/>
        <w:tab w:val="center" w:pos="4156"/>
        <w:tab w:val="center" w:pos="6979"/>
        <w:tab w:val="right" w:pos="8312"/>
      </w:tabs>
    </w:pPr>
    <w:r>
      <w:t>Part III – CR10</w:t>
    </w:r>
    <w:r>
      <w:tab/>
    </w:r>
    <w:r>
      <w:tab/>
    </w:r>
    <w:r w:rsidRPr="006F14C7">
      <w:rPr>
        <w:rFonts w:cs="Segoe UI"/>
      </w:rPr>
      <w:fldChar w:fldCharType="begin"/>
    </w:r>
    <w:r w:rsidRPr="006F14C7">
      <w:rPr>
        <w:rFonts w:cs="Segoe UI"/>
      </w:rPr>
      <w:instrText xml:space="preserve"> PAGE   \* MERGEFORMAT </w:instrText>
    </w:r>
    <w:r w:rsidRPr="006F14C7">
      <w:rPr>
        <w:rFonts w:cs="Segoe UI"/>
      </w:rPr>
      <w:fldChar w:fldCharType="separate"/>
    </w:r>
    <w:r w:rsidR="00A45C90">
      <w:rPr>
        <w:rFonts w:cs="Segoe UI"/>
        <w:noProof/>
      </w:rPr>
      <w:t>129</w:t>
    </w:r>
    <w:r w:rsidRPr="006F14C7">
      <w:rPr>
        <w:rFonts w:cs="Segoe UI"/>
        <w:noProof/>
      </w:rPr>
      <w:fldChar w:fldCharType="end"/>
    </w:r>
  </w:p>
</w:ftr>
</file>

<file path=word/footer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4DD82" w14:textId="15FBEFFE" w:rsidR="0069590C" w:rsidRDefault="0069590C" w:rsidP="00A54BE4">
    <w:pPr>
      <w:pStyle w:val="Footer"/>
      <w:tabs>
        <w:tab w:val="clear" w:pos="4153"/>
        <w:tab w:val="clear" w:pos="8306"/>
        <w:tab w:val="left" w:pos="1403"/>
        <w:tab w:val="center" w:pos="4156"/>
        <w:tab w:val="right" w:pos="8312"/>
      </w:tabs>
      <w:rPr>
        <w:rFonts w:ascii="Arial" w:hAnsi="Arial" w:cs="Arial"/>
      </w:rPr>
    </w:pPr>
    <w:r>
      <w:t>Part IV – CCRA</w:t>
    </w:r>
    <w:r>
      <w:tab/>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130</w:t>
    </w:r>
    <w:r>
      <w:rPr>
        <w:rFonts w:ascii="Arial" w:hAnsi="Arial" w:cs="Arial"/>
        <w:noProof/>
      </w:rPr>
      <w:fldChar w:fldCharType="end"/>
    </w:r>
    <w:r>
      <w:rPr>
        <w:rFonts w:ascii="Arial" w:hAnsi="Arial" w:cs="Arial"/>
        <w:noProof/>
      </w:rPr>
      <w:tab/>
    </w:r>
  </w:p>
</w:ftr>
</file>

<file path=word/footer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B1A511" w14:textId="10DE5127" w:rsidR="0069590C" w:rsidRDefault="0069590C" w:rsidP="00A54BE4">
    <w:pPr>
      <w:pStyle w:val="Footer"/>
      <w:tabs>
        <w:tab w:val="clear" w:pos="4153"/>
        <w:tab w:val="clear" w:pos="8306"/>
        <w:tab w:val="left" w:pos="1403"/>
        <w:tab w:val="center" w:pos="4156"/>
        <w:tab w:val="right" w:pos="8312"/>
      </w:tabs>
      <w:rPr>
        <w:rFonts w:ascii="Arial" w:hAnsi="Arial" w:cs="Arial"/>
      </w:rPr>
    </w:pPr>
    <w:r>
      <w:t>Part IV – CCR1</w:t>
    </w:r>
    <w:r>
      <w:tab/>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133</w:t>
    </w:r>
    <w:r>
      <w:rPr>
        <w:rFonts w:ascii="Arial" w:hAnsi="Arial" w:cs="Arial"/>
        <w:noProof/>
      </w:rPr>
      <w:fldChar w:fldCharType="end"/>
    </w:r>
    <w:r>
      <w:rPr>
        <w:rFonts w:ascii="Arial" w:hAnsi="Arial" w:cs="Arial"/>
        <w:noProof/>
      </w:rPr>
      <w:tab/>
    </w:r>
  </w:p>
</w:ftr>
</file>

<file path=word/footer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C67DA" w14:textId="7BD08D52" w:rsidR="0069590C" w:rsidRPr="00060238" w:rsidRDefault="0069590C" w:rsidP="001D79E6">
    <w:pPr>
      <w:pStyle w:val="Footer"/>
      <w:tabs>
        <w:tab w:val="center" w:pos="6979"/>
      </w:tabs>
      <w:ind w:firstLine="142"/>
    </w:pPr>
    <w:r>
      <w:t>Part IV – CCR3</w:t>
    </w:r>
    <w:r>
      <w:tab/>
    </w:r>
    <w:r>
      <w:tab/>
    </w:r>
    <w:r>
      <w:fldChar w:fldCharType="begin"/>
    </w:r>
    <w:r>
      <w:instrText xml:space="preserve"> PAGE   \* MERGEFORMAT </w:instrText>
    </w:r>
    <w:r>
      <w:fldChar w:fldCharType="separate"/>
    </w:r>
    <w:r w:rsidR="00A45C90">
      <w:rPr>
        <w:noProof/>
      </w:rPr>
      <w:t>135</w:t>
    </w:r>
    <w:r>
      <w:rPr>
        <w:noProof/>
      </w:rPr>
      <w:fldChar w:fldCharType="end"/>
    </w:r>
  </w:p>
</w:ftr>
</file>

<file path=word/footer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C9C6D" w14:textId="3BBD6AE8" w:rsidR="0069590C" w:rsidRDefault="0069590C" w:rsidP="001D79E6">
    <w:pPr>
      <w:pStyle w:val="Footer"/>
      <w:tabs>
        <w:tab w:val="clear" w:pos="4153"/>
        <w:tab w:val="clear" w:pos="8306"/>
        <w:tab w:val="center" w:pos="4156"/>
        <w:tab w:val="center" w:pos="6979"/>
        <w:tab w:val="right" w:pos="8312"/>
      </w:tabs>
      <w:ind w:firstLine="142"/>
      <w:rPr>
        <w:rFonts w:ascii="Arial" w:hAnsi="Arial" w:cs="Arial"/>
      </w:rPr>
    </w:pPr>
    <w:r>
      <w:t>Part IV – CCR4</w:t>
    </w:r>
    <w:r>
      <w:tab/>
    </w:r>
    <w:r>
      <w:tab/>
    </w:r>
    <w:r>
      <w:fldChar w:fldCharType="begin"/>
    </w:r>
    <w:r>
      <w:instrText xml:space="preserve"> PAGE   \* MERGEFORMAT </w:instrText>
    </w:r>
    <w:r>
      <w:fldChar w:fldCharType="separate"/>
    </w:r>
    <w:r w:rsidR="00A45C90">
      <w:rPr>
        <w:noProof/>
      </w:rPr>
      <w:t>139</w:t>
    </w:r>
    <w:r>
      <w:rPr>
        <w:noProof/>
      </w:rPr>
      <w:fldChar w:fldCharType="end"/>
    </w:r>
  </w:p>
</w:ftr>
</file>

<file path=word/footer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9FFCE" w14:textId="7BAE73B9" w:rsidR="0069590C" w:rsidRDefault="0069590C">
    <w:pPr>
      <w:pStyle w:val="Footer"/>
      <w:tabs>
        <w:tab w:val="clear" w:pos="4153"/>
        <w:tab w:val="clear" w:pos="8306"/>
        <w:tab w:val="left" w:pos="1403"/>
        <w:tab w:val="center" w:pos="4156"/>
        <w:tab w:val="right" w:pos="8312"/>
      </w:tabs>
      <w:rPr>
        <w:rFonts w:ascii="Arial" w:hAnsi="Arial" w:cs="Arial"/>
      </w:rPr>
    </w:pPr>
    <w:r>
      <w:t>Part IV – CCR5</w:t>
    </w:r>
    <w:r>
      <w:tab/>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141</w:t>
    </w:r>
    <w:r>
      <w:rPr>
        <w:rFonts w:ascii="Arial" w:hAnsi="Arial" w:cs="Arial"/>
        <w:noProof/>
      </w:rPr>
      <w:fldChar w:fldCharType="end"/>
    </w:r>
  </w:p>
</w:ftr>
</file>

<file path=word/footer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E1F6D" w14:textId="4FD61A04" w:rsidR="0069590C" w:rsidRDefault="0069590C">
    <w:pPr>
      <w:pStyle w:val="Footer"/>
      <w:tabs>
        <w:tab w:val="clear" w:pos="4153"/>
        <w:tab w:val="clear" w:pos="8306"/>
        <w:tab w:val="left" w:pos="1403"/>
        <w:tab w:val="center" w:pos="4156"/>
        <w:tab w:val="right" w:pos="8312"/>
      </w:tabs>
      <w:rPr>
        <w:rFonts w:ascii="Arial" w:hAnsi="Arial" w:cs="Arial"/>
      </w:rPr>
    </w:pPr>
    <w:r>
      <w:t>Part IV – CCR6</w:t>
    </w:r>
    <w:r>
      <w:tab/>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142</w:t>
    </w:r>
    <w:r>
      <w:rPr>
        <w:rFonts w:ascii="Arial" w:hAnsi="Arial" w:cs="Arial"/>
        <w:noProof/>
      </w:rPr>
      <w:fldChar w:fldCharType="end"/>
    </w:r>
    <w:r>
      <w:rPr>
        <w:rFonts w:ascii="Arial" w:hAnsi="Arial" w:cs="Arial"/>
        <w:noProof/>
      </w:rPr>
      <w:tab/>
    </w:r>
  </w:p>
</w:ftr>
</file>

<file path=word/footer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65414" w14:textId="2FEEA8D5" w:rsidR="0069590C" w:rsidRDefault="0069590C" w:rsidP="00AC6DA4">
    <w:pPr>
      <w:pStyle w:val="Footer"/>
      <w:tabs>
        <w:tab w:val="left" w:pos="1403"/>
      </w:tabs>
      <w:rPr>
        <w:rFonts w:ascii="Arial" w:hAnsi="Arial" w:cs="Arial"/>
      </w:rPr>
    </w:pPr>
    <w:r>
      <w:t>Part IV – CCR7</w:t>
    </w:r>
    <w:r>
      <w:tab/>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144</w:t>
    </w:r>
    <w:r>
      <w:rPr>
        <w:rFonts w:ascii="Arial" w:hAnsi="Arial" w:cs="Arial"/>
        <w:noProof/>
      </w:rPr>
      <w:fldChar w:fldCharType="end"/>
    </w:r>
    <w:r>
      <w:rPr>
        <w:rFonts w:ascii="Arial" w:hAnsi="Arial" w:cs="Arial"/>
        <w:noProof/>
      </w:rPr>
      <w:tab/>
    </w:r>
  </w:p>
</w:ftr>
</file>

<file path=word/footer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1B637" w14:textId="23023DEE" w:rsidR="0069590C" w:rsidRPr="00F36443" w:rsidRDefault="0069590C" w:rsidP="00A54BE4">
    <w:pPr>
      <w:pStyle w:val="Footer"/>
    </w:pPr>
    <w:r>
      <w:t>Part IV – CCR8</w:t>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147</w:t>
    </w:r>
    <w:r>
      <w:rPr>
        <w:rFonts w:ascii="Arial" w:hAnsi="Arial" w:cs="Arial"/>
        <w:noProof/>
      </w:rPr>
      <w:fldChar w:fldCharType="end"/>
    </w:r>
  </w:p>
</w:ftr>
</file>

<file path=word/footer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EBE7E" w14:textId="75546F41" w:rsidR="0069590C" w:rsidRDefault="0069590C">
    <w:pPr>
      <w:pStyle w:val="Footer"/>
      <w:tabs>
        <w:tab w:val="clear" w:pos="4153"/>
        <w:tab w:val="clear" w:pos="8306"/>
        <w:tab w:val="left" w:pos="1403"/>
        <w:tab w:val="center" w:pos="4156"/>
        <w:tab w:val="right" w:pos="8312"/>
      </w:tabs>
      <w:rPr>
        <w:rFonts w:ascii="Arial" w:hAnsi="Arial" w:cs="Arial"/>
      </w:rPr>
    </w:pPr>
    <w:r>
      <w:t>Par</w:t>
    </w:r>
    <w:r w:rsidRPr="00B03D96">
      <w:t>t IVA</w:t>
    </w:r>
    <w:r>
      <w:t xml:space="preserve"> – CVAA</w:t>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148</w:t>
    </w:r>
    <w:r>
      <w:rPr>
        <w:rFonts w:ascii="Arial" w:hAnsi="Arial" w:cs="Arial"/>
        <w:noProof/>
      </w:rPr>
      <w:fldChar w:fldCharType="end"/>
    </w:r>
    <w:r>
      <w:rPr>
        <w:rFonts w:ascii="Arial" w:hAnsi="Arial" w:cs="Arial"/>
        <w:noProof/>
      </w:rPr>
      <w:tab/>
    </w:r>
  </w:p>
</w:ftr>
</file>

<file path=word/footer4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60AB1" w14:textId="18DA9254" w:rsidR="0069590C" w:rsidRDefault="0069590C">
    <w:pPr>
      <w:pStyle w:val="Footer"/>
      <w:tabs>
        <w:tab w:val="clear" w:pos="4153"/>
        <w:tab w:val="clear" w:pos="8306"/>
        <w:tab w:val="left" w:pos="1403"/>
        <w:tab w:val="center" w:pos="4156"/>
        <w:tab w:val="right" w:pos="8312"/>
      </w:tabs>
      <w:rPr>
        <w:rFonts w:ascii="Arial" w:hAnsi="Arial" w:cs="Arial"/>
      </w:rPr>
    </w:pPr>
    <w:r>
      <w:t xml:space="preserve">Part </w:t>
    </w:r>
    <w:r w:rsidRPr="00B03D96">
      <w:t>IVA</w:t>
    </w:r>
    <w:r>
      <w:t xml:space="preserve"> – CVA1</w:t>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149</w:t>
    </w:r>
    <w:r>
      <w:rPr>
        <w:rFonts w:ascii="Arial" w:hAnsi="Arial" w:cs="Arial"/>
        <w:noProof/>
      </w:rPr>
      <w:fldChar w:fldCharType="end"/>
    </w:r>
    <w:r>
      <w:rPr>
        <w:rFonts w:ascii="Arial" w:hAnsi="Arial" w:cs="Arial"/>
        <w:noProof/>
      </w:rPr>
      <w:tab/>
    </w:r>
  </w:p>
</w:ftr>
</file>

<file path=word/footer5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56BBA" w14:textId="04991DB3" w:rsidR="0069590C" w:rsidRDefault="0069590C">
    <w:pPr>
      <w:pStyle w:val="Footer"/>
      <w:tabs>
        <w:tab w:val="clear" w:pos="4153"/>
        <w:tab w:val="clear" w:pos="8306"/>
        <w:tab w:val="left" w:pos="1403"/>
        <w:tab w:val="center" w:pos="4156"/>
        <w:tab w:val="right" w:pos="8312"/>
      </w:tabs>
      <w:rPr>
        <w:rFonts w:ascii="Arial" w:hAnsi="Arial" w:cs="Arial"/>
      </w:rPr>
    </w:pPr>
    <w:r>
      <w:t xml:space="preserve">Part </w:t>
    </w:r>
    <w:r w:rsidRPr="00B03D96">
      <w:t>IVA</w:t>
    </w:r>
    <w:r>
      <w:t xml:space="preserve"> – CVA2</w:t>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150</w:t>
    </w:r>
    <w:r>
      <w:rPr>
        <w:rFonts w:ascii="Arial" w:hAnsi="Arial" w:cs="Arial"/>
        <w:noProof/>
      </w:rPr>
      <w:fldChar w:fldCharType="end"/>
    </w:r>
    <w:r>
      <w:rPr>
        <w:rFonts w:ascii="Arial" w:hAnsi="Arial" w:cs="Arial"/>
        <w:noProof/>
      </w:rPr>
      <w:tab/>
    </w:r>
  </w:p>
</w:ftr>
</file>

<file path=word/footer5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FFC27" w14:textId="7E0F0592" w:rsidR="0069590C" w:rsidRDefault="0069590C">
    <w:pPr>
      <w:pStyle w:val="Footer"/>
      <w:tabs>
        <w:tab w:val="clear" w:pos="4153"/>
        <w:tab w:val="clear" w:pos="8306"/>
        <w:tab w:val="left" w:pos="1403"/>
        <w:tab w:val="center" w:pos="4156"/>
        <w:tab w:val="right" w:pos="8312"/>
      </w:tabs>
      <w:rPr>
        <w:rFonts w:ascii="Arial" w:hAnsi="Arial" w:cs="Arial"/>
      </w:rPr>
    </w:pPr>
    <w:r w:rsidRPr="00B03D96">
      <w:t>Part IVA</w:t>
    </w:r>
    <w:r>
      <w:t xml:space="preserve"> – CVAB</w:t>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151</w:t>
    </w:r>
    <w:r>
      <w:rPr>
        <w:rFonts w:ascii="Arial" w:hAnsi="Arial" w:cs="Arial"/>
        <w:noProof/>
      </w:rPr>
      <w:fldChar w:fldCharType="end"/>
    </w:r>
    <w:r>
      <w:rPr>
        <w:rFonts w:ascii="Arial" w:hAnsi="Arial" w:cs="Arial"/>
        <w:noProof/>
      </w:rPr>
      <w:tab/>
    </w:r>
  </w:p>
</w:ftr>
</file>

<file path=word/footer5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9FE08" w14:textId="70224094" w:rsidR="0069590C" w:rsidRDefault="0069590C">
    <w:pPr>
      <w:pStyle w:val="Footer"/>
      <w:tabs>
        <w:tab w:val="clear" w:pos="4153"/>
        <w:tab w:val="clear" w:pos="8306"/>
        <w:tab w:val="center" w:pos="4156"/>
        <w:tab w:val="right" w:pos="8312"/>
      </w:tabs>
      <w:rPr>
        <w:rFonts w:ascii="Arial" w:hAnsi="Arial" w:cs="Arial"/>
      </w:rPr>
    </w:pPr>
    <w:r w:rsidRPr="00B71D8C">
      <w:t>Part IVA</w:t>
    </w:r>
    <w:r>
      <w:t xml:space="preserve"> – CVA3</w:t>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152</w:t>
    </w:r>
    <w:r>
      <w:rPr>
        <w:rFonts w:ascii="Arial" w:hAnsi="Arial" w:cs="Arial"/>
        <w:noProof/>
      </w:rPr>
      <w:fldChar w:fldCharType="end"/>
    </w:r>
    <w:r>
      <w:rPr>
        <w:rFonts w:ascii="Arial" w:hAnsi="Arial" w:cs="Arial"/>
        <w:noProof/>
      </w:rPr>
      <w:tab/>
    </w:r>
  </w:p>
</w:ftr>
</file>

<file path=word/footer5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D45C3A" w14:textId="409859C6" w:rsidR="0069590C" w:rsidRDefault="0069590C">
    <w:pPr>
      <w:pStyle w:val="Footer"/>
      <w:tabs>
        <w:tab w:val="clear" w:pos="4153"/>
        <w:tab w:val="clear" w:pos="8306"/>
        <w:tab w:val="center" w:pos="4156"/>
        <w:tab w:val="center" w:pos="6979"/>
        <w:tab w:val="right" w:pos="8312"/>
      </w:tabs>
    </w:pPr>
    <w:r>
      <w:t>Part IVA – CVA4</w:t>
    </w:r>
    <w:r>
      <w:tab/>
    </w:r>
    <w:r>
      <w:fldChar w:fldCharType="begin"/>
    </w:r>
    <w:r>
      <w:instrText xml:space="preserve"> PAGE   \* MERGEFORMAT </w:instrText>
    </w:r>
    <w:r>
      <w:fldChar w:fldCharType="separate"/>
    </w:r>
    <w:r w:rsidR="00A45C90">
      <w:rPr>
        <w:noProof/>
      </w:rPr>
      <w:t>153</w:t>
    </w:r>
    <w:r>
      <w:rPr>
        <w:noProof/>
      </w:rPr>
      <w:fldChar w:fldCharType="end"/>
    </w:r>
  </w:p>
</w:ftr>
</file>

<file path=word/footer5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50EB6" w14:textId="0E221BE0" w:rsidR="0069590C" w:rsidRDefault="0069590C">
    <w:pPr>
      <w:pStyle w:val="Footer"/>
      <w:tabs>
        <w:tab w:val="clear" w:pos="4153"/>
        <w:tab w:val="clear" w:pos="8306"/>
        <w:tab w:val="left" w:pos="1403"/>
        <w:tab w:val="center" w:pos="4156"/>
        <w:tab w:val="right" w:pos="8312"/>
      </w:tabs>
      <w:rPr>
        <w:rFonts w:ascii="Arial" w:hAnsi="Arial" w:cs="Arial"/>
      </w:rPr>
    </w:pPr>
    <w:r>
      <w:t>Part V – SECA</w:t>
    </w:r>
    <w:r>
      <w:tab/>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155</w:t>
    </w:r>
    <w:r>
      <w:rPr>
        <w:rFonts w:ascii="Arial" w:hAnsi="Arial" w:cs="Arial"/>
        <w:noProof/>
      </w:rPr>
      <w:fldChar w:fldCharType="end"/>
    </w:r>
    <w:r>
      <w:rPr>
        <w:rFonts w:ascii="Arial" w:hAnsi="Arial" w:cs="Arial"/>
        <w:noProof/>
      </w:rPr>
      <w:tab/>
    </w:r>
    <w:r>
      <w:rPr>
        <w:rFonts w:ascii="Arial" w:hAnsi="Arial" w:cs="Arial"/>
        <w:noProof/>
      </w:rPr>
      <w:tab/>
    </w:r>
  </w:p>
</w:ftr>
</file>

<file path=word/footer5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68C6A" w14:textId="1D5C9436" w:rsidR="0069590C" w:rsidRDefault="0069590C">
    <w:pPr>
      <w:pStyle w:val="Footer"/>
      <w:tabs>
        <w:tab w:val="clear" w:pos="4153"/>
        <w:tab w:val="clear" w:pos="8306"/>
        <w:tab w:val="center" w:pos="4156"/>
        <w:tab w:val="center" w:pos="6979"/>
        <w:tab w:val="right" w:pos="8312"/>
      </w:tabs>
    </w:pPr>
    <w:r>
      <w:t>Part V – SEC1</w:t>
    </w:r>
    <w:r>
      <w:tab/>
    </w:r>
    <w:r>
      <w:tab/>
    </w:r>
    <w:r>
      <w:fldChar w:fldCharType="begin"/>
    </w:r>
    <w:r>
      <w:instrText xml:space="preserve"> PAGE   \* MERGEFORMAT </w:instrText>
    </w:r>
    <w:r>
      <w:fldChar w:fldCharType="separate"/>
    </w:r>
    <w:r w:rsidR="00A45C90">
      <w:rPr>
        <w:noProof/>
      </w:rPr>
      <w:t>157</w:t>
    </w:r>
    <w:r>
      <w:rPr>
        <w:noProof/>
      </w:rPr>
      <w:fldChar w:fldCharType="end"/>
    </w:r>
  </w:p>
</w:ftr>
</file>

<file path=word/footer5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825E5" w14:textId="11F78C5A" w:rsidR="0069590C" w:rsidRDefault="0069590C">
    <w:pPr>
      <w:pStyle w:val="Footer"/>
      <w:tabs>
        <w:tab w:val="clear" w:pos="4153"/>
        <w:tab w:val="clear" w:pos="8306"/>
        <w:tab w:val="center" w:pos="4156"/>
        <w:tab w:val="center" w:pos="6979"/>
        <w:tab w:val="right" w:pos="8312"/>
      </w:tabs>
    </w:pPr>
    <w:r>
      <w:t>Part V – SEC2</w:t>
    </w:r>
    <w:r>
      <w:tab/>
    </w:r>
    <w:r>
      <w:tab/>
    </w:r>
    <w:r>
      <w:fldChar w:fldCharType="begin"/>
    </w:r>
    <w:r>
      <w:instrText xml:space="preserve"> PAGE   \* MERGEFORMAT </w:instrText>
    </w:r>
    <w:r>
      <w:fldChar w:fldCharType="separate"/>
    </w:r>
    <w:r w:rsidR="00A45C90">
      <w:rPr>
        <w:noProof/>
      </w:rPr>
      <w:t>158</w:t>
    </w:r>
    <w:r>
      <w:rPr>
        <w:noProof/>
      </w:rPr>
      <w:fldChar w:fldCharType="end"/>
    </w:r>
  </w:p>
</w:ftr>
</file>

<file path=word/footer5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1F1ED" w14:textId="20A66CA7" w:rsidR="0069590C" w:rsidRDefault="0069590C">
    <w:pPr>
      <w:pStyle w:val="Footer"/>
      <w:tabs>
        <w:tab w:val="clear" w:pos="4153"/>
        <w:tab w:val="clear" w:pos="8306"/>
        <w:tab w:val="center" w:pos="4156"/>
        <w:tab w:val="center" w:pos="6979"/>
        <w:tab w:val="right" w:pos="8312"/>
      </w:tabs>
    </w:pPr>
    <w:r>
      <w:t>Part V – SEC3</w:t>
    </w:r>
    <w:r>
      <w:tab/>
    </w:r>
    <w:r>
      <w:tab/>
    </w:r>
    <w:r>
      <w:fldChar w:fldCharType="begin"/>
    </w:r>
    <w:r>
      <w:instrText xml:space="preserve"> PAGE   \* MERGEFORMAT </w:instrText>
    </w:r>
    <w:r>
      <w:fldChar w:fldCharType="separate"/>
    </w:r>
    <w:r w:rsidR="00A45C90">
      <w:rPr>
        <w:noProof/>
      </w:rPr>
      <w:t>162</w:t>
    </w:r>
    <w:r>
      <w:rPr>
        <w:noProof/>
      </w:rPr>
      <w:fldChar w:fldCharType="end"/>
    </w:r>
  </w:p>
</w:ftr>
</file>

<file path=word/footer5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2BFD8" w14:textId="19401451" w:rsidR="0069590C" w:rsidRDefault="0069590C">
    <w:pPr>
      <w:pStyle w:val="Footer"/>
      <w:tabs>
        <w:tab w:val="clear" w:pos="4153"/>
        <w:tab w:val="clear" w:pos="8306"/>
        <w:tab w:val="center" w:pos="4156"/>
        <w:tab w:val="center" w:pos="6979"/>
        <w:tab w:val="right" w:pos="8312"/>
      </w:tabs>
    </w:pPr>
    <w:r>
      <w:t>Part V – SEC4</w:t>
    </w:r>
    <w:r>
      <w:tab/>
    </w:r>
    <w:r>
      <w:tab/>
    </w:r>
    <w:r>
      <w:fldChar w:fldCharType="begin"/>
    </w:r>
    <w:r>
      <w:instrText xml:space="preserve"> PAGE   \* MERGEFORMAT </w:instrText>
    </w:r>
    <w:r>
      <w:fldChar w:fldCharType="separate"/>
    </w:r>
    <w:r w:rsidR="00A45C90">
      <w:rPr>
        <w:noProof/>
      </w:rPr>
      <w:t>165</w:t>
    </w:r>
    <w:r>
      <w:rPr>
        <w:noProof/>
      </w:rPr>
      <w:fldChar w:fldCharType="end"/>
    </w:r>
  </w:p>
</w:ftr>
</file>

<file path=word/footer5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8CA46" w14:textId="3F53B2E8" w:rsidR="0069590C" w:rsidRDefault="0069590C">
    <w:pPr>
      <w:pStyle w:val="Footer"/>
      <w:tabs>
        <w:tab w:val="clear" w:pos="4153"/>
        <w:tab w:val="clear" w:pos="8306"/>
        <w:tab w:val="center" w:pos="4156"/>
        <w:tab w:val="center" w:pos="6979"/>
        <w:tab w:val="right" w:pos="8312"/>
      </w:tabs>
    </w:pPr>
    <w:r>
      <w:t>Part VI – MRA</w:t>
    </w:r>
    <w:r>
      <w:tab/>
    </w:r>
    <w:r>
      <w:fldChar w:fldCharType="begin"/>
    </w:r>
    <w:r>
      <w:instrText xml:space="preserve"> PAGE   \* MERGEFORMAT </w:instrText>
    </w:r>
    <w:r>
      <w:fldChar w:fldCharType="separate"/>
    </w:r>
    <w:r w:rsidR="00A45C90">
      <w:rPr>
        <w:noProof/>
      </w:rPr>
      <w:t>167</w:t>
    </w:r>
    <w:r>
      <w:rPr>
        <w:noProof/>
      </w:rPr>
      <w:fldChar w:fldCharType="end"/>
    </w:r>
  </w:p>
</w:ftr>
</file>

<file path=word/footer6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CCC47" w14:textId="20EBA10D" w:rsidR="0069590C" w:rsidRDefault="0069590C">
    <w:pPr>
      <w:pStyle w:val="Footer"/>
      <w:tabs>
        <w:tab w:val="clear" w:pos="4153"/>
        <w:tab w:val="clear" w:pos="8306"/>
        <w:tab w:val="center" w:pos="4156"/>
        <w:tab w:val="center" w:pos="6979"/>
        <w:tab w:val="right" w:pos="8312"/>
      </w:tabs>
    </w:pPr>
    <w:r>
      <w:t>Part VI – MR1</w:t>
    </w:r>
    <w:r>
      <w:tab/>
    </w:r>
    <w:r>
      <w:fldChar w:fldCharType="begin"/>
    </w:r>
    <w:r>
      <w:instrText xml:space="preserve"> PAGE   \* MERGEFORMAT </w:instrText>
    </w:r>
    <w:r>
      <w:fldChar w:fldCharType="separate"/>
    </w:r>
    <w:r w:rsidR="00A45C90">
      <w:rPr>
        <w:noProof/>
      </w:rPr>
      <w:t>168</w:t>
    </w:r>
    <w:r>
      <w:rPr>
        <w:noProof/>
      </w:rPr>
      <w:fldChar w:fldCharType="end"/>
    </w:r>
  </w:p>
</w:ftr>
</file>

<file path=word/footer6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7E793" w14:textId="1A22AF5E" w:rsidR="0069590C" w:rsidRDefault="0069590C">
    <w:pPr>
      <w:pStyle w:val="Footer"/>
      <w:tabs>
        <w:tab w:val="clear" w:pos="4153"/>
        <w:tab w:val="clear" w:pos="8306"/>
        <w:tab w:val="center" w:pos="4156"/>
        <w:tab w:val="center" w:pos="6979"/>
        <w:tab w:val="right" w:pos="8312"/>
      </w:tabs>
    </w:pPr>
    <w:r>
      <w:t>Part VI – MR</w:t>
    </w:r>
    <w:r w:rsidRPr="00C77361">
      <w:t>B</w:t>
    </w:r>
    <w:r>
      <w:tab/>
    </w:r>
    <w:r>
      <w:fldChar w:fldCharType="begin"/>
    </w:r>
    <w:r>
      <w:instrText xml:space="preserve"> PAGE   \* MERGEFORMAT </w:instrText>
    </w:r>
    <w:r>
      <w:fldChar w:fldCharType="separate"/>
    </w:r>
    <w:r w:rsidR="00A45C90">
      <w:rPr>
        <w:noProof/>
      </w:rPr>
      <w:t>169</w:t>
    </w:r>
    <w:r>
      <w:rPr>
        <w:noProof/>
      </w:rPr>
      <w:fldChar w:fldCharType="end"/>
    </w:r>
  </w:p>
</w:ftr>
</file>

<file path=word/footer6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F3E59" w14:textId="6EC10EFF" w:rsidR="0069590C" w:rsidRDefault="0069590C">
    <w:pPr>
      <w:pStyle w:val="Footer"/>
      <w:tabs>
        <w:tab w:val="clear" w:pos="4153"/>
        <w:tab w:val="clear" w:pos="8306"/>
        <w:tab w:val="center" w:pos="4156"/>
        <w:tab w:val="center" w:pos="6979"/>
        <w:tab w:val="right" w:pos="8312"/>
      </w:tabs>
    </w:pPr>
    <w:r>
      <w:t>Part VI – MR2</w:t>
    </w:r>
    <w:r>
      <w:tab/>
    </w:r>
    <w:r>
      <w:fldChar w:fldCharType="begin"/>
    </w:r>
    <w:r>
      <w:instrText xml:space="preserve"> PAGE   \* MERGEFORMAT </w:instrText>
    </w:r>
    <w:r>
      <w:fldChar w:fldCharType="separate"/>
    </w:r>
    <w:r w:rsidR="00A45C90">
      <w:rPr>
        <w:noProof/>
      </w:rPr>
      <w:t>173</w:t>
    </w:r>
    <w:r>
      <w:rPr>
        <w:noProof/>
      </w:rPr>
      <w:fldChar w:fldCharType="end"/>
    </w:r>
  </w:p>
</w:ftr>
</file>

<file path=word/footer6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A0081F" w14:textId="029926D2" w:rsidR="0069590C" w:rsidRDefault="0069590C">
    <w:pPr>
      <w:pStyle w:val="Footer"/>
      <w:tabs>
        <w:tab w:val="clear" w:pos="4153"/>
        <w:tab w:val="clear" w:pos="8306"/>
        <w:tab w:val="center" w:pos="4156"/>
        <w:tab w:val="right" w:pos="8312"/>
      </w:tabs>
      <w:rPr>
        <w:rFonts w:ascii="Arial" w:hAnsi="Arial" w:cs="Arial"/>
      </w:rPr>
    </w:pPr>
    <w:r>
      <w:t>Part VI – MR3</w:t>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175</w:t>
    </w:r>
    <w:r>
      <w:rPr>
        <w:rFonts w:ascii="Arial" w:hAnsi="Arial" w:cs="Arial"/>
        <w:noProof/>
      </w:rPr>
      <w:fldChar w:fldCharType="end"/>
    </w:r>
    <w:r>
      <w:rPr>
        <w:rFonts w:ascii="Arial" w:hAnsi="Arial" w:cs="Arial"/>
        <w:noProof/>
      </w:rPr>
      <w:tab/>
    </w:r>
    <w:r>
      <w:rPr>
        <w:rFonts w:ascii="Arial" w:hAnsi="Arial" w:cs="Arial"/>
        <w:noProof/>
      </w:rPr>
      <w:tab/>
    </w:r>
  </w:p>
</w:ftr>
</file>

<file path=word/footer6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B106E" w14:textId="77777777" w:rsidR="0069590C" w:rsidRDefault="0069590C">
    <w:pPr>
      <w:pStyle w:val="Footer"/>
    </w:pPr>
  </w:p>
</w:ftr>
</file>

<file path=word/footer6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74391" w14:textId="11F8ECA3" w:rsidR="0069590C" w:rsidRDefault="0069590C">
    <w:pPr>
      <w:pStyle w:val="Footer"/>
    </w:pPr>
    <w:r>
      <w:t xml:space="preserve">Part VII – IRRBBA </w:t>
    </w:r>
    <w:r>
      <w:ptab w:relativeTo="margin" w:alignment="center" w:leader="none"/>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177</w:t>
    </w:r>
    <w:r w:rsidRPr="009D2A25">
      <w:rPr>
        <w:rFonts w:ascii="Arial" w:hAnsi="Arial" w:cs="Arial"/>
        <w:noProof/>
      </w:rPr>
      <w:fldChar w:fldCharType="end"/>
    </w:r>
    <w:r>
      <w:ptab w:relativeTo="margin" w:alignment="right" w:leader="none"/>
    </w:r>
  </w:p>
</w:ftr>
</file>

<file path=word/footer6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D8455" w14:textId="77777777" w:rsidR="0069590C" w:rsidRDefault="0069590C">
    <w:pPr>
      <w:pStyle w:val="Footer"/>
    </w:pPr>
  </w:p>
</w:ftr>
</file>

<file path=word/footer6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52C00" w14:textId="77777777" w:rsidR="0069590C" w:rsidRDefault="0069590C">
    <w:pPr>
      <w:pStyle w:val="Footer"/>
    </w:pPr>
  </w:p>
</w:ftr>
</file>

<file path=word/footer6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A14DA" w14:textId="02339BFE" w:rsidR="0069590C" w:rsidRDefault="0069590C">
    <w:pPr>
      <w:pStyle w:val="Footer"/>
    </w:pPr>
    <w:r>
      <w:t>Part VII – IRRBB1</w:t>
    </w:r>
    <w:r>
      <w:ptab w:relativeTo="margin" w:alignment="center" w:leader="none"/>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179</w:t>
    </w:r>
    <w:r w:rsidRPr="009D2A25">
      <w:rPr>
        <w:rFonts w:ascii="Arial" w:hAnsi="Arial" w:cs="Arial"/>
        <w:noProof/>
      </w:rPr>
      <w:fldChar w:fldCharType="end"/>
    </w:r>
    <w:r>
      <w:ptab w:relativeTo="margin" w:alignment="right" w:leader="none"/>
    </w:r>
  </w:p>
</w:ftr>
</file>

<file path=word/footer6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A1573" w14:textId="77777777" w:rsidR="0069590C" w:rsidRDefault="0069590C">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72078" w14:textId="77777777" w:rsidR="0069590C" w:rsidRDefault="0069590C">
    <w:pPr>
      <w:pStyle w:val="Footer"/>
    </w:pPr>
  </w:p>
</w:ftr>
</file>

<file path=word/footer7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CDA18" w14:textId="59145A62" w:rsidR="0069590C" w:rsidRDefault="0069590C">
    <w:pPr>
      <w:pStyle w:val="Footer"/>
    </w:pPr>
    <w:r>
      <w:t>Part VIII – REMA</w:t>
    </w:r>
    <w:r>
      <w:ptab w:relativeTo="margin" w:alignment="center" w:leader="none"/>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181</w:t>
    </w:r>
    <w:r w:rsidRPr="009D2A25">
      <w:rPr>
        <w:rFonts w:ascii="Arial" w:hAnsi="Arial" w:cs="Arial"/>
        <w:noProof/>
      </w:rPr>
      <w:fldChar w:fldCharType="end"/>
    </w:r>
    <w:r>
      <w:ptab w:relativeTo="margin" w:alignment="right" w:leader="none"/>
    </w:r>
  </w:p>
</w:ftr>
</file>

<file path=word/footer7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F8D4E" w14:textId="77777777" w:rsidR="0069590C" w:rsidRDefault="0069590C">
    <w:pPr>
      <w:pStyle w:val="Footer"/>
    </w:pPr>
  </w:p>
</w:ftr>
</file>

<file path=word/footer7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92B62" w14:textId="77777777" w:rsidR="0069590C" w:rsidRDefault="0069590C">
    <w:pPr>
      <w:pStyle w:val="Footer"/>
    </w:pPr>
  </w:p>
</w:ftr>
</file>

<file path=word/footer7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E9BCB" w14:textId="1B26E471" w:rsidR="0069590C" w:rsidRDefault="0069590C">
    <w:pPr>
      <w:pStyle w:val="Footer"/>
    </w:pPr>
    <w:r>
      <w:t>Part VIII – REM1</w:t>
    </w:r>
    <w:r>
      <w:ptab w:relativeTo="margin" w:alignment="center" w:leader="none"/>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183</w:t>
    </w:r>
    <w:r w:rsidRPr="009D2A25">
      <w:rPr>
        <w:rFonts w:ascii="Arial" w:hAnsi="Arial" w:cs="Arial"/>
        <w:noProof/>
      </w:rPr>
      <w:fldChar w:fldCharType="end"/>
    </w:r>
    <w:r>
      <w:ptab w:relativeTo="margin" w:alignment="right" w:leader="none"/>
    </w:r>
  </w:p>
</w:ftr>
</file>

<file path=word/footer7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02C6F" w14:textId="77777777" w:rsidR="0069590C" w:rsidRDefault="0069590C">
    <w:pPr>
      <w:pStyle w:val="Footer"/>
    </w:pPr>
  </w:p>
</w:ftr>
</file>

<file path=word/footer7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36052" w14:textId="77777777" w:rsidR="0069590C" w:rsidRDefault="0069590C">
    <w:pPr>
      <w:pStyle w:val="Footer"/>
    </w:pPr>
  </w:p>
</w:ftr>
</file>

<file path=word/footer7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B5297" w14:textId="1E9B4393" w:rsidR="0069590C" w:rsidRDefault="0069590C">
    <w:pPr>
      <w:pStyle w:val="Footer"/>
    </w:pPr>
    <w:r>
      <w:t>Part VIII – REM2</w:t>
    </w:r>
    <w:r>
      <w:ptab w:relativeTo="margin" w:alignment="center" w:leader="none"/>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184</w:t>
    </w:r>
    <w:r w:rsidRPr="009D2A25">
      <w:rPr>
        <w:rFonts w:ascii="Arial" w:hAnsi="Arial" w:cs="Arial"/>
        <w:noProof/>
      </w:rPr>
      <w:fldChar w:fldCharType="end"/>
    </w:r>
    <w:r>
      <w:ptab w:relativeTo="margin" w:alignment="right" w:leader="none"/>
    </w:r>
  </w:p>
</w:ftr>
</file>

<file path=word/footer7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AFB5B" w14:textId="77777777" w:rsidR="0069590C" w:rsidRDefault="0069590C">
    <w:pPr>
      <w:pStyle w:val="Footer"/>
    </w:pPr>
  </w:p>
</w:ftr>
</file>

<file path=word/footer7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7E8F0" w14:textId="48E90F90" w:rsidR="0069590C" w:rsidRDefault="0069590C">
    <w:pPr>
      <w:pStyle w:val="Footer"/>
    </w:pPr>
    <w:r>
      <w:t>Part VIII – REM3</w:t>
    </w:r>
    <w:r>
      <w:ptab w:relativeTo="margin" w:alignment="center" w:leader="none"/>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186</w:t>
    </w:r>
    <w:r w:rsidRPr="009D2A25">
      <w:rPr>
        <w:rFonts w:ascii="Arial" w:hAnsi="Arial" w:cs="Arial"/>
        <w:noProof/>
      </w:rPr>
      <w:fldChar w:fldCharType="end"/>
    </w:r>
    <w:r>
      <w:ptab w:relativeTo="margin" w:alignment="right" w:leader="none"/>
    </w:r>
  </w:p>
</w:ftr>
</file>

<file path=word/footer8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74EBB2" w14:textId="10EA5E82" w:rsidR="0069590C" w:rsidRDefault="0069590C">
    <w:pPr>
      <w:pStyle w:val="Footer"/>
      <w:tabs>
        <w:tab w:val="clear" w:pos="4153"/>
        <w:tab w:val="clear" w:pos="8306"/>
        <w:tab w:val="left" w:pos="1403"/>
        <w:tab w:val="center" w:pos="4156"/>
        <w:tab w:val="right" w:pos="8312"/>
      </w:tabs>
      <w:rPr>
        <w:rFonts w:ascii="Arial" w:hAnsi="Arial" w:cs="Arial"/>
      </w:rPr>
    </w:pPr>
    <w:r w:rsidRPr="00BD33F1">
      <w:t>Part IX –</w:t>
    </w:r>
    <w:r>
      <w:t xml:space="preserve"> ORA</w:t>
    </w:r>
    <w:r>
      <w:tab/>
    </w:r>
    <w: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45C90">
      <w:rPr>
        <w:rFonts w:ascii="Arial" w:hAnsi="Arial" w:cs="Arial"/>
        <w:noProof/>
      </w:rPr>
      <w:t>187</w:t>
    </w:r>
    <w:r>
      <w:rPr>
        <w:rFonts w:ascii="Arial" w:hAnsi="Arial" w:cs="Arial"/>
        <w:noProof/>
      </w:rPr>
      <w:fldChar w:fldCharType="end"/>
    </w:r>
    <w:r>
      <w:rPr>
        <w:rFonts w:ascii="Arial" w:hAnsi="Arial" w:cs="Arial"/>
        <w:noProof/>
      </w:rPr>
      <w:tab/>
    </w:r>
  </w:p>
</w:ftr>
</file>

<file path=word/footer8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38871" w14:textId="5CDA11A1" w:rsidR="0069590C" w:rsidRDefault="0069590C">
    <w:pPr>
      <w:pStyle w:val="Footer"/>
    </w:pPr>
    <w:r w:rsidRPr="00B71D8C">
      <w:t>Part IX</w:t>
    </w:r>
    <w:r>
      <w:t xml:space="preserve"> – OR1</w:t>
    </w:r>
    <w:r>
      <w:ptab w:relativeTo="margin" w:alignment="center" w:leader="none"/>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191</w:t>
    </w:r>
    <w:r w:rsidRPr="009D2A25">
      <w:rPr>
        <w:rFonts w:ascii="Arial" w:hAnsi="Arial" w:cs="Arial"/>
        <w:noProof/>
      </w:rPr>
      <w:fldChar w:fldCharType="end"/>
    </w:r>
    <w:r>
      <w:ptab w:relativeTo="margin" w:alignment="right" w:leader="none"/>
    </w:r>
  </w:p>
</w:ftr>
</file>

<file path=word/footer8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B8EF9" w14:textId="424B9370" w:rsidR="0069590C" w:rsidRDefault="0069590C">
    <w:pPr>
      <w:pStyle w:val="Footer"/>
    </w:pPr>
    <w:r w:rsidRPr="00B71D8C">
      <w:t>Part IX –</w:t>
    </w:r>
    <w:r>
      <w:t xml:space="preserve"> OR2</w:t>
    </w:r>
    <w:r>
      <w:ptab w:relativeTo="margin" w:alignment="center" w:leader="none"/>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194</w:t>
    </w:r>
    <w:r w:rsidRPr="009D2A25">
      <w:rPr>
        <w:rFonts w:ascii="Arial" w:hAnsi="Arial" w:cs="Arial"/>
        <w:noProof/>
      </w:rPr>
      <w:fldChar w:fldCharType="end"/>
    </w:r>
    <w:r>
      <w:ptab w:relativeTo="margin" w:alignment="right" w:leader="none"/>
    </w:r>
  </w:p>
</w:ftr>
</file>

<file path=word/footer8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CA94F" w14:textId="62C83AF4" w:rsidR="0069590C" w:rsidRDefault="0069590C">
    <w:pPr>
      <w:pStyle w:val="Footer"/>
    </w:pPr>
    <w:r w:rsidRPr="00B71D8C">
      <w:t>Part IX –</w:t>
    </w:r>
    <w:r>
      <w:t xml:space="preserve"> OR3</w:t>
    </w:r>
    <w:r>
      <w:ptab w:relativeTo="margin" w:alignment="center" w:leader="none"/>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195</w:t>
    </w:r>
    <w:r w:rsidRPr="009D2A25">
      <w:rPr>
        <w:rFonts w:ascii="Arial" w:hAnsi="Arial" w:cs="Arial"/>
        <w:noProof/>
      </w:rPr>
      <w:fldChar w:fldCharType="end"/>
    </w:r>
    <w:r>
      <w:ptab w:relativeTo="margin" w:alignment="right" w:leader="none"/>
    </w:r>
  </w:p>
</w:ftr>
</file>

<file path=word/footer8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31376" w14:textId="40E46006" w:rsidR="0069590C" w:rsidRDefault="0069590C">
    <w:pPr>
      <w:pStyle w:val="Footer"/>
    </w:pPr>
    <w:r w:rsidRPr="009E315D">
      <w:t>Part X –</w:t>
    </w:r>
    <w:r>
      <w:t xml:space="preserve"> CMS1</w:t>
    </w:r>
    <w:r>
      <w:ptab w:relativeTo="margin" w:alignment="center" w:leader="none"/>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200</w:t>
    </w:r>
    <w:r w:rsidRPr="009D2A25">
      <w:rPr>
        <w:rFonts w:ascii="Arial" w:hAnsi="Arial" w:cs="Arial"/>
        <w:noProof/>
      </w:rPr>
      <w:fldChar w:fldCharType="end"/>
    </w:r>
    <w:r>
      <w:ptab w:relativeTo="margin" w:alignment="right" w:leader="none"/>
    </w:r>
  </w:p>
</w:ftr>
</file>

<file path=word/footer8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32A78" w14:textId="37435ED1" w:rsidR="0069590C" w:rsidRDefault="0069590C">
    <w:pPr>
      <w:pStyle w:val="Footer"/>
    </w:pPr>
    <w:r w:rsidRPr="009E315D">
      <w:t>Part X –</w:t>
    </w:r>
    <w:r>
      <w:t xml:space="preserve"> CMS2</w:t>
    </w:r>
    <w:r>
      <w:ptab w:relativeTo="margin" w:alignment="center" w:leader="none"/>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203</w:t>
    </w:r>
    <w:r w:rsidRPr="009D2A25">
      <w:rPr>
        <w:rFonts w:ascii="Arial" w:hAnsi="Arial" w:cs="Arial"/>
        <w:noProof/>
      </w:rPr>
      <w:fldChar w:fldCharType="end"/>
    </w:r>
    <w:r>
      <w:ptab w:relativeTo="margin" w:alignment="right" w:leader="none"/>
    </w:r>
  </w:p>
</w:ftr>
</file>

<file path=word/footer8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3B70A" w14:textId="52AA022B" w:rsidR="0069590C" w:rsidRDefault="0069590C">
    <w:pPr>
      <w:pStyle w:val="Footer"/>
    </w:pPr>
    <w:r w:rsidRPr="0015058C">
      <w:t>Part XI</w:t>
    </w:r>
    <w:r>
      <w:t xml:space="preserve"> – ENC </w:t>
    </w:r>
    <w:r>
      <w:ptab w:relativeTo="margin" w:alignment="center" w:leader="none"/>
    </w:r>
    <w:r w:rsidRPr="009D2A25">
      <w:rPr>
        <w:rFonts w:ascii="Arial" w:hAnsi="Arial" w:cs="Arial"/>
      </w:rPr>
      <w:fldChar w:fldCharType="begin"/>
    </w:r>
    <w:r w:rsidRPr="009D2A25">
      <w:rPr>
        <w:rFonts w:ascii="Arial" w:hAnsi="Arial" w:cs="Arial"/>
      </w:rPr>
      <w:instrText xml:space="preserve"> PAGE   \* MERGEFORMAT </w:instrText>
    </w:r>
    <w:r w:rsidRPr="009D2A25">
      <w:rPr>
        <w:rFonts w:ascii="Arial" w:hAnsi="Arial" w:cs="Arial"/>
      </w:rPr>
      <w:fldChar w:fldCharType="separate"/>
    </w:r>
    <w:r w:rsidR="00A45C90">
      <w:rPr>
        <w:rFonts w:ascii="Arial" w:hAnsi="Arial" w:cs="Arial"/>
        <w:noProof/>
      </w:rPr>
      <w:t>205</w:t>
    </w:r>
    <w:r w:rsidRPr="009D2A25">
      <w:rPr>
        <w:rFonts w:ascii="Arial" w:hAnsi="Arial" w:cs="Arial"/>
        <w:noProof/>
      </w:rPr>
      <w:fldChar w:fldCharType="end"/>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FE696" w14:textId="77777777" w:rsidR="0069590C" w:rsidRDefault="0069590C">
      <w:r>
        <w:separator/>
      </w:r>
    </w:p>
  </w:footnote>
  <w:footnote w:type="continuationSeparator" w:id="0">
    <w:p w14:paraId="554E450F" w14:textId="77777777" w:rsidR="0069590C" w:rsidRDefault="0069590C">
      <w:r>
        <w:continuationSeparator/>
      </w:r>
    </w:p>
  </w:footnote>
  <w:footnote w:id="1">
    <w:p w14:paraId="54386B5A" w14:textId="56B0E979" w:rsidR="0069590C" w:rsidRPr="000301D4" w:rsidRDefault="0069590C" w:rsidP="000301D4">
      <w:pPr>
        <w:tabs>
          <w:tab w:val="left" w:pos="142"/>
        </w:tabs>
        <w:ind w:left="142" w:hangingChars="71" w:hanging="142"/>
        <w:jc w:val="both"/>
        <w:rPr>
          <w:rFonts w:cs="Segoe UI"/>
        </w:rPr>
      </w:pPr>
      <w:r>
        <w:rPr>
          <w:rStyle w:val="FootnoteReference"/>
        </w:rPr>
        <w:footnoteRef/>
      </w:r>
      <w:r>
        <w:t xml:space="preserve"> Unless otherwise specified in the relevant explanatory notes, </w:t>
      </w:r>
      <w:r>
        <w:rPr>
          <w:rFonts w:cs="Segoe UI"/>
        </w:rPr>
        <w:t xml:space="preserve">any terms and definitions used in the disclosure templates and tables shall have the meanings assigned to them by the Banking (Capital) Rules (“BCR”), Banking (Liquidity) Rules (“BLR”) and the Banking (Disclosure) Rules (“BDR”), as the context may require.  </w:t>
      </w:r>
    </w:p>
  </w:footnote>
  <w:footnote w:id="2">
    <w:p w14:paraId="7BDAF6BE" w14:textId="152FA60A" w:rsidR="0069590C" w:rsidRDefault="0069590C" w:rsidP="003600C5">
      <w:pPr>
        <w:ind w:left="142" w:hanging="142"/>
        <w:jc w:val="both"/>
      </w:pPr>
      <w:r>
        <w:rPr>
          <w:rStyle w:val="FootnoteReference"/>
        </w:rPr>
        <w:footnoteRef/>
      </w:r>
      <w:r>
        <w:t xml:space="preserve"> </w:t>
      </w:r>
      <w:r>
        <w:rPr>
          <w:rFonts w:cs="Segoe UI"/>
        </w:rPr>
        <w:t>‘L’ denotes a disclosure template/table applicable to authorized institutions (“</w:t>
      </w:r>
      <w:r w:rsidRPr="007608B6">
        <w:rPr>
          <w:rFonts w:cs="Segoe UI"/>
        </w:rPr>
        <w:t>AIs</w:t>
      </w:r>
      <w:r>
        <w:rPr>
          <w:rFonts w:cs="Segoe UI"/>
        </w:rPr>
        <w:t>”)</w:t>
      </w:r>
      <w:r w:rsidRPr="007608B6">
        <w:rPr>
          <w:rFonts w:cs="Segoe UI"/>
        </w:rPr>
        <w:t xml:space="preserve"> incorporated in Hong Kong</w:t>
      </w:r>
      <w:r>
        <w:rPr>
          <w:rFonts w:cs="Segoe UI"/>
        </w:rPr>
        <w:t xml:space="preserve">; ‘O’ denotes a disclosure template/table applicable to AIs </w:t>
      </w:r>
      <w:r w:rsidRPr="0079110A">
        <w:rPr>
          <w:rFonts w:cs="Segoe UI"/>
        </w:rPr>
        <w:t>incorporated outside Hong Kong.</w:t>
      </w:r>
    </w:p>
  </w:footnote>
  <w:footnote w:id="3">
    <w:p w14:paraId="738A63D1" w14:textId="77777777" w:rsidR="0069590C" w:rsidRPr="008E3418" w:rsidRDefault="0069590C" w:rsidP="007A5A8E">
      <w:pPr>
        <w:pStyle w:val="FootnoteText"/>
        <w:widowControl w:val="0"/>
        <w:tabs>
          <w:tab w:val="clear" w:pos="397"/>
          <w:tab w:val="left" w:pos="284"/>
        </w:tabs>
        <w:snapToGrid w:val="0"/>
        <w:spacing w:before="0"/>
        <w:ind w:left="1" w:firstLine="0"/>
        <w:rPr>
          <w:szCs w:val="16"/>
        </w:rPr>
      </w:pPr>
      <w:r w:rsidRPr="008E3418">
        <w:rPr>
          <w:rStyle w:val="FootnoteReference"/>
          <w:rFonts w:cs="Segoe UI"/>
          <w:szCs w:val="16"/>
        </w:rPr>
        <w:footnoteRef/>
      </w:r>
      <w:r w:rsidRPr="008E3418">
        <w:rPr>
          <w:szCs w:val="16"/>
        </w:rPr>
        <w:t xml:space="preserve">  “G-SIBs” for the purpose of disclosures in this template, refers to G-SIBs for whic</w:t>
      </w:r>
      <w:r>
        <w:rPr>
          <w:szCs w:val="16"/>
        </w:rPr>
        <w:t xml:space="preserve">h the MA is the home regulatory </w:t>
      </w:r>
      <w:r w:rsidRPr="008E3418">
        <w:rPr>
          <w:szCs w:val="16"/>
        </w:rPr>
        <w:t>authority.</w:t>
      </w:r>
    </w:p>
  </w:footnote>
  <w:footnote w:id="4">
    <w:p w14:paraId="1F2449E1" w14:textId="77777777" w:rsidR="0069590C" w:rsidRPr="008E3418" w:rsidRDefault="0069590C" w:rsidP="007A5A8E">
      <w:pPr>
        <w:pStyle w:val="FootnoteText"/>
        <w:widowControl w:val="0"/>
        <w:tabs>
          <w:tab w:val="clear" w:pos="397"/>
          <w:tab w:val="left" w:pos="284"/>
        </w:tabs>
        <w:snapToGrid w:val="0"/>
        <w:spacing w:before="0"/>
        <w:ind w:left="1" w:firstLine="0"/>
        <w:rPr>
          <w:szCs w:val="16"/>
        </w:rPr>
      </w:pPr>
      <w:r w:rsidRPr="008E3418">
        <w:rPr>
          <w:rStyle w:val="FootnoteReference"/>
          <w:rFonts w:cs="Segoe UI"/>
          <w:szCs w:val="16"/>
        </w:rPr>
        <w:footnoteRef/>
      </w:r>
      <w:r w:rsidRPr="008E3418">
        <w:rPr>
          <w:szCs w:val="16"/>
        </w:rPr>
        <w:t xml:space="preserve">  For application of this threshold, the applicable exchange rates prescribed by the BCBS will be used.</w:t>
      </w:r>
    </w:p>
  </w:footnote>
  <w:footnote w:id="5">
    <w:p w14:paraId="4E330771" w14:textId="77777777" w:rsidR="0069590C" w:rsidRDefault="0069590C" w:rsidP="007A5A8E">
      <w:pPr>
        <w:pStyle w:val="FootnoteText"/>
        <w:widowControl w:val="0"/>
        <w:tabs>
          <w:tab w:val="clear" w:pos="397"/>
          <w:tab w:val="left" w:pos="284"/>
        </w:tabs>
        <w:snapToGrid w:val="0"/>
        <w:spacing w:before="0"/>
        <w:ind w:left="1" w:firstLine="0"/>
        <w:rPr>
          <w:szCs w:val="16"/>
        </w:rPr>
      </w:pPr>
      <w:r w:rsidRPr="008E3418">
        <w:rPr>
          <w:rStyle w:val="FootnoteReference"/>
          <w:rFonts w:cs="Segoe UI"/>
          <w:szCs w:val="16"/>
        </w:rPr>
        <w:footnoteRef/>
      </w:r>
      <w:r w:rsidRPr="008E3418">
        <w:rPr>
          <w:szCs w:val="16"/>
        </w:rPr>
        <w:t xml:space="preserve">  A reference to the template format and reporting instructions cou</w:t>
      </w:r>
      <w:r>
        <w:rPr>
          <w:szCs w:val="16"/>
        </w:rPr>
        <w:t>ld be found on the BIS website:</w:t>
      </w:r>
    </w:p>
    <w:p w14:paraId="2C78FD2A" w14:textId="25C76695" w:rsidR="0069590C" w:rsidRPr="00AB6F0F" w:rsidRDefault="00A45C90" w:rsidP="007A5A8E">
      <w:pPr>
        <w:pStyle w:val="FootnoteText"/>
        <w:widowControl w:val="0"/>
        <w:tabs>
          <w:tab w:val="clear" w:pos="397"/>
          <w:tab w:val="left" w:pos="284"/>
        </w:tabs>
        <w:snapToGrid w:val="0"/>
        <w:spacing w:before="0"/>
        <w:ind w:left="1" w:firstLine="0"/>
        <w:rPr>
          <w:szCs w:val="16"/>
        </w:rPr>
      </w:pPr>
      <w:hyperlink r:id="rId1" w:history="1">
        <w:r w:rsidR="0069590C" w:rsidRPr="008E3418">
          <w:rPr>
            <w:rStyle w:val="Hyperlink"/>
            <w:rFonts w:cs="Segoe UI"/>
            <w:szCs w:val="16"/>
          </w:rPr>
          <w:t>https://www.bis.org/bcbs/gsib/reporting_instructions.htm</w:t>
        </w:r>
      </w:hyperlink>
      <w:r w:rsidR="0069590C">
        <w:rPr>
          <w:szCs w:val="16"/>
        </w:rPr>
        <w:t>.</w:t>
      </w:r>
    </w:p>
  </w:footnote>
  <w:footnote w:id="6">
    <w:p w14:paraId="70C224CA" w14:textId="3782C8F1" w:rsidR="0069590C" w:rsidRPr="003F5295" w:rsidRDefault="0069590C" w:rsidP="0003683F">
      <w:pPr>
        <w:pStyle w:val="FootnoteText"/>
        <w:tabs>
          <w:tab w:val="left" w:pos="284"/>
        </w:tabs>
        <w:spacing w:before="0" w:line="260" w:lineRule="exact"/>
        <w:ind w:left="0" w:firstLine="0"/>
        <w:rPr>
          <w:rFonts w:cs="Segoe UI"/>
          <w:szCs w:val="16"/>
        </w:rPr>
      </w:pPr>
      <w:r w:rsidRPr="00A32DCC">
        <w:rPr>
          <w:rStyle w:val="FootnoteReference"/>
          <w:rFonts w:cs="Segoe UI"/>
          <w:szCs w:val="16"/>
        </w:rPr>
        <w:footnoteRef/>
      </w:r>
      <w:r w:rsidRPr="00A32DCC">
        <w:rPr>
          <w:rFonts w:cs="Segoe UI"/>
          <w:szCs w:val="16"/>
        </w:rPr>
        <w:t xml:space="preserve"> </w:t>
      </w:r>
      <w:r w:rsidRPr="00A32DCC">
        <w:rPr>
          <w:rFonts w:cs="Segoe UI"/>
          <w:szCs w:val="16"/>
        </w:rPr>
        <w:tab/>
        <w:t xml:space="preserve">The allocation of exposures to jurisdictions should be made taking into account the clarifications provided by </w:t>
      </w:r>
      <w:r>
        <w:rPr>
          <w:rFonts w:cs="Segoe UI"/>
          <w:szCs w:val="16"/>
        </w:rPr>
        <w:t>RBC30 of the Basel framework.</w:t>
      </w:r>
    </w:p>
  </w:footnote>
  <w:footnote w:id="7">
    <w:p w14:paraId="33E898DA" w14:textId="77777777" w:rsidR="0069590C" w:rsidRPr="00371FDD" w:rsidRDefault="0069590C" w:rsidP="00742BB5">
      <w:pPr>
        <w:pStyle w:val="FootnoteText"/>
        <w:tabs>
          <w:tab w:val="left" w:pos="284"/>
        </w:tabs>
        <w:spacing w:before="0" w:line="200" w:lineRule="exact"/>
        <w:ind w:left="0" w:right="-341" w:firstLine="0"/>
        <w:rPr>
          <w:rFonts w:cs="Segoe UI"/>
          <w:kern w:val="2"/>
          <w:szCs w:val="16"/>
        </w:rPr>
      </w:pPr>
      <w:r w:rsidRPr="00371FDD">
        <w:rPr>
          <w:rStyle w:val="FootnoteReference"/>
          <w:rFonts w:cs="Segoe UI"/>
          <w:kern w:val="2"/>
          <w:szCs w:val="16"/>
        </w:rPr>
        <w:footnoteRef/>
      </w:r>
      <w:r w:rsidRPr="00371FDD">
        <w:rPr>
          <w:rFonts w:cs="Segoe UI"/>
          <w:kern w:val="2"/>
          <w:szCs w:val="16"/>
        </w:rPr>
        <w:t xml:space="preserve"> </w:t>
      </w:r>
      <w:r w:rsidRPr="00371FDD">
        <w:rPr>
          <w:rFonts w:cs="Segoe UI"/>
          <w:kern w:val="2"/>
          <w:szCs w:val="16"/>
        </w:rPr>
        <w:tab/>
        <w:t xml:space="preserve">For mapping purpose, the explanatory notes to the following rows also provide the corresponding items in Part 2, Section (I) of the Return of Liquidity Position, in big brackets (i.e. </w:t>
      </w:r>
      <w:r w:rsidRPr="00371FDD">
        <w:rPr>
          <w:rFonts w:cs="Segoe UI"/>
          <w:b/>
          <w:kern w:val="2"/>
          <w:szCs w:val="16"/>
        </w:rPr>
        <w:t>{  }</w:t>
      </w:r>
      <w:r w:rsidRPr="00371FDD">
        <w:rPr>
          <w:rFonts w:cs="Segoe UI"/>
          <w:kern w:val="2"/>
          <w:szCs w:val="16"/>
        </w:rPr>
        <w:t>).  However, AIs should be cautious that they are only definition references for the items and should not be interpreted as a simple formula using which the values disclosed in the following rows are to be derived.  For example, the definition reference for row 2 (item “Retail deposits and small business funding”) is {Sum of items B1 to B4}.  The value to be disclosed in [LIQ1: 2/a] of this template for a particular quarter is, however, not equal to the simple summation of the principal amounts of items B1 to B4 as reported in Section (I), Part 2 of the Return of Liquidity Position for the month that ends on the close of the quarter.  Rather, the value in [LIQ1: 2/a] should be calculated as the arithmetic mean of the unweighted value of “Retail deposits and small business funding” as at the end of each working day within the quarter (i.e. the average of all data points of item “Retail deposits and small business funding” in that quarter).  See explanatory notes to columns (a) and (b) for the calculation method in details.</w:t>
      </w:r>
    </w:p>
  </w:footnote>
  <w:footnote w:id="8">
    <w:p w14:paraId="7D3CA68D" w14:textId="77777777" w:rsidR="0069590C" w:rsidRPr="00371FDD" w:rsidRDefault="0069590C" w:rsidP="00742BB5">
      <w:pPr>
        <w:pStyle w:val="FootnoteText"/>
        <w:tabs>
          <w:tab w:val="left" w:pos="284"/>
        </w:tabs>
        <w:spacing w:before="0" w:line="200" w:lineRule="exact"/>
        <w:ind w:right="-341"/>
        <w:rPr>
          <w:rFonts w:cs="Segoe UI"/>
          <w:kern w:val="2"/>
          <w:szCs w:val="16"/>
        </w:rPr>
      </w:pPr>
      <w:r w:rsidRPr="00371FDD">
        <w:rPr>
          <w:rStyle w:val="FootnoteReference"/>
          <w:rFonts w:cs="Segoe UI"/>
          <w:kern w:val="2"/>
          <w:szCs w:val="16"/>
        </w:rPr>
        <w:footnoteRef/>
      </w:r>
      <w:r w:rsidRPr="00371FDD">
        <w:rPr>
          <w:rFonts w:cs="Segoe UI"/>
          <w:kern w:val="2"/>
          <w:szCs w:val="16"/>
        </w:rPr>
        <w:t xml:space="preserve"> </w:t>
      </w:r>
      <w:r w:rsidRPr="00371FDD">
        <w:rPr>
          <w:rFonts w:cs="Segoe UI"/>
          <w:kern w:val="2"/>
          <w:szCs w:val="16"/>
        </w:rPr>
        <w:tab/>
        <w:t>These refer to the 15% ceiling on level 2B assets and the 40% ceiling on the sum of level 2A and level 2B assets.</w:t>
      </w:r>
    </w:p>
  </w:footnote>
  <w:footnote w:id="9">
    <w:p w14:paraId="1ACE7ABE" w14:textId="77777777" w:rsidR="0069590C" w:rsidRPr="003F5295" w:rsidRDefault="0069590C" w:rsidP="00742BB5">
      <w:pPr>
        <w:pStyle w:val="FootnoteText"/>
        <w:tabs>
          <w:tab w:val="left" w:pos="284"/>
        </w:tabs>
        <w:spacing w:before="0" w:line="200" w:lineRule="exact"/>
        <w:ind w:left="0" w:right="-341" w:firstLine="0"/>
        <w:rPr>
          <w:rFonts w:cs="Segoe UI"/>
          <w:szCs w:val="16"/>
        </w:rPr>
      </w:pPr>
      <w:r w:rsidRPr="003F5295">
        <w:rPr>
          <w:rStyle w:val="FootnoteReference"/>
          <w:rFonts w:cs="Segoe UI"/>
          <w:szCs w:val="16"/>
        </w:rPr>
        <w:footnoteRef/>
      </w:r>
      <w:r w:rsidRPr="003F5295">
        <w:rPr>
          <w:rFonts w:cs="Segoe UI"/>
          <w:szCs w:val="16"/>
        </w:rPr>
        <w:t xml:space="preserve"> </w:t>
      </w:r>
      <w:r w:rsidRPr="003F5295">
        <w:rPr>
          <w:rFonts w:cs="Segoe UI"/>
          <w:szCs w:val="16"/>
        </w:rPr>
        <w:tab/>
        <w:t>To avoid doubt, this row includes unsecured wholesale funding received in the course of providing correspondent banking and prime brokerage services (as defined in BLR rule 39).</w:t>
      </w:r>
    </w:p>
  </w:footnote>
  <w:footnote w:id="10">
    <w:p w14:paraId="7E4786E3" w14:textId="77777777" w:rsidR="0069590C" w:rsidRPr="003F5295" w:rsidRDefault="0069590C" w:rsidP="00742BB5">
      <w:pPr>
        <w:pStyle w:val="FootnoteText"/>
        <w:tabs>
          <w:tab w:val="left" w:pos="284"/>
        </w:tabs>
        <w:spacing w:before="0" w:line="200" w:lineRule="exact"/>
        <w:ind w:left="0" w:right="-341" w:firstLine="0"/>
        <w:rPr>
          <w:rFonts w:cs="Segoe UI"/>
          <w:szCs w:val="16"/>
        </w:rPr>
      </w:pPr>
      <w:r w:rsidRPr="003F5295">
        <w:rPr>
          <w:rStyle w:val="FootnoteReference"/>
          <w:rFonts w:cs="Segoe UI"/>
          <w:szCs w:val="16"/>
        </w:rPr>
        <w:footnoteRef/>
      </w:r>
      <w:r w:rsidRPr="003F5295">
        <w:rPr>
          <w:rFonts w:cs="Segoe UI"/>
          <w:szCs w:val="16"/>
        </w:rPr>
        <w:t xml:space="preserve"> </w:t>
      </w:r>
      <w:r w:rsidRPr="003F5295">
        <w:rPr>
          <w:rFonts w:cs="Segoe UI"/>
          <w:szCs w:val="16"/>
        </w:rPr>
        <w:tab/>
        <w:t>To avoid doubt, any expected cash outflows arising from the redemption of asset-backed securities, covered bonds or other structured financial instruments issued by the category 1 institution within the LCR period are to be reported in row 12 instead.</w:t>
      </w:r>
    </w:p>
  </w:footnote>
  <w:footnote w:id="11">
    <w:p w14:paraId="190EB7B1" w14:textId="29B43232" w:rsidR="0069590C" w:rsidRPr="003F5295" w:rsidRDefault="0069590C" w:rsidP="003D6883">
      <w:pPr>
        <w:pStyle w:val="FootnoteText"/>
        <w:tabs>
          <w:tab w:val="left" w:pos="284"/>
        </w:tabs>
        <w:spacing w:before="0" w:line="200" w:lineRule="exact"/>
        <w:ind w:left="0" w:firstLine="0"/>
        <w:rPr>
          <w:rFonts w:cs="Segoe UI"/>
          <w:szCs w:val="16"/>
        </w:rPr>
      </w:pPr>
      <w:r w:rsidRPr="003F5295">
        <w:rPr>
          <w:rStyle w:val="FootnoteReference"/>
          <w:rFonts w:cs="Segoe UI"/>
          <w:szCs w:val="16"/>
        </w:rPr>
        <w:footnoteRef/>
      </w:r>
      <w:r w:rsidRPr="003F5295">
        <w:rPr>
          <w:rFonts w:cs="Segoe UI"/>
          <w:szCs w:val="16"/>
        </w:rPr>
        <w:t xml:space="preserve"> </w:t>
      </w:r>
      <w:r w:rsidRPr="003F5295">
        <w:rPr>
          <w:rFonts w:cs="Segoe UI"/>
          <w:szCs w:val="16"/>
        </w:rPr>
        <w:tab/>
        <w:t>The 75% inflow cap is binding on a category 1 institution if its weighted amount of total expected cash inflows exceeds 75% of its weighted amount of total expected cash outflows, in which case the excess portion cannot be used to offset the weighted amount of total expected cash outflows</w:t>
      </w:r>
      <w:r>
        <w:rPr>
          <w:rFonts w:cs="Segoe UI"/>
          <w:szCs w:val="16"/>
        </w:rPr>
        <w:t>.</w:t>
      </w:r>
    </w:p>
  </w:footnote>
  <w:footnote w:id="12">
    <w:p w14:paraId="3E97F241" w14:textId="77777777" w:rsidR="0069590C" w:rsidRPr="001A7C28" w:rsidRDefault="0069590C" w:rsidP="001A7C28">
      <w:pPr>
        <w:pStyle w:val="FootnoteText"/>
        <w:widowControl w:val="0"/>
        <w:tabs>
          <w:tab w:val="clear" w:pos="397"/>
        </w:tabs>
        <w:snapToGrid w:val="0"/>
        <w:spacing w:before="0"/>
        <w:ind w:left="0" w:firstLine="0"/>
        <w:rPr>
          <w:rStyle w:val="FootnoteReference"/>
          <w:rFonts w:cs="Segoe UI"/>
          <w:sz w:val="22"/>
          <w:szCs w:val="22"/>
          <w:lang w:val="en-US" w:eastAsia="zh-TW"/>
        </w:rPr>
      </w:pPr>
      <w:r w:rsidRPr="00040896">
        <w:rPr>
          <w:rStyle w:val="FootnoteReference"/>
          <w:rFonts w:cs="Segoe UI"/>
          <w:szCs w:val="16"/>
          <w:lang w:val="en-US" w:eastAsia="zh-TW"/>
        </w:rPr>
        <w:footnoteRef/>
      </w:r>
      <w:r w:rsidRPr="001A7C28">
        <w:rPr>
          <w:rStyle w:val="FootnoteReference"/>
          <w:rFonts w:ascii="Calibri" w:hAnsi="Calibri" w:cs="Calibri"/>
          <w:sz w:val="22"/>
          <w:szCs w:val="22"/>
          <w:lang w:val="en-US" w:eastAsia="zh-TW"/>
        </w:rPr>
        <w:t xml:space="preserve"> </w:t>
      </w:r>
      <w:r w:rsidRPr="004711C8">
        <w:rPr>
          <w:rStyle w:val="FootnoteReference"/>
          <w:rFonts w:cs="Segoe UI"/>
          <w:szCs w:val="16"/>
          <w:vertAlign w:val="baseline"/>
          <w:lang w:val="en-US" w:eastAsia="zh-TW"/>
        </w:rPr>
        <w:t>For “SFTs” reported in columns (e) and (f), the collateral used is defined as referring to both legs of the transaction.  For example, an AI transfers securities to a third party, which in turn posts collateral to the AI.  The AI should report both legs of the transaction in the template; on one hand the collateral received is reported in column (e), on the other hand the collateral posted by the AI is reported in column (f).</w:t>
      </w:r>
    </w:p>
  </w:footnote>
  <w:footnote w:id="13">
    <w:p w14:paraId="66356CD8" w14:textId="4FDC25D5" w:rsidR="0069590C" w:rsidRPr="00DF2BE8" w:rsidRDefault="0069590C" w:rsidP="001A7C28">
      <w:pPr>
        <w:pStyle w:val="FootnoteText"/>
        <w:widowControl w:val="0"/>
        <w:tabs>
          <w:tab w:val="clear" w:pos="397"/>
        </w:tabs>
        <w:snapToGrid w:val="0"/>
        <w:spacing w:before="0"/>
        <w:ind w:left="0" w:firstLine="0"/>
        <w:rPr>
          <w:rStyle w:val="FootnoteReference"/>
          <w:rFonts w:cs="Segoe UI"/>
          <w:szCs w:val="16"/>
          <w:lang w:val="en-US" w:eastAsia="zh-TW"/>
        </w:rPr>
      </w:pPr>
      <w:r w:rsidRPr="00040896">
        <w:rPr>
          <w:rStyle w:val="FootnoteReference"/>
          <w:rFonts w:eastAsia="新細明體" w:cs="Segoe UI"/>
          <w:kern w:val="2"/>
          <w:szCs w:val="16"/>
          <w:lang w:val="en-US" w:eastAsia="zh-TW"/>
        </w:rPr>
        <w:footnoteRef/>
      </w:r>
      <w:r w:rsidRPr="001A7C28">
        <w:rPr>
          <w:rStyle w:val="FootnoteReference"/>
          <w:rFonts w:eastAsia="新細明體" w:cs="Segoe UI"/>
          <w:kern w:val="2"/>
          <w:sz w:val="22"/>
          <w:szCs w:val="22"/>
          <w:lang w:val="en-US" w:eastAsia="zh-TW"/>
        </w:rPr>
        <w:t xml:space="preserve"> </w:t>
      </w:r>
      <w:r w:rsidR="00CE1469">
        <w:rPr>
          <w:rStyle w:val="FootnoteReference"/>
          <w:rFonts w:cs="Segoe UI"/>
          <w:szCs w:val="16"/>
          <w:vertAlign w:val="baseline"/>
          <w:lang w:val="en-US" w:eastAsia="zh-TW"/>
        </w:rPr>
        <w:t>”D</w:t>
      </w:r>
      <w:r w:rsidRPr="004711C8">
        <w:rPr>
          <w:rStyle w:val="FootnoteReference"/>
          <w:rFonts w:cs="Segoe UI"/>
          <w:szCs w:val="16"/>
          <w:vertAlign w:val="baseline"/>
          <w:lang w:val="en-US" w:eastAsia="zh-TW"/>
        </w:rPr>
        <w:t xml:space="preserve">omestic currency” refers to the AI’s reporting currency (not the currency / currencies in which the derivative contract or SFT is denominated). </w:t>
      </w:r>
    </w:p>
  </w:footnote>
  <w:footnote w:id="14">
    <w:p w14:paraId="4869BCAA" w14:textId="77777777" w:rsidR="0069590C" w:rsidRPr="00804342" w:rsidRDefault="0069590C" w:rsidP="00804342">
      <w:pPr>
        <w:pStyle w:val="FootnoteText"/>
        <w:widowControl w:val="0"/>
        <w:tabs>
          <w:tab w:val="clear" w:pos="397"/>
        </w:tabs>
        <w:snapToGrid w:val="0"/>
        <w:spacing w:before="0"/>
        <w:ind w:left="0" w:firstLine="0"/>
        <w:rPr>
          <w:rStyle w:val="FootnoteReference"/>
          <w:rFonts w:asciiTheme="minorHAnsi" w:eastAsiaTheme="minorEastAsia" w:hAnsiTheme="minorHAnsi" w:cstheme="minorHAnsi"/>
          <w:kern w:val="2"/>
          <w:vertAlign w:val="baseline"/>
          <w:lang w:val="en-US" w:eastAsia="zh-TW"/>
        </w:rPr>
      </w:pPr>
      <w:r w:rsidRPr="00DF2BE8">
        <w:rPr>
          <w:rStyle w:val="FootnoteReference"/>
          <w:rFonts w:eastAsiaTheme="minorEastAsia" w:cs="Segoe UI"/>
          <w:kern w:val="2"/>
          <w:szCs w:val="16"/>
          <w:lang w:val="en-US" w:eastAsia="zh-TW"/>
        </w:rPr>
        <w:footnoteRef/>
      </w:r>
      <w:r w:rsidRPr="00DF2BE8">
        <w:rPr>
          <w:rStyle w:val="FootnoteReference"/>
          <w:rFonts w:eastAsiaTheme="minorEastAsia" w:cs="Segoe UI"/>
          <w:kern w:val="2"/>
          <w:szCs w:val="16"/>
          <w:lang w:val="en-US" w:eastAsia="zh-TW"/>
        </w:rPr>
        <w:t xml:space="preserve"> </w:t>
      </w:r>
      <w:r w:rsidRPr="00DF2BE8">
        <w:rPr>
          <w:rStyle w:val="FootnoteReference"/>
          <w:rFonts w:eastAsiaTheme="minorEastAsia" w:cs="Segoe UI"/>
          <w:kern w:val="2"/>
          <w:szCs w:val="16"/>
          <w:vertAlign w:val="baseline"/>
          <w:lang w:val="en-US" w:eastAsia="zh-TW"/>
        </w:rPr>
        <w:t>“Clearing client” here may mean a direct client, or an indirect client within a multi-level client structure, as applicable.  These terms have the meaning given by the BCR.</w:t>
      </w:r>
    </w:p>
  </w:footnote>
  <w:footnote w:id="15">
    <w:p w14:paraId="255E9F8D" w14:textId="77777777" w:rsidR="0069590C" w:rsidRDefault="0069590C" w:rsidP="006B3FEF">
      <w:pPr>
        <w:pStyle w:val="FootnoteText"/>
        <w:tabs>
          <w:tab w:val="clear" w:pos="397"/>
        </w:tabs>
        <w:snapToGrid w:val="0"/>
        <w:spacing w:before="0"/>
        <w:ind w:left="0" w:firstLine="0"/>
      </w:pPr>
      <w:r>
        <w:rPr>
          <w:rStyle w:val="FootnoteReference"/>
        </w:rPr>
        <w:footnoteRef/>
      </w:r>
      <w:r>
        <w:t xml:space="preserve"> For clarity, “originator” has the meaning given by Part 7 of the BCR, which includes a person who serves as a sponsor of an ABCP programme or a programme with similar features.</w:t>
      </w:r>
    </w:p>
  </w:footnote>
  <w:footnote w:id="16">
    <w:p w14:paraId="1D5975D9" w14:textId="77777777" w:rsidR="0069590C" w:rsidRDefault="0069590C" w:rsidP="00AB074C">
      <w:pPr>
        <w:pStyle w:val="FootnoteText"/>
        <w:tabs>
          <w:tab w:val="clear" w:pos="397"/>
        </w:tabs>
        <w:snapToGrid w:val="0"/>
        <w:spacing w:before="0"/>
        <w:ind w:left="0" w:firstLine="0"/>
      </w:pPr>
      <w:r>
        <w:rPr>
          <w:rStyle w:val="FootnoteReference"/>
        </w:rPr>
        <w:footnoteRef/>
      </w:r>
      <w:r>
        <w:t xml:space="preserve"> Capital charges after cap in columns (n) to (q) will refer to capital charges after application of the caps on risk-weights for senior exposures and maximum capital charge under Part 7 of the BCR.</w:t>
      </w:r>
    </w:p>
  </w:footnote>
  <w:footnote w:id="17">
    <w:p w14:paraId="1E091952" w14:textId="77777777" w:rsidR="0069590C" w:rsidRDefault="0069590C" w:rsidP="00AB074C">
      <w:pPr>
        <w:pStyle w:val="FootnoteText"/>
        <w:tabs>
          <w:tab w:val="clear" w:pos="397"/>
        </w:tabs>
        <w:snapToGrid w:val="0"/>
        <w:spacing w:before="0"/>
        <w:ind w:left="0" w:firstLine="0"/>
      </w:pPr>
      <w:r>
        <w:rPr>
          <w:rStyle w:val="FootnoteReference"/>
        </w:rPr>
        <w:footnoteRef/>
      </w:r>
      <w:r>
        <w:t xml:space="preserve"> Capital charges after cap in columns (n) to (q) will refer to capital charges after application of the caps on risk-weights for senior exposures and maximum capital charge under Part 7 of the BCR.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4E49BC" w14:textId="77777777" w:rsidR="0069590C" w:rsidRDefault="006959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5B6C2" w14:textId="77777777" w:rsidR="0069590C" w:rsidRDefault="006959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F2690" w14:textId="77777777" w:rsidR="0069590C" w:rsidRDefault="0069590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17C9CC" w14:textId="77777777" w:rsidR="0069590C" w:rsidRDefault="0069590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53089" w14:textId="77777777" w:rsidR="0069590C" w:rsidRDefault="0069590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CE720" w14:textId="77777777" w:rsidR="0069590C" w:rsidRDefault="0069590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40147" w14:textId="77777777" w:rsidR="0069590C" w:rsidRDefault="0069590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40319" w14:textId="77777777" w:rsidR="0069590C" w:rsidRDefault="0069590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DDC53" w14:textId="77777777" w:rsidR="0069590C" w:rsidRDefault="0069590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F5CF7" w14:textId="77777777" w:rsidR="0069590C" w:rsidRPr="00F36443" w:rsidRDefault="0069590C" w:rsidP="00A54BE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94E83" w14:textId="77777777" w:rsidR="0069590C" w:rsidRDefault="0069590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12F23" w14:textId="77777777" w:rsidR="0069590C" w:rsidRDefault="0069590C">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D6ECC" w14:textId="77777777" w:rsidR="0069590C" w:rsidRDefault="0069590C">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26B80" w14:textId="77777777" w:rsidR="0069590C" w:rsidRDefault="0069590C">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981747" w14:textId="77777777" w:rsidR="0069590C" w:rsidRDefault="0069590C">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82BDA" w14:textId="77777777" w:rsidR="0069590C" w:rsidRDefault="0069590C">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47FFE" w14:textId="77777777" w:rsidR="0069590C" w:rsidRDefault="0069590C">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1797F" w14:textId="77777777" w:rsidR="0069590C" w:rsidRDefault="0069590C">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568F2" w14:textId="77777777" w:rsidR="0069590C" w:rsidRDefault="0069590C">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6C9085" w14:textId="77777777" w:rsidR="0069590C" w:rsidRDefault="0069590C">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DB6C3" w14:textId="77777777" w:rsidR="0069590C" w:rsidRDefault="0069590C">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6BE43" w14:textId="77777777" w:rsidR="0069590C" w:rsidRDefault="0069590C">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C2F12" w14:textId="77777777" w:rsidR="0069590C" w:rsidRDefault="0069590C">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11298" w14:textId="77777777" w:rsidR="0069590C" w:rsidRDefault="0069590C">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3E177" w14:textId="77777777" w:rsidR="0069590C" w:rsidRDefault="006959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95A98"/>
    <w:multiLevelType w:val="hybridMultilevel"/>
    <w:tmpl w:val="46E06164"/>
    <w:lvl w:ilvl="0" w:tplc="6706C998">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46412D"/>
    <w:multiLevelType w:val="hybridMultilevel"/>
    <w:tmpl w:val="91F85D8A"/>
    <w:lvl w:ilvl="0" w:tplc="A51C8C86">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B7175A"/>
    <w:multiLevelType w:val="hybridMultilevel"/>
    <w:tmpl w:val="F36642CE"/>
    <w:lvl w:ilvl="0" w:tplc="E18065E2">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4E7A49"/>
    <w:multiLevelType w:val="hybridMultilevel"/>
    <w:tmpl w:val="36108556"/>
    <w:lvl w:ilvl="0" w:tplc="DD5A4066">
      <w:start w:val="1"/>
      <w:numFmt w:val="bullet"/>
      <w:lvlText w:val="•"/>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991118"/>
    <w:multiLevelType w:val="multilevel"/>
    <w:tmpl w:val="0F8E0458"/>
    <w:lvl w:ilvl="0">
      <w:start w:val="1"/>
      <w:numFmt w:val="upperRoman"/>
      <w:lvlText w:val="%1."/>
      <w:lvlJc w:val="left"/>
      <w:pPr>
        <w:ind w:left="851" w:hanging="851"/>
      </w:pPr>
      <w:rPr>
        <w:rFonts w:hint="eastAsia"/>
        <w:b/>
        <w:i w:val="0"/>
        <w:color w:val="7030A0"/>
      </w:rPr>
    </w:lvl>
    <w:lvl w:ilvl="1">
      <w:start w:val="1"/>
      <w:numFmt w:val="lowerRoman"/>
      <w:pStyle w:val="StyleDDIs2LatinBodyCalibriAsianBodyAsian"/>
      <w:lvlText w:val="%1(%2)"/>
      <w:lvlJc w:val="left"/>
      <w:pPr>
        <w:ind w:left="2382" w:hanging="964"/>
      </w:pPr>
      <w:rPr>
        <w:rFonts w:ascii="Times New Roman" w:hAnsi="Times New Roman" w:cs="Times New Roman" w:hint="default"/>
        <w:b/>
        <w:i w:val="0"/>
      </w:rPr>
    </w:lvl>
    <w:lvl w:ilvl="2">
      <w:start w:val="1"/>
      <w:numFmt w:val="decimal"/>
      <w:lvlRestart w:val="0"/>
      <w:lvlText w:val="Item %3."/>
      <w:lvlJc w:val="left"/>
      <w:pPr>
        <w:ind w:left="1844" w:hanging="1134"/>
      </w:pPr>
      <w:rPr>
        <w:rFonts w:hint="eastAsia"/>
        <w:b/>
        <w:i w:val="0"/>
      </w:rPr>
    </w:lvl>
    <w:lvl w:ilvl="3">
      <w:start w:val="1"/>
      <w:numFmt w:val="decimal"/>
      <w:lvlRestart w:val="0"/>
      <w:lvlText w:val="Item %4."/>
      <w:lvlJc w:val="left"/>
      <w:pPr>
        <w:ind w:left="2268" w:hanging="1134"/>
      </w:pPr>
      <w:rPr>
        <w:rFonts w:hint="eastAsia"/>
        <w:b/>
        <w:i w:val="0"/>
        <w:color w:val="auto"/>
      </w:rPr>
    </w:lvl>
    <w:lvl w:ilvl="4">
      <w:start w:val="1"/>
      <w:numFmt w:val="decimal"/>
      <w:lvlText w:val="(%5)"/>
      <w:lvlJc w:val="left"/>
      <w:pPr>
        <w:ind w:left="567" w:hanging="567"/>
      </w:pPr>
      <w:rPr>
        <w:rFonts w:ascii="Times New Roman" w:hAnsi="Times New Roman" w:cs="Times New Roman" w:hint="eastAsia"/>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5">
      <w:start w:val="1"/>
      <w:numFmt w:val="lowerLetter"/>
      <w:pStyle w:val="StyleDDIs2LatinBodyCalibriAsianBodyAsian"/>
      <w:lvlText w:val="(%6)"/>
      <w:lvlJc w:val="left"/>
      <w:pPr>
        <w:ind w:left="567" w:hanging="567"/>
      </w:pPr>
      <w:rPr>
        <w:rFonts w:ascii="Times New Roman" w:hAnsi="Times New Roman" w:cs="Times New Roman" w:hint="eastAsia"/>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6">
      <w:start w:val="1"/>
      <w:numFmt w:val="lowerRoman"/>
      <w:lvlText w:val="(%7)"/>
      <w:lvlJc w:val="left"/>
      <w:pPr>
        <w:ind w:left="1134" w:hanging="567"/>
      </w:pPr>
      <w:rPr>
        <w:rFonts w:ascii="Times New Roman" w:hAnsi="Times New Roman" w:hint="default"/>
        <w:b w:val="0"/>
        <w:i w:val="0"/>
        <w:color w:val="auto"/>
        <w:sz w:val="24"/>
        <w:vertAlign w:val="baseline"/>
      </w:rPr>
    </w:lvl>
    <w:lvl w:ilvl="7">
      <w:start w:val="1"/>
      <w:numFmt w:val="upperLetter"/>
      <w:lvlText w:val="(%8)"/>
      <w:lvlJc w:val="left"/>
      <w:pPr>
        <w:ind w:left="1701" w:hanging="567"/>
      </w:pPr>
      <w:rPr>
        <w:rFonts w:hint="eastAsia"/>
        <w:b w:val="0"/>
        <w:i w:val="0"/>
      </w:rPr>
    </w:lvl>
    <w:lvl w:ilvl="8">
      <w:start w:val="1"/>
      <w:numFmt w:val="upperRoman"/>
      <w:lvlText w:val="(%9)"/>
      <w:lvlJc w:val="left"/>
      <w:pPr>
        <w:tabs>
          <w:tab w:val="num" w:pos="2778"/>
        </w:tabs>
        <w:ind w:left="2268" w:hanging="567"/>
      </w:pPr>
      <w:rPr>
        <w:rFonts w:hint="eastAsia"/>
      </w:rPr>
    </w:lvl>
  </w:abstractNum>
  <w:abstractNum w:abstractNumId="5" w15:restartNumberingAfterBreak="0">
    <w:nsid w:val="0E79701C"/>
    <w:multiLevelType w:val="hybridMultilevel"/>
    <w:tmpl w:val="2574370E"/>
    <w:lvl w:ilvl="0" w:tplc="E7C6201C">
      <w:start w:val="1"/>
      <w:numFmt w:val="lowerRoman"/>
      <w:lvlText w:val="(%1)"/>
      <w:lvlJc w:val="left"/>
      <w:pPr>
        <w:ind w:left="1120" w:hanging="720"/>
      </w:pPr>
      <w:rPr>
        <w:rFonts w:hint="default"/>
      </w:rPr>
    </w:lvl>
    <w:lvl w:ilvl="1" w:tplc="04090019" w:tentative="1">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6" w15:restartNumberingAfterBreak="0">
    <w:nsid w:val="0F002F88"/>
    <w:multiLevelType w:val="hybridMultilevel"/>
    <w:tmpl w:val="35E29C5A"/>
    <w:lvl w:ilvl="0" w:tplc="C9766C4E">
      <w:start w:val="1"/>
      <w:numFmt w:val="lowerRoman"/>
      <w:lvlText w:val="(%1)"/>
      <w:lvlJc w:val="left"/>
      <w:pPr>
        <w:ind w:left="-206" w:hanging="360"/>
      </w:pPr>
      <w:rPr>
        <w:rFonts w:hint="eastAsia"/>
        <w:i/>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7" w15:restartNumberingAfterBreak="0">
    <w:nsid w:val="1031647E"/>
    <w:multiLevelType w:val="hybridMultilevel"/>
    <w:tmpl w:val="5D004954"/>
    <w:lvl w:ilvl="0" w:tplc="F76EF6A4">
      <w:start w:val="1"/>
      <w:numFmt w:val="lowerRoman"/>
      <w:lvlText w:val="(%1)"/>
      <w:lvlJc w:val="left"/>
      <w:pPr>
        <w:ind w:left="480" w:hanging="480"/>
      </w:pPr>
      <w:rPr>
        <w:rFonts w:hint="default"/>
        <w:i w:val="0"/>
        <w:sz w:val="16"/>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EF4487"/>
    <w:multiLevelType w:val="hybridMultilevel"/>
    <w:tmpl w:val="6944E1AA"/>
    <w:lvl w:ilvl="0" w:tplc="C158FDD2">
      <w:start w:val="1"/>
      <w:numFmt w:val="lowerRoman"/>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5DB2C26"/>
    <w:multiLevelType w:val="hybridMultilevel"/>
    <w:tmpl w:val="34BA2B44"/>
    <w:lvl w:ilvl="0" w:tplc="C90427C8">
      <w:start w:val="1"/>
      <w:numFmt w:val="decimal"/>
      <w:lvlText w:val="%1"/>
      <w:lvlJc w:val="left"/>
      <w:pPr>
        <w:ind w:left="360" w:hanging="360"/>
      </w:pPr>
      <w:rPr>
        <w:rFonts w:hint="eastAsia"/>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8CD2F08"/>
    <w:multiLevelType w:val="hybridMultilevel"/>
    <w:tmpl w:val="94ECD124"/>
    <w:lvl w:ilvl="0" w:tplc="36826600">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C257CCA"/>
    <w:multiLevelType w:val="hybridMultilevel"/>
    <w:tmpl w:val="32D44C62"/>
    <w:lvl w:ilvl="0" w:tplc="0966F6B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DF872F6"/>
    <w:multiLevelType w:val="hybridMultilevel"/>
    <w:tmpl w:val="DCA2C10C"/>
    <w:lvl w:ilvl="0" w:tplc="5CE2D70E">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E8C29D3"/>
    <w:multiLevelType w:val="hybridMultilevel"/>
    <w:tmpl w:val="EA0C602C"/>
    <w:lvl w:ilvl="0" w:tplc="FCC4A83A">
      <w:start w:val="1"/>
      <w:numFmt w:val="lowerRoman"/>
      <w:lvlText w:val="(%1)"/>
      <w:lvlJc w:val="left"/>
      <w:pPr>
        <w:ind w:left="-206" w:hanging="360"/>
      </w:pPr>
      <w:rPr>
        <w:rFonts w:hint="eastAsia"/>
        <w:i/>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14" w15:restartNumberingAfterBreak="0">
    <w:nsid w:val="1ED03739"/>
    <w:multiLevelType w:val="hybridMultilevel"/>
    <w:tmpl w:val="9C18B1C4"/>
    <w:lvl w:ilvl="0" w:tplc="20BE64DA">
      <w:start w:val="1"/>
      <w:numFmt w:val="lowerRoman"/>
      <w:lvlText w:val="(%1)"/>
      <w:lvlJc w:val="left"/>
      <w:pPr>
        <w:ind w:left="720" w:hanging="720"/>
      </w:pPr>
      <w:rPr>
        <w:rFonts w:hint="default"/>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411E5F"/>
    <w:multiLevelType w:val="hybridMultilevel"/>
    <w:tmpl w:val="2574370E"/>
    <w:lvl w:ilvl="0" w:tplc="E7C6201C">
      <w:start w:val="1"/>
      <w:numFmt w:val="lowerRoman"/>
      <w:lvlText w:val="(%1)"/>
      <w:lvlJc w:val="left"/>
      <w:pPr>
        <w:ind w:left="1120" w:hanging="720"/>
      </w:pPr>
      <w:rPr>
        <w:rFonts w:hint="default"/>
      </w:rPr>
    </w:lvl>
    <w:lvl w:ilvl="1" w:tplc="04090019" w:tentative="1">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16" w15:restartNumberingAfterBreak="0">
    <w:nsid w:val="2381567F"/>
    <w:multiLevelType w:val="hybridMultilevel"/>
    <w:tmpl w:val="95A68436"/>
    <w:lvl w:ilvl="0" w:tplc="08090015">
      <w:start w:val="1"/>
      <w:numFmt w:val="upperLetter"/>
      <w:lvlText w:val="%1."/>
      <w:lvlJc w:val="left"/>
      <w:pPr>
        <w:ind w:left="-206" w:hanging="360"/>
      </w:pPr>
      <w:rPr>
        <w:rFonts w:hint="default"/>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17" w15:restartNumberingAfterBreak="0">
    <w:nsid w:val="24E04C4A"/>
    <w:multiLevelType w:val="hybridMultilevel"/>
    <w:tmpl w:val="B888CFA4"/>
    <w:lvl w:ilvl="0" w:tplc="C158FDD2">
      <w:start w:val="1"/>
      <w:numFmt w:val="lowerRoman"/>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4FE4F3A"/>
    <w:multiLevelType w:val="hybridMultilevel"/>
    <w:tmpl w:val="E5F4694C"/>
    <w:lvl w:ilvl="0" w:tplc="C9D8E75A">
      <w:numFmt w:val="bullet"/>
      <w:lvlText w:val="-"/>
      <w:lvlJc w:val="left"/>
      <w:pPr>
        <w:ind w:left="465" w:hanging="360"/>
      </w:pPr>
      <w:rPr>
        <w:rFonts w:ascii="Segoe UI" w:eastAsia="Times New Roman" w:hAnsi="Segoe UI" w:cs="Segoe UI"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abstractNum w:abstractNumId="19" w15:restartNumberingAfterBreak="0">
    <w:nsid w:val="25154C1A"/>
    <w:multiLevelType w:val="hybridMultilevel"/>
    <w:tmpl w:val="11647B34"/>
    <w:lvl w:ilvl="0" w:tplc="9A7C1A16">
      <w:start w:val="1"/>
      <w:numFmt w:val="decimal"/>
      <w:lvlText w:val="(%1)"/>
      <w:lvlJc w:val="left"/>
      <w:pPr>
        <w:ind w:left="1120" w:hanging="720"/>
      </w:pPr>
      <w:rPr>
        <w:rFonts w:hint="eastAsia"/>
      </w:rPr>
    </w:lvl>
    <w:lvl w:ilvl="1" w:tplc="04090019" w:tentative="1">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20" w15:restartNumberingAfterBreak="0">
    <w:nsid w:val="28A3414F"/>
    <w:multiLevelType w:val="hybridMultilevel"/>
    <w:tmpl w:val="627210EA"/>
    <w:lvl w:ilvl="0" w:tplc="DD5A406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1747668"/>
    <w:multiLevelType w:val="hybridMultilevel"/>
    <w:tmpl w:val="C02262AA"/>
    <w:lvl w:ilvl="0" w:tplc="C9766C4E">
      <w:start w:val="1"/>
      <w:numFmt w:val="lowerRoman"/>
      <w:lvlText w:val="(%1)"/>
      <w:lvlJc w:val="left"/>
      <w:pPr>
        <w:ind w:left="360" w:hanging="360"/>
      </w:pPr>
      <w:rPr>
        <w:rFonts w:hint="eastAsia"/>
        <w:i/>
        <w:sz w:val="17"/>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1CE75C3"/>
    <w:multiLevelType w:val="hybridMultilevel"/>
    <w:tmpl w:val="0996435E"/>
    <w:lvl w:ilvl="0" w:tplc="0966F6B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33186387"/>
    <w:multiLevelType w:val="hybridMultilevel"/>
    <w:tmpl w:val="C5EECB72"/>
    <w:lvl w:ilvl="0" w:tplc="CFFEFE78">
      <w:start w:val="1"/>
      <w:numFmt w:val="bullet"/>
      <w:lvlText w:val=""/>
      <w:lvlJc w:val="left"/>
      <w:pPr>
        <w:ind w:left="360" w:hanging="360"/>
      </w:pPr>
      <w:rPr>
        <w:rFonts w:ascii="Wingdings" w:eastAsia="Times New Roman"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339D4542"/>
    <w:multiLevelType w:val="hybridMultilevel"/>
    <w:tmpl w:val="1A581B70"/>
    <w:lvl w:ilvl="0" w:tplc="F76EF6A4">
      <w:start w:val="1"/>
      <w:numFmt w:val="lowerRoman"/>
      <w:lvlText w:val="(%1)"/>
      <w:lvlJc w:val="left"/>
      <w:pPr>
        <w:ind w:left="1080" w:hanging="720"/>
      </w:pPr>
      <w:rPr>
        <w:rFonts w:hint="default"/>
        <w:i w:val="0"/>
        <w:sz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3D82505"/>
    <w:multiLevelType w:val="hybridMultilevel"/>
    <w:tmpl w:val="73B08AF4"/>
    <w:lvl w:ilvl="0" w:tplc="9EBAF35A">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4A2638A"/>
    <w:multiLevelType w:val="hybridMultilevel"/>
    <w:tmpl w:val="C71871AE"/>
    <w:lvl w:ilvl="0" w:tplc="08090001">
      <w:start w:val="1"/>
      <w:numFmt w:val="bullet"/>
      <w:lvlText w:val=""/>
      <w:lvlJc w:val="left"/>
      <w:pPr>
        <w:ind w:left="720" w:hanging="720"/>
      </w:pPr>
      <w:rPr>
        <w:rFonts w:ascii="Symbol" w:hAnsi="Symbo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4BB17B9"/>
    <w:multiLevelType w:val="hybridMultilevel"/>
    <w:tmpl w:val="9D3A3194"/>
    <w:lvl w:ilvl="0" w:tplc="C158FDD2">
      <w:start w:val="1"/>
      <w:numFmt w:val="lowerRoman"/>
      <w:lvlText w:val="(%1)"/>
      <w:lvlJc w:val="left"/>
      <w:pPr>
        <w:tabs>
          <w:tab w:val="num" w:pos="851"/>
        </w:tabs>
        <w:ind w:left="851" w:hanging="851"/>
      </w:pPr>
      <w:rPr>
        <w:rFonts w:hint="eastAsia"/>
        <w:color w:val="auto"/>
      </w:rPr>
    </w:lvl>
    <w:lvl w:ilvl="1" w:tplc="B602E818">
      <w:start w:val="1"/>
      <w:numFmt w:val="bullet"/>
      <w:lvlText w:val="–"/>
      <w:lvlJc w:val="left"/>
      <w:pPr>
        <w:tabs>
          <w:tab w:val="num" w:pos="851"/>
        </w:tabs>
        <w:ind w:left="851" w:hanging="851"/>
      </w:pPr>
      <w:rPr>
        <w:rFonts w:ascii="Arial" w:hAnsi="Arial"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50C55C9"/>
    <w:multiLevelType w:val="hybridMultilevel"/>
    <w:tmpl w:val="8B466686"/>
    <w:lvl w:ilvl="0" w:tplc="DD5A406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358C71D8"/>
    <w:multiLevelType w:val="hybridMultilevel"/>
    <w:tmpl w:val="62F6E64C"/>
    <w:lvl w:ilvl="0" w:tplc="C158FDD2">
      <w:start w:val="1"/>
      <w:numFmt w:val="lowerRoman"/>
      <w:lvlText w:val="(%1)"/>
      <w:lvlJc w:val="left"/>
      <w:pPr>
        <w:ind w:left="480" w:hanging="480"/>
      </w:pPr>
      <w:rPr>
        <w:rFonts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38DE4F8F"/>
    <w:multiLevelType w:val="hybridMultilevel"/>
    <w:tmpl w:val="0D6AE26E"/>
    <w:lvl w:ilvl="0" w:tplc="0809000F">
      <w:start w:val="1"/>
      <w:numFmt w:val="decimal"/>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A2F6DE0"/>
    <w:multiLevelType w:val="hybridMultilevel"/>
    <w:tmpl w:val="C89EDF10"/>
    <w:lvl w:ilvl="0" w:tplc="C158FDD2">
      <w:start w:val="1"/>
      <w:numFmt w:val="lowerRoman"/>
      <w:lvlText w:val="(%1)"/>
      <w:lvlJc w:val="left"/>
      <w:pPr>
        <w:ind w:left="417" w:hanging="360"/>
      </w:pPr>
      <w:rPr>
        <w:rFonts w:hint="eastAsia"/>
        <w:sz w:val="17"/>
      </w:rPr>
    </w:lvl>
    <w:lvl w:ilvl="1" w:tplc="04090019" w:tentative="1">
      <w:start w:val="1"/>
      <w:numFmt w:val="ideographTraditional"/>
      <w:lvlText w:val="%2、"/>
      <w:lvlJc w:val="left"/>
      <w:pPr>
        <w:ind w:left="1017" w:hanging="480"/>
      </w:pPr>
    </w:lvl>
    <w:lvl w:ilvl="2" w:tplc="0409001B" w:tentative="1">
      <w:start w:val="1"/>
      <w:numFmt w:val="lowerRoman"/>
      <w:lvlText w:val="%3."/>
      <w:lvlJc w:val="right"/>
      <w:pPr>
        <w:ind w:left="1497" w:hanging="480"/>
      </w:pPr>
    </w:lvl>
    <w:lvl w:ilvl="3" w:tplc="0409000F" w:tentative="1">
      <w:start w:val="1"/>
      <w:numFmt w:val="decimal"/>
      <w:lvlText w:val="%4."/>
      <w:lvlJc w:val="left"/>
      <w:pPr>
        <w:ind w:left="1977" w:hanging="480"/>
      </w:pPr>
    </w:lvl>
    <w:lvl w:ilvl="4" w:tplc="04090019" w:tentative="1">
      <w:start w:val="1"/>
      <w:numFmt w:val="ideographTraditional"/>
      <w:lvlText w:val="%5、"/>
      <w:lvlJc w:val="left"/>
      <w:pPr>
        <w:ind w:left="2457" w:hanging="480"/>
      </w:pPr>
    </w:lvl>
    <w:lvl w:ilvl="5" w:tplc="0409001B" w:tentative="1">
      <w:start w:val="1"/>
      <w:numFmt w:val="lowerRoman"/>
      <w:lvlText w:val="%6."/>
      <w:lvlJc w:val="right"/>
      <w:pPr>
        <w:ind w:left="2937" w:hanging="480"/>
      </w:pPr>
    </w:lvl>
    <w:lvl w:ilvl="6" w:tplc="0409000F" w:tentative="1">
      <w:start w:val="1"/>
      <w:numFmt w:val="decimal"/>
      <w:lvlText w:val="%7."/>
      <w:lvlJc w:val="left"/>
      <w:pPr>
        <w:ind w:left="3417" w:hanging="480"/>
      </w:pPr>
    </w:lvl>
    <w:lvl w:ilvl="7" w:tplc="04090019" w:tentative="1">
      <w:start w:val="1"/>
      <w:numFmt w:val="ideographTraditional"/>
      <w:lvlText w:val="%8、"/>
      <w:lvlJc w:val="left"/>
      <w:pPr>
        <w:ind w:left="3897" w:hanging="480"/>
      </w:pPr>
    </w:lvl>
    <w:lvl w:ilvl="8" w:tplc="0409001B" w:tentative="1">
      <w:start w:val="1"/>
      <w:numFmt w:val="lowerRoman"/>
      <w:lvlText w:val="%9."/>
      <w:lvlJc w:val="right"/>
      <w:pPr>
        <w:ind w:left="4377" w:hanging="480"/>
      </w:pPr>
    </w:lvl>
  </w:abstractNum>
  <w:abstractNum w:abstractNumId="32" w15:restartNumberingAfterBreak="0">
    <w:nsid w:val="3BDF1F56"/>
    <w:multiLevelType w:val="hybridMultilevel"/>
    <w:tmpl w:val="D22EC2DC"/>
    <w:lvl w:ilvl="0" w:tplc="06F6715A">
      <w:start w:val="1"/>
      <w:numFmt w:val="lowerRoman"/>
      <w:lvlText w:val="(%1)"/>
      <w:lvlJc w:val="left"/>
      <w:pPr>
        <w:ind w:left="720" w:hanging="720"/>
      </w:pPr>
      <w:rPr>
        <w:rFonts w:hint="default"/>
      </w:rPr>
    </w:lvl>
    <w:lvl w:ilvl="1" w:tplc="08090001">
      <w:start w:val="1"/>
      <w:numFmt w:val="bullet"/>
      <w:lvlText w:val=""/>
      <w:lvlJc w:val="left"/>
      <w:pPr>
        <w:ind w:left="960" w:hanging="480"/>
      </w:pPr>
      <w:rPr>
        <w:rFonts w:ascii="Symbol" w:hAnsi="Symbol"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CA67095"/>
    <w:multiLevelType w:val="hybridMultilevel"/>
    <w:tmpl w:val="A48CF78C"/>
    <w:lvl w:ilvl="0" w:tplc="C158FDD2">
      <w:start w:val="1"/>
      <w:numFmt w:val="lowerRoman"/>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D0A76E4"/>
    <w:multiLevelType w:val="hybridMultilevel"/>
    <w:tmpl w:val="38D80458"/>
    <w:lvl w:ilvl="0" w:tplc="9330068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F584E22"/>
    <w:multiLevelType w:val="hybridMultilevel"/>
    <w:tmpl w:val="43568C3C"/>
    <w:lvl w:ilvl="0" w:tplc="C158FDD2">
      <w:start w:val="1"/>
      <w:numFmt w:val="lowerRoman"/>
      <w:lvlText w:val="(%1)"/>
      <w:lvlJc w:val="left"/>
      <w:pPr>
        <w:ind w:left="154" w:hanging="720"/>
      </w:pPr>
      <w:rPr>
        <w:rFonts w:hint="eastAsia"/>
        <w:b w:val="0"/>
        <w:i w:val="0"/>
        <w:color w:val="000000"/>
        <w:sz w:val="17"/>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36" w15:restartNumberingAfterBreak="0">
    <w:nsid w:val="42992195"/>
    <w:multiLevelType w:val="hybridMultilevel"/>
    <w:tmpl w:val="B14EA0EC"/>
    <w:lvl w:ilvl="0" w:tplc="DD56F0BA">
      <w:start w:val="1"/>
      <w:numFmt w:val="lowerRoman"/>
      <w:lvlText w:val="(%1)"/>
      <w:lvlJc w:val="left"/>
      <w:pPr>
        <w:ind w:left="724" w:hanging="720"/>
      </w:pPr>
      <w:rPr>
        <w:rFonts w:eastAsia="新細明體" w:cs="Segoe UI" w:hint="default"/>
        <w:color w:val="000000"/>
      </w:rPr>
    </w:lvl>
    <w:lvl w:ilvl="1" w:tplc="04090019" w:tentative="1">
      <w:start w:val="1"/>
      <w:numFmt w:val="ideographTraditional"/>
      <w:lvlText w:val="%2、"/>
      <w:lvlJc w:val="left"/>
      <w:pPr>
        <w:ind w:left="964" w:hanging="480"/>
      </w:pPr>
    </w:lvl>
    <w:lvl w:ilvl="2" w:tplc="0409001B" w:tentative="1">
      <w:start w:val="1"/>
      <w:numFmt w:val="lowerRoman"/>
      <w:lvlText w:val="%3."/>
      <w:lvlJc w:val="right"/>
      <w:pPr>
        <w:ind w:left="1444" w:hanging="480"/>
      </w:pPr>
    </w:lvl>
    <w:lvl w:ilvl="3" w:tplc="0409000F" w:tentative="1">
      <w:start w:val="1"/>
      <w:numFmt w:val="decimal"/>
      <w:lvlText w:val="%4."/>
      <w:lvlJc w:val="left"/>
      <w:pPr>
        <w:ind w:left="1924" w:hanging="480"/>
      </w:pPr>
    </w:lvl>
    <w:lvl w:ilvl="4" w:tplc="04090019" w:tentative="1">
      <w:start w:val="1"/>
      <w:numFmt w:val="ideographTraditional"/>
      <w:lvlText w:val="%5、"/>
      <w:lvlJc w:val="left"/>
      <w:pPr>
        <w:ind w:left="2404" w:hanging="480"/>
      </w:pPr>
    </w:lvl>
    <w:lvl w:ilvl="5" w:tplc="0409001B" w:tentative="1">
      <w:start w:val="1"/>
      <w:numFmt w:val="lowerRoman"/>
      <w:lvlText w:val="%6."/>
      <w:lvlJc w:val="right"/>
      <w:pPr>
        <w:ind w:left="2884" w:hanging="480"/>
      </w:pPr>
    </w:lvl>
    <w:lvl w:ilvl="6" w:tplc="0409000F" w:tentative="1">
      <w:start w:val="1"/>
      <w:numFmt w:val="decimal"/>
      <w:lvlText w:val="%7."/>
      <w:lvlJc w:val="left"/>
      <w:pPr>
        <w:ind w:left="3364" w:hanging="480"/>
      </w:pPr>
    </w:lvl>
    <w:lvl w:ilvl="7" w:tplc="04090019" w:tentative="1">
      <w:start w:val="1"/>
      <w:numFmt w:val="ideographTraditional"/>
      <w:lvlText w:val="%8、"/>
      <w:lvlJc w:val="left"/>
      <w:pPr>
        <w:ind w:left="3844" w:hanging="480"/>
      </w:pPr>
    </w:lvl>
    <w:lvl w:ilvl="8" w:tplc="0409001B" w:tentative="1">
      <w:start w:val="1"/>
      <w:numFmt w:val="lowerRoman"/>
      <w:lvlText w:val="%9."/>
      <w:lvlJc w:val="right"/>
      <w:pPr>
        <w:ind w:left="4324" w:hanging="480"/>
      </w:pPr>
    </w:lvl>
  </w:abstractNum>
  <w:abstractNum w:abstractNumId="37" w15:restartNumberingAfterBreak="0">
    <w:nsid w:val="42EF0385"/>
    <w:multiLevelType w:val="hybridMultilevel"/>
    <w:tmpl w:val="52BC4C7C"/>
    <w:lvl w:ilvl="0" w:tplc="C158FDD2">
      <w:start w:val="1"/>
      <w:numFmt w:val="lowerRoman"/>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49D6B56"/>
    <w:multiLevelType w:val="hybridMultilevel"/>
    <w:tmpl w:val="E5EADA42"/>
    <w:lvl w:ilvl="0" w:tplc="C158FDD2">
      <w:start w:val="1"/>
      <w:numFmt w:val="lowerRoman"/>
      <w:lvlText w:val="(%1)"/>
      <w:lvlJc w:val="left"/>
      <w:pPr>
        <w:ind w:left="480" w:hanging="480"/>
      </w:pPr>
      <w:rPr>
        <w:rFonts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4A875354"/>
    <w:multiLevelType w:val="hybridMultilevel"/>
    <w:tmpl w:val="0158FFFC"/>
    <w:lvl w:ilvl="0" w:tplc="DD5A4066">
      <w:start w:val="1"/>
      <w:numFmt w:val="bullet"/>
      <w:lvlText w:val="•"/>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CEC5137"/>
    <w:multiLevelType w:val="hybridMultilevel"/>
    <w:tmpl w:val="04FE06B4"/>
    <w:lvl w:ilvl="0" w:tplc="C158FDD2">
      <w:start w:val="1"/>
      <w:numFmt w:val="lowerRoman"/>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F22111D"/>
    <w:multiLevelType w:val="hybridMultilevel"/>
    <w:tmpl w:val="D82CA858"/>
    <w:lvl w:ilvl="0" w:tplc="F76EF6A4">
      <w:start w:val="1"/>
      <w:numFmt w:val="lowerRoman"/>
      <w:lvlText w:val="(%1)"/>
      <w:lvlJc w:val="left"/>
      <w:pPr>
        <w:ind w:left="360" w:hanging="360"/>
      </w:pPr>
      <w:rPr>
        <w:rFonts w:hint="default"/>
        <w:i w:val="0"/>
        <w:sz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05A4E6D"/>
    <w:multiLevelType w:val="hybridMultilevel"/>
    <w:tmpl w:val="01D2499A"/>
    <w:lvl w:ilvl="0" w:tplc="0966F6B2">
      <w:start w:val="1"/>
      <w:numFmt w:val="bullet"/>
      <w:lvlText w:val=""/>
      <w:lvlJc w:val="left"/>
      <w:pPr>
        <w:ind w:left="572" w:hanging="480"/>
      </w:pPr>
      <w:rPr>
        <w:rFonts w:ascii="Wingdings" w:hAnsi="Wingdings" w:hint="default"/>
      </w:rPr>
    </w:lvl>
    <w:lvl w:ilvl="1" w:tplc="04090003" w:tentative="1">
      <w:start w:val="1"/>
      <w:numFmt w:val="bullet"/>
      <w:lvlText w:val=""/>
      <w:lvlJc w:val="left"/>
      <w:pPr>
        <w:ind w:left="1052" w:hanging="480"/>
      </w:pPr>
      <w:rPr>
        <w:rFonts w:ascii="Wingdings" w:hAnsi="Wingdings" w:hint="default"/>
      </w:rPr>
    </w:lvl>
    <w:lvl w:ilvl="2" w:tplc="04090005" w:tentative="1">
      <w:start w:val="1"/>
      <w:numFmt w:val="bullet"/>
      <w:lvlText w:val=""/>
      <w:lvlJc w:val="left"/>
      <w:pPr>
        <w:ind w:left="1532" w:hanging="480"/>
      </w:pPr>
      <w:rPr>
        <w:rFonts w:ascii="Wingdings" w:hAnsi="Wingdings" w:hint="default"/>
      </w:rPr>
    </w:lvl>
    <w:lvl w:ilvl="3" w:tplc="04090001" w:tentative="1">
      <w:start w:val="1"/>
      <w:numFmt w:val="bullet"/>
      <w:lvlText w:val=""/>
      <w:lvlJc w:val="left"/>
      <w:pPr>
        <w:ind w:left="2012" w:hanging="480"/>
      </w:pPr>
      <w:rPr>
        <w:rFonts w:ascii="Wingdings" w:hAnsi="Wingdings" w:hint="default"/>
      </w:rPr>
    </w:lvl>
    <w:lvl w:ilvl="4" w:tplc="04090003" w:tentative="1">
      <w:start w:val="1"/>
      <w:numFmt w:val="bullet"/>
      <w:lvlText w:val=""/>
      <w:lvlJc w:val="left"/>
      <w:pPr>
        <w:ind w:left="2492" w:hanging="480"/>
      </w:pPr>
      <w:rPr>
        <w:rFonts w:ascii="Wingdings" w:hAnsi="Wingdings" w:hint="default"/>
      </w:rPr>
    </w:lvl>
    <w:lvl w:ilvl="5" w:tplc="04090005" w:tentative="1">
      <w:start w:val="1"/>
      <w:numFmt w:val="bullet"/>
      <w:lvlText w:val=""/>
      <w:lvlJc w:val="left"/>
      <w:pPr>
        <w:ind w:left="2972" w:hanging="480"/>
      </w:pPr>
      <w:rPr>
        <w:rFonts w:ascii="Wingdings" w:hAnsi="Wingdings" w:hint="default"/>
      </w:rPr>
    </w:lvl>
    <w:lvl w:ilvl="6" w:tplc="04090001" w:tentative="1">
      <w:start w:val="1"/>
      <w:numFmt w:val="bullet"/>
      <w:lvlText w:val=""/>
      <w:lvlJc w:val="left"/>
      <w:pPr>
        <w:ind w:left="3452" w:hanging="480"/>
      </w:pPr>
      <w:rPr>
        <w:rFonts w:ascii="Wingdings" w:hAnsi="Wingdings" w:hint="default"/>
      </w:rPr>
    </w:lvl>
    <w:lvl w:ilvl="7" w:tplc="04090003" w:tentative="1">
      <w:start w:val="1"/>
      <w:numFmt w:val="bullet"/>
      <w:lvlText w:val=""/>
      <w:lvlJc w:val="left"/>
      <w:pPr>
        <w:ind w:left="3932" w:hanging="480"/>
      </w:pPr>
      <w:rPr>
        <w:rFonts w:ascii="Wingdings" w:hAnsi="Wingdings" w:hint="default"/>
      </w:rPr>
    </w:lvl>
    <w:lvl w:ilvl="8" w:tplc="04090005" w:tentative="1">
      <w:start w:val="1"/>
      <w:numFmt w:val="bullet"/>
      <w:lvlText w:val=""/>
      <w:lvlJc w:val="left"/>
      <w:pPr>
        <w:ind w:left="4412" w:hanging="480"/>
      </w:pPr>
      <w:rPr>
        <w:rFonts w:ascii="Wingdings" w:hAnsi="Wingdings" w:hint="default"/>
      </w:rPr>
    </w:lvl>
  </w:abstractNum>
  <w:abstractNum w:abstractNumId="43" w15:restartNumberingAfterBreak="0">
    <w:nsid w:val="562F18E7"/>
    <w:multiLevelType w:val="hybridMultilevel"/>
    <w:tmpl w:val="20FA8824"/>
    <w:lvl w:ilvl="0" w:tplc="DD5A4066">
      <w:start w:val="1"/>
      <w:numFmt w:val="bullet"/>
      <w:lvlText w:val="•"/>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56C62520"/>
    <w:multiLevelType w:val="hybridMultilevel"/>
    <w:tmpl w:val="15F0E95E"/>
    <w:lvl w:ilvl="0" w:tplc="C90427C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7301839"/>
    <w:multiLevelType w:val="hybridMultilevel"/>
    <w:tmpl w:val="F4F2B05A"/>
    <w:lvl w:ilvl="0" w:tplc="C0528BE2">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57C3288E"/>
    <w:multiLevelType w:val="hybridMultilevel"/>
    <w:tmpl w:val="FF9A57E4"/>
    <w:lvl w:ilvl="0" w:tplc="758C0FA0">
      <w:start w:val="1"/>
      <w:numFmt w:val="decimal"/>
      <w:lvlText w:val="%1"/>
      <w:lvlJc w:val="left"/>
      <w:pPr>
        <w:ind w:left="360" w:hanging="360"/>
      </w:pPr>
      <w:rPr>
        <w:rFonts w:hint="eastAsi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A8F5718"/>
    <w:multiLevelType w:val="hybridMultilevel"/>
    <w:tmpl w:val="7AE4F4FC"/>
    <w:lvl w:ilvl="0" w:tplc="F6F0FE5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AD84D3C"/>
    <w:multiLevelType w:val="hybridMultilevel"/>
    <w:tmpl w:val="8D848066"/>
    <w:lvl w:ilvl="0" w:tplc="535A35D6">
      <w:start w:val="1"/>
      <w:numFmt w:val="bullet"/>
      <w:lvlText w:val="•"/>
      <w:lvlJc w:val="left"/>
      <w:pPr>
        <w:ind w:left="480" w:hanging="480"/>
      </w:pPr>
      <w:rPr>
        <w:rFonts w:ascii="新細明體" w:eastAsia="新細明體" w:hAnsi="新細明體"/>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5B256534"/>
    <w:multiLevelType w:val="hybridMultilevel"/>
    <w:tmpl w:val="8C88C432"/>
    <w:lvl w:ilvl="0" w:tplc="377AAFDA">
      <w:start w:val="1"/>
      <w:numFmt w:val="decimal"/>
      <w:lvlText w:val="%1"/>
      <w:lvlJc w:val="left"/>
      <w:pPr>
        <w:ind w:left="360" w:hanging="360"/>
      </w:pPr>
      <w:rPr>
        <w:rFonts w:hint="eastAsi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B470F5C"/>
    <w:multiLevelType w:val="hybridMultilevel"/>
    <w:tmpl w:val="D940EF7E"/>
    <w:lvl w:ilvl="0" w:tplc="A4D04E80">
      <w:start w:val="5"/>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CAE3861"/>
    <w:multiLevelType w:val="hybridMultilevel"/>
    <w:tmpl w:val="0F0CA03A"/>
    <w:lvl w:ilvl="0" w:tplc="F76EF6A4">
      <w:start w:val="1"/>
      <w:numFmt w:val="lowerRoman"/>
      <w:lvlText w:val="(%1)"/>
      <w:lvlJc w:val="left"/>
      <w:pPr>
        <w:ind w:left="375" w:hanging="375"/>
      </w:pPr>
      <w:rPr>
        <w:rFonts w:hint="default"/>
        <w:i w:val="0"/>
        <w:sz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5CD35F05"/>
    <w:multiLevelType w:val="hybridMultilevel"/>
    <w:tmpl w:val="26AE2B28"/>
    <w:lvl w:ilvl="0" w:tplc="08090001">
      <w:start w:val="1"/>
      <w:numFmt w:val="bullet"/>
      <w:lvlText w:val=""/>
      <w:lvlJc w:val="left"/>
      <w:pPr>
        <w:ind w:left="840" w:hanging="480"/>
      </w:pPr>
      <w:rPr>
        <w:rFonts w:ascii="Symbol" w:hAnsi="Symbol" w:hint="default"/>
      </w:rPr>
    </w:lvl>
    <w:lvl w:ilvl="1" w:tplc="08090001">
      <w:start w:val="1"/>
      <w:numFmt w:val="bullet"/>
      <w:lvlText w:val=""/>
      <w:lvlJc w:val="left"/>
      <w:pPr>
        <w:ind w:left="1320" w:hanging="480"/>
      </w:pPr>
      <w:rPr>
        <w:rFonts w:ascii="Symbol" w:hAnsi="Symbol"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53" w15:restartNumberingAfterBreak="0">
    <w:nsid w:val="5FBB6008"/>
    <w:multiLevelType w:val="hybridMultilevel"/>
    <w:tmpl w:val="982C65BC"/>
    <w:lvl w:ilvl="0" w:tplc="B4E0A286">
      <w:start w:val="1"/>
      <w:numFmt w:val="bullet"/>
      <w:pStyle w:val="Bulletpoint"/>
      <w:lvlText w:val=""/>
      <w:lvlJc w:val="left"/>
      <w:pPr>
        <w:tabs>
          <w:tab w:val="num" w:pos="851"/>
        </w:tabs>
        <w:ind w:left="851" w:hanging="851"/>
      </w:pPr>
      <w:rPr>
        <w:rFonts w:ascii="Symbol" w:hAnsi="Symbol" w:hint="default"/>
        <w:color w:val="auto"/>
      </w:rPr>
    </w:lvl>
    <w:lvl w:ilvl="1" w:tplc="B602E818">
      <w:start w:val="1"/>
      <w:numFmt w:val="bullet"/>
      <w:lvlText w:val="–"/>
      <w:lvlJc w:val="left"/>
      <w:pPr>
        <w:tabs>
          <w:tab w:val="num" w:pos="851"/>
        </w:tabs>
        <w:ind w:left="851" w:hanging="851"/>
      </w:pPr>
      <w:rPr>
        <w:rFonts w:ascii="Arial" w:hAnsi="Arial"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26F0FCD"/>
    <w:multiLevelType w:val="hybridMultilevel"/>
    <w:tmpl w:val="ABB0E886"/>
    <w:lvl w:ilvl="0" w:tplc="08090001">
      <w:start w:val="1"/>
      <w:numFmt w:val="bullet"/>
      <w:lvlText w:val=""/>
      <w:lvlJc w:val="left"/>
      <w:pPr>
        <w:ind w:left="1120" w:hanging="720"/>
      </w:pPr>
      <w:rPr>
        <w:rFonts w:ascii="Symbol" w:hAnsi="Symbol" w:hint="default"/>
      </w:rPr>
    </w:lvl>
    <w:lvl w:ilvl="1" w:tplc="04090019" w:tentative="1">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55" w15:restartNumberingAfterBreak="0">
    <w:nsid w:val="6319076E"/>
    <w:multiLevelType w:val="hybridMultilevel"/>
    <w:tmpl w:val="396C43BA"/>
    <w:lvl w:ilvl="0" w:tplc="D8A4CEBC">
      <w:start w:val="1"/>
      <w:numFmt w:val="lowerLetter"/>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6" w15:restartNumberingAfterBreak="0">
    <w:nsid w:val="633356DE"/>
    <w:multiLevelType w:val="hybridMultilevel"/>
    <w:tmpl w:val="BD108E9C"/>
    <w:lvl w:ilvl="0" w:tplc="CDACCD84">
      <w:start w:val="1"/>
      <w:numFmt w:val="lowerLetter"/>
      <w:lvlText w:val="(%1)"/>
      <w:lvlJc w:val="left"/>
      <w:pPr>
        <w:ind w:left="360" w:hanging="360"/>
      </w:pPr>
    </w:lvl>
    <w:lvl w:ilvl="1" w:tplc="08070019">
      <w:start w:val="1"/>
      <w:numFmt w:val="lowerLetter"/>
      <w:lvlText w:val="%2."/>
      <w:lvlJc w:val="left"/>
      <w:pPr>
        <w:ind w:left="1080" w:hanging="360"/>
      </w:pPr>
    </w:lvl>
    <w:lvl w:ilvl="2" w:tplc="0807001B">
      <w:start w:val="1"/>
      <w:numFmt w:val="lowerRoman"/>
      <w:lvlText w:val="%3."/>
      <w:lvlJc w:val="right"/>
      <w:pPr>
        <w:ind w:left="1800" w:hanging="180"/>
      </w:pPr>
    </w:lvl>
    <w:lvl w:ilvl="3" w:tplc="0807000F">
      <w:start w:val="1"/>
      <w:numFmt w:val="decimal"/>
      <w:lvlText w:val="%4."/>
      <w:lvlJc w:val="left"/>
      <w:pPr>
        <w:ind w:left="2520" w:hanging="360"/>
      </w:pPr>
    </w:lvl>
    <w:lvl w:ilvl="4" w:tplc="08070019">
      <w:start w:val="1"/>
      <w:numFmt w:val="lowerLetter"/>
      <w:lvlText w:val="%5."/>
      <w:lvlJc w:val="left"/>
      <w:pPr>
        <w:ind w:left="3240" w:hanging="360"/>
      </w:pPr>
    </w:lvl>
    <w:lvl w:ilvl="5" w:tplc="0807001B">
      <w:start w:val="1"/>
      <w:numFmt w:val="lowerRoman"/>
      <w:lvlText w:val="%6."/>
      <w:lvlJc w:val="right"/>
      <w:pPr>
        <w:ind w:left="3960" w:hanging="180"/>
      </w:pPr>
    </w:lvl>
    <w:lvl w:ilvl="6" w:tplc="0807000F">
      <w:start w:val="1"/>
      <w:numFmt w:val="decimal"/>
      <w:lvlText w:val="%7."/>
      <w:lvlJc w:val="left"/>
      <w:pPr>
        <w:ind w:left="4680" w:hanging="360"/>
      </w:pPr>
    </w:lvl>
    <w:lvl w:ilvl="7" w:tplc="08070019">
      <w:start w:val="1"/>
      <w:numFmt w:val="lowerLetter"/>
      <w:lvlText w:val="%8."/>
      <w:lvlJc w:val="left"/>
      <w:pPr>
        <w:ind w:left="5400" w:hanging="360"/>
      </w:pPr>
    </w:lvl>
    <w:lvl w:ilvl="8" w:tplc="0807001B">
      <w:start w:val="1"/>
      <w:numFmt w:val="lowerRoman"/>
      <w:lvlText w:val="%9."/>
      <w:lvlJc w:val="right"/>
      <w:pPr>
        <w:ind w:left="6120" w:hanging="180"/>
      </w:pPr>
    </w:lvl>
  </w:abstractNum>
  <w:abstractNum w:abstractNumId="57" w15:restartNumberingAfterBreak="0">
    <w:nsid w:val="64320CEE"/>
    <w:multiLevelType w:val="hybridMultilevel"/>
    <w:tmpl w:val="8F02B0E4"/>
    <w:lvl w:ilvl="0" w:tplc="90E67296">
      <w:start w:val="1"/>
      <w:numFmt w:val="lowerRoman"/>
      <w:lvlText w:val="(%1)"/>
      <w:lvlJc w:val="left"/>
      <w:pPr>
        <w:ind w:left="480" w:hanging="480"/>
      </w:pPr>
      <w:rPr>
        <w:rFonts w:ascii="Segoe UI" w:eastAsia="Times New Roman" w:hAnsi="Segoe UI" w:cs="Segoe UI"/>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8" w15:restartNumberingAfterBreak="0">
    <w:nsid w:val="667B5250"/>
    <w:multiLevelType w:val="hybridMultilevel"/>
    <w:tmpl w:val="356CEC94"/>
    <w:lvl w:ilvl="0" w:tplc="08090001">
      <w:start w:val="1"/>
      <w:numFmt w:val="bullet"/>
      <w:lvlText w:val=""/>
      <w:lvlJc w:val="left"/>
      <w:pPr>
        <w:ind w:left="360" w:hanging="360"/>
      </w:pPr>
      <w:rPr>
        <w:rFonts w:ascii="Symbol" w:hAnsi="Symbo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67B97AC7"/>
    <w:multiLevelType w:val="hybridMultilevel"/>
    <w:tmpl w:val="CB424E0A"/>
    <w:lvl w:ilvl="0" w:tplc="9E28EC4A">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0" w15:restartNumberingAfterBreak="0">
    <w:nsid w:val="6A702515"/>
    <w:multiLevelType w:val="hybridMultilevel"/>
    <w:tmpl w:val="11E4B4C4"/>
    <w:lvl w:ilvl="0" w:tplc="9A7C1A16">
      <w:start w:val="1"/>
      <w:numFmt w:val="decimal"/>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6B764CF4"/>
    <w:multiLevelType w:val="hybridMultilevel"/>
    <w:tmpl w:val="714E5374"/>
    <w:lvl w:ilvl="0" w:tplc="FDB4A5DC">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6CBF36AF"/>
    <w:multiLevelType w:val="hybridMultilevel"/>
    <w:tmpl w:val="9E826844"/>
    <w:lvl w:ilvl="0" w:tplc="DD56F0BA">
      <w:start w:val="1"/>
      <w:numFmt w:val="lowerRoman"/>
      <w:lvlText w:val="(%1)"/>
      <w:lvlJc w:val="left"/>
      <w:pPr>
        <w:ind w:left="720" w:hanging="360"/>
      </w:pPr>
      <w:rPr>
        <w:rFonts w:eastAsia="新細明體" w:cs="Segoe U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04B375D"/>
    <w:multiLevelType w:val="hybridMultilevel"/>
    <w:tmpl w:val="16564374"/>
    <w:lvl w:ilvl="0" w:tplc="05B8CADC">
      <w:start w:val="1"/>
      <w:numFmt w:val="lowerRoman"/>
      <w:lvlText w:val="(%1)"/>
      <w:lvlJc w:val="left"/>
      <w:pPr>
        <w:ind w:left="720" w:hanging="720"/>
      </w:pPr>
      <w:rPr>
        <w:rFonts w:hint="default"/>
        <w:i/>
        <w:sz w:val="17"/>
        <w:szCs w:val="17"/>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707B01CA"/>
    <w:multiLevelType w:val="hybridMultilevel"/>
    <w:tmpl w:val="36305FB0"/>
    <w:lvl w:ilvl="0" w:tplc="5260A7D6">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719A67CA"/>
    <w:multiLevelType w:val="hybridMultilevel"/>
    <w:tmpl w:val="7568AD1A"/>
    <w:lvl w:ilvl="0" w:tplc="A81852F8">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72F333C8"/>
    <w:multiLevelType w:val="hybridMultilevel"/>
    <w:tmpl w:val="408815F4"/>
    <w:lvl w:ilvl="0" w:tplc="B83EBC12">
      <w:start w:val="1"/>
      <w:numFmt w:val="upperRoman"/>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73D8098E"/>
    <w:multiLevelType w:val="hybridMultilevel"/>
    <w:tmpl w:val="578E4812"/>
    <w:lvl w:ilvl="0" w:tplc="F09659A0">
      <w:start w:val="1"/>
      <w:numFmt w:val="upperLetter"/>
      <w:lvlText w:val="%1."/>
      <w:lvlJc w:val="left"/>
      <w:pPr>
        <w:ind w:left="417" w:hanging="360"/>
      </w:pPr>
      <w:rPr>
        <w:rFonts w:hint="eastAsia"/>
        <w:sz w:val="17"/>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750F00B8"/>
    <w:multiLevelType w:val="hybridMultilevel"/>
    <w:tmpl w:val="EA961A02"/>
    <w:lvl w:ilvl="0" w:tplc="BA48ECD6">
      <w:start w:val="1"/>
      <w:numFmt w:val="lowerRoman"/>
      <w:lvlText w:val="(%1)"/>
      <w:lvlJc w:val="left"/>
      <w:pPr>
        <w:ind w:left="720" w:hanging="360"/>
      </w:pPr>
      <w:rPr>
        <w:rFonts w:ascii="Segoe UI" w:eastAsia="新細明體" w:hAnsi="Segoe UI" w:cs="Segoe UI"/>
        <w:lang w:val="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73C7C44"/>
    <w:multiLevelType w:val="hybridMultilevel"/>
    <w:tmpl w:val="DB644BB6"/>
    <w:lvl w:ilvl="0" w:tplc="C158FDD2">
      <w:start w:val="1"/>
      <w:numFmt w:val="lowerRoman"/>
      <w:lvlText w:val="(%1)"/>
      <w:lvlJc w:val="left"/>
      <w:pPr>
        <w:ind w:left="360" w:hanging="360"/>
      </w:pPr>
      <w:rPr>
        <w:rFonts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0" w15:restartNumberingAfterBreak="0">
    <w:nsid w:val="77B116DC"/>
    <w:multiLevelType w:val="hybridMultilevel"/>
    <w:tmpl w:val="31D89414"/>
    <w:lvl w:ilvl="0" w:tplc="9A7C1A16">
      <w:start w:val="1"/>
      <w:numFmt w:val="decimal"/>
      <w:lvlText w:val="(%1)"/>
      <w:lvlJc w:val="left"/>
      <w:pPr>
        <w:ind w:left="360" w:hanging="360"/>
      </w:pPr>
      <w:rPr>
        <w:rFonts w:hint="eastAsi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78756855"/>
    <w:multiLevelType w:val="hybridMultilevel"/>
    <w:tmpl w:val="951CBCF4"/>
    <w:lvl w:ilvl="0" w:tplc="016E5C36">
      <w:start w:val="1"/>
      <w:numFmt w:val="decimal"/>
      <w:lvlText w:val="%1"/>
      <w:lvlJc w:val="left"/>
      <w:pPr>
        <w:ind w:left="360" w:hanging="360"/>
      </w:pPr>
      <w:rPr>
        <w:rFonts w:hint="eastAsi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BC4613C"/>
    <w:multiLevelType w:val="hybridMultilevel"/>
    <w:tmpl w:val="2574370E"/>
    <w:lvl w:ilvl="0" w:tplc="E7C6201C">
      <w:start w:val="1"/>
      <w:numFmt w:val="lowerRoman"/>
      <w:lvlText w:val="(%1)"/>
      <w:lvlJc w:val="left"/>
      <w:pPr>
        <w:ind w:left="1120" w:hanging="720"/>
      </w:pPr>
      <w:rPr>
        <w:rFonts w:hint="default"/>
      </w:rPr>
    </w:lvl>
    <w:lvl w:ilvl="1" w:tplc="04090019" w:tentative="1">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73" w15:restartNumberingAfterBreak="0">
    <w:nsid w:val="7C244903"/>
    <w:multiLevelType w:val="hybridMultilevel"/>
    <w:tmpl w:val="4E348F80"/>
    <w:lvl w:ilvl="0" w:tplc="C90427C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7F1218D4"/>
    <w:multiLevelType w:val="hybridMultilevel"/>
    <w:tmpl w:val="00E83F0A"/>
    <w:lvl w:ilvl="0" w:tplc="C158FDD2">
      <w:start w:val="1"/>
      <w:numFmt w:val="lowerRoman"/>
      <w:lvlText w:val="(%1)"/>
      <w:lvlJc w:val="left"/>
      <w:pPr>
        <w:ind w:left="480" w:hanging="480"/>
      </w:pPr>
      <w:rPr>
        <w:rFonts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1"/>
  </w:num>
  <w:num w:numId="3">
    <w:abstractNumId w:val="64"/>
  </w:num>
  <w:num w:numId="4">
    <w:abstractNumId w:val="33"/>
  </w:num>
  <w:num w:numId="5">
    <w:abstractNumId w:val="65"/>
  </w:num>
  <w:num w:numId="6">
    <w:abstractNumId w:val="66"/>
  </w:num>
  <w:num w:numId="7">
    <w:abstractNumId w:val="55"/>
  </w:num>
  <w:num w:numId="8">
    <w:abstractNumId w:val="10"/>
  </w:num>
  <w:num w:numId="9">
    <w:abstractNumId w:val="53"/>
  </w:num>
  <w:num w:numId="10">
    <w:abstractNumId w:val="41"/>
  </w:num>
  <w:num w:numId="11">
    <w:abstractNumId w:val="40"/>
  </w:num>
  <w:num w:numId="12">
    <w:abstractNumId w:val="72"/>
  </w:num>
  <w:num w:numId="13">
    <w:abstractNumId w:val="36"/>
  </w:num>
  <w:num w:numId="14">
    <w:abstractNumId w:val="12"/>
  </w:num>
  <w:num w:numId="15">
    <w:abstractNumId w:val="42"/>
  </w:num>
  <w:num w:numId="16">
    <w:abstractNumId w:val="28"/>
  </w:num>
  <w:num w:numId="17">
    <w:abstractNumId w:val="29"/>
  </w:num>
  <w:num w:numId="18">
    <w:abstractNumId w:val="22"/>
  </w:num>
  <w:num w:numId="19">
    <w:abstractNumId w:val="11"/>
  </w:num>
  <w:num w:numId="20">
    <w:abstractNumId w:val="3"/>
  </w:num>
  <w:num w:numId="21">
    <w:abstractNumId w:val="16"/>
  </w:num>
  <w:num w:numId="22">
    <w:abstractNumId w:val="0"/>
  </w:num>
  <w:num w:numId="23">
    <w:abstractNumId w:val="48"/>
  </w:num>
  <w:num w:numId="24">
    <w:abstractNumId w:val="70"/>
  </w:num>
  <w:num w:numId="25">
    <w:abstractNumId w:val="2"/>
  </w:num>
  <w:num w:numId="26">
    <w:abstractNumId w:val="60"/>
  </w:num>
  <w:num w:numId="27">
    <w:abstractNumId w:val="19"/>
  </w:num>
  <w:num w:numId="28">
    <w:abstractNumId w:val="23"/>
  </w:num>
  <w:num w:numId="29">
    <w:abstractNumId w:val="5"/>
  </w:num>
  <w:num w:numId="30">
    <w:abstractNumId w:val="7"/>
  </w:num>
  <w:num w:numId="31">
    <w:abstractNumId w:val="15"/>
  </w:num>
  <w:num w:numId="32">
    <w:abstractNumId w:val="52"/>
  </w:num>
  <w:num w:numId="33">
    <w:abstractNumId w:val="62"/>
  </w:num>
  <w:num w:numId="34">
    <w:abstractNumId w:val="25"/>
  </w:num>
  <w:num w:numId="35">
    <w:abstractNumId w:val="17"/>
  </w:num>
  <w:num w:numId="36">
    <w:abstractNumId w:val="74"/>
  </w:num>
  <w:num w:numId="37">
    <w:abstractNumId w:val="69"/>
  </w:num>
  <w:num w:numId="38">
    <w:abstractNumId w:val="31"/>
  </w:num>
  <w:num w:numId="39">
    <w:abstractNumId w:val="45"/>
  </w:num>
  <w:num w:numId="40">
    <w:abstractNumId w:val="37"/>
  </w:num>
  <w:num w:numId="41">
    <w:abstractNumId w:val="51"/>
  </w:num>
  <w:num w:numId="42">
    <w:abstractNumId w:val="73"/>
  </w:num>
  <w:num w:numId="43">
    <w:abstractNumId w:val="63"/>
  </w:num>
  <w:num w:numId="44">
    <w:abstractNumId w:val="20"/>
  </w:num>
  <w:num w:numId="45">
    <w:abstractNumId w:val="44"/>
  </w:num>
  <w:num w:numId="46">
    <w:abstractNumId w:val="6"/>
  </w:num>
  <w:num w:numId="47">
    <w:abstractNumId w:val="14"/>
  </w:num>
  <w:num w:numId="48">
    <w:abstractNumId w:val="59"/>
  </w:num>
  <w:num w:numId="49">
    <w:abstractNumId w:val="47"/>
  </w:num>
  <w:num w:numId="50">
    <w:abstractNumId w:val="4"/>
  </w:num>
  <w:num w:numId="51">
    <w:abstractNumId w:val="1"/>
  </w:num>
  <w:num w:numId="52">
    <w:abstractNumId w:val="50"/>
  </w:num>
  <w:num w:numId="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0"/>
  </w:num>
  <w:num w:numId="55">
    <w:abstractNumId w:val="24"/>
  </w:num>
  <w:num w:numId="56">
    <w:abstractNumId w:val="9"/>
  </w:num>
  <w:num w:numId="57">
    <w:abstractNumId w:val="54"/>
  </w:num>
  <w:num w:numId="58">
    <w:abstractNumId w:val="32"/>
  </w:num>
  <w:num w:numId="59">
    <w:abstractNumId w:val="58"/>
  </w:num>
  <w:num w:numId="60">
    <w:abstractNumId w:val="43"/>
  </w:num>
  <w:num w:numId="61">
    <w:abstractNumId w:val="39"/>
  </w:num>
  <w:num w:numId="62">
    <w:abstractNumId w:val="26"/>
  </w:num>
  <w:num w:numId="63">
    <w:abstractNumId w:val="68"/>
  </w:num>
  <w:num w:numId="64">
    <w:abstractNumId w:val="38"/>
  </w:num>
  <w:num w:numId="65">
    <w:abstractNumId w:val="67"/>
  </w:num>
  <w:num w:numId="66">
    <w:abstractNumId w:val="27"/>
  </w:num>
  <w:num w:numId="67">
    <w:abstractNumId w:val="35"/>
  </w:num>
  <w:num w:numId="68">
    <w:abstractNumId w:val="13"/>
  </w:num>
  <w:num w:numId="69">
    <w:abstractNumId w:val="21"/>
  </w:num>
  <w:num w:numId="70">
    <w:abstractNumId w:val="56"/>
  </w:num>
  <w:num w:numId="71">
    <w:abstractNumId w:val="57"/>
  </w:num>
  <w:num w:numId="72">
    <w:abstractNumId w:val="34"/>
  </w:num>
  <w:num w:numId="73">
    <w:abstractNumId w:val="18"/>
  </w:num>
  <w:num w:numId="74">
    <w:abstractNumId w:val="49"/>
  </w:num>
  <w:num w:numId="75">
    <w:abstractNumId w:val="46"/>
  </w:num>
  <w:num w:numId="76">
    <w:abstractNumId w:val="71"/>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2"/>
  <w:drawingGridHorizontalSpacing w:val="100"/>
  <w:displayHorizontalDrawingGridEvery w:val="0"/>
  <w:displayVerticalDrawingGridEvery w:val="2"/>
  <w:characterSpacingControl w:val="compressPunctuation"/>
  <w:hdrShapeDefaults>
    <o:shapedefaults v:ext="edit" spidmax="25907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FDC"/>
    <w:rsid w:val="00001712"/>
    <w:rsid w:val="00001FA4"/>
    <w:rsid w:val="0000244C"/>
    <w:rsid w:val="000026DD"/>
    <w:rsid w:val="00002C3C"/>
    <w:rsid w:val="00003570"/>
    <w:rsid w:val="000041CD"/>
    <w:rsid w:val="000055D9"/>
    <w:rsid w:val="0000746C"/>
    <w:rsid w:val="000079C1"/>
    <w:rsid w:val="000110DD"/>
    <w:rsid w:val="00011891"/>
    <w:rsid w:val="000130B8"/>
    <w:rsid w:val="0001463A"/>
    <w:rsid w:val="00017703"/>
    <w:rsid w:val="000177AE"/>
    <w:rsid w:val="00017E84"/>
    <w:rsid w:val="00020BBD"/>
    <w:rsid w:val="000214A0"/>
    <w:rsid w:val="00022562"/>
    <w:rsid w:val="00023AFA"/>
    <w:rsid w:val="000240A8"/>
    <w:rsid w:val="000243FA"/>
    <w:rsid w:val="00025C06"/>
    <w:rsid w:val="00025EBA"/>
    <w:rsid w:val="00025FCA"/>
    <w:rsid w:val="00026C11"/>
    <w:rsid w:val="000270E9"/>
    <w:rsid w:val="00027D14"/>
    <w:rsid w:val="000301D4"/>
    <w:rsid w:val="00033397"/>
    <w:rsid w:val="0003683F"/>
    <w:rsid w:val="000369C7"/>
    <w:rsid w:val="00037757"/>
    <w:rsid w:val="0004056E"/>
    <w:rsid w:val="00040896"/>
    <w:rsid w:val="00042ADB"/>
    <w:rsid w:val="0004394B"/>
    <w:rsid w:val="00043C2A"/>
    <w:rsid w:val="000448F0"/>
    <w:rsid w:val="00046213"/>
    <w:rsid w:val="00046FCC"/>
    <w:rsid w:val="00047EA8"/>
    <w:rsid w:val="000514AE"/>
    <w:rsid w:val="00051594"/>
    <w:rsid w:val="00051DA6"/>
    <w:rsid w:val="00051E40"/>
    <w:rsid w:val="00053BF4"/>
    <w:rsid w:val="0005505B"/>
    <w:rsid w:val="00055EBF"/>
    <w:rsid w:val="000563D3"/>
    <w:rsid w:val="00056E14"/>
    <w:rsid w:val="000579E1"/>
    <w:rsid w:val="00060238"/>
    <w:rsid w:val="00060959"/>
    <w:rsid w:val="00063DC0"/>
    <w:rsid w:val="000654DF"/>
    <w:rsid w:val="00065B0E"/>
    <w:rsid w:val="000665DA"/>
    <w:rsid w:val="000678EB"/>
    <w:rsid w:val="00067D78"/>
    <w:rsid w:val="000706E1"/>
    <w:rsid w:val="00071D5E"/>
    <w:rsid w:val="00072A48"/>
    <w:rsid w:val="00073955"/>
    <w:rsid w:val="00073EE0"/>
    <w:rsid w:val="000747DD"/>
    <w:rsid w:val="000751FA"/>
    <w:rsid w:val="00076778"/>
    <w:rsid w:val="0008019B"/>
    <w:rsid w:val="00082C1A"/>
    <w:rsid w:val="000867AF"/>
    <w:rsid w:val="00086F88"/>
    <w:rsid w:val="000878BE"/>
    <w:rsid w:val="00087DFA"/>
    <w:rsid w:val="00090C71"/>
    <w:rsid w:val="00091593"/>
    <w:rsid w:val="00091FE0"/>
    <w:rsid w:val="0009252C"/>
    <w:rsid w:val="00092B67"/>
    <w:rsid w:val="00092E43"/>
    <w:rsid w:val="0009450F"/>
    <w:rsid w:val="00094EB7"/>
    <w:rsid w:val="00095E4E"/>
    <w:rsid w:val="00097C85"/>
    <w:rsid w:val="000A09EB"/>
    <w:rsid w:val="000A1238"/>
    <w:rsid w:val="000A199E"/>
    <w:rsid w:val="000A22FD"/>
    <w:rsid w:val="000A2852"/>
    <w:rsid w:val="000A6464"/>
    <w:rsid w:val="000A758F"/>
    <w:rsid w:val="000A7BEB"/>
    <w:rsid w:val="000A7DF0"/>
    <w:rsid w:val="000B0B3C"/>
    <w:rsid w:val="000B1B22"/>
    <w:rsid w:val="000B227C"/>
    <w:rsid w:val="000B357D"/>
    <w:rsid w:val="000B4642"/>
    <w:rsid w:val="000B5222"/>
    <w:rsid w:val="000B52B2"/>
    <w:rsid w:val="000B6599"/>
    <w:rsid w:val="000B662C"/>
    <w:rsid w:val="000B6BE8"/>
    <w:rsid w:val="000C3466"/>
    <w:rsid w:val="000C3766"/>
    <w:rsid w:val="000C5DDB"/>
    <w:rsid w:val="000C6C56"/>
    <w:rsid w:val="000C7807"/>
    <w:rsid w:val="000D1DD7"/>
    <w:rsid w:val="000D283A"/>
    <w:rsid w:val="000D2B04"/>
    <w:rsid w:val="000D7702"/>
    <w:rsid w:val="000E0910"/>
    <w:rsid w:val="000E09C1"/>
    <w:rsid w:val="000E2735"/>
    <w:rsid w:val="000E3BBA"/>
    <w:rsid w:val="000E3BF0"/>
    <w:rsid w:val="000E4947"/>
    <w:rsid w:val="000E4E93"/>
    <w:rsid w:val="000E4F1D"/>
    <w:rsid w:val="000E66CF"/>
    <w:rsid w:val="000E680B"/>
    <w:rsid w:val="000E7497"/>
    <w:rsid w:val="000E75E6"/>
    <w:rsid w:val="000F2CB5"/>
    <w:rsid w:val="000F58E6"/>
    <w:rsid w:val="000F5E7E"/>
    <w:rsid w:val="00100DA2"/>
    <w:rsid w:val="0010102B"/>
    <w:rsid w:val="001024EB"/>
    <w:rsid w:val="00102688"/>
    <w:rsid w:val="00102C39"/>
    <w:rsid w:val="0010436E"/>
    <w:rsid w:val="0010523E"/>
    <w:rsid w:val="00105442"/>
    <w:rsid w:val="00107827"/>
    <w:rsid w:val="00107F48"/>
    <w:rsid w:val="0011611D"/>
    <w:rsid w:val="001174C3"/>
    <w:rsid w:val="00125DDD"/>
    <w:rsid w:val="00126350"/>
    <w:rsid w:val="00127DFA"/>
    <w:rsid w:val="00131329"/>
    <w:rsid w:val="00132AA2"/>
    <w:rsid w:val="00135D80"/>
    <w:rsid w:val="00135F5D"/>
    <w:rsid w:val="00136625"/>
    <w:rsid w:val="00136795"/>
    <w:rsid w:val="00136800"/>
    <w:rsid w:val="00140203"/>
    <w:rsid w:val="001420D0"/>
    <w:rsid w:val="001422A5"/>
    <w:rsid w:val="00142B2C"/>
    <w:rsid w:val="00142FB6"/>
    <w:rsid w:val="001433A5"/>
    <w:rsid w:val="0014349F"/>
    <w:rsid w:val="001438A8"/>
    <w:rsid w:val="001449B5"/>
    <w:rsid w:val="00145F36"/>
    <w:rsid w:val="00147C05"/>
    <w:rsid w:val="00150433"/>
    <w:rsid w:val="0015044A"/>
    <w:rsid w:val="0015058C"/>
    <w:rsid w:val="00150C31"/>
    <w:rsid w:val="00150F15"/>
    <w:rsid w:val="00151423"/>
    <w:rsid w:val="00151AD5"/>
    <w:rsid w:val="00153731"/>
    <w:rsid w:val="00154B59"/>
    <w:rsid w:val="001553D5"/>
    <w:rsid w:val="0015661A"/>
    <w:rsid w:val="00157005"/>
    <w:rsid w:val="0015718E"/>
    <w:rsid w:val="00157338"/>
    <w:rsid w:val="00161535"/>
    <w:rsid w:val="0016184A"/>
    <w:rsid w:val="00162100"/>
    <w:rsid w:val="001626F2"/>
    <w:rsid w:val="0016297D"/>
    <w:rsid w:val="001648F7"/>
    <w:rsid w:val="001666CE"/>
    <w:rsid w:val="001667DE"/>
    <w:rsid w:val="00166F48"/>
    <w:rsid w:val="00172097"/>
    <w:rsid w:val="00172757"/>
    <w:rsid w:val="00172EBB"/>
    <w:rsid w:val="00173771"/>
    <w:rsid w:val="00174832"/>
    <w:rsid w:val="0017515A"/>
    <w:rsid w:val="001756EB"/>
    <w:rsid w:val="00180DFE"/>
    <w:rsid w:val="00181B31"/>
    <w:rsid w:val="00182E87"/>
    <w:rsid w:val="00183892"/>
    <w:rsid w:val="00184B4C"/>
    <w:rsid w:val="00186704"/>
    <w:rsid w:val="0018762D"/>
    <w:rsid w:val="00187ABF"/>
    <w:rsid w:val="00191235"/>
    <w:rsid w:val="001929CC"/>
    <w:rsid w:val="00194D9C"/>
    <w:rsid w:val="00196D03"/>
    <w:rsid w:val="001A291E"/>
    <w:rsid w:val="001A299A"/>
    <w:rsid w:val="001A29CE"/>
    <w:rsid w:val="001A2E6C"/>
    <w:rsid w:val="001A36C3"/>
    <w:rsid w:val="001A49FD"/>
    <w:rsid w:val="001A4E10"/>
    <w:rsid w:val="001A5D83"/>
    <w:rsid w:val="001A5F2F"/>
    <w:rsid w:val="001A6729"/>
    <w:rsid w:val="001A6860"/>
    <w:rsid w:val="001A7C28"/>
    <w:rsid w:val="001B025D"/>
    <w:rsid w:val="001B10EA"/>
    <w:rsid w:val="001B2113"/>
    <w:rsid w:val="001B2812"/>
    <w:rsid w:val="001B2C4F"/>
    <w:rsid w:val="001B44D3"/>
    <w:rsid w:val="001B4B6E"/>
    <w:rsid w:val="001B4C16"/>
    <w:rsid w:val="001B54C7"/>
    <w:rsid w:val="001B5C6E"/>
    <w:rsid w:val="001B61CF"/>
    <w:rsid w:val="001B6FE9"/>
    <w:rsid w:val="001B7FA0"/>
    <w:rsid w:val="001C08B6"/>
    <w:rsid w:val="001C17CF"/>
    <w:rsid w:val="001C1FB2"/>
    <w:rsid w:val="001C2984"/>
    <w:rsid w:val="001C4EF3"/>
    <w:rsid w:val="001C5458"/>
    <w:rsid w:val="001C5B2B"/>
    <w:rsid w:val="001D1021"/>
    <w:rsid w:val="001D1089"/>
    <w:rsid w:val="001D149B"/>
    <w:rsid w:val="001D2955"/>
    <w:rsid w:val="001D3CC2"/>
    <w:rsid w:val="001D4BF2"/>
    <w:rsid w:val="001D647E"/>
    <w:rsid w:val="001D79E6"/>
    <w:rsid w:val="001E06F3"/>
    <w:rsid w:val="001E1ED4"/>
    <w:rsid w:val="001E3FC2"/>
    <w:rsid w:val="001E42B2"/>
    <w:rsid w:val="001E5CAB"/>
    <w:rsid w:val="001E5ECD"/>
    <w:rsid w:val="001E64CA"/>
    <w:rsid w:val="001E7173"/>
    <w:rsid w:val="001E7B00"/>
    <w:rsid w:val="001F03E9"/>
    <w:rsid w:val="001F10E2"/>
    <w:rsid w:val="001F40F6"/>
    <w:rsid w:val="001F6743"/>
    <w:rsid w:val="001F6AE8"/>
    <w:rsid w:val="002015CE"/>
    <w:rsid w:val="002021E2"/>
    <w:rsid w:val="00202FD5"/>
    <w:rsid w:val="0020369A"/>
    <w:rsid w:val="00207F7D"/>
    <w:rsid w:val="002122CF"/>
    <w:rsid w:val="002125E4"/>
    <w:rsid w:val="00216AD3"/>
    <w:rsid w:val="002170C2"/>
    <w:rsid w:val="002177BF"/>
    <w:rsid w:val="0022005B"/>
    <w:rsid w:val="00223BFE"/>
    <w:rsid w:val="00223DB1"/>
    <w:rsid w:val="0022558D"/>
    <w:rsid w:val="00230029"/>
    <w:rsid w:val="00231A72"/>
    <w:rsid w:val="00231D6C"/>
    <w:rsid w:val="00233D40"/>
    <w:rsid w:val="002352C9"/>
    <w:rsid w:val="0023577B"/>
    <w:rsid w:val="002360D1"/>
    <w:rsid w:val="00236986"/>
    <w:rsid w:val="00237502"/>
    <w:rsid w:val="002377D3"/>
    <w:rsid w:val="002415A2"/>
    <w:rsid w:val="0024178E"/>
    <w:rsid w:val="00243D30"/>
    <w:rsid w:val="00243D67"/>
    <w:rsid w:val="0024427A"/>
    <w:rsid w:val="00244AE8"/>
    <w:rsid w:val="00246955"/>
    <w:rsid w:val="00246A0B"/>
    <w:rsid w:val="00246DA0"/>
    <w:rsid w:val="00247CFE"/>
    <w:rsid w:val="00247F4F"/>
    <w:rsid w:val="0025068F"/>
    <w:rsid w:val="00250D68"/>
    <w:rsid w:val="00251181"/>
    <w:rsid w:val="00254CF9"/>
    <w:rsid w:val="0025532B"/>
    <w:rsid w:val="0025591D"/>
    <w:rsid w:val="002564A9"/>
    <w:rsid w:val="002564FB"/>
    <w:rsid w:val="00260576"/>
    <w:rsid w:val="00260FA7"/>
    <w:rsid w:val="002631E5"/>
    <w:rsid w:val="002637FF"/>
    <w:rsid w:val="00264D6E"/>
    <w:rsid w:val="0026631E"/>
    <w:rsid w:val="00267B87"/>
    <w:rsid w:val="00267CBD"/>
    <w:rsid w:val="00267F88"/>
    <w:rsid w:val="00270CA6"/>
    <w:rsid w:val="00272B33"/>
    <w:rsid w:val="00275DE8"/>
    <w:rsid w:val="00275FDA"/>
    <w:rsid w:val="002778A2"/>
    <w:rsid w:val="00281369"/>
    <w:rsid w:val="0028399F"/>
    <w:rsid w:val="002851DB"/>
    <w:rsid w:val="0028634D"/>
    <w:rsid w:val="0028659E"/>
    <w:rsid w:val="00287880"/>
    <w:rsid w:val="00287B85"/>
    <w:rsid w:val="00287FF1"/>
    <w:rsid w:val="00290F5A"/>
    <w:rsid w:val="002915AF"/>
    <w:rsid w:val="00291666"/>
    <w:rsid w:val="0029427F"/>
    <w:rsid w:val="00295630"/>
    <w:rsid w:val="002957DD"/>
    <w:rsid w:val="002A0515"/>
    <w:rsid w:val="002A223C"/>
    <w:rsid w:val="002A23F3"/>
    <w:rsid w:val="002A24EC"/>
    <w:rsid w:val="002A4B97"/>
    <w:rsid w:val="002A569A"/>
    <w:rsid w:val="002A58B0"/>
    <w:rsid w:val="002A5D35"/>
    <w:rsid w:val="002A64AF"/>
    <w:rsid w:val="002A68CB"/>
    <w:rsid w:val="002A6916"/>
    <w:rsid w:val="002A6AB0"/>
    <w:rsid w:val="002A6B71"/>
    <w:rsid w:val="002A7654"/>
    <w:rsid w:val="002A7A60"/>
    <w:rsid w:val="002B065E"/>
    <w:rsid w:val="002B10FB"/>
    <w:rsid w:val="002B1C82"/>
    <w:rsid w:val="002B229E"/>
    <w:rsid w:val="002B3045"/>
    <w:rsid w:val="002B3E31"/>
    <w:rsid w:val="002B4B62"/>
    <w:rsid w:val="002B4BB7"/>
    <w:rsid w:val="002B4C57"/>
    <w:rsid w:val="002B54FA"/>
    <w:rsid w:val="002B5B9D"/>
    <w:rsid w:val="002B5CEA"/>
    <w:rsid w:val="002B64D8"/>
    <w:rsid w:val="002B652A"/>
    <w:rsid w:val="002C0B6D"/>
    <w:rsid w:val="002C0FB2"/>
    <w:rsid w:val="002C15D1"/>
    <w:rsid w:val="002C3E66"/>
    <w:rsid w:val="002C4451"/>
    <w:rsid w:val="002C4982"/>
    <w:rsid w:val="002C50CC"/>
    <w:rsid w:val="002C7BCF"/>
    <w:rsid w:val="002D1B60"/>
    <w:rsid w:val="002D1D8B"/>
    <w:rsid w:val="002D3032"/>
    <w:rsid w:val="002D30BA"/>
    <w:rsid w:val="002D4096"/>
    <w:rsid w:val="002D7F37"/>
    <w:rsid w:val="002E0185"/>
    <w:rsid w:val="002E184F"/>
    <w:rsid w:val="002E3EAE"/>
    <w:rsid w:val="002E44D1"/>
    <w:rsid w:val="002E49ED"/>
    <w:rsid w:val="002E5421"/>
    <w:rsid w:val="002E5EBD"/>
    <w:rsid w:val="002F12BA"/>
    <w:rsid w:val="002F14A1"/>
    <w:rsid w:val="002F366E"/>
    <w:rsid w:val="002F48B4"/>
    <w:rsid w:val="002F4F5C"/>
    <w:rsid w:val="002F6C7F"/>
    <w:rsid w:val="002F7B03"/>
    <w:rsid w:val="0030061A"/>
    <w:rsid w:val="00302A0D"/>
    <w:rsid w:val="00303917"/>
    <w:rsid w:val="00304B7E"/>
    <w:rsid w:val="00304E7D"/>
    <w:rsid w:val="00305C76"/>
    <w:rsid w:val="00305D4E"/>
    <w:rsid w:val="00306E44"/>
    <w:rsid w:val="003074DE"/>
    <w:rsid w:val="0031071D"/>
    <w:rsid w:val="00312261"/>
    <w:rsid w:val="00313AAB"/>
    <w:rsid w:val="00313F05"/>
    <w:rsid w:val="00315020"/>
    <w:rsid w:val="0031616C"/>
    <w:rsid w:val="00316E7D"/>
    <w:rsid w:val="003177B9"/>
    <w:rsid w:val="00317941"/>
    <w:rsid w:val="00320C6F"/>
    <w:rsid w:val="00320E8E"/>
    <w:rsid w:val="00321677"/>
    <w:rsid w:val="00321884"/>
    <w:rsid w:val="00324A0D"/>
    <w:rsid w:val="00324E0B"/>
    <w:rsid w:val="003262E4"/>
    <w:rsid w:val="00326FDF"/>
    <w:rsid w:val="003273C1"/>
    <w:rsid w:val="00327BA1"/>
    <w:rsid w:val="0033087A"/>
    <w:rsid w:val="00330AC8"/>
    <w:rsid w:val="00330E63"/>
    <w:rsid w:val="00331488"/>
    <w:rsid w:val="00331C5F"/>
    <w:rsid w:val="003326DA"/>
    <w:rsid w:val="0033354E"/>
    <w:rsid w:val="0033377B"/>
    <w:rsid w:val="00333BF2"/>
    <w:rsid w:val="00334898"/>
    <w:rsid w:val="00336E23"/>
    <w:rsid w:val="003371AC"/>
    <w:rsid w:val="003406DC"/>
    <w:rsid w:val="003415E5"/>
    <w:rsid w:val="00341C20"/>
    <w:rsid w:val="00342282"/>
    <w:rsid w:val="00342611"/>
    <w:rsid w:val="003428C8"/>
    <w:rsid w:val="00343A71"/>
    <w:rsid w:val="0034795B"/>
    <w:rsid w:val="00347BE2"/>
    <w:rsid w:val="00351EF3"/>
    <w:rsid w:val="00352E3A"/>
    <w:rsid w:val="00353AA3"/>
    <w:rsid w:val="003568B6"/>
    <w:rsid w:val="00356BBA"/>
    <w:rsid w:val="003600C5"/>
    <w:rsid w:val="0036162E"/>
    <w:rsid w:val="003628E3"/>
    <w:rsid w:val="00363405"/>
    <w:rsid w:val="0036433D"/>
    <w:rsid w:val="00364A80"/>
    <w:rsid w:val="003663D6"/>
    <w:rsid w:val="00370BC7"/>
    <w:rsid w:val="003714DC"/>
    <w:rsid w:val="003716F0"/>
    <w:rsid w:val="00371FDD"/>
    <w:rsid w:val="00373B80"/>
    <w:rsid w:val="003744D1"/>
    <w:rsid w:val="00374685"/>
    <w:rsid w:val="00374A32"/>
    <w:rsid w:val="0037796E"/>
    <w:rsid w:val="00377E2C"/>
    <w:rsid w:val="003801BD"/>
    <w:rsid w:val="003809B1"/>
    <w:rsid w:val="00381B4D"/>
    <w:rsid w:val="00381F69"/>
    <w:rsid w:val="003824E1"/>
    <w:rsid w:val="00382787"/>
    <w:rsid w:val="00383652"/>
    <w:rsid w:val="00383A71"/>
    <w:rsid w:val="003848B8"/>
    <w:rsid w:val="00387F03"/>
    <w:rsid w:val="003909B9"/>
    <w:rsid w:val="00392EF5"/>
    <w:rsid w:val="003940EF"/>
    <w:rsid w:val="003967F0"/>
    <w:rsid w:val="0039707A"/>
    <w:rsid w:val="003A02EE"/>
    <w:rsid w:val="003A056D"/>
    <w:rsid w:val="003A0E92"/>
    <w:rsid w:val="003A5485"/>
    <w:rsid w:val="003A6273"/>
    <w:rsid w:val="003A66B7"/>
    <w:rsid w:val="003A68F2"/>
    <w:rsid w:val="003A79BA"/>
    <w:rsid w:val="003A7CB3"/>
    <w:rsid w:val="003B02CF"/>
    <w:rsid w:val="003B03AA"/>
    <w:rsid w:val="003B0A32"/>
    <w:rsid w:val="003B1729"/>
    <w:rsid w:val="003B193E"/>
    <w:rsid w:val="003B1A10"/>
    <w:rsid w:val="003B25D3"/>
    <w:rsid w:val="003B2A8A"/>
    <w:rsid w:val="003B2D08"/>
    <w:rsid w:val="003B31B8"/>
    <w:rsid w:val="003B5961"/>
    <w:rsid w:val="003B621A"/>
    <w:rsid w:val="003B6A66"/>
    <w:rsid w:val="003B7F34"/>
    <w:rsid w:val="003C0DE6"/>
    <w:rsid w:val="003C1F1A"/>
    <w:rsid w:val="003C259B"/>
    <w:rsid w:val="003C3DF4"/>
    <w:rsid w:val="003C524B"/>
    <w:rsid w:val="003C6D5A"/>
    <w:rsid w:val="003D00AB"/>
    <w:rsid w:val="003D28B0"/>
    <w:rsid w:val="003D319D"/>
    <w:rsid w:val="003D36C8"/>
    <w:rsid w:val="003D4134"/>
    <w:rsid w:val="003D4FD5"/>
    <w:rsid w:val="003D6883"/>
    <w:rsid w:val="003D6ED2"/>
    <w:rsid w:val="003D74AB"/>
    <w:rsid w:val="003D78A4"/>
    <w:rsid w:val="003D7C40"/>
    <w:rsid w:val="003D7DC9"/>
    <w:rsid w:val="003E23F7"/>
    <w:rsid w:val="003E2DBB"/>
    <w:rsid w:val="003E3586"/>
    <w:rsid w:val="003E3745"/>
    <w:rsid w:val="003E39F7"/>
    <w:rsid w:val="003E3C6E"/>
    <w:rsid w:val="003E4661"/>
    <w:rsid w:val="003E5720"/>
    <w:rsid w:val="003E63C5"/>
    <w:rsid w:val="003E7930"/>
    <w:rsid w:val="003F0147"/>
    <w:rsid w:val="003F0259"/>
    <w:rsid w:val="003F02F5"/>
    <w:rsid w:val="003F2137"/>
    <w:rsid w:val="003F2CE9"/>
    <w:rsid w:val="003F378B"/>
    <w:rsid w:val="003F5A6F"/>
    <w:rsid w:val="003F621F"/>
    <w:rsid w:val="003F64A7"/>
    <w:rsid w:val="003F6640"/>
    <w:rsid w:val="003F77CC"/>
    <w:rsid w:val="003F7EF5"/>
    <w:rsid w:val="00400DEE"/>
    <w:rsid w:val="00401614"/>
    <w:rsid w:val="00402EE9"/>
    <w:rsid w:val="00403D6C"/>
    <w:rsid w:val="004046E4"/>
    <w:rsid w:val="004052BD"/>
    <w:rsid w:val="00405446"/>
    <w:rsid w:val="00405653"/>
    <w:rsid w:val="00405ACC"/>
    <w:rsid w:val="00406351"/>
    <w:rsid w:val="0040755D"/>
    <w:rsid w:val="00407E12"/>
    <w:rsid w:val="00410624"/>
    <w:rsid w:val="00411180"/>
    <w:rsid w:val="004114B6"/>
    <w:rsid w:val="0041150E"/>
    <w:rsid w:val="00413958"/>
    <w:rsid w:val="00414579"/>
    <w:rsid w:val="00415030"/>
    <w:rsid w:val="004168D1"/>
    <w:rsid w:val="00417456"/>
    <w:rsid w:val="00417592"/>
    <w:rsid w:val="00417CC4"/>
    <w:rsid w:val="00417D31"/>
    <w:rsid w:val="004203CD"/>
    <w:rsid w:val="00420438"/>
    <w:rsid w:val="00420454"/>
    <w:rsid w:val="00420BB2"/>
    <w:rsid w:val="004210CC"/>
    <w:rsid w:val="00422D1F"/>
    <w:rsid w:val="004251F0"/>
    <w:rsid w:val="004262A5"/>
    <w:rsid w:val="00430C00"/>
    <w:rsid w:val="004314F5"/>
    <w:rsid w:val="00432006"/>
    <w:rsid w:val="004323E3"/>
    <w:rsid w:val="00432882"/>
    <w:rsid w:val="00433889"/>
    <w:rsid w:val="00433A54"/>
    <w:rsid w:val="00433D0E"/>
    <w:rsid w:val="00436000"/>
    <w:rsid w:val="0043648F"/>
    <w:rsid w:val="00437BC0"/>
    <w:rsid w:val="004406E9"/>
    <w:rsid w:val="00440941"/>
    <w:rsid w:val="0044168D"/>
    <w:rsid w:val="00442403"/>
    <w:rsid w:val="004433AF"/>
    <w:rsid w:val="0044385B"/>
    <w:rsid w:val="0044447C"/>
    <w:rsid w:val="00444B52"/>
    <w:rsid w:val="00445099"/>
    <w:rsid w:val="00447DD2"/>
    <w:rsid w:val="004520C0"/>
    <w:rsid w:val="004526A7"/>
    <w:rsid w:val="004529D2"/>
    <w:rsid w:val="00452C1B"/>
    <w:rsid w:val="0045321F"/>
    <w:rsid w:val="00453989"/>
    <w:rsid w:val="00453F57"/>
    <w:rsid w:val="00455189"/>
    <w:rsid w:val="00455F48"/>
    <w:rsid w:val="00457710"/>
    <w:rsid w:val="004577E1"/>
    <w:rsid w:val="00457D5F"/>
    <w:rsid w:val="00460488"/>
    <w:rsid w:val="00461D3D"/>
    <w:rsid w:val="00461D56"/>
    <w:rsid w:val="00464C73"/>
    <w:rsid w:val="00467B91"/>
    <w:rsid w:val="004711C8"/>
    <w:rsid w:val="00471C4B"/>
    <w:rsid w:val="00471CE9"/>
    <w:rsid w:val="00472458"/>
    <w:rsid w:val="00475631"/>
    <w:rsid w:val="0048322B"/>
    <w:rsid w:val="00483334"/>
    <w:rsid w:val="00483CEC"/>
    <w:rsid w:val="004846C8"/>
    <w:rsid w:val="00484A93"/>
    <w:rsid w:val="004852A1"/>
    <w:rsid w:val="004871A2"/>
    <w:rsid w:val="00490104"/>
    <w:rsid w:val="00490D68"/>
    <w:rsid w:val="00491D90"/>
    <w:rsid w:val="00491E1A"/>
    <w:rsid w:val="00492430"/>
    <w:rsid w:val="00492452"/>
    <w:rsid w:val="00493532"/>
    <w:rsid w:val="00494061"/>
    <w:rsid w:val="004945A0"/>
    <w:rsid w:val="004965D5"/>
    <w:rsid w:val="00496BB0"/>
    <w:rsid w:val="004A05F5"/>
    <w:rsid w:val="004A0D5D"/>
    <w:rsid w:val="004A19C5"/>
    <w:rsid w:val="004A1AA5"/>
    <w:rsid w:val="004A1C33"/>
    <w:rsid w:val="004A2B58"/>
    <w:rsid w:val="004A37AC"/>
    <w:rsid w:val="004A4B53"/>
    <w:rsid w:val="004A4E66"/>
    <w:rsid w:val="004A5454"/>
    <w:rsid w:val="004A6D41"/>
    <w:rsid w:val="004A732B"/>
    <w:rsid w:val="004A73DB"/>
    <w:rsid w:val="004A79C3"/>
    <w:rsid w:val="004A7AE3"/>
    <w:rsid w:val="004B1915"/>
    <w:rsid w:val="004B1BDA"/>
    <w:rsid w:val="004B3B79"/>
    <w:rsid w:val="004B416E"/>
    <w:rsid w:val="004B4EC1"/>
    <w:rsid w:val="004B5D63"/>
    <w:rsid w:val="004C12AC"/>
    <w:rsid w:val="004C2E3C"/>
    <w:rsid w:val="004C545E"/>
    <w:rsid w:val="004C558A"/>
    <w:rsid w:val="004C7456"/>
    <w:rsid w:val="004D0323"/>
    <w:rsid w:val="004D0518"/>
    <w:rsid w:val="004D067A"/>
    <w:rsid w:val="004D17E7"/>
    <w:rsid w:val="004D3084"/>
    <w:rsid w:val="004D42AC"/>
    <w:rsid w:val="004D602A"/>
    <w:rsid w:val="004D7DEA"/>
    <w:rsid w:val="004D7EF4"/>
    <w:rsid w:val="004E0005"/>
    <w:rsid w:val="004E104C"/>
    <w:rsid w:val="004E2390"/>
    <w:rsid w:val="004E26CC"/>
    <w:rsid w:val="004E27E7"/>
    <w:rsid w:val="004E2927"/>
    <w:rsid w:val="004E3197"/>
    <w:rsid w:val="004E349F"/>
    <w:rsid w:val="004E69B2"/>
    <w:rsid w:val="004E79FF"/>
    <w:rsid w:val="004F043D"/>
    <w:rsid w:val="004F0B4B"/>
    <w:rsid w:val="004F2155"/>
    <w:rsid w:val="004F2AB2"/>
    <w:rsid w:val="004F6902"/>
    <w:rsid w:val="004F7525"/>
    <w:rsid w:val="004F7A4A"/>
    <w:rsid w:val="004F7DD9"/>
    <w:rsid w:val="005001D9"/>
    <w:rsid w:val="00502AEC"/>
    <w:rsid w:val="005031CE"/>
    <w:rsid w:val="005034F7"/>
    <w:rsid w:val="00504AF2"/>
    <w:rsid w:val="005054EA"/>
    <w:rsid w:val="005057BD"/>
    <w:rsid w:val="00506803"/>
    <w:rsid w:val="00507724"/>
    <w:rsid w:val="005100D8"/>
    <w:rsid w:val="00511A86"/>
    <w:rsid w:val="00512B65"/>
    <w:rsid w:val="00512B7B"/>
    <w:rsid w:val="00513F69"/>
    <w:rsid w:val="00514E76"/>
    <w:rsid w:val="00515460"/>
    <w:rsid w:val="00515A50"/>
    <w:rsid w:val="00515F56"/>
    <w:rsid w:val="00517B84"/>
    <w:rsid w:val="00520348"/>
    <w:rsid w:val="00520AAB"/>
    <w:rsid w:val="00521476"/>
    <w:rsid w:val="0052253A"/>
    <w:rsid w:val="00523641"/>
    <w:rsid w:val="00523E8F"/>
    <w:rsid w:val="0052470C"/>
    <w:rsid w:val="00525311"/>
    <w:rsid w:val="005303A9"/>
    <w:rsid w:val="00530CC9"/>
    <w:rsid w:val="00532865"/>
    <w:rsid w:val="0053577C"/>
    <w:rsid w:val="00535C88"/>
    <w:rsid w:val="005368AD"/>
    <w:rsid w:val="005368E6"/>
    <w:rsid w:val="0053764A"/>
    <w:rsid w:val="00537D7F"/>
    <w:rsid w:val="00540E73"/>
    <w:rsid w:val="00541FD9"/>
    <w:rsid w:val="00543A18"/>
    <w:rsid w:val="005449CD"/>
    <w:rsid w:val="0054525F"/>
    <w:rsid w:val="00546013"/>
    <w:rsid w:val="00547A78"/>
    <w:rsid w:val="0055170A"/>
    <w:rsid w:val="005519A6"/>
    <w:rsid w:val="00551F0E"/>
    <w:rsid w:val="0055298F"/>
    <w:rsid w:val="00554955"/>
    <w:rsid w:val="00556068"/>
    <w:rsid w:val="00557D8E"/>
    <w:rsid w:val="00560175"/>
    <w:rsid w:val="0056024B"/>
    <w:rsid w:val="00560E4B"/>
    <w:rsid w:val="005610E7"/>
    <w:rsid w:val="00561744"/>
    <w:rsid w:val="00562715"/>
    <w:rsid w:val="00562748"/>
    <w:rsid w:val="0056372D"/>
    <w:rsid w:val="00571446"/>
    <w:rsid w:val="00572BAD"/>
    <w:rsid w:val="00572FBA"/>
    <w:rsid w:val="00575014"/>
    <w:rsid w:val="0057575C"/>
    <w:rsid w:val="005759B1"/>
    <w:rsid w:val="00575CFB"/>
    <w:rsid w:val="0057741E"/>
    <w:rsid w:val="00577747"/>
    <w:rsid w:val="005777B5"/>
    <w:rsid w:val="005811E4"/>
    <w:rsid w:val="005830EC"/>
    <w:rsid w:val="00583C7A"/>
    <w:rsid w:val="0058460F"/>
    <w:rsid w:val="00587623"/>
    <w:rsid w:val="0059075E"/>
    <w:rsid w:val="005917F4"/>
    <w:rsid w:val="00591C06"/>
    <w:rsid w:val="005921B0"/>
    <w:rsid w:val="005931A0"/>
    <w:rsid w:val="005933F4"/>
    <w:rsid w:val="00593CEF"/>
    <w:rsid w:val="00593F68"/>
    <w:rsid w:val="0059524D"/>
    <w:rsid w:val="00595996"/>
    <w:rsid w:val="00595D11"/>
    <w:rsid w:val="0059743E"/>
    <w:rsid w:val="005A3B5E"/>
    <w:rsid w:val="005A50BE"/>
    <w:rsid w:val="005A561D"/>
    <w:rsid w:val="005A5BF6"/>
    <w:rsid w:val="005A6AC0"/>
    <w:rsid w:val="005A7010"/>
    <w:rsid w:val="005A7273"/>
    <w:rsid w:val="005B074C"/>
    <w:rsid w:val="005B0BB8"/>
    <w:rsid w:val="005B1480"/>
    <w:rsid w:val="005B210F"/>
    <w:rsid w:val="005B2A08"/>
    <w:rsid w:val="005B3BA3"/>
    <w:rsid w:val="005B3BDE"/>
    <w:rsid w:val="005B3EE8"/>
    <w:rsid w:val="005B43F3"/>
    <w:rsid w:val="005B5690"/>
    <w:rsid w:val="005B677E"/>
    <w:rsid w:val="005B6B26"/>
    <w:rsid w:val="005B6FA8"/>
    <w:rsid w:val="005B7F70"/>
    <w:rsid w:val="005C03EE"/>
    <w:rsid w:val="005C198E"/>
    <w:rsid w:val="005C1F1D"/>
    <w:rsid w:val="005C2D42"/>
    <w:rsid w:val="005C3A28"/>
    <w:rsid w:val="005C438C"/>
    <w:rsid w:val="005D1275"/>
    <w:rsid w:val="005D2E93"/>
    <w:rsid w:val="005D2F2E"/>
    <w:rsid w:val="005D3039"/>
    <w:rsid w:val="005D3676"/>
    <w:rsid w:val="005D42B2"/>
    <w:rsid w:val="005D4853"/>
    <w:rsid w:val="005D4AEA"/>
    <w:rsid w:val="005D4FE0"/>
    <w:rsid w:val="005D585D"/>
    <w:rsid w:val="005D5D2E"/>
    <w:rsid w:val="005D7E84"/>
    <w:rsid w:val="005E3702"/>
    <w:rsid w:val="005E3D17"/>
    <w:rsid w:val="005E4481"/>
    <w:rsid w:val="005E4743"/>
    <w:rsid w:val="005E68EA"/>
    <w:rsid w:val="005E6C53"/>
    <w:rsid w:val="005E7A07"/>
    <w:rsid w:val="005E7B22"/>
    <w:rsid w:val="005E7F4C"/>
    <w:rsid w:val="005F047A"/>
    <w:rsid w:val="005F15D2"/>
    <w:rsid w:val="005F1C6F"/>
    <w:rsid w:val="005F265C"/>
    <w:rsid w:val="005F45B9"/>
    <w:rsid w:val="005F57C7"/>
    <w:rsid w:val="005F61CA"/>
    <w:rsid w:val="00600548"/>
    <w:rsid w:val="006015AC"/>
    <w:rsid w:val="006024F0"/>
    <w:rsid w:val="006037FB"/>
    <w:rsid w:val="00604053"/>
    <w:rsid w:val="006057B8"/>
    <w:rsid w:val="00605B74"/>
    <w:rsid w:val="006062DD"/>
    <w:rsid w:val="0060697F"/>
    <w:rsid w:val="00607689"/>
    <w:rsid w:val="006076DB"/>
    <w:rsid w:val="00610A14"/>
    <w:rsid w:val="00610BF1"/>
    <w:rsid w:val="0061300F"/>
    <w:rsid w:val="00613FAA"/>
    <w:rsid w:val="006148AC"/>
    <w:rsid w:val="00615207"/>
    <w:rsid w:val="00615C24"/>
    <w:rsid w:val="00616571"/>
    <w:rsid w:val="00617087"/>
    <w:rsid w:val="00617585"/>
    <w:rsid w:val="00617BDF"/>
    <w:rsid w:val="00622175"/>
    <w:rsid w:val="00622CAE"/>
    <w:rsid w:val="00622CFA"/>
    <w:rsid w:val="00622FDC"/>
    <w:rsid w:val="00623042"/>
    <w:rsid w:val="00624A4D"/>
    <w:rsid w:val="00626618"/>
    <w:rsid w:val="0063351D"/>
    <w:rsid w:val="00633C93"/>
    <w:rsid w:val="00633F87"/>
    <w:rsid w:val="00634739"/>
    <w:rsid w:val="00635103"/>
    <w:rsid w:val="00636CB6"/>
    <w:rsid w:val="0064032A"/>
    <w:rsid w:val="006410A9"/>
    <w:rsid w:val="0064132C"/>
    <w:rsid w:val="0064151E"/>
    <w:rsid w:val="00642C2C"/>
    <w:rsid w:val="006447B4"/>
    <w:rsid w:val="006452B7"/>
    <w:rsid w:val="00646201"/>
    <w:rsid w:val="0064631B"/>
    <w:rsid w:val="00646466"/>
    <w:rsid w:val="00647044"/>
    <w:rsid w:val="0064726A"/>
    <w:rsid w:val="00650099"/>
    <w:rsid w:val="0065102D"/>
    <w:rsid w:val="006532FA"/>
    <w:rsid w:val="0065373F"/>
    <w:rsid w:val="00654824"/>
    <w:rsid w:val="00654B20"/>
    <w:rsid w:val="0065711E"/>
    <w:rsid w:val="00657820"/>
    <w:rsid w:val="006578C6"/>
    <w:rsid w:val="00660735"/>
    <w:rsid w:val="00663727"/>
    <w:rsid w:val="0066393B"/>
    <w:rsid w:val="00663EF8"/>
    <w:rsid w:val="00665108"/>
    <w:rsid w:val="0066527C"/>
    <w:rsid w:val="00665422"/>
    <w:rsid w:val="00665BBD"/>
    <w:rsid w:val="0066666C"/>
    <w:rsid w:val="0066686C"/>
    <w:rsid w:val="00667647"/>
    <w:rsid w:val="00670783"/>
    <w:rsid w:val="00673B8A"/>
    <w:rsid w:val="006764DB"/>
    <w:rsid w:val="00676575"/>
    <w:rsid w:val="0067762B"/>
    <w:rsid w:val="00677B43"/>
    <w:rsid w:val="006811C7"/>
    <w:rsid w:val="006829C8"/>
    <w:rsid w:val="006843CC"/>
    <w:rsid w:val="00685B17"/>
    <w:rsid w:val="00686B0A"/>
    <w:rsid w:val="0068770C"/>
    <w:rsid w:val="00687BD0"/>
    <w:rsid w:val="006914EF"/>
    <w:rsid w:val="006919CF"/>
    <w:rsid w:val="00692254"/>
    <w:rsid w:val="00694599"/>
    <w:rsid w:val="0069590C"/>
    <w:rsid w:val="00696A29"/>
    <w:rsid w:val="006A0B5A"/>
    <w:rsid w:val="006A1B41"/>
    <w:rsid w:val="006A1C6A"/>
    <w:rsid w:val="006A2214"/>
    <w:rsid w:val="006A354E"/>
    <w:rsid w:val="006A5381"/>
    <w:rsid w:val="006A53CF"/>
    <w:rsid w:val="006A6A7E"/>
    <w:rsid w:val="006A6F18"/>
    <w:rsid w:val="006A7AED"/>
    <w:rsid w:val="006B0EB8"/>
    <w:rsid w:val="006B3050"/>
    <w:rsid w:val="006B3FEF"/>
    <w:rsid w:val="006B5375"/>
    <w:rsid w:val="006B540B"/>
    <w:rsid w:val="006B5A8E"/>
    <w:rsid w:val="006B5FCB"/>
    <w:rsid w:val="006C0026"/>
    <w:rsid w:val="006C1BA5"/>
    <w:rsid w:val="006C1D67"/>
    <w:rsid w:val="006C3068"/>
    <w:rsid w:val="006C46D6"/>
    <w:rsid w:val="006C5248"/>
    <w:rsid w:val="006C63B0"/>
    <w:rsid w:val="006C7434"/>
    <w:rsid w:val="006D0075"/>
    <w:rsid w:val="006D01B9"/>
    <w:rsid w:val="006D032D"/>
    <w:rsid w:val="006D439A"/>
    <w:rsid w:val="006D4A65"/>
    <w:rsid w:val="006D673C"/>
    <w:rsid w:val="006D6F80"/>
    <w:rsid w:val="006D7A93"/>
    <w:rsid w:val="006E0256"/>
    <w:rsid w:val="006E05FB"/>
    <w:rsid w:val="006E0B52"/>
    <w:rsid w:val="006E0F28"/>
    <w:rsid w:val="006E1316"/>
    <w:rsid w:val="006E16C9"/>
    <w:rsid w:val="006E35B7"/>
    <w:rsid w:val="006E3953"/>
    <w:rsid w:val="006E3989"/>
    <w:rsid w:val="006E3FEB"/>
    <w:rsid w:val="006E5D75"/>
    <w:rsid w:val="006F0593"/>
    <w:rsid w:val="006F11A3"/>
    <w:rsid w:val="006F1CCF"/>
    <w:rsid w:val="006F3F04"/>
    <w:rsid w:val="006F6AE4"/>
    <w:rsid w:val="006F70D1"/>
    <w:rsid w:val="00700890"/>
    <w:rsid w:val="00700E5F"/>
    <w:rsid w:val="00701E36"/>
    <w:rsid w:val="00701E3C"/>
    <w:rsid w:val="00702976"/>
    <w:rsid w:val="00702EC3"/>
    <w:rsid w:val="00705E67"/>
    <w:rsid w:val="00706517"/>
    <w:rsid w:val="00706F38"/>
    <w:rsid w:val="00711D15"/>
    <w:rsid w:val="00712EBD"/>
    <w:rsid w:val="007136E5"/>
    <w:rsid w:val="007145F9"/>
    <w:rsid w:val="00714696"/>
    <w:rsid w:val="0071518C"/>
    <w:rsid w:val="00715AEB"/>
    <w:rsid w:val="00715F1C"/>
    <w:rsid w:val="00716245"/>
    <w:rsid w:val="00716FD3"/>
    <w:rsid w:val="00717E00"/>
    <w:rsid w:val="007200D6"/>
    <w:rsid w:val="00720573"/>
    <w:rsid w:val="00720848"/>
    <w:rsid w:val="0072172B"/>
    <w:rsid w:val="007219AF"/>
    <w:rsid w:val="00721D80"/>
    <w:rsid w:val="00721DC7"/>
    <w:rsid w:val="00722E82"/>
    <w:rsid w:val="00723323"/>
    <w:rsid w:val="00723DA0"/>
    <w:rsid w:val="00724DA4"/>
    <w:rsid w:val="00726654"/>
    <w:rsid w:val="0073160D"/>
    <w:rsid w:val="00732B57"/>
    <w:rsid w:val="00732F39"/>
    <w:rsid w:val="00733903"/>
    <w:rsid w:val="007350C9"/>
    <w:rsid w:val="00736EF1"/>
    <w:rsid w:val="0074072C"/>
    <w:rsid w:val="0074091C"/>
    <w:rsid w:val="00740FCD"/>
    <w:rsid w:val="00742BB5"/>
    <w:rsid w:val="00742C93"/>
    <w:rsid w:val="00742CBC"/>
    <w:rsid w:val="0074410F"/>
    <w:rsid w:val="00746479"/>
    <w:rsid w:val="00747D0D"/>
    <w:rsid w:val="00747F8B"/>
    <w:rsid w:val="00750AAE"/>
    <w:rsid w:val="00750B37"/>
    <w:rsid w:val="00750D66"/>
    <w:rsid w:val="00753980"/>
    <w:rsid w:val="00753F9C"/>
    <w:rsid w:val="00754264"/>
    <w:rsid w:val="00754337"/>
    <w:rsid w:val="00754800"/>
    <w:rsid w:val="00754BDC"/>
    <w:rsid w:val="00754C20"/>
    <w:rsid w:val="00755C04"/>
    <w:rsid w:val="00755F65"/>
    <w:rsid w:val="00756650"/>
    <w:rsid w:val="00756C5F"/>
    <w:rsid w:val="007577A0"/>
    <w:rsid w:val="007577ED"/>
    <w:rsid w:val="00757B73"/>
    <w:rsid w:val="00757EAD"/>
    <w:rsid w:val="007608B6"/>
    <w:rsid w:val="00761C74"/>
    <w:rsid w:val="00761D5D"/>
    <w:rsid w:val="00763A92"/>
    <w:rsid w:val="0076432C"/>
    <w:rsid w:val="007654C0"/>
    <w:rsid w:val="00765C95"/>
    <w:rsid w:val="007661DD"/>
    <w:rsid w:val="00766A7B"/>
    <w:rsid w:val="00767753"/>
    <w:rsid w:val="007679A1"/>
    <w:rsid w:val="00767E08"/>
    <w:rsid w:val="00770C4B"/>
    <w:rsid w:val="00771147"/>
    <w:rsid w:val="0077115B"/>
    <w:rsid w:val="007712A9"/>
    <w:rsid w:val="007722D6"/>
    <w:rsid w:val="007727CA"/>
    <w:rsid w:val="007747A9"/>
    <w:rsid w:val="00774F5D"/>
    <w:rsid w:val="0077519E"/>
    <w:rsid w:val="007762B8"/>
    <w:rsid w:val="007762B9"/>
    <w:rsid w:val="00776727"/>
    <w:rsid w:val="00776A16"/>
    <w:rsid w:val="00776FA7"/>
    <w:rsid w:val="00780703"/>
    <w:rsid w:val="00780F11"/>
    <w:rsid w:val="0078191C"/>
    <w:rsid w:val="00782548"/>
    <w:rsid w:val="007833C7"/>
    <w:rsid w:val="00783838"/>
    <w:rsid w:val="00783DB8"/>
    <w:rsid w:val="0078403B"/>
    <w:rsid w:val="00785B03"/>
    <w:rsid w:val="00785C42"/>
    <w:rsid w:val="0079110A"/>
    <w:rsid w:val="00795AFD"/>
    <w:rsid w:val="007964C8"/>
    <w:rsid w:val="007976B8"/>
    <w:rsid w:val="007A02CC"/>
    <w:rsid w:val="007A048C"/>
    <w:rsid w:val="007A0554"/>
    <w:rsid w:val="007A0A42"/>
    <w:rsid w:val="007A2FC4"/>
    <w:rsid w:val="007A4539"/>
    <w:rsid w:val="007A5385"/>
    <w:rsid w:val="007A5A8E"/>
    <w:rsid w:val="007A5E7E"/>
    <w:rsid w:val="007A6E66"/>
    <w:rsid w:val="007A787C"/>
    <w:rsid w:val="007A7AD6"/>
    <w:rsid w:val="007A7C71"/>
    <w:rsid w:val="007B1B29"/>
    <w:rsid w:val="007B26B4"/>
    <w:rsid w:val="007B3949"/>
    <w:rsid w:val="007B3DE0"/>
    <w:rsid w:val="007B57B3"/>
    <w:rsid w:val="007B5E4A"/>
    <w:rsid w:val="007B61E9"/>
    <w:rsid w:val="007B6C5A"/>
    <w:rsid w:val="007B6EC3"/>
    <w:rsid w:val="007B7B83"/>
    <w:rsid w:val="007B7C02"/>
    <w:rsid w:val="007C1901"/>
    <w:rsid w:val="007C2415"/>
    <w:rsid w:val="007C29DB"/>
    <w:rsid w:val="007C3F60"/>
    <w:rsid w:val="007C4712"/>
    <w:rsid w:val="007C4B6F"/>
    <w:rsid w:val="007C578B"/>
    <w:rsid w:val="007C7FEA"/>
    <w:rsid w:val="007D0803"/>
    <w:rsid w:val="007D2339"/>
    <w:rsid w:val="007D2451"/>
    <w:rsid w:val="007D3004"/>
    <w:rsid w:val="007D449C"/>
    <w:rsid w:val="007D7991"/>
    <w:rsid w:val="007E011B"/>
    <w:rsid w:val="007E1BAD"/>
    <w:rsid w:val="007E2318"/>
    <w:rsid w:val="007E252D"/>
    <w:rsid w:val="007E36A2"/>
    <w:rsid w:val="007E3DFD"/>
    <w:rsid w:val="007E618E"/>
    <w:rsid w:val="007E7F46"/>
    <w:rsid w:val="007F0693"/>
    <w:rsid w:val="007F19A9"/>
    <w:rsid w:val="007F1AE5"/>
    <w:rsid w:val="007F1D71"/>
    <w:rsid w:val="007F2283"/>
    <w:rsid w:val="007F2679"/>
    <w:rsid w:val="007F31ED"/>
    <w:rsid w:val="007F3DB9"/>
    <w:rsid w:val="007F406C"/>
    <w:rsid w:val="007F519D"/>
    <w:rsid w:val="007F5C92"/>
    <w:rsid w:val="007F7441"/>
    <w:rsid w:val="007F79F8"/>
    <w:rsid w:val="007F7DEF"/>
    <w:rsid w:val="008000E7"/>
    <w:rsid w:val="00801719"/>
    <w:rsid w:val="0080192D"/>
    <w:rsid w:val="00802A14"/>
    <w:rsid w:val="00802BE9"/>
    <w:rsid w:val="00803296"/>
    <w:rsid w:val="008033B6"/>
    <w:rsid w:val="0080419A"/>
    <w:rsid w:val="00804342"/>
    <w:rsid w:val="00804FA7"/>
    <w:rsid w:val="0080717A"/>
    <w:rsid w:val="0081167C"/>
    <w:rsid w:val="008116D6"/>
    <w:rsid w:val="008127F3"/>
    <w:rsid w:val="00812888"/>
    <w:rsid w:val="00812CE4"/>
    <w:rsid w:val="00814E47"/>
    <w:rsid w:val="00816570"/>
    <w:rsid w:val="008168C5"/>
    <w:rsid w:val="0081774C"/>
    <w:rsid w:val="00817A66"/>
    <w:rsid w:val="00820A79"/>
    <w:rsid w:val="00820C37"/>
    <w:rsid w:val="00823F5D"/>
    <w:rsid w:val="008245CC"/>
    <w:rsid w:val="0082658D"/>
    <w:rsid w:val="00826BF3"/>
    <w:rsid w:val="00827203"/>
    <w:rsid w:val="0083016E"/>
    <w:rsid w:val="00831090"/>
    <w:rsid w:val="00832063"/>
    <w:rsid w:val="00832989"/>
    <w:rsid w:val="00833997"/>
    <w:rsid w:val="008339A4"/>
    <w:rsid w:val="008340E6"/>
    <w:rsid w:val="008345F7"/>
    <w:rsid w:val="008348C3"/>
    <w:rsid w:val="008354F0"/>
    <w:rsid w:val="00835604"/>
    <w:rsid w:val="0084091D"/>
    <w:rsid w:val="00840E2E"/>
    <w:rsid w:val="0084123A"/>
    <w:rsid w:val="00841D3E"/>
    <w:rsid w:val="00842509"/>
    <w:rsid w:val="00843534"/>
    <w:rsid w:val="0084374A"/>
    <w:rsid w:val="00843AC2"/>
    <w:rsid w:val="00843F0A"/>
    <w:rsid w:val="008443DA"/>
    <w:rsid w:val="00845E0D"/>
    <w:rsid w:val="0084642D"/>
    <w:rsid w:val="00846F9E"/>
    <w:rsid w:val="008470D2"/>
    <w:rsid w:val="00847B12"/>
    <w:rsid w:val="00852117"/>
    <w:rsid w:val="00852B7C"/>
    <w:rsid w:val="00852DD7"/>
    <w:rsid w:val="008533D0"/>
    <w:rsid w:val="00853D61"/>
    <w:rsid w:val="00853EA5"/>
    <w:rsid w:val="00854F6F"/>
    <w:rsid w:val="00854F9B"/>
    <w:rsid w:val="00855750"/>
    <w:rsid w:val="00856E62"/>
    <w:rsid w:val="00857571"/>
    <w:rsid w:val="008577B9"/>
    <w:rsid w:val="008608C1"/>
    <w:rsid w:val="008619A2"/>
    <w:rsid w:val="0086446D"/>
    <w:rsid w:val="008645B7"/>
    <w:rsid w:val="00867254"/>
    <w:rsid w:val="00867404"/>
    <w:rsid w:val="008711E0"/>
    <w:rsid w:val="0087147D"/>
    <w:rsid w:val="0087169A"/>
    <w:rsid w:val="008739B0"/>
    <w:rsid w:val="00873DDA"/>
    <w:rsid w:val="00874E71"/>
    <w:rsid w:val="008759EE"/>
    <w:rsid w:val="00875B42"/>
    <w:rsid w:val="00881034"/>
    <w:rsid w:val="00882F4F"/>
    <w:rsid w:val="00884064"/>
    <w:rsid w:val="00884348"/>
    <w:rsid w:val="00887FA7"/>
    <w:rsid w:val="008909FD"/>
    <w:rsid w:val="008950BE"/>
    <w:rsid w:val="00895459"/>
    <w:rsid w:val="0089556E"/>
    <w:rsid w:val="008957F3"/>
    <w:rsid w:val="0089690D"/>
    <w:rsid w:val="008974E3"/>
    <w:rsid w:val="008A2C38"/>
    <w:rsid w:val="008A397D"/>
    <w:rsid w:val="008A4601"/>
    <w:rsid w:val="008A4E94"/>
    <w:rsid w:val="008A6C34"/>
    <w:rsid w:val="008B085A"/>
    <w:rsid w:val="008B0874"/>
    <w:rsid w:val="008B11D6"/>
    <w:rsid w:val="008B18DD"/>
    <w:rsid w:val="008B4370"/>
    <w:rsid w:val="008B4760"/>
    <w:rsid w:val="008B775D"/>
    <w:rsid w:val="008B7C5A"/>
    <w:rsid w:val="008C02B7"/>
    <w:rsid w:val="008C105B"/>
    <w:rsid w:val="008C111F"/>
    <w:rsid w:val="008C1791"/>
    <w:rsid w:val="008C17FF"/>
    <w:rsid w:val="008C1E9B"/>
    <w:rsid w:val="008C5052"/>
    <w:rsid w:val="008D074B"/>
    <w:rsid w:val="008D4944"/>
    <w:rsid w:val="008D652E"/>
    <w:rsid w:val="008D6C05"/>
    <w:rsid w:val="008D7D65"/>
    <w:rsid w:val="008E07F6"/>
    <w:rsid w:val="008E180A"/>
    <w:rsid w:val="008E1B00"/>
    <w:rsid w:val="008E3612"/>
    <w:rsid w:val="008E3651"/>
    <w:rsid w:val="008E4764"/>
    <w:rsid w:val="008E526C"/>
    <w:rsid w:val="008E568A"/>
    <w:rsid w:val="008E5860"/>
    <w:rsid w:val="008E5F2A"/>
    <w:rsid w:val="008E601E"/>
    <w:rsid w:val="008E61C0"/>
    <w:rsid w:val="008E64A9"/>
    <w:rsid w:val="008E748B"/>
    <w:rsid w:val="008F1114"/>
    <w:rsid w:val="008F2222"/>
    <w:rsid w:val="008F44CD"/>
    <w:rsid w:val="008F60A0"/>
    <w:rsid w:val="008F723B"/>
    <w:rsid w:val="008F72BF"/>
    <w:rsid w:val="008F7824"/>
    <w:rsid w:val="008F7CD1"/>
    <w:rsid w:val="00900385"/>
    <w:rsid w:val="0090143C"/>
    <w:rsid w:val="009027FF"/>
    <w:rsid w:val="00903478"/>
    <w:rsid w:val="00904F80"/>
    <w:rsid w:val="00905CE1"/>
    <w:rsid w:val="00907017"/>
    <w:rsid w:val="009079E1"/>
    <w:rsid w:val="009105FB"/>
    <w:rsid w:val="00910F22"/>
    <w:rsid w:val="009138C3"/>
    <w:rsid w:val="00913A2E"/>
    <w:rsid w:val="00914444"/>
    <w:rsid w:val="0091452D"/>
    <w:rsid w:val="00914E68"/>
    <w:rsid w:val="00914FF9"/>
    <w:rsid w:val="00915D22"/>
    <w:rsid w:val="009164E3"/>
    <w:rsid w:val="009168F5"/>
    <w:rsid w:val="00916BFE"/>
    <w:rsid w:val="00916E81"/>
    <w:rsid w:val="00917DFE"/>
    <w:rsid w:val="00920224"/>
    <w:rsid w:val="00920FF1"/>
    <w:rsid w:val="0092146C"/>
    <w:rsid w:val="00921760"/>
    <w:rsid w:val="0092186A"/>
    <w:rsid w:val="009238BA"/>
    <w:rsid w:val="00924CB1"/>
    <w:rsid w:val="00924DF0"/>
    <w:rsid w:val="009253FA"/>
    <w:rsid w:val="00925FDD"/>
    <w:rsid w:val="00926F7E"/>
    <w:rsid w:val="0093073A"/>
    <w:rsid w:val="00932AC8"/>
    <w:rsid w:val="0093329B"/>
    <w:rsid w:val="00934AA8"/>
    <w:rsid w:val="00934DE1"/>
    <w:rsid w:val="009357B1"/>
    <w:rsid w:val="00940108"/>
    <w:rsid w:val="00941451"/>
    <w:rsid w:val="00941A15"/>
    <w:rsid w:val="00941EA3"/>
    <w:rsid w:val="00943713"/>
    <w:rsid w:val="00943C33"/>
    <w:rsid w:val="00944D7A"/>
    <w:rsid w:val="00944EAF"/>
    <w:rsid w:val="00946C20"/>
    <w:rsid w:val="0094779B"/>
    <w:rsid w:val="00947AE1"/>
    <w:rsid w:val="00951175"/>
    <w:rsid w:val="009512FB"/>
    <w:rsid w:val="009525E4"/>
    <w:rsid w:val="00952ABA"/>
    <w:rsid w:val="00952FDF"/>
    <w:rsid w:val="009539C7"/>
    <w:rsid w:val="00953CFF"/>
    <w:rsid w:val="00955944"/>
    <w:rsid w:val="00957651"/>
    <w:rsid w:val="00957CFE"/>
    <w:rsid w:val="00961CCF"/>
    <w:rsid w:val="00961FF3"/>
    <w:rsid w:val="00962512"/>
    <w:rsid w:val="00962B41"/>
    <w:rsid w:val="009633DF"/>
    <w:rsid w:val="009639B7"/>
    <w:rsid w:val="009647EC"/>
    <w:rsid w:val="009655C2"/>
    <w:rsid w:val="00967858"/>
    <w:rsid w:val="00970644"/>
    <w:rsid w:val="00970B1F"/>
    <w:rsid w:val="00970C90"/>
    <w:rsid w:val="00970EEC"/>
    <w:rsid w:val="0097314F"/>
    <w:rsid w:val="009732DC"/>
    <w:rsid w:val="00974534"/>
    <w:rsid w:val="0097483B"/>
    <w:rsid w:val="00976526"/>
    <w:rsid w:val="00981CA8"/>
    <w:rsid w:val="00981DF8"/>
    <w:rsid w:val="0098236D"/>
    <w:rsid w:val="00982BE6"/>
    <w:rsid w:val="00982DAE"/>
    <w:rsid w:val="0098339E"/>
    <w:rsid w:val="00983CAB"/>
    <w:rsid w:val="009850D8"/>
    <w:rsid w:val="0098605E"/>
    <w:rsid w:val="00986B2B"/>
    <w:rsid w:val="00986FDA"/>
    <w:rsid w:val="00987CCF"/>
    <w:rsid w:val="00990ECA"/>
    <w:rsid w:val="00991C33"/>
    <w:rsid w:val="00992A54"/>
    <w:rsid w:val="009956F2"/>
    <w:rsid w:val="0099583E"/>
    <w:rsid w:val="00996B02"/>
    <w:rsid w:val="00996E88"/>
    <w:rsid w:val="009976EA"/>
    <w:rsid w:val="009A02EC"/>
    <w:rsid w:val="009A0659"/>
    <w:rsid w:val="009A0970"/>
    <w:rsid w:val="009A2553"/>
    <w:rsid w:val="009A5635"/>
    <w:rsid w:val="009A5943"/>
    <w:rsid w:val="009A5A26"/>
    <w:rsid w:val="009A621A"/>
    <w:rsid w:val="009A68E3"/>
    <w:rsid w:val="009A7161"/>
    <w:rsid w:val="009B2005"/>
    <w:rsid w:val="009B23C9"/>
    <w:rsid w:val="009B33F6"/>
    <w:rsid w:val="009B577C"/>
    <w:rsid w:val="009B58C9"/>
    <w:rsid w:val="009C0BE4"/>
    <w:rsid w:val="009C11A1"/>
    <w:rsid w:val="009C240E"/>
    <w:rsid w:val="009C2C54"/>
    <w:rsid w:val="009C2E79"/>
    <w:rsid w:val="009C3BE6"/>
    <w:rsid w:val="009C48C5"/>
    <w:rsid w:val="009C620E"/>
    <w:rsid w:val="009D0B24"/>
    <w:rsid w:val="009D0CA6"/>
    <w:rsid w:val="009D0EE8"/>
    <w:rsid w:val="009D1D48"/>
    <w:rsid w:val="009D2DD0"/>
    <w:rsid w:val="009D4D8E"/>
    <w:rsid w:val="009D5C50"/>
    <w:rsid w:val="009D657C"/>
    <w:rsid w:val="009D6AD2"/>
    <w:rsid w:val="009D72D8"/>
    <w:rsid w:val="009E13AD"/>
    <w:rsid w:val="009E15B6"/>
    <w:rsid w:val="009E2563"/>
    <w:rsid w:val="009E26B4"/>
    <w:rsid w:val="009E2CB1"/>
    <w:rsid w:val="009E315D"/>
    <w:rsid w:val="009E4D5F"/>
    <w:rsid w:val="009E5A2B"/>
    <w:rsid w:val="009E6164"/>
    <w:rsid w:val="009E6330"/>
    <w:rsid w:val="009E687A"/>
    <w:rsid w:val="009F31FA"/>
    <w:rsid w:val="009F44E9"/>
    <w:rsid w:val="009F4764"/>
    <w:rsid w:val="009F49C2"/>
    <w:rsid w:val="009F6639"/>
    <w:rsid w:val="009F6C48"/>
    <w:rsid w:val="00A00599"/>
    <w:rsid w:val="00A010C7"/>
    <w:rsid w:val="00A023FA"/>
    <w:rsid w:val="00A02682"/>
    <w:rsid w:val="00A03BAF"/>
    <w:rsid w:val="00A045DC"/>
    <w:rsid w:val="00A04B0F"/>
    <w:rsid w:val="00A04D7D"/>
    <w:rsid w:val="00A06B40"/>
    <w:rsid w:val="00A07D0D"/>
    <w:rsid w:val="00A10051"/>
    <w:rsid w:val="00A10B98"/>
    <w:rsid w:val="00A10DFA"/>
    <w:rsid w:val="00A1286B"/>
    <w:rsid w:val="00A12C32"/>
    <w:rsid w:val="00A12F4B"/>
    <w:rsid w:val="00A132E4"/>
    <w:rsid w:val="00A1358A"/>
    <w:rsid w:val="00A13869"/>
    <w:rsid w:val="00A1417E"/>
    <w:rsid w:val="00A148CB"/>
    <w:rsid w:val="00A15F17"/>
    <w:rsid w:val="00A16B86"/>
    <w:rsid w:val="00A16BB4"/>
    <w:rsid w:val="00A16D5C"/>
    <w:rsid w:val="00A175FC"/>
    <w:rsid w:val="00A20A35"/>
    <w:rsid w:val="00A21B33"/>
    <w:rsid w:val="00A21DAD"/>
    <w:rsid w:val="00A24420"/>
    <w:rsid w:val="00A25377"/>
    <w:rsid w:val="00A270A5"/>
    <w:rsid w:val="00A27B32"/>
    <w:rsid w:val="00A32DCC"/>
    <w:rsid w:val="00A32F36"/>
    <w:rsid w:val="00A330B9"/>
    <w:rsid w:val="00A33D39"/>
    <w:rsid w:val="00A34A32"/>
    <w:rsid w:val="00A359CB"/>
    <w:rsid w:val="00A364EC"/>
    <w:rsid w:val="00A36805"/>
    <w:rsid w:val="00A36ABD"/>
    <w:rsid w:val="00A376A3"/>
    <w:rsid w:val="00A37AB5"/>
    <w:rsid w:val="00A37B5D"/>
    <w:rsid w:val="00A4206B"/>
    <w:rsid w:val="00A430B7"/>
    <w:rsid w:val="00A431CD"/>
    <w:rsid w:val="00A43C9A"/>
    <w:rsid w:val="00A4439D"/>
    <w:rsid w:val="00A45C90"/>
    <w:rsid w:val="00A46421"/>
    <w:rsid w:val="00A46CBB"/>
    <w:rsid w:val="00A476C3"/>
    <w:rsid w:val="00A478EF"/>
    <w:rsid w:val="00A50422"/>
    <w:rsid w:val="00A515C1"/>
    <w:rsid w:val="00A51912"/>
    <w:rsid w:val="00A51BF4"/>
    <w:rsid w:val="00A523FB"/>
    <w:rsid w:val="00A525D9"/>
    <w:rsid w:val="00A52A25"/>
    <w:rsid w:val="00A52D4B"/>
    <w:rsid w:val="00A530A6"/>
    <w:rsid w:val="00A53E3E"/>
    <w:rsid w:val="00A54BE4"/>
    <w:rsid w:val="00A55117"/>
    <w:rsid w:val="00A560A1"/>
    <w:rsid w:val="00A56F5E"/>
    <w:rsid w:val="00A57E94"/>
    <w:rsid w:val="00A6047B"/>
    <w:rsid w:val="00A60E27"/>
    <w:rsid w:val="00A6188D"/>
    <w:rsid w:val="00A63A1D"/>
    <w:rsid w:val="00A6673D"/>
    <w:rsid w:val="00A668A1"/>
    <w:rsid w:val="00A67178"/>
    <w:rsid w:val="00A673CC"/>
    <w:rsid w:val="00A70C56"/>
    <w:rsid w:val="00A71EA3"/>
    <w:rsid w:val="00A7267B"/>
    <w:rsid w:val="00A738EE"/>
    <w:rsid w:val="00A73A9E"/>
    <w:rsid w:val="00A73B2A"/>
    <w:rsid w:val="00A7437E"/>
    <w:rsid w:val="00A748A9"/>
    <w:rsid w:val="00A74A7A"/>
    <w:rsid w:val="00A7530F"/>
    <w:rsid w:val="00A8004B"/>
    <w:rsid w:val="00A81D4D"/>
    <w:rsid w:val="00A8281E"/>
    <w:rsid w:val="00A82F37"/>
    <w:rsid w:val="00A83584"/>
    <w:rsid w:val="00A84864"/>
    <w:rsid w:val="00A8745D"/>
    <w:rsid w:val="00A90B1D"/>
    <w:rsid w:val="00A93149"/>
    <w:rsid w:val="00A93C7B"/>
    <w:rsid w:val="00A943CE"/>
    <w:rsid w:val="00A94F40"/>
    <w:rsid w:val="00A95483"/>
    <w:rsid w:val="00A96154"/>
    <w:rsid w:val="00A9672C"/>
    <w:rsid w:val="00AA0791"/>
    <w:rsid w:val="00AA0D64"/>
    <w:rsid w:val="00AA0ED6"/>
    <w:rsid w:val="00AA5E87"/>
    <w:rsid w:val="00AA66FD"/>
    <w:rsid w:val="00AA6C65"/>
    <w:rsid w:val="00AB074C"/>
    <w:rsid w:val="00AB0E89"/>
    <w:rsid w:val="00AB1F29"/>
    <w:rsid w:val="00AB2BF4"/>
    <w:rsid w:val="00AB2D74"/>
    <w:rsid w:val="00AB2DE3"/>
    <w:rsid w:val="00AB542C"/>
    <w:rsid w:val="00AB6A24"/>
    <w:rsid w:val="00AB6F0F"/>
    <w:rsid w:val="00AB799A"/>
    <w:rsid w:val="00AC071E"/>
    <w:rsid w:val="00AC19CC"/>
    <w:rsid w:val="00AC2194"/>
    <w:rsid w:val="00AC2E0A"/>
    <w:rsid w:val="00AC3728"/>
    <w:rsid w:val="00AC4730"/>
    <w:rsid w:val="00AC53F9"/>
    <w:rsid w:val="00AC6028"/>
    <w:rsid w:val="00AC6385"/>
    <w:rsid w:val="00AC6CAB"/>
    <w:rsid w:val="00AC6DA4"/>
    <w:rsid w:val="00AC746D"/>
    <w:rsid w:val="00AC7D1A"/>
    <w:rsid w:val="00AD012F"/>
    <w:rsid w:val="00AD05CE"/>
    <w:rsid w:val="00AD08A3"/>
    <w:rsid w:val="00AD2DB3"/>
    <w:rsid w:val="00AD3805"/>
    <w:rsid w:val="00AD3B60"/>
    <w:rsid w:val="00AD6B65"/>
    <w:rsid w:val="00AD72B4"/>
    <w:rsid w:val="00AE03BD"/>
    <w:rsid w:val="00AE16C5"/>
    <w:rsid w:val="00AE2074"/>
    <w:rsid w:val="00AE43F2"/>
    <w:rsid w:val="00AE62D3"/>
    <w:rsid w:val="00AE680B"/>
    <w:rsid w:val="00AE72CB"/>
    <w:rsid w:val="00AE7BF0"/>
    <w:rsid w:val="00AF08F4"/>
    <w:rsid w:val="00AF1CC9"/>
    <w:rsid w:val="00AF3541"/>
    <w:rsid w:val="00AF458A"/>
    <w:rsid w:val="00AF64A6"/>
    <w:rsid w:val="00AF6A0F"/>
    <w:rsid w:val="00AF794C"/>
    <w:rsid w:val="00B0121F"/>
    <w:rsid w:val="00B0130B"/>
    <w:rsid w:val="00B02940"/>
    <w:rsid w:val="00B0301C"/>
    <w:rsid w:val="00B033E6"/>
    <w:rsid w:val="00B0382D"/>
    <w:rsid w:val="00B03BCC"/>
    <w:rsid w:val="00B03D96"/>
    <w:rsid w:val="00B040DE"/>
    <w:rsid w:val="00B05160"/>
    <w:rsid w:val="00B053F9"/>
    <w:rsid w:val="00B0588C"/>
    <w:rsid w:val="00B0613E"/>
    <w:rsid w:val="00B0628A"/>
    <w:rsid w:val="00B06C8A"/>
    <w:rsid w:val="00B07868"/>
    <w:rsid w:val="00B10FDA"/>
    <w:rsid w:val="00B111B7"/>
    <w:rsid w:val="00B12D30"/>
    <w:rsid w:val="00B13BB2"/>
    <w:rsid w:val="00B14669"/>
    <w:rsid w:val="00B155C6"/>
    <w:rsid w:val="00B15E71"/>
    <w:rsid w:val="00B169B7"/>
    <w:rsid w:val="00B17C23"/>
    <w:rsid w:val="00B17D8A"/>
    <w:rsid w:val="00B2247F"/>
    <w:rsid w:val="00B225DE"/>
    <w:rsid w:val="00B2349B"/>
    <w:rsid w:val="00B241E2"/>
    <w:rsid w:val="00B24AC2"/>
    <w:rsid w:val="00B24B0B"/>
    <w:rsid w:val="00B26B1C"/>
    <w:rsid w:val="00B3048B"/>
    <w:rsid w:val="00B350EF"/>
    <w:rsid w:val="00B3729C"/>
    <w:rsid w:val="00B40DB9"/>
    <w:rsid w:val="00B4195A"/>
    <w:rsid w:val="00B42E96"/>
    <w:rsid w:val="00B4317F"/>
    <w:rsid w:val="00B44F55"/>
    <w:rsid w:val="00B46587"/>
    <w:rsid w:val="00B4688F"/>
    <w:rsid w:val="00B46F3F"/>
    <w:rsid w:val="00B50624"/>
    <w:rsid w:val="00B53687"/>
    <w:rsid w:val="00B5418D"/>
    <w:rsid w:val="00B54D9E"/>
    <w:rsid w:val="00B55070"/>
    <w:rsid w:val="00B55A1C"/>
    <w:rsid w:val="00B55A4E"/>
    <w:rsid w:val="00B5613C"/>
    <w:rsid w:val="00B561FC"/>
    <w:rsid w:val="00B56380"/>
    <w:rsid w:val="00B576DD"/>
    <w:rsid w:val="00B60E1D"/>
    <w:rsid w:val="00B61437"/>
    <w:rsid w:val="00B62032"/>
    <w:rsid w:val="00B62B45"/>
    <w:rsid w:val="00B63832"/>
    <w:rsid w:val="00B6669B"/>
    <w:rsid w:val="00B67034"/>
    <w:rsid w:val="00B675BE"/>
    <w:rsid w:val="00B67699"/>
    <w:rsid w:val="00B704EF"/>
    <w:rsid w:val="00B71D8C"/>
    <w:rsid w:val="00B71E74"/>
    <w:rsid w:val="00B72294"/>
    <w:rsid w:val="00B737BA"/>
    <w:rsid w:val="00B74CFC"/>
    <w:rsid w:val="00B750F4"/>
    <w:rsid w:val="00B75E2F"/>
    <w:rsid w:val="00B8028B"/>
    <w:rsid w:val="00B8067E"/>
    <w:rsid w:val="00B809C9"/>
    <w:rsid w:val="00B80D8B"/>
    <w:rsid w:val="00B80E66"/>
    <w:rsid w:val="00B80F18"/>
    <w:rsid w:val="00B819F8"/>
    <w:rsid w:val="00B81E2B"/>
    <w:rsid w:val="00B82874"/>
    <w:rsid w:val="00B837F6"/>
    <w:rsid w:val="00B83B64"/>
    <w:rsid w:val="00B845A3"/>
    <w:rsid w:val="00B855B0"/>
    <w:rsid w:val="00B8648C"/>
    <w:rsid w:val="00B8664D"/>
    <w:rsid w:val="00B90D69"/>
    <w:rsid w:val="00B91D91"/>
    <w:rsid w:val="00B92427"/>
    <w:rsid w:val="00B924F0"/>
    <w:rsid w:val="00B93D22"/>
    <w:rsid w:val="00B945D4"/>
    <w:rsid w:val="00B95A71"/>
    <w:rsid w:val="00B97601"/>
    <w:rsid w:val="00BA06EE"/>
    <w:rsid w:val="00BA1DA8"/>
    <w:rsid w:val="00BA2724"/>
    <w:rsid w:val="00BA2CF0"/>
    <w:rsid w:val="00BA2F60"/>
    <w:rsid w:val="00BA4D65"/>
    <w:rsid w:val="00BA569B"/>
    <w:rsid w:val="00BB397D"/>
    <w:rsid w:val="00BB5693"/>
    <w:rsid w:val="00BB5D72"/>
    <w:rsid w:val="00BB5FE3"/>
    <w:rsid w:val="00BB6221"/>
    <w:rsid w:val="00BB6F7E"/>
    <w:rsid w:val="00BC04CF"/>
    <w:rsid w:val="00BC0D59"/>
    <w:rsid w:val="00BC1606"/>
    <w:rsid w:val="00BC2ADD"/>
    <w:rsid w:val="00BC2AFB"/>
    <w:rsid w:val="00BC4251"/>
    <w:rsid w:val="00BC49A1"/>
    <w:rsid w:val="00BC4B9D"/>
    <w:rsid w:val="00BC5922"/>
    <w:rsid w:val="00BC67B4"/>
    <w:rsid w:val="00BC6913"/>
    <w:rsid w:val="00BD2765"/>
    <w:rsid w:val="00BD33F1"/>
    <w:rsid w:val="00BD3998"/>
    <w:rsid w:val="00BD3D8D"/>
    <w:rsid w:val="00BD491B"/>
    <w:rsid w:val="00BD7B14"/>
    <w:rsid w:val="00BD7E80"/>
    <w:rsid w:val="00BE0623"/>
    <w:rsid w:val="00BE078E"/>
    <w:rsid w:val="00BE3B40"/>
    <w:rsid w:val="00BE3D4E"/>
    <w:rsid w:val="00BE79A2"/>
    <w:rsid w:val="00BF2ECC"/>
    <w:rsid w:val="00BF6A48"/>
    <w:rsid w:val="00BF71FE"/>
    <w:rsid w:val="00BF7D7E"/>
    <w:rsid w:val="00C002A2"/>
    <w:rsid w:val="00C00363"/>
    <w:rsid w:val="00C03796"/>
    <w:rsid w:val="00C03F09"/>
    <w:rsid w:val="00C05C6F"/>
    <w:rsid w:val="00C05D72"/>
    <w:rsid w:val="00C05DE9"/>
    <w:rsid w:val="00C05EEB"/>
    <w:rsid w:val="00C06DF9"/>
    <w:rsid w:val="00C10393"/>
    <w:rsid w:val="00C11C99"/>
    <w:rsid w:val="00C12E6E"/>
    <w:rsid w:val="00C12F9B"/>
    <w:rsid w:val="00C1339D"/>
    <w:rsid w:val="00C135FB"/>
    <w:rsid w:val="00C16BA0"/>
    <w:rsid w:val="00C16FBD"/>
    <w:rsid w:val="00C170C2"/>
    <w:rsid w:val="00C17AE9"/>
    <w:rsid w:val="00C2221C"/>
    <w:rsid w:val="00C2232E"/>
    <w:rsid w:val="00C22C42"/>
    <w:rsid w:val="00C232F8"/>
    <w:rsid w:val="00C2330E"/>
    <w:rsid w:val="00C23506"/>
    <w:rsid w:val="00C26AC3"/>
    <w:rsid w:val="00C3014C"/>
    <w:rsid w:val="00C31D0E"/>
    <w:rsid w:val="00C320AA"/>
    <w:rsid w:val="00C323A3"/>
    <w:rsid w:val="00C33759"/>
    <w:rsid w:val="00C3378F"/>
    <w:rsid w:val="00C34118"/>
    <w:rsid w:val="00C349B1"/>
    <w:rsid w:val="00C359DD"/>
    <w:rsid w:val="00C35E97"/>
    <w:rsid w:val="00C37C6E"/>
    <w:rsid w:val="00C37D1B"/>
    <w:rsid w:val="00C4298F"/>
    <w:rsid w:val="00C43EE2"/>
    <w:rsid w:val="00C44EF6"/>
    <w:rsid w:val="00C47093"/>
    <w:rsid w:val="00C47BA4"/>
    <w:rsid w:val="00C51A03"/>
    <w:rsid w:val="00C51DB1"/>
    <w:rsid w:val="00C522F2"/>
    <w:rsid w:val="00C54886"/>
    <w:rsid w:val="00C55004"/>
    <w:rsid w:val="00C56554"/>
    <w:rsid w:val="00C57351"/>
    <w:rsid w:val="00C57CD6"/>
    <w:rsid w:val="00C6132F"/>
    <w:rsid w:val="00C616CC"/>
    <w:rsid w:val="00C62974"/>
    <w:rsid w:val="00C639E1"/>
    <w:rsid w:val="00C63FDB"/>
    <w:rsid w:val="00C64884"/>
    <w:rsid w:val="00C64967"/>
    <w:rsid w:val="00C66FB8"/>
    <w:rsid w:val="00C6792A"/>
    <w:rsid w:val="00C70107"/>
    <w:rsid w:val="00C706EA"/>
    <w:rsid w:val="00C70D72"/>
    <w:rsid w:val="00C72339"/>
    <w:rsid w:val="00C724A4"/>
    <w:rsid w:val="00C72D03"/>
    <w:rsid w:val="00C72E13"/>
    <w:rsid w:val="00C732C2"/>
    <w:rsid w:val="00C738A5"/>
    <w:rsid w:val="00C74012"/>
    <w:rsid w:val="00C75E48"/>
    <w:rsid w:val="00C77940"/>
    <w:rsid w:val="00C779D2"/>
    <w:rsid w:val="00C77BC4"/>
    <w:rsid w:val="00C814AC"/>
    <w:rsid w:val="00C816E8"/>
    <w:rsid w:val="00C81BC8"/>
    <w:rsid w:val="00C81BFE"/>
    <w:rsid w:val="00C83347"/>
    <w:rsid w:val="00C84017"/>
    <w:rsid w:val="00C84FD7"/>
    <w:rsid w:val="00C859EB"/>
    <w:rsid w:val="00C86BC0"/>
    <w:rsid w:val="00C90D0F"/>
    <w:rsid w:val="00C915E8"/>
    <w:rsid w:val="00C91900"/>
    <w:rsid w:val="00C91957"/>
    <w:rsid w:val="00C93660"/>
    <w:rsid w:val="00C9377D"/>
    <w:rsid w:val="00C93D32"/>
    <w:rsid w:val="00C957F5"/>
    <w:rsid w:val="00C968E5"/>
    <w:rsid w:val="00CA07DF"/>
    <w:rsid w:val="00CA09D7"/>
    <w:rsid w:val="00CA0E1A"/>
    <w:rsid w:val="00CA15F8"/>
    <w:rsid w:val="00CA23B5"/>
    <w:rsid w:val="00CA2B76"/>
    <w:rsid w:val="00CA37A8"/>
    <w:rsid w:val="00CA4129"/>
    <w:rsid w:val="00CA457A"/>
    <w:rsid w:val="00CA4A99"/>
    <w:rsid w:val="00CA54B8"/>
    <w:rsid w:val="00CA56FA"/>
    <w:rsid w:val="00CA57CB"/>
    <w:rsid w:val="00CA6589"/>
    <w:rsid w:val="00CA65A9"/>
    <w:rsid w:val="00CA71C3"/>
    <w:rsid w:val="00CA76D5"/>
    <w:rsid w:val="00CB05DE"/>
    <w:rsid w:val="00CB1174"/>
    <w:rsid w:val="00CB1392"/>
    <w:rsid w:val="00CB1F85"/>
    <w:rsid w:val="00CB2647"/>
    <w:rsid w:val="00CB2A34"/>
    <w:rsid w:val="00CB32A3"/>
    <w:rsid w:val="00CB3835"/>
    <w:rsid w:val="00CB3BC5"/>
    <w:rsid w:val="00CB5960"/>
    <w:rsid w:val="00CB5D78"/>
    <w:rsid w:val="00CB70E6"/>
    <w:rsid w:val="00CC057B"/>
    <w:rsid w:val="00CC0B73"/>
    <w:rsid w:val="00CC0F5F"/>
    <w:rsid w:val="00CC1376"/>
    <w:rsid w:val="00CC152C"/>
    <w:rsid w:val="00CC1D92"/>
    <w:rsid w:val="00CC25CC"/>
    <w:rsid w:val="00CC2E16"/>
    <w:rsid w:val="00CC47FC"/>
    <w:rsid w:val="00CC66FF"/>
    <w:rsid w:val="00CC6A01"/>
    <w:rsid w:val="00CD0455"/>
    <w:rsid w:val="00CD0825"/>
    <w:rsid w:val="00CD4C06"/>
    <w:rsid w:val="00CD63A5"/>
    <w:rsid w:val="00CD7011"/>
    <w:rsid w:val="00CD791C"/>
    <w:rsid w:val="00CE0A0A"/>
    <w:rsid w:val="00CE1469"/>
    <w:rsid w:val="00CE1C80"/>
    <w:rsid w:val="00CE1D6C"/>
    <w:rsid w:val="00CE2149"/>
    <w:rsid w:val="00CE2592"/>
    <w:rsid w:val="00CE2D98"/>
    <w:rsid w:val="00CE49C9"/>
    <w:rsid w:val="00CE7B49"/>
    <w:rsid w:val="00CF0098"/>
    <w:rsid w:val="00CF0EFC"/>
    <w:rsid w:val="00CF0FD2"/>
    <w:rsid w:val="00CF3C76"/>
    <w:rsid w:val="00CF5E41"/>
    <w:rsid w:val="00CF77F9"/>
    <w:rsid w:val="00D00DA7"/>
    <w:rsid w:val="00D01C68"/>
    <w:rsid w:val="00D031DF"/>
    <w:rsid w:val="00D03558"/>
    <w:rsid w:val="00D046C3"/>
    <w:rsid w:val="00D06053"/>
    <w:rsid w:val="00D06283"/>
    <w:rsid w:val="00D11548"/>
    <w:rsid w:val="00D11F58"/>
    <w:rsid w:val="00D12FD2"/>
    <w:rsid w:val="00D13019"/>
    <w:rsid w:val="00D149F7"/>
    <w:rsid w:val="00D16426"/>
    <w:rsid w:val="00D170B4"/>
    <w:rsid w:val="00D20107"/>
    <w:rsid w:val="00D20E91"/>
    <w:rsid w:val="00D22DAA"/>
    <w:rsid w:val="00D237E7"/>
    <w:rsid w:val="00D25646"/>
    <w:rsid w:val="00D25928"/>
    <w:rsid w:val="00D26157"/>
    <w:rsid w:val="00D262FE"/>
    <w:rsid w:val="00D2653C"/>
    <w:rsid w:val="00D313CF"/>
    <w:rsid w:val="00D31B35"/>
    <w:rsid w:val="00D32B19"/>
    <w:rsid w:val="00D35826"/>
    <w:rsid w:val="00D35A4F"/>
    <w:rsid w:val="00D3677A"/>
    <w:rsid w:val="00D37618"/>
    <w:rsid w:val="00D40A4F"/>
    <w:rsid w:val="00D410A1"/>
    <w:rsid w:val="00D43296"/>
    <w:rsid w:val="00D47402"/>
    <w:rsid w:val="00D47E81"/>
    <w:rsid w:val="00D5004A"/>
    <w:rsid w:val="00D529E2"/>
    <w:rsid w:val="00D53252"/>
    <w:rsid w:val="00D534F2"/>
    <w:rsid w:val="00D537BB"/>
    <w:rsid w:val="00D53968"/>
    <w:rsid w:val="00D53CD1"/>
    <w:rsid w:val="00D53E0E"/>
    <w:rsid w:val="00D53E76"/>
    <w:rsid w:val="00D53F3E"/>
    <w:rsid w:val="00D54F79"/>
    <w:rsid w:val="00D55956"/>
    <w:rsid w:val="00D564CE"/>
    <w:rsid w:val="00D56650"/>
    <w:rsid w:val="00D60272"/>
    <w:rsid w:val="00D60796"/>
    <w:rsid w:val="00D60F3A"/>
    <w:rsid w:val="00D611DD"/>
    <w:rsid w:val="00D61661"/>
    <w:rsid w:val="00D61FDC"/>
    <w:rsid w:val="00D62B1D"/>
    <w:rsid w:val="00D62DE9"/>
    <w:rsid w:val="00D63625"/>
    <w:rsid w:val="00D650D7"/>
    <w:rsid w:val="00D7002B"/>
    <w:rsid w:val="00D7029F"/>
    <w:rsid w:val="00D70937"/>
    <w:rsid w:val="00D71A08"/>
    <w:rsid w:val="00D72351"/>
    <w:rsid w:val="00D73A52"/>
    <w:rsid w:val="00D73FCF"/>
    <w:rsid w:val="00D74042"/>
    <w:rsid w:val="00D74C1E"/>
    <w:rsid w:val="00D74CA8"/>
    <w:rsid w:val="00D75BCB"/>
    <w:rsid w:val="00D764F5"/>
    <w:rsid w:val="00D7651C"/>
    <w:rsid w:val="00D80683"/>
    <w:rsid w:val="00D809D6"/>
    <w:rsid w:val="00D81205"/>
    <w:rsid w:val="00D823E5"/>
    <w:rsid w:val="00D8282D"/>
    <w:rsid w:val="00D8383A"/>
    <w:rsid w:val="00D83BF0"/>
    <w:rsid w:val="00D85383"/>
    <w:rsid w:val="00D874EA"/>
    <w:rsid w:val="00D92DD2"/>
    <w:rsid w:val="00D92FDB"/>
    <w:rsid w:val="00D944AF"/>
    <w:rsid w:val="00D957DA"/>
    <w:rsid w:val="00D958E8"/>
    <w:rsid w:val="00D95C87"/>
    <w:rsid w:val="00D968DE"/>
    <w:rsid w:val="00DA16E5"/>
    <w:rsid w:val="00DA34F1"/>
    <w:rsid w:val="00DA3A69"/>
    <w:rsid w:val="00DA4712"/>
    <w:rsid w:val="00DA5542"/>
    <w:rsid w:val="00DB061B"/>
    <w:rsid w:val="00DB1EE5"/>
    <w:rsid w:val="00DB2ABD"/>
    <w:rsid w:val="00DB2B40"/>
    <w:rsid w:val="00DB2D7B"/>
    <w:rsid w:val="00DB353D"/>
    <w:rsid w:val="00DC0652"/>
    <w:rsid w:val="00DC0FE1"/>
    <w:rsid w:val="00DC1497"/>
    <w:rsid w:val="00DC18CC"/>
    <w:rsid w:val="00DC21E9"/>
    <w:rsid w:val="00DC2A69"/>
    <w:rsid w:val="00DC4E4F"/>
    <w:rsid w:val="00DC69BE"/>
    <w:rsid w:val="00DC7C32"/>
    <w:rsid w:val="00DD003B"/>
    <w:rsid w:val="00DD13D6"/>
    <w:rsid w:val="00DD22C7"/>
    <w:rsid w:val="00DD3DB8"/>
    <w:rsid w:val="00DD5F7B"/>
    <w:rsid w:val="00DD675D"/>
    <w:rsid w:val="00DD6E45"/>
    <w:rsid w:val="00DE1DF4"/>
    <w:rsid w:val="00DE20EF"/>
    <w:rsid w:val="00DE219D"/>
    <w:rsid w:val="00DE31F8"/>
    <w:rsid w:val="00DE3652"/>
    <w:rsid w:val="00DE4497"/>
    <w:rsid w:val="00DF0228"/>
    <w:rsid w:val="00DF0E3B"/>
    <w:rsid w:val="00DF11BD"/>
    <w:rsid w:val="00DF17DC"/>
    <w:rsid w:val="00DF2037"/>
    <w:rsid w:val="00DF2BE8"/>
    <w:rsid w:val="00DF3361"/>
    <w:rsid w:val="00DF4214"/>
    <w:rsid w:val="00DF5AC8"/>
    <w:rsid w:val="00DF5B63"/>
    <w:rsid w:val="00DF7285"/>
    <w:rsid w:val="00E019F3"/>
    <w:rsid w:val="00E02706"/>
    <w:rsid w:val="00E030C5"/>
    <w:rsid w:val="00E03FEA"/>
    <w:rsid w:val="00E04740"/>
    <w:rsid w:val="00E05EC4"/>
    <w:rsid w:val="00E06239"/>
    <w:rsid w:val="00E06C26"/>
    <w:rsid w:val="00E06DBB"/>
    <w:rsid w:val="00E07199"/>
    <w:rsid w:val="00E10A63"/>
    <w:rsid w:val="00E11389"/>
    <w:rsid w:val="00E11B72"/>
    <w:rsid w:val="00E1201A"/>
    <w:rsid w:val="00E146B8"/>
    <w:rsid w:val="00E161DB"/>
    <w:rsid w:val="00E1658E"/>
    <w:rsid w:val="00E172EB"/>
    <w:rsid w:val="00E17533"/>
    <w:rsid w:val="00E177E8"/>
    <w:rsid w:val="00E21407"/>
    <w:rsid w:val="00E214B0"/>
    <w:rsid w:val="00E225AB"/>
    <w:rsid w:val="00E23D27"/>
    <w:rsid w:val="00E26E5B"/>
    <w:rsid w:val="00E27679"/>
    <w:rsid w:val="00E27850"/>
    <w:rsid w:val="00E279E9"/>
    <w:rsid w:val="00E315FE"/>
    <w:rsid w:val="00E31EFD"/>
    <w:rsid w:val="00E3537C"/>
    <w:rsid w:val="00E3693A"/>
    <w:rsid w:val="00E36FCA"/>
    <w:rsid w:val="00E404D5"/>
    <w:rsid w:val="00E407D6"/>
    <w:rsid w:val="00E422CC"/>
    <w:rsid w:val="00E427BA"/>
    <w:rsid w:val="00E43F58"/>
    <w:rsid w:val="00E44962"/>
    <w:rsid w:val="00E44A82"/>
    <w:rsid w:val="00E46713"/>
    <w:rsid w:val="00E46C92"/>
    <w:rsid w:val="00E46E95"/>
    <w:rsid w:val="00E46EAD"/>
    <w:rsid w:val="00E47300"/>
    <w:rsid w:val="00E51B72"/>
    <w:rsid w:val="00E53042"/>
    <w:rsid w:val="00E53212"/>
    <w:rsid w:val="00E532F1"/>
    <w:rsid w:val="00E5343A"/>
    <w:rsid w:val="00E544C0"/>
    <w:rsid w:val="00E54AE7"/>
    <w:rsid w:val="00E55D79"/>
    <w:rsid w:val="00E56CC8"/>
    <w:rsid w:val="00E5707A"/>
    <w:rsid w:val="00E57BDC"/>
    <w:rsid w:val="00E60914"/>
    <w:rsid w:val="00E60B7F"/>
    <w:rsid w:val="00E60D84"/>
    <w:rsid w:val="00E62D6E"/>
    <w:rsid w:val="00E64299"/>
    <w:rsid w:val="00E66BB9"/>
    <w:rsid w:val="00E66F47"/>
    <w:rsid w:val="00E70EF2"/>
    <w:rsid w:val="00E72030"/>
    <w:rsid w:val="00E7209A"/>
    <w:rsid w:val="00E72AD3"/>
    <w:rsid w:val="00E74C35"/>
    <w:rsid w:val="00E74EB3"/>
    <w:rsid w:val="00E7742E"/>
    <w:rsid w:val="00E77C56"/>
    <w:rsid w:val="00E80A7F"/>
    <w:rsid w:val="00E81B96"/>
    <w:rsid w:val="00E81E47"/>
    <w:rsid w:val="00E824C5"/>
    <w:rsid w:val="00E82EBC"/>
    <w:rsid w:val="00E82EE0"/>
    <w:rsid w:val="00E837BE"/>
    <w:rsid w:val="00E86D0D"/>
    <w:rsid w:val="00E86FDC"/>
    <w:rsid w:val="00E910A9"/>
    <w:rsid w:val="00E9141C"/>
    <w:rsid w:val="00E91FA7"/>
    <w:rsid w:val="00E92E8C"/>
    <w:rsid w:val="00E94436"/>
    <w:rsid w:val="00E97392"/>
    <w:rsid w:val="00EA1554"/>
    <w:rsid w:val="00EA158F"/>
    <w:rsid w:val="00EA41EF"/>
    <w:rsid w:val="00EA4B6B"/>
    <w:rsid w:val="00EA4CDA"/>
    <w:rsid w:val="00EA4DE6"/>
    <w:rsid w:val="00EB00BF"/>
    <w:rsid w:val="00EB0646"/>
    <w:rsid w:val="00EB0C0A"/>
    <w:rsid w:val="00EB211F"/>
    <w:rsid w:val="00EB4DF8"/>
    <w:rsid w:val="00EB55F3"/>
    <w:rsid w:val="00EB63C2"/>
    <w:rsid w:val="00EB7167"/>
    <w:rsid w:val="00EB7928"/>
    <w:rsid w:val="00EC0018"/>
    <w:rsid w:val="00EC1051"/>
    <w:rsid w:val="00EC2E6A"/>
    <w:rsid w:val="00EC30BB"/>
    <w:rsid w:val="00EC4552"/>
    <w:rsid w:val="00EC47E9"/>
    <w:rsid w:val="00EC4B7F"/>
    <w:rsid w:val="00EC5327"/>
    <w:rsid w:val="00EC5CFB"/>
    <w:rsid w:val="00EC622B"/>
    <w:rsid w:val="00EC634E"/>
    <w:rsid w:val="00ED0CD8"/>
    <w:rsid w:val="00ED19ED"/>
    <w:rsid w:val="00ED1D9D"/>
    <w:rsid w:val="00ED49BF"/>
    <w:rsid w:val="00ED5DE9"/>
    <w:rsid w:val="00ED7101"/>
    <w:rsid w:val="00ED73D5"/>
    <w:rsid w:val="00ED795E"/>
    <w:rsid w:val="00ED7AA8"/>
    <w:rsid w:val="00ED7B35"/>
    <w:rsid w:val="00EE08A4"/>
    <w:rsid w:val="00EE1650"/>
    <w:rsid w:val="00EE1817"/>
    <w:rsid w:val="00EE22BA"/>
    <w:rsid w:val="00EE331A"/>
    <w:rsid w:val="00EE43C4"/>
    <w:rsid w:val="00EE58EB"/>
    <w:rsid w:val="00EE6069"/>
    <w:rsid w:val="00EE6B38"/>
    <w:rsid w:val="00EE6BF2"/>
    <w:rsid w:val="00EF166C"/>
    <w:rsid w:val="00EF16EC"/>
    <w:rsid w:val="00EF35FB"/>
    <w:rsid w:val="00EF3A20"/>
    <w:rsid w:val="00EF4A9B"/>
    <w:rsid w:val="00EF4BC1"/>
    <w:rsid w:val="00EF600A"/>
    <w:rsid w:val="00EF6892"/>
    <w:rsid w:val="00EF6BE2"/>
    <w:rsid w:val="00EF6C4F"/>
    <w:rsid w:val="00EF6DCA"/>
    <w:rsid w:val="00EF7D49"/>
    <w:rsid w:val="00F02408"/>
    <w:rsid w:val="00F029D3"/>
    <w:rsid w:val="00F0301C"/>
    <w:rsid w:val="00F06059"/>
    <w:rsid w:val="00F062B2"/>
    <w:rsid w:val="00F06333"/>
    <w:rsid w:val="00F06684"/>
    <w:rsid w:val="00F07CBD"/>
    <w:rsid w:val="00F07F61"/>
    <w:rsid w:val="00F100D1"/>
    <w:rsid w:val="00F11E65"/>
    <w:rsid w:val="00F121BE"/>
    <w:rsid w:val="00F136E3"/>
    <w:rsid w:val="00F160D7"/>
    <w:rsid w:val="00F20132"/>
    <w:rsid w:val="00F2047A"/>
    <w:rsid w:val="00F21AE9"/>
    <w:rsid w:val="00F2251E"/>
    <w:rsid w:val="00F22AAA"/>
    <w:rsid w:val="00F236EB"/>
    <w:rsid w:val="00F23CF7"/>
    <w:rsid w:val="00F25BB7"/>
    <w:rsid w:val="00F25C9D"/>
    <w:rsid w:val="00F25ECC"/>
    <w:rsid w:val="00F26436"/>
    <w:rsid w:val="00F267C2"/>
    <w:rsid w:val="00F26CB3"/>
    <w:rsid w:val="00F32202"/>
    <w:rsid w:val="00F32B53"/>
    <w:rsid w:val="00F32ED5"/>
    <w:rsid w:val="00F334B7"/>
    <w:rsid w:val="00F33DF8"/>
    <w:rsid w:val="00F3469D"/>
    <w:rsid w:val="00F35E3E"/>
    <w:rsid w:val="00F402EF"/>
    <w:rsid w:val="00F407EE"/>
    <w:rsid w:val="00F40CCC"/>
    <w:rsid w:val="00F41036"/>
    <w:rsid w:val="00F46D3E"/>
    <w:rsid w:val="00F47D25"/>
    <w:rsid w:val="00F50080"/>
    <w:rsid w:val="00F506C8"/>
    <w:rsid w:val="00F51ACA"/>
    <w:rsid w:val="00F51D21"/>
    <w:rsid w:val="00F52EAA"/>
    <w:rsid w:val="00F53400"/>
    <w:rsid w:val="00F560D9"/>
    <w:rsid w:val="00F565B7"/>
    <w:rsid w:val="00F56AAC"/>
    <w:rsid w:val="00F601AE"/>
    <w:rsid w:val="00F60A72"/>
    <w:rsid w:val="00F610AF"/>
    <w:rsid w:val="00F616FA"/>
    <w:rsid w:val="00F6429E"/>
    <w:rsid w:val="00F65190"/>
    <w:rsid w:val="00F66280"/>
    <w:rsid w:val="00F66536"/>
    <w:rsid w:val="00F6719D"/>
    <w:rsid w:val="00F70EC5"/>
    <w:rsid w:val="00F71B7E"/>
    <w:rsid w:val="00F7386D"/>
    <w:rsid w:val="00F73B8C"/>
    <w:rsid w:val="00F743AE"/>
    <w:rsid w:val="00F75843"/>
    <w:rsid w:val="00F77491"/>
    <w:rsid w:val="00F808BA"/>
    <w:rsid w:val="00F80B08"/>
    <w:rsid w:val="00F81300"/>
    <w:rsid w:val="00F823BC"/>
    <w:rsid w:val="00F84C37"/>
    <w:rsid w:val="00F854FE"/>
    <w:rsid w:val="00F8622F"/>
    <w:rsid w:val="00F86394"/>
    <w:rsid w:val="00F920A7"/>
    <w:rsid w:val="00F92B33"/>
    <w:rsid w:val="00F935ED"/>
    <w:rsid w:val="00F937CE"/>
    <w:rsid w:val="00F9427C"/>
    <w:rsid w:val="00F9488A"/>
    <w:rsid w:val="00F959EF"/>
    <w:rsid w:val="00FA257F"/>
    <w:rsid w:val="00FA2A78"/>
    <w:rsid w:val="00FA2E89"/>
    <w:rsid w:val="00FA32DE"/>
    <w:rsid w:val="00FA351B"/>
    <w:rsid w:val="00FA6008"/>
    <w:rsid w:val="00FA663D"/>
    <w:rsid w:val="00FA67D8"/>
    <w:rsid w:val="00FA70C6"/>
    <w:rsid w:val="00FB079C"/>
    <w:rsid w:val="00FB0872"/>
    <w:rsid w:val="00FB0ACB"/>
    <w:rsid w:val="00FB3309"/>
    <w:rsid w:val="00FB5C20"/>
    <w:rsid w:val="00FB5F22"/>
    <w:rsid w:val="00FB64D5"/>
    <w:rsid w:val="00FB72A6"/>
    <w:rsid w:val="00FB7C15"/>
    <w:rsid w:val="00FC07AC"/>
    <w:rsid w:val="00FC0EA7"/>
    <w:rsid w:val="00FC1C34"/>
    <w:rsid w:val="00FC3673"/>
    <w:rsid w:val="00FC543C"/>
    <w:rsid w:val="00FC6677"/>
    <w:rsid w:val="00FC6A67"/>
    <w:rsid w:val="00FC6F1A"/>
    <w:rsid w:val="00FC7627"/>
    <w:rsid w:val="00FD19CC"/>
    <w:rsid w:val="00FD1E44"/>
    <w:rsid w:val="00FD226E"/>
    <w:rsid w:val="00FD3011"/>
    <w:rsid w:val="00FD5243"/>
    <w:rsid w:val="00FD731A"/>
    <w:rsid w:val="00FD7592"/>
    <w:rsid w:val="00FE22DB"/>
    <w:rsid w:val="00FE27EF"/>
    <w:rsid w:val="00FE2E21"/>
    <w:rsid w:val="00FE3ECD"/>
    <w:rsid w:val="00FE4D66"/>
    <w:rsid w:val="00FE55E4"/>
    <w:rsid w:val="00FE6580"/>
    <w:rsid w:val="00FE7C65"/>
    <w:rsid w:val="00FF232A"/>
    <w:rsid w:val="00FF3BF2"/>
    <w:rsid w:val="00FF4005"/>
    <w:rsid w:val="00FF4BDC"/>
    <w:rsid w:val="00FF5386"/>
    <w:rsid w:val="00FF5C3D"/>
    <w:rsid w:val="00FF60E7"/>
    <w:rsid w:val="00FF6450"/>
    <w:rsid w:val="00FF662E"/>
    <w:rsid w:val="00FF7922"/>
    <w:rsid w:val="00FF79CD"/>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59073"/>
    <o:shapelayout v:ext="edit">
      <o:idmap v:ext="edit" data="1"/>
    </o:shapelayout>
  </w:shapeDefaults>
  <w:decimalSymbol w:val="."/>
  <w:listSeparator w:val=","/>
  <w14:docId w14:val="161A7B51"/>
  <w15:chartTrackingRefBased/>
  <w15:docId w15:val="{B7316E66-E9A6-4E8A-8C26-E996D23CB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GB"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Segoe UI" w:eastAsia="Times New Roman" w:hAnsi="Segoe UI"/>
      <w:lang w:eastAsia="en-US"/>
    </w:rPr>
  </w:style>
  <w:style w:type="paragraph" w:styleId="Heading1">
    <w:name w:val="heading 1"/>
    <w:basedOn w:val="Normal"/>
    <w:next w:val="Normal"/>
    <w:qFormat/>
    <w:rsid w:val="00C4298F"/>
    <w:pPr>
      <w:keepNext/>
      <w:keepLines/>
      <w:outlineLvl w:val="0"/>
    </w:pPr>
    <w:rPr>
      <w:color w:val="AA322F"/>
      <w:sz w:val="28"/>
    </w:rPr>
  </w:style>
  <w:style w:type="paragraph" w:styleId="Heading2">
    <w:name w:val="heading 2"/>
    <w:basedOn w:val="Style1"/>
    <w:next w:val="Normal"/>
    <w:qFormat/>
    <w:rsid w:val="00FC07AC"/>
    <w:pPr>
      <w:ind w:left="-454"/>
      <w:outlineLvl w:val="1"/>
    </w:pPr>
  </w:style>
  <w:style w:type="paragraph" w:styleId="Heading3">
    <w:name w:val="heading 3"/>
    <w:basedOn w:val="Normal"/>
    <w:next w:val="Normal"/>
    <w:link w:val="Heading3Char"/>
    <w:uiPriority w:val="9"/>
    <w:unhideWhenUsed/>
    <w:qFormat/>
    <w:rsid w:val="00D809D6"/>
    <w:pPr>
      <w:keepNext/>
      <w:keepLines/>
      <w:spacing w:before="40"/>
      <w:outlineLvl w:val="2"/>
    </w:pPr>
    <w:rPr>
      <w:rFonts w:eastAsiaTheme="majorEastAsia" w:cstheme="majorBidi"/>
      <w:color w:val="000000" w:themeColor="text1"/>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5E7B22"/>
    <w:pPr>
      <w:spacing w:before="40" w:after="40"/>
    </w:pPr>
    <w:rPr>
      <w:sz w:val="22"/>
    </w:rPr>
  </w:style>
  <w:style w:type="character" w:customStyle="1" w:styleId="Style1Char">
    <w:name w:val="Style1 Char"/>
    <w:basedOn w:val="DefaultParagraphFont"/>
    <w:link w:val="Style1"/>
    <w:rsid w:val="005E7B22"/>
    <w:rPr>
      <w:rFonts w:ascii="Segoe UI" w:eastAsia="Times New Roman" w:hAnsi="Segoe UI"/>
      <w:sz w:val="22"/>
      <w:lang w:eastAsia="en-US"/>
    </w:rPr>
  </w:style>
  <w:style w:type="character" w:customStyle="1" w:styleId="Heading3Char">
    <w:name w:val="Heading 3 Char"/>
    <w:basedOn w:val="DefaultParagraphFont"/>
    <w:link w:val="Heading3"/>
    <w:uiPriority w:val="9"/>
    <w:rsid w:val="00D809D6"/>
    <w:rPr>
      <w:rFonts w:ascii="Segoe UI" w:eastAsiaTheme="majorEastAsia" w:hAnsi="Segoe UI" w:cstheme="majorBidi"/>
      <w:color w:val="000000" w:themeColor="text1"/>
      <w:sz w:val="22"/>
      <w:szCs w:val="24"/>
      <w:lang w:eastAsia="en-US"/>
    </w:rPr>
  </w:style>
  <w:style w:type="paragraph" w:styleId="ListParagraph">
    <w:name w:val="List Paragraph"/>
    <w:basedOn w:val="Normal"/>
    <w:uiPriority w:val="34"/>
    <w:qFormat/>
    <w:pPr>
      <w:ind w:leftChars="200" w:left="480"/>
    </w:pPr>
  </w:style>
  <w:style w:type="character" w:customStyle="1" w:styleId="Heading1Char">
    <w:name w:val="Heading 1 Char"/>
    <w:rPr>
      <w:rFonts w:ascii="Segoe UI" w:eastAsia="Times New Roman" w:hAnsi="Segoe UI" w:cs="Times New Roman"/>
      <w:color w:val="AA322F"/>
      <w:kern w:val="0"/>
      <w:sz w:val="28"/>
      <w:szCs w:val="20"/>
      <w:lang w:val="en-GB" w:eastAsia="en-US"/>
    </w:rPr>
  </w:style>
  <w:style w:type="paragraph" w:styleId="Header">
    <w:name w:val="header"/>
    <w:basedOn w:val="Normal"/>
    <w:uiPriority w:val="99"/>
    <w:unhideWhenUsed/>
    <w:pPr>
      <w:tabs>
        <w:tab w:val="center" w:pos="4153"/>
        <w:tab w:val="right" w:pos="8306"/>
      </w:tabs>
      <w:snapToGrid w:val="0"/>
    </w:pPr>
  </w:style>
  <w:style w:type="character" w:customStyle="1" w:styleId="HeaderChar">
    <w:name w:val="Header Char"/>
    <w:rPr>
      <w:rFonts w:ascii="Segoe UI" w:eastAsia="Times New Roman" w:hAnsi="Segoe UI" w:cs="Times New Roman"/>
      <w:kern w:val="0"/>
      <w:sz w:val="20"/>
      <w:szCs w:val="20"/>
      <w:lang w:val="en-GB" w:eastAsia="en-US"/>
    </w:rPr>
  </w:style>
  <w:style w:type="paragraph" w:styleId="Footer">
    <w:name w:val="footer"/>
    <w:basedOn w:val="Normal"/>
    <w:unhideWhenUsed/>
    <w:pPr>
      <w:tabs>
        <w:tab w:val="center" w:pos="4153"/>
        <w:tab w:val="right" w:pos="8306"/>
      </w:tabs>
      <w:snapToGrid w:val="0"/>
    </w:pPr>
  </w:style>
  <w:style w:type="character" w:customStyle="1" w:styleId="FooterChar">
    <w:name w:val="Footer Char"/>
    <w:rPr>
      <w:rFonts w:ascii="Segoe UI" w:eastAsia="Times New Roman" w:hAnsi="Segoe UI" w:cs="Times New Roman"/>
      <w:kern w:val="0"/>
      <w:sz w:val="20"/>
      <w:szCs w:val="20"/>
      <w:lang w:val="en-GB" w:eastAsia="en-US"/>
    </w:rPr>
  </w:style>
  <w:style w:type="paragraph" w:styleId="BalloonText">
    <w:name w:val="Balloon Text"/>
    <w:basedOn w:val="Normal"/>
    <w:semiHidden/>
    <w:unhideWhenUsed/>
    <w:rPr>
      <w:rFonts w:ascii="Cambria" w:eastAsia="新細明體" w:hAnsi="Cambria"/>
      <w:sz w:val="16"/>
      <w:szCs w:val="16"/>
    </w:rPr>
  </w:style>
  <w:style w:type="character" w:customStyle="1" w:styleId="BalloonTextChar">
    <w:name w:val="Balloon Text Char"/>
    <w:semiHidden/>
    <w:rPr>
      <w:rFonts w:ascii="Cambria" w:eastAsia="新細明體" w:hAnsi="Cambria" w:cs="Times New Roman"/>
      <w:kern w:val="0"/>
      <w:sz w:val="16"/>
      <w:szCs w:val="16"/>
      <w:lang w:val="en-GB" w:eastAsia="en-US"/>
    </w:rPr>
  </w:style>
  <w:style w:type="character" w:styleId="CommentReference">
    <w:name w:val="annotation reference"/>
    <w:semiHidden/>
    <w:unhideWhenUsed/>
    <w:rPr>
      <w:sz w:val="18"/>
      <w:szCs w:val="18"/>
    </w:rPr>
  </w:style>
  <w:style w:type="paragraph" w:styleId="CommentText">
    <w:name w:val="annotation text"/>
    <w:basedOn w:val="Normal"/>
    <w:uiPriority w:val="99"/>
    <w:unhideWhenUsed/>
  </w:style>
  <w:style w:type="character" w:customStyle="1" w:styleId="CommentTextChar">
    <w:name w:val="Comment Text Char"/>
    <w:uiPriority w:val="99"/>
    <w:rPr>
      <w:rFonts w:ascii="Segoe UI" w:eastAsia="Times New Roman" w:hAnsi="Segoe UI" w:cs="Times New Roman"/>
      <w:kern w:val="0"/>
      <w:sz w:val="20"/>
      <w:szCs w:val="20"/>
      <w:lang w:val="en-GB" w:eastAsia="en-US"/>
    </w:rPr>
  </w:style>
  <w:style w:type="paragraph" w:styleId="CommentSubject">
    <w:name w:val="annotation subject"/>
    <w:basedOn w:val="CommentText"/>
    <w:next w:val="CommentText"/>
    <w:semiHidden/>
    <w:unhideWhenUsed/>
    <w:rPr>
      <w:b/>
      <w:bCs/>
    </w:rPr>
  </w:style>
  <w:style w:type="character" w:customStyle="1" w:styleId="CommentSubjectChar">
    <w:name w:val="Comment Subject Char"/>
    <w:semiHidden/>
    <w:rPr>
      <w:rFonts w:ascii="Segoe UI" w:eastAsia="Times New Roman" w:hAnsi="Segoe UI" w:cs="Times New Roman"/>
      <w:b/>
      <w:bCs/>
      <w:kern w:val="0"/>
      <w:sz w:val="20"/>
      <w:szCs w:val="20"/>
      <w:lang w:val="en-GB" w:eastAsia="en-US"/>
    </w:rPr>
  </w:style>
  <w:style w:type="paragraph" w:styleId="FootnoteText">
    <w:name w:val="footnote text"/>
    <w:aliases w:val="Footnote Text Char Char,Footnote,Fußnote,FSR footnote,lábléc, Char,l¡¡¡¡ì¬¢bl¡¡¡¡ì¬¦c,Char,Carattere1, Carattere1,Voetnoottekst Char,C26 Footnote body,text,Voetnoottekst Char1 Char,Voetnoottekst Char Char Char,fn"/>
    <w:basedOn w:val="Normal"/>
    <w:uiPriority w:val="99"/>
    <w:qFormat/>
    <w:pPr>
      <w:tabs>
        <w:tab w:val="left" w:pos="397"/>
      </w:tabs>
      <w:spacing w:before="120"/>
      <w:ind w:left="397" w:hanging="397"/>
      <w:jc w:val="both"/>
    </w:pPr>
    <w:rPr>
      <w:sz w:val="16"/>
    </w:rPr>
  </w:style>
  <w:style w:type="character" w:customStyle="1" w:styleId="FootnoteTextChar">
    <w:name w:val="Footnote Text Char"/>
    <w:aliases w:val="Footnote Text Char Char Char,Footnote Char,Fußnote Char,FSR footnote Char,lábléc Char, Char Char,l¡¡¡¡ì¬¢bl¡¡¡¡ì¬¦c Char,Char Char,Carattere1 Char, Carattere1 Char,Voetnoottekst Char Char,C26 Footnote body Char,text Char,fn Char"/>
    <w:uiPriority w:val="99"/>
    <w:rPr>
      <w:rFonts w:ascii="Segoe UI" w:eastAsia="Times New Roman" w:hAnsi="Segoe UI" w:cs="Times New Roman"/>
      <w:kern w:val="0"/>
      <w:sz w:val="16"/>
      <w:szCs w:val="20"/>
      <w:lang w:val="en-GB" w:eastAsia="en-US"/>
    </w:rPr>
  </w:style>
  <w:style w:type="character" w:styleId="FootnoteReference">
    <w:name w:val="footnote reference"/>
    <w:aliases w:val="Footnote Reference Number,Footnote Reference_LVL6,Footnote Reference_LVL61,Footnote Reference_LVL62,Footnote Reference_LVL63,Footnote Reference_LVL64,C26 Footnote Number,Footnote symbol,Footnote Reference_LVL65,Ref,Nota"/>
    <w:qFormat/>
    <w:rPr>
      <w:rFonts w:ascii="Segoe UI" w:hAnsi="Segoe UI" w:cs="Times New Roman"/>
      <w:vertAlign w:val="superscript"/>
    </w:rPr>
  </w:style>
  <w:style w:type="character" w:styleId="Hyperlink">
    <w:name w:val="Hyperlink"/>
    <w:basedOn w:val="DefaultParagraphFont"/>
    <w:uiPriority w:val="99"/>
    <w:unhideWhenUsed/>
    <w:rsid w:val="00A132E4"/>
    <w:rPr>
      <w:color w:val="0563C1" w:themeColor="hyperlink"/>
      <w:u w:val="single"/>
    </w:rPr>
  </w:style>
  <w:style w:type="paragraph" w:customStyle="1" w:styleId="TableText">
    <w:name w:val="TableText"/>
    <w:basedOn w:val="Normal"/>
    <w:qFormat/>
    <w:pPr>
      <w:spacing w:before="40" w:after="40"/>
    </w:pPr>
    <w:rPr>
      <w:sz w:val="17"/>
    </w:rPr>
  </w:style>
  <w:style w:type="paragraph" w:customStyle="1" w:styleId="TableNote">
    <w:name w:val="TableNote"/>
    <w:basedOn w:val="Normal"/>
    <w:pPr>
      <w:spacing w:before="60" w:after="120"/>
      <w:jc w:val="both"/>
    </w:pPr>
    <w:rPr>
      <w:sz w:val="15"/>
    </w:rPr>
  </w:style>
  <w:style w:type="paragraph" w:customStyle="1" w:styleId="BoxTitle">
    <w:name w:val="BoxTitle"/>
    <w:basedOn w:val="Normal"/>
    <w:next w:val="Normal"/>
    <w:pPr>
      <w:keepNext/>
      <w:keepLines/>
      <w:spacing w:before="240" w:line="240" w:lineRule="exact"/>
      <w:outlineLvl w:val="0"/>
    </w:pPr>
    <w:rPr>
      <w:rFonts w:eastAsia="新細明體"/>
      <w:sz w:val="24"/>
    </w:rPr>
  </w:style>
  <w:style w:type="paragraph" w:customStyle="1" w:styleId="Bulletpoint">
    <w:name w:val="Bullet point"/>
    <w:basedOn w:val="Normal"/>
    <w:qFormat/>
    <w:pPr>
      <w:numPr>
        <w:numId w:val="9"/>
      </w:numPr>
      <w:tabs>
        <w:tab w:val="left" w:pos="794"/>
        <w:tab w:val="left" w:pos="1191"/>
      </w:tabs>
      <w:spacing w:after="120"/>
      <w:ind w:left="794" w:hanging="794"/>
      <w:jc w:val="both"/>
    </w:pPr>
    <w:rPr>
      <w:noProof/>
      <w:lang w:eastAsia="en-GB"/>
    </w:rPr>
  </w:style>
  <w:style w:type="paragraph" w:customStyle="1" w:styleId="IndentedHeading2">
    <w:name w:val="Indented Heading 2"/>
    <w:basedOn w:val="Heading2"/>
    <w:next w:val="Normal"/>
    <w:qFormat/>
    <w:pPr>
      <w:tabs>
        <w:tab w:val="left" w:pos="794"/>
      </w:tabs>
      <w:spacing w:before="360" w:after="240"/>
      <w:ind w:left="794" w:hanging="794"/>
    </w:pPr>
    <w:rPr>
      <w:b/>
      <w:bCs/>
      <w:color w:val="AA322F"/>
      <w:sz w:val="24"/>
      <w:lang w:eastAsia="en-GB"/>
    </w:rPr>
  </w:style>
  <w:style w:type="character" w:customStyle="1" w:styleId="Heading2Char">
    <w:name w:val="Heading 2 Char"/>
    <w:rPr>
      <w:rFonts w:ascii="Cambria" w:eastAsia="新細明體" w:hAnsi="Cambria" w:cs="Times New Roman"/>
      <w:b/>
      <w:bCs/>
      <w:kern w:val="0"/>
      <w:sz w:val="48"/>
      <w:szCs w:val="48"/>
      <w:lang w:val="en-GB" w:eastAsia="en-US"/>
    </w:rPr>
  </w:style>
  <w:style w:type="paragraph" w:customStyle="1" w:styleId="Default">
    <w:name w:val="Default"/>
    <w:pPr>
      <w:widowControl w:val="0"/>
      <w:autoSpaceDE w:val="0"/>
      <w:autoSpaceDN w:val="0"/>
      <w:adjustRightInd w:val="0"/>
    </w:pPr>
    <w:rPr>
      <w:rFonts w:ascii="Segoe UI" w:hAnsi="Segoe UI" w:cs="Segoe UI"/>
      <w:color w:val="000000"/>
      <w:sz w:val="24"/>
      <w:szCs w:val="24"/>
      <w:lang w:val="en-US" w:eastAsia="zh-TW"/>
    </w:rPr>
  </w:style>
  <w:style w:type="table" w:styleId="TableGrid">
    <w:name w:val="Table Grid"/>
    <w:basedOn w:val="TableNormal"/>
    <w:uiPriority w:val="59"/>
    <w:rsid w:val="002A0515"/>
    <w:rPr>
      <w:rFonts w:asciiTheme="minorHAnsi" w:eastAsiaTheme="minorEastAsia" w:hAnsiTheme="minorHAnsi" w:cstheme="minorBidi"/>
      <w:kern w:val="2"/>
      <w:sz w:val="24"/>
      <w:szCs w:val="22"/>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2A0515"/>
    <w:rPr>
      <w:rFonts w:asciiTheme="minorHAnsi" w:eastAsiaTheme="minorEastAsia" w:hAnsiTheme="minorHAnsi" w:cstheme="minorBidi"/>
      <w:kern w:val="2"/>
      <w:sz w:val="24"/>
      <w:szCs w:val="22"/>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A0515"/>
    <w:rPr>
      <w:rFonts w:asciiTheme="minorHAnsi" w:eastAsiaTheme="minorEastAsia" w:hAnsiTheme="minorHAnsi" w:cstheme="minorBidi"/>
      <w:kern w:val="2"/>
      <w:sz w:val="24"/>
      <w:szCs w:val="22"/>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A0515"/>
    <w:rPr>
      <w:rFonts w:ascii="Segoe UI" w:eastAsia="Times New Roman" w:hAnsi="Segoe UI"/>
      <w:lang w:eastAsia="en-US"/>
    </w:rPr>
  </w:style>
  <w:style w:type="paragraph" w:styleId="NoSpacing">
    <w:name w:val="No Spacing"/>
    <w:uiPriority w:val="1"/>
    <w:qFormat/>
    <w:rsid w:val="00CB05DE"/>
    <w:rPr>
      <w:rFonts w:ascii="Segoe UI" w:eastAsia="Times New Roman" w:hAnsi="Segoe UI"/>
      <w:lang w:eastAsia="en-US"/>
    </w:rPr>
  </w:style>
  <w:style w:type="table" w:customStyle="1" w:styleId="TableGrid3">
    <w:name w:val="Table Grid3"/>
    <w:basedOn w:val="TableNormal"/>
    <w:next w:val="TableGrid"/>
    <w:uiPriority w:val="59"/>
    <w:rsid w:val="00B42E96"/>
    <w:rPr>
      <w:kern w:val="2"/>
      <w:sz w:val="24"/>
      <w:szCs w:val="22"/>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71FDD"/>
    <w:rPr>
      <w:kern w:val="2"/>
      <w:sz w:val="24"/>
      <w:szCs w:val="22"/>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dnoteTextChar">
    <w:name w:val="Endnote Text Char"/>
    <w:basedOn w:val="DefaultParagraphFont"/>
    <w:link w:val="EndnoteText"/>
    <w:uiPriority w:val="99"/>
    <w:semiHidden/>
    <w:rsid w:val="001929CC"/>
    <w:rPr>
      <w:rFonts w:ascii="Segoe UI" w:eastAsia="Times New Roman" w:hAnsi="Segoe UI"/>
      <w:lang w:eastAsia="en-US"/>
    </w:rPr>
  </w:style>
  <w:style w:type="paragraph" w:styleId="EndnoteText">
    <w:name w:val="endnote text"/>
    <w:basedOn w:val="Normal"/>
    <w:link w:val="EndnoteTextChar"/>
    <w:uiPriority w:val="99"/>
    <w:semiHidden/>
    <w:unhideWhenUsed/>
    <w:rsid w:val="001929CC"/>
  </w:style>
  <w:style w:type="paragraph" w:customStyle="1" w:styleId="DDIs1">
    <w:name w:val="DDIs 1"/>
    <w:basedOn w:val="Heading2"/>
    <w:link w:val="DDIs1Char"/>
    <w:qFormat/>
    <w:rsid w:val="001929CC"/>
    <w:pPr>
      <w:spacing w:beforeLines="100" w:before="100" w:afterLines="100" w:after="100"/>
      <w:ind w:left="851" w:hanging="851"/>
      <w:jc w:val="both"/>
      <w:outlineLvl w:val="0"/>
    </w:pPr>
    <w:rPr>
      <w:rFonts w:ascii="Times New Roman Bold" w:hAnsi="Times New Roman Bold"/>
      <w:b/>
      <w:bCs/>
      <w:caps/>
      <w:color w:val="660066"/>
      <w:kern w:val="2"/>
      <w:sz w:val="28"/>
      <w:szCs w:val="48"/>
      <w:lang w:eastAsia="zh-TW"/>
    </w:rPr>
  </w:style>
  <w:style w:type="character" w:customStyle="1" w:styleId="DDIs1Char">
    <w:name w:val="DDIs 1 Char"/>
    <w:link w:val="DDIs1"/>
    <w:rsid w:val="001929CC"/>
    <w:rPr>
      <w:rFonts w:ascii="Times New Roman Bold" w:eastAsia="Times New Roman" w:hAnsi="Times New Roman Bold"/>
      <w:b/>
      <w:bCs/>
      <w:caps/>
      <w:color w:val="660066"/>
      <w:kern w:val="2"/>
      <w:sz w:val="28"/>
      <w:szCs w:val="48"/>
      <w:lang w:eastAsia="zh-TW"/>
    </w:rPr>
  </w:style>
  <w:style w:type="paragraph" w:customStyle="1" w:styleId="DDIs3">
    <w:name w:val="DDIs 3"/>
    <w:basedOn w:val="Normal"/>
    <w:qFormat/>
    <w:rsid w:val="001929CC"/>
    <w:pPr>
      <w:keepNext/>
      <w:spacing w:beforeLines="50" w:before="50" w:afterLines="50" w:after="50"/>
      <w:ind w:left="1844" w:hanging="1134"/>
      <w:jc w:val="both"/>
      <w:outlineLvl w:val="2"/>
    </w:pPr>
    <w:rPr>
      <w:rFonts w:ascii="Times New Roman" w:hAnsi="Times New Roman"/>
      <w:b/>
      <w:kern w:val="2"/>
      <w:sz w:val="24"/>
      <w:szCs w:val="24"/>
      <w:lang w:eastAsia="zh-TW"/>
    </w:rPr>
  </w:style>
  <w:style w:type="paragraph" w:customStyle="1" w:styleId="DDIs5">
    <w:name w:val="DDIs 5"/>
    <w:basedOn w:val="Normal"/>
    <w:qFormat/>
    <w:rsid w:val="001929CC"/>
    <w:pPr>
      <w:widowControl w:val="0"/>
      <w:spacing w:after="120"/>
      <w:ind w:left="567" w:hanging="567"/>
      <w:jc w:val="both"/>
      <w:outlineLvl w:val="2"/>
    </w:pPr>
    <w:rPr>
      <w:rFonts w:ascii="Times New Roman" w:eastAsia="新細明體" w:hAnsi="Times New Roman"/>
      <w:kern w:val="2"/>
      <w:sz w:val="24"/>
      <w:szCs w:val="24"/>
      <w:lang w:eastAsia="zh-TW"/>
    </w:rPr>
  </w:style>
  <w:style w:type="paragraph" w:customStyle="1" w:styleId="DDIs6">
    <w:name w:val="DDIs 6"/>
    <w:basedOn w:val="DDIs5"/>
    <w:qFormat/>
    <w:rsid w:val="001929CC"/>
    <w:pPr>
      <w:numPr>
        <w:ilvl w:val="5"/>
      </w:numPr>
      <w:ind w:left="567" w:hanging="567"/>
    </w:pPr>
  </w:style>
  <w:style w:type="paragraph" w:customStyle="1" w:styleId="DDIs7">
    <w:name w:val="DDIs 7"/>
    <w:basedOn w:val="DDIs6"/>
    <w:qFormat/>
    <w:rsid w:val="001929CC"/>
    <w:pPr>
      <w:numPr>
        <w:ilvl w:val="6"/>
      </w:numPr>
      <w:ind w:left="567" w:hanging="567"/>
    </w:pPr>
    <w:rPr>
      <w:rFonts w:hAnsi="Cambria Math"/>
    </w:rPr>
  </w:style>
  <w:style w:type="paragraph" w:customStyle="1" w:styleId="StyleDDIs2LatinBodyCalibriAsianBodyAsian">
    <w:name w:val="Style DDIs 2 + (Latin) +Body (Calibri) (Asian) +Body Asian (新細明體)"/>
    <w:basedOn w:val="Normal"/>
    <w:next w:val="DDIs3"/>
    <w:rsid w:val="001929CC"/>
    <w:pPr>
      <w:widowControl w:val="0"/>
      <w:numPr>
        <w:ilvl w:val="1"/>
        <w:numId w:val="50"/>
      </w:numPr>
      <w:spacing w:before="360" w:after="240"/>
      <w:jc w:val="both"/>
      <w:outlineLvl w:val="1"/>
    </w:pPr>
    <w:rPr>
      <w:rFonts w:ascii="Times New Roman" w:hAnsi="Times New Roman"/>
      <w:b/>
      <w:bCs/>
      <w:kern w:val="2"/>
      <w:sz w:val="28"/>
      <w:szCs w:val="24"/>
      <w:lang w:eastAsia="zh-TW"/>
    </w:rPr>
  </w:style>
  <w:style w:type="paragraph" w:customStyle="1" w:styleId="DDIs8">
    <w:name w:val="DDIs 8"/>
    <w:basedOn w:val="DDIs7"/>
    <w:qFormat/>
    <w:rsid w:val="001929CC"/>
    <w:pPr>
      <w:numPr>
        <w:ilvl w:val="7"/>
      </w:numPr>
      <w:ind w:left="567" w:hanging="567"/>
    </w:pPr>
  </w:style>
  <w:style w:type="paragraph" w:styleId="NormalWeb">
    <w:name w:val="Normal (Web)"/>
    <w:basedOn w:val="Normal"/>
    <w:uiPriority w:val="99"/>
    <w:unhideWhenUsed/>
    <w:rsid w:val="001929CC"/>
    <w:pPr>
      <w:spacing w:before="100" w:beforeAutospacing="1" w:after="100" w:afterAutospacing="1"/>
    </w:pPr>
    <w:rPr>
      <w:rFonts w:ascii="Times New Roman" w:hAnsi="Times New Roman"/>
      <w:sz w:val="24"/>
      <w:szCs w:val="24"/>
      <w:lang w:eastAsia="zh-CN"/>
    </w:rPr>
  </w:style>
  <w:style w:type="character" w:customStyle="1" w:styleId="firstword">
    <w:name w:val="firstword"/>
    <w:rsid w:val="001929CC"/>
  </w:style>
  <w:style w:type="paragraph" w:customStyle="1" w:styleId="PubliTitle">
    <w:name w:val="PubliTitle"/>
    <w:basedOn w:val="Normal"/>
    <w:next w:val="Normal"/>
    <w:rsid w:val="001929CC"/>
    <w:pPr>
      <w:keepNext/>
      <w:spacing w:after="600"/>
      <w:outlineLvl w:val="0"/>
    </w:pPr>
    <w:rPr>
      <w:color w:val="AA322F"/>
      <w:sz w:val="32"/>
    </w:rPr>
  </w:style>
  <w:style w:type="table" w:customStyle="1" w:styleId="TableGrid5">
    <w:name w:val="Table Grid5"/>
    <w:basedOn w:val="TableNormal"/>
    <w:next w:val="TableGrid"/>
    <w:uiPriority w:val="59"/>
    <w:rsid w:val="000747DD"/>
    <w:rPr>
      <w:kern w:val="2"/>
      <w:sz w:val="24"/>
      <w:szCs w:val="22"/>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420454"/>
    <w:rPr>
      <w:kern w:val="2"/>
      <w:sz w:val="24"/>
      <w:szCs w:val="22"/>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420454"/>
    <w:rPr>
      <w:kern w:val="2"/>
      <w:sz w:val="24"/>
      <w:szCs w:val="22"/>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420454"/>
    <w:rPr>
      <w:kern w:val="2"/>
      <w:sz w:val="24"/>
      <w:szCs w:val="22"/>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840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5255">
      <w:bodyDiv w:val="1"/>
      <w:marLeft w:val="0"/>
      <w:marRight w:val="0"/>
      <w:marTop w:val="0"/>
      <w:marBottom w:val="0"/>
      <w:divBdr>
        <w:top w:val="none" w:sz="0" w:space="0" w:color="auto"/>
        <w:left w:val="none" w:sz="0" w:space="0" w:color="auto"/>
        <w:bottom w:val="none" w:sz="0" w:space="0" w:color="auto"/>
        <w:right w:val="none" w:sz="0" w:space="0" w:color="auto"/>
      </w:divBdr>
    </w:div>
    <w:div w:id="45295956">
      <w:bodyDiv w:val="1"/>
      <w:marLeft w:val="0"/>
      <w:marRight w:val="0"/>
      <w:marTop w:val="0"/>
      <w:marBottom w:val="0"/>
      <w:divBdr>
        <w:top w:val="none" w:sz="0" w:space="0" w:color="auto"/>
        <w:left w:val="none" w:sz="0" w:space="0" w:color="auto"/>
        <w:bottom w:val="none" w:sz="0" w:space="0" w:color="auto"/>
        <w:right w:val="none" w:sz="0" w:space="0" w:color="auto"/>
      </w:divBdr>
    </w:div>
    <w:div w:id="92165496">
      <w:bodyDiv w:val="1"/>
      <w:marLeft w:val="0"/>
      <w:marRight w:val="0"/>
      <w:marTop w:val="0"/>
      <w:marBottom w:val="0"/>
      <w:divBdr>
        <w:top w:val="none" w:sz="0" w:space="0" w:color="auto"/>
        <w:left w:val="none" w:sz="0" w:space="0" w:color="auto"/>
        <w:bottom w:val="none" w:sz="0" w:space="0" w:color="auto"/>
        <w:right w:val="none" w:sz="0" w:space="0" w:color="auto"/>
      </w:divBdr>
    </w:div>
    <w:div w:id="98572428">
      <w:bodyDiv w:val="1"/>
      <w:marLeft w:val="0"/>
      <w:marRight w:val="0"/>
      <w:marTop w:val="0"/>
      <w:marBottom w:val="0"/>
      <w:divBdr>
        <w:top w:val="none" w:sz="0" w:space="0" w:color="auto"/>
        <w:left w:val="none" w:sz="0" w:space="0" w:color="auto"/>
        <w:bottom w:val="none" w:sz="0" w:space="0" w:color="auto"/>
        <w:right w:val="none" w:sz="0" w:space="0" w:color="auto"/>
      </w:divBdr>
    </w:div>
    <w:div w:id="133722161">
      <w:bodyDiv w:val="1"/>
      <w:marLeft w:val="0"/>
      <w:marRight w:val="0"/>
      <w:marTop w:val="0"/>
      <w:marBottom w:val="0"/>
      <w:divBdr>
        <w:top w:val="none" w:sz="0" w:space="0" w:color="auto"/>
        <w:left w:val="none" w:sz="0" w:space="0" w:color="auto"/>
        <w:bottom w:val="none" w:sz="0" w:space="0" w:color="auto"/>
        <w:right w:val="none" w:sz="0" w:space="0" w:color="auto"/>
      </w:divBdr>
    </w:div>
    <w:div w:id="151415006">
      <w:bodyDiv w:val="1"/>
      <w:marLeft w:val="0"/>
      <w:marRight w:val="0"/>
      <w:marTop w:val="0"/>
      <w:marBottom w:val="0"/>
      <w:divBdr>
        <w:top w:val="none" w:sz="0" w:space="0" w:color="auto"/>
        <w:left w:val="none" w:sz="0" w:space="0" w:color="auto"/>
        <w:bottom w:val="none" w:sz="0" w:space="0" w:color="auto"/>
        <w:right w:val="none" w:sz="0" w:space="0" w:color="auto"/>
      </w:divBdr>
    </w:div>
    <w:div w:id="158425354">
      <w:bodyDiv w:val="1"/>
      <w:marLeft w:val="0"/>
      <w:marRight w:val="0"/>
      <w:marTop w:val="0"/>
      <w:marBottom w:val="0"/>
      <w:divBdr>
        <w:top w:val="none" w:sz="0" w:space="0" w:color="auto"/>
        <w:left w:val="none" w:sz="0" w:space="0" w:color="auto"/>
        <w:bottom w:val="none" w:sz="0" w:space="0" w:color="auto"/>
        <w:right w:val="none" w:sz="0" w:space="0" w:color="auto"/>
      </w:divBdr>
    </w:div>
    <w:div w:id="161046512">
      <w:bodyDiv w:val="1"/>
      <w:marLeft w:val="0"/>
      <w:marRight w:val="0"/>
      <w:marTop w:val="0"/>
      <w:marBottom w:val="0"/>
      <w:divBdr>
        <w:top w:val="none" w:sz="0" w:space="0" w:color="auto"/>
        <w:left w:val="none" w:sz="0" w:space="0" w:color="auto"/>
        <w:bottom w:val="none" w:sz="0" w:space="0" w:color="auto"/>
        <w:right w:val="none" w:sz="0" w:space="0" w:color="auto"/>
      </w:divBdr>
    </w:div>
    <w:div w:id="209850094">
      <w:bodyDiv w:val="1"/>
      <w:marLeft w:val="0"/>
      <w:marRight w:val="0"/>
      <w:marTop w:val="0"/>
      <w:marBottom w:val="0"/>
      <w:divBdr>
        <w:top w:val="none" w:sz="0" w:space="0" w:color="auto"/>
        <w:left w:val="none" w:sz="0" w:space="0" w:color="auto"/>
        <w:bottom w:val="none" w:sz="0" w:space="0" w:color="auto"/>
        <w:right w:val="none" w:sz="0" w:space="0" w:color="auto"/>
      </w:divBdr>
    </w:div>
    <w:div w:id="310135275">
      <w:bodyDiv w:val="1"/>
      <w:marLeft w:val="0"/>
      <w:marRight w:val="0"/>
      <w:marTop w:val="0"/>
      <w:marBottom w:val="0"/>
      <w:divBdr>
        <w:top w:val="none" w:sz="0" w:space="0" w:color="auto"/>
        <w:left w:val="none" w:sz="0" w:space="0" w:color="auto"/>
        <w:bottom w:val="none" w:sz="0" w:space="0" w:color="auto"/>
        <w:right w:val="none" w:sz="0" w:space="0" w:color="auto"/>
      </w:divBdr>
    </w:div>
    <w:div w:id="322971745">
      <w:bodyDiv w:val="1"/>
      <w:marLeft w:val="0"/>
      <w:marRight w:val="0"/>
      <w:marTop w:val="0"/>
      <w:marBottom w:val="0"/>
      <w:divBdr>
        <w:top w:val="none" w:sz="0" w:space="0" w:color="auto"/>
        <w:left w:val="none" w:sz="0" w:space="0" w:color="auto"/>
        <w:bottom w:val="none" w:sz="0" w:space="0" w:color="auto"/>
        <w:right w:val="none" w:sz="0" w:space="0" w:color="auto"/>
      </w:divBdr>
    </w:div>
    <w:div w:id="449712836">
      <w:bodyDiv w:val="1"/>
      <w:marLeft w:val="0"/>
      <w:marRight w:val="0"/>
      <w:marTop w:val="0"/>
      <w:marBottom w:val="0"/>
      <w:divBdr>
        <w:top w:val="none" w:sz="0" w:space="0" w:color="auto"/>
        <w:left w:val="none" w:sz="0" w:space="0" w:color="auto"/>
        <w:bottom w:val="none" w:sz="0" w:space="0" w:color="auto"/>
        <w:right w:val="none" w:sz="0" w:space="0" w:color="auto"/>
      </w:divBdr>
    </w:div>
    <w:div w:id="515730989">
      <w:bodyDiv w:val="1"/>
      <w:marLeft w:val="0"/>
      <w:marRight w:val="0"/>
      <w:marTop w:val="0"/>
      <w:marBottom w:val="0"/>
      <w:divBdr>
        <w:top w:val="none" w:sz="0" w:space="0" w:color="auto"/>
        <w:left w:val="none" w:sz="0" w:space="0" w:color="auto"/>
        <w:bottom w:val="none" w:sz="0" w:space="0" w:color="auto"/>
        <w:right w:val="none" w:sz="0" w:space="0" w:color="auto"/>
      </w:divBdr>
    </w:div>
    <w:div w:id="616832914">
      <w:bodyDiv w:val="1"/>
      <w:marLeft w:val="0"/>
      <w:marRight w:val="0"/>
      <w:marTop w:val="0"/>
      <w:marBottom w:val="0"/>
      <w:divBdr>
        <w:top w:val="none" w:sz="0" w:space="0" w:color="auto"/>
        <w:left w:val="none" w:sz="0" w:space="0" w:color="auto"/>
        <w:bottom w:val="none" w:sz="0" w:space="0" w:color="auto"/>
        <w:right w:val="none" w:sz="0" w:space="0" w:color="auto"/>
      </w:divBdr>
    </w:div>
    <w:div w:id="697858510">
      <w:bodyDiv w:val="1"/>
      <w:marLeft w:val="0"/>
      <w:marRight w:val="0"/>
      <w:marTop w:val="0"/>
      <w:marBottom w:val="0"/>
      <w:divBdr>
        <w:top w:val="none" w:sz="0" w:space="0" w:color="auto"/>
        <w:left w:val="none" w:sz="0" w:space="0" w:color="auto"/>
        <w:bottom w:val="none" w:sz="0" w:space="0" w:color="auto"/>
        <w:right w:val="none" w:sz="0" w:space="0" w:color="auto"/>
      </w:divBdr>
    </w:div>
    <w:div w:id="765997127">
      <w:bodyDiv w:val="1"/>
      <w:marLeft w:val="0"/>
      <w:marRight w:val="0"/>
      <w:marTop w:val="0"/>
      <w:marBottom w:val="0"/>
      <w:divBdr>
        <w:top w:val="none" w:sz="0" w:space="0" w:color="auto"/>
        <w:left w:val="none" w:sz="0" w:space="0" w:color="auto"/>
        <w:bottom w:val="none" w:sz="0" w:space="0" w:color="auto"/>
        <w:right w:val="none" w:sz="0" w:space="0" w:color="auto"/>
      </w:divBdr>
    </w:div>
    <w:div w:id="844901015">
      <w:bodyDiv w:val="1"/>
      <w:marLeft w:val="0"/>
      <w:marRight w:val="0"/>
      <w:marTop w:val="0"/>
      <w:marBottom w:val="0"/>
      <w:divBdr>
        <w:top w:val="none" w:sz="0" w:space="0" w:color="auto"/>
        <w:left w:val="none" w:sz="0" w:space="0" w:color="auto"/>
        <w:bottom w:val="none" w:sz="0" w:space="0" w:color="auto"/>
        <w:right w:val="none" w:sz="0" w:space="0" w:color="auto"/>
      </w:divBdr>
    </w:div>
    <w:div w:id="992022209">
      <w:bodyDiv w:val="1"/>
      <w:marLeft w:val="0"/>
      <w:marRight w:val="0"/>
      <w:marTop w:val="0"/>
      <w:marBottom w:val="0"/>
      <w:divBdr>
        <w:top w:val="none" w:sz="0" w:space="0" w:color="auto"/>
        <w:left w:val="none" w:sz="0" w:space="0" w:color="auto"/>
        <w:bottom w:val="none" w:sz="0" w:space="0" w:color="auto"/>
        <w:right w:val="none" w:sz="0" w:space="0" w:color="auto"/>
      </w:divBdr>
    </w:div>
    <w:div w:id="1070613912">
      <w:bodyDiv w:val="1"/>
      <w:marLeft w:val="0"/>
      <w:marRight w:val="0"/>
      <w:marTop w:val="0"/>
      <w:marBottom w:val="0"/>
      <w:divBdr>
        <w:top w:val="none" w:sz="0" w:space="0" w:color="auto"/>
        <w:left w:val="none" w:sz="0" w:space="0" w:color="auto"/>
        <w:bottom w:val="none" w:sz="0" w:space="0" w:color="auto"/>
        <w:right w:val="none" w:sz="0" w:space="0" w:color="auto"/>
      </w:divBdr>
    </w:div>
    <w:div w:id="1126969129">
      <w:bodyDiv w:val="1"/>
      <w:marLeft w:val="0"/>
      <w:marRight w:val="0"/>
      <w:marTop w:val="0"/>
      <w:marBottom w:val="0"/>
      <w:divBdr>
        <w:top w:val="none" w:sz="0" w:space="0" w:color="auto"/>
        <w:left w:val="none" w:sz="0" w:space="0" w:color="auto"/>
        <w:bottom w:val="none" w:sz="0" w:space="0" w:color="auto"/>
        <w:right w:val="none" w:sz="0" w:space="0" w:color="auto"/>
      </w:divBdr>
    </w:div>
    <w:div w:id="1288202928">
      <w:bodyDiv w:val="1"/>
      <w:marLeft w:val="0"/>
      <w:marRight w:val="0"/>
      <w:marTop w:val="0"/>
      <w:marBottom w:val="0"/>
      <w:divBdr>
        <w:top w:val="none" w:sz="0" w:space="0" w:color="auto"/>
        <w:left w:val="none" w:sz="0" w:space="0" w:color="auto"/>
        <w:bottom w:val="none" w:sz="0" w:space="0" w:color="auto"/>
        <w:right w:val="none" w:sz="0" w:space="0" w:color="auto"/>
      </w:divBdr>
    </w:div>
    <w:div w:id="1317874287">
      <w:bodyDiv w:val="1"/>
      <w:marLeft w:val="0"/>
      <w:marRight w:val="0"/>
      <w:marTop w:val="0"/>
      <w:marBottom w:val="0"/>
      <w:divBdr>
        <w:top w:val="none" w:sz="0" w:space="0" w:color="auto"/>
        <w:left w:val="none" w:sz="0" w:space="0" w:color="auto"/>
        <w:bottom w:val="none" w:sz="0" w:space="0" w:color="auto"/>
        <w:right w:val="none" w:sz="0" w:space="0" w:color="auto"/>
      </w:divBdr>
    </w:div>
    <w:div w:id="1564293053">
      <w:bodyDiv w:val="1"/>
      <w:marLeft w:val="0"/>
      <w:marRight w:val="0"/>
      <w:marTop w:val="0"/>
      <w:marBottom w:val="0"/>
      <w:divBdr>
        <w:top w:val="none" w:sz="0" w:space="0" w:color="auto"/>
        <w:left w:val="none" w:sz="0" w:space="0" w:color="auto"/>
        <w:bottom w:val="none" w:sz="0" w:space="0" w:color="auto"/>
        <w:right w:val="none" w:sz="0" w:space="0" w:color="auto"/>
      </w:divBdr>
    </w:div>
    <w:div w:id="1761415112">
      <w:bodyDiv w:val="1"/>
      <w:marLeft w:val="0"/>
      <w:marRight w:val="0"/>
      <w:marTop w:val="0"/>
      <w:marBottom w:val="0"/>
      <w:divBdr>
        <w:top w:val="none" w:sz="0" w:space="0" w:color="auto"/>
        <w:left w:val="none" w:sz="0" w:space="0" w:color="auto"/>
        <w:bottom w:val="none" w:sz="0" w:space="0" w:color="auto"/>
        <w:right w:val="none" w:sz="0" w:space="0" w:color="auto"/>
      </w:divBdr>
    </w:div>
    <w:div w:id="2084720359">
      <w:bodyDiv w:val="1"/>
      <w:marLeft w:val="0"/>
      <w:marRight w:val="0"/>
      <w:marTop w:val="0"/>
      <w:marBottom w:val="0"/>
      <w:divBdr>
        <w:top w:val="none" w:sz="0" w:space="0" w:color="auto"/>
        <w:left w:val="none" w:sz="0" w:space="0" w:color="auto"/>
        <w:bottom w:val="none" w:sz="0" w:space="0" w:color="auto"/>
        <w:right w:val="none" w:sz="0" w:space="0" w:color="auto"/>
      </w:divBdr>
    </w:div>
    <w:div w:id="2093695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footer" Target="footer84.xml"/><Relationship Id="rId21" Type="http://schemas.openxmlformats.org/officeDocument/2006/relationships/footer" Target="footer11.xml"/><Relationship Id="rId42" Type="http://schemas.openxmlformats.org/officeDocument/2006/relationships/footer" Target="footer25.xml"/><Relationship Id="rId47" Type="http://schemas.openxmlformats.org/officeDocument/2006/relationships/footer" Target="footer30.xml"/><Relationship Id="rId63" Type="http://schemas.openxmlformats.org/officeDocument/2006/relationships/footer" Target="footer46.xml"/><Relationship Id="rId68" Type="http://schemas.openxmlformats.org/officeDocument/2006/relationships/footer" Target="footer50.xml"/><Relationship Id="rId84" Type="http://schemas.openxmlformats.org/officeDocument/2006/relationships/footer" Target="footer64.xml"/><Relationship Id="rId89" Type="http://schemas.openxmlformats.org/officeDocument/2006/relationships/header" Target="header15.xml"/><Relationship Id="rId112" Type="http://schemas.openxmlformats.org/officeDocument/2006/relationships/footer" Target="footer79.xml"/><Relationship Id="rId16" Type="http://schemas.openxmlformats.org/officeDocument/2006/relationships/header" Target="header1.xml"/><Relationship Id="rId107" Type="http://schemas.openxmlformats.org/officeDocument/2006/relationships/header" Target="header24.xml"/><Relationship Id="rId11" Type="http://schemas.openxmlformats.org/officeDocument/2006/relationships/footer" Target="footer4.xml"/><Relationship Id="rId32" Type="http://schemas.openxmlformats.org/officeDocument/2006/relationships/footer" Target="footer18.xml"/><Relationship Id="rId37" Type="http://schemas.openxmlformats.org/officeDocument/2006/relationships/footer" Target="footer21.xml"/><Relationship Id="rId53" Type="http://schemas.openxmlformats.org/officeDocument/2006/relationships/footer" Target="footer36.xml"/><Relationship Id="rId58" Type="http://schemas.openxmlformats.org/officeDocument/2006/relationships/footer" Target="footer41.xml"/><Relationship Id="rId74" Type="http://schemas.openxmlformats.org/officeDocument/2006/relationships/footer" Target="footer56.xml"/><Relationship Id="rId79" Type="http://schemas.openxmlformats.org/officeDocument/2006/relationships/footer" Target="footer61.xml"/><Relationship Id="rId102" Type="http://schemas.openxmlformats.org/officeDocument/2006/relationships/footer" Target="footer73.xml"/><Relationship Id="rId5" Type="http://schemas.openxmlformats.org/officeDocument/2006/relationships/webSettings" Target="webSettings.xml"/><Relationship Id="rId61" Type="http://schemas.openxmlformats.org/officeDocument/2006/relationships/footer" Target="footer44.xml"/><Relationship Id="rId82" Type="http://schemas.openxmlformats.org/officeDocument/2006/relationships/header" Target="header11.xml"/><Relationship Id="rId90" Type="http://schemas.openxmlformats.org/officeDocument/2006/relationships/footer" Target="footer67.xml"/><Relationship Id="rId95" Type="http://schemas.openxmlformats.org/officeDocument/2006/relationships/header" Target="header18.xml"/><Relationship Id="rId19" Type="http://schemas.openxmlformats.org/officeDocument/2006/relationships/footer" Target="footer10.xml"/><Relationship Id="rId14" Type="http://schemas.openxmlformats.org/officeDocument/2006/relationships/footer" Target="footer7.xml"/><Relationship Id="rId22" Type="http://schemas.openxmlformats.org/officeDocument/2006/relationships/header" Target="header4.xml"/><Relationship Id="rId27" Type="http://schemas.openxmlformats.org/officeDocument/2006/relationships/footer" Target="footer14.xml"/><Relationship Id="rId30" Type="http://schemas.openxmlformats.org/officeDocument/2006/relationships/footer" Target="footer16.xml"/><Relationship Id="rId35" Type="http://schemas.openxmlformats.org/officeDocument/2006/relationships/header" Target="header8.xml"/><Relationship Id="rId43" Type="http://schemas.openxmlformats.org/officeDocument/2006/relationships/footer" Target="footer26.xml"/><Relationship Id="rId48" Type="http://schemas.openxmlformats.org/officeDocument/2006/relationships/footer" Target="footer31.xml"/><Relationship Id="rId56" Type="http://schemas.openxmlformats.org/officeDocument/2006/relationships/footer" Target="footer39.xml"/><Relationship Id="rId64" Type="http://schemas.openxmlformats.org/officeDocument/2006/relationships/header" Target="header10.xml"/><Relationship Id="rId69" Type="http://schemas.openxmlformats.org/officeDocument/2006/relationships/footer" Target="footer51.xml"/><Relationship Id="rId77" Type="http://schemas.openxmlformats.org/officeDocument/2006/relationships/footer" Target="footer59.xml"/><Relationship Id="rId100" Type="http://schemas.openxmlformats.org/officeDocument/2006/relationships/header" Target="header20.xml"/><Relationship Id="rId105" Type="http://schemas.openxmlformats.org/officeDocument/2006/relationships/footer" Target="footer75.xml"/><Relationship Id="rId113" Type="http://schemas.openxmlformats.org/officeDocument/2006/relationships/footer" Target="footer80.xml"/><Relationship Id="rId118" Type="http://schemas.openxmlformats.org/officeDocument/2006/relationships/footer" Target="footer85.xml"/><Relationship Id="rId8" Type="http://schemas.openxmlformats.org/officeDocument/2006/relationships/footer" Target="footer1.xml"/><Relationship Id="rId51" Type="http://schemas.openxmlformats.org/officeDocument/2006/relationships/footer" Target="footer34.xml"/><Relationship Id="rId72" Type="http://schemas.openxmlformats.org/officeDocument/2006/relationships/footer" Target="footer54.xml"/><Relationship Id="rId80" Type="http://schemas.openxmlformats.org/officeDocument/2006/relationships/footer" Target="footer62.xml"/><Relationship Id="rId85" Type="http://schemas.openxmlformats.org/officeDocument/2006/relationships/footer" Target="footer65.xml"/><Relationship Id="rId93" Type="http://schemas.openxmlformats.org/officeDocument/2006/relationships/footer" Target="footer69.xml"/><Relationship Id="rId98" Type="http://schemas.openxmlformats.org/officeDocument/2006/relationships/header" Target="header19.xml"/><Relationship Id="rId12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5.xml"/><Relationship Id="rId17" Type="http://schemas.openxmlformats.org/officeDocument/2006/relationships/header" Target="header2.xml"/><Relationship Id="rId25" Type="http://schemas.openxmlformats.org/officeDocument/2006/relationships/footer" Target="footer13.xml"/><Relationship Id="rId33" Type="http://schemas.openxmlformats.org/officeDocument/2006/relationships/footer" Target="footer19.xml"/><Relationship Id="rId38" Type="http://schemas.openxmlformats.org/officeDocument/2006/relationships/header" Target="header9.xml"/><Relationship Id="rId46" Type="http://schemas.openxmlformats.org/officeDocument/2006/relationships/footer" Target="footer29.xml"/><Relationship Id="rId59" Type="http://schemas.openxmlformats.org/officeDocument/2006/relationships/footer" Target="footer42.xml"/><Relationship Id="rId67" Type="http://schemas.openxmlformats.org/officeDocument/2006/relationships/footer" Target="footer49.xml"/><Relationship Id="rId103" Type="http://schemas.openxmlformats.org/officeDocument/2006/relationships/footer" Target="footer74.xml"/><Relationship Id="rId108" Type="http://schemas.openxmlformats.org/officeDocument/2006/relationships/footer" Target="footer76.xml"/><Relationship Id="rId116" Type="http://schemas.openxmlformats.org/officeDocument/2006/relationships/footer" Target="footer83.xml"/><Relationship Id="rId20" Type="http://schemas.openxmlformats.org/officeDocument/2006/relationships/header" Target="header3.xml"/><Relationship Id="rId41" Type="http://schemas.openxmlformats.org/officeDocument/2006/relationships/footer" Target="footer24.xml"/><Relationship Id="rId54" Type="http://schemas.openxmlformats.org/officeDocument/2006/relationships/footer" Target="footer37.xml"/><Relationship Id="rId62" Type="http://schemas.openxmlformats.org/officeDocument/2006/relationships/footer" Target="footer45.xml"/><Relationship Id="rId70" Type="http://schemas.openxmlformats.org/officeDocument/2006/relationships/footer" Target="footer52.xml"/><Relationship Id="rId75" Type="http://schemas.openxmlformats.org/officeDocument/2006/relationships/footer" Target="footer57.xml"/><Relationship Id="rId83" Type="http://schemas.openxmlformats.org/officeDocument/2006/relationships/header" Target="header12.xml"/><Relationship Id="rId88" Type="http://schemas.openxmlformats.org/officeDocument/2006/relationships/header" Target="header14.xml"/><Relationship Id="rId91" Type="http://schemas.openxmlformats.org/officeDocument/2006/relationships/footer" Target="footer68.xml"/><Relationship Id="rId96" Type="http://schemas.openxmlformats.org/officeDocument/2006/relationships/footer" Target="footer70.xml"/><Relationship Id="rId111" Type="http://schemas.openxmlformats.org/officeDocument/2006/relationships/footer" Target="footer7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8.xml"/><Relationship Id="rId23" Type="http://schemas.openxmlformats.org/officeDocument/2006/relationships/header" Target="header5.xml"/><Relationship Id="rId28" Type="http://schemas.openxmlformats.org/officeDocument/2006/relationships/footer" Target="footer15.xml"/><Relationship Id="rId36" Type="http://schemas.openxmlformats.org/officeDocument/2006/relationships/footer" Target="footer20.xml"/><Relationship Id="rId49" Type="http://schemas.openxmlformats.org/officeDocument/2006/relationships/footer" Target="footer32.xml"/><Relationship Id="rId57" Type="http://schemas.openxmlformats.org/officeDocument/2006/relationships/footer" Target="footer40.xml"/><Relationship Id="rId106" Type="http://schemas.openxmlformats.org/officeDocument/2006/relationships/header" Target="header23.xml"/><Relationship Id="rId114" Type="http://schemas.openxmlformats.org/officeDocument/2006/relationships/footer" Target="footer81.xml"/><Relationship Id="rId119" Type="http://schemas.openxmlformats.org/officeDocument/2006/relationships/footer" Target="footer86.xml"/><Relationship Id="rId10" Type="http://schemas.openxmlformats.org/officeDocument/2006/relationships/footer" Target="footer3.xml"/><Relationship Id="rId31" Type="http://schemas.openxmlformats.org/officeDocument/2006/relationships/footer" Target="footer17.xml"/><Relationship Id="rId44" Type="http://schemas.openxmlformats.org/officeDocument/2006/relationships/footer" Target="footer27.xml"/><Relationship Id="rId52" Type="http://schemas.openxmlformats.org/officeDocument/2006/relationships/footer" Target="footer35.xml"/><Relationship Id="rId60" Type="http://schemas.openxmlformats.org/officeDocument/2006/relationships/footer" Target="footer43.xml"/><Relationship Id="rId65" Type="http://schemas.openxmlformats.org/officeDocument/2006/relationships/footer" Target="footer47.xml"/><Relationship Id="rId73" Type="http://schemas.openxmlformats.org/officeDocument/2006/relationships/footer" Target="footer55.xml"/><Relationship Id="rId78" Type="http://schemas.openxmlformats.org/officeDocument/2006/relationships/footer" Target="footer60.xml"/><Relationship Id="rId81" Type="http://schemas.openxmlformats.org/officeDocument/2006/relationships/footer" Target="footer63.xml"/><Relationship Id="rId86" Type="http://schemas.openxmlformats.org/officeDocument/2006/relationships/header" Target="header13.xml"/><Relationship Id="rId94" Type="http://schemas.openxmlformats.org/officeDocument/2006/relationships/header" Target="header17.xml"/><Relationship Id="rId99" Type="http://schemas.openxmlformats.org/officeDocument/2006/relationships/footer" Target="footer72.xml"/><Relationship Id="rId101" Type="http://schemas.openxmlformats.org/officeDocument/2006/relationships/header" Target="header21.xml"/><Relationship Id="rId4" Type="http://schemas.openxmlformats.org/officeDocument/2006/relationships/settings" Target="settings.xml"/><Relationship Id="rId9" Type="http://schemas.openxmlformats.org/officeDocument/2006/relationships/footer" Target="footer2.xml"/><Relationship Id="rId13" Type="http://schemas.openxmlformats.org/officeDocument/2006/relationships/footer" Target="footer6.xml"/><Relationship Id="rId18" Type="http://schemas.openxmlformats.org/officeDocument/2006/relationships/footer" Target="footer9.xml"/><Relationship Id="rId39" Type="http://schemas.openxmlformats.org/officeDocument/2006/relationships/footer" Target="footer22.xml"/><Relationship Id="rId109" Type="http://schemas.openxmlformats.org/officeDocument/2006/relationships/footer" Target="footer77.xml"/><Relationship Id="rId34" Type="http://schemas.openxmlformats.org/officeDocument/2006/relationships/header" Target="header7.xml"/><Relationship Id="rId50" Type="http://schemas.openxmlformats.org/officeDocument/2006/relationships/footer" Target="footer33.xml"/><Relationship Id="rId55" Type="http://schemas.openxmlformats.org/officeDocument/2006/relationships/footer" Target="footer38.xml"/><Relationship Id="rId76" Type="http://schemas.openxmlformats.org/officeDocument/2006/relationships/footer" Target="footer58.xml"/><Relationship Id="rId97" Type="http://schemas.openxmlformats.org/officeDocument/2006/relationships/footer" Target="footer71.xml"/><Relationship Id="rId104" Type="http://schemas.openxmlformats.org/officeDocument/2006/relationships/header" Target="header22.xml"/><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footer" Target="footer53.xml"/><Relationship Id="rId92" Type="http://schemas.openxmlformats.org/officeDocument/2006/relationships/header" Target="header16.xml"/><Relationship Id="rId2" Type="http://schemas.openxmlformats.org/officeDocument/2006/relationships/numbering" Target="numbering.xml"/><Relationship Id="rId29" Type="http://schemas.openxmlformats.org/officeDocument/2006/relationships/hyperlink" Target="http://www.bis.org/bcbs/gsib/reporting_instructions.htm" TargetMode="External"/><Relationship Id="rId24" Type="http://schemas.openxmlformats.org/officeDocument/2006/relationships/footer" Target="footer12.xml"/><Relationship Id="rId40" Type="http://schemas.openxmlformats.org/officeDocument/2006/relationships/footer" Target="footer23.xml"/><Relationship Id="rId45" Type="http://schemas.openxmlformats.org/officeDocument/2006/relationships/footer" Target="footer28.xml"/><Relationship Id="rId66" Type="http://schemas.openxmlformats.org/officeDocument/2006/relationships/footer" Target="footer48.xml"/><Relationship Id="rId87" Type="http://schemas.openxmlformats.org/officeDocument/2006/relationships/footer" Target="footer66.xml"/><Relationship Id="rId110" Type="http://schemas.openxmlformats.org/officeDocument/2006/relationships/header" Target="header25.xml"/><Relationship Id="rId115" Type="http://schemas.openxmlformats.org/officeDocument/2006/relationships/footer" Target="footer82.xml"/></Relationships>
</file>

<file path=word/_rels/footnotes.xml.rels><?xml version="1.0" encoding="UTF-8" standalone="yes"?>
<Relationships xmlns="http://schemas.openxmlformats.org/package/2006/relationships"><Relationship Id="rId1" Type="http://schemas.openxmlformats.org/officeDocument/2006/relationships/hyperlink" Target="https://www.bis.org/bcbs/gsib/reporting_instruction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1D813-07B8-47C0-9D64-4EB1336BE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205</Pages>
  <Words>52778</Words>
  <Characters>300840</Characters>
  <Application>Microsoft Office Word</Application>
  <DocSecurity>4</DocSecurity>
  <Lines>2507</Lines>
  <Paragraphs>705</Paragraphs>
  <ScaleCrop>false</ScaleCrop>
  <HeadingPairs>
    <vt:vector size="2" baseType="variant">
      <vt:variant>
        <vt:lpstr>Title</vt:lpstr>
      </vt:variant>
      <vt:variant>
        <vt:i4>1</vt:i4>
      </vt:variant>
    </vt:vector>
  </HeadingPairs>
  <TitlesOfParts>
    <vt:vector size="1" baseType="lpstr">
      <vt:lpstr>Summary of disclosure templates and tables</vt:lpstr>
    </vt:vector>
  </TitlesOfParts>
  <Company>Hong Kong Monetary Authority</Company>
  <LinksUpToDate>false</LinksUpToDate>
  <CharactersWithSpaces>352913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Pillar 3 Disclosure Package
Annex 1: Disclosure Templates and Tables</dc:title>
  <dc:subject>Revised Pillar 3 Disclosure Package
Annex 1: Disclosure Templates and Tables</dc:subject>
  <dc:creator>HKMA</dc:creator>
  <cp:keywords/>
  <cp:lastModifiedBy>TAM Sze-wing, Cissy</cp:lastModifiedBy>
  <cp:revision>2</cp:revision>
  <cp:lastPrinted>2024-10-21T07:04:00Z</cp:lastPrinted>
  <dcterms:created xsi:type="dcterms:W3CDTF">2025-01-22T08:38:00Z</dcterms:created>
  <dcterms:modified xsi:type="dcterms:W3CDTF">2025-01-22T08:38:00Z</dcterms:modified>
</cp:coreProperties>
</file>